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Pr>
          <w:lang w:val="es-ES_tradnl"/>
        </w:rPr>
        <w:br/>
        <w:t>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editar.</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Grecia fue publicado con la signatura CEDAW/C/5/Add.28 y examinado por el Comité en su sexto período de sesiones. Los informes periódicos segundo y tercero combinados que presentó el Gobierno de Grecia fueron publicados con la signatura CEDAW/C/GRC/2-3 y examinados por el Comité en su 20º período de sesiones. Los informes periódicos cuarto y quinto combinados que presentó el Gobierno de Grecia fueron publicados con la signatura CEDAW/C/GCR/4-5 y examinados por el Comité en su período extraordinario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Grecia</w:t>
      </w:r>
      <w:r>
        <w:rPr>
          <w:b w:val="0"/>
          <w:spacing w:val="4"/>
          <w:position w:val="4"/>
          <w:sz w:val="20"/>
        </w:rPr>
        <w:t>*</w:t>
      </w:r>
    </w:p>
    <w:p w:rsidR="00000000" w:rsidRDefault="00000000">
      <w:pPr>
        <w:pStyle w:val="SingleTxt"/>
      </w:pPr>
    </w:p>
    <w:p w:rsidR="00000000" w:rsidRDefault="00000000">
      <w:pPr>
        <w:pStyle w:val="SingleTxt"/>
      </w:pPr>
      <w:r>
        <w:br w:type="page"/>
      </w:r>
      <w:r>
        <w:tab/>
        <w:t xml:space="preserve">El sexto informe nacional al Comité para la Eliminación de la Discriminación contra la Mujer se ha preparado con la colaboración de los siguientes funcionarios de la Secretaría General para la Igualdad de Género: </w:t>
      </w:r>
    </w:p>
    <w:p w:rsidR="00000000" w:rsidRDefault="00000000">
      <w:pPr>
        <w:pStyle w:val="SingleTxt"/>
        <w:suppressAutoHyphens/>
        <w:spacing w:after="100"/>
        <w:jc w:val="left"/>
      </w:pPr>
      <w:r>
        <w:rPr>
          <w:b/>
        </w:rPr>
        <w:t>Artopoulou, Susanna</w:t>
      </w:r>
      <w:r>
        <w:t>, Departamento de Publicaciones y Actos (apoyo de secretaría)</w:t>
      </w:r>
    </w:p>
    <w:p w:rsidR="00000000" w:rsidRDefault="00000000">
      <w:pPr>
        <w:pStyle w:val="SingleTxt"/>
        <w:suppressAutoHyphens/>
        <w:spacing w:after="100"/>
        <w:jc w:val="left"/>
      </w:pPr>
      <w:r>
        <w:rPr>
          <w:b/>
        </w:rPr>
        <w:t>Christodoulou, Athina-Maria</w:t>
      </w:r>
      <w:r>
        <w:t xml:space="preserve">, Asesora jurídica de la Secretaría General para la Igualdad de Género </w:t>
      </w:r>
    </w:p>
    <w:p w:rsidR="00000000" w:rsidRDefault="00000000">
      <w:pPr>
        <w:pStyle w:val="SingleTxt"/>
        <w:suppressAutoHyphens/>
        <w:spacing w:after="100"/>
        <w:jc w:val="left"/>
      </w:pPr>
      <w:r>
        <w:rPr>
          <w:b/>
        </w:rPr>
        <w:t>Dailiani, Konstantina</w:t>
      </w:r>
      <w:r>
        <w:t xml:space="preserve">, Departamento de Trabajo y Relaciones Laborales </w:t>
      </w:r>
    </w:p>
    <w:p w:rsidR="00000000" w:rsidRDefault="00000000">
      <w:pPr>
        <w:pStyle w:val="SingleTxt"/>
        <w:suppressAutoHyphens/>
        <w:spacing w:after="100"/>
        <w:jc w:val="left"/>
      </w:pPr>
      <w:r>
        <w:rPr>
          <w:b/>
        </w:rPr>
        <w:t>Filippidou, Aspasia</w:t>
      </w:r>
      <w:r>
        <w:t xml:space="preserve">, Departamento de Participación Social, Descentralización y Desarrollo Regional </w:t>
      </w:r>
    </w:p>
    <w:p w:rsidR="00000000" w:rsidRDefault="00000000">
      <w:pPr>
        <w:pStyle w:val="SingleTxt"/>
        <w:suppressAutoHyphens/>
        <w:spacing w:after="100"/>
        <w:jc w:val="left"/>
      </w:pPr>
      <w:r>
        <w:rPr>
          <w:b/>
        </w:rPr>
        <w:t>Geraki, Christina</w:t>
      </w:r>
      <w:r>
        <w:t xml:space="preserve">, Jefa del Departamento de Medios de Comunicación </w:t>
      </w:r>
    </w:p>
    <w:p w:rsidR="00000000" w:rsidRDefault="00000000">
      <w:pPr>
        <w:pStyle w:val="SingleTxt"/>
        <w:suppressAutoHyphens/>
        <w:spacing w:after="100"/>
        <w:jc w:val="left"/>
      </w:pPr>
      <w:r>
        <w:rPr>
          <w:b/>
        </w:rPr>
        <w:t>Kakolyris, Gerasimos</w:t>
      </w:r>
      <w:r>
        <w:t xml:space="preserve">, Jefe del Departamento Jurídico </w:t>
      </w:r>
    </w:p>
    <w:p w:rsidR="00000000" w:rsidRDefault="00000000">
      <w:pPr>
        <w:pStyle w:val="SingleTxt"/>
        <w:suppressAutoHyphens/>
        <w:spacing w:after="100"/>
        <w:jc w:val="left"/>
      </w:pPr>
      <w:r>
        <w:rPr>
          <w:b/>
        </w:rPr>
        <w:t>Katsivardakou, Theodora</w:t>
      </w:r>
      <w:r>
        <w:t xml:space="preserve">, Jefa del Departamento de Protección y Seguridad Social </w:t>
      </w:r>
    </w:p>
    <w:p w:rsidR="00000000" w:rsidRDefault="00000000">
      <w:pPr>
        <w:pStyle w:val="SingleTxt"/>
        <w:suppressAutoHyphens/>
        <w:spacing w:after="100"/>
        <w:jc w:val="left"/>
      </w:pPr>
      <w:r>
        <w:rPr>
          <w:b/>
        </w:rPr>
        <w:t>Konstandopoulou, Ekaterini</w:t>
      </w:r>
      <w:r>
        <w:t xml:space="preserve">, Departamento de Publicaciones y Actos (apoyo de secretaría) </w:t>
      </w:r>
    </w:p>
    <w:p w:rsidR="00000000" w:rsidRDefault="00000000">
      <w:pPr>
        <w:pStyle w:val="SingleTxt"/>
        <w:suppressAutoHyphens/>
        <w:spacing w:after="100"/>
        <w:jc w:val="left"/>
      </w:pPr>
      <w:r>
        <w:rPr>
          <w:b/>
        </w:rPr>
        <w:t>Lioki, Erasmia</w:t>
      </w:r>
      <w:r>
        <w:t xml:space="preserve">, Departamento de Publicaciones y Actos </w:t>
      </w:r>
    </w:p>
    <w:p w:rsidR="00000000" w:rsidRDefault="00000000">
      <w:pPr>
        <w:pStyle w:val="SingleTxt"/>
        <w:suppressAutoHyphens/>
        <w:spacing w:after="100"/>
        <w:jc w:val="left"/>
      </w:pPr>
      <w:r>
        <w:rPr>
          <w:b/>
        </w:rPr>
        <w:t>Maragaki, Ekaterini</w:t>
      </w:r>
      <w:r>
        <w:t xml:space="preserve">, Departamento de Medios de Comunicación </w:t>
      </w:r>
    </w:p>
    <w:p w:rsidR="00000000" w:rsidRDefault="00000000">
      <w:pPr>
        <w:pStyle w:val="SingleTxt"/>
        <w:suppressAutoHyphens/>
        <w:spacing w:after="100"/>
        <w:jc w:val="left"/>
      </w:pPr>
      <w:r>
        <w:rPr>
          <w:b/>
        </w:rPr>
        <w:t>Megalou, Anna</w:t>
      </w:r>
      <w:r>
        <w:t xml:space="preserve">, Dirección de Desarrollo e Información </w:t>
      </w:r>
    </w:p>
    <w:p w:rsidR="00000000" w:rsidRDefault="00000000">
      <w:pPr>
        <w:pStyle w:val="SingleTxt"/>
        <w:suppressAutoHyphens/>
        <w:spacing w:after="100"/>
        <w:jc w:val="left"/>
      </w:pPr>
      <w:r>
        <w:rPr>
          <w:b/>
        </w:rPr>
        <w:t>Palaiologou, Eleni</w:t>
      </w:r>
      <w:r>
        <w:t xml:space="preserve">, Departamento de Publicaciones y Actos </w:t>
      </w:r>
    </w:p>
    <w:p w:rsidR="00000000" w:rsidRDefault="00000000">
      <w:pPr>
        <w:pStyle w:val="SingleTxt"/>
        <w:suppressAutoHyphens/>
        <w:spacing w:after="100"/>
        <w:jc w:val="left"/>
      </w:pPr>
      <w:r>
        <w:rPr>
          <w:b/>
        </w:rPr>
        <w:t>Papadopoulou, Vasiliki</w:t>
      </w:r>
      <w:r>
        <w:t xml:space="preserve">, Departamento de Participación Social, Descentralización y Desarrollo Regional </w:t>
      </w:r>
    </w:p>
    <w:p w:rsidR="00000000" w:rsidRDefault="00000000">
      <w:pPr>
        <w:pStyle w:val="SingleTxt"/>
        <w:suppressAutoHyphens/>
        <w:spacing w:after="100"/>
        <w:jc w:val="left"/>
      </w:pPr>
      <w:r>
        <w:rPr>
          <w:b/>
        </w:rPr>
        <w:t>Pendarchou, Konstantina</w:t>
      </w:r>
      <w:r>
        <w:t xml:space="preserve">, Departamento de Educación y Formación (apoyo de secretaría) </w:t>
      </w:r>
    </w:p>
    <w:p w:rsidR="00000000" w:rsidRDefault="00000000">
      <w:pPr>
        <w:pStyle w:val="SingleTxt"/>
        <w:suppressAutoHyphens/>
        <w:spacing w:after="100"/>
        <w:jc w:val="left"/>
      </w:pPr>
      <w:r>
        <w:rPr>
          <w:b/>
        </w:rPr>
        <w:t>Sakareli, Sofia</w:t>
      </w:r>
      <w:r>
        <w:t>, Departamento de Protección y Seguridad Social</w:t>
      </w:r>
    </w:p>
    <w:p w:rsidR="00000000" w:rsidRDefault="00000000">
      <w:pPr>
        <w:pStyle w:val="SingleTxt"/>
        <w:suppressAutoHyphens/>
        <w:spacing w:after="100"/>
        <w:jc w:val="left"/>
      </w:pPr>
      <w:r>
        <w:rPr>
          <w:b/>
        </w:rPr>
        <w:t>Sarri, Stamatina-Amalia</w:t>
      </w:r>
      <w:r>
        <w:t xml:space="preserve">, Jefa de la Dirección de Empleo y Protección Social </w:t>
      </w:r>
    </w:p>
    <w:p w:rsidR="00000000" w:rsidRDefault="00000000">
      <w:pPr>
        <w:pStyle w:val="SingleTxt"/>
        <w:suppressAutoHyphens/>
        <w:spacing w:after="100"/>
        <w:jc w:val="left"/>
      </w:pPr>
      <w:r>
        <w:rPr>
          <w:b/>
        </w:rPr>
        <w:t>Sotiriadou, Anastasia</w:t>
      </w:r>
      <w:r>
        <w:t>, Jefa del Departamento de Educación y Formación</w:t>
      </w:r>
    </w:p>
    <w:p w:rsidR="00000000" w:rsidRDefault="00000000">
      <w:pPr>
        <w:pStyle w:val="SingleTxt"/>
        <w:suppressAutoHyphens/>
        <w:spacing w:after="100"/>
        <w:jc w:val="left"/>
      </w:pPr>
      <w:r>
        <w:rPr>
          <w:b/>
        </w:rPr>
        <w:t>Tatsi, Eleni</w:t>
      </w:r>
      <w:r>
        <w:t>, Departamento de Protección y Seguridad Social</w:t>
      </w:r>
    </w:p>
    <w:p w:rsidR="00000000" w:rsidRDefault="00000000">
      <w:pPr>
        <w:pStyle w:val="SingleTxt"/>
        <w:suppressAutoHyphens/>
        <w:spacing w:after="100"/>
        <w:jc w:val="left"/>
      </w:pPr>
      <w:r>
        <w:rPr>
          <w:b/>
        </w:rPr>
        <w:t>Tremos, Dimosthenis</w:t>
      </w:r>
      <w:r>
        <w:t xml:space="preserve">, Departamento de Publicaciones y Actos </w:t>
      </w:r>
    </w:p>
    <w:p w:rsidR="00000000" w:rsidRDefault="00000000">
      <w:pPr>
        <w:pStyle w:val="SingleTxt"/>
        <w:suppressAutoHyphens/>
        <w:spacing w:after="100"/>
        <w:jc w:val="left"/>
      </w:pPr>
      <w:r>
        <w:rPr>
          <w:b/>
        </w:rPr>
        <w:t>Vendi, Stavroula</w:t>
      </w:r>
      <w:r>
        <w:t>, Departamento de Protección y Seguridad Social</w:t>
      </w:r>
    </w:p>
    <w:p w:rsidR="00000000" w:rsidRDefault="00000000">
      <w:pPr>
        <w:pStyle w:val="SingleTxt"/>
        <w:suppressAutoHyphens/>
        <w:spacing w:after="100"/>
        <w:jc w:val="left"/>
      </w:pPr>
      <w:r>
        <w:rPr>
          <w:i/>
        </w:rPr>
        <w:t>Coordinación de materiales:</w:t>
      </w:r>
      <w:r>
        <w:t xml:space="preserve"> </w:t>
      </w:r>
      <w:r>
        <w:rPr>
          <w:b/>
        </w:rPr>
        <w:t>Katsaridou, Ifigenia</w:t>
      </w:r>
      <w:r>
        <w:t xml:space="preserve">, Directora General del Centro de Investigación para la Igualdad de Género </w:t>
      </w:r>
    </w:p>
    <w:p w:rsidR="00000000" w:rsidRDefault="00000000">
      <w:pPr>
        <w:pStyle w:val="SingleTxt"/>
        <w:suppressAutoHyphens/>
        <w:spacing w:after="100"/>
        <w:jc w:val="left"/>
      </w:pPr>
      <w:r>
        <w:rPr>
          <w:i/>
        </w:rPr>
        <w:t>Traducción al inglés:</w:t>
      </w:r>
      <w:r>
        <w:t xml:space="preserve"> </w:t>
      </w:r>
      <w:r>
        <w:rPr>
          <w:b/>
        </w:rPr>
        <w:t>Megalou, Anna</w:t>
      </w:r>
      <w:r>
        <w:t xml:space="preserve">, </w:t>
      </w:r>
      <w:r>
        <w:rPr>
          <w:b/>
        </w:rPr>
        <w:t>Palaiologou, Eleni</w:t>
      </w:r>
      <w:r>
        <w:t xml:space="preserve">, funcionarias de la Secretaría General para la Igualdad de Género </w:t>
      </w:r>
    </w:p>
    <w:p w:rsidR="00000000" w:rsidRDefault="00000000">
      <w:pPr>
        <w:pStyle w:val="SingleTxt"/>
        <w:suppressAutoHyphens/>
        <w:spacing w:after="100"/>
        <w:jc w:val="left"/>
      </w:pPr>
      <w:r>
        <w:rPr>
          <w:i/>
        </w:rPr>
        <w:t xml:space="preserve">Edición de la versión inglesa: </w:t>
      </w:r>
      <w:r>
        <w:rPr>
          <w:b/>
        </w:rPr>
        <w:t>Megalou, Anna</w:t>
      </w:r>
      <w:r>
        <w:t xml:space="preserve">, funcionaria de la Secretaría General para la Igualdad de Género </w:t>
      </w:r>
    </w:p>
    <w:p w:rsidR="00000000" w:rsidRDefault="00000000">
      <w:pPr>
        <w:pStyle w:val="SingleTxt"/>
        <w:suppressAutoHyphens/>
        <w:spacing w:after="100"/>
        <w:jc w:val="left"/>
      </w:pPr>
      <w:r>
        <w:rPr>
          <w:i/>
        </w:rPr>
        <w:t>Coordinación del proyecto y revisión de los datos científicos</w:t>
      </w:r>
      <w:r>
        <w:t xml:space="preserve">: </w:t>
      </w:r>
      <w:r>
        <w:rPr>
          <w:b/>
        </w:rPr>
        <w:t>Yannakourou, Matina</w:t>
      </w:r>
      <w:r>
        <w:t xml:space="preserve">, Asesora especial de la Secretaría General para la Igualdad de Género, Doctora en Derecho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Preámbulo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miembro de las Naciones Unidas, Grecia ratificó en 1983 (Ley 1343/1983) la Convención sobre la eliminación de todas las formas de discrimin</w:t>
      </w:r>
      <w:r>
        <w:t>a</w:t>
      </w:r>
      <w:r>
        <w:t>ción contra la mujer y fue uno de los primeros 22 países en ratificar, en 2001, el Protocolo Facu</w:t>
      </w:r>
      <w:r>
        <w:t>l</w:t>
      </w:r>
      <w:r>
        <w:t xml:space="preserve">tativo de la Convención (Ley 2952/2001). </w:t>
      </w:r>
    </w:p>
    <w:p w:rsidR="00000000" w:rsidRDefault="00000000">
      <w:pPr>
        <w:pStyle w:val="SingleTxt"/>
      </w:pPr>
      <w:r>
        <w:tab/>
        <w:t>La aplicación de la Convención sobre la eliminación de todas las formas de discriminación contra la mujer ha llevado al Estado griego a tomar medidas activas y a adaptar la legislación y otras disposiciones con el fin de eliminar las desiguald</w:t>
      </w:r>
      <w:r>
        <w:t>a</w:t>
      </w:r>
      <w:r>
        <w:t>des de trato por motivos de sexo y de incorporar gradualmente una perspectiva de género a todas sus políticas. La preparación de los informes nacionales a las Naci</w:t>
      </w:r>
      <w:r>
        <w:t>o</w:t>
      </w:r>
      <w:r>
        <w:t>nes Unidas, las observaciones del Comité para la Eliminación de la Discriminación contra la Mujer, y los debates de las delegaciones de Grecia con los miembros del Comité acerca del contenido de los informes han permitido reunir información y tomar conciencia de las necesidades, los problemas y las deficiencias existentes en la legislación. También han contribuido a instaurar un diálogo abierto permanente sobre cuestiones relacionadas con la igualdad de género entre el Estado y la soci</w:t>
      </w:r>
      <w:r>
        <w:t>e</w:t>
      </w:r>
      <w:r>
        <w:t xml:space="preserve">dad civil internacional. </w:t>
      </w:r>
    </w:p>
    <w:p w:rsidR="00000000" w:rsidRDefault="00000000">
      <w:pPr>
        <w:pStyle w:val="SingleTxt"/>
      </w:pPr>
      <w:r>
        <w:tab/>
        <w:t xml:space="preserve">El período al que se refiere el sexto informe periódico de Grecia abarca de 2001 a 2004 y se ha caracterizado por importantes acontecimientos institucionales, legislativos, jurídicos, administrativos y sociales en el ámbito de la igualdad entre hombres y mujeres. </w:t>
      </w:r>
    </w:p>
    <w:p w:rsidR="00000000" w:rsidRDefault="00000000">
      <w:pPr>
        <w:pStyle w:val="SingleTxt"/>
      </w:pPr>
      <w:r>
        <w:tab/>
        <w:t>En primer lugar, conviene subrayar el importante papel catalizador del recon</w:t>
      </w:r>
      <w:r>
        <w:t>o</w:t>
      </w:r>
      <w:r>
        <w:t>cimiento constitucional de las medidas positivas como medio para alcanzar la igua</w:t>
      </w:r>
      <w:r>
        <w:t>l</w:t>
      </w:r>
      <w:r>
        <w:t>dad real y la eliminación de la discriminación contra la mujer, a raíz de la revisión de la Constitución de Grecia que se llevó a cabo en 2001. Cabe señalar además que ese mismo año se estableció por ley una cuota mínima de un tercio para ambos s</w:t>
      </w:r>
      <w:r>
        <w:t>e</w:t>
      </w:r>
      <w:r>
        <w:t>xos en las listas electorales para los gobiernos locales y regionales (elecciones m</w:t>
      </w:r>
      <w:r>
        <w:t>u</w:t>
      </w:r>
      <w:r>
        <w:t>nicipales y de las prefecturas), lo que supone un paso importante con miras a la pa</w:t>
      </w:r>
      <w:r>
        <w:t>r</w:t>
      </w:r>
      <w:r>
        <w:t xml:space="preserve">ticipación de las mujeres en los centros de adopción de decisiones. </w:t>
      </w:r>
    </w:p>
    <w:p w:rsidR="00000000" w:rsidRDefault="00000000">
      <w:pPr>
        <w:pStyle w:val="SingleTxt"/>
      </w:pPr>
      <w:r>
        <w:tab/>
        <w:t>Otro ámbito en el que se han logrado adelantos notables ha sido el de la lucha sistemática contra la trata de mujeres. Atendiendo, entre otras cosas, a las observ</w:t>
      </w:r>
      <w:r>
        <w:t>a</w:t>
      </w:r>
      <w:r>
        <w:t>ciones del Comité para la eliminación de la discriminación contra la mujer, Grecia inició en 2001 la lucha integrada contra ese fenómeno tipificándolo como delito que requiere un tratamiento específico. Un primer paso importante fue la creación del “Grupo contra la trata de seres humanos”. Ese Grupo, de composición interminist</w:t>
      </w:r>
      <w:r>
        <w:t>e</w:t>
      </w:r>
      <w:r>
        <w:t>rial, ha promovido el cambio del marco jurídico y coordinado las campañas de i</w:t>
      </w:r>
      <w:r>
        <w:t>n</w:t>
      </w:r>
      <w:r>
        <w:t>formación y sensibilización de la opinión pública acerca del problema. En 2004, por iniciativa del Gobierno de Grecia, se constituyó un Comité Interministerial de alto nivel que preparó un Plan Nacional de Acción integrado para luchar contra la trata de seres humanos. Ese Plan se basa en la coordinación de los ministerios comp</w:t>
      </w:r>
      <w:r>
        <w:t>e</w:t>
      </w:r>
      <w:r>
        <w:t>tentes y abarca toda la gama de actividades relacionadas con la trata, desde la loc</w:t>
      </w:r>
      <w:r>
        <w:t>a</w:t>
      </w:r>
      <w:r>
        <w:t>lización, el reconocimiento y la asistencia a las víctimas, a las que se proporcionan alojamiento y permisos de residencia temporales, válidos también como permisos de trabajo, o se facilita la repatriación voluntaria, según los casos, hasta la educación e incorporación al mercado laboral de las víctimas que permanecen en Grecia, además de actividades de sensibilización de la población y formación especial de los mie</w:t>
      </w:r>
      <w:r>
        <w:t>m</w:t>
      </w:r>
      <w:r>
        <w:t xml:space="preserve">bros de la judicatura y de la policía. </w:t>
      </w:r>
    </w:p>
    <w:p w:rsidR="00000000" w:rsidRDefault="00000000">
      <w:pPr>
        <w:pStyle w:val="SingleTxt"/>
      </w:pPr>
      <w:r>
        <w:tab/>
        <w:t>El año 2004 ha supuesto un hito en la incorporación al debate social y político de la cuestión de todas las formas de violencia contra la mujer como tema priorit</w:t>
      </w:r>
      <w:r>
        <w:t>a</w:t>
      </w:r>
      <w:r>
        <w:t>rio. Esa incorporación ha ido acompañada de una amplia campaña de información y sensibilización acerca de la violencia doméstica. Por iniciativa de la Secretaria G</w:t>
      </w:r>
      <w:r>
        <w:t>e</w:t>
      </w:r>
      <w:r>
        <w:t>neral para la Igualdad de Género del Ministerio del Interior, Administración Pública y Descentralización, se ha creado un comité de trabajo que se encargará de examinar todos los aspectos sociales y jurídicos relacionados con el fenómeno de la violencia doméstica, así como las infraestructuras necesarias para prevenir y combatir la vi</w:t>
      </w:r>
      <w:r>
        <w:t>o</w:t>
      </w:r>
      <w:r>
        <w:t>lencia doméstica. El Comité propondrá en breve medidas legislativas adecuadas p</w:t>
      </w:r>
      <w:r>
        <w:t>a</w:t>
      </w:r>
      <w:r>
        <w:t xml:space="preserve">ra su aprobación. </w:t>
      </w:r>
    </w:p>
    <w:p w:rsidR="00000000" w:rsidRDefault="00000000">
      <w:pPr>
        <w:pStyle w:val="SingleTxt"/>
      </w:pPr>
      <w:r>
        <w:tab/>
        <w:t>A nivel legislativo, el Comité del Ministerio del Interior, Administración P</w:t>
      </w:r>
      <w:r>
        <w:t>ú</w:t>
      </w:r>
      <w:r>
        <w:t>blica y Descentralización encargado de revisar el Código de la Administración P</w:t>
      </w:r>
      <w:r>
        <w:t>ú</w:t>
      </w:r>
      <w:r>
        <w:t>blica (Ley 2683/1989) ha aceptado las propuestas de la Secretaría General para la Igualdad de Género acerca de las licencias por paternidad de los funcionarios públ</w:t>
      </w:r>
      <w:r>
        <w:t>i</w:t>
      </w:r>
      <w:r>
        <w:t>cos. Ésas propuestas promueven la adopción de normas que garanticen la igualdad de trato de hombres y mujeres; además reflejan la creciente atención que se presta a las neces</w:t>
      </w:r>
      <w:r>
        <w:t>i</w:t>
      </w:r>
      <w:r>
        <w:t xml:space="preserve">dades de las familias monoparentales y de las familias numerosas. </w:t>
      </w:r>
    </w:p>
    <w:p w:rsidR="00000000" w:rsidRDefault="00000000">
      <w:pPr>
        <w:pStyle w:val="SingleTxt"/>
      </w:pPr>
      <w:r>
        <w:tab/>
        <w:t>A nivel institucional, propondremos directamente el establecimiento por ley de un nuevo mecanismo nacional, el Comité Nacional para la Igualdad entre Hombres y Mujeres. Este Comité está concebido como instrumento permanente de diálogo entre el Gobierno, las principales organizaciones de los interlocutores sociales y los representantes de las organizaciones no gubernamentales de mujeres; su labor co</w:t>
      </w:r>
      <w:r>
        <w:t>n</w:t>
      </w:r>
      <w:r>
        <w:t>sistirá en diseñar y supervisar las políticas destinadas a promover la igualdad de g</w:t>
      </w:r>
      <w:r>
        <w:t>é</w:t>
      </w:r>
      <w:r>
        <w:t>nero. Al mismo tiempo, nuestra prioridad fundamental consiste en reforzar el fu</w:t>
      </w:r>
      <w:r>
        <w:t>n</w:t>
      </w:r>
      <w:r>
        <w:t>cionamiento de los mecanismos institucionales de defensa de la igualdad de género existentes, así como la difusión de las políticas y las actividades relacionadas con la igualdad de género en todas las regiones del país. Como señalamos en los debates que tuvieron lugar con motivo del 49º período de sesiones de la Comisión de la Condición Jurídica y Social de la Mujer de las Naciones Unidas (Nueva York), el reto que tienen ante sí los gobiernos no es crear mecanismos, sino garantizar su fu</w:t>
      </w:r>
      <w:r>
        <w:t>n</w:t>
      </w:r>
      <w:r>
        <w:t xml:space="preserve">cionamiento y cooperación eficaces con el fin de obtener resultados mensurables que sirvan de orientación para la adopción de futuras políticas. </w:t>
      </w:r>
    </w:p>
    <w:p w:rsidR="00000000" w:rsidRDefault="00000000">
      <w:pPr>
        <w:pStyle w:val="SingleTxt"/>
      </w:pPr>
      <w:r>
        <w:tab/>
        <w:t>El eje principal de las medidas propuestas consiste en mejorar la participación de las mujeres en el mercado laboral y en luchar contra el desempleo femenino por medio de programas de empleo para la mujer, de apoyo a las mujeres empresarias y de asistencia a las mujeres para que puedan adquirir experiencia laboral. La dete</w:t>
      </w:r>
      <w:r>
        <w:t>c</w:t>
      </w:r>
      <w:r>
        <w:t>ción de deficiencias en la igualdad en el empleo hace necesaria la adopción de m</w:t>
      </w:r>
      <w:r>
        <w:t>e</w:t>
      </w:r>
      <w:r>
        <w:t>didas positivas a nivel de las empresas, prestando especial atención a la conciliación de la vida familiar con la vida laboral.</w:t>
      </w:r>
    </w:p>
    <w:p w:rsidR="00000000" w:rsidRDefault="00000000">
      <w:pPr>
        <w:pStyle w:val="SingleTxt"/>
      </w:pPr>
      <w:r>
        <w:tab/>
        <w:t>El presente informe ha sido el fruto de la cooperación de los servicios de la Secretaría General para la Igualdad de Género con los organismos públicos y gube</w:t>
      </w:r>
      <w:r>
        <w:t>r</w:t>
      </w:r>
      <w:r>
        <w:t>namentales, las autoridades independientes, las organizaciones internacionales y las organizaciones no gubernamentales y de mujeres, así como con expertos indepe</w:t>
      </w:r>
      <w:r>
        <w:t>n</w:t>
      </w:r>
      <w:r>
        <w:t>dientes. Además, en la medida de lo posible, hemos incluido en el presente informe la valiosa información facilitada por la Comisión Nacional de Derechos Humanos, cuyo dictamen se solicitó de acuerdo con la normativa vigente.</w:t>
      </w:r>
    </w:p>
    <w:p w:rsidR="00000000" w:rsidRDefault="00000000">
      <w:pPr>
        <w:pStyle w:val="SingleTxt"/>
        <w:keepNext/>
        <w:keepLines/>
      </w:pPr>
      <w:r>
        <w:tab/>
        <w:t>Deseo manifestar mi profundo agradecimiento a todos los que han contribuido, directa o indirectamente, a llevar adelante esta tarea y especialmente a los funcion</w:t>
      </w:r>
      <w:r>
        <w:t>a</w:t>
      </w:r>
      <w:r>
        <w:t>rios de la Secretaría General para la Igualdad de Género. En particular, deseo dar las gracias al Sr. Yannis Ktistakis, investigador adjunto de la Universidad Demócrito de Tracia, por su valiosísimo asesoramiento durante la preparación del presente info</w:t>
      </w:r>
      <w:r>
        <w:t>r</w:t>
      </w:r>
      <w:r>
        <w:t>me, y a la funcionaria de la Secretaría General para la Igualdad de Género, Sra. Anna Megalou (premio extraordinario de fin de carrera de filología inglesa de la Universidad Aristóteles de Tesalónica, en Grecia), por la minuciosidad y el prof</w:t>
      </w:r>
      <w:r>
        <w:t>e</w:t>
      </w:r>
      <w:r>
        <w:t xml:space="preserve">sionalismo que ha demostrado al editar la versión inglesa. </w:t>
      </w:r>
    </w:p>
    <w:p w:rsidR="00000000" w:rsidRDefault="00000000">
      <w:pPr>
        <w:pStyle w:val="SingleTxt"/>
      </w:pPr>
      <w:r>
        <w:tab/>
        <w:t>Somos conscientes de que la igualdad entre hombres y mujeres no es una cuestión que afecte exclusivamente a estas últimas. La cuestión afecta a toda la s</w:t>
      </w:r>
      <w:r>
        <w:t>o</w:t>
      </w:r>
      <w:r>
        <w:t xml:space="preserve">ciedad griega, dado que las mujeres constituyen el 52% de la población del país. </w:t>
      </w:r>
    </w:p>
    <w:p w:rsidR="00000000" w:rsidRDefault="00000000">
      <w:pPr>
        <w:pStyle w:val="SingleTxt"/>
      </w:pPr>
      <w:r>
        <w:tab/>
        <w:t xml:space="preserve">Grecia espera que el presente informe constituya un instrumento importante que permita detectar y corregir las formas de discriminación de que son víctimas las mujeres, y fortalecer sus derechos y su participación efectiva en la vida política, económica, laboral, social y cultural. Consideramos que la mejora de la situación de la mujer en la sociedad griega contribuirá en gran medida a promover el desarrollo, la competitividad y la cohesión social en nuestro país. </w:t>
      </w:r>
    </w:p>
    <w:p w:rsidR="00000000" w:rsidRDefault="00000000">
      <w:pPr>
        <w:pStyle w:val="SingleTxt"/>
        <w:spacing w:after="0" w:line="120" w:lineRule="exact"/>
        <w:rPr>
          <w:sz w:val="10"/>
        </w:rPr>
      </w:pPr>
    </w:p>
    <w:p w:rsidR="00000000" w:rsidRDefault="00000000">
      <w:pPr>
        <w:pStyle w:val="SingleTxt"/>
        <w:jc w:val="right"/>
      </w:pPr>
      <w:r>
        <w:t>Secretaria General para la igualdad de género</w:t>
      </w:r>
      <w:r>
        <w:br/>
        <w:t>Evgenia Tsoumani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116885437"/>
      <w:r>
        <w:tab/>
      </w:r>
      <w:bookmarkEnd w:id="1"/>
      <w:r>
        <w:tab/>
        <w:t>Resumen Ejecutivo</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11"/>
        </w:numPr>
        <w:tabs>
          <w:tab w:val="clear" w:pos="475"/>
          <w:tab w:val="num" w:pos="1742"/>
        </w:tabs>
        <w:ind w:left="1267"/>
      </w:pPr>
      <w:r>
        <w:t>La revisión constitucional de 2001 ha abierto el camino para alcanzar la igua</w:t>
      </w:r>
      <w:r>
        <w:t>l</w:t>
      </w:r>
      <w:r>
        <w:t xml:space="preserve">dad de género real (de facto). En virtud de lo dispuesto en el párrafo 2 del artículo 116 de la Constitución se prohíbe toda desviación del principio de la igualdad de género y se establece la obligación del Estado de adoptar medidas adecuadas con el fin de eliminar la discriminación contra la mujer. </w:t>
      </w:r>
    </w:p>
    <w:p w:rsidR="00000000" w:rsidRDefault="00000000">
      <w:pPr>
        <w:pStyle w:val="SingleTxt"/>
        <w:numPr>
          <w:ilvl w:val="0"/>
          <w:numId w:val="11"/>
        </w:numPr>
        <w:tabs>
          <w:tab w:val="clear" w:pos="475"/>
          <w:tab w:val="num" w:pos="1742"/>
        </w:tabs>
        <w:ind w:left="1267"/>
      </w:pPr>
      <w:r>
        <w:t>Asimismo, Grecia ha ratificado el Protocolo Facultativo de la Convención s</w:t>
      </w:r>
      <w:r>
        <w:t>o</w:t>
      </w:r>
      <w:r>
        <w:t>bre la eliminación de todas las formas de discriminación contra la mujer (Ley 2952/2001).</w:t>
      </w:r>
    </w:p>
    <w:p w:rsidR="00000000" w:rsidRDefault="00000000">
      <w:pPr>
        <w:pStyle w:val="SingleTxt"/>
        <w:numPr>
          <w:ilvl w:val="0"/>
          <w:numId w:val="11"/>
        </w:numPr>
        <w:tabs>
          <w:tab w:val="clear" w:pos="475"/>
          <w:tab w:val="num" w:pos="1742"/>
        </w:tabs>
        <w:ind w:left="1267"/>
      </w:pPr>
      <w:r>
        <w:t>A nivel institucional se han creado nuevos mecanismos institucionales, como el Comité Interministerial para la Igualdad de Género (2000), el Comité Parlament</w:t>
      </w:r>
      <w:r>
        <w:t>a</w:t>
      </w:r>
      <w:r>
        <w:t xml:space="preserve">rio Permanente para la Igualdad y los Derechos Humanos (2002) y la Oficina de la Igualdad de Género del Ministerio de Defensa Nacional (2004). </w:t>
      </w:r>
    </w:p>
    <w:p w:rsidR="00000000" w:rsidRDefault="00000000">
      <w:pPr>
        <w:pStyle w:val="SingleTxt"/>
        <w:numPr>
          <w:ilvl w:val="0"/>
          <w:numId w:val="11"/>
        </w:numPr>
        <w:tabs>
          <w:tab w:val="clear" w:pos="475"/>
          <w:tab w:val="num" w:pos="1742"/>
        </w:tabs>
        <w:ind w:left="1267"/>
      </w:pPr>
      <w:r>
        <w:t>En el ámbito del empleo y de las relaciones laborales:</w:t>
      </w:r>
    </w:p>
    <w:p w:rsidR="00000000" w:rsidRDefault="00000000">
      <w:pPr>
        <w:pStyle w:val="SingleTxt"/>
        <w:tabs>
          <w:tab w:val="right" w:pos="1685"/>
        </w:tabs>
        <w:ind w:left="1742" w:hanging="475"/>
      </w:pPr>
      <w:r>
        <w:tab/>
        <w:t>•</w:t>
      </w:r>
      <w:r>
        <w:tab/>
        <w:t>Los convenios laborales colectivos nacionales de los años 2002-2004 han m</w:t>
      </w:r>
      <w:r>
        <w:t>e</w:t>
      </w:r>
      <w:r>
        <w:t xml:space="preserve">jorado la legislación vigente para los trabajadores del sector privado por lo que respecta a la igualdad en las relaciones laborales, las licencias por paternidad y otros asuntos relacionados con las cuestiones de género. </w:t>
      </w:r>
    </w:p>
    <w:p w:rsidR="00000000" w:rsidRDefault="00000000">
      <w:pPr>
        <w:pStyle w:val="SingleTxt"/>
        <w:tabs>
          <w:tab w:val="right" w:pos="1685"/>
        </w:tabs>
        <w:suppressAutoHyphens/>
        <w:ind w:left="1742" w:hanging="475"/>
      </w:pPr>
      <w:r>
        <w:tab/>
        <w:t>•</w:t>
      </w:r>
      <w:r>
        <w:tab/>
        <w:t>La</w:t>
      </w:r>
      <w:r>
        <w:rPr>
          <w:i/>
        </w:rPr>
        <w:t xml:space="preserve"> </w:t>
      </w:r>
      <w:r>
        <w:t>Ley 3227/2004 sobre “Medidas contra el desempleo y otras disposiciones” regula favorablemente la situación de las madres que trabajan y las madres desempleadas.</w:t>
      </w:r>
    </w:p>
    <w:p w:rsidR="00000000" w:rsidRDefault="00000000">
      <w:pPr>
        <w:pStyle w:val="SingleTxt"/>
        <w:tabs>
          <w:tab w:val="right" w:pos="1685"/>
        </w:tabs>
        <w:ind w:left="1742" w:hanging="475"/>
      </w:pPr>
      <w:r>
        <w:rPr>
          <w:b/>
        </w:rPr>
        <w:tab/>
        <w:t>•</w:t>
      </w:r>
      <w:r>
        <w:rPr>
          <w:b/>
        </w:rPr>
        <w:tab/>
      </w:r>
      <w:r>
        <w:t>La</w:t>
      </w:r>
      <w:r>
        <w:rPr>
          <w:i/>
        </w:rPr>
        <w:t xml:space="preserve"> </w:t>
      </w:r>
      <w:r>
        <w:t>Ley 3250/2004 promueve el empleo de las madres con hijos pequeños bri</w:t>
      </w:r>
      <w:r>
        <w:t>n</w:t>
      </w:r>
      <w:r>
        <w:t>dándoles la oportunidad de trabajar con una cuota de 10% en puestos de tie</w:t>
      </w:r>
      <w:r>
        <w:t>m</w:t>
      </w:r>
      <w:r>
        <w:t>po parcial en el sector público en entidades jurídicas de derecho público y en organizaciones de las administraciones locales, en servicios de carácter social. Al mismo tiempo, establece que el 60% de esos puestos destinados a las di</w:t>
      </w:r>
      <w:r>
        <w:t>s</w:t>
      </w:r>
      <w:r>
        <w:t>tintas categorías de desempleados se reservarán a mujeres en la medida en que é</w:t>
      </w:r>
      <w:r>
        <w:t>s</w:t>
      </w:r>
      <w:r>
        <w:t>tas manifiesten su interés al respecto.</w:t>
      </w:r>
    </w:p>
    <w:p w:rsidR="00000000" w:rsidRDefault="00000000">
      <w:pPr>
        <w:pStyle w:val="SingleTxt"/>
        <w:tabs>
          <w:tab w:val="right" w:pos="1685"/>
        </w:tabs>
        <w:ind w:left="1742" w:hanging="475"/>
      </w:pPr>
      <w:r>
        <w:tab/>
        <w:t>•</w:t>
      </w:r>
      <w:r>
        <w:tab/>
        <w:t>A través del Plan Nacional de Acción de Promoción del Empleo y del Plan N</w:t>
      </w:r>
      <w:r>
        <w:t>a</w:t>
      </w:r>
      <w:r>
        <w:t>cional de Acción de Promoción de la Inclusión Social, prosiguen en el sector público y en el sector privado los esfuerzos encaminados a eliminar la excl</w:t>
      </w:r>
      <w:r>
        <w:t>u</w:t>
      </w:r>
      <w:r>
        <w:t xml:space="preserve">sión de las mujeres. </w:t>
      </w:r>
    </w:p>
    <w:p w:rsidR="00000000" w:rsidRDefault="00000000">
      <w:pPr>
        <w:pStyle w:val="SingleTxt"/>
        <w:tabs>
          <w:tab w:val="right" w:pos="1685"/>
        </w:tabs>
        <w:ind w:left="1742" w:hanging="475"/>
      </w:pPr>
      <w:r>
        <w:tab/>
        <w:t>•</w:t>
      </w:r>
      <w:r>
        <w:tab/>
        <w:t>El Comité del Ministerio del Interior, Administración Pública y Descentraliz</w:t>
      </w:r>
      <w:r>
        <w:t>a</w:t>
      </w:r>
      <w:r>
        <w:t>ción encargado de revisar el Código de la Administración Pública (Ley 2683/1989) ha aceptado las propuestas de la Secretaría General para la Igua</w:t>
      </w:r>
      <w:r>
        <w:t>l</w:t>
      </w:r>
      <w:r>
        <w:t>dad de Género relativas a las licencias por paternidad de los funcionarios p</w:t>
      </w:r>
      <w:r>
        <w:t>ú</w:t>
      </w:r>
      <w:r>
        <w:t>blicos. Esas propuestas promueven la plena aplicación de la igualdad de trato de hombres y mujeres y prestan mayor atención a las familias monoparentales y a las familias num</w:t>
      </w:r>
      <w:r>
        <w:t>e</w:t>
      </w:r>
      <w:r>
        <w:t>rosas.</w:t>
      </w:r>
    </w:p>
    <w:p w:rsidR="00000000" w:rsidRDefault="00000000">
      <w:pPr>
        <w:pStyle w:val="SingleTxt"/>
        <w:numPr>
          <w:ilvl w:val="0"/>
          <w:numId w:val="11"/>
        </w:numPr>
        <w:tabs>
          <w:tab w:val="clear" w:pos="475"/>
          <w:tab w:val="num" w:pos="1742"/>
        </w:tabs>
        <w:ind w:left="1267"/>
      </w:pPr>
      <w:r>
        <w:t>En el ámbito de la seguridad social:</w:t>
      </w:r>
    </w:p>
    <w:p w:rsidR="00000000" w:rsidRDefault="00000000">
      <w:pPr>
        <w:pStyle w:val="SingleTxt"/>
        <w:tabs>
          <w:tab w:val="right" w:pos="1685"/>
        </w:tabs>
        <w:ind w:left="1742" w:hanging="475"/>
      </w:pPr>
      <w:r>
        <w:tab/>
        <w:t>•</w:t>
      </w:r>
      <w:r>
        <w:tab/>
        <w:t>La Ley 3029/2002 moderniza el sistema de pensiones y suprime todas las dif</w:t>
      </w:r>
      <w:r>
        <w:t>e</w:t>
      </w:r>
      <w:r>
        <w:t>re</w:t>
      </w:r>
      <w:r>
        <w:t>n</w:t>
      </w:r>
      <w:r>
        <w:t>cias de género existentes en la protección de la tercera edad.</w:t>
      </w:r>
    </w:p>
    <w:p w:rsidR="00000000" w:rsidRDefault="00000000">
      <w:pPr>
        <w:pStyle w:val="SingleTxt"/>
        <w:tabs>
          <w:tab w:val="right" w:pos="1685"/>
        </w:tabs>
        <w:ind w:left="1742" w:hanging="475"/>
      </w:pPr>
      <w:r>
        <w:tab/>
        <w:t>•</w:t>
      </w:r>
      <w:r>
        <w:tab/>
        <w:t>La</w:t>
      </w:r>
      <w:r>
        <w:rPr>
          <w:i/>
        </w:rPr>
        <w:t xml:space="preserve"> </w:t>
      </w:r>
      <w:r>
        <w:t>Ley 3232/2004 establece por primera vez que los divorciados tienen der</w:t>
      </w:r>
      <w:r>
        <w:t>e</w:t>
      </w:r>
      <w:r>
        <w:t xml:space="preserve">cho a una pensión de viudedad y pueden recibir una parte de la pensión de su ex cónyuge a la muerte de éste. </w:t>
      </w:r>
    </w:p>
    <w:p w:rsidR="00000000" w:rsidRDefault="00000000">
      <w:pPr>
        <w:pStyle w:val="SingleTxt"/>
        <w:tabs>
          <w:tab w:val="right" w:pos="1685"/>
        </w:tabs>
        <w:ind w:left="1742" w:hanging="475"/>
      </w:pPr>
      <w:r>
        <w:tab/>
        <w:t>•</w:t>
      </w:r>
      <w:r>
        <w:tab/>
        <w:t>El</w:t>
      </w:r>
      <w:r>
        <w:rPr>
          <w:i/>
        </w:rPr>
        <w:t xml:space="preserve"> </w:t>
      </w:r>
      <w:r>
        <w:t>Decreto Presidencial</w:t>
      </w:r>
      <w:r>
        <w:rPr>
          <w:i/>
        </w:rPr>
        <w:t xml:space="preserve"> </w:t>
      </w:r>
      <w:r>
        <w:t>87/2002</w:t>
      </w:r>
      <w:r>
        <w:rPr>
          <w:i/>
        </w:rPr>
        <w:t xml:space="preserve"> </w:t>
      </w:r>
      <w:r>
        <w:t>incorpora a la legislación griega las Direct</w:t>
      </w:r>
      <w:r>
        <w:t>i</w:t>
      </w:r>
      <w:r>
        <w:t>vas 86/378/EEC y 96/97/EC relativas a la aplicación de la igualdad de trato de hombres y mujeres en los sistemas de seguridad social. Este principio quedará reflejado en los estatutos de los fondos de seguros laborales que puedan crea</w:t>
      </w:r>
      <w:r>
        <w:t>r</w:t>
      </w:r>
      <w:r>
        <w:t>se en el futuro.</w:t>
      </w:r>
    </w:p>
    <w:p w:rsidR="00000000" w:rsidRDefault="00000000">
      <w:pPr>
        <w:pStyle w:val="SingleTxt"/>
        <w:tabs>
          <w:tab w:val="right" w:pos="1685"/>
        </w:tabs>
        <w:ind w:left="1742" w:hanging="475"/>
      </w:pPr>
      <w:r>
        <w:tab/>
        <w:t>•</w:t>
      </w:r>
      <w:r>
        <w:tab/>
        <w:t>El nuevo</w:t>
      </w:r>
      <w:r>
        <w:rPr>
          <w:i/>
        </w:rPr>
        <w:t xml:space="preserve"> </w:t>
      </w:r>
      <w:r>
        <w:t>Reglamento de Prestaciones de la Organización del Seguro Médico de los Funcionarios Públicos (OPAD) suprime toda discriminación de género entre las personas (familia) cubiertas por el seguro de un miembro y que tienen d</w:t>
      </w:r>
      <w:r>
        <w:t>e</w:t>
      </w:r>
      <w:r>
        <w:t>recho a recibir atención médica a expensas de la Organización.</w:t>
      </w:r>
    </w:p>
    <w:p w:rsidR="00000000" w:rsidRDefault="00000000">
      <w:pPr>
        <w:pStyle w:val="SingleTxt"/>
        <w:numPr>
          <w:ilvl w:val="0"/>
          <w:numId w:val="11"/>
        </w:numPr>
        <w:tabs>
          <w:tab w:val="clear" w:pos="475"/>
          <w:tab w:val="num" w:pos="1742"/>
        </w:tabs>
        <w:ind w:left="1267"/>
      </w:pPr>
      <w:r>
        <w:t>En el ámbito la agricultura:</w:t>
      </w:r>
    </w:p>
    <w:p w:rsidR="00000000" w:rsidRDefault="00000000">
      <w:pPr>
        <w:pStyle w:val="SingleTxt"/>
        <w:tabs>
          <w:tab w:val="right" w:pos="1685"/>
        </w:tabs>
        <w:ind w:left="1742" w:hanging="475"/>
      </w:pPr>
      <w:r>
        <w:tab/>
        <w:t>•</w:t>
      </w:r>
      <w:r>
        <w:tab/>
        <w:t>La</w:t>
      </w:r>
      <w:r>
        <w:rPr>
          <w:i/>
        </w:rPr>
        <w:t xml:space="preserve"> </w:t>
      </w:r>
      <w:r>
        <w:t>Ley 2810/2003 sobre “Organizaciones Cooperativas Agrícolas” modifica las condiciones para la creación de cooperativas agrícolas con el fin de favor</w:t>
      </w:r>
      <w:r>
        <w:t>e</w:t>
      </w:r>
      <w:r>
        <w:t>cer la participación de las mujeres en ellas.</w:t>
      </w:r>
    </w:p>
    <w:p w:rsidR="00000000" w:rsidRDefault="00000000">
      <w:pPr>
        <w:pStyle w:val="SingleTxt"/>
        <w:tabs>
          <w:tab w:val="right" w:pos="1685"/>
        </w:tabs>
        <w:ind w:left="1742" w:hanging="475"/>
      </w:pPr>
      <w:r>
        <w:tab/>
        <w:t>•</w:t>
      </w:r>
      <w:r>
        <w:tab/>
        <w:t>La</w:t>
      </w:r>
      <w:r>
        <w:rPr>
          <w:i/>
        </w:rPr>
        <w:t xml:space="preserve"> </w:t>
      </w:r>
      <w:r>
        <w:t>Ley 3147/2003 sobre “Regulación de las cuestiones relacionadas con las tierras de uso agrícola, la resolución de los asuntos relacionados con el re</w:t>
      </w:r>
      <w:r>
        <w:t>a</w:t>
      </w:r>
      <w:r>
        <w:t>sentamiento de ganaderos y los ganaderos reasentados y otras disposiciones” mejora las condiciones para la participación de las mujeres en la producción agropecuaria.</w:t>
      </w:r>
    </w:p>
    <w:p w:rsidR="00000000" w:rsidRDefault="00000000">
      <w:pPr>
        <w:pStyle w:val="SingleTxt"/>
        <w:tabs>
          <w:tab w:val="right" w:pos="1685"/>
        </w:tabs>
        <w:ind w:left="1742" w:hanging="475"/>
      </w:pPr>
      <w:r>
        <w:tab/>
        <w:t>•</w:t>
      </w:r>
      <w:r>
        <w:tab/>
      </w:r>
      <w:r>
        <w:rPr>
          <w:spacing w:val="2"/>
        </w:rPr>
        <w:t>Entre 2001 y 2003 se aplicaron programas de formación para 2.141 agricult</w:t>
      </w:r>
      <w:r>
        <w:rPr>
          <w:spacing w:val="2"/>
        </w:rPr>
        <w:t>o</w:t>
      </w:r>
      <w:r>
        <w:t>ras.</w:t>
      </w:r>
    </w:p>
    <w:p w:rsidR="00000000" w:rsidRDefault="00000000">
      <w:pPr>
        <w:pStyle w:val="SingleTxt"/>
        <w:numPr>
          <w:ilvl w:val="0"/>
          <w:numId w:val="11"/>
        </w:numPr>
        <w:tabs>
          <w:tab w:val="clear" w:pos="475"/>
          <w:tab w:val="num" w:pos="1742"/>
        </w:tabs>
        <w:ind w:left="1267"/>
        <w:rPr>
          <w:b/>
        </w:rPr>
      </w:pPr>
      <w:r>
        <w:t>En el ámbito de la lucha contra la violencia y la explotación de la mujer:</w:t>
      </w:r>
      <w:r>
        <w:rPr>
          <w:b/>
        </w:rPr>
        <w:t xml:space="preserve"> </w:t>
      </w:r>
    </w:p>
    <w:p w:rsidR="00000000" w:rsidRDefault="00000000">
      <w:pPr>
        <w:pStyle w:val="SingleTxt"/>
        <w:tabs>
          <w:tab w:val="right" w:pos="1685"/>
        </w:tabs>
        <w:ind w:left="1742" w:hanging="475"/>
      </w:pPr>
      <w:r>
        <w:tab/>
        <w:t>•</w:t>
      </w:r>
      <w:r>
        <w:tab/>
        <w:t>La</w:t>
      </w:r>
      <w:r>
        <w:rPr>
          <w:i/>
        </w:rPr>
        <w:t xml:space="preserve"> </w:t>
      </w:r>
      <w:r>
        <w:t>Ley 3064/2002</w:t>
      </w:r>
      <w:r>
        <w:rPr>
          <w:i/>
        </w:rPr>
        <w:t xml:space="preserve"> </w:t>
      </w:r>
      <w:r>
        <w:t>contra trata de seres humanos, que fue aprobado por unan</w:t>
      </w:r>
      <w:r>
        <w:t>i</w:t>
      </w:r>
      <w:r>
        <w:t>midad por el Parlamento de Grecia, introduce modificaciones sustanciales y esenciales en el Código Penal y establece penas sumamente severas para los autores de ese delito.</w:t>
      </w:r>
    </w:p>
    <w:p w:rsidR="00000000" w:rsidRDefault="00000000">
      <w:pPr>
        <w:pStyle w:val="SingleTxt"/>
        <w:tabs>
          <w:tab w:val="right" w:pos="1685"/>
        </w:tabs>
        <w:ind w:left="1742" w:hanging="475"/>
      </w:pPr>
      <w:r>
        <w:tab/>
        <w:t>•</w:t>
      </w:r>
      <w:r>
        <w:tab/>
        <w:t>El</w:t>
      </w:r>
      <w:r>
        <w:rPr>
          <w:i/>
        </w:rPr>
        <w:t xml:space="preserve"> </w:t>
      </w:r>
      <w:r>
        <w:t>Decreto Presidencial</w:t>
      </w:r>
      <w:r>
        <w:rPr>
          <w:i/>
        </w:rPr>
        <w:t xml:space="preserve"> </w:t>
      </w:r>
      <w:r>
        <w:t>233/2003 sobre la prestación de asistencia y prote</w:t>
      </w:r>
      <w:r>
        <w:t>c</w:t>
      </w:r>
      <w:r>
        <w:t>ción a las víctimas de la trata de seres humanos establece el marco jurídico n</w:t>
      </w:r>
      <w:r>
        <w:t>e</w:t>
      </w:r>
      <w:r>
        <w:t>cesario para prestar asistencia, proteger y atender a las víctimas de los delitos de proxenetismo, trata y comercio de seres humanos, abuso sexual de niños previo pago y comercio de esclavos. En particular, existen disposiciones para proteger la vida, la integridad física, y la libertad personal y sexual de las ví</w:t>
      </w:r>
      <w:r>
        <w:t>c</w:t>
      </w:r>
      <w:r>
        <w:t>timas. También se les facilita alojamiento, sustento, atención médica y ate</w:t>
      </w:r>
      <w:r>
        <w:t>n</w:t>
      </w:r>
      <w:r>
        <w:rPr>
          <w:spacing w:val="6"/>
        </w:rPr>
        <w:t>ción psicológica y se les garantizan asistencia letrada y los servicios de un in</w:t>
      </w:r>
      <w:r>
        <w:t>térprete.</w:t>
      </w:r>
    </w:p>
    <w:p w:rsidR="00000000" w:rsidRDefault="00000000">
      <w:pPr>
        <w:pStyle w:val="SingleTxt"/>
        <w:tabs>
          <w:tab w:val="right" w:pos="1685"/>
        </w:tabs>
        <w:ind w:left="1742" w:hanging="475"/>
      </w:pPr>
      <w:r>
        <w:tab/>
        <w:t>•</w:t>
      </w:r>
      <w:r>
        <w:tab/>
        <w:t>Una disposición legislativa reciente (el párrafo 7 del artículo 34 de la Ley 3274/2004) permite expedir permisos de residencia temporales, válidos ta</w:t>
      </w:r>
      <w:r>
        <w:t>m</w:t>
      </w:r>
      <w:r>
        <w:t>bién como permisos de trabajo, a los extranjeros en situación ilegal que denu</w:t>
      </w:r>
      <w:r>
        <w:t>n</w:t>
      </w:r>
      <w:r>
        <w:t>cian haber sido víctimas de traficantes y proxenetas. Los permisos mencion</w:t>
      </w:r>
      <w:r>
        <w:t>a</w:t>
      </w:r>
      <w:r>
        <w:t>dos se expiden por un período de seis meses y se prorrogan por otros seis hasta que un tribunal emita un fallo irrevocable acerca de su denuncia, previa su</w:t>
      </w:r>
      <w:r>
        <w:t>s</w:t>
      </w:r>
      <w:r>
        <w:t>pensión de la orden de deportación emitida por el Fiscal del Tribunal de Pr</w:t>
      </w:r>
      <w:r>
        <w:t>i</w:t>
      </w:r>
      <w:r>
        <w:t>mera Instancia y aprobada por el Fiscal General.</w:t>
      </w:r>
    </w:p>
    <w:p w:rsidR="00000000" w:rsidRDefault="00000000">
      <w:pPr>
        <w:pStyle w:val="SingleTxt"/>
        <w:tabs>
          <w:tab w:val="right" w:pos="1685"/>
        </w:tabs>
        <w:ind w:left="1742" w:hanging="475"/>
      </w:pPr>
      <w:r>
        <w:tab/>
        <w:t>•</w:t>
      </w:r>
      <w:r>
        <w:tab/>
        <w:t>En agosto de 2004 Grecia empezó a aplicar un programa integrado de medidas contra la trata de personas, basado en la coordinación de los ministerios co</w:t>
      </w:r>
      <w:r>
        <w:t>m</w:t>
      </w:r>
      <w:r>
        <w:t>petentes y que abarca toda la gama de medidas relacionadas con la trata. Este Programa ha sido preparado por un Comité Interministerial de Lucha contra la Trata de Seres Humanos, que se constituyó en 2004 al más alto nivel político por iniciativa del Ministerio de Justicia. En el contexto de este Programa, la Secretaria General para la Igualdad de Género del Ministerio del Interior, A</w:t>
      </w:r>
      <w:r>
        <w:t>d</w:t>
      </w:r>
      <w:r>
        <w:t>ministración Pública y Descentralización, en colaboración con la Organización de Empleo y Mano de Obra de Grecia y en el marco de programas comunes, busca un puesto de trabajo para las mujeres víctimas de la trata a las que se han concedido permisos de residencia temporales y permisos de trabajo en virtud del párrafo 7 del artículo 34 de la Ley 3274/2004.</w:t>
      </w:r>
    </w:p>
    <w:p w:rsidR="00000000" w:rsidRDefault="00000000">
      <w:pPr>
        <w:pStyle w:val="SingleTxt"/>
        <w:numPr>
          <w:ilvl w:val="0"/>
          <w:numId w:val="11"/>
        </w:numPr>
        <w:tabs>
          <w:tab w:val="clear" w:pos="475"/>
          <w:tab w:val="num" w:pos="1742"/>
        </w:tabs>
        <w:ind w:left="1267"/>
      </w:pPr>
      <w:r>
        <w:t>En el ámbito de la migración/nacionalidad:</w:t>
      </w:r>
    </w:p>
    <w:p w:rsidR="00000000" w:rsidRDefault="00000000">
      <w:pPr>
        <w:pStyle w:val="SingleTxt"/>
        <w:tabs>
          <w:tab w:val="right" w:pos="1685"/>
        </w:tabs>
        <w:ind w:left="1742" w:hanging="475"/>
      </w:pPr>
      <w:r>
        <w:tab/>
        <w:t>•</w:t>
      </w:r>
      <w:r>
        <w:tab/>
        <w:t>En 2002, la Secretaría General para la Igualdad de Género y la Oficina del Alto Comisionado de las Naciones Unidas para los Refugiados en Grecia fi</w:t>
      </w:r>
      <w:r>
        <w:t>r</w:t>
      </w:r>
      <w:r>
        <w:t>maron un memorando de cooperación en un esfuerzo conjunto por promover los derechos de las mujeres y las niñas a las que se ha ofrecido asilo o que han solicitado asilo o a las que se ha concedido la condición de refugiadas en Gr</w:t>
      </w:r>
      <w:r>
        <w:t>e</w:t>
      </w:r>
      <w:r>
        <w:t>cia por motivos humanitarios de conformidad con el Convenio de Ginebra de 1951 y el Decreto Presidencial 61/1999. Como resultado de esta actuación c</w:t>
      </w:r>
      <w:r>
        <w:t>o</w:t>
      </w:r>
      <w:r>
        <w:t>ordinada, el Jefe de la Policía de Grecia ha publicado una circular sobre las condiciones de detención de las personas que solicitan asilo en la que se hace especial referencia al trato que deben recibir las mujeres detenidas.</w:t>
      </w:r>
    </w:p>
    <w:p w:rsidR="00000000" w:rsidRDefault="00000000">
      <w:pPr>
        <w:pStyle w:val="SingleTxt"/>
        <w:tabs>
          <w:tab w:val="right" w:pos="1685"/>
        </w:tabs>
        <w:ind w:left="1742" w:hanging="475"/>
      </w:pPr>
      <w:r>
        <w:tab/>
        <w:t>•</w:t>
      </w:r>
      <w:r>
        <w:tab/>
        <w:t>Desde 2001, las instituciones del Estado, la Oficina del Alto Comisionado de las Naciones Unidas en Grecia y las organizaciones gubernamentales aplican programas de asistencia las mujeres solicitantes de asilo, las mujeres inm</w:t>
      </w:r>
      <w:r>
        <w:t>i</w:t>
      </w:r>
      <w:r>
        <w:t xml:space="preserve">grantes y las mujeres pertenecientes a grupos vulnerables. </w:t>
      </w:r>
    </w:p>
    <w:p w:rsidR="00000000" w:rsidRDefault="00000000">
      <w:pPr>
        <w:pStyle w:val="SingleTxt"/>
        <w:tabs>
          <w:tab w:val="right" w:pos="1685"/>
        </w:tabs>
        <w:ind w:left="1742" w:hanging="475"/>
      </w:pPr>
      <w:r>
        <w:tab/>
        <w:t>•</w:t>
      </w:r>
      <w:r>
        <w:tab/>
        <w:t>El nuevo Código de la Ciudadanía de Grecia (Ley 3284/2004) elimina todas las formas de discriminación contra los hijos de mujeres griegas o extranjeras.</w:t>
      </w:r>
    </w:p>
    <w:p w:rsidR="00000000" w:rsidRDefault="00000000">
      <w:pPr>
        <w:pStyle w:val="SingleTxt"/>
        <w:numPr>
          <w:ilvl w:val="0"/>
          <w:numId w:val="11"/>
        </w:numPr>
        <w:tabs>
          <w:tab w:val="clear" w:pos="475"/>
          <w:tab w:val="num" w:pos="1742"/>
        </w:tabs>
        <w:ind w:left="1267"/>
      </w:pPr>
      <w:r>
        <w:t>En el ámbito de la enseñanza y la educación de la familia:</w:t>
      </w:r>
    </w:p>
    <w:p w:rsidR="00000000" w:rsidRDefault="00000000">
      <w:pPr>
        <w:pStyle w:val="SingleTxt"/>
        <w:tabs>
          <w:tab w:val="right" w:pos="1685"/>
        </w:tabs>
        <w:ind w:left="1742" w:hanging="475"/>
      </w:pPr>
      <w:r>
        <w:tab/>
        <w:t>•</w:t>
      </w:r>
      <w:r>
        <w:tab/>
        <w:t>La lucha contra los estereotipos sobre el papel de los sexos ha sido prioritaria tanto en el Plan Nacional de Acción del periodo anterior como en las Priorid</w:t>
      </w:r>
      <w:r>
        <w:t>a</w:t>
      </w:r>
      <w:r>
        <w:t>des Políticas Nacionales para 2004-2008. Se han tomado, en las esferas de la educación, la cultura y todas las expresiones de la vida, medidas especiales destinadas a mejorar la sensibilización de la opinión pública, en particular con respecto a los estereotipos que propagan los medios de comunicación. Se ha hecho hincapié en la lucha contra los conceptos estereotipados a lo largo del proceso educativo, especialmente en la enseñanza primaria y los libros de texto, en la mejora de las bibliotecas y en la redefinición de la orientación pr</w:t>
      </w:r>
      <w:r>
        <w:t>o</w:t>
      </w:r>
      <w:r>
        <w:t>fesional en las escuelas.</w:t>
      </w:r>
    </w:p>
    <w:p w:rsidR="00000000" w:rsidRDefault="00000000">
      <w:pPr>
        <w:pStyle w:val="SingleTxt"/>
        <w:tabs>
          <w:tab w:val="right" w:pos="1685"/>
        </w:tabs>
        <w:ind w:left="1742" w:hanging="475"/>
      </w:pPr>
      <w:r>
        <w:tab/>
        <w:t>•</w:t>
      </w:r>
      <w:r>
        <w:tab/>
        <w:t>Se han creado escuelas primarias y jardines de infancia que funcionan durante todo el día con el fin de permitir a las mujeres conciliar la vida familiar con la vida laboral. Actualmente hay 3.964 escuelas primarias y 2.169 jardines de i</w:t>
      </w:r>
      <w:r>
        <w:t>n</w:t>
      </w:r>
      <w:r>
        <w:t>fancia con hor</w:t>
      </w:r>
      <w:r>
        <w:t>a</w:t>
      </w:r>
      <w:r>
        <w:t xml:space="preserve">rio prolongado. </w:t>
      </w:r>
    </w:p>
    <w:p w:rsidR="00000000" w:rsidRDefault="00000000">
      <w:pPr>
        <w:pStyle w:val="SingleTxt"/>
        <w:numPr>
          <w:ilvl w:val="0"/>
          <w:numId w:val="11"/>
        </w:numPr>
        <w:tabs>
          <w:tab w:val="clear" w:pos="475"/>
          <w:tab w:val="num" w:pos="1742"/>
        </w:tabs>
        <w:ind w:left="1267"/>
      </w:pPr>
      <w:r>
        <w:t>En el ámbito de la participación de las mujeres en los centros de adopción de dec</w:t>
      </w:r>
      <w:r>
        <w:t>i</w:t>
      </w:r>
      <w:r>
        <w:t>siones:</w:t>
      </w:r>
    </w:p>
    <w:p w:rsidR="00000000" w:rsidRDefault="00000000">
      <w:pPr>
        <w:pStyle w:val="SingleTxt"/>
        <w:tabs>
          <w:tab w:val="right" w:pos="1685"/>
        </w:tabs>
        <w:ind w:left="1742" w:hanging="475"/>
      </w:pPr>
      <w:r>
        <w:tab/>
        <w:t>•</w:t>
      </w:r>
      <w:r>
        <w:tab/>
        <w:t>La</w:t>
      </w:r>
      <w:r>
        <w:rPr>
          <w:i/>
        </w:rPr>
        <w:t xml:space="preserve"> </w:t>
      </w:r>
      <w:r>
        <w:t>Ley 2839/2000 prevé la participación de una cuota de al menos un tercio de cada uno de los sexos en las juntas de los departamentos y los órganos colect</w:t>
      </w:r>
      <w:r>
        <w:t>i</w:t>
      </w:r>
      <w:r>
        <w:t>vos de las organizaciones públicas y las organizaciones de la administración local (OTA).</w:t>
      </w:r>
    </w:p>
    <w:p w:rsidR="00000000" w:rsidRDefault="00000000">
      <w:pPr>
        <w:pStyle w:val="SingleTxt"/>
        <w:tabs>
          <w:tab w:val="right" w:pos="1685"/>
        </w:tabs>
        <w:ind w:left="1742" w:hanging="475"/>
      </w:pPr>
      <w:r>
        <w:tab/>
        <w:t>•</w:t>
      </w:r>
      <w:r>
        <w:tab/>
        <w:t>La</w:t>
      </w:r>
      <w:r>
        <w:rPr>
          <w:i/>
        </w:rPr>
        <w:t xml:space="preserve"> </w:t>
      </w:r>
      <w:r>
        <w:t>Ley 2910/2001 prevé la participación de una cuota de un tercio de cada uno de los sexos en las listas electorales para las elecciones municipales y de las pr</w:t>
      </w:r>
      <w:r>
        <w:t>e</w:t>
      </w:r>
      <w:r>
        <w:t>fecturas.</w:t>
      </w:r>
    </w:p>
    <w:p w:rsidR="00000000" w:rsidRDefault="00000000">
      <w:pPr>
        <w:pStyle w:val="SingleTxt"/>
        <w:numPr>
          <w:ilvl w:val="0"/>
          <w:numId w:val="11"/>
        </w:numPr>
        <w:tabs>
          <w:tab w:val="clear" w:pos="475"/>
          <w:tab w:val="num" w:pos="1742"/>
        </w:tabs>
        <w:ind w:left="1267"/>
      </w:pPr>
      <w:r>
        <w:t>Para el próximo periodo (2004-2008), el Gobierno de Grecia ha adoptado un enfoque estratégico integrado destinado a la reflejar tanto la importancia nacional como la dimensión supranacional de las cuestiones relacionadas con la igualdad de género. En la situación actual, esos dos parámetros hacen de la promoción de esas cuestiones una prioridad nacional, que está por encima de las diferencias políticas. El principal objetivo de esta actuación es separar las cuestiones relacionadas con la igualdad de género de la categoría de cuestiones marginales y “especiales” y subr</w:t>
      </w:r>
      <w:r>
        <w:t>a</w:t>
      </w:r>
      <w:r>
        <w:t>yar su carácter político, económico, social y de desarrollo a través de su conexión directa con las prioridades nacionales vigentes (desarrollo, empleo, cohesión social). El logro de este objetivo requiere que se comprenda cabalmente el hecho de que las mujeres, que representan más de la mitad de la población de Grecia (52%), se e</w:t>
      </w:r>
      <w:r>
        <w:t>n</w:t>
      </w:r>
      <w:r>
        <w:t>frentan a graves obstáculos para poder integrarse económica y s</w:t>
      </w:r>
      <w:r>
        <w:t>o</w:t>
      </w:r>
      <w:r>
        <w:t>cialmente.</w:t>
      </w:r>
    </w:p>
    <w:p w:rsidR="00000000" w:rsidRDefault="00000000">
      <w:pPr>
        <w:pStyle w:val="SingleTxt"/>
        <w:tabs>
          <w:tab w:val="clear" w:pos="1742"/>
        </w:tabs>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 xml:space="preserve">Introducción </w:t>
            </w:r>
            <w:r>
              <w:br/>
            </w:r>
            <w:r>
              <w:tab/>
            </w:r>
            <w:r>
              <w:tab/>
              <w:t>Prioridades de la política nacional y ejes de acción para promover la igualdad de género</w:t>
            </w:r>
            <w:r>
              <w:rPr>
                <w:spacing w:val="60"/>
                <w:sz w:val="17"/>
              </w:rPr>
              <w:tab/>
            </w:r>
          </w:p>
        </w:tc>
        <w:tc>
          <w:tcPr>
            <w:tcW w:w="792" w:type="dxa"/>
            <w:vAlign w:val="bottom"/>
          </w:tcPr>
          <w:p w:rsidR="00000000" w:rsidRDefault="00000000">
            <w:pPr>
              <w:spacing w:after="120"/>
              <w:ind w:right="43"/>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 y 2</w:t>
            </w:r>
            <w:r>
              <w:rPr>
                <w:spacing w:val="60"/>
                <w:sz w:val="17"/>
              </w:rPr>
              <w:tab/>
            </w:r>
          </w:p>
        </w:tc>
        <w:tc>
          <w:tcPr>
            <w:tcW w:w="792" w:type="dxa"/>
            <w:vAlign w:val="bottom"/>
          </w:tcPr>
          <w:p w:rsidR="00000000" w:rsidRDefault="00000000">
            <w:pPr>
              <w:spacing w:after="120"/>
              <w:ind w:right="43"/>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ab/>
            </w:r>
            <w:r>
              <w:tab/>
              <w:t>Artículo 3</w:t>
            </w:r>
          </w:p>
        </w:tc>
        <w:tc>
          <w:tcPr>
            <w:tcW w:w="792" w:type="dxa"/>
            <w:vAlign w:val="bottom"/>
          </w:tcPr>
          <w:p w:rsidR="00000000" w:rsidRDefault="00000000">
            <w:pPr>
              <w:spacing w:after="120"/>
              <w:ind w:right="43"/>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4</w:t>
            </w:r>
            <w:r>
              <w:rPr>
                <w:spacing w:val="60"/>
                <w:sz w:val="17"/>
              </w:rPr>
              <w:tab/>
            </w:r>
          </w:p>
        </w:tc>
        <w:tc>
          <w:tcPr>
            <w:tcW w:w="792" w:type="dxa"/>
            <w:vAlign w:val="bottom"/>
          </w:tcPr>
          <w:p w:rsidR="00000000" w:rsidRDefault="00000000">
            <w:pPr>
              <w:spacing w:after="120"/>
              <w:ind w:right="43"/>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5</w:t>
            </w:r>
            <w:r>
              <w:rPr>
                <w:spacing w:val="60"/>
                <w:sz w:val="17"/>
              </w:rPr>
              <w:tab/>
            </w:r>
          </w:p>
        </w:tc>
        <w:tc>
          <w:tcPr>
            <w:tcW w:w="792" w:type="dxa"/>
            <w:vAlign w:val="bottom"/>
          </w:tcPr>
          <w:p w:rsidR="00000000" w:rsidRDefault="00000000">
            <w:pPr>
              <w:spacing w:after="120"/>
              <w:ind w:right="43"/>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6</w:t>
            </w:r>
            <w:r>
              <w:rPr>
                <w:spacing w:val="60"/>
                <w:sz w:val="17"/>
              </w:rPr>
              <w:tab/>
            </w:r>
          </w:p>
        </w:tc>
        <w:tc>
          <w:tcPr>
            <w:tcW w:w="792" w:type="dxa"/>
            <w:vAlign w:val="bottom"/>
          </w:tcPr>
          <w:p w:rsidR="00000000" w:rsidRDefault="00000000">
            <w:pPr>
              <w:spacing w:after="120"/>
              <w:ind w:right="43"/>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7</w:t>
            </w:r>
            <w:r>
              <w:rPr>
                <w:spacing w:val="60"/>
                <w:sz w:val="17"/>
              </w:rPr>
              <w:tab/>
            </w:r>
          </w:p>
        </w:tc>
        <w:tc>
          <w:tcPr>
            <w:tcW w:w="792" w:type="dxa"/>
            <w:vAlign w:val="bottom"/>
          </w:tcPr>
          <w:p w:rsidR="00000000" w:rsidRDefault="00000000">
            <w:pPr>
              <w:spacing w:after="120"/>
              <w:ind w:right="43"/>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8</w:t>
            </w:r>
            <w:r>
              <w:rPr>
                <w:spacing w:val="60"/>
                <w:sz w:val="17"/>
              </w:rPr>
              <w:tab/>
            </w:r>
          </w:p>
        </w:tc>
        <w:tc>
          <w:tcPr>
            <w:tcW w:w="792" w:type="dxa"/>
            <w:vAlign w:val="bottom"/>
          </w:tcPr>
          <w:p w:rsidR="00000000" w:rsidRDefault="00000000">
            <w:pPr>
              <w:spacing w:after="120"/>
              <w:ind w:right="43"/>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9</w:t>
            </w:r>
            <w:r>
              <w:rPr>
                <w:spacing w:val="60"/>
                <w:sz w:val="17"/>
              </w:rPr>
              <w:tab/>
            </w:r>
          </w:p>
        </w:tc>
        <w:tc>
          <w:tcPr>
            <w:tcW w:w="792" w:type="dxa"/>
            <w:vAlign w:val="bottom"/>
          </w:tcPr>
          <w:p w:rsidR="00000000" w:rsidRDefault="00000000">
            <w:pPr>
              <w:spacing w:after="120"/>
              <w:ind w:right="43"/>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Artículo 10 </w:t>
            </w:r>
            <w:r>
              <w:rPr>
                <w:spacing w:val="60"/>
                <w:sz w:val="17"/>
              </w:rPr>
              <w:tab/>
            </w:r>
          </w:p>
        </w:tc>
        <w:tc>
          <w:tcPr>
            <w:tcW w:w="792" w:type="dxa"/>
            <w:vAlign w:val="bottom"/>
          </w:tcPr>
          <w:p w:rsidR="00000000" w:rsidRDefault="00000000">
            <w:pPr>
              <w:spacing w:after="120"/>
              <w:ind w:right="43"/>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11</w:t>
            </w:r>
            <w:r>
              <w:rPr>
                <w:spacing w:val="60"/>
                <w:sz w:val="17"/>
              </w:rPr>
              <w:tab/>
            </w:r>
          </w:p>
        </w:tc>
        <w:tc>
          <w:tcPr>
            <w:tcW w:w="792" w:type="dxa"/>
            <w:vAlign w:val="bottom"/>
          </w:tcPr>
          <w:p w:rsidR="00000000" w:rsidRDefault="00000000">
            <w:pPr>
              <w:spacing w:after="120"/>
              <w:ind w:right="43"/>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12</w:t>
            </w:r>
            <w:r>
              <w:rPr>
                <w:spacing w:val="60"/>
                <w:sz w:val="17"/>
              </w:rPr>
              <w:tab/>
            </w:r>
          </w:p>
        </w:tc>
        <w:tc>
          <w:tcPr>
            <w:tcW w:w="792" w:type="dxa"/>
            <w:vAlign w:val="bottom"/>
          </w:tcPr>
          <w:p w:rsidR="00000000" w:rsidRDefault="00000000">
            <w:pPr>
              <w:spacing w:after="120"/>
              <w:ind w:right="43"/>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14</w:t>
            </w:r>
            <w:r>
              <w:rPr>
                <w:spacing w:val="60"/>
                <w:sz w:val="17"/>
              </w:rPr>
              <w:tab/>
            </w:r>
          </w:p>
        </w:tc>
        <w:tc>
          <w:tcPr>
            <w:tcW w:w="792" w:type="dxa"/>
            <w:vAlign w:val="bottom"/>
          </w:tcPr>
          <w:p w:rsidR="00000000" w:rsidRDefault="00000000">
            <w:pPr>
              <w:spacing w:after="120"/>
              <w:ind w:right="43"/>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rPr>
                <w:spacing w:val="60"/>
                <w:sz w:val="17"/>
              </w:rPr>
              <w:tab/>
            </w:r>
            <w:r>
              <w:rPr>
                <w:spacing w:val="60"/>
                <w:sz w:val="17"/>
              </w:rPr>
              <w:tab/>
            </w:r>
            <w:r>
              <w:t>Anexo A (artículo 5)</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b/>
                <w:spacing w:val="60"/>
                <w:sz w:val="17"/>
              </w:rPr>
            </w:pPr>
            <w:r>
              <w:rPr>
                <w:spacing w:val="60"/>
                <w:sz w:val="17"/>
              </w:rPr>
              <w:tab/>
            </w:r>
            <w:r>
              <w:rPr>
                <w:spacing w:val="60"/>
                <w:sz w:val="17"/>
              </w:rPr>
              <w:tab/>
            </w:r>
            <w:r>
              <w:t>Anexo B (artículo 6)</w:t>
            </w:r>
            <w:r>
              <w:rPr>
                <w:spacing w:val="60"/>
                <w:sz w:val="17"/>
              </w:rPr>
              <w:tab/>
            </w:r>
            <w:r>
              <w:rPr>
                <w:b/>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rPr>
                <w:spacing w:val="60"/>
                <w:sz w:val="17"/>
              </w:rPr>
              <w:tab/>
            </w:r>
            <w:r>
              <w:rPr>
                <w:spacing w:val="60"/>
                <w:sz w:val="17"/>
              </w:rPr>
              <w:tab/>
            </w:r>
            <w:r>
              <w:t>Anexo C (artículo 7)</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rPr>
                <w:spacing w:val="60"/>
                <w:sz w:val="17"/>
              </w:rPr>
              <w:tab/>
            </w:r>
            <w:r>
              <w:rPr>
                <w:spacing w:val="60"/>
                <w:sz w:val="17"/>
              </w:rPr>
              <w:tab/>
            </w:r>
            <w:r>
              <w:t>Anexo D (artículo 10)</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rPr>
                <w:spacing w:val="60"/>
                <w:sz w:val="17"/>
              </w:rPr>
              <w:tab/>
            </w:r>
            <w:r>
              <w:rPr>
                <w:spacing w:val="60"/>
                <w:sz w:val="17"/>
              </w:rPr>
              <w:tab/>
            </w:r>
            <w:r>
              <w:t>Anexo E (artículo 11)</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rPr>
                <w:spacing w:val="60"/>
                <w:sz w:val="17"/>
              </w:rPr>
              <w:tab/>
            </w:r>
            <w:r>
              <w:rPr>
                <w:spacing w:val="60"/>
                <w:sz w:val="17"/>
              </w:rPr>
              <w:tab/>
            </w:r>
            <w:r>
              <w:t>Anexo F (artículo 12)</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rPr>
                <w:spacing w:val="60"/>
                <w:sz w:val="17"/>
              </w:rPr>
              <w:tab/>
            </w:r>
            <w:r>
              <w:rPr>
                <w:spacing w:val="60"/>
                <w:sz w:val="17"/>
              </w:rPr>
              <w:tab/>
            </w:r>
            <w:r>
              <w:t>Anexo G (artículo 14)</w:t>
            </w:r>
            <w:r>
              <w:rPr>
                <w:spacing w:val="60"/>
                <w:sz w:val="17"/>
              </w:rPr>
              <w:tab/>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rPr>
                <w:spacing w:val="60"/>
                <w:sz w:val="17"/>
              </w:rPr>
              <w:tab/>
            </w:r>
            <w:r>
              <w:t>Apéndice</w:t>
            </w: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right="43" w:hanging="1296"/>
              <w:jc w:val="right"/>
            </w:pPr>
          </w:p>
        </w:tc>
      </w:tr>
    </w:tbl>
    <w:p w:rsidR="00000000" w:rsidRDefault="00000000">
      <w:pPr>
        <w:pStyle w:val="SingleTxt"/>
      </w:pPr>
      <w:r>
        <w:rPr>
          <w:i/>
        </w:rPr>
        <w:t>Nota</w:t>
      </w:r>
      <w:r>
        <w:t xml:space="preserve"> </w:t>
      </w:r>
      <w:r>
        <w:rPr>
          <w:i/>
        </w:rPr>
        <w:t>de la Secretaría</w:t>
      </w:r>
      <w:r>
        <w:t>: los anexos y apéndices al presente informe se distribuirán a los miembros del Comité en el idioma en el que se han recibido.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Prioridades de la Política Nacional y ejes de acción para promover la igualdad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(2004-2008)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 xml:space="preserve">Desarrollo de una nueva estrategia política </w:t>
      </w:r>
    </w:p>
    <w:p w:rsidR="00000000" w:rsidRDefault="00000000">
      <w:pPr>
        <w:spacing w:line="120" w:lineRule="exact"/>
        <w:rPr>
          <w:sz w:val="10"/>
        </w:rPr>
      </w:pPr>
    </w:p>
    <w:p w:rsidR="00000000" w:rsidRDefault="00000000">
      <w:pPr>
        <w:pStyle w:val="SingleTxt"/>
        <w:numPr>
          <w:ilvl w:val="0"/>
          <w:numId w:val="16"/>
        </w:numPr>
        <w:tabs>
          <w:tab w:val="left" w:pos="1742"/>
        </w:tabs>
      </w:pPr>
      <w:r>
        <w:t>Tras el cambio de régimen político que tuvo lugar en Grecia en 1974 se han realizado importantes adelantos en la esfera de la igualdad de género. La Constit</w:t>
      </w:r>
      <w:r>
        <w:t>u</w:t>
      </w:r>
      <w:r>
        <w:t>ción de 1975 ha hecho a ese respecto una contribución innegable, ya que garantiza por primera vez el principio de la igualdad de género (párrafo 2 del artículo 4) como una de las facetas del principio general de igualdad. Esta disposición permite pr</w:t>
      </w:r>
      <w:r>
        <w:t>o</w:t>
      </w:r>
      <w:r>
        <w:t>mover la igualdad de trato entre hombres y mujeres en los distintos ámbitos legisl</w:t>
      </w:r>
      <w:r>
        <w:t>a</w:t>
      </w:r>
      <w:r>
        <w:t>tivos en relación con la familia, la educación, las relaciones laborales y la seguridad social. La disposición que se recoge en el párrafo 2 del artículo 116, que se aprobó en el marco de la revisión constitucional del 2001, supuso un paso importante hacia la igualdad de género (de facto) existente actualmente. Con esa disposición se s</w:t>
      </w:r>
      <w:r>
        <w:t>u</w:t>
      </w:r>
      <w:r>
        <w:t>primen todas las desviaciones del principio de la igualdad de género y se establece la responsabilidad del Estado de adoptar medidas positivas especiales para suprimir cualquier forma de discriminación contra la mujer.</w:t>
      </w:r>
    </w:p>
    <w:p w:rsidR="00000000" w:rsidRDefault="00000000">
      <w:pPr>
        <w:pStyle w:val="SingleTxt"/>
      </w:pPr>
      <w:r>
        <w:tab/>
        <w:t>Este acontecimiento, en cuyo logro han intervenido activamente las organiz</w:t>
      </w:r>
      <w:r>
        <w:t>a</w:t>
      </w:r>
      <w:r>
        <w:t>ciones griegas de mujeres, ha situado a Grecia al nivel exigido por la comunidad internacional y la Comunidad Europea. Ello le ha permitido reforzar la posición de los órganos internacionales de que la aplicación del principio de la igualdad de g</w:t>
      </w:r>
      <w:r>
        <w:t>é</w:t>
      </w:r>
      <w:r>
        <w:t>nero mediante el fomento de la igualdad de oportunidades constituye la actualiz</w:t>
      </w:r>
      <w:r>
        <w:t>a</w:t>
      </w:r>
      <w:r>
        <w:t>ción de los derechos sociales y del principio del Estado social, de conformidad con el re</w:t>
      </w:r>
      <w:r>
        <w:t>s</w:t>
      </w:r>
      <w:r>
        <w:t xml:space="preserve">peto y la protección de los derechos humanos. </w:t>
      </w:r>
    </w:p>
    <w:p w:rsidR="00000000" w:rsidRDefault="00000000">
      <w:pPr>
        <w:pStyle w:val="SingleTxt"/>
      </w:pPr>
      <w:r>
        <w:tab/>
        <w:t>A nivel europeo, las disposiciones del proyecto de Tratado Constitucional de la Unión Europea refuerzan institucionalmente la igualdad, considerada por la Unión un valor primordial, mientras que, concretamente, la promoción de la igualdad de género sigue siendo uno de los objetivos establecidos por la Unión en el Tratado de Amsterdam. Una de las innovaciones más significativas de la Constitución europea es que incorpora a sus disposiciones la Carta de Derechos Fundamentales de la Unión Europea como instrumento jurídicamente vinculante para las instituciones y los órganos de la Unión y para sus Estados miembros, con lo que contribuye a pr</w:t>
      </w:r>
      <w:r>
        <w:t>o</w:t>
      </w:r>
      <w:r>
        <w:t>mover sustancialmente los derechos de la mujer. Además, la dimensión horizontal de la igualdad de género y la eliminación de la discriminación por motivos de sexo, que se han reflejado en la adopción y la aplicación de todas las políticas de la Unión, se consagran ahora en la Constitución.</w:t>
      </w:r>
    </w:p>
    <w:p w:rsidR="00000000" w:rsidRDefault="00000000">
      <w:pPr>
        <w:pStyle w:val="SingleTxt"/>
        <w:numPr>
          <w:ilvl w:val="0"/>
          <w:numId w:val="16"/>
        </w:numPr>
      </w:pPr>
      <w:r>
        <w:t>El Plan Nacional de Acción para Promover la Igualdad 2001-2006 se aplicó en el periodo 2001-2004 (hasta marzo del 2004, fecha en que se produjo un cambio de Gobierno). El principal objetivo del Plan era modernizar las pautas sociales a fin de aprovechar plenamente todos los recursos humanos y de eliminar cualquier forma de discriminación contra la mujer. El instrumento principal para la aplicación del pri</w:t>
      </w:r>
      <w:r>
        <w:t>n</w:t>
      </w:r>
      <w:r>
        <w:t>cipio de igualdad de género es la incorporación de una perspectiva de género.</w:t>
      </w:r>
    </w:p>
    <w:p w:rsidR="00000000" w:rsidRDefault="00000000">
      <w:pPr>
        <w:pStyle w:val="SingleTxt"/>
      </w:pPr>
      <w:r>
        <w:tab/>
        <w:t>Los principales ejes de ese Plan han sido los siguientes:</w:t>
      </w:r>
    </w:p>
    <w:p w:rsidR="00000000" w:rsidRDefault="00000000">
      <w:pPr>
        <w:pStyle w:val="SingleTxt"/>
        <w:tabs>
          <w:tab w:val="right" w:pos="1685"/>
        </w:tabs>
        <w:ind w:left="1742" w:hanging="475"/>
      </w:pPr>
      <w:r>
        <w:tab/>
        <w:t>•</w:t>
      </w:r>
      <w:r>
        <w:tab/>
        <w:t>Igualdad de género en la vida económica;</w:t>
      </w:r>
    </w:p>
    <w:p w:rsidR="00000000" w:rsidRDefault="00000000">
      <w:pPr>
        <w:pStyle w:val="SingleTxt"/>
        <w:tabs>
          <w:tab w:val="right" w:pos="1685"/>
        </w:tabs>
        <w:ind w:left="1742" w:hanging="475"/>
      </w:pPr>
      <w:r>
        <w:tab/>
        <w:t>•</w:t>
      </w:r>
      <w:r>
        <w:tab/>
        <w:t>Igualdad en la participación y la representación en los sectores político, social y económico;</w:t>
      </w:r>
    </w:p>
    <w:p w:rsidR="00000000" w:rsidRDefault="00000000">
      <w:pPr>
        <w:pStyle w:val="SingleTxt"/>
        <w:tabs>
          <w:tab w:val="right" w:pos="1685"/>
        </w:tabs>
        <w:ind w:left="1742" w:hanging="475"/>
      </w:pPr>
      <w:r>
        <w:tab/>
        <w:t>•</w:t>
      </w:r>
      <w:r>
        <w:tab/>
        <w:t>Igualdad de acceso al ejercicio de los derechos sociales para hombres y muj</w:t>
      </w:r>
      <w:r>
        <w:t>e</w:t>
      </w:r>
      <w:r>
        <w:t>res;</w:t>
      </w:r>
    </w:p>
    <w:p w:rsidR="00000000" w:rsidRDefault="00000000">
      <w:pPr>
        <w:pStyle w:val="SingleTxt"/>
        <w:tabs>
          <w:tab w:val="right" w:pos="1685"/>
        </w:tabs>
        <w:ind w:left="1742" w:hanging="475"/>
      </w:pPr>
      <w:r>
        <w:tab/>
        <w:t>•</w:t>
      </w:r>
      <w:r>
        <w:tab/>
        <w:t xml:space="preserve">Cambio de los roles y estereotipos de género. </w:t>
      </w:r>
    </w:p>
    <w:p w:rsidR="00000000" w:rsidRDefault="00000000">
      <w:pPr>
        <w:pStyle w:val="SingleTxt"/>
      </w:pPr>
      <w:r>
        <w:tab/>
        <w:t>Las políticas que se han aprobado y las medidas y actuaciones que se han pr</w:t>
      </w:r>
      <w:r>
        <w:t>o</w:t>
      </w:r>
      <w:r>
        <w:t>movido durante el período al que se refiere el presente informe han sido el resultado de la aplicación del Plan mencionado.</w:t>
      </w:r>
    </w:p>
    <w:p w:rsidR="00000000" w:rsidRDefault="00000000">
      <w:pPr>
        <w:pStyle w:val="SingleTxt"/>
        <w:numPr>
          <w:ilvl w:val="0"/>
          <w:numId w:val="16"/>
        </w:numPr>
      </w:pPr>
      <w:r>
        <w:t>Para el próximo periodo (2004-2008), Grecia ha empezado a preparar una i</w:t>
      </w:r>
      <w:r>
        <w:t>n</w:t>
      </w:r>
      <w:r>
        <w:t>tervención estratégica integrada destinada a destacar tanto la importancia a nivel n</w:t>
      </w:r>
      <w:r>
        <w:t>a</w:t>
      </w:r>
      <w:r>
        <w:t>cional como la dimensión supranacional de las cuestiones relacionadas con la igua</w:t>
      </w:r>
      <w:r>
        <w:t>l</w:t>
      </w:r>
      <w:r>
        <w:t>dad de género. En la situación actual, esos dos parámetros hacen de la promoción de </w:t>
      </w:r>
      <w:r>
        <w:rPr>
          <w:spacing w:val="6"/>
        </w:rPr>
        <w:t>esas cuestiones una prioridad nacional que está por encima de las diferencias po</w:t>
      </w:r>
      <w:r>
        <w:t>lít</w:t>
      </w:r>
      <w:r>
        <w:t>i</w:t>
      </w:r>
      <w:r>
        <w:t>cas.</w:t>
      </w:r>
    </w:p>
    <w:p w:rsidR="00000000" w:rsidRDefault="00000000">
      <w:pPr>
        <w:pStyle w:val="SingleTxt"/>
      </w:pPr>
      <w:r>
        <w:tab/>
        <w:t>El principal objetivo de esta intervención es separar las cuestiones relacion</w:t>
      </w:r>
      <w:r>
        <w:t>a</w:t>
      </w:r>
      <w:r>
        <w:t>das con la igualdad de género de la categoría de cuestiones marginales y “especi</w:t>
      </w:r>
      <w:r>
        <w:t>a</w:t>
      </w:r>
      <w:r>
        <w:t>les” y poner de manifiesto su carácter político, económico y de desarrollo a través de su conexión con las prioridades nacionales vigentes (desarrollo, empleo, coh</w:t>
      </w:r>
      <w:r>
        <w:t>e</w:t>
      </w:r>
      <w:r>
        <w:t>sión social). Para alcanzar este objetivo es preciso comprender cabalmente el hecho de que las mujeres, que representan más de la mitad de la población de Grecia (52%), se enfrentan a graves obstáculos para su integración social y económica. Por consiguiente, no resulta aceptable considerarlas, por lo que respecta a la adopción de políticas, como una categoría “especial” o “vulnerable”, calificativos que las r</w:t>
      </w:r>
      <w:r>
        <w:t>e</w:t>
      </w:r>
      <w:r>
        <w:t>presentan equivocadamente como un grupo minoritario y desfavorecido. Habida cuenta de que las mujeres constituyen la mayoría de la población de Grecia, se co</w:t>
      </w:r>
      <w:r>
        <w:t>n</w:t>
      </w:r>
      <w:r>
        <w:t>sidera necesario intensificar la adopción de medidas encaminadas a proporcionar servicios a las ci</w:t>
      </w:r>
      <w:r>
        <w:t>u</w:t>
      </w:r>
      <w:r>
        <w:t xml:space="preserve">dadanas griegas. </w:t>
      </w:r>
    </w:p>
    <w:p w:rsidR="00000000" w:rsidRDefault="00000000">
      <w:pPr>
        <w:pStyle w:val="SingleTxt"/>
        <w:numPr>
          <w:ilvl w:val="0"/>
          <w:numId w:val="16"/>
        </w:numPr>
      </w:pPr>
      <w:r>
        <w:t>En Grecia las cuestiones de la igualdad de género se abordan fundamenta</w:t>
      </w:r>
      <w:r>
        <w:t>l</w:t>
      </w:r>
      <w:r>
        <w:t>mente desde el punto de vista de los derechos civiles y sociales, que sin duda con</w:t>
      </w:r>
      <w:r>
        <w:t>s</w:t>
      </w:r>
      <w:r>
        <w:t>tituyen una dimensión importante. Sin embargo, no se ha prestado suficiente ate</w:t>
      </w:r>
      <w:r>
        <w:t>n</w:t>
      </w:r>
      <w:r>
        <w:t>ción a la dimensión política y económica de esas cuestiones, que aporta nuevos a</w:t>
      </w:r>
      <w:r>
        <w:t>r</w:t>
      </w:r>
      <w:r>
        <w:t>gumentos en favor de la necesidad de promover esos derechos.</w:t>
      </w:r>
    </w:p>
    <w:p w:rsidR="00000000" w:rsidRDefault="00000000">
      <w:pPr>
        <w:pStyle w:val="SingleTxt"/>
        <w:numPr>
          <w:ilvl w:val="0"/>
          <w:numId w:val="16"/>
        </w:numPr>
      </w:pPr>
      <w:r>
        <w:rPr>
          <w:i/>
        </w:rPr>
        <w:t>La dimensión política</w:t>
      </w:r>
    </w:p>
    <w:p w:rsidR="00000000" w:rsidRDefault="00000000">
      <w:pPr>
        <w:pStyle w:val="SingleTxt"/>
      </w:pPr>
      <w:r>
        <w:tab/>
        <w:t>Hoy en día es fácil entender que las cuestiones de la igualdad son cuestiones políticas por excelencia, que forman parte del orden del día de la Unión Europea y de todas las organizaciones internacionales, como las Naciones Unidas, el Consejo de Europa y la Organización Internacional del Trabajo. Desde el punto de vista de los derechos de la mujer como parte integrante de los derechos humanos, la cuestión de la igualdad sirve de base para establecer indicadores internacionales que perm</w:t>
      </w:r>
      <w:r>
        <w:t>i</w:t>
      </w:r>
      <w:r>
        <w:t>tan evaluar el nivel de desarrollo y prosperidad de un país. La clasificación intern</w:t>
      </w:r>
      <w:r>
        <w:t>a</w:t>
      </w:r>
      <w:r>
        <w:t>cional de los países en función de su nivel de desarrollo (por ejemplo, según el Índ</w:t>
      </w:r>
      <w:r>
        <w:t>i</w:t>
      </w:r>
      <w:r>
        <w:t>ce de Desarrollo Humano de las Naciones Unidas) tiene en consideración principa</w:t>
      </w:r>
      <w:r>
        <w:t>l</w:t>
      </w:r>
      <w:r>
        <w:t>mente datos relativos a la protección y al ejercicio de los derechos de la mujer y de los derechos del niño.</w:t>
      </w:r>
    </w:p>
    <w:p w:rsidR="00000000" w:rsidRDefault="00000000">
      <w:pPr>
        <w:pStyle w:val="SingleTxt"/>
        <w:keepNext/>
        <w:keepLines/>
        <w:numPr>
          <w:ilvl w:val="0"/>
          <w:numId w:val="16"/>
        </w:numPr>
      </w:pPr>
      <w:r>
        <w:rPr>
          <w:i/>
        </w:rPr>
        <w:t>La dimensión económica</w:t>
      </w:r>
    </w:p>
    <w:p w:rsidR="00000000" w:rsidRDefault="00000000">
      <w:pPr>
        <w:pStyle w:val="SingleTxt"/>
        <w:keepNext/>
        <w:keepLines/>
      </w:pPr>
      <w:r>
        <w:t xml:space="preserve">En la Unión Europea la igualdad de género también se ha considerado en los últimos años desde el punto de vista de su importancia económica como factor productivo, dada su interrelación con la demografía y el mercado laboral, por una parte, y con la cuestión de la cohesión social, por otra, así como por su conexión con la concepción de la familia como unidad de producción. </w:t>
      </w:r>
    </w:p>
    <w:p w:rsidR="00000000" w:rsidRDefault="00000000">
      <w:pPr>
        <w:pStyle w:val="SingleTxt"/>
      </w:pPr>
      <w:r>
        <w:tab/>
        <w:t>Ya en 1997, cuando se aprobó la Estrategia Europea de Promoción del Empleo, y posteriormente con los objetivos que se fijaron en el Procedimiento de Lisboa en 2000, la igualdad de oportunidades entre hombres y mujeres empezó a considerarse también como una cuestión económica, relacionada con la mejora cuantitativa de la participación de las mujeres en el empleo y el mercado laboral, y como factor de competitividad de la economía europea y, por consiguiente, de las economías naci</w:t>
      </w:r>
      <w:r>
        <w:t>o</w:t>
      </w:r>
      <w:r>
        <w:t>nales de los Estados miembros. Puesto que, a la luz de los datos demográficos r</w:t>
      </w:r>
      <w:r>
        <w:t>e</w:t>
      </w:r>
      <w:r>
        <w:t>cientes, la población económicamente activa de la Unión Europea sigue reduciénd</w:t>
      </w:r>
      <w:r>
        <w:t>o</w:t>
      </w:r>
      <w:r>
        <w:t>se, se ha hecho evidente que si la Unión desea seguir siendo competitiva debe apr</w:t>
      </w:r>
      <w:r>
        <w:t>o</w:t>
      </w:r>
      <w:r>
        <w:t>vechar la totalidad de su mano de obra aplicando políticas para facilitar la incorp</w:t>
      </w:r>
      <w:r>
        <w:t>o</w:t>
      </w:r>
      <w:r>
        <w:t>ración al mercado laboral de los grupos que tienen mayores dificultades para hace</w:t>
      </w:r>
      <w:r>
        <w:t>r</w:t>
      </w:r>
      <w:r>
        <w:t>lo. Se espera que el objetivo fijado para el año 2010 de lograr que estén empleadas el 60% de las mujeres contribuirá decisivamente al desarrollo de la mano de obra que la Unión Europea necesita para garantizar su futuro desarrollo y mantener su prosperidad y su sistema de protección social.</w:t>
      </w:r>
    </w:p>
    <w:p w:rsidR="00000000" w:rsidRDefault="00000000">
      <w:pPr>
        <w:pStyle w:val="SingleTxt"/>
      </w:pPr>
      <w:r>
        <w:tab/>
        <w:t>La integración de las mujeres, que suelen constituir la mayoría de la población, en la vida política, económica, profesional y social, en igualdad de condiciones con los hombres por lo que respecta a los derechos, las obligaciones y las oportunidades, garantiza una participación más representativa de toda la sociedad y promueve una mayor cohesión social. En particular, la promoción de la igualdad de acceso y des</w:t>
      </w:r>
      <w:r>
        <w:t>a</w:t>
      </w:r>
      <w:r>
        <w:t>rrollo de ambos sexos en el mercado laboral garantiza una distribución más justa de la riqueza y una mejor distribución de los recursos humanos, al tiempo que contr</w:t>
      </w:r>
      <w:r>
        <w:t>i</w:t>
      </w:r>
      <w:r>
        <w:t>buye a mitigar la marginación social y la pobreza. Además, la adopción de políticas que faciliten la incorporación al mercado laboral de mujeres pertenecientes a grupos culturales o minoritarios específicos, además de respetar la diversidad y el mult</w:t>
      </w:r>
      <w:r>
        <w:t>i</w:t>
      </w:r>
      <w:r>
        <w:t>culturalismo, reduce la marginación social y refuerza la cohesión, lo que, a su vez, impulsa el desarrollo económico. Por consiguiente, también desde este punto de vista tiene la igualdad gran importancia económica y política.</w:t>
      </w:r>
    </w:p>
    <w:p w:rsidR="00000000" w:rsidRDefault="00000000">
      <w:pPr>
        <w:pStyle w:val="SingleTxt"/>
      </w:pPr>
      <w:r>
        <w:tab/>
        <w:t>Por último, la incorporación de la mujer a la vida económica tiene otra repe</w:t>
      </w:r>
      <w:r>
        <w:t>r</w:t>
      </w:r>
      <w:r>
        <w:t>cusión positiva, a saber, el aumento de los ingresos de los hogares, que, a su vez, f</w:t>
      </w:r>
      <w:r>
        <w:t>a</w:t>
      </w:r>
      <w:r>
        <w:t>vorece la demanda y el consumo de bienes y servicios, además del ahorro y la inve</w:t>
      </w:r>
      <w:r>
        <w:t>r</w:t>
      </w:r>
      <w:r>
        <w:t>sión. En otras palabras, la mejora del empleo de la mujer contribuye tanto a mejorar el nivel de vida de los hogares, como resultado de la aparición de nuevas fuentes de ingresos, como a reforzar el circuito productivo gracias al incremento de la demanda efectiva de bienes y servicios. Por lo tanto, la utilización de mano de obra femenina es fundamental para la viabilidad económica de los hogares, además de para el cr</w:t>
      </w:r>
      <w:r>
        <w:t>e</w:t>
      </w:r>
      <w:r>
        <w:t xml:space="preserve">cimiento económico de una región o incluso de todo el país. </w:t>
      </w:r>
    </w:p>
    <w:p w:rsidR="00000000" w:rsidRDefault="00000000">
      <w:pPr>
        <w:pStyle w:val="SingleTxt"/>
      </w:pPr>
      <w:r>
        <w:tab/>
        <w:t>En la Cumbre del Empleo que se celebró en noviembre de 1996 en Luxembu</w:t>
      </w:r>
      <w:r>
        <w:t>r</w:t>
      </w:r>
      <w:r>
        <w:t xml:space="preserve">go se reconoció por primera vez a nivel político que la igualdad de oportunidades no es sólo una cuestión de justicia social, sino también de importancia económica. En las Conclusiones de la Presidencia del Consejo de Europa celebrado en Bruselas en marzo de 2004 se reconocía explícitamente que “las políticas de igualdad de género son instrumentos de cohesión social y de crecimiento”. </w:t>
      </w:r>
    </w:p>
    <w:p w:rsidR="00000000" w:rsidRDefault="00000000">
      <w:pPr>
        <w:pStyle w:val="SingleTxt"/>
        <w:rPr>
          <w:color w:val="000000"/>
        </w:rPr>
      </w:pPr>
      <w:r>
        <w:rPr>
          <w:color w:val="000000"/>
        </w:rPr>
        <w:tab/>
        <w:t>Teniendo en cuenta los argumentos mencionados, la Secretaria General para la Igualdad de Género considera que la cuestión de la igualdad de género no es un “asunto de mujeres” sino una cuestión importante que afecta a toda la sociedad. La Secretaria General subraya la necesidad de abordar la cuestión de la igualdad de g</w:t>
      </w:r>
      <w:r>
        <w:rPr>
          <w:color w:val="000000"/>
        </w:rPr>
        <w:t>é</w:t>
      </w:r>
      <w:r>
        <w:rPr>
          <w:color w:val="000000"/>
        </w:rPr>
        <w:t>nero en términos de equidad y no de discriminación.</w:t>
      </w: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116885438"/>
      <w:r>
        <w:tab/>
        <w:t>II.</w:t>
      </w:r>
      <w:r>
        <w:tab/>
        <w:t>Medios para aplicar la estrategia política</w:t>
      </w:r>
      <w:bookmarkEnd w:id="2"/>
      <w:r>
        <w:t xml:space="preserve"> </w:t>
      </w:r>
    </w:p>
    <w:p w:rsidR="00000000" w:rsidRDefault="00000000">
      <w:pPr>
        <w:pStyle w:val="SingleTxt"/>
        <w:spacing w:after="0" w:line="120" w:lineRule="exact"/>
        <w:rPr>
          <w:sz w:val="10"/>
        </w:rPr>
      </w:pPr>
    </w:p>
    <w:p w:rsidR="00000000" w:rsidRDefault="00000000">
      <w:pPr>
        <w:pStyle w:val="SingleTxt"/>
        <w:numPr>
          <w:ilvl w:val="0"/>
          <w:numId w:val="16"/>
        </w:numPr>
      </w:pPr>
      <w:r>
        <w:t>En el contexto de los argumentos expuestos anteriormente, la Secretaria Gen</w:t>
      </w:r>
      <w:r>
        <w:t>e</w:t>
      </w:r>
      <w:r>
        <w:t>ral para la Igualdad de Género se propone basar su intervención estratégica en los siguientes elementos:</w:t>
      </w:r>
    </w:p>
    <w:p w:rsidR="00000000" w:rsidRDefault="00000000">
      <w:pPr>
        <w:pStyle w:val="SingleTxt"/>
        <w:tabs>
          <w:tab w:val="right" w:pos="1685"/>
        </w:tabs>
        <w:ind w:left="1742" w:hanging="475"/>
      </w:pPr>
      <w:r>
        <w:tab/>
        <w:t>•</w:t>
      </w:r>
      <w:r>
        <w:tab/>
        <w:t>La incorporación de una perspectiva de género en todos los instrumentos, las polít</w:t>
      </w:r>
      <w:r>
        <w:t>i</w:t>
      </w:r>
      <w:r>
        <w:t>cas y las medidas que adopte y aplique Grecia.</w:t>
      </w:r>
    </w:p>
    <w:p w:rsidR="00000000" w:rsidRDefault="00000000">
      <w:pPr>
        <w:pStyle w:val="SingleTxt"/>
        <w:tabs>
          <w:tab w:val="right" w:pos="1685"/>
        </w:tabs>
        <w:ind w:left="1742" w:hanging="475"/>
      </w:pPr>
      <w:r>
        <w:tab/>
        <w:t>•</w:t>
      </w:r>
      <w:r>
        <w:tab/>
        <w:t>La adopción de medidas especiales en los siguientes sectores que se consider</w:t>
      </w:r>
      <w:r>
        <w:t>a</w:t>
      </w:r>
      <w:r>
        <w:t xml:space="preserve">rán sectores prioritarios: </w:t>
      </w:r>
    </w:p>
    <w:p w:rsidR="00000000" w:rsidRDefault="00000000">
      <w:pPr>
        <w:pStyle w:val="SingleTxt"/>
      </w:pPr>
      <w:r>
        <w:tab/>
        <w:t>a)</w:t>
      </w:r>
      <w:r>
        <w:tab/>
        <w:t>Lucha contra la desigualdad en las relaciones laborales y en el mercado de trabajo;</w:t>
      </w:r>
    </w:p>
    <w:p w:rsidR="00000000" w:rsidRDefault="00000000">
      <w:pPr>
        <w:pStyle w:val="SingleTxt"/>
      </w:pPr>
      <w:r>
        <w:tab/>
        <w:t>b)</w:t>
      </w:r>
      <w:r>
        <w:tab/>
        <w:t>Prevención de la violencia doméstica y la trata de seres humanos, de las que las ví</w:t>
      </w:r>
      <w:r>
        <w:t>c</w:t>
      </w:r>
      <w:r>
        <w:t xml:space="preserve">timas suelen ser mujeres, y lucha contra ese fenómeno; </w:t>
      </w:r>
    </w:p>
    <w:p w:rsidR="00000000" w:rsidRDefault="00000000">
      <w:pPr>
        <w:pStyle w:val="SingleTxt"/>
      </w:pPr>
      <w:r>
        <w:tab/>
        <w:t>c)</w:t>
      </w:r>
      <w:r>
        <w:tab/>
        <w:t>Lucha contra los estereotipos respecto del papel de los sexos a lo largo del proceso educativo, especialmente durante la enseñanza primaria;</w:t>
      </w:r>
    </w:p>
    <w:p w:rsidR="00000000" w:rsidRDefault="00000000">
      <w:pPr>
        <w:pStyle w:val="SingleTxt"/>
      </w:pPr>
      <w:r>
        <w:tab/>
        <w:t>d)</w:t>
      </w:r>
      <w:r>
        <w:tab/>
        <w:t>Fortalecimiento de la participación de las mujeres en los centros de adopción de d</w:t>
      </w:r>
      <w:r>
        <w:t>e</w:t>
      </w:r>
      <w:r>
        <w:t>cisiones.</w:t>
      </w:r>
    </w:p>
    <w:p w:rsidR="00000000" w:rsidRDefault="00000000">
      <w:pPr>
        <w:pStyle w:val="SingleTxt"/>
      </w:pPr>
      <w:r>
        <w:tab/>
        <w:t>En todos los casos en los que la Secretaría General para la Igualdad de Género promueva la adopción de medidas positivas en el marco del párrafo 2 del artículo 116 de la Constitución, el objetivo será restablecer la igualdad y no imponer alguna fo</w:t>
      </w:r>
      <w:r>
        <w:t>r</w:t>
      </w:r>
      <w:r>
        <w:t>ma de discriminación.</w:t>
      </w:r>
    </w:p>
    <w:p w:rsidR="00000000" w:rsidRDefault="00000000">
      <w:pPr>
        <w:pStyle w:val="SingleTxt"/>
        <w:tabs>
          <w:tab w:val="right" w:pos="1685"/>
        </w:tabs>
        <w:ind w:left="1742" w:hanging="475"/>
      </w:pPr>
      <w:r>
        <w:tab/>
        <w:t>•</w:t>
      </w:r>
      <w:r>
        <w:tab/>
        <w:t>Diálogo con los interlocutores sociales, incluidos los sindicatos de funcion</w:t>
      </w:r>
      <w:r>
        <w:t>a</w:t>
      </w:r>
      <w:r>
        <w:t>rios y agricultores. La Secretaría General para la Igualdad de Género concibe el diálogo social como medio de planificación estratégica y supervisión de la aplicación de las políticas económicas y sociales, lo que está en conformidad con las comunicaciones y recomendaciones de la Comisión Europea y con las Conclusiones de la reunión de primavera del Consejo Europeo.</w:t>
      </w:r>
    </w:p>
    <w:p w:rsidR="00000000" w:rsidRDefault="00000000">
      <w:pPr>
        <w:pStyle w:val="SingleTxt"/>
        <w:tabs>
          <w:tab w:val="right" w:pos="1685"/>
        </w:tabs>
        <w:ind w:left="1742" w:hanging="475"/>
      </w:pPr>
      <w:r>
        <w:tab/>
        <w:t>•</w:t>
      </w:r>
      <w:r>
        <w:tab/>
        <w:t>Adopción gradual de formas de legislación dinámicas en sectores en los que ello resulte más eficaz que la legislación estática, como las relaciones labor</w:t>
      </w:r>
      <w:r>
        <w:t>a</w:t>
      </w:r>
      <w:r>
        <w:t>les y el mercado de trabajo. Hoy en día, en los países de la Unión Europea, la legislación es predominantemente dinámica. Ese tipo de legislación impone obligaciones leves, con márgenes de tiempo determinados, a los interlocutores sociales y a las empresas comerciales, promoviendo la cooperación y el des</w:t>
      </w:r>
      <w:r>
        <w:t>a</w:t>
      </w:r>
      <w:r>
        <w:t xml:space="preserve">rrollo de asociaciones y ofreciendo incentivos y primas a cambio del logro de resultados positivos. </w:t>
      </w:r>
    </w:p>
    <w:p w:rsidR="00000000" w:rsidRDefault="00000000">
      <w:pPr>
        <w:pStyle w:val="SingleTxt"/>
        <w:tabs>
          <w:tab w:val="right" w:pos="1685"/>
        </w:tabs>
        <w:ind w:left="1742" w:hanging="475"/>
      </w:pPr>
      <w:r>
        <w:tab/>
        <w:t>•</w:t>
      </w:r>
      <w:r>
        <w:tab/>
        <w:t>Diálogo, tanto entre los partidos políticos como entre las organizaciones no gubernamentales que desarrollan actividades relacionadas el fomento de la igualdad de género. La importancia del papel de las organizaciones no gube</w:t>
      </w:r>
      <w:r>
        <w:t>r</w:t>
      </w:r>
      <w:r>
        <w:t>namentales ha aumentado considerablemente porque muchas de ellas han des</w:t>
      </w:r>
      <w:r>
        <w:t>a</w:t>
      </w:r>
      <w:r>
        <w:t>rrollado redes y constituyen una importante fuente de experiencia y conoc</w:t>
      </w:r>
      <w:r>
        <w:t>i</w:t>
      </w:r>
      <w:r>
        <w:t>mientos especializados, al tiempo que actúan como canales de información a los ciudadanos acerca de las actuaciones y las políticas nacionales y de la C</w:t>
      </w:r>
      <w:r>
        <w:t>o</w:t>
      </w:r>
      <w:r>
        <w:t xml:space="preserve">munidad. </w:t>
      </w:r>
    </w:p>
    <w:p w:rsidR="00000000" w:rsidRDefault="00000000">
      <w:pPr>
        <w:pStyle w:val="SingleTxt"/>
        <w:tabs>
          <w:tab w:val="right" w:pos="1685"/>
        </w:tabs>
        <w:ind w:left="1742" w:hanging="475"/>
      </w:pPr>
      <w:r>
        <w:tab/>
        <w:t>•</w:t>
      </w:r>
      <w:r>
        <w:tab/>
        <w:t>El Marco Comunitario de Apoyo sigue siendo el principal medio de financi</w:t>
      </w:r>
      <w:r>
        <w:t>a</w:t>
      </w:r>
      <w:r>
        <w:t>ción de las intervenciones (a través de los programas operacionales y sect</w:t>
      </w:r>
      <w:r>
        <w:t>o</w:t>
      </w:r>
      <w:r>
        <w:t>riales nacionales), junto con las iniciativas comunitarias y otros programas comun</w:t>
      </w:r>
      <w:r>
        <w:t>i</w:t>
      </w:r>
      <w:r>
        <w:t>tarios.</w:t>
      </w:r>
    </w:p>
    <w:p w:rsidR="00000000" w:rsidRDefault="00000000">
      <w:pPr>
        <w:pStyle w:val="SingleTxt"/>
        <w:tabs>
          <w:tab w:val="right" w:pos="1685"/>
        </w:tabs>
        <w:spacing w:after="0" w:line="120" w:lineRule="exact"/>
        <w:ind w:left="1742" w:hanging="475"/>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Artículo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 xml:space="preserve">A los efectos de la presente Convención, la expresión “discriminación contra la mujer” denotará toda distinción, exclusión o restricción basada en el sexo que </w:t>
            </w:r>
            <w:r>
              <w:rPr>
                <w:i/>
                <w:spacing w:val="2"/>
              </w:rPr>
              <w:t>tenga por objeto o por resultado menoscabar o anular el reconocimiento, goce o eje</w:t>
            </w:r>
            <w:r>
              <w:rPr>
                <w:i/>
                <w:spacing w:val="2"/>
              </w:rPr>
              <w:t>r</w:t>
            </w:r>
            <w:r>
              <w:rPr>
                <w:i/>
                <w:spacing w:val="2"/>
              </w:rPr>
              <w:t>cicio por la</w:t>
            </w:r>
            <w:r>
              <w:rPr>
                <w:i/>
              </w:rPr>
              <w:t xml:space="preserve"> mujer, independientemente de su estado civil, sobre la base de la igua</w:t>
            </w:r>
            <w:r>
              <w:rPr>
                <w:i/>
              </w:rPr>
              <w:t>l</w:t>
            </w:r>
            <w:r>
              <w:rPr>
                <w:i/>
              </w:rPr>
              <w:t>dad del hombre y la mujer, de los derechos humanos y las libertades fundamentales en las esferas política, económica, social, cultural y civil o en cualquier otra esfera.</w:t>
            </w:r>
          </w:p>
        </w:tc>
        <w:tc>
          <w:tcPr>
            <w:tcW w:w="144" w:type="dxa"/>
          </w:tcPr>
          <w:p w:rsidR="00000000" w:rsidRDefault="00000000">
            <w:pPr>
              <w:pStyle w:val="SingleTxt"/>
            </w:pPr>
          </w:p>
        </w:tc>
      </w:tr>
    </w:tbl>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rPr>
          <w:color w:val="000000"/>
        </w:rPr>
      </w:pPr>
      <w:r>
        <w:tab/>
      </w:r>
      <w:r>
        <w:rPr>
          <w:spacing w:val="2"/>
        </w:rPr>
        <w:t>A la luz del párrafo 2 del artículo 116 de la Constitución revisada y del artículo 1</w:t>
      </w:r>
      <w:r>
        <w:t xml:space="preserve"> de la Convención de las Naciones Unidas sobre la eliminación de todas las formas de discriminación contra la mujer, el Consejo de Estado (Sección Tercera) ha dict</w:t>
      </w:r>
      <w:r>
        <w:t>a</w:t>
      </w:r>
      <w:r>
        <w:t>minado que las desviaciones del principio de igualdad de género constituyen casos de discriminación contra la mujer</w:t>
      </w:r>
      <w:r>
        <w:rPr>
          <w:rStyle w:val="FootnoteReference"/>
        </w:rPr>
        <w:footnoteReference w:id="1"/>
      </w:r>
      <w:r>
        <w:t>. La adopción de medidas positivas para eliminar la discriminación, principalmente contra la mujer, con miras a la aplicación efectiva del principio de igualdad de género en todos los sectores, no sólo no es discrimin</w:t>
      </w:r>
      <w:r>
        <w:t>a</w:t>
      </w:r>
      <w:r>
        <w:t>toria, sino que constituye una obligación</w:t>
      </w:r>
      <w:r>
        <w:rPr>
          <w:rStyle w:val="FootnoteReference"/>
        </w:rPr>
        <w:footnoteReference w:id="2"/>
      </w:r>
      <w:r>
        <w:rPr>
          <w:color w:val="000000"/>
        </w:rPr>
        <w:t>.</w:t>
      </w:r>
    </w:p>
    <w:p w:rsidR="00000000" w:rsidRDefault="00000000">
      <w:pPr>
        <w:pStyle w:val="SingleTxt"/>
        <w:spacing w:after="0" w:line="120" w:lineRule="exact"/>
        <w:rPr>
          <w:color w:val="000000"/>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DualTxt"/>
              <w:rPr>
                <w:i/>
              </w:rPr>
            </w:pPr>
            <w:r>
              <w:tab/>
            </w:r>
            <w:r>
              <w:rPr>
                <w:i/>
              </w:rPr>
              <w:t>Artículo 2</w:t>
            </w:r>
          </w:p>
          <w:p w:rsidR="00000000" w:rsidRDefault="00000000">
            <w:pPr>
              <w:pStyle w:val="DualTxt"/>
            </w:pPr>
            <w:r>
              <w:rPr>
                <w:i/>
              </w:rPr>
              <w:tab/>
              <w:t>Los Estados Partes condenan la discriminación contra la mujer en todas sus formas, convienen en seguir, por todos los medios apropiados y sin dilaciones, una política encaminada a eliminar la discriminación contra la mujer y, con tal objeto, se comprometen 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DualTxt"/>
              <w:rPr>
                <w:i/>
              </w:rPr>
            </w:pPr>
            <w:r>
              <w:tab/>
            </w:r>
            <w:r>
              <w:rPr>
                <w:i/>
              </w:rPr>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DualTxt"/>
              <w:rPr>
                <w:i/>
              </w:rPr>
            </w:pPr>
            <w:r>
              <w:rPr>
                <w:i/>
              </w:rPr>
              <w:tab/>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DualTxt"/>
              <w:spacing w:after="80"/>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tcBorders>
          </w:tcPr>
          <w:p w:rsidR="00000000" w:rsidRDefault="00000000">
            <w:pPr>
              <w:pStyle w:val="SingleTxt"/>
            </w:pPr>
          </w:p>
        </w:tc>
        <w:tc>
          <w:tcPr>
            <w:tcW w:w="7321" w:type="dxa"/>
            <w:tcBorders>
              <w:top w:val="nil"/>
            </w:tcBorders>
          </w:tcPr>
          <w:p w:rsidR="00000000" w:rsidRDefault="00000000">
            <w:pPr>
              <w:pStyle w:val="Dual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DualTxt"/>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f)</w:t>
            </w:r>
            <w:r>
              <w:rPr>
                <w:i/>
              </w:rPr>
              <w:tab/>
              <w:t>Adoptar todas las medidas adecuadas, incluso de carácter legislativo, para modificar o derogar leyes, reglamentos, usos y prácticas que constituyan di</w:t>
            </w:r>
            <w:r>
              <w:rPr>
                <w:i/>
              </w:rPr>
              <w:t>s</w:t>
            </w:r>
            <w:r>
              <w:rPr>
                <w:i/>
              </w:rPr>
              <w:t>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g)</w:t>
            </w:r>
            <w:r>
              <w:rPr>
                <w:i/>
              </w:rPr>
              <w:tab/>
              <w:t>Derogar todas las disposiciones penales nacionales que constituyen di</w:t>
            </w:r>
            <w:r>
              <w:rPr>
                <w:i/>
              </w:rPr>
              <w:t>s</w:t>
            </w:r>
            <w:r>
              <w:rPr>
                <w:i/>
              </w:rPr>
              <w:t>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Artículo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tc>
        <w:tc>
          <w:tcPr>
            <w:tcW w:w="144" w:type="dxa"/>
            <w:tcBorders>
              <w:top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 Revisión de la constitución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63"/>
        </w:numPr>
        <w:tabs>
          <w:tab w:val="left" w:pos="1742"/>
        </w:tabs>
      </w:pPr>
      <w:r>
        <w:t>La Constitución de Grecia se revisó en 2001. Dos de las disposiciones revis</w:t>
      </w:r>
      <w:r>
        <w:t>a</w:t>
      </w:r>
      <w:r>
        <w:t>das se refieren a la cuestión de la igualdad de género:</w:t>
      </w:r>
    </w:p>
    <w:p w:rsidR="00000000" w:rsidRDefault="00000000">
      <w:pPr>
        <w:pStyle w:val="SingleTxt"/>
      </w:pPr>
      <w:r>
        <w:tab/>
        <w:t>a)</w:t>
      </w:r>
      <w:r>
        <w:tab/>
        <w:t>El nuevo párrafo 2 del artículo 116 de la Constitución revisada ya no se aparta del principio de igualdad de género. Por el contrario, establece explícitamente que el Estado está obligado a adoptar medidas positivas específicas para eliminar la discriminación, principalmente contra la mujer, con el fin de lograr la aplicación efe</w:t>
      </w:r>
      <w:r>
        <w:t>c</w:t>
      </w:r>
      <w:r>
        <w:t>tiva del principio de la igualdad de género en todos los sectores</w:t>
      </w:r>
      <w:r>
        <w:rPr>
          <w:rStyle w:val="FootnoteReference"/>
        </w:rPr>
        <w:footnoteReference w:id="3"/>
      </w:r>
      <w:r>
        <w:t>;</w:t>
      </w:r>
    </w:p>
    <w:p w:rsidR="00000000" w:rsidRDefault="00000000">
      <w:pPr>
        <w:pStyle w:val="SingleTxt"/>
      </w:pPr>
      <w:r>
        <w:tab/>
        <w:t>b)</w:t>
      </w:r>
      <w:r>
        <w:tab/>
        <w:t>El nuevo párrafo 1 del artículo 31 de la Constitución estipula que para poder presentarse a las elecciones a la Presidencia de la República los candidatos deberán ser de ascendencia griega por parte de padre o de madre</w:t>
      </w:r>
      <w:r>
        <w:rPr>
          <w:rStyle w:val="FootnoteReference"/>
        </w:rPr>
        <w:footnoteReference w:id="4"/>
      </w:r>
      <w:r>
        <w:t>.</w:t>
      </w:r>
      <w:bookmarkStart w:id="3" w:name="_Toc116885440"/>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Empleo</w:t>
      </w:r>
      <w:bookmarkEnd w:id="3"/>
    </w:p>
    <w:p w:rsidR="00000000" w:rsidRDefault="00000000">
      <w:pPr>
        <w:pStyle w:val="SingleTxt"/>
        <w:spacing w:after="0" w:line="120" w:lineRule="exact"/>
        <w:rPr>
          <w:sz w:val="10"/>
        </w:rPr>
      </w:pPr>
    </w:p>
    <w:p w:rsidR="00000000" w:rsidRDefault="00000000">
      <w:pPr>
        <w:pStyle w:val="SingleTxt"/>
        <w:numPr>
          <w:ilvl w:val="0"/>
          <w:numId w:val="63"/>
        </w:numPr>
      </w:pPr>
      <w:r>
        <w:t>Los Convenios Laborales Colectivos Nacionales de los años 2002-2004 han mejorado la legislación vigente para los trabajadores del sector privado por lo que respecta a la igualdad de las relaciones laborales, en las licencias por paternidad y matern</w:t>
      </w:r>
      <w:r>
        <w:t>i</w:t>
      </w:r>
      <w:r>
        <w:t>dad y otras cuestiones de género.</w:t>
      </w:r>
    </w:p>
    <w:p w:rsidR="00000000" w:rsidRDefault="00000000">
      <w:pPr>
        <w:pStyle w:val="SingleTxt"/>
      </w:pPr>
      <w:r>
        <w:tab/>
        <w:t>En particular:</w:t>
      </w:r>
    </w:p>
    <w:p w:rsidR="00000000" w:rsidRDefault="00000000">
      <w:pPr>
        <w:pStyle w:val="SingleTxt"/>
        <w:tabs>
          <w:tab w:val="right" w:pos="1685"/>
        </w:tabs>
        <w:ind w:left="1742" w:hanging="475"/>
      </w:pPr>
      <w:r>
        <w:tab/>
        <w:t>•</w:t>
      </w:r>
      <w:r>
        <w:tab/>
      </w:r>
      <w:r>
        <w:rPr>
          <w:spacing w:val="2"/>
        </w:rPr>
        <w:t>El</w:t>
      </w:r>
      <w:r>
        <w:rPr>
          <w:i/>
          <w:spacing w:val="2"/>
        </w:rPr>
        <w:t xml:space="preserve"> </w:t>
      </w:r>
      <w:r>
        <w:rPr>
          <w:spacing w:val="2"/>
        </w:rPr>
        <w:t>Convenio Laboral Colectivo Nacional para 2002-2003 establece lo siguie</w:t>
      </w:r>
      <w:r>
        <w:rPr>
          <w:spacing w:val="2"/>
        </w:rPr>
        <w:t>n</w:t>
      </w:r>
      <w:r>
        <w:t>te:</w:t>
      </w:r>
    </w:p>
    <w:p w:rsidR="00000000" w:rsidRDefault="00000000">
      <w:pPr>
        <w:pStyle w:val="SingleTxt"/>
        <w:tabs>
          <w:tab w:val="right" w:pos="1685"/>
        </w:tabs>
        <w:ind w:left="1742" w:hanging="475"/>
      </w:pPr>
      <w:r>
        <w:tab/>
        <w:t>•</w:t>
      </w:r>
      <w:r>
        <w:tab/>
        <w:t>El derecho de la madre o del padre a llegar más tarde o salir más temprano del trabajo (una hora al día) por razones relacionadas con el cuidado de los hijos, durante un periodo de 30 meses (en lugar de 24 meses), una vez agotada la l</w:t>
      </w:r>
      <w:r>
        <w:t>i</w:t>
      </w:r>
      <w:r>
        <w:t>cencia de maternidad. Como alternativa, previo acuerdo con el empleador, las horas de trabajo se podrán reducir en dos horas diarias durante los primeros 12 meses y en una hora durante seis meses más (anteriormente las horas de tr</w:t>
      </w:r>
      <w:r>
        <w:t>a</w:t>
      </w:r>
      <w:r>
        <w:t>bajo sólo podían reducirse dos horas al día durante 12 meses).</w:t>
      </w:r>
    </w:p>
    <w:p w:rsidR="00000000" w:rsidRDefault="00000000">
      <w:pPr>
        <w:pStyle w:val="SingleTxt"/>
        <w:tabs>
          <w:tab w:val="right" w:pos="1685"/>
        </w:tabs>
        <w:ind w:left="1742" w:hanging="475"/>
      </w:pPr>
      <w:r>
        <w:tab/>
        <w:t>•</w:t>
      </w:r>
      <w:r>
        <w:tab/>
        <w:t>Por primera vez, el trabajador tiene derecho a dos días de licencia con sueldo en c</w:t>
      </w:r>
      <w:r>
        <w:t>a</w:t>
      </w:r>
      <w:r>
        <w:t>so de fallecimiento de un familiar, incluso en segundo grado.</w:t>
      </w:r>
    </w:p>
    <w:p w:rsidR="00000000" w:rsidRDefault="00000000">
      <w:pPr>
        <w:pStyle w:val="SingleTxt"/>
        <w:tabs>
          <w:tab w:val="right" w:pos="1685"/>
        </w:tabs>
        <w:ind w:left="1742" w:hanging="475"/>
      </w:pPr>
      <w:r>
        <w:tab/>
        <w:t>•</w:t>
      </w:r>
      <w:r>
        <w:tab/>
        <w:t>Seis días adicionales de licencia anual con sueldo para los progenitores viudos o solteros. La licencia para progenitores solteros puede no coincidir con el f</w:t>
      </w:r>
      <w:r>
        <w:t>i</w:t>
      </w:r>
      <w:r>
        <w:t>nal ni el inicio de las vacaciones pagadas anuales y se aplicará a los progenit</w:t>
      </w:r>
      <w:r>
        <w:t>o</w:t>
      </w:r>
      <w:r>
        <w:t xml:space="preserve">res con hijos de hasta 12 años de edad. En el caso de las familias con tres o más hijos, la licencia del progenitor será de ocho días. </w:t>
      </w:r>
    </w:p>
    <w:p w:rsidR="00000000" w:rsidRDefault="00000000">
      <w:pPr>
        <w:pStyle w:val="SingleTxt"/>
        <w:tabs>
          <w:tab w:val="right" w:pos="1685"/>
        </w:tabs>
        <w:suppressAutoHyphens/>
        <w:ind w:left="1742" w:hanging="475"/>
      </w:pPr>
      <w:r>
        <w:tab/>
        <w:t>•</w:t>
      </w:r>
      <w:r>
        <w:tab/>
        <w:t>En el Convenio Laboral Colectivo Nacional para 2004-2005 se establece lo siguiente:</w:t>
      </w:r>
    </w:p>
    <w:p w:rsidR="00000000" w:rsidRDefault="00000000">
      <w:pPr>
        <w:pStyle w:val="SingleTxt"/>
        <w:tabs>
          <w:tab w:val="right" w:pos="1685"/>
        </w:tabs>
        <w:ind w:left="1742" w:hanging="475"/>
      </w:pPr>
      <w:r>
        <w:tab/>
        <w:t>•</w:t>
      </w:r>
      <w:r>
        <w:tab/>
        <w:t>Por lo que respecta a la reducción del horario laboral durante la lactancia o p</w:t>
      </w:r>
      <w:r>
        <w:t>a</w:t>
      </w:r>
      <w:r>
        <w:t>ra atender a los hijos, como se dispone en el artículo 9 del Convenio Laboral Colectivo Nacional General de 1993</w:t>
      </w:r>
      <w:r>
        <w:rPr>
          <w:i/>
        </w:rPr>
        <w:t xml:space="preserve">, </w:t>
      </w:r>
      <w:r>
        <w:t>como alternativa,</w:t>
      </w:r>
      <w:r>
        <w:rPr>
          <w:i/>
        </w:rPr>
        <w:t xml:space="preserve"> </w:t>
      </w:r>
      <w:r>
        <w:t>el trabajador tiene d</w:t>
      </w:r>
      <w:r>
        <w:t>e</w:t>
      </w:r>
      <w:r>
        <w:t xml:space="preserve">recho a solicitar el mismo tiempo de licencia remunerada durante el periodo de tiempo en el que tiene el derecho a acogerse al horario laboral reducido para atender a sus hijos. Este tipo de licencia alternativa requiere el acuerdo del empleador y se puede tomar en una sola vez o por partes; la licencia comienza </w:t>
      </w:r>
      <w:r>
        <w:rPr>
          <w:spacing w:val="2"/>
        </w:rPr>
        <w:t>al finalizar la licencia de maternidad, es decir, nueve semanas después del</w:t>
      </w:r>
      <w:r>
        <w:t xml:space="preserve"> parto.</w:t>
      </w:r>
    </w:p>
    <w:p w:rsidR="00000000" w:rsidRDefault="00000000">
      <w:pPr>
        <w:pStyle w:val="SingleTxt"/>
        <w:tabs>
          <w:tab w:val="right" w:pos="1685"/>
        </w:tabs>
        <w:ind w:left="1742" w:hanging="475"/>
      </w:pPr>
      <w:r>
        <w:tab/>
        <w:t>•</w:t>
      </w:r>
      <w:r>
        <w:tab/>
        <w:t>Los padres adoptivos o biológicos de un niño de hasta 16 años de edad que s</w:t>
      </w:r>
      <w:r>
        <w:t>u</w:t>
      </w:r>
      <w:r>
        <w:t>fra una enfermedad que requiera transfusiones de sangre y sus derivados o h</w:t>
      </w:r>
      <w:r>
        <w:t>e</w:t>
      </w:r>
      <w:r>
        <w:t>modiálisis tienen derecho a una licencia adicional de diez días laborables al año. Se trata de una licencia con sueldo a la que tienen derecho ambos prog</w:t>
      </w:r>
      <w:r>
        <w:t>e</w:t>
      </w:r>
      <w:r>
        <w:t>nitores; la licencia complementa las licencias a las que tienen derecho en vi</w:t>
      </w:r>
      <w:r>
        <w:t>r</w:t>
      </w:r>
      <w:r>
        <w:t>tud de otras disp</w:t>
      </w:r>
      <w:r>
        <w:t>o</w:t>
      </w:r>
      <w:r>
        <w:t>siciones.</w:t>
      </w:r>
    </w:p>
    <w:p w:rsidR="00000000" w:rsidRDefault="00000000">
      <w:pPr>
        <w:pStyle w:val="SingleTxt"/>
        <w:numPr>
          <w:ilvl w:val="0"/>
          <w:numId w:val="63"/>
        </w:numPr>
      </w:pPr>
      <w:r>
        <w:t>Se elimina la discriminación contra la mujer en relación con su admisión a las ac</w:t>
      </w:r>
      <w:r>
        <w:t>a</w:t>
      </w:r>
      <w:r>
        <w:t>demias militares (Ley 2913/2001).</w:t>
      </w:r>
    </w:p>
    <w:p w:rsidR="00000000" w:rsidRDefault="00000000">
      <w:pPr>
        <w:pStyle w:val="SingleTxt"/>
        <w:numPr>
          <w:ilvl w:val="0"/>
          <w:numId w:val="63"/>
        </w:numPr>
      </w:pPr>
      <w:r>
        <w:t>La</w:t>
      </w:r>
      <w:r>
        <w:rPr>
          <w:i/>
        </w:rPr>
        <w:t xml:space="preserve"> </w:t>
      </w:r>
      <w:r>
        <w:t>Ley 3103/2003</w:t>
      </w:r>
      <w:r>
        <w:rPr>
          <w:i/>
        </w:rPr>
        <w:t xml:space="preserve"> </w:t>
      </w:r>
      <w:r>
        <w:t>suprime la cuota fijada para la admisión de mujeres a la Academia de Policía. Además, la Ley 3113/2003 elimina las disposiciones corre</w:t>
      </w:r>
      <w:r>
        <w:t>s</w:t>
      </w:r>
      <w:r>
        <w:t>pondientes (leyes 2622/1998 y 2838/2000) relativas a la contratación de mujeres como guardias fronterizas. En un concurso para la contratación de guardias fronter</w:t>
      </w:r>
      <w:r>
        <w:t>i</w:t>
      </w:r>
      <w:r>
        <w:t>zos que llevó a cabo el Ministerio de Orden Público en 2001 con arreglo a las disp</w:t>
      </w:r>
      <w:r>
        <w:t>o</w:t>
      </w:r>
      <w:r>
        <w:t>siciones jurídicas anteriores se fijó una cuota de un 90% de hombres y un 10% de mujeres. En 2003, la Sección Tercera del Consejo de Estado</w:t>
      </w:r>
      <w:r>
        <w:rPr>
          <w:rStyle w:val="FootnoteReference"/>
        </w:rPr>
        <w:footnoteReference w:id="5"/>
      </w:r>
      <w:r>
        <w:t xml:space="preserve"> dictaminó que establ</w:t>
      </w:r>
      <w:r>
        <w:t>e</w:t>
      </w:r>
      <w:r>
        <w:t>cer una cuota que perjudicaba a las mujeres estaba en contradicción con el artículo 4 y con el párrafo 2 del artículo 116 de la Constitución. La cuestión está a la espera del di</w:t>
      </w:r>
      <w:r>
        <w:t>c</w:t>
      </w:r>
      <w:r>
        <w:t xml:space="preserve">tamen del pleno del Consejo de Estado. </w:t>
      </w:r>
    </w:p>
    <w:p w:rsidR="00000000" w:rsidRDefault="00000000">
      <w:pPr>
        <w:pStyle w:val="SingleTxt"/>
        <w:numPr>
          <w:ilvl w:val="0"/>
          <w:numId w:val="63"/>
        </w:numPr>
      </w:pPr>
      <w:r>
        <w:t>La</w:t>
      </w:r>
      <w:r>
        <w:rPr>
          <w:i/>
        </w:rPr>
        <w:t xml:space="preserve"> </w:t>
      </w:r>
      <w:r>
        <w:t>Ley 3227/2004 sobre “Medidas contra el desempleo y otras disposiciones” est</w:t>
      </w:r>
      <w:r>
        <w:t>i</w:t>
      </w:r>
      <w:r>
        <w:t>pula, entre otras cosas, lo siguiente:</w:t>
      </w:r>
    </w:p>
    <w:p w:rsidR="00000000" w:rsidRDefault="00000000">
      <w:pPr>
        <w:pStyle w:val="SingleTxt"/>
        <w:tabs>
          <w:tab w:val="right" w:pos="1685"/>
        </w:tabs>
        <w:ind w:left="1742" w:hanging="475"/>
      </w:pPr>
      <w:r>
        <w:tab/>
        <w:t>•</w:t>
      </w:r>
      <w:r>
        <w:tab/>
        <w:t>Los empleadores que contraten a trabajadores con contratos temporales para sustituir a mujeres que estén embarazadas o que tengan licencia de maternidad recibirán una subvención durante el tiempo que dure la licencia de las trabaj</w:t>
      </w:r>
      <w:r>
        <w:t>a</w:t>
      </w:r>
      <w:r>
        <w:t>doras por una cantidad equivalente a su aportación a la caja de la seguridad s</w:t>
      </w:r>
      <w:r>
        <w:t>o</w:t>
      </w:r>
      <w:r>
        <w:t>cial o al p</w:t>
      </w:r>
      <w:r>
        <w:t>a</w:t>
      </w:r>
      <w:r>
        <w:t>go del seguro de los trabajadores que hayan contratado.</w:t>
      </w:r>
    </w:p>
    <w:p w:rsidR="00000000" w:rsidRDefault="00000000">
      <w:pPr>
        <w:pStyle w:val="SingleTxt"/>
        <w:tabs>
          <w:tab w:val="right" w:pos="1685"/>
        </w:tabs>
        <w:ind w:left="1742" w:hanging="475"/>
      </w:pPr>
      <w:r>
        <w:tab/>
        <w:t>•</w:t>
      </w:r>
      <w:r>
        <w:tab/>
        <w:t>Como incentivo para la contratación de madres desempleadas que tengan al menos dos hijos, el empleador recibe una subvención equivalente a la parte que le corresponde de la cotización a la seguridad social de las madres contr</w:t>
      </w:r>
      <w:r>
        <w:t>a</w:t>
      </w:r>
      <w:r>
        <w:t>tadas. La duración de la subvención es de un año por cada uno de los hijos de la madre contrat</w:t>
      </w:r>
      <w:r>
        <w:t>a</w:t>
      </w:r>
      <w:r>
        <w:t>da.</w:t>
      </w:r>
    </w:p>
    <w:p w:rsidR="00000000" w:rsidRDefault="00000000">
      <w:pPr>
        <w:pStyle w:val="SingleTxt"/>
        <w:tabs>
          <w:tab w:val="right" w:pos="1685"/>
        </w:tabs>
        <w:ind w:left="1742" w:hanging="475"/>
      </w:pPr>
      <w:r>
        <w:tab/>
        <w:t>•</w:t>
      </w:r>
      <w:r>
        <w:tab/>
        <w:t>Por cada hijo a partir del segundo, las agricultoras aseguradas en el seguro agrario principal (Ley 2458/1997) están exentas de su cotización a la Organ</w:t>
      </w:r>
      <w:r>
        <w:t>i</w:t>
      </w:r>
      <w:r>
        <w:t>zación del Seguro Agrícola (OGA) por lo que respecta a sus contribuciones a la caja de pensiones y al seguro médico, así como de las contribuciones al Fondo del Sindicato de Agricultores durante un año a partir del nacimiento del segundo hijo y de hijos suc</w:t>
      </w:r>
      <w:r>
        <w:t>e</w:t>
      </w:r>
      <w:r>
        <w:t>sivos.</w:t>
      </w:r>
    </w:p>
    <w:p w:rsidR="00000000" w:rsidRDefault="00000000">
      <w:pPr>
        <w:pStyle w:val="SingleTxt"/>
        <w:numPr>
          <w:ilvl w:val="0"/>
          <w:numId w:val="63"/>
        </w:numPr>
        <w:rPr>
          <w:color w:val="000000"/>
        </w:rPr>
      </w:pPr>
      <w:r>
        <w:t>En virtud de la Ley 3174/2003, se ha ampliado el empleo a tiempo parcial en el sector público, las entidades jurídicas que operan al amparo del derecho público y las organizaciones de la administración local, a fin de cubrir las necesidades rel</w:t>
      </w:r>
      <w:r>
        <w:t>a</w:t>
      </w:r>
      <w:r>
        <w:t>cionadas con la prestación de servicios de carácter social a los ciudadanos. Por se</w:t>
      </w:r>
      <w:r>
        <w:t>r</w:t>
      </w:r>
      <w:r>
        <w:t>vicios de carácter social se entiende los servicios relacionados con la asistencia s</w:t>
      </w:r>
      <w:r>
        <w:t>o</w:t>
      </w:r>
      <w:r>
        <w:t>cial, el mantenimiento de los edificios escolares, la seguridad viaria de los est</w:t>
      </w:r>
      <w:r>
        <w:t>u</w:t>
      </w:r>
      <w:r>
        <w:t>diantes, el cuidado del medio ambiente, la inclusión social de los inmigrantes, etc. Esta ley tiene por objeto promover el empleo de los grupos de población vulner</w:t>
      </w:r>
      <w:r>
        <w:t>a</w:t>
      </w:r>
      <w:r>
        <w:t>bles, entre los que figuran, como categoría especial, las madres con hijos menores de 12 años, a las que se ha asignado una cuota del 10%.</w:t>
      </w:r>
    </w:p>
    <w:p w:rsidR="00000000" w:rsidRDefault="00000000">
      <w:pPr>
        <w:pStyle w:val="SingleTxt"/>
      </w:pPr>
      <w:r>
        <w:tab/>
        <w:t>En virtud de la Ley 3250/2004, se han redefinido las categorías de personas a las que se puede contratar, a las que se ha añadido a los miembros de familias num</w:t>
      </w:r>
      <w:r>
        <w:t>e</w:t>
      </w:r>
      <w:r>
        <w:t>rosas, y se ha ampliado la categoría de las madres con hijos pequeños (se ha supr</w:t>
      </w:r>
      <w:r>
        <w:t>i</w:t>
      </w:r>
      <w:r>
        <w:t>mido el límite de los 12 años con respecto a la edad de los hijos), sin modificar la cuota del 10%. Al mismo tiempo, la Ley 3250 establece una cuota de hasta el 60% de mujeres de las distintas categorías de personas desempleadas beneficiarias de esos tipos de puestos de trabajo, siempre que manifiesten debidamente su interés.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116885441"/>
      <w:r>
        <w:tab/>
        <w:t>III.</w:t>
      </w:r>
      <w:r>
        <w:tab/>
        <w:t>Seguridad social</w:t>
      </w:r>
      <w:bookmarkEnd w:id="4"/>
    </w:p>
    <w:p w:rsidR="00000000" w:rsidRDefault="00000000">
      <w:pPr>
        <w:pStyle w:val="SingleTxt"/>
        <w:spacing w:after="0" w:line="120" w:lineRule="exact"/>
        <w:rPr>
          <w:sz w:val="10"/>
        </w:rPr>
      </w:pPr>
    </w:p>
    <w:p w:rsidR="00000000" w:rsidRDefault="00000000">
      <w:pPr>
        <w:pStyle w:val="SingleTxt"/>
        <w:numPr>
          <w:ilvl w:val="0"/>
          <w:numId w:val="63"/>
        </w:numPr>
      </w:pPr>
      <w:r>
        <w:t>La</w:t>
      </w:r>
      <w:r>
        <w:rPr>
          <w:i/>
        </w:rPr>
        <w:t xml:space="preserve"> </w:t>
      </w:r>
      <w:r>
        <w:t>Ley 3029/2002 ha modernizado los planes de pensiones de jubilación y s</w:t>
      </w:r>
      <w:r>
        <w:t>u</w:t>
      </w:r>
      <w:r>
        <w:t>primido todas las diferencias basadas en el sexo en la protección social durante la vejez. En particular:</w:t>
      </w:r>
    </w:p>
    <w:p w:rsidR="00000000" w:rsidRDefault="00000000">
      <w:pPr>
        <w:pStyle w:val="SingleTxt"/>
        <w:tabs>
          <w:tab w:val="right" w:pos="1685"/>
        </w:tabs>
        <w:ind w:left="1742" w:hanging="475"/>
      </w:pPr>
      <w:r>
        <w:tab/>
        <w:t>•</w:t>
      </w:r>
      <w:r>
        <w:tab/>
        <w:t>Se reconocerá a las madres afiliadas al IKA-TEAM (Fondo de la Seguridad Social-Fondo Suplementario de Seguridad de los Trabajadores, que es el pri</w:t>
      </w:r>
      <w:r>
        <w:t>n</w:t>
      </w:r>
      <w:r>
        <w:t>cipal Fondo de Seguridad de Grecia) que han tenido un hijo después del 1º de enero del 2003 un periodo de cotización ficticia, a fin de que cumplan los r</w:t>
      </w:r>
      <w:r>
        <w:t>e</w:t>
      </w:r>
      <w:r>
        <w:t>quisitos del período mínimo de cotización a la seguridad social para tener d</w:t>
      </w:r>
      <w:r>
        <w:t>e</w:t>
      </w:r>
      <w:r>
        <w:t>recho a una pensión. Si el derecho no es ejercido por la madre, ese periodo de cotización ficticia se podrá reconocer al padre. En particular, el período de cotización ficticia a la seguridad social reconocido en el caso de la madre o el padre de un niño nacido después de la fecha mencionada es de un año en el caso del primer hijo, de uno y medio en el caso del segundo y de dos años en el caso del tercer hijo (un total de cuatro años y medio equivalentes a 1.350 d</w:t>
      </w:r>
      <w:r>
        <w:t>í</w:t>
      </w:r>
      <w:r>
        <w:t xml:space="preserve">as de cotización a la seguridad social). </w:t>
      </w:r>
    </w:p>
    <w:p w:rsidR="00000000" w:rsidRDefault="00000000">
      <w:pPr>
        <w:pStyle w:val="SingleTxt"/>
        <w:tabs>
          <w:tab w:val="right" w:pos="1685"/>
        </w:tabs>
        <w:ind w:left="1742" w:hanging="475"/>
      </w:pPr>
      <w:r>
        <w:tab/>
        <w:t>•</w:t>
      </w:r>
      <w:r>
        <w:tab/>
        <w:t>Los hombres y las mujeres afiliados al IKA-TEAM y a los fondos especiales (por ejemplo, TAP-OTE –Organización Helénica del Fondo de Seguros del Personal de Telecomunicaciones–, OAP-DEI –Organización de Seguros del Personal de la Empresa Pública de Energía–, los Fondos de Seguros de los Bancos, etc.) tienen derecho, cualquiera que sea su edad, a percibir una pe</w:t>
      </w:r>
      <w:r>
        <w:t>n</w:t>
      </w:r>
      <w:r>
        <w:t>sión de jubilación sí han trab</w:t>
      </w:r>
      <w:r>
        <w:t>a</w:t>
      </w:r>
      <w:r>
        <w:t xml:space="preserve">jado más de 37 años u 11.100 días. </w:t>
      </w:r>
    </w:p>
    <w:p w:rsidR="00000000" w:rsidRDefault="00000000">
      <w:pPr>
        <w:pStyle w:val="SingleTxt"/>
        <w:tabs>
          <w:tab w:val="right" w:pos="1685"/>
        </w:tabs>
        <w:ind w:left="1742" w:hanging="475"/>
      </w:pPr>
      <w:r>
        <w:tab/>
        <w:t>•</w:t>
      </w:r>
      <w:r>
        <w:tab/>
        <w:t>En la edad para percibir una pensión de jubilación de los hombres afiliados a los fondos especiales se redujo en dos años armonizándola con la edad de j</w:t>
      </w:r>
      <w:r>
        <w:t>u</w:t>
      </w:r>
      <w:r>
        <w:t>bilación de las mujeres, de manera que las personas (de ambos sexos) afiliadas a alguno de esos fondos entre el 1º de enero de 1983 y el 31 de diciembre de 1992 tienen derecho a percibir una pensión de jubilación al cumplir los 58 años de edad o al cabo de 35 años de cotización.</w:t>
      </w:r>
    </w:p>
    <w:p w:rsidR="00000000" w:rsidRDefault="00000000">
      <w:pPr>
        <w:pStyle w:val="SingleTxt"/>
        <w:numPr>
          <w:ilvl w:val="0"/>
          <w:numId w:val="63"/>
        </w:numPr>
      </w:pPr>
      <w:r>
        <w:t>La Ley 3232/2004</w:t>
      </w:r>
      <w:r>
        <w:rPr>
          <w:i/>
        </w:rPr>
        <w:t xml:space="preserve"> </w:t>
      </w:r>
      <w:r>
        <w:t>dispone que las personas divorciadas podrán recibir una parte de la pensión de su difunto ex marido o su difunta ex mujer y que tienen der</w:t>
      </w:r>
      <w:r>
        <w:t>e</w:t>
      </w:r>
      <w:r>
        <w:t>cho a una pensión de viudedad. Los principales requisitos son los siguientes:</w:t>
      </w:r>
    </w:p>
    <w:p w:rsidR="00000000" w:rsidRDefault="00000000">
      <w:pPr>
        <w:pStyle w:val="SingleTxt"/>
        <w:tabs>
          <w:tab w:val="right" w:pos="1685"/>
        </w:tabs>
        <w:ind w:left="1742" w:hanging="475"/>
      </w:pPr>
      <w:r>
        <w:tab/>
        <w:t>•</w:t>
      </w:r>
      <w:r>
        <w:tab/>
        <w:t>La persona divorciada debe haber cumplido los 65 años de edad o tener una incap</w:t>
      </w:r>
      <w:r>
        <w:t>a</w:t>
      </w:r>
      <w:r>
        <w:t xml:space="preserve">cidad para trabajar de más del 67%. </w:t>
      </w:r>
    </w:p>
    <w:p w:rsidR="00000000" w:rsidRDefault="00000000">
      <w:pPr>
        <w:pStyle w:val="SingleTxt"/>
        <w:tabs>
          <w:tab w:val="right" w:pos="1685"/>
        </w:tabs>
        <w:ind w:left="1742" w:hanging="475"/>
      </w:pPr>
      <w:r>
        <w:tab/>
        <w:t>•</w:t>
      </w:r>
      <w:r>
        <w:tab/>
        <w:t xml:space="preserve">Además, la persona divorciada debe haber convivido con su ex cónyuge más </w:t>
      </w:r>
      <w:r>
        <w:rPr>
          <w:spacing w:val="2"/>
        </w:rPr>
        <w:t>de 15 años antes de que el tribunal dictara una sentencia irrevocable de divo</w:t>
      </w:r>
      <w:r>
        <w:rPr>
          <w:spacing w:val="2"/>
        </w:rPr>
        <w:t>r</w:t>
      </w:r>
      <w:r>
        <w:t>cio.</w:t>
      </w:r>
    </w:p>
    <w:p w:rsidR="00000000" w:rsidRDefault="00000000">
      <w:pPr>
        <w:pStyle w:val="SingleTxt"/>
        <w:tabs>
          <w:tab w:val="right" w:pos="1685"/>
        </w:tabs>
        <w:ind w:left="1742" w:hanging="475"/>
      </w:pPr>
      <w:r>
        <w:tab/>
        <w:t>•</w:t>
      </w:r>
      <w:r>
        <w:tab/>
        <w:t>En el momento de su defunción, el ex marido o la ex mujer tenían que estar pagando una pensión de alimentos determinada en virtud de una orden del tr</w:t>
      </w:r>
      <w:r>
        <w:t>i</w:t>
      </w:r>
      <w:r>
        <w:t>bunal o por contrato entre los ex cónyuges.</w:t>
      </w:r>
    </w:p>
    <w:p w:rsidR="00000000" w:rsidRDefault="00000000">
      <w:pPr>
        <w:pStyle w:val="SingleTxt"/>
        <w:tabs>
          <w:tab w:val="right" w:pos="1685"/>
        </w:tabs>
        <w:ind w:left="1742" w:hanging="475"/>
      </w:pPr>
      <w:r>
        <w:tab/>
        <w:t>•</w:t>
      </w:r>
      <w:r>
        <w:tab/>
        <w:t>El divorcio no puede ser consecuencia de un grave perjuicio ocasionado a la vida conyugal por el solicitante de la pensión de viudedad.</w:t>
      </w:r>
    </w:p>
    <w:p w:rsidR="00000000" w:rsidRDefault="00000000">
      <w:pPr>
        <w:pStyle w:val="SingleTxt"/>
        <w:tabs>
          <w:tab w:val="right" w:pos="1685"/>
        </w:tabs>
        <w:ind w:left="1742" w:hanging="475"/>
      </w:pPr>
      <w:r>
        <w:tab/>
        <w:t>•</w:t>
      </w:r>
      <w:r>
        <w:tab/>
        <w:t>El solicitante de la pensión de viudedad no debe haber contraído nuevamente m</w:t>
      </w:r>
      <w:r>
        <w:t>a</w:t>
      </w:r>
      <w:r>
        <w:t xml:space="preserve">trimonio. </w:t>
      </w:r>
    </w:p>
    <w:p w:rsidR="00000000" w:rsidRDefault="00000000">
      <w:pPr>
        <w:pStyle w:val="SingleTxt"/>
        <w:tabs>
          <w:tab w:val="right" w:pos="1685"/>
        </w:tabs>
        <w:ind w:left="1742" w:hanging="475"/>
      </w:pPr>
      <w:r>
        <w:tab/>
        <w:t>•</w:t>
      </w:r>
      <w:r>
        <w:tab/>
        <w:t>La base total de ingresos personales anuales imponibles no debe superar el monto de la pensión anual que paga la OGA (Organización del Seguro Agr</w:t>
      </w:r>
      <w:r>
        <w:t>a</w:t>
      </w:r>
      <w:r>
        <w:t>rio) a los ancianos no af</w:t>
      </w:r>
      <w:r>
        <w:t>i</w:t>
      </w:r>
      <w:r>
        <w:t xml:space="preserve">liados a un seguro. </w:t>
      </w:r>
    </w:p>
    <w:p w:rsidR="00000000" w:rsidRDefault="00000000">
      <w:pPr>
        <w:pStyle w:val="SingleTxt"/>
      </w:pPr>
      <w:r>
        <w:tab/>
        <w:t>El monto de la pensión que tiene derecho a percibir la persona divorciada se determina de la s</w:t>
      </w:r>
      <w:r>
        <w:t>i</w:t>
      </w:r>
      <w:r>
        <w:t>guiente forma:</w:t>
      </w:r>
    </w:p>
    <w:p w:rsidR="00000000" w:rsidRDefault="00000000">
      <w:pPr>
        <w:pStyle w:val="SingleTxt"/>
        <w:tabs>
          <w:tab w:val="right" w:pos="1685"/>
        </w:tabs>
        <w:ind w:left="1742" w:hanging="475"/>
      </w:pPr>
      <w:r>
        <w:tab/>
        <w:t>•</w:t>
      </w:r>
      <w:r>
        <w:tab/>
        <w:t>En caso de fallecimiento, la pensión de viudedad se divide entre el cónyuge y el ex cónyuge del difunto a razón del 70% y el 30%, respectivamente. Si el primer matrimonio ha durado más de 25 años, la pensión de viudedad se r</w:t>
      </w:r>
      <w:r>
        <w:t>e</w:t>
      </w:r>
      <w:r>
        <w:t xml:space="preserve">parte a razón de un 60% para el cónyuge y un 40% para el ex cónyuge. </w:t>
      </w:r>
    </w:p>
    <w:p w:rsidR="00000000" w:rsidRDefault="00000000">
      <w:pPr>
        <w:pStyle w:val="SingleTxt"/>
        <w:tabs>
          <w:tab w:val="right" w:pos="1685"/>
        </w:tabs>
        <w:ind w:left="1742" w:hanging="475"/>
      </w:pPr>
      <w:r>
        <w:tab/>
        <w:t>•</w:t>
      </w:r>
      <w:r>
        <w:tab/>
        <w:t>En caso de que haya más de un beneficiario, la pensión se divide a partes iguales entre ellos (con arreglo a los porcentajes mencionados).</w:t>
      </w:r>
    </w:p>
    <w:p w:rsidR="00000000" w:rsidRDefault="00000000">
      <w:pPr>
        <w:pStyle w:val="SingleTxt"/>
        <w:numPr>
          <w:ilvl w:val="0"/>
          <w:numId w:val="63"/>
        </w:numPr>
      </w:pPr>
      <w:r>
        <w:t>La misma Ley (3232/2004) establece las pensiones de jubilación pagaderas por los principales fondos de seguros (que dependen del Ministerio de Trabajo y Protección Social) a las madres aseguradas que tengan hijos que sufran una discap</w:t>
      </w:r>
      <w:r>
        <w:t>a</w:t>
      </w:r>
      <w:r>
        <w:t>cidad de más del 80%, y a los asegurados cuyos cónyuges tengan una discapacidad de más del 60%, cualquiera que sea su edad, tras haber cotizado al seguro durante 25 años o haber trabajado 7.500 días. Los cónyuges que se acogen a esa disposición tienen que haber convivido con el discapacitado más de diez años para poder sol</w:t>
      </w:r>
      <w:r>
        <w:t>i</w:t>
      </w:r>
      <w:r>
        <w:t>citar la pe</w:t>
      </w:r>
      <w:r>
        <w:t>n</w:t>
      </w:r>
      <w:r>
        <w:t>sión.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116885442"/>
      <w:r>
        <w:tab/>
        <w:t>IV.</w:t>
      </w:r>
      <w:r>
        <w:tab/>
        <w:t>Salud y bienestar social</w:t>
      </w:r>
      <w:bookmarkEnd w:id="5"/>
    </w:p>
    <w:p w:rsidR="00000000" w:rsidRDefault="00000000">
      <w:pPr>
        <w:pStyle w:val="SingleTxt"/>
        <w:spacing w:after="0" w:line="120" w:lineRule="exact"/>
        <w:rPr>
          <w:sz w:val="10"/>
        </w:rPr>
      </w:pPr>
    </w:p>
    <w:p w:rsidR="00000000" w:rsidRDefault="00000000">
      <w:pPr>
        <w:pStyle w:val="SingleTxt"/>
        <w:numPr>
          <w:ilvl w:val="0"/>
          <w:numId w:val="63"/>
        </w:numPr>
      </w:pPr>
      <w:r>
        <w:t>La Ley 3089/2002 sobre “reproducción asistida”, establece las condiciones y los requisitos para la inseminación artificial y permite a las mujeres solteras tener hijos por ese medio.</w:t>
      </w:r>
    </w:p>
    <w:p w:rsidR="00000000" w:rsidRDefault="00000000">
      <w:pPr>
        <w:pStyle w:val="SingleTxt"/>
        <w:numPr>
          <w:ilvl w:val="0"/>
          <w:numId w:val="63"/>
        </w:numPr>
      </w:pPr>
      <w:r>
        <w:t>Con el nuevo Reglamento de prestaciones de la Organización del Seguro M</w:t>
      </w:r>
      <w:r>
        <w:t>é</w:t>
      </w:r>
      <w:r>
        <w:t>dico de los Funcionarios Público</w:t>
      </w:r>
      <w:r>
        <w:rPr>
          <w:i/>
        </w:rPr>
        <w:t xml:space="preserve">s </w:t>
      </w:r>
      <w:r>
        <w:t>(OPAD)</w:t>
      </w:r>
      <w:r>
        <w:rPr>
          <w:rStyle w:val="FootnoteReference"/>
        </w:rPr>
        <w:footnoteReference w:id="6"/>
      </w:r>
      <w:r>
        <w:t>, se han suprimido todas las formas de discriminación de género en relación con las personas (familiares) comprendidas en el seguro del afiliado que tienen derecho a recibir atención médica a expensas de la Org</w:t>
      </w:r>
      <w:r>
        <w:t>a</w:t>
      </w:r>
      <w:r>
        <w:t xml:space="preserve">nización. </w:t>
      </w:r>
    </w:p>
    <w:p w:rsidR="00000000" w:rsidRDefault="00000000">
      <w:pPr>
        <w:pStyle w:val="SingleTxt"/>
        <w:numPr>
          <w:ilvl w:val="0"/>
          <w:numId w:val="63"/>
        </w:numPr>
      </w:pPr>
      <w:r>
        <w:t>En virtud de la Ley 3163/2002, el Centro Nacional de Atención Social de Emergencia (EKAKV) se ha convertido en una institución independiente de derecho público (NPDD), con sede en Atenas y sujeta a la supervisión y el control del M</w:t>
      </w:r>
      <w:r>
        <w:t>i</w:t>
      </w:r>
      <w:r>
        <w:t>nisterio de Sanidad y Bienestar Social. El EKAKV se propone ampliar sus servicios a todas las regiones de Grecia creando una red de estructuras y recursos humanos que cubra también todas las necesidades que vayan surgiendo, como las relacion</w:t>
      </w:r>
      <w:r>
        <w:t>a</w:t>
      </w:r>
      <w:r>
        <w:t>das con las víctimas de la trata de seres humanos y las mujeres maltratadas</w:t>
      </w:r>
      <w:r>
        <w:rPr>
          <w:rStyle w:val="FootnoteReference"/>
        </w:rPr>
        <w:footnoteReference w:id="7"/>
      </w:r>
      <w:r>
        <w:t>.</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116885443"/>
      <w:r>
        <w:tab/>
        <w:t>V.</w:t>
      </w:r>
      <w:r>
        <w:tab/>
        <w:t>La violencia contra la mujer</w:t>
      </w:r>
      <w:bookmarkEnd w:id="6"/>
    </w:p>
    <w:p w:rsidR="00000000" w:rsidRDefault="00000000">
      <w:pPr>
        <w:pStyle w:val="SingleTxt"/>
        <w:spacing w:after="0" w:line="120" w:lineRule="exact"/>
        <w:rPr>
          <w:sz w:val="10"/>
        </w:rPr>
      </w:pPr>
    </w:p>
    <w:p w:rsidR="00000000" w:rsidRDefault="00000000">
      <w:pPr>
        <w:pStyle w:val="SingleTxt"/>
        <w:numPr>
          <w:ilvl w:val="0"/>
          <w:numId w:val="63"/>
        </w:numPr>
      </w:pPr>
      <w:r>
        <w:t>La Ley 3064/2002 regula la lucha contra la trata de seres humanos, los delitos contra la libertad sexual, la pornografía infantil y, en general, la explotación econ</w:t>
      </w:r>
      <w:r>
        <w:t>ó</w:t>
      </w:r>
      <w:r>
        <w:t>mica de la vida sexual</w:t>
      </w:r>
      <w:r>
        <w:rPr>
          <w:rStyle w:val="FootnoteReference"/>
        </w:rPr>
        <w:footnoteReference w:id="8"/>
      </w:r>
      <w:r>
        <w:t>. En particular, esta Ley:</w:t>
      </w:r>
    </w:p>
    <w:p w:rsidR="00000000" w:rsidRDefault="00000000">
      <w:pPr>
        <w:pStyle w:val="SingleTxt"/>
        <w:tabs>
          <w:tab w:val="right" w:pos="1685"/>
        </w:tabs>
        <w:ind w:left="1742" w:hanging="475"/>
      </w:pPr>
      <w:r>
        <w:tab/>
        <w:t>•</w:t>
      </w:r>
      <w:r>
        <w:tab/>
        <w:t>Tiene en cuenta no sólo la trata de personas sino también otras formas mode</w:t>
      </w:r>
      <w:r>
        <w:t>r</w:t>
      </w:r>
      <w:r>
        <w:t>nas de tráfico de seres humanos, concretamente el que tiene por objeto la a) explotación laboral y la b) explotación sexual. La mayoría de los delitos con</w:t>
      </w:r>
      <w:r>
        <w:t>e</w:t>
      </w:r>
      <w:r>
        <w:t>xos están tipificados como delitos gr</w:t>
      </w:r>
      <w:r>
        <w:t>a</w:t>
      </w:r>
      <w:r>
        <w:t>ves.</w:t>
      </w:r>
    </w:p>
    <w:p w:rsidR="00000000" w:rsidRDefault="00000000">
      <w:pPr>
        <w:pStyle w:val="SingleTxt"/>
        <w:tabs>
          <w:tab w:val="right" w:pos="1685"/>
        </w:tabs>
        <w:ind w:left="1742" w:hanging="475"/>
      </w:pPr>
      <w:r>
        <w:tab/>
        <w:t>•</w:t>
      </w:r>
      <w:r>
        <w:tab/>
        <w:t>Prevé penas severas, que en algunos casos pueden ser de prisión a perpetuidad por delitos conexos. Garantiza la misma protección a los hombres y a las m</w:t>
      </w:r>
      <w:r>
        <w:t>u</w:t>
      </w:r>
      <w:r>
        <w:t>jeres en esas cuestiones.</w:t>
      </w:r>
    </w:p>
    <w:p w:rsidR="00000000" w:rsidRDefault="00000000">
      <w:pPr>
        <w:pStyle w:val="SingleTxt"/>
        <w:tabs>
          <w:tab w:val="right" w:pos="1685"/>
        </w:tabs>
        <w:ind w:left="1742" w:hanging="475"/>
      </w:pPr>
      <w:r>
        <w:tab/>
        <w:t>•</w:t>
      </w:r>
      <w:r>
        <w:tab/>
        <w:t>Estipula que los delitos penales graves serán perseguidos de oficio.</w:t>
      </w:r>
    </w:p>
    <w:p w:rsidR="00000000" w:rsidRDefault="00000000">
      <w:pPr>
        <w:pStyle w:val="SingleTxt"/>
        <w:tabs>
          <w:tab w:val="right" w:pos="1685"/>
        </w:tabs>
        <w:ind w:left="1742" w:hanging="475"/>
      </w:pPr>
      <w:r>
        <w:tab/>
        <w:t>•</w:t>
      </w:r>
      <w:r>
        <w:tab/>
        <w:t>Estipula, por primera vez, que la pornografía infantil es delito.</w:t>
      </w:r>
    </w:p>
    <w:p w:rsidR="00000000" w:rsidRDefault="00000000">
      <w:pPr>
        <w:pStyle w:val="SingleTxt"/>
        <w:tabs>
          <w:tab w:val="right" w:pos="1685"/>
        </w:tabs>
        <w:ind w:left="1742" w:hanging="475"/>
      </w:pPr>
      <w:r>
        <w:tab/>
        <w:t>•</w:t>
      </w:r>
      <w:r>
        <w:tab/>
        <w:t>Califica los abusos sexuales cometidos por un adulto contra un menor media</w:t>
      </w:r>
      <w:r>
        <w:t>n</w:t>
      </w:r>
      <w:r>
        <w:rPr>
          <w:spacing w:val="6"/>
        </w:rPr>
        <w:t>do el pago de una cantidad de dinero como figura diferente de los casos de se</w:t>
      </w:r>
      <w:r>
        <w:t>du</w:t>
      </w:r>
      <w:r>
        <w:t>c</w:t>
      </w:r>
      <w:r>
        <w:t>ción.</w:t>
      </w:r>
    </w:p>
    <w:p w:rsidR="00000000" w:rsidRDefault="00000000">
      <w:pPr>
        <w:pStyle w:val="SingleTxt"/>
        <w:tabs>
          <w:tab w:val="right" w:pos="1685"/>
        </w:tabs>
        <w:ind w:left="1742" w:hanging="475"/>
      </w:pPr>
      <w:r>
        <w:tab/>
        <w:t>•</w:t>
      </w:r>
      <w:r>
        <w:tab/>
        <w:t>Añade al artículo 8 del Código Penal (normas de justicia general) los delitos de trata de personas y abusos sexuales de manera que éstos sean punibles au</w:t>
      </w:r>
      <w:r>
        <w:t>n</w:t>
      </w:r>
      <w:r>
        <w:t>que se cometan en el extranjero.</w:t>
      </w:r>
    </w:p>
    <w:p w:rsidR="00000000" w:rsidRDefault="00000000">
      <w:pPr>
        <w:pStyle w:val="SingleTxt"/>
        <w:tabs>
          <w:tab w:val="right" w:pos="1685"/>
        </w:tabs>
        <w:ind w:left="1742" w:hanging="475"/>
      </w:pPr>
      <w:r>
        <w:tab/>
        <w:t>•</w:t>
      </w:r>
      <w:r>
        <w:tab/>
        <w:t>Tipifica como delito la aceptación deliberada de los servicios prestados por víctimas de la trata de personas.</w:t>
      </w:r>
    </w:p>
    <w:p w:rsidR="00000000" w:rsidRDefault="00000000">
      <w:pPr>
        <w:pStyle w:val="SingleTxt"/>
        <w:tabs>
          <w:tab w:val="right" w:pos="1685"/>
        </w:tabs>
        <w:suppressAutoHyphens/>
        <w:ind w:left="1742" w:hanging="475"/>
      </w:pPr>
      <w:r>
        <w:tab/>
        <w:t>•</w:t>
      </w:r>
      <w:r>
        <w:tab/>
        <w:t>Dispone la protección de las víctimas de esos delitos. Se ha publicado el Decreto Presidencial 233/2003</w:t>
      </w:r>
      <w:r>
        <w:rPr>
          <w:rStyle w:val="FootnoteReference"/>
        </w:rPr>
        <w:footnoteReference w:id="9"/>
      </w:r>
      <w:r>
        <w:t xml:space="preserve"> relativo a la asistencia a las víctimas de esos d</w:t>
      </w:r>
      <w:r>
        <w:t>e</w:t>
      </w:r>
      <w:r>
        <w:t>litos.</w:t>
      </w:r>
    </w:p>
    <w:p w:rsidR="00000000" w:rsidRDefault="00000000">
      <w:pPr>
        <w:pStyle w:val="SingleTxt"/>
        <w:numPr>
          <w:ilvl w:val="0"/>
          <w:numId w:val="63"/>
        </w:numPr>
      </w:pPr>
      <w:r>
        <w:t>Según una disposición legislativa reciente (párrafo 7 del artículo 34 de la Ley 3274/2004) las víctimas de la trata de personas tienen derecho a un permiso de res</w:t>
      </w:r>
      <w:r>
        <w:t>i</w:t>
      </w:r>
      <w:r>
        <w:t>dencia y de trabajo por un periodo de seis meses, prorrogable por periodos de la misma duración hasta que el tribunal emita un fallo irrevocable.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Participación de las mujeres en los centros de adopción de decisiones</w:t>
      </w:r>
    </w:p>
    <w:p w:rsidR="00000000" w:rsidRDefault="00000000">
      <w:pPr>
        <w:pStyle w:val="SingleTxt"/>
        <w:spacing w:after="0" w:line="120" w:lineRule="exact"/>
        <w:rPr>
          <w:sz w:val="10"/>
        </w:rPr>
      </w:pPr>
    </w:p>
    <w:p w:rsidR="00000000" w:rsidRDefault="00000000">
      <w:pPr>
        <w:pStyle w:val="SingleTxt"/>
        <w:numPr>
          <w:ilvl w:val="0"/>
          <w:numId w:val="63"/>
        </w:numPr>
      </w:pPr>
      <w:r>
        <w:t>La Ley 2839/2000</w:t>
      </w:r>
      <w:r>
        <w:rPr>
          <w:i/>
        </w:rPr>
        <w:t xml:space="preserve"> </w:t>
      </w:r>
      <w:r>
        <w:t>estipula que ambos sexos participarán en las juntas de los departamentos de los servicios de la administración pública y los órganos de gestión colectiva de las organizaciones públicas y las organizaciones de la administración local</w:t>
      </w:r>
      <w:r>
        <w:rPr>
          <w:rStyle w:val="FootnoteReference"/>
        </w:rPr>
        <w:footnoteReference w:id="10"/>
      </w:r>
      <w:r>
        <w:t xml:space="preserve"> con una cuota de un tercio como mínimo de cada uno de ellos.</w:t>
      </w:r>
    </w:p>
    <w:p w:rsidR="00000000" w:rsidRDefault="00000000">
      <w:pPr>
        <w:pStyle w:val="SingleTxt"/>
        <w:numPr>
          <w:ilvl w:val="0"/>
          <w:numId w:val="63"/>
        </w:numPr>
        <w:rPr>
          <w:color w:val="000000"/>
        </w:rPr>
      </w:pPr>
      <w:r>
        <w:t>Ulteriormente, la Ley 2910/2001 estipula una participación de un tercio como mínimo de candidatos de cada sexo en las elecciones a las prefecturas y las elecci</w:t>
      </w:r>
      <w:r>
        <w:t>o</w:t>
      </w:r>
      <w:r>
        <w:t>nes municipales. Mediante una serie de decisiones, el Consejo de Estado (Tribunal Supremo Administrativo) ha determinado que esa disposición está en conformidad con la Constitución (párrafo 2 del artículo 116 revisado de la Constitución)</w:t>
      </w:r>
      <w:r>
        <w:rPr>
          <w:rStyle w:val="FootnoteReference"/>
        </w:rPr>
        <w:footnoteReference w:id="11"/>
      </w:r>
      <w:r>
        <w:rPr>
          <w:color w:val="000000"/>
        </w:rPr>
        <w:t>.</w:t>
      </w:r>
    </w:p>
    <w:p w:rsidR="00000000" w:rsidRDefault="00000000">
      <w:pPr>
        <w:pStyle w:val="SingleTxt"/>
        <w:tabs>
          <w:tab w:val="clear" w:pos="1742"/>
        </w:tabs>
        <w:spacing w:after="0" w:line="120" w:lineRule="exact"/>
        <w:ind w:left="0"/>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Nacionalidad y ciudadanía</w:t>
      </w:r>
    </w:p>
    <w:p w:rsidR="00000000" w:rsidRDefault="00000000">
      <w:pPr>
        <w:pStyle w:val="SingleTxt"/>
        <w:spacing w:after="0" w:line="120" w:lineRule="exact"/>
        <w:rPr>
          <w:sz w:val="10"/>
        </w:rPr>
      </w:pPr>
    </w:p>
    <w:p w:rsidR="00000000" w:rsidRDefault="00000000">
      <w:pPr>
        <w:pStyle w:val="SingleTxt"/>
        <w:numPr>
          <w:ilvl w:val="0"/>
          <w:numId w:val="63"/>
        </w:numPr>
      </w:pPr>
      <w:r>
        <w:t>Recientemente, la Ley 3284/2004</w:t>
      </w:r>
      <w:r>
        <w:rPr>
          <w:i/>
        </w:rPr>
        <w:t>,</w:t>
      </w:r>
      <w:r>
        <w:t xml:space="preserve"> relativa al Código de la Ciudadanía Griega, ha suprimido todas las antiguas disposiciones que discriminaban a las mujeres</w:t>
      </w:r>
      <w:r>
        <w:rPr>
          <w:rStyle w:val="FootnoteReference"/>
        </w:rPr>
        <w:footnoteReference w:id="12"/>
      </w:r>
      <w:r>
        <w:t>.</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Tratados internacionales</w:t>
      </w:r>
    </w:p>
    <w:p w:rsidR="00000000" w:rsidRDefault="00000000">
      <w:pPr>
        <w:pStyle w:val="SingleTxt"/>
        <w:spacing w:after="0" w:line="120" w:lineRule="exact"/>
        <w:rPr>
          <w:sz w:val="10"/>
        </w:rPr>
      </w:pPr>
    </w:p>
    <w:p w:rsidR="00000000" w:rsidRDefault="00000000">
      <w:pPr>
        <w:pStyle w:val="SingleTxt"/>
        <w:numPr>
          <w:ilvl w:val="0"/>
          <w:numId w:val="63"/>
        </w:numPr>
        <w:rPr>
          <w:color w:val="000000"/>
        </w:rPr>
      </w:pPr>
      <w:r>
        <w:t>Grecia figura entre los primeros 22 Estados que han firmado el Protocolo F</w:t>
      </w:r>
      <w:r>
        <w:t>a</w:t>
      </w:r>
      <w:r>
        <w:t>cultativo de la Convención sobre la eliminación de todas las formas de discrimin</w:t>
      </w:r>
      <w:r>
        <w:t>a</w:t>
      </w:r>
      <w:r>
        <w:t>ción contra la mujer, pues lo hizo el 10 de diciembre de 1999. Grecia ratificó ese Prot</w:t>
      </w:r>
      <w:r>
        <w:t>o</w:t>
      </w:r>
      <w:r>
        <w:t xml:space="preserve">colo en virtud de la Ley 2952/2001. </w:t>
      </w:r>
    </w:p>
    <w:p w:rsidR="00000000" w:rsidRDefault="00000000">
      <w:pPr>
        <w:pStyle w:val="SingleTxt"/>
        <w:tabs>
          <w:tab w:val="clear" w:pos="1742"/>
        </w:tabs>
        <w:spacing w:after="0" w:line="120" w:lineRule="exact"/>
        <w:ind w:left="0"/>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Armonización de la legislación nacional con la legislación comunitaria</w:t>
      </w:r>
    </w:p>
    <w:p w:rsidR="00000000" w:rsidRDefault="00000000">
      <w:pPr>
        <w:pStyle w:val="SingleTxt"/>
        <w:spacing w:after="0" w:line="120" w:lineRule="exact"/>
        <w:rPr>
          <w:sz w:val="10"/>
        </w:rPr>
      </w:pPr>
    </w:p>
    <w:p w:rsidR="00000000" w:rsidRDefault="00000000">
      <w:pPr>
        <w:pStyle w:val="SingleTxt"/>
        <w:numPr>
          <w:ilvl w:val="0"/>
          <w:numId w:val="63"/>
        </w:numPr>
      </w:pPr>
      <w:r>
        <w:t>En virtud del Decreto Presidencial 105/2003</w:t>
      </w:r>
      <w:r>
        <w:rPr>
          <w:i/>
        </w:rPr>
        <w:t>,</w:t>
      </w:r>
      <w:r>
        <w:t xml:space="preserve"> el ordenamiento jurídico griego se ha ajustado a las disposiciones de la directiva 97/80/EEC relativa a la importancia de la prueba de los casos de trato diferencial por razones de sexo.</w:t>
      </w:r>
    </w:p>
    <w:p w:rsidR="00000000" w:rsidRDefault="00000000">
      <w:pPr>
        <w:pStyle w:val="SingleTxt"/>
        <w:numPr>
          <w:ilvl w:val="0"/>
          <w:numId w:val="63"/>
        </w:numPr>
        <w:rPr>
          <w:snapToGrid w:val="0"/>
        </w:rPr>
      </w:pPr>
      <w:r>
        <w:t>El Decreto Presidencial 41/2003 complementa de la siguiente forma las disp</w:t>
      </w:r>
      <w:r>
        <w:t>o</w:t>
      </w:r>
      <w:r>
        <w:t>siciones del Decreto Presidencial</w:t>
      </w:r>
      <w:r>
        <w:rPr>
          <w:i/>
        </w:rPr>
        <w:t xml:space="preserve"> </w:t>
      </w:r>
      <w:r>
        <w:t>176/97 con el fin de ajustar la legislación griega a las disposiciones de la directiva 92/85/EEC relativa a “la adopción de medidas que promueven la mejora de la salud y la seguridad en el trabajo de las mujeres embar</w:t>
      </w:r>
      <w:r>
        <w:t>a</w:t>
      </w:r>
      <w:r>
        <w:t>zadas, que han dado a luz recientemente o que están amamantando”:</w:t>
      </w:r>
    </w:p>
    <w:p w:rsidR="00000000" w:rsidRDefault="00000000">
      <w:pPr>
        <w:pStyle w:val="SingleTxt"/>
        <w:tabs>
          <w:tab w:val="right" w:pos="1685"/>
        </w:tabs>
        <w:ind w:left="1742" w:hanging="475"/>
      </w:pPr>
      <w:r>
        <w:tab/>
        <w:t>•</w:t>
      </w:r>
      <w:r>
        <w:tab/>
        <w:t>Su aplicación se extiende al personal de las Fuerzas Armadas y al personal de serv</w:t>
      </w:r>
      <w:r>
        <w:t>i</w:t>
      </w:r>
      <w:r>
        <w:t>cio doméstico.</w:t>
      </w:r>
    </w:p>
    <w:p w:rsidR="00000000" w:rsidRDefault="00000000">
      <w:pPr>
        <w:pStyle w:val="SingleTxt"/>
        <w:tabs>
          <w:tab w:val="right" w:pos="1685"/>
        </w:tabs>
        <w:ind w:left="1742" w:hanging="475"/>
        <w:rPr>
          <w:snapToGrid w:val="0"/>
        </w:rPr>
      </w:pPr>
      <w:r>
        <w:tab/>
        <w:t>•</w:t>
      </w:r>
      <w:r>
        <w:tab/>
        <w:t>Se complementan las disposiciones del artículo 2 del Decreto Presidencial 176/97 relativas a la aplicación del Decreto por lo que respecta a la adopción por el empleador de medidas positivas en favor de las trabajadoras embaraz</w:t>
      </w:r>
      <w:r>
        <w:t>a</w:t>
      </w:r>
      <w:r>
        <w:t>das, que hayan dado a luz recientemente o estén amamantando.</w:t>
      </w:r>
    </w:p>
    <w:p w:rsidR="00000000" w:rsidRDefault="00000000">
      <w:pPr>
        <w:pStyle w:val="SingleTxt"/>
        <w:tabs>
          <w:tab w:val="right" w:pos="1685"/>
        </w:tabs>
        <w:ind w:left="1742" w:hanging="475"/>
        <w:rPr>
          <w:snapToGrid w:val="0"/>
        </w:rPr>
      </w:pPr>
      <w:r>
        <w:rPr>
          <w:snapToGrid w:val="0"/>
        </w:rPr>
        <w:tab/>
        <w:t>•</w:t>
      </w:r>
      <w:r>
        <w:rPr>
          <w:snapToGrid w:val="0"/>
        </w:rPr>
        <w:tab/>
        <w:t>Se sustituyen los artículos 8 (licencia de maternidad) 11 (derechos relacion</w:t>
      </w:r>
      <w:r>
        <w:rPr>
          <w:snapToGrid w:val="0"/>
        </w:rPr>
        <w:t>a</w:t>
      </w:r>
      <w:r>
        <w:rPr>
          <w:snapToGrid w:val="0"/>
        </w:rPr>
        <w:t>dos con el contrato de trabajo).</w:t>
      </w:r>
    </w:p>
    <w:p w:rsidR="00000000" w:rsidRDefault="00000000">
      <w:pPr>
        <w:pStyle w:val="SingleTxt"/>
        <w:numPr>
          <w:ilvl w:val="0"/>
          <w:numId w:val="63"/>
        </w:numPr>
        <w:rPr>
          <w:snapToGrid w:val="0"/>
        </w:rPr>
      </w:pPr>
      <w:r>
        <w:t>El Decreto Presidencial</w:t>
      </w:r>
      <w:r>
        <w:rPr>
          <w:i/>
        </w:rPr>
        <w:t xml:space="preserve"> </w:t>
      </w:r>
      <w:r>
        <w:t>87/2002</w:t>
      </w:r>
      <w:r>
        <w:rPr>
          <w:i/>
        </w:rPr>
        <w:t xml:space="preserve"> </w:t>
      </w:r>
      <w:r>
        <w:t>incorpora a la legislación griega las directivas 86/378/EEC y 96/97/EC relativas a la aplicación del principio de igualdad de trato de hombres y mujeres en los sistemas de seguridad social. Este principio quedará r</w:t>
      </w:r>
      <w:r>
        <w:t>e</w:t>
      </w:r>
      <w:r>
        <w:t>flejado en los estatutos de los fondos de seguros relacionados con el empleo que puedan crearse en el futuro.</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r>
        <w:rPr>
          <w:snapToGrid w:val="0"/>
        </w:rPr>
        <w:tab/>
        <w:t>X.</w:t>
      </w:r>
      <w:r>
        <w:rPr>
          <w:snapToGrid w:val="0"/>
        </w:rPr>
        <w:tab/>
        <w:t>Mecanismos nacionales para la promoción de la igualdad de género</w:t>
      </w:r>
    </w:p>
    <w:p w:rsidR="00000000" w:rsidRDefault="00000000">
      <w:pPr>
        <w:pStyle w:val="SingleTxt"/>
        <w:spacing w:after="0" w:line="120" w:lineRule="exact"/>
        <w:rPr>
          <w:sz w:val="10"/>
        </w:rPr>
      </w:pPr>
    </w:p>
    <w:p w:rsidR="00000000" w:rsidRDefault="00000000">
      <w:pPr>
        <w:pStyle w:val="SingleTxt"/>
        <w:numPr>
          <w:ilvl w:val="0"/>
          <w:numId w:val="63"/>
        </w:numPr>
      </w:pPr>
      <w:r>
        <w:t>En virtud de una orden del Primer Ministro se ha creado el Comité Interm</w:t>
      </w:r>
      <w:r>
        <w:t>i</w:t>
      </w:r>
      <w:r>
        <w:t>nisterial para la Igualdad de Género</w:t>
      </w:r>
      <w:r>
        <w:rPr>
          <w:rStyle w:val="FootnoteReference"/>
        </w:rPr>
        <w:footnoteReference w:id="13"/>
      </w:r>
      <w:r>
        <w:t>. Entre las labores del Comité figuran las s</w:t>
      </w:r>
      <w:r>
        <w:t>i</w:t>
      </w:r>
      <w:r>
        <w:t>guientes:</w:t>
      </w:r>
    </w:p>
    <w:p w:rsidR="00000000" w:rsidRDefault="00000000">
      <w:pPr>
        <w:pStyle w:val="SingleTxt"/>
        <w:tabs>
          <w:tab w:val="right" w:pos="1685"/>
        </w:tabs>
        <w:ind w:left="1742" w:hanging="475"/>
      </w:pPr>
      <w:r>
        <w:tab/>
        <w:t>•</w:t>
      </w:r>
      <w:r>
        <w:tab/>
        <w:t>Tomar decisiones en relación con el adelanto de la política nacional en materia de igualdad de género en el contexto de la Unión Europea y de las directrices de las organizaciones internacionales encaminadas a incorporar una perspect</w:t>
      </w:r>
      <w:r>
        <w:t>i</w:t>
      </w:r>
      <w:r>
        <w:t>va de género a todas las políticas.</w:t>
      </w:r>
    </w:p>
    <w:p w:rsidR="00000000" w:rsidRDefault="00000000">
      <w:pPr>
        <w:pStyle w:val="SingleTxt"/>
        <w:tabs>
          <w:tab w:val="right" w:pos="1685"/>
        </w:tabs>
        <w:ind w:left="1742" w:hanging="475"/>
      </w:pPr>
      <w:r>
        <w:tab/>
        <w:t>•</w:t>
      </w:r>
      <w:r>
        <w:tab/>
        <w:t>Coordinar a los ministerios y a los operadores del sector público en relación con la elaboración de políticas y la adopción de medidas en favor de la mujer a nivel ce</w:t>
      </w:r>
      <w:r>
        <w:t>n</w:t>
      </w:r>
      <w:r>
        <w:t>tral, regional y local.</w:t>
      </w:r>
    </w:p>
    <w:p w:rsidR="00000000" w:rsidRDefault="00000000">
      <w:pPr>
        <w:pStyle w:val="SingleTxt"/>
        <w:tabs>
          <w:tab w:val="right" w:pos="1685"/>
        </w:tabs>
        <w:ind w:left="1742" w:hanging="475"/>
      </w:pPr>
      <w:r>
        <w:tab/>
        <w:t>•</w:t>
      </w:r>
      <w:r>
        <w:tab/>
        <w:t>El Comité Interministerial ha preparado y compilado el Programa Nacional de A</w:t>
      </w:r>
      <w:r>
        <w:t>c</w:t>
      </w:r>
      <w:r>
        <w:t>ción para Promover la Igualdad de Género para el periodo 2001-2006.</w:t>
      </w:r>
    </w:p>
    <w:p w:rsidR="00000000" w:rsidRDefault="00000000">
      <w:pPr>
        <w:pStyle w:val="SingleTxt"/>
        <w:numPr>
          <w:ilvl w:val="0"/>
          <w:numId w:val="63"/>
        </w:numPr>
      </w:pPr>
      <w:r>
        <w:rPr>
          <w:color w:val="000000"/>
        </w:rPr>
        <w:t xml:space="preserve">Desde 2002, y en el contexto de los procedimientos del Parlamento de Grecia, está en funcionamiento un </w:t>
      </w:r>
      <w:r>
        <w:rPr>
          <w:i/>
        </w:rPr>
        <w:t>Comité Parlamentario Permanente para la Igualdad y los Derechos Humanos</w:t>
      </w:r>
      <w:r>
        <w:rPr>
          <w:rStyle w:val="FootnoteReference"/>
        </w:rPr>
        <w:footnoteReference w:id="14"/>
      </w:r>
      <w:r>
        <w:rPr>
          <w:i/>
        </w:rPr>
        <w:t>.</w:t>
      </w:r>
      <w:r>
        <w:t xml:space="preserve"> Ese Comité se centra en el estudio, la investigación y la formulación de propuestas relativas a la promoción del principio de la igualdad de género en la educación, la familia y otras instituciones sociales, y en su garantía y aplicación por parte de la administración pública, especialmente en cuestiones rel</w:t>
      </w:r>
      <w:r>
        <w:t>a</w:t>
      </w:r>
      <w:r>
        <w:t>cionadas con el empleo y el respeto y la protección de los derechos humanos de co</w:t>
      </w:r>
      <w:r>
        <w:t>n</w:t>
      </w:r>
      <w:r>
        <w:t>formidad con el párrafo 2 del artículo 4 y el párrafo 2 del artículo 116 de la Const</w:t>
      </w:r>
      <w:r>
        <w:t>i</w:t>
      </w:r>
      <w:r>
        <w:t>tución.</w:t>
      </w:r>
    </w:p>
    <w:p w:rsidR="00000000" w:rsidRDefault="00000000">
      <w:pPr>
        <w:pStyle w:val="SingleTxt"/>
        <w:numPr>
          <w:ilvl w:val="0"/>
          <w:numId w:val="63"/>
        </w:numPr>
      </w:pPr>
      <w:r>
        <w:t>En virtud del Decreto Presidencial 39/2004 se ha creado la Oficina de la Igua</w:t>
      </w:r>
      <w:r>
        <w:t>l</w:t>
      </w:r>
      <w:r>
        <w:rPr>
          <w:spacing w:val="2"/>
          <w:w w:val="101"/>
        </w:rPr>
        <w:t>dad de Género del Cuartel General del Ministerio de Defensa Nacional</w:t>
      </w:r>
      <w:r>
        <w:rPr>
          <w:rStyle w:val="FootnoteReference"/>
          <w:spacing w:val="2"/>
          <w:w w:val="101"/>
        </w:rPr>
        <w:footnoteReference w:id="15"/>
      </w:r>
      <w:r>
        <w:rPr>
          <w:spacing w:val="2"/>
          <w:w w:val="101"/>
        </w:rPr>
        <w:t>. El man</w:t>
      </w:r>
      <w:r>
        <w:t>dato de la Oficina consiste en a) reunir, gestionar y procesar datos e información, de co</w:t>
      </w:r>
      <w:r>
        <w:t>n</w:t>
      </w:r>
      <w:r>
        <w:t>formidad con el reglamento, sobre asuntos relacionados con la igualdad de género entre el personal militar de las Fuerzas Armadas de Grecia, y de las fuerzas armadas de otros Estados miembros de la Unión Europea, la Organización del Tratado del Atlántico Norte y otras organizaciones internacionales, b) formular propuestas in</w:t>
      </w:r>
      <w:r>
        <w:t>s</w:t>
      </w:r>
      <w:r>
        <w:t>titucionales y promover la adopción de las medidas necesarias para aplicar el princ</w:t>
      </w:r>
      <w:r>
        <w:t>i</w:t>
      </w:r>
      <w:r>
        <w:t>pio de la igualdad de género en los asuntos que atañen al personal militar de las fuerzas armadas del país, y c) colaborar con la Secretaría General para la Igualdad de Género y el Cuartel General y todos los demás departamentos del Ministerio de Defensa Nacional en cuestiones relacionadas con la igualdad de género.</w:t>
      </w:r>
    </w:p>
    <w:p w:rsidR="00000000" w:rsidRDefault="00000000">
      <w:pPr>
        <w:pStyle w:val="SingleTxt"/>
        <w:tabs>
          <w:tab w:val="right" w:pos="1685"/>
        </w:tabs>
        <w:ind w:left="1742" w:hanging="475"/>
      </w:pPr>
      <w:r>
        <w:tab/>
        <w:t>•</w:t>
      </w:r>
      <w:r>
        <w:tab/>
        <w:t>En el contexto del funcionamiento de la Oficina mencionada, el personal m</w:t>
      </w:r>
      <w:r>
        <w:t>i</w:t>
      </w:r>
      <w:r>
        <w:t>litar de las Fuerzas Armadas puede recurrir por la vía jerárquica a la Oficina de la Igualdad de Género para plantear cualquier problema que pueda surgir en su vida cotidiana en el ejército en relación con la igualdad de género.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Asistencia letrada</w:t>
      </w:r>
    </w:p>
    <w:p w:rsidR="00000000" w:rsidRDefault="00000000">
      <w:pPr>
        <w:pStyle w:val="SingleTxt"/>
        <w:spacing w:after="0" w:line="120" w:lineRule="exact"/>
        <w:rPr>
          <w:sz w:val="10"/>
        </w:rPr>
      </w:pPr>
    </w:p>
    <w:p w:rsidR="00000000" w:rsidRDefault="00000000">
      <w:pPr>
        <w:pStyle w:val="SingleTxt"/>
        <w:numPr>
          <w:ilvl w:val="0"/>
          <w:numId w:val="63"/>
        </w:numPr>
      </w:pPr>
      <w:r>
        <w:t>La Le</w:t>
      </w:r>
      <w:r>
        <w:rPr>
          <w:i/>
        </w:rPr>
        <w:t xml:space="preserve">y </w:t>
      </w:r>
      <w:r>
        <w:t>3226/2004 sobre “Prestación de asistencia letrada a los ciudadanos de bajos ingresos” dispone, entre otras cosas, lo siguiente:</w:t>
      </w:r>
    </w:p>
    <w:p w:rsidR="00000000" w:rsidRDefault="00000000">
      <w:pPr>
        <w:pStyle w:val="SingleTxt"/>
        <w:tabs>
          <w:tab w:val="right" w:pos="1685"/>
        </w:tabs>
        <w:spacing w:line="230" w:lineRule="exact"/>
        <w:ind w:left="1742" w:hanging="475"/>
      </w:pPr>
      <w:r>
        <w:tab/>
        <w:t>•</w:t>
      </w:r>
      <w:r>
        <w:tab/>
        <w:t>Los ciudadanos de bajos ingresos de cualquier Estado miembro de la Unión Europea tienen derecho a recibir asistencia letrada. Los ciudadanos de bajos ingresos de terceros países también tienen derecho a recibir asistencia letrada a co</w:t>
      </w:r>
      <w:r>
        <w:t>n</w:t>
      </w:r>
      <w:r>
        <w:t xml:space="preserve">dición de que residan legal o habitualmente en la Unión Europea. </w:t>
      </w:r>
    </w:p>
    <w:p w:rsidR="00000000" w:rsidRDefault="00000000">
      <w:pPr>
        <w:pStyle w:val="SingleTxt"/>
        <w:tabs>
          <w:tab w:val="right" w:pos="1685"/>
        </w:tabs>
        <w:spacing w:line="230" w:lineRule="exact"/>
        <w:ind w:left="1742" w:hanging="475"/>
        <w:rPr>
          <w:color w:val="000000"/>
        </w:rPr>
      </w:pPr>
      <w:r>
        <w:tab/>
        <w:t>•</w:t>
      </w:r>
      <w:r>
        <w:tab/>
        <w:t>Los ciudadanos de bajos ingresos que tienen derecho a recibir asistencia letr</w:t>
      </w:r>
      <w:r>
        <w:t>a</w:t>
      </w:r>
      <w:r>
        <w:t>da son aquellos cuyos ingresos anuales no superen las dos terceras partes del salario mínimo anual establecido en el Convenio Colectivo Laboral Nacional General. En los casos de diferencias y disputas familiares, no se tienen en co</w:t>
      </w:r>
      <w:r>
        <w:t>n</w:t>
      </w:r>
      <w:r>
        <w:t>sideración los ingresos de la persona objeto de la diferencia</w:t>
      </w:r>
      <w:r>
        <w:rPr>
          <w:color w:val="000000"/>
        </w:rPr>
        <w:t>.</w:t>
      </w:r>
    </w:p>
    <w:p w:rsidR="00000000" w:rsidRDefault="00000000">
      <w:pPr>
        <w:pStyle w:val="SingleTxt"/>
        <w:numPr>
          <w:ilvl w:val="0"/>
          <w:numId w:val="63"/>
        </w:numPr>
      </w:pPr>
      <w:r>
        <w:t>El Centro de Investigación para la Igualdad de Género –K.E.TH.I– (entidad pública dependiente de la Secretaría General para la Igualdad de Género) ofrece a las mujeres servicios de información y asesoría jurídica gratuitos con el fin de ay</w:t>
      </w:r>
      <w:r>
        <w:t>u</w:t>
      </w:r>
      <w:r>
        <w:t>darlas a ejercer sus derechos. Entre enero de 2000 y agosto 2004 los consultorios del K.E.TH.I. (Atenas, Tesalónica, Patra, Heraklion y Volos) recibieron 6.715 solicit</w:t>
      </w:r>
      <w:r>
        <w:t>u</w:t>
      </w:r>
      <w:r>
        <w:t>des de asesoramiento jurídico de mujeres, con las que mantuvieron 11.868 entrevi</w:t>
      </w:r>
      <w:r>
        <w:t>s</w:t>
      </w:r>
      <w:r>
        <w:t>tas (en persona o por teléfono).</w:t>
      </w:r>
    </w:p>
    <w:p w:rsidR="00000000" w:rsidRDefault="00000000">
      <w:pPr>
        <w:pStyle w:val="SingleTxt"/>
        <w:numPr>
          <w:ilvl w:val="0"/>
          <w:numId w:val="63"/>
        </w:numPr>
      </w:pPr>
      <w:r>
        <w:t>En el marco de los programas comunitarios, el K.E.TH.I., en colaboración con los colegios de abogados, puso en marcha (entre julio de 2000 y marzo de 2003) un programa titulado: “Igualdad de derechos: de la legislación a la práctica cotidiana” en Atenas, Tesalónica, Patra, Heraklion y Volos. En el contexto de ese programa se organizaron seminarios de formación para abogados recién licenciados sobre:</w:t>
      </w:r>
    </w:p>
    <w:p w:rsidR="00000000" w:rsidRDefault="00000000">
      <w:pPr>
        <w:pStyle w:val="SingleTxt"/>
        <w:tabs>
          <w:tab w:val="right" w:pos="1685"/>
        </w:tabs>
        <w:spacing w:after="100" w:line="230" w:lineRule="exact"/>
        <w:ind w:left="1742" w:hanging="475"/>
      </w:pPr>
      <w:r>
        <w:tab/>
        <w:t>–</w:t>
      </w:r>
      <w:r>
        <w:tab/>
        <w:t>La igualdad de género en la Constitución: política de la Unión Europea;</w:t>
      </w:r>
    </w:p>
    <w:p w:rsidR="00000000" w:rsidRDefault="00000000">
      <w:pPr>
        <w:pStyle w:val="SingleTxt"/>
        <w:tabs>
          <w:tab w:val="right" w:pos="1685"/>
        </w:tabs>
        <w:spacing w:after="100" w:line="230" w:lineRule="exact"/>
        <w:ind w:left="1742" w:hanging="475"/>
      </w:pPr>
      <w:r>
        <w:tab/>
        <w:t>–</w:t>
      </w:r>
      <w:r>
        <w:tab/>
        <w:t>Igualdad salarial e igualdad de trato;</w:t>
      </w:r>
    </w:p>
    <w:p w:rsidR="00000000" w:rsidRDefault="00000000">
      <w:pPr>
        <w:pStyle w:val="SingleTxt"/>
        <w:tabs>
          <w:tab w:val="right" w:pos="1685"/>
        </w:tabs>
        <w:spacing w:after="100" w:line="230" w:lineRule="exact"/>
        <w:ind w:left="1742" w:hanging="475"/>
      </w:pPr>
      <w:r>
        <w:tab/>
        <w:t>–</w:t>
      </w:r>
      <w:r>
        <w:tab/>
        <w:t>Violencia doméstica, violación y acoso sexual en el lugar de trabajo;</w:t>
      </w:r>
    </w:p>
    <w:p w:rsidR="00000000" w:rsidRDefault="00000000">
      <w:pPr>
        <w:pStyle w:val="SingleTxt"/>
        <w:tabs>
          <w:tab w:val="right" w:pos="1685"/>
        </w:tabs>
        <w:spacing w:after="100" w:line="230" w:lineRule="exact"/>
        <w:ind w:left="1742" w:hanging="475"/>
      </w:pPr>
      <w:r>
        <w:tab/>
        <w:t>–</w:t>
      </w:r>
      <w:r>
        <w:tab/>
        <w:t>Asistencia letrada: el marco institucional y la práctica;</w:t>
      </w:r>
    </w:p>
    <w:p w:rsidR="00000000" w:rsidRDefault="00000000">
      <w:pPr>
        <w:pStyle w:val="SingleTxt"/>
        <w:tabs>
          <w:tab w:val="right" w:pos="1685"/>
        </w:tabs>
        <w:ind w:left="1742" w:hanging="475"/>
      </w:pPr>
      <w:r>
        <w:tab/>
        <w:t>•</w:t>
      </w:r>
      <w:r>
        <w:tab/>
        <w:t>Además, en el contexto del programa mencionado, el Centro de Investigación para la Igualdad de Género, en colaboración con el Ministerio de Trabajo y Protección Social, la Secretaría General para la Igualdad de Género y la In</w:t>
      </w:r>
      <w:r>
        <w:t>s</w:t>
      </w:r>
      <w:r>
        <w:t>pección de Trabajo, ha organizado seminarios para los inspectores de trabajo de Atenas y Tesalónica s</w:t>
      </w:r>
      <w:r>
        <w:t>o</w:t>
      </w:r>
      <w:r>
        <w:t>bre:</w:t>
      </w:r>
    </w:p>
    <w:p w:rsidR="00000000" w:rsidRDefault="00000000">
      <w:pPr>
        <w:pStyle w:val="SingleTxt"/>
        <w:tabs>
          <w:tab w:val="right" w:pos="1685"/>
        </w:tabs>
        <w:ind w:left="1742" w:hanging="475"/>
      </w:pPr>
      <w:r>
        <w:tab/>
        <w:t>–</w:t>
      </w:r>
      <w:r>
        <w:tab/>
        <w:t>Políticas europeas en materia de igualdad de género;</w:t>
      </w:r>
    </w:p>
    <w:p w:rsidR="00000000" w:rsidRDefault="00000000">
      <w:pPr>
        <w:pStyle w:val="SingleTxt"/>
        <w:tabs>
          <w:tab w:val="right" w:pos="1685"/>
        </w:tabs>
        <w:ind w:left="1742" w:hanging="475"/>
      </w:pPr>
      <w:r>
        <w:tab/>
        <w:t>–</w:t>
      </w:r>
      <w:r>
        <w:tab/>
        <w:t>Igualdad de trato-igualdad salarial en el lugar de trabajo (evolución del der</w:t>
      </w:r>
      <w:r>
        <w:t>e</w:t>
      </w:r>
      <w:r>
        <w:t>cho y la jurisprudencia nacionales y comunitarios);</w:t>
      </w:r>
    </w:p>
    <w:p w:rsidR="00000000" w:rsidRDefault="00000000">
      <w:pPr>
        <w:pStyle w:val="SingleTxt"/>
        <w:tabs>
          <w:tab w:val="right" w:pos="1685"/>
        </w:tabs>
        <w:ind w:left="1742" w:hanging="475"/>
      </w:pPr>
      <w:r>
        <w:tab/>
        <w:t>–</w:t>
      </w:r>
      <w:r>
        <w:tab/>
      </w:r>
      <w:r>
        <w:rPr>
          <w:spacing w:val="6"/>
        </w:rPr>
        <w:t>Control de la aplicación de las disposiciones por parte de la Inspección de Tr</w:t>
      </w:r>
      <w:r>
        <w:rPr>
          <w:spacing w:val="6"/>
        </w:rPr>
        <w:t>a</w:t>
      </w:r>
      <w:r>
        <w:t>bajo;</w:t>
      </w:r>
    </w:p>
    <w:p w:rsidR="00000000" w:rsidRDefault="00000000">
      <w:pPr>
        <w:pStyle w:val="SingleTxt"/>
        <w:tabs>
          <w:tab w:val="right" w:pos="1685"/>
        </w:tabs>
        <w:ind w:left="1742" w:hanging="475"/>
      </w:pPr>
      <w:r>
        <w:tab/>
        <w:t>–</w:t>
      </w:r>
      <w:r>
        <w:tab/>
        <w:t xml:space="preserve">Protección de la maternidad y facilitación de la incorporación a la vida laboral de las trabajadoras con responsabilidades familiares; </w:t>
      </w:r>
    </w:p>
    <w:p w:rsidR="00000000" w:rsidRDefault="00000000">
      <w:pPr>
        <w:pStyle w:val="SingleTxt"/>
        <w:tabs>
          <w:tab w:val="right" w:pos="1685"/>
        </w:tabs>
        <w:ind w:left="1742" w:hanging="475"/>
      </w:pPr>
      <w:r>
        <w:tab/>
        <w:t>–</w:t>
      </w:r>
      <w:r>
        <w:tab/>
        <w:t>Protección de la salud y la seguridad de las trabajadoras;</w:t>
      </w:r>
    </w:p>
    <w:p w:rsidR="00000000" w:rsidRDefault="00000000">
      <w:pPr>
        <w:pStyle w:val="SingleTxt"/>
        <w:tabs>
          <w:tab w:val="right" w:pos="1685"/>
        </w:tabs>
        <w:ind w:left="1742" w:hanging="475"/>
      </w:pPr>
      <w:r>
        <w:tab/>
        <w:t>–</w:t>
      </w:r>
      <w:r>
        <w:tab/>
        <w:t>Acoso sexual en el lugar de trabajo;</w:t>
      </w:r>
    </w:p>
    <w:p w:rsidR="00000000" w:rsidRDefault="00000000">
      <w:pPr>
        <w:pStyle w:val="SingleTxt"/>
        <w:tabs>
          <w:tab w:val="right" w:pos="1685"/>
        </w:tabs>
        <w:ind w:left="1742" w:hanging="475"/>
      </w:pPr>
      <w:r>
        <w:tab/>
        <w:t>•</w:t>
      </w:r>
      <w:r>
        <w:tab/>
        <w:t>El programa fue financiado por la Unión Europea (60%) y la Secretaría Gen</w:t>
      </w:r>
      <w:r>
        <w:t>e</w:t>
      </w:r>
      <w:r>
        <w:t>ral p</w:t>
      </w:r>
      <w:r>
        <w:t>a</w:t>
      </w:r>
      <w:r>
        <w:t xml:space="preserve">ra la Igualdad de Género (40%). </w:t>
      </w:r>
    </w:p>
    <w:p w:rsidR="00000000" w:rsidRDefault="00000000">
      <w:pPr>
        <w:pStyle w:val="SingleTxt"/>
        <w:tabs>
          <w:tab w:val="right" w:pos="1685"/>
        </w:tabs>
        <w:ind w:left="1742" w:hanging="475"/>
      </w:pPr>
      <w:r>
        <w:tab/>
        <w:t>•</w:t>
      </w:r>
      <w:r>
        <w:tab/>
        <w:t>Cuando concluyeron esos programas y hasta que se promulgó la Ley 3226/2004 sobre “prestación de asistencia letrada a los ciudadanos con bajos ingresos” (febrero de 2004), el K.E.TH.I. siguió financiando y apoyando con cargo a su presupuesto ordinario la prestación de servicios gratuitos de info</w:t>
      </w:r>
      <w:r>
        <w:t>r</w:t>
      </w:r>
      <w:r>
        <w:t>mación y asesoría jurídica a fin de responder a las necesidades acuciantes de las mujeres sin recursos financieros. En colaboración con los colegios de ab</w:t>
      </w:r>
      <w:r>
        <w:t>o</w:t>
      </w:r>
      <w:r>
        <w:t>gados de Atenas, Tesalónica, Patra, Heraklion y Volos, y gracias a la asistencia prestada por el K.E.TH.I., numerosas mujeres que se enfrentan a graves pr</w:t>
      </w:r>
      <w:r>
        <w:t>o</w:t>
      </w:r>
      <w:r>
        <w:t>blemas sociales y financieros han podido presentar su caso ante el Tribunal de Justicia. En total se han presentado 237 casos.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116885444"/>
      <w:r>
        <w:tab/>
        <w:t>XII.</w:t>
      </w:r>
      <w:r>
        <w:tab/>
        <w:t>Sector agrícola</w:t>
      </w:r>
      <w:bookmarkEnd w:id="7"/>
      <w:r>
        <w:t xml:space="preserve"> </w:t>
      </w:r>
    </w:p>
    <w:p w:rsidR="00000000" w:rsidRDefault="00000000">
      <w:pPr>
        <w:pStyle w:val="SingleTxt"/>
        <w:spacing w:after="0" w:line="120" w:lineRule="exact"/>
        <w:rPr>
          <w:sz w:val="10"/>
        </w:rPr>
      </w:pPr>
    </w:p>
    <w:p w:rsidR="00000000" w:rsidRDefault="00000000">
      <w:pPr>
        <w:pStyle w:val="SingleTxt"/>
        <w:numPr>
          <w:ilvl w:val="0"/>
          <w:numId w:val="63"/>
        </w:numPr>
      </w:pPr>
      <w:r>
        <w:t>La Ley 2810/2003 sobre “organizaciones cooperativas agrarias” modifica las condiciones para la creación de cooperativas agrarias a fin de promover la particip</w:t>
      </w:r>
      <w:r>
        <w:t>a</w:t>
      </w:r>
      <w:r>
        <w:t>ción de las mujeres en ese tipo de organizaciones</w:t>
      </w:r>
      <w:r>
        <w:rPr>
          <w:rStyle w:val="FootnoteReference"/>
        </w:rPr>
        <w:footnoteReference w:id="16"/>
      </w:r>
      <w:r>
        <w:t>.</w:t>
      </w:r>
    </w:p>
    <w:p w:rsidR="00000000" w:rsidRDefault="00000000">
      <w:pPr>
        <w:pStyle w:val="SingleTxt"/>
        <w:numPr>
          <w:ilvl w:val="0"/>
          <w:numId w:val="63"/>
        </w:numPr>
      </w:pPr>
      <w:r>
        <w:t>La Ley 3147/2003 sobre “Regulación de las cuestiones relacionadas con las tierras de uso agrícola, la resolución de los asuntos relacionados con el reasent</w:t>
      </w:r>
      <w:r>
        <w:t>a</w:t>
      </w:r>
      <w:r>
        <w:t>miento de ganaderos y los ganaderos reasentados y otras disposiciones” mejora las condiciones para la participación de las mujeres en la producción agropecuaria</w:t>
      </w:r>
      <w:r>
        <w:rPr>
          <w:rStyle w:val="FootnoteReference"/>
        </w:rPr>
        <w:footnoteReference w:id="17"/>
      </w:r>
      <w:r>
        <w:t>.</w:t>
      </w:r>
    </w:p>
    <w:p w:rsidR="00000000" w:rsidRDefault="00000000">
      <w:pPr>
        <w:pStyle w:val="SingleTxt"/>
        <w:tabs>
          <w:tab w:val="clear" w:pos="1742"/>
        </w:tabs>
        <w:spacing w:after="0" w:line="120" w:lineRule="exact"/>
        <w:ind w:left="0"/>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tabs>
                <w:tab w:val="clear" w:pos="1742"/>
              </w:tabs>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Artículo 4</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DualTxt"/>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2.</w:t>
            </w:r>
            <w:r>
              <w:rPr>
                <w:i/>
              </w:rPr>
              <w:tab/>
              <w:t>La adopción por los Estados Partes de medidas especiales, incluso las contenidas en la presente Convención, encaminadas a proteger la maternidad no se co</w:t>
            </w:r>
            <w:r>
              <w:rPr>
                <w:i/>
              </w:rPr>
              <w:t>n</w:t>
            </w:r>
            <w:r>
              <w:rPr>
                <w:i/>
              </w:rPr>
              <w:t>siderará discriminatoria.</w:t>
            </w:r>
          </w:p>
        </w:tc>
        <w:tc>
          <w:tcPr>
            <w:tcW w:w="144" w:type="dxa"/>
          </w:tcPr>
          <w:p w:rsidR="00000000" w:rsidRDefault="00000000">
            <w:pPr>
              <w:pStyle w:val="SingleTxt"/>
            </w:pP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116885445"/>
      <w:r>
        <w:tab/>
      </w:r>
      <w:r>
        <w:tab/>
        <w:t>Medidas positivas en favor de la mujer en el ordenamiento jurídico griego</w:t>
      </w:r>
      <w:bookmarkEnd w:id="8"/>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5"/>
        </w:numPr>
        <w:tabs>
          <w:tab w:val="left" w:pos="1742"/>
        </w:tabs>
      </w:pPr>
      <w:r>
        <w:t>En la última revisión de la Constitución de Grecia se modificó el párrafo 2 de su artículo 116, con lo que se han suprimido todas las desviaciones del principio de la igualdad de género; en la actualidad se dispone explícitamente que el Estado d</w:t>
      </w:r>
      <w:r>
        <w:t>e</w:t>
      </w:r>
      <w:r>
        <w:t>berá tomar medidas positivas especiales encaminadas a eliminar todas las formas de discriminación, principalmente contra la mujer</w:t>
      </w:r>
      <w:r>
        <w:rPr>
          <w:rStyle w:val="FootnoteReference"/>
        </w:rPr>
        <w:footnoteReference w:id="18"/>
      </w:r>
      <w:r>
        <w:t>.</w:t>
      </w:r>
    </w:p>
    <w:p w:rsidR="00000000" w:rsidRDefault="00000000">
      <w:pPr>
        <w:pStyle w:val="SingleTxt"/>
        <w:numPr>
          <w:ilvl w:val="0"/>
          <w:numId w:val="65"/>
        </w:numPr>
      </w:pPr>
      <w:r>
        <w:t>La aplicación de esas medidas se puso a prueba en las recientes elecciones municipales y de prefectura que se celebraron en Grecia. Cabe recordar que la</w:t>
      </w:r>
      <w:r>
        <w:rPr>
          <w:i/>
        </w:rPr>
        <w:t xml:space="preserve"> </w:t>
      </w:r>
      <w:r>
        <w:t>Ley 2910/2001 establece la obligación de que las listas electorales de esas elecciones i</w:t>
      </w:r>
      <w:r>
        <w:t>n</w:t>
      </w:r>
      <w:r>
        <w:t>cluyan como mínimo a un tercio de candidatos de cada sexo.</w:t>
      </w:r>
    </w:p>
    <w:p w:rsidR="00000000" w:rsidRDefault="00000000">
      <w:pPr>
        <w:pStyle w:val="SingleTxt"/>
        <w:numPr>
          <w:ilvl w:val="0"/>
          <w:numId w:val="65"/>
        </w:numPr>
      </w:pPr>
      <w:r>
        <w:t>En una serie de decisiones de la Sección Tercera del Consejo de Estado se ha determinado que las disposiciones de la Ley 2910/2001</w:t>
      </w:r>
      <w:r>
        <w:rPr>
          <w:rStyle w:val="FootnoteReference"/>
        </w:rPr>
        <w:footnoteReference w:id="19"/>
      </w:r>
      <w:r>
        <w:t xml:space="preserve"> están en conformidad con la Constitución. En particular, el Tribunal Supremo Administrativo del país dictam</w:t>
      </w:r>
      <w:r>
        <w:t>i</w:t>
      </w:r>
      <w:r>
        <w:t>nó, en principio, lo siguiente:</w:t>
      </w:r>
    </w:p>
    <w:p w:rsidR="00000000" w:rsidRDefault="00000000">
      <w:pPr>
        <w:pStyle w:val="SingleTxt"/>
      </w:pPr>
      <w:r>
        <w:tab/>
      </w:r>
      <w:r>
        <w:rPr>
          <w:i/>
        </w:rPr>
        <w:t>Las disposiciones del párrafo 2 del artículo 4 y del párrafo 1 del artículo 5 de la Constitución establecen el principio de la igualdad de género en relación con el acceso a los cargos públicos, incluidos los cargos públicos electivos de la admini</w:t>
      </w:r>
      <w:r>
        <w:rPr>
          <w:i/>
        </w:rPr>
        <w:t>s</w:t>
      </w:r>
      <w:r>
        <w:rPr>
          <w:i/>
        </w:rPr>
        <w:t>tración local. Sin embargo, a fin de garantizar la aplicación cabal y efectiva del principio mencionado, el párrafo 2 del artículo 116 de la Constitución, interpretado conjuntamente con la disposición que se recoge en el párrafo 1 del artículo 25 de la Constitución, obliga a los órganos legislativos o normativos y a los demás instr</w:t>
      </w:r>
      <w:r>
        <w:rPr>
          <w:i/>
        </w:rPr>
        <w:t>u</w:t>
      </w:r>
      <w:r>
        <w:rPr>
          <w:i/>
        </w:rPr>
        <w:t>mentos del Estado a que, una vez hayan comprobado la existencia en la práctica de discriminación contra la mujer que impide la aplicación firme del principio de la igualdad de género por lo que respecta al acceso a cargos públicos, al tiempo que consolida y perpetúa una situación de desigualdad, adopten (mediante la aplicación de las disposiciones jurídicas o normativas correspondientes) las medidas positivas en favor de la mujer que se consideren oportunas y necesarias, durante un periodo específico de tiempo, para reducir las desigualdades existentes hasta que se logre la igualdad de facto en el acceso a los cargos públicos</w:t>
      </w:r>
      <w:r>
        <w:t>.</w:t>
      </w:r>
    </w:p>
    <w:p w:rsidR="00000000" w:rsidRDefault="00000000">
      <w:pPr>
        <w:pStyle w:val="SingleTxt"/>
        <w:numPr>
          <w:ilvl w:val="0"/>
          <w:numId w:val="65"/>
        </w:numPr>
      </w:pPr>
      <w:r>
        <w:rPr>
          <w:spacing w:val="6"/>
        </w:rPr>
        <w:t>El Consejo de Estado también ha señalado que ni el texto del párrafo 2 del ar</w:t>
      </w:r>
      <w:r>
        <w:t>tículo 116 de la Constitución ni los trabajos preparatorios que se llevaron a cabo antes de someterla a votación permiten deducir la forma concreta de esas medidas positivas ni las esferas específicas, como los derechos humanos, sociales y políticos, en las que deberán adoptarse. Por consiguiente, al interpretar esa disposición con</w:t>
      </w:r>
      <w:r>
        <w:t>s</w:t>
      </w:r>
      <w:r>
        <w:t>tituci</w:t>
      </w:r>
      <w:r>
        <w:t>o</w:t>
      </w:r>
      <w:r>
        <w:t>nal, se debe tener en cuenta que:</w:t>
      </w:r>
    </w:p>
    <w:p w:rsidR="00000000" w:rsidRDefault="00000000">
      <w:pPr>
        <w:pStyle w:val="SingleTxt"/>
      </w:pPr>
      <w:r>
        <w:tab/>
        <w:t>a)</w:t>
      </w:r>
      <w:r>
        <w:tab/>
        <w:t>No se han determinado las esferas en las que se considera necesario adoptar med</w:t>
      </w:r>
      <w:r>
        <w:t>i</w:t>
      </w:r>
      <w:r>
        <w:t>das positivas,</w:t>
      </w:r>
    </w:p>
    <w:p w:rsidR="00000000" w:rsidRDefault="00000000">
      <w:pPr>
        <w:pStyle w:val="SingleTxt"/>
      </w:pPr>
      <w:r>
        <w:tab/>
        <w:t>b)</w:t>
      </w:r>
      <w:r>
        <w:tab/>
        <w:t>El objetivo de esas medidas es promover cuanto sea posible la igualdad de acceso de hombres y mujeres a los cargos públicos, como los cargos públicos elect</w:t>
      </w:r>
      <w:r>
        <w:t>i</w:t>
      </w:r>
      <w:r>
        <w:t>vos de los gobiernos locales,</w:t>
      </w:r>
    </w:p>
    <w:p w:rsidR="00000000" w:rsidRDefault="00000000">
      <w:pPr>
        <w:pStyle w:val="SingleTxt"/>
      </w:pPr>
      <w:r>
        <w:tab/>
        <w:t>c)</w:t>
      </w:r>
      <w:r>
        <w:tab/>
        <w:t>Grecia se ha comprometido a nivel internacional a garantizar, mediante, entre otras cosas, la adopción de medidas positivas, el goce y el ejercicio por las mujeres, en pie de igualdad con los hombres, de todos los derechos humanos, s</w:t>
      </w:r>
      <w:r>
        <w:t>o</w:t>
      </w:r>
      <w:r>
        <w:t>ciales y políticos (véanse los artículos 1, 3, 4, 7 y 24 de la Convención de las Naci</w:t>
      </w:r>
      <w:r>
        <w:t>o</w:t>
      </w:r>
      <w:r>
        <w:t>nes Unidas sobre la eliminación de todas las formas de discriminación contra la mujer, de 1979, ratificada por el Parlamento de Grecia en virtud de la</w:t>
      </w:r>
      <w:r>
        <w:rPr>
          <w:i/>
        </w:rPr>
        <w:t xml:space="preserve"> </w:t>
      </w:r>
      <w:r>
        <w:t>Ley 1342/1983 ), y que</w:t>
      </w:r>
    </w:p>
    <w:p w:rsidR="00000000" w:rsidRDefault="00000000">
      <w:pPr>
        <w:pStyle w:val="SingleTxt"/>
      </w:pPr>
      <w:r>
        <w:tab/>
        <w:t>d)</w:t>
      </w:r>
      <w:r>
        <w:tab/>
        <w:t>la mujer está infrarrepresentada en la vida política, en general, lo que r</w:t>
      </w:r>
      <w:r>
        <w:t>e</w:t>
      </w:r>
      <w:r>
        <w:t>percute en el ejercicio de sus derechos políticos.</w:t>
      </w:r>
    </w:p>
    <w:p w:rsidR="00000000" w:rsidRDefault="00000000">
      <w:pPr>
        <w:pStyle w:val="SingleTxt"/>
      </w:pPr>
      <w:r>
        <w:tab/>
        <w:t>Por consiguiente, el Consejo de Estado llega a la conclusión de que, con el p</w:t>
      </w:r>
      <w:r>
        <w:t>á</w:t>
      </w:r>
      <w:r>
        <w:t>rrafo 2 del artículo 116 de la Constitución,</w:t>
      </w:r>
    </w:p>
    <w:p w:rsidR="00000000" w:rsidRDefault="00000000">
      <w:pPr>
        <w:pStyle w:val="SingleTxt"/>
        <w:ind w:left="1742" w:hanging="475"/>
        <w:rPr>
          <w:i/>
        </w:rPr>
      </w:pPr>
      <w:r>
        <w:tab/>
      </w:r>
      <w:r>
        <w:rPr>
          <w:i/>
        </w:rPr>
        <w:t>“La intención de los redactores de la Constitución es permitir la adopción de medidas positivas de cualquier tipo en todas las esferas de actividad de los dos sexos, es decir, en la esfera de los derechos humanos y sociales y en la esfera de los derechos políticos, con el requisito evidente de que las medidas positivas establecidas no entrañen restricciones excesivas que afecten a los derechos humanos y políticos fu</w:t>
      </w:r>
      <w:r>
        <w:rPr>
          <w:i/>
        </w:rPr>
        <w:t>n</w:t>
      </w:r>
      <w:r>
        <w:rPr>
          <w:i/>
        </w:rPr>
        <w:t>damentales a los que se refieren".</w:t>
      </w:r>
    </w:p>
    <w:p w:rsidR="00000000" w:rsidRDefault="00000000">
      <w:pPr>
        <w:pStyle w:val="SingleTxt"/>
        <w:spacing w:after="0" w:line="120" w:lineRule="exact"/>
        <w:ind w:left="1742" w:hanging="475"/>
        <w:rPr>
          <w:i/>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tab/>
            </w:r>
            <w:r>
              <w:rPr>
                <w:i/>
              </w:rPr>
              <w:t>Artículo 5</w:t>
            </w:r>
          </w:p>
          <w:p w:rsidR="00000000" w:rsidRDefault="00000000">
            <w:pPr>
              <w:spacing w:before="40" w:after="80"/>
              <w:jc w:val="both"/>
              <w:rPr>
                <w:i/>
              </w:rPr>
            </w:pPr>
            <w:r>
              <w:rPr>
                <w:i/>
              </w:rPr>
              <w:tab/>
              <w:t>Los Estados Partes tomarán todas las medidas apropiadas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a)</w:t>
            </w:r>
            <w:r>
              <w:rPr>
                <w:i/>
              </w:rPr>
              <w:tab/>
              <w:t>Modificar los patrones socioculturales de conducta de hombres y muj</w:t>
            </w:r>
            <w:r>
              <w:rPr>
                <w:i/>
              </w:rPr>
              <w:t>e</w:t>
            </w:r>
            <w:r>
              <w:rPr>
                <w:i/>
              </w:rPr>
              <w:t>res, con miras a alcanzar la eliminación de los prejuicios y la prácticas consuetud</w:t>
            </w:r>
            <w:r>
              <w:rPr>
                <w:i/>
              </w:rPr>
              <w:t>i</w:t>
            </w:r>
            <w:r>
              <w:rPr>
                <w:i/>
              </w:rPr>
              <w:t>narias y de cualquier otra índole que estén basadas en la idea de la inferioridad o superioridad de cualquiera de los sexos o en funciones estereotipadas de hombres y mujeres;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spacing w:before="40" w:after="80"/>
              <w:jc w:val="both"/>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tc>
        <w:tc>
          <w:tcPr>
            <w:tcW w:w="144" w:type="dxa"/>
          </w:tcPr>
          <w:p w:rsidR="00000000" w:rsidRDefault="00000000">
            <w:pPr>
              <w:pStyle w:val="SingleTxt"/>
            </w:pPr>
          </w:p>
        </w:tc>
      </w:tr>
    </w:tbl>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El papel de los medios de comunicación en la eliminación de los estereotipos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Directrices generales </w:t>
      </w:r>
    </w:p>
    <w:p w:rsidR="00000000" w:rsidRDefault="00000000">
      <w:pPr>
        <w:pStyle w:val="SingleTxt"/>
        <w:spacing w:after="0" w:line="120" w:lineRule="exact"/>
        <w:rPr>
          <w:sz w:val="10"/>
        </w:rPr>
      </w:pPr>
    </w:p>
    <w:p w:rsidR="00000000" w:rsidRDefault="00000000">
      <w:pPr>
        <w:pStyle w:val="SingleTxt"/>
        <w:numPr>
          <w:ilvl w:val="0"/>
          <w:numId w:val="76"/>
        </w:numPr>
        <w:tabs>
          <w:tab w:val="left" w:pos="1742"/>
        </w:tabs>
      </w:pPr>
      <w:r>
        <w:t>Los medios de comunicación son un instrumento importante para difundir mensajes sociales, pero también influyen en la conciencia social con respecto a la posición y al papel de los sexos en la sociedad griega. El Plan Nacional de Acción para la Igualdad de Género (2001-2006) de la Secretaría General para la Igualdad de Género del Ministerio del Interior, Administración Pública y Descentralización i</w:t>
      </w:r>
      <w:r>
        <w:t>n</w:t>
      </w:r>
      <w:r>
        <w:t>cluye medidas encaminadas a modificar los estereotipos en relación con las funci</w:t>
      </w:r>
      <w:r>
        <w:t>o</w:t>
      </w:r>
      <w:r>
        <w:t>nes de ambos sexos. En particular, por lo que se refiere a los estereotipos que pr</w:t>
      </w:r>
      <w:r>
        <w:t>o</w:t>
      </w:r>
      <w:r>
        <w:t>mueven los medios de comunicación, comprende intervenciones específicas y ca</w:t>
      </w:r>
      <w:r>
        <w:t>m</w:t>
      </w:r>
      <w:r>
        <w:t>pañas de sensibilización en las esferas de la educación, la cultura y todas las man</w:t>
      </w:r>
      <w:r>
        <w:t>i</w:t>
      </w:r>
      <w:r>
        <w:t>festaciones de la vida cotidiana.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Investigaciones-estudios sobre el papel de los medios de comunicación</w:t>
      </w:r>
    </w:p>
    <w:p w:rsidR="00000000" w:rsidRDefault="00000000">
      <w:pPr>
        <w:pStyle w:val="SingleTxt"/>
        <w:spacing w:after="0" w:line="120" w:lineRule="exact"/>
        <w:rPr>
          <w:sz w:val="10"/>
        </w:rPr>
      </w:pPr>
    </w:p>
    <w:p w:rsidR="00000000" w:rsidRDefault="00000000">
      <w:pPr>
        <w:pStyle w:val="SingleTxt"/>
      </w:pPr>
      <w:r>
        <w:t>2.</w:t>
      </w:r>
      <w:r>
        <w:tab/>
        <w:t xml:space="preserve"> Durante el periodo 2001-2002, el Centro de Investigación para la Igualdad de Género (K.E.TH.I.), institución dependiente de la Secretaría General para la Igua</w:t>
      </w:r>
      <w:r>
        <w:t>l</w:t>
      </w:r>
      <w:r>
        <w:t>dad de Género del Ministerio del Interior, Administración Pública y Descentraliz</w:t>
      </w:r>
      <w:r>
        <w:t>a</w:t>
      </w:r>
      <w:r>
        <w:t>ción, llevó a cabo encuestas y estudios sobre la cuestión. En particular se llevaron a cabo los siguientes estudios y encuestas:</w:t>
      </w:r>
    </w:p>
    <w:p w:rsidR="00000000" w:rsidRDefault="00000000">
      <w:pPr>
        <w:pStyle w:val="SingleTxt"/>
        <w:tabs>
          <w:tab w:val="right" w:pos="1685"/>
        </w:tabs>
        <w:ind w:left="1742" w:hanging="475"/>
      </w:pPr>
      <w:r>
        <w:tab/>
        <w:t>•</w:t>
      </w:r>
      <w:r>
        <w:tab/>
        <w:t>“El género y los medios de comunicación: estudio de campo”, que se llevó a cabo en 2001 por iniciativa del Centro de Investigación para la Igualdad de Género, que también financió el proyecto, y se asignó al Departamento de Comunicación y Medios de Comunicación, Sección de Comunicación (Lab</w:t>
      </w:r>
      <w:r>
        <w:t>o</w:t>
      </w:r>
      <w:r>
        <w:t>ratorio de Retórica y Oratoria) de la Universidad Panteion de Atenas y el Ce</w:t>
      </w:r>
      <w:r>
        <w:t>n</w:t>
      </w:r>
      <w:r>
        <w:t>tro de Estudios e Investigación sobre la Mujer (una sociedad sin fines de l</w:t>
      </w:r>
      <w:r>
        <w:t>u</w:t>
      </w:r>
      <w:r>
        <w:t>cro). El estudio estaba destinado al Centro de Investigación para la Igualdad de Género. Sus resultados revelaron que los medios de comunicación de Grecia tenían una percepción estereotipada, basada en la desigualdad entre hombres y mujeres. En particular, la representación social dominante en los medios de comunicación se basaba en los modelos y funciones trad</w:t>
      </w:r>
      <w:r>
        <w:t>i</w:t>
      </w:r>
      <w:r>
        <w:t>cionales de los sexos.</w:t>
      </w:r>
    </w:p>
    <w:p w:rsidR="00000000" w:rsidRDefault="00000000">
      <w:pPr>
        <w:pStyle w:val="SingleTxt"/>
        <w:tabs>
          <w:tab w:val="right" w:pos="1685"/>
        </w:tabs>
        <w:ind w:left="1742" w:hanging="475"/>
      </w:pPr>
      <w:r>
        <w:tab/>
        <w:t>•</w:t>
      </w:r>
      <w:r>
        <w:tab/>
        <w:t>“El género y los medios de comunicación. Estudio de la cuestión”, que se llevó a cabo en 2001 por iniciativa del Centro de Investigación para la Igualdad de Género, que también financió el proyecto y fue su destinatario. Este estudio bibliográfico permitió comprobar que en la actualidad la representación de los papeles de los hombres y las mujeres en los medios de comunicación se basa en “nuevas” teorías e hipótesis acerca del género, la relación del espectador con los medios de comunicación y la función de esos medios en la vida cot</w:t>
      </w:r>
      <w:r>
        <w:t>i</w:t>
      </w:r>
      <w:r>
        <w:t>diana. En Grecia no se ha llevado a cabo un estudio sistemático del género y los medios de comunicación. Las propuestas de futuros estudios sobre la cue</w:t>
      </w:r>
      <w:r>
        <w:t>s</w:t>
      </w:r>
      <w:r>
        <w:t>tión tienen por objeto coordinar los proyectos griegos con la bibliografía inte</w:t>
      </w:r>
      <w:r>
        <w:t>r</w:t>
      </w:r>
      <w:r>
        <w:t>nacional y promover el estudio de cuestiones que guarden una relación directa con la realidad de Grecia. Las propuestas destacan el estudio del género y las nuevas tecnologías, además de otras cuestiones a las que hasta la fecha no se ha prestado suficiente atención científica. También tienen por objeto identif</w:t>
      </w:r>
      <w:r>
        <w:t>i</w:t>
      </w:r>
      <w:r>
        <w:t>car e investigar la experiencia de las mujeres en Grecia (especialmente la de las mujeres pertenecientes a grupos minoritarios por su edad, raza, clase s</w:t>
      </w:r>
      <w:r>
        <w:t>o</w:t>
      </w:r>
      <w:r>
        <w:t>cial, religión, nacionalidad y orientación sexual) y las de las personas homos</w:t>
      </w:r>
      <w:r>
        <w:t>e</w:t>
      </w:r>
      <w:r>
        <w:t>xuales. Ese mismo estudio indica también que todavía se promueven los est</w:t>
      </w:r>
      <w:r>
        <w:t>e</w:t>
      </w:r>
      <w:r>
        <w:t>reotipos y las ideas preconcebidas. El predominio de los hombres en los m</w:t>
      </w:r>
      <w:r>
        <w:t>e</w:t>
      </w:r>
      <w:r>
        <w:t>dios de comunicación y la consiguiente representación limitada de las mujeres, en calidad de empleadas, contribuyen a obstaculizar los cambios en las pautas sociales.</w:t>
      </w:r>
    </w:p>
    <w:p w:rsidR="00000000" w:rsidRDefault="00000000">
      <w:pPr>
        <w:pStyle w:val="SingleTxt"/>
        <w:numPr>
          <w:ilvl w:val="0"/>
          <w:numId w:val="77"/>
        </w:numPr>
        <w:tabs>
          <w:tab w:val="left" w:pos="1742"/>
        </w:tabs>
      </w:pPr>
      <w:r>
        <w:t>El Centro de Investigación para la Igualdad de Género también ha colaborado en la realización de otros estudios o investigaciones sobre el papel de los medios de c</w:t>
      </w:r>
      <w:r>
        <w:t>o</w:t>
      </w:r>
      <w:r>
        <w:t>municación en la eliminación de los estereotipos</w:t>
      </w:r>
      <w:r>
        <w:rPr>
          <w:rStyle w:val="FootnoteReference"/>
        </w:rPr>
        <w:footnoteReference w:id="20"/>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Código deontológico de los medios de comunicación</w:t>
      </w:r>
    </w:p>
    <w:p w:rsidR="00000000" w:rsidRDefault="00000000">
      <w:pPr>
        <w:pStyle w:val="SingleTxt"/>
        <w:spacing w:after="0" w:line="120" w:lineRule="exact"/>
        <w:rPr>
          <w:sz w:val="10"/>
        </w:rPr>
      </w:pPr>
    </w:p>
    <w:p w:rsidR="00000000" w:rsidRDefault="00000000">
      <w:pPr>
        <w:pStyle w:val="SingleTxt"/>
        <w:numPr>
          <w:ilvl w:val="0"/>
          <w:numId w:val="77"/>
        </w:numPr>
      </w:pPr>
      <w:r>
        <w:t>En Grecia, el principal marco jurídico para el funcionamiento de los medios de comunicación se define en la legislación básica (párrafo 3 del artículo 3 de la Ley 2328/95</w:t>
      </w:r>
      <w:r>
        <w:rPr>
          <w:i/>
        </w:rPr>
        <w:t xml:space="preserve">, </w:t>
      </w:r>
      <w:r>
        <w:t>en coordinación con el Decreto Presidencial 100/2000) según la cual los anuncios publicitarios deben abstenerse de toda discriminación por motivos de raza, sexo, religión o nacionalidad.</w:t>
      </w:r>
    </w:p>
    <w:p w:rsidR="00000000" w:rsidRDefault="00000000">
      <w:pPr>
        <w:pStyle w:val="SingleTxt"/>
        <w:numPr>
          <w:ilvl w:val="0"/>
          <w:numId w:val="79"/>
        </w:numPr>
        <w:tabs>
          <w:tab w:val="left" w:pos="1742"/>
        </w:tabs>
      </w:pPr>
      <w:r>
        <w:t>En particular, el código deontológico del periodismo</w:t>
      </w:r>
      <w:r>
        <w:rPr>
          <w:rStyle w:val="FootnoteReference"/>
        </w:rPr>
        <w:footnoteReference w:id="21"/>
      </w:r>
      <w:r>
        <w:t xml:space="preserve"> contiene las siguientes disposiciones: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116885446"/>
      <w:r>
        <w:tab/>
      </w:r>
      <w:r>
        <w:tab/>
        <w:t>Artículo 4 – Discriminación negativa</w:t>
      </w:r>
      <w:bookmarkEnd w:id="9"/>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rPr>
          <w:i/>
        </w:rPr>
        <w:tab/>
        <w:t>1</w:t>
      </w:r>
      <w:r>
        <w:t>.</w:t>
      </w:r>
      <w:r>
        <w:tab/>
      </w:r>
      <w:r>
        <w:rPr>
          <w:i/>
        </w:rPr>
        <w:t>No está permitido presentar a las personas de manera que, en las ci</w:t>
      </w:r>
      <w:r>
        <w:rPr>
          <w:i/>
        </w:rPr>
        <w:t>r</w:t>
      </w:r>
      <w:r>
        <w:rPr>
          <w:i/>
        </w:rPr>
        <w:t>cunstancias actuales, promueva su marginación, exclusión social o discriminación negativa por parte de la opinión pública por motivos, principalmente, de sexo, raza, nacionalidad, idioma, religión, ideología, edad, enfermedad o discapacidad, orie</w:t>
      </w:r>
      <w:r>
        <w:rPr>
          <w:i/>
        </w:rPr>
        <w:t>n</w:t>
      </w:r>
      <w:r>
        <w:rPr>
          <w:i/>
        </w:rPr>
        <w:t>tación s</w:t>
      </w:r>
      <w:r>
        <w:rPr>
          <w:i/>
        </w:rPr>
        <w:t>e</w:t>
      </w:r>
      <w:r>
        <w:rPr>
          <w:i/>
        </w:rPr>
        <w:t>xual o profesión</w:t>
      </w:r>
      <w:r>
        <w:t>.</w:t>
      </w:r>
    </w:p>
    <w:p w:rsidR="00000000" w:rsidRDefault="00000000">
      <w:pPr>
        <w:pStyle w:val="SingleTxt"/>
        <w:numPr>
          <w:ilvl w:val="0"/>
          <w:numId w:val="81"/>
        </w:numPr>
        <w:tabs>
          <w:tab w:val="left" w:pos="1742"/>
        </w:tabs>
      </w:pPr>
      <w:r>
        <w:t>Además, en el Código de la Publicidad, los Programas de Venta por Televisión y el Patrocinio de Programas que está preparando el Consejo Nacional de Radio y Tel</w:t>
      </w:r>
      <w:r>
        <w:t>e</w:t>
      </w:r>
      <w:r>
        <w:t>visión de Grecia se incluyen las siguientes disposiciones:</w:t>
      </w:r>
    </w:p>
    <w:p w:rsidR="00000000" w:rsidRDefault="00000000">
      <w:pPr>
        <w:pStyle w:val="SingleTxt"/>
        <w:rPr>
          <w:i/>
        </w:rPr>
      </w:pPr>
      <w:bookmarkStart w:id="10" w:name="_Toc116885447"/>
      <w:r>
        <w:rPr>
          <w:i/>
        </w:rPr>
        <w:t>Artículo 3 –Principios generales</w:t>
      </w:r>
      <w:bookmarkEnd w:id="10"/>
    </w:p>
    <w:p w:rsidR="00000000" w:rsidRDefault="00000000">
      <w:pPr>
        <w:pStyle w:val="SingleTxt"/>
        <w:rPr>
          <w:i/>
        </w:rPr>
      </w:pPr>
      <w:r>
        <w:rPr>
          <w:i/>
        </w:rPr>
        <w:tab/>
        <w:t>Los anuncios publicitarios no podrán:</w:t>
      </w:r>
    </w:p>
    <w:p w:rsidR="00000000" w:rsidRDefault="00000000">
      <w:pPr>
        <w:pStyle w:val="SingleTxt"/>
        <w:rPr>
          <w:i/>
        </w:rPr>
      </w:pPr>
      <w:r>
        <w:rPr>
          <w:i/>
        </w:rPr>
        <w:tab/>
        <w:t>a)</w:t>
      </w:r>
      <w:r>
        <w:rPr>
          <w:i/>
        </w:rPr>
        <w:tab/>
        <w:t>Faltar al respeto de la dignidad humana ni utilizar el cuerpo humano de manera d</w:t>
      </w:r>
      <w:r>
        <w:rPr>
          <w:i/>
        </w:rPr>
        <w:t>e</w:t>
      </w:r>
      <w:r>
        <w:rPr>
          <w:i/>
        </w:rPr>
        <w:t xml:space="preserve">gradante como medio para vender bienes o servicios. </w:t>
      </w:r>
    </w:p>
    <w:p w:rsidR="00000000" w:rsidRDefault="00000000">
      <w:pPr>
        <w:pStyle w:val="SingleTxt"/>
      </w:pPr>
      <w:r>
        <w:rPr>
          <w:i/>
        </w:rPr>
        <w:tab/>
        <w:t>b)</w:t>
      </w:r>
      <w:r>
        <w:rPr>
          <w:i/>
        </w:rPr>
        <w:tab/>
        <w:t>Constituir discriminación por motivos de raza, sexo, religión o nacion</w:t>
      </w:r>
      <w:r>
        <w:rPr>
          <w:i/>
        </w:rPr>
        <w:t>a</w:t>
      </w:r>
      <w:r>
        <w:rPr>
          <w:i/>
        </w:rPr>
        <w:t>lidad, o f</w:t>
      </w:r>
      <w:r>
        <w:rPr>
          <w:i/>
        </w:rPr>
        <w:t>o</w:t>
      </w:r>
      <w:r>
        <w:rPr>
          <w:i/>
        </w:rPr>
        <w:t>mentar conceptos sexistas y racistas.</w:t>
      </w:r>
      <w:r>
        <w:t xml:space="preserve"> </w:t>
      </w:r>
    </w:p>
    <w:p w:rsidR="00000000" w:rsidRDefault="00000000">
      <w:pPr>
        <w:pStyle w:val="SingleTxt"/>
        <w:numPr>
          <w:ilvl w:val="0"/>
          <w:numId w:val="81"/>
        </w:numPr>
      </w:pPr>
      <w:r>
        <w:t>El Código Deontológico del Periodismo, que incluye los principios de la ética profesional y la responsabilidad social de los periodistas miembros del Sindicato de Periodistas de la Prensa Diaria de Atenas (ESIEA), estipula, entre otras cosas, lo s</w:t>
      </w:r>
      <w:r>
        <w:t>i</w:t>
      </w:r>
      <w:r>
        <w:t>guiente:</w:t>
      </w:r>
    </w:p>
    <w:p w:rsidR="00000000" w:rsidRDefault="00000000">
      <w:pPr>
        <w:pStyle w:val="SingleTxt"/>
        <w:rPr>
          <w:i/>
        </w:rPr>
      </w:pPr>
      <w:bookmarkStart w:id="11" w:name="_Toc116885448"/>
      <w:r>
        <w:rPr>
          <w:i/>
        </w:rPr>
        <w:t>Artículo 2</w:t>
      </w:r>
      <w:bookmarkEnd w:id="11"/>
    </w:p>
    <w:p w:rsidR="00000000" w:rsidRDefault="00000000">
      <w:pPr>
        <w:pStyle w:val="SingleTxt"/>
        <w:rPr>
          <w:i/>
        </w:rPr>
      </w:pPr>
      <w:r>
        <w:tab/>
      </w:r>
      <w:r>
        <w:rPr>
          <w:i/>
        </w:rPr>
        <w:t>El periodismo como profesión y función social entraña derechos, deberes y oblig</w:t>
      </w:r>
      <w:r>
        <w:rPr>
          <w:i/>
        </w:rPr>
        <w:t>a</w:t>
      </w:r>
      <w:r>
        <w:rPr>
          <w:i/>
        </w:rPr>
        <w:t>ciones.</w:t>
      </w:r>
    </w:p>
    <w:p w:rsidR="00000000" w:rsidRDefault="00000000">
      <w:pPr>
        <w:pStyle w:val="SingleTxt"/>
        <w:rPr>
          <w:i/>
        </w:rPr>
      </w:pPr>
      <w:r>
        <w:rPr>
          <w:i/>
        </w:rPr>
        <w:tab/>
        <w:t>El periodista tiene el derecho y la obligación de:</w:t>
      </w:r>
    </w:p>
    <w:p w:rsidR="00000000" w:rsidRDefault="00000000">
      <w:pPr>
        <w:pStyle w:val="SingleTxt"/>
        <w:rPr>
          <w:i/>
          <w:color w:val="000000"/>
        </w:rPr>
      </w:pPr>
      <w:r>
        <w:rPr>
          <w:i/>
          <w:color w:val="000000"/>
        </w:rPr>
        <w:tab/>
        <w:t>a)</w:t>
      </w:r>
      <w:r>
        <w:rPr>
          <w:i/>
          <w:color w:val="000000"/>
        </w:rPr>
        <w:tab/>
        <w:t>Dar el mismo trato a todos los ciudadanos, sin discriminación por mot</w:t>
      </w:r>
      <w:r>
        <w:rPr>
          <w:i/>
          <w:color w:val="000000"/>
        </w:rPr>
        <w:t>i</w:t>
      </w:r>
      <w:r>
        <w:rPr>
          <w:i/>
          <w:color w:val="000000"/>
        </w:rPr>
        <w:t>vos de origen nacional, sexo, raza, religión, filiación política, situación financiera o clase social.</w:t>
      </w:r>
    </w:p>
    <w:p w:rsidR="00000000" w:rsidRDefault="00000000">
      <w:pPr>
        <w:pStyle w:val="SingleTxt"/>
        <w:rPr>
          <w:i/>
        </w:rPr>
      </w:pPr>
      <w:bookmarkStart w:id="12" w:name="_Toc116885449"/>
      <w:r>
        <w:rPr>
          <w:i/>
        </w:rPr>
        <w:t>Artículo 4</w:t>
      </w:r>
      <w:bookmarkEnd w:id="12"/>
    </w:p>
    <w:p w:rsidR="00000000" w:rsidRDefault="00000000">
      <w:pPr>
        <w:pStyle w:val="SingleTxt"/>
      </w:pPr>
      <w:r>
        <w:tab/>
      </w:r>
      <w:r>
        <w:rPr>
          <w:i/>
        </w:rPr>
        <w:t>(…) c) No ejercer ni aceptar ninguna forma de discriminación por lo que re</w:t>
      </w:r>
      <w:r>
        <w:rPr>
          <w:i/>
        </w:rPr>
        <w:t>s</w:t>
      </w:r>
      <w:r>
        <w:rPr>
          <w:i/>
        </w:rPr>
        <w:t>pecta al sexo o la veteranía en la profesión de sus colegas</w:t>
      </w:r>
      <w:r>
        <w:t>.</w:t>
      </w:r>
    </w:p>
    <w:p w:rsidR="00000000" w:rsidRDefault="00000000">
      <w:pPr>
        <w:pStyle w:val="SingleTxt"/>
        <w:numPr>
          <w:ilvl w:val="0"/>
          <w:numId w:val="78"/>
        </w:numPr>
        <w:tabs>
          <w:tab w:val="left" w:pos="1742"/>
        </w:tabs>
      </w:pPr>
      <w:r>
        <w:t>La Asociación de Prensa Diaria de Atenas (EIIEA), en el artículo 7 del Pr</w:t>
      </w:r>
      <w:r>
        <w:t>o</w:t>
      </w:r>
      <w:r>
        <w:t xml:space="preserve">yecto de Código de Honor (basado en el Código de la Asociación Mundial de Prensa </w:t>
      </w:r>
      <w:r>
        <w:rPr>
          <w:spacing w:val="6"/>
        </w:rPr>
        <w:t>(WAN) establece la igualdad de trato para ambos sexos. En particular dispone lo s</w:t>
      </w:r>
      <w:r>
        <w:rPr>
          <w:spacing w:val="6"/>
        </w:rPr>
        <w:t>i</w:t>
      </w:r>
      <w:r>
        <w:t xml:space="preserve">guiente: </w:t>
      </w:r>
    </w:p>
    <w:p w:rsidR="00000000" w:rsidRDefault="00000000">
      <w:pPr>
        <w:pStyle w:val="SingleTxt"/>
        <w:rPr>
          <w:i/>
        </w:rPr>
      </w:pPr>
      <w:r>
        <w:rPr>
          <w:i/>
        </w:rPr>
        <w:tab/>
        <w:t>1.</w:t>
      </w:r>
      <w:r>
        <w:rPr>
          <w:i/>
        </w:rPr>
        <w:tab/>
        <w:t>La prensa no debe adoptar posiciones que supongan una violación d</w:t>
      </w:r>
      <w:r>
        <w:rPr>
          <w:i/>
        </w:rPr>
        <w:t>i</w:t>
      </w:r>
      <w:r>
        <w:rPr>
          <w:i/>
        </w:rPr>
        <w:t>recta y flagrante de los derechos fundamentales o constituyan discriminación neg</w:t>
      </w:r>
      <w:r>
        <w:rPr>
          <w:i/>
        </w:rPr>
        <w:t>a</w:t>
      </w:r>
      <w:r>
        <w:rPr>
          <w:i/>
        </w:rPr>
        <w:t xml:space="preserve">tiva flagrante de grupos de personas por motivos de sexo, nacionalidad, raza, credo </w:t>
      </w:r>
      <w:r>
        <w:rPr>
          <w:i/>
          <w:spacing w:val="6"/>
        </w:rPr>
        <w:t>religioso o ideología, o por las preferencias sexuales de los integrantes de esos gr</w:t>
      </w:r>
      <w:r>
        <w:rPr>
          <w:i/>
          <w:spacing w:val="6"/>
        </w:rPr>
        <w:t>u</w:t>
      </w:r>
      <w:r>
        <w:rPr>
          <w:i/>
        </w:rPr>
        <w:t xml:space="preserve">pos.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Actividades de las organizaciones no gubernamentales relacionadas con los medios de comunicación </w:t>
      </w:r>
    </w:p>
    <w:p w:rsidR="00000000" w:rsidRDefault="00000000">
      <w:pPr>
        <w:pStyle w:val="SingleTxt"/>
        <w:spacing w:after="0" w:line="120" w:lineRule="exact"/>
        <w:rPr>
          <w:sz w:val="10"/>
        </w:rPr>
      </w:pPr>
    </w:p>
    <w:p w:rsidR="00000000" w:rsidRDefault="00000000">
      <w:pPr>
        <w:pStyle w:val="SingleTxt"/>
        <w:numPr>
          <w:ilvl w:val="0"/>
          <w:numId w:val="82"/>
        </w:numPr>
        <w:tabs>
          <w:tab w:val="left" w:pos="1742"/>
        </w:tabs>
      </w:pPr>
      <w:r>
        <w:t>Las organizaciones no gubernamentales de mujeres que promueven cuestiones relacionadas con la igualdad de género contribuyen en gran medida, a través de sus actividades e iniciativas (organización de seminarios, actos y conferencias y publ</w:t>
      </w:r>
      <w:r>
        <w:t>i</w:t>
      </w:r>
      <w:r>
        <w:t>caciones), a cambiar las ideas, los sesgos y los estereotipos en la sociedad griega y a procesar la dignidad humana y la imagen de las mujeres griegas en los medios de comunicación. La Secretaría General para la Igualdad de Género colabora perm</w:t>
      </w:r>
      <w:r>
        <w:t>a</w:t>
      </w:r>
      <w:r>
        <w:t>nentemente con las ONG de mujeres en el marco de las actividades mencionadas con miras a mejorar la imagen de las mujeres griegas en los medios de comunic</w:t>
      </w:r>
      <w:r>
        <w:t>a</w:t>
      </w:r>
      <w:r>
        <w:t>ción. Entre las actividades que desarrollan las ONG figuran también las siguientes:</w:t>
      </w:r>
    </w:p>
    <w:p w:rsidR="00000000" w:rsidRDefault="00000000">
      <w:pPr>
        <w:pStyle w:val="SingleTxt"/>
        <w:tabs>
          <w:tab w:val="right" w:pos="1685"/>
        </w:tabs>
        <w:ind w:left="1742" w:hanging="475"/>
      </w:pPr>
      <w:r>
        <w:tab/>
        <w:t>•</w:t>
      </w:r>
      <w:r>
        <w:tab/>
        <w:t xml:space="preserve">La organización no gubernamental </w:t>
      </w:r>
      <w:r>
        <w:rPr>
          <w:i/>
        </w:rPr>
        <w:t xml:space="preserve">Red Europea de Periodistas Griegas </w:t>
      </w:r>
      <w:r>
        <w:t>(EDED), entre cuyos objetivos figura a la promoción de la igualdad de oport</w:t>
      </w:r>
      <w:r>
        <w:t>u</w:t>
      </w:r>
      <w:r>
        <w:t>nidades para las mujeres periodistas, participó entre 2000 y 2004 en un número considerable de programas de la Unión Europea, con sus correspondientes a</w:t>
      </w:r>
      <w:r>
        <w:t>c</w:t>
      </w:r>
      <w:r>
        <w:t>tividades, destinados a informar a las mujeres acerca de las oportunidades existentes. En particular, la Iniciativa NOW consistía en la formación en nu</w:t>
      </w:r>
      <w:r>
        <w:t>e</w:t>
      </w:r>
      <w:r>
        <w:t>vas tecnologías e Internet de las mujeres periodistas desempleadas. La EDED ha liderado, junto con sus interlocutores de Italia, España, Grecia, la DEPKA (Empresa Municipal de Desarrollo Cultural y Social) y el Sindicato de Peri</w:t>
      </w:r>
      <w:r>
        <w:t>o</w:t>
      </w:r>
      <w:r>
        <w:t>distas de Prensa Diaria Provincial, el Programa “Ahora ya lo sabes…”, en c</w:t>
      </w:r>
      <w:r>
        <w:t>u</w:t>
      </w:r>
      <w:r>
        <w:t>yo marco se celebraron varias conferencias. En el contexto de ese Programa, la EDED encargó a la empresa VPRC una encuesta, que se llevó a cabo en 2002, con objeto de conocer la opinión de los periodistas griegos, hombres y muj</w:t>
      </w:r>
      <w:r>
        <w:t>e</w:t>
      </w:r>
      <w:r>
        <w:t>res, acerca de su profesión y de la calidad de la información en Grecia.</w:t>
      </w:r>
    </w:p>
    <w:p w:rsidR="00000000" w:rsidRDefault="00000000">
      <w:pPr>
        <w:pStyle w:val="SingleTxt"/>
      </w:pPr>
      <w:r>
        <w:tab/>
        <w:t>En ese estudio se indicaba, entre otras cosas que (pág. 2): “en la profesión p</w:t>
      </w:r>
      <w:r>
        <w:t>e</w:t>
      </w:r>
      <w:r>
        <w:t>riodística la proporción de hombres (58,7%) es muy superior a la de mujeres (41,3%). En la actualidad la mayoría de los periodistas (el 52.1%) no pertenece a ningún sind</w:t>
      </w:r>
      <w:r>
        <w:t>i</w:t>
      </w:r>
      <w:r>
        <w:t>cato ni organización”.</w:t>
      </w:r>
    </w:p>
    <w:p w:rsidR="00000000" w:rsidRDefault="00000000">
      <w:pPr>
        <w:pStyle w:val="SingleTxt"/>
      </w:pPr>
      <w:r>
        <w:tab/>
        <w:t>Los problemas más urgentes a los que se enfrentan los periodistas hoy en día son la precariedad laboral reinante en el sector (pág. 6) (horario laboral excesivo, arbitrariedad de los empleadores, contratos sin alta en la seguridad social, etc.) y los bajos emolumentos. En el caso de las mujeres periodistas los problemas más graves son los bajos salarios (30,7%) y la precariedad laboral (27,4%).</w:t>
      </w:r>
    </w:p>
    <w:p w:rsidR="00000000" w:rsidRDefault="00000000">
      <w:pPr>
        <w:pStyle w:val="SingleTxt"/>
        <w:rPr>
          <w:color w:val="000000"/>
        </w:rPr>
      </w:pPr>
      <w:r>
        <w:tab/>
        <w:t>Por lo que respecta a las cuestiones de la igualdad en la profesión periodística, el informe indica, entre otras cosas (párr. 1 de la pág. 8), que muchas mujeres peri</w:t>
      </w:r>
      <w:r>
        <w:t>o</w:t>
      </w:r>
      <w:r>
        <w:t>distas opinan que el hecho de ser mujeres ha constituido o constituye un obstáculo para su carrera profesional (32,7%). Un 36,2 por ciento de las mujeres se consideran que han sido objeto discriminación financiera y profesional por razones de género. Los hombres y las mujeres periodistas consideran, en la misma proporción (42,2% y 42,9% respectivamente), que en su profesión no hay igualdad de oportunidades por lo que respecta a las posibilidades de hacer carrera.</w:t>
      </w:r>
    </w:p>
    <w:p w:rsidR="00000000" w:rsidRDefault="00000000">
      <w:pPr>
        <w:pStyle w:val="SingleTxt"/>
      </w:pPr>
      <w:r>
        <w:tab/>
        <w:t>Se han observado considerables discrepancias entre las opiniones de los ho</w:t>
      </w:r>
      <w:r>
        <w:t>m</w:t>
      </w:r>
      <w:r>
        <w:t>bres y las mujeres periodistas con respecto a una serie de ideas y conclusiones ace</w:t>
      </w:r>
      <w:r>
        <w:t>r</w:t>
      </w:r>
      <w:r>
        <w:t xml:space="preserve">ca de su profesión (párr. 7 de la pág. 9). </w:t>
      </w:r>
    </w:p>
    <w:p w:rsidR="00000000" w:rsidRDefault="00000000">
      <w:pPr>
        <w:pStyle w:val="SingleTxt"/>
      </w:pPr>
      <w:r>
        <w:tab/>
        <w:t>Existen divergencias sustanciales entre las opiniones de hombres y mujeres con respecto a la capacidad de gestión/capacidad de coordinación, de previsión, de comunicación, de síntesis y el ingenio y la capacidad de innovación, la disposición práctica y la competitividad.</w:t>
      </w:r>
    </w:p>
    <w:p w:rsidR="00000000" w:rsidRDefault="00000000">
      <w:pPr>
        <w:pStyle w:val="SingleTxt"/>
      </w:pPr>
      <w:r>
        <w:tab/>
        <w:t>Cabe deducir que, hoy en día, en el periodismo se observa cierta confrontación entre los sexos. Las distintas posiciones con respecto a la recesión y los diferentes enfoques ideológicos impulsivos con respecto a una serie de cuestiones permitan llegar a la conclusión de que, en la profesión periodística, las mujeres tienden a adoptar p</w:t>
      </w:r>
      <w:r>
        <w:t>o</w:t>
      </w:r>
      <w:r>
        <w:t>siciones mesuradas.</w:t>
      </w:r>
    </w:p>
    <w:p w:rsidR="00000000" w:rsidRDefault="00000000">
      <w:pPr>
        <w:pStyle w:val="SingleTxt"/>
        <w:tabs>
          <w:tab w:val="right" w:pos="1685"/>
        </w:tabs>
        <w:ind w:left="1742" w:hanging="475"/>
      </w:pPr>
      <w:r>
        <w:tab/>
        <w:t>•</w:t>
      </w:r>
      <w:r>
        <w:tab/>
        <w:t>La organización no gubernamental “Asociación Pro Derechos de la Mujer” también concede anualmente premios a periodistas de la prensa escrita o ele</w:t>
      </w:r>
      <w:r>
        <w:t>c</w:t>
      </w:r>
      <w:r>
        <w:t>trónica que promueven sistemáticamente la igualdad de género.</w:t>
      </w:r>
    </w:p>
    <w:p w:rsidR="00000000" w:rsidRDefault="00000000">
      <w:pPr>
        <w:pStyle w:val="SingleTxt"/>
        <w:tabs>
          <w:tab w:val="right" w:pos="1685"/>
        </w:tabs>
        <w:ind w:left="1742" w:hanging="475"/>
      </w:pPr>
      <w:r>
        <w:tab/>
        <w:t>•</w:t>
      </w:r>
      <w:r>
        <w:tab/>
        <w:t>Además de conceder el premio anual de periodismo mencionado, la Asoci</w:t>
      </w:r>
      <w:r>
        <w:t>a</w:t>
      </w:r>
      <w:r>
        <w:t>ción Pro Derechos de la Mujer denuncia, conjuntamente con otras organiz</w:t>
      </w:r>
      <w:r>
        <w:t>a</w:t>
      </w:r>
      <w:r>
        <w:t>ciones de mujeres, los anuncios publicitarios que presentan una imagen degr</w:t>
      </w:r>
      <w:r>
        <w:t>a</w:t>
      </w:r>
      <w:r>
        <w:t>dante de la mujer.</w:t>
      </w:r>
    </w:p>
    <w:p w:rsidR="00000000" w:rsidRDefault="00000000">
      <w:pPr>
        <w:pStyle w:val="SingleTxt"/>
        <w:tabs>
          <w:tab w:val="right" w:pos="1685"/>
        </w:tabs>
        <w:ind w:left="1742" w:hanging="475"/>
      </w:pPr>
      <w:r>
        <w:tab/>
        <w:t>•</w:t>
      </w:r>
      <w:r>
        <w:tab/>
        <w:t>A través de la revista que publica, la sección griega de la Asociación Intern</w:t>
      </w:r>
      <w:r>
        <w:t>a</w:t>
      </w:r>
      <w:r>
        <w:t>cional Soroptimista de Grecia destaca la importancia del papel de los medios de comunicación en la formación y el mantenimiento de estereotipos con re</w:t>
      </w:r>
      <w:r>
        <w:t>s</w:t>
      </w:r>
      <w:r>
        <w:t>pecto a la mujer y lucha por eliminar esos estereotipos mediante la realización de diversos actos.</w:t>
      </w:r>
    </w:p>
    <w:p w:rsidR="00000000" w:rsidRDefault="00000000">
      <w:pPr>
        <w:pStyle w:val="SingleTxt"/>
        <w:tabs>
          <w:tab w:val="right" w:pos="1685"/>
        </w:tabs>
        <w:ind w:left="1742" w:hanging="475"/>
        <w:rPr>
          <w:color w:val="000000"/>
        </w:rPr>
      </w:pPr>
      <w:r>
        <w:tab/>
        <w:t>•</w:t>
      </w:r>
      <w:r>
        <w:tab/>
        <w:t>El 2002, por iniciativa de la Secretaría General para la Igualdad de Género y en colaboración con el Instituto para la Promoción del Periodismo, Athan. V. Botsi, se creó un premio anual que se concede a artículos, informes o trabajos de investigación periodística en los que se aborda y promueve la cuestión de la igualdad. El premio está patrocinado por la Secretaría General para la Igualdad de Género, y ti</w:t>
      </w:r>
      <w:r>
        <w:t>e</w:t>
      </w:r>
      <w:r>
        <w:t>ne los siguientes objetivos:</w:t>
      </w:r>
    </w:p>
    <w:p w:rsidR="00000000" w:rsidRDefault="00000000">
      <w:pPr>
        <w:pStyle w:val="SingleTxt"/>
        <w:tabs>
          <w:tab w:val="right" w:pos="1685"/>
        </w:tabs>
        <w:spacing w:line="220" w:lineRule="exact"/>
        <w:ind w:left="1742" w:hanging="475"/>
      </w:pPr>
      <w:r>
        <w:tab/>
        <w:t>–</w:t>
      </w:r>
      <w:r>
        <w:tab/>
        <w:t>Desarrollar cualitativamente las cuestiones que afectan a la mujer y darles m</w:t>
      </w:r>
      <w:r>
        <w:t>a</w:t>
      </w:r>
      <w:r>
        <w:t>yor publicidad</w:t>
      </w:r>
    </w:p>
    <w:p w:rsidR="00000000" w:rsidRDefault="00000000">
      <w:pPr>
        <w:pStyle w:val="SingleTxt"/>
        <w:tabs>
          <w:tab w:val="right" w:pos="1685"/>
        </w:tabs>
        <w:spacing w:line="220" w:lineRule="exact"/>
        <w:ind w:left="1742" w:hanging="475"/>
        <w:rPr>
          <w:color w:val="000000"/>
        </w:rPr>
      </w:pPr>
      <w:r>
        <w:tab/>
        <w:t>–</w:t>
      </w:r>
      <w:r>
        <w:tab/>
        <w:t>Informar de manera más objetiva y fidedigna, abordando con más frecuencia la cuestión de la igualdad</w:t>
      </w:r>
    </w:p>
    <w:p w:rsidR="00000000" w:rsidRDefault="00000000">
      <w:pPr>
        <w:pStyle w:val="SingleTxt"/>
        <w:tabs>
          <w:tab w:val="right" w:pos="1685"/>
        </w:tabs>
        <w:spacing w:line="220" w:lineRule="exact"/>
        <w:ind w:left="1742" w:hanging="475"/>
      </w:pPr>
      <w:r>
        <w:tab/>
        <w:t>–</w:t>
      </w:r>
      <w:r>
        <w:tab/>
        <w:t>Poner de manifiesto las nuevas funciones sociales de ambos sexos y su igua</w:t>
      </w:r>
      <w:r>
        <w:t>l</w:t>
      </w:r>
      <w:r>
        <w:t>dad social.</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Políticas encaminadas a conciliar la vida laboral con la vida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116885450"/>
      <w:r>
        <w:tab/>
      </w:r>
      <w:r>
        <w:tab/>
        <w:t>Características demográficas de Grecia</w:t>
      </w:r>
      <w:bookmarkEnd w:id="13"/>
    </w:p>
    <w:p w:rsidR="00000000" w:rsidRDefault="00000000">
      <w:pPr>
        <w:pStyle w:val="SingleTxt"/>
        <w:spacing w:after="0" w:line="120" w:lineRule="exact"/>
        <w:rPr>
          <w:sz w:val="10"/>
        </w:rPr>
      </w:pPr>
    </w:p>
    <w:p w:rsidR="00000000" w:rsidRDefault="00000000">
      <w:pPr>
        <w:pStyle w:val="SingleTxt"/>
        <w:numPr>
          <w:ilvl w:val="0"/>
          <w:numId w:val="83"/>
        </w:numPr>
        <w:tabs>
          <w:tab w:val="left" w:pos="1742"/>
        </w:tabs>
      </w:pPr>
      <w:r>
        <w:t>En Grecia, la evolución demográfica se caracteriza por una disminución de los nacimientos, de la tasa de fecundidad y de la tasa de mortalidad y, en el último decenio, por la repatriación de extranjeros de ascendencia helénica y la afluencia de inmigrantes. En particular, según datos de la Eurostat relativos a 2003, la población total de Grecia pasó de 11.006.400 a 11.041.100 habitantes (+ 34.700) principa</w:t>
      </w:r>
      <w:r>
        <w:t>l</w:t>
      </w:r>
      <w:r>
        <w:t>mente debido a la afluencia de inmigrantes. En 2003, la tasa de natalidad era de 1,27 hijos por mujer, la misma que en 2002, mientras que en 1980 era de 2,21 hijos por mujer. Grecia tiene la tasa de natalidad más baja de la Unión Europea de los 15 y la quinta más baja de la Unión Europea de los 25, por delante de Eslovenia (1,22), la República Checa (1,18), Eslovaquia (1,17) y Chipre (1,16). En la Unión Europea de los 25 la tasa media de natalidad era en 2003 de 1,48 hijos por mujer, frente a 1,88 hijos en 1980. En 2003 el número de nacimientos en Grecia fue de 9,4 por 1000 h</w:t>
      </w:r>
      <w:r>
        <w:t>a</w:t>
      </w:r>
      <w:r>
        <w:t>bitantes (10,4 en la UE de los 25: 10,4), frente a 15,4 en 1980. El número de mue</w:t>
      </w:r>
      <w:r>
        <w:t>r</w:t>
      </w:r>
      <w:r>
        <w:t>tes fue de 9,5 por 1000 habitantes (UE de los 25: 9,9), mientras que en 1980 era de 9,1. Por consiguiente, el año pasado no se registró un aumento natural de la pobl</w:t>
      </w:r>
      <w:r>
        <w:t>a</w:t>
      </w:r>
      <w:r>
        <w:t>ción de Grecia (diferencia entre el número de nacimientos y el número de muertes por 1.000 habitantes), al igual que en 2002. En 1980 ese aumento fue del 6,3%. En la Comunidad se registró un aumento del 0,4% en 2003 y del 3,2% en 1980. En co</w:t>
      </w:r>
      <w:r>
        <w:t>n</w:t>
      </w:r>
      <w:r>
        <w:t>clusión, se observa que, a partir de 1950, se ha producido en Grecia una tendencia a la baja en la tasa de natalidad, que se sitúa actualmente en torno a 1,3 hijos por m</w:t>
      </w:r>
      <w:r>
        <w:t>u</w:t>
      </w:r>
      <w:r>
        <w:t>jer, proporción considerablemente inferior al nivel de fecundidad de mantenimiento (2,1 hijos por mujer). La corriente de inmigración (entradas-salidas) registró un a</w:t>
      </w:r>
      <w:r>
        <w:t>u</w:t>
      </w:r>
      <w:r>
        <w:t>mento de 3,2 por 1.000 habitantes en 2003, frente a 1,7 en 2002 y 5,2 en 1980. En la Unión Europea de los 25 fue de 3,7 por 1.000 habitantes. En Grecia, en la esperanza de vida en 2003 era de 75,4 años en el caso de los hombres (1980: 72,2) y de 80,7 años en el de las mujeres (1980: 76,8). En la Unión Europea de los 25 la esperanza de vida es de 74,8 años para los hombres y de 81,1 para las mujeres.</w:t>
      </w:r>
    </w:p>
    <w:p w:rsidR="00000000" w:rsidRDefault="00000000">
      <w:pPr>
        <w:pStyle w:val="SingleTxt"/>
        <w:numPr>
          <w:ilvl w:val="0"/>
          <w:numId w:val="83"/>
        </w:numPr>
      </w:pPr>
      <w:r>
        <w:t>El número de matrimonios sigue disminuyendo, mientras que el de divorcios está aumentando. 2003, la proporción era de 56,6 matrimonios por 1.000 habitantes, mientras que en 1980 era de 62,4. En cambio, se ha registrado un aumento signif</w:t>
      </w:r>
      <w:r>
        <w:t>i</w:t>
      </w:r>
      <w:r>
        <w:t>cativo del número de divorcios, que en 2003, fue de 11,1 por 1.000 habitantes, frente a 6,7 en 1980. El porcentaje de hijos nacidos fuera del matrimonio ha pasado del 2,9% en 1994 al 4,4% en 2002:</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1999 </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hijos nacidos fuera del matrimonio</w:t>
            </w:r>
          </w:p>
        </w:tc>
        <w:tc>
          <w:tcPr>
            <w:tcW w:w="12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2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12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12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 xml:space="preserve">Datos del Censo de 2001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procesamiento de los datos del Censo del 2001 arroja los siguientes result</w:t>
      </w:r>
      <w:r>
        <w:t>a</w:t>
      </w:r>
      <w:r>
        <w:t>dos (</w:t>
      </w:r>
      <w:r>
        <w:rPr>
          <w:i/>
        </w:rPr>
        <w:t>fuente</w:t>
      </w:r>
      <w:r>
        <w:t>: Oficina Nacional de Estadística)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20"/>
        <w:gridCol w:w="1200"/>
      </w:tblGrid>
      <w:tr w:rsidR="00000000">
        <w:tblPrEx>
          <w:tblCellMar>
            <w:top w:w="0" w:type="dxa"/>
            <w:left w:w="0" w:type="dxa"/>
            <w:bottom w:w="0" w:type="dxa"/>
            <w:right w:w="0" w:type="dxa"/>
          </w:tblCellMar>
        </w:tblPrEx>
        <w:trPr>
          <w:tblHeader/>
        </w:trPr>
        <w:tc>
          <w:tcPr>
            <w:tcW w:w="61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Descripción</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612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351 177</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al menos un hijo menor de 14 años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79 738</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hijos mayores de 14 años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271 439</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en las que el cabeza de familia es un hombre</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58 692</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al menos un hijo menor de 14 años en las que el cabeza de familia es un hombre</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14 766</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hijos mayores de 14 años en las que el cabeza de familia es un hombre</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43 926</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en las que la cabeza de familia es una mujer</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292 485</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al menos un hijo menor de 14 años en las que la cabeza de familia es una mujer</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64 972</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familias monoparentales con hijos mayores de 14 años en as que la cabeza de familia es una mujer</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227 513</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madres solteras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8 161</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total de madres solteras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11 885</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mujeres divorciadas-viudas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34 502</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total de mujeres divorciadas-viudas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224 952</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con al menos un hijo menor de 14 años que trabajan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445 594</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sin pareja (divorciadas-viudas) con al menos un hijo menor de 14 años que trabajan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22 407</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sin pareja (solteras) desempleadas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3,336</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desempleadas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45 288</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casadas desempleadas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41 603</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sin pareja (divorciadas-viudas) desempleadas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2 940</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sin pareja (solteras) desempleadas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745</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no económicamente activas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388 768</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Madres casadas no económicamente activas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75 533</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Mujeres no económicamente activas, cabezas de familias monoparentales, con al menos un hijo menor de 14 años (familias)*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20 747</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0"/>
            </w:pPr>
            <w:r>
              <w:t>Número de mujeres madres de familias numerosas</w:t>
            </w:r>
          </w:p>
        </w:tc>
        <w:tc>
          <w:tcPr>
            <w:tcW w:w="1200" w:type="dxa"/>
            <w:vAlign w:val="bottom"/>
          </w:tcPr>
          <w:p w:rsidR="00000000" w:rsidRDefault="00000000">
            <w:pPr>
              <w:tabs>
                <w:tab w:val="left" w:pos="288"/>
                <w:tab w:val="left" w:pos="576"/>
                <w:tab w:val="left" w:pos="864"/>
                <w:tab w:val="left" w:pos="1152"/>
              </w:tabs>
              <w:spacing w:before="40" w:after="80"/>
              <w:ind w:right="40"/>
              <w:jc w:val="right"/>
            </w:pPr>
            <w:r>
              <w:t>300 427</w:t>
            </w:r>
          </w:p>
        </w:tc>
      </w:tr>
      <w:tr w:rsidR="00000000">
        <w:tblPrEx>
          <w:tblCellMar>
            <w:top w:w="0" w:type="dxa"/>
            <w:left w:w="0" w:type="dxa"/>
            <w:bottom w:w="0" w:type="dxa"/>
            <w:right w:w="0" w:type="dxa"/>
          </w:tblCellMar>
        </w:tblPrEx>
        <w:tc>
          <w:tcPr>
            <w:tcW w:w="6120" w:type="dxa"/>
            <w:vAlign w:val="bottom"/>
          </w:tcPr>
          <w:p w:rsidR="00000000" w:rsidRDefault="00000000">
            <w:pPr>
              <w:tabs>
                <w:tab w:val="left" w:pos="288"/>
                <w:tab w:val="left" w:pos="576"/>
                <w:tab w:val="left" w:pos="864"/>
                <w:tab w:val="left" w:pos="1152"/>
              </w:tabs>
              <w:spacing w:before="40" w:after="80"/>
              <w:ind w:right="43"/>
            </w:pPr>
            <w:r>
              <w:t>Número de madres</w:t>
            </w:r>
          </w:p>
        </w:tc>
        <w:tc>
          <w:tcPr>
            <w:tcW w:w="1200" w:type="dxa"/>
            <w:vAlign w:val="bottom"/>
          </w:tcPr>
          <w:p w:rsidR="00000000" w:rsidRDefault="00000000">
            <w:pPr>
              <w:tabs>
                <w:tab w:val="left" w:pos="288"/>
                <w:tab w:val="left" w:pos="576"/>
                <w:tab w:val="left" w:pos="864"/>
                <w:tab w:val="left" w:pos="1152"/>
              </w:tabs>
              <w:spacing w:before="40" w:after="80"/>
              <w:ind w:right="43"/>
              <w:jc w:val="right"/>
            </w:pPr>
            <w:r>
              <w:t>3 201 909</w:t>
            </w:r>
          </w:p>
        </w:tc>
      </w:tr>
      <w:tr w:rsidR="00000000">
        <w:tblPrEx>
          <w:tblCellMar>
            <w:top w:w="0" w:type="dxa"/>
            <w:left w:w="0" w:type="dxa"/>
            <w:bottom w:w="0" w:type="dxa"/>
            <w:right w:w="0" w:type="dxa"/>
          </w:tblCellMar>
        </w:tblPrEx>
        <w:tc>
          <w:tcPr>
            <w:tcW w:w="61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ind w:right="43"/>
              <w:rPr>
                <w:sz w:val="17"/>
              </w:rPr>
            </w:pPr>
            <w:r>
              <w:rPr>
                <w:sz w:val="17"/>
              </w:rPr>
              <w:tab/>
              <w:t>*</w:t>
            </w:r>
            <w:r>
              <w:rPr>
                <w:sz w:val="17"/>
              </w:rPr>
              <w:tab/>
              <w:t>Subcategoría de las dos categorías anteriores</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ind w:right="43"/>
              <w:jc w:val="right"/>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116885457"/>
      <w:r>
        <w:tab/>
      </w:r>
      <w:r>
        <w:tab/>
        <w:t>Escuelas y guarderías de jornada completa</w:t>
      </w:r>
      <w:bookmarkEnd w:id="14"/>
    </w:p>
    <w:p w:rsidR="00000000" w:rsidRDefault="00000000">
      <w:pPr>
        <w:pStyle w:val="SingleTxt"/>
        <w:spacing w:after="0" w:line="120" w:lineRule="exact"/>
        <w:rPr>
          <w:sz w:val="10"/>
        </w:rPr>
      </w:pPr>
    </w:p>
    <w:p w:rsidR="00000000" w:rsidRDefault="00000000">
      <w:pPr>
        <w:pStyle w:val="SingleTxt"/>
        <w:numPr>
          <w:ilvl w:val="0"/>
          <w:numId w:val="84"/>
        </w:numPr>
        <w:tabs>
          <w:tab w:val="left" w:pos="1742"/>
        </w:tabs>
      </w:pPr>
      <w:r>
        <w:t>Con el fin de establecer un sistema integrado que permita conciliar la vida f</w:t>
      </w:r>
      <w:r>
        <w:t>a</w:t>
      </w:r>
      <w:r>
        <w:t>miliar con la vida laboral se han creado las escuelas primarias y guarderías de jo</w:t>
      </w:r>
      <w:r>
        <w:t>r</w:t>
      </w:r>
      <w:r>
        <w:t>nada completa. En la actualidad existen 3.964 escuelas primarias y 2.169 guarderías que ofrecen horario prolongado. También hay 1.306 guarderías públicas con capac</w:t>
      </w:r>
      <w:r>
        <w:t>i</w:t>
      </w:r>
      <w:r>
        <w:t>dad para 78.000 niños (de edades comprendidas entre los 2 años y medio y la edad de inicio de la enseñanza primaria) y 132 guarderías-nido, con 10.000 plazas, para niños desde los 8 meses hasta su ingreso en la enseñanza primaria. La finalidad de esas guarderías es atender a las necesidades de los padres que trabajan y de las f</w:t>
      </w:r>
      <w:r>
        <w:t>a</w:t>
      </w:r>
      <w:r>
        <w:t>milias en situación económica más precaria. Los niños que, por su situación (niños que han perdido a uno o ambos progenitores, hijos de madres solteras o de padres divorciados o separados, hijos de familias numerosas, niños cuyos padres sufren a</w:t>
      </w:r>
      <w:r>
        <w:t>l</w:t>
      </w:r>
      <w:r>
        <w:t>guna discapacidad física o mental, etc.), necesitan atención especial, tienen pref</w:t>
      </w:r>
      <w:r>
        <w:t>e</w:t>
      </w:r>
      <w:r>
        <w:t>rencia en las listas de admisión a esas guarderías. Con el fin de mejorar las cond</w:t>
      </w:r>
      <w:r>
        <w:t>i</w:t>
      </w:r>
      <w:r>
        <w:t>ciones de vida de los niños y la calidad de los servicios que se les prestan, los padres pagan una tarifa proporcional a los ingresos familiares.</w:t>
      </w:r>
    </w:p>
    <w:p w:rsidR="00000000" w:rsidRDefault="00000000">
      <w:pPr>
        <w:pStyle w:val="SingleTxt"/>
        <w:rPr>
          <w:color w:val="000000"/>
        </w:rPr>
      </w:pPr>
      <w:r>
        <w:tab/>
        <w:t xml:space="preserve">Cabe señalar que, con arreglo a las disposiciones del artículo 12 de la Ley 2880/01, todas las guarderías públicas dependen, </w:t>
      </w:r>
      <w:r>
        <w:rPr>
          <w:i/>
        </w:rPr>
        <w:t>ipso jure</w:t>
      </w:r>
      <w:r>
        <w:t>, de las autoridades loc</w:t>
      </w:r>
      <w:r>
        <w:t>a</w:t>
      </w:r>
      <w:r>
        <w:t>les; por consiguiente, funcionan como instituciones públicas municipales y de la comunidad (NTDD), de acuerdo con el artículo 203 de Decreto Presidencial 410/95 (Código Municipal y de la Comunidad). En virtud de la Ley 2920/2001 se creó el Cuerpo de Inspectores de Servicios de Sanidad y Bienestar Social (SEYYP) depe</w:t>
      </w:r>
      <w:r>
        <w:t>n</w:t>
      </w:r>
      <w:r>
        <w:t xml:space="preserve">diente del Ministerio de Sanidad y de Bienestar Social, que, entre otras cosas, puede inspeccionar los servicios de asistencia social en los municipios y comunidades a fin de controlar la calidad y la idoneidad de las instalaciones y el equipamiento y de tomar las medidas necesarias para garantizar unas condiciones higiénicas saludables para los niños y el personal. </w:t>
      </w:r>
    </w:p>
    <w:p w:rsidR="00000000" w:rsidRDefault="00000000">
      <w:pPr>
        <w:pStyle w:val="SingleTxt"/>
        <w:numPr>
          <w:ilvl w:val="0"/>
          <w:numId w:val="84"/>
        </w:numPr>
      </w:pPr>
      <w:r>
        <w:t>Según el artículo 8 de la Ley 3106/2003 sobre “Reorganización del Sistema Nacional de Asistencia Social”, las 164 guarderías que dependían del Ministerio de Sanidad y Bienestar Social (PIKPA, EOP, KV “I Mitera”, IVS de Atenas, IVS de Tesalónica y IVS de Larissa), se han transferido a los municipios y comunidades del di</w:t>
      </w:r>
      <w:r>
        <w:t>s</w:t>
      </w:r>
      <w:r>
        <w:t>trito en el que operan.</w:t>
      </w:r>
    </w:p>
    <w:p w:rsidR="00000000" w:rsidRDefault="00000000">
      <w:pPr>
        <w:pStyle w:val="SingleTxt"/>
        <w:numPr>
          <w:ilvl w:val="0"/>
          <w:numId w:val="84"/>
        </w:numPr>
      </w:pPr>
      <w:r>
        <w:t xml:space="preserve">Se han creado organizaciones benéficas que gestionan 39 centros (sin fines de lucro), algunas de las cuales reciben una subvención simbólica del presupuesto del </w:t>
      </w:r>
      <w:r>
        <w:rPr>
          <w:spacing w:val="2"/>
        </w:rPr>
        <w:t>Estado. También existen alrededor de 1.090 guarderías privadas (empresas priv</w:t>
      </w:r>
      <w:r>
        <w:rPr>
          <w:spacing w:val="2"/>
        </w:rPr>
        <w:t>a</w:t>
      </w:r>
      <w:r>
        <w:t>das).</w:t>
      </w:r>
    </w:p>
    <w:p w:rsidR="00000000" w:rsidRDefault="00000000">
      <w:pPr>
        <w:pStyle w:val="SingleTxt"/>
        <w:numPr>
          <w:ilvl w:val="0"/>
          <w:numId w:val="84"/>
        </w:numPr>
      </w:pPr>
      <w:r>
        <w:t>Por último, en virtud de una Orden Ministerial Común de los Ministros del Interior, Administración Pública y Descentralización, Trabajo y Protección Social, y Sanidad y Bienestar Social, en los Programas Operacionales Regionales (PEP), que forman parte del Tercer Marco Comunitario de Apoyo, se han adoptado medidas en </w:t>
      </w:r>
      <w:r>
        <w:rPr>
          <w:spacing w:val="6"/>
        </w:rPr>
        <w:t>relación con el funcionamiento de nuevas estructuras o departamentos en las es</w:t>
      </w:r>
      <w:r>
        <w:t>tructuras ya existentes de las guarderías, las guarderías de atención integrada (que incluyen servicios para niños con discapacidades) (VSOF), los centros de activid</w:t>
      </w:r>
      <w:r>
        <w:t>a</w:t>
      </w:r>
      <w:r>
        <w:t>des creativas para niños (KDAP) y los centros de actividades creativas para niños con discapacidades (KDAP AMEA); el programa operacional “Empleo y formación profesional”, que también forma parte del Tercer Marco Comunitario de Apoyo, e</w:t>
      </w:r>
      <w:r>
        <w:t>n</w:t>
      </w:r>
      <w:r>
        <w:t>traña la adopción de medidas para el mantenimiento o la ampliación del funcion</w:t>
      </w:r>
      <w:r>
        <w:t>a</w:t>
      </w:r>
      <w:r>
        <w:t>miento de las estructuras existentes, cofinanciadas por el Fondo Social Europeo en el contexto del Segundo Marco Comunitario de Apoyo.</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116885458"/>
      <w:r>
        <w:tab/>
      </w:r>
      <w:r>
        <w:tab/>
        <w:t>Atención y ayudas a la infancia</w:t>
      </w:r>
      <w:bookmarkEnd w:id="15"/>
    </w:p>
    <w:p w:rsidR="00000000" w:rsidRDefault="00000000">
      <w:pPr>
        <w:pStyle w:val="SingleTxt"/>
        <w:spacing w:after="0" w:line="120" w:lineRule="exact"/>
        <w:rPr>
          <w:sz w:val="10"/>
        </w:rPr>
      </w:pPr>
    </w:p>
    <w:p w:rsidR="00000000" w:rsidRDefault="00000000">
      <w:pPr>
        <w:pStyle w:val="SingleTxt"/>
        <w:numPr>
          <w:ilvl w:val="0"/>
          <w:numId w:val="84"/>
        </w:numPr>
      </w:pPr>
      <w:r>
        <w:t>Con el fin de mejorar la política social a nivel nacional, el Ministerio de San</w:t>
      </w:r>
      <w:r>
        <w:t>i</w:t>
      </w:r>
      <w:r>
        <w:t>dad y Bienestar Social ha presentado al Parlamento la Ley 3106/2003 sobre la de</w:t>
      </w:r>
      <w:r>
        <w:t>s</w:t>
      </w:r>
      <w:r>
        <w:t xml:space="preserve">centralización regional del Sistema Nacional de Asistencia Social, que tiene por objeto descentralizar los servicios de asistencia social y su conexión institucional </w:t>
      </w:r>
      <w:r>
        <w:rPr>
          <w:spacing w:val="6"/>
        </w:rPr>
        <w:t>con los servicios de sanidad, y mejorar la colaboración y la coordinación que t</w:t>
      </w:r>
      <w:r>
        <w:rPr>
          <w:spacing w:val="6"/>
        </w:rPr>
        <w:t>o</w:t>
      </w:r>
      <w:r>
        <w:rPr>
          <w:spacing w:val="6"/>
        </w:rPr>
        <w:t>dos</w:t>
      </w:r>
      <w:r>
        <w:t xml:space="preserve"> los agentes que intervienen en la lucha contra la exclusión social. El nuevo ma</w:t>
      </w:r>
      <w:r>
        <w:t>r</w:t>
      </w:r>
      <w:r>
        <w:t>co institucional pretende prestar unos servicios más eficaces y oportunos a los ci</w:t>
      </w:r>
      <w:r>
        <w:t>u</w:t>
      </w:r>
      <w:r>
        <w:t>dad</w:t>
      </w:r>
      <w:r>
        <w:t>a</w:t>
      </w:r>
      <w:r>
        <w:t xml:space="preserve">nos. </w:t>
      </w:r>
    </w:p>
    <w:p w:rsidR="00000000" w:rsidRDefault="00000000">
      <w:pPr>
        <w:pStyle w:val="SingleTxt"/>
        <w:rPr>
          <w:color w:val="000000"/>
        </w:rPr>
      </w:pPr>
      <w:r>
        <w:tab/>
        <w:t>Con el nuevo marco institucional que proporciona la Ley mencionada (artículo 8), los Centros de Atención a la Familia de la suprimida Organización Nacional de Asistencia Social (EOKF) —que se crearon en virtud de las disposiciones del D</w:t>
      </w:r>
      <w:r>
        <w:t>e</w:t>
      </w:r>
      <w:r>
        <w:t>creto Presidencial 575/70— y que prestan, entre otros servicios, servicios de ases</w:t>
      </w:r>
      <w:r>
        <w:t>o</w:t>
      </w:r>
      <w:r>
        <w:t>ramiento para familias, niños, adolescentes y otros grupos vulnerables, han pasado a depender de los municipios y comunidades del distrito en el que funcionan. Cabe señalar que, en aplicación de la Ley 3106, se aprobaron varias Órdenes Ministeriales Comunes en las que se establece que los Programas de Asistencia Social de la ant</w:t>
      </w:r>
      <w:r>
        <w:t>i</w:t>
      </w:r>
      <w:r>
        <w:t>gua</w:t>
      </w:r>
      <w:r>
        <w:rPr>
          <w:color w:val="000000"/>
        </w:rPr>
        <w:t xml:space="preserve"> EOKF quedarán en adelante a cargo de las Dependencias de Asistencia Social del Sistema Nacional Regional de Salud y Bienestar Social (PESYP) correspo</w:t>
      </w:r>
      <w:r>
        <w:rPr>
          <w:color w:val="000000"/>
        </w:rPr>
        <w:t>n</w:t>
      </w:r>
      <w:r>
        <w:rPr>
          <w:color w:val="000000"/>
        </w:rPr>
        <w:t>dientes, a saber, el “Sanatorio Penteli”, el Orfelinato “Agios Andreas Kalamakiou” y la Casa Cuna “</w:t>
      </w:r>
      <w:r>
        <w:rPr>
          <w:caps/>
          <w:color w:val="000000"/>
        </w:rPr>
        <w:t>I mitera</w:t>
      </w:r>
      <w:r>
        <w:rPr>
          <w:color w:val="000000"/>
        </w:rPr>
        <w:t>”. El Consejo Nacional de Asistencia Social (ESYKF), que tiene su sede en Atenas, es una institución pública establecida en virtud de las di</w:t>
      </w:r>
      <w:r>
        <w:rPr>
          <w:color w:val="000000"/>
        </w:rPr>
        <w:t>s</w:t>
      </w:r>
      <w:r>
        <w:rPr>
          <w:color w:val="000000"/>
        </w:rPr>
        <w:t>posiciones del artículo 7 de la Ley 3106/2003. El mandato del ESYKF consiste en ayudar al Ministerio de Salud y Bienestar Social a diseñar las políticas en ese á</w:t>
      </w:r>
      <w:r>
        <w:rPr>
          <w:color w:val="000000"/>
        </w:rPr>
        <w:t>m</w:t>
      </w:r>
      <w:r>
        <w:rPr>
          <w:color w:val="000000"/>
        </w:rPr>
        <w:t>bito. Además, de conformidad con las disposiciones del párrafo 15 del artículo 21 de la Ley 3172/03, el ESYKF se encarga de la supervisión del Registro Nacional de Adopciones y del Registro Nacional de Padres Adoptivos y garantiza su carácter confidencial. La Junta de Administración del ESYKF incluye a un representante de la Confederación Nacional de Personas Discapacitadas, nombrado a propuesta de la Junta de Administración de la Confederación.</w:t>
      </w:r>
    </w:p>
    <w:p w:rsidR="00000000" w:rsidRDefault="00000000">
      <w:pPr>
        <w:pStyle w:val="SingleTxt"/>
        <w:numPr>
          <w:ilvl w:val="0"/>
          <w:numId w:val="84"/>
        </w:numPr>
      </w:pPr>
      <w:r>
        <w:t>En el contexto de la lucha contra el fenómeno de la mendicidad infantil en las calles, la sociedad benéfica “Filoxenia” de Tesalónica está aplicando un programa financiado por el Ministerio de Salud y Bienestar Social. Además, ese Ministerio, la Organización Nacional de Asistencia Social y la Sociedad “La sonrisa de un niño” han firmado un acuerdo programático que incluye el desarrollo de programas dest</w:t>
      </w:r>
      <w:r>
        <w:t>i</w:t>
      </w:r>
      <w:r>
        <w:t xml:space="preserve">nados a hacer frente, las 24 horas del día, a las emergencias relacionadas con niños </w:t>
      </w:r>
      <w:r>
        <w:rPr>
          <w:spacing w:val="6"/>
        </w:rPr>
        <w:t>en situaciones de peligro, alojándolos en instalaciones preparadas especialmente pa</w:t>
      </w:r>
      <w:r>
        <w:t>ra ello o utilizando unidades móviles, con la colaboración de trabajadores soci</w:t>
      </w:r>
      <w:r>
        <w:t>a</w:t>
      </w:r>
      <w:r>
        <w:t>les, educadores especializados en juegos especiales (por ejemplo, juegos de dram</w:t>
      </w:r>
      <w:r>
        <w:t>a</w:t>
      </w:r>
      <w:r>
        <w:rPr>
          <w:spacing w:val="6"/>
        </w:rPr>
        <w:t>tización), enfermeras, etc. Se emplearán asimismo vehículos equipados con una co</w:t>
      </w:r>
      <w:r>
        <w:t>nexión a una red aérea especial, y se mantendrá el Centro de Acogida para Niñas de Kareas, con personal especializado, que proporcionará alimentos y educación a las niñas.</w:t>
      </w:r>
    </w:p>
    <w:p w:rsidR="00000000" w:rsidRDefault="00000000">
      <w:pPr>
        <w:pStyle w:val="SingleTxt"/>
        <w:numPr>
          <w:ilvl w:val="0"/>
          <w:numId w:val="84"/>
        </w:numPr>
      </w:pPr>
      <w:r>
        <w:t>La organización no gubernamental Centro de Atención a la Infancia (KMOP), en cooperación con la fundación LIMMAT, aplica en las municipalidades de Perama y Korydallos un programa contra el abandono escolar en la enseñanza obligatoria, dirigido a los alumnos de los dos primeros cursos de la enseñanza secundaria, en los que se registran peores resultados académicos y mayor incidencia de abandono e</w:t>
      </w:r>
      <w:r>
        <w:t>s</w:t>
      </w:r>
      <w:r>
        <w:t>colar. El KMOP cuenta asimismo con un centro en Perama, Ática, para atender a alumnos de escuelas primarias con problemas psicológicos, impedimentos del habla y dificultades de adaptación al entorno escolar. Además de los diversos servicios ofrecidos, se proporciona a esos niños un programa adicional de tutoría y de activ</w:t>
      </w:r>
      <w:r>
        <w:t>i</w:t>
      </w:r>
      <w:r>
        <w:t>dades creativas.</w:t>
      </w:r>
    </w:p>
    <w:p w:rsidR="00000000" w:rsidRDefault="00000000">
      <w:pPr>
        <w:pStyle w:val="SingleTxt"/>
        <w:numPr>
          <w:ilvl w:val="0"/>
          <w:numId w:val="84"/>
        </w:numPr>
      </w:pPr>
      <w:r>
        <w:t>El Estado griego, sin discriminación por motivos de raza, religión u origen, paga a todos los beneficiarios que satisfacen las condiciones previstas en la ley el subsidio previsto en el Programa de asistencia financiera a niños desamparados (Ley 4051/60), siempre y cuando residan legalmente en Grecia. Se está estudiando la p</w:t>
      </w:r>
      <w:r>
        <w:t>o</w:t>
      </w:r>
      <w:r>
        <w:t>sibilidad de aprobar un instrumento legislativo para mejorar y hacer más justas las condiciones que rigen el funcionamiento del Programa.</w:t>
      </w:r>
    </w:p>
    <w:p w:rsidR="00000000" w:rsidRDefault="00000000">
      <w:pPr>
        <w:pStyle w:val="SingleTxt"/>
        <w:numPr>
          <w:ilvl w:val="0"/>
          <w:numId w:val="84"/>
        </w:numPr>
      </w:pPr>
      <w:r>
        <w:t>También se conceden subsidios de maternidad a todas las madres trabajadoras que no tienen derecho a prestaciones por maternidad con cargo a un seguro o que no están afiliadas a ningún seguro. Éste programa se aplica de conformidad con el p</w:t>
      </w:r>
      <w:r>
        <w:t>á</w:t>
      </w:r>
      <w:r>
        <w:t>rrafo 5 del artículo 4 de la Ley 1302/82 por la que se ratificaba el Convenio 103 s</w:t>
      </w:r>
      <w:r>
        <w:t>o</w:t>
      </w:r>
      <w:r>
        <w:t>bre “Protección de la maternidad” (1952) de la Organización Internacional del Tr</w:t>
      </w:r>
      <w:r>
        <w:t>a</w:t>
      </w:r>
      <w:r>
        <w:t>bajo. También se concede el subsidio de maternidad a todas las ciudadanas extranj</w:t>
      </w:r>
      <w:r>
        <w:t>e</w:t>
      </w:r>
      <w:r>
        <w:t xml:space="preserve">ras que satisfacen las condiciones mencionadas, siempre que residan legalmente en Grecia. </w:t>
      </w:r>
    </w:p>
    <w:p w:rsidR="00000000" w:rsidRDefault="00000000">
      <w:pPr>
        <w:pStyle w:val="SingleTxt"/>
        <w:numPr>
          <w:ilvl w:val="0"/>
          <w:numId w:val="84"/>
        </w:numPr>
      </w:pPr>
      <w:r>
        <w:t>Todos los ciudadanos extranjeros y sus hijos quieren tener acceso a los serv</w:t>
      </w:r>
      <w:r>
        <w:t>i</w:t>
      </w:r>
      <w:r>
        <w:t>cios de bienestar social (guarderías, dependencias de asistencia social, centros de atención a la infancia y campamentos de vacaciones gestionados por el Estado) siempre que satisfagan las condiciones que se establecen en el reglamento corre</w:t>
      </w:r>
      <w:r>
        <w:t>s</w:t>
      </w:r>
      <w:r>
        <w:t>pondiente y que puedan demostrar que residen legalmente en Grecia.</w:t>
      </w:r>
    </w:p>
    <w:p w:rsidR="00000000" w:rsidRDefault="00000000">
      <w:pPr>
        <w:pStyle w:val="SingleTxt"/>
        <w:numPr>
          <w:ilvl w:val="0"/>
          <w:numId w:val="84"/>
        </w:numPr>
      </w:pPr>
      <w:r>
        <w:t>La Ley 3094/2003 redefine a las competencias y el modo de actuación del Ombudsman de Grecia y amplía su mandato en el ámbito de la protección y la pr</w:t>
      </w:r>
      <w:r>
        <w:t>o</w:t>
      </w:r>
      <w:r>
        <w:t>m</w:t>
      </w:r>
      <w:r>
        <w:t>o</w:t>
      </w:r>
      <w:r>
        <w:t>ción de los derechos del niño.</w:t>
      </w:r>
    </w:p>
    <w:p w:rsidR="00000000" w:rsidRDefault="00000000">
      <w:pPr>
        <w:pStyle w:val="SingleTxt"/>
        <w:numPr>
          <w:ilvl w:val="0"/>
          <w:numId w:val="84"/>
        </w:numPr>
      </w:pPr>
      <w:r>
        <w:t xml:space="preserve">Por lo que respecta a la asistencia a las familias numerosas, la Organización del Seguro Agrario (OGA), que opera como representante autorizado del Ministerio de Salud y Bienestar Social, concede subsidios a partir del tercer hijo, subsidios a las madres de familias numerosas y pensiones permanentes. Las subvenciones se conceden también a los ciudadanos de los Estados miembros de la Unión Europea y a los ciudadanos de todos los países en la Zona Económica Europea que residen en Grecia (artículo 11 de la Ley 2819/2000).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16885459"/>
      <w:r>
        <w:tab/>
      </w:r>
      <w:r>
        <w:tab/>
        <w:t>Becas de estudios escolares y universitarios</w:t>
      </w:r>
      <w:bookmarkEnd w:id="16"/>
      <w:r>
        <w:t xml:space="preserve">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4"/>
        </w:numPr>
      </w:pPr>
      <w:r>
        <w:t>En virtud de una Orden Ministerial</w:t>
      </w:r>
      <w:r>
        <w:rPr>
          <w:rStyle w:val="FootnoteReference"/>
        </w:rPr>
        <w:footnoteReference w:id="22"/>
      </w:r>
      <w:r>
        <w:t>,</w:t>
      </w:r>
      <w:r>
        <w:rPr>
          <w:color w:val="FF0000"/>
        </w:rPr>
        <w:t xml:space="preserve"> </w:t>
      </w:r>
      <w:r>
        <w:t>se conceden subsidios de estudios a las familias con hijos menores de 16 años que asisten a las escuelas públicas de ens</w:t>
      </w:r>
      <w:r>
        <w:t>e</w:t>
      </w:r>
      <w:r>
        <w:t>ñanza obligatoria. Esos subsidios, que ascienden a 300 € al año por cada alumno matriculado en la enseñanza obligatoria, están destinados a las familias, incluidas las familias monoparentales, cuyos ingresos anuales son inferiores a 3000 euros. Las ayudas se pagan de una sola vez al inicio de cada curso y su desembolso corre a ca</w:t>
      </w:r>
      <w:r>
        <w:t>r</w:t>
      </w:r>
      <w:r>
        <w:t>go del Departamento de Hacienda Publica (D.O.Y.) del lugar de residencia del ben</w:t>
      </w:r>
      <w:r>
        <w:t>e</w:t>
      </w:r>
      <w:r>
        <w:t>ficiario.</w:t>
      </w:r>
    </w:p>
    <w:p w:rsidR="00000000" w:rsidRDefault="00000000">
      <w:pPr>
        <w:pStyle w:val="SingleTxt"/>
        <w:numPr>
          <w:ilvl w:val="0"/>
          <w:numId w:val="84"/>
        </w:numPr>
      </w:pPr>
      <w:r>
        <w:t>Según el artículo 10 de la Ley 3220</w:t>
      </w:r>
      <w:r>
        <w:rPr>
          <w:rStyle w:val="FootnoteReference"/>
        </w:rPr>
        <w:footnoteReference w:id="23"/>
      </w:r>
      <w:r>
        <w:t>, las familias con hijos que estudian en una ciudad distinta de la ciudad de residencia de la familia tendrán derecho a una ayuda anual de 1.000 euros para alojamiento a condición de que en los ingresos anuales de la familia del año anterior no superan los 30.000 euros, con un margen adicional de 3.000 euros por cada hijo protegido además del primero.</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militar más corto para los hijos de familias numerosas, los hijos de madres solteras, etc.</w:t>
      </w:r>
    </w:p>
    <w:p w:rsidR="00000000" w:rsidRDefault="00000000">
      <w:pPr>
        <w:pStyle w:val="SingleTxt"/>
        <w:spacing w:after="0" w:line="120" w:lineRule="exact"/>
        <w:rPr>
          <w:sz w:val="10"/>
        </w:rPr>
      </w:pPr>
    </w:p>
    <w:p w:rsidR="00000000" w:rsidRDefault="00000000">
      <w:pPr>
        <w:pStyle w:val="SingleTxt"/>
        <w:numPr>
          <w:ilvl w:val="0"/>
          <w:numId w:val="84"/>
        </w:numPr>
      </w:pPr>
      <w:r>
        <w:t xml:space="preserve">Según la Ley 3257/04, por la que se modifican las disposiciones del Decreto Presidencial 292/2003, los hijos mayores de las familias con más de tres hijos tienen derecho a una reducción de tres meses del periodo reglamentario de servicio militar. Asimismo, el servicio se reduce en nueve meses para los hijos mayores de padres incapacitados para trabajar, que han cumplido los 70 años o que son viudos, y para los huérfanos. Esto mismo se aplica a los hijos mayores de madres solteras.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Programas – prácticas más idóneas – información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84"/>
        </w:numPr>
      </w:pPr>
      <w:r>
        <w:t>En el contexto del Cuarto Programa de Acción Comunitario de Mediano Plazo para la Igualdad de Género, la Secretaría General para la Igualdad de Género ha c</w:t>
      </w:r>
      <w:r>
        <w:t>o</w:t>
      </w:r>
      <w:r>
        <w:t>financiado la publicación de un manual titulado “Prácticas más idóneas para conc</w:t>
      </w:r>
      <w:r>
        <w:t>i</w:t>
      </w:r>
      <w:r>
        <w:t>liar la vida familiar con la vida laboral en la Unión Europea”, y los días 22 y 23 de junio de 2001 se organizó en Atenas una conferencia europea sobre esa misma cuestión en la que intervinieron los 12 países que participaban en el Programa. La realización de las actividades mencionadas corrió a cargo de la organización no g</w:t>
      </w:r>
      <w:r>
        <w:t>u</w:t>
      </w:r>
      <w:r>
        <w:t>bernamental</w:t>
      </w:r>
      <w:r>
        <w:rPr>
          <w:i/>
        </w:rPr>
        <w:t xml:space="preserve"> Centro de Asistencia a la Familia y la Infancia</w:t>
      </w:r>
      <w:r>
        <w:t>.</w:t>
      </w:r>
    </w:p>
    <w:p w:rsidR="00000000" w:rsidRDefault="00000000">
      <w:pPr>
        <w:pStyle w:val="SingleTxt"/>
        <w:numPr>
          <w:ilvl w:val="0"/>
          <w:numId w:val="84"/>
        </w:numPr>
      </w:pPr>
      <w:r>
        <w:t>En el periodo 2000-2002 se aplicó el programa “Mujeres cabezas de familias monoparentales”, que forma parte de la estrategia general de la Unión Europea para la igualdad de género (2001-2005). La financiación del programa corrió a cargo de la Dirección General de Empleo y Asuntos Sociales de la Comisión Europea (80%) y de la Secretaría General para la Igualdad de Género (20%).</w:t>
      </w:r>
    </w:p>
    <w:p w:rsidR="00000000" w:rsidRDefault="00000000">
      <w:pPr>
        <w:pStyle w:val="SingleTxt"/>
        <w:numPr>
          <w:ilvl w:val="0"/>
          <w:numId w:val="84"/>
        </w:numPr>
      </w:pPr>
      <w:r>
        <w:t>En un juicio de 2003, la Secretaría General para la Igualdad de Género publicó un folleto informativo titulado “Mujeres cabezas de familias monoparentales” con información sobre prestaciones sociales, subsidios y servicios de asistencia a disp</w:t>
      </w:r>
      <w:r>
        <w:t>o</w:t>
      </w:r>
      <w:r>
        <w:t>sición de esas mujeres.</w:t>
      </w:r>
    </w:p>
    <w:p w:rsidR="00000000" w:rsidRDefault="00000000">
      <w:pPr>
        <w:pStyle w:val="SingleTxt"/>
        <w:numPr>
          <w:ilvl w:val="0"/>
          <w:numId w:val="84"/>
        </w:numPr>
      </w:pPr>
      <w:r>
        <w:t>En diciembre del 2003 la Secretaría General para la Igualdad de Género publ</w:t>
      </w:r>
      <w:r>
        <w:t>i</w:t>
      </w:r>
      <w:r>
        <w:t>có un folleto informativo titulado “Apoyo a la familia – Garantía de las mismas oportunidades y derechos para todos – Protección de la maternidad – Apoyo a la mujer al mercado laboral”. El folleto incluye información sobre el marco legislativo de protección de la familia, los subsidios, las estructuras de asistencia a la familia y las nuevas medidas, en vigor desde el 1º de enero del 2004, de asistencia inmediata a las familias más desfavorecidas social y financieramente.</w:t>
      </w:r>
    </w:p>
    <w:p w:rsidR="00000000" w:rsidRDefault="00000000">
      <w:pPr>
        <w:pStyle w:val="SingleTxt"/>
        <w:tabs>
          <w:tab w:val="clear" w:pos="1742"/>
        </w:tabs>
        <w:spacing w:after="0" w:line="120" w:lineRule="exact"/>
        <w:ind w:left="0"/>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Artículo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todas las medidas apropiadas, incluso de cará</w:t>
            </w:r>
            <w:r>
              <w:rPr>
                <w:i/>
              </w:rPr>
              <w:t>c</w:t>
            </w:r>
            <w:r>
              <w:rPr>
                <w:i/>
              </w:rPr>
              <w:t>ter legislativo, para suprimir todas las formas de trata de mujeres y explotación de la prostitución de la mujer.</w:t>
            </w:r>
          </w:p>
        </w:tc>
        <w:tc>
          <w:tcPr>
            <w:tcW w:w="144" w:type="dxa"/>
          </w:tcPr>
          <w:p w:rsidR="00000000" w:rsidRDefault="00000000">
            <w:pPr>
              <w:pStyle w:val="SingleTxt"/>
            </w:pP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Trata de personas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85"/>
        </w:numPr>
        <w:tabs>
          <w:tab w:val="left" w:pos="1742"/>
        </w:tabs>
      </w:pPr>
      <w:r>
        <w:t>El Estado y la sociedad civil de Grecia han promovido conjuntamente la ado</w:t>
      </w:r>
      <w:r>
        <w:t>p</w:t>
      </w:r>
      <w:r>
        <w:t>ción de medidas contra el tráfico de personas a nivel nacional y, en el contexto de la cooperación internacional para el desarrollo, han utilizado su experiencia y sus c</w:t>
      </w:r>
      <w:r>
        <w:t>o</w:t>
      </w:r>
      <w:r>
        <w:t>nocimientos especializados en la lucha contra ese pr</w:t>
      </w:r>
      <w:r>
        <w:t>o</w:t>
      </w:r>
      <w:r>
        <w:t>blema a nivel europeo.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116885460"/>
      <w:r>
        <w:tab/>
        <w:t>I.</w:t>
      </w:r>
      <w:r>
        <w:tab/>
        <w:t>Marco legislativo</w:t>
      </w:r>
      <w:bookmarkEnd w:id="1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5"/>
        </w:numPr>
      </w:pPr>
      <w:r>
        <w:t>A partir de 2001 Grecia intensificó sus esfuerzos en la lucha contra la trata de personas. Una primera medida importante fue la creación del “Grupo contra trata de personas” (OKEA) del Ministerio de Orden Público, con el mandato de modificar el marco legislativo y de informar acerca del problema.</w:t>
      </w:r>
    </w:p>
    <w:p w:rsidR="00000000" w:rsidRDefault="00000000">
      <w:pPr>
        <w:pStyle w:val="SingleTxt"/>
        <w:numPr>
          <w:ilvl w:val="0"/>
          <w:numId w:val="286"/>
        </w:numPr>
      </w:pPr>
      <w:r>
        <w:t xml:space="preserve">Durante ese mismo período se creó un marco legislativo adecuado por medio </w:t>
      </w:r>
      <w:r>
        <w:rPr>
          <w:spacing w:val="6"/>
        </w:rPr>
        <w:t>de la revisión de los artículos correspondientes del Código Penal y de la aprob</w:t>
      </w:r>
      <w:r>
        <w:rPr>
          <w:spacing w:val="6"/>
        </w:rPr>
        <w:t>a</w:t>
      </w:r>
      <w:r>
        <w:rPr>
          <w:spacing w:val="6"/>
        </w:rPr>
        <w:t>ción</w:t>
      </w:r>
      <w:r>
        <w:t xml:space="preserve"> </w:t>
      </w:r>
      <w:r>
        <w:rPr>
          <w:spacing w:val="6"/>
        </w:rPr>
        <w:t>de la Ley 3064/2002 y del Decreto Presidencial 233/2003 sobre ese delito. En part</w:t>
      </w:r>
      <w:r>
        <w:rPr>
          <w:spacing w:val="6"/>
        </w:rPr>
        <w:t>i</w:t>
      </w:r>
      <w:r>
        <w:t>cular:</w:t>
      </w:r>
    </w:p>
    <w:p w:rsidR="00000000" w:rsidRDefault="00000000">
      <w:pPr>
        <w:pStyle w:val="SingleTxt"/>
        <w:tabs>
          <w:tab w:val="right" w:pos="1685"/>
        </w:tabs>
        <w:ind w:left="1742" w:hanging="475"/>
      </w:pPr>
      <w:r>
        <w:tab/>
        <w:t>•</w:t>
      </w:r>
      <w:r>
        <w:tab/>
        <w:t>La Ley 3064/2002 sobre “Eliminación de la trata de personas, los delitos co</w:t>
      </w:r>
      <w:r>
        <w:t>n</w:t>
      </w:r>
      <w:r>
        <w:t>tra la libertad sexual, la pornografía infantil y, en general, la explotación f</w:t>
      </w:r>
      <w:r>
        <w:t>i</w:t>
      </w:r>
      <w:r>
        <w:t xml:space="preserve">nanciera de la vida sexual, y asistencia a las víctimas de esos delitos”, que el Parlamento de Grecia aprobó por unanimidad, prevé intervenciones serias, de gran alcance, en el Código Penal con miras a establecer penas severas para los culpables de esos </w:t>
      </w:r>
      <w:r>
        <w:rPr>
          <w:w w:val="102"/>
        </w:rPr>
        <w:t>delitos. En virtud de las disposiciones de la Ley se establecen penas más estrictas (algunas de ellas aplicables a los delitos tipificados como graves) para todas las formas contemporáneas de trata de personas, como las destinadas a la obtención de órganos para trasplantes, el trabajo forzoso y la explotación fraudulenta del trabajo ajeno, la explotación financiera de la vida sexual, y el reclutamiento de niños para utilizarlos en conflictos armados, y se hace especial hincapié en la protección de</w:t>
      </w:r>
      <w:r>
        <w:t xml:space="preserve"> la infancia y los grupos más vuln</w:t>
      </w:r>
      <w:r>
        <w:t>e</w:t>
      </w:r>
      <w:r>
        <w:t>rables (mujeres extranjeras). Una de las disposiciones se ocupa explícitamente del problema de la pornografía infantil que, como consecuencia del desarrollo de Internet, ha adquirido dimensiones alarmantes.</w:t>
      </w:r>
    </w:p>
    <w:p w:rsidR="00000000" w:rsidRDefault="00000000">
      <w:pPr>
        <w:pStyle w:val="SingleTxt"/>
        <w:tabs>
          <w:tab w:val="right" w:pos="1685"/>
        </w:tabs>
        <w:ind w:left="1742" w:hanging="475"/>
      </w:pPr>
      <w:r>
        <w:tab/>
        <w:t>•</w:t>
      </w:r>
      <w:r>
        <w:tab/>
        <w:t>El Decreto Presidencial 233/2003 relativo a la prestación de asistencia a las víctimas de la trata de personas, introduce el marco legislativo necesario para la prestación de asistencia, la protección y el cuidado de las víctimas de los delitos de proxenetismo, trata de personas y abuso sexual de niños a cambio de dinero. En particular, el Decreto contiene disposiciones que protegen la vida, la integridad física y la libertad personal y sexual. También se presta asistencia en las esferas del alojamiento, la manutención, la atención médica, el apoyo psicológico y se garantizan asistencia letrada y servicios de interpretación. En particular, se brinda a los menores la posibilidad de participar en programas de educación y formación prof</w:t>
      </w:r>
      <w:r>
        <w:t>e</w:t>
      </w:r>
      <w:r>
        <w:t xml:space="preserve">sional. </w:t>
      </w:r>
    </w:p>
    <w:p w:rsidR="00000000" w:rsidRDefault="00000000">
      <w:pPr>
        <w:pStyle w:val="SingleTxt"/>
        <w:tabs>
          <w:tab w:val="right" w:pos="1685"/>
        </w:tabs>
        <w:ind w:left="1742" w:hanging="475"/>
      </w:pPr>
      <w:r>
        <w:tab/>
        <w:t>•</w:t>
      </w:r>
      <w:r>
        <w:tab/>
        <w:t>El párrafo 7 del artículo 34 de la Ley 3274/2004, que sustituye el párrafo 7 del art</w:t>
      </w:r>
      <w:r>
        <w:t>í</w:t>
      </w:r>
      <w:r>
        <w:t>culo 44 de la Ley 2910/2001, establece lo siguiente:</w:t>
      </w:r>
    </w:p>
    <w:p w:rsidR="00000000" w:rsidRDefault="00000000">
      <w:pPr>
        <w:pStyle w:val="SingleTxt"/>
        <w:ind w:left="1742" w:hanging="475"/>
        <w:rPr>
          <w:color w:val="000000"/>
        </w:rPr>
      </w:pPr>
      <w:r>
        <w:tab/>
        <w:t>“La deportación de extranjeros ilegales que denuncien casos de proxenetismo podrá suspenderse, por orden del Fiscal Público del Tribunal de Primera In</w:t>
      </w:r>
      <w:r>
        <w:t>s</w:t>
      </w:r>
      <w:r>
        <w:t>tancia y con la aprobación del Fiscal General del Estado, hasta que un tribunal emita un fallo irrevocable la relación con los delitos en cuestión. Si se d</w:t>
      </w:r>
      <w:r>
        <w:t>e</w:t>
      </w:r>
      <w:r>
        <w:t>muestra que la denuncia es falsa se procederá a la deportación. Mientras la d</w:t>
      </w:r>
      <w:r>
        <w:t>e</w:t>
      </w:r>
      <w:r>
        <w:t>portación esté en suspenso, en virtud de la derogación de la Ley 2910/2001 y por orden del Secretario General de la Región, se expedirá al interesado un permiso de residencia. Ese permiso de residencia también servirá como perm</w:t>
      </w:r>
      <w:r>
        <w:t>i</w:t>
      </w:r>
      <w:r>
        <w:t>so de trabajo, válido durante un periodo de seis meses prorrogables por un p</w:t>
      </w:r>
      <w:r>
        <w:t>e</w:t>
      </w:r>
      <w:r>
        <w:t>riodo equivalente hasta que el tribunal emita un fallo irrevocable; el permiso se expedirá de manera totalmente gratuita. Esta disposición también se aplicará según proceda en los casos previstos en el artículo 12 de la Ley 3064/2002”.</w:t>
      </w:r>
      <w:r>
        <w:rPr>
          <w:color w:val="000000"/>
        </w:rPr>
        <w:t xml:space="preserve"> </w:t>
      </w:r>
    </w:p>
    <w:p w:rsidR="00000000" w:rsidRDefault="00000000">
      <w:pPr>
        <w:pStyle w:val="SingleTxt"/>
        <w:spacing w:after="0" w:line="120" w:lineRule="exact"/>
        <w:ind w:left="1742" w:hanging="475"/>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Datos estadísticos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t>Según datos estadísticos del Ministerio de Orden Público (2000-2004), en los últimos años se han obtenido resultados significativos como resultado de la puesta en marcha de servicios para luchar contra ese fenómeno (en 2001 se examinaron 440 casos, frente a 272 en 2000). En 2001 se desarticularon 54 redes delictivas, frente a 41 en 2000. Las víctimas de esas redes ascendían a 164 personas. En 2002 la Policía de Grecia desarticuló 64 redes de delincuentes que se dedicaban al proxenetismo y la trata de personas, y de las que habían sido víctimas 184 personas. Entre el 15 de octubre de 2002, fecha en que entró en vigor la Ley 3064/2002, y el 30 de octubre 2003, los Servicios de Policía de Grecia la aplicaron en 475 casos, y se demostró que 195 mujeres habían sido víctimas de la trata. En 2004, la Policía se ocupó de 65 casos de trata de personas, 29 de los cuales estaban relacionados con delitos c</w:t>
      </w:r>
      <w:r>
        <w:t>o</w:t>
      </w:r>
      <w:r>
        <w:t>metidos por organizaciones criminales. Como consecuencia de esas investigaciones, se presentaron cargos contra 352 personas, tanto de nacionalidad griega como e</w:t>
      </w:r>
      <w:r>
        <w:t>x</w:t>
      </w:r>
      <w:r>
        <w:t>tranjeras, y se contabilizaron 181 víctimas (hombres, mujeres y niños) de explot</w:t>
      </w:r>
      <w:r>
        <w:t>a</w:t>
      </w:r>
      <w:r>
        <w:t>ción financiera y sexual. Los servicios públicos de asistencia y protección y las o</w:t>
      </w:r>
      <w:r>
        <w:t>r</w:t>
      </w:r>
      <w:r>
        <w:t>ganizaciones no gubernamentales atendieron a 46 víctimas. El fiscal público co</w:t>
      </w:r>
      <w:r>
        <w:t>m</w:t>
      </w:r>
      <w:r>
        <w:t>petente expidió órdenes de suspensión de la deportación de 25 personas al amparo del art</w:t>
      </w:r>
      <w:r>
        <w:t>í</w:t>
      </w:r>
      <w:r>
        <w:t>culo 12 de la Ley 3064/02.</w:t>
      </w:r>
    </w:p>
    <w:p w:rsidR="00000000" w:rsidRDefault="00000000">
      <w:pPr>
        <w:pStyle w:val="SingleTxt"/>
      </w:pPr>
      <w:r>
        <w:tab/>
        <w:t>Los Servicios de Policía de Grecia han colaborado con:</w:t>
      </w:r>
    </w:p>
    <w:p w:rsidR="00000000" w:rsidRDefault="00000000">
      <w:pPr>
        <w:pStyle w:val="SingleTxt"/>
        <w:tabs>
          <w:tab w:val="right" w:pos="1685"/>
        </w:tabs>
        <w:ind w:left="1742" w:hanging="475"/>
      </w:pPr>
      <w:r>
        <w:tab/>
        <w:t>•</w:t>
      </w:r>
      <w:r>
        <w:tab/>
        <w:t>Representaciones diplomáticas extranjeras (embajadas y consulados) en Grecia en 12 casos relacionados con la prestación de asistencia y protección a víct</w:t>
      </w:r>
      <w:r>
        <w:t>i</w:t>
      </w:r>
      <w:r>
        <w:t>mas de las nacionalidades correspondientes. Tras las correspondientes consu</w:t>
      </w:r>
      <w:r>
        <w:t>l</w:t>
      </w:r>
      <w:r>
        <w:t>tas, las víctimas fueron trasladadas a las representaciones mencionadas y, po</w:t>
      </w:r>
      <w:r>
        <w:t>s</w:t>
      </w:r>
      <w:r>
        <w:rPr>
          <w:spacing w:val="6"/>
        </w:rPr>
        <w:t>teriormente, en colaboración con la oficina en Grecia de la Organización I</w:t>
      </w:r>
      <w:r>
        <w:rPr>
          <w:spacing w:val="6"/>
        </w:rPr>
        <w:t>n</w:t>
      </w:r>
      <w:r>
        <w:rPr>
          <w:spacing w:val="6"/>
        </w:rPr>
        <w:t>ternacional para las Migraciones (OIM), fueron repatriadas con todas las ga</w:t>
      </w:r>
      <w:r>
        <w:t>rantías.</w:t>
      </w:r>
    </w:p>
    <w:p w:rsidR="00000000" w:rsidRDefault="00000000">
      <w:pPr>
        <w:pStyle w:val="SingleTxt"/>
        <w:tabs>
          <w:tab w:val="right" w:pos="1685"/>
        </w:tabs>
        <w:ind w:left="1742" w:hanging="475"/>
      </w:pPr>
      <w:r>
        <w:tab/>
        <w:t>•</w:t>
      </w:r>
      <w:r>
        <w:tab/>
        <w:t>La OIM en los 12 casos mencionados y en otros cinco casos de repatri</w:t>
      </w:r>
      <w:r>
        <w:t>a</w:t>
      </w:r>
      <w:r>
        <w:t>ción.</w:t>
      </w:r>
    </w:p>
    <w:p w:rsidR="00000000" w:rsidRDefault="00000000">
      <w:pPr>
        <w:pStyle w:val="SingleTxt"/>
        <w:tabs>
          <w:tab w:val="right" w:pos="1685"/>
        </w:tabs>
        <w:ind w:left="1742" w:hanging="475"/>
      </w:pPr>
      <w:r>
        <w:tab/>
        <w:t>•</w:t>
      </w:r>
      <w:r>
        <w:tab/>
        <w:t>La Secretaría General para la Igualdad de Género y la Secretaría General de Salud y Bienestar Social, en relación con la prestación de asistencia y prote</w:t>
      </w:r>
      <w:r>
        <w:t>c</w:t>
      </w:r>
      <w:r>
        <w:t>ción a 31 víct</w:t>
      </w:r>
      <w:r>
        <w:t>i</w:t>
      </w:r>
      <w:r>
        <w:t>mas por parte de organizaciones públicas y no gubernamentales.</w:t>
      </w:r>
    </w:p>
    <w:p w:rsidR="00000000" w:rsidRDefault="00000000">
      <w:pPr>
        <w:pStyle w:val="SingleTxt"/>
      </w:pPr>
      <w:r>
        <w:tab/>
        <w:t>Cabe señalar que la mayoría de las víctimas residían legalmente en el país, por lo que declararon a los servicios competentes que no deseaban quedar bajo la pr</w:t>
      </w:r>
      <w:r>
        <w:t>o</w:t>
      </w:r>
      <w:r>
        <w:t>tección del Estado. La mayoría de ellas han regresado a sus países de origen, aunque todavía permanece en Grecia un pequeño número de ellas.</w:t>
      </w:r>
    </w:p>
    <w:p w:rsidR="00000000" w:rsidRDefault="00000000">
      <w:pPr>
        <w:pStyle w:val="SingleTxt"/>
        <w:numPr>
          <w:ilvl w:val="0"/>
          <w:numId w:val="286"/>
        </w:numPr>
      </w:pPr>
      <w:r>
        <w:t>Según un estudio realizado por KEDE (STOPNOW 2002), en 2002 el número de mujeres obligadas a prostituirse en Grecia se estimaba en 17.200. Al parecer, el número de personas obligadas a prostituirse ha venido disminuyendo desde su nivel máximo registrado en 1997 (año en el que se calculó que 22.500 mujeres y niños eran obligados a prostituirse), registrando una disminución moderada en el periodo 1998-2000 y mostrando desde finales de 2001 una pronunciada tendencia a la baja. En 2002, la cifra fue levemente superior a 17.000. De mantenerse, como es prob</w:t>
      </w:r>
      <w:r>
        <w:t>a</w:t>
      </w:r>
      <w:r>
        <w:t>ble, la tendencia actual, se prevé que en 2004 se reducirá a menos de 13.000 el n</w:t>
      </w:r>
      <w:r>
        <w:t>ú</w:t>
      </w:r>
      <w:r>
        <w:t>mero de personas obligadas a prostituirse, de acuerdo con la definición del fenóm</w:t>
      </w:r>
      <w:r>
        <w:t>e</w:t>
      </w:r>
      <w:r>
        <w:t>no de la trata de seres humanos que se recoge en las convenciones europeas y en el anexo de la Convención de Palermo.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116885461"/>
      <w:r>
        <w:tab/>
        <w:t>III.</w:t>
      </w:r>
      <w:r>
        <w:tab/>
        <w:t>Medidas adoptadas por el gobierno</w:t>
      </w:r>
      <w:bookmarkEnd w:id="1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t>Grecia ha desarrollado un programa integrado de medidas contra la trata de personas, basado en la coordinación de los ministerios competentes, que abarca t</w:t>
      </w:r>
      <w:r>
        <w:t>o</w:t>
      </w:r>
      <w:r>
        <w:t>dos los aspectos relacionados con ese fenómeno, a saber:</w:t>
      </w:r>
    </w:p>
    <w:p w:rsidR="00000000" w:rsidRDefault="00000000">
      <w:pPr>
        <w:pStyle w:val="SingleTxt"/>
        <w:tabs>
          <w:tab w:val="right" w:pos="1685"/>
        </w:tabs>
        <w:ind w:left="1742" w:hanging="475"/>
      </w:pPr>
      <w:r>
        <w:tab/>
        <w:t>–</w:t>
      </w:r>
      <w:r>
        <w:tab/>
        <w:t>Vigilancia del fenómeno – localización de las víctimas</w:t>
      </w:r>
    </w:p>
    <w:p w:rsidR="00000000" w:rsidRDefault="00000000">
      <w:pPr>
        <w:pStyle w:val="SingleTxt"/>
        <w:tabs>
          <w:tab w:val="right" w:pos="1685"/>
        </w:tabs>
        <w:ind w:left="1742" w:hanging="475"/>
      </w:pPr>
      <w:r>
        <w:tab/>
        <w:t>–</w:t>
      </w:r>
      <w:r>
        <w:tab/>
        <w:t>Reconocimiento y protección de las víctimas</w:t>
      </w:r>
    </w:p>
    <w:p w:rsidR="00000000" w:rsidRDefault="00000000">
      <w:pPr>
        <w:pStyle w:val="SingleTxt"/>
        <w:tabs>
          <w:tab w:val="right" w:pos="1685"/>
        </w:tabs>
        <w:ind w:left="1742" w:hanging="475"/>
      </w:pPr>
      <w:r>
        <w:tab/>
        <w:t>–</w:t>
      </w:r>
      <w:r>
        <w:tab/>
        <w:t xml:space="preserve">Creación de albergues – centros de acogida </w:t>
      </w:r>
    </w:p>
    <w:p w:rsidR="00000000" w:rsidRDefault="00000000">
      <w:pPr>
        <w:pStyle w:val="SingleTxt"/>
        <w:tabs>
          <w:tab w:val="right" w:pos="1685"/>
        </w:tabs>
        <w:ind w:left="1742" w:hanging="475"/>
      </w:pPr>
      <w:r>
        <w:tab/>
        <w:t>–</w:t>
      </w:r>
      <w:r>
        <w:tab/>
        <w:t>Asistencia médica y psicológica a las víctimas</w:t>
      </w:r>
    </w:p>
    <w:p w:rsidR="00000000" w:rsidRDefault="00000000">
      <w:pPr>
        <w:pStyle w:val="SingleTxt"/>
        <w:tabs>
          <w:tab w:val="right" w:pos="1685"/>
        </w:tabs>
        <w:ind w:left="1742" w:hanging="475"/>
      </w:pPr>
      <w:r>
        <w:tab/>
        <w:t>–</w:t>
      </w:r>
      <w:r>
        <w:tab/>
        <w:t>Protección jurídica y asistencia letrada a las víctimas</w:t>
      </w:r>
    </w:p>
    <w:p w:rsidR="00000000" w:rsidRDefault="00000000">
      <w:pPr>
        <w:pStyle w:val="SingleTxt"/>
        <w:tabs>
          <w:tab w:val="right" w:pos="1685"/>
        </w:tabs>
        <w:ind w:left="1742" w:hanging="475"/>
      </w:pPr>
      <w:r>
        <w:tab/>
        <w:t>–</w:t>
      </w:r>
      <w:r>
        <w:tab/>
        <w:t>Asistencia administrativa – concesión de permisos de residencia</w:t>
      </w:r>
    </w:p>
    <w:p w:rsidR="00000000" w:rsidRDefault="00000000">
      <w:pPr>
        <w:pStyle w:val="SingleTxt"/>
        <w:tabs>
          <w:tab w:val="right" w:pos="1685"/>
        </w:tabs>
        <w:ind w:left="1742" w:hanging="475"/>
      </w:pPr>
      <w:r>
        <w:tab/>
        <w:t>–</w:t>
      </w:r>
      <w:r>
        <w:tab/>
        <w:t>Repatriación</w:t>
      </w:r>
    </w:p>
    <w:p w:rsidR="00000000" w:rsidRDefault="00000000">
      <w:pPr>
        <w:pStyle w:val="SingleTxt"/>
        <w:tabs>
          <w:tab w:val="right" w:pos="1685"/>
        </w:tabs>
        <w:ind w:left="1742" w:hanging="475"/>
      </w:pPr>
      <w:r>
        <w:tab/>
        <w:t>–</w:t>
      </w:r>
      <w:r>
        <w:tab/>
        <w:t>Asistencia de los países de origen por medio de programas de reintegr</w:t>
      </w:r>
      <w:r>
        <w:t>a</w:t>
      </w:r>
      <w:r>
        <w:t xml:space="preserve">ción </w:t>
      </w:r>
    </w:p>
    <w:p w:rsidR="00000000" w:rsidRDefault="00000000">
      <w:pPr>
        <w:pStyle w:val="SingleTxt"/>
        <w:tabs>
          <w:tab w:val="right" w:pos="1685"/>
        </w:tabs>
        <w:ind w:left="1742" w:hanging="475"/>
      </w:pPr>
      <w:r>
        <w:tab/>
        <w:t>–</w:t>
      </w:r>
      <w:r>
        <w:tab/>
        <w:t>Educación e integración laboral de las víctimas que permanecen en Gr</w:t>
      </w:r>
      <w:r>
        <w:t>e</w:t>
      </w:r>
      <w:r>
        <w:t>cia</w:t>
      </w:r>
    </w:p>
    <w:p w:rsidR="00000000" w:rsidRDefault="00000000">
      <w:pPr>
        <w:pStyle w:val="SingleTxt"/>
        <w:tabs>
          <w:tab w:val="right" w:pos="1685"/>
        </w:tabs>
        <w:ind w:left="1742" w:hanging="475"/>
      </w:pPr>
      <w:r>
        <w:tab/>
        <w:t>–</w:t>
      </w:r>
      <w:r>
        <w:tab/>
        <w:t>Formación de la Policía</w:t>
      </w:r>
    </w:p>
    <w:p w:rsidR="00000000" w:rsidRDefault="00000000">
      <w:pPr>
        <w:pStyle w:val="SingleTxt"/>
        <w:tabs>
          <w:tab w:val="right" w:pos="1685"/>
        </w:tabs>
        <w:ind w:left="1742" w:hanging="475"/>
      </w:pPr>
      <w:r>
        <w:tab/>
        <w:t>–</w:t>
      </w:r>
      <w:r>
        <w:tab/>
        <w:t>Formación de jueces y fiscales</w:t>
      </w:r>
    </w:p>
    <w:p w:rsidR="00000000" w:rsidRDefault="00000000">
      <w:pPr>
        <w:pStyle w:val="SingleTxt"/>
        <w:tabs>
          <w:tab w:val="right" w:pos="1685"/>
        </w:tabs>
        <w:ind w:left="1742" w:hanging="475"/>
      </w:pPr>
      <w:r>
        <w:tab/>
        <w:t>–</w:t>
      </w:r>
      <w:r>
        <w:tab/>
        <w:t>Información pública</w:t>
      </w:r>
    </w:p>
    <w:p w:rsidR="00000000" w:rsidRDefault="00000000">
      <w:pPr>
        <w:pStyle w:val="SingleTxt"/>
      </w:pPr>
      <w:r>
        <w:tab/>
        <w:t>Las medidas aplicadas o planeadas son las siguientes:</w:t>
      </w:r>
    </w:p>
    <w:p w:rsidR="00000000" w:rsidRDefault="00000000">
      <w:pPr>
        <w:pStyle w:val="SingleTxt"/>
        <w:numPr>
          <w:ilvl w:val="0"/>
          <w:numId w:val="286"/>
        </w:numPr>
      </w:pPr>
      <w:r>
        <w:rPr>
          <w:i/>
        </w:rPr>
        <w:t>Nivel interministerial</w:t>
      </w:r>
    </w:p>
    <w:p w:rsidR="00000000" w:rsidRDefault="00000000">
      <w:pPr>
        <w:pStyle w:val="SingleTxt"/>
        <w:tabs>
          <w:tab w:val="right" w:pos="1685"/>
        </w:tabs>
        <w:ind w:left="1742" w:hanging="475"/>
      </w:pPr>
      <w:r>
        <w:rPr>
          <w:i/>
        </w:rPr>
        <w:tab/>
        <w:t>•</w:t>
      </w:r>
      <w:r>
        <w:rPr>
          <w:i/>
        </w:rPr>
        <w:tab/>
        <w:t xml:space="preserve">Creación de un Comité Directivo Especial, </w:t>
      </w:r>
      <w:r>
        <w:t xml:space="preserve">por iniciativa del Ministerio de </w:t>
      </w:r>
      <w:r>
        <w:rPr>
          <w:spacing w:val="2"/>
        </w:rPr>
        <w:t>Justicia, a fin de coordinar, a nivel político, la labor necesaria para la aplica</w:t>
      </w:r>
      <w:r>
        <w:t>ción de las disposiciones de la Ley 3064/2002 sobre la “Eliminación de la trata de pers</w:t>
      </w:r>
      <w:r>
        <w:t>o</w:t>
      </w:r>
      <w:r>
        <w:t xml:space="preserve">nas”. </w:t>
      </w:r>
    </w:p>
    <w:p w:rsidR="00000000" w:rsidRDefault="00000000">
      <w:pPr>
        <w:pStyle w:val="SingleTxt"/>
        <w:tabs>
          <w:tab w:val="right" w:pos="1685"/>
        </w:tabs>
        <w:ind w:left="1742" w:hanging="475"/>
      </w:pPr>
      <w:r>
        <w:rPr>
          <w:i/>
        </w:rPr>
        <w:tab/>
        <w:t>•</w:t>
      </w:r>
      <w:r>
        <w:rPr>
          <w:i/>
        </w:rPr>
        <w:tab/>
        <w:t>Desarrollo de una base de datos nacional</w:t>
      </w:r>
      <w:r>
        <w:t xml:space="preserve"> con el fin de vigilar la evolución del f</w:t>
      </w:r>
      <w:r>
        <w:t>e</w:t>
      </w:r>
      <w:r>
        <w:t>nómeno por medio de los datos reunidos por todos los Ministerios.</w:t>
      </w:r>
    </w:p>
    <w:p w:rsidR="00000000" w:rsidRDefault="00000000">
      <w:pPr>
        <w:pStyle w:val="SingleTxt"/>
        <w:tabs>
          <w:tab w:val="right" w:pos="1685"/>
        </w:tabs>
        <w:ind w:left="1742" w:hanging="475"/>
      </w:pPr>
      <w:r>
        <w:rPr>
          <w:i/>
        </w:rPr>
        <w:tab/>
        <w:t>•</w:t>
      </w:r>
      <w:r>
        <w:rPr>
          <w:i/>
        </w:rPr>
        <w:tab/>
        <w:t>Cooperación y creación de un "foro permanente"</w:t>
      </w:r>
      <w:r>
        <w:t xml:space="preserve"> para el intercambio de op</w:t>
      </w:r>
      <w:r>
        <w:t>i</w:t>
      </w:r>
      <w:r>
        <w:t>niones e información por los Ministerios y las ONG.</w:t>
      </w:r>
    </w:p>
    <w:p w:rsidR="00000000" w:rsidRDefault="00000000">
      <w:pPr>
        <w:pStyle w:val="SingleTxt"/>
        <w:tabs>
          <w:tab w:val="right" w:pos="1685"/>
        </w:tabs>
        <w:ind w:left="1742" w:hanging="475"/>
      </w:pPr>
      <w:r>
        <w:rPr>
          <w:i/>
        </w:rPr>
        <w:tab/>
        <w:t>•</w:t>
      </w:r>
      <w:r>
        <w:rPr>
          <w:i/>
        </w:rPr>
        <w:tab/>
        <w:t xml:space="preserve">Participación de Grecia en el Comité especial del Consejo de Europa para la adopción de medidas contra la trata de personas </w:t>
      </w:r>
      <w:r>
        <w:t>(CAHTEH) con miras a la firma de la Convención europea para la elimin</w:t>
      </w:r>
      <w:r>
        <w:t>a</w:t>
      </w:r>
      <w:r>
        <w:t>ción de la trata de personas.</w:t>
      </w:r>
    </w:p>
    <w:p w:rsidR="00000000" w:rsidRDefault="00000000">
      <w:pPr>
        <w:pStyle w:val="SingleTxt"/>
        <w:numPr>
          <w:ilvl w:val="0"/>
          <w:numId w:val="286"/>
        </w:numPr>
      </w:pPr>
      <w:r>
        <w:rPr>
          <w:i/>
        </w:rPr>
        <w:t xml:space="preserve">Ministerio del Interior, Administración Pública y Descentralización </w:t>
      </w:r>
    </w:p>
    <w:p w:rsidR="00000000" w:rsidRDefault="00000000">
      <w:pPr>
        <w:pStyle w:val="SingleTxt"/>
        <w:tabs>
          <w:tab w:val="right" w:pos="1685"/>
        </w:tabs>
        <w:ind w:left="1742" w:hanging="475"/>
      </w:pPr>
      <w:r>
        <w:rPr>
          <w:i/>
        </w:rPr>
        <w:tab/>
        <w:t>•</w:t>
      </w:r>
      <w:r>
        <w:rPr>
          <w:i/>
        </w:rPr>
        <w:tab/>
        <w:t>Información</w:t>
      </w:r>
      <w:r>
        <w:t xml:space="preserve"> mediante el envío por las Oficinas Regionales de Inmigración y Extranjería, que conceden los permisos pertinentes, de circulares de instru</w:t>
      </w:r>
      <w:r>
        <w:t>c</w:t>
      </w:r>
      <w:r>
        <w:t>ciones suf</w:t>
      </w:r>
      <w:r>
        <w:t>i</w:t>
      </w:r>
      <w:r>
        <w:t>cientemente claras.</w:t>
      </w:r>
    </w:p>
    <w:p w:rsidR="00000000" w:rsidRDefault="00000000">
      <w:pPr>
        <w:pStyle w:val="SingleTxt"/>
        <w:tabs>
          <w:tab w:val="right" w:pos="1685"/>
        </w:tabs>
        <w:ind w:left="1742" w:hanging="475"/>
      </w:pPr>
      <w:r>
        <w:rPr>
          <w:i/>
        </w:rPr>
        <w:tab/>
        <w:t>•</w:t>
      </w:r>
      <w:r>
        <w:rPr>
          <w:i/>
        </w:rPr>
        <w:tab/>
        <w:t>Sensibilización</w:t>
      </w:r>
      <w:r>
        <w:t xml:space="preserve"> e información de la opinión pública a través de la campaña p</w:t>
      </w:r>
      <w:r>
        <w:t>u</w:t>
      </w:r>
      <w:r>
        <w:t>blic</w:t>
      </w:r>
      <w:r>
        <w:t>i</w:t>
      </w:r>
      <w:r>
        <w:t>taria realizada por el Instituto de Políticas de Inmigración.</w:t>
      </w:r>
    </w:p>
    <w:p w:rsidR="00000000" w:rsidRDefault="00000000">
      <w:pPr>
        <w:pStyle w:val="SingleTxt"/>
        <w:numPr>
          <w:ilvl w:val="0"/>
          <w:numId w:val="286"/>
        </w:numPr>
      </w:pPr>
      <w:r>
        <w:rPr>
          <w:i/>
        </w:rPr>
        <w:t xml:space="preserve">Secretaría General para la Igualdad de Género </w:t>
      </w:r>
    </w:p>
    <w:p w:rsidR="00000000" w:rsidRDefault="00000000">
      <w:pPr>
        <w:pStyle w:val="SingleTxt"/>
        <w:tabs>
          <w:tab w:val="right" w:pos="1685"/>
        </w:tabs>
        <w:ind w:left="1742" w:hanging="475"/>
      </w:pPr>
      <w:r>
        <w:rPr>
          <w:i/>
        </w:rPr>
        <w:tab/>
        <w:t>•</w:t>
      </w:r>
      <w:r>
        <w:rPr>
          <w:i/>
        </w:rPr>
        <w:tab/>
        <w:t>Asesoramiento y asistencia social:</w:t>
      </w:r>
      <w:r>
        <w:t xml:space="preserve"> prestación inmediata de servicios de info</w:t>
      </w:r>
      <w:r>
        <w:t>r</w:t>
      </w:r>
      <w:r>
        <w:t>mación especializada, asesoramiento y asistencia social a las mujeres víctimas de la trata con miras a lograr su integración en la sociedad y, principalmente, en el mercado laboral. El programa se realizará en el contexto de los 17 planes de acción del programa “Intervenciones integradas destinadas a la mujer” del programa operacional “Empleo y formación profesi</w:t>
      </w:r>
      <w:r>
        <w:t>o</w:t>
      </w:r>
      <w:r>
        <w:t>nal”.</w:t>
      </w:r>
    </w:p>
    <w:p w:rsidR="00000000" w:rsidRDefault="00000000">
      <w:pPr>
        <w:pStyle w:val="SingleTxt"/>
        <w:tabs>
          <w:tab w:val="right" w:pos="1685"/>
        </w:tabs>
        <w:ind w:left="1742" w:hanging="475"/>
      </w:pPr>
      <w:r>
        <w:rPr>
          <w:i/>
        </w:rPr>
        <w:tab/>
        <w:t>•</w:t>
      </w:r>
      <w:r>
        <w:rPr>
          <w:i/>
        </w:rPr>
        <w:tab/>
        <w:t>Realización de una campaña</w:t>
      </w:r>
      <w:r>
        <w:t xml:space="preserve"> destinada a informar a la opinión pública acerca de la trata de personas y a promover la sensibilización de la sociedad:</w:t>
      </w:r>
    </w:p>
    <w:p w:rsidR="00000000" w:rsidRDefault="00000000">
      <w:pPr>
        <w:pStyle w:val="SingleTxt"/>
        <w:tabs>
          <w:tab w:val="right" w:pos="1685"/>
        </w:tabs>
        <w:ind w:left="1742" w:hanging="475"/>
      </w:pPr>
      <w:bookmarkStart w:id="19" w:name="_Toc116885462"/>
      <w:r>
        <w:tab/>
        <w:t>–</w:t>
      </w:r>
      <w:r>
        <w:tab/>
        <w:t>Mediante la publicación de material informativo impreso en varios idi</w:t>
      </w:r>
      <w:r>
        <w:t>o</w:t>
      </w:r>
      <w:r>
        <w:t>mas</w:t>
      </w:r>
      <w:bookmarkEnd w:id="19"/>
      <w:r>
        <w:t>;</w:t>
      </w:r>
    </w:p>
    <w:p w:rsidR="00000000" w:rsidRDefault="00000000">
      <w:pPr>
        <w:pStyle w:val="SingleTxt"/>
        <w:tabs>
          <w:tab w:val="right" w:pos="1685"/>
        </w:tabs>
        <w:ind w:left="1742" w:hanging="475"/>
      </w:pPr>
      <w:bookmarkStart w:id="20" w:name="_Toc116885463"/>
      <w:r>
        <w:tab/>
        <w:t>–</w:t>
      </w:r>
      <w:r>
        <w:tab/>
        <w:t>Mediante una campaña de radio y televisión</w:t>
      </w:r>
      <w:bookmarkEnd w:id="20"/>
      <w:r>
        <w:t>.</w:t>
      </w:r>
    </w:p>
    <w:p w:rsidR="00000000" w:rsidRDefault="00000000">
      <w:pPr>
        <w:pStyle w:val="SingleTxt"/>
        <w:tabs>
          <w:tab w:val="right" w:pos="1685"/>
        </w:tabs>
        <w:ind w:left="1742" w:hanging="475"/>
      </w:pPr>
      <w:r>
        <w:rPr>
          <w:i/>
        </w:rPr>
        <w:tab/>
        <w:t>•</w:t>
      </w:r>
      <w:r>
        <w:rPr>
          <w:i/>
        </w:rPr>
        <w:tab/>
        <w:t xml:space="preserve">Trabajo – Integración –Empleo de las víctimas </w:t>
      </w:r>
      <w:r>
        <w:t>en colaboración con el Mini</w:t>
      </w:r>
      <w:r>
        <w:t>s</w:t>
      </w:r>
      <w:r>
        <w:t>terio de Empleo y Protección Social en el contexto de la iniciativa comunitaria EQUAL, que promueve la formación, la integración laboral y el empleo de las víctimas de la trata en nuevos sectores de la economía por medio de actuaci</w:t>
      </w:r>
      <w:r>
        <w:t>o</w:t>
      </w:r>
      <w:r>
        <w:t>nes inn</w:t>
      </w:r>
      <w:r>
        <w:t>o</w:t>
      </w:r>
      <w:r>
        <w:t>vadoras.</w:t>
      </w:r>
    </w:p>
    <w:p w:rsidR="00000000" w:rsidRDefault="00000000">
      <w:pPr>
        <w:pStyle w:val="SingleTxt"/>
        <w:tabs>
          <w:tab w:val="right" w:pos="1685"/>
        </w:tabs>
        <w:ind w:left="1742" w:hanging="475"/>
      </w:pPr>
      <w:r>
        <w:rPr>
          <w:i/>
        </w:rPr>
        <w:tab/>
        <w:t>•</w:t>
      </w:r>
      <w:r>
        <w:rPr>
          <w:i/>
        </w:rPr>
        <w:tab/>
        <w:t>Centros de asesoramiento sobre la violencia contra la mujer</w:t>
      </w:r>
      <w:r>
        <w:t>: Existen dos ce</w:t>
      </w:r>
      <w:r>
        <w:t>n</w:t>
      </w:r>
      <w:r>
        <w:t>tros de asesoramiento sobre la violencia contra la mujer, en Atenas y El Pireo, que propo</w:t>
      </w:r>
      <w:r>
        <w:t>r</w:t>
      </w:r>
      <w:r>
        <w:t xml:space="preserve">cionan asistencia psicológica y social a las víctimas. </w:t>
      </w:r>
    </w:p>
    <w:p w:rsidR="00000000" w:rsidRDefault="00000000">
      <w:pPr>
        <w:pStyle w:val="SingleTxt"/>
        <w:tabs>
          <w:tab w:val="right" w:pos="1685"/>
        </w:tabs>
        <w:ind w:left="1742" w:hanging="475"/>
      </w:pPr>
      <w:r>
        <w:rPr>
          <w:i/>
        </w:rPr>
        <w:tab/>
        <w:t>•</w:t>
      </w:r>
      <w:r>
        <w:rPr>
          <w:i/>
        </w:rPr>
        <w:tab/>
        <w:t>Colaboración con las ONG de mujeres</w:t>
      </w:r>
      <w:r>
        <w:t>: La Secretaría General para la Igualdad de Género colabora con las organizaciones de mujeres con el fin de arrojara luz sobre el fenómeno de la violencia y luchar contra él, y, en algunos casos, pa</w:t>
      </w:r>
      <w:r>
        <w:t>r</w:t>
      </w:r>
      <w:r>
        <w:t>ticipa en la financiación de sus actividades.</w:t>
      </w:r>
    </w:p>
    <w:p w:rsidR="00000000" w:rsidRDefault="00000000">
      <w:pPr>
        <w:pStyle w:val="SingleTxt"/>
        <w:numPr>
          <w:ilvl w:val="0"/>
          <w:numId w:val="286"/>
        </w:numPr>
      </w:pPr>
      <w:r>
        <w:rPr>
          <w:i/>
        </w:rPr>
        <w:t>Ministerio de Relaciones Exteriores</w:t>
      </w:r>
    </w:p>
    <w:p w:rsidR="00000000" w:rsidRDefault="00000000">
      <w:pPr>
        <w:pStyle w:val="SingleTxt"/>
        <w:tabs>
          <w:tab w:val="right" w:pos="1685"/>
        </w:tabs>
        <w:ind w:left="1742" w:hanging="475"/>
      </w:pPr>
      <w:r>
        <w:rPr>
          <w:i/>
        </w:rPr>
        <w:tab/>
        <w:t>•</w:t>
      </w:r>
      <w:r>
        <w:rPr>
          <w:i/>
        </w:rPr>
        <w:tab/>
        <w:t>Financiación de medidas contra la trata de personas:</w:t>
      </w:r>
      <w:r>
        <w:t xml:space="preserve"> En 2004 se dedicaron a esta cuestión 3,1 millones de euros.</w:t>
      </w:r>
    </w:p>
    <w:p w:rsidR="00000000" w:rsidRDefault="00000000">
      <w:pPr>
        <w:pStyle w:val="SingleTxt"/>
        <w:tabs>
          <w:tab w:val="right" w:pos="1685"/>
        </w:tabs>
        <w:ind w:left="1742" w:hanging="475"/>
      </w:pPr>
      <w:r>
        <w:rPr>
          <w:i/>
        </w:rPr>
        <w:tab/>
        <w:t>•</w:t>
      </w:r>
      <w:r>
        <w:rPr>
          <w:i/>
        </w:rPr>
        <w:tab/>
        <w:t xml:space="preserve">Acuerdo bilateral con Albania contra la trata de niños: </w:t>
      </w:r>
      <w:r>
        <w:t>En la etapa final del proceso se ha firmado con Albania un acuerdo bilateral sobre la trata de niños con el fin de llegar a un acuerdo definitivo que permita abordar todas las d</w:t>
      </w:r>
      <w:r>
        <w:t>i</w:t>
      </w:r>
      <w:r>
        <w:t xml:space="preserve">mensiones de la cuestión y constituya un referente internacional para la firma de acuerdos similares. </w:t>
      </w:r>
    </w:p>
    <w:p w:rsidR="00000000" w:rsidRDefault="00000000">
      <w:pPr>
        <w:pStyle w:val="SingleTxt"/>
        <w:tabs>
          <w:tab w:val="right" w:pos="1685"/>
        </w:tabs>
        <w:ind w:left="1742" w:hanging="475"/>
      </w:pPr>
      <w:r>
        <w:rPr>
          <w:i/>
        </w:rPr>
        <w:tab/>
        <w:t>•</w:t>
      </w:r>
      <w:r>
        <w:rPr>
          <w:i/>
        </w:rPr>
        <w:tab/>
        <w:t>Firma de acuerdos similares con países vecinos:</w:t>
      </w:r>
      <w:r>
        <w:t xml:space="preserve"> Tras la firma y aplicación del mencionado acuerdo con Albania, el Ministerio se propone firmar acuerdos similares sobre la trata de niños con otros países de los Balcanes y de Europa Oriental, que f</w:t>
      </w:r>
      <w:r>
        <w:t>i</w:t>
      </w:r>
      <w:r>
        <w:t>guran entre los países de origen de los niños víctimas.</w:t>
      </w:r>
    </w:p>
    <w:p w:rsidR="00000000" w:rsidRDefault="00000000">
      <w:pPr>
        <w:pStyle w:val="SingleTxt"/>
        <w:tabs>
          <w:tab w:val="right" w:pos="1685"/>
        </w:tabs>
        <w:ind w:left="1742" w:hanging="475"/>
        <w:rPr>
          <w:i/>
          <w:color w:val="000000"/>
        </w:rPr>
      </w:pPr>
      <w:r>
        <w:rPr>
          <w:i/>
          <w:color w:val="000000"/>
        </w:rPr>
        <w:tab/>
        <w:t>•</w:t>
      </w:r>
      <w:r>
        <w:rPr>
          <w:i/>
          <w:color w:val="000000"/>
        </w:rPr>
        <w:tab/>
        <w:t>Centro de Coordinación Internacional contra la Trata en Tesalónica</w:t>
      </w:r>
      <w:r>
        <w:rPr>
          <w:color w:val="000000"/>
        </w:rPr>
        <w:t>: En col</w:t>
      </w:r>
      <w:r>
        <w:rPr>
          <w:color w:val="000000"/>
        </w:rPr>
        <w:t>a</w:t>
      </w:r>
      <w:r>
        <w:rPr>
          <w:color w:val="000000"/>
        </w:rPr>
        <w:t>boración con la Organización para la Seguridad y la Cooperación en Europa (OSCE) y el Pacto de Estabilidad, se acordó establecer y poner en funcion</w:t>
      </w:r>
      <w:r>
        <w:rPr>
          <w:color w:val="000000"/>
        </w:rPr>
        <w:t>a</w:t>
      </w:r>
      <w:r>
        <w:rPr>
          <w:color w:val="000000"/>
        </w:rPr>
        <w:t>miento un Centro encargado de coordinar las actividades de las organizaciones internacionales y los Estados en la sede alternativa del Pacto de Estabilidad, en Tesalónica.</w:t>
      </w:r>
    </w:p>
    <w:p w:rsidR="00000000" w:rsidRDefault="00000000">
      <w:pPr>
        <w:pStyle w:val="SingleTxt"/>
        <w:tabs>
          <w:tab w:val="right" w:pos="1685"/>
        </w:tabs>
        <w:ind w:left="1742" w:hanging="475"/>
        <w:rPr>
          <w:color w:val="000000"/>
        </w:rPr>
      </w:pPr>
      <w:r>
        <w:rPr>
          <w:i/>
          <w:color w:val="000000"/>
        </w:rPr>
        <w:tab/>
        <w:t>•</w:t>
      </w:r>
      <w:r>
        <w:rPr>
          <w:i/>
          <w:color w:val="000000"/>
        </w:rPr>
        <w:tab/>
        <w:t>Albergues – Centros de acogida</w:t>
      </w:r>
      <w:r>
        <w:rPr>
          <w:color w:val="000000"/>
        </w:rPr>
        <w:t>: Financiación del funcionamiento de cuatro albergues (“Allilegii”–Solidaridad–, “Giatri tou Kosmou” –Médicos del Mu</w:t>
      </w:r>
      <w:r>
        <w:rPr>
          <w:color w:val="000000"/>
        </w:rPr>
        <w:t>n</w:t>
      </w:r>
      <w:r>
        <w:rPr>
          <w:color w:val="000000"/>
        </w:rPr>
        <w:t>do– y “Klimaka” en Atenas, y “E.K.Y.TH.K.K.A.” en Ioánina) para la prote</w:t>
      </w:r>
      <w:r>
        <w:rPr>
          <w:color w:val="000000"/>
        </w:rPr>
        <w:t>c</w:t>
      </w:r>
      <w:r>
        <w:rPr>
          <w:color w:val="000000"/>
        </w:rPr>
        <w:t>ción de las víctimas a las que se presta asistencia psicológica y social y cuya repatriación se prepara. Dos albergues dependientes del Ministerio de Salud y Bienestar Social situados en Atenas y Tesalónica son cofinanciados por el m</w:t>
      </w:r>
      <w:r>
        <w:rPr>
          <w:color w:val="000000"/>
        </w:rPr>
        <w:t>i</w:t>
      </w:r>
      <w:r>
        <w:rPr>
          <w:color w:val="000000"/>
        </w:rPr>
        <w:t>nisterio de Relaciones Exteriores, al igual que la dependencia del Centro N</w:t>
      </w:r>
      <w:r>
        <w:rPr>
          <w:color w:val="000000"/>
        </w:rPr>
        <w:t>a</w:t>
      </w:r>
      <w:r>
        <w:rPr>
          <w:color w:val="000000"/>
        </w:rPr>
        <w:t>cional de Asistencia Social de Emergencia (EKAKV) encargada de proteger y atender a las víctimas durante las prim</w:t>
      </w:r>
      <w:r>
        <w:rPr>
          <w:color w:val="000000"/>
        </w:rPr>
        <w:t>e</w:t>
      </w:r>
      <w:r>
        <w:rPr>
          <w:color w:val="000000"/>
        </w:rPr>
        <w:t>ras horas.</w:t>
      </w:r>
    </w:p>
    <w:p w:rsidR="00000000" w:rsidRDefault="00000000">
      <w:pPr>
        <w:pStyle w:val="SingleTxt"/>
        <w:tabs>
          <w:tab w:val="right" w:pos="1685"/>
        </w:tabs>
        <w:ind w:left="1742" w:hanging="475"/>
        <w:rPr>
          <w:color w:val="000000"/>
        </w:rPr>
      </w:pPr>
      <w:r>
        <w:rPr>
          <w:i/>
          <w:color w:val="000000"/>
        </w:rPr>
        <w:tab/>
        <w:t>•</w:t>
      </w:r>
      <w:r>
        <w:rPr>
          <w:i/>
          <w:color w:val="000000"/>
        </w:rPr>
        <w:tab/>
        <w:t>Creación de redes internacionales para combatir la trata</w:t>
      </w:r>
      <w:r>
        <w:rPr>
          <w:color w:val="000000"/>
        </w:rPr>
        <w:t>: Financiación de dos programas para la creación de redes para combatir la trata e intercambiar i</w:t>
      </w:r>
      <w:r>
        <w:rPr>
          <w:color w:val="000000"/>
        </w:rPr>
        <w:t>n</w:t>
      </w:r>
      <w:r>
        <w:rPr>
          <w:color w:val="000000"/>
        </w:rPr>
        <w:t>formación con los países de origen de las víctimas (Balcanes-Europa Orie</w:t>
      </w:r>
      <w:r>
        <w:rPr>
          <w:color w:val="000000"/>
        </w:rPr>
        <w:t>n</w:t>
      </w:r>
      <w:r>
        <w:rPr>
          <w:color w:val="000000"/>
        </w:rPr>
        <w:t>tal).</w:t>
      </w:r>
    </w:p>
    <w:p w:rsidR="00000000" w:rsidRDefault="00000000">
      <w:pPr>
        <w:pStyle w:val="SingleTxt"/>
        <w:tabs>
          <w:tab w:val="right" w:pos="1685"/>
        </w:tabs>
        <w:ind w:left="1742" w:hanging="475"/>
        <w:rPr>
          <w:color w:val="000000"/>
        </w:rPr>
      </w:pPr>
      <w:r>
        <w:rPr>
          <w:i/>
          <w:color w:val="000000"/>
        </w:rPr>
        <w:tab/>
        <w:t>•</w:t>
      </w:r>
      <w:r>
        <w:rPr>
          <w:i/>
          <w:color w:val="000000"/>
        </w:rPr>
        <w:tab/>
        <w:t>Programas de repatriación</w:t>
      </w:r>
      <w:r>
        <w:rPr>
          <w:color w:val="000000"/>
        </w:rPr>
        <w:t>: Programa de financiación – repatriación realizado en colaboración con la OIM.</w:t>
      </w:r>
    </w:p>
    <w:p w:rsidR="00000000" w:rsidRDefault="00000000">
      <w:pPr>
        <w:pStyle w:val="SingleTxt"/>
        <w:tabs>
          <w:tab w:val="right" w:pos="1685"/>
        </w:tabs>
        <w:ind w:left="1742" w:hanging="475"/>
        <w:rPr>
          <w:color w:val="000000"/>
        </w:rPr>
      </w:pPr>
      <w:r>
        <w:rPr>
          <w:i/>
          <w:color w:val="000000"/>
        </w:rPr>
        <w:tab/>
        <w:t>•</w:t>
      </w:r>
      <w:r>
        <w:rPr>
          <w:i/>
          <w:color w:val="000000"/>
        </w:rPr>
        <w:tab/>
        <w:t>Asistencia de los países de origen</w:t>
      </w:r>
      <w:r>
        <w:rPr>
          <w:color w:val="000000"/>
        </w:rPr>
        <w:t>: Financiación de dos programas de asiste</w:t>
      </w:r>
      <w:r>
        <w:rPr>
          <w:color w:val="000000"/>
        </w:rPr>
        <w:t>n</w:t>
      </w:r>
      <w:r>
        <w:rPr>
          <w:color w:val="000000"/>
        </w:rPr>
        <w:t>cia a las víctimas después de su repatriación a sus países de origen (Georgia, Belarús, Moldova y Armenia) que incluyen, entre otras medidas, a) ayudas a los centros de recepción existentes, b) programas de reinserción, c) atención médica y farmacéut</w:t>
      </w:r>
      <w:r>
        <w:rPr>
          <w:color w:val="000000"/>
        </w:rPr>
        <w:t>i</w:t>
      </w:r>
      <w:r>
        <w:rPr>
          <w:color w:val="000000"/>
        </w:rPr>
        <w:t>ca, y d) seminarios de formación profesional.</w:t>
      </w:r>
    </w:p>
    <w:p w:rsidR="00000000" w:rsidRDefault="00000000">
      <w:pPr>
        <w:pStyle w:val="SingleTxt"/>
        <w:tabs>
          <w:tab w:val="right" w:pos="1685"/>
        </w:tabs>
        <w:ind w:left="1742" w:hanging="475"/>
        <w:rPr>
          <w:color w:val="000000"/>
        </w:rPr>
      </w:pPr>
      <w:r>
        <w:rPr>
          <w:i/>
          <w:color w:val="000000"/>
        </w:rPr>
        <w:tab/>
        <w:t>•</w:t>
      </w:r>
      <w:r>
        <w:rPr>
          <w:i/>
          <w:color w:val="000000"/>
        </w:rPr>
        <w:tab/>
        <w:t>Protección en los países de origen</w:t>
      </w:r>
      <w:r>
        <w:rPr>
          <w:color w:val="000000"/>
        </w:rPr>
        <w:t>: Financiación de un programa para la cre</w:t>
      </w:r>
      <w:r>
        <w:rPr>
          <w:color w:val="000000"/>
        </w:rPr>
        <w:t>a</w:t>
      </w:r>
      <w:r>
        <w:rPr>
          <w:color w:val="000000"/>
        </w:rPr>
        <w:t>ción en Albania de un centro de protección para niños no acompañados o d</w:t>
      </w:r>
      <w:r>
        <w:rPr>
          <w:color w:val="000000"/>
        </w:rPr>
        <w:t>e</w:t>
      </w:r>
      <w:r>
        <w:rPr>
          <w:color w:val="000000"/>
        </w:rPr>
        <w:t>satendidos que acoja a esos niños después de su repatriación.</w:t>
      </w:r>
    </w:p>
    <w:p w:rsidR="00000000" w:rsidRDefault="00000000">
      <w:pPr>
        <w:pStyle w:val="SingleTxt"/>
        <w:rPr>
          <w:i/>
        </w:rPr>
      </w:pPr>
      <w:r>
        <w:rPr>
          <w:i/>
        </w:rPr>
        <w:tab/>
        <w:t>Financiación de seminarios destinados a:</w:t>
      </w:r>
    </w:p>
    <w:p w:rsidR="00000000" w:rsidRDefault="00000000">
      <w:pPr>
        <w:pStyle w:val="SingleTxt"/>
        <w:tabs>
          <w:tab w:val="right" w:pos="1685"/>
        </w:tabs>
        <w:ind w:left="1742" w:hanging="475"/>
      </w:pPr>
      <w:r>
        <w:tab/>
        <w:t>–</w:t>
      </w:r>
      <w:r>
        <w:tab/>
        <w:t>La Policía,</w:t>
      </w:r>
    </w:p>
    <w:p w:rsidR="00000000" w:rsidRDefault="00000000">
      <w:pPr>
        <w:pStyle w:val="SingleTxt"/>
        <w:tabs>
          <w:tab w:val="right" w:pos="1685"/>
        </w:tabs>
        <w:ind w:left="1742" w:hanging="475"/>
      </w:pPr>
      <w:r>
        <w:tab/>
        <w:t>–</w:t>
      </w:r>
      <w:r>
        <w:tab/>
        <w:t>Los jueces y los fiscales públicos.</w:t>
      </w:r>
    </w:p>
    <w:p w:rsidR="00000000" w:rsidRDefault="00000000">
      <w:pPr>
        <w:pStyle w:val="SingleTxt"/>
        <w:numPr>
          <w:ilvl w:val="0"/>
          <w:numId w:val="286"/>
        </w:numPr>
      </w:pPr>
      <w:r>
        <w:rPr>
          <w:i/>
        </w:rPr>
        <w:t xml:space="preserve">Ministerio de Educación Nacional y Culto </w:t>
      </w:r>
    </w:p>
    <w:p w:rsidR="00000000" w:rsidRDefault="00000000">
      <w:pPr>
        <w:pStyle w:val="SingleTxt"/>
        <w:tabs>
          <w:tab w:val="right" w:pos="1685"/>
        </w:tabs>
        <w:ind w:left="1742" w:hanging="475"/>
      </w:pPr>
      <w:r>
        <w:tab/>
        <w:t>•</w:t>
      </w:r>
      <w:r>
        <w:tab/>
        <w:t>El Ministerio de Educación Nacional y Culto estudia la forma de informar a los alumnos de los últimos grados del liceo (enseñanza secundaria no obligat</w:t>
      </w:r>
      <w:r>
        <w:t>o</w:t>
      </w:r>
      <w:r>
        <w:t>ria que sigue a los tres años de enseñanza secundaria obligatoria, o gimnasio) acerca del problema de la trata de personas para su explotación sexual y fina</w:t>
      </w:r>
      <w:r>
        <w:t>n</w:t>
      </w:r>
      <w:r>
        <w:t>ciera.</w:t>
      </w:r>
    </w:p>
    <w:p w:rsidR="00000000" w:rsidRDefault="00000000">
      <w:pPr>
        <w:pStyle w:val="SingleTxt"/>
        <w:numPr>
          <w:ilvl w:val="0"/>
          <w:numId w:val="286"/>
        </w:numPr>
      </w:pPr>
      <w:r>
        <w:rPr>
          <w:i/>
        </w:rPr>
        <w:t xml:space="preserve">Ministerio de Empleo y Protección Social </w:t>
      </w:r>
    </w:p>
    <w:p w:rsidR="00000000" w:rsidRDefault="00000000">
      <w:pPr>
        <w:pStyle w:val="SingleTxt"/>
        <w:tabs>
          <w:tab w:val="right" w:pos="1685"/>
        </w:tabs>
        <w:ind w:left="1742" w:hanging="475"/>
      </w:pPr>
      <w:r>
        <w:tab/>
        <w:t>•</w:t>
      </w:r>
      <w:r>
        <w:tab/>
        <w:t>Participación en el programa STAGE de la Organización de Mano de Obra y E</w:t>
      </w:r>
      <w:r>
        <w:t>m</w:t>
      </w:r>
      <w:r>
        <w:t>pleo de Grecia (OAED)</w:t>
      </w:r>
    </w:p>
    <w:p w:rsidR="00000000" w:rsidRDefault="00000000">
      <w:pPr>
        <w:pStyle w:val="SingleTxt"/>
        <w:tabs>
          <w:tab w:val="right" w:pos="1685"/>
        </w:tabs>
        <w:ind w:left="1742" w:hanging="475"/>
      </w:pPr>
      <w:r>
        <w:tab/>
        <w:t>•</w:t>
      </w:r>
      <w:r>
        <w:tab/>
        <w:t>Participación de las víctimas en un programa de incorporación al mercado l</w:t>
      </w:r>
      <w:r>
        <w:t>a</w:t>
      </w:r>
      <w:r>
        <w:t>boral. Las víctimas pueden participar en un programa integrado de interve</w:t>
      </w:r>
      <w:r>
        <w:t>n</w:t>
      </w:r>
      <w:r>
        <w:t>ción, enmarcado en el programa operacional “Empleo y formación profesi</w:t>
      </w:r>
      <w:r>
        <w:t>o</w:t>
      </w:r>
      <w:r>
        <w:t>nal”, que tiene por objeto la plena incorporación de las víctimas al mercado l</w:t>
      </w:r>
      <w:r>
        <w:t>a</w:t>
      </w:r>
      <w:r>
        <w:t>boral. El programa se basa en un conjunto de estructuras de asistencia psicol</w:t>
      </w:r>
      <w:r>
        <w:t>ó</w:t>
      </w:r>
      <w:r>
        <w:t>gica, social y laboral. En partic</w:t>
      </w:r>
      <w:r>
        <w:t>u</w:t>
      </w:r>
      <w:r>
        <w:t xml:space="preserve">lar: </w:t>
      </w:r>
    </w:p>
    <w:p w:rsidR="00000000" w:rsidRDefault="00000000">
      <w:pPr>
        <w:pStyle w:val="SingleTxt"/>
        <w:tabs>
          <w:tab w:val="right" w:pos="1685"/>
        </w:tabs>
        <w:ind w:left="1742" w:hanging="475"/>
        <w:rPr>
          <w:color w:val="000000"/>
        </w:rPr>
      </w:pPr>
      <w:r>
        <w:rPr>
          <w:color w:val="000000"/>
        </w:rPr>
        <w:tab/>
        <w:t>•</w:t>
      </w:r>
      <w:r>
        <w:rPr>
          <w:color w:val="000000"/>
        </w:rPr>
        <w:tab/>
        <w:t>Prestación de asistencia y servicios suplementarios, con el fin de mejorar la capacitación de las mujeres que han sufrido abusos, infundirles ánimos y pr</w:t>
      </w:r>
      <w:r>
        <w:rPr>
          <w:color w:val="000000"/>
        </w:rPr>
        <w:t>o</w:t>
      </w:r>
      <w:r>
        <w:rPr>
          <w:color w:val="000000"/>
        </w:rPr>
        <w:t>mover su confianza en sí mismas. La asistencia y los servicios suplementarios se prestan de m</w:t>
      </w:r>
      <w:r>
        <w:rPr>
          <w:color w:val="000000"/>
        </w:rPr>
        <w:t>a</w:t>
      </w:r>
      <w:r>
        <w:rPr>
          <w:color w:val="000000"/>
        </w:rPr>
        <w:t>nera individualizada.</w:t>
      </w:r>
    </w:p>
    <w:p w:rsidR="00000000" w:rsidRDefault="00000000">
      <w:pPr>
        <w:pStyle w:val="SingleTxt"/>
        <w:tabs>
          <w:tab w:val="right" w:pos="1685"/>
        </w:tabs>
        <w:ind w:left="1742" w:hanging="475"/>
        <w:rPr>
          <w:color w:val="000000"/>
        </w:rPr>
      </w:pPr>
      <w:r>
        <w:rPr>
          <w:color w:val="000000"/>
        </w:rPr>
        <w:tab/>
        <w:t>•</w:t>
      </w:r>
      <w:r>
        <w:rPr>
          <w:color w:val="000000"/>
        </w:rPr>
        <w:tab/>
        <w:t>Enseñanza del griego, para que las víctimas puedan comunicarse con fluidez en su vida cotidiana e integrarse sin problemas en el mercado laboral. Los cu</w:t>
      </w:r>
      <w:r>
        <w:rPr>
          <w:color w:val="000000"/>
        </w:rPr>
        <w:t>r</w:t>
      </w:r>
      <w:r>
        <w:rPr>
          <w:color w:val="000000"/>
        </w:rPr>
        <w:t>sos del griego, que tienen una duración de 200 a 500 horas lectivas y corren a cargo de la empresa “Formación profesional Plc.”, permiten obtener un certif</w:t>
      </w:r>
      <w:r>
        <w:rPr>
          <w:color w:val="000000"/>
        </w:rPr>
        <w:t>i</w:t>
      </w:r>
      <w:r>
        <w:rPr>
          <w:color w:val="000000"/>
        </w:rPr>
        <w:t>cado de conoc</w:t>
      </w:r>
      <w:r>
        <w:rPr>
          <w:color w:val="000000"/>
        </w:rPr>
        <w:t>i</w:t>
      </w:r>
      <w:r>
        <w:rPr>
          <w:color w:val="000000"/>
        </w:rPr>
        <w:t xml:space="preserve">miento del griego. </w:t>
      </w:r>
    </w:p>
    <w:p w:rsidR="00000000" w:rsidRDefault="00000000">
      <w:pPr>
        <w:pStyle w:val="SingleTxt"/>
        <w:tabs>
          <w:tab w:val="right" w:pos="1685"/>
        </w:tabs>
        <w:ind w:left="1742" w:hanging="475"/>
      </w:pPr>
      <w:r>
        <w:rPr>
          <w:color w:val="000000"/>
        </w:rPr>
        <w:tab/>
        <w:t>•</w:t>
      </w:r>
      <w:r>
        <w:rPr>
          <w:color w:val="000000"/>
        </w:rPr>
        <w:tab/>
        <w:t>Formación profesional</w:t>
      </w:r>
      <w:r>
        <w:t>: La empresa “Formación profesional para los dese</w:t>
      </w:r>
      <w:r>
        <w:t>m</w:t>
      </w:r>
      <w:r>
        <w:t>pleados” ofrece a las víctimas cursos de educación teórica y formación práct</w:t>
      </w:r>
      <w:r>
        <w:t>i</w:t>
      </w:r>
      <w:r>
        <w:t>ca en empresas para que puedan adquirir conocimientos profesionales especi</w:t>
      </w:r>
      <w:r>
        <w:t>a</w:t>
      </w:r>
      <w:r>
        <w:t>lizados y experiencia. La duración del programa es de 600 a 1.000 horas.</w:t>
      </w:r>
    </w:p>
    <w:p w:rsidR="00000000" w:rsidRDefault="00000000">
      <w:pPr>
        <w:pStyle w:val="SingleTxt"/>
        <w:tabs>
          <w:tab w:val="right" w:pos="1685"/>
        </w:tabs>
        <w:ind w:left="1742" w:hanging="475"/>
        <w:rPr>
          <w:color w:val="000000"/>
        </w:rPr>
      </w:pPr>
      <w:r>
        <w:rPr>
          <w:color w:val="000000"/>
        </w:rPr>
        <w:tab/>
        <w:t>•</w:t>
      </w:r>
      <w:r>
        <w:rPr>
          <w:color w:val="000000"/>
        </w:rPr>
        <w:tab/>
        <w:t>Incorporación al mercado laboral: Una vez concluidas las actividades menci</w:t>
      </w:r>
      <w:r>
        <w:rPr>
          <w:color w:val="000000"/>
        </w:rPr>
        <w:t>o</w:t>
      </w:r>
      <w:r>
        <w:rPr>
          <w:color w:val="000000"/>
        </w:rPr>
        <w:t>nadas, las mujeres que han recibido formación se incorporan a programas de la OAED en cuyo marco se les busca empleo.</w:t>
      </w:r>
    </w:p>
    <w:p w:rsidR="00000000" w:rsidRDefault="00000000">
      <w:pPr>
        <w:pStyle w:val="SingleTxt"/>
        <w:numPr>
          <w:ilvl w:val="0"/>
          <w:numId w:val="286"/>
        </w:numPr>
      </w:pPr>
      <w:r>
        <w:rPr>
          <w:i/>
        </w:rPr>
        <w:t xml:space="preserve">Ministerio de Salud y Bienestar Social </w:t>
      </w:r>
    </w:p>
    <w:p w:rsidR="00000000" w:rsidRDefault="00000000">
      <w:pPr>
        <w:pStyle w:val="SingleTxt"/>
        <w:rPr>
          <w:color w:val="000000"/>
        </w:rPr>
      </w:pPr>
      <w:r>
        <w:tab/>
        <w:t>El Ministerio, a través de EKAKV, gestiona cuatro albergues para víctimas de la trata en Atenas y Tesalónica, con un total de 140 plazas, además de los tres albe</w:t>
      </w:r>
      <w:r>
        <w:t>r</w:t>
      </w:r>
      <w:r>
        <w:t>gues que gestionan ONG en Atenas, Ioánina y Tesalónica y que reciben financiación del Estado. Esos albergues, que han acogido hasta la fecha a 76 víctimas, están atendidos por personal especializado (trabajadores sociales, psicólogos, enfermeras y guardias de seguridad).</w:t>
      </w:r>
    </w:p>
    <w:p w:rsidR="00000000" w:rsidRDefault="00000000">
      <w:pPr>
        <w:pStyle w:val="SingleTxt"/>
        <w:tabs>
          <w:tab w:val="right" w:pos="1685"/>
        </w:tabs>
        <w:ind w:left="1742" w:hanging="475"/>
      </w:pPr>
      <w:r>
        <w:rPr>
          <w:i/>
        </w:rPr>
        <w:tab/>
        <w:t>•</w:t>
      </w:r>
      <w:r>
        <w:rPr>
          <w:i/>
        </w:rPr>
        <w:tab/>
        <w:t>Funcionamiento del EKAKV – línea de asistencia telefónica 197</w:t>
      </w:r>
      <w:r>
        <w:t>. El Centro Nacional de Asistencia Social de Emergencia (EKAKV) es el elemento central del programa de acción integrado. Se trata de una entidad pública financiada (al 100%) por el Ministerio de Salud y Bienestar Social, que se encarga del funcionamiento, la gestión y la supervisión de los albergues destinados a ac</w:t>
      </w:r>
      <w:r>
        <w:t>o</w:t>
      </w:r>
      <w:r>
        <w:t>ger a las víctimas. En pa</w:t>
      </w:r>
      <w:r>
        <w:t>r</w:t>
      </w:r>
      <w:r>
        <w:t>ticular, su línea de asistencia telefónica 197 permite:</w:t>
      </w:r>
    </w:p>
    <w:p w:rsidR="00000000" w:rsidRDefault="00000000">
      <w:pPr>
        <w:pStyle w:val="SingleTxt"/>
        <w:tabs>
          <w:tab w:val="right" w:pos="1685"/>
        </w:tabs>
        <w:ind w:left="1742" w:hanging="475"/>
      </w:pPr>
      <w:bookmarkStart w:id="21" w:name="_Toc116885464"/>
      <w:r>
        <w:tab/>
        <w:t>–</w:t>
      </w:r>
      <w:r>
        <w:tab/>
        <w:t>Presentar reclamaciones en relación con la detención de personas</w:t>
      </w:r>
      <w:bookmarkEnd w:id="21"/>
      <w:r>
        <w:t>;</w:t>
      </w:r>
    </w:p>
    <w:p w:rsidR="00000000" w:rsidRDefault="00000000">
      <w:pPr>
        <w:pStyle w:val="SingleTxt"/>
        <w:tabs>
          <w:tab w:val="right" w:pos="1685"/>
        </w:tabs>
        <w:ind w:left="1742" w:hanging="475"/>
        <w:rPr>
          <w:color w:val="000000"/>
        </w:rPr>
      </w:pPr>
      <w:r>
        <w:rPr>
          <w:color w:val="000000"/>
        </w:rPr>
        <w:tab/>
      </w:r>
      <w:r>
        <w:t>–</w:t>
      </w:r>
      <w:r>
        <w:tab/>
      </w:r>
      <w:r>
        <w:rPr>
          <w:color w:val="000000"/>
        </w:rPr>
        <w:t>Comunicarse en diversos idiomas;</w:t>
      </w:r>
    </w:p>
    <w:p w:rsidR="00000000" w:rsidRDefault="00000000">
      <w:pPr>
        <w:pStyle w:val="SingleTxt"/>
        <w:tabs>
          <w:tab w:val="right" w:pos="1685"/>
        </w:tabs>
        <w:ind w:left="1742" w:hanging="475"/>
      </w:pPr>
      <w:bookmarkStart w:id="22" w:name="_Toc116885465"/>
      <w:r>
        <w:tab/>
        <w:t>–</w:t>
      </w:r>
      <w:r>
        <w:tab/>
        <w:t>Localizar a víctimas</w:t>
      </w:r>
      <w:bookmarkEnd w:id="22"/>
      <w:r>
        <w:t>;</w:t>
      </w:r>
    </w:p>
    <w:p w:rsidR="00000000" w:rsidRDefault="00000000">
      <w:pPr>
        <w:pStyle w:val="SingleTxt"/>
        <w:tabs>
          <w:tab w:val="right" w:pos="1685"/>
        </w:tabs>
        <w:ind w:left="1742" w:hanging="475"/>
        <w:rPr>
          <w:color w:val="000000"/>
        </w:rPr>
      </w:pPr>
      <w:r>
        <w:rPr>
          <w:color w:val="000000"/>
        </w:rPr>
        <w:tab/>
      </w:r>
      <w:r>
        <w:t>–</w:t>
      </w:r>
      <w:r>
        <w:tab/>
      </w:r>
      <w:r>
        <w:rPr>
          <w:color w:val="000000"/>
        </w:rPr>
        <w:t xml:space="preserve">Recibir asistencia psicológica y de otra índole; </w:t>
      </w:r>
    </w:p>
    <w:p w:rsidR="00000000" w:rsidRDefault="00000000">
      <w:pPr>
        <w:pStyle w:val="SingleTxt"/>
        <w:tabs>
          <w:tab w:val="right" w:pos="1685"/>
        </w:tabs>
        <w:ind w:left="1742" w:hanging="475"/>
        <w:rPr>
          <w:color w:val="000000"/>
        </w:rPr>
      </w:pPr>
      <w:r>
        <w:rPr>
          <w:color w:val="000000"/>
        </w:rPr>
        <w:tab/>
      </w:r>
      <w:r>
        <w:t>–</w:t>
      </w:r>
      <w:r>
        <w:tab/>
      </w:r>
      <w:r>
        <w:rPr>
          <w:color w:val="000000"/>
        </w:rPr>
        <w:t>Evacuar consultas médicas;</w:t>
      </w:r>
    </w:p>
    <w:p w:rsidR="00000000" w:rsidRDefault="00000000">
      <w:pPr>
        <w:pStyle w:val="SingleTxt"/>
        <w:tabs>
          <w:tab w:val="right" w:pos="1685"/>
        </w:tabs>
        <w:ind w:left="1742" w:hanging="475"/>
        <w:rPr>
          <w:color w:val="000000"/>
        </w:rPr>
      </w:pPr>
      <w:r>
        <w:rPr>
          <w:color w:val="000000"/>
        </w:rPr>
        <w:tab/>
      </w:r>
      <w:r>
        <w:t>–</w:t>
      </w:r>
      <w:r>
        <w:tab/>
      </w:r>
      <w:r>
        <w:rPr>
          <w:color w:val="000000"/>
        </w:rPr>
        <w:t>Remitir a los interesados a los Centros de Salud para que reciban atención m</w:t>
      </w:r>
      <w:r>
        <w:rPr>
          <w:color w:val="000000"/>
        </w:rPr>
        <w:t>é</w:t>
      </w:r>
      <w:r>
        <w:rPr>
          <w:color w:val="000000"/>
        </w:rPr>
        <w:t>dica y medicación;</w:t>
      </w:r>
    </w:p>
    <w:p w:rsidR="00000000" w:rsidRDefault="00000000">
      <w:pPr>
        <w:pStyle w:val="SingleTxt"/>
        <w:tabs>
          <w:tab w:val="right" w:pos="1685"/>
        </w:tabs>
        <w:ind w:left="1742" w:hanging="475"/>
        <w:rPr>
          <w:color w:val="000000"/>
        </w:rPr>
      </w:pPr>
      <w:r>
        <w:rPr>
          <w:color w:val="000000"/>
        </w:rPr>
        <w:tab/>
      </w:r>
      <w:r>
        <w:t>–</w:t>
      </w:r>
      <w:r>
        <w:tab/>
      </w:r>
      <w:r>
        <w:rPr>
          <w:color w:val="000000"/>
        </w:rPr>
        <w:t xml:space="preserve">Remitir a los interesados a instituciones colaboradoras que prestan asistencia letrada. </w:t>
      </w:r>
    </w:p>
    <w:p w:rsidR="00000000" w:rsidRDefault="00000000">
      <w:pPr>
        <w:pStyle w:val="SingleTxt"/>
      </w:pPr>
      <w:r>
        <w:tab/>
        <w:t>La actuación del EKAKV en el ámbito de la trata de personas se desarrolla p</w:t>
      </w:r>
      <w:r>
        <w:t>a</w:t>
      </w:r>
      <w:r>
        <w:t>r</w:t>
      </w:r>
      <w:r>
        <w:t>a</w:t>
      </w:r>
      <w:r>
        <w:t>lelamente a los demás servicios de asistencia social que presta:</w:t>
      </w:r>
    </w:p>
    <w:p w:rsidR="00000000" w:rsidRDefault="00000000">
      <w:pPr>
        <w:pStyle w:val="SingleTxt"/>
        <w:tabs>
          <w:tab w:val="right" w:pos="1685"/>
        </w:tabs>
        <w:ind w:left="1742" w:hanging="475"/>
      </w:pPr>
      <w:r>
        <w:rPr>
          <w:i/>
        </w:rPr>
        <w:tab/>
        <w:t>•</w:t>
      </w:r>
      <w:r>
        <w:rPr>
          <w:i/>
        </w:rPr>
        <w:tab/>
        <w:t>Programa de repatriación voluntaria</w:t>
      </w:r>
      <w:r>
        <w:t>: El Ministerio de Salud y Bienestar S</w:t>
      </w:r>
      <w:r>
        <w:t>o</w:t>
      </w:r>
      <w:r>
        <w:t>cial f</w:t>
      </w:r>
      <w:r>
        <w:t>i</w:t>
      </w:r>
      <w:r>
        <w:t>nancia la repatriación voluntaria de las víctimas por parte de la OIM;</w:t>
      </w:r>
    </w:p>
    <w:p w:rsidR="00000000" w:rsidRDefault="00000000">
      <w:pPr>
        <w:pStyle w:val="SingleTxt"/>
        <w:tabs>
          <w:tab w:val="right" w:pos="1685"/>
        </w:tabs>
        <w:ind w:left="1742" w:hanging="475"/>
        <w:rPr>
          <w:i/>
          <w:color w:val="000000"/>
        </w:rPr>
      </w:pPr>
      <w:r>
        <w:rPr>
          <w:i/>
        </w:rPr>
        <w:tab/>
        <w:t>•</w:t>
      </w:r>
      <w:r>
        <w:rPr>
          <w:i/>
        </w:rPr>
        <w:tab/>
      </w:r>
      <w:r>
        <w:t>Atención médica y medicamentos gratuitos</w:t>
      </w:r>
      <w:r>
        <w:rPr>
          <w:i/>
        </w:rPr>
        <w:t>;</w:t>
      </w:r>
    </w:p>
    <w:p w:rsidR="00000000" w:rsidRDefault="00000000">
      <w:pPr>
        <w:pStyle w:val="SingleTxt"/>
        <w:tabs>
          <w:tab w:val="right" w:pos="1685"/>
        </w:tabs>
        <w:ind w:left="1742" w:hanging="475"/>
        <w:rPr>
          <w:i/>
          <w:color w:val="000000"/>
        </w:rPr>
      </w:pPr>
      <w:r>
        <w:rPr>
          <w:i/>
        </w:rPr>
        <w:tab/>
        <w:t>•</w:t>
      </w:r>
      <w:r>
        <w:rPr>
          <w:i/>
        </w:rPr>
        <w:tab/>
      </w:r>
      <w:r>
        <w:t>Información</w:t>
      </w:r>
      <w:r>
        <w:rPr>
          <w:i/>
        </w:rPr>
        <w:t>;</w:t>
      </w:r>
    </w:p>
    <w:p w:rsidR="00000000" w:rsidRDefault="00000000">
      <w:pPr>
        <w:pStyle w:val="SingleTxt"/>
        <w:tabs>
          <w:tab w:val="right" w:pos="1685"/>
        </w:tabs>
        <w:ind w:left="1742" w:hanging="475"/>
        <w:rPr>
          <w:i/>
          <w:color w:val="000000"/>
        </w:rPr>
      </w:pPr>
      <w:r>
        <w:rPr>
          <w:i/>
          <w:color w:val="000000"/>
        </w:rPr>
        <w:tab/>
        <w:t>•</w:t>
      </w:r>
      <w:r>
        <w:rPr>
          <w:i/>
          <w:color w:val="000000"/>
        </w:rPr>
        <w:tab/>
      </w:r>
      <w:r>
        <w:rPr>
          <w:color w:val="000000"/>
        </w:rPr>
        <w:t>Información pública acerca del funcionamiento de la línea de atención telef</w:t>
      </w:r>
      <w:r>
        <w:rPr>
          <w:color w:val="000000"/>
        </w:rPr>
        <w:t>ó</w:t>
      </w:r>
      <w:r>
        <w:rPr>
          <w:color w:val="000000"/>
        </w:rPr>
        <w:t>nica 197</w:t>
      </w:r>
      <w:r>
        <w:rPr>
          <w:i/>
          <w:color w:val="000000"/>
        </w:rPr>
        <w:t>;</w:t>
      </w:r>
    </w:p>
    <w:p w:rsidR="00000000" w:rsidRDefault="00000000">
      <w:pPr>
        <w:pStyle w:val="SingleTxt"/>
        <w:tabs>
          <w:tab w:val="right" w:pos="1685"/>
        </w:tabs>
        <w:ind w:left="1742" w:hanging="475"/>
      </w:pPr>
      <w:r>
        <w:rPr>
          <w:i/>
        </w:rPr>
        <w:tab/>
        <w:t>•</w:t>
      </w:r>
      <w:r>
        <w:rPr>
          <w:i/>
        </w:rPr>
        <w:tab/>
        <w:t xml:space="preserve">Publicación de circulares del Ministerio para informar y sensibilizar </w:t>
      </w:r>
      <w:r>
        <w:t>sobre el delito de trata de personas al personal de los servicios de salud y bienestar s</w:t>
      </w:r>
      <w:r>
        <w:t>o</w:t>
      </w:r>
      <w:r>
        <w:t>cial y a las Direcciones de Bienestar Social de las prefecturas del país;</w:t>
      </w:r>
    </w:p>
    <w:p w:rsidR="00000000" w:rsidRDefault="00000000">
      <w:pPr>
        <w:pStyle w:val="SingleTxt"/>
        <w:tabs>
          <w:tab w:val="right" w:pos="1685"/>
        </w:tabs>
        <w:ind w:left="1742" w:hanging="475"/>
        <w:rPr>
          <w:color w:val="000000"/>
        </w:rPr>
      </w:pPr>
      <w:r>
        <w:rPr>
          <w:i/>
          <w:color w:val="000000"/>
        </w:rPr>
        <w:tab/>
        <w:t>•</w:t>
      </w:r>
      <w:r>
        <w:rPr>
          <w:i/>
          <w:color w:val="000000"/>
        </w:rPr>
        <w:tab/>
        <w:t>Funcionamiento del Comité Permanente para la protección y la asistencia a las víctimas de la trata de personas</w:t>
      </w:r>
      <w:r>
        <w:rPr>
          <w:color w:val="000000"/>
        </w:rPr>
        <w:t>: el Comité Permanente para la prote</w:t>
      </w:r>
      <w:r>
        <w:rPr>
          <w:color w:val="000000"/>
        </w:rPr>
        <w:t>c</w:t>
      </w:r>
      <w:r>
        <w:rPr>
          <w:color w:val="000000"/>
        </w:rPr>
        <w:t>ción y la asistencia a las víctimas de la trata de personas, creado en virtud del artículo 9 del Decreto Presidencial 233/2003, desempeñará un nuevo papel sustantivo;</w:t>
      </w:r>
    </w:p>
    <w:p w:rsidR="00000000" w:rsidRDefault="00000000">
      <w:pPr>
        <w:pStyle w:val="SingleTxt"/>
        <w:tabs>
          <w:tab w:val="right" w:pos="1685"/>
        </w:tabs>
        <w:ind w:left="1742" w:hanging="475"/>
      </w:pPr>
      <w:r>
        <w:rPr>
          <w:i/>
        </w:rPr>
        <w:tab/>
        <w:t>•</w:t>
      </w:r>
      <w:r>
        <w:rPr>
          <w:i/>
        </w:rPr>
        <w:tab/>
      </w:r>
      <w:r>
        <w:t>Cooperación con las ONG</w:t>
      </w:r>
      <w:r>
        <w:rPr>
          <w:i/>
        </w:rPr>
        <w:t>.</w:t>
      </w:r>
    </w:p>
    <w:p w:rsidR="00000000" w:rsidRDefault="00000000">
      <w:pPr>
        <w:pStyle w:val="SingleTxt"/>
        <w:numPr>
          <w:ilvl w:val="0"/>
          <w:numId w:val="286"/>
        </w:numPr>
      </w:pPr>
      <w:r>
        <w:rPr>
          <w:i/>
        </w:rPr>
        <w:t xml:space="preserve">Ministerio de Justicia </w:t>
      </w:r>
    </w:p>
    <w:p w:rsidR="00000000" w:rsidRDefault="00000000">
      <w:pPr>
        <w:pStyle w:val="SingleTxt"/>
        <w:tabs>
          <w:tab w:val="right" w:pos="1685"/>
        </w:tabs>
        <w:ind w:left="1742" w:hanging="475"/>
      </w:pPr>
      <w:r>
        <w:rPr>
          <w:i/>
        </w:rPr>
        <w:tab/>
        <w:t>•</w:t>
      </w:r>
      <w:r>
        <w:rPr>
          <w:i/>
        </w:rPr>
        <w:tab/>
        <w:t>Modificación del marco legislativo mediante la introducción de cambios en el Decreto Presidencial 233/2003:</w:t>
      </w:r>
      <w:r>
        <w:t xml:space="preserve"> El Ministerio de Justicia procederá a modif</w:t>
      </w:r>
      <w:r>
        <w:t>i</w:t>
      </w:r>
      <w:r>
        <w:t>car las disposiciones del Decreto Presidencial 233/2003 sobre “Protección y asistencia a las víctimas de los delitos tipificados en los artículos 323, 323ª, 349, 351 y 351ª del Código Penal, de conformidad con el artículo 12 de la Ley 3064/2002”. Las modificaciones del Decreto Presidencial tienen por o</w:t>
      </w:r>
      <w:r>
        <w:t>b</w:t>
      </w:r>
      <w:r>
        <w:t>jeto:</w:t>
      </w:r>
    </w:p>
    <w:p w:rsidR="00000000" w:rsidRDefault="00000000">
      <w:pPr>
        <w:pStyle w:val="SingleTxt"/>
        <w:tabs>
          <w:tab w:val="right" w:pos="1685"/>
        </w:tabs>
        <w:ind w:left="1742" w:hanging="475"/>
      </w:pPr>
      <w:r>
        <w:tab/>
        <w:t>–</w:t>
      </w:r>
      <w:r>
        <w:tab/>
        <w:t>El reconocimiento inmediato de la condición de víctima por parte del Fiscal del Tribunal de Primera Instancia competente (acta de reconocimiento) para que la víctima puedan beneficiarse lo antes posible de las disposiciones de prote</w:t>
      </w:r>
      <w:r>
        <w:t>c</w:t>
      </w:r>
      <w:r>
        <w:t>ción, ayuda y asistencia;</w:t>
      </w:r>
    </w:p>
    <w:p w:rsidR="00000000" w:rsidRDefault="00000000">
      <w:pPr>
        <w:pStyle w:val="SingleTxt"/>
        <w:tabs>
          <w:tab w:val="right" w:pos="1685"/>
        </w:tabs>
        <w:ind w:left="1742" w:hanging="475"/>
      </w:pPr>
      <w:r>
        <w:tab/>
        <w:t>–</w:t>
      </w:r>
      <w:r>
        <w:tab/>
        <w:t xml:space="preserve">La participación en la prestación de asistencia a las víctimas de la trata de las ONG que ya realizan actividades de ese tipo (después de una evaluación); </w:t>
      </w:r>
    </w:p>
    <w:p w:rsidR="00000000" w:rsidRDefault="00000000">
      <w:pPr>
        <w:pStyle w:val="SingleTxt"/>
        <w:tabs>
          <w:tab w:val="right" w:pos="1685"/>
        </w:tabs>
        <w:ind w:left="1742" w:hanging="475"/>
      </w:pPr>
      <w:r>
        <w:tab/>
        <w:t>–</w:t>
      </w:r>
      <w:r>
        <w:tab/>
        <w:t>La aplicación de las medidas necesarias, por medio de la ampliación y él fo</w:t>
      </w:r>
      <w:r>
        <w:t>r</w:t>
      </w:r>
      <w:r>
        <w:t>talecimiento de las competencias del Comité Permanente establecido en virtud del art</w:t>
      </w:r>
      <w:r>
        <w:t>í</w:t>
      </w:r>
      <w:r>
        <w:t xml:space="preserve">culo 9 del Decreto Presidencial. </w:t>
      </w:r>
    </w:p>
    <w:p w:rsidR="00000000" w:rsidRDefault="00000000">
      <w:pPr>
        <w:pStyle w:val="SingleTxt"/>
        <w:tabs>
          <w:tab w:val="right" w:pos="1685"/>
        </w:tabs>
        <w:ind w:left="1742" w:hanging="475"/>
      </w:pPr>
      <w:r>
        <w:tab/>
        <w:t>•</w:t>
      </w:r>
      <w:r>
        <w:tab/>
        <w:t>Formación de jueces y fiscales:</w:t>
      </w:r>
    </w:p>
    <w:p w:rsidR="00000000" w:rsidRDefault="00000000">
      <w:pPr>
        <w:pStyle w:val="SingleTxt"/>
        <w:tabs>
          <w:tab w:val="right" w:pos="1685"/>
        </w:tabs>
        <w:ind w:left="1742" w:hanging="475"/>
      </w:pPr>
      <w:r>
        <w:tab/>
        <w:t>–</w:t>
      </w:r>
      <w:r>
        <w:tab/>
        <w:t>La inclusión de las asignaturas pertinentes en el programa de estudios de la Escuela Nacional de Jueces, y</w:t>
      </w:r>
    </w:p>
    <w:p w:rsidR="00000000" w:rsidRDefault="00000000">
      <w:pPr>
        <w:pStyle w:val="SingleTxt"/>
        <w:tabs>
          <w:tab w:val="right" w:pos="1685"/>
        </w:tabs>
        <w:ind w:left="1742" w:hanging="475"/>
      </w:pPr>
      <w:r>
        <w:tab/>
        <w:t>–</w:t>
      </w:r>
      <w:r>
        <w:tab/>
        <w:t>La organización de seminarios de formación avanzada para jueces en funci</w:t>
      </w:r>
      <w:r>
        <w:t>o</w:t>
      </w:r>
      <w:r>
        <w:t>nes, en el contexto de las actividades del Departamento de Formación Avanz</w:t>
      </w:r>
      <w:r>
        <w:t>a</w:t>
      </w:r>
      <w:r>
        <w:t>da de la Escuela Nacional de Jueces de Komotini.</w:t>
      </w:r>
    </w:p>
    <w:p w:rsidR="00000000" w:rsidRDefault="00000000">
      <w:pPr>
        <w:pStyle w:val="SingleTxt"/>
        <w:numPr>
          <w:ilvl w:val="0"/>
          <w:numId w:val="286"/>
        </w:numPr>
      </w:pPr>
      <w:r>
        <w:rPr>
          <w:i/>
        </w:rPr>
        <w:t>Ministerio de Orden Público</w:t>
      </w:r>
      <w:r>
        <w:t xml:space="preserve"> </w:t>
      </w:r>
    </w:p>
    <w:p w:rsidR="00000000" w:rsidRDefault="00000000">
      <w:pPr>
        <w:pStyle w:val="SingleTxt"/>
      </w:pPr>
      <w:r>
        <w:tab/>
        <w:t>El Ministerio de Orden Público está aplicando estrategias y planes de acción específicos a largo plazo con objeto de abordar el problema a nivel de las Divisiones de Policía, delegar funciones concretas en los altos cargos policiales, intensificar la colaboración con las autoridades locales, proseguir los esfuerzos encaminados a i</w:t>
      </w:r>
      <w:r>
        <w:t>n</w:t>
      </w:r>
      <w:r>
        <w:t>crementar la sensibilización del personal, activar y mejorar la red de información, aplicar estrictamente los reglamentos, investigar en profundidad los casos, mejorar la movilización de los Departamentos de la Guardia Fronteriza, etc. Los ámbitos de actuación son los siguientes:</w:t>
      </w:r>
    </w:p>
    <w:p w:rsidR="00000000" w:rsidRDefault="00000000">
      <w:pPr>
        <w:pStyle w:val="SingleTxt"/>
        <w:tabs>
          <w:tab w:val="right" w:pos="1685"/>
        </w:tabs>
        <w:ind w:left="1742" w:hanging="475"/>
      </w:pPr>
      <w:r>
        <w:rPr>
          <w:i/>
        </w:rPr>
        <w:tab/>
        <w:t>•</w:t>
      </w:r>
      <w:r>
        <w:rPr>
          <w:i/>
        </w:rPr>
        <w:tab/>
        <w:t>Equipo contra la trata de personas</w:t>
      </w:r>
      <w:r>
        <w:t>: En 2004 ha sido funcionando el Equipo contra la trata de personas (OKEA), cuyo mandato consiste en actuar de man</w:t>
      </w:r>
      <w:r>
        <w:t>e</w:t>
      </w:r>
      <w:r>
        <w:t>ra enérgica y práctica, exhibiendo y fortaleciendo su colaboración con todas las instituciones interesadas, a fin de localizar y liberar al mayor número pos</w:t>
      </w:r>
      <w:r>
        <w:t>i</w:t>
      </w:r>
      <w:r>
        <w:t>ble de víctimas. En el contexto de las actividades del OKEA, se han formulado propuestas al Ministerio de Justicia para la introducción de enmiendas co</w:t>
      </w:r>
      <w:r>
        <w:t>n</w:t>
      </w:r>
      <w:r>
        <w:t xml:space="preserve">cretas en el Decreto Presidencial 233/2003. </w:t>
      </w:r>
    </w:p>
    <w:p w:rsidR="00000000" w:rsidRDefault="00000000">
      <w:pPr>
        <w:pStyle w:val="SingleTxt"/>
        <w:tabs>
          <w:tab w:val="right" w:pos="1685"/>
        </w:tabs>
        <w:ind w:left="1742" w:hanging="475"/>
      </w:pPr>
      <w:r>
        <w:rPr>
          <w:i/>
        </w:rPr>
        <w:tab/>
        <w:t>•</w:t>
      </w:r>
      <w:r>
        <w:rPr>
          <w:i/>
        </w:rPr>
        <w:tab/>
        <w:t>Operación piloto de servicios especiales contra la trata</w:t>
      </w:r>
      <w:r>
        <w:t>: Con el fin de hacer frente eficazmente a ese fenómeno, se han puesto en marcha servicios piloto de lucha contra la trata, que cuentan con una dotación de personal y un equ</w:t>
      </w:r>
      <w:r>
        <w:t>i</w:t>
      </w:r>
      <w:r>
        <w:t>pamiento adecuados. En los Departamentos de Seguridad de Átika y Tesalón</w:t>
      </w:r>
      <w:r>
        <w:t>i</w:t>
      </w:r>
      <w:r>
        <w:t>ca, y en el marco de las brigadas existentes, los equipos especiales contra la trata están en funcionamiento de</w:t>
      </w:r>
      <w:r>
        <w:t>s</w:t>
      </w:r>
      <w:r>
        <w:t>de el 1º de noviembre de 2003.</w:t>
      </w:r>
    </w:p>
    <w:p w:rsidR="00000000" w:rsidRDefault="00000000">
      <w:pPr>
        <w:pStyle w:val="SingleTxt"/>
        <w:tabs>
          <w:tab w:val="right" w:pos="1685"/>
        </w:tabs>
        <w:ind w:left="1742" w:hanging="475"/>
      </w:pPr>
      <w:r>
        <w:rPr>
          <w:i/>
        </w:rPr>
        <w:tab/>
        <w:t>•</w:t>
      </w:r>
      <w:r>
        <w:rPr>
          <w:i/>
        </w:rPr>
        <w:tab/>
        <w:t xml:space="preserve">Cooperación con embajadas extranjeras – instituciones competentes – ONG: </w:t>
      </w:r>
      <w:r>
        <w:t>A partir de 2004 los Servicios de Policía de Grecia han mejorado la colabor</w:t>
      </w:r>
      <w:r>
        <w:t>a</w:t>
      </w:r>
      <w:r>
        <w:t>ción con las embajadas extranjeras en asuntos relacionados con la asistencia a las víctimas que son ciudadanas de sus países respectivos. Esa colaboración se inicia con la información a las representaciones extranjeras de que hay ciud</w:t>
      </w:r>
      <w:r>
        <w:t>a</w:t>
      </w:r>
      <w:r>
        <w:t>danos de su país que han sido víctimas de la trata. Tras enjuiciar a los culp</w:t>
      </w:r>
      <w:r>
        <w:t>a</w:t>
      </w:r>
      <w:r>
        <w:t>bles y una vez que el Fiscal competente ha reconocido a las víctimas esa co</w:t>
      </w:r>
      <w:r>
        <w:t>n</w:t>
      </w:r>
      <w:r>
        <w:t>dición, los Servicios de Policía comunican a las embajadas si las víctimas d</w:t>
      </w:r>
      <w:r>
        <w:t>e</w:t>
      </w:r>
      <w:r>
        <w:t>sean ser repatriadas y, en tal caso, las embajadas se ocupan de la cuestión. Los Servicios de Policía colaboran también en diversos aspectos relacionados con la asistencia a las víctimas con las ONG (Médicos del Mundo, KESO, E.K.Y.TH.K.K.A.), a Través de la Secretaría General para la Igualdad de G</w:t>
      </w:r>
      <w:r>
        <w:t>é</w:t>
      </w:r>
      <w:r>
        <w:t>nero y en la repatriación, con todas las garantías, de las víctimas, con la OIM.</w:t>
      </w:r>
    </w:p>
    <w:p w:rsidR="00000000" w:rsidRDefault="00000000">
      <w:pPr>
        <w:pStyle w:val="SingleTxt"/>
        <w:tabs>
          <w:tab w:val="right" w:pos="1685"/>
        </w:tabs>
        <w:ind w:left="1742" w:hanging="475"/>
      </w:pPr>
      <w:r>
        <w:rPr>
          <w:i/>
        </w:rPr>
        <w:tab/>
        <w:t>•</w:t>
      </w:r>
      <w:r>
        <w:rPr>
          <w:i/>
        </w:rPr>
        <w:tab/>
        <w:t>Educación y formación del personal:</w:t>
      </w:r>
      <w:r>
        <w:t xml:space="preserve"> En los cursos académicos 2003-2004 y 2004-2005 la Academia de Policía ha incluido en sus programas de estudios, a todos los niveles (Academias de Agentes de Policía y Oficiales de Policía), y en los departamentos de formación superior del personal del Cuerpo, la cue</w:t>
      </w:r>
      <w:r>
        <w:t>s</w:t>
      </w:r>
      <w:r>
        <w:t>tión de la trata de personas (lucha contra el fenómeno, localización de las ví</w:t>
      </w:r>
      <w:r>
        <w:t>c</w:t>
      </w:r>
      <w:r>
        <w:t>timas, asistencia y prote</w:t>
      </w:r>
      <w:r>
        <w:t>c</w:t>
      </w:r>
      <w:r>
        <w:t>ción a las víctimas).</w:t>
      </w:r>
    </w:p>
    <w:p w:rsidR="00000000" w:rsidRDefault="00000000">
      <w:pPr>
        <w:pStyle w:val="SingleTxt"/>
        <w:tabs>
          <w:tab w:val="right" w:pos="1685"/>
        </w:tabs>
        <w:ind w:left="1742" w:hanging="475"/>
      </w:pPr>
      <w:r>
        <w:rPr>
          <w:i/>
        </w:rPr>
        <w:tab/>
        <w:t>•</w:t>
      </w:r>
      <w:r>
        <w:rPr>
          <w:i/>
        </w:rPr>
        <w:tab/>
        <w:t xml:space="preserve">Operación internacional de la policía “Mirage 2004”: </w:t>
      </w:r>
      <w:r>
        <w:t>En mayo de 2004 tuvo lugar la operación de la policía “Mirage 2004”, organizada por el Centro de la SECI (de la que Grecia es miembro), en la que participaron los Estados mie</w:t>
      </w:r>
      <w:r>
        <w:t>m</w:t>
      </w:r>
      <w:r>
        <w:t>bros, las organizaciones internacionales y ONG. La finalidad de la operación era identificar, en el contexto de las investigaciones comunes de la Policía, a las bandas de delincue</w:t>
      </w:r>
      <w:r>
        <w:t>n</w:t>
      </w:r>
      <w:r>
        <w:t>tes que se dedican a la trata de mujeres.</w:t>
      </w:r>
    </w:p>
    <w:p w:rsidR="00000000" w:rsidRDefault="00000000">
      <w:pPr>
        <w:pStyle w:val="SingleTxt"/>
        <w:tabs>
          <w:tab w:val="right" w:pos="1685"/>
        </w:tabs>
        <w:ind w:left="1742" w:hanging="475"/>
      </w:pPr>
      <w:r>
        <w:tab/>
        <w:t>•</w:t>
      </w:r>
      <w:r>
        <w:tab/>
        <w:t>Al mismo tiempo, han proseguido los trabajos relacionados con:</w:t>
      </w:r>
    </w:p>
    <w:p w:rsidR="00000000" w:rsidRDefault="00000000">
      <w:pPr>
        <w:pStyle w:val="SingleTxt"/>
        <w:tabs>
          <w:tab w:val="right" w:pos="1685"/>
        </w:tabs>
        <w:ind w:left="1742" w:hanging="475"/>
      </w:pPr>
      <w:r>
        <w:tab/>
        <w:t>–</w:t>
      </w:r>
      <w:r>
        <w:tab/>
        <w:t>El desarrollo de la cooperación y la celebración de reuniones con los depart</w:t>
      </w:r>
      <w:r>
        <w:t>a</w:t>
      </w:r>
      <w:r>
        <w:t>mentos de policía de los países vecinos (Albania, ex República Yugoslava de Maced</w:t>
      </w:r>
      <w:r>
        <w:t>o</w:t>
      </w:r>
      <w:r>
        <w:t xml:space="preserve">nia y Bulgaria) </w:t>
      </w:r>
    </w:p>
    <w:p w:rsidR="00000000" w:rsidRDefault="00000000">
      <w:pPr>
        <w:pStyle w:val="SingleTxt"/>
        <w:tabs>
          <w:tab w:val="right" w:pos="1685"/>
        </w:tabs>
        <w:ind w:left="1742" w:hanging="475"/>
      </w:pPr>
      <w:r>
        <w:tab/>
        <w:t>–</w:t>
      </w:r>
      <w:r>
        <w:tab/>
        <w:t>El intercambio de información (INTERPOL, EUROPOL, SECI, etc.).</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Actuaciones de las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rPr>
          <w:i/>
        </w:rPr>
        <w:t>Organización Internacional para las Migraciones (OIM)</w:t>
      </w:r>
    </w:p>
    <w:p w:rsidR="00000000" w:rsidRDefault="00000000">
      <w:pPr>
        <w:pStyle w:val="SingleTxt"/>
        <w:tabs>
          <w:tab w:val="right" w:pos="1685"/>
        </w:tabs>
        <w:ind w:left="1742" w:hanging="475"/>
      </w:pPr>
      <w:r>
        <w:tab/>
        <w:t>•</w:t>
      </w:r>
      <w:r>
        <w:tab/>
        <w:t>Lleva a cabo programas de repatriación voluntaria y reinserción social. Con la asistencia financiera de los Ministerios de Salud y Bienestar Social y Relaci</w:t>
      </w:r>
      <w:r>
        <w:t>o</w:t>
      </w:r>
      <w:r>
        <w:t>nes Exteriores, paga los gastos de transporte aéreo de las víctimas hasta su destino final, en colaboración con las Oficinas de la OIM de los países de or</w:t>
      </w:r>
      <w:r>
        <w:t>i</w:t>
      </w:r>
      <w:r>
        <w:t>gen correspondientes. Colabora con organizaciones gubernamentales y no g</w:t>
      </w:r>
      <w:r>
        <w:t>u</w:t>
      </w:r>
      <w:r>
        <w:t>bernamentales a fin de proporcionar alojamiento, asistencia sociopsicológica y jurídica, y atención médica y medicación a las víctimas de la trata de personas.</w:t>
      </w:r>
    </w:p>
    <w:p w:rsidR="00000000" w:rsidRDefault="00000000">
      <w:pPr>
        <w:pStyle w:val="SingleTxt"/>
        <w:tabs>
          <w:tab w:val="right" w:pos="1685"/>
        </w:tabs>
        <w:ind w:left="1742" w:hanging="475"/>
      </w:pPr>
      <w:r>
        <w:tab/>
        <w:t>•</w:t>
      </w:r>
      <w:r>
        <w:tab/>
        <w:t>Celebra seminarios de información y sensibilización sobre el problema dest</w:t>
      </w:r>
      <w:r>
        <w:t>i</w:t>
      </w:r>
      <w:r>
        <w:t>nados al personal ejecutivo de las organizaciones públicas y los servicios de la OTAN. Ha colaborado en la organización del seminario “Europa” con el M</w:t>
      </w:r>
      <w:r>
        <w:t>i</w:t>
      </w:r>
      <w:r>
        <w:t>nisterio de Orden Público. Informa a la opinión pública por medio de festivales y otras actividades, y distribuye folletos informativos a las ONG, los consul</w:t>
      </w:r>
      <w:r>
        <w:t>a</w:t>
      </w:r>
      <w:r>
        <w:t>dos, los hospitales y, en general, en los lugares en los que se pueda encontrar a víctimas de la trata. Imparte formación al personal directivo de las instituci</w:t>
      </w:r>
      <w:r>
        <w:t>o</w:t>
      </w:r>
      <w:r>
        <w:t>nes que se encargan de la promoción del empleo en cuestiones relacionadas a la discriminación racial.</w:t>
      </w:r>
    </w:p>
    <w:p w:rsidR="00000000" w:rsidRDefault="00000000">
      <w:pPr>
        <w:pStyle w:val="SingleTxt"/>
        <w:tabs>
          <w:tab w:val="right" w:pos="1685"/>
        </w:tabs>
        <w:ind w:left="1742" w:hanging="475"/>
      </w:pPr>
      <w:r>
        <w:tab/>
        <w:t>•</w:t>
      </w:r>
      <w:r>
        <w:tab/>
        <w:t>En colaboración con la Oficina del Alto Comisionado de las Naciones Unidas para los Refugiados, organizó en 2004, un grupo integrado por las instituci</w:t>
      </w:r>
      <w:r>
        <w:t>o</w:t>
      </w:r>
      <w:r>
        <w:t>nes más importantes que se ocupan de la cuestión a fin de aclarar la relación existente entre “la trata de personas y la concesión de asilo” y de crear un gr</w:t>
      </w:r>
      <w:r>
        <w:t>u</w:t>
      </w:r>
      <w:r>
        <w:t>po de trabajo.</w:t>
      </w:r>
    </w:p>
    <w:p w:rsidR="00000000" w:rsidRDefault="00000000">
      <w:pPr>
        <w:pStyle w:val="SingleTxt"/>
        <w:tabs>
          <w:tab w:val="right" w:pos="1685"/>
        </w:tabs>
        <w:ind w:left="1742" w:hanging="475"/>
      </w:pPr>
      <w:r>
        <w:tab/>
        <w:t>•</w:t>
      </w:r>
      <w:r>
        <w:tab/>
        <w:t>Colabora con las embajadas y consulados de los países de origen de las muj</w:t>
      </w:r>
      <w:r>
        <w:t>e</w:t>
      </w:r>
      <w:r>
        <w:t>res y con el cuartel General de la Policía de Grecia con miras a localizar y re</w:t>
      </w:r>
      <w:r>
        <w:t>s</w:t>
      </w:r>
      <w:r>
        <w:t>catar a las víctimas. Participa en el OKEA del Ministerio de Orden Público y en el Equipo de Tareas del Ministerio de Relaciones Exteriores, así como en los comités intermini</w:t>
      </w:r>
      <w:r>
        <w:t>s</w:t>
      </w:r>
      <w:r>
        <w:t>teriales del Ministerio de Salud y Bienestar Social.</w:t>
      </w:r>
    </w:p>
    <w:p w:rsidR="00000000" w:rsidRDefault="00000000">
      <w:pPr>
        <w:pStyle w:val="SingleTxt"/>
        <w:numPr>
          <w:ilvl w:val="0"/>
          <w:numId w:val="286"/>
        </w:numPr>
      </w:pPr>
      <w:r>
        <w:rPr>
          <w:i/>
        </w:rPr>
        <w:t>Programa contra la trata internacional de personas (STOPNOW-KEDE)</w:t>
      </w:r>
    </w:p>
    <w:p w:rsidR="00000000" w:rsidRDefault="00000000">
      <w:pPr>
        <w:pStyle w:val="SingleTxt"/>
        <w:tabs>
          <w:tab w:val="right" w:pos="1685"/>
        </w:tabs>
        <w:ind w:left="1742" w:hanging="475"/>
      </w:pPr>
      <w:r>
        <w:tab/>
        <w:t>•</w:t>
      </w:r>
      <w:r>
        <w:tab/>
        <w:t>La aplicación del Programa corre a cargo del Centro de Investigación y Act</w:t>
      </w:r>
      <w:r>
        <w:t>i</w:t>
      </w:r>
      <w:r>
        <w:t>vidades sobre la Paz (KEDE) y está financiada por el Servicio de Cooperación Internacional para el Desarrollo del ministerio de Relaciones Exteriores (YDAS).</w:t>
      </w:r>
    </w:p>
    <w:p w:rsidR="00000000" w:rsidRDefault="00000000">
      <w:pPr>
        <w:pStyle w:val="SingleTxt"/>
        <w:tabs>
          <w:tab w:val="right" w:pos="1685"/>
        </w:tabs>
        <w:ind w:left="1742" w:hanging="475"/>
      </w:pPr>
      <w:r>
        <w:tab/>
        <w:t>•</w:t>
      </w:r>
      <w:r>
        <w:tab/>
        <w:t xml:space="preserve">El objetivo del programa (que empezó a aplicarse en 2001), es luchar contra el </w:t>
      </w:r>
      <w:r>
        <w:rPr>
          <w:w w:val="101"/>
        </w:rPr>
        <w:t>fenómeno de la trata internacional de mujeres y niños tanto en Grecia como en los países de origen de las víctimas (Albania, Ucrania). Las actividades del Pr</w:t>
      </w:r>
      <w:r>
        <w:rPr>
          <w:w w:val="101"/>
        </w:rPr>
        <w:t>o</w:t>
      </w:r>
      <w:r>
        <w:rPr>
          <w:w w:val="101"/>
        </w:rPr>
        <w:t>grama se centran en la realización de campañas de información y sensibilización (anuncios publicitarios, etc.), sobre la creación de redes y la coordinación de las organizaciones no gubernamentales y las instituciones públicas competentes de Grecia</w:t>
      </w:r>
      <w:r>
        <w:t xml:space="preserve"> y los Balcanes, además de las organizaciones internacionales, y la real</w:t>
      </w:r>
      <w:r>
        <w:t>i</w:t>
      </w:r>
      <w:r>
        <w:t>zación de investigaciones y estudios cualitativos y cuantitativos, y de camp</w:t>
      </w:r>
      <w:r>
        <w:t>a</w:t>
      </w:r>
      <w:r>
        <w:t>ñas en favor de la aplicación del marco legislativo. El “Grupo Galatsi”, int</w:t>
      </w:r>
      <w:r>
        <w:t>e</w:t>
      </w:r>
      <w:r>
        <w:t xml:space="preserve">grado por organizaciones no gubernamentales que desarrollan actividades en la esfera de la lucha contra la trata de personas, también ejerce presión con tal fin. El Programa hace especial hincapié en la asistencia y la protección a las víctimas, y en su repatriación voluntaria. También participa en el Programa TOXO. El sitio en la Web correspondiente es </w:t>
      </w:r>
      <w:r>
        <w:rPr>
          <w:i/>
        </w:rPr>
        <w:t>www.stop-trafficking.org.</w:t>
      </w:r>
    </w:p>
    <w:p w:rsidR="00000000" w:rsidRDefault="00000000">
      <w:pPr>
        <w:pStyle w:val="SingleTxt"/>
        <w:numPr>
          <w:ilvl w:val="0"/>
          <w:numId w:val="286"/>
        </w:numPr>
      </w:pPr>
      <w:r>
        <w:rPr>
          <w:i/>
        </w:rPr>
        <w:t>El Programa TOXO</w:t>
      </w:r>
    </w:p>
    <w:p w:rsidR="00000000" w:rsidRDefault="00000000">
      <w:pPr>
        <w:pStyle w:val="SingleTxt"/>
        <w:tabs>
          <w:tab w:val="right" w:pos="1685"/>
        </w:tabs>
        <w:ind w:left="1742" w:hanging="475"/>
      </w:pPr>
      <w:r>
        <w:tab/>
        <w:t>•</w:t>
      </w:r>
      <w:r>
        <w:tab/>
        <w:t xml:space="preserve">TOXO es un grupo de cinco organizaciones no gubernamentales (K.A.TH.V., E.K.K.Y.TH.K.A., KEDE, Arsis y la organización albanesa UAW) que tiene por objeto crear centros de acogida para atender y proteger a las víctimas de la trata internacional en Tesalónica, Atenas, Ioánina y Albania. El primer centro de acogida, financiado por YDAS, ya está en funcionamiento en Ioánina. </w:t>
      </w:r>
    </w:p>
    <w:p w:rsidR="00000000" w:rsidRDefault="00000000">
      <w:pPr>
        <w:pStyle w:val="SingleTxt"/>
        <w:numPr>
          <w:ilvl w:val="0"/>
          <w:numId w:val="286"/>
        </w:numPr>
      </w:pPr>
      <w:r>
        <w:rPr>
          <w:i/>
        </w:rPr>
        <w:t>Centro de Rehabilitación para las Víctimas de la Tortura y Otras Formas de Malos Tratos (K.A.TH.V.)</w:t>
      </w:r>
    </w:p>
    <w:p w:rsidR="00000000" w:rsidRDefault="00000000">
      <w:pPr>
        <w:pStyle w:val="SingleTxt"/>
        <w:tabs>
          <w:tab w:val="right" w:pos="1685"/>
        </w:tabs>
        <w:ind w:left="1742" w:hanging="475"/>
      </w:pPr>
      <w:r>
        <w:tab/>
        <w:t>•</w:t>
      </w:r>
      <w:r>
        <w:tab/>
        <w:t>Desde 2001, el K.A.TH.V. presta sus servicios con carácter voluntario, a las mujeres víctimas de la trata en la región septentrional de Grecia. Los servicios que ofrece son los siguientes: 1) asistencia letrada, 2) rehabilitación psicológ</w:t>
      </w:r>
      <w:r>
        <w:t>i</w:t>
      </w:r>
      <w:r>
        <w:t>ca y social, 3) atención médica, 4) alojamiento en estructuras de acogida, 5) colaboración en la repatriación, con todas las garantías, de la víctima, y 6) puesta en contacto de las víctimas con organizaciones de sus países de origen que se ocuparán de facilitar su reincorporación a la sociedad después de su r</w:t>
      </w:r>
      <w:r>
        <w:t>e</w:t>
      </w:r>
      <w:r>
        <w:t>patriación. El Centro participa en el Programa TOXO. En Tesalónica, el Pr</w:t>
      </w:r>
      <w:r>
        <w:t>o</w:t>
      </w:r>
      <w:r>
        <w:t>grama financia un centro de recepción y alojamiento a corto plazo para las víctimas, proyecto que está siendo ejecutado por el K.A.TH.V. la organización es miembro del “Grupo Galatsi”.</w:t>
      </w:r>
    </w:p>
    <w:p w:rsidR="00000000" w:rsidRDefault="00000000">
      <w:pPr>
        <w:pStyle w:val="SingleTxt"/>
        <w:numPr>
          <w:ilvl w:val="0"/>
          <w:numId w:val="286"/>
        </w:numPr>
      </w:pPr>
      <w:r>
        <w:rPr>
          <w:i/>
        </w:rPr>
        <w:t>Centro de Investigación y Asistencia a las Víctimas de Malos Tratos y Marg</w:t>
      </w:r>
      <w:r>
        <w:rPr>
          <w:i/>
        </w:rPr>
        <w:t>i</w:t>
      </w:r>
      <w:r>
        <w:rPr>
          <w:i/>
        </w:rPr>
        <w:t>nación Social (E.K.Y.TH.K.K.A.)</w:t>
      </w:r>
    </w:p>
    <w:p w:rsidR="00000000" w:rsidRDefault="00000000">
      <w:pPr>
        <w:pStyle w:val="SingleTxt"/>
        <w:tabs>
          <w:tab w:val="right" w:pos="1685"/>
        </w:tabs>
        <w:ind w:left="1742" w:hanging="475"/>
      </w:pPr>
      <w:r>
        <w:tab/>
        <w:t>•</w:t>
      </w:r>
      <w:r>
        <w:tab/>
        <w:t>Se trata de una organización no gubernamental que se dedica a la protección de los derechos humanos y la asistencia a las víctimas de los abusos y la ma</w:t>
      </w:r>
      <w:r>
        <w:t>r</w:t>
      </w:r>
      <w:r>
        <w:t>ginación social y cuya sede central se encuentra en Ioánina. El E.K.Y.TH.K.K.A. dispone de una línea telefónica de asistencia de emergencia y, durante el periodo 2000-2001, participó en la aplicación de tres Programas STOP. El Centro ofrece asistencia sociopsicológica a las mujeres víctimas de la trata y participa en el “Gr</w:t>
      </w:r>
      <w:r>
        <w:t>u</w:t>
      </w:r>
      <w:r>
        <w:t>po Galatsi”.</w:t>
      </w:r>
    </w:p>
    <w:p w:rsidR="00000000" w:rsidRDefault="00000000">
      <w:pPr>
        <w:pStyle w:val="SingleTxt"/>
        <w:tabs>
          <w:tab w:val="right" w:pos="1685"/>
        </w:tabs>
        <w:ind w:left="1742" w:hanging="475"/>
      </w:pPr>
      <w:r>
        <w:tab/>
        <w:t>•</w:t>
      </w:r>
      <w:r>
        <w:tab/>
        <w:t>En 2000 el Centro organizó una reunión de grupo de expertos sobre “La trata de mujeres para su explotación sexual”, y en su revista “En la calle...” se p</w:t>
      </w:r>
      <w:r>
        <w:t>u</w:t>
      </w:r>
      <w:r>
        <w:t xml:space="preserve">blicaron algunos artículos sobre este mismo tema. En el mismo año, el Centro organizó visitas a las dependencias del Departamento de Policía de Ioánina en </w:t>
      </w:r>
      <w:r>
        <w:rPr>
          <w:spacing w:val="2"/>
        </w:rPr>
        <w:t>las que estaban detenidas las mujeres víctimas de la trata con el fin de prestar</w:t>
      </w:r>
      <w:r>
        <w:t>les asistencia psicológica y de proporcionarles ropa, asistencia letrada y atención médica.</w:t>
      </w:r>
    </w:p>
    <w:p w:rsidR="00000000" w:rsidRDefault="00000000">
      <w:pPr>
        <w:pStyle w:val="SingleTxt"/>
        <w:tabs>
          <w:tab w:val="right" w:pos="1685"/>
        </w:tabs>
        <w:ind w:left="1742" w:hanging="475"/>
      </w:pPr>
      <w:r>
        <w:tab/>
        <w:t>•</w:t>
      </w:r>
      <w:r>
        <w:tab/>
        <w:t>En 2002 el Centro celebró una conferencia para mujeres miembros de la Gua</w:t>
      </w:r>
      <w:r>
        <w:t>r</w:t>
      </w:r>
      <w:r>
        <w:t>dia Fronteriza en la región de Ipiros con miras a mejorar su formación y sens</w:t>
      </w:r>
      <w:r>
        <w:t>i</w:t>
      </w:r>
      <w:r>
        <w:t>bilización. Con la autorización del Departamento de Policía de Ioánina, el Centro publicó, en griego y albanés, un folleto informativo para las mujeres víctimas de la trata.</w:t>
      </w:r>
    </w:p>
    <w:p w:rsidR="00000000" w:rsidRDefault="00000000">
      <w:pPr>
        <w:pStyle w:val="SingleTxt"/>
        <w:tabs>
          <w:tab w:val="right" w:pos="1685"/>
        </w:tabs>
        <w:ind w:left="1742" w:hanging="475"/>
      </w:pPr>
      <w:r>
        <w:tab/>
        <w:t>•</w:t>
      </w:r>
      <w:r>
        <w:tab/>
        <w:t>Desde 2003, el Centro participa en el Programa TOXO y gestiona un albergue para víctimas de la trata de personas en Ioánina. Al mismo tiempo, está ejec</w:t>
      </w:r>
      <w:r>
        <w:t>u</w:t>
      </w:r>
      <w:r>
        <w:t>tando dos programas, financiados por el Ministerio de Relaciones Exteriores, uno de los cuales, titulado “Asistencia a los ciudadanos activos de Georgia”, está relacionado con la promoción de los derechos humanos y el fortalec</w:t>
      </w:r>
      <w:r>
        <w:t>i</w:t>
      </w:r>
      <w:r>
        <w:t>miento del papel social de las mujeres y los jóvenes, y el otro, titulado “La l</w:t>
      </w:r>
      <w:r>
        <w:t>u</w:t>
      </w:r>
      <w:r>
        <w:t>cha contra la trata de mujeres para su explotación sexual”, se está aplicando en Skodra (Albania) y en Ioánina.</w:t>
      </w:r>
    </w:p>
    <w:p w:rsidR="00000000" w:rsidRDefault="00000000">
      <w:pPr>
        <w:pStyle w:val="SingleTxt"/>
        <w:numPr>
          <w:ilvl w:val="0"/>
          <w:numId w:val="286"/>
        </w:numPr>
      </w:pPr>
      <w:r>
        <w:rPr>
          <w:i/>
        </w:rPr>
        <w:t>ARSIS</w:t>
      </w:r>
    </w:p>
    <w:p w:rsidR="00000000" w:rsidRDefault="00000000">
      <w:pPr>
        <w:pStyle w:val="SingleTxt"/>
        <w:tabs>
          <w:tab w:val="right" w:pos="1685"/>
        </w:tabs>
        <w:ind w:left="1742" w:hanging="475"/>
      </w:pPr>
      <w:r>
        <w:tab/>
        <w:t>•</w:t>
      </w:r>
      <w:r>
        <w:tab/>
        <w:t>ARSIS lleva a cabo actividades contra la trata de niños y participa en el Pr</w:t>
      </w:r>
      <w:r>
        <w:t>o</w:t>
      </w:r>
      <w:r>
        <w:t>grama TOXO y en el “Grupo Galatsi”. Asimismo, participa en el Programa TACT —Actividades Transnacionales contra la Trata de Niños (2003-2006) que promueve la cooperación transnacional, bilateral (Albania-Grecia) contra la trata de niños de origen albanés. ARSIS se encargan de la aplicación del Programa STOP II (2002-2004), que tiene por objeto establecer una red de ámbito local (Tesalónica), nacional (Grecia) e internacional, impartir form</w:t>
      </w:r>
      <w:r>
        <w:t>a</w:t>
      </w:r>
      <w:r>
        <w:t>ción al personal de la administración griega y las organizaciones no gubern</w:t>
      </w:r>
      <w:r>
        <w:t>a</w:t>
      </w:r>
      <w:r>
        <w:t>mentales en relación con la prevención y la eliminación del fenómeno (organ</w:t>
      </w:r>
      <w:r>
        <w:t>i</w:t>
      </w:r>
      <w:r>
        <w:t>zación de seminarios en Alemania e Italia), llevada a cabo trabajos de invest</w:t>
      </w:r>
      <w:r>
        <w:t>i</w:t>
      </w:r>
      <w:r>
        <w:t>gación sobre el problema y los métodos aplicados para luchar contra él, y fac</w:t>
      </w:r>
      <w:r>
        <w:t>i</w:t>
      </w:r>
      <w:r>
        <w:t>litar el intercambio de experiencias entre la organizaciones griegas, belgas, italianas y albanesas. Es uno de los encargados de ejecutar el Programa Natali —Actividades contra la Trata de Niños de Origen Albanés (2003-2004), en cuyo marco se desarrollan actividades en Albania a fin de prestar asistencia a los programas de prevención y reinserción que se llevará a cabo a nivel local. ARSIS figura también entre los encargados de ejecutar el Programa ERACT— Respuesta de Emergencia contra la Trata de Niños (2004) que pretende poner en marcha un mecanismo que permita hacer frente a una posible escalada del fenómeno de la trata de niños durante los preparativos y la celebración en los Juegos Olímpicos en Grecia. El mecanismo en cuestión constituye un proyecto de infraestructuras, que, en el futuro, se convertirá en el Observatorio para la Investigación, la Prevención y la Eliminación de la Trata de Niños en Grecia.</w:t>
      </w:r>
    </w:p>
    <w:p w:rsidR="00000000" w:rsidRDefault="00000000">
      <w:pPr>
        <w:pStyle w:val="SingleTxt"/>
        <w:keepNext/>
        <w:keepLines/>
        <w:numPr>
          <w:ilvl w:val="0"/>
          <w:numId w:val="286"/>
        </w:numPr>
      </w:pPr>
      <w:r>
        <w:rPr>
          <w:i/>
        </w:rPr>
        <w:t>Médicos del Mundo</w:t>
      </w:r>
    </w:p>
    <w:p w:rsidR="00000000" w:rsidRDefault="00000000">
      <w:pPr>
        <w:pStyle w:val="SingleTxt"/>
        <w:keepNext/>
        <w:keepLines/>
        <w:tabs>
          <w:tab w:val="right" w:pos="1685"/>
        </w:tabs>
        <w:ind w:left="1742" w:hanging="475"/>
      </w:pPr>
      <w:r>
        <w:tab/>
        <w:t>•</w:t>
      </w:r>
      <w:r>
        <w:tab/>
        <w:t>Desde octubre de 2003 la organización aplica programas contra la trata de pe</w:t>
      </w:r>
      <w:r>
        <w:t>r</w:t>
      </w:r>
      <w:r>
        <w:t>sonas destinados a proteger a las víctimas y a prestarles asistencia psicológica. La organ</w:t>
      </w:r>
      <w:r>
        <w:t>i</w:t>
      </w:r>
      <w:r>
        <w:t xml:space="preserve">zación es miembro del “Grupo Galatsi”. </w:t>
      </w:r>
    </w:p>
    <w:p w:rsidR="00000000" w:rsidRDefault="00000000">
      <w:pPr>
        <w:pStyle w:val="SingleTxt"/>
        <w:tabs>
          <w:tab w:val="right" w:pos="1685"/>
        </w:tabs>
        <w:ind w:left="1742" w:hanging="475"/>
      </w:pPr>
      <w:r>
        <w:tab/>
        <w:t>•</w:t>
      </w:r>
      <w:r>
        <w:tab/>
        <w:t>Médicos del Mundo gestiona un albergue para las mujeres que han sido intr</w:t>
      </w:r>
      <w:r>
        <w:t>o</w:t>
      </w:r>
      <w:r>
        <w:t>ducidas en Grecia con el fin de explotarlas de los circuitos de la prostitución. En el marco del programa se presta asistencia psicológica y se ofrece atención médica y medicamentos a las mujeres acogidas, a las que también se imparten clases de griego. Si las mujeres están interesadas, también pueden asistir a cl</w:t>
      </w:r>
      <w:r>
        <w:t>a</w:t>
      </w:r>
      <w:r>
        <w:t>ses de inglés, de música y de artes marciales. Las clases son impartidas por profesores voluntarios en las instalaciones del propio albergue. Durante su e</w:t>
      </w:r>
      <w:r>
        <w:t>s</w:t>
      </w:r>
      <w:r>
        <w:t>tancia, las mujeres pueden decidir si desean ser repatriadas de inmediato o si prefieren prolongar su estancia en Grecia para trabajar. En ambos casos, el Programa se encarga de todo lo necesario para su repatriación, proporcioná</w:t>
      </w:r>
      <w:r>
        <w:t>n</w:t>
      </w:r>
      <w:r>
        <w:t>doles billetes, poniéndose en contacto con su embajada con sus familiares, o, si desean permanecer en Grecia, ayudándolas a obtener la documentación n</w:t>
      </w:r>
      <w:r>
        <w:t>e</w:t>
      </w:r>
      <w:r>
        <w:t xml:space="preserve">cesaria, encontrando los grupos de trabajo y supervisando su integración en el entorno laboral. </w:t>
      </w:r>
    </w:p>
    <w:p w:rsidR="00000000" w:rsidRDefault="00000000">
      <w:pPr>
        <w:pStyle w:val="SingleTxt"/>
        <w:numPr>
          <w:ilvl w:val="0"/>
          <w:numId w:val="286"/>
        </w:numPr>
      </w:pPr>
      <w:r>
        <w:rPr>
          <w:i/>
        </w:rPr>
        <w:t>Centro de Asistencia a la Familia (KESO)</w:t>
      </w:r>
    </w:p>
    <w:p w:rsidR="00000000" w:rsidRDefault="00000000">
      <w:pPr>
        <w:pStyle w:val="SingleTxt"/>
        <w:tabs>
          <w:tab w:val="right" w:pos="1685"/>
        </w:tabs>
        <w:ind w:left="1742" w:hanging="475"/>
      </w:pPr>
      <w:r>
        <w:tab/>
        <w:t>•</w:t>
      </w:r>
      <w:r>
        <w:tab/>
        <w:t>Desde el 2001 el Centro de Asistencia a la Familia, acoge, en su Stegi Miteras (albergue para madres) a las mujeres víctimas de la trata. A esas mujeres, no sólo se les facilitara alojamiento, sino también atención médica y medicación, asistencia letrada y asistencia sociopsicológica. Si desean ser repatriadas, Allilegii (Solidaridad), la organizaciones no gubernamentales y la Iglesia de Grecia suelen cobrar con los costos, y la repatriación se lleva cabo en colab</w:t>
      </w:r>
      <w:r>
        <w:t>o</w:t>
      </w:r>
      <w:r>
        <w:t>ración con sus embajadas que expiden los documentos pertinentes (porque, normalmente, no disponen de pasaporte). La Organización Internacional para las Migraciones (OIM) se encarga de todos los procedimientos y las acompaña al aeropuerto; a su llegada a su país de origen son recibidas por la Oficina de la OIM en el país.</w:t>
      </w:r>
    </w:p>
    <w:p w:rsidR="00000000" w:rsidRDefault="00000000">
      <w:pPr>
        <w:pStyle w:val="SingleTxt"/>
        <w:tabs>
          <w:tab w:val="right" w:pos="1685"/>
        </w:tabs>
        <w:ind w:left="1742" w:hanging="475"/>
        <w:rPr>
          <w:color w:val="000000"/>
        </w:rPr>
      </w:pPr>
      <w:r>
        <w:rPr>
          <w:color w:val="000000"/>
        </w:rPr>
        <w:tab/>
        <w:t>•</w:t>
      </w:r>
      <w:r>
        <w:rPr>
          <w:color w:val="000000"/>
        </w:rPr>
        <w:tab/>
        <w:t>En 2002, en la conferencia del KESO sobre la “Familia en el tercer milenio”, se abordó el tema de “La explotación sexual y la trata de mujeres”, y las co</w:t>
      </w:r>
      <w:r>
        <w:rPr>
          <w:color w:val="000000"/>
        </w:rPr>
        <w:t>n</w:t>
      </w:r>
      <w:r>
        <w:rPr>
          <w:color w:val="000000"/>
        </w:rPr>
        <w:t>clusiones se presentaron al Gobierno y a todos los medios de comunicación.</w:t>
      </w:r>
    </w:p>
    <w:p w:rsidR="00000000" w:rsidRDefault="00000000">
      <w:pPr>
        <w:pStyle w:val="SingleTxt"/>
        <w:tabs>
          <w:tab w:val="right" w:pos="1685"/>
        </w:tabs>
        <w:ind w:left="1742" w:hanging="475"/>
        <w:rPr>
          <w:color w:val="000000"/>
        </w:rPr>
      </w:pPr>
      <w:r>
        <w:rPr>
          <w:color w:val="000000"/>
        </w:rPr>
        <w:tab/>
        <w:t>•</w:t>
      </w:r>
      <w:r>
        <w:rPr>
          <w:color w:val="000000"/>
        </w:rPr>
        <w:tab/>
        <w:t>En 2003, el Centro organizó el día de “La trata de mujeres y niños y la partic</w:t>
      </w:r>
      <w:r>
        <w:rPr>
          <w:color w:val="000000"/>
        </w:rPr>
        <w:t>i</w:t>
      </w:r>
      <w:r>
        <w:rPr>
          <w:color w:val="000000"/>
        </w:rPr>
        <w:t>pación de la sociedad civil en la asistencia a las víctimas”. Desde entonces, la Iglesia, y en particular, el Arzobispo se pusieron al frente de la campaña dest</w:t>
      </w:r>
      <w:r>
        <w:rPr>
          <w:color w:val="000000"/>
        </w:rPr>
        <w:t>i</w:t>
      </w:r>
      <w:r>
        <w:rPr>
          <w:color w:val="000000"/>
        </w:rPr>
        <w:t>nada a informar a la opinión pública y, en particular, a los clientes de que “al mantener relaciones sexuales con mujeres víctimas de la trata de personas e</w:t>
      </w:r>
      <w:r>
        <w:rPr>
          <w:color w:val="000000"/>
        </w:rPr>
        <w:t>s</w:t>
      </w:r>
      <w:r>
        <w:rPr>
          <w:color w:val="000000"/>
        </w:rPr>
        <w:t>tán cometiendo un delito”.</w:t>
      </w:r>
    </w:p>
    <w:p w:rsidR="00000000" w:rsidRDefault="00000000">
      <w:pPr>
        <w:pStyle w:val="SingleTxt"/>
        <w:tabs>
          <w:tab w:val="right" w:pos="1685"/>
        </w:tabs>
        <w:ind w:left="1742" w:hanging="475"/>
        <w:rPr>
          <w:color w:val="000000"/>
        </w:rPr>
      </w:pPr>
      <w:r>
        <w:rPr>
          <w:color w:val="000000"/>
        </w:rPr>
        <w:tab/>
        <w:t>•</w:t>
      </w:r>
      <w:r>
        <w:rPr>
          <w:color w:val="000000"/>
        </w:rPr>
        <w:tab/>
        <w:t>En febrero de 2004, en una conferencia de prensa sobre “La prostitución y las Olimpiadas de 2004”, se destacó la relación existente entre la prostitución y la trata y se abordó la cuestión de la comercialización de los Juegos Olímpicos, con la explotación de los servicios sexuales de mujeres víctimas de la prostit</w:t>
      </w:r>
      <w:r>
        <w:rPr>
          <w:color w:val="000000"/>
        </w:rPr>
        <w:t>u</w:t>
      </w:r>
      <w:r>
        <w:rPr>
          <w:color w:val="000000"/>
        </w:rPr>
        <w:t>ción y la trata.</w:t>
      </w:r>
    </w:p>
    <w:p w:rsidR="00000000" w:rsidRDefault="00000000">
      <w:pPr>
        <w:pStyle w:val="SingleTxt"/>
        <w:tabs>
          <w:tab w:val="right" w:pos="1685"/>
        </w:tabs>
        <w:ind w:left="1742" w:hanging="475"/>
      </w:pPr>
      <w:r>
        <w:tab/>
        <w:t>•</w:t>
      </w:r>
      <w:r>
        <w:tab/>
        <w:t>En la conferencia que celebró el KESO, que estuvo dedicada al maltrato i</w:t>
      </w:r>
      <w:r>
        <w:t>n</w:t>
      </w:r>
      <w:r>
        <w:t>fantil, a la violencia contra la mujer y a la baja tasa de fecundidad, uno de los coloquios se dedicó a la trata. Las actas de la conferencia se han publicado y se encuentran en proceso de distrib</w:t>
      </w:r>
      <w:r>
        <w:t>u</w:t>
      </w:r>
      <w:r>
        <w:t>ción.</w:t>
      </w:r>
    </w:p>
    <w:p w:rsidR="00000000" w:rsidRDefault="00000000">
      <w:pPr>
        <w:pStyle w:val="SingleTxt"/>
        <w:tabs>
          <w:tab w:val="right" w:pos="1685"/>
        </w:tabs>
        <w:ind w:left="1742" w:hanging="475"/>
        <w:rPr>
          <w:color w:val="000000"/>
        </w:rPr>
      </w:pPr>
      <w:r>
        <w:rPr>
          <w:color w:val="000000"/>
        </w:rPr>
        <w:tab/>
        <w:t>•</w:t>
      </w:r>
      <w:r>
        <w:rPr>
          <w:color w:val="000000"/>
        </w:rPr>
        <w:tab/>
        <w:t>La organización es miembro del “Grupo Galatsi”.</w:t>
      </w:r>
    </w:p>
    <w:p w:rsidR="00000000" w:rsidRDefault="00000000">
      <w:pPr>
        <w:pStyle w:val="SingleTxt"/>
        <w:numPr>
          <w:ilvl w:val="0"/>
          <w:numId w:val="286"/>
        </w:numPr>
      </w:pPr>
      <w:r>
        <w:rPr>
          <w:i/>
        </w:rPr>
        <w:t>Red Europea de Mujeres</w:t>
      </w:r>
    </w:p>
    <w:p w:rsidR="00000000" w:rsidRDefault="00000000">
      <w:pPr>
        <w:pStyle w:val="SingleTxt"/>
        <w:tabs>
          <w:tab w:val="right" w:pos="1685"/>
        </w:tabs>
        <w:ind w:left="1742" w:hanging="475"/>
      </w:pPr>
      <w:r>
        <w:tab/>
        <w:t>•</w:t>
      </w:r>
      <w:r>
        <w:tab/>
        <w:t>La Red Europea de Mujeres ha aplicado el Programa europeo DAFNE titulado “Salir adelante” relativo a la violencia contra las mujeres en las minorías y comunidades de inmigrantes. La organización participa en la red de servicios conjuntos del programa TOXO, destinada a prestar servicios inmediatos a las víctimas de la trata y a informar y prevenir por medio de las líneas de asiste</w:t>
      </w:r>
      <w:r>
        <w:t>n</w:t>
      </w:r>
      <w:r>
        <w:t>cia telefónica de emergencia existentes en Grecia y Albania. Entre las activ</w:t>
      </w:r>
      <w:r>
        <w:t>i</w:t>
      </w:r>
      <w:r>
        <w:t>dades que desarrolla la figura en la línea de asistencia telefónica de emerge</w:t>
      </w:r>
      <w:r>
        <w:t>n</w:t>
      </w:r>
      <w:r>
        <w:t>cia contra la trata de personas y el apoyo a las víctimas a las que se facilita alojamiento, asistencia letrada y asistencia sociopsicológica. La organización, que recibe asistencia financiera limitada del Ministerio de Relaciones Exteri</w:t>
      </w:r>
      <w:r>
        <w:t>o</w:t>
      </w:r>
      <w:r>
        <w:t>res, también desarrolla actividades relacionadas con la educación y la form</w:t>
      </w:r>
      <w:r>
        <w:t>a</w:t>
      </w:r>
      <w:r>
        <w:rPr>
          <w:spacing w:val="6"/>
        </w:rPr>
        <w:t>ción de los agentes de policía y los voluntarios, y es miembro del “Grupo Ga</w:t>
      </w:r>
      <w:r>
        <w:t>latsi”.</w:t>
      </w:r>
    </w:p>
    <w:p w:rsidR="00000000" w:rsidRDefault="00000000">
      <w:pPr>
        <w:pStyle w:val="SingleTxt"/>
        <w:numPr>
          <w:ilvl w:val="0"/>
          <w:numId w:val="286"/>
        </w:numPr>
      </w:pPr>
      <w:r>
        <w:rPr>
          <w:i/>
        </w:rPr>
        <w:t>KLIMAKA</w:t>
      </w:r>
    </w:p>
    <w:p w:rsidR="00000000" w:rsidRDefault="00000000">
      <w:pPr>
        <w:pStyle w:val="SingleTxt"/>
        <w:tabs>
          <w:tab w:val="right" w:pos="1685"/>
        </w:tabs>
        <w:ind w:left="1742" w:hanging="475"/>
      </w:pPr>
      <w:r>
        <w:tab/>
        <w:t>•</w:t>
      </w:r>
      <w:r>
        <w:tab/>
        <w:t>La organización participa activamente junto con otras organizaciones en el “Grupo Galatsi” con el fin de coordinar las actuaciones enmarcadas en la lucha contra el fenómeno de la trata de personas. También colabora con la ONG de Ucrania “La Strada” con miras a intercambiar información y experiencias en relación con la trata. En colaboración con el YDAS del Ministerio de Relaci</w:t>
      </w:r>
      <w:r>
        <w:t>o</w:t>
      </w:r>
      <w:r>
        <w:t>nes Exteriores, la organización ha puesto en marcha un albergue para atender a las mujeres víctimas de la trata, en el que también se ofrece en servicios de asesoramiento jurídico y rehabilitación sociopsicológica. En ello participa también un amplio grupo de especialistas que se ocupan de cada caso indiv</w:t>
      </w:r>
      <w:r>
        <w:t>i</w:t>
      </w:r>
      <w:r>
        <w:t>dual aplicando los principios de los “grupos de intervención interdisciplin</w:t>
      </w:r>
      <w:r>
        <w:t>a</w:t>
      </w:r>
      <w:r>
        <w:t>ria”. Este grupo de expertos también puede prestar sus servicios a las mujeres víctimas que están alojadas en otros centros de acogida. También se ayuda a las mujeres a regresar a su país, si así lo desean, y se facilita su reinserción en la sociedad.</w:t>
      </w:r>
    </w:p>
    <w:p w:rsidR="00000000" w:rsidRDefault="00000000">
      <w:pPr>
        <w:pStyle w:val="SingleTxt"/>
        <w:numPr>
          <w:ilvl w:val="0"/>
          <w:numId w:val="286"/>
        </w:numPr>
      </w:pPr>
      <w:r>
        <w:rPr>
          <w:i/>
        </w:rPr>
        <w:t>Centro de Investigación sobre las Mujeres del Mediterráneo (KEGME)</w:t>
      </w:r>
    </w:p>
    <w:p w:rsidR="00000000" w:rsidRDefault="00000000">
      <w:pPr>
        <w:pStyle w:val="SingleTxt"/>
        <w:tabs>
          <w:tab w:val="right" w:pos="1685"/>
        </w:tabs>
        <w:ind w:left="1742" w:hanging="475"/>
      </w:pPr>
      <w:r>
        <w:tab/>
        <w:t>•</w:t>
      </w:r>
      <w:r>
        <w:tab/>
        <w:t>En colaboración con la ONG de Albania “Centro de Población y Desarrollo de Albania”, el KEGME aplica el Programa “Mujeres víctimas de la trata para su explotación sexual”, financiado por el Ministerio de Relaciones Exteriores de Grecia (YDAS-Asistencia helénica). La organización es miembro del “Grupo G</w:t>
      </w:r>
      <w:r>
        <w:t>a</w:t>
      </w:r>
      <w:r>
        <w:t>latsi”.</w:t>
      </w:r>
    </w:p>
    <w:p w:rsidR="00000000" w:rsidRDefault="00000000">
      <w:pPr>
        <w:pStyle w:val="SingleTxt"/>
        <w:numPr>
          <w:ilvl w:val="0"/>
          <w:numId w:val="286"/>
        </w:numPr>
      </w:pPr>
      <w:r>
        <w:rPr>
          <w:i/>
        </w:rPr>
        <w:t>Nea Zoi</w:t>
      </w:r>
    </w:p>
    <w:p w:rsidR="00000000" w:rsidRDefault="00000000">
      <w:pPr>
        <w:pStyle w:val="SingleTxt"/>
        <w:tabs>
          <w:tab w:val="right" w:pos="1685"/>
        </w:tabs>
        <w:ind w:left="1742" w:hanging="475"/>
      </w:pPr>
      <w:r>
        <w:tab/>
        <w:t>•</w:t>
      </w:r>
      <w:r>
        <w:tab/>
        <w:t>La organización colabora con la Iglesia y con otras instituciones públicas en la rehabilitación de las víctimas de la trata, a las que ofrece servicios de asiste</w:t>
      </w:r>
      <w:r>
        <w:t>n</w:t>
      </w:r>
      <w:r>
        <w:t>cia s</w:t>
      </w:r>
      <w:r>
        <w:t>o</w:t>
      </w:r>
      <w:r>
        <w:t xml:space="preserve">ciopsicológica. La organización es miembro del “Grupo Galatsi”. </w:t>
      </w:r>
    </w:p>
    <w:p w:rsidR="00000000" w:rsidRDefault="00000000">
      <w:pPr>
        <w:pStyle w:val="SingleTxt"/>
        <w:numPr>
          <w:ilvl w:val="0"/>
          <w:numId w:val="286"/>
        </w:numPr>
      </w:pPr>
      <w:r>
        <w:rPr>
          <w:i/>
        </w:rPr>
        <w:t>Organismo Griego de Vigilancia de Helsinki (EPSE)</w:t>
      </w:r>
    </w:p>
    <w:p w:rsidR="00000000" w:rsidRDefault="00000000">
      <w:pPr>
        <w:pStyle w:val="SingleTxt"/>
        <w:tabs>
          <w:tab w:val="right" w:pos="1685"/>
        </w:tabs>
        <w:ind w:left="1742" w:hanging="475"/>
      </w:pPr>
      <w:r>
        <w:tab/>
        <w:t>•</w:t>
      </w:r>
      <w:r>
        <w:tab/>
        <w:t xml:space="preserve">Desde 2003, EPSE presta asistencia letrada y de otra índole a las víctimas de </w:t>
      </w:r>
      <w:r>
        <w:rPr>
          <w:spacing w:val="2"/>
        </w:rPr>
        <w:t>la trata. También se ocupa de localizar las víctimas, de proporcionarles permi</w:t>
      </w:r>
      <w:r>
        <w:t>sos de residencia y un certificado que les permite recibir atención médica y med</w:t>
      </w:r>
      <w:r>
        <w:t>i</w:t>
      </w:r>
      <w:r>
        <w:t>camentos gratuitos y, en caso de necesidad, un permiso de trabajo. La organ</w:t>
      </w:r>
      <w:r>
        <w:t>i</w:t>
      </w:r>
      <w:r>
        <w:t>zación es mie</w:t>
      </w:r>
      <w:r>
        <w:t>m</w:t>
      </w:r>
      <w:r>
        <w:t>bro del “Grupo Galatsi”.</w:t>
      </w:r>
    </w:p>
    <w:p w:rsidR="00000000" w:rsidRDefault="00000000">
      <w:pPr>
        <w:pStyle w:val="SingleTxt"/>
        <w:numPr>
          <w:ilvl w:val="0"/>
          <w:numId w:val="286"/>
        </w:numPr>
      </w:pPr>
      <w:r>
        <w:rPr>
          <w:i/>
        </w:rPr>
        <w:t>Kinoniki Arogi Ellados (Asistencia Social de Grecia)</w:t>
      </w:r>
    </w:p>
    <w:p w:rsidR="00000000" w:rsidRDefault="00000000">
      <w:pPr>
        <w:pStyle w:val="SingleTxt"/>
        <w:tabs>
          <w:tab w:val="right" w:pos="1685"/>
        </w:tabs>
        <w:ind w:left="1742" w:hanging="475"/>
      </w:pPr>
      <w:r>
        <w:tab/>
        <w:t>•</w:t>
      </w:r>
      <w:r>
        <w:tab/>
        <w:t>La organización, que desarrolla actividades destinadas a restablecer el contacto de las víctimas con sus familias, colabora con el KESO y con la organización estadounidense VITAL VOICES, y es miembro de la Junta de la Red Metr</w:t>
      </w:r>
      <w:r>
        <w:t>o</w:t>
      </w:r>
      <w:r>
        <w:t>politana de Mujeres de la Prefectura de Ática. La organización se encarga de la ejecución del Programa SOCRATES para víctimas de la violencia y la explot</w:t>
      </w:r>
      <w:r>
        <w:t>a</w:t>
      </w:r>
      <w:r>
        <w:t>ción y es miembro de la “Grupo Galatsi”.</w:t>
      </w:r>
    </w:p>
    <w:p w:rsidR="00000000" w:rsidRDefault="00000000">
      <w:pPr>
        <w:pStyle w:val="SingleTxt"/>
        <w:numPr>
          <w:ilvl w:val="0"/>
          <w:numId w:val="286"/>
        </w:numPr>
      </w:pPr>
      <w:r>
        <w:rPr>
          <w:i/>
        </w:rPr>
        <w:t>Red de mujeres que ocupan cargos electivos en las administraciones locales</w:t>
      </w:r>
    </w:p>
    <w:p w:rsidR="00000000" w:rsidRDefault="00000000">
      <w:pPr>
        <w:pStyle w:val="SingleTxt"/>
        <w:tabs>
          <w:tab w:val="right" w:pos="1685"/>
        </w:tabs>
        <w:ind w:left="1742" w:hanging="475"/>
      </w:pPr>
      <w:r>
        <w:tab/>
        <w:t>•</w:t>
      </w:r>
      <w:r>
        <w:tab/>
        <w:t>En 2003 la organización colaboró con T.E.D.K.N.A. (Unión de Municipios y Comunidades de la Prefectura de Ática) en la conferencia internacional “La nueva Europa ampliada y el papel del Mediterráneo”, en la que presentó una pone</w:t>
      </w:r>
      <w:r>
        <w:t>n</w:t>
      </w:r>
      <w:r>
        <w:t>cia sobre la trata en los países de Europa Oriental y los Balcanes.</w:t>
      </w:r>
    </w:p>
    <w:p w:rsidR="00000000" w:rsidRDefault="00000000">
      <w:pPr>
        <w:pStyle w:val="SingleTxt"/>
        <w:numPr>
          <w:ilvl w:val="0"/>
          <w:numId w:val="286"/>
        </w:numPr>
      </w:pPr>
      <w:r>
        <w:rPr>
          <w:i/>
        </w:rPr>
        <w:t>Unión Soroptimista de Grecia</w:t>
      </w:r>
    </w:p>
    <w:p w:rsidR="00000000" w:rsidRDefault="00000000">
      <w:pPr>
        <w:pStyle w:val="SingleTxt"/>
        <w:tabs>
          <w:tab w:val="right" w:pos="1685"/>
        </w:tabs>
        <w:ind w:left="1742" w:hanging="475"/>
      </w:pPr>
      <w:r>
        <w:tab/>
        <w:t>•</w:t>
      </w:r>
      <w:r>
        <w:tab/>
        <w:t>La Unión, que está subvencionada por la Secretaría General para la Igualdad de Género, ha publicado, en cinco idiomas, un folleto informativo para e</w:t>
      </w:r>
      <w:r>
        <w:t>x</w:t>
      </w:r>
      <w:r>
        <w:t>tranjeros que ha sido distribuido por la Unión y por otras organizaciones en t</w:t>
      </w:r>
      <w:r>
        <w:t>o</w:t>
      </w:r>
      <w:r>
        <w:t>do el país y, especialmente, en las zonas fronterizas, en países de los Balcanes, en Europa Oriental, en África y en otros lugares. La Unión ha sido galardon</w:t>
      </w:r>
      <w:r>
        <w:t>a</w:t>
      </w:r>
      <w:r>
        <w:t>da por la Federación Soropt</w:t>
      </w:r>
      <w:r>
        <w:t>i</w:t>
      </w:r>
      <w:r>
        <w:t>mista Europea .</w:t>
      </w:r>
    </w:p>
    <w:p w:rsidR="00000000" w:rsidRDefault="00000000">
      <w:pPr>
        <w:pStyle w:val="SingleTxt"/>
        <w:tabs>
          <w:tab w:val="right" w:pos="1685"/>
        </w:tabs>
        <w:ind w:left="1742" w:hanging="475"/>
      </w:pPr>
      <w:r>
        <w:tab/>
        <w:t>•</w:t>
      </w:r>
      <w:r>
        <w:tab/>
        <w:t>La Unión ha organizado dos conferencias sobre la trata de mujeres, tema que también ha figurado entre los tratados en las tres mesas redondas celebradas con motivo de la Conferencia Soroptimista Europea “Nuestro futuro común”.</w:t>
      </w:r>
    </w:p>
    <w:p w:rsidR="00000000" w:rsidRDefault="00000000">
      <w:pPr>
        <w:pStyle w:val="SingleTxt"/>
        <w:tabs>
          <w:tab w:val="right" w:pos="1685"/>
        </w:tabs>
        <w:ind w:left="1742" w:hanging="475"/>
      </w:pPr>
      <w:r>
        <w:tab/>
        <w:t>•</w:t>
      </w:r>
      <w:r>
        <w:tab/>
        <w:t>La Unión ha prestado asistencia material a E.K.Y.TH.K.K.A.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a nivel nacional contra la violencia doméstica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t>La Secretaría General para la Igualdad de Género es el órgano gubernamental competente en las cuestiones relacionadas con la violencia contra la mujer, una de cuyas formas es la violencia doméstica (violencia en el seno de la familia). En el contexto de los “Objetivos prioritarios de política nacional y ejes de acción para la igualdad de género, 2004-2008” aprobados por el Comité Gubernamental (2 de n</w:t>
      </w:r>
      <w:r>
        <w:t>o</w:t>
      </w:r>
      <w:r>
        <w:t>viembre de 2004), se asocia la prevención de la violencia contra la mujer y la lucha contra ese fenómeno al logro del objetivo de la cohesión social, que se define como eje prior</w:t>
      </w:r>
      <w:r>
        <w:t>i</w:t>
      </w:r>
      <w:r>
        <w:t xml:space="preserve">tario.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Marco legislativo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rPr>
          <w:color w:val="000000"/>
        </w:rPr>
      </w:pPr>
      <w:r>
        <w:t>Por Decisión del Ministro del Interior, Administración Pública y Descentral</w:t>
      </w:r>
      <w:r>
        <w:t>i</w:t>
      </w:r>
      <w:r>
        <w:t>zación (febrero de 2005), se ha creado un Comité de Trabajo en la Secretaría Gen</w:t>
      </w:r>
      <w:r>
        <w:t>e</w:t>
      </w:r>
      <w:r>
        <w:t>ral para la Igualdad de Género, con el mandato de proponer un marco legislativo integrado para la prevención y la reducción de la violencia doméstica. El Comité, que ya ha entrado en funcionamiento, tiene previsto examinar, entre otras cosas, las condiciones y requisitos para conceder el pago de ayudas financieras a las víctimas de la violencia doméstica que no pueden abandonar el hogar por falta de recursos f</w:t>
      </w:r>
      <w:r>
        <w:t>i</w:t>
      </w:r>
      <w:r>
        <w:t>nancieros. Mientras estuvo en el poder el Gobierno anterior también se trató de abordar el fenómeno desde el punto de vista legislativo con la elaboración en 2002 por un Comité de Trabajo de un proyecto de ley que, sin embargo, no se presentó al Parl</w:t>
      </w:r>
      <w:r>
        <w:t>a</w:t>
      </w:r>
      <w:r>
        <w:t>mento para someterlo a votación.</w:t>
      </w:r>
    </w:p>
    <w:p w:rsidR="00000000" w:rsidRDefault="00000000">
      <w:pPr>
        <w:pStyle w:val="SingleTxt"/>
        <w:tabs>
          <w:tab w:val="clear" w:pos="1742"/>
        </w:tabs>
        <w:spacing w:after="0" w:line="120" w:lineRule="exact"/>
        <w:ind w:left="0"/>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Infraestructuras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t>Además de los dos Centros de Asesoramiento sobre la Violencia contra la Mujer de la Secretaría General para la Igualdad de Género que operan en Atenas y el Pireo, y de las secciones del K.E.TH.I. (que operan bajo supervisión de la Secr</w:t>
      </w:r>
      <w:r>
        <w:t>e</w:t>
      </w:r>
      <w:r>
        <w:t>taría General para la Igualdad de Género) en cinco grandes ciudades del país (At</w:t>
      </w:r>
      <w:r>
        <w:t>e</w:t>
      </w:r>
      <w:r>
        <w:t xml:space="preserve">nas, Tesalónica, Patrás, Heraklion y Volos) gestionan estructuras similares: </w:t>
      </w:r>
    </w:p>
    <w:p w:rsidR="00000000" w:rsidRDefault="00000000">
      <w:pPr>
        <w:pStyle w:val="SingleTxt"/>
        <w:tabs>
          <w:tab w:val="right" w:pos="1685"/>
        </w:tabs>
        <w:ind w:left="1742" w:hanging="475"/>
      </w:pPr>
      <w:r>
        <w:tab/>
        <w:t>•</w:t>
      </w:r>
      <w:r>
        <w:tab/>
        <w:t>En la prefectura de Tesalónica: el Centro de Asistencia a las Mujeres del In</w:t>
      </w:r>
      <w:r>
        <w:t>s</w:t>
      </w:r>
      <w:r>
        <w:t>tituto de Macedonia;</w:t>
      </w:r>
    </w:p>
    <w:p w:rsidR="00000000" w:rsidRDefault="00000000">
      <w:pPr>
        <w:pStyle w:val="SingleTxt"/>
        <w:tabs>
          <w:tab w:val="right" w:pos="1685"/>
        </w:tabs>
        <w:ind w:left="1742" w:hanging="475"/>
      </w:pPr>
      <w:r>
        <w:tab/>
        <w:t>•</w:t>
      </w:r>
      <w:r>
        <w:tab/>
        <w:t>En la prefectura de Aetoloakarnania: el Centro de Educación y Asistencia a la F</w:t>
      </w:r>
      <w:r>
        <w:t>a</w:t>
      </w:r>
      <w:r>
        <w:t>milia y la Infancia (ΚΕSΥΥ- ΚΕΜΟP “PLATO”);</w:t>
      </w:r>
    </w:p>
    <w:p w:rsidR="00000000" w:rsidRDefault="00000000">
      <w:pPr>
        <w:pStyle w:val="SingleTxt"/>
        <w:tabs>
          <w:tab w:val="right" w:pos="1685"/>
        </w:tabs>
        <w:ind w:left="1742" w:hanging="475"/>
      </w:pPr>
      <w:r>
        <w:tab/>
        <w:t>•</w:t>
      </w:r>
      <w:r>
        <w:tab/>
        <w:t>En la prefectura de Ioánina: el Centro de Investigación y Asistencia a las Ví</w:t>
      </w:r>
      <w:r>
        <w:t>c</w:t>
      </w:r>
      <w:r>
        <w:t>timas de Malos Tratos y de la Exclusión Social;</w:t>
      </w:r>
    </w:p>
    <w:p w:rsidR="00000000" w:rsidRDefault="00000000">
      <w:pPr>
        <w:pStyle w:val="SingleTxt"/>
        <w:tabs>
          <w:tab w:val="right" w:pos="1685"/>
        </w:tabs>
        <w:ind w:left="1742" w:hanging="475"/>
      </w:pPr>
      <w:r>
        <w:tab/>
        <w:t>•</w:t>
      </w:r>
      <w:r>
        <w:tab/>
        <w:t>En la prefectura de Preveza: en Centro de Investigación y Asistencia a las Víctimas de Malos Tratos y a los Grupos Sociales Desfavorecidos y de Prote</w:t>
      </w:r>
      <w:r>
        <w:t>c</w:t>
      </w:r>
      <w:r>
        <w:t>ción a las F</w:t>
      </w:r>
      <w:r>
        <w:t>a</w:t>
      </w:r>
      <w:r>
        <w:t>milias Monoparentales (ΚΕSTHΥΚΕΚΟ);</w:t>
      </w:r>
    </w:p>
    <w:p w:rsidR="00000000" w:rsidRDefault="00000000">
      <w:pPr>
        <w:pStyle w:val="SingleTxt"/>
        <w:tabs>
          <w:tab w:val="right" w:pos="1685"/>
        </w:tabs>
        <w:ind w:left="1742" w:hanging="475"/>
      </w:pPr>
      <w:r>
        <w:tab/>
        <w:t>•</w:t>
      </w:r>
      <w:r>
        <w:tab/>
        <w:t>En la prefectura de Serres: el “Albergue de Mujeres” – Asistencia Social;</w:t>
      </w:r>
    </w:p>
    <w:p w:rsidR="00000000" w:rsidRDefault="00000000">
      <w:pPr>
        <w:pStyle w:val="SingleTxt"/>
        <w:tabs>
          <w:tab w:val="right" w:pos="1685"/>
        </w:tabs>
        <w:ind w:left="1742" w:hanging="475"/>
      </w:pPr>
      <w:r>
        <w:tab/>
        <w:t>•</w:t>
      </w:r>
      <w:r>
        <w:tab/>
        <w:t>En la prefectura de Komotini: el Servicio Social del Municipio de Kom</w:t>
      </w:r>
      <w:r>
        <w:t>i</w:t>
      </w:r>
      <w:r>
        <w:t>tini;</w:t>
      </w:r>
    </w:p>
    <w:p w:rsidR="00000000" w:rsidRDefault="00000000">
      <w:pPr>
        <w:pStyle w:val="SingleTxt"/>
        <w:tabs>
          <w:tab w:val="right" w:pos="1685"/>
        </w:tabs>
        <w:ind w:left="1742" w:hanging="475"/>
      </w:pPr>
      <w:r>
        <w:tab/>
        <w:t>•</w:t>
      </w:r>
      <w:r>
        <w:tab/>
        <w:t>En la prefectura de Karditsa: el Centro de Asistencia a las Mujeres del Mun</w:t>
      </w:r>
      <w:r>
        <w:t>i</w:t>
      </w:r>
      <w:r>
        <w:t>cipio de Karditsa;</w:t>
      </w:r>
    </w:p>
    <w:p w:rsidR="00000000" w:rsidRDefault="00000000">
      <w:pPr>
        <w:pStyle w:val="SingleTxt"/>
        <w:tabs>
          <w:tab w:val="right" w:pos="1685"/>
        </w:tabs>
        <w:ind w:left="1742" w:hanging="475"/>
      </w:pPr>
      <w:r>
        <w:tab/>
        <w:t>•</w:t>
      </w:r>
      <w:r>
        <w:tab/>
        <w:t>En la prefectura de Chíos: la Oficina de Asuntos de la Mujer del Municipio de Chíos.</w:t>
      </w:r>
    </w:p>
    <w:p w:rsidR="00000000" w:rsidRDefault="00000000">
      <w:pPr>
        <w:pStyle w:val="SingleTxt"/>
      </w:pPr>
      <w:r>
        <w:tab/>
        <w:t>Esas estructuras prestan asistencia psicológica, social y jurídica a las mujeres víctimas de la violencia y a otros grupos desfavorecidos de mujeres, y operan por iniciativa de organizaciones sociales locales, con la asistencia financiera del Pr</w:t>
      </w:r>
      <w:r>
        <w:t>o</w:t>
      </w:r>
      <w:r>
        <w:t xml:space="preserve">grama Europeo contra la Exclusión Social. </w:t>
      </w:r>
    </w:p>
    <w:p w:rsidR="00000000" w:rsidRDefault="00000000">
      <w:pPr>
        <w:pStyle w:val="SingleTxt"/>
        <w:numPr>
          <w:ilvl w:val="0"/>
          <w:numId w:val="286"/>
        </w:numPr>
      </w:pPr>
      <w:r>
        <w:t>En 2002 la Sección Griega de la Red Europea de Mujeres puso en marcha, por primera vez, una línea gratuita de asistencia telefónica que ofrece gratuitamente, d</w:t>
      </w:r>
      <w:r>
        <w:t>u</w:t>
      </w:r>
      <w:r>
        <w:t>rante 12 horas al día, asistencia psicológica, social y jurídica a nivel nacional. Ad</w:t>
      </w:r>
      <w:r>
        <w:t>e</w:t>
      </w:r>
      <w:r>
        <w:t>más, se ha puesto en marcha un servicio de asesoramiento, que opera en la región de la capital, cuyas actividades incluyen también la formación de los asistentes sociales voluntarios que atienden las llamadas en la línea telefónica mencionada anterio</w:t>
      </w:r>
      <w:r>
        <w:t>r</w:t>
      </w:r>
      <w:r>
        <w:t xml:space="preserve">mente. </w:t>
      </w:r>
    </w:p>
    <w:p w:rsidR="00000000" w:rsidRDefault="00000000">
      <w:pPr>
        <w:pStyle w:val="SingleTxt"/>
        <w:numPr>
          <w:ilvl w:val="0"/>
          <w:numId w:val="286"/>
        </w:numPr>
      </w:pPr>
      <w:r>
        <w:t>El Centro Nacional de Asistencia Social de Emergencia (EKAKV) funciona como organismo público dependiente del Ministerio de Salud encargado de hacer frente a los casos de violencia doméstica. El registro de las llamadas recibidas entre junio de 2003 y junio de 2004 por la línea telefónica de asistencia del ΕΚΑΚV (197), que presta servicios a las 24 horas del día, muestra que un importante po</w:t>
      </w:r>
      <w:r>
        <w:t>r</w:t>
      </w:r>
      <w:r>
        <w:t xml:space="preserve">centaje de ellas se refería a casos de violencia doméstica. </w:t>
      </w:r>
    </w:p>
    <w:p w:rsidR="00000000" w:rsidRDefault="00000000">
      <w:pPr>
        <w:pStyle w:val="SingleTxt"/>
        <w:numPr>
          <w:ilvl w:val="0"/>
          <w:numId w:val="286"/>
        </w:numPr>
      </w:pPr>
      <w:r>
        <w:t>En colaboración con el Ayuntamiento de Atenas, la Secretaría General para la Igualdad de Género gestiona un albergue que acoge a las mujeres víctimas de la violencia y a sus hijos menores.</w:t>
      </w:r>
    </w:p>
    <w:p w:rsidR="00000000" w:rsidRDefault="00000000">
      <w:pPr>
        <w:pStyle w:val="SingleTxt"/>
        <w:tabs>
          <w:tab w:val="right" w:pos="1685"/>
        </w:tabs>
        <w:ind w:left="1742" w:hanging="475"/>
      </w:pPr>
      <w:r>
        <w:tab/>
        <w:t>•</w:t>
      </w:r>
      <w:r>
        <w:tab/>
        <w:t>En la zona metropolitana de la capital el albergue la Archidiócesis de Atenas (KESO) y los centros de acogida públicos del Ministerio de Salud, que están destinados a los grupos vulnerables de la población en general, satisfacen bu</w:t>
      </w:r>
      <w:r>
        <w:t>e</w:t>
      </w:r>
      <w:r>
        <w:t>na parte de las necesidades de alojamiento.</w:t>
      </w:r>
    </w:p>
    <w:p w:rsidR="00000000" w:rsidRDefault="00000000">
      <w:pPr>
        <w:pStyle w:val="SingleTxt"/>
        <w:tabs>
          <w:tab w:val="right" w:pos="1685"/>
        </w:tabs>
        <w:ind w:left="1742" w:hanging="475"/>
      </w:pPr>
      <w:r>
        <w:tab/>
        <w:t>•</w:t>
      </w:r>
      <w:r>
        <w:tab/>
        <w:t>A nivel regional, el Centro de Investigación y Asistencia a las Víctimas de Malos Tratos y de la Exclusión Social (prefectura de Ioánina) y el Albergue para Mujeres (prefectura de Serres) ofrecen, desde el año 2000, alojamiento en albergues destinados exclusivamente a acoger a las mujeres maltratadas y a sus hijos. El Albergue para Mujeres de Serres dispone de una unidad móvil que ofrece asistencia a domicilio a las mujeres víctimas de malos tratos con pr</w:t>
      </w:r>
      <w:r>
        <w:t>o</w:t>
      </w:r>
      <w:r>
        <w:t>blemas de movilidad, y existe un grupo de voluntarias que prestan servicios. Asimismo, la institución Κ.Ε.TH.Ι., en Heraclion gestiona un centro de acog</w:t>
      </w:r>
      <w:r>
        <w:t>i</w:t>
      </w:r>
      <w:r>
        <w:t>da para víctimas de la violencia.</w:t>
      </w:r>
    </w:p>
    <w:p w:rsidR="00000000" w:rsidRDefault="00000000">
      <w:pPr>
        <w:pStyle w:val="SingleTxt"/>
        <w:tabs>
          <w:tab w:val="right" w:pos="1685"/>
        </w:tabs>
        <w:ind w:left="1742" w:hanging="475"/>
      </w:pPr>
      <w:r>
        <w:tab/>
        <w:t>•</w:t>
      </w:r>
      <w:r>
        <w:tab/>
        <w:t>La Secretaría General para la Igualdad de Género colabora con el Ayunt</w:t>
      </w:r>
      <w:r>
        <w:t>a</w:t>
      </w:r>
      <w:r>
        <w:t>miento de Atenas con miras a renovar el acuerdo para la gestión del centro de acogida para mujeres maltratadas, y con los ayuntamientos de Tesalónica, S</w:t>
      </w:r>
      <w:r>
        <w:t>e</w:t>
      </w:r>
      <w:r>
        <w:t>rres, Kavala y Komotini con miras a la creación y la gestión de centros de as</w:t>
      </w:r>
      <w:r>
        <w:t>e</w:t>
      </w:r>
      <w:r>
        <w:t xml:space="preserve">soramiento y albergues similares.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ΙII.</w:t>
      </w:r>
      <w:r>
        <w:tab/>
        <w:t>Rehabilitación e integración social</w:t>
      </w:r>
    </w:p>
    <w:p w:rsidR="00000000" w:rsidRDefault="00000000">
      <w:pPr>
        <w:pStyle w:val="SingleTxt"/>
        <w:spacing w:after="0" w:line="120" w:lineRule="exact"/>
        <w:rPr>
          <w:sz w:val="10"/>
        </w:rPr>
      </w:pPr>
    </w:p>
    <w:p w:rsidR="00000000" w:rsidRDefault="00000000">
      <w:pPr>
        <w:pStyle w:val="SingleTxt"/>
        <w:numPr>
          <w:ilvl w:val="0"/>
          <w:numId w:val="286"/>
        </w:numPr>
      </w:pPr>
      <w:r>
        <w:t>En el contexto de la rehabilitación es importante señalar que el Programa de servicios de asistencia complementarios de todas las secciones del Κ.Ε.TH.Ι. incl</w:t>
      </w:r>
      <w:r>
        <w:t>u</w:t>
      </w:r>
      <w:r>
        <w:t>yen también asesoramiento en materia de empleo. Del registro anual de servicios de asistencia prestados por el Κ.Ε.TH.Ι. a mujeres maltratadas (entre otros grupos vu</w:t>
      </w:r>
      <w:r>
        <w:t>l</w:t>
      </w:r>
      <w:r>
        <w:t>nerables de mujeres) se desprende que gran número de mujeres maltratadas recibi</w:t>
      </w:r>
      <w:r>
        <w:t>e</w:t>
      </w:r>
      <w:r>
        <w:t>ron asesoramiento en materia de empleo, pues la gran mayoría de ellas estaban d</w:t>
      </w:r>
      <w:r>
        <w:t>e</w:t>
      </w:r>
      <w:r>
        <w:t xml:space="preserve">sempleadas (Κ.Ε.TH.Ι. Atenas, 2000 – septiembre de 2004). </w:t>
      </w:r>
    </w:p>
    <w:p w:rsidR="00000000" w:rsidRDefault="00000000">
      <w:pPr>
        <w:pStyle w:val="SingleTxt"/>
        <w:numPr>
          <w:ilvl w:val="0"/>
          <w:numId w:val="286"/>
        </w:numPr>
      </w:pPr>
      <w:r>
        <w:t>Habida cuenta de que encontrar un trabajo es fundamental para librar a las mujeres de relaciones en las que son víctimas de malos tratos, también desarrollan activid</w:t>
      </w:r>
      <w:r>
        <w:t>a</w:t>
      </w:r>
      <w:r>
        <w:t>des en ese ámbito otras instituciones, como:</w:t>
      </w:r>
    </w:p>
    <w:p w:rsidR="00000000" w:rsidRDefault="00000000">
      <w:pPr>
        <w:pStyle w:val="SingleTxt"/>
        <w:tabs>
          <w:tab w:val="right" w:pos="1685"/>
        </w:tabs>
        <w:ind w:left="1742" w:hanging="475"/>
      </w:pPr>
      <w:r>
        <w:tab/>
        <w:t>•</w:t>
      </w:r>
      <w:r>
        <w:tab/>
        <w:t>El albergue de la Archidiócesis de Atenas, que también ofrece formación (c</w:t>
      </w:r>
      <w:r>
        <w:t>o</w:t>
      </w:r>
      <w:r>
        <w:t>mo, por ejemplo, clases de manualidades) con el fin de facilitar la búsqueda de empleo y la rehabilitación social de las mujeres.</w:t>
      </w:r>
    </w:p>
    <w:p w:rsidR="00000000" w:rsidRDefault="00000000">
      <w:pPr>
        <w:pStyle w:val="SingleTxt"/>
        <w:tabs>
          <w:tab w:val="right" w:pos="1685"/>
        </w:tabs>
        <w:ind w:left="1742" w:hanging="475"/>
      </w:pPr>
      <w:r>
        <w:tab/>
        <w:t>•</w:t>
      </w:r>
      <w:r>
        <w:tab/>
        <w:t>En 2003, el Centro de Investigación y Asistencia a las Víctimas de Malos Tratos y de la Exclusión Social puso en marcha un programa de servicios de asistencia suplementarios denominado “Fémina” bajo los auspicios del Mini</w:t>
      </w:r>
      <w:r>
        <w:t>s</w:t>
      </w:r>
      <w:r>
        <w:t>terio de Trabajo y Protección Social, destinado a los grupos vulnerables y a las mujeres maltr</w:t>
      </w:r>
      <w:r>
        <w:t>a</w:t>
      </w:r>
      <w:r>
        <w:t>tadas.</w:t>
      </w:r>
    </w:p>
    <w:p w:rsidR="00000000" w:rsidRDefault="00000000">
      <w:pPr>
        <w:pStyle w:val="SingleTxt"/>
        <w:tabs>
          <w:tab w:val="right" w:pos="1685"/>
        </w:tabs>
        <w:ind w:left="1742" w:hanging="475"/>
      </w:pPr>
      <w:r>
        <w:tab/>
        <w:t>•</w:t>
      </w:r>
      <w:r>
        <w:tab/>
        <w:t>La mayoría de las estructuras existentes han puesto en marcha actividades s</w:t>
      </w:r>
      <w:r>
        <w:t>i</w:t>
      </w:r>
      <w:r>
        <w:t xml:space="preserve">milares en el marco de la lucha contra la exclusión social.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Información y sensibilización de la opinión pública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86"/>
        </w:numPr>
      </w:pPr>
      <w:r>
        <w:t>En el periodo 2001-2004, la Secretaría General para la Igualdad de Género trató de sensibilizar a la opinión pública por medio de la emisión de anuncios en la radio y la televisión, la publicación de folletos (en griego e inglés) y la impresión de cárteles. Entre otras cosas, en 2002 financió la representación de una obra de teatro sobre la violencia doméstica en un céntrico teatro de Atenas.</w:t>
      </w:r>
    </w:p>
    <w:p w:rsidR="00000000" w:rsidRDefault="00000000">
      <w:pPr>
        <w:pStyle w:val="SingleTxt"/>
        <w:numPr>
          <w:ilvl w:val="0"/>
          <w:numId w:val="286"/>
        </w:numPr>
      </w:pPr>
      <w:r>
        <w:t>El 25 de noviembre de 2004, día de reflexión sobre la violencia contra la m</w:t>
      </w:r>
      <w:r>
        <w:t>u</w:t>
      </w:r>
      <w:r>
        <w:t>jer, la Secretaría General para la Igualdad de Género hizo públicos los datos de un estudio sobre “Violencia doméstica – Muestra de datos estadísticos sobre el maltrato de mujeres” (Anexo B). La investigación se refería a las mujeres que se habían puesto en contacto con los centros de asesoramiento de la Secretaría General para la Igualdad de Género en el periodo comprendido entre el 1º de enero y el 31 de oct</w:t>
      </w:r>
      <w:r>
        <w:t>u</w:t>
      </w:r>
      <w:r>
        <w:t>bre de 2004, y se basaba en los siete indicadores europeos propuestos por la Pres</w:t>
      </w:r>
      <w:r>
        <w:t>i</w:t>
      </w:r>
      <w:r>
        <w:t>dencia danesa en 2002. En noviembre de 2003 se publicó un estudio similar. Ad</w:t>
      </w:r>
      <w:r>
        <w:t>e</w:t>
      </w:r>
      <w:r>
        <w:t>más se abrieron oficinas de información pública en las calles de Atenas y El Pireo, se distribuyó material impreso y se fijaron carteles en los vehículos de transporte público.</w:t>
      </w:r>
    </w:p>
    <w:p w:rsidR="00000000" w:rsidRDefault="00000000">
      <w:pPr>
        <w:pStyle w:val="SingleTxt"/>
      </w:pPr>
      <w:r>
        <w:tab/>
        <w:t>A nivel regional y local, se celebraron los actos, como seminarios, reuniones de un día de duración y conferencias sobre la violencia doméstica, que se indican a cont</w:t>
      </w:r>
      <w:r>
        <w:t>i</w:t>
      </w:r>
      <w:r>
        <w:t xml:space="preserve">nuación: </w:t>
      </w:r>
    </w:p>
    <w:p w:rsidR="00000000" w:rsidRDefault="00000000">
      <w:pPr>
        <w:pStyle w:val="SingleTxt"/>
        <w:tabs>
          <w:tab w:val="right" w:pos="1685"/>
        </w:tabs>
        <w:ind w:left="1742" w:hanging="475"/>
      </w:pPr>
      <w:r>
        <w:tab/>
        <w:t>•</w:t>
      </w:r>
      <w:r>
        <w:tab/>
        <w:t>El Κ.Ε.TH.Ι. de Atenas y sus sucursales organizaron actos dirigidos principa</w:t>
      </w:r>
      <w:r>
        <w:t>l</w:t>
      </w:r>
      <w:r>
        <w:t>mente a las entidades locales interesadas, además de las asociaciones científ</w:t>
      </w:r>
      <w:r>
        <w:t>i</w:t>
      </w:r>
      <w:r>
        <w:t>cas de la c</w:t>
      </w:r>
      <w:r>
        <w:t>o</w:t>
      </w:r>
      <w:r>
        <w:t>munidad local.</w:t>
      </w:r>
    </w:p>
    <w:p w:rsidR="00000000" w:rsidRDefault="00000000">
      <w:pPr>
        <w:pStyle w:val="SingleTxt"/>
        <w:tabs>
          <w:tab w:val="right" w:pos="1685"/>
        </w:tabs>
        <w:ind w:left="1742" w:hanging="475"/>
      </w:pPr>
      <w:r>
        <w:tab/>
        <w:t>•</w:t>
      </w:r>
      <w:r>
        <w:tab/>
        <w:t>Al mismo tiempo, el Ayuntamiento de Atenas organizó seminarios de form</w:t>
      </w:r>
      <w:r>
        <w:t>a</w:t>
      </w:r>
      <w:r>
        <w:t xml:space="preserve">ción y actos destinados a sensibilizar a los profesionales. </w:t>
      </w:r>
    </w:p>
    <w:p w:rsidR="00000000" w:rsidRDefault="00000000">
      <w:pPr>
        <w:pStyle w:val="SingleTxt"/>
        <w:tabs>
          <w:tab w:val="right" w:pos="1685"/>
        </w:tabs>
        <w:ind w:left="1742" w:hanging="475"/>
      </w:pPr>
      <w:r>
        <w:tab/>
        <w:t>•</w:t>
      </w:r>
      <w:r>
        <w:tab/>
        <w:t>El albergue de la Archidiócesis de Atenas organizó diversos actos, público y distribuyó material informativo y participó activamente en las campañas de i</w:t>
      </w:r>
      <w:r>
        <w:t>n</w:t>
      </w:r>
      <w:r>
        <w:t>formación y sensibilización enmarcadas en proyectos de la comunidad. Ta</w:t>
      </w:r>
      <w:r>
        <w:t>m</w:t>
      </w:r>
      <w:r>
        <w:t>bién organizó co</w:t>
      </w:r>
      <w:r>
        <w:t>n</w:t>
      </w:r>
      <w:r>
        <w:t>ferencias sobre la violencia doméstica.</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Atención a los niños víctimas de la violencia doméstica </w:t>
      </w:r>
    </w:p>
    <w:p w:rsidR="00000000" w:rsidRDefault="00000000">
      <w:pPr>
        <w:pStyle w:val="SingleTxt"/>
        <w:spacing w:after="0" w:line="120" w:lineRule="exact"/>
        <w:rPr>
          <w:sz w:val="10"/>
        </w:rPr>
      </w:pPr>
    </w:p>
    <w:p w:rsidR="00000000" w:rsidRDefault="00000000">
      <w:pPr>
        <w:pStyle w:val="SingleTxt"/>
        <w:numPr>
          <w:ilvl w:val="0"/>
          <w:numId w:val="286"/>
        </w:numPr>
      </w:pPr>
      <w:r>
        <w:t>Por lo que respecta a los malos tratos y la desatención de los niños víctimas de la violencia d</w:t>
      </w:r>
      <w:r>
        <w:t>o</w:t>
      </w:r>
      <w:r>
        <w:t xml:space="preserve">méstica: </w:t>
      </w:r>
    </w:p>
    <w:p w:rsidR="00000000" w:rsidRDefault="00000000">
      <w:pPr>
        <w:pStyle w:val="SingleTxt"/>
        <w:tabs>
          <w:tab w:val="right" w:pos="1685"/>
        </w:tabs>
        <w:ind w:left="1742" w:hanging="475"/>
      </w:pPr>
      <w:r>
        <w:tab/>
        <w:t>•</w:t>
      </w:r>
      <w:r>
        <w:tab/>
        <w:t>Se han desarrollado actividades en colaboración con entidades sociales como el Instituto de Salud Infantil; el Instituto realiza estudios interdisciplinarios sobre el fenómeno de los malos tratos y la desatención de los niños y lleva un registro de los casos, además de formular propuestas a otros órganos comp</w:t>
      </w:r>
      <w:r>
        <w:t>e</w:t>
      </w:r>
      <w:r>
        <w:t>tentes sobre las medidas necesarias para proteger y atender a los niños maltr</w:t>
      </w:r>
      <w:r>
        <w:t>a</w:t>
      </w:r>
      <w:r>
        <w:t>tados.</w:t>
      </w:r>
    </w:p>
    <w:p w:rsidR="00000000" w:rsidRDefault="00000000">
      <w:pPr>
        <w:pStyle w:val="SingleTxt"/>
        <w:tabs>
          <w:tab w:val="right" w:pos="1685"/>
        </w:tabs>
        <w:ind w:left="1742" w:hanging="475"/>
      </w:pPr>
      <w:r>
        <w:tab/>
        <w:t>•</w:t>
      </w:r>
      <w:r>
        <w:tab/>
        <w:t>Concretamente, por lo que respecta al tratamiento de los niños maltratados, el Centro para Niños Maltratados y Desatendidos del Instituto de Salud Infantil desarrolla sus actividades en el Hospital “Agia Sofia”, mientras que en Mini</w:t>
      </w:r>
      <w:r>
        <w:t>s</w:t>
      </w:r>
      <w:r>
        <w:t>terio de Salud proporciona servicios especializados y alojamiento a los niños maltratados en los Centros de Atención a la Infancia y en el Sanatorio Pendeli, de conformidad con una orden del Fiscal Público sobre asistencia a los niños maltratados.</w:t>
      </w:r>
    </w:p>
    <w:p w:rsidR="00000000" w:rsidRDefault="00000000">
      <w:pPr>
        <w:pStyle w:val="SingleTxt"/>
        <w:tabs>
          <w:tab w:val="right" w:pos="1685"/>
        </w:tabs>
        <w:ind w:left="1742" w:hanging="475"/>
      </w:pPr>
      <w:r>
        <w:tab/>
        <w:t>•</w:t>
      </w:r>
      <w:r>
        <w:tab/>
        <w:t>Además, la coordinación de la red de servicios y la modernización de la Carta de Bienestar Social del país facilitarán el total aprovechamiento de todos los medios disponibles para proteger a la infancia.</w:t>
      </w:r>
    </w:p>
    <w:p w:rsidR="00000000" w:rsidRDefault="00000000">
      <w:pPr>
        <w:pStyle w:val="SingleTxt"/>
        <w:tabs>
          <w:tab w:val="right" w:pos="1685"/>
        </w:tabs>
        <w:ind w:left="1742" w:hanging="475"/>
      </w:pPr>
      <w:r>
        <w:tab/>
        <w:t>•</w:t>
      </w:r>
      <w:r>
        <w:tab/>
        <w:t>Tras la ratificación en virtud de la Ley 2101/99 de la Convención de las N</w:t>
      </w:r>
      <w:r>
        <w:t>a</w:t>
      </w:r>
      <w:r>
        <w:t>ciones Unidas sobre los Derechos del Niño, Grecia creó la Oficina del Defe</w:t>
      </w:r>
      <w:r>
        <w:t>n</w:t>
      </w:r>
      <w:r>
        <w:t>sor del Niño, enmarcada en la Oficina del Defensor del Ciudadano.</w:t>
      </w:r>
    </w:p>
    <w:p w:rsidR="00000000" w:rsidRDefault="00000000">
      <w:pPr>
        <w:pStyle w:val="SingleTxt"/>
        <w:tabs>
          <w:tab w:val="right" w:pos="1685"/>
        </w:tabs>
        <w:ind w:left="1742" w:hanging="475"/>
      </w:pPr>
      <w:r>
        <w:tab/>
        <w:t>•</w:t>
      </w:r>
      <w:r>
        <w:tab/>
        <w:t>El Ministerio de Salud ha firmado un acuerdo con la organización no gube</w:t>
      </w:r>
      <w:r>
        <w:t>r</w:t>
      </w:r>
      <w:r>
        <w:t>namental “La sonrisa de un niño”, que, entre otras actividades, se ocupa de los niños en situaciones de peligro acogiéndolos en instalaciones creadas esp</w:t>
      </w:r>
      <w:r>
        <w:t>e</w:t>
      </w:r>
      <w:r>
        <w:t>cialmente para tal fin y utilizando unidades móviles, que prestan servicio las 24 horas del día, con la colab</w:t>
      </w:r>
      <w:r>
        <w:t>o</w:t>
      </w:r>
      <w:r>
        <w:t>ración de personal especializado.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 xml:space="preserve">Investigación </w:t>
      </w:r>
    </w:p>
    <w:p w:rsidR="00000000" w:rsidRDefault="00000000">
      <w:pPr>
        <w:pStyle w:val="SingleTxt"/>
        <w:spacing w:after="0" w:line="120" w:lineRule="exact"/>
        <w:rPr>
          <w:sz w:val="10"/>
        </w:rPr>
      </w:pPr>
    </w:p>
    <w:p w:rsidR="00000000" w:rsidRDefault="00000000">
      <w:pPr>
        <w:pStyle w:val="SingleTxt"/>
        <w:numPr>
          <w:ilvl w:val="0"/>
          <w:numId w:val="286"/>
        </w:numPr>
      </w:pPr>
      <w:r>
        <w:t>Con el apoyo financiero de la Secretaría General para la Igualdad de Género, el Centro de e Investigación para la Igualdad de Género (K.E.TH.I.) y sus sucursales han realizado un número considerable de estudios cuantitativos y cualitativos de la violencia doméstica. Por ejemplo, cabe mencionar los siguientes estudios:</w:t>
      </w:r>
    </w:p>
    <w:p w:rsidR="00000000" w:rsidRDefault="00000000">
      <w:pPr>
        <w:pStyle w:val="SingleTxt"/>
        <w:tabs>
          <w:tab w:val="right" w:pos="1685"/>
        </w:tabs>
        <w:ind w:left="1742" w:hanging="475"/>
      </w:pPr>
      <w:r>
        <w:tab/>
        <w:t>•</w:t>
      </w:r>
      <w:r>
        <w:tab/>
        <w:t>“Examen de la bibliografía griega y extranjera sobre la violencia doméstica contra la mujer y registro de los organismos que prestan asistencia a las muj</w:t>
      </w:r>
      <w:r>
        <w:t>e</w:t>
      </w:r>
      <w:r>
        <w:t>res” (Κ.Ε.TH.Ι. Atenas, 2000)</w:t>
      </w:r>
    </w:p>
    <w:p w:rsidR="00000000" w:rsidRDefault="00000000">
      <w:pPr>
        <w:pStyle w:val="SingleTxt"/>
        <w:tabs>
          <w:tab w:val="right" w:pos="1685"/>
        </w:tabs>
        <w:ind w:left="1742" w:hanging="475"/>
      </w:pPr>
      <w:r>
        <w:tab/>
        <w:t>•</w:t>
      </w:r>
      <w:r>
        <w:tab/>
        <w:t>“Publicación de una guía de consulta para mujeres” destinada al personal y a los consultores del Κ.Ε.TH.Ι. (Κ.Ε.TH.Ι. Atenas, 2001)</w:t>
      </w:r>
    </w:p>
    <w:p w:rsidR="00000000" w:rsidRDefault="00000000">
      <w:pPr>
        <w:pStyle w:val="SingleTxt"/>
        <w:tabs>
          <w:tab w:val="right" w:pos="1685"/>
        </w:tabs>
        <w:ind w:left="1742" w:hanging="475"/>
      </w:pPr>
      <w:r>
        <w:tab/>
        <w:t>•</w:t>
      </w:r>
      <w:r>
        <w:tab/>
        <w:t xml:space="preserve">“Perfil de las mujeres que han recurrido a los servicios prestados por el </w:t>
      </w:r>
      <w:r>
        <w:rPr>
          <w:spacing w:val="2"/>
        </w:rPr>
        <w:t>Κ.Ε.TH.Ι. En el período comprendido entre el 1º de enero de 2000 y el 30 de</w:t>
      </w:r>
      <w:r>
        <w:t xml:space="preserve"> j</w:t>
      </w:r>
      <w:r>
        <w:t>u</w:t>
      </w:r>
      <w:r>
        <w:t xml:space="preserve">nio del 2001. Evaluación de los servicios del Κ.Ε.TH.Ι. Análisis cuantitativo y </w:t>
      </w:r>
      <w:r>
        <w:rPr>
          <w:spacing w:val="2"/>
        </w:rPr>
        <w:t>cualitativo de los datos y propuestas de intervención” (Κ.Ε.TH.Ι. Atenas,</w:t>
      </w:r>
      <w:r>
        <w:t xml:space="preserve"> 2001)</w:t>
      </w:r>
    </w:p>
    <w:p w:rsidR="00000000" w:rsidRDefault="00000000">
      <w:pPr>
        <w:pStyle w:val="SingleTxt"/>
        <w:tabs>
          <w:tab w:val="right" w:pos="1685"/>
        </w:tabs>
        <w:ind w:left="1742" w:hanging="475"/>
      </w:pPr>
      <w:r>
        <w:tab/>
        <w:t>•</w:t>
      </w:r>
      <w:r>
        <w:tab/>
        <w:t>“Propuestas de estudio relativas al proyecto definitivo de proyecto de ley del Ministerio del Interior sobre la prevención de la violencia doméstica y la lucha contra ese f</w:t>
      </w:r>
      <w:r>
        <w:t>e</w:t>
      </w:r>
      <w:r>
        <w:t>nómeno” (Κ.Ε.TH.Ι. Atenas, 2002)</w:t>
      </w:r>
    </w:p>
    <w:p w:rsidR="00000000" w:rsidRDefault="00000000">
      <w:pPr>
        <w:pStyle w:val="SingleTxt"/>
        <w:tabs>
          <w:tab w:val="right" w:pos="1685"/>
        </w:tabs>
        <w:ind w:left="1742" w:hanging="475"/>
      </w:pPr>
      <w:r>
        <w:tab/>
        <w:t>•</w:t>
      </w:r>
      <w:r>
        <w:tab/>
        <w:t>“La violencia doméstica contra la mujer: primer estudio epidemiológico panhelén</w:t>
      </w:r>
      <w:r>
        <w:t>i</w:t>
      </w:r>
      <w:r>
        <w:t>co” (Κ.Ε.TH.Ι. Atenas, 2003)</w:t>
      </w:r>
    </w:p>
    <w:p w:rsidR="00000000" w:rsidRDefault="00000000">
      <w:pPr>
        <w:pStyle w:val="SingleTxt"/>
        <w:tabs>
          <w:tab w:val="right" w:pos="1685"/>
        </w:tabs>
        <w:ind w:left="1742" w:hanging="475"/>
      </w:pPr>
      <w:r>
        <w:tab/>
        <w:t>•</w:t>
      </w:r>
      <w:r>
        <w:tab/>
        <w:t xml:space="preserve">“¿Víctima o superviviente? La construcción lingüística de las identidades en </w:t>
      </w:r>
      <w:r>
        <w:rPr>
          <w:spacing w:val="2"/>
        </w:rPr>
        <w:t>las consultas sobre malos tratos: estudio analítico” (Κ.Ε.TH.Ι. Tesalónica,</w:t>
      </w:r>
      <w:r>
        <w:t xml:space="preserve"> 2001)</w:t>
      </w:r>
    </w:p>
    <w:p w:rsidR="00000000" w:rsidRDefault="00000000">
      <w:pPr>
        <w:pStyle w:val="SingleTxt"/>
        <w:tabs>
          <w:tab w:val="right" w:pos="1685"/>
        </w:tabs>
        <w:ind w:left="1742" w:hanging="475"/>
      </w:pPr>
      <w:r>
        <w:tab/>
        <w:t>•</w:t>
      </w:r>
      <w:r>
        <w:tab/>
        <w:t>“La violencia contra la mujer ejercida por sus parejas” (Κ.Ε.TH.Ι. Patra, 2001)</w:t>
      </w:r>
    </w:p>
    <w:p w:rsidR="00000000" w:rsidRDefault="00000000">
      <w:pPr>
        <w:pStyle w:val="SingleTxt"/>
        <w:tabs>
          <w:tab w:val="right" w:pos="1685"/>
        </w:tabs>
        <w:ind w:left="1742" w:hanging="475"/>
      </w:pPr>
      <w:r>
        <w:tab/>
        <w:t>•</w:t>
      </w:r>
      <w:r>
        <w:tab/>
        <w:t xml:space="preserve">“La actitud de los habitantes de la prefectura de Magnesia hacia las mujeres que son cabezas de familias monoparentales” (Κ.Ε.TH.Ι. Volós, 2002) </w:t>
      </w:r>
    </w:p>
    <w:p w:rsidR="00000000" w:rsidRDefault="00000000">
      <w:pPr>
        <w:pStyle w:val="SingleTxt"/>
        <w:numPr>
          <w:ilvl w:val="0"/>
          <w:numId w:val="286"/>
        </w:numPr>
      </w:pPr>
      <w:r>
        <w:t>Durante ese mismo periodo (2000-2004), realizaron estudios las siguientes e</w:t>
      </w:r>
      <w:r>
        <w:t>n</w:t>
      </w:r>
      <w:r>
        <w:t>tid</w:t>
      </w:r>
      <w:r>
        <w:t>a</w:t>
      </w:r>
      <w:r>
        <w:t>des científicas y sociales:</w:t>
      </w:r>
    </w:p>
    <w:p w:rsidR="00000000" w:rsidRDefault="00000000">
      <w:pPr>
        <w:pStyle w:val="SingleTxt"/>
        <w:tabs>
          <w:tab w:val="right" w:pos="1685"/>
        </w:tabs>
        <w:ind w:left="1742" w:hanging="475"/>
        <w:rPr>
          <w:b/>
          <w:i/>
        </w:rPr>
      </w:pPr>
      <w:r>
        <w:tab/>
        <w:t>•</w:t>
      </w:r>
      <w:r>
        <w:tab/>
        <w:t>Universidad Nacional y Capodistriana de Atenas, en colaboración con el Κ.Ε.TH.Ι. de Heraklion: “Relación de la violencia doméstica con la salud del gen</w:t>
      </w:r>
      <w:r>
        <w:t>e</w:t>
      </w:r>
      <w:r>
        <w:t>ral y con la imagen del cuerpo de la mujer” (2003)</w:t>
      </w:r>
    </w:p>
    <w:p w:rsidR="00000000" w:rsidRDefault="00000000">
      <w:pPr>
        <w:pStyle w:val="SingleTxt"/>
        <w:tabs>
          <w:tab w:val="right" w:pos="1685"/>
        </w:tabs>
        <w:ind w:left="1742" w:hanging="475"/>
      </w:pPr>
      <w:r>
        <w:tab/>
        <w:t>•</w:t>
      </w:r>
      <w:r>
        <w:tab/>
        <w:t>Escuela de Medicina de Atenas: “Instrumentos de examen para identificar la violencia por parte de la pareja” y “Desarrollo y prueba piloto de un módulo sobre el papel del personal de atención de la salud en la evaluación y la pr</w:t>
      </w:r>
      <w:r>
        <w:t>e</w:t>
      </w:r>
      <w:r>
        <w:t>vención de la violencia por parte de la pareja” (2003)</w:t>
      </w:r>
    </w:p>
    <w:p w:rsidR="00000000" w:rsidRDefault="00000000">
      <w:pPr>
        <w:pStyle w:val="SingleTxt"/>
        <w:tabs>
          <w:tab w:val="right" w:pos="1685"/>
        </w:tabs>
        <w:ind w:left="1742" w:hanging="475"/>
      </w:pPr>
      <w:r>
        <w:tab/>
        <w:t>•</w:t>
      </w:r>
      <w:r>
        <w:tab/>
        <w:t>ΚΕSΟ – Albergue de la Archidiócesis de Atenas: “Estudio de la situación s</w:t>
      </w:r>
      <w:r>
        <w:t>o</w:t>
      </w:r>
      <w:r>
        <w:t>cial de las mujeres acogidas en el Albergue para Madres” y “Perfil de las pe</w:t>
      </w:r>
      <w:r>
        <w:t>r</w:t>
      </w:r>
      <w:r>
        <w:t>sonas que ab</w:t>
      </w:r>
      <w:r>
        <w:t>u</w:t>
      </w:r>
      <w:r>
        <w:t>san sexualmente de niños” (2003)</w:t>
      </w:r>
    </w:p>
    <w:p w:rsidR="00000000" w:rsidRDefault="00000000">
      <w:pPr>
        <w:pStyle w:val="SingleTxt"/>
        <w:tabs>
          <w:tab w:val="right" w:pos="1685"/>
        </w:tabs>
        <w:ind w:left="1742" w:hanging="475"/>
      </w:pPr>
      <w:r>
        <w:tab/>
        <w:t>•</w:t>
      </w:r>
      <w:r>
        <w:tab/>
        <w:t>Centro de Investigación y Asistencia a las Víctimas de los Malos Tratos y la Exclusión Social: “Mujeres víctimas de la violencia doméstica: pautas de comportamie</w:t>
      </w:r>
      <w:r>
        <w:t>n</w:t>
      </w:r>
      <w:r>
        <w:t>to” (2003)</w:t>
      </w:r>
    </w:p>
    <w:p w:rsidR="00000000" w:rsidRDefault="00000000">
      <w:pPr>
        <w:pStyle w:val="SingleTxt"/>
        <w:tabs>
          <w:tab w:val="right" w:pos="1685"/>
        </w:tabs>
        <w:ind w:left="1742" w:hanging="475"/>
      </w:pPr>
      <w:r>
        <w:tab/>
        <w:t>•</w:t>
      </w:r>
      <w:r>
        <w:tab/>
        <w:t>Centro de Investigación y Asistencia a las Víctimas de Malos Tratos y de la Exclusión Social: “Violencia doméstica: primer informe de una organización que presta asistencia a las mujeres maltratadas” (2004).</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 xml:space="preserve">Actividades del gobierno </w:t>
      </w:r>
    </w:p>
    <w:p w:rsidR="00000000" w:rsidRDefault="00000000">
      <w:pPr>
        <w:pStyle w:val="SingleTxt"/>
        <w:spacing w:after="0" w:line="120" w:lineRule="exact"/>
        <w:rPr>
          <w:sz w:val="10"/>
        </w:rPr>
      </w:pPr>
    </w:p>
    <w:p w:rsidR="00000000" w:rsidRDefault="00000000">
      <w:pPr>
        <w:pStyle w:val="SingleTxt"/>
        <w:numPr>
          <w:ilvl w:val="0"/>
          <w:numId w:val="286"/>
        </w:numPr>
      </w:pPr>
      <w:r>
        <w:rPr>
          <w:i/>
        </w:rPr>
        <w:t>Ministerio del Interior, Administración Pública y Descentralización (en col</w:t>
      </w:r>
      <w:r>
        <w:rPr>
          <w:i/>
        </w:rPr>
        <w:t>a</w:t>
      </w:r>
      <w:r>
        <w:rPr>
          <w:i/>
          <w:spacing w:val="6"/>
        </w:rPr>
        <w:t>boración con el Instituto de Formación del Centro Nacional de Administración Pú</w:t>
      </w:r>
      <w:r>
        <w:rPr>
          <w:i/>
        </w:rPr>
        <w:t>blica)</w:t>
      </w:r>
    </w:p>
    <w:p w:rsidR="00000000" w:rsidRDefault="00000000">
      <w:pPr>
        <w:pStyle w:val="SingleTxt"/>
        <w:tabs>
          <w:tab w:val="right" w:pos="1685"/>
        </w:tabs>
        <w:ind w:left="1742" w:hanging="475"/>
      </w:pPr>
      <w:r>
        <w:tab/>
        <w:t>•</w:t>
      </w:r>
      <w:r>
        <w:tab/>
        <w:t>Organización de dos conferencias sobre “La violencia contra la mujer como obst</w:t>
      </w:r>
      <w:r>
        <w:t>á</w:t>
      </w:r>
      <w:r>
        <w:t>culo para la igualdad” (Atenas y Tesalónica 2003)</w:t>
      </w:r>
    </w:p>
    <w:p w:rsidR="00000000" w:rsidRDefault="00000000">
      <w:pPr>
        <w:pStyle w:val="SingleTxt"/>
        <w:tabs>
          <w:tab w:val="right" w:pos="1685"/>
        </w:tabs>
        <w:ind w:left="1742" w:hanging="475"/>
      </w:pPr>
      <w:r>
        <w:tab/>
        <w:t>•</w:t>
      </w:r>
      <w:r>
        <w:tab/>
        <w:t>Organización de tres programas de formación para funcionarios públicos con el t</w:t>
      </w:r>
      <w:r>
        <w:t>í</w:t>
      </w:r>
      <w:r>
        <w:t xml:space="preserve">tulo “Igualdad de género y violencia contra la mujer” (Atenas 2003) </w:t>
      </w:r>
    </w:p>
    <w:p w:rsidR="00000000" w:rsidRDefault="00000000">
      <w:pPr>
        <w:pStyle w:val="SingleTxt"/>
        <w:tabs>
          <w:tab w:val="right" w:pos="1685"/>
        </w:tabs>
        <w:ind w:left="1742" w:hanging="475"/>
      </w:pPr>
      <w:r>
        <w:tab/>
        <w:t>•</w:t>
      </w:r>
      <w:r>
        <w:tab/>
        <w:t>Organización de una conferencia sobre “Métodos para luchar contra el fen</w:t>
      </w:r>
      <w:r>
        <w:t>ó</w:t>
      </w:r>
      <w:r>
        <w:t>meno de la violencia contra la mujer”, en colaboración con la Asociación de Agentes de Pol</w:t>
      </w:r>
      <w:r>
        <w:t>i</w:t>
      </w:r>
      <w:r>
        <w:t>cía de Ática (Atenas 2004).</w:t>
      </w:r>
    </w:p>
    <w:p w:rsidR="00000000" w:rsidRDefault="00000000">
      <w:pPr>
        <w:pStyle w:val="SingleTxt"/>
        <w:numPr>
          <w:ilvl w:val="0"/>
          <w:numId w:val="286"/>
        </w:numPr>
      </w:pPr>
      <w:r>
        <w:rPr>
          <w:i/>
        </w:rPr>
        <w:t xml:space="preserve">Ministerio de Orden Público </w:t>
      </w:r>
    </w:p>
    <w:p w:rsidR="00000000" w:rsidRDefault="00000000">
      <w:pPr>
        <w:pStyle w:val="SingleTxt"/>
        <w:tabs>
          <w:tab w:val="right" w:pos="1685"/>
        </w:tabs>
        <w:ind w:left="1742" w:hanging="475"/>
      </w:pPr>
      <w:r>
        <w:tab/>
        <w:t>•</w:t>
      </w:r>
      <w:r>
        <w:tab/>
        <w:t>Ha incluido en el programa de estudios de las Academias de Policía de Grecia (Agentes de Policía, Oficiales de Policía, Escuela de Educación y Formación de Postgrado y Escuela de Seguridad Nacional) cursos obligatorios sobre t</w:t>
      </w:r>
      <w:r>
        <w:t>e</w:t>
      </w:r>
      <w:r>
        <w:t>mas relacionados con la protección de los derechos humanos en general, los delitos contra la libertad sexual y la protección contra la violación.</w:t>
      </w:r>
    </w:p>
    <w:p w:rsidR="00000000" w:rsidRDefault="00000000">
      <w:pPr>
        <w:pStyle w:val="SingleTxt"/>
        <w:tabs>
          <w:tab w:val="right" w:pos="1685"/>
        </w:tabs>
        <w:ind w:left="1742" w:hanging="475"/>
      </w:pPr>
      <w:r>
        <w:tab/>
        <w:t>•</w:t>
      </w:r>
      <w:r>
        <w:tab/>
        <w:t>En el contexto de la formación relacionada con el tratamiento de las víctimas de una violación, agentes de los servicios de seguridad han participado en s</w:t>
      </w:r>
      <w:r>
        <w:t>e</w:t>
      </w:r>
      <w:r>
        <w:t>minarios en el extranjero: en el Reino Unido (los días 9 y 10 de mayo del 2000, 23 a 26 de junio del 2003 y 27 a 30 de junio de 2004), en Alemania (del 18 al 26 de o</w:t>
      </w:r>
      <w:r>
        <w:t>c</w:t>
      </w:r>
      <w:r>
        <w:t>tubre 2004) y en Suecia (del 13 al 18 de marzo de 2004).</w:t>
      </w:r>
    </w:p>
    <w:p w:rsidR="00000000" w:rsidRDefault="00000000">
      <w:pPr>
        <w:pStyle w:val="SingleTxt"/>
        <w:tabs>
          <w:tab w:val="right" w:pos="1685"/>
        </w:tabs>
        <w:ind w:left="1742" w:hanging="475"/>
      </w:pPr>
      <w:r>
        <w:tab/>
        <w:t>•</w:t>
      </w:r>
      <w:r>
        <w:tab/>
        <w:t>En el contexto de la formación del personal del Cuerpo de Policía sobre el tratamiento de las mujeres víctimas de la violencia doméstica, el Ministerio ha organiz</w:t>
      </w:r>
      <w:r>
        <w:t>a</w:t>
      </w:r>
      <w:r>
        <w:t>do y ejecutado:</w:t>
      </w:r>
    </w:p>
    <w:p w:rsidR="00000000" w:rsidRDefault="00000000">
      <w:pPr>
        <w:pStyle w:val="SingleTxt"/>
        <w:tabs>
          <w:tab w:val="right" w:pos="1685"/>
        </w:tabs>
        <w:ind w:left="1742" w:hanging="475"/>
      </w:pPr>
      <w:r>
        <w:tab/>
        <w:t>–</w:t>
      </w:r>
      <w:r>
        <w:tab/>
        <w:t>Entre febrero y mayo de 2001, un programa piloto en cuyo marco se contrató a asistentes sociales y psicólogos en las comisarías de policía regionales, con el fin de: a) buscar/localizar a personas que necesitaran ayuda, b) investigar las denuncias de malos tratos, c) llevar un registro de todos los casos, d) colaborar en el proyecto en calidad de expertos, e) preparar un informe y f) remitir a los interesados a los o</w:t>
      </w:r>
      <w:r>
        <w:t>r</w:t>
      </w:r>
      <w:r>
        <w:t xml:space="preserve">ganismos competentes. </w:t>
      </w:r>
    </w:p>
    <w:p w:rsidR="00000000" w:rsidRDefault="00000000">
      <w:pPr>
        <w:pStyle w:val="SingleTxt"/>
        <w:tabs>
          <w:tab w:val="right" w:pos="1685"/>
        </w:tabs>
        <w:ind w:left="1742" w:hanging="475"/>
      </w:pPr>
      <w:r>
        <w:tab/>
        <w:t>–</w:t>
      </w:r>
      <w:r>
        <w:tab/>
        <w:t>Hasta 2002 el programa se aplicó a las comisarías de policía de la capital (di</w:t>
      </w:r>
      <w:r>
        <w:t>s</w:t>
      </w:r>
      <w:r>
        <w:t>tritos de Omonoia, Acharnon, Kolonos y Exarheia), y en otros distritos (Plaza de la Democracia, Dendropotamou, Stavroupolis/Tesalónica, Larissa, Β΄ Patra, Veroia, Α΄ Heraklion), así como en las comisarías de policía del Subdepart</w:t>
      </w:r>
      <w:r>
        <w:t>a</w:t>
      </w:r>
      <w:r>
        <w:t>mento de Delincuencia Juvenil de Ática y los Departamentos de Seguridad de Her</w:t>
      </w:r>
      <w:r>
        <w:t>a</w:t>
      </w:r>
      <w:r>
        <w:t>klion y Patra.</w:t>
      </w:r>
    </w:p>
    <w:p w:rsidR="00000000" w:rsidRDefault="00000000">
      <w:pPr>
        <w:pStyle w:val="SingleTxt"/>
        <w:tabs>
          <w:tab w:val="right" w:pos="1685"/>
        </w:tabs>
        <w:ind w:left="1742" w:hanging="475"/>
      </w:pPr>
      <w:r>
        <w:tab/>
        <w:t>–</w:t>
      </w:r>
      <w:r>
        <w:tab/>
        <w:t>La segunda fase del programa se desarrolló de septiembre 2002 a septiembre de 2003, y se adhirieron a él otras cinco comisarías de policía, tres en el di</w:t>
      </w:r>
      <w:r>
        <w:t>s</w:t>
      </w:r>
      <w:r>
        <w:t>trito de Atenas (Kallithea, Ag. Panteleimonas y Kypseli), y dos en Tesalónica (Comisaría de Policía de la Guardia Fronteriza y Torre Blanca).</w:t>
      </w:r>
    </w:p>
    <w:p w:rsidR="00000000" w:rsidRDefault="00000000">
      <w:pPr>
        <w:pStyle w:val="SingleTxt"/>
        <w:tabs>
          <w:tab w:val="right" w:pos="1685"/>
        </w:tabs>
        <w:ind w:left="1742" w:hanging="475"/>
      </w:pPr>
      <w:r>
        <w:tab/>
        <w:t>•</w:t>
      </w:r>
      <w:r>
        <w:tab/>
        <w:t>Durante ese mismo periodo se organizaron tres seminarios de formación dest</w:t>
      </w:r>
      <w:r>
        <w:t>i</w:t>
      </w:r>
      <w:r>
        <w:t>nados a sensibilizar al personal de la policía y se facilitaron a todas las comis</w:t>
      </w:r>
      <w:r>
        <w:t>a</w:t>
      </w:r>
      <w:r>
        <w:t>rías del país los números de teléfono de los Centros de Asesoramiento de la Secret</w:t>
      </w:r>
      <w:r>
        <w:t>a</w:t>
      </w:r>
      <w:r>
        <w:t xml:space="preserve">ría General para la Igualdad de Género. </w:t>
      </w:r>
    </w:p>
    <w:p w:rsidR="00000000" w:rsidRDefault="00000000">
      <w:pPr>
        <w:pStyle w:val="SingleTxt"/>
        <w:numPr>
          <w:ilvl w:val="0"/>
          <w:numId w:val="286"/>
        </w:numPr>
      </w:pPr>
      <w:r>
        <w:rPr>
          <w:i/>
        </w:rPr>
        <w:t xml:space="preserve">Ministerio de Salud y Bienestar Social </w:t>
      </w:r>
    </w:p>
    <w:p w:rsidR="00000000" w:rsidRDefault="00000000">
      <w:pPr>
        <w:pStyle w:val="SingleTxt"/>
        <w:tabs>
          <w:tab w:val="right" w:pos="1685"/>
        </w:tabs>
        <w:ind w:left="1742" w:hanging="475"/>
      </w:pPr>
      <w:r>
        <w:tab/>
        <w:t>•</w:t>
      </w:r>
      <w:r>
        <w:tab/>
        <w:t>Programas de formación en todas las especialidades destinados al personal del Centro Nacional de Asistencia Social de Emergencia (EKAKV), psicólogos, asistentes sociales, sociólogos, profesores de guardería, educadores, psiqui</w:t>
      </w:r>
      <w:r>
        <w:t>a</w:t>
      </w:r>
      <w:r>
        <w:t>tras y enfermeros.</w:t>
      </w:r>
    </w:p>
    <w:p w:rsidR="00000000" w:rsidRDefault="00000000">
      <w:pPr>
        <w:pStyle w:val="SingleTxt"/>
        <w:tabs>
          <w:tab w:val="right" w:pos="1685"/>
        </w:tabs>
        <w:ind w:left="1742" w:hanging="475"/>
      </w:pPr>
      <w:r>
        <w:tab/>
        <w:t>•</w:t>
      </w:r>
      <w:r>
        <w:tab/>
        <w:t>Programa Introductorio de Formación sobre: “Intervenciones en situaciones de crisis” (12 a 21 de diciembre de 2001), programa de formación sobre “Mujeres maltratadas – Intervenciones en situaciones de crisis – Primer contacto con o</w:t>
      </w:r>
      <w:r>
        <w:t>r</w:t>
      </w:r>
      <w:r>
        <w:t>ganismos – Enlace con formas especiales de asistencia” (3 a 20 de febrero de 2003) con la participación de funcionarios públicos de otros órganos colabor</w:t>
      </w:r>
      <w:r>
        <w:t>a</w:t>
      </w:r>
      <w:r>
        <w:t>dores de la Organización Nacional de Asistencia Social (esa Organización se suprimió en virtud del artículo 5 de la Ley 3100/2003).</w:t>
      </w:r>
    </w:p>
    <w:p w:rsidR="00000000" w:rsidRDefault="00000000">
      <w:pPr>
        <w:pStyle w:val="SingleTxt"/>
        <w:tabs>
          <w:tab w:val="clear" w:pos="1742"/>
        </w:tabs>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numPr>
                <w:ilvl w:val="12"/>
                <w:numId w:val="0"/>
              </w:numPr>
              <w:spacing w:before="40" w:after="80"/>
              <w:jc w:val="both"/>
              <w:rPr>
                <w:i/>
              </w:rPr>
            </w:pPr>
            <w:r>
              <w:rPr>
                <w:i/>
              </w:rPr>
              <w:tab/>
              <w:t>Artículo 7</w:t>
            </w:r>
          </w:p>
          <w:p w:rsidR="00000000" w:rsidRDefault="00000000">
            <w:pPr>
              <w:numPr>
                <w:ilvl w:val="12"/>
                <w:numId w:val="0"/>
              </w:numPr>
              <w:spacing w:before="40" w:after="80"/>
              <w:jc w:val="both"/>
              <w:rPr>
                <w:i/>
              </w:rPr>
            </w:pPr>
            <w:r>
              <w:rPr>
                <w:i/>
              </w:rPr>
              <w:tab/>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000000" w:rsidRDefault="00000000">
            <w:pPr>
              <w:numPr>
                <w:ilvl w:val="12"/>
                <w:numId w:val="0"/>
              </w:numPr>
              <w:spacing w:before="40" w:after="80"/>
              <w:jc w:val="both"/>
              <w:rPr>
                <w:i/>
              </w:rPr>
            </w:pPr>
            <w:r>
              <w:rPr>
                <w:i/>
              </w:rPr>
              <w:tab/>
              <w:t>a)</w:t>
            </w:r>
            <w:r>
              <w:rPr>
                <w:i/>
              </w:rPr>
              <w:tab/>
              <w:t xml:space="preserve">Votar en todas las elecciones y referéndums públicos y ser elegibles para todos los organismos cuyos miembros sean objeto de elecciones públicas; </w:t>
            </w:r>
          </w:p>
          <w:p w:rsidR="00000000" w:rsidRDefault="00000000">
            <w:pPr>
              <w:numPr>
                <w:ilvl w:val="12"/>
                <w:numId w:val="0"/>
              </w:numPr>
              <w:spacing w:before="40" w:after="80"/>
              <w:jc w:val="both"/>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c)</w:t>
            </w:r>
            <w:r>
              <w:rPr>
                <w:i/>
              </w:rPr>
              <w:tab/>
              <w:t>Participar en organizaciones y asociaciones no gubernamentales que se ocupen de la vida pública y política del país.</w:t>
            </w:r>
          </w:p>
        </w:tc>
        <w:tc>
          <w:tcPr>
            <w:tcW w:w="144" w:type="dxa"/>
          </w:tcPr>
          <w:p w:rsidR="00000000" w:rsidRDefault="00000000">
            <w:pPr>
              <w:pStyle w:val="SingleTxt"/>
            </w:pP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numPr>
          <w:ilvl w:val="0"/>
          <w:numId w:val="294"/>
        </w:numPr>
      </w:pPr>
      <w:r>
        <w:t>Con el fin de aplicar el Programa de Acción para la Igualdad 2001-2006, de</w:t>
      </w:r>
      <w:r>
        <w:t>s</w:t>
      </w:r>
      <w:r>
        <w:rPr>
          <w:spacing w:val="6"/>
        </w:rPr>
        <w:t>tinado a promover la participación de las mujeres en los órganos de adopción de de</w:t>
      </w:r>
      <w:r>
        <w:t>cisiones, se han aprobado leyes y se han tomado medidas</w:t>
      </w:r>
      <w:r>
        <w:rPr>
          <w:rStyle w:val="FootnoteReference"/>
          <w:sz w:val="23"/>
        </w:rPr>
        <w:footnoteReference w:id="24"/>
      </w:r>
      <w:r>
        <w:t xml:space="preserve"> con miras a garantizar una intervención integrada en relación con esa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legislativo</w:t>
      </w:r>
    </w:p>
    <w:p w:rsidR="00000000" w:rsidRDefault="00000000">
      <w:pPr>
        <w:pStyle w:val="SingleTxt"/>
        <w:spacing w:after="0" w:line="120" w:lineRule="exact"/>
        <w:rPr>
          <w:sz w:val="10"/>
        </w:rPr>
      </w:pPr>
    </w:p>
    <w:p w:rsidR="00000000" w:rsidRDefault="00000000">
      <w:pPr>
        <w:pStyle w:val="SingleTxt"/>
        <w:numPr>
          <w:ilvl w:val="0"/>
          <w:numId w:val="287"/>
        </w:numPr>
      </w:pPr>
      <w:r>
        <w:t>La Ley 2839/2000 (artículo 6) prevé que al menos un tercio de los miembros de las juntas de departamento y los órganos colectivos de las instituciones públicas y de la las administraciones locales sean mujeres. Hoy en día, la aplicación de la cuota de participación mínima de un tercio de cada sexo en las juntas de depart</w:t>
      </w:r>
      <w:r>
        <w:t>a</w:t>
      </w:r>
      <w:r>
        <w:t xml:space="preserve">mento ha dado resultados positivos en un total de 21 juntas de departamento de los Ministerios, en las que el porcentaje de participación de las mujeres se sitúa entre un 40 y un 60%. </w:t>
      </w:r>
    </w:p>
    <w:p w:rsidR="00000000" w:rsidRDefault="00000000">
      <w:pPr>
        <w:pStyle w:val="SingleTxt"/>
        <w:numPr>
          <w:ilvl w:val="0"/>
          <w:numId w:val="287"/>
        </w:numPr>
        <w:rPr>
          <w:color w:val="000000"/>
        </w:rPr>
      </w:pPr>
      <w:r>
        <w:t>La Ley 2910/2001 establece una cuota de participación mínima de un tercio de cada sexo en las candidaturas a las elecciones municipales y de prefectura. Con una serie de decisiones, el Consejo de Estado ha determinado que la disposición me</w:t>
      </w:r>
      <w:r>
        <w:t>n</w:t>
      </w:r>
      <w:r>
        <w:t>cionada está en conformidad con la Constitución (párrafo 2 del artículo 116 revisado de la Constitución)</w:t>
      </w:r>
      <w:r>
        <w:rPr>
          <w:rStyle w:val="FootnoteReference"/>
        </w:rPr>
        <w:footnoteReference w:id="25"/>
      </w:r>
      <w:r>
        <w:rPr>
          <w:color w:val="000000"/>
        </w:rPr>
        <w:t>.</w:t>
      </w:r>
    </w:p>
    <w:p w:rsidR="00000000" w:rsidRDefault="00000000">
      <w:pPr>
        <w:pStyle w:val="SingleTxt"/>
        <w:numPr>
          <w:ilvl w:val="0"/>
          <w:numId w:val="287"/>
        </w:numPr>
      </w:pPr>
      <w:r>
        <w:t>En virtud de una decisión</w:t>
      </w:r>
      <w:r>
        <w:rPr>
          <w:b/>
        </w:rPr>
        <w:t xml:space="preserve"> </w:t>
      </w:r>
      <w:r>
        <w:t>del Primer Ministro</w:t>
      </w:r>
      <w:r>
        <w:rPr>
          <w:rStyle w:val="FootnoteReference"/>
        </w:rPr>
        <w:footnoteReference w:id="26"/>
      </w:r>
      <w:r>
        <w:t>, en 2000 se creó el</w:t>
      </w:r>
      <w:r>
        <w:rPr>
          <w:i/>
        </w:rPr>
        <w:t xml:space="preserve"> Comité Interministerial para la Igualdad de Género. </w:t>
      </w:r>
    </w:p>
    <w:p w:rsidR="00000000" w:rsidRDefault="00000000">
      <w:pPr>
        <w:pStyle w:val="SingleTxt"/>
        <w:numPr>
          <w:ilvl w:val="0"/>
          <w:numId w:val="287"/>
        </w:numPr>
      </w:pPr>
      <w:r>
        <w:t xml:space="preserve">En el contexto del funcionamiento del Parlamento de Grecia, en 2002 se puso en marcha un </w:t>
      </w:r>
      <w:r>
        <w:rPr>
          <w:i/>
        </w:rPr>
        <w:t>Comité Parlamentario Permanente para la Igualdad y los Derechos H</w:t>
      </w:r>
      <w:r>
        <w:rPr>
          <w:i/>
        </w:rPr>
        <w:t>u</w:t>
      </w:r>
      <w:r>
        <w:rPr>
          <w:i/>
        </w:rPr>
        <w:t>manos</w:t>
      </w:r>
      <w:r>
        <w:rPr>
          <w:rStyle w:val="FootnoteReference"/>
        </w:rPr>
        <w:footnoteReference w:id="27"/>
      </w:r>
      <w:r>
        <w:t>.</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Participación de la mujer en la vida política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6</w:t>
      </w:r>
      <w:r>
        <w:t>.</w:t>
      </w:r>
      <w:r>
        <w:tab/>
        <w:t>Parlamento Europeo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participación femenina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 de mujeres elegidas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participación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7</w:t>
      </w:r>
      <w:r>
        <w:t>.</w:t>
      </w:r>
      <w:r>
        <w:tab/>
        <w:t>Parlamento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elegidas, 1996-2000-2004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 de mujeres elegidas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participación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8.</w:t>
      </w:r>
      <w:r>
        <w:tab/>
        <w:t>Participación en el Gobierno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nombradas, 1996-2000-2004</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participación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rPr>
          <w:i w:val="0"/>
        </w:rPr>
        <w:t>9.</w:t>
      </w:r>
      <w:r>
        <w:tab/>
        <w:t>Participación en las administraciones locales de las prefecturas y los municipios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r>
              <w:rPr>
                <w:i/>
                <w:sz w:val="14"/>
              </w:rPr>
              <w:br/>
              <w:t>(Porcentaje)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r>
              <w:rPr>
                <w:i/>
                <w:sz w:val="14"/>
              </w:rPr>
              <w:b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Concejalas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Consejeras de prefectura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Prefectas –Subprefectas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116885466"/>
      <w:r>
        <w:tab/>
      </w:r>
      <w:r>
        <w:rPr>
          <w:i w:val="0"/>
        </w:rPr>
        <w:t>10.</w:t>
      </w:r>
      <w:r>
        <w:tab/>
        <w:t>Participación de las mujeres en el Parlamento Nacional</w:t>
      </w:r>
      <w:bookmarkEnd w:id="23"/>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80"/>
        <w:gridCol w:w="720"/>
        <w:gridCol w:w="630"/>
        <w:gridCol w:w="810"/>
        <w:gridCol w:w="90"/>
        <w:gridCol w:w="750"/>
        <w:gridCol w:w="750"/>
        <w:gridCol w:w="750"/>
        <w:gridCol w:w="90"/>
        <w:gridCol w:w="660"/>
        <w:gridCol w:w="600"/>
        <w:gridCol w:w="810"/>
        <w:gridCol w:w="90"/>
        <w:gridCol w:w="630"/>
        <w:gridCol w:w="630"/>
        <w:gridCol w:w="766"/>
      </w:tblGrid>
      <w:tr w:rsidR="00000000">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000000" w:rsidRDefault="00000000">
            <w:pPr>
              <w:spacing w:before="80" w:after="80" w:line="160" w:lineRule="exact"/>
              <w:ind w:right="40"/>
              <w:rPr>
                <w:i/>
                <w:sz w:val="14"/>
              </w:rPr>
            </w:pPr>
          </w:p>
        </w:tc>
        <w:tc>
          <w:tcPr>
            <w:tcW w:w="216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N.D.</w:t>
            </w:r>
          </w:p>
        </w:tc>
        <w:tc>
          <w:tcPr>
            <w:tcW w:w="90" w:type="dxa"/>
            <w:tcBorders>
              <w:top w:val="single" w:sz="4" w:space="0" w:color="auto"/>
            </w:tcBorders>
            <w:vAlign w:val="bottom"/>
          </w:tcPr>
          <w:p w:rsidR="00000000" w:rsidRDefault="00000000">
            <w:pPr>
              <w:spacing w:before="80" w:after="80" w:line="160" w:lineRule="exact"/>
              <w:ind w:right="40"/>
              <w:jc w:val="center"/>
              <w:rPr>
                <w:i/>
                <w:sz w:val="14"/>
              </w:rPr>
            </w:pPr>
          </w:p>
        </w:tc>
        <w:tc>
          <w:tcPr>
            <w:tcW w:w="225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Pasok</w:t>
            </w:r>
          </w:p>
        </w:tc>
        <w:tc>
          <w:tcPr>
            <w:tcW w:w="90" w:type="dxa"/>
            <w:tcBorders>
              <w:top w:val="single" w:sz="4" w:space="0" w:color="auto"/>
            </w:tcBorders>
            <w:vAlign w:val="bottom"/>
          </w:tcPr>
          <w:p w:rsidR="00000000" w:rsidRDefault="00000000">
            <w:pPr>
              <w:spacing w:before="80" w:after="80" w:line="160" w:lineRule="exact"/>
              <w:ind w:right="40"/>
              <w:jc w:val="center"/>
              <w:rPr>
                <w:i/>
                <w:sz w:val="14"/>
              </w:rPr>
            </w:pPr>
          </w:p>
        </w:tc>
        <w:tc>
          <w:tcPr>
            <w:tcW w:w="207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KKE</w:t>
            </w:r>
          </w:p>
        </w:tc>
        <w:tc>
          <w:tcPr>
            <w:tcW w:w="90" w:type="dxa"/>
            <w:tcBorders>
              <w:top w:val="single" w:sz="4" w:space="0" w:color="auto"/>
            </w:tcBorders>
            <w:vAlign w:val="bottom"/>
          </w:tcPr>
          <w:p w:rsidR="00000000" w:rsidRDefault="00000000">
            <w:pPr>
              <w:spacing w:before="80" w:after="80" w:line="160" w:lineRule="exact"/>
              <w:ind w:right="40"/>
              <w:jc w:val="center"/>
              <w:rPr>
                <w:i/>
                <w:sz w:val="14"/>
              </w:rPr>
            </w:pPr>
          </w:p>
        </w:tc>
        <w:tc>
          <w:tcPr>
            <w:tcW w:w="202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Synaspismos</w:t>
            </w:r>
          </w:p>
        </w:tc>
      </w:tr>
      <w:tr w:rsidR="00000000">
        <w:tblPrEx>
          <w:tblCellMar>
            <w:top w:w="0" w:type="dxa"/>
            <w:left w:w="0" w:type="dxa"/>
            <w:bottom w:w="0" w:type="dxa"/>
            <w:right w:w="0" w:type="dxa"/>
          </w:tblCellMar>
        </w:tblPrEx>
        <w:trPr>
          <w:tblHeader/>
        </w:trPr>
        <w:tc>
          <w:tcPr>
            <w:tcW w:w="1080" w:type="dxa"/>
            <w:vAlign w:val="bottom"/>
          </w:tcPr>
          <w:p w:rsidR="00000000" w:rsidRDefault="00000000">
            <w:pPr>
              <w:spacing w:after="80" w:line="160" w:lineRule="exact"/>
              <w:ind w:right="40"/>
              <w:rPr>
                <w:i/>
                <w:sz w:val="14"/>
              </w:rPr>
            </w:pPr>
          </w:p>
        </w:tc>
        <w:tc>
          <w:tcPr>
            <w:tcW w:w="720" w:type="dxa"/>
            <w:vAlign w:val="bottom"/>
          </w:tcPr>
          <w:p w:rsidR="00000000" w:rsidRDefault="00000000">
            <w:pPr>
              <w:spacing w:after="80" w:line="160" w:lineRule="exact"/>
              <w:ind w:right="40"/>
              <w:jc w:val="right"/>
              <w:rPr>
                <w:i/>
                <w:sz w:val="14"/>
              </w:rPr>
            </w:pPr>
            <w:r>
              <w:rPr>
                <w:i/>
                <w:sz w:val="14"/>
              </w:rPr>
              <w:t>Total</w:t>
            </w:r>
          </w:p>
        </w:tc>
        <w:tc>
          <w:tcPr>
            <w:tcW w:w="630" w:type="dxa"/>
            <w:vAlign w:val="bottom"/>
          </w:tcPr>
          <w:p w:rsidR="00000000" w:rsidRDefault="00000000">
            <w:pPr>
              <w:spacing w:after="80" w:line="160" w:lineRule="exact"/>
              <w:ind w:right="40"/>
              <w:jc w:val="right"/>
              <w:rPr>
                <w:i/>
                <w:sz w:val="14"/>
              </w:rPr>
            </w:pPr>
            <w:r>
              <w:rPr>
                <w:i/>
                <w:sz w:val="14"/>
              </w:rPr>
              <w:t>Mujeres</w:t>
            </w:r>
          </w:p>
        </w:tc>
        <w:tc>
          <w:tcPr>
            <w:tcW w:w="810" w:type="dxa"/>
            <w:vAlign w:val="bottom"/>
          </w:tcPr>
          <w:p w:rsidR="00000000" w:rsidRDefault="00000000">
            <w:pPr>
              <w:spacing w:after="80" w:line="160" w:lineRule="exact"/>
              <w:ind w:right="40"/>
              <w:jc w:val="right"/>
              <w:rPr>
                <w:i/>
                <w:sz w:val="14"/>
              </w:rPr>
            </w:pPr>
            <w:r>
              <w:rPr>
                <w:i/>
                <w:sz w:val="14"/>
              </w:rPr>
              <w:t>Porcentaje</w:t>
            </w:r>
          </w:p>
        </w:tc>
        <w:tc>
          <w:tcPr>
            <w:tcW w:w="90" w:type="dxa"/>
            <w:vAlign w:val="bottom"/>
          </w:tcPr>
          <w:p w:rsidR="00000000" w:rsidRDefault="00000000">
            <w:pPr>
              <w:spacing w:after="80" w:line="160" w:lineRule="exact"/>
              <w:ind w:right="40"/>
              <w:jc w:val="right"/>
              <w:rPr>
                <w:i/>
                <w:sz w:val="14"/>
              </w:rPr>
            </w:pPr>
          </w:p>
        </w:tc>
        <w:tc>
          <w:tcPr>
            <w:tcW w:w="750" w:type="dxa"/>
            <w:vAlign w:val="bottom"/>
          </w:tcPr>
          <w:p w:rsidR="00000000" w:rsidRDefault="00000000">
            <w:pPr>
              <w:spacing w:after="80" w:line="160" w:lineRule="exact"/>
              <w:ind w:right="40"/>
              <w:jc w:val="right"/>
              <w:rPr>
                <w:i/>
                <w:sz w:val="14"/>
              </w:rPr>
            </w:pPr>
            <w:r>
              <w:rPr>
                <w:i/>
                <w:sz w:val="14"/>
              </w:rPr>
              <w:t>Total</w:t>
            </w:r>
          </w:p>
        </w:tc>
        <w:tc>
          <w:tcPr>
            <w:tcW w:w="750" w:type="dxa"/>
            <w:vAlign w:val="bottom"/>
          </w:tcPr>
          <w:p w:rsidR="00000000" w:rsidRDefault="00000000">
            <w:pPr>
              <w:spacing w:after="80" w:line="160" w:lineRule="exact"/>
              <w:ind w:right="40"/>
              <w:jc w:val="right"/>
              <w:rPr>
                <w:i/>
                <w:sz w:val="14"/>
              </w:rPr>
            </w:pPr>
            <w:r>
              <w:rPr>
                <w:i/>
                <w:sz w:val="14"/>
              </w:rPr>
              <w:t>Mujeres</w:t>
            </w:r>
          </w:p>
        </w:tc>
        <w:tc>
          <w:tcPr>
            <w:tcW w:w="750" w:type="dxa"/>
            <w:vAlign w:val="bottom"/>
          </w:tcPr>
          <w:p w:rsidR="00000000" w:rsidRDefault="00000000">
            <w:pPr>
              <w:spacing w:after="80" w:line="160" w:lineRule="exact"/>
              <w:ind w:right="40"/>
              <w:jc w:val="right"/>
              <w:rPr>
                <w:i/>
                <w:sz w:val="14"/>
              </w:rPr>
            </w:pPr>
            <w:r>
              <w:rPr>
                <w:i/>
                <w:sz w:val="14"/>
              </w:rPr>
              <w:t>Porcentaje</w:t>
            </w:r>
          </w:p>
        </w:tc>
        <w:tc>
          <w:tcPr>
            <w:tcW w:w="90" w:type="dxa"/>
            <w:vAlign w:val="bottom"/>
          </w:tcPr>
          <w:p w:rsidR="00000000" w:rsidRDefault="00000000">
            <w:pPr>
              <w:spacing w:after="80" w:line="160" w:lineRule="exact"/>
              <w:ind w:right="40"/>
              <w:jc w:val="right"/>
              <w:rPr>
                <w:i/>
                <w:sz w:val="14"/>
              </w:rPr>
            </w:pPr>
          </w:p>
        </w:tc>
        <w:tc>
          <w:tcPr>
            <w:tcW w:w="660" w:type="dxa"/>
            <w:vAlign w:val="bottom"/>
          </w:tcPr>
          <w:p w:rsidR="00000000" w:rsidRDefault="00000000">
            <w:pPr>
              <w:spacing w:after="80" w:line="160" w:lineRule="exact"/>
              <w:ind w:right="40"/>
              <w:jc w:val="right"/>
              <w:rPr>
                <w:i/>
                <w:sz w:val="14"/>
              </w:rPr>
            </w:pPr>
            <w:r>
              <w:rPr>
                <w:i/>
                <w:sz w:val="14"/>
              </w:rPr>
              <w:t>Total</w:t>
            </w:r>
          </w:p>
        </w:tc>
        <w:tc>
          <w:tcPr>
            <w:tcW w:w="600" w:type="dxa"/>
            <w:vAlign w:val="bottom"/>
          </w:tcPr>
          <w:p w:rsidR="00000000" w:rsidRDefault="00000000">
            <w:pPr>
              <w:spacing w:after="80" w:line="160" w:lineRule="exact"/>
              <w:ind w:right="40"/>
              <w:jc w:val="right"/>
              <w:rPr>
                <w:i/>
                <w:sz w:val="14"/>
              </w:rPr>
            </w:pPr>
            <w:r>
              <w:rPr>
                <w:i/>
                <w:sz w:val="14"/>
              </w:rPr>
              <w:t>Mujeres</w:t>
            </w:r>
          </w:p>
        </w:tc>
        <w:tc>
          <w:tcPr>
            <w:tcW w:w="810" w:type="dxa"/>
            <w:vAlign w:val="bottom"/>
          </w:tcPr>
          <w:p w:rsidR="00000000" w:rsidRDefault="00000000">
            <w:pPr>
              <w:spacing w:after="80" w:line="160" w:lineRule="exact"/>
              <w:ind w:right="40"/>
              <w:jc w:val="right"/>
              <w:rPr>
                <w:i/>
                <w:sz w:val="14"/>
              </w:rPr>
            </w:pPr>
            <w:r>
              <w:rPr>
                <w:i/>
                <w:sz w:val="14"/>
              </w:rPr>
              <w:t>Porcentaje</w:t>
            </w:r>
          </w:p>
        </w:tc>
        <w:tc>
          <w:tcPr>
            <w:tcW w:w="90" w:type="dxa"/>
            <w:vAlign w:val="bottom"/>
          </w:tcPr>
          <w:p w:rsidR="00000000" w:rsidRDefault="00000000">
            <w:pPr>
              <w:spacing w:after="80" w:line="160" w:lineRule="exact"/>
              <w:ind w:right="40"/>
              <w:jc w:val="right"/>
              <w:rPr>
                <w:i/>
                <w:sz w:val="14"/>
              </w:rPr>
            </w:pPr>
          </w:p>
        </w:tc>
        <w:tc>
          <w:tcPr>
            <w:tcW w:w="630" w:type="dxa"/>
            <w:vAlign w:val="bottom"/>
          </w:tcPr>
          <w:p w:rsidR="00000000" w:rsidRDefault="00000000">
            <w:pPr>
              <w:spacing w:after="80" w:line="160" w:lineRule="exact"/>
              <w:ind w:right="40"/>
              <w:jc w:val="right"/>
              <w:rPr>
                <w:i/>
                <w:sz w:val="14"/>
              </w:rPr>
            </w:pPr>
            <w:r>
              <w:rPr>
                <w:i/>
                <w:sz w:val="14"/>
              </w:rPr>
              <w:t>Total</w:t>
            </w:r>
          </w:p>
        </w:tc>
        <w:tc>
          <w:tcPr>
            <w:tcW w:w="630" w:type="dxa"/>
            <w:vAlign w:val="bottom"/>
          </w:tcPr>
          <w:p w:rsidR="00000000" w:rsidRDefault="00000000">
            <w:pPr>
              <w:spacing w:after="80" w:line="160" w:lineRule="exact"/>
              <w:ind w:right="40"/>
              <w:jc w:val="right"/>
              <w:rPr>
                <w:i/>
                <w:sz w:val="14"/>
              </w:rPr>
            </w:pPr>
            <w:r>
              <w:rPr>
                <w:i/>
                <w:sz w:val="14"/>
              </w:rPr>
              <w:t>Mujeres</w:t>
            </w:r>
          </w:p>
        </w:tc>
        <w:tc>
          <w:tcPr>
            <w:tcW w:w="766" w:type="dxa"/>
            <w:vAlign w:val="bottom"/>
          </w:tcPr>
          <w:p w:rsidR="00000000" w:rsidRDefault="00000000">
            <w:pPr>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spacing w:before="40" w:after="40" w:line="210" w:lineRule="exact"/>
              <w:ind w:right="40"/>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50" w:type="dxa"/>
            <w:tcBorders>
              <w:top w:val="single" w:sz="12" w:space="0" w:color="auto"/>
            </w:tcBorders>
            <w:vAlign w:val="bottom"/>
          </w:tcPr>
          <w:p w:rsidR="00000000" w:rsidRDefault="00000000">
            <w:pPr>
              <w:spacing w:before="40" w:after="40" w:line="210" w:lineRule="exact"/>
              <w:ind w:right="40"/>
              <w:jc w:val="right"/>
              <w:rPr>
                <w:sz w:val="17"/>
              </w:rPr>
            </w:pPr>
          </w:p>
        </w:tc>
        <w:tc>
          <w:tcPr>
            <w:tcW w:w="750" w:type="dxa"/>
            <w:tcBorders>
              <w:top w:val="single" w:sz="12" w:space="0" w:color="auto"/>
            </w:tcBorders>
            <w:vAlign w:val="bottom"/>
          </w:tcPr>
          <w:p w:rsidR="00000000" w:rsidRDefault="00000000">
            <w:pPr>
              <w:spacing w:before="40" w:after="40" w:line="210" w:lineRule="exact"/>
              <w:ind w:right="40"/>
              <w:jc w:val="right"/>
              <w:rPr>
                <w:sz w:val="17"/>
              </w:rPr>
            </w:pPr>
          </w:p>
        </w:tc>
        <w:tc>
          <w:tcPr>
            <w:tcW w:w="75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60" w:type="dxa"/>
            <w:tcBorders>
              <w:top w:val="single" w:sz="12" w:space="0" w:color="auto"/>
            </w:tcBorders>
            <w:vAlign w:val="bottom"/>
          </w:tcPr>
          <w:p w:rsidR="00000000" w:rsidRDefault="00000000">
            <w:pPr>
              <w:spacing w:before="40" w:after="40" w:line="210" w:lineRule="exact"/>
              <w:ind w:right="40"/>
              <w:jc w:val="right"/>
              <w:rPr>
                <w:sz w:val="17"/>
              </w:rPr>
            </w:pPr>
          </w:p>
        </w:tc>
        <w:tc>
          <w:tcPr>
            <w:tcW w:w="60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76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15,38</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ΙII.</w:t>
      </w:r>
      <w:r>
        <w:tab/>
        <w:t>Participación de las mujeres en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rPr>
          <w:i w:val="0"/>
        </w:rPr>
        <w:t>11</w:t>
      </w:r>
      <w:r>
        <w:t>.</w:t>
      </w:r>
      <w:r>
        <w:tab/>
        <w:t>Porcentaje de jefes administrativos de servicios públicos, por división</w:t>
      </w:r>
      <w:r>
        <w:br/>
        <w:t xml:space="preserve"> y sexo 1998-2002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45"/>
        <w:gridCol w:w="945"/>
        <w:gridCol w:w="90"/>
        <w:gridCol w:w="900"/>
        <w:gridCol w:w="900"/>
        <w:gridCol w:w="90"/>
        <w:gridCol w:w="958"/>
        <w:gridCol w:w="959"/>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Direcciones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Departamentos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Oficinas autónomas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12.</w:t>
      </w:r>
      <w:r>
        <w:tab/>
        <w:t>Porcentaje de jefes administrativos de organismos e instituciones públicos, por división y sexo 1998-2002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45"/>
        <w:gridCol w:w="945"/>
        <w:gridCol w:w="90"/>
        <w:gridCol w:w="900"/>
        <w:gridCol w:w="900"/>
        <w:gridCol w:w="90"/>
        <w:gridCol w:w="958"/>
        <w:gridCol w:w="959"/>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Direcciones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Departamentos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Oficinas autónomas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9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9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13.</w:t>
      </w:r>
      <w:r>
        <w:tab/>
        <w:t>Porcentaje de jefes administrativos de las administraciones locales, por división y sexo 1998-2002</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45"/>
        <w:gridCol w:w="945"/>
        <w:gridCol w:w="90"/>
        <w:gridCol w:w="900"/>
        <w:gridCol w:w="900"/>
        <w:gridCol w:w="90"/>
        <w:gridCol w:w="958"/>
        <w:gridCol w:w="959"/>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Direcciones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80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Departamentos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p>
        </w:tc>
        <w:tc>
          <w:tcPr>
            <w:tcW w:w="191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Oficinas autónomas</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94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94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90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958"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Hombres</w:t>
            </w:r>
          </w:p>
        </w:tc>
        <w:tc>
          <w:tcPr>
            <w:tcW w:w="959"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64,50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35,50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56,78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43,22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5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59,91</w:t>
            </w:r>
          </w:p>
        </w:tc>
        <w:tc>
          <w:tcPr>
            <w:tcW w:w="95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40,09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 Administración Pública y Descentralización/Secretaria General de Administración Pública.</w:t>
      </w:r>
    </w:p>
    <w:p w:rsidR="00000000" w:rsidRDefault="00000000">
      <w:pPr>
        <w:pStyle w:val="FootnoteText"/>
        <w:tabs>
          <w:tab w:val="clear" w:pos="418"/>
          <w:tab w:val="right" w:pos="1476"/>
          <w:tab w:val="left" w:pos="1548"/>
          <w:tab w:val="right" w:pos="1836"/>
          <w:tab w:val="left" w:pos="1908"/>
        </w:tabs>
        <w:ind w:left="1548" w:right="1267" w:hanging="288"/>
      </w:pPr>
      <w:r>
        <w:t>Boletín de Datos Estadísticos sobre el Personal del Sector Público 1999,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Participación de mujeres en el poder judicial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14.</w:t>
      </w:r>
      <w:r>
        <w:tab/>
        <w:t>Consejo de Estado</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Consejeros de Estado</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Asesores del Consejo de Estado</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Relatores – Relatores superiores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Puestos cubiertos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15</w:t>
      </w:r>
      <w:r>
        <w:t>.</w:t>
      </w:r>
      <w:r>
        <w:tab/>
        <w:t>Tribunales administrativos ordinarios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Comisión General – Comisionados</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Presidentes de Tribunales Administrativos de Apelación</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de Tribunales Administrativos de Apelación</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Presidentes de Tribunales Administrativos de Primera Instancia</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y Asesores de Tribunales Administrativos de Primera Instancia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Puestos cubiertos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16</w:t>
      </w:r>
      <w:r>
        <w:t>.</w:t>
      </w:r>
      <w:r>
        <w:tab/>
        <w:t>Tribunales civiles y penales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del Tribunal Supremo</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Presidentes de Tribunales de Apelación </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Jueces de Tribunales de Apelación </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384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Fiscales de Tribunales de Apelación </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39</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Fiscales adjuntos de Tribunales de Apelación </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Presidentes de Tribunales de Primera Instancia</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191</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Fiscales de Tribunales de Primera Instancia </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26,57</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143</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y Asesores de Tribunales Administrativos de Primera Instancia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Puestos cubiertos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Fiscales adjuntos de Tribunales Administrativos de Primera Instancia </w:t>
            </w:r>
            <w:r>
              <w:rPr>
                <w:i/>
                <w:sz w:val="14"/>
              </w:rPr>
              <w:br/>
              <w:t>y Auxiliares de la Fiscalía</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Puestos cubiertos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de Paz (primer orden)</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265</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194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750"/>
        <w:gridCol w:w="1750"/>
        <w:gridCol w:w="175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de Paz (segundo orden)</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7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240</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204</w:t>
            </w:r>
          </w:p>
        </w:tc>
        <w:tc>
          <w:tcPr>
            <w:tcW w:w="17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85</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Jueces de Paz (tercer y cuarto órdenes)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puestos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Puestos cubiertos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Ministerio de Justicia </w:t>
      </w:r>
    </w:p>
    <w:p w:rsidR="00000000" w:rsidRDefault="00000000">
      <w:pPr>
        <w:pStyle w:val="FootnoteText"/>
        <w:tabs>
          <w:tab w:val="clear" w:pos="418"/>
          <w:tab w:val="right" w:pos="1476"/>
          <w:tab w:val="left" w:pos="1548"/>
          <w:tab w:val="right" w:pos="1836"/>
          <w:tab w:val="left" w:pos="1908"/>
        </w:tabs>
        <w:ind w:left="1548" w:right="1267" w:hanging="288"/>
      </w:pPr>
      <w:r>
        <w:t>Dirección de los Tribunales y la Judicatura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Participación de la mujer en las fuerzas de seguridad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17.</w:t>
      </w:r>
      <w:r>
        <w:tab/>
        <w:t>Cuerpo de Policía de Grecia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Oficiales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4 282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4 532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Subalternos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40 975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38 284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37 195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34 545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Subinspectores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b/>
                <w:sz w:val="17"/>
              </w:rPr>
            </w:pPr>
            <w:r>
              <w:rPr>
                <w:b/>
                <w:sz w:val="17"/>
              </w:rPr>
              <w:t>Subcomisarios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b/>
                <w:sz w:val="17"/>
              </w:rPr>
            </w:pPr>
            <w:r>
              <w:rPr>
                <w:b/>
                <w:sz w:val="17"/>
              </w:rPr>
              <w:t>2 194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1 866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b/>
                <w:sz w:val="17"/>
              </w:rPr>
            </w:pPr>
            <w:r>
              <w:rPr>
                <w:b/>
                <w:sz w:val="17"/>
              </w:rPr>
              <w:t>Guardias de fronteras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b/>
                <w:sz w:val="17"/>
              </w:rPr>
            </w:pPr>
            <w:r>
              <w:rPr>
                <w:b/>
                <w:sz w:val="17"/>
              </w:rPr>
              <w:t>2 192</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b/>
                <w:sz w:val="17"/>
              </w:rPr>
            </w:pPr>
            <w:r>
              <w:rPr>
                <w:b/>
                <w:sz w:val="17"/>
              </w:rPr>
              <w:t>4 600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1 973</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4 083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219</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517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00" w:lineRule="exact"/>
              <w:ind w:right="43"/>
              <w:rPr>
                <w:b/>
                <w:sz w:val="17"/>
              </w:rPr>
            </w:pPr>
            <w:r>
              <w:rPr>
                <w:b/>
                <w:sz w:val="17"/>
              </w:rPr>
              <w:t>Guardias especiales</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b/>
                <w:sz w:val="17"/>
              </w:rPr>
            </w:pPr>
            <w:r>
              <w:rPr>
                <w:b/>
                <w:sz w:val="17"/>
              </w:rPr>
              <w:t>948</w:t>
            </w:r>
          </w:p>
        </w:tc>
        <w:tc>
          <w:tcPr>
            <w:tcW w:w="2440" w:type="dxa"/>
            <w:vAlign w:val="bottom"/>
          </w:tcPr>
          <w:p w:rsidR="00000000" w:rsidRDefault="00000000">
            <w:pPr>
              <w:tabs>
                <w:tab w:val="left" w:pos="288"/>
                <w:tab w:val="left" w:pos="576"/>
                <w:tab w:val="left" w:pos="864"/>
                <w:tab w:val="left" w:pos="1152"/>
              </w:tabs>
              <w:spacing w:before="40" w:after="40" w:line="200" w:lineRule="exact"/>
              <w:ind w:right="43"/>
              <w:jc w:val="right"/>
              <w:rPr>
                <w:b/>
                <w:sz w:val="17"/>
              </w:rPr>
            </w:pPr>
            <w:r>
              <w:rPr>
                <w:b/>
                <w:sz w:val="17"/>
              </w:rPr>
              <w:t>2 256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efectivos del Cuerpo de Policía de Grecia</w:t>
            </w:r>
          </w:p>
        </w:tc>
        <w:tc>
          <w:tcPr>
            <w:tcW w:w="2440" w:type="dxa"/>
            <w:tcBorders>
              <w:top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48 397</w:t>
            </w:r>
          </w:p>
        </w:tc>
        <w:tc>
          <w:tcPr>
            <w:tcW w:w="2440" w:type="dxa"/>
            <w:tcBorders>
              <w:top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52 443</w:t>
            </w:r>
          </w:p>
        </w:tc>
      </w:tr>
      <w:tr w:rsidR="00000000">
        <w:tblPrEx>
          <w:tblCellMar>
            <w:top w:w="0" w:type="dxa"/>
            <w:left w:w="0" w:type="dxa"/>
            <w:bottom w:w="0" w:type="dxa"/>
            <w:right w:w="0" w:type="dxa"/>
          </w:tblCellMar>
        </w:tblPrEx>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44 213</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47 433</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Mujeres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4 184</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5 010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color w:val="000000"/>
        </w:rPr>
      </w:pPr>
      <w:r>
        <w:rPr>
          <w:i/>
        </w:rPr>
        <w:t>Fuente</w:t>
      </w:r>
      <w:r>
        <w:t xml:space="preserve">: Ministerio de Orden Público; </w:t>
      </w:r>
      <w:r>
        <w:rPr>
          <w:color w:val="000000"/>
        </w:rPr>
        <w:t>Cuartel General de la Policía de Grecia ;Sector Administrativo; Dirección de Personal de la Policía ; Primer Departamento: Agentes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18.</w:t>
      </w:r>
      <w:r>
        <w:tab/>
        <w:t>Cuerpo de Bomberos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rPr>
          <w:tblHeader/>
        </w:trPr>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Oficiales</w:t>
            </w:r>
            <w:r>
              <w:rPr>
                <w:i/>
                <w:sz w:val="14"/>
              </w:rPr>
              <w:br/>
              <w:t>Total</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Subalternos</w:t>
            </w:r>
            <w:r>
              <w:rPr>
                <w:i/>
                <w:sz w:val="14"/>
              </w:rPr>
              <w:br/>
              <w:t>Total</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efectivos</w:t>
            </w:r>
          </w:p>
        </w:tc>
      </w:tr>
      <w:tr w:rsidR="00000000">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15"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2000</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850</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848</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8 550</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8 300</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250</w:t>
            </w:r>
          </w:p>
        </w:tc>
        <w:tc>
          <w:tcPr>
            <w:tcW w:w="915"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9 400</w:t>
            </w:r>
          </w:p>
        </w:tc>
      </w:tr>
      <w:tr w:rsidR="00000000">
        <w:tblPrEx>
          <w:tblCellMar>
            <w:top w:w="0" w:type="dxa"/>
            <w:left w:w="0" w:type="dxa"/>
            <w:bottom w:w="0" w:type="dxa"/>
            <w:right w:w="0" w:type="dxa"/>
          </w:tblCellMar>
        </w:tblPrEx>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rPr>
                <w:sz w:val="17"/>
              </w:rPr>
            </w:pPr>
            <w:r>
              <w:rPr>
                <w:sz w:val="17"/>
              </w:rPr>
              <w:t>2004</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1 257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1 226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31</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8 387</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8 071</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316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sz w:val="17"/>
              </w:rPr>
            </w:pPr>
            <w:r>
              <w:rPr>
                <w:sz w:val="17"/>
              </w:rPr>
              <w:t>9 644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color w:val="000000"/>
        </w:rPr>
      </w:pPr>
      <w:r>
        <w:t xml:space="preserve">Fuente: Ministerio de Orden Público; </w:t>
      </w:r>
      <w:r>
        <w:rPr>
          <w:color w:val="000000"/>
        </w:rPr>
        <w:t>Cuartel General del Cuerpo de Bomberos; Dirección III: Personal; Segundo Departamento: Suboficiales y Bomberos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19</w:t>
      </w:r>
      <w:r>
        <w:t>.</w:t>
      </w:r>
      <w:r>
        <w:tab/>
        <w:t>Fuerzas Armadas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1158"/>
        <w:gridCol w:w="1158"/>
        <w:gridCol w:w="1158"/>
        <w:gridCol w:w="1158"/>
        <w:gridCol w:w="1158"/>
      </w:tblGrid>
      <w:tr w:rsidR="00000000">
        <w:tblPrEx>
          <w:tblCellMar>
            <w:top w:w="0" w:type="dxa"/>
            <w:left w:w="0" w:type="dxa"/>
            <w:bottom w:w="0" w:type="dxa"/>
            <w:right w:w="0" w:type="dxa"/>
          </w:tblCellMar>
        </w:tblPrEx>
        <w:trPr>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Oficiales</w:t>
            </w:r>
          </w:p>
        </w:tc>
        <w:tc>
          <w:tcPr>
            <w:tcW w:w="11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Oficiales asimilados/</w:t>
            </w:r>
            <w:r>
              <w:rPr>
                <w:i/>
                <w:sz w:val="14"/>
              </w:rPr>
              <w:br/>
              <w:t>suboficiales</w:t>
            </w:r>
          </w:p>
        </w:tc>
        <w:tc>
          <w:tcPr>
            <w:tcW w:w="11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Total </w:t>
            </w:r>
            <w:r>
              <w:rPr>
                <w:i/>
                <w:sz w:val="14"/>
              </w:rPr>
              <w:br/>
              <w:t>2004</w:t>
            </w:r>
          </w:p>
        </w:tc>
        <w:tc>
          <w:tcPr>
            <w:tcW w:w="11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2000</w:t>
            </w:r>
          </w:p>
        </w:tc>
        <w:tc>
          <w:tcPr>
            <w:tcW w:w="115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1992</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Ejército de tierra</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1 077</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2 745</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3 822</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3 115</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1 168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Marina</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238</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1 850</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2 088</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1 756</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492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Aviación</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664</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1 427</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2 091</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1 525</w:t>
            </w:r>
          </w:p>
        </w:tc>
        <w:tc>
          <w:tcPr>
            <w:tcW w:w="1158"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1 136</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Fuerzas conjuntas</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279</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279</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76</w:t>
            </w:r>
          </w:p>
        </w:tc>
        <w:tc>
          <w:tcPr>
            <w:tcW w:w="11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2 258</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6 022</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8 280</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6 472</w:t>
            </w:r>
          </w:p>
        </w:tc>
        <w:tc>
          <w:tcPr>
            <w:tcW w:w="1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2 796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Ministerio de Defensa; Dirección de Recursos Humanos; Oficina de Promoción de la Igualdad.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 xml:space="preserve">Participación de las mujeres en el periodismo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20.</w:t>
      </w:r>
      <w:r>
        <w:tab/>
        <w:t>Periodismo y profesiones similares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995"/>
        <w:gridCol w:w="995"/>
        <w:gridCol w:w="996"/>
        <w:gridCol w:w="995"/>
        <w:gridCol w:w="995"/>
        <w:gridCol w:w="996"/>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15-24</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25-34</w:t>
            </w: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35-54</w:t>
            </w: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55-74</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75</w:t>
            </w:r>
            <w:r>
              <w:rPr>
                <w:i/>
                <w:sz w:val="14"/>
                <w:lang w:val="en-US"/>
              </w:rPr>
              <w:t>+</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Ambos sexos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12 421</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4 812</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5 216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6 745</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5 676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rPr>
          <w:cantSplit/>
        </w:trPr>
        <w:tc>
          <w:tcPr>
            <w:tcW w:w="7322" w:type="dxa"/>
            <w:gridSpan w:val="7"/>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Abarca a escritores, periodistas y profesionales de campos similares.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Nacional de Estadística de Grecia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Artículo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d)</w:t>
            </w:r>
            <w:r>
              <w:rPr>
                <w:i/>
              </w:rPr>
              <w:tab/>
              <w:t>Los Estados Partes tomarán todas las medidas apropiadas para garant</w:t>
            </w:r>
            <w:r>
              <w:rPr>
                <w:i/>
              </w:rPr>
              <w:t>i</w:t>
            </w:r>
            <w:r>
              <w:rPr>
                <w:i/>
              </w:rPr>
              <w:t>zar a la mujer, en igualdad de condiciones con el hombre y sin discriminación alg</w:t>
            </w:r>
            <w:r>
              <w:rPr>
                <w:i/>
              </w:rPr>
              <w:t>u</w:t>
            </w:r>
            <w:r>
              <w:rPr>
                <w:i/>
              </w:rPr>
              <w:t>na, la oportunidad de representar a su Gobierno en el plano internacional y de partic</w:t>
            </w:r>
            <w:r>
              <w:rPr>
                <w:i/>
              </w:rPr>
              <w:t>i</w:t>
            </w:r>
            <w:r>
              <w:rPr>
                <w:i/>
              </w:rPr>
              <w:t>par en la labor de las organizaciones internacionales.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88"/>
        </w:numPr>
      </w:pPr>
      <w:r>
        <w:t>La presencia de mujeres en el cuerpo diplomático ha seguido aumentando, c</w:t>
      </w:r>
      <w:r>
        <w:t>o</w:t>
      </w:r>
      <w:r>
        <w:t>mo demuestran los datos que figuran a continuación. Sin embargo, la participación de mujeres es especialmente baja en las categorías superiores. Cabe señalar que no hay ninguna embajadora, y que el número de mujeres que ocupan el cargo de mini</w:t>
      </w:r>
      <w:r>
        <w:t>s</w:t>
      </w:r>
      <w:r>
        <w:t>tra plenipotenciaria de nivel A y B es muy reducido. En el cuerpo diplomático hay un total de 130 mujeres, frente a 411 hombres.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Cuerpo diplomático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215"/>
        <w:gridCol w:w="1215"/>
        <w:gridCol w:w="90"/>
        <w:gridCol w:w="1230"/>
        <w:gridCol w:w="123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Servicio central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Servicio exterior</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w:t>
            </w:r>
          </w:p>
        </w:tc>
        <w:tc>
          <w:tcPr>
            <w:tcW w:w="12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 Plenipotenciario A</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Ministro Plenipotenciario B</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Consejero de Estado A </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 de Estado B</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 Embajada A</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 Embajada B</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de Embajada C</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Agregado</w:t>
            </w:r>
          </w:p>
        </w:tc>
        <w:tc>
          <w:tcPr>
            <w:tcW w:w="121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121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2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172</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239</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88"/>
        </w:numPr>
      </w:pPr>
      <w:r>
        <w:t>De 2000 a 2004 una mujer griega ocupó el cargo de Comisaría de Asuntos S</w:t>
      </w:r>
      <w:r>
        <w:t>o</w:t>
      </w:r>
      <w:r>
        <w:t>ciales y Empleo de la Unión Europea.</w:t>
      </w:r>
    </w:p>
    <w:p w:rsidR="00000000" w:rsidRDefault="00000000">
      <w:pPr>
        <w:pStyle w:val="SingleTxt"/>
        <w:spacing w:after="0" w:line="120" w:lineRule="exact"/>
        <w:rPr>
          <w:sz w:val="10"/>
        </w:rPr>
      </w:pPr>
      <w:r>
        <w:br w:type="page"/>
      </w: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Artículo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t>.</w:t>
            </w:r>
            <w:r>
              <w:tab/>
            </w:r>
            <w:r>
              <w:rPr>
                <w:i/>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rPr>
              <w:t xml:space="preserve">posa, </w:t>
            </w:r>
            <w:r>
              <w:rPr>
                <w:i/>
                <w:spacing w:val="2"/>
              </w:rPr>
              <w:t>la conviertan en apátrida o la obliguen a adoptar la nacionalidad del cónyuge.</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2.</w:t>
            </w:r>
            <w:r>
              <w:rPr>
                <w:i/>
              </w:rPr>
              <w:tab/>
              <w:t>Los Estados Partes otorgarán a la mujer los mismos derechos que al hombre con respecto a la nacionalidad de sus hijos.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Ley 1438/84 se modificaron las disposiciones del antiguo C</w:t>
      </w:r>
      <w:r>
        <w:t>ó</w:t>
      </w:r>
      <w:r>
        <w:t>digo de la Ciudadanía Griega que entrañaban discriminación contra las mujeres. Posteriormente, el artículo 69 de la Ley 2910/2001 suprimió los plazos que, de co</w:t>
      </w:r>
      <w:r>
        <w:t>n</w:t>
      </w:r>
      <w:r>
        <w:t>formidad con la Ley 1438/84, regían la adquisición de la nacionalidad griega por mujeres extranjeras tras contraer matrimonio con ciudadanos griegos y la pérdida de la nacionalidad por mujeres griegas tras contraer matrimonio con extranjeros. Por último, la reciente aprobación del nuevo</w:t>
      </w:r>
      <w:r>
        <w:rPr>
          <w:i/>
        </w:rPr>
        <w:t xml:space="preserve"> </w:t>
      </w:r>
      <w:r>
        <w:t>Código de la Ciudadanía Griega (Ley 3284/2004, Boletín Oficial de Grecia, F.E.K. Α΄ 217) también han supuesto los s</w:t>
      </w:r>
      <w:r>
        <w:t>i</w:t>
      </w:r>
      <w:r>
        <w:t>guientes ca</w:t>
      </w:r>
      <w:r>
        <w:t>m</w:t>
      </w:r>
      <w:r>
        <w:t>bios en el ámbito de la igualdad de género:</w:t>
      </w:r>
    </w:p>
    <w:p w:rsidR="00000000" w:rsidRDefault="00000000">
      <w:pPr>
        <w:pStyle w:val="SingleTxt"/>
        <w:tabs>
          <w:tab w:val="right" w:pos="1685"/>
        </w:tabs>
        <w:ind w:left="1742" w:hanging="475"/>
      </w:pPr>
      <w:r>
        <w:tab/>
        <w:t>•</w:t>
      </w:r>
      <w:r>
        <w:tab/>
        <w:t>Las extranjeras que adquieran la nacionalidad griega al contraer matrimonio con un griego y mantengan la nacionalidad que tenían antes de su matrimonio podrán perder la ciudadanía griega si manifiestan su voluntad en ese sentido al Secretario General de la Región o a la Autoridad Consular de Grecia de su l</w:t>
      </w:r>
      <w:r>
        <w:t>u</w:t>
      </w:r>
      <w:r>
        <w:t>gar de residencia temporal o permanente. El Secretario General de la región correspondiente emite una decisión con la que certifica la pérdida de la naci</w:t>
      </w:r>
      <w:r>
        <w:t>o</w:t>
      </w:r>
      <w:r>
        <w:t>nalidad griega (artículo 21)</w:t>
      </w:r>
      <w:r>
        <w:rPr>
          <w:rStyle w:val="FootnoteReference"/>
        </w:rPr>
        <w:footnoteReference w:id="28"/>
      </w:r>
      <w:r>
        <w:t>.</w:t>
      </w:r>
    </w:p>
    <w:p w:rsidR="00000000" w:rsidRDefault="00000000">
      <w:pPr>
        <w:pStyle w:val="SingleTxt"/>
        <w:tabs>
          <w:tab w:val="right" w:pos="1685"/>
        </w:tabs>
        <w:ind w:left="1742" w:hanging="475"/>
      </w:pPr>
      <w:r>
        <w:tab/>
        <w:t>•</w:t>
      </w:r>
      <w:r>
        <w:tab/>
        <w:t>Las griegas que hayan perdido la nacionalidad griega al contraer matrimonio con un extranjero podrán recuperarla si manifiestan su voluntad en ese sentido al Secretario General de la Región como a la Autoridad Consular de Grecia de su lugar de res</w:t>
      </w:r>
      <w:r>
        <w:t>i</w:t>
      </w:r>
      <w:r>
        <w:t>dencia temporal o permanente (artículo 22)</w:t>
      </w:r>
      <w:r>
        <w:rPr>
          <w:rStyle w:val="FootnoteReference"/>
        </w:rPr>
        <w:footnoteReference w:id="29"/>
      </w:r>
      <w:r>
        <w:t>.</w:t>
      </w:r>
    </w:p>
    <w:p w:rsidR="00000000" w:rsidRDefault="00000000">
      <w:pPr>
        <w:pStyle w:val="SingleTxt"/>
        <w:tabs>
          <w:tab w:val="right" w:pos="1685"/>
        </w:tabs>
        <w:ind w:left="1742" w:hanging="475"/>
      </w:pPr>
      <w:r>
        <w:tab/>
        <w:t>•</w:t>
      </w:r>
      <w:r>
        <w:tab/>
        <w:t>Los hijos nacidos antes del 8 de mayo de 1984 de madres que tenían la naci</w:t>
      </w:r>
      <w:r>
        <w:t>o</w:t>
      </w:r>
      <w:r>
        <w:t>nalidad griega en el momento de alumbrarlos o al contraer el matrimonio en el que los concibieron podrán adquirir la nacionalidad griega si manifiestan su voluntad en ese sentido al Secretario General de la Región o a la Autoridad Consular de Grecia de su lugar de residencia temporal o permanente (párrafo 1 del artículo 14)</w:t>
      </w:r>
      <w:r>
        <w:rPr>
          <w:rStyle w:val="FootnoteReference"/>
        </w:rPr>
        <w:footnoteReference w:id="30"/>
      </w:r>
      <w:r>
        <w:t>.</w:t>
      </w:r>
    </w:p>
    <w:p w:rsidR="00000000" w:rsidRDefault="00000000">
      <w:pPr>
        <w:pStyle w:val="SingleTxt"/>
        <w:tabs>
          <w:tab w:val="right" w:pos="1685"/>
        </w:tabs>
        <w:ind w:left="1742" w:hanging="475"/>
      </w:pPr>
      <w:r>
        <w:tab/>
        <w:t>•</w:t>
      </w:r>
      <w:r>
        <w:tab/>
        <w:t>Los hijos nacidos de padre griego y madre extranjera antes de que entrara en vigor la Ley 1250/1982 podrán adquirir la nacionalidad griega, siempre que sean considerados hijos legítimos de conformidad con lo dispuesto en el párr</w:t>
      </w:r>
      <w:r>
        <w:t>a</w:t>
      </w:r>
      <w:r>
        <w:t>fo 3 del artículo 7 de la mencionada Ley, si manifiestan su voluntad en ese sentido al Secretario General de la Región o a la Autoridad Consular de Grecia de su lugar de residencia te</w:t>
      </w:r>
      <w:r>
        <w:t>m</w:t>
      </w:r>
      <w:r>
        <w:t>poral o permanente (párrafo 2 del artículo 14)</w:t>
      </w:r>
      <w:r>
        <w:rPr>
          <w:rStyle w:val="FootnoteReference"/>
        </w:rPr>
        <w:footnoteReference w:id="31"/>
      </w:r>
      <w:r>
        <w:t xml:space="preserve">. </w:t>
      </w:r>
    </w:p>
    <w:p w:rsidR="00000000" w:rsidRDefault="00000000">
      <w:pPr>
        <w:pStyle w:val="SingleTxt"/>
        <w:tabs>
          <w:tab w:val="right" w:pos="1685"/>
        </w:tabs>
        <w:ind w:left="1742" w:hanging="475"/>
      </w:pPr>
      <w:r>
        <w:tab/>
        <w:t>•</w:t>
      </w:r>
      <w:r>
        <w:tab/>
        <w:t>Los hijos de personas que accedan a la nacionalidad griega de conformidad con el presente artículo adquirirán la nacionalidad griega sin necesidad de re</w:t>
      </w:r>
      <w:r>
        <w:t>a</w:t>
      </w:r>
      <w:r>
        <w:t>lizar trámites adicionales siempre que en la fecha de la declaración sean men</w:t>
      </w:r>
      <w:r>
        <w:t>o</w:t>
      </w:r>
      <w:r>
        <w:t>res de edad y estén solteros (párrafo 4 del artículo 14)</w:t>
      </w:r>
      <w:r>
        <w:rPr>
          <w:rStyle w:val="FootnoteReference"/>
        </w:rPr>
        <w:footnoteReference w:id="32"/>
      </w:r>
      <w:r>
        <w:t>.</w:t>
      </w:r>
    </w:p>
    <w:p w:rsidR="00000000" w:rsidRDefault="00000000">
      <w:pPr>
        <w:pStyle w:val="SingleTxt"/>
        <w:tabs>
          <w:tab w:val="right" w:pos="1685"/>
        </w:tabs>
        <w:spacing w:after="0" w:line="120" w:lineRule="exact"/>
        <w:ind w:left="1742" w:hanging="475"/>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tabs>
                <w:tab w:val="right" w:pos="1685"/>
              </w:tabs>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Artículo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000000" w:rsidRDefault="00000000">
            <w:pPr>
              <w:pStyle w:val="DualTxt"/>
              <w:suppressAutoHyphens/>
              <w:spacing w:line="240" w:lineRule="auto"/>
              <w:rPr>
                <w:i/>
              </w:rPr>
            </w:pPr>
            <w:r>
              <w:rPr>
                <w:i/>
              </w:rPr>
              <w:tab/>
              <w:t>a)</w:t>
            </w:r>
            <w:r>
              <w:rPr>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b)</w:t>
            </w:r>
            <w:r>
              <w:rPr>
                <w:i/>
              </w:rPr>
              <w:tab/>
              <w:t>Acceso a los mismos programas de estudios, a los mismos exámenes, a personal docente del mismo nivel profesional y a locales y equipos escolares de la misma calidad;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d)</w:t>
            </w:r>
            <w:r>
              <w:rPr>
                <w:i/>
              </w:rPr>
              <w:tab/>
              <w:t xml:space="preserve">Las mismas oportunidades para la obtención de becas y otras subvenciones para cursar estudios;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rPr>
                <w:i/>
              </w:rPr>
            </w:pPr>
            <w:r>
              <w:rPr>
                <w:i/>
              </w:rPr>
              <w:tab/>
              <w:t>f)</w:t>
            </w:r>
            <w:r>
              <w:rPr>
                <w:i/>
              </w:rPr>
              <w:tab/>
              <w:t>La reducción de la tasa de abandono femenino de los estudios y la organización de programas para aquellas jóvenes y mujeres que hayan dejado los est</w:t>
            </w:r>
            <w:r>
              <w:rPr>
                <w:i/>
              </w:rPr>
              <w:t>u</w:t>
            </w:r>
            <w:r>
              <w:rPr>
                <w:i/>
              </w:rPr>
              <w:t xml:space="preserve">dios prematuramente; </w:t>
            </w:r>
          </w:p>
          <w:p w:rsidR="00000000" w:rsidRDefault="00000000">
            <w:pPr>
              <w:pStyle w:val="DualTxt"/>
              <w:suppressAutoHyphens/>
              <w:spacing w:line="240" w:lineRule="auto"/>
              <w:rPr>
                <w:i/>
              </w:rPr>
            </w:pPr>
            <w:r>
              <w:rPr>
                <w:i/>
              </w:rPr>
              <w:tab/>
              <w:t>g)</w:t>
            </w:r>
            <w:r>
              <w:rPr>
                <w:i/>
              </w:rPr>
              <w:tab/>
              <w:t>Las mismas oportunidades para participar activamente en el deporte y la ed</w:t>
            </w:r>
            <w:r>
              <w:rPr>
                <w:i/>
              </w:rPr>
              <w:t>u</w:t>
            </w:r>
            <w:r>
              <w:rPr>
                <w:i/>
              </w:rPr>
              <w:t>cación física;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h)</w:t>
            </w:r>
            <w:r>
              <w:rPr>
                <w:i/>
              </w:rPr>
              <w:tab/>
              <w:t>Acceso al material informativo específico que contribuya a asegurar la salud y el bienestar de la familia, incluida la información y el asesoramiento sobre plan</w:t>
            </w:r>
            <w:r>
              <w:rPr>
                <w:i/>
              </w:rPr>
              <w:t>i</w:t>
            </w:r>
            <w:r>
              <w:rPr>
                <w:i/>
              </w:rPr>
              <w:t>ficación de la familia.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89"/>
        </w:numPr>
      </w:pPr>
      <w:r>
        <w:t>El Gobierno de Grecia ha preparado un plan de medidas coordinadas para l</w:t>
      </w:r>
      <w:r>
        <w:t>u</w:t>
      </w:r>
      <w:r>
        <w:t>char contra la discriminación y garantizar la igualdad de derechos de hombres y mujeres en la enseñanza escolar y la educación permanente cuyos primeros result</w:t>
      </w:r>
      <w:r>
        <w:t>a</w:t>
      </w:r>
      <w:r>
        <w:t>dos son ya visibles en las estadísticas (anexo 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 xml:space="preserve">Orientación profesional en la escuela </w:t>
      </w:r>
    </w:p>
    <w:p w:rsidR="00000000" w:rsidRDefault="00000000">
      <w:pPr>
        <w:pStyle w:val="SingleTxt"/>
        <w:spacing w:after="0" w:line="120" w:lineRule="exact"/>
        <w:rPr>
          <w:sz w:val="10"/>
        </w:rPr>
      </w:pPr>
    </w:p>
    <w:p w:rsidR="00000000" w:rsidRDefault="00000000">
      <w:pPr>
        <w:pStyle w:val="SingleTxt"/>
        <w:numPr>
          <w:ilvl w:val="0"/>
          <w:numId w:val="289"/>
        </w:numPr>
      </w:pPr>
      <w:r>
        <w:t>En 2003-2004 el Centro de Investigación para la Igualdad de Género (Κ.Ε.TH.Ι.), en colaboración con los Departamentos de Educación, Educación M</w:t>
      </w:r>
      <w:r>
        <w:t>e</w:t>
      </w:r>
      <w:r>
        <w:t xml:space="preserve">dioambiental y Orientación Profesional en la Escuela, llevó a cabo varios programas de intervención destinados a promover la igualdad en el ámbito de la orientación profesional en la escuela. </w:t>
      </w:r>
    </w:p>
    <w:p w:rsidR="00000000" w:rsidRDefault="00000000">
      <w:pPr>
        <w:pStyle w:val="SingleTxt"/>
      </w:pPr>
      <w:r>
        <w:tab/>
        <w:t>Esos programas:</w:t>
      </w:r>
    </w:p>
    <w:p w:rsidR="00000000" w:rsidRDefault="00000000">
      <w:pPr>
        <w:pStyle w:val="SingleTxt"/>
        <w:tabs>
          <w:tab w:val="right" w:pos="1685"/>
        </w:tabs>
        <w:ind w:left="1742" w:hanging="475"/>
      </w:pPr>
      <w:r>
        <w:tab/>
        <w:t>•</w:t>
      </w:r>
      <w:r>
        <w:tab/>
        <w:t>Permitieron impartir formación a 511 profesores y 1.510 profesoras de ens</w:t>
      </w:r>
      <w:r>
        <w:t>e</w:t>
      </w:r>
      <w:r>
        <w:t>ñanza secundaria y técnica; y</w:t>
      </w:r>
    </w:p>
    <w:p w:rsidR="00000000" w:rsidRDefault="00000000">
      <w:pPr>
        <w:pStyle w:val="SingleTxt"/>
        <w:tabs>
          <w:tab w:val="right" w:pos="1685"/>
        </w:tabs>
        <w:ind w:left="1742" w:hanging="475"/>
      </w:pPr>
      <w:r>
        <w:tab/>
        <w:t>•</w:t>
      </w:r>
      <w:r>
        <w:tab/>
        <w:t>Beneficiaron a 16.864 alumnos y a 20.209 alumnas de enseñanza secundaria y técn</w:t>
      </w:r>
      <w:r>
        <w:t>i</w:t>
      </w:r>
      <w:r>
        <w:t>ca.</w:t>
      </w:r>
    </w:p>
    <w:p w:rsidR="00000000" w:rsidRDefault="00000000">
      <w:pPr>
        <w:pStyle w:val="SingleTxt"/>
        <w:numPr>
          <w:ilvl w:val="0"/>
          <w:numId w:val="289"/>
        </w:numPr>
      </w:pPr>
      <w:r>
        <w:t>El Κ.Ε.TH.Ι. también está aplicando un programa (2002-2006) destinado a promover la igualdad de género entre los alumnos y las alumnas de enseñanza s</w:t>
      </w:r>
      <w:r>
        <w:t>e</w:t>
      </w:r>
      <w:r>
        <w:t>cundaria y de formación profesional inicial por medio de actividades que favorecen el desarrollo de su capacidad crítica y su capacidad de investigación, organización, coop</w:t>
      </w:r>
      <w:r>
        <w:t>e</w:t>
      </w:r>
      <w:r>
        <w:t>ración y trabajo en equipo, para que puedan:</w:t>
      </w:r>
    </w:p>
    <w:p w:rsidR="00000000" w:rsidRDefault="00000000">
      <w:pPr>
        <w:pStyle w:val="SingleTxt"/>
        <w:tabs>
          <w:tab w:val="right" w:pos="1685"/>
        </w:tabs>
        <w:ind w:left="1742" w:hanging="475"/>
      </w:pPr>
      <w:r>
        <w:tab/>
        <w:t>•</w:t>
      </w:r>
      <w:r>
        <w:tab/>
        <w:t>Reconocer las desigualdades de género en el sistema educativo tanto por lo que re</w:t>
      </w:r>
      <w:r>
        <w:t>s</w:t>
      </w:r>
      <w:r>
        <w:t>pecta a su propio comportamiento como al de sus profesores;</w:t>
      </w:r>
    </w:p>
    <w:p w:rsidR="00000000" w:rsidRDefault="00000000">
      <w:pPr>
        <w:pStyle w:val="SingleTxt"/>
        <w:tabs>
          <w:tab w:val="right" w:pos="1685"/>
        </w:tabs>
        <w:ind w:left="1742" w:hanging="475"/>
      </w:pPr>
      <w:r>
        <w:tab/>
        <w:t>•</w:t>
      </w:r>
      <w:r>
        <w:tab/>
        <w:t>Enfocar de manera crítica la imagen de ambos sexos en los libros de texto, los pr</w:t>
      </w:r>
      <w:r>
        <w:t>o</w:t>
      </w:r>
      <w:r>
        <w:t>gramas de estudios y los medios de comunicación;</w:t>
      </w:r>
    </w:p>
    <w:p w:rsidR="00000000" w:rsidRDefault="00000000">
      <w:pPr>
        <w:pStyle w:val="SingleTxt"/>
        <w:tabs>
          <w:tab w:val="right" w:pos="1685"/>
        </w:tabs>
        <w:ind w:left="1742" w:hanging="475"/>
      </w:pPr>
      <w:r>
        <w:tab/>
        <w:t>•</w:t>
      </w:r>
      <w:r>
        <w:tab/>
        <w:t>Tomar conciencia de las estructuras patriarcales de la sociedad y de la situ</w:t>
      </w:r>
      <w:r>
        <w:t>a</w:t>
      </w:r>
      <w:r>
        <w:t xml:space="preserve">ción de desventaja de las mujeres en las democracias contemporáneas; </w:t>
      </w:r>
    </w:p>
    <w:p w:rsidR="00000000" w:rsidRDefault="00000000">
      <w:pPr>
        <w:pStyle w:val="SingleTxt"/>
        <w:tabs>
          <w:tab w:val="right" w:pos="1685"/>
        </w:tabs>
        <w:ind w:left="1742" w:hanging="475"/>
      </w:pPr>
      <w:r>
        <w:tab/>
        <w:t>•</w:t>
      </w:r>
      <w:r>
        <w:tab/>
        <w:t>Tomar conciencia de las diferencias de género en cuanto a la formación de la ident</w:t>
      </w:r>
      <w:r>
        <w:t>i</w:t>
      </w:r>
      <w:r>
        <w:t>dad durante la adolescencia en el marco de la escuela y la familia;</w:t>
      </w:r>
    </w:p>
    <w:p w:rsidR="00000000" w:rsidRDefault="00000000">
      <w:pPr>
        <w:pStyle w:val="SingleTxt"/>
        <w:tabs>
          <w:tab w:val="right" w:pos="1685"/>
        </w:tabs>
        <w:ind w:left="1742" w:hanging="475"/>
      </w:pPr>
      <w:r>
        <w:tab/>
        <w:t>•</w:t>
      </w:r>
      <w:r>
        <w:tab/>
        <w:t>Tomar conciencia de su condición de ciudadanos y ciudadanas que reconocen que los principios de la igualdad de género son un elemento necesario de la democracia y los promueven;</w:t>
      </w:r>
    </w:p>
    <w:p w:rsidR="00000000" w:rsidRDefault="00000000">
      <w:pPr>
        <w:pStyle w:val="SingleTxt"/>
        <w:tabs>
          <w:tab w:val="right" w:pos="1685"/>
        </w:tabs>
        <w:ind w:left="1742" w:hanging="475"/>
      </w:pPr>
      <w:r>
        <w:tab/>
        <w:t>•</w:t>
      </w:r>
      <w:r>
        <w:tab/>
        <w:t>Elegir su orientación académica y profesional sin dejarse influir por perce</w:t>
      </w:r>
      <w:r>
        <w:t>p</w:t>
      </w:r>
      <w:r>
        <w:t>ciones estereotipadas que reproducen la segregación profesional vertical y h</w:t>
      </w:r>
      <w:r>
        <w:t>o</w:t>
      </w:r>
      <w:r>
        <w:t>rizontal exi</w:t>
      </w:r>
      <w:r>
        <w:t>s</w:t>
      </w:r>
      <w:r>
        <w:t>tente en el mercado laboral.</w:t>
      </w:r>
    </w:p>
    <w:p w:rsidR="00000000" w:rsidRDefault="00000000">
      <w:pPr>
        <w:pStyle w:val="SingleTxt"/>
      </w:pPr>
      <w:r>
        <w:tab/>
        <w:t>En conjunto, el programa incluye 52 cursos de formación para el personal d</w:t>
      </w:r>
      <w:r>
        <w:t>o</w:t>
      </w:r>
      <w:r>
        <w:t>cente y 700 programas de intervención.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Revisión del material docente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292"/>
        </w:numPr>
      </w:pPr>
      <w:r>
        <w:t>El Instituto de Pedagogía, que es el organismo competente por lo que respecta al material docente que se utiliza en las escuelas:</w:t>
      </w:r>
    </w:p>
    <w:p w:rsidR="00000000" w:rsidRDefault="00000000">
      <w:pPr>
        <w:pStyle w:val="SingleTxt"/>
        <w:tabs>
          <w:tab w:val="right" w:pos="1685"/>
        </w:tabs>
        <w:ind w:left="1742" w:hanging="475"/>
      </w:pPr>
      <w:r>
        <w:tab/>
        <w:t>•</w:t>
      </w:r>
      <w:r>
        <w:tab/>
        <w:t>Ha tomado las medidas oportunas para evitar que en los marcos curriculares integrados intertemáticos aparezcan estereotipos que sean ofensivos para la mujer (2004);</w:t>
      </w:r>
    </w:p>
    <w:p w:rsidR="00000000" w:rsidRDefault="00000000">
      <w:pPr>
        <w:pStyle w:val="SingleTxt"/>
        <w:tabs>
          <w:tab w:val="right" w:pos="1685"/>
        </w:tabs>
        <w:ind w:left="1742" w:hanging="475"/>
      </w:pPr>
      <w:r>
        <w:tab/>
        <w:t>•</w:t>
      </w:r>
      <w:r>
        <w:tab/>
        <w:t>Ha establecido un Comité para la Igualdad integrado por miembros del propio Inst</w:t>
      </w:r>
      <w:r>
        <w:t>i</w:t>
      </w:r>
      <w:r>
        <w:t>tuto (2001);</w:t>
      </w:r>
    </w:p>
    <w:p w:rsidR="00000000" w:rsidRDefault="00000000">
      <w:pPr>
        <w:pStyle w:val="SingleTxt"/>
        <w:tabs>
          <w:tab w:val="right" w:pos="1685"/>
        </w:tabs>
        <w:ind w:left="1742" w:hanging="475"/>
      </w:pPr>
      <w:r>
        <w:tab/>
        <w:t>•</w:t>
      </w:r>
      <w:r>
        <w:tab/>
        <w:t>A partir de 2000, ha equilibrado el tratamiento que se da a ambos sexos en los pr</w:t>
      </w:r>
      <w:r>
        <w:t>o</w:t>
      </w:r>
      <w:r>
        <w:t>gramas de estudios generales.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ΙII.</w:t>
      </w:r>
      <w:r>
        <w:tab/>
        <w:t>Formación de los padres</w:t>
      </w:r>
    </w:p>
    <w:p w:rsidR="00000000" w:rsidRDefault="00000000">
      <w:pPr>
        <w:pStyle w:val="SingleTxt"/>
        <w:spacing w:after="0" w:line="120" w:lineRule="exact"/>
        <w:rPr>
          <w:sz w:val="10"/>
        </w:rPr>
      </w:pPr>
    </w:p>
    <w:p w:rsidR="00000000" w:rsidRDefault="00000000">
      <w:pPr>
        <w:pStyle w:val="SingleTxt"/>
        <w:numPr>
          <w:ilvl w:val="0"/>
          <w:numId w:val="292"/>
        </w:numPr>
      </w:pPr>
      <w:r>
        <w:t>En el contexto del programa especial “Asesoramiento para padres”, se impa</w:t>
      </w:r>
      <w:r>
        <w:t>r</w:t>
      </w:r>
      <w:r>
        <w:t>ten cursos de formación de 40 horas de duración en el marco de 20 grupos mie</w:t>
      </w:r>
      <w:r>
        <w:t>m</w:t>
      </w:r>
      <w:r>
        <w:t>bros. Educadores cualificados, que utilizan materiales docentes idóneos, se encargan de la exposición de los temas y brindan a los padres la posibilidad de participar a</w:t>
      </w:r>
      <w:r>
        <w:t>c</w:t>
      </w:r>
      <w:r>
        <w:t>tivamente en el proceso educativo, no sólo intercambiando experiencias, sino ta</w:t>
      </w:r>
      <w:r>
        <w:t>m</w:t>
      </w:r>
      <w:r>
        <w:t>bién por m</w:t>
      </w:r>
      <w:r>
        <w:t>e</w:t>
      </w:r>
      <w:r>
        <w:t xml:space="preserve">dio de ejercicios prácticos. </w:t>
      </w:r>
    </w:p>
    <w:p w:rsidR="00000000" w:rsidRDefault="00000000">
      <w:pPr>
        <w:pStyle w:val="SingleTxt"/>
      </w:pPr>
      <w:r>
        <w:tab/>
        <w:t>Los temas básicos de interés para los padres que asisten a estos cursos son los s</w:t>
      </w:r>
      <w:r>
        <w:t>i</w:t>
      </w:r>
      <w:r>
        <w:t xml:space="preserve">guientes: </w:t>
      </w:r>
    </w:p>
    <w:p w:rsidR="00000000" w:rsidRDefault="00000000">
      <w:pPr>
        <w:pStyle w:val="SingleTxt"/>
        <w:tabs>
          <w:tab w:val="right" w:pos="1685"/>
        </w:tabs>
        <w:ind w:left="1742" w:hanging="475"/>
      </w:pPr>
      <w:r>
        <w:tab/>
        <w:t>–</w:t>
      </w:r>
      <w:r>
        <w:tab/>
        <w:t>La familia como grupo;</w:t>
      </w:r>
    </w:p>
    <w:p w:rsidR="00000000" w:rsidRDefault="00000000">
      <w:pPr>
        <w:pStyle w:val="SingleTxt"/>
        <w:tabs>
          <w:tab w:val="right" w:pos="1685"/>
        </w:tabs>
        <w:ind w:left="1742" w:hanging="475"/>
      </w:pPr>
      <w:r>
        <w:tab/>
        <w:t>–</w:t>
      </w:r>
      <w:r>
        <w:tab/>
        <w:t>La comunicación, las relaciones interpersonales;</w:t>
      </w:r>
    </w:p>
    <w:p w:rsidR="00000000" w:rsidRDefault="00000000">
      <w:pPr>
        <w:pStyle w:val="SingleTxt"/>
        <w:tabs>
          <w:tab w:val="right" w:pos="1685"/>
        </w:tabs>
        <w:ind w:left="1742" w:hanging="475"/>
      </w:pPr>
      <w:r>
        <w:tab/>
        <w:t>–</w:t>
      </w:r>
      <w:r>
        <w:tab/>
        <w:t>El crecimiento y el desarrollo de los niños y los adolescentes;</w:t>
      </w:r>
    </w:p>
    <w:p w:rsidR="00000000" w:rsidRDefault="00000000">
      <w:pPr>
        <w:pStyle w:val="SingleTxt"/>
        <w:tabs>
          <w:tab w:val="right" w:pos="1685"/>
        </w:tabs>
        <w:ind w:left="1742" w:hanging="475"/>
      </w:pPr>
      <w:r>
        <w:tab/>
        <w:t>–</w:t>
      </w:r>
      <w:r>
        <w:tab/>
        <w:t xml:space="preserve">La familia y la escuela. </w:t>
      </w:r>
    </w:p>
    <w:p w:rsidR="00000000" w:rsidRDefault="00000000">
      <w:pPr>
        <w:pStyle w:val="SingleTxt"/>
      </w:pPr>
      <w:r>
        <w:tab/>
        <w:t>En la primera fase de ejecución del programa (2003-2004), se impartieron 238 cursos 14 prefecturas. En la segunda fase (2004-2005) se prevé impartir 254 cursos de asesoramiento en 51 prefect</w:t>
      </w:r>
      <w:r>
        <w:t>u</w:t>
      </w:r>
      <w:r>
        <w:t>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 xml:space="preserve">Formación del profesorado en nuevas tecnologías </w:t>
      </w:r>
    </w:p>
    <w:p w:rsidR="00000000" w:rsidRDefault="00000000">
      <w:pPr>
        <w:pStyle w:val="SingleTxt"/>
        <w:spacing w:after="0" w:line="120" w:lineRule="exact"/>
        <w:rPr>
          <w:sz w:val="10"/>
        </w:rPr>
      </w:pPr>
    </w:p>
    <w:p w:rsidR="00000000" w:rsidRDefault="00000000">
      <w:pPr>
        <w:pStyle w:val="SingleTxt"/>
        <w:numPr>
          <w:ilvl w:val="0"/>
          <w:numId w:val="293"/>
        </w:numPr>
      </w:pPr>
      <w:r>
        <w:t xml:space="preserve">En el marco del proyecto “Formación del profesorado para la utilización en la enseñanza de las nuevas tecnologías de la información y las comunicaciones”, en los cursos 2001 a 2003 se formó a un total de 66.000 profesores, </w:t>
      </w:r>
      <w:r>
        <w:rPr>
          <w:i/>
        </w:rPr>
        <w:t>de los que el 59% eran mujeres y el 41% hombres.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Educación permanente </w:t>
      </w:r>
    </w:p>
    <w:p w:rsidR="00000000" w:rsidRDefault="00000000">
      <w:pPr>
        <w:pStyle w:val="SingleTxt"/>
        <w:spacing w:after="0" w:line="120" w:lineRule="exact"/>
        <w:rPr>
          <w:sz w:val="10"/>
        </w:rPr>
      </w:pPr>
    </w:p>
    <w:p w:rsidR="00000000" w:rsidRDefault="00000000">
      <w:pPr>
        <w:pStyle w:val="SingleTxt"/>
        <w:numPr>
          <w:ilvl w:val="0"/>
          <w:numId w:val="293"/>
        </w:numPr>
      </w:pPr>
      <w:r>
        <w:t>Las Escuelas de la Segunda Oportunidad son un programa educativo innovador y flexible que tiene por objeto luchar contra la exclusión social de las personas que carecen de las habilidades y conocimientos necesarios para satisfacer las demandas actuales del mercado laboral. El programa brinda a las personas mayores de 18 años que no han acabado los nueve años de enseñanza obligatoria la oportunidad de obt</w:t>
      </w:r>
      <w:r>
        <w:t>e</w:t>
      </w:r>
      <w:r>
        <w:t xml:space="preserve">ner el certificado correspondiente y de incorporarse a la vida social, económica y laboral. En particular, los objetivos del programa son los siguientes: </w:t>
      </w:r>
    </w:p>
    <w:p w:rsidR="00000000" w:rsidRDefault="00000000">
      <w:pPr>
        <w:pStyle w:val="SingleTxt"/>
        <w:tabs>
          <w:tab w:val="right" w:pos="1685"/>
        </w:tabs>
        <w:ind w:left="1742" w:hanging="475"/>
      </w:pPr>
      <w:r>
        <w:tab/>
        <w:t>•</w:t>
      </w:r>
      <w:r>
        <w:tab/>
        <w:t>Reinsertar en el proceso educativo a las personas que han abandonado la ens</w:t>
      </w:r>
      <w:r>
        <w:t>e</w:t>
      </w:r>
      <w:r>
        <w:t xml:space="preserve">ñanza obligatoria; </w:t>
      </w:r>
    </w:p>
    <w:p w:rsidR="00000000" w:rsidRDefault="00000000">
      <w:pPr>
        <w:pStyle w:val="SingleTxt"/>
        <w:tabs>
          <w:tab w:val="right" w:pos="1685"/>
        </w:tabs>
        <w:ind w:left="1742" w:hanging="475"/>
      </w:pPr>
      <w:r>
        <w:tab/>
        <w:t>•</w:t>
      </w:r>
      <w:r>
        <w:tab/>
        <w:t>Establecer redes de colaboración entre la escuela, la sociedad local, el mundo e</w:t>
      </w:r>
      <w:r>
        <w:t>m</w:t>
      </w:r>
      <w:r>
        <w:t>presarial y la enseñanza.</w:t>
      </w:r>
    </w:p>
    <w:p w:rsidR="00000000" w:rsidRDefault="00000000">
      <w:pPr>
        <w:pStyle w:val="SingleTxt"/>
      </w:pPr>
      <w:r>
        <w:tab/>
        <w:t xml:space="preserve">El programa de estudios comprende tres unidades temáticas: </w:t>
      </w:r>
    </w:p>
    <w:p w:rsidR="00000000" w:rsidRDefault="00000000">
      <w:pPr>
        <w:pStyle w:val="SingleTxt"/>
        <w:tabs>
          <w:tab w:val="right" w:pos="1685"/>
        </w:tabs>
        <w:ind w:left="1742" w:hanging="475"/>
      </w:pPr>
      <w:r>
        <w:tab/>
        <w:t>•</w:t>
      </w:r>
      <w:r>
        <w:tab/>
        <w:t>Desarrollo de la capacidad en el campo del lenguaje, las matemáticas y la c</w:t>
      </w:r>
      <w:r>
        <w:t>o</w:t>
      </w:r>
      <w:r>
        <w:t>municación, haciendo especial hincapié en los idiomas extranjeros y la info</w:t>
      </w:r>
      <w:r>
        <w:t>r</w:t>
      </w:r>
      <w:r>
        <w:t>mát</w:t>
      </w:r>
      <w:r>
        <w:t>i</w:t>
      </w:r>
      <w:r>
        <w:t>ca;</w:t>
      </w:r>
    </w:p>
    <w:p w:rsidR="00000000" w:rsidRDefault="00000000">
      <w:pPr>
        <w:pStyle w:val="SingleTxt"/>
        <w:tabs>
          <w:tab w:val="right" w:pos="1685"/>
        </w:tabs>
        <w:ind w:left="1742" w:hanging="475"/>
      </w:pPr>
      <w:r>
        <w:tab/>
        <w:t>•</w:t>
      </w:r>
      <w:r>
        <w:tab/>
        <w:t>Formación básica y preparación para la vida laboral, en colaboración con las autor</w:t>
      </w:r>
      <w:r>
        <w:t>i</w:t>
      </w:r>
      <w:r>
        <w:t xml:space="preserve">dades locales; </w:t>
      </w:r>
    </w:p>
    <w:p w:rsidR="00000000" w:rsidRDefault="00000000">
      <w:pPr>
        <w:pStyle w:val="SingleTxt"/>
        <w:tabs>
          <w:tab w:val="right" w:pos="1685"/>
        </w:tabs>
        <w:ind w:left="1742" w:hanging="475"/>
      </w:pPr>
      <w:r>
        <w:tab/>
        <w:t>•</w:t>
      </w:r>
      <w:r>
        <w:tab/>
        <w:t>Desarrollo de los conocimientos en los campos de interés personal de los est</w:t>
      </w:r>
      <w:r>
        <w:t>u</w:t>
      </w:r>
      <w:r>
        <w:t>dia</w:t>
      </w:r>
      <w:r>
        <w:t>n</w:t>
      </w:r>
      <w:r>
        <w:t xml:space="preserve">tes, como el deporte, la música, el teatro, etc. </w:t>
      </w:r>
    </w:p>
    <w:p w:rsidR="00000000" w:rsidRDefault="00000000">
      <w:pPr>
        <w:pStyle w:val="SingleTxt"/>
      </w:pPr>
      <w:r>
        <w:tab/>
        <w:t>El programa tiene una duración total de 18 meses (dos periodos de seis meses).</w:t>
      </w:r>
    </w:p>
    <w:p w:rsidR="00000000" w:rsidRDefault="00000000">
      <w:pPr>
        <w:pStyle w:val="SingleTxt"/>
      </w:pPr>
      <w:r>
        <w:tab/>
        <w:t>Actualmente están en funcionamiento en Grecia 18 Escuelas de la Segunda Oportunidad en las siguientes prefecturas: AITOLOAKARNANIA (Agrinion), ÁTICA (Acharnes, Korydallos, Peristeri, Kallithea), ACHAIA (Patra), EVROS (Alexandroupolis), DRAMA (Drama), IOÁNINA (Ioánina), ILEIA (Pyrgos), HERAKLION (Tylissos), TESALÓNICA (Tesalónica, Neapolis), LÁRISA (Lárisa), LASSITHI (Ierapetra), LESBOS (Mytilini), PELLA (Giannitsa).</w:t>
      </w:r>
    </w:p>
    <w:p w:rsidR="00000000" w:rsidRDefault="00000000">
      <w:pPr>
        <w:pStyle w:val="SingleTxt"/>
      </w:pPr>
      <w:r>
        <w:tab/>
        <w:t>También está previsto abrir Escuelas de la Segunda Oportunidad en las pr</w:t>
      </w:r>
      <w:r>
        <w:t>e</w:t>
      </w:r>
      <w:r>
        <w:t>fecturas de: ÁTICA (Ag. Anargyroi, El Pireo), BEOCIA (Orchomenos), EUBEA (Aliveri), KARDITSA (Karditsa), KASTORIA (Kastoria), LÁRISA (Instituto C</w:t>
      </w:r>
      <w:r>
        <w:t>o</w:t>
      </w:r>
      <w:r>
        <w:t>rreccional), MAGNESIA (Volós), XANTHI (Xanthi), SERRES (Serres), TRIKALA (Trikala), PHTHIOTIDA (Lamia), FLORINA (Florina), FOKIDA (Amphissa).</w:t>
      </w:r>
    </w:p>
    <w:p w:rsidR="00000000" w:rsidRDefault="00000000">
      <w:pPr>
        <w:pStyle w:val="SingleTxt"/>
      </w:pPr>
      <w:r>
        <w:tab/>
        <w:t>Las Escuelas de la Segunda Oportunidad son miembros de la red europea E</w:t>
      </w:r>
      <w:r>
        <w:t>s</w:t>
      </w:r>
      <w:r>
        <w:t xml:space="preserve">cuelas de la Segunda Oportunidad (www.e2c-europe.org). </w:t>
      </w:r>
    </w:p>
    <w:p w:rsidR="00000000" w:rsidRDefault="00000000">
      <w:pPr>
        <w:pStyle w:val="SingleTxt"/>
        <w:numPr>
          <w:ilvl w:val="0"/>
          <w:numId w:val="293"/>
        </w:numPr>
      </w:pPr>
      <w:r>
        <w:t>Los Institutos de Formación Profesional no forman parte del sistema de ens</w:t>
      </w:r>
      <w:r>
        <w:t>e</w:t>
      </w:r>
      <w:r>
        <w:t>ñanza oficial. Esos institutos complementan el sistema educativo y ayudan a los j</w:t>
      </w:r>
      <w:r>
        <w:t>ó</w:t>
      </w:r>
      <w:r>
        <w:t>venes a incorporarse al mercado laboral. Su objetivo es impartir cualquier tipo de formación profesional, básica o complementaria, a fin de facilitar la incorporación profesional de los jóvenes a la sociedad, y de garantizar su adaptación a las nuevas necesidades de los procesos de producción.</w:t>
      </w:r>
    </w:p>
    <w:p w:rsidR="00000000" w:rsidRDefault="00000000">
      <w:pPr>
        <w:pStyle w:val="SingleTxt"/>
      </w:pPr>
      <w:r>
        <w:tab/>
        <w:t>Como muestran los datos estadísticos (anexo D), la participación de las muj</w:t>
      </w:r>
      <w:r>
        <w:t>e</w:t>
      </w:r>
      <w:r>
        <w:t>res en los Institutos de Formación Profesional ha aumentado y es superior a la de los ho</w:t>
      </w:r>
      <w:r>
        <w:t>m</w:t>
      </w:r>
      <w:r>
        <w:t>bres (9.776 mujeres frente a 7.681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Educación intercultural</w:t>
      </w:r>
    </w:p>
    <w:p w:rsidR="00000000" w:rsidRDefault="00000000">
      <w:pPr>
        <w:pStyle w:val="SingleTxt"/>
        <w:spacing w:after="0" w:line="120" w:lineRule="exact"/>
        <w:rPr>
          <w:sz w:val="10"/>
        </w:rPr>
      </w:pPr>
    </w:p>
    <w:p w:rsidR="00000000" w:rsidRDefault="00000000">
      <w:pPr>
        <w:pStyle w:val="SingleTxt"/>
        <w:numPr>
          <w:ilvl w:val="0"/>
          <w:numId w:val="321"/>
        </w:numPr>
        <w:rPr>
          <w:color w:val="000000"/>
          <w:sz w:val="23"/>
        </w:rPr>
      </w:pPr>
      <w:r>
        <w:t>El Ministerio de Educación lleva a cabo programas especiales de educación inte</w:t>
      </w:r>
      <w:r>
        <w:t>r</w:t>
      </w:r>
      <w:r>
        <w:t xml:space="preserve">cultural destinados </w:t>
      </w:r>
      <w:r>
        <w:rPr>
          <w:color w:val="000000"/>
          <w:sz w:val="23"/>
        </w:rPr>
        <w:t xml:space="preserve">a: </w:t>
      </w:r>
    </w:p>
    <w:p w:rsidR="00000000" w:rsidRDefault="00000000">
      <w:pPr>
        <w:pStyle w:val="SingleTxt"/>
        <w:tabs>
          <w:tab w:val="right" w:pos="1685"/>
        </w:tabs>
        <w:ind w:left="1742" w:hanging="475"/>
      </w:pPr>
      <w:r>
        <w:tab/>
        <w:t>–</w:t>
      </w:r>
      <w:r>
        <w:tab/>
        <w:t>Los alumnos gitanos (niños y niñas);</w:t>
      </w:r>
    </w:p>
    <w:p w:rsidR="00000000" w:rsidRDefault="00000000">
      <w:pPr>
        <w:pStyle w:val="SingleTxt"/>
        <w:tabs>
          <w:tab w:val="right" w:pos="1685"/>
        </w:tabs>
        <w:ind w:left="1742" w:hanging="475"/>
      </w:pPr>
      <w:r>
        <w:tab/>
        <w:t>–</w:t>
      </w:r>
      <w:r>
        <w:tab/>
        <w:t>Los alumnos extranjeros y los alumnos griegos repatriados (niños y n</w:t>
      </w:r>
      <w:r>
        <w:t>i</w:t>
      </w:r>
      <w:r>
        <w:t>ñas).</w:t>
      </w:r>
    </w:p>
    <w:p w:rsidR="00000000" w:rsidRDefault="00000000">
      <w:pPr>
        <w:pStyle w:val="SingleTxt"/>
      </w:pPr>
      <w:r>
        <w:tab/>
        <w:t>Para los alumnos gitanos se aplican programas preparatorios especiales; con tal fin se han creado 100 plazas permanentes de profesores, y se ha nombrado a otros tantos profesores para cubrirlas. Al mismo tiempo, se facilita la asistencia de los niños gitanos utilizando una tarjeta especial de asistencia que les permite acudir a cualquier escuela, omitiendo el procedimiento oficial de renovación de la matr</w:t>
      </w:r>
      <w:r>
        <w:t>í</w:t>
      </w:r>
      <w:r>
        <w:t>cula, en el caso de que sus familias se trasladen repentinamente.</w:t>
      </w:r>
    </w:p>
    <w:p w:rsidR="00000000" w:rsidRDefault="00000000">
      <w:pPr>
        <w:pStyle w:val="SingleTxt"/>
      </w:pPr>
      <w:r>
        <w:tab/>
        <w:t>Para los repatriados griegos y los alumnos extranjeros, en 12 escuelas el</w:t>
      </w:r>
      <w:r>
        <w:t>e</w:t>
      </w:r>
      <w:r>
        <w:t>mentales de educación intercultural, que operan en diversos distritos del país, se aplican programas especiales. Esos programas también se llevan a cabo en un núm</w:t>
      </w:r>
      <w:r>
        <w:t>e</w:t>
      </w:r>
      <w:r>
        <w:t>ro considerable de escuelas elementales ordinarias del país en las que hay muchos alumnos griegos repatriados y alumnos extranjeros. Para tal fin, el año pasado se crearon alrededor de 500 clases de recepción y se impartieron 700 cursos de tutoría. Para impartir las clases de recepción se han creado 257 plazas permanentes de pr</w:t>
      </w:r>
      <w:r>
        <w:t>o</w:t>
      </w:r>
      <w:r>
        <w:t>fesores de enseñanza elemental, y el resto de las plazas se han cubierto con profes</w:t>
      </w:r>
      <w:r>
        <w:t>o</w:t>
      </w:r>
      <w:r>
        <w:t>res sustit</w:t>
      </w:r>
      <w:r>
        <w:t>u</w:t>
      </w:r>
      <w:r>
        <w:t>tos</w:t>
      </w:r>
      <w:r>
        <w:rPr>
          <w:rStyle w:val="FootnoteReference"/>
        </w:rPr>
        <w:footnoteReference w:id="33"/>
      </w:r>
      <w:r>
        <w:t>.</w:t>
      </w:r>
    </w:p>
    <w:p w:rsidR="00000000" w:rsidRDefault="00000000">
      <w:pPr>
        <w:pStyle w:val="SingleTxt"/>
      </w:pPr>
      <w:r>
        <w:rPr>
          <w:b/>
        </w:rPr>
        <w:tab/>
      </w:r>
      <w:r>
        <w:t>La Secretaría General para la Igualdad de Género y el Centro de Investigación para la Igualdad de Género (K.E.TH.I.) han llevado a cabo varios estudios sobre grupos sociales marginados:</w:t>
      </w:r>
    </w:p>
    <w:p w:rsidR="00000000" w:rsidRDefault="00000000">
      <w:pPr>
        <w:pStyle w:val="SingleTxt"/>
        <w:tabs>
          <w:tab w:val="right" w:pos="1685"/>
        </w:tabs>
        <w:ind w:left="1742" w:hanging="475"/>
      </w:pPr>
      <w:r>
        <w:tab/>
        <w:t>•</w:t>
      </w:r>
      <w:r>
        <w:tab/>
        <w:t xml:space="preserve">“El género y los grupos sociales marginados: estudio bibliográfico”, Atenas, 2001; </w:t>
      </w:r>
    </w:p>
    <w:p w:rsidR="00000000" w:rsidRDefault="00000000">
      <w:pPr>
        <w:pStyle w:val="SingleTxt"/>
        <w:tabs>
          <w:tab w:val="right" w:pos="1685"/>
        </w:tabs>
        <w:ind w:left="1742" w:hanging="475"/>
      </w:pPr>
      <w:r>
        <w:tab/>
        <w:t>•</w:t>
      </w:r>
      <w:r>
        <w:tab/>
        <w:t>“Las relaciones jurídicas familiares de los musulmanes griegos”, Tesalónica, 2001;</w:t>
      </w:r>
    </w:p>
    <w:p w:rsidR="00000000" w:rsidRDefault="00000000">
      <w:pPr>
        <w:pStyle w:val="SingleTxt"/>
        <w:tabs>
          <w:tab w:val="right" w:pos="1685"/>
        </w:tabs>
        <w:ind w:left="1742" w:hanging="475"/>
      </w:pPr>
      <w:r>
        <w:tab/>
        <w:t>•</w:t>
      </w:r>
      <w:r>
        <w:tab/>
        <w:t>“Las mujeres musulmanas: estudio de sus necesidades y formulación de pr</w:t>
      </w:r>
      <w:r>
        <w:t>o</w:t>
      </w:r>
      <w:r>
        <w:t>puestas”, trabajo de investigación.</w:t>
      </w:r>
    </w:p>
    <w:p w:rsidR="00000000" w:rsidRDefault="00000000">
      <w:pPr>
        <w:pStyle w:val="SingleTxt"/>
        <w:tabs>
          <w:tab w:val="right" w:pos="1685"/>
        </w:tabs>
        <w:spacing w:after="0" w:line="120" w:lineRule="exact"/>
        <w:ind w:left="1742" w:hanging="475"/>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Artículo 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1.</w:t>
            </w:r>
            <w:r>
              <w:rPr>
                <w:i/>
              </w:rPr>
              <w:tab/>
              <w:t>Los Estados Partes adoptarán todas las medidas apropiadas para eliminar la discriminación contra la mujer en la esfera del empleo a fin de asegurar a la mujer, en condiciones de igualdad con los hombres, los mismos derechos, en part</w:t>
            </w:r>
            <w:r>
              <w:rPr>
                <w:i/>
              </w:rPr>
              <w:t>i</w:t>
            </w:r>
            <w:r>
              <w:rPr>
                <w:i/>
              </w:rPr>
              <w:t xml:space="preserve">cular: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a)</w:t>
            </w:r>
            <w:r>
              <w:rPr>
                <w:i/>
              </w:rPr>
              <w:tab/>
              <w:t xml:space="preserve">El derecho al trabajo, derecho inalienable de todo ser humano;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b)</w:t>
            </w:r>
            <w:r>
              <w:rPr>
                <w:i/>
              </w:rPr>
              <w:tab/>
              <w:t>El derecho a las mismas oportunidades de empleo, inclusive a la aplicación de los mismos criterios de selección en cuestiones de empleo;</w:t>
            </w:r>
          </w:p>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El derecho a elegir libremente profesión y empleo, el derecho al ascenso, </w:t>
            </w:r>
            <w:r>
              <w:rPr>
                <w:i/>
                <w:spacing w:val="6"/>
              </w:rPr>
              <w:t xml:space="preserve">a la estabilidad en el empleo y a todas las prestaciones y otras condiciones de </w:t>
            </w:r>
            <w:r>
              <w:rPr>
                <w:i/>
              </w:rPr>
              <w:t>servicio, y el derecho a la formación profesional y al readiestramiento, incluido el aprend</w:t>
            </w:r>
            <w:r>
              <w:rPr>
                <w:i/>
              </w:rPr>
              <w:t>i</w:t>
            </w:r>
            <w:r>
              <w:rPr>
                <w:i/>
              </w:rPr>
              <w:t>zaje, la formación profesional superior y el adiestramiento periódico;</w:t>
            </w:r>
          </w:p>
          <w:p w:rsidR="00000000" w:rsidRDefault="00000000">
            <w:pPr>
              <w:pStyle w:val="DualTxt"/>
              <w:rPr>
                <w:i/>
              </w:rPr>
            </w:pPr>
            <w:r>
              <w:rPr>
                <w:i/>
              </w:rPr>
              <w:tab/>
              <w:t>d)</w:t>
            </w:r>
            <w:r>
              <w:rPr>
                <w:i/>
              </w:rPr>
              <w:tab/>
              <w:t>El derecho a igual remuneración, inclusive prestaciones, y a igualdad de trato con respecto a un trabajo de igual valor, así como a igualdad de trato con respecto a la evaluación de la calidad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DualTxt"/>
              <w:spacing w:line="240" w:lineRule="auto"/>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DualTxt"/>
              <w:suppressAutoHyphens/>
              <w:spacing w:line="240" w:lineRule="auto"/>
              <w:rPr>
                <w:i/>
              </w:rPr>
            </w:pPr>
            <w:r>
              <w:tab/>
            </w: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DualTxt"/>
              <w:suppressAutoHyphens/>
              <w:spacing w:line="240" w:lineRule="auto"/>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DualTxt"/>
              <w:suppressAutoHyphens/>
              <w:spacing w:line="240" w:lineRule="auto"/>
              <w:rPr>
                <w:i/>
              </w:rPr>
            </w:pPr>
            <w:r>
              <w:rPr>
                <w:i/>
              </w:rPr>
              <w:tab/>
              <w:t>b)</w:t>
            </w:r>
            <w:r>
              <w:rPr>
                <w:i/>
              </w:rPr>
              <w:tab/>
              <w:t xml:space="preserve">Implantar la licencia de maternidad con sueldo pagado o prestaciones sociales comparables sin pérdida del empleo previo, la antigüedad o los beneficios sociales: </w:t>
            </w:r>
          </w:p>
          <w:p w:rsidR="00000000" w:rsidRDefault="00000000">
            <w:pPr>
              <w:pStyle w:val="DualTxt"/>
              <w:suppressAutoHyphens/>
              <w:spacing w:line="240" w:lineRule="auto"/>
              <w:rPr>
                <w:i/>
              </w:rPr>
            </w:pPr>
            <w:r>
              <w:rPr>
                <w:i/>
              </w:rPr>
              <w:tab/>
              <w:t>c)</w:t>
            </w:r>
            <w:r>
              <w:rPr>
                <w:i/>
              </w:rPr>
              <w:tab/>
              <w:t xml:space="preserve">Alentar el suministro de los servicios sociales de apoyo necesarios para permitir que los padres combinen las obligaciones para con la familia con las responsabilidad del trabajo y la participación en la vida pública, especialmente mediante el fomento de la creación y desarrollo de una red de servicios destinados al cuidado de los niños; </w:t>
            </w:r>
          </w:p>
          <w:p w:rsidR="00000000" w:rsidRDefault="00000000">
            <w:pPr>
              <w:pStyle w:val="DualTxt"/>
              <w:suppressAutoHyphens/>
              <w:spacing w:line="240" w:lineRule="auto"/>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DualTxt"/>
            </w:pPr>
            <w:r>
              <w:rPr>
                <w:i/>
              </w:rPr>
              <w:tab/>
              <w:t>3.</w:t>
            </w:r>
            <w:r>
              <w:rPr>
                <w:i/>
              </w:rPr>
              <w:tab/>
              <w:t>La legislación protectora relacionada con las cuestiones comprendidas en este artículo será examinada periódicamente a la luz de los conocimientos cie</w:t>
            </w:r>
            <w:r>
              <w:rPr>
                <w:i/>
              </w:rPr>
              <w:t>n</w:t>
            </w:r>
            <w:r>
              <w:rPr>
                <w:i/>
              </w:rPr>
              <w:t>tíficos y tecnológicos y será revisada, derogada o ampliada según corresponda.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 xml:space="preserve">Cifras de desempleo y empleo de las mujeres </w:t>
      </w:r>
    </w:p>
    <w:p w:rsidR="00000000" w:rsidRDefault="00000000">
      <w:pPr>
        <w:pStyle w:val="SingleTxt"/>
        <w:spacing w:after="0" w:line="120" w:lineRule="exact"/>
        <w:rPr>
          <w:sz w:val="10"/>
        </w:rPr>
      </w:pPr>
    </w:p>
    <w:p w:rsidR="00000000" w:rsidRDefault="00000000">
      <w:pPr>
        <w:pStyle w:val="SingleTxt"/>
        <w:numPr>
          <w:ilvl w:val="0"/>
          <w:numId w:val="295"/>
        </w:numPr>
      </w:pPr>
      <w:r>
        <w:t>El Plan Nacional de Acción para Promover el Empleo, actualmente en vigor, y el Plan Nacional de Acción para Promover la Integración Social, cofinanciados por el Fondo Social Europeo, recogen las políticas nacionales encaminadas a eliminar la exclusión del mercado laboral.</w:t>
      </w:r>
    </w:p>
    <w:p w:rsidR="00000000" w:rsidRDefault="00000000">
      <w:pPr>
        <w:pStyle w:val="SingleTxt"/>
      </w:pPr>
      <w:r>
        <w:tab/>
        <w:t>El Fondo Social Europeo, que es el primer instrumento para la aplicación de la Estrategia de Promoción del Empleo de la Unión Europea, presta asistencia fina</w:t>
      </w:r>
      <w:r>
        <w:t>n</w:t>
      </w:r>
      <w:r>
        <w:t>ciera con miras a la adopción de medidas y políticas en relación con las prioridades e</w:t>
      </w:r>
      <w:r>
        <w:t>s</w:t>
      </w:r>
      <w:r>
        <w:t xml:space="preserve">tratégicas, entre las que figuran: </w:t>
      </w:r>
    </w:p>
    <w:p w:rsidR="00000000" w:rsidRDefault="00000000">
      <w:pPr>
        <w:pStyle w:val="SingleTxt"/>
        <w:tabs>
          <w:tab w:val="right" w:pos="1685"/>
        </w:tabs>
        <w:ind w:left="1742" w:hanging="475"/>
      </w:pPr>
      <w:bookmarkStart w:id="24" w:name="_Toc116885469"/>
      <w:r>
        <w:tab/>
        <w:t>–</w:t>
      </w:r>
      <w:r>
        <w:tab/>
        <w:t>La integración social en el mercado laboral; y</w:t>
      </w:r>
      <w:bookmarkEnd w:id="24"/>
    </w:p>
    <w:p w:rsidR="00000000" w:rsidRDefault="00000000">
      <w:pPr>
        <w:pStyle w:val="SingleTxt"/>
        <w:tabs>
          <w:tab w:val="right" w:pos="1685"/>
        </w:tabs>
        <w:ind w:left="1742" w:hanging="475"/>
      </w:pPr>
      <w:r>
        <w:tab/>
        <w:t>–</w:t>
      </w:r>
      <w:r>
        <w:tab/>
        <w:t>La igualdad de género.</w:t>
      </w:r>
    </w:p>
    <w:p w:rsidR="00000000" w:rsidRDefault="00000000">
      <w:pPr>
        <w:pStyle w:val="SingleTxt"/>
      </w:pPr>
      <w:r>
        <w:tab/>
        <w:t xml:space="preserve">Para alcanzar los objetivos de Lisboa (2000) todos los Estados miembros de la </w:t>
      </w:r>
      <w:r>
        <w:rPr>
          <w:spacing w:val="2"/>
        </w:rPr>
        <w:t>Unión Europea tienen que elaborar y aplicar políticas en las que se tengan en cue</w:t>
      </w:r>
      <w:r>
        <w:rPr>
          <w:spacing w:val="2"/>
        </w:rPr>
        <w:t>n</w:t>
      </w:r>
      <w:r>
        <w:t xml:space="preserve">ta: </w:t>
      </w:r>
    </w:p>
    <w:p w:rsidR="00000000" w:rsidRDefault="00000000">
      <w:pPr>
        <w:pStyle w:val="SingleTxt"/>
      </w:pPr>
      <w:r>
        <w:tab/>
        <w:t>1.</w:t>
      </w:r>
      <w:r>
        <w:tab/>
        <w:t>La sociedad digital, la economía del conocimiento y la transición hacia ellas; y</w:t>
      </w:r>
    </w:p>
    <w:p w:rsidR="00000000" w:rsidRDefault="00000000">
      <w:pPr>
        <w:pStyle w:val="SingleTxt"/>
      </w:pPr>
      <w:r>
        <w:tab/>
        <w:t>2.</w:t>
      </w:r>
      <w:r>
        <w:tab/>
        <w:t>La inversión en las personas y la construcción de un Estado de bienestar activo mediante la modernización del modelo social europeo, por medio de la coh</w:t>
      </w:r>
      <w:r>
        <w:t>e</w:t>
      </w:r>
      <w:r>
        <w:t>sión y de la creación de un mercado laboral sin exclusiones.</w:t>
      </w:r>
    </w:p>
    <w:p w:rsidR="00000000" w:rsidRDefault="00000000">
      <w:pPr>
        <w:pStyle w:val="SingleTxt"/>
        <w:numPr>
          <w:ilvl w:val="0"/>
          <w:numId w:val="295"/>
        </w:numPr>
      </w:pPr>
      <w:r>
        <w:t xml:space="preserve">El </w:t>
      </w:r>
      <w:r>
        <w:rPr>
          <w:i/>
        </w:rPr>
        <w:t xml:space="preserve">Plan Nacional de Acción para Promover el Empleo </w:t>
      </w:r>
      <w:r>
        <w:t>es el principal instr</w:t>
      </w:r>
      <w:r>
        <w:t>u</w:t>
      </w:r>
      <w:r>
        <w:t xml:space="preserve">mento para planificar y aplicar las políticas en materia de empleo. Una de las </w:t>
      </w:r>
      <w:r>
        <w:rPr>
          <w:i/>
        </w:rPr>
        <w:t>dire</w:t>
      </w:r>
      <w:r>
        <w:rPr>
          <w:i/>
        </w:rPr>
        <w:t>c</w:t>
      </w:r>
      <w:r>
        <w:rPr>
          <w:i/>
        </w:rPr>
        <w:t xml:space="preserve">trices </w:t>
      </w:r>
      <w:r>
        <w:t>del Plan Nacional de Acción es la igualdad de género.</w:t>
      </w:r>
    </w:p>
    <w:p w:rsidR="00000000" w:rsidRDefault="00000000">
      <w:pPr>
        <w:pStyle w:val="SingleTxt"/>
        <w:numPr>
          <w:ilvl w:val="0"/>
          <w:numId w:val="295"/>
        </w:numPr>
      </w:pPr>
      <w:r>
        <w:rPr>
          <w:noProof/>
          <w:w w:val="100"/>
        </w:rPr>
        <w:pict>
          <v:group id="_x0000_s2051" style="position:absolute;left:0;text-align:left;margin-left:61.35pt;margin-top:18.5pt;width:440.5pt;height:240.15pt;z-index:2" coordorigin="2422,4490" coordsize="8810,4803"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2422;top:4490;width:8810;height:4803" o:preferrelative="f">
              <v:fill o:detectmouseclick="t"/>
              <v:path o:extrusionok="t" o:connecttype="none"/>
              <o:lock v:ext="edit" text="t"/>
            </v:shape>
            <v:shape id="_x0000_s2053" type="#_x0000_t75" style="position:absolute;left:2482;top:4550;width:7185;height:4245">
              <v:imagedata r:id="rId14" o:title=""/>
            </v:shape>
            <v:rect id="_x0000_s2054" style="position:absolute;left:2497;top:4565;width:7200;height:4260" filled="f" strokeweight="0"/>
            <v:shape id="_x0000_s2055" type="#_x0000_t75" style="position:absolute;left:3202;top:5540;width:6330;height:2280">
              <v:imagedata r:id="rId15" o:title=""/>
            </v:shape>
            <v:rect id="_x0000_s2056" style="position:absolute;left:3217;top:5555;width:6345;height:2295" filled="f" stroked="f"/>
            <v:line id="_x0000_s2057" style="position:absolute" from="3217,7565" to="9562,7566" strokeweight="0"/>
            <v:line id="_x0000_s2058" style="position:absolute" from="3217,7280" to="9562,7281" strokeweight="0"/>
            <v:line id="_x0000_s2059" style="position:absolute" from="3217,6995" to="9562,6996" strokeweight="0"/>
            <v:line id="_x0000_s2060" style="position:absolute" from="3217,6710" to="9562,6711" strokeweight="0"/>
            <v:line id="_x0000_s2061" style="position:absolute" from="3217,6410" to="9562,6411" strokeweight="0"/>
            <v:line id="_x0000_s2062" style="position:absolute" from="3217,6125" to="9562,6126" strokeweight="0"/>
            <v:line id="_x0000_s2063" style="position:absolute" from="3217,5840" to="9562,5841" strokeweight="0"/>
            <v:line id="_x0000_s2064" style="position:absolute" from="3217,5555" to="9562,5556" strokeweight="0"/>
            <v:rect id="_x0000_s2065" style="position:absolute;left:3217;top:5555;width:6345;height:2295" filled="f" strokecolor="gray"/>
            <v:rect id="_x0000_s2066" style="position:absolute;left:3487;top:5795;width:375;height:2055" fillcolor="navy"/>
            <v:rect id="_x0000_s2067" style="position:absolute;left:4762;top:5765;width:360;height:2085" fillcolor="navy"/>
            <v:rect id="_x0000_s2068" style="position:absolute;left:6022;top:5780;width:375;height:2070" fillcolor="navy"/>
            <v:rect id="_x0000_s2069" style="position:absolute;left:7297;top:5750;width:360;height:2100" fillcolor="navy"/>
            <v:rect id="_x0000_s2070" style="position:absolute;left:8557;top:5705;width:375;height:2145" fillcolor="navy"/>
            <v:rect id="_x0000_s2071" style="position:absolute;left:3862;top:7520;width:360;height:330" fillcolor="red"/>
            <v:rect id="_x0000_s2072" style="position:absolute;left:5122;top:7490;width:360;height:360" fillcolor="red"/>
            <v:rect id="_x0000_s2073" style="position:absolute;left:6397;top:7490;width:360;height:360" fillcolor="red"/>
            <v:rect id="_x0000_s2074" style="position:absolute;left:7657;top:7415;width:360;height:435" fillcolor="red"/>
            <v:rect id="_x0000_s2075" style="position:absolute;left:8932;top:7340;width:360;height:510" fillcolor="red"/>
            <v:line id="_x0000_s2076" style="position:absolute" from="3217,5555" to="3218,7850" strokeweight="0"/>
            <v:line id="_x0000_s2077" style="position:absolute" from="3157,7850" to="3217,7851" strokeweight="0"/>
            <v:line id="_x0000_s2078" style="position:absolute" from="3157,7565" to="3217,7566" strokeweight="0"/>
            <v:line id="_x0000_s2079" style="position:absolute" from="3157,7280" to="3217,7281" strokeweight="0"/>
            <v:line id="_x0000_s2080" style="position:absolute" from="3157,6995" to="3217,6996" strokeweight="0"/>
            <v:line id="_x0000_s2081" style="position:absolute" from="3157,6710" to="3217,6711" strokeweight="0"/>
            <v:line id="_x0000_s2082" style="position:absolute" from="3157,6410" to="3217,6411" strokeweight="0"/>
            <v:line id="_x0000_s2083" style="position:absolute" from="3157,6125" to="3217,6126" strokeweight="0"/>
            <v:line id="_x0000_s2084" style="position:absolute" from="3157,5840" to="3217,5841" strokeweight="0"/>
            <v:line id="_x0000_s2085" style="position:absolute" from="3157,5555" to="3217,5556" strokeweight="0"/>
            <v:line id="_x0000_s2086" style="position:absolute" from="3217,7850" to="9562,7851" strokeweight="0"/>
            <v:line id="_x0000_s2087" style="position:absolute;flip:y" from="3217,7850" to="3218,7910" strokeweight="0"/>
            <v:line id="_x0000_s2088" style="position:absolute;flip:y" from="4492,7850" to="4493,7910" strokeweight="0"/>
            <v:line id="_x0000_s2089" style="position:absolute;flip:y" from="5752,7850" to="5753,7910" strokeweight="0"/>
            <v:line id="_x0000_s2090" style="position:absolute;flip:y" from="7027,7850" to="7028,7910" strokeweight="0"/>
            <v:line id="_x0000_s2091" style="position:absolute;flip:y" from="8287,7850" to="8288,7910" strokeweight="0"/>
            <v:line id="_x0000_s2092" style="position:absolute;flip:y" from="9562,7850" to="9563,7910" strokeweight="0"/>
            <v:rect id="_x0000_s2093" style="position:absolute;left:3757;top:4730;width:4282;height:552" filled="f" stroked="f">
              <v:textbox style="mso-next-textbox:#_x0000_s2093" inset="0,0,0,0">
                <w:txbxContent>
                  <w:p w:rsidR="00000000" w:rsidRDefault="00000000">
                    <w:pPr>
                      <w:jc w:val="center"/>
                      <w:rPr>
                        <w:sz w:val="19"/>
                      </w:rPr>
                    </w:pPr>
                    <w:r>
                      <w:rPr>
                        <w:rFonts w:ascii="Arial" w:hAnsi="Arial"/>
                        <w:b/>
                        <w:color w:val="000000"/>
                        <w:sz w:val="19"/>
                      </w:rPr>
                      <w:t>Participación en el empleo, por sexos,</w:t>
                    </w:r>
                  </w:p>
                </w:txbxContent>
              </v:textbox>
            </v:rect>
            <v:rect id="_x0000_s2094" style="position:absolute;left:5467;top:5045;width:1282;height:552" filled="f" stroked="f">
              <v:textbox style="mso-next-textbox:#_x0000_s2094" inset="0,0,0,0">
                <w:txbxContent>
                  <w:p w:rsidR="00000000" w:rsidRDefault="00000000">
                    <w:pPr>
                      <w:jc w:val="center"/>
                      <w:rPr>
                        <w:sz w:val="19"/>
                      </w:rPr>
                    </w:pPr>
                    <w:r>
                      <w:rPr>
                        <w:rFonts w:ascii="Arial" w:hAnsi="Arial"/>
                        <w:b/>
                        <w:color w:val="000000"/>
                        <w:sz w:val="19"/>
                      </w:rPr>
                      <w:t>1999-2003</w:t>
                    </w:r>
                  </w:p>
                </w:txbxContent>
              </v:textbox>
            </v:rect>
            <v:rect id="_x0000_s2095" style="position:absolute;left:2677;top:7730;width:481;height:552" filled="f" stroked="f">
              <v:textbox style="mso-next-textbox:#_x0000_s2095" inset="0,0,0,0">
                <w:txbxContent>
                  <w:p w:rsidR="00000000" w:rsidRDefault="00000000">
                    <w:pPr>
                      <w:rPr>
                        <w:sz w:val="19"/>
                      </w:rPr>
                    </w:pPr>
                    <w:r>
                      <w:rPr>
                        <w:rFonts w:ascii="Arial" w:hAnsi="Arial"/>
                        <w:color w:val="000000"/>
                        <w:sz w:val="19"/>
                      </w:rPr>
                      <w:t>35%</w:t>
                    </w:r>
                  </w:p>
                </w:txbxContent>
              </v:textbox>
            </v:rect>
            <v:rect id="_x0000_s2096" style="position:absolute;left:2677;top:7445;width:481;height:552" filled="f" stroked="f">
              <v:textbox style="mso-next-textbox:#_x0000_s2096" inset="0,0,0,0">
                <w:txbxContent>
                  <w:p w:rsidR="00000000" w:rsidRDefault="00000000">
                    <w:pPr>
                      <w:rPr>
                        <w:sz w:val="19"/>
                      </w:rPr>
                    </w:pPr>
                    <w:r>
                      <w:rPr>
                        <w:rFonts w:ascii="Arial" w:hAnsi="Arial"/>
                        <w:color w:val="000000"/>
                        <w:sz w:val="19"/>
                      </w:rPr>
                      <w:t>40%</w:t>
                    </w:r>
                  </w:p>
                </w:txbxContent>
              </v:textbox>
            </v:rect>
            <v:rect id="_x0000_s2097" style="position:absolute;left:2677;top:7160;width:481;height:552" filled="f" stroked="f">
              <v:textbox style="mso-next-textbox:#_x0000_s2097" inset="0,0,0,0">
                <w:txbxContent>
                  <w:p w:rsidR="00000000" w:rsidRDefault="00000000">
                    <w:pPr>
                      <w:rPr>
                        <w:sz w:val="19"/>
                      </w:rPr>
                    </w:pPr>
                    <w:r>
                      <w:rPr>
                        <w:rFonts w:ascii="Arial" w:hAnsi="Arial"/>
                        <w:color w:val="000000"/>
                        <w:sz w:val="19"/>
                      </w:rPr>
                      <w:t>45%</w:t>
                    </w:r>
                  </w:p>
                </w:txbxContent>
              </v:textbox>
            </v:rect>
            <v:rect id="_x0000_s2098" style="position:absolute;left:2677;top:6875;width:481;height:552" filled="f" stroked="f">
              <v:textbox style="mso-next-textbox:#_x0000_s2098" inset="0,0,0,0">
                <w:txbxContent>
                  <w:p w:rsidR="00000000" w:rsidRDefault="00000000">
                    <w:pPr>
                      <w:rPr>
                        <w:sz w:val="19"/>
                      </w:rPr>
                    </w:pPr>
                    <w:r>
                      <w:rPr>
                        <w:rFonts w:ascii="Arial" w:hAnsi="Arial"/>
                        <w:color w:val="000000"/>
                        <w:sz w:val="19"/>
                      </w:rPr>
                      <w:t>50%</w:t>
                    </w:r>
                  </w:p>
                </w:txbxContent>
              </v:textbox>
            </v:rect>
            <v:rect id="_x0000_s2099" style="position:absolute;left:2677;top:6590;width:481;height:552" filled="f" stroked="f">
              <v:textbox style="mso-next-textbox:#_x0000_s2099" inset="0,0,0,0">
                <w:txbxContent>
                  <w:p w:rsidR="00000000" w:rsidRDefault="00000000">
                    <w:pPr>
                      <w:rPr>
                        <w:sz w:val="19"/>
                      </w:rPr>
                    </w:pPr>
                    <w:r>
                      <w:rPr>
                        <w:rFonts w:ascii="Arial" w:hAnsi="Arial"/>
                        <w:color w:val="000000"/>
                        <w:sz w:val="19"/>
                      </w:rPr>
                      <w:t>55%</w:t>
                    </w:r>
                  </w:p>
                </w:txbxContent>
              </v:textbox>
            </v:rect>
            <v:rect id="_x0000_s2100" style="position:absolute;left:2677;top:6290;width:481;height:552" filled="f" stroked="f">
              <v:textbox style="mso-next-textbox:#_x0000_s2100" inset="0,0,0,0">
                <w:txbxContent>
                  <w:p w:rsidR="00000000" w:rsidRDefault="00000000">
                    <w:pPr>
                      <w:rPr>
                        <w:sz w:val="19"/>
                      </w:rPr>
                    </w:pPr>
                    <w:r>
                      <w:rPr>
                        <w:rFonts w:ascii="Arial" w:hAnsi="Arial"/>
                        <w:color w:val="000000"/>
                        <w:sz w:val="19"/>
                      </w:rPr>
                      <w:t>60%</w:t>
                    </w:r>
                  </w:p>
                </w:txbxContent>
              </v:textbox>
            </v:rect>
            <v:rect id="_x0000_s2101" style="position:absolute;left:2677;top:6005;width:481;height:552" filled="f" stroked="f">
              <v:textbox style="mso-next-textbox:#_x0000_s2101" inset="0,0,0,0">
                <w:txbxContent>
                  <w:p w:rsidR="00000000" w:rsidRDefault="00000000">
                    <w:pPr>
                      <w:rPr>
                        <w:sz w:val="19"/>
                      </w:rPr>
                    </w:pPr>
                    <w:r>
                      <w:rPr>
                        <w:rFonts w:ascii="Arial" w:hAnsi="Arial"/>
                        <w:color w:val="000000"/>
                        <w:sz w:val="19"/>
                      </w:rPr>
                      <w:t>65%</w:t>
                    </w:r>
                  </w:p>
                </w:txbxContent>
              </v:textbox>
            </v:rect>
            <v:rect id="_x0000_s2102" style="position:absolute;left:2677;top:5720;width:481;height:552" filled="f" stroked="f">
              <v:textbox style="mso-next-textbox:#_x0000_s2102" inset="0,0,0,0">
                <w:txbxContent>
                  <w:p w:rsidR="00000000" w:rsidRDefault="00000000">
                    <w:pPr>
                      <w:rPr>
                        <w:sz w:val="19"/>
                      </w:rPr>
                    </w:pPr>
                    <w:r>
                      <w:rPr>
                        <w:rFonts w:ascii="Arial" w:hAnsi="Arial"/>
                        <w:color w:val="000000"/>
                        <w:sz w:val="19"/>
                      </w:rPr>
                      <w:t>70%</w:t>
                    </w:r>
                  </w:p>
                </w:txbxContent>
              </v:textbox>
            </v:rect>
            <v:rect id="_x0000_s2103" style="position:absolute;left:2677;top:5435;width:481;height:552" filled="f" stroked="f">
              <v:textbox style="mso-next-textbox:#_x0000_s2103" inset="0,0,0,0">
                <w:txbxContent>
                  <w:p w:rsidR="00000000" w:rsidRDefault="00000000">
                    <w:pPr>
                      <w:rPr>
                        <w:sz w:val="19"/>
                      </w:rPr>
                    </w:pPr>
                    <w:r>
                      <w:rPr>
                        <w:rFonts w:ascii="Arial" w:hAnsi="Arial"/>
                        <w:color w:val="000000"/>
                        <w:sz w:val="19"/>
                      </w:rPr>
                      <w:t>75%</w:t>
                    </w:r>
                  </w:p>
                </w:txbxContent>
              </v:textbox>
            </v:rect>
            <v:rect id="_x0000_s2104" style="position:absolute;left:3637;top:8015;width:534;height:552" filled="f" stroked="f">
              <v:textbox style="mso-next-textbox:#_x0000_s2104" inset="0,0,0,0">
                <w:txbxContent>
                  <w:p w:rsidR="00000000" w:rsidRDefault="00000000">
                    <w:pPr>
                      <w:rPr>
                        <w:sz w:val="19"/>
                      </w:rPr>
                    </w:pPr>
                    <w:r>
                      <w:rPr>
                        <w:rFonts w:ascii="Arial" w:hAnsi="Arial"/>
                        <w:color w:val="000000"/>
                        <w:sz w:val="19"/>
                      </w:rPr>
                      <w:t>1999</w:t>
                    </w:r>
                  </w:p>
                </w:txbxContent>
              </v:textbox>
            </v:rect>
            <v:rect id="_x0000_s2105" style="position:absolute;left:4912;top:8015;width:534;height:552" filled="f" stroked="f">
              <v:textbox style="mso-next-textbox:#_x0000_s2105" inset="0,0,0,0">
                <w:txbxContent>
                  <w:p w:rsidR="00000000" w:rsidRDefault="00000000">
                    <w:pPr>
                      <w:rPr>
                        <w:sz w:val="19"/>
                      </w:rPr>
                    </w:pPr>
                    <w:r>
                      <w:rPr>
                        <w:rFonts w:ascii="Arial" w:hAnsi="Arial"/>
                        <w:color w:val="000000"/>
                        <w:sz w:val="19"/>
                      </w:rPr>
                      <w:t>2000</w:t>
                    </w:r>
                  </w:p>
                </w:txbxContent>
              </v:textbox>
            </v:rect>
            <v:rect id="_x0000_s2106" style="position:absolute;left:6187;top:8015;width:534;height:552" filled="f" stroked="f">
              <v:textbox style="mso-next-textbox:#_x0000_s2106" inset="0,0,0,0">
                <w:txbxContent>
                  <w:p w:rsidR="00000000" w:rsidRDefault="00000000">
                    <w:pPr>
                      <w:rPr>
                        <w:sz w:val="19"/>
                      </w:rPr>
                    </w:pPr>
                    <w:r>
                      <w:rPr>
                        <w:rFonts w:ascii="Arial" w:hAnsi="Arial"/>
                        <w:color w:val="000000"/>
                        <w:sz w:val="19"/>
                      </w:rPr>
                      <w:t>2001</w:t>
                    </w:r>
                  </w:p>
                </w:txbxContent>
              </v:textbox>
            </v:rect>
            <v:rect id="_x0000_s2107" style="position:absolute;left:7447;top:8015;width:534;height:552" filled="f" stroked="f">
              <v:textbox style="mso-next-textbox:#_x0000_s2107" inset="0,0,0,0">
                <w:txbxContent>
                  <w:p w:rsidR="00000000" w:rsidRDefault="00000000">
                    <w:pPr>
                      <w:rPr>
                        <w:sz w:val="19"/>
                      </w:rPr>
                    </w:pPr>
                    <w:r>
                      <w:rPr>
                        <w:rFonts w:ascii="Arial" w:hAnsi="Arial"/>
                        <w:color w:val="000000"/>
                        <w:sz w:val="19"/>
                      </w:rPr>
                      <w:t>2002</w:t>
                    </w:r>
                  </w:p>
                </w:txbxContent>
              </v:textbox>
            </v:rect>
            <v:rect id="_x0000_s2108" style="position:absolute;left:8722;top:8015;width:534;height:552" filled="f" stroked="f">
              <v:textbox style="mso-next-textbox:#_x0000_s2108" inset="0,0,0,0">
                <w:txbxContent>
                  <w:p w:rsidR="00000000" w:rsidRDefault="00000000">
                    <w:pPr>
                      <w:rPr>
                        <w:sz w:val="19"/>
                      </w:rPr>
                    </w:pPr>
                    <w:r>
                      <w:rPr>
                        <w:rFonts w:ascii="Arial" w:hAnsi="Arial"/>
                        <w:color w:val="000000"/>
                        <w:sz w:val="19"/>
                      </w:rPr>
                      <w:t>2003</w:t>
                    </w:r>
                  </w:p>
                </w:txbxContent>
              </v:textbox>
            </v:rect>
            <v:shape id="_x0000_s2109" type="#_x0000_t75" style="position:absolute;left:4402;top:8405;width:3900;height:330">
              <v:imagedata r:id="rId16" o:title=""/>
            </v:shape>
            <v:rect id="_x0000_s2110" style="position:absolute;left:4417;top:8420;width:3915;height:345" filled="f" strokeweight="0"/>
            <v:rect id="_x0000_s2111" style="position:absolute;left:4492;top:8540;width:105;height:105" fillcolor="navy"/>
            <v:rect id="_x0000_s2112" style="position:absolute;left:4657;top:8465;width:2001;height:463" filled="f" stroked="f">
              <v:textbox style="mso-next-textbox:#_x0000_s2112" inset="0,0,0,0">
                <w:txbxContent>
                  <w:p w:rsidR="00000000" w:rsidRDefault="00000000">
                    <w:pPr>
                      <w:rPr>
                        <w:sz w:val="15"/>
                      </w:rPr>
                    </w:pPr>
                    <w:r>
                      <w:rPr>
                        <w:rFonts w:ascii="Arial" w:hAnsi="Arial"/>
                        <w:color w:val="000000"/>
                        <w:sz w:val="15"/>
                      </w:rPr>
                      <w:t xml:space="preserve"> Hombres</w:t>
                    </w:r>
                  </w:p>
                </w:txbxContent>
              </v:textbox>
            </v:rect>
            <v:rect id="_x0000_s2113" style="position:absolute;left:6352;top:8540;width:105;height:105" fillcolor="red"/>
            <v:rect id="_x0000_s2114" style="position:absolute;left:6517;top:8465;width:2361;height:463" filled="f" stroked="f">
              <v:textbox style="mso-next-textbox:#_x0000_s2114" inset="0,0,0,0">
                <w:txbxContent>
                  <w:p w:rsidR="00000000" w:rsidRDefault="00000000">
                    <w:pPr>
                      <w:rPr>
                        <w:rFonts w:ascii="Arial" w:hAnsi="Arial"/>
                        <w:color w:val="000000"/>
                        <w:sz w:val="15"/>
                      </w:rPr>
                    </w:pPr>
                    <w:r>
                      <w:rPr>
                        <w:rFonts w:ascii="Arial" w:hAnsi="Arial"/>
                        <w:color w:val="000000"/>
                        <w:sz w:val="15"/>
                      </w:rPr>
                      <w:t xml:space="preserve"> Mujeres</w:t>
                    </w:r>
                  </w:p>
                  <w:p w:rsidR="00000000" w:rsidRDefault="00000000">
                    <w:pPr>
                      <w:rPr>
                        <w:sz w:val="19"/>
                      </w:rPr>
                    </w:pPr>
                  </w:p>
                </w:txbxContent>
              </v:textbox>
            </v:rect>
            <v:rect id="_x0000_s2115" style="position:absolute;left:2497;top:4565;width:7200;height:4260" filled="f" strokeweight="0"/>
            <w10:wrap type="topAndBottom"/>
          </v:group>
        </w:pict>
      </w:r>
      <w:r>
        <w:t>Gráfico:</w:t>
      </w:r>
    </w:p>
    <w:p w:rsidR="00000000" w:rsidRDefault="00000000">
      <w:pPr>
        <w:pStyle w:val="SingleTxt"/>
        <w:spacing w:line="230" w:lineRule="exact"/>
      </w:pPr>
      <w:r>
        <w:tab/>
        <w:t>De esos datos se desprenden tres observaciones principales:</w:t>
      </w:r>
    </w:p>
    <w:p w:rsidR="00000000" w:rsidRDefault="00000000">
      <w:pPr>
        <w:pStyle w:val="SingleTxt"/>
        <w:tabs>
          <w:tab w:val="right" w:pos="1685"/>
        </w:tabs>
        <w:spacing w:line="230" w:lineRule="exact"/>
        <w:ind w:left="1742" w:hanging="475"/>
      </w:pPr>
      <w:r>
        <w:rPr>
          <w:i/>
        </w:rPr>
        <w:tab/>
        <w:t>•</w:t>
      </w:r>
      <w:r>
        <w:rPr>
          <w:i/>
        </w:rPr>
        <w:tab/>
        <w:t>En primer lugar,</w:t>
      </w:r>
      <w:r>
        <w:t xml:space="preserve"> el porcentaje de participación de los hombres en el mercado laboral ha aumentado, en cinco años, en 1,6 puntos porcentuales (del 70,9 al 72,5%), mientras que las mujeres ha aumentado en 3,3 puntos porcentuales (del 40,7 al 44%). </w:t>
      </w:r>
    </w:p>
    <w:p w:rsidR="00000000" w:rsidRDefault="00000000">
      <w:pPr>
        <w:pStyle w:val="SingleTxt"/>
        <w:tabs>
          <w:tab w:val="right" w:pos="1685"/>
        </w:tabs>
        <w:spacing w:line="230" w:lineRule="exact"/>
        <w:ind w:left="1742" w:hanging="475"/>
      </w:pPr>
      <w:r>
        <w:rPr>
          <w:i/>
        </w:rPr>
        <w:tab/>
        <w:t>•</w:t>
      </w:r>
      <w:r>
        <w:rPr>
          <w:i/>
        </w:rPr>
        <w:tab/>
        <w:t>En segundo lugar,</w:t>
      </w:r>
      <w:r>
        <w:t xml:space="preserve"> el aumento de la participación de mujeres en el mercado l</w:t>
      </w:r>
      <w:r>
        <w:t>a</w:t>
      </w:r>
      <w:r>
        <w:t>boral ha sido el doble que el de los hombres.</w:t>
      </w:r>
    </w:p>
    <w:p w:rsidR="00000000" w:rsidRDefault="00000000">
      <w:pPr>
        <w:pStyle w:val="SingleTxt"/>
        <w:tabs>
          <w:tab w:val="right" w:pos="1685"/>
        </w:tabs>
        <w:ind w:left="1742" w:hanging="475"/>
      </w:pPr>
      <w:r>
        <w:rPr>
          <w:i/>
        </w:rPr>
        <w:tab/>
        <w:t>•</w:t>
      </w:r>
      <w:r>
        <w:rPr>
          <w:i/>
        </w:rPr>
        <w:tab/>
      </w:r>
      <w:r>
        <w:rPr>
          <w:i/>
          <w:spacing w:val="2"/>
        </w:rPr>
        <w:t>En tercer lugar</w:t>
      </w:r>
      <w:r>
        <w:rPr>
          <w:spacing w:val="2"/>
        </w:rPr>
        <w:t xml:space="preserve">, se ponen de manifiesto los distintos puntos de partida: en </w:t>
      </w:r>
      <w:r>
        <w:rPr>
          <w:w w:val="101"/>
        </w:rPr>
        <w:t>2003, tres de cada cuatro hombres participaban en el mercado laboral, mientras que la participación de las mujeres era algo inferior a una de cada dos. Un pla</w:t>
      </w:r>
      <w:r>
        <w:t xml:space="preserve">zo </w:t>
      </w:r>
      <w:r>
        <w:rPr>
          <w:spacing w:val="2"/>
        </w:rPr>
        <w:t>de cinco años no es suficientemente largo para modificar radicalmente esa re</w:t>
      </w:r>
      <w:r>
        <w:t>l</w:t>
      </w:r>
      <w:r>
        <w:t>a</w:t>
      </w:r>
      <w:r>
        <w:t>ción.</w:t>
      </w:r>
    </w:p>
    <w:p w:rsidR="00000000" w:rsidRDefault="00000000">
      <w:pPr>
        <w:pStyle w:val="SingleTxt"/>
        <w:tabs>
          <w:tab w:val="right" w:pos="1685"/>
        </w:tabs>
        <w:ind w:left="1742" w:hanging="475"/>
      </w:pPr>
      <w:r>
        <w:rPr>
          <w:noProof/>
          <w:w w:val="100"/>
        </w:rPr>
        <w:pict>
          <v:shape id="_x0000_s2143" type="#_x0000_t75" style="position:absolute;left:0;text-align:left;margin-left:.05pt;margin-top:5.65pt;width:486.55pt;height:255.5pt;z-index:14;mso-position-horizontal:absolute;mso-position-horizontal-relative:text;mso-position-vertical:absolute;mso-position-vertical-relative:text" o:allowincell="f">
            <v:imagedata r:id="rId17" o:title=""/>
          </v:shape>
        </w:pict>
      </w: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numPr>
          <w:ilvl w:val="0"/>
          <w:numId w:val="322"/>
        </w:numPr>
      </w:pPr>
      <w:r>
        <w:br w:type="page"/>
        <w:t>La comparación de los datos sobre el desempleo de los hombres y de las muj</w:t>
      </w:r>
      <w:r>
        <w:t>e</w:t>
      </w:r>
      <w:r>
        <w:t>res confirman el resultado de años anteriores: aunque el desempleo de las mujeres está disminuyendo, las diferencias siguen siendo muy marcadas.</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Medidas encaminadas a hacer frente al desempleo y promover el empleo entre las mujeres (2000-2004)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5</w:t>
      </w:r>
      <w:r>
        <w:t>.</w:t>
      </w:r>
      <w:r>
        <w:tab/>
        <w:t>Medidas adoptadas en el periodo examinado para hacer frente al desempleo y promover el empleo: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Participación de organizaciones de empresas públicas locales (de categorías A y B) en proyectos destinados a crear nuevos puestos de trabajo</w:t>
      </w:r>
    </w:p>
    <w:p w:rsidR="00000000" w:rsidRDefault="00000000">
      <w:pPr>
        <w:pStyle w:val="SingleTxt"/>
        <w:tabs>
          <w:tab w:val="right" w:pos="1685"/>
        </w:tabs>
        <w:ind w:left="1742" w:hanging="475"/>
      </w:pPr>
      <w:r>
        <w:tab/>
        <w:t>•</w:t>
      </w:r>
      <w:r>
        <w:tab/>
        <w:t>Trabajo a tiempo parcial en órganos de carácter social. La Ley 3174/2003 e</w:t>
      </w:r>
      <w:r>
        <w:t>s</w:t>
      </w:r>
      <w:r>
        <w:t>tableció, por primera vez, la posibilidad de contratar a miembros de grupos de población vulnerables con contratos temporales a tiempo parcial en organi</w:t>
      </w:r>
      <w:r>
        <w:t>s</w:t>
      </w:r>
      <w:r>
        <w:t>mos del sector público, a fin de atender a necesidades de carácter social. En virtud de la Ley</w:t>
      </w:r>
      <w:r>
        <w:rPr>
          <w:color w:val="000000"/>
        </w:rPr>
        <w:t xml:space="preserve"> 3250/2004 se definieron nuevamente las categorías de pers</w:t>
      </w:r>
      <w:r>
        <w:rPr>
          <w:color w:val="000000"/>
        </w:rPr>
        <w:t>o</w:t>
      </w:r>
      <w:r>
        <w:rPr>
          <w:color w:val="000000"/>
        </w:rPr>
        <w:t>nas a las que se podía contratar, añadiendo una cuota del 10% para los mie</w:t>
      </w:r>
      <w:r>
        <w:rPr>
          <w:color w:val="000000"/>
        </w:rPr>
        <w:t>m</w:t>
      </w:r>
      <w:r>
        <w:rPr>
          <w:color w:val="000000"/>
        </w:rPr>
        <w:t>bros de familias numerosas y ampliando la categoría de madres con hijos m</w:t>
      </w:r>
      <w:r>
        <w:rPr>
          <w:color w:val="000000"/>
        </w:rPr>
        <w:t>e</w:t>
      </w:r>
      <w:r>
        <w:rPr>
          <w:color w:val="000000"/>
        </w:rPr>
        <w:t>nores (anteriormente, la categoría sólo incluía a las madres con hijos menores de 12 años), a la que también se asignó una cuota del 10%.</w:t>
      </w:r>
      <w:r>
        <w:t xml:space="preserve"> Al mismo tiempo, se ha previsto que hasta el 60% de los puestos de trabajo reservados para las diversas categorías de desempleados (personas de hasta 30 años de edad, pe</w:t>
      </w:r>
      <w:r>
        <w:t>r</w:t>
      </w:r>
      <w:r>
        <w:t>sonas de más de 30 años de edad, personas a las que quedan menos de cinco años para alcanzar la edad de jubilación) se asignen a mujeres con la condición de que éstas expresen su interés presentando una solicitud a tal efecto.</w:t>
      </w:r>
    </w:p>
    <w:p w:rsidR="00000000" w:rsidRDefault="00000000">
      <w:pPr>
        <w:pStyle w:val="SingleTxt"/>
        <w:tabs>
          <w:tab w:val="right" w:pos="1685"/>
        </w:tabs>
        <w:ind w:left="1742" w:hanging="475"/>
      </w:pPr>
      <w:r>
        <w:tab/>
        <w:t>•</w:t>
      </w:r>
      <w:r>
        <w:tab/>
        <w:t>Transformación de las políticas pasivas en materia de desempleo (subsidios de desempleo) en políticas activas para los hombres y las mujeres desemple</w:t>
      </w:r>
      <w:r>
        <w:t>a</w:t>
      </w:r>
      <w:r>
        <w:t>dos.</w:t>
      </w:r>
    </w:p>
    <w:p w:rsidR="00000000" w:rsidRDefault="00000000">
      <w:pPr>
        <w:pStyle w:val="SingleTxt"/>
        <w:tabs>
          <w:tab w:val="right" w:pos="1685"/>
        </w:tabs>
        <w:ind w:left="1742" w:hanging="475"/>
      </w:pPr>
      <w:r>
        <w:tab/>
        <w:t>•</w:t>
      </w:r>
      <w:r>
        <w:tab/>
        <w:t>Medidas relacionadas con la concesión de subvenciones para la formación de los d</w:t>
      </w:r>
      <w:r>
        <w:t>e</w:t>
      </w:r>
      <w:r>
        <w:t xml:space="preserve">sempleados. </w:t>
      </w:r>
    </w:p>
    <w:p w:rsidR="00000000" w:rsidRDefault="00000000">
      <w:pPr>
        <w:pStyle w:val="SingleTxt"/>
        <w:tabs>
          <w:tab w:val="right" w:pos="1685"/>
        </w:tabs>
        <w:ind w:left="1742" w:hanging="475"/>
      </w:pPr>
      <w:r>
        <w:tab/>
        <w:t>•</w:t>
      </w:r>
      <w:r>
        <w:tab/>
        <w:t>Ampliación de las categorías de personas que tienen derecho a percibir el su</w:t>
      </w:r>
      <w:r>
        <w:t>b</w:t>
      </w:r>
      <w:r>
        <w:t>sidio de desempleo. Los hombres y las mujeres desempleados que cobran el subsidio de desempleo y que son o se quedan viudos tendrán derecho a seguir cobrando al subsidio de desempleo además de la pensión de viudedad (hasta ahora, las viudas tenían dificultades porque, cuando se quedaban sin empleo, la Organización de Empleo y Mano de Obra de Grecia no las consideraba d</w:t>
      </w:r>
      <w:r>
        <w:t>e</w:t>
      </w:r>
      <w:r>
        <w:t>sempleadas y, por estar cobrando una pensión de viudedad, no tenían derecho a cobrar el subsidio de desempleo, a diferencia de las mujeres casadas o divo</w:t>
      </w:r>
      <w:r>
        <w:t>r</w:t>
      </w:r>
      <w:r>
        <w:t>ciadas, a pesar de haber estado cotizando al seguro de desempleo, porque la legislación vigente excluía a las personas que ya estaban cobrando una pe</w:t>
      </w:r>
      <w:r>
        <w:t>n</w:t>
      </w:r>
      <w:r>
        <w:t>sión). Las nuevas disposiciones garantizan no sólo el derecho a cobrar un su</w:t>
      </w:r>
      <w:r>
        <w:t>b</w:t>
      </w:r>
      <w:r>
        <w:t>sidio sino también a conseguir un puesto de trabajo a través de las medidas de reinserción de los hombres y las mujeres desempleados.</w:t>
      </w:r>
    </w:p>
    <w:p w:rsidR="00000000" w:rsidRDefault="00000000">
      <w:pPr>
        <w:pStyle w:val="SingleTxt"/>
        <w:tabs>
          <w:tab w:val="right" w:pos="1685"/>
        </w:tabs>
        <w:ind w:left="1742" w:hanging="475"/>
      </w:pPr>
      <w:r>
        <w:tab/>
        <w:t>•</w:t>
      </w:r>
      <w:r>
        <w:tab/>
        <w:t>Ampliación de las categorías de personas que tienen derecho a participar en los pr</w:t>
      </w:r>
      <w:r>
        <w:t>o</w:t>
      </w:r>
      <w:r>
        <w:t>gramas.</w:t>
      </w:r>
    </w:p>
    <w:p w:rsidR="00000000" w:rsidRDefault="00000000">
      <w:pPr>
        <w:pStyle w:val="SingleTxt"/>
        <w:tabs>
          <w:tab w:val="right" w:pos="1685"/>
        </w:tabs>
        <w:ind w:left="1742" w:hanging="475"/>
      </w:pPr>
      <w:r>
        <w:tab/>
        <w:t>–</w:t>
      </w:r>
      <w:r>
        <w:tab/>
        <w:t>Participación de los graduados de los liceos en programas que les permitan a</w:t>
      </w:r>
      <w:r>
        <w:t>d</w:t>
      </w:r>
      <w:r>
        <w:t>qu</w:t>
      </w:r>
      <w:r>
        <w:t>i</w:t>
      </w:r>
      <w:r>
        <w:t>rir experiencia laboral (STAGE).</w:t>
      </w:r>
    </w:p>
    <w:p w:rsidR="00000000" w:rsidRDefault="00000000">
      <w:pPr>
        <w:pStyle w:val="SingleTxt"/>
        <w:tabs>
          <w:tab w:val="right" w:pos="1685"/>
        </w:tabs>
        <w:ind w:left="1742" w:hanging="475"/>
      </w:pPr>
      <w:r>
        <w:tab/>
        <w:t>–</w:t>
      </w:r>
      <w:r>
        <w:tab/>
        <w:t>Participación de licenciados en programas para nuevos profesionales que tr</w:t>
      </w:r>
      <w:r>
        <w:t>a</w:t>
      </w:r>
      <w:r>
        <w:t>bajan por cuenta propia (hasta la fecha, los ingenieros, los abogados, a los m</w:t>
      </w:r>
      <w:r>
        <w:t>é</w:t>
      </w:r>
      <w:r>
        <w:t>d</w:t>
      </w:r>
      <w:r>
        <w:t>i</w:t>
      </w:r>
      <w:r>
        <w:t xml:space="preserve">cos, etc. estaban excluidos). </w:t>
      </w:r>
    </w:p>
    <w:p w:rsidR="00000000" w:rsidRDefault="00000000">
      <w:pPr>
        <w:pStyle w:val="SingleTxt"/>
        <w:tabs>
          <w:tab w:val="right" w:pos="1685"/>
        </w:tabs>
        <w:ind w:left="1742" w:hanging="475"/>
      </w:pPr>
      <w:r>
        <w:tab/>
        <w:t>•</w:t>
      </w:r>
      <w:r>
        <w:tab/>
        <w:t xml:space="preserve">Incentivos para promover el empleo de la mujer. </w:t>
      </w:r>
    </w:p>
    <w:p w:rsidR="00000000" w:rsidRDefault="00000000">
      <w:pPr>
        <w:pStyle w:val="SingleTxt"/>
        <w:tabs>
          <w:tab w:val="right" w:pos="1685"/>
        </w:tabs>
        <w:ind w:left="1742" w:hanging="475"/>
      </w:pPr>
      <w:r>
        <w:tab/>
        <w:t>–</w:t>
      </w:r>
      <w:r>
        <w:tab/>
        <w:t>Como incentivo para la contratación de madres de dos o más hijos desemple</w:t>
      </w:r>
      <w:r>
        <w:t>a</w:t>
      </w:r>
      <w:r>
        <w:t>das, se concederá al empleador una subvención equivalente a lo que cotice a la seguridad social por su empleada.</w:t>
      </w:r>
    </w:p>
    <w:p w:rsidR="00000000" w:rsidRDefault="00000000">
      <w:pPr>
        <w:pStyle w:val="SingleTxt"/>
        <w:tabs>
          <w:tab w:val="right" w:pos="1685"/>
        </w:tabs>
        <w:ind w:left="1742" w:hanging="475"/>
      </w:pPr>
      <w:r>
        <w:tab/>
        <w:t>–</w:t>
      </w:r>
      <w:r>
        <w:tab/>
        <w:t>El empleador que contrate temporalmente a un trabajador para sustituir a una trabajadora ausente del trabajo por estar embarazada o licencia de maternidad recibirá una subvención equivalente a lo que cotice a la seguridad social por su nuevo e</w:t>
      </w:r>
      <w:r>
        <w:t>m</w:t>
      </w:r>
      <w:r>
        <w:t>pleado.</w:t>
      </w:r>
    </w:p>
    <w:p w:rsidR="00000000" w:rsidRDefault="00000000">
      <w:pPr>
        <w:pStyle w:val="SingleTxt"/>
        <w:tabs>
          <w:tab w:val="right" w:pos="1685"/>
        </w:tabs>
        <w:ind w:left="1742" w:hanging="475"/>
      </w:pPr>
      <w:r>
        <w:tab/>
        <w:t>–</w:t>
      </w:r>
      <w:r>
        <w:tab/>
      </w:r>
      <w:r>
        <w:rPr>
          <w:i/>
        </w:rPr>
        <w:t xml:space="preserve">Las agricultoras </w:t>
      </w:r>
      <w:r>
        <w:t>están exentas de la obligación de cotizar a la Organización del Seguro Agrario durante un año a partir del nacimiento de cada uno de sus hijos.</w:t>
      </w:r>
    </w:p>
    <w:p w:rsidR="00000000" w:rsidRDefault="00000000">
      <w:pPr>
        <w:pStyle w:val="SingleTxt"/>
        <w:tabs>
          <w:tab w:val="right" w:pos="1685"/>
        </w:tabs>
        <w:ind w:left="1742" w:hanging="475"/>
      </w:pPr>
      <w:r>
        <w:tab/>
        <w:t>•</w:t>
      </w:r>
      <w:r>
        <w:tab/>
        <w:t>Reducción de la cotización del empleador a la seguridad social por cada nuevo empleado, siempre que el salario mensual de esos empleados no supere la ca</w:t>
      </w:r>
      <w:r>
        <w:t>n</w:t>
      </w:r>
      <w:r>
        <w:t>tidad de 200.000 dracmas (600 euros). La medida, que estuvo en vigor entre el 1º de abril del 2001 y el 31 de diciembre 2003, preveía una reducción de dos puntos porcentuales de la contribución del empleador al fondo de pensiones del Instituto de la Seguridad Social (IKA) para los empleados a tiempo co</w:t>
      </w:r>
      <w:r>
        <w:t>m</w:t>
      </w:r>
      <w:r>
        <w:t>pleto cuyo salario no super</w:t>
      </w:r>
      <w:r>
        <w:t>a</w:t>
      </w:r>
      <w:r>
        <w:t>ra los 200.000 dracmas (600 euros).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6.</w:t>
      </w:r>
      <w:r>
        <w:tab/>
        <w:t xml:space="preserve">Flexibilidad del empleo </w:t>
      </w:r>
    </w:p>
    <w:p w:rsidR="00000000" w:rsidRDefault="00000000">
      <w:pPr>
        <w:pStyle w:val="SingleTxt"/>
        <w:spacing w:after="0" w:line="120" w:lineRule="exact"/>
        <w:rPr>
          <w:sz w:val="10"/>
        </w:rPr>
      </w:pPr>
    </w:p>
    <w:p w:rsidR="00000000" w:rsidRDefault="00000000">
      <w:pPr>
        <w:pStyle w:val="SingleTxt"/>
      </w:pPr>
      <w:r>
        <w:tab/>
        <w:t>Leyes 2639/98 y 2874/2000:</w:t>
      </w:r>
    </w:p>
    <w:p w:rsidR="00000000" w:rsidRDefault="00000000">
      <w:pPr>
        <w:pStyle w:val="SingleTxt"/>
        <w:tabs>
          <w:tab w:val="right" w:pos="1685"/>
        </w:tabs>
        <w:ind w:left="1742" w:hanging="475"/>
      </w:pPr>
      <w:r>
        <w:tab/>
        <w:t>•</w:t>
      </w:r>
      <w:r>
        <w:tab/>
        <w:t>Disposiciones relativas a las condiciones de exención de los Convenios Cole</w:t>
      </w:r>
      <w:r>
        <w:t>c</w:t>
      </w:r>
      <w:r>
        <w:t>tivos (Pactos Territoriales de Empleo);</w:t>
      </w:r>
    </w:p>
    <w:p w:rsidR="00000000" w:rsidRDefault="00000000">
      <w:pPr>
        <w:pStyle w:val="SingleTxt"/>
        <w:tabs>
          <w:tab w:val="right" w:pos="1685"/>
        </w:tabs>
        <w:ind w:left="1742" w:hanging="475"/>
      </w:pPr>
      <w:r>
        <w:tab/>
        <w:t>•</w:t>
      </w:r>
      <w:r>
        <w:tab/>
        <w:t>Promoción del empleo a tiempo parcial y restricciones aplicables a las horas extraordinarias;</w:t>
      </w:r>
    </w:p>
    <w:p w:rsidR="00000000" w:rsidRDefault="00000000">
      <w:pPr>
        <w:pStyle w:val="SingleTxt"/>
        <w:tabs>
          <w:tab w:val="right" w:pos="1685"/>
        </w:tabs>
        <w:ind w:left="1742" w:hanging="475"/>
      </w:pPr>
      <w:r>
        <w:tab/>
        <w:t>•</w:t>
      </w:r>
      <w:r>
        <w:tab/>
        <w:t>Creación de formas de empleo no estructuradas (concretamente, el trabajo temporal en virtud de la Ley 2956/2001);</w:t>
      </w:r>
    </w:p>
    <w:p w:rsidR="00000000" w:rsidRDefault="00000000">
      <w:pPr>
        <w:pStyle w:val="SingleTxt"/>
        <w:tabs>
          <w:tab w:val="right" w:pos="1685"/>
        </w:tabs>
        <w:ind w:left="1742" w:hanging="475"/>
      </w:pPr>
      <w:r>
        <w:tab/>
        <w:t>•</w:t>
      </w:r>
      <w:r>
        <w:tab/>
        <w:t>Incremento del 7,5% de la remuneración de los trabajadores a tiempo parcial en caso de que reciban el salario mínimo y de que trabajen menos de cuatro horas al día.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7.</w:t>
      </w:r>
      <w:r>
        <w:tab/>
        <w:t>Aumento de la oferta de mano de obra y extensión de la vida laboral:</w:t>
      </w:r>
    </w:p>
    <w:p w:rsidR="00000000" w:rsidRDefault="00000000">
      <w:pPr>
        <w:pStyle w:val="SingleTxt"/>
        <w:spacing w:after="0" w:line="120" w:lineRule="exact"/>
        <w:rPr>
          <w:sz w:val="10"/>
        </w:rPr>
      </w:pPr>
    </w:p>
    <w:p w:rsidR="00000000" w:rsidRDefault="00000000">
      <w:pPr>
        <w:pStyle w:val="SingleTxt"/>
      </w:pPr>
      <w:r>
        <w:rPr>
          <w:i/>
        </w:rPr>
        <w:tab/>
        <w:t>El empleo a tiempo parcial es un fenómeno “femenino”,</w:t>
      </w:r>
      <w:r>
        <w:t xml:space="preserve"> en el sentido de que en todos los países la gran mayoría de los empleados a tiempo parcial son mujeres (y la proporción sigue aumentando).</w:t>
      </w:r>
    </w:p>
    <w:p w:rsidR="00000000" w:rsidRDefault="00000000">
      <w:pPr>
        <w:pStyle w:val="SingleTxt"/>
      </w:pPr>
      <w:r>
        <w:tab/>
        <w:t>En Grecia, en 2002 el 68,3% del personal empleado a tiempo parcial eran m</w:t>
      </w:r>
      <w:r>
        <w:t>u</w:t>
      </w:r>
      <w:r>
        <w:t>jeres, y el 31,7% hombres, mientras que las proporciones del empleo total eran de 38,1% y de 61,9%, respectivamente.</w:t>
      </w:r>
    </w:p>
    <w:p w:rsidR="00000000" w:rsidRDefault="00000000">
      <w:pPr>
        <w:pStyle w:val="SingleTxt"/>
      </w:pPr>
      <w:r>
        <w:tab/>
        <w:t>Además, el 7,2% de las mujeres empleadas y el 2,2% por ciento de los ho</w:t>
      </w:r>
      <w:r>
        <w:t>m</w:t>
      </w:r>
      <w:r>
        <w:t>bres e</w:t>
      </w:r>
      <w:r>
        <w:t>m</w:t>
      </w:r>
      <w:r>
        <w:t>pleados lo estaban a tiempo parcial.</w:t>
      </w:r>
    </w:p>
    <w:p w:rsidR="00000000" w:rsidRDefault="00000000">
      <w:pPr>
        <w:pStyle w:val="SingleTxt"/>
      </w:pPr>
      <w:r>
        <w:tab/>
        <w:t>La baja participación de las mujeres en el empleo se debe a las oportunidades reducidas que ofrece el empleo a tiempo parcial y a la escasa diferenciación de los niv</w:t>
      </w:r>
      <w:r>
        <w:t>e</w:t>
      </w:r>
      <w:r>
        <w:t xml:space="preserve">les salariales.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8.</w:t>
      </w:r>
      <w:r>
        <w:tab/>
        <w:t>Igualdad de género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Las políticas relacionadas con la mujer pueden clasificarse como sigue:</w:t>
      </w:r>
    </w:p>
    <w:p w:rsidR="00000000" w:rsidRDefault="00000000">
      <w:pPr>
        <w:pStyle w:val="SingleTxt"/>
        <w:tabs>
          <w:tab w:val="right" w:pos="1685"/>
        </w:tabs>
        <w:ind w:left="1742" w:hanging="475"/>
      </w:pPr>
      <w:r>
        <w:tab/>
        <w:t>•</w:t>
      </w:r>
      <w:r>
        <w:tab/>
        <w:t xml:space="preserve">Promoción del empleo y la actividad empresarial. Comprende </w:t>
      </w:r>
      <w:r>
        <w:rPr>
          <w:i/>
        </w:rPr>
        <w:t>programas para crear nuevos puestos de trabajo para mujeres</w:t>
      </w:r>
      <w:r>
        <w:t>, con el fin de facilitar la obte</w:t>
      </w:r>
      <w:r>
        <w:t>n</w:t>
      </w:r>
      <w:r>
        <w:t>ción de experiencia laboral y promover el empleo de mujeres desempleadas de edad comprend</w:t>
      </w:r>
      <w:r>
        <w:t>i</w:t>
      </w:r>
      <w:r>
        <w:t>da entre 18 y 65 años.</w:t>
      </w:r>
    </w:p>
    <w:p w:rsidR="00000000" w:rsidRDefault="00000000">
      <w:pPr>
        <w:pStyle w:val="SingleTxt"/>
        <w:tabs>
          <w:tab w:val="right" w:pos="1685"/>
        </w:tabs>
        <w:ind w:left="1742" w:hanging="475"/>
      </w:pPr>
      <w:r>
        <w:tab/>
        <w:t>•</w:t>
      </w:r>
      <w:r>
        <w:tab/>
        <w:t>Conciliación de la vida familiar y la vida laboral. Se han logrado especiales progresos en lo que se refiere a las medidas positivas para conciliar la vida familiar y la vida laboral de las mujeres y facilitar su integración en el merc</w:t>
      </w:r>
      <w:r>
        <w:t>a</w:t>
      </w:r>
      <w:r>
        <w:t>do de trabajo. Esas medidas son aplicadas por organismos de las autoridades locales en todo el país, y se financian con cargo a recursos comunitarios y n</w:t>
      </w:r>
      <w:r>
        <w:t>a</w:t>
      </w:r>
      <w:r>
        <w:t>cionales</w:t>
      </w:r>
      <w:r>
        <w:rPr>
          <w:rStyle w:val="FootnoteReference"/>
        </w:rPr>
        <w:footnoteReference w:id="34"/>
      </w:r>
      <w:r>
        <w:t xml:space="preserv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9.</w:t>
      </w:r>
      <w:r>
        <w:tab/>
        <w:t>Fomento de la integración y lucha para eliminar discriminaciones contra personas desfavorecidas en el mercado laboral</w:t>
      </w:r>
    </w:p>
    <w:p w:rsidR="00000000" w:rsidRDefault="00000000">
      <w:pPr>
        <w:pStyle w:val="SingleTxt"/>
        <w:spacing w:after="0" w:line="120" w:lineRule="exact"/>
        <w:rPr>
          <w:sz w:val="10"/>
        </w:rPr>
      </w:pPr>
    </w:p>
    <w:p w:rsidR="00000000" w:rsidRDefault="00000000">
      <w:pPr>
        <w:pStyle w:val="SingleTxt"/>
      </w:pPr>
      <w:r>
        <w:tab/>
        <w:t xml:space="preserve">De conformidad con el </w:t>
      </w:r>
      <w:r>
        <w:rPr>
          <w:i/>
        </w:rPr>
        <w:t xml:space="preserve">Plan de Acción Nacional para la Integración 2003, la opción estratégica por una promoción sustancial de la integración social </w:t>
      </w:r>
      <w:r>
        <w:t>está estr</w:t>
      </w:r>
      <w:r>
        <w:t>e</w:t>
      </w:r>
      <w:r>
        <w:t xml:space="preserve">chamente vinculada a la facilitación del acceso al empleo para los grupos expuestos a la exclusión social. </w:t>
      </w:r>
    </w:p>
    <w:p w:rsidR="00000000" w:rsidRDefault="00000000">
      <w:pPr>
        <w:pStyle w:val="SingleTxt"/>
        <w:rPr>
          <w:i/>
        </w:rPr>
      </w:pPr>
      <w:r>
        <w:tab/>
        <w:t xml:space="preserve">En lo que se refiere a la promoción del empleo tienen particular importancia cuatro grupos de la población, y </w:t>
      </w:r>
      <w:r>
        <w:rPr>
          <w:i/>
        </w:rPr>
        <w:t>las mujeres son el primero de ellos.</w:t>
      </w:r>
    </w:p>
    <w:p w:rsidR="00000000" w:rsidRDefault="00000000">
      <w:pPr>
        <w:pStyle w:val="SingleTxt"/>
      </w:pPr>
      <w:r>
        <w:tab/>
        <w:t>El empleo de las mujeres, y en particular de las madres, constituye un objetivo de importancia estratégica por razones sociales y de desarrollo. En ese contexto, el problema de las familias monoparentales —de mujeres que han de criar solas a sus hijos— reviste particular importancia, por lo que está plenamente justificada la pri</w:t>
      </w:r>
      <w:r>
        <w:t>o</w:t>
      </w:r>
      <w:r>
        <w:t>ridad política que se le atribuye. Las medidas que se impulsan están relacionadas con: a) la conciliación de la vida familiar y la vida laboral – cuidado de los hijos, sustento de la familia, y b) medidas especiales en favor de la mujer en el contexto del Marco Comunitario de Apoyo.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tab/>
            </w:r>
            <w:r>
              <w:rPr>
                <w:i/>
              </w:rPr>
              <w:t>Artículo 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2.</w:t>
            </w:r>
            <w:r>
              <w:rPr>
                <w:i/>
              </w:rPr>
              <w:tab/>
              <w:t xml:space="preserve">Sin perjuicio de lo dispuesto en el párrafo 1 supra, los Estados Partes </w:t>
            </w:r>
            <w:r>
              <w:rPr>
                <w:i/>
                <w:w w:val="102"/>
              </w:rPr>
              <w:t>garantizarán a la mujer servicios apropiados en relación con el embarazo, el parto y el período posterior al parto, proporcionando servicios gratuitos cuando fuere nec</w:t>
            </w:r>
            <w:r>
              <w:rPr>
                <w:i/>
                <w:w w:val="102"/>
              </w:rPr>
              <w:t>e</w:t>
            </w:r>
            <w:r>
              <w:rPr>
                <w:i/>
                <w:w w:val="102"/>
              </w:rPr>
              <w:t>sario, y le asegurarán una nutrición adecuada durante el embarazo y la lacta</w:t>
            </w:r>
            <w:r>
              <w:rPr>
                <w:i/>
                <w:w w:val="102"/>
              </w:rPr>
              <w:t>n</w:t>
            </w:r>
            <w:r>
              <w:rPr>
                <w:i/>
                <w:w w:val="102"/>
              </w:rPr>
              <w:t>cia.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Α.</w:t>
      </w:r>
      <w:r>
        <w:tab/>
        <w:t>La mujer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El esfuerzo en pro de la reforma</w:t>
      </w:r>
    </w:p>
    <w:p w:rsidR="00000000" w:rsidRDefault="00000000">
      <w:pPr>
        <w:pStyle w:val="SingleTxt"/>
        <w:spacing w:after="0" w:line="120" w:lineRule="exact"/>
        <w:rPr>
          <w:sz w:val="10"/>
        </w:rPr>
      </w:pPr>
    </w:p>
    <w:p w:rsidR="00000000" w:rsidRDefault="00000000">
      <w:pPr>
        <w:pStyle w:val="SingleTxt"/>
        <w:numPr>
          <w:ilvl w:val="0"/>
          <w:numId w:val="299"/>
        </w:numPr>
      </w:pPr>
      <w:r>
        <w:t>Desde 2000 se viene realizando un gran esfuerzo por introducir las reformas necesarias en las esferas de la salud, la salud mental, el bienestar social y el des</w:t>
      </w:r>
      <w:r>
        <w:t>a</w:t>
      </w:r>
      <w:r>
        <w:t>rrollo de los recursos humanos, a través del programa operacional “Salud – Biene</w:t>
      </w:r>
      <w:r>
        <w:t>s</w:t>
      </w:r>
      <w:r>
        <w:t>tar social 2000-2006”, aplicado por el Ministerio de Sanidad y Bienestar Social. Los princ</w:t>
      </w:r>
      <w:r>
        <w:t>i</w:t>
      </w:r>
      <w:r>
        <w:t>pales objetivos del programa operacional son los siguientes:</w:t>
      </w:r>
    </w:p>
    <w:p w:rsidR="00000000" w:rsidRDefault="00000000">
      <w:pPr>
        <w:pStyle w:val="SingleTxt"/>
        <w:tabs>
          <w:tab w:val="right" w:pos="1685"/>
        </w:tabs>
        <w:ind w:left="1742" w:hanging="475"/>
      </w:pPr>
      <w:r>
        <w:tab/>
        <w:t>–</w:t>
      </w:r>
      <w:r>
        <w:tab/>
        <w:t>Reforma operacional y organizacional completa del Sistema Nacional de S</w:t>
      </w:r>
      <w:r>
        <w:t>a</w:t>
      </w:r>
      <w:r>
        <w:t xml:space="preserve">lud; </w:t>
      </w:r>
    </w:p>
    <w:p w:rsidR="00000000" w:rsidRDefault="00000000">
      <w:pPr>
        <w:pStyle w:val="SingleTxt"/>
        <w:tabs>
          <w:tab w:val="right" w:pos="1685"/>
        </w:tabs>
        <w:ind w:left="1742" w:hanging="475"/>
      </w:pPr>
      <w:r>
        <w:tab/>
        <w:t>–</w:t>
      </w:r>
      <w:r>
        <w:tab/>
        <w:t>Conclusión de la reforma psiquiátrica en el sector de la salud mental;</w:t>
      </w:r>
    </w:p>
    <w:p w:rsidR="00000000" w:rsidRDefault="00000000">
      <w:pPr>
        <w:pStyle w:val="SingleTxt"/>
        <w:tabs>
          <w:tab w:val="right" w:pos="1685"/>
        </w:tabs>
        <w:ind w:left="1742" w:hanging="475"/>
      </w:pPr>
      <w:r>
        <w:tab/>
        <w:t>–</w:t>
      </w:r>
      <w:r>
        <w:tab/>
        <w:t>Reforma y mejora del sector del bienestar social;</w:t>
      </w:r>
    </w:p>
    <w:p w:rsidR="00000000" w:rsidRDefault="00000000">
      <w:pPr>
        <w:pStyle w:val="SingleTxt"/>
        <w:tabs>
          <w:tab w:val="right" w:pos="1685"/>
        </w:tabs>
        <w:ind w:left="1742" w:hanging="475"/>
      </w:pPr>
      <w:r>
        <w:tab/>
        <w:t>–</w:t>
      </w:r>
      <w:r>
        <w:tab/>
        <w:t>Mejora de los servicios suministrados por medio de actividades de formación pe</w:t>
      </w:r>
      <w:r>
        <w:t>r</w:t>
      </w:r>
      <w:r>
        <w:t>manente.</w:t>
      </w:r>
    </w:p>
    <w:p w:rsidR="00000000" w:rsidRDefault="00000000">
      <w:pPr>
        <w:pStyle w:val="SingleTxt"/>
      </w:pPr>
      <w:r>
        <w:tab/>
        <w:t>El programa operacional “Salud – Bienestar social 2000-2006” contribuye a impulsar la igualdad de género en la esfera de la salud y el bienestar social con i</w:t>
      </w:r>
      <w:r>
        <w:t>n</w:t>
      </w:r>
      <w:r>
        <w:t xml:space="preserve">tervenciones tendentes a promover: a) el acceso al mercado laboral; b) la educación </w:t>
      </w:r>
      <w:r>
        <w:rPr>
          <w:spacing w:val="2"/>
        </w:rPr>
        <w:t>y la formación profesional; c) la actividad empresarial; y d) la conciliación de la vi</w:t>
      </w:r>
      <w:r>
        <w:t>da familiar y la vida laboral, así como intervenciones en favor de grupos vulner</w:t>
      </w:r>
      <w:r>
        <w:t>a</w:t>
      </w:r>
      <w:r>
        <w:t>bles.</w:t>
      </w:r>
    </w:p>
    <w:p w:rsidR="00000000" w:rsidRDefault="00000000">
      <w:pPr>
        <w:pStyle w:val="SingleTxt"/>
      </w:pPr>
      <w:r>
        <w:tab/>
        <w:t>En particular, en el contexto de la medida 4.1 se otorga prioridad a la aplic</w:t>
      </w:r>
      <w:r>
        <w:t>a</w:t>
      </w:r>
      <w:r>
        <w:t xml:space="preserve">ción de medidas para la capacitación del personal del Centro Nacional de Atención de Emergencia </w:t>
      </w:r>
      <w:r>
        <w:rPr>
          <w:color w:val="000000"/>
        </w:rPr>
        <w:t>(ΕΚΑV)</w:t>
      </w:r>
      <w:r>
        <w:t xml:space="preserve"> y del Sistema Nacional de Salud en cuestiones relacionadas con la salud de la población femenina del país (por ejemplo, exámenes de mamas, osteoporosis, malos tratos, lactancia,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Planificación de la familia</w:t>
      </w:r>
    </w:p>
    <w:p w:rsidR="00000000" w:rsidRDefault="00000000">
      <w:pPr>
        <w:pStyle w:val="SingleTxt"/>
        <w:spacing w:after="0" w:line="120" w:lineRule="exact"/>
        <w:rPr>
          <w:sz w:val="10"/>
        </w:rPr>
      </w:pPr>
    </w:p>
    <w:p w:rsidR="00000000" w:rsidRDefault="00000000">
      <w:pPr>
        <w:pStyle w:val="SingleTxt"/>
        <w:numPr>
          <w:ilvl w:val="0"/>
          <w:numId w:val="299"/>
        </w:numPr>
      </w:pPr>
      <w:r>
        <w:t>A pesar de algunas carencias de organización y operacionales, como la falta de personal suficiente, el Ministerio de Sanidad y Bienestar Social, gracias a la instit</w:t>
      </w:r>
      <w:r>
        <w:t>u</w:t>
      </w:r>
      <w:r>
        <w:t>ción de la planificación de la familia (Ley 1036/80) y del Sistema Nacional de Salud (artículo 22 de la Ley 1397/83), está avanzando satisfactoriamente hacia su objetivo de desarrollar en Grecia la prestación de servicios de planificación de la familia.</w:t>
      </w:r>
    </w:p>
    <w:p w:rsidR="00000000" w:rsidRDefault="00000000">
      <w:pPr>
        <w:pStyle w:val="SingleTxt"/>
      </w:pPr>
      <w:r>
        <w:tab/>
        <w:t>El personal sanitario cualificado de los organismos de salud presta servicios y responde a consultas sobre cuestiones de planificación familiar, con el fin de info</w:t>
      </w:r>
      <w:r>
        <w:t>r</w:t>
      </w:r>
      <w:r>
        <w:t>mar y sensibilizar a los ciudadanos de su zona de influencia, así como a refugiados económicos y a asentamientos de población romaní; también coopera con otros ó</w:t>
      </w:r>
      <w:r>
        <w:t>r</w:t>
      </w:r>
      <w:r>
        <w:t>ganos, como autoridades locales, instituciones de enseñanza, asociaciones, organ</w:t>
      </w:r>
      <w:r>
        <w:t>i</w:t>
      </w:r>
      <w:r>
        <w:t>zaciones de mujeres, etc. Para realizar esas tareas, el personal sanitario especializ</w:t>
      </w:r>
      <w:r>
        <w:t>a</w:t>
      </w:r>
      <w:r>
        <w:t>do puede definir sus propios objetivos y formas de relación con la comunidad, de conformidad con las necesidades locales, y organizar según estime conveniente, campañas, conferencias, charlas, distribución de materiales impresos, proyecciones de transparencias, publicación de artículos pertinentes en la prensa local, etc.</w:t>
      </w:r>
    </w:p>
    <w:p w:rsidR="00000000" w:rsidRDefault="00000000">
      <w:pPr>
        <w:pStyle w:val="SingleTxt"/>
        <w:numPr>
          <w:ilvl w:val="0"/>
          <w:numId w:val="299"/>
        </w:numPr>
      </w:pPr>
      <w:r>
        <w:t>El Ministerio de Educación es responsable de informar en las escuelas sobre las consecuencias de los abortos y las medidas adecuadas de protección contra e</w:t>
      </w:r>
      <w:r>
        <w:t>m</w:t>
      </w:r>
      <w:r>
        <w:t>barazos no deseados, así como sobre cuestiones de higiene ginecológica y medidas de precaución contra las enfermedades de transmisión sexual. No obstante, conviene señalar que el mencionado personal sanitario cualificado está permanentemente a disposición de las escuelas de todos los niveles de enseñanza para facilitar inform</w:t>
      </w:r>
      <w:r>
        <w:t>a</w:t>
      </w:r>
      <w:r>
        <w:t>ción cuando se le solicite, aunque suele ponerse en contacto con las escuelas por iniciativa propia en coordinación con la persona responsable de la educación sobre cuestiones de salud en cada escuela.</w:t>
      </w:r>
    </w:p>
    <w:p w:rsidR="00000000" w:rsidRDefault="00000000">
      <w:pPr>
        <w:pStyle w:val="SingleTxt"/>
        <w:numPr>
          <w:ilvl w:val="0"/>
          <w:numId w:val="299"/>
        </w:numPr>
      </w:pPr>
      <w:r>
        <w:t>La reunión de datos sobre el número de abortos resulta muy difícil, pues au</w:t>
      </w:r>
      <w:r>
        <w:t>n</w:t>
      </w:r>
      <w:r>
        <w:t>que en la Ley 1609/86 se suprimió la consideración del aborto como delito punible, las mujeres que abortan siguen solicitando la aplicación del secreto profesional i</w:t>
      </w:r>
      <w:r>
        <w:t>n</w:t>
      </w:r>
      <w:r>
        <w:t>cluso en las clínicas obstétricas. Todavía no está regulada por ley la distribución de anticonceptivos por los seguros médicos. La distribución de anticonceptivos por el se</w:t>
      </w:r>
      <w:r>
        <w:t>c</w:t>
      </w:r>
      <w:r>
        <w:t>tor privado dificulta la reunión de los datos correspondientes.</w:t>
      </w:r>
    </w:p>
    <w:p w:rsidR="00000000" w:rsidRDefault="00000000">
      <w:pPr>
        <w:pStyle w:val="SingleTxt"/>
        <w:numPr>
          <w:ilvl w:val="0"/>
          <w:numId w:val="299"/>
        </w:numPr>
      </w:pPr>
      <w:r>
        <w:t>En la actualidad funcionan 41 centros de planificación de la familia, algunos de los cuales prestan sus servicios a través de los organismos de salud del Instituto de la Seguridad Social (ΙΚΑ), y muchos centros de salud ofrecen servicios de co</w:t>
      </w:r>
      <w:r>
        <w:t>n</w:t>
      </w:r>
      <w:r>
        <w:t>sulta sobre planificación de la familia. Aun en las zonas en las que no funciona ni</w:t>
      </w:r>
      <w:r>
        <w:t>n</w:t>
      </w:r>
      <w:r>
        <w:t>gún centro de planificación de la familia, puede acudirse a los departamentos de g</w:t>
      </w:r>
      <w:r>
        <w:t>i</w:t>
      </w:r>
      <w:r>
        <w:t>necología de los hospitales públicos para solicitar información, obtener materiales impresos y formular consultas.</w:t>
      </w:r>
    </w:p>
    <w:p w:rsidR="00000000" w:rsidRDefault="00000000">
      <w:pPr>
        <w:pStyle w:val="SingleTxt"/>
        <w:numPr>
          <w:ilvl w:val="0"/>
          <w:numId w:val="299"/>
        </w:numPr>
      </w:pPr>
      <w:r>
        <w:t>La Dirección de Asistencia Primaria de Salud del Ministerio de Sanidad y Bi</w:t>
      </w:r>
      <w:r>
        <w:t>e</w:t>
      </w:r>
      <w:r>
        <w:t>nestar Social, en cooperación con la Dirección de Educación e Información sobre Cuestiones de Salud, ha publicado los folletos: a) “Métodos anticonceptivos. Co</w:t>
      </w:r>
      <w:r>
        <w:t>n</w:t>
      </w:r>
      <w:r>
        <w:t>trol de la fecundidad”, y b) “Cómo evitar el aborto. Información sobre métodos a</w:t>
      </w:r>
      <w:r>
        <w:t>n</w:t>
      </w:r>
      <w:r>
        <w:t>ticonceptivos”; y ha reeditado: a) diapositivas sobre “planificación de la familia”, b) diapositivas sobre “protección psicológica”, y c) un corto sobre “métodos antico</w:t>
      </w:r>
      <w:r>
        <w:t>n</w:t>
      </w:r>
      <w:r>
        <w:t>cept</w:t>
      </w:r>
      <w:r>
        <w:t>i</w:t>
      </w:r>
      <w:r>
        <w:t>vos”.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Inseminación artificial</w:t>
      </w:r>
    </w:p>
    <w:p w:rsidR="00000000" w:rsidRDefault="00000000">
      <w:pPr>
        <w:pStyle w:val="SingleTxt"/>
        <w:spacing w:after="0" w:line="120" w:lineRule="exact"/>
        <w:rPr>
          <w:sz w:val="10"/>
        </w:rPr>
      </w:pP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320"/>
        </w:numPr>
      </w:pPr>
      <w:r>
        <w:t>La Ley 3089/2002 sobre “ayuda médica para la reproducción humana” est</w:t>
      </w:r>
      <w:r>
        <w:t>a</w:t>
      </w:r>
      <w:r>
        <w:t>blece condiciones y requisitos para la inseminación artificial, permitiendo así a las mujeres tener hijos por este procedimiento.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Enfermedades de transmisión sexual/SIDA</w:t>
      </w:r>
    </w:p>
    <w:p w:rsidR="00000000" w:rsidRDefault="00000000">
      <w:pPr>
        <w:pStyle w:val="SingleTxt"/>
        <w:spacing w:after="0" w:line="120" w:lineRule="exact"/>
        <w:rPr>
          <w:sz w:val="10"/>
        </w:rPr>
      </w:pPr>
    </w:p>
    <w:p w:rsidR="00000000" w:rsidRDefault="00000000">
      <w:pPr>
        <w:pStyle w:val="SingleTxt"/>
        <w:numPr>
          <w:ilvl w:val="0"/>
          <w:numId w:val="320"/>
        </w:numPr>
      </w:pPr>
      <w:r>
        <w:t xml:space="preserve">De conformidad con sus disposiciones constitutivas (artículo 26 de la Ley 2071/1992), el Centro Helénico para el Control de las Enfermedades Infecciosas (KEEL) es el organismo competente para aplicar medidas de educación sexual y de atención primaria y secundaria para las personas que padecen enfermedades de </w:t>
      </w:r>
      <w:r>
        <w:rPr>
          <w:spacing w:val="2"/>
        </w:rPr>
        <w:t>transmisión sexual y VIH/SIDA. Todas sus intervenciones se orientan en ese sent</w:t>
      </w:r>
      <w:r>
        <w:rPr>
          <w:spacing w:val="2"/>
        </w:rPr>
        <w:t>i</w:t>
      </w:r>
      <w:r>
        <w:t>do.</w:t>
      </w:r>
    </w:p>
    <w:p w:rsidR="00000000" w:rsidRDefault="00000000">
      <w:pPr>
        <w:pStyle w:val="SingleTxt"/>
        <w:numPr>
          <w:ilvl w:val="0"/>
          <w:numId w:val="320"/>
        </w:numPr>
      </w:pPr>
      <w:r>
        <w:t>En Grecia es obligatoria la declaración de todos los casos de VIH y de SIDA. A 30 de junio de 2003, el número total de personas declaradas seropositivas, es d</w:t>
      </w:r>
      <w:r>
        <w:t>e</w:t>
      </w:r>
      <w:r>
        <w:t xml:space="preserve">cir, portadoras del VIH, era de 6.521, con una proporción de mujeres del 19,04%. La incidencia de la enfermedad ha venido aumentando tanto entre los hombres como entre las mujeres, pero desde 2000 se observa una tendencia a la estabilización del número anual de nuevas infecciones declaradas. De las 1.214 personas infectadas por el virus a través de relaciones heterosexuales, 756 (el 62,27%) eran mujeres. Esa es la única categoría de transmisión en que el número de mujeres es mayor que el de </w:t>
      </w:r>
      <w:r>
        <w:rPr>
          <w:spacing w:val="2"/>
        </w:rPr>
        <w:t>hombres. El número total de casos de SIDA en Grecia es de 2.394, de los que 339</w:t>
      </w:r>
      <w:r>
        <w:t xml:space="preserve"> (el 14%) corresponden a mujeres. La reducción de los casos de SIDA y de la mortalidad conexa a partir de 1996 se atribuye al nuevo tratamiento antirretroviral. De las 458 personas que contrajeron el SIDA a través de relaciones heterosexuales, 241 (el 52,6%) eran mujeres.</w:t>
      </w:r>
    </w:p>
    <w:p w:rsidR="00000000" w:rsidRDefault="00000000">
      <w:pPr>
        <w:pStyle w:val="SingleTxt"/>
        <w:numPr>
          <w:ilvl w:val="0"/>
          <w:numId w:val="320"/>
        </w:numPr>
      </w:pPr>
      <w:r>
        <w:t>Las actividades del Centro de Control de Infecciones Especiales, orientadas principalmente hacia las mujeres, son a la vez de información sobre la prevención y la lucha contra el SIDA y las enfermedades de transmisión sexual por medio de co</w:t>
      </w:r>
      <w:r>
        <w:t>n</w:t>
      </w:r>
      <w:r>
        <w:t>ductas sexuales sanas y la utilización de preservativos femeninos, y de apoyo a las unidades de infecciones especiales de los hospitales. Además, el Centro de Control participó como entidad asociada en el programa interestatal europeo “Red medit</w:t>
      </w:r>
      <w:r>
        <w:t>e</w:t>
      </w:r>
      <w:r>
        <w:t>rránea de mujeres infectadas por el VIH”, financiado por la UE. La primera fase del programa abarcó de octubre de 1999 a marzo de 2001, y fue coordinada por SIDA Info Service (Francia). Tras la renovación del mandato por la UE, se aplicó una s</w:t>
      </w:r>
      <w:r>
        <w:t>e</w:t>
      </w:r>
      <w:r>
        <w:t>gunda fase del programa de octubre de 2001 a octubre de 2002.</w:t>
      </w:r>
    </w:p>
    <w:p w:rsidR="00000000" w:rsidRDefault="00000000">
      <w:pPr>
        <w:pStyle w:val="SingleTxt"/>
        <w:numPr>
          <w:ilvl w:val="0"/>
          <w:numId w:val="320"/>
        </w:numPr>
      </w:pPr>
      <w:r>
        <w:t>En el marco del Centro de Control de Infecciones Especiales, al que incumbía, en su calidad de entidad asociada, la responsabilidad administrativa del programa (Oficina de Relaciones Públicas e Internacionales), la coordinación y aplicación de las medidas se encomendó al personal profesional de la Oficina del Centro de Co</w:t>
      </w:r>
      <w:r>
        <w:t>n</w:t>
      </w:r>
      <w:r>
        <w:t>sulta sobre Enfermedades Infecciosas y la línea telefónica directa sobre el SIDA. Participaron en el programa cinco (5) países mediterráneos, con sus correspondie</w:t>
      </w:r>
      <w:r>
        <w:t>n</w:t>
      </w:r>
      <w:r>
        <w:t>tes organizaciones de servicios y línea telefónica directa sobre el SIDA. La finalidad del programa era desarrollar una red centrada en la situación de las mujeres en rel</w:t>
      </w:r>
      <w:r>
        <w:t>a</w:t>
      </w:r>
      <w:r>
        <w:t>ción con la infección por VIH y otras enfermedades de transmisión sexual en los países de Europa meridional, con el fin de mejorar y coordinar los servicios propo</w:t>
      </w:r>
      <w:r>
        <w:t>r</w:t>
      </w:r>
      <w:r>
        <w:t>cionados en las esferas de la información, la prevención y la intervención médica y sociops</w:t>
      </w:r>
      <w:r>
        <w:t>i</w:t>
      </w:r>
      <w:r>
        <w:t>cológica. Los objetivos del programa pueden resumirse como sigue:</w:t>
      </w:r>
    </w:p>
    <w:p w:rsidR="00000000" w:rsidRDefault="00000000">
      <w:pPr>
        <w:pStyle w:val="SingleTxt"/>
        <w:tabs>
          <w:tab w:val="right" w:pos="1685"/>
        </w:tabs>
        <w:ind w:left="1742" w:hanging="475"/>
      </w:pPr>
      <w:r>
        <w:tab/>
        <w:t>•</w:t>
      </w:r>
      <w:r>
        <w:tab/>
        <w:t>Establecimiento de un observatorio nacional para registrar los servicios pre</w:t>
      </w:r>
      <w:r>
        <w:t>s</w:t>
      </w:r>
      <w:r>
        <w:t>tados a las mujeres y determinar formas adecuadas de intervención.</w:t>
      </w:r>
    </w:p>
    <w:p w:rsidR="00000000" w:rsidRDefault="00000000">
      <w:pPr>
        <w:pStyle w:val="SingleTxt"/>
        <w:tabs>
          <w:tab w:val="right" w:pos="1685"/>
        </w:tabs>
        <w:ind w:left="1742" w:hanging="475"/>
      </w:pPr>
      <w:r>
        <w:tab/>
        <w:t>•</w:t>
      </w:r>
      <w:r>
        <w:tab/>
        <w:t>Sensibilización y movilización de los órganos gubernamentales y no gubern</w:t>
      </w:r>
      <w:r>
        <w:t>a</w:t>
      </w:r>
      <w:r>
        <w:t>mentales dedicados a cuestiones relacionadas con el VIH y otras enfermedades de transmisión sexual que afectan a la población femenina.</w:t>
      </w:r>
    </w:p>
    <w:p w:rsidR="00000000" w:rsidRDefault="00000000">
      <w:pPr>
        <w:pStyle w:val="SingleTxt"/>
        <w:tabs>
          <w:tab w:val="right" w:pos="1685"/>
        </w:tabs>
        <w:ind w:left="1742" w:hanging="475"/>
      </w:pPr>
      <w:r>
        <w:tab/>
        <w:t>•</w:t>
      </w:r>
      <w:r>
        <w:tab/>
        <w:t xml:space="preserve">Fomento de la cooperación a nivel europeo y nacional, y desarrollo de </w:t>
      </w:r>
      <w:r>
        <w:rPr>
          <w:i/>
        </w:rPr>
        <w:t>redes naci</w:t>
      </w:r>
      <w:r>
        <w:rPr>
          <w:i/>
        </w:rPr>
        <w:t>o</w:t>
      </w:r>
      <w:r>
        <w:rPr>
          <w:i/>
        </w:rPr>
        <w:t>nales de mujeres</w:t>
      </w:r>
      <w:r>
        <w:t>.</w:t>
      </w:r>
    </w:p>
    <w:p w:rsidR="00000000" w:rsidRDefault="00000000">
      <w:pPr>
        <w:pStyle w:val="SingleTxt"/>
        <w:numPr>
          <w:ilvl w:val="0"/>
          <w:numId w:val="320"/>
        </w:numPr>
      </w:pPr>
      <w:r>
        <w:t>La Oficina de Poblaciones Migrantes del Centro de Control de Infecciones E</w:t>
      </w:r>
      <w:r>
        <w:t>s</w:t>
      </w:r>
      <w:r>
        <w:t>peciales orienta sus intervenciones hacia los asentamientos de inmigrantes y ref</w:t>
      </w:r>
      <w:r>
        <w:t>u</w:t>
      </w:r>
      <w:r>
        <w:t>giados y aplica el “Programa en las calles”, dirigido también a los inmigrantes. También ha aplicado un programa piloto sobre “Defensa y promoción de la salud y la integración social de la población romaní de Grecia”, en cooperación con la D</w:t>
      </w:r>
      <w:r>
        <w:t>i</w:t>
      </w:r>
      <w:r>
        <w:t>rección de Bienestar Social del Ministerio de Sanidad y Bienestar Social. Se ha examinado a 1.500 personas, la mitad de las cuales eran mujeres, y se ha impartido información sobre métodos anticonceptivos, así como sobre normas de higiene y planificación de la familia.</w:t>
      </w:r>
    </w:p>
    <w:p w:rsidR="00000000" w:rsidRDefault="00000000">
      <w:pPr>
        <w:pStyle w:val="SingleTxt"/>
        <w:numPr>
          <w:ilvl w:val="0"/>
          <w:numId w:val="320"/>
        </w:numPr>
      </w:pPr>
      <w:r>
        <w:t>Además del Centro de Control de Infecciones Especiales, la Sección de Ep</w:t>
      </w:r>
      <w:r>
        <w:t>i</w:t>
      </w:r>
      <w:r>
        <w:t>demología y Bioestadística de la Escuela Nacional de Sanidad Pública participa en los programas europeos EUROPAP y TAMPEP, así como en el Proyecto-marco del Ministerio de Salud y Bienestar Social. El proyecto EUROPAP promueve una red europea de proyectos para la prevención del VIH y las enfermedades de transm</w:t>
      </w:r>
      <w:r>
        <w:t>i</w:t>
      </w:r>
      <w:r>
        <w:t>sión sexual en la prostitución y tiene por objeto apoyar e impulsar intervenciones tendientes a reducir la incidencia del VIH y de las enfermedades de transmisión s</w:t>
      </w:r>
      <w:r>
        <w:t>e</w:t>
      </w:r>
      <w:r>
        <w:t xml:space="preserve">xual y otras enfermedades infecciosas entre las prostitutas, así como a determinar los métodos más eficaces y adecuados para establecer contacto con las prostitutas. </w:t>
      </w:r>
    </w:p>
    <w:p w:rsidR="00000000" w:rsidRDefault="00000000">
      <w:pPr>
        <w:pStyle w:val="SingleTxt"/>
        <w:numPr>
          <w:ilvl w:val="0"/>
          <w:numId w:val="320"/>
        </w:numPr>
      </w:pPr>
      <w:r>
        <w:t>El proyecto TAMPEP (Proyecto transnacional para la prevención del SIDA y de las enfermedades de transmisión sexual entre las prostitutas migrantes en Eur</w:t>
      </w:r>
      <w:r>
        <w:t>o</w:t>
      </w:r>
      <w:r>
        <w:t>pa) tiene por objetivo aplicar y difundir nuevas estrategias y metodologías para pr</w:t>
      </w:r>
      <w:r>
        <w:t>e</w:t>
      </w:r>
      <w:r>
        <w:t>venir la infección por el VIH y las enfermedades de transmisión sexual entre las prostitutas inmigrantes en Europa. Sus actividades se dirigen a las prostitutas proc</w:t>
      </w:r>
      <w:r>
        <w:t>e</w:t>
      </w:r>
      <w:r>
        <w:t>dentes de países ajenos a la UE. Se han editado folletos especiales en griego, alb</w:t>
      </w:r>
      <w:r>
        <w:t>a</w:t>
      </w:r>
      <w:r>
        <w:t>nés y ruso para información de las prostitutas. El objetivo del Proyecto-marco en Grecia ha sido el de reunir y analizar datos sobre el SIDA y las enfermedades de transmisión sexual entre las prostitutas extranjeras en las zonas situadas a lo largo de la frontera grecoalbanesa y en los grandes centros urbanos de Atenas y Tesalón</w:t>
      </w:r>
      <w:r>
        <w:t>i</w:t>
      </w:r>
      <w:r>
        <w:t xml:space="preserve">ca. Para atender a las necesidades del programa, se han editado folletos especiales en tres idiomas (griego, albanés y búlgaro) que se reparten junto con preservativos y lubricantes, así como un boletín mensual de información dirigido a las prostitutas. El grupo de intervención en las calles estaba integrado por mediadores culturales con capacitación específica (educación entre iguales).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Educación e información sobre salud </w:t>
      </w:r>
    </w:p>
    <w:p w:rsidR="00000000" w:rsidRDefault="00000000">
      <w:pPr>
        <w:pStyle w:val="SingleTxt"/>
        <w:spacing w:after="0" w:line="120" w:lineRule="exact"/>
        <w:rPr>
          <w:sz w:val="10"/>
        </w:rPr>
      </w:pPr>
    </w:p>
    <w:p w:rsidR="00000000" w:rsidRDefault="00000000">
      <w:pPr>
        <w:pStyle w:val="SingleTxt"/>
        <w:numPr>
          <w:ilvl w:val="0"/>
          <w:numId w:val="320"/>
        </w:numPr>
      </w:pPr>
      <w:r>
        <w:t>En el período 2000-2004, en el contexto de la necesidad de informar al públ</w:t>
      </w:r>
      <w:r>
        <w:t>i</w:t>
      </w:r>
      <w:r>
        <w:t>co, y en particular a las mujeres, sobre cuestiones de salud, la Dirección de Educ</w:t>
      </w:r>
      <w:r>
        <w:t>a</w:t>
      </w:r>
      <w:r>
        <w:t>ción e Información sobre Salud del Ministerio de Salud y Bienestar Social ha distr</w:t>
      </w:r>
      <w:r>
        <w:t>i</w:t>
      </w:r>
      <w:r>
        <w:t>buido materiales impresos y audiovisuales sobre varias cuestiones relacionadas con la s</w:t>
      </w:r>
      <w:r>
        <w:t>a</w:t>
      </w:r>
      <w:r>
        <w:t xml:space="preserve">lud de la mujer.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Educación de profesionales de salud</w:t>
      </w:r>
    </w:p>
    <w:p w:rsidR="00000000" w:rsidRDefault="00000000">
      <w:pPr>
        <w:pStyle w:val="SingleTxt"/>
        <w:spacing w:after="0" w:line="120" w:lineRule="exact"/>
        <w:rPr>
          <w:sz w:val="10"/>
        </w:rPr>
      </w:pPr>
    </w:p>
    <w:p w:rsidR="00000000" w:rsidRDefault="00000000">
      <w:pPr>
        <w:pStyle w:val="SingleTxt"/>
        <w:numPr>
          <w:ilvl w:val="0"/>
          <w:numId w:val="320"/>
        </w:numPr>
      </w:pPr>
      <w:r>
        <w:t>En el contexto de los programas educativos sobre cuestiones de salud pública que imparte cada año a nivel de postgrado al personal medico y administrativo de los organismos de atención de salud la Escuela Nacional de Sanidad Pública, y más concretamente su Sección de Epidemiología y Bioestadística, se abordan cuestiones relacionadas con las enfermedades que afectan a las mujeres a escala epidémica o en pequeñas poblaciones. Profesores o estudiantes presentan las cuestiones pertinentes para la investigación o la reseña bibliográfica en forma de investigación educativa sobre: 1) enfermedades epidémicas que afectan a las mujeres a nivel internacional, europeo y griego; 2) problemas de salud física de las mujeres, como el cáncer, las afecciones cardíacas y el SIDA; 3) problemas de salud psicológica de la mujer, c</w:t>
      </w:r>
      <w:r>
        <w:t>o</w:t>
      </w:r>
      <w:r>
        <w:t>mo la depresión y la anorexia; y 4) problemas de carácter social, como los referentes a las mujeres romaníes y de otros grupos minoritarios y las mujeres inmigrantes.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Grupos sociales vulnerables</w:t>
      </w:r>
    </w:p>
    <w:p w:rsidR="00000000" w:rsidRDefault="00000000">
      <w:pPr>
        <w:pStyle w:val="SingleTxt"/>
        <w:spacing w:after="0" w:line="120" w:lineRule="exact"/>
        <w:rPr>
          <w:sz w:val="10"/>
        </w:rPr>
      </w:pPr>
    </w:p>
    <w:p w:rsidR="00000000" w:rsidRDefault="00000000">
      <w:pPr>
        <w:pStyle w:val="SingleTxt"/>
        <w:numPr>
          <w:ilvl w:val="0"/>
          <w:numId w:val="320"/>
        </w:numPr>
      </w:pPr>
      <w:r>
        <w:t>En el contexto de la medida 3.1 del programa operacional “Salud – Bienestar social” del tercer Marco Comunitario de Apoyo, las municipalidades emplean a e</w:t>
      </w:r>
      <w:r>
        <w:t>s</w:t>
      </w:r>
      <w:r>
        <w:t>pecialistas en ciencias sociales con el fin de establecer una red asistencial que preste servicios de apoyo tendentes fundamentalmente a la integración socioeconómica de las personas amenazadas o afectadas por la exclusión social del mercado laboral, así como de las personas que no tienen acceso a los servicios y no están en condiciones de resolver sus problemas. La medida ya se está aplicando en 75 municipios y se aplicará en total en 150.</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romaní</w:t>
      </w:r>
    </w:p>
    <w:p w:rsidR="00000000" w:rsidRDefault="00000000">
      <w:pPr>
        <w:pStyle w:val="SingleTxt"/>
        <w:spacing w:after="0" w:line="120" w:lineRule="exact"/>
        <w:rPr>
          <w:sz w:val="10"/>
        </w:rPr>
      </w:pPr>
    </w:p>
    <w:p w:rsidR="00000000" w:rsidRDefault="00000000">
      <w:pPr>
        <w:pStyle w:val="SingleTxt"/>
        <w:numPr>
          <w:ilvl w:val="0"/>
          <w:numId w:val="320"/>
        </w:numPr>
      </w:pPr>
      <w:r>
        <w:t>En su esfera de competencia, el Ministerio del Interior, Administración Pública y Descentralización ha adoptado medidas tendentes a promover la integración social de hombres y mujeres romaníes griegos (véase el informe al respecto, titulado “Pr</w:t>
      </w:r>
      <w:r>
        <w:t>i</w:t>
      </w:r>
      <w:r>
        <w:t>mer informe de Grecia al Comité de Derechos Económicos, Sociales y Culturales de las Naciones Unidas”, Atenas, 2002).</w:t>
      </w:r>
    </w:p>
    <w:p w:rsidR="00000000" w:rsidRDefault="00000000">
      <w:pPr>
        <w:pStyle w:val="SingleTxt"/>
        <w:numPr>
          <w:ilvl w:val="0"/>
          <w:numId w:val="320"/>
        </w:numPr>
      </w:pPr>
      <w:r>
        <w:t>El Ministerio de Sanidad y Bienestar Social aplica el programa “Protección y promoción de la salud y la integración social de los gitanos griegos”, que compre</w:t>
      </w:r>
      <w:r>
        <w:t>n</w:t>
      </w:r>
      <w:r>
        <w:t>de el establecimiento de cincuenta (50) centros sociomédicos y el funcionamiento de dos unidades médicas móviles que organizan programas de exámenes preventivos (análisis de sangre, radiografías de tórax, frotis cervicales, etc.). Las dos unidades m</w:t>
      </w:r>
      <w:r>
        <w:t>ó</w:t>
      </w:r>
      <w:r>
        <w:t xml:space="preserve">viles han visitado ya 53 asentamientos romaníes.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con discapacidad</w:t>
      </w:r>
    </w:p>
    <w:p w:rsidR="00000000" w:rsidRDefault="00000000">
      <w:pPr>
        <w:pStyle w:val="SingleTxt"/>
        <w:spacing w:after="0" w:line="120" w:lineRule="exact"/>
        <w:rPr>
          <w:sz w:val="10"/>
        </w:rPr>
      </w:pPr>
    </w:p>
    <w:p w:rsidR="00000000" w:rsidRDefault="00000000">
      <w:pPr>
        <w:pStyle w:val="SingleTxt"/>
        <w:numPr>
          <w:ilvl w:val="0"/>
          <w:numId w:val="320"/>
        </w:numPr>
      </w:pPr>
      <w:r>
        <w:t>La política de asistencia social a las personas con discapacidad tiene por o</w:t>
      </w:r>
      <w:r>
        <w:t>b</w:t>
      </w:r>
      <w:r>
        <w:t>jeto atender a las necesidades especiales o acrecentadas dimanantes de su discapac</w:t>
      </w:r>
      <w:r>
        <w:t>i</w:t>
      </w:r>
      <w:r>
        <w:t>dad, así como a promover su integración social mediante la aplicación de programas de rehabilitación física y social.</w:t>
      </w:r>
    </w:p>
    <w:p w:rsidR="00000000" w:rsidRDefault="00000000">
      <w:pPr>
        <w:pStyle w:val="SingleTxt"/>
      </w:pPr>
      <w:r>
        <w:tab/>
        <w:t>Más concretamente, se aplican 11 programas de asistencia financiera en el contexto del carácter subsidiario y suplementario de las prestaciones de asistencia social, frente a las del seguro, en función de la naturaleza y el grado de discapac</w:t>
      </w:r>
      <w:r>
        <w:t>i</w:t>
      </w:r>
      <w:r>
        <w:t>dad, del grado de acceso a las prestaciones del seguro, etc. Esos programas abarcan todas las categorías de personas con discapacidad (ciegos, sordos, personas con pr</w:t>
      </w:r>
      <w:r>
        <w:t>o</w:t>
      </w:r>
      <w:r>
        <w:t>blemas de movilidad, etc.) Se calcula en 165.000 el número de personas que se b</w:t>
      </w:r>
      <w:r>
        <w:t>e</w:t>
      </w:r>
      <w:r>
        <w:t>nefician de los programas del Ministerio de Sanidad y Bienestar Social.</w:t>
      </w:r>
    </w:p>
    <w:p w:rsidR="00000000" w:rsidRDefault="00000000">
      <w:pPr>
        <w:pStyle w:val="SingleTxt"/>
        <w:numPr>
          <w:ilvl w:val="0"/>
          <w:numId w:val="320"/>
        </w:numPr>
      </w:pPr>
      <w:r>
        <w:t>En la esfera de la rehabilitación, funcionan en todo el país centros de rehabil</w:t>
      </w:r>
      <w:r>
        <w:t>i</w:t>
      </w:r>
      <w:r>
        <w:t>tación similares (instituciones públicas) dedicados a la rehabilitación física, funci</w:t>
      </w:r>
      <w:r>
        <w:t>o</w:t>
      </w:r>
      <w:r>
        <w:rPr>
          <w:spacing w:val="2"/>
        </w:rPr>
        <w:t>nal y social, así como a actividades de enseñanza, formación profesional y elabora</w:t>
      </w:r>
      <w:r>
        <w:t>ción y aplicación de programas en materia de discapacidad. Como ejemplos característ</w:t>
      </w:r>
      <w:r>
        <w:t>i</w:t>
      </w:r>
      <w:r>
        <w:t>cos cabe citar los tres grandes centros que funcionan en Atenas, con sucursales en el resto del país, y que atienden todas las formas de discapacidad sensorial y cinética (Centro para la Educación y la Rehabilitación de los Ciegos, Fundación Nacional para los Sordos y Fundación Nacional para la Rehabilitación de los Discap</w:t>
      </w:r>
      <w:r>
        <w:t>a</w:t>
      </w:r>
      <w:r>
        <w:t xml:space="preserve">citados). </w:t>
      </w:r>
    </w:p>
    <w:p w:rsidR="00000000" w:rsidRDefault="00000000">
      <w:pPr>
        <w:pStyle w:val="SingleTxt"/>
        <w:numPr>
          <w:ilvl w:val="0"/>
          <w:numId w:val="320"/>
        </w:numPr>
      </w:pPr>
      <w:r>
        <w:t>Hay también en Grecia cuatro centros de recuperación y rehabilitación física y social y un Centro para la Recuperación, la Rehabilitación y el Apoyo Social de las Personas con Discapacidad. Además, se han terminado las instalaciones de tres ce</w:t>
      </w:r>
      <w:r>
        <w:t>n</w:t>
      </w:r>
      <w:r>
        <w:t>tros de recuperación y rehabilitación física y social, así como el Centro para la R</w:t>
      </w:r>
      <w:r>
        <w:t>e</w:t>
      </w:r>
      <w:r>
        <w:t>cuperación, la Rehabilitación y el Apoyo Social de las Personas con Discapacidad en la ciudad de Arta; el proyecto se encuentra actualmente en la fase de suministro de equipo y contratación del personal, que es la inmediatamente anterior a la entrada en funcionamiento. Esos centros tienen por objetivo la rehabilitación funcional y la integración social de las personas con discapacidad mediante la aplicación de pr</w:t>
      </w:r>
      <w:r>
        <w:t>o</w:t>
      </w:r>
      <w:r>
        <w:t>gramas y la prestación de servicios por personal especializado.</w:t>
      </w:r>
    </w:p>
    <w:p w:rsidR="00000000" w:rsidRDefault="00000000">
      <w:pPr>
        <w:pStyle w:val="SingleTxt"/>
        <w:numPr>
          <w:ilvl w:val="0"/>
          <w:numId w:val="320"/>
        </w:numPr>
      </w:pPr>
      <w:r>
        <w:t>Además, en 24 prefecturas funcionan centros piloto de educación, apoyo social y capacitación de personas con discapacidad. Esos centros, que se encuentran en sus fases iniciales de funcionamiento, tienen por objetivo promover la igualdad de oportunidades y la integración social de las personas con discapacidad y evitar su internamiento en instituciones, proporcionándoles servicios tales como:</w:t>
      </w:r>
    </w:p>
    <w:p w:rsidR="00000000" w:rsidRDefault="00000000">
      <w:pPr>
        <w:pStyle w:val="SingleTxt"/>
        <w:tabs>
          <w:tab w:val="right" w:pos="1685"/>
        </w:tabs>
        <w:ind w:left="1742" w:hanging="475"/>
      </w:pPr>
      <w:r>
        <w:tab/>
        <w:t>–</w:t>
      </w:r>
      <w:r>
        <w:tab/>
        <w:t xml:space="preserve">Apoyo sociopsicológico y de consulta; </w:t>
      </w:r>
    </w:p>
    <w:p w:rsidR="00000000" w:rsidRDefault="00000000">
      <w:pPr>
        <w:pStyle w:val="SingleTxt"/>
        <w:tabs>
          <w:tab w:val="right" w:pos="1685"/>
        </w:tabs>
        <w:ind w:left="1742" w:hanging="475"/>
      </w:pPr>
      <w:r>
        <w:tab/>
        <w:t>–</w:t>
      </w:r>
      <w:r>
        <w:tab/>
        <w:t>Rehabilitación funcional;</w:t>
      </w:r>
    </w:p>
    <w:p w:rsidR="00000000" w:rsidRDefault="00000000">
      <w:pPr>
        <w:pStyle w:val="SingleTxt"/>
        <w:tabs>
          <w:tab w:val="right" w:pos="1685"/>
        </w:tabs>
        <w:ind w:left="1742" w:hanging="475"/>
      </w:pPr>
      <w:r>
        <w:tab/>
        <w:t>–</w:t>
      </w:r>
      <w:r>
        <w:tab/>
        <w:t xml:space="preserve">Orientación y formación profesional; y </w:t>
      </w:r>
    </w:p>
    <w:p w:rsidR="00000000" w:rsidRDefault="00000000">
      <w:pPr>
        <w:pStyle w:val="SingleTxt"/>
        <w:tabs>
          <w:tab w:val="right" w:pos="1685"/>
        </w:tabs>
        <w:ind w:left="1742" w:hanging="475"/>
      </w:pPr>
      <w:r>
        <w:tab/>
        <w:t>–</w:t>
      </w:r>
      <w:r>
        <w:tab/>
        <w:t>Educación, apoyo para una existencia autónoma, esparcimiento y depo</w:t>
      </w:r>
      <w:r>
        <w:t>r</w:t>
      </w:r>
      <w:r>
        <w:t>tes.</w:t>
      </w:r>
    </w:p>
    <w:p w:rsidR="00000000" w:rsidRDefault="00000000">
      <w:pPr>
        <w:pStyle w:val="SingleTxt"/>
        <w:numPr>
          <w:ilvl w:val="0"/>
          <w:numId w:val="320"/>
        </w:numPr>
      </w:pPr>
      <w:r>
        <w:rPr>
          <w:i/>
        </w:rPr>
        <w:t>Los programas comunitarios aplicados durante este período se mencionan en el an</w:t>
      </w:r>
      <w:r>
        <w:rPr>
          <w:i/>
        </w:rPr>
        <w:t>e</w:t>
      </w:r>
      <w:r>
        <w:rPr>
          <w:i/>
        </w:rPr>
        <w:t>xo F del presente informe.</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Tratamiento de las mujeres drogadictas</w:t>
      </w:r>
    </w:p>
    <w:p w:rsidR="00000000" w:rsidRDefault="00000000">
      <w:pPr>
        <w:pStyle w:val="SingleTxt"/>
        <w:spacing w:after="0" w:line="120" w:lineRule="exact"/>
        <w:rPr>
          <w:sz w:val="10"/>
        </w:rPr>
      </w:pPr>
    </w:p>
    <w:p w:rsidR="00000000" w:rsidRDefault="00000000">
      <w:pPr>
        <w:pStyle w:val="SingleTxt"/>
        <w:numPr>
          <w:ilvl w:val="0"/>
          <w:numId w:val="320"/>
        </w:numPr>
      </w:pPr>
      <w:r>
        <w:t>En cuanto a los servicios especiales para personas adictas a las drogas y al a</w:t>
      </w:r>
      <w:r>
        <w:t>l</w:t>
      </w:r>
      <w:r>
        <w:t>cohol, el Ministerio de Sanidad y Bienestar Social aplica programas de prevención, recuperación y rehabilitación social. También se prestan servicios a los usuarios que no desean iniciar un proceso de desintoxicación, con el fin de mitigar en la medida de lo posible los problemas sanitarios de los adictos individuales y de la sociedad en general, por una parte, y de abordar los problemas de criminalidad, por la otra. Se ha creado, pues, una red multilateral de servicios para atender a los problemas de adi</w:t>
      </w:r>
      <w:r>
        <w:t>c</w:t>
      </w:r>
      <w:r>
        <w:t xml:space="preserve">ción entre varios grupos vulnerables de la población, como las personas sin hogar, las prostitutas, los inmigrantes, etc. Todos los servicios que se ofrecen son gratuitos, y la participación de los interesados es voluntaria. </w:t>
      </w:r>
    </w:p>
    <w:p w:rsidR="00000000" w:rsidRDefault="00000000">
      <w:pPr>
        <w:pStyle w:val="SingleTxt"/>
        <w:numPr>
          <w:ilvl w:val="0"/>
          <w:numId w:val="320"/>
        </w:numPr>
      </w:pPr>
      <w:r>
        <w:rPr>
          <w:spacing w:val="2"/>
        </w:rPr>
        <w:t>Más concretamente, funcionan los siguientes servicios especiales para muj</w:t>
      </w:r>
      <w:r>
        <w:rPr>
          <w:spacing w:val="2"/>
        </w:rPr>
        <w:t>e</w:t>
      </w:r>
      <w:r>
        <w:t xml:space="preserve">res: </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color w:val="000000"/>
        </w:rPr>
        <w:tab/>
        <w:t>a)</w:t>
      </w:r>
      <w:r>
        <w:rPr>
          <w:color w:val="000000"/>
        </w:rPr>
        <w:tab/>
      </w:r>
      <w:r>
        <w:t xml:space="preserve"> Salud e inmigrantes – refugiados</w:t>
      </w:r>
    </w:p>
    <w:p w:rsidR="00000000" w:rsidRDefault="00000000">
      <w:pPr>
        <w:pStyle w:val="SingleTxt"/>
        <w:spacing w:after="0" w:line="120" w:lineRule="exact"/>
        <w:rPr>
          <w:sz w:val="10"/>
        </w:rPr>
      </w:pPr>
    </w:p>
    <w:p w:rsidR="00000000" w:rsidRDefault="00000000">
      <w:pPr>
        <w:pStyle w:val="SingleTxt"/>
      </w:pPr>
      <w:r>
        <w:tab/>
        <w:t>1.</w:t>
      </w:r>
      <w:r>
        <w:tab/>
        <w:t>Programa terapéutico intercultural de Macedonia Oriental y Tracia, “KIVOTOS”, que cuenta con unidades en Macedonia Oriental (Kavala) y en Tracia (Alexandroupolis) y es la primera red integrada de servicios que se ha establecido en esas regi</w:t>
      </w:r>
      <w:r>
        <w:t>o</w:t>
      </w:r>
      <w:r>
        <w:t xml:space="preserve">nes para el tratamiento de la adicción a las drogas. </w:t>
      </w:r>
    </w:p>
    <w:p w:rsidR="00000000" w:rsidRDefault="00000000">
      <w:pPr>
        <w:pStyle w:val="SingleTxt"/>
      </w:pPr>
      <w:r>
        <w:tab/>
        <w:t>2.</w:t>
      </w:r>
      <w:r>
        <w:tab/>
        <w:t>Centro de transición para la integración de grupos sociales especiales, MOSAIC. Tiene su sede en Atenas y se dirige a personas pertenecientes a grupos sociales especiales, como emigrantes repatriados, refugiados o inmigrantes, con problemas de abuso de sustancias. El Centro ofrece servicios de atención primaria de salud tendentes a reducir el daño causado por el abuso de sustancias, tratamiento psicológico de la adicción a las drogas, actividades de integración social y laboral, y asistencia familiar.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color w:val="000000"/>
        </w:rPr>
        <w:tab/>
        <w:t>b)</w:t>
      </w:r>
      <w:r>
        <w:rPr>
          <w:color w:val="000000"/>
        </w:rPr>
        <w:tab/>
      </w:r>
      <w:r>
        <w:t>Educación en las escuelas sobre las sustancias que crean adicción</w:t>
      </w:r>
    </w:p>
    <w:p w:rsidR="00000000" w:rsidRDefault="00000000">
      <w:pPr>
        <w:pStyle w:val="SingleTxt"/>
        <w:spacing w:after="0" w:line="120" w:lineRule="exact"/>
        <w:rPr>
          <w:sz w:val="10"/>
        </w:rPr>
      </w:pPr>
    </w:p>
    <w:p w:rsidR="00000000" w:rsidRDefault="00000000">
      <w:pPr>
        <w:pStyle w:val="SingleTxt"/>
      </w:pPr>
      <w:r>
        <w:tab/>
        <w:t>1.</w:t>
      </w:r>
      <w:r>
        <w:tab/>
        <w:t>Funcionan 63 centros de prevención, que actúan en cooperación con la Organización contra las Drogas (ΟΚΑΝΑ) y las autoridades locales y que abarcan 46 de las 52 prefecturas del país. Se dirigen a estudiantes, padres, soldados, mae</w:t>
      </w:r>
      <w:r>
        <w:t>s</w:t>
      </w:r>
      <w:r>
        <w:t xml:space="preserve">tros, y otros grupos de personas. </w:t>
      </w:r>
    </w:p>
    <w:p w:rsidR="00000000" w:rsidRDefault="00000000">
      <w:pPr>
        <w:pStyle w:val="SingleTxt"/>
      </w:pPr>
      <w:r>
        <w:tab/>
        <w:t>2.</w:t>
      </w:r>
      <w:r>
        <w:tab/>
        <w:t>El Centro para el Tratamiento de Adictos (KETHEA) sigue ofreciendo servicios a través de la unidad móvil de información “PEGASO”, así como mediante programas integrados de prevención primaria aplicados en instituciones educativas o fuera de éstas en cooperación con las autoridades locales.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Tratamiento de mujeres drogadictas</w:t>
      </w:r>
    </w:p>
    <w:p w:rsidR="00000000" w:rsidRDefault="00000000">
      <w:pPr>
        <w:pStyle w:val="SingleTxt"/>
        <w:spacing w:after="0" w:line="120" w:lineRule="exact"/>
        <w:rPr>
          <w:sz w:val="10"/>
        </w:rPr>
      </w:pPr>
    </w:p>
    <w:p w:rsidR="00000000" w:rsidRDefault="00000000">
      <w:pPr>
        <w:pStyle w:val="SingleTxt"/>
      </w:pPr>
      <w:r>
        <w:rPr>
          <w:i/>
        </w:rPr>
        <w:tab/>
        <w:t>Programas especiales para madres adictas</w:t>
      </w:r>
      <w:r>
        <w:t>. Son importantes los programas d</w:t>
      </w:r>
      <w:r>
        <w:t>e</w:t>
      </w:r>
      <w:r>
        <w:t>sarrollados en los últimos años para el tratamiento de las madres adictas. Desde 2000 el Centro para el Tratamiento de Adictos aplica un programa especial para m</w:t>
      </w:r>
      <w:r>
        <w:t>a</w:t>
      </w:r>
      <w:r>
        <w:t>dres adictas en Tesalónica, que ofrece a las mujeres en tratamiento la posibilidad de vivir en el seno de la comunidad junto con sus hijos. La unidad «18 ΑΝO» del Ho</w:t>
      </w:r>
      <w:r>
        <w:t>s</w:t>
      </w:r>
      <w:r>
        <w:t>pital Psiquiátrico de Ática aplica en Atenas un programa similar para mujeres adi</w:t>
      </w:r>
      <w:r>
        <w:t>c</w:t>
      </w:r>
      <w:r>
        <w:t>tas con servicios paralelos de guardería.</w:t>
      </w:r>
    </w:p>
    <w:p w:rsidR="00000000" w:rsidRDefault="00000000">
      <w:pPr>
        <w:pStyle w:val="SingleTxt"/>
      </w:pPr>
      <w:r>
        <w:tab/>
        <w:t>En el marco de los programas de sustitución de drogas aplicados en Grecia por la Organización contra las Drogas (ΟΚΑΝΑ), las mujeres adictas que estén embar</w:t>
      </w:r>
      <w:r>
        <w:t>a</w:t>
      </w:r>
      <w:r>
        <w:t>zadas de tres meses o más tienen prioridad para participar en los programas de tr</w:t>
      </w:r>
      <w:r>
        <w:t>a</w:t>
      </w:r>
      <w:r>
        <w:t>tamiento. También tienen prioridad las madres de niños no mayores de tres años de edad.</w:t>
      </w:r>
    </w:p>
    <w:p w:rsidR="00000000" w:rsidRDefault="00000000">
      <w:pPr>
        <w:pStyle w:val="SingleTxt"/>
      </w:pPr>
      <w:r>
        <w:tab/>
        <w:t xml:space="preserve">En 1995 empezó a funcionar en Atenas un programa especial para mujeres adictas. Se trata del primer programa de ese tipo en Grecia. Los resultados positivos obtenidos hicieron necesario aumentar su personal de 10 a 16 puestos. Su finalidad es atraer e integrar a mujeres adictas en un programa de tratamiento, en particular a mujeres jóvenes.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Grupos vulnerables de la población y grupos en situaciones de emergencia</w:t>
      </w:r>
    </w:p>
    <w:p w:rsidR="00000000" w:rsidRDefault="00000000">
      <w:pPr>
        <w:pStyle w:val="SingleTxt"/>
        <w:spacing w:after="0" w:line="120" w:lineRule="exact"/>
        <w:rPr>
          <w:sz w:val="10"/>
        </w:rPr>
      </w:pPr>
    </w:p>
    <w:p w:rsidR="00000000" w:rsidRDefault="00000000">
      <w:pPr>
        <w:pStyle w:val="SingleTxt"/>
      </w:pPr>
      <w:r>
        <w:tab/>
        <w:t>Programa de tratamiento “ΕΝ DRASI”. Se trata del primer programa contra la adicción aplicado en el contexto del sistema correccional griego; sus componentes centrales son la comunidad terapéutica del mismo nombre en la Prisión de Koryd</w:t>
      </w:r>
      <w:r>
        <w:t>a</w:t>
      </w:r>
      <w:r>
        <w:t>llos y el centro de acogida para excarcelados ubicado en el distrito central de At</w:t>
      </w:r>
      <w:r>
        <w:t>e</w:t>
      </w:r>
      <w:r>
        <w:t xml:space="preserve">nas. Comprende además la aplicación de programas de asistencia en varias prisiones de Ática.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Cuidado de los hijos (de madres drogadictas)</w:t>
      </w:r>
    </w:p>
    <w:p w:rsidR="00000000" w:rsidRDefault="00000000">
      <w:pPr>
        <w:pStyle w:val="SingleTxt"/>
        <w:keepNext/>
        <w:keepLines/>
        <w:spacing w:after="0" w:line="120" w:lineRule="exact"/>
        <w:rPr>
          <w:sz w:val="10"/>
        </w:rPr>
      </w:pPr>
    </w:p>
    <w:p w:rsidR="00000000" w:rsidRDefault="00000000">
      <w:pPr>
        <w:pStyle w:val="SingleTxt"/>
        <w:keepNext/>
        <w:keepLines/>
      </w:pPr>
      <w:r>
        <w:rPr>
          <w:i/>
        </w:rPr>
        <w:tab/>
        <w:t>Programa de tratamiento ITACA del Centro para el Tratamiento de Adictos.</w:t>
      </w:r>
      <w:r>
        <w:t xml:space="preserve"> Cuando los hijos no están con sus madres, el programa ITACA proporciona instal</w:t>
      </w:r>
      <w:r>
        <w:t>a</w:t>
      </w:r>
      <w:r>
        <w:t>ciones especialmente preparadas para el cuidado de los niños y actividades creat</w:t>
      </w:r>
      <w:r>
        <w:t>i</w:t>
      </w:r>
      <w:r>
        <w:t>vas, bajo la supervisión de una enfermera pediátrica especializada y un psicólogo i</w:t>
      </w:r>
      <w:r>
        <w:t>n</w:t>
      </w:r>
      <w:r>
        <w:t xml:space="preserve">fantil y con zonas de juegos al aire libre.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Medidas de apoyo a la familia</w:t>
      </w:r>
    </w:p>
    <w:p w:rsidR="00000000" w:rsidRDefault="00000000">
      <w:pPr>
        <w:pStyle w:val="SingleTxt"/>
        <w:spacing w:after="0" w:line="120" w:lineRule="exact"/>
        <w:rPr>
          <w:sz w:val="10"/>
        </w:rPr>
      </w:pPr>
    </w:p>
    <w:p w:rsidR="00000000" w:rsidRDefault="00000000">
      <w:pPr>
        <w:pStyle w:val="SingleTxt"/>
      </w:pPr>
      <w:r>
        <w:rPr>
          <w:i/>
        </w:rPr>
        <w:tab/>
        <w:t>Centros de apoyo a la familia</w:t>
      </w:r>
      <w:r>
        <w:t>: Cooperación del Centro de Tratamiento de Adictos con las familias de las personas en tratamiento.</w:t>
      </w:r>
    </w:p>
    <w:p w:rsidR="00000000" w:rsidRDefault="00000000">
      <w:pPr>
        <w:pStyle w:val="SingleTxt"/>
      </w:pPr>
      <w:bookmarkStart w:id="25" w:name="kentrakoinonikis"/>
      <w:r>
        <w:tab/>
        <w:t>La participación de la familia influye positivamente en los resultados de todo tratamiento contra la adicción. Todos los programas de tratamiento del Centro de Tratamiento de Adictos comprenden programas paralelos de apoyo a la familia dir</w:t>
      </w:r>
      <w:r>
        <w:t>i</w:t>
      </w:r>
      <w:r>
        <w:t>gidos a las personas del entorno familiar inmediato del adicto (padres, hermanos, hijos, compañeros-cónyuges), que tienen aproximadamente la misma duración que los programas de tratamiento correspondientes</w:t>
      </w:r>
      <w:bookmarkEnd w:id="25"/>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 xml:space="preserve">Enfermedades de transmisión sexual/SIDA. Tratamiento de enfermedades infecciosas en adictos </w:t>
      </w:r>
    </w:p>
    <w:p w:rsidR="00000000" w:rsidRDefault="00000000">
      <w:pPr>
        <w:pStyle w:val="SingleTxt"/>
        <w:spacing w:after="0" w:line="120" w:lineRule="exact"/>
        <w:rPr>
          <w:sz w:val="10"/>
        </w:rPr>
      </w:pPr>
    </w:p>
    <w:p w:rsidR="00000000" w:rsidRDefault="00000000">
      <w:pPr>
        <w:pStyle w:val="SingleTxt"/>
      </w:pPr>
      <w:r>
        <w:tab/>
        <w:t>En 1996 se estableció en Atenas (Exarcheia) un programa centrado en grupos de adictos que viven en la calle, sin acceso a fuentes de apoyo social y asistencia. Durante las campañas regulares que se realizan por las mañanas y por las tardes en determinadas plazas, el personal del programa establece contacto con drogadictos y: 1) les proporciona apoyo psicológico; 2) los informa de los peligros que entraña el consumo de sustancias narcóticas y los asesora sobre el consumo de sustancias y la conducta sexual. También proporciona preservativos a prostitutas drogadictas con el fin de evitar la transmisión de enfermedades contagiosas (hepatitis, SIDA, etc.); 3) organiza exámenes diagnósticos para consumidores de drogas en los centros de atención de salud; y 4) organiza reuniones de grupos de usuarios con médicos en el marco de seminarios sobre cuestiones de salud. También se distribuyen en Atenas a consumidores de narcóticos materiales impresos (“Guía de supervivencia”) con in</w:t>
      </w:r>
      <w:r>
        <w:t>s</w:t>
      </w:r>
      <w:r>
        <w:t>trucciones de uso seguro y primeros auxilios y direcciones útiles para casos de emergencia.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ΙX.</w:t>
      </w:r>
      <w:r>
        <w:tab/>
        <w:t>Salud mental</w:t>
      </w:r>
    </w:p>
    <w:p w:rsidR="00000000" w:rsidRDefault="00000000">
      <w:pPr>
        <w:pStyle w:val="SingleTxt"/>
        <w:spacing w:after="0" w:line="120" w:lineRule="exact"/>
        <w:rPr>
          <w:sz w:val="10"/>
        </w:rPr>
      </w:pPr>
    </w:p>
    <w:p w:rsidR="00000000" w:rsidRDefault="00000000">
      <w:pPr>
        <w:pStyle w:val="SingleTxt"/>
        <w:numPr>
          <w:ilvl w:val="0"/>
          <w:numId w:val="320"/>
        </w:numPr>
      </w:pPr>
      <w:r>
        <w:t>Las medidas adoptadas en el período 2000-2004, supervisadas por la Dirección correspondiente del Ministerio de Sanidad y Bienestar Social (unidades de salud mental para personas que sufren perturbaciones mentales, en particular refugiados, romaníes, personas seniles, autistas, personas con discapacidad intelectual o pertu</w:t>
      </w:r>
      <w:r>
        <w:t>r</w:t>
      </w:r>
      <w:r>
        <w:t>baciones mentales secundarias, y casos psicogeriátricos), no se dirigen exclusiv</w:t>
      </w:r>
      <w:r>
        <w:t>a</w:t>
      </w:r>
      <w:r>
        <w:t>mente a mujeres, sino a pacientes de ambos sexos.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«Psychargos»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20"/>
        </w:numPr>
      </w:pPr>
      <w:r>
        <w:t>En 1983 se introdujo una política de salud mental, que desde 1997 se aplica a través de un plan decenal (Psychargos) que se revisa cada cinco años. Durante la primera fase del programa Psychargos (2000-2001), se establecieron 55 hostales e internados para la desinstitucionalización de los pacientes mentales (durante ese p</w:t>
      </w:r>
      <w:r>
        <w:t>e</w:t>
      </w:r>
      <w:r>
        <w:t>ríodo salieron 600 pacientes crónicos de 8 hospitales psiquiátricos). En la segunda fase, que abarca el período 2002-2006, se promovieron los siguientes objetivos: a) continuación del proceso de desinstitucionalización y desestigmatización; b) sect</w:t>
      </w:r>
      <w:r>
        <w:t>o</w:t>
      </w:r>
      <w:r>
        <w:t>rización de los servicios psiquiátricos en todo el país; y c) establecimiento de g</w:t>
      </w:r>
      <w:r>
        <w:t>a</w:t>
      </w:r>
      <w:r>
        <w:t>rantías y procedimientos detallados para proteger los derechos de los pacientes. Esa política entraña el cierre de cuatro hospitales psiquiátricos para comienzos de 2006 y su sustitución por estructuras comunitarias, así como la reducción en un 40-50% del número de camas en otros cuatro hospitales psiquiátricos, con el objetivo de claus</w:t>
      </w:r>
      <w:r>
        <w:t>u</w:t>
      </w:r>
      <w:r>
        <w:t xml:space="preserve">rar también esos hospitales en 2015 a más tardar. </w:t>
      </w:r>
    </w:p>
    <w:p w:rsidR="00000000" w:rsidRDefault="00000000">
      <w:pPr>
        <w:pStyle w:val="SingleTxt"/>
        <w:numPr>
          <w:ilvl w:val="0"/>
          <w:numId w:val="320"/>
        </w:numPr>
      </w:pPr>
      <w:r>
        <w:t>El intento de reforma del sistema de salud mental, y en particular de desinst</w:t>
      </w:r>
      <w:r>
        <w:t>i</w:t>
      </w:r>
      <w:r>
        <w:t>tucionalización de pacientes crónicos, se acompaña de medidas tendentes a eliminar el estigma que conllevan las discapacidades mentales. Entre esas medidas, adopt</w:t>
      </w:r>
      <w:r>
        <w:t>a</w:t>
      </w:r>
      <w:r>
        <w:t>das en particular a partir de 2001, que la Organización Mundial de la Salud (OMS) d</w:t>
      </w:r>
      <w:r>
        <w:t>e</w:t>
      </w:r>
      <w:r>
        <w:t>claró “Año de la salud mental”, destacan las siguientes:</w:t>
      </w:r>
    </w:p>
    <w:p w:rsidR="00000000" w:rsidRDefault="00000000">
      <w:pPr>
        <w:pStyle w:val="SingleTxt"/>
        <w:tabs>
          <w:tab w:val="right" w:pos="1685"/>
        </w:tabs>
        <w:ind w:left="1742" w:hanging="475"/>
      </w:pPr>
      <w:r>
        <w:tab/>
        <w:t>•</w:t>
      </w:r>
      <w:r>
        <w:tab/>
        <w:t>Declaración sobre la Salud Mental (abril de 2001), firmada por el Presidente de la República Helénica y que se refiere a la desestigmatización.</w:t>
      </w:r>
    </w:p>
    <w:p w:rsidR="00000000" w:rsidRDefault="00000000">
      <w:pPr>
        <w:pStyle w:val="SingleTxt"/>
        <w:tabs>
          <w:tab w:val="right" w:pos="1685"/>
        </w:tabs>
        <w:ind w:left="1742" w:hanging="475"/>
      </w:pPr>
      <w:r>
        <w:tab/>
        <w:t>•</w:t>
      </w:r>
      <w:r>
        <w:tab/>
        <w:t>Declaración de Atenas (junio de 2001) sobre salud mental y desastres antrop</w:t>
      </w:r>
      <w:r>
        <w:t>o</w:t>
      </w:r>
      <w:r>
        <w:t>génicos, estigmatización, y atención psiquiátrica comunitaria. Esta declaración se firmó durante el primer período de sesiones de la OMS para los países de Europa meridional y sudoriental y fue aprobada en el 51º período de sesiones regional de la OMS/Europa (septiembre de 2001) y en la 55ª Asamblea Inte</w:t>
      </w:r>
      <w:r>
        <w:t>r</w:t>
      </w:r>
      <w:r>
        <w:t>nacional de la Salud de la OMS (mayo de 2002).</w:t>
      </w:r>
    </w:p>
    <w:p w:rsidR="00000000" w:rsidRDefault="00000000">
      <w:pPr>
        <w:pStyle w:val="SingleTxt"/>
        <w:tabs>
          <w:tab w:val="right" w:pos="1685"/>
        </w:tabs>
        <w:ind w:left="1742" w:hanging="475"/>
      </w:pPr>
      <w:r>
        <w:tab/>
        <w:t>•</w:t>
      </w:r>
      <w:r>
        <w:tab/>
        <w:t>Adopción, en la conferencia anual de la Asociación Central de Municipios y Comunas de Grecia (diciembre de 2002), de una resolución sobre la lucha contra la estigmatización y el establecimiento de servicios comunitarios de salud mental.</w:t>
      </w:r>
    </w:p>
    <w:p w:rsidR="00000000" w:rsidRDefault="00000000">
      <w:pPr>
        <w:pStyle w:val="SingleTxt"/>
        <w:tabs>
          <w:tab w:val="right" w:pos="1685"/>
        </w:tabs>
        <w:ind w:left="1742" w:hanging="475"/>
      </w:pPr>
      <w:r>
        <w:tab/>
        <w:t>•</w:t>
      </w:r>
      <w:r>
        <w:tab/>
        <w:t>Organización de varios actos relacionados con la salud mental y la moderniz</w:t>
      </w:r>
      <w:r>
        <w:t>a</w:t>
      </w:r>
      <w:r>
        <w:t>ción de los servicios de salud mental de manera que se basen menos en gra</w:t>
      </w:r>
      <w:r>
        <w:t>n</w:t>
      </w:r>
      <w:r>
        <w:t>des y anacrónicos hospitales psiquiátricos y más en servicios comunitarios de salud mental. Esos actos se han centrado en el problema de la eliminación de las actitudes sociales negativas.</w:t>
      </w:r>
    </w:p>
    <w:p w:rsidR="00000000" w:rsidRDefault="00000000">
      <w:pPr>
        <w:pStyle w:val="SingleTxt"/>
        <w:tabs>
          <w:tab w:val="right" w:pos="1685"/>
        </w:tabs>
        <w:ind w:left="1742" w:hanging="475"/>
      </w:pPr>
      <w:r>
        <w:tab/>
        <w:t>•</w:t>
      </w:r>
      <w:r>
        <w:tab/>
        <w:t>Publicación en griego del Informe sobre la salud en el mundo 2001 de la OMS, titulado “Salud mental: nuevas percepciones, nuevas esperanzas”, que se di</w:t>
      </w:r>
      <w:r>
        <w:t>s</w:t>
      </w:r>
      <w:r>
        <w:t>tribuyó a los servicios de atención de salud y de salud mental, a los medios de comunicación, a las autoridades municipales y de las prefecturas, a la adm</w:t>
      </w:r>
      <w:r>
        <w:t>i</w:t>
      </w:r>
      <w:r>
        <w:t>nistración central, y a otros muchos organismos, instituciones y entidades.</w:t>
      </w:r>
    </w:p>
    <w:p w:rsidR="00000000" w:rsidRDefault="00000000">
      <w:pPr>
        <w:pStyle w:val="SingleTxt"/>
        <w:tabs>
          <w:tab w:val="right" w:pos="1685"/>
        </w:tabs>
        <w:ind w:left="1742" w:hanging="475"/>
      </w:pPr>
      <w:r>
        <w:tab/>
        <w:t>•</w:t>
      </w:r>
      <w:r>
        <w:tab/>
        <w:t>Por último, del 27 al 29 de marzo de 2003, el Ministerio de Sanidad y Biene</w:t>
      </w:r>
      <w:r>
        <w:t>s</w:t>
      </w:r>
      <w:r>
        <w:t>tar Social, en el contexto de la presidencia griega de la UE, organizó una co</w:t>
      </w:r>
      <w:r>
        <w:t>n</w:t>
      </w:r>
      <w:r>
        <w:t xml:space="preserve">ferencia sobre </w:t>
      </w:r>
      <w:r>
        <w:rPr>
          <w:i/>
        </w:rPr>
        <w:t xml:space="preserve">“Discapacidad mental y estigmatización en Europa: Cómo abordar los desafíos de la integración social y la igualdad”. </w:t>
      </w:r>
      <w:r>
        <w:t>El proyecto de conclusiones de la Conferencia se ha remitido para su adopción al Consejo de los Ministerios de Empleo, Política Social, Sanidad y Protección de los Co</w:t>
      </w:r>
      <w:r>
        <w:t>n</w:t>
      </w:r>
      <w:r>
        <w:t>sumidores, tras su elaboración y aprobación por las secciones de salud de las representaciones permanentes ante la Unión Europea, en la esperanza de que pueda constituir una nueva aportación sustancial a la mejora del tratamiento médico y de la integración social de las personas con di</w:t>
      </w:r>
      <w:r>
        <w:t>s</w:t>
      </w:r>
      <w:r>
        <w:t>capacidad mental.</w:t>
      </w:r>
    </w:p>
    <w:p w:rsidR="00000000" w:rsidRDefault="00000000">
      <w:pPr>
        <w:pStyle w:val="SingleTxt"/>
        <w:numPr>
          <w:ilvl w:val="0"/>
          <w:numId w:val="320"/>
        </w:numPr>
      </w:pPr>
      <w:r>
        <w:t>En cuanto a la mejora del acceso a los servicios de salud mental en las zonas rurales, hay que señalar que muchas de esas zonas tienen relativamente fácil acceso a los centros urbanos más próximos en los que se dispone de servicios de salud mental. En las zonas montañosas e insulares funcionan ya cuatro (4) unidades m</w:t>
      </w:r>
      <w:r>
        <w:t>ó</w:t>
      </w:r>
      <w:r>
        <w:t>viles de salud mental y se planea establecer otras 17, para la prestación de los serv</w:t>
      </w:r>
      <w:r>
        <w:t>i</w:t>
      </w:r>
      <w:r>
        <w:t>cios necesarios durante las visitas que realicen periódicamente a cada lugar. Esas unidades, sumadas al establecimiento de departamentos psiquiátricos adicionales en los hospitales generales y centros de salud mental en el marco del programa “Ps</w:t>
      </w:r>
      <w:r>
        <w:t>y</w:t>
      </w:r>
      <w:r>
        <w:t>chargos”, mejorarán considerablemente la prestación de servicios de salud mental a las pobl</w:t>
      </w:r>
      <w:r>
        <w:t>a</w:t>
      </w:r>
      <w:r>
        <w:t xml:space="preserve">ciones destinatarias.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tab/>
        <w:t>X.</w:t>
      </w:r>
      <w:r>
        <w:tab/>
        <w:t xml:space="preserve"> Actividades de organizaciones no gubernamentales y del K.E.TH.I.</w:t>
      </w:r>
      <w:r>
        <w:rPr>
          <w:spacing w:val="3"/>
        </w:rPr>
        <w:t xml:space="preserve"> (Centro de Investigación para la Igualdad de Género)</w:t>
      </w:r>
    </w:p>
    <w:p w:rsidR="00000000" w:rsidRDefault="00000000">
      <w:pPr>
        <w:pStyle w:val="SingleTxt"/>
        <w:spacing w:after="0" w:line="120" w:lineRule="exact"/>
        <w:rPr>
          <w:sz w:val="10"/>
        </w:rPr>
      </w:pPr>
    </w:p>
    <w:p w:rsidR="00000000" w:rsidRDefault="00000000">
      <w:pPr>
        <w:pStyle w:val="SingleTxt"/>
        <w:numPr>
          <w:ilvl w:val="0"/>
          <w:numId w:val="320"/>
        </w:numPr>
      </w:pPr>
      <w:r>
        <w:t>En lo que respecta a la información sobre cuestiones de salud desempeñan un papel importante las organizaciones no gubernamentales. Más concretamente:</w:t>
      </w:r>
    </w:p>
    <w:p w:rsidR="00000000" w:rsidRDefault="00000000">
      <w:pPr>
        <w:pStyle w:val="SingleTxt"/>
        <w:tabs>
          <w:tab w:val="right" w:pos="1685"/>
        </w:tabs>
        <w:ind w:left="1742" w:hanging="475"/>
      </w:pPr>
      <w:r>
        <w:tab/>
        <w:t>•</w:t>
      </w:r>
      <w:r>
        <w:tab/>
        <w:t>Los grupos de la Asociación Internacional Soroptimista proporcionan tarjetas y folletos informativos sobre medicina preventiva, en combinación con pr</w:t>
      </w:r>
      <w:r>
        <w:t>o</w:t>
      </w:r>
      <w:r>
        <w:t>gramas de aplicación práctica;</w:t>
      </w:r>
    </w:p>
    <w:p w:rsidR="00000000" w:rsidRDefault="00000000">
      <w:pPr>
        <w:pStyle w:val="SingleTxt"/>
        <w:tabs>
          <w:tab w:val="right" w:pos="1685"/>
        </w:tabs>
        <w:ind w:left="1742" w:hanging="475"/>
      </w:pPr>
      <w:r>
        <w:tab/>
        <w:t>•</w:t>
      </w:r>
      <w:r>
        <w:tab/>
        <w:t xml:space="preserve">La Liga para los Derechos de la Mujer celebró el 28 de noviembre de 2002 un debate público sobre “Problemas demográficos – Planificación de la familia – Inseminación artificial”; publicó asimismo en la revista </w:t>
      </w:r>
      <w:r>
        <w:rPr>
          <w:i/>
        </w:rPr>
        <w:t>La lucha de las muj</w:t>
      </w:r>
      <w:r>
        <w:rPr>
          <w:i/>
        </w:rPr>
        <w:t>e</w:t>
      </w:r>
      <w:r>
        <w:rPr>
          <w:i/>
        </w:rPr>
        <w:t>res</w:t>
      </w:r>
      <w:r>
        <w:t xml:space="preserve"> un artículo sobre “La baja tasa de natalidad en el contexto del problema demográfico mu</w:t>
      </w:r>
      <w:r>
        <w:t>n</w:t>
      </w:r>
      <w:r>
        <w:t>dial”.</w:t>
      </w:r>
    </w:p>
    <w:p w:rsidR="00000000" w:rsidRDefault="00000000">
      <w:pPr>
        <w:pStyle w:val="SingleTxt"/>
        <w:tabs>
          <w:tab w:val="right" w:pos="1685"/>
        </w:tabs>
        <w:ind w:left="1742" w:hanging="475"/>
      </w:pPr>
      <w:r>
        <w:tab/>
        <w:t>•</w:t>
      </w:r>
      <w:r>
        <w:tab/>
        <w:t>La Asociación Griega contra el Cáncer, que es la mayor organización soci</w:t>
      </w:r>
      <w:r>
        <w:t>o</w:t>
      </w:r>
      <w:r>
        <w:t>médica de Grecia, con 34 secciones en todo el país, realiza actividades de: 1) información a la población; 2) información a los funcionarios encargados de los servicios de salud; 3) diagnóstico temprano; 4) apoyo sociopsicológico a los pacientes y sus familiares; y 5) rehabilitación y atención posterapéutica de los pacientes oncológicos. En los últimos tres años, la Asociación ha design</w:t>
      </w:r>
      <w:r>
        <w:t>a</w:t>
      </w:r>
      <w:r>
        <w:t>do octubre como “Mes de la prevención del cáncer de mama” para movilizar al respecto a la sociedad griega. También ha gestionado en los últimos tres años la Red de Atención Mamaria, que constituye un sistema innovador de inform</w:t>
      </w:r>
      <w:r>
        <w:t>a</w:t>
      </w:r>
      <w:r>
        <w:t>ción y apoyo integrados en cuestiones relacionadas con la salud mamaria y en particular el cáncer de mama. El eje principal de las actividades de la Red es un teléfono directo (al que se sumará en breve un servicio por Internet).</w:t>
      </w:r>
    </w:p>
    <w:p w:rsidR="00000000" w:rsidRDefault="00000000">
      <w:pPr>
        <w:pStyle w:val="SingleTxt"/>
        <w:tabs>
          <w:tab w:val="right" w:pos="1685"/>
        </w:tabs>
        <w:ind w:left="1742" w:hanging="475"/>
      </w:pPr>
      <w:r>
        <w:tab/>
        <w:t>•</w:t>
      </w:r>
      <w:r>
        <w:tab/>
        <w:t>La Sociedad Griega de Mastología estableció en marzo de 2002 el centro de apoyo sociopsicológico “Elli Lambeti” para mujeres con cáncer de mama y sus familias. El Centro proporciona servicios gratuitos a todas las mujeres con un diagnóstico reciente de cáncer de mama o en tratamiento médico por cáncer de mama, así como a las personas de su entorno familiar inmediato que se e</w:t>
      </w:r>
      <w:r>
        <w:t>n</w:t>
      </w:r>
      <w:r>
        <w:t>cuentran en contacto directo con las pacientes y se encargan en parte de su cuidado. Además, la Sociedad realiza actividades de información en Atenas y en el resto del país sobre “Protección contra el cáncer de mama, que amenaza la salud y la vida”, y ha editado también folletos con información médica s</w:t>
      </w:r>
      <w:r>
        <w:t>o</w:t>
      </w:r>
      <w:r>
        <w:t>bre cuestiones relacionadas con el cá</w:t>
      </w:r>
      <w:r>
        <w:t>n</w:t>
      </w:r>
      <w:r>
        <w:t xml:space="preserve">cer de mama. </w:t>
      </w:r>
    </w:p>
    <w:p w:rsidR="00000000" w:rsidRDefault="00000000">
      <w:pPr>
        <w:pStyle w:val="SingleTxt"/>
        <w:numPr>
          <w:ilvl w:val="0"/>
          <w:numId w:val="320"/>
        </w:numPr>
      </w:pPr>
      <w:r>
        <w:t>Una unidad móvil de la Sección de Heraklion/Creta del Centro de Investig</w:t>
      </w:r>
      <w:r>
        <w:t>a</w:t>
      </w:r>
      <w:r>
        <w:t>ción para la Igualdad de Género organizó el 10 de julio de 2002 un acto de inform</w:t>
      </w:r>
      <w:r>
        <w:t>a</w:t>
      </w:r>
      <w:r>
        <w:t>ción sobre cuestiones de planificación de la familia, métodos anticonceptivos, m</w:t>
      </w:r>
      <w:r>
        <w:t>e</w:t>
      </w:r>
      <w:r>
        <w:t>nopausia y osteoporosis. Los días 4 y 5 de enero de 2001 organizó un seminario para sensibilizar a niñas sobre los problemas de género en la adolescencia. En el período comprendido entre septiembre de 2000 y mayo de 2001, funcionó con carácter de prueba una unidad móvil de información sobre una amplia gama de cuestiones, c</w:t>
      </w:r>
      <w:r>
        <w:t>o</w:t>
      </w:r>
      <w:r>
        <w:t>mo las relacionadas con la salud de la mujer. Asimismo, en diciembre de 2001 el Centro de Investigación para la Igualdad de Género realizó un estudio sobre “Tr</w:t>
      </w:r>
      <w:r>
        <w:t>a</w:t>
      </w:r>
      <w:r>
        <w:t>tamiento de la enfermedad mental”.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Β.</w:t>
      </w:r>
      <w:r>
        <w:tab/>
        <w:t>Mujeres y bienestar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Lucha contra la pobreza y la exclusión social</w:t>
      </w:r>
    </w:p>
    <w:p w:rsidR="00000000" w:rsidRDefault="00000000">
      <w:pPr>
        <w:pStyle w:val="SingleTxt"/>
        <w:spacing w:after="0" w:line="120" w:lineRule="exact"/>
        <w:rPr>
          <w:sz w:val="10"/>
        </w:rPr>
      </w:pPr>
    </w:p>
    <w:p w:rsidR="00000000" w:rsidRDefault="00000000">
      <w:pPr>
        <w:pStyle w:val="SingleTxt"/>
        <w:numPr>
          <w:ilvl w:val="0"/>
          <w:numId w:val="320"/>
        </w:numPr>
      </w:pPr>
      <w:r>
        <w:t>La medida 3.1 del programa operacional “Salud – Bienestar social 2000-2006” del Tercer Marco Comunitario de Apoyo (2000-2006) tiene por objeto el desarrollo de la atención social primaria mediante la prestación de servicios a nivel local. La medida está directamente relacionada con el establecimiento de una Red de Serv</w:t>
      </w:r>
      <w:r>
        <w:t>i</w:t>
      </w:r>
      <w:r>
        <w:t xml:space="preserve">cios Sociales, y se aplicará en alrededor de 150 municipios del país. En el marco de la medida 3.1 se proporcionarán servicios de apoyo tendentes a combatir la pobreza y la exclusión social. Uno de los ejes principales de la Red de Servicios Sociales es la prestación de servicios de apoyo para combatir la exclusión directa o indirecta del mercado de trabajo.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Oficinas de servicios de asistencia social</w:t>
      </w:r>
    </w:p>
    <w:p w:rsidR="00000000" w:rsidRDefault="00000000">
      <w:pPr>
        <w:pStyle w:val="SingleTxt"/>
        <w:spacing w:after="0" w:line="120" w:lineRule="exact"/>
        <w:rPr>
          <w:sz w:val="10"/>
        </w:rPr>
      </w:pPr>
    </w:p>
    <w:p w:rsidR="00000000" w:rsidRDefault="00000000">
      <w:pPr>
        <w:pStyle w:val="SingleTxt"/>
        <w:numPr>
          <w:ilvl w:val="0"/>
          <w:numId w:val="320"/>
        </w:numPr>
      </w:pPr>
      <w:r>
        <w:t>Las Oficinas de Servicios Sociales de Apoyo atienden a todas las personas que sufran problemas acumulados de exclusión y no puedan acogerse a los servicios de asistencia social ni a los servicios de empleo y formación. Esas personas pertenecen fundamentalmente a las siguientes categorías: personas con discapacidad, personas que, por tener que cuidar a miembros de su familia, experimentan dificultades para entrar o permanecer en el mercado de trabajo, familias monoparentales, mujeres víctimas de malos tratos, emigrantes repatriados, inmigrantes, solicitantes de asilo, refugiados, romaníes, personas con particularidades lingüísticas y religiosas, ex pr</w:t>
      </w:r>
      <w:r>
        <w:t>e</w:t>
      </w:r>
      <w:r>
        <w:t>sos, ex drogadictos, personas sin hogar, desempleados y otras personas afectadas o amenazadas por la exclusión social y laboral. El personal profesional de las Oficinas de Servicios Sociales de Apoyo presta los siguientes servicios:</w:t>
      </w:r>
    </w:p>
    <w:p w:rsidR="00000000" w:rsidRDefault="00000000">
      <w:pPr>
        <w:pStyle w:val="SingleTxt"/>
        <w:tabs>
          <w:tab w:val="right" w:pos="1685"/>
        </w:tabs>
        <w:ind w:left="1742" w:hanging="475"/>
      </w:pPr>
      <w:r>
        <w:tab/>
        <w:t>–</w:t>
      </w:r>
      <w:r>
        <w:tab/>
        <w:t>Apoyo y consulta sociopsicológicos;</w:t>
      </w:r>
    </w:p>
    <w:p w:rsidR="00000000" w:rsidRDefault="00000000">
      <w:pPr>
        <w:pStyle w:val="SingleTxt"/>
        <w:tabs>
          <w:tab w:val="right" w:pos="1685"/>
        </w:tabs>
        <w:ind w:left="1742" w:hanging="475"/>
      </w:pPr>
      <w:r>
        <w:tab/>
        <w:t>–</w:t>
      </w:r>
      <w:r>
        <w:tab/>
        <w:t>Empoderamiento y activación de las partes interesadas;</w:t>
      </w:r>
    </w:p>
    <w:p w:rsidR="00000000" w:rsidRDefault="00000000">
      <w:pPr>
        <w:pStyle w:val="SingleTxt"/>
        <w:tabs>
          <w:tab w:val="right" w:pos="1685"/>
        </w:tabs>
        <w:ind w:left="1742" w:hanging="475"/>
      </w:pPr>
      <w:r>
        <w:tab/>
        <w:t>–</w:t>
      </w:r>
      <w:r>
        <w:tab/>
        <w:t xml:space="preserve">Sensibilización e información de empleadores y empresas; </w:t>
      </w:r>
    </w:p>
    <w:p w:rsidR="00000000" w:rsidRDefault="00000000">
      <w:pPr>
        <w:pStyle w:val="SingleTxt"/>
        <w:tabs>
          <w:tab w:val="right" w:pos="1685"/>
        </w:tabs>
        <w:ind w:left="1742" w:hanging="475"/>
      </w:pPr>
      <w:r>
        <w:tab/>
        <w:t>–</w:t>
      </w:r>
      <w:r>
        <w:tab/>
        <w:t>Apoyo y refuerzo de las familias de los afectados;</w:t>
      </w:r>
    </w:p>
    <w:p w:rsidR="00000000" w:rsidRDefault="00000000">
      <w:pPr>
        <w:pStyle w:val="SingleTxt"/>
        <w:tabs>
          <w:tab w:val="right" w:pos="1685"/>
        </w:tabs>
        <w:ind w:left="1742" w:hanging="475"/>
      </w:pPr>
      <w:r>
        <w:tab/>
        <w:t>–</w:t>
      </w:r>
      <w:r>
        <w:tab/>
        <w:t>Fomento de la cooperación con los órganos sociales de la comunidad l</w:t>
      </w:r>
      <w:r>
        <w:t>o</w:t>
      </w:r>
      <w:r>
        <w:t xml:space="preserve">cal; y </w:t>
      </w:r>
    </w:p>
    <w:p w:rsidR="00000000" w:rsidRDefault="00000000">
      <w:pPr>
        <w:pStyle w:val="SingleTxt"/>
        <w:tabs>
          <w:tab w:val="right" w:pos="1685"/>
        </w:tabs>
        <w:ind w:left="1742" w:hanging="475"/>
      </w:pPr>
      <w:r>
        <w:tab/>
        <w:t>–</w:t>
      </w:r>
      <w:r>
        <w:tab/>
        <w:t>Evaluación de la labor y los resultados en cuanto a la integración o reintegr</w:t>
      </w:r>
      <w:r>
        <w:t>a</w:t>
      </w:r>
      <w:r>
        <w:t>ción laboral y socioeconómica de los beneficiarios.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ΙII.</w:t>
      </w:r>
      <w:r>
        <w:tab/>
        <w:t>Centro nacional de asistencia social de emergencia</w:t>
      </w:r>
    </w:p>
    <w:p w:rsidR="00000000" w:rsidRDefault="00000000">
      <w:pPr>
        <w:pStyle w:val="SingleTxt"/>
        <w:spacing w:after="0" w:line="120" w:lineRule="exact"/>
        <w:rPr>
          <w:sz w:val="10"/>
        </w:rPr>
      </w:pPr>
    </w:p>
    <w:p w:rsidR="00000000" w:rsidRDefault="00000000">
      <w:pPr>
        <w:pStyle w:val="SingleTxt"/>
        <w:numPr>
          <w:ilvl w:val="0"/>
          <w:numId w:val="320"/>
        </w:numPr>
      </w:pPr>
      <w:r>
        <w:t>El Centro Nacional de Asistencia Social de Emergencia fue establecido como unidad descentralizada de la Organización Nacional de Asistencia Social (EOKF), en virtud del artículo 13 de la Ley 2646/98, y se convirtió posteriormente en una institución independiente de derecho público (Ley 3106/2003), con sede en Atenas y bajo la supervisión y el control del Ministerio de Sanidad y Bienestar Social. El Centro Nacional de Asistencia Social de Emergencia atiende a personas que neces</w:t>
      </w:r>
      <w:r>
        <w:t>i</w:t>
      </w:r>
      <w:r>
        <w:t>tan asistencia y apoyo social con carácter inmediato, y, más concretamente, a adu</w:t>
      </w:r>
      <w:r>
        <w:t>l</w:t>
      </w:r>
      <w:r>
        <w:t>tos en situaciones de crisis, niños y jóvenes privados del cuidado de su familia, ví</w:t>
      </w:r>
      <w:r>
        <w:t>c</w:t>
      </w:r>
      <w:r>
        <w:t>timas de la violencia o del abandono, mujeres maltratadas o personas de edad que viven solas. Más concretamente, presta los siguientes servicios:</w:t>
      </w:r>
    </w:p>
    <w:p w:rsidR="00000000" w:rsidRDefault="00000000">
      <w:pPr>
        <w:pStyle w:val="SingleTxt"/>
      </w:pPr>
      <w:r>
        <w:tab/>
        <w:t>a)</w:t>
      </w:r>
      <w:r>
        <w:tab/>
        <w:t>Intervenciones sociales de emergencia;</w:t>
      </w:r>
    </w:p>
    <w:p w:rsidR="00000000" w:rsidRDefault="00000000">
      <w:pPr>
        <w:pStyle w:val="SingleTxt"/>
      </w:pPr>
      <w:r>
        <w:tab/>
        <w:t>b)</w:t>
      </w:r>
      <w:r>
        <w:tab/>
        <w:t>Suministro temporal de alojamiento, comida y ropa;</w:t>
      </w:r>
    </w:p>
    <w:p w:rsidR="00000000" w:rsidRDefault="00000000">
      <w:pPr>
        <w:pStyle w:val="SingleTxt"/>
      </w:pPr>
      <w:r>
        <w:tab/>
        <w:t>c)</w:t>
      </w:r>
      <w:r>
        <w:tab/>
        <w:t>Información sobre cuestiones de bienestar social;</w:t>
      </w:r>
    </w:p>
    <w:p w:rsidR="00000000" w:rsidRDefault="00000000">
      <w:pPr>
        <w:pStyle w:val="SingleTxt"/>
      </w:pPr>
      <w:r>
        <w:tab/>
        <w:t>d)</w:t>
      </w:r>
      <w:r>
        <w:tab/>
        <w:t>Consultas a nivel individual, de grupo o comunitario;</w:t>
      </w:r>
    </w:p>
    <w:p w:rsidR="00000000" w:rsidRDefault="00000000">
      <w:pPr>
        <w:pStyle w:val="SingleTxt"/>
      </w:pPr>
      <w:r>
        <w:tab/>
        <w:t>e)</w:t>
      </w:r>
      <w:r>
        <w:tab/>
        <w:t>Coordinación y aplicación de programas de solidaridad social y volunt</w:t>
      </w:r>
      <w:r>
        <w:t>a</w:t>
      </w:r>
      <w:r>
        <w:t>riado para hacer frente a situaciones de emergencia; y</w:t>
      </w:r>
    </w:p>
    <w:p w:rsidR="00000000" w:rsidRDefault="00000000">
      <w:pPr>
        <w:pStyle w:val="SingleTxt"/>
        <w:suppressAutoHyphens/>
      </w:pPr>
      <w:r>
        <w:tab/>
        <w:t>f)</w:t>
      </w:r>
      <w:r>
        <w:tab/>
        <w:t>Asistencia psicológica a corto plazo a personas, familias y grupos de pobl</w:t>
      </w:r>
      <w:r>
        <w:t>a</w:t>
      </w:r>
      <w:r>
        <w:t>ción.</w:t>
      </w:r>
    </w:p>
    <w:p w:rsidR="00000000" w:rsidRDefault="00000000">
      <w:pPr>
        <w:pStyle w:val="SingleTxt"/>
        <w:numPr>
          <w:ilvl w:val="0"/>
          <w:numId w:val="320"/>
        </w:numPr>
      </w:pPr>
      <w:r>
        <w:t>El Centro Nacional de Asistencia Social de Emergencia está integrado por los s</w:t>
      </w:r>
      <w:r>
        <w:t>i</w:t>
      </w:r>
      <w:r>
        <w:t>guientes componentes:</w:t>
      </w:r>
    </w:p>
    <w:p w:rsidR="00000000" w:rsidRDefault="00000000">
      <w:pPr>
        <w:pStyle w:val="SingleTxt"/>
        <w:tabs>
          <w:tab w:val="right" w:pos="1685"/>
        </w:tabs>
        <w:ind w:left="1742" w:hanging="475"/>
      </w:pPr>
      <w:r>
        <w:tab/>
        <w:t>–</w:t>
      </w:r>
      <w:r>
        <w:tab/>
        <w:t>Un Centro de Coordinación</w:t>
      </w:r>
    </w:p>
    <w:p w:rsidR="00000000" w:rsidRDefault="00000000">
      <w:pPr>
        <w:pStyle w:val="SingleTxt"/>
        <w:tabs>
          <w:tab w:val="right" w:pos="1685"/>
        </w:tabs>
        <w:ind w:left="1742" w:hanging="475"/>
      </w:pPr>
      <w:r>
        <w:tab/>
        <w:t>–</w:t>
      </w:r>
      <w:r>
        <w:tab/>
        <w:t>Unidades regionales que proporcionan los servicios de asistencia social en c</w:t>
      </w:r>
      <w:r>
        <w:t>a</w:t>
      </w:r>
      <w:r>
        <w:t>sos de necesidad, y que pueden ser:</w:t>
      </w:r>
    </w:p>
    <w:p w:rsidR="00000000" w:rsidRDefault="00000000">
      <w:pPr>
        <w:pStyle w:val="SingleTxt"/>
      </w:pPr>
      <w:r>
        <w:tab/>
        <w:t>a)</w:t>
      </w:r>
      <w:r>
        <w:tab/>
        <w:t>Centros de apoyo social que ofrecen servicios de consulta y apoyo ps</w:t>
      </w:r>
      <w:r>
        <w:t>i</w:t>
      </w:r>
      <w:r>
        <w:t>cológico a las personas que acuden a ellos;</w:t>
      </w:r>
    </w:p>
    <w:p w:rsidR="00000000" w:rsidRDefault="00000000">
      <w:pPr>
        <w:pStyle w:val="SingleTxt"/>
      </w:pPr>
      <w:r>
        <w:tab/>
        <w:t>b)</w:t>
      </w:r>
      <w:r>
        <w:tab/>
        <w:t>Albergues para alojar a corto plazo (por unas horas) a personas que lo necesitan u</w:t>
      </w:r>
      <w:r>
        <w:t>r</w:t>
      </w:r>
      <w:r>
        <w:t>gentemente, antes de remitirlos a los servicios de asistencia social.</w:t>
      </w:r>
    </w:p>
    <w:p w:rsidR="00000000" w:rsidRDefault="00000000">
      <w:pPr>
        <w:pStyle w:val="SingleTxt"/>
      </w:pPr>
      <w:r>
        <w:tab/>
        <w:t>c)</w:t>
      </w:r>
      <w:r>
        <w:tab/>
        <w:t>Albergues para alojar a mediano y largo plazo a personas pertenecientes a grupos vulnerables de la población (mujeres, madres, adolescentes, personas con discapacidad) y en situación de emergencia (violencia, abandono, explotación, c</w:t>
      </w:r>
      <w:r>
        <w:t>a</w:t>
      </w:r>
      <w:r>
        <w:t xml:space="preserve">rencia de alojamiento o comida). </w:t>
      </w:r>
    </w:p>
    <w:p w:rsidR="00000000" w:rsidRDefault="00000000">
      <w:pPr>
        <w:pStyle w:val="SingleTxt"/>
        <w:numPr>
          <w:ilvl w:val="0"/>
          <w:numId w:val="320"/>
        </w:numPr>
      </w:pPr>
      <w:r>
        <w:t>Para dar a conocer los servicios que presta el Centro Nacional de Asistencia Social de Emergencia se puso en marcha un programa de publicidad a través de los medios de comunicación y de materiales impresos, y se ha autorizado, en el co</w:t>
      </w:r>
      <w:r>
        <w:t>n</w:t>
      </w:r>
      <w:r>
        <w:t>texto del programa operacional “Sociedad de la información”, un proyecto tendente a definir la demanda y registrar y supervisar la gestión de los casos tratados.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 xml:space="preserve">Voluntariado – Organizaciones no gubernamentales y asistencia social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20"/>
        </w:numPr>
        <w:spacing w:line="250" w:lineRule="exact"/>
      </w:pPr>
      <w:r>
        <w:t>El Ministerio de Sanidad y Bienestar Social, atendiendo a la importancia del papel que pueden desempeñar las organizaciones voluntarias, no gubernamentales y sin fines de lucro en la esfera de la asistencia social y la atención de salud, y con el fin de facilitar la cooperación entre esas organizaciones y el sector público, establ</w:t>
      </w:r>
      <w:r>
        <w:t>e</w:t>
      </w:r>
      <w:r>
        <w:t>ció en noviembre de 2000 el Departamento de Voluntariado y Acreditación de Org</w:t>
      </w:r>
      <w:r>
        <w:t>a</w:t>
      </w:r>
      <w:r>
        <w:t>nizaciones, que depende de la Dirección de Bienestar Social y Solidaridad. El D</w:t>
      </w:r>
      <w:r>
        <w:t>e</w:t>
      </w:r>
      <w:r>
        <w:t>partamento tiene, entre otras, las competencias siguientes:</w:t>
      </w:r>
    </w:p>
    <w:p w:rsidR="00000000" w:rsidRDefault="00000000">
      <w:pPr>
        <w:pStyle w:val="SingleTxt"/>
        <w:tabs>
          <w:tab w:val="right" w:pos="1685"/>
        </w:tabs>
        <w:spacing w:line="250" w:lineRule="exact"/>
        <w:ind w:left="1742" w:hanging="475"/>
      </w:pPr>
      <w:r>
        <w:tab/>
        <w:t>–</w:t>
      </w:r>
      <w:r>
        <w:tab/>
        <w:t>Elaboración del marco jurídico pertinente;</w:t>
      </w:r>
    </w:p>
    <w:p w:rsidR="00000000" w:rsidRDefault="00000000">
      <w:pPr>
        <w:pStyle w:val="SingleTxt"/>
        <w:tabs>
          <w:tab w:val="right" w:pos="1685"/>
        </w:tabs>
        <w:spacing w:line="250" w:lineRule="exact"/>
        <w:ind w:left="1742" w:hanging="475"/>
      </w:pPr>
      <w:r>
        <w:tab/>
        <w:t>–</w:t>
      </w:r>
      <w:r>
        <w:tab/>
        <w:t>Mantenimiento de un registro nacional y por prefecturas de las organizaciones privadas de asistencia social sin fines de lucro, así como del Registro Especial de O</w:t>
      </w:r>
      <w:r>
        <w:t>r</w:t>
      </w:r>
      <w:r>
        <w:t xml:space="preserve">ganizaciones Voluntarias no Gubernamentales; </w:t>
      </w:r>
    </w:p>
    <w:p w:rsidR="00000000" w:rsidRDefault="00000000">
      <w:pPr>
        <w:pStyle w:val="SingleTxt"/>
        <w:tabs>
          <w:tab w:val="right" w:pos="1685"/>
        </w:tabs>
        <w:spacing w:line="250" w:lineRule="exact"/>
        <w:ind w:left="1742" w:hanging="475"/>
      </w:pPr>
      <w:r>
        <w:tab/>
        <w:t>–</w:t>
      </w:r>
      <w:r>
        <w:tab/>
        <w:t>Estudio y aplicación de medidas para el desarrollo y la promoción de los serv</w:t>
      </w:r>
      <w:r>
        <w:t>i</w:t>
      </w:r>
      <w:r>
        <w:t>cios de voluntariado en la esfera de la asistencia social; y</w:t>
      </w:r>
    </w:p>
    <w:p w:rsidR="00000000" w:rsidRDefault="00000000">
      <w:pPr>
        <w:pStyle w:val="SingleTxt"/>
        <w:tabs>
          <w:tab w:val="right" w:pos="1685"/>
        </w:tabs>
        <w:spacing w:line="250" w:lineRule="exact"/>
        <w:ind w:left="1742" w:hanging="475"/>
      </w:pPr>
      <w:r>
        <w:tab/>
        <w:t>–</w:t>
      </w:r>
      <w:r>
        <w:tab/>
        <w:t>Definición de motivaciones morales y establecimiento de distinciones para las a</w:t>
      </w:r>
      <w:r>
        <w:t>c</w:t>
      </w:r>
      <w:r>
        <w:t>tividades de voluntariado.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Grupos vulnerables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Inmigrantes – refugiados</w:t>
      </w:r>
    </w:p>
    <w:p w:rsidR="00000000" w:rsidRDefault="00000000">
      <w:pPr>
        <w:pStyle w:val="SingleTxt"/>
        <w:spacing w:after="0" w:line="120" w:lineRule="exact"/>
        <w:rPr>
          <w:sz w:val="10"/>
        </w:rPr>
      </w:pPr>
    </w:p>
    <w:p w:rsidR="00000000" w:rsidRDefault="00000000">
      <w:pPr>
        <w:pStyle w:val="SingleTxt"/>
        <w:numPr>
          <w:ilvl w:val="0"/>
          <w:numId w:val="320"/>
        </w:numPr>
      </w:pPr>
      <w:r>
        <w:t>La política de Grecia en materia de inmigración, definida en la Ley 2910/01 y sus modificaciones, tiene por finalidad, por una parte, establecer las normas que han de regir la inmigración y residencia de extranjeros en territorio griego, y, por la otra, garantizar los derechos fundamentales de esas personas y facilitar su integr</w:t>
      </w:r>
      <w:r>
        <w:t>a</w:t>
      </w:r>
      <w:r>
        <w:t>ción en la sociedad griega. Por el Decreto Presidencial 188/1.8.2002 se estableció el Instituto de Política de Inmigración, encargado de facilitar la aplicación de la polít</w:t>
      </w:r>
      <w:r>
        <w:t>i</w:t>
      </w:r>
      <w:r>
        <w:t>ca sobre inmigración realizando investigaciones sobre las cuestiones pertinentes, i</w:t>
      </w:r>
      <w:r>
        <w:t>n</w:t>
      </w:r>
      <w:r>
        <w:t>cluidas las relacionadas con la integración social y cultural de los inmigrantes. Además, en virtud del Decreto Presidencial 295/19.9.2001 sobre el establecimiento de la Dirección de Extranjería e Inmigración del Ministerio del Interior, Administr</w:t>
      </w:r>
      <w:r>
        <w:t>a</w:t>
      </w:r>
      <w:r>
        <w:t>ción Pública y Descentralización, se creó un Departamento de Integración Social p</w:t>
      </w:r>
      <w:r>
        <w:t>a</w:t>
      </w:r>
      <w:r>
        <w:t>ra abordar esos problemas.</w:t>
      </w:r>
    </w:p>
    <w:p w:rsidR="00000000" w:rsidRDefault="00000000">
      <w:pPr>
        <w:pStyle w:val="SingleTxt"/>
        <w:numPr>
          <w:ilvl w:val="0"/>
          <w:numId w:val="320"/>
        </w:numPr>
      </w:pPr>
      <w:r>
        <w:t>La legislación griega reconoce a los nacionales extranjeros que residan lega</w:t>
      </w:r>
      <w:r>
        <w:t>l</w:t>
      </w:r>
      <w:r>
        <w:t>mente en el país los mismos derechos de que disfrutan los nacionales griegos en materia de seguridad y protección social. Se garantiza el derecho a la reunificación familiar. Para matricular a los niños extranjeros en las escuelas públicas no se les exige residencia legal en el país. El personal de las instituciones médicas tiene la obligación de atender a los nacionales extranjeros hospitalizados de urgencia, así como a los menores, tengan o no residencia legal en Grecia.</w:t>
      </w:r>
    </w:p>
    <w:p w:rsidR="00000000" w:rsidRDefault="00000000">
      <w:pPr>
        <w:pStyle w:val="SingleTxt"/>
        <w:numPr>
          <w:ilvl w:val="0"/>
          <w:numId w:val="320"/>
        </w:numPr>
      </w:pPr>
      <w:r>
        <w:t>El Estado griego, consciente de las dificultades objetivas para el acceso de las poblaciones no estables a las estructuras del Sistema Nacional de Salud, realiza a</w:t>
      </w:r>
      <w:r>
        <w:t>c</w:t>
      </w:r>
      <w:r>
        <w:t>tuaciones complementarias. El Centro de Control de Infecciones Especiales se e</w:t>
      </w:r>
      <w:r>
        <w:t>n</w:t>
      </w:r>
      <w:r>
        <w:t>carga del registro, el control y la vigilancia epidemiológica de esas poblaciones (i</w:t>
      </w:r>
      <w:r>
        <w:t>n</w:t>
      </w:r>
      <w:r>
        <w:t>migrantes legales e ilegales, refugiados, etc.). También se aplica el “Programa en las calles” concebido para informar a los inmigrantes y proporcionarles atención méd</w:t>
      </w:r>
      <w:r>
        <w:t>i</w:t>
      </w:r>
      <w:r>
        <w:t xml:space="preserve">ca y asistencia sociopsicológica. </w:t>
      </w:r>
    </w:p>
    <w:p w:rsidR="00000000" w:rsidRDefault="00000000">
      <w:pPr>
        <w:pStyle w:val="SingleTxt"/>
        <w:numPr>
          <w:ilvl w:val="0"/>
          <w:numId w:val="320"/>
        </w:numPr>
      </w:pPr>
      <w:r>
        <w:t>En 2002 la Secretaría General para la Igualdad de Género y la Oficina en Gr</w:t>
      </w:r>
      <w:r>
        <w:t>e</w:t>
      </w:r>
      <w:r>
        <w:t>cia del Alto Comisionado de las Naciones Unidas para los Refugiados firmaron un memorando de cooperación en un esfuerzo común por promover los derechos de las mujeres y las niñas a las que se ha brindado asilo, que han solicitado asilo o a las que se ha reconocido la condición de refugiadas humanitarias de conformidad con el Convenio de Ginebra de 1951 y el Decreto Presidencial 61/1999. Un resultado de esa coordinación ha sido una circular de la Jefatura de Policía sobre las condiciones de detención de los solicitantes de asilo, en la que se hace referencia específic</w:t>
      </w:r>
      <w:r>
        <w:t>a</w:t>
      </w:r>
      <w:r>
        <w:t>mente al trato de las mujeres detenidas.</w:t>
      </w:r>
    </w:p>
    <w:p w:rsidR="00000000" w:rsidRDefault="00000000">
      <w:pPr>
        <w:pStyle w:val="SingleTxt"/>
        <w:numPr>
          <w:ilvl w:val="0"/>
          <w:numId w:val="320"/>
        </w:numPr>
        <w:spacing w:line="250" w:lineRule="exact"/>
      </w:pPr>
      <w:r>
        <w:t>El Ministerio de Sanidad y Bienestar Social y el Fondo Europeo para los R</w:t>
      </w:r>
      <w:r>
        <w:t>e</w:t>
      </w:r>
      <w:r>
        <w:t>fugiados financian el funcionamiento de estructuras para la recepción e integración de refugiados y solicitantes de asilo por parte de organizaciones no gubernamentales (Instituto Griego de Solidaridad y Cooperación, Cruz Roja Griega, Consejo Griego para los Refugiados, Médicos del Mundo, etc.). Se presta particular atención a los grupos vulnerables de población refugiada, y, más concretamente, a víctimas de la guerra y de la tortura, menores, familias monoparentales, personas con discapac</w:t>
      </w:r>
      <w:r>
        <w:t>i</w:t>
      </w:r>
      <w:r>
        <w:t>dad, y pe</w:t>
      </w:r>
      <w:r>
        <w:t>r</w:t>
      </w:r>
      <w:r>
        <w:t>sonas con problemas especiales de salud.</w:t>
      </w:r>
    </w:p>
    <w:p w:rsidR="00000000" w:rsidRDefault="00000000">
      <w:pPr>
        <w:pStyle w:val="SingleTxt"/>
        <w:numPr>
          <w:ilvl w:val="0"/>
          <w:numId w:val="320"/>
        </w:numPr>
        <w:spacing w:line="250" w:lineRule="exact"/>
      </w:pPr>
      <w:r>
        <w:t>El Ministerio de Sanidad y Bienestar Social financia, entre otras cosas, el fu</w:t>
      </w:r>
      <w:r>
        <w:t>n</w:t>
      </w:r>
      <w:r>
        <w:t>cionamiento en Anogeia/Creta de un centro para menores no acompañados de 15 a 18 años de edad solicitantes de asilo. En cooperación con el Consejo Griego para los Refugiados, viene aplicando desde 2002 en Pikermi/Ática el programa “PROMETEO”, dirigido a menores, personas especialmente vulnerables, y familias con hijos. Al mismo tiempo, participa en programas comunitarios (“Pyxida”, “Línea telefónica directa de información y apoyo a refugiados, etc.) para la rehabilitación y la integración de los refugiados por medio de ayudas tales como servicios de gua</w:t>
      </w:r>
      <w:r>
        <w:t>r</w:t>
      </w:r>
      <w:r>
        <w:t xml:space="preserve">dería, alojamiento y formación profesional. </w:t>
      </w:r>
    </w:p>
    <w:p w:rsidR="00000000" w:rsidRDefault="00000000">
      <w:pPr>
        <w:pStyle w:val="SingleTxt"/>
        <w:numPr>
          <w:ilvl w:val="0"/>
          <w:numId w:val="320"/>
        </w:numPr>
      </w:pPr>
      <w:r>
        <w:t>La Oficina del Alto Comisionado de las Naciones Unidas para los Refugiados (ACNUR) financia, entre otras entidades, el Consejo Griego para los Refugiados y el Instituto de Asistencia Social, con el fin de prestar servicios jurídicos, sociales y económicos especiales a los grupos vulnerables, entre los que se cuentan las mujeres cabezas de familia y las mujeres víctimas de torturas o violencia sexual, y la cre</w:t>
      </w:r>
      <w:r>
        <w:t>a</w:t>
      </w:r>
      <w:r>
        <w:t>ción de centros interculturales para mujeres refugiadas (con clases para párvulos y cursos de griego) en los que se promueven contactos entre esas mujeres y mujeres de la sociedad local.</w:t>
      </w:r>
    </w:p>
    <w:p w:rsidR="00000000" w:rsidRDefault="00000000">
      <w:pPr>
        <w:pStyle w:val="SingleTxt"/>
        <w:numPr>
          <w:ilvl w:val="0"/>
          <w:numId w:val="320"/>
        </w:numPr>
      </w:pPr>
      <w:r>
        <w:t>El ACNUR financia también los programas “NEFELI” y “EVA” del Instituto de Asistencia Social. “ΝΕFELI” es un programa de alojamiento organizado y supe</w:t>
      </w:r>
      <w:r>
        <w:t>r</w:t>
      </w:r>
      <w:r>
        <w:t>visado consistente en el alquiler de apartamentos de 2-3 habitaciones en los que se instalan personas de grupos vulnerables de refugiados, principalmente mujeres. Se sufragan los costos de alojamiento, comida y transporte y se proporcionan apoyo s</w:t>
      </w:r>
      <w:r>
        <w:t>o</w:t>
      </w:r>
      <w:r>
        <w:t xml:space="preserve">ciopsicológico y servicios de consulta y de información sobre cuestiones jurídicas, médicas, de salud, laborales, educativas, etc. Al mismo tiempo, los beneficiarios asisten a cursos de griego, y se atiende a su educación y rehabilitación ocupacional. </w:t>
      </w:r>
      <w:r>
        <w:rPr>
          <w:spacing w:val="6"/>
        </w:rPr>
        <w:t>“ΕVΑ” es un programa para la integración de mujeres refugiadas que tiene por ob</w:t>
      </w:r>
      <w:r>
        <w:t>jeto el empoderamiento de esas mujeres mediante el enriquecimiento de sus c</w:t>
      </w:r>
      <w:r>
        <w:t>o</w:t>
      </w:r>
      <w:r>
        <w:t>nocimientos y aptitudes, y su integración en el mercado de trabajo y en la comun</w:t>
      </w:r>
      <w:r>
        <w:t>i</w:t>
      </w:r>
      <w:r>
        <w:t>dad local. Se otorga especial importancia a la atención de salud a las mujeres, y se ofrecen servicios de consulta en relación con cuestiones ginecológicas, higiene, n</w:t>
      </w:r>
      <w:r>
        <w:t>u</w:t>
      </w:r>
      <w:r>
        <w:t>trición y métodos anticonceptivos. También se prestan servicios de vacunación y primeros auxilios a niños. Se realizan asimismo actividades de mejora de la form</w:t>
      </w:r>
      <w:r>
        <w:t>a</w:t>
      </w:r>
      <w:r>
        <w:t xml:space="preserve">ción profesional y de la empleabilidad. </w:t>
      </w:r>
    </w:p>
    <w:p w:rsidR="00000000" w:rsidRDefault="00000000">
      <w:pPr>
        <w:pStyle w:val="SingleTxt"/>
        <w:numPr>
          <w:ilvl w:val="0"/>
          <w:numId w:val="320"/>
        </w:numPr>
      </w:pPr>
      <w:r>
        <w:t>Médicos del Mundo dispone de albergues en el centro de Atenas en los que pueden pernoctar los solicitantes de asilo. El programa proporciona asimismo ate</w:t>
      </w:r>
      <w:r>
        <w:t>n</w:t>
      </w:r>
      <w:r>
        <w:t>ción médica en una policlínica abierta, y ofrece alojamiento más estable y trabajo a través de un servicio social, así como información jurídica y apoyo psicológico. Presta ayuda a refugiados y a otras personas necesitadas de toda la región utilizando unidades móviles, y organiza también actividades de ocupación creativa para hijos de inmigrantes.</w:t>
      </w:r>
    </w:p>
    <w:p w:rsidR="00000000" w:rsidRDefault="00000000">
      <w:pPr>
        <w:pStyle w:val="SingleTxt"/>
        <w:numPr>
          <w:ilvl w:val="0"/>
          <w:numId w:val="320"/>
        </w:numPr>
        <w:spacing w:line="250" w:lineRule="exact"/>
        <w:rPr>
          <w:color w:val="000000"/>
        </w:rPr>
      </w:pPr>
      <w:r>
        <w:t>Médicos sin Fronteras de Grecia ofrece programas de asistencia primaria de salud para inmigrantes, refugiados y emigrantes repatriados y trata de atender a sus necesidades sociales y jurídicas. La policlínica de que dispone en Atenas proporci</w:t>
      </w:r>
      <w:r>
        <w:t>o</w:t>
      </w:r>
      <w:r>
        <w:t>na atención médica y servicios de apoyo tendentes a mejorar la situación de inm</w:t>
      </w:r>
      <w:r>
        <w:t>i</w:t>
      </w:r>
      <w:r>
        <w:t>grantes y refugiados, a ayudarlos a desarrollar aptitudes sociales, y a impedir su e</w:t>
      </w:r>
      <w:r>
        <w:t>x</w:t>
      </w:r>
      <w:r>
        <w:t>clusión social. También cuenta con una oficina de acogida e información para inm</w:t>
      </w:r>
      <w:r>
        <w:t>i</w:t>
      </w:r>
      <w:r>
        <w:t>grantes y refugiados, donde se les presta asistencia sociopsicológica y jurídica bás</w:t>
      </w:r>
      <w:r>
        <w:t>i</w:t>
      </w:r>
      <w:r>
        <w:t>ca y se los remite a entidades especializadas que les puedan prestar ulterior apoyo jurídico, psicológico y ocupacional</w:t>
      </w:r>
      <w:r>
        <w:rPr>
          <w:color w:val="000000"/>
        </w:rPr>
        <w:t xml:space="preserve">. </w:t>
      </w:r>
    </w:p>
    <w:p w:rsidR="00000000" w:rsidRDefault="00000000">
      <w:pPr>
        <w:pStyle w:val="SingleTxt"/>
        <w:numPr>
          <w:ilvl w:val="0"/>
          <w:numId w:val="320"/>
        </w:numPr>
        <w:spacing w:line="250" w:lineRule="exact"/>
      </w:pPr>
      <w:r>
        <w:t>La Asociación de Mujeres Griegas organizó en 2001 un congreso sobre “La inm</w:t>
      </w:r>
      <w:r>
        <w:t>i</w:t>
      </w:r>
      <w:r>
        <w:t>gración y el problema demográfico”.</w:t>
      </w:r>
    </w:p>
    <w:p w:rsidR="00000000" w:rsidRDefault="00000000">
      <w:pPr>
        <w:pStyle w:val="SingleTxt"/>
        <w:numPr>
          <w:ilvl w:val="0"/>
          <w:numId w:val="320"/>
        </w:numPr>
        <w:spacing w:line="250" w:lineRule="exact"/>
      </w:pPr>
      <w:r>
        <w:t>En el contexto del programa europeo DAPHNE 2002, bajo el título de “MALIKA” y en colaboración con el Centro de Formación Profesional ERGON, se elaboró y publicó una “Guía de prácticas adecuadas” para personal que trabaja con refugiados, que constituía una adaptación a la situación griega de las “Instrucciones para solicitantes de asilo, desde el punto de vista de las cuestiones de género”, que se util</w:t>
      </w:r>
      <w:r>
        <w:t>i</w:t>
      </w:r>
      <w:r>
        <w:t>zaban ya en otros países.</w:t>
      </w:r>
    </w:p>
    <w:p w:rsidR="00000000" w:rsidRDefault="00000000">
      <w:pPr>
        <w:pStyle w:val="SingleTxt"/>
        <w:numPr>
          <w:ilvl w:val="0"/>
          <w:numId w:val="320"/>
        </w:numPr>
      </w:pPr>
      <w:r>
        <w:t>La sección griega de la Asociación Internacional Soroptimista organiza actos y bazares, cuyas ganancias se ofrecen a la Oficina en Grecia del ACNUR. También f</w:t>
      </w:r>
      <w:r>
        <w:t>i</w:t>
      </w:r>
      <w:r>
        <w:t>nancia cursos de griego y de inglés para niños extranjeros y ofrece cursos de info</w:t>
      </w:r>
      <w:r>
        <w:t>r</w:t>
      </w:r>
      <w:r>
        <w:t>mática y servicios médicos a mujeres inmigrantes y refugiadas, distribuye folletos de información médica y proporciona apoyo material y moral a las familias de ref</w:t>
      </w:r>
      <w:r>
        <w:t>u</w:t>
      </w:r>
      <w:r>
        <w:t>giados. Ha elaborado y distribuido un folleto de información sobre la situación jur</w:t>
      </w:r>
      <w:r>
        <w:t>í</w:t>
      </w:r>
      <w:r>
        <w:t>dica de los inmigrantes en Grecia.</w:t>
      </w:r>
    </w:p>
    <w:p w:rsidR="00000000" w:rsidRDefault="00000000">
      <w:pPr>
        <w:pStyle w:val="SingleTxt"/>
        <w:numPr>
          <w:ilvl w:val="0"/>
          <w:numId w:val="320"/>
        </w:numPr>
      </w:pPr>
      <w:r>
        <w:t>La Oficina en Grecia del ACNUR realiza diversas actividades en favor de mujeres refugiadas y solicitantes de asilo. Visita zonas fronterizas en las que se r</w:t>
      </w:r>
      <w:r>
        <w:t>e</w:t>
      </w:r>
      <w:r>
        <w:t>gistran llegadas masivas de inmigrantes y refugiados e imparte seminarios de cap</w:t>
      </w:r>
      <w:r>
        <w:t>a</w:t>
      </w:r>
      <w:r>
        <w:t>citación para autoridades locales respecto de la protección y atención especial de las mujeres solicitantes de asilo. Organiza seminarios en la Escuela Nacional de la J</w:t>
      </w:r>
      <w:r>
        <w:t>u</w:t>
      </w:r>
      <w:r>
        <w:t>dicatura y en la Escuela Nacional de Administración Pública, en los que se presta especial atención a las cuestiones que afectan a las mujeres refugiadas. La Academia de Policía ha incluido esos seminarios en su programa de estudios. Con el fin de i</w:t>
      </w:r>
      <w:r>
        <w:t>n</w:t>
      </w:r>
      <w:r>
        <w:t>formar y sensibilizar tanto a la opinión pública como a las autoridades sobre las cuestiones que afectan a las mujeres refugiadas, ha organizado conferencias de prensa, publicado folletos y una revista, organizado un concierto en la Sala de Co</w:t>
      </w:r>
      <w:r>
        <w:t>n</w:t>
      </w:r>
      <w:r>
        <w:t>ciertos de Atenas, e impartido seminarios para organizaciones no gubernamentales. Ha distribuido asimismo entre las autoridades competentes un manual sobre el pr</w:t>
      </w:r>
      <w:r>
        <w:t>o</w:t>
      </w:r>
      <w:r>
        <w:t>cedimiento para la concesión de la condición de refugiado, así como información sobre los países de origen de los refugiados y las razones por las que es necesario prestar protección especial a las mujeres. Ha distribuido asimismo entre organiz</w:t>
      </w:r>
      <w:r>
        <w:t>a</w:t>
      </w:r>
      <w:r>
        <w:t>ciones no gubernamentales y abogados un manual especial sobre “Violencia s</w:t>
      </w:r>
      <w:r>
        <w:t>e</w:t>
      </w:r>
      <w:r>
        <w:t>xual/violencia de género contra las mujeres refugiadas”. En 2004 realizó y publicó una encuesta sobre la situación de las mujeres y los niños en los centros de rece</w:t>
      </w:r>
      <w:r>
        <w:t>p</w:t>
      </w:r>
      <w:r>
        <w:t>ción de solicitantes de asilo en toda Grecia. Cada año remite al Ministerio de Orden Público el “Informe anual sobre la protección de los refugiados” de la Oficina en Atenas del ACNUR, con observaciones sobre el trato dado en Grecia a las mujeres refugiadas. Publica anualmente un volumen de jurisprudencia sobre cuestiones que afectan a los refugiados y a los solicitantes de asilo, incluidas las cuestiones relaci</w:t>
      </w:r>
      <w:r>
        <w:t>o</w:t>
      </w:r>
      <w:r>
        <w:t>nadas con la situación de la mujer. Ese volumen tiene por destinatarios a abogados y jueces y constituye un manual de referencia y evaluación para una protección más eficaz de los refugiados.</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Romaníes</w:t>
      </w:r>
    </w:p>
    <w:p w:rsidR="00000000" w:rsidRDefault="00000000">
      <w:pPr>
        <w:pStyle w:val="SingleTxt"/>
        <w:spacing w:after="0" w:line="120" w:lineRule="exact"/>
        <w:rPr>
          <w:sz w:val="10"/>
        </w:rPr>
      </w:pPr>
    </w:p>
    <w:p w:rsidR="00000000" w:rsidRDefault="00000000">
      <w:pPr>
        <w:pStyle w:val="SingleTxt"/>
        <w:numPr>
          <w:ilvl w:val="0"/>
          <w:numId w:val="320"/>
        </w:numPr>
        <w:spacing w:line="250" w:lineRule="exact"/>
      </w:pPr>
      <w:r>
        <w:t>En el marco del Plan Integrado para las Población Romaní Griega, del que es responsable el Comité Interministerial coordinado por el Ministerio del Interior, Administración Pública y Descentralización, se vienen aplicando desde 1997 med</w:t>
      </w:r>
      <w:r>
        <w:t>i</w:t>
      </w:r>
      <w:r>
        <w:t>das tendentes combatir la exclusión social de la población romaní. En la esfera de la vivienda se están ejecutando o se han concluido proyectos de construcción de v</w:t>
      </w:r>
      <w:r>
        <w:t>i</w:t>
      </w:r>
      <w:r>
        <w:t>viendas en los distritos de 53 organizaciones de autoridades locales en las que hay asentamientos en tiendas de población romaní. También se han otorgado a romaníes griegos préstamos para la construcción o mejora de viviendas. En la esfera de la educación y capacitación, se aplicaron programas educativos para niños romaníes en 30 zonas del país. En la esfera del empleo, se han aplicado programas de empleo, capacitación y servicios suplementarios y de apoyo. Los Ministerios de Civilización y del Interior, Administración Pública y Descentralización aplican programas cult</w:t>
      </w:r>
      <w:r>
        <w:t>u</w:t>
      </w:r>
      <w:r>
        <w:t>rales en todas las zonas en las que viven romaníes. La Secretaría General para el Deporte aplica programas de deportes en cooperación con las organizaciones de a</w:t>
      </w:r>
      <w:r>
        <w:t>u</w:t>
      </w:r>
      <w:r>
        <w:t>toridades locales</w:t>
      </w:r>
      <w:r>
        <w:rPr>
          <w:rStyle w:val="FootnoteReference"/>
        </w:rPr>
        <w:footnoteReference w:id="35"/>
      </w:r>
      <w:r>
        <w:t xml:space="preserve">.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Atención a las personas de edad y a las personas con discapacidad</w:t>
      </w:r>
    </w:p>
    <w:p w:rsidR="00000000" w:rsidRDefault="00000000">
      <w:pPr>
        <w:pStyle w:val="SingleTxt"/>
        <w:spacing w:after="0" w:line="120" w:lineRule="exact"/>
        <w:rPr>
          <w:sz w:val="10"/>
        </w:rPr>
      </w:pPr>
    </w:p>
    <w:p w:rsidR="00000000" w:rsidRDefault="00000000">
      <w:pPr>
        <w:pStyle w:val="SingleTxt"/>
        <w:numPr>
          <w:ilvl w:val="0"/>
          <w:numId w:val="320"/>
        </w:numPr>
      </w:pPr>
      <w:r>
        <w:t>En el marco del Tercer Marco Comunitario de Apoyo, se ha aprobado el fu</w:t>
      </w:r>
      <w:r>
        <w:t>n</w:t>
      </w:r>
      <w:r>
        <w:t>cionamiento de centros de día para las personas de edad y nuevas unidades de “ASISTENCIA A DOMICILIO”. El objetivo de esos programas es atender a pers</w:t>
      </w:r>
      <w:r>
        <w:t>o</w:t>
      </w:r>
      <w:r>
        <w:t>nas de edad y personas con discapacidad, con el fin de que las mujeres a cuyo cu</w:t>
      </w:r>
      <w:r>
        <w:t>i</w:t>
      </w:r>
      <w:r>
        <w:t>dado estaban esas personas tengan la oportunidad de incorporarse al mercado de trabajo. Los centros de día para las personas de edad son unidades que acogen d</w:t>
      </w:r>
      <w:r>
        <w:t>u</w:t>
      </w:r>
      <w:r>
        <w:t>rante el día a personas que no gozan de plena autonomía ni pueden valerse por sí mismas (por discapacidad motriz, senilidad u otras causas), cuyos familiares, por sus responsabilidades laborales o por problemas sociales, económicos o médicos graves, no pueden atenderlas debidamente. Para el establecimiento y funcion</w:t>
      </w:r>
      <w:r>
        <w:t>a</w:t>
      </w:r>
      <w:r>
        <w:t>miento de cada uno de esos centros se necesita una licencia. Los centros de día para las personas de edad están operacionalmente vinculadas a los centros abiertos de protección de las personas de edad que puedan funcionar en la misma zona. Coop</w:t>
      </w:r>
      <w:r>
        <w:t>e</w:t>
      </w:r>
      <w:r>
        <w:t>ran asimismo con organismos locales que proporcionan servicios sociales y aplican programas similares, así como con unidades de atención de salud.</w:t>
      </w:r>
    </w:p>
    <w:p w:rsidR="00000000" w:rsidRDefault="00000000">
      <w:pPr>
        <w:pStyle w:val="SingleTxt"/>
        <w:numPr>
          <w:ilvl w:val="0"/>
          <w:numId w:val="320"/>
        </w:numPr>
        <w:spacing w:line="250" w:lineRule="atLeast"/>
      </w:pPr>
      <w:r>
        <w:t>Las unidades de atención a las personas de edad son entidades privadas, con o sin fines de lucro, que ofrecen atención en régimen de internamiento. Su funcion</w:t>
      </w:r>
      <w:r>
        <w:t>a</w:t>
      </w:r>
      <w:r>
        <w:t>miento se rige por las disposiciones de la Ley 2345/95.</w:t>
      </w:r>
    </w:p>
    <w:p w:rsidR="00000000" w:rsidRDefault="00000000">
      <w:pPr>
        <w:pStyle w:val="SingleTxt"/>
        <w:numPr>
          <w:ilvl w:val="0"/>
          <w:numId w:val="320"/>
        </w:numPr>
        <w:spacing w:line="250" w:lineRule="atLeast"/>
      </w:pPr>
      <w:r>
        <w:t>Se aplican además los siguientes programas de protección de personas de edad: Programa de asistencia para la vivienda, Programa de pensiones para personas no aseguradas, “Teleasistencia a domicilio”, y programas de participación en ca</w:t>
      </w:r>
      <w:r>
        <w:t>m</w:t>
      </w:r>
      <w:r>
        <w:t xml:space="preserve">pamentos de verano y terapias balnearias medicinales.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50" w:lineRule="atLeast"/>
        <w:ind w:left="1267" w:right="1260" w:hanging="1267"/>
      </w:pPr>
      <w:r>
        <w:tab/>
        <w:t>VII.</w:t>
      </w:r>
      <w:r>
        <w:tab/>
        <w:t>Carta de asistencia social</w:t>
      </w:r>
    </w:p>
    <w:p w:rsidR="00000000" w:rsidRDefault="00000000">
      <w:pPr>
        <w:pStyle w:val="SingleTxt"/>
        <w:spacing w:after="0" w:line="250" w:lineRule="atLeast"/>
        <w:rPr>
          <w:sz w:val="10"/>
        </w:rPr>
      </w:pPr>
    </w:p>
    <w:p w:rsidR="00000000" w:rsidRDefault="00000000">
      <w:pPr>
        <w:pStyle w:val="SingleTxt"/>
        <w:numPr>
          <w:ilvl w:val="0"/>
          <w:numId w:val="320"/>
        </w:numPr>
        <w:spacing w:line="250" w:lineRule="atLeast"/>
      </w:pPr>
      <w:r>
        <w:t>El Ministerio de Salud y Bienestar Social ha elaborado una Carta de asistencia social en la que se registran y clasifican por primera vez, a nivel panhelénico, los servicios y estructuras de asistencia social que funcionan en cada municipalidad, prefectura y región. La Carta facilita ta</w:t>
      </w:r>
      <w:r>
        <w:t>m</w:t>
      </w:r>
      <w:r>
        <w:t>bién la evaluación de esos servicios.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rPr>
                <w:i/>
              </w:rPr>
              <w:tab/>
              <w:t>Artículo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a)</w:t>
            </w:r>
            <w:r>
              <w:rPr>
                <w:i/>
              </w:rPr>
              <w:tab/>
              <w:t>Participar en la elaboración y ejecución de los planes de desarrollo a todos los niveles;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c)</w:t>
            </w:r>
            <w:r>
              <w:rPr>
                <w:i/>
              </w:rPr>
              <w:tab/>
              <w:t>Beneficiarse directamente de los programas de seguridad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e)</w:t>
            </w:r>
            <w:r>
              <w:rPr>
                <w:i/>
              </w:rPr>
              <w:tab/>
              <w:t>Organizar grupos de autoayuda y cooperativas a fin de obtener igualdad de acceso a las oportunidad económicas mediante el empleo por cuenta propia o por cuenta ajena;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f)</w:t>
            </w:r>
            <w:r>
              <w:rPr>
                <w:i/>
              </w:rPr>
              <w:tab/>
              <w:t>Participar en todas las actividades comunitarias;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0" w:right="0"/>
            </w:pPr>
            <w:r>
              <w:rPr>
                <w:i/>
              </w:rPr>
              <w:tab/>
              <w:t>h)</w:t>
            </w:r>
            <w:r>
              <w:rPr>
                <w:i/>
              </w:rPr>
              <w:tab/>
              <w:t>Gozar de condiciones de vida adecuadas, particularmente en las esferas de la vivienda, los servicios sanitarios, la electricidad y el abastecimiento de agua, el transporte y las comunicaciones.</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2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2"/>
              </w:rPr>
            </w:pPr>
          </w:p>
        </w:tc>
        <w:tc>
          <w:tcPr>
            <w:tcW w:w="144" w:type="dxa"/>
          </w:tcPr>
          <w:p w:rsidR="00000000" w:rsidRDefault="00000000">
            <w:pPr>
              <w:spacing w:line="12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w:t>
      </w:r>
      <w:r>
        <w:tab/>
        <w:t>Estructura del sector agropecuario</w:t>
      </w:r>
    </w:p>
    <w:p w:rsidR="00000000" w:rsidRDefault="00000000">
      <w:pPr>
        <w:pStyle w:val="SingleTxt"/>
        <w:spacing w:after="0" w:line="120" w:lineRule="exact"/>
        <w:rPr>
          <w:sz w:val="10"/>
        </w:rPr>
      </w:pPr>
    </w:p>
    <w:p w:rsidR="00000000" w:rsidRDefault="00000000">
      <w:pPr>
        <w:pStyle w:val="SingleTxt"/>
        <w:numPr>
          <w:ilvl w:val="0"/>
          <w:numId w:val="301"/>
        </w:numPr>
      </w:pPr>
      <w:r>
        <w:t>El sector agropecuario desempeña un papel importante en la economía griega. Aunque se ha reducido considerablemente en los últimos años, la mano de obra e</w:t>
      </w:r>
      <w:r>
        <w:t>m</w:t>
      </w:r>
      <w:r>
        <w:t xml:space="preserve">pleada en la agricultura sigue constituyendo la mayoría de la población activa del país. </w:t>
      </w:r>
    </w:p>
    <w:p w:rsidR="00000000" w:rsidRDefault="00000000">
      <w:pPr>
        <w:pStyle w:val="SingleTxt"/>
      </w:pPr>
      <w:r>
        <w:tab/>
        <w:t>En cuanto a la proporción de mujeres empleadas en el sector pesquero, hay que s</w:t>
      </w:r>
      <w:r>
        <w:t>e</w:t>
      </w:r>
      <w:r>
        <w:t>ñalar que el porcentaje sigue siendo inferior al del sector agropecuario.</w:t>
      </w:r>
    </w:p>
    <w:p w:rsidR="00000000" w:rsidRDefault="00000000">
      <w:pPr>
        <w:pStyle w:val="SingleTxt"/>
      </w:pPr>
      <w:r>
        <w:tab/>
        <w:t xml:space="preserve">El hecho de que el los últimos años haya disminuido considerablemente la tasa de abandono de las actividades agrícolas, tanto entre las mujeres como entre los hombres, constituye un signo alentador. Esa tendencia es imputable al aumento de las medidas de apoyo a los agricultores jóvenes. </w:t>
      </w:r>
    </w:p>
    <w:p w:rsidR="00000000" w:rsidRDefault="00000000">
      <w:pPr>
        <w:pStyle w:val="SingleTxt"/>
      </w:pPr>
      <w:r>
        <w:tab/>
        <w:t>Conviene observar que en las zonas rurales las actividades agropecuarias s</w:t>
      </w:r>
      <w:r>
        <w:t>i</w:t>
      </w:r>
      <w:r>
        <w:rPr>
          <w:spacing w:val="6"/>
        </w:rPr>
        <w:t>guen constituyendo la ocupación principal de alrededor del 60% de las mujeres tra</w:t>
      </w:r>
      <w:r>
        <w:t>bajad</w:t>
      </w:r>
      <w:r>
        <w:t>o</w:t>
      </w:r>
      <w:r>
        <w:t xml:space="preserve">ras.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w:t>
      </w:r>
      <w:r>
        <w:tab/>
        <w:t>Datos estadísticos sobre la participación de mujeres en el sector primario</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02"/>
        </w:numPr>
      </w:pPr>
      <w:r>
        <w:t>Según datos del Servicio Nacional de Estadística de Grecia, la participación de m</w:t>
      </w:r>
      <w:r>
        <w:t>u</w:t>
      </w:r>
      <w:r>
        <w:t>jeres en la producción primaria, por categorías laborales, es la siguiente:</w:t>
      </w:r>
    </w:p>
    <w:p w:rsidR="00000000" w:rsidRDefault="00000000">
      <w:pPr>
        <w:pStyle w:val="SingleTxt"/>
        <w:keepNext/>
        <w:keepLines/>
        <w:tabs>
          <w:tab w:val="clear" w:pos="1742"/>
        </w:tabs>
        <w:spacing w:after="0" w:line="120" w:lineRule="exact"/>
        <w:ind w:left="0"/>
        <w:rPr>
          <w:sz w:val="10"/>
        </w:rPr>
      </w:pPr>
    </w:p>
    <w:p w:rsidR="00000000" w:rsidRDefault="00000000">
      <w:pPr>
        <w:pStyle w:val="SingleTxt"/>
        <w:keepNext/>
        <w:keepLines/>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 xml:space="preserve">Mujeres empleadas en el sector primario, por categorías laborales, </w:t>
      </w:r>
      <w:r>
        <w:br/>
        <w:t>2000-2003, 2º trimestre</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8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Categoría laboral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Autónoma con personal</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Autónoma sin personal</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Asalariada</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Empleada en explotación familiar</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7 878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173 500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316 611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123 124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145 204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286 726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10 466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129 887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6 986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136 527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283 866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10 135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133 496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7 295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140 375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291 301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Variación 2000-2003</w:t>
            </w:r>
          </w:p>
        </w:tc>
        <w:tc>
          <w:tcPr>
            <w:tcW w:w="12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-3 098</w:t>
            </w:r>
          </w:p>
        </w:tc>
        <w:tc>
          <w:tcPr>
            <w:tcW w:w="12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11 497</w:t>
            </w:r>
          </w:p>
        </w:tc>
        <w:tc>
          <w:tcPr>
            <w:tcW w:w="12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2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-33 125</w:t>
            </w:r>
          </w:p>
        </w:tc>
        <w:tc>
          <w:tcPr>
            <w:tcW w:w="12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-25 310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Variación porcentual</w:t>
            </w:r>
          </w:p>
        </w:tc>
        <w:tc>
          <w:tcPr>
            <w:tcW w:w="12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2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c>
          <w:tcPr>
            <w:tcW w:w="12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N.S.S.G.</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ΚΕTHΙ, Departamento de Documentación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1</w:t>
      </w:r>
      <w:r>
        <w:t>:</w:t>
      </w:r>
      <w:r>
        <w:br/>
        <w:t>Evolución del empleo de mujeres en el sector primario, por categorías laborales, 2000-2003 (en m</w:t>
      </w:r>
      <w:r>
        <w:t>i</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rect id="_x0000_s2118" style="position:absolute;left:0;text-align:left;margin-left:170.65pt;margin-top:16pt;width:180pt;height:14.4pt;z-index:5;mso-position-horizontal:absolute;mso-position-horizontal-relative:text;mso-position-vertical:absolute;mso-position-vertical-relative:text" o:allowincell="f" fillcolor="#969696" stroked="f">
            <w10:wrap type="topAndBottom"/>
          </v:rect>
        </w:pict>
      </w:r>
    </w:p>
    <w:p w:rsidR="00000000" w:rsidRDefault="00000000">
      <w:pPr>
        <w:pStyle w:val="SingleTxt"/>
        <w:spacing w:after="0" w:line="120" w:lineRule="exact"/>
        <w:rPr>
          <w:sz w:val="10"/>
        </w:rPr>
      </w:pPr>
      <w:r>
        <w:rPr>
          <w:noProof/>
          <w:w w:val="100"/>
          <w:sz w:val="10"/>
        </w:rPr>
        <w:pict>
          <v:shapetype id="_x0000_t202" coordsize="21600,21600" o:spt="202" path="m,l,21600r21600,l21600,xe">
            <v:stroke joinstyle="miter"/>
            <v:path gradientshapeok="t" o:connecttype="rect"/>
          </v:shapetype>
          <v:shape id="_x0000_s2119" type="#_x0000_t202" style="position:absolute;left:0;text-align:left;margin-left:127.65pt;margin-top:.5pt;width:244.8pt;height:31.4pt;z-index:6;mso-position-horizontal:absolute;mso-position-horizontal-relative:text;mso-position-vertical:absolute;mso-position-vertical-relative:text" o:allowincell="f" filled="f" fillcolor="#969696" stroked="f">
            <v:textbox style="mso-next-textbox:#_x0000_s2119">
              <w:txbxContent>
                <w:p w:rsidR="00000000" w:rsidRDefault="00000000">
                  <w:pPr>
                    <w:jc w:val="center"/>
                    <w:rPr>
                      <w:rFonts w:ascii="Arial" w:hAnsi="Arial"/>
                      <w:sz w:val="16"/>
                    </w:rPr>
                  </w:pPr>
                  <w:r>
                    <w:rPr>
                      <w:rFonts w:ascii="Arial" w:hAnsi="Arial"/>
                      <w:sz w:val="16"/>
                    </w:rPr>
                    <w:t>Mujeres empleadas en el sector primario,</w:t>
                  </w:r>
                </w:p>
                <w:p w:rsidR="00000000" w:rsidRDefault="00000000">
                  <w:pPr>
                    <w:jc w:val="center"/>
                    <w:rPr>
                      <w:rFonts w:ascii="Arial" w:hAnsi="Arial"/>
                      <w:sz w:val="16"/>
                    </w:rPr>
                  </w:pPr>
                  <w:r>
                    <w:rPr>
                      <w:rFonts w:ascii="Arial" w:hAnsi="Arial"/>
                      <w:sz w:val="16"/>
                    </w:rPr>
                    <w:t>por categorias laborales</w:t>
                  </w:r>
                </w:p>
              </w:txbxContent>
            </v:textbox>
            <w10:wrap type="topAndBottom"/>
          </v:shape>
        </w:pict>
      </w:r>
      <w:r>
        <w:rPr>
          <w:noProof/>
          <w:w w:val="100"/>
        </w:rPr>
        <w:pict>
          <v:shape id="_x0000_s2116" type="#_x0000_t75" style="position:absolute;left:0;text-align:left;margin-left:62.65pt;margin-top:2.3pt;width:5in;height:159.65pt;z-index:3;visibility:visible;mso-wrap-edited:f;mso-position-horizontal:absolute;mso-position-horizontal-relative:text;mso-position-vertical:absolute;mso-position-vertical-relative:text" o:allowincell="f">
            <v:imagedata r:id="rId18" o:title=""/>
          </v:shape>
          <o:OLEObject Type="Embed" ProgID="Word.Picture.8" ShapeID="_x0000_s2116" DrawAspect="Content" ObjectID="_1395239572" r:id="rId1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group id="_x0000_s2120" style="position:absolute;left:0;text-align:left;margin-left:61.25pt;margin-top:40.6pt;width:378.6pt;height:230.6pt;z-index:7" coordorigin="2420,6912" coordsize="7572,4612" o:allowincell="f">
            <v:shape id="_x0000_s2121" type="#_x0000_t75" style="position:absolute;left:2420;top:6912;width:7572;height:4385">
              <v:imagedata r:id="rId20" o:title=""/>
            </v:shape>
            <v:group id="_x0000_s2122" style="position:absolute;left:3512;top:10782;width:5992;height:742" coordorigin="3512,10796" coordsize="5992,742">
              <v:shape id="_x0000_s2123" type="#_x0000_t202" style="position:absolute;left:3512;top:10800;width:1440;height:673" filled="f" stroked="f">
                <v:textbox style="mso-next-textbox:#_x0000_s2123">
                  <w:txbxContent>
                    <w:p w:rsidR="00000000" w:rsidRDefault="00000000">
                      <w:pPr>
                        <w:spacing w:line="160" w:lineRule="exact"/>
                        <w:rPr>
                          <w:i/>
                          <w:spacing w:val="0"/>
                          <w:sz w:val="14"/>
                        </w:rPr>
                      </w:pPr>
                      <w:r>
                        <w:rPr>
                          <w:rFonts w:ascii="Arial" w:hAnsi="Arial"/>
                          <w:i/>
                          <w:snapToGrid w:val="0"/>
                          <w:color w:val="000000"/>
                          <w:spacing w:val="0"/>
                          <w:sz w:val="14"/>
                          <w:lang w:val="en-US" w:eastAsia="en-US"/>
                        </w:rPr>
                        <w:t>Autónomas con personal</w:t>
                      </w:r>
                    </w:p>
                  </w:txbxContent>
                </v:textbox>
              </v:shape>
              <v:shape id="_x0000_s2124" type="#_x0000_t202" style="position:absolute;left:4734;top:10818;width:1440;height:720" filled="f" stroked="f">
                <v:textbox style="mso-next-textbox:#_x0000_s2124">
                  <w:txbxContent>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 xml:space="preserve">Autónomas sin </w:t>
                      </w:r>
                    </w:p>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personal</w:t>
                      </w:r>
                    </w:p>
                  </w:txbxContent>
                </v:textbox>
              </v:shape>
              <v:shape id="_x0000_s2125" type="#_x0000_t202" style="position:absolute;left:5974;top:10868;width:1296;height:432" filled="f" stroked="f">
                <v:textbox style="mso-next-textbox:#_x0000_s2125">
                  <w:txbxContent>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Asalariadas</w:t>
                      </w:r>
                    </w:p>
                  </w:txbxContent>
                </v:textbox>
              </v:shape>
              <v:shape id="_x0000_s2126" type="#_x0000_t202" style="position:absolute;left:8640;top:10846;width:864;height:576" filled="f" stroked="f">
                <v:textbox style="mso-next-textbox:#_x0000_s2126">
                  <w:txbxContent>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Total</w:t>
                      </w:r>
                    </w:p>
                  </w:txbxContent>
                </v:textbox>
              </v:shape>
              <v:shape id="_x0000_s2127" type="#_x0000_t202" style="position:absolute;left:6986;top:10796;width:1728;height:720" filled="f" stroked="f">
                <v:textbox style="mso-next-textbox:#_x0000_s2127">
                  <w:txbxContent>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 xml:space="preserve">Empleadas en </w:t>
                      </w:r>
                    </w:p>
                    <w:p w:rsidR="00000000" w:rsidRDefault="00000000">
                      <w:pPr>
                        <w:spacing w:line="160" w:lineRule="exact"/>
                        <w:rPr>
                          <w:rFonts w:ascii="Arial" w:hAnsi="Arial"/>
                          <w:i/>
                          <w:snapToGrid w:val="0"/>
                          <w:color w:val="000000"/>
                          <w:spacing w:val="0"/>
                          <w:sz w:val="14"/>
                          <w:lang w:val="en-US" w:eastAsia="en-US"/>
                        </w:rPr>
                      </w:pPr>
                      <w:r>
                        <w:rPr>
                          <w:rFonts w:ascii="Arial" w:hAnsi="Arial"/>
                          <w:i/>
                          <w:snapToGrid w:val="0"/>
                          <w:color w:val="000000"/>
                          <w:spacing w:val="0"/>
                          <w:sz w:val="14"/>
                          <w:lang w:val="en-US" w:eastAsia="en-US"/>
                        </w:rPr>
                        <w:t>explotación familiar</w:t>
                      </w:r>
                    </w:p>
                  </w:txbxContent>
                </v:textbox>
              </v:shape>
            </v:group>
            <w10:wrap type="topAndBottom"/>
          </v:group>
        </w:pict>
      </w:r>
      <w:r>
        <w:rPr>
          <w:b w:val="0"/>
        </w:rPr>
        <w:tab/>
      </w:r>
      <w:r>
        <w:rPr>
          <w:b w:val="0"/>
        </w:rPr>
        <w:tab/>
        <w:t>Gráfico 1a:</w:t>
      </w:r>
      <w:r>
        <w:br/>
        <w:t>Variaciones porcentuales en el empleo de mujeres en el sector primario, por categorías laborales, 2000-2003</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Economía Agrícola, Oficina de Igualdad, Ministerio de Agr</w:t>
      </w:r>
      <w:r>
        <w:t>i</w:t>
      </w:r>
      <w:r>
        <w:t xml:space="preserve">cultura </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ΚΕTHΙ, Departamento de Documentación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ΙII.</w:t>
      </w:r>
      <w:r>
        <w:tab/>
        <w:t>Disposiciones legislativas</w:t>
      </w:r>
    </w:p>
    <w:p w:rsidR="00000000" w:rsidRDefault="00000000">
      <w:pPr>
        <w:pStyle w:val="SingleTxt"/>
        <w:spacing w:after="0" w:line="120" w:lineRule="exact"/>
        <w:rPr>
          <w:sz w:val="10"/>
        </w:rPr>
      </w:pPr>
    </w:p>
    <w:p w:rsidR="00000000" w:rsidRDefault="00000000">
      <w:pPr>
        <w:pStyle w:val="SingleTxt"/>
        <w:numPr>
          <w:ilvl w:val="0"/>
          <w:numId w:val="302"/>
        </w:numPr>
      </w:pPr>
      <w:r>
        <w:t>En el párrafo 5 d) del artículo 1 de la Ley 2332/1995 sobre “Registro de agr</w:t>
      </w:r>
      <w:r>
        <w:t>i</w:t>
      </w:r>
      <w:r>
        <w:t xml:space="preserve">cultores y explotaciones agrícolas y otras disposiciones” se establece que “el jefe de </w:t>
      </w:r>
      <w:r>
        <w:rPr>
          <w:spacing w:val="2"/>
          <w:w w:val="102"/>
        </w:rPr>
        <w:t>una explotación agrícola puede ser cualquier persona, independientemente de su s</w:t>
      </w:r>
      <w:r>
        <w:rPr>
          <w:spacing w:val="2"/>
          <w:w w:val="102"/>
        </w:rPr>
        <w:t>e</w:t>
      </w:r>
      <w:r>
        <w:t>xo”.</w:t>
      </w:r>
    </w:p>
    <w:p w:rsidR="00000000" w:rsidRDefault="00000000">
      <w:pPr>
        <w:pStyle w:val="SingleTxt"/>
        <w:numPr>
          <w:ilvl w:val="0"/>
          <w:numId w:val="302"/>
        </w:numPr>
      </w:pPr>
      <w:r>
        <w:t>En el párrafo 2 del artículo 1 de la Ley 3147/2003</w:t>
      </w:r>
      <w:r>
        <w:rPr>
          <w:i/>
        </w:rPr>
        <w:t xml:space="preserve"> </w:t>
      </w:r>
      <w:r>
        <w:t xml:space="preserve">sobre “Regulación de las cuestiones relacionadas con las tierras de uso agrícola, la resolución de los asuntos relacionados con el reasentamiento de ganaderos y los ganaderos reasentados y otras </w:t>
      </w:r>
      <w:r>
        <w:rPr>
          <w:spacing w:val="2"/>
        </w:rPr>
        <w:t>disposiciones” se reemplazó el inciso aa) del apartado a) del párrafo 1 del artículo</w:t>
      </w:r>
      <w:r>
        <w:t xml:space="preserve"> 24 del Código de Agricultura por el texto siguiente:</w:t>
      </w:r>
    </w:p>
    <w:p w:rsidR="00000000" w:rsidRDefault="00000000">
      <w:pPr>
        <w:pStyle w:val="SingleTxt"/>
        <w:ind w:left="1742" w:hanging="475"/>
        <w:rPr>
          <w:i/>
        </w:rPr>
      </w:pPr>
      <w:r>
        <w:tab/>
      </w:r>
      <w:r>
        <w:rPr>
          <w:i/>
        </w:rPr>
        <w:t xml:space="preserve">aa) “Agricultores casados. En los matrimonios de agricultores, el cónyuge responsable de la administración de la explotación agrícola es el beneficiario. </w:t>
      </w:r>
      <w:r>
        <w:rPr>
          <w:i/>
          <w:spacing w:val="6"/>
        </w:rPr>
        <w:t>En caso de carencia de tierras</w:t>
      </w:r>
      <w:r>
        <w:rPr>
          <w:i/>
          <w:color w:val="000000"/>
          <w:spacing w:val="6"/>
        </w:rPr>
        <w:t>, se tienen en cuenta las propiedades del otro cón</w:t>
      </w:r>
      <w:r>
        <w:rPr>
          <w:i/>
          <w:color w:val="000000"/>
          <w:spacing w:val="2"/>
          <w:w w:val="102"/>
        </w:rPr>
        <w:t>yu</w:t>
      </w:r>
      <w:r>
        <w:rPr>
          <w:i/>
          <w:color w:val="000000"/>
        </w:rPr>
        <w:t xml:space="preserve">ge” </w:t>
      </w:r>
    </w:p>
    <w:p w:rsidR="00000000" w:rsidRDefault="00000000">
      <w:pPr>
        <w:pStyle w:val="SingleTxt"/>
      </w:pPr>
      <w:r>
        <w:tab/>
        <w:t>Además, el párrafo 1 del artículo 8 de esa ley dispone lo siguiente:</w:t>
      </w:r>
    </w:p>
    <w:p w:rsidR="00000000" w:rsidRDefault="00000000">
      <w:pPr>
        <w:pStyle w:val="SingleTxt"/>
        <w:ind w:left="1742" w:hanging="475"/>
        <w:rPr>
          <w:i/>
        </w:rPr>
      </w:pPr>
      <w:r>
        <w:rPr>
          <w:i/>
        </w:rPr>
        <w:tab/>
        <w:t>“Los campos que se hayan otorgado o se otorguen a agricultores casados, de conformidad con las disposiciones del inciso aa) del apartado a) del párrafo 1 del artículo 24 del Código de Agricultura, modificado por el artículo 1 de la presente ley, podrán venderse con el consentimiento del otro cónyuge. Si hay desacuerdo entre los cónyuges, examina y juzga el caso el caso, a solicitud de cualquiera de los cónyuges, el tribunal de primera instancia competente co</w:t>
      </w:r>
      <w:r>
        <w:rPr>
          <w:i/>
        </w:rPr>
        <w:t>n</w:t>
      </w:r>
      <w:r>
        <w:rPr>
          <w:i/>
        </w:rPr>
        <w:t>formidad con el procedimiento del artículo 739 y, secundariamente, del Cód</w:t>
      </w:r>
      <w:r>
        <w:rPr>
          <w:i/>
        </w:rPr>
        <w:t>i</w:t>
      </w:r>
      <w:r>
        <w:rPr>
          <w:i/>
        </w:rPr>
        <w:t xml:space="preserve">go de Procedimiento Civil, </w:t>
      </w:r>
      <w:r>
        <w:rPr>
          <w:i/>
          <w:color w:val="000000"/>
        </w:rPr>
        <w:t>y emite una decisión sobre la venta, atendiendo a razones de beneficio claro y ev</w:t>
      </w:r>
      <w:r>
        <w:rPr>
          <w:i/>
          <w:color w:val="000000"/>
        </w:rPr>
        <w:t>i</w:t>
      </w:r>
      <w:r>
        <w:rPr>
          <w:i/>
          <w:color w:val="000000"/>
        </w:rPr>
        <w:t>dente</w:t>
      </w:r>
      <w:r>
        <w:rPr>
          <w:i/>
        </w:rPr>
        <w:t xml:space="preserve">”. </w:t>
      </w:r>
    </w:p>
    <w:p w:rsidR="00000000" w:rsidRDefault="00000000">
      <w:pPr>
        <w:pStyle w:val="SingleTxt"/>
      </w:pPr>
      <w:r>
        <w:tab/>
        <w:t>Las disposiciones de la nueva legislación han suprimido las discriminaciones que impedían el reasentamiento de mujeres como campesinas sin tierra. En el pas</w:t>
      </w:r>
      <w:r>
        <w:t>a</w:t>
      </w:r>
      <w:r>
        <w:t>do sólo se concedían parcelas agrícolas a campesinos varones, solteros o casados; los casados podían vender la parcela que se les había asignado, sin el consent</w:t>
      </w:r>
      <w:r>
        <w:t>i</w:t>
      </w:r>
      <w:r>
        <w:t xml:space="preserve">miento de su esposa.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ΙV.</w:t>
      </w:r>
      <w:r>
        <w:tab/>
        <w:t>Protección por seguro de las mujeres agricultoras</w:t>
      </w:r>
    </w:p>
    <w:p w:rsidR="00000000" w:rsidRDefault="00000000">
      <w:pPr>
        <w:pStyle w:val="SingleTxt"/>
        <w:spacing w:after="0" w:line="120" w:lineRule="exact"/>
        <w:rPr>
          <w:sz w:val="10"/>
        </w:rPr>
      </w:pPr>
    </w:p>
    <w:p w:rsidR="00000000" w:rsidRDefault="00000000">
      <w:pPr>
        <w:pStyle w:val="SingleTxt"/>
        <w:numPr>
          <w:ilvl w:val="0"/>
          <w:numId w:val="302"/>
        </w:numPr>
      </w:pPr>
      <w:r>
        <w:t>Respecto de la protección por seguro de las mujeres agricultoras en el marco de la Organización de Seguro Agrícola, se han promulgado las siguientes dispos</w:t>
      </w:r>
      <w:r>
        <w:t>i</w:t>
      </w:r>
      <w:r>
        <w:t>ciones con el fin de subsanar los problemas creados por el seguro opcional en la r</w:t>
      </w:r>
      <w:r>
        <w:t>a</w:t>
      </w:r>
      <w:r>
        <w:t>ma principal del seguro de uno de los cónyuges que trabajan en la empresa familiar. Puesto que uno de los cónyuges está exento del pago de las primas de la rama pri</w:t>
      </w:r>
      <w:r>
        <w:t>n</w:t>
      </w:r>
      <w:r>
        <w:t>cipal del seguro, con una declaración de conformidad de ambos cónyuges, esa di</w:t>
      </w:r>
      <w:r>
        <w:t>s</w:t>
      </w:r>
      <w:r>
        <w:t>posición solía perjudicar a las mujeres, y por eso la Organización del Seguro Agr</w:t>
      </w:r>
      <w:r>
        <w:t>í</w:t>
      </w:r>
      <w:r>
        <w:t xml:space="preserve">cola propuso que se suprimiera ese régimen y se promoviera el seguro obligatorio de ambos cónyuges. </w:t>
      </w:r>
    </w:p>
    <w:p w:rsidR="00000000" w:rsidRDefault="00000000">
      <w:pPr>
        <w:pStyle w:val="SingleTxt"/>
        <w:numPr>
          <w:ilvl w:val="0"/>
          <w:numId w:val="302"/>
        </w:numPr>
      </w:pPr>
      <w:r>
        <w:t>En lo que se refiere a la protección de la maternidad, las mujeres aseguradas en la rama principal del seguro que dan a luz un segundo hijo o hijos subsiguientes están exentas del pago de las primas del seguro durante un determinado período de tie</w:t>
      </w:r>
      <w:r>
        <w:t>m</w:t>
      </w:r>
      <w:r>
        <w:t>po.</w:t>
      </w:r>
    </w:p>
    <w:p w:rsidR="00000000" w:rsidRDefault="00000000">
      <w:pPr>
        <w:pStyle w:val="SingleTxt"/>
        <w:numPr>
          <w:ilvl w:val="0"/>
          <w:numId w:val="302"/>
        </w:numPr>
      </w:pPr>
      <w:r>
        <w:t>Además, las prestaciones por embarazo y puerperio y la ayuda financiera para el parto se han reajustado como sigue:</w:t>
      </w:r>
    </w:p>
    <w:p w:rsidR="00000000" w:rsidRDefault="00000000">
      <w:pPr>
        <w:pStyle w:val="SingleTxt"/>
      </w:pPr>
      <w:r>
        <w:tab/>
        <w:t>a)</w:t>
      </w:r>
      <w:r>
        <w:tab/>
        <w:t>Prestaciones por embarazo y puerperio hasta la suma de la 1ª categoría del seguro de conformidad con el artículo 4 de la Ley 2458/97</w:t>
      </w:r>
    </w:p>
    <w:p w:rsidR="00000000" w:rsidRDefault="00000000">
      <w:pPr>
        <w:pStyle w:val="SingleTxt"/>
      </w:pPr>
      <w:r>
        <w:tab/>
        <w:t>b)</w:t>
      </w:r>
      <w:r>
        <w:tab/>
        <w:t>Ayuda financiera para el parto hasta el 50% del monto de la categoría del seguro de la sección anterior, si el parto tiene lugar en un hospital o clínica obstétr</w:t>
      </w:r>
      <w:r>
        <w:t>i</w:t>
      </w:r>
      <w:r>
        <w:t>ca en la que, con arreglo a la legislación en vigor por la que se rige la Organización de seguro agrícola, la atención obstétrica es gratuita o no ha de ser sufragada por la Organ</w:t>
      </w:r>
      <w:r>
        <w:t>i</w:t>
      </w:r>
      <w:r>
        <w:t xml:space="preserve">zación. </w:t>
      </w:r>
    </w:p>
    <w:p w:rsidR="00000000" w:rsidRDefault="00000000">
      <w:pPr>
        <w:pStyle w:val="SingleTxt"/>
      </w:pPr>
      <w:r>
        <w:tab/>
        <w:t>c)</w:t>
      </w:r>
      <w:r>
        <w:tab/>
        <w:t>En caso de alumbramiento de mellizos, trillizos, etc. que estén vivos en la fecha de presentación de la solicitud, las prestaciones por embarazo y puerperio se incr</w:t>
      </w:r>
      <w:r>
        <w:t>e</w:t>
      </w:r>
      <w:r>
        <w:t xml:space="preserve">mentan en un 50% por cada hijo después del primero.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Pesca</w:t>
      </w:r>
    </w:p>
    <w:p w:rsidR="00000000" w:rsidRDefault="00000000">
      <w:pPr>
        <w:pStyle w:val="SingleTxt"/>
        <w:spacing w:after="0" w:line="120" w:lineRule="exact"/>
        <w:rPr>
          <w:sz w:val="10"/>
        </w:rPr>
      </w:pPr>
    </w:p>
    <w:p w:rsidR="00000000" w:rsidRDefault="00000000">
      <w:pPr>
        <w:pStyle w:val="SingleTxt"/>
        <w:numPr>
          <w:ilvl w:val="0"/>
          <w:numId w:val="302"/>
        </w:numPr>
      </w:pPr>
      <w:r>
        <w:t>La proporción de mujeres empleadas en el sector pesquero es todavía menor que en el agropecuario.</w:t>
      </w:r>
    </w:p>
    <w:p w:rsidR="00000000" w:rsidRDefault="00000000">
      <w:pPr>
        <w:pStyle w:val="SingleTxt"/>
        <w:numPr>
          <w:ilvl w:val="0"/>
          <w:numId w:val="302"/>
        </w:numPr>
      </w:pPr>
      <w:r>
        <w:t>Las mujeres que trabajan en el sector pesquero lo hacen por lo general en act</w:t>
      </w:r>
      <w:r>
        <w:t>i</w:t>
      </w:r>
      <w:r>
        <w:t>vidades de elaboración de productos de la pesca (congelado, envasado, preparación de pescado ahumado y salado) o en el comercio.</w:t>
      </w:r>
    </w:p>
    <w:p w:rsidR="00000000" w:rsidRDefault="00000000">
      <w:pPr>
        <w:pStyle w:val="SingleTxt"/>
        <w:numPr>
          <w:ilvl w:val="0"/>
          <w:numId w:val="302"/>
        </w:numPr>
      </w:pPr>
      <w:r>
        <w:t>Según datos de la Dirección de Aplicaciones e Insumos Pesqueros del Minist</w:t>
      </w:r>
      <w:r>
        <w:t>e</w:t>
      </w:r>
      <w:r>
        <w:t>rio de Agricultura, las pautas de empleo de mujeres en la elaboración de productos de la pesca en los años 2001-2003 fueron las siguientes: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rPr>
        <w:t>Cuadro 2</w:t>
      </w:r>
      <w:r>
        <w:br/>
        <w:t>Personas empleadas en el sector pesquero, por sexo y condiciones de empleo,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60"/>
        <w:gridCol w:w="742"/>
        <w:gridCol w:w="743"/>
        <w:gridCol w:w="742"/>
        <w:gridCol w:w="743"/>
        <w:gridCol w:w="90"/>
        <w:gridCol w:w="652"/>
        <w:gridCol w:w="653"/>
        <w:gridCol w:w="652"/>
        <w:gridCol w:w="653"/>
        <w:gridCol w:w="90"/>
        <w:gridCol w:w="708"/>
        <w:gridCol w:w="709"/>
        <w:gridCol w:w="709"/>
        <w:gridCol w:w="709"/>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spacing w:before="80" w:after="80" w:line="160" w:lineRule="exact"/>
              <w:ind w:right="40"/>
              <w:rPr>
                <w:i/>
                <w:sz w:val="14"/>
              </w:rPr>
            </w:pPr>
          </w:p>
        </w:tc>
        <w:tc>
          <w:tcPr>
            <w:tcW w:w="297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c>
          <w:tcPr>
            <w:tcW w:w="90" w:type="dxa"/>
            <w:tcBorders>
              <w:top w:val="single" w:sz="4" w:space="0" w:color="auto"/>
            </w:tcBorders>
            <w:vAlign w:val="bottom"/>
          </w:tcPr>
          <w:p w:rsidR="00000000" w:rsidRDefault="00000000">
            <w:pPr>
              <w:spacing w:before="80" w:after="80" w:line="160" w:lineRule="exact"/>
              <w:ind w:right="40"/>
              <w:jc w:val="center"/>
              <w:rPr>
                <w:i/>
                <w:sz w:val="14"/>
              </w:rPr>
            </w:pPr>
          </w:p>
        </w:tc>
        <w:tc>
          <w:tcPr>
            <w:tcW w:w="261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2002</w:t>
            </w:r>
          </w:p>
        </w:tc>
        <w:tc>
          <w:tcPr>
            <w:tcW w:w="90" w:type="dxa"/>
            <w:tcBorders>
              <w:top w:val="single" w:sz="4" w:space="0" w:color="auto"/>
            </w:tcBorders>
            <w:vAlign w:val="bottom"/>
          </w:tcPr>
          <w:p w:rsidR="00000000" w:rsidRDefault="00000000">
            <w:pPr>
              <w:spacing w:before="80" w:after="80" w:line="160" w:lineRule="exact"/>
              <w:ind w:right="40"/>
              <w:jc w:val="center"/>
              <w:rPr>
                <w:i/>
                <w:sz w:val="14"/>
              </w:rPr>
            </w:pPr>
          </w:p>
        </w:tc>
        <w:tc>
          <w:tcPr>
            <w:tcW w:w="2835"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2003</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spacing w:after="80" w:line="160" w:lineRule="exact"/>
              <w:ind w:right="40"/>
              <w:rPr>
                <w:i/>
                <w:sz w:val="14"/>
              </w:rPr>
            </w:pPr>
            <w:r>
              <w:rPr>
                <w:i/>
                <w:sz w:val="14"/>
              </w:rPr>
              <w:t>Año</w:t>
            </w:r>
          </w:p>
        </w:tc>
        <w:tc>
          <w:tcPr>
            <w:tcW w:w="742" w:type="dxa"/>
            <w:vAlign w:val="bottom"/>
          </w:tcPr>
          <w:p w:rsidR="00000000" w:rsidRDefault="00000000">
            <w:pPr>
              <w:spacing w:after="80" w:line="160" w:lineRule="exact"/>
              <w:ind w:right="40"/>
              <w:jc w:val="right"/>
              <w:rPr>
                <w:i/>
                <w:sz w:val="14"/>
              </w:rPr>
            </w:pPr>
            <w:r>
              <w:rPr>
                <w:i/>
                <w:sz w:val="14"/>
              </w:rPr>
              <w:t>Perman</w:t>
            </w:r>
            <w:r>
              <w:rPr>
                <w:i/>
                <w:sz w:val="14"/>
              </w:rPr>
              <w:br/>
              <w:t>entes</w:t>
            </w:r>
          </w:p>
        </w:tc>
        <w:tc>
          <w:tcPr>
            <w:tcW w:w="743" w:type="dxa"/>
            <w:vAlign w:val="bottom"/>
          </w:tcPr>
          <w:p w:rsidR="00000000" w:rsidRDefault="00000000">
            <w:pPr>
              <w:spacing w:after="80" w:line="160" w:lineRule="exact"/>
              <w:ind w:right="40"/>
              <w:jc w:val="right"/>
              <w:rPr>
                <w:i/>
                <w:sz w:val="14"/>
              </w:rPr>
            </w:pPr>
            <w:r>
              <w:rPr>
                <w:i/>
                <w:sz w:val="14"/>
              </w:rPr>
              <w:t>Estacio</w:t>
            </w:r>
            <w:r>
              <w:rPr>
                <w:i/>
                <w:sz w:val="14"/>
              </w:rPr>
              <w:br/>
              <w:t>nales</w:t>
            </w:r>
          </w:p>
        </w:tc>
        <w:tc>
          <w:tcPr>
            <w:tcW w:w="742" w:type="dxa"/>
            <w:vAlign w:val="bottom"/>
          </w:tcPr>
          <w:p w:rsidR="00000000" w:rsidRDefault="00000000">
            <w:pPr>
              <w:spacing w:after="80" w:line="160" w:lineRule="exact"/>
              <w:ind w:right="40"/>
              <w:jc w:val="right"/>
              <w:rPr>
                <w:i/>
                <w:sz w:val="14"/>
              </w:rPr>
            </w:pPr>
            <w:r>
              <w:rPr>
                <w:i/>
                <w:sz w:val="14"/>
              </w:rPr>
              <w:t>Total</w:t>
            </w:r>
          </w:p>
        </w:tc>
        <w:tc>
          <w:tcPr>
            <w:tcW w:w="743" w:type="dxa"/>
            <w:vAlign w:val="bottom"/>
          </w:tcPr>
          <w:p w:rsidR="00000000" w:rsidRDefault="00000000">
            <w:pPr>
              <w:spacing w:after="80" w:line="160" w:lineRule="exact"/>
              <w:ind w:right="40"/>
              <w:jc w:val="right"/>
              <w:rPr>
                <w:i/>
                <w:sz w:val="14"/>
              </w:rPr>
            </w:pPr>
            <w:r>
              <w:rPr>
                <w:i/>
                <w:sz w:val="14"/>
              </w:rPr>
              <w:t>Porcen</w:t>
            </w:r>
            <w:r>
              <w:rPr>
                <w:i/>
                <w:sz w:val="14"/>
              </w:rPr>
              <w:br/>
              <w:t>taje</w:t>
            </w:r>
          </w:p>
        </w:tc>
        <w:tc>
          <w:tcPr>
            <w:tcW w:w="90" w:type="dxa"/>
            <w:vAlign w:val="bottom"/>
          </w:tcPr>
          <w:p w:rsidR="00000000" w:rsidRDefault="00000000">
            <w:pPr>
              <w:spacing w:after="80" w:line="160" w:lineRule="exact"/>
              <w:ind w:right="40"/>
              <w:jc w:val="right"/>
              <w:rPr>
                <w:i/>
                <w:sz w:val="14"/>
              </w:rPr>
            </w:pPr>
          </w:p>
        </w:tc>
        <w:tc>
          <w:tcPr>
            <w:tcW w:w="652" w:type="dxa"/>
            <w:vAlign w:val="bottom"/>
          </w:tcPr>
          <w:p w:rsidR="00000000" w:rsidRDefault="00000000">
            <w:pPr>
              <w:spacing w:after="80" w:line="160" w:lineRule="exact"/>
              <w:ind w:right="40"/>
              <w:jc w:val="right"/>
              <w:rPr>
                <w:i/>
                <w:sz w:val="14"/>
              </w:rPr>
            </w:pPr>
            <w:r>
              <w:rPr>
                <w:i/>
                <w:sz w:val="14"/>
              </w:rPr>
              <w:t>Perma</w:t>
            </w:r>
            <w:r>
              <w:rPr>
                <w:i/>
                <w:sz w:val="14"/>
              </w:rPr>
              <w:br/>
              <w:t>nentes</w:t>
            </w:r>
          </w:p>
        </w:tc>
        <w:tc>
          <w:tcPr>
            <w:tcW w:w="653" w:type="dxa"/>
            <w:vAlign w:val="bottom"/>
          </w:tcPr>
          <w:p w:rsidR="00000000" w:rsidRDefault="00000000">
            <w:pPr>
              <w:spacing w:after="80" w:line="160" w:lineRule="exact"/>
              <w:ind w:right="40"/>
              <w:jc w:val="right"/>
              <w:rPr>
                <w:i/>
                <w:sz w:val="14"/>
              </w:rPr>
            </w:pPr>
            <w:r>
              <w:rPr>
                <w:i/>
                <w:sz w:val="14"/>
              </w:rPr>
              <w:t>Estacio</w:t>
            </w:r>
            <w:r>
              <w:rPr>
                <w:i/>
                <w:sz w:val="14"/>
              </w:rPr>
              <w:br/>
              <w:t>nales</w:t>
            </w:r>
          </w:p>
        </w:tc>
        <w:tc>
          <w:tcPr>
            <w:tcW w:w="652" w:type="dxa"/>
            <w:vAlign w:val="bottom"/>
          </w:tcPr>
          <w:p w:rsidR="00000000" w:rsidRDefault="00000000">
            <w:pPr>
              <w:spacing w:after="80" w:line="160" w:lineRule="exact"/>
              <w:ind w:right="40"/>
              <w:jc w:val="right"/>
              <w:rPr>
                <w:i/>
                <w:sz w:val="14"/>
              </w:rPr>
            </w:pPr>
            <w:r>
              <w:rPr>
                <w:i/>
                <w:sz w:val="14"/>
              </w:rPr>
              <w:t>Total</w:t>
            </w:r>
          </w:p>
        </w:tc>
        <w:tc>
          <w:tcPr>
            <w:tcW w:w="653" w:type="dxa"/>
            <w:vAlign w:val="bottom"/>
          </w:tcPr>
          <w:p w:rsidR="00000000" w:rsidRDefault="00000000">
            <w:pPr>
              <w:spacing w:after="80" w:line="160" w:lineRule="exact"/>
              <w:ind w:right="40"/>
              <w:jc w:val="right"/>
              <w:rPr>
                <w:i/>
                <w:sz w:val="14"/>
              </w:rPr>
            </w:pPr>
            <w:r>
              <w:rPr>
                <w:i/>
                <w:sz w:val="14"/>
              </w:rPr>
              <w:t>Porcen</w:t>
            </w:r>
            <w:r>
              <w:rPr>
                <w:i/>
                <w:sz w:val="14"/>
              </w:rPr>
              <w:br/>
              <w:t>taje</w:t>
            </w:r>
          </w:p>
        </w:tc>
        <w:tc>
          <w:tcPr>
            <w:tcW w:w="90" w:type="dxa"/>
            <w:vAlign w:val="bottom"/>
          </w:tcPr>
          <w:p w:rsidR="00000000" w:rsidRDefault="00000000">
            <w:pPr>
              <w:spacing w:after="80" w:line="160" w:lineRule="exact"/>
              <w:ind w:right="40"/>
              <w:jc w:val="right"/>
              <w:rPr>
                <w:i/>
                <w:sz w:val="14"/>
              </w:rPr>
            </w:pPr>
          </w:p>
        </w:tc>
        <w:tc>
          <w:tcPr>
            <w:tcW w:w="708" w:type="dxa"/>
            <w:vAlign w:val="bottom"/>
          </w:tcPr>
          <w:p w:rsidR="00000000" w:rsidRDefault="00000000">
            <w:pPr>
              <w:spacing w:after="80" w:line="160" w:lineRule="exact"/>
              <w:ind w:right="40"/>
              <w:jc w:val="right"/>
              <w:rPr>
                <w:i/>
                <w:sz w:val="14"/>
              </w:rPr>
            </w:pPr>
            <w:r>
              <w:rPr>
                <w:i/>
                <w:sz w:val="14"/>
              </w:rPr>
              <w:t>Perma</w:t>
            </w:r>
            <w:r>
              <w:rPr>
                <w:i/>
                <w:sz w:val="14"/>
              </w:rPr>
              <w:br/>
              <w:t>nentes</w:t>
            </w:r>
          </w:p>
        </w:tc>
        <w:tc>
          <w:tcPr>
            <w:tcW w:w="709" w:type="dxa"/>
            <w:vAlign w:val="bottom"/>
          </w:tcPr>
          <w:p w:rsidR="00000000" w:rsidRDefault="00000000">
            <w:pPr>
              <w:spacing w:after="80" w:line="160" w:lineRule="exact"/>
              <w:ind w:right="40"/>
              <w:jc w:val="right"/>
              <w:rPr>
                <w:i/>
                <w:sz w:val="14"/>
              </w:rPr>
            </w:pPr>
            <w:r>
              <w:rPr>
                <w:i/>
                <w:sz w:val="14"/>
              </w:rPr>
              <w:t>Estacio</w:t>
            </w:r>
            <w:r>
              <w:rPr>
                <w:i/>
                <w:sz w:val="14"/>
              </w:rPr>
              <w:br/>
              <w:t>nales</w:t>
            </w:r>
          </w:p>
        </w:tc>
        <w:tc>
          <w:tcPr>
            <w:tcW w:w="709" w:type="dxa"/>
            <w:vAlign w:val="bottom"/>
          </w:tcPr>
          <w:p w:rsidR="00000000" w:rsidRDefault="00000000">
            <w:pPr>
              <w:spacing w:after="80" w:line="160" w:lineRule="exact"/>
              <w:ind w:right="40"/>
              <w:jc w:val="right"/>
              <w:rPr>
                <w:i/>
                <w:sz w:val="14"/>
              </w:rPr>
            </w:pPr>
            <w:r>
              <w:rPr>
                <w:i/>
                <w:sz w:val="14"/>
              </w:rPr>
              <w:t>Total</w:t>
            </w:r>
          </w:p>
        </w:tc>
        <w:tc>
          <w:tcPr>
            <w:tcW w:w="709" w:type="dxa"/>
            <w:vAlign w:val="bottom"/>
          </w:tcPr>
          <w:p w:rsidR="00000000" w:rsidRDefault="00000000">
            <w:pPr>
              <w:spacing w:after="80" w:line="160" w:lineRule="exact"/>
              <w:ind w:right="40"/>
              <w:jc w:val="right"/>
              <w:rPr>
                <w:i/>
                <w:sz w:val="14"/>
              </w:rPr>
            </w:pPr>
            <w:r>
              <w:rPr>
                <w:i/>
                <w:sz w:val="14"/>
              </w:rPr>
              <w:t>Porcen</w:t>
            </w:r>
            <w:r>
              <w:rPr>
                <w:i/>
                <w:sz w:val="14"/>
              </w:rPr>
              <w:br/>
              <w:t>taje</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spacing w:before="40" w:after="40" w:line="210" w:lineRule="exact"/>
              <w:ind w:right="40"/>
              <w:rPr>
                <w:sz w:val="17"/>
              </w:rPr>
            </w:pPr>
          </w:p>
        </w:tc>
        <w:tc>
          <w:tcPr>
            <w:tcW w:w="742" w:type="dxa"/>
            <w:tcBorders>
              <w:top w:val="single" w:sz="12" w:space="0" w:color="auto"/>
            </w:tcBorders>
            <w:vAlign w:val="bottom"/>
          </w:tcPr>
          <w:p w:rsidR="00000000" w:rsidRDefault="00000000">
            <w:pPr>
              <w:spacing w:before="40" w:after="40" w:line="210" w:lineRule="exact"/>
              <w:ind w:right="40"/>
              <w:jc w:val="right"/>
              <w:rPr>
                <w:sz w:val="17"/>
              </w:rPr>
            </w:pPr>
          </w:p>
        </w:tc>
        <w:tc>
          <w:tcPr>
            <w:tcW w:w="743" w:type="dxa"/>
            <w:tcBorders>
              <w:top w:val="single" w:sz="12" w:space="0" w:color="auto"/>
            </w:tcBorders>
            <w:vAlign w:val="bottom"/>
          </w:tcPr>
          <w:p w:rsidR="00000000" w:rsidRDefault="00000000">
            <w:pPr>
              <w:spacing w:before="40" w:after="40" w:line="210" w:lineRule="exact"/>
              <w:ind w:right="40"/>
              <w:jc w:val="right"/>
              <w:rPr>
                <w:sz w:val="17"/>
              </w:rPr>
            </w:pPr>
          </w:p>
        </w:tc>
        <w:tc>
          <w:tcPr>
            <w:tcW w:w="742" w:type="dxa"/>
            <w:tcBorders>
              <w:top w:val="single" w:sz="12" w:space="0" w:color="auto"/>
            </w:tcBorders>
            <w:vAlign w:val="bottom"/>
          </w:tcPr>
          <w:p w:rsidR="00000000" w:rsidRDefault="00000000">
            <w:pPr>
              <w:spacing w:before="40" w:after="40" w:line="210" w:lineRule="exact"/>
              <w:ind w:right="40"/>
              <w:jc w:val="right"/>
              <w:rPr>
                <w:sz w:val="17"/>
              </w:rPr>
            </w:pPr>
          </w:p>
        </w:tc>
        <w:tc>
          <w:tcPr>
            <w:tcW w:w="743"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52" w:type="dxa"/>
            <w:tcBorders>
              <w:top w:val="single" w:sz="12" w:space="0" w:color="auto"/>
            </w:tcBorders>
            <w:vAlign w:val="bottom"/>
          </w:tcPr>
          <w:p w:rsidR="00000000" w:rsidRDefault="00000000">
            <w:pPr>
              <w:spacing w:before="40" w:after="40" w:line="210" w:lineRule="exact"/>
              <w:ind w:right="40"/>
              <w:jc w:val="right"/>
              <w:rPr>
                <w:sz w:val="17"/>
              </w:rPr>
            </w:pPr>
          </w:p>
        </w:tc>
        <w:tc>
          <w:tcPr>
            <w:tcW w:w="653" w:type="dxa"/>
            <w:tcBorders>
              <w:top w:val="single" w:sz="12" w:space="0" w:color="auto"/>
            </w:tcBorders>
            <w:vAlign w:val="bottom"/>
          </w:tcPr>
          <w:p w:rsidR="00000000" w:rsidRDefault="00000000">
            <w:pPr>
              <w:spacing w:before="40" w:after="40" w:line="210" w:lineRule="exact"/>
              <w:ind w:right="40"/>
              <w:jc w:val="right"/>
              <w:rPr>
                <w:sz w:val="17"/>
              </w:rPr>
            </w:pPr>
          </w:p>
        </w:tc>
        <w:tc>
          <w:tcPr>
            <w:tcW w:w="652" w:type="dxa"/>
            <w:tcBorders>
              <w:top w:val="single" w:sz="12" w:space="0" w:color="auto"/>
            </w:tcBorders>
            <w:vAlign w:val="bottom"/>
          </w:tcPr>
          <w:p w:rsidR="00000000" w:rsidRDefault="00000000">
            <w:pPr>
              <w:spacing w:before="40" w:after="40" w:line="210" w:lineRule="exact"/>
              <w:ind w:right="40"/>
              <w:jc w:val="right"/>
              <w:rPr>
                <w:sz w:val="17"/>
              </w:rPr>
            </w:pPr>
          </w:p>
        </w:tc>
        <w:tc>
          <w:tcPr>
            <w:tcW w:w="653"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708"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c>
          <w:tcPr>
            <w:tcW w:w="70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1 240</w:t>
            </w:r>
          </w:p>
        </w:tc>
        <w:tc>
          <w:tcPr>
            <w:tcW w:w="7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6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6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1 171</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1 409</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4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644</w:t>
            </w:r>
          </w:p>
        </w:tc>
        <w:tc>
          <w:tcPr>
            <w:tcW w:w="74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650</w:t>
            </w:r>
          </w:p>
        </w:tc>
        <w:tc>
          <w:tcPr>
            <w:tcW w:w="74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1 294</w:t>
            </w:r>
          </w:p>
        </w:tc>
        <w:tc>
          <w:tcPr>
            <w:tcW w:w="74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51,07</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537</w:t>
            </w:r>
          </w:p>
        </w:tc>
        <w:tc>
          <w:tcPr>
            <w:tcW w:w="65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185</w:t>
            </w:r>
          </w:p>
        </w:tc>
        <w:tc>
          <w:tcPr>
            <w:tcW w:w="65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722</w:t>
            </w:r>
          </w:p>
        </w:tc>
        <w:tc>
          <w:tcPr>
            <w:tcW w:w="65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55,67</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0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834</w:t>
            </w:r>
          </w:p>
        </w:tc>
        <w:tc>
          <w:tcPr>
            <w:tcW w:w="70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551</w:t>
            </w:r>
          </w:p>
        </w:tc>
        <w:tc>
          <w:tcPr>
            <w:tcW w:w="70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1 385</w:t>
            </w:r>
          </w:p>
        </w:tc>
        <w:tc>
          <w:tcPr>
            <w:tcW w:w="70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49,57</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1 629</w:t>
            </w:r>
          </w:p>
        </w:tc>
        <w:tc>
          <w:tcPr>
            <w:tcW w:w="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905</w:t>
            </w:r>
          </w:p>
        </w:tc>
        <w:tc>
          <w:tcPr>
            <w:tcW w:w="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2 534</w:t>
            </w:r>
          </w:p>
        </w:tc>
        <w:tc>
          <w:tcPr>
            <w:tcW w:w="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1 058</w:t>
            </w:r>
          </w:p>
        </w:tc>
        <w:tc>
          <w:tcPr>
            <w:tcW w:w="6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239</w:t>
            </w:r>
          </w:p>
        </w:tc>
        <w:tc>
          <w:tcPr>
            <w:tcW w:w="6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1 297</w:t>
            </w:r>
          </w:p>
        </w:tc>
        <w:tc>
          <w:tcPr>
            <w:tcW w:w="6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2 005</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789</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2 794</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2</w:t>
      </w:r>
      <w:r>
        <w:t xml:space="preserve"> </w:t>
      </w:r>
      <w:r>
        <w:br/>
        <w:t>Distribución por sexos del empleo en el sector pesquero,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128" type="#_x0000_t75" style="position:absolute;left:0;text-align:left;margin-left:62.65pt;margin-top:8.4pt;width:350.3pt;height:2in;z-index:8;mso-position-horizontal:absolute;mso-position-horizontal-relative:text;mso-position-vertical:absolute;mso-position-vertical-relative:text" o:allowincell="f">
            <v:imagedata r:id="rId21" o:title=""/>
            <w10:wrap type="topAndBottom"/>
          </v:shape>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Gráfico 2.1</w:t>
      </w:r>
      <w:r>
        <w:t xml:space="preserve"> </w:t>
      </w:r>
      <w:r>
        <w:br/>
        <w:t xml:space="preserve">Personal empleadas en el sector pesquero, por sexo y </w:t>
      </w:r>
      <w:r>
        <w:br/>
        <w:t>condiciones de empleo,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144" type="#_x0000_t75" style="position:absolute;left:0;text-align:left;margin-left:23.1pt;margin-top:12.3pt;width:446.3pt;height:120.8pt;z-index:15;mso-position-horizontal:absolute;mso-position-horizontal-relative:text;mso-position-vertical:absolute;mso-position-vertical-relative:text" o:allowincell="f">
            <v:imagedata r:id="rId22" o:title=""/>
            <w10:wrap type="topAndBottom"/>
          </v:shape>
        </w:pict>
      </w:r>
    </w:p>
    <w:p w:rsidR="00000000" w:rsidRDefault="00000000">
      <w:pPr>
        <w:pStyle w:val="SingleTx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Gráfico 2.2</w:t>
      </w:r>
      <w:r>
        <w:t xml:space="preserve"> </w:t>
      </w:r>
      <w:r>
        <w:br/>
        <w:t>Distribución por sexos del empleo en el sector pesquero,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129" type="#_x0000_t75" style="position:absolute;left:0;text-align:left;margin-left:61.6pt;margin-top:9.15pt;width:350.65pt;height:2in;z-index:9;mso-position-horizontal:absolute;mso-position-horizontal-relative:text;mso-position-vertical:absolute;mso-position-vertical-relative:text" o:allowincell="f">
            <v:imagedata r:id="rId23" o:title=""/>
            <o:lock v:ext="edit" aspectratio="f"/>
            <w10:wrap type="topAndBottom"/>
          </v:shape>
        </w:pic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2.3</w:t>
      </w:r>
      <w:r>
        <w:t xml:space="preserve"> </w:t>
      </w:r>
      <w:r>
        <w:br/>
        <w:t>Distribución por sexos del empleo en el sector pesquero,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130" type="#_x0000_t75" style="position:absolute;left:0;text-align:left;margin-left:66.4pt;margin-top:7pt;width:350.65pt;height:2in;z-index:10;mso-position-horizontal:absolute;mso-position-horizontal-relative:text;mso-position-vertical:absolute;mso-position-vertical-relative:text" o:allowincell="f">
            <v:imagedata r:id="rId24" o:title=""/>
            <o:lock v:ext="edit" aspectratio="f"/>
            <w10:wrap type="topAndBottom"/>
          </v:shape>
        </w:pict>
      </w:r>
      <w:r>
        <w:rPr>
          <w:sz w:val="10"/>
        </w:rPr>
        <w:tab/>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2.4</w:t>
      </w:r>
      <w:r>
        <w:t xml:space="preserve"> </w:t>
      </w:r>
      <w:r>
        <w:br/>
        <w:t xml:space="preserve">Personas empleadas en el sector pesquero, por sexo y condiciones </w:t>
      </w:r>
      <w:r>
        <w:br/>
        <w:t>de empleo,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131" type="#_x0000_t75" style="position:absolute;left:0;text-align:left;margin-left:28.05pt;margin-top:10.8pt;width:223.2pt;height:119.85pt;z-index:11;mso-position-horizontal:absolute;mso-position-horizontal-relative:text;mso-position-vertical:absolute;mso-position-vertical-relative:text" o:allowincell="f">
            <v:imagedata r:id="rId25" o:title=""/>
            <w10:wrap type="topAndBottom"/>
          </v:shape>
        </w:pict>
      </w:r>
      <w:r>
        <w:rPr>
          <w:noProof/>
          <w:w w:val="100"/>
        </w:rPr>
        <w:pict>
          <v:shape id="_x0000_s2132" type="#_x0000_t75" style="position:absolute;left:0;text-align:left;margin-left:254.25pt;margin-top:10.8pt;width:223.2pt;height:119.65pt;z-index:12;mso-position-horizontal:absolute;mso-position-horizontal-relative:text;mso-position-vertical:absolute;mso-position-vertical-relative:text" o:allowincell="f">
            <v:imagedata r:id="rId26" o:title=""/>
            <w10:wrap type="topAndBottom"/>
          </v:shape>
        </w:pic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Dirección de Aplicaciones e Insumos Pesqueros, Ministerio de Agricultura</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ΚΕTHΙ, Departamento de Documentación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Cooperativas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02"/>
        </w:numPr>
      </w:pPr>
      <w:r>
        <w:t>El establecimiento de cooperativas de mujeres, que comenzó en 1983 con el apoyo de la Secretaría General para la Igualdad de Género, constituye un hito en el apr</w:t>
      </w:r>
      <w:r>
        <w:t>o</w:t>
      </w:r>
      <w:r>
        <w:t>vechamiento del potencial de las mujeres rurales.</w:t>
      </w:r>
    </w:p>
    <w:p w:rsidR="00000000" w:rsidRDefault="00000000">
      <w:pPr>
        <w:pStyle w:val="SingleTxt"/>
        <w:numPr>
          <w:ilvl w:val="0"/>
          <w:numId w:val="302"/>
        </w:numPr>
      </w:pPr>
      <w:r>
        <w:t>En la actualidad hay 111 cooperativas de mujeres dedicadas al turismo rural o a agromanufacturas. En los últimos años esas cooperativas han demostrado gran pujanza. No hay que olvidar, sin embargo, los problemas con que topan en la distr</w:t>
      </w:r>
      <w:r>
        <w:t>i</w:t>
      </w:r>
      <w:r>
        <w:t>b</w:t>
      </w:r>
      <w:r>
        <w:t>u</w:t>
      </w:r>
      <w:r>
        <w:t xml:space="preserve">ción y comercialización de los productos o servicios que proporcionan. </w:t>
      </w:r>
    </w:p>
    <w:p w:rsidR="00000000" w:rsidRDefault="00000000">
      <w:pPr>
        <w:pStyle w:val="SingleTxt"/>
        <w:numPr>
          <w:ilvl w:val="0"/>
          <w:numId w:val="302"/>
        </w:numPr>
        <w:spacing w:line="230" w:lineRule="exact"/>
      </w:pPr>
      <w:r>
        <w:t>Por el artículo 3 de la Ley 2810/2000 sobre “Cooperativas agrícolas” se han modificado los requisitos para la creación de cooperativas agrícolas, reduciendo a sólo siete (7) el número de personas cuya firma se precisa para la elaboración de los estatutos de la cooperativa, frente a las 20 o aun 50 que requería la legislación ant</w:t>
      </w:r>
      <w:r>
        <w:t>e</w:t>
      </w:r>
      <w:r>
        <w:t>rior. Esa modificación facilita el establecimiento de cooperativas agrícolas en p</w:t>
      </w:r>
      <w:r>
        <w:t>e</w:t>
      </w:r>
      <w:r>
        <w:t xml:space="preserve">queñas comunidades agrarias, por lo que contribuye a crear condiciones propicias para el empleo femenino en las zonas rurales. </w:t>
      </w:r>
    </w:p>
    <w:p w:rsidR="00000000" w:rsidRDefault="00000000">
      <w:pPr>
        <w:pStyle w:val="SingleTxt"/>
        <w:numPr>
          <w:ilvl w:val="0"/>
          <w:numId w:val="302"/>
        </w:numPr>
        <w:spacing w:line="230" w:lineRule="exact"/>
      </w:pPr>
      <w:r>
        <w:t>La Secretaría General para la Igualdad de Género, con el fin de reforzar la p</w:t>
      </w:r>
      <w:r>
        <w:t>o</w:t>
      </w:r>
      <w:r>
        <w:t>sición de las mujeres miembros de cooperativas, las ha incluido como beneficiarias en el programa panhelénico “Intervenciones integradas en favor de la mujer”, que se aplica en colaboración con asociados regionales, a través de planes de acción. En esos planes de acción participan numerosas cooperativas de muj</w:t>
      </w:r>
      <w:r>
        <w:t>e</w:t>
      </w:r>
      <w:r>
        <w:t xml:space="preserve">res.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 xml:space="preserve">Programas de educación y capacitación para agricultoras </w:t>
      </w:r>
    </w:p>
    <w:p w:rsidR="00000000" w:rsidRDefault="00000000">
      <w:pPr>
        <w:pStyle w:val="SingleTxt"/>
        <w:spacing w:after="0" w:line="120" w:lineRule="exact"/>
        <w:rPr>
          <w:sz w:val="10"/>
        </w:rPr>
      </w:pPr>
    </w:p>
    <w:p w:rsidR="00000000" w:rsidRDefault="00000000">
      <w:pPr>
        <w:pStyle w:val="SingleTxt"/>
        <w:numPr>
          <w:ilvl w:val="0"/>
          <w:numId w:val="302"/>
        </w:numPr>
        <w:spacing w:line="220" w:lineRule="atLeast"/>
      </w:pPr>
      <w:r>
        <w:t>La Organización de Educación, Capacitación y Empleo Agrícolas (ΟGΕΕΚA) “DIMITRA” realizó las siguientes actividades en los años 2001-2003 (véanse los cuadros correspondientes):</w:t>
      </w:r>
    </w:p>
    <w:p w:rsidR="00000000" w:rsidRDefault="00000000">
      <w:pPr>
        <w:pStyle w:val="SingleTxt"/>
        <w:tabs>
          <w:tab w:val="right" w:pos="1685"/>
        </w:tabs>
        <w:spacing w:line="220" w:lineRule="atLeast"/>
        <w:ind w:left="1742" w:hanging="475"/>
      </w:pPr>
      <w:r>
        <w:tab/>
        <w:t>•</w:t>
      </w:r>
      <w:r>
        <w:tab/>
        <w:t>Capacitación para agricultores jóvenes de ambos sexos, con la finalidad pri</w:t>
      </w:r>
      <w:r>
        <w:t>n</w:t>
      </w:r>
      <w:r>
        <w:t>cipal de educar a los participantes para mejorar su capacidad empresarial y fortalecer su posición en el sector. En el período comprendido entre el 1º de enero de 2001 y el 31 de diciembre de 2003 recibieron capacitación 2.141 mujeres en total (es decir, el 31,27% de los participa</w:t>
      </w:r>
      <w:r>
        <w:t>n</w:t>
      </w:r>
      <w:r>
        <w:t xml:space="preserve">tes). </w:t>
      </w:r>
    </w:p>
    <w:p w:rsidR="00000000" w:rsidRDefault="00000000">
      <w:pPr>
        <w:pStyle w:val="SingleTxt"/>
        <w:tabs>
          <w:tab w:val="right" w:pos="1685"/>
        </w:tabs>
        <w:spacing w:line="230" w:lineRule="exact"/>
        <w:ind w:left="1742" w:hanging="475"/>
      </w:pPr>
      <w:r>
        <w:tab/>
        <w:t>•</w:t>
      </w:r>
      <w:r>
        <w:tab/>
        <w:t>Cursos intensivos de capacitación en apicultura, en cooperación con la Dire</w:t>
      </w:r>
      <w:r>
        <w:t>c</w:t>
      </w:r>
      <w:r>
        <w:t>ción de Producción Animal del Ministerio de Agricultura, impartidos del 1º al 31 de julio de 2003, en los que recibieron formación 152 mujeres apicultoras (es decir, el 25,33% del total de pa</w:t>
      </w:r>
      <w:r>
        <w:t>r</w:t>
      </w:r>
      <w:r>
        <w:t>ticipantes).</w:t>
      </w:r>
    </w:p>
    <w:p w:rsidR="00000000" w:rsidRDefault="00000000">
      <w:pPr>
        <w:pStyle w:val="SingleTxt"/>
        <w:numPr>
          <w:ilvl w:val="0"/>
          <w:numId w:val="302"/>
        </w:numPr>
        <w:spacing w:line="230" w:lineRule="exact"/>
      </w:pPr>
      <w:r>
        <w:t>Actos-conferencias para información y sensibilización de las mujeres agricu</w:t>
      </w:r>
      <w:r>
        <w:t>l</w:t>
      </w:r>
      <w:r>
        <w:t>toras y las mujeres de las zonas rurales:</w:t>
      </w:r>
    </w:p>
    <w:p w:rsidR="00000000" w:rsidRDefault="00000000">
      <w:pPr>
        <w:pStyle w:val="SingleTxt"/>
        <w:tabs>
          <w:tab w:val="right" w:pos="1685"/>
        </w:tabs>
        <w:spacing w:line="230" w:lineRule="exact"/>
        <w:ind w:left="1742" w:hanging="475"/>
      </w:pPr>
      <w:r>
        <w:tab/>
        <w:t>•</w:t>
      </w:r>
      <w:r>
        <w:tab/>
        <w:t>Reuniones organizadas por la Secretaría General para la Igualdad de Género en cooperación con la GESASE (Confederación General de Cooperativas Agr</w:t>
      </w:r>
      <w:r>
        <w:t>í</w:t>
      </w:r>
      <w:r>
        <w:t>colas de Grecia), el Ministerio de Agricultura y otros organismos, con el fin de informar a las afiliadas a cooperativas de mujeres y a las mujeres rurales en general (por ejemplo: Reunión Panhelénica de Cooperativas de Mujeres, At</w:t>
      </w:r>
      <w:r>
        <w:t>e</w:t>
      </w:r>
      <w:r>
        <w:t>nas, 2000; Conferencia sobre “La mujer y el campo”, Aliartos, 2001; “Reunión Panhelénica de Mujeres Agricu</w:t>
      </w:r>
      <w:r>
        <w:t>l</w:t>
      </w:r>
      <w:r>
        <w:t xml:space="preserve">toras”, noviembre de 2002) </w:t>
      </w:r>
    </w:p>
    <w:p w:rsidR="00000000" w:rsidRDefault="00000000">
      <w:pPr>
        <w:pStyle w:val="SingleTxt"/>
        <w:tabs>
          <w:tab w:val="right" w:pos="1685"/>
        </w:tabs>
        <w:spacing w:line="220" w:lineRule="exact"/>
        <w:ind w:left="1742" w:hanging="475"/>
      </w:pPr>
      <w:r>
        <w:tab/>
        <w:t>•</w:t>
      </w:r>
      <w:r>
        <w:tab/>
        <w:t xml:space="preserve">Seminario educativo de dos días de duración para afiliadas a cooperativas de mujeres, celebrado los días 12 y 13 de septiembre de 2003 en el Centro </w:t>
      </w:r>
      <w:r>
        <w:rPr>
          <w:spacing w:val="6"/>
        </w:rPr>
        <w:t>“Dimitra” de Tesalónica, en cooperación con la Dirección de Economía D</w:t>
      </w:r>
      <w:r>
        <w:rPr>
          <w:spacing w:val="6"/>
        </w:rPr>
        <w:t>o</w:t>
      </w:r>
      <w:r>
        <w:t>méstica Agrícola y el Centro Europeo de Información Agrícola de la Escuela Americana de Agricultura. Participaron en el seminario cincuenta (50) deleg</w:t>
      </w:r>
      <w:r>
        <w:t>a</w:t>
      </w:r>
      <w:r>
        <w:t>ciones de cooperativas de muj</w:t>
      </w:r>
      <w:r>
        <w:t>e</w:t>
      </w:r>
      <w:r>
        <w:t xml:space="preserve">res. </w:t>
      </w:r>
    </w:p>
    <w:p w:rsidR="00000000" w:rsidRDefault="00000000">
      <w:pPr>
        <w:pStyle w:val="SingleTxt"/>
        <w:tabs>
          <w:tab w:val="right" w:pos="1685"/>
        </w:tabs>
        <w:spacing w:line="220" w:lineRule="exact"/>
        <w:ind w:left="1742" w:hanging="475"/>
      </w:pPr>
      <w:r>
        <w:tab/>
        <w:t>•</w:t>
      </w:r>
      <w:r>
        <w:tab/>
        <w:t xml:space="preserve">Publicación de un folleto informativo de la Secretaría General para la Igualdad de Género con el título “La Mujer y el Campo”. </w:t>
      </w:r>
    </w:p>
    <w:p w:rsidR="00000000" w:rsidRDefault="00000000">
      <w:pPr>
        <w:pStyle w:val="SingleTxt"/>
        <w:numPr>
          <w:ilvl w:val="0"/>
          <w:numId w:val="302"/>
        </w:numPr>
        <w:spacing w:line="220" w:lineRule="exact"/>
      </w:pPr>
      <w:r>
        <w:t>Investigaciones/estudios:</w:t>
      </w:r>
    </w:p>
    <w:p w:rsidR="00000000" w:rsidRDefault="00000000">
      <w:pPr>
        <w:pStyle w:val="SingleTxt"/>
        <w:tabs>
          <w:tab w:val="right" w:pos="1685"/>
        </w:tabs>
        <w:spacing w:line="220" w:lineRule="exact"/>
        <w:ind w:left="1742" w:hanging="475"/>
      </w:pPr>
      <w:r>
        <w:tab/>
        <w:t>•</w:t>
      </w:r>
      <w:r>
        <w:tab/>
        <w:t>“Descripción de las cooperativas de mujeres”, octubre de 2000, estudio real</w:t>
      </w:r>
      <w:r>
        <w:t>i</w:t>
      </w:r>
      <w:r>
        <w:t xml:space="preserve">zado por la Secretaría General para la Igualdad de Género, la Federación Panhelénica de Cooperativas Agrícolas y el Ministerio de Agricultura. </w:t>
      </w:r>
    </w:p>
    <w:p w:rsidR="00000000" w:rsidRDefault="00000000">
      <w:pPr>
        <w:pStyle w:val="SingleTxt"/>
        <w:tabs>
          <w:tab w:val="right" w:pos="1685"/>
        </w:tabs>
        <w:spacing w:line="220" w:lineRule="exact"/>
        <w:ind w:left="1742" w:hanging="475"/>
      </w:pPr>
      <w:r>
        <w:tab/>
        <w:t>•</w:t>
      </w:r>
      <w:r>
        <w:tab/>
        <w:t>“Establecimiento de una red para la interconexión de las cooperativas de muj</w:t>
      </w:r>
      <w:r>
        <w:t>e</w:t>
      </w:r>
      <w:r>
        <w:t>res”, estudio realizado por la Secretaría General para la Igualdad de Género en el contexto de la Reunión Panhelénica de Cooperativas de Mujeres (18 a 20 de f</w:t>
      </w:r>
      <w:r>
        <w:t>e</w:t>
      </w:r>
      <w:r>
        <w:t>brero de 2000).</w:t>
      </w:r>
    </w:p>
    <w:p w:rsidR="00000000" w:rsidRDefault="00000000">
      <w:pPr>
        <w:pStyle w:val="SingleTxt"/>
        <w:tabs>
          <w:tab w:val="right" w:pos="1685"/>
        </w:tabs>
        <w:spacing w:line="220" w:lineRule="exact"/>
        <w:ind w:left="1742" w:hanging="475"/>
      </w:pPr>
      <w:r>
        <w:tab/>
        <w:t>•</w:t>
      </w:r>
      <w:r>
        <w:tab/>
        <w:t>“Estudio sobre la igualdad de oportunidades entre hombres y mujeres y el d</w:t>
      </w:r>
      <w:r>
        <w:t>e</w:t>
      </w:r>
      <w:r>
        <w:t>sarrollo agrícola”, Centro Nacional de Investigación Social-Instituto de S</w:t>
      </w:r>
      <w:r>
        <w:t>o</w:t>
      </w:r>
      <w:r>
        <w:t>ciología Cívica y Agrícola, abril de 2000.</w:t>
      </w:r>
    </w:p>
    <w:p w:rsidR="00000000" w:rsidRDefault="00000000">
      <w:pPr>
        <w:pStyle w:val="SingleTxt"/>
        <w:tabs>
          <w:tab w:val="right" w:pos="1685"/>
        </w:tabs>
        <w:spacing w:line="220" w:lineRule="exact"/>
        <w:ind w:left="1742" w:hanging="475"/>
      </w:pPr>
      <w:r>
        <w:tab/>
        <w:t>•</w:t>
      </w:r>
      <w:r>
        <w:tab/>
        <w:t>“Análisis de la imagen de la mujer en las zonas costeras, prestando particular atención a los centros pesqueros importantes”, Universidad de Atenas–Depa</w:t>
      </w:r>
      <w:r>
        <w:t>r</w:t>
      </w:r>
      <w:r>
        <w:t>tamento de Zoología y Biología Marina, At</w:t>
      </w:r>
      <w:r>
        <w:t>e</w:t>
      </w:r>
      <w:r>
        <w:t>nas, 2003.</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r>
        <w:rPr>
          <w:noProof/>
          <w:w w:val="100"/>
        </w:rPr>
        <w:pict>
          <v:shape id="_x0000_s2145" type="#_x0000_t75" style="position:absolute;left:0;text-align:left;margin-left:64.75pt;margin-top:188.3pt;width:374.15pt;height:173.3pt;z-index:16;mso-position-horizontal:absolute;mso-position-horizontal-relative:text;mso-position-vertical:absolute;mso-position-vertical-relative:text" o:allowincell="f">
            <v:imagedata r:id="rId27" o:title=""/>
            <w10:wrap type="topAndBottom"/>
          </v:shape>
        </w:pict>
      </w:r>
      <w:r>
        <w:rPr>
          <w:noProof/>
          <w:w w:val="100"/>
        </w:rPr>
        <w:pict>
          <v:group id="_x0000_s2133" style="position:absolute;left:0;text-align:left;margin-left:64.25pt;margin-top:-6.7pt;width:374.4pt;height:193.65pt;z-index:13" coordorigin="2480,1728" coordsize="7488,3873" o:allowincell="f">
            <v:shape id="_x0000_s2134" type="#_x0000_t75" style="position:absolute;left:2480;top:1728;width:7488;height:3873">
              <v:imagedata r:id="rId28" o:title=""/>
            </v:shape>
            <v:group id="_x0000_s2135" style="position:absolute;left:8510;top:4432;width:1324;height:1006" coordorigin="9072,4004" coordsize="1401,1266">
              <v:rect id="_x0000_s2136" style="position:absolute;left:9072;top:4004;width:1372;height:1266" strokeweight="0">
                <v:fill color2="black"/>
                <v:stroke color2="black"/>
              </v:rect>
              <v:rect id="_x0000_s2137" style="position:absolute;left:9173;top:4137;width:217;height:225" fillcolor="yellow" strokeweight=".7pt">
                <v:fill color2="#ffc"/>
                <v:stroke color2="#ffc"/>
              </v:rect>
              <v:rect id="_x0000_s2138" style="position:absolute;left:9476;top:4116;width:881;height:285" filled="f" stroked="f">
                <v:textbox style="mso-next-textbox:#_x0000_s2138;mso-rotate-with-shape:t" inset="0,0,0,0">
                  <w:txbxContent>
                    <w:p w:rsidR="00000000" w:rsidRDefault="00000000">
                      <w:pPr>
                        <w:rPr>
                          <w:sz w:val="16"/>
                        </w:rPr>
                      </w:pPr>
                      <w:r>
                        <w:rPr>
                          <w:rFonts w:ascii="Arial" w:hAnsi="Arial"/>
                          <w:snapToGrid w:val="0"/>
                          <w:color w:val="000000"/>
                          <w:sz w:val="16"/>
                          <w:lang w:val="en-US" w:eastAsia="en-US"/>
                        </w:rPr>
                        <w:t>ΣΥΝΟΛΟ</w:t>
                      </w:r>
                    </w:p>
                  </w:txbxContent>
                </v:textbox>
              </v:rect>
              <v:rect id="_x0000_s2139" style="position:absolute;left:9173;top:4518;width:217;height:225" fillcolor="#36f" strokeweight=".7pt">
                <v:fill color2="#ffc"/>
                <v:stroke color2="#ffc"/>
              </v:rect>
              <v:rect id="_x0000_s2140" style="position:absolute;left:9476;top:4499;width:852;height:285" filled="f" stroked="f">
                <v:textbox style="mso-next-textbox:#_x0000_s2140;mso-rotate-with-shape:t" inset="0,0,0,0">
                  <w:txbxContent>
                    <w:p w:rsidR="00000000" w:rsidRDefault="00000000">
                      <w:pPr>
                        <w:rPr>
                          <w:rFonts w:ascii="Arial" w:hAnsi="Arial"/>
                          <w:snapToGrid w:val="0"/>
                          <w:color w:val="000000"/>
                          <w:sz w:val="16"/>
                          <w:lang w:val="en-US" w:eastAsia="en-US"/>
                        </w:rPr>
                      </w:pPr>
                      <w:r>
                        <w:rPr>
                          <w:rFonts w:ascii="Arial" w:hAnsi="Arial"/>
                          <w:snapToGrid w:val="0"/>
                          <w:color w:val="000000"/>
                          <w:sz w:val="16"/>
                          <w:lang w:val="en-US" w:eastAsia="en-US"/>
                        </w:rPr>
                        <w:t>ΑΝΔΡΕΣ</w:t>
                      </w:r>
                    </w:p>
                  </w:txbxContent>
                </v:textbox>
              </v:rect>
              <v:rect id="_x0000_s2141" style="position:absolute;left:9173;top:4899;width:217;height:225" fillcolor="red" strokeweight=".7pt">
                <v:fill color2="#ffc"/>
                <v:stroke color2="#ffc"/>
              </v:rect>
              <v:rect id="_x0000_s2142" style="position:absolute;left:9476;top:4864;width:997;height:285" filled="f" stroked="f">
                <v:textbox style="mso-next-textbox:#_x0000_s2142;mso-rotate-with-shape:t" inset="0,0,0,0">
                  <w:txbxContent>
                    <w:p w:rsidR="00000000" w:rsidRDefault="00000000">
                      <w:pPr>
                        <w:rPr>
                          <w:rFonts w:ascii="Arial" w:hAnsi="Arial"/>
                          <w:snapToGrid w:val="0"/>
                          <w:color w:val="000000"/>
                          <w:sz w:val="16"/>
                          <w:lang w:val="en-US" w:eastAsia="en-US"/>
                        </w:rPr>
                      </w:pPr>
                      <w:r>
                        <w:rPr>
                          <w:rFonts w:ascii="Arial" w:hAnsi="Arial"/>
                          <w:snapToGrid w:val="0"/>
                          <w:color w:val="000000"/>
                          <w:sz w:val="16"/>
                          <w:lang w:val="en-US" w:eastAsia="en-US"/>
                        </w:rPr>
                        <w:t>ΓΥΝΑΙΚΕΣ</w:t>
                      </w:r>
                    </w:p>
                  </w:txbxContent>
                </v:textbox>
              </v:rect>
            </v:group>
            <w10:wrap type="topAndBottom"/>
          </v:group>
        </w:pict>
      </w:r>
    </w:p>
    <w:p w:rsidR="00000000" w:rsidRDefault="00000000">
      <w:pPr>
        <w:pStyle w:val="SingleTxt"/>
      </w:pPr>
      <w:r>
        <w:tab/>
      </w:r>
      <w:r>
        <w:rPr>
          <w:i/>
        </w:rPr>
        <w:t>Nota de la Secretaría</w:t>
      </w:r>
      <w:r>
        <w:t>: Los anexos y apéndices al presente informe se facilit</w:t>
      </w:r>
      <w:r>
        <w:t>a</w:t>
      </w:r>
      <w:r>
        <w:t>rán a los miembros del Comité en el idioma en que se recibieron.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Annex</w:t>
      </w:r>
      <w:r>
        <w:rPr>
          <w:lang w:val="en-GB"/>
        </w:rPr>
        <w:t xml:space="preserve"> </w:t>
      </w:r>
      <w:r>
        <w:t>Α</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w:t>
      </w:r>
      <w:r>
        <w:t>Article</w:t>
      </w:r>
      <w:r>
        <w:rPr>
          <w:lang w:val="en-GB"/>
        </w:rPr>
        <w:t xml:space="preserve"> 5)</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Actions</w:t>
      </w:r>
      <w:r>
        <w:rPr>
          <w:lang w:val="en-GB"/>
        </w:rPr>
        <w:t xml:space="preserve"> –</w:t>
      </w:r>
      <w:r>
        <w:t>Initiatives</w:t>
      </w:r>
      <w:r>
        <w:rPr>
          <w:lang w:val="en-GB"/>
        </w:rPr>
        <w:t xml:space="preserve"> for the </w:t>
      </w:r>
      <w:r>
        <w:t>Elimination of Stereotypes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308"/>
        </w:numPr>
        <w:rPr>
          <w:lang w:val="en-GB"/>
        </w:rPr>
      </w:pPr>
      <w:r>
        <w:t>During</w:t>
      </w:r>
      <w:r>
        <w:rPr>
          <w:lang w:val="en-GB"/>
        </w:rPr>
        <w:t xml:space="preserve"> the current </w:t>
      </w:r>
      <w:r>
        <w:t>s</w:t>
      </w:r>
      <w:r>
        <w:rPr>
          <w:lang w:val="en-GB"/>
        </w:rPr>
        <w:t xml:space="preserve">chool year, </w:t>
      </w:r>
      <w:r>
        <w:t>K</w:t>
      </w:r>
      <w:r>
        <w:rPr>
          <w:lang w:val="en-GB"/>
        </w:rPr>
        <w:t>.</w:t>
      </w:r>
      <w:r>
        <w:t>E</w:t>
      </w:r>
      <w:r>
        <w:rPr>
          <w:lang w:val="en-GB"/>
        </w:rPr>
        <w:t>.</w:t>
      </w:r>
      <w:r>
        <w:t>TH</w:t>
      </w:r>
      <w:r>
        <w:rPr>
          <w:lang w:val="en-GB"/>
        </w:rPr>
        <w:t>.</w:t>
      </w:r>
      <w:r>
        <w:t>I</w:t>
      </w:r>
      <w:r>
        <w:rPr>
          <w:lang w:val="en-GB"/>
        </w:rPr>
        <w:t xml:space="preserve">. (the Research Centre for Gender Equality, </w:t>
      </w:r>
      <w:r>
        <w:t>supervised</w:t>
      </w:r>
      <w:r>
        <w:rPr>
          <w:lang w:val="en-GB"/>
        </w:rPr>
        <w:t xml:space="preserve"> </w:t>
      </w:r>
      <w:r>
        <w:t>by</w:t>
      </w:r>
      <w:r>
        <w:rPr>
          <w:lang w:val="en-GB"/>
        </w:rPr>
        <w:t xml:space="preserve"> </w:t>
      </w:r>
      <w:r>
        <w:t>the</w:t>
      </w:r>
      <w:r>
        <w:rPr>
          <w:lang w:val="en-GB"/>
        </w:rPr>
        <w:t xml:space="preserve"> </w:t>
      </w:r>
      <w:r>
        <w:t>General Secretariat for Gender Equality</w:t>
      </w:r>
      <w:r>
        <w:rPr>
          <w:lang w:val="en-GB"/>
        </w:rPr>
        <w:t>) has impl</w:t>
      </w:r>
      <w:r>
        <w:rPr>
          <w:lang w:val="en-GB"/>
        </w:rPr>
        <w:t>e</w:t>
      </w:r>
      <w:r>
        <w:rPr>
          <w:lang w:val="en-GB"/>
        </w:rPr>
        <w:t xml:space="preserve">mented </w:t>
      </w:r>
      <w:r>
        <w:t>intervention</w:t>
      </w:r>
      <w:r>
        <w:rPr>
          <w:lang w:val="en-GB"/>
        </w:rPr>
        <w:t xml:space="preserve"> </w:t>
      </w:r>
      <w:r>
        <w:t>programmes</w:t>
      </w:r>
      <w:r>
        <w:rPr>
          <w:lang w:val="en-GB"/>
        </w:rPr>
        <w:t xml:space="preserve">, </w:t>
      </w:r>
      <w:r>
        <w:t>among</w:t>
      </w:r>
      <w:r>
        <w:rPr>
          <w:lang w:val="en-GB"/>
        </w:rPr>
        <w:t xml:space="preserve"> </w:t>
      </w:r>
      <w:r>
        <w:t>which</w:t>
      </w:r>
      <w:r>
        <w:rPr>
          <w:lang w:val="en-GB"/>
        </w:rPr>
        <w:t xml:space="preserve"> there are some that </w:t>
      </w:r>
      <w:r>
        <w:t>concern</w:t>
      </w:r>
      <w:r>
        <w:rPr>
          <w:lang w:val="en-GB"/>
        </w:rPr>
        <w:t xml:space="preserve"> </w:t>
      </w:r>
      <w:r>
        <w:t>the</w:t>
      </w:r>
      <w:r>
        <w:rPr>
          <w:lang w:val="en-GB"/>
        </w:rPr>
        <w:t xml:space="preserve"> </w:t>
      </w:r>
      <w:r>
        <w:t>g</w:t>
      </w:r>
      <w:r>
        <w:t>e</w:t>
      </w:r>
      <w:r>
        <w:t>neral</w:t>
      </w:r>
      <w:r>
        <w:rPr>
          <w:lang w:val="en-GB"/>
        </w:rPr>
        <w:t xml:space="preserve"> subject of “</w:t>
      </w:r>
      <w:r>
        <w:t>Gender</w:t>
      </w:r>
      <w:r>
        <w:rPr>
          <w:lang w:val="en-GB"/>
        </w:rPr>
        <w:t xml:space="preserve"> </w:t>
      </w:r>
      <w:r>
        <w:t>and</w:t>
      </w:r>
      <w:r>
        <w:rPr>
          <w:lang w:val="en-GB"/>
        </w:rPr>
        <w:t xml:space="preserve"> </w:t>
      </w:r>
      <w:r>
        <w:t>Μass</w:t>
      </w:r>
      <w:r>
        <w:rPr>
          <w:lang w:val="en-GB"/>
        </w:rPr>
        <w:t xml:space="preserve"> </w:t>
      </w:r>
      <w:r>
        <w:t>Media”</w:t>
      </w:r>
      <w:r>
        <w:rPr>
          <w:lang w:val="en-GB"/>
        </w:rPr>
        <w:t xml:space="preserve">, </w:t>
      </w:r>
      <w:r>
        <w:t>with</w:t>
      </w:r>
      <w:r>
        <w:rPr>
          <w:lang w:val="en-GB"/>
        </w:rPr>
        <w:t xml:space="preserve"> </w:t>
      </w:r>
      <w:r>
        <w:t>informative</w:t>
      </w:r>
      <w:r>
        <w:rPr>
          <w:lang w:val="en-GB"/>
        </w:rPr>
        <w:t xml:space="preserve"> </w:t>
      </w:r>
      <w:r>
        <w:t>meetings</w:t>
      </w:r>
      <w:r>
        <w:rPr>
          <w:lang w:val="en-GB"/>
        </w:rPr>
        <w:t xml:space="preserve"> </w:t>
      </w:r>
      <w:r>
        <w:t>in</w:t>
      </w:r>
      <w:r>
        <w:rPr>
          <w:lang w:val="en-GB"/>
        </w:rPr>
        <w:t xml:space="preserve"> </w:t>
      </w:r>
      <w:r>
        <w:t>schools</w:t>
      </w:r>
      <w:r>
        <w:rPr>
          <w:lang w:val="en-GB"/>
        </w:rPr>
        <w:t xml:space="preserve">, </w:t>
      </w:r>
      <w:r>
        <w:t>in</w:t>
      </w:r>
      <w:r>
        <w:rPr>
          <w:lang w:val="en-GB"/>
        </w:rPr>
        <w:t xml:space="preserve"> </w:t>
      </w:r>
      <w:r>
        <w:t>the</w:t>
      </w:r>
      <w:r>
        <w:rPr>
          <w:lang w:val="en-GB"/>
        </w:rPr>
        <w:t xml:space="preserve"> context </w:t>
      </w:r>
      <w:r>
        <w:t>of</w:t>
      </w:r>
      <w:r>
        <w:rPr>
          <w:lang w:val="en-GB"/>
        </w:rPr>
        <w:t xml:space="preserve"> </w:t>
      </w:r>
      <w:r>
        <w:t>the</w:t>
      </w:r>
      <w:r>
        <w:rPr>
          <w:lang w:val="en-GB"/>
        </w:rPr>
        <w:t xml:space="preserve"> </w:t>
      </w:r>
      <w:r>
        <w:t>programme</w:t>
      </w:r>
      <w:r>
        <w:rPr>
          <w:lang w:val="en-GB"/>
        </w:rPr>
        <w:t xml:space="preserve"> “</w:t>
      </w:r>
      <w:r>
        <w:t>Sensitization</w:t>
      </w:r>
      <w:r>
        <w:rPr>
          <w:lang w:val="en-GB"/>
        </w:rPr>
        <w:t xml:space="preserve"> </w:t>
      </w:r>
      <w:r>
        <w:t>of</w:t>
      </w:r>
      <w:r>
        <w:rPr>
          <w:lang w:val="en-GB"/>
        </w:rPr>
        <w:t xml:space="preserve"> </w:t>
      </w:r>
      <w:r>
        <w:t>Teachers</w:t>
      </w:r>
      <w:r>
        <w:rPr>
          <w:lang w:val="en-GB"/>
        </w:rPr>
        <w:t xml:space="preserve"> </w:t>
      </w:r>
      <w:r>
        <w:t>and</w:t>
      </w:r>
      <w:r>
        <w:rPr>
          <w:lang w:val="en-GB"/>
        </w:rPr>
        <w:t xml:space="preserve"> </w:t>
      </w:r>
      <w:r>
        <w:t>Intervention</w:t>
      </w:r>
      <w:r>
        <w:rPr>
          <w:lang w:val="en-GB"/>
        </w:rPr>
        <w:t xml:space="preserve"> </w:t>
      </w:r>
      <w:r>
        <w:t>Progra</w:t>
      </w:r>
      <w:r>
        <w:t>m</w:t>
      </w:r>
      <w:r>
        <w:t>mes</w:t>
      </w:r>
      <w:r>
        <w:rPr>
          <w:lang w:val="en-GB"/>
        </w:rPr>
        <w:t xml:space="preserve"> </w:t>
      </w:r>
      <w:r>
        <w:t>to</w:t>
      </w:r>
      <w:r>
        <w:rPr>
          <w:lang w:val="en-GB"/>
        </w:rPr>
        <w:t xml:space="preserve"> </w:t>
      </w:r>
      <w:r>
        <w:t>promote</w:t>
      </w:r>
      <w:r>
        <w:rPr>
          <w:lang w:val="en-GB"/>
        </w:rPr>
        <w:t xml:space="preserve"> </w:t>
      </w:r>
      <w:r>
        <w:t>Gender</w:t>
      </w:r>
      <w:r>
        <w:rPr>
          <w:lang w:val="en-GB"/>
        </w:rPr>
        <w:t xml:space="preserve"> </w:t>
      </w:r>
      <w:r>
        <w:t>Equality”</w:t>
      </w:r>
      <w:r>
        <w:rPr>
          <w:lang w:val="en-GB"/>
        </w:rPr>
        <w:t xml:space="preserve"> (</w:t>
      </w:r>
      <w:r>
        <w:t>Action</w:t>
      </w:r>
      <w:r>
        <w:rPr>
          <w:lang w:val="en-GB"/>
        </w:rPr>
        <w:t xml:space="preserve"> </w:t>
      </w:r>
      <w:r>
        <w:t>Category</w:t>
      </w:r>
      <w:r>
        <w:rPr>
          <w:lang w:val="en-GB"/>
        </w:rPr>
        <w:t xml:space="preserve"> 4.1.1.</w:t>
      </w:r>
      <w:r>
        <w:t>a</w:t>
      </w:r>
      <w:r>
        <w:rPr>
          <w:lang w:val="en-GB"/>
        </w:rPr>
        <w:t xml:space="preserve">) </w:t>
      </w:r>
      <w:r>
        <w:t>which</w:t>
      </w:r>
      <w:r>
        <w:rPr>
          <w:lang w:val="en-GB"/>
        </w:rPr>
        <w:t xml:space="preserve"> </w:t>
      </w:r>
      <w:r>
        <w:t>is</w:t>
      </w:r>
      <w:r>
        <w:rPr>
          <w:lang w:val="en-GB"/>
        </w:rPr>
        <w:t xml:space="preserve"> </w:t>
      </w:r>
      <w:r>
        <w:t>integrated</w:t>
      </w:r>
      <w:r>
        <w:rPr>
          <w:lang w:val="en-GB"/>
        </w:rPr>
        <w:t xml:space="preserve"> </w:t>
      </w:r>
      <w:r>
        <w:t>in</w:t>
      </w:r>
      <w:r>
        <w:rPr>
          <w:lang w:val="en-GB"/>
        </w:rPr>
        <w:t xml:space="preserve"> </w:t>
      </w:r>
      <w:r>
        <w:t>the</w:t>
      </w:r>
      <w:r>
        <w:rPr>
          <w:lang w:val="en-GB"/>
        </w:rPr>
        <w:t xml:space="preserve"> </w:t>
      </w:r>
      <w:r>
        <w:t>Priority</w:t>
      </w:r>
      <w:r>
        <w:rPr>
          <w:lang w:val="en-GB"/>
        </w:rPr>
        <w:t xml:space="preserve"> </w:t>
      </w:r>
      <w:r>
        <w:t>Axis</w:t>
      </w:r>
      <w:r>
        <w:rPr>
          <w:lang w:val="en-GB"/>
        </w:rPr>
        <w:t xml:space="preserve"> 4 </w:t>
      </w:r>
      <w:r>
        <w:t>of</w:t>
      </w:r>
      <w:r>
        <w:rPr>
          <w:lang w:val="en-GB"/>
        </w:rPr>
        <w:t xml:space="preserve"> </w:t>
      </w:r>
      <w:r>
        <w:t>the</w:t>
      </w:r>
      <w:r>
        <w:rPr>
          <w:lang w:val="en-GB"/>
        </w:rPr>
        <w:t xml:space="preserve"> </w:t>
      </w:r>
      <w:r>
        <w:t>Operational</w:t>
      </w:r>
      <w:r>
        <w:rPr>
          <w:lang w:val="en-GB"/>
        </w:rPr>
        <w:t xml:space="preserve"> </w:t>
      </w:r>
      <w:r>
        <w:t>Programme</w:t>
      </w:r>
      <w:r>
        <w:rPr>
          <w:lang w:val="en-GB"/>
        </w:rPr>
        <w:t xml:space="preserve"> </w:t>
      </w:r>
      <w:r>
        <w:t>“Education and Initial Vocational Training ΙΙ”</w:t>
      </w:r>
      <w:r>
        <w:rPr>
          <w:lang w:val="en-GB"/>
        </w:rPr>
        <w:t xml:space="preserve"> (“Measures to improve women’s access and position in the labour ma</w:t>
      </w:r>
      <w:r>
        <w:rPr>
          <w:lang w:val="en-GB"/>
        </w:rPr>
        <w:t>r</w:t>
      </w:r>
      <w:r>
        <w:rPr>
          <w:lang w:val="en-GB"/>
        </w:rPr>
        <w:t>ket”), aiming at promoting Gender Equality in the sector of Secondary Education and Initial Vocational Training, introducing the relevant theme in school proc</w:t>
      </w:r>
      <w:r>
        <w:rPr>
          <w:lang w:val="en-GB"/>
        </w:rPr>
        <w:t>e</w:t>
      </w:r>
      <w:r>
        <w:rPr>
          <w:lang w:val="en-GB"/>
        </w:rPr>
        <w:t>dures.</w:t>
      </w:r>
    </w:p>
    <w:p w:rsidR="00000000" w:rsidRDefault="00000000">
      <w:pPr>
        <w:pStyle w:val="SingleTxt"/>
        <w:rPr>
          <w:lang w:val="en-GB"/>
        </w:rPr>
      </w:pPr>
      <w:r>
        <w:tab/>
        <w:t>The</w:t>
      </w:r>
      <w:r>
        <w:rPr>
          <w:lang w:val="en-GB"/>
        </w:rPr>
        <w:t xml:space="preserve"> </w:t>
      </w:r>
      <w:r>
        <w:t>Athens</w:t>
      </w:r>
      <w:r>
        <w:rPr>
          <w:lang w:val="en-GB"/>
        </w:rPr>
        <w:t xml:space="preserve"> </w:t>
      </w:r>
      <w:r>
        <w:t>News</w:t>
      </w:r>
      <w:r>
        <w:rPr>
          <w:lang w:val="en-GB"/>
        </w:rPr>
        <w:t xml:space="preserve"> </w:t>
      </w:r>
      <w:r>
        <w:t xml:space="preserve">Agency </w:t>
      </w:r>
      <w:r>
        <w:rPr>
          <w:lang w:val="en-GB"/>
        </w:rPr>
        <w:t xml:space="preserve">gives particular </w:t>
      </w:r>
      <w:r>
        <w:t>emphasis</w:t>
      </w:r>
      <w:r>
        <w:rPr>
          <w:lang w:val="en-GB"/>
        </w:rPr>
        <w:t xml:space="preserve"> </w:t>
      </w:r>
      <w:r>
        <w:t>on</w:t>
      </w:r>
      <w:r>
        <w:rPr>
          <w:lang w:val="en-GB"/>
        </w:rPr>
        <w:t xml:space="preserve"> </w:t>
      </w:r>
      <w:r>
        <w:t>such</w:t>
      </w:r>
      <w:r>
        <w:rPr>
          <w:lang w:val="en-GB"/>
        </w:rPr>
        <w:t xml:space="preserve"> </w:t>
      </w:r>
      <w:r>
        <w:t>matters</w:t>
      </w:r>
      <w:r>
        <w:rPr>
          <w:lang w:val="en-GB"/>
        </w:rPr>
        <w:t xml:space="preserve"> </w:t>
      </w:r>
      <w:r>
        <w:t>as</w:t>
      </w:r>
      <w:r>
        <w:rPr>
          <w:lang w:val="en-GB"/>
        </w:rPr>
        <w:t xml:space="preserve">: </w:t>
      </w:r>
      <w:r>
        <w:t>pr</w:t>
      </w:r>
      <w:r>
        <w:t>o</w:t>
      </w:r>
      <w:r>
        <w:t>grammes</w:t>
      </w:r>
      <w:r>
        <w:rPr>
          <w:lang w:val="en-GB"/>
        </w:rPr>
        <w:t xml:space="preserve"> for the </w:t>
      </w:r>
      <w:r>
        <w:t>elimination</w:t>
      </w:r>
      <w:r>
        <w:rPr>
          <w:lang w:val="en-GB"/>
        </w:rPr>
        <w:t xml:space="preserve"> </w:t>
      </w:r>
      <w:r>
        <w:t>of</w:t>
      </w:r>
      <w:r>
        <w:rPr>
          <w:lang w:val="en-GB"/>
        </w:rPr>
        <w:t xml:space="preserve"> </w:t>
      </w:r>
      <w:r>
        <w:t>violence</w:t>
      </w:r>
      <w:r>
        <w:rPr>
          <w:lang w:val="en-GB"/>
        </w:rPr>
        <w:t xml:space="preserve"> </w:t>
      </w:r>
      <w:r>
        <w:t>against</w:t>
      </w:r>
      <w:r>
        <w:rPr>
          <w:lang w:val="en-GB"/>
        </w:rPr>
        <w:t xml:space="preserve"> </w:t>
      </w:r>
      <w:r>
        <w:t>children</w:t>
      </w:r>
      <w:r>
        <w:rPr>
          <w:lang w:val="en-GB"/>
        </w:rPr>
        <w:t xml:space="preserve">, </w:t>
      </w:r>
      <w:r>
        <w:t>adolescents</w:t>
      </w:r>
      <w:r>
        <w:rPr>
          <w:lang w:val="en-GB"/>
        </w:rPr>
        <w:t xml:space="preserve"> </w:t>
      </w:r>
      <w:r>
        <w:t>and</w:t>
      </w:r>
      <w:r>
        <w:rPr>
          <w:lang w:val="en-GB"/>
        </w:rPr>
        <w:t xml:space="preserve"> </w:t>
      </w:r>
      <w:r>
        <w:t>women</w:t>
      </w:r>
      <w:r>
        <w:rPr>
          <w:lang w:val="en-GB"/>
        </w:rPr>
        <w:t xml:space="preserve">, </w:t>
      </w:r>
      <w:r>
        <w:t>conferences</w:t>
      </w:r>
      <w:r>
        <w:rPr>
          <w:lang w:val="en-GB"/>
        </w:rPr>
        <w:t xml:space="preserve"> </w:t>
      </w:r>
      <w:r>
        <w:t>on</w:t>
      </w:r>
      <w:r>
        <w:rPr>
          <w:lang w:val="en-GB"/>
        </w:rPr>
        <w:t xml:space="preserve"> </w:t>
      </w:r>
      <w:r>
        <w:t>gender</w:t>
      </w:r>
      <w:r>
        <w:rPr>
          <w:lang w:val="en-GB"/>
        </w:rPr>
        <w:t xml:space="preserve"> </w:t>
      </w:r>
      <w:r>
        <w:t>equality or</w:t>
      </w:r>
      <w:r>
        <w:rPr>
          <w:lang w:val="en-GB"/>
        </w:rPr>
        <w:t xml:space="preserve"> </w:t>
      </w:r>
      <w:r>
        <w:t>improvement</w:t>
      </w:r>
      <w:r>
        <w:rPr>
          <w:lang w:val="en-GB"/>
        </w:rPr>
        <w:t xml:space="preserve"> </w:t>
      </w:r>
      <w:r>
        <w:t>of</w:t>
      </w:r>
      <w:r>
        <w:rPr>
          <w:lang w:val="en-GB"/>
        </w:rPr>
        <w:t xml:space="preserve"> </w:t>
      </w:r>
      <w:r>
        <w:t>women</w:t>
      </w:r>
      <w:r>
        <w:rPr>
          <w:lang w:val="en-GB"/>
        </w:rPr>
        <w:t>’</w:t>
      </w:r>
      <w:r>
        <w:t>s</w:t>
      </w:r>
      <w:r>
        <w:rPr>
          <w:lang w:val="en-GB"/>
        </w:rPr>
        <w:t xml:space="preserve"> </w:t>
      </w:r>
      <w:r>
        <w:t>position</w:t>
      </w:r>
      <w:r>
        <w:rPr>
          <w:lang w:val="en-GB"/>
        </w:rPr>
        <w:t xml:space="preserve"> </w:t>
      </w:r>
      <w:r>
        <w:t>in</w:t>
      </w:r>
      <w:r>
        <w:rPr>
          <w:lang w:val="en-GB"/>
        </w:rPr>
        <w:t xml:space="preserve"> </w:t>
      </w:r>
      <w:r>
        <w:t>fields</w:t>
      </w:r>
      <w:r>
        <w:rPr>
          <w:lang w:val="en-GB"/>
        </w:rPr>
        <w:t xml:space="preserve"> </w:t>
      </w:r>
      <w:r>
        <w:t>like</w:t>
      </w:r>
      <w:r>
        <w:rPr>
          <w:lang w:val="en-GB"/>
        </w:rPr>
        <w:t xml:space="preserve"> the </w:t>
      </w:r>
      <w:r>
        <w:t>armed forces</w:t>
      </w:r>
      <w:r>
        <w:rPr>
          <w:lang w:val="en-GB"/>
        </w:rPr>
        <w:t xml:space="preserve">, </w:t>
      </w:r>
      <w:r>
        <w:t>events illustrating the legal and social dimensions of women’s p</w:t>
      </w:r>
      <w:r>
        <w:t>o</w:t>
      </w:r>
      <w:r>
        <w:t>sition</w:t>
      </w:r>
      <w:r>
        <w:rPr>
          <w:lang w:val="en-GB"/>
        </w:rPr>
        <w:t xml:space="preserve"> </w:t>
      </w:r>
      <w:r>
        <w:t>or in relation to the sex industry and illegal trafficking in women</w:t>
      </w:r>
      <w:r>
        <w:rPr>
          <w:lang w:val="en-GB"/>
        </w:rPr>
        <w:t xml:space="preserve">, </w:t>
      </w:r>
      <w:r>
        <w:t>information campaigns</w:t>
      </w:r>
      <w:r>
        <w:rPr>
          <w:lang w:val="en-GB"/>
        </w:rPr>
        <w:t xml:space="preserve"> initiate</w:t>
      </w:r>
      <w:r>
        <w:t xml:space="preserve">d by </w:t>
      </w:r>
      <w:r>
        <w:rPr>
          <w:lang w:val="en-GB"/>
        </w:rPr>
        <w:t>Greek commissioners or members of the European Parli</w:t>
      </w:r>
      <w:r>
        <w:rPr>
          <w:lang w:val="en-GB"/>
        </w:rPr>
        <w:t>a</w:t>
      </w:r>
      <w:r>
        <w:rPr>
          <w:lang w:val="en-GB"/>
        </w:rPr>
        <w:t>ment for the elimination of discriminations in work places, events of journalists’ o</w:t>
      </w:r>
      <w:r>
        <w:rPr>
          <w:lang w:val="en-GB"/>
        </w:rPr>
        <w:t>r</w:t>
      </w:r>
      <w:r>
        <w:rPr>
          <w:lang w:val="en-GB"/>
        </w:rPr>
        <w:t>ganisations concerning women’s presence in the Greek Press or gender stereotypes in Mass Media, awards for enterprises that promote women to high responsibility positions, conferences on culture and peace with the participation of women creators or women playwrights and directors, and, finally, conferences of organisations co</w:t>
      </w:r>
      <w:r>
        <w:rPr>
          <w:lang w:val="en-GB"/>
        </w:rPr>
        <w:t>n</w:t>
      </w:r>
      <w:r>
        <w:rPr>
          <w:lang w:val="en-GB"/>
        </w:rPr>
        <w:t xml:space="preserve">cerning the woman’s image in the Mass Media, etc. </w:t>
      </w:r>
    </w:p>
    <w:p w:rsidR="00000000" w:rsidRDefault="00000000">
      <w:pPr>
        <w:pStyle w:val="SingleTxt"/>
        <w:rPr>
          <w:lang w:val="en-GB"/>
        </w:rPr>
      </w:pPr>
      <w:r>
        <w:tab/>
        <w:t>The</w:t>
      </w:r>
      <w:r>
        <w:rPr>
          <w:lang w:val="en-GB"/>
        </w:rPr>
        <w:t xml:space="preserve"> </w:t>
      </w:r>
      <w:r>
        <w:t>Athens</w:t>
      </w:r>
      <w:r>
        <w:rPr>
          <w:lang w:val="en-GB"/>
        </w:rPr>
        <w:t xml:space="preserve"> </w:t>
      </w:r>
      <w:r>
        <w:t>News</w:t>
      </w:r>
      <w:r>
        <w:rPr>
          <w:lang w:val="en-GB"/>
        </w:rPr>
        <w:t xml:space="preserve"> </w:t>
      </w:r>
      <w:r>
        <w:t>Agency</w:t>
      </w:r>
      <w:r>
        <w:rPr>
          <w:lang w:val="en-GB"/>
        </w:rPr>
        <w:t xml:space="preserve"> also participates in “</w:t>
      </w:r>
      <w:r>
        <w:t>Development</w:t>
      </w:r>
      <w:r>
        <w:rPr>
          <w:lang w:val="en-GB"/>
        </w:rPr>
        <w:t xml:space="preserve"> Co-operation </w:t>
      </w:r>
      <w:r>
        <w:t>for</w:t>
      </w:r>
      <w:r>
        <w:rPr>
          <w:lang w:val="en-GB"/>
        </w:rPr>
        <w:t xml:space="preserve"> </w:t>
      </w:r>
      <w:r>
        <w:t>Equality</w:t>
      </w:r>
      <w:r>
        <w:rPr>
          <w:lang w:val="en-GB"/>
        </w:rPr>
        <w:t xml:space="preserve"> </w:t>
      </w:r>
      <w:r>
        <w:t>and</w:t>
      </w:r>
      <w:r>
        <w:rPr>
          <w:lang w:val="en-GB"/>
        </w:rPr>
        <w:t xml:space="preserve"> </w:t>
      </w:r>
      <w:r>
        <w:t>Social</w:t>
      </w:r>
      <w:r>
        <w:rPr>
          <w:lang w:val="en-GB"/>
        </w:rPr>
        <w:t xml:space="preserve"> </w:t>
      </w:r>
      <w:r>
        <w:t>Cohesion”</w:t>
      </w:r>
      <w:r>
        <w:rPr>
          <w:lang w:val="en-GB"/>
        </w:rPr>
        <w:t xml:space="preserve">, </w:t>
      </w:r>
      <w:r>
        <w:t>a</w:t>
      </w:r>
      <w:r>
        <w:rPr>
          <w:lang w:val="en-GB"/>
        </w:rPr>
        <w:t xml:space="preserve"> </w:t>
      </w:r>
      <w:r>
        <w:t>programme</w:t>
      </w:r>
      <w:r>
        <w:rPr>
          <w:lang w:val="en-GB"/>
        </w:rPr>
        <w:t xml:space="preserve"> </w:t>
      </w:r>
      <w:r>
        <w:t>in</w:t>
      </w:r>
      <w:r>
        <w:rPr>
          <w:lang w:val="en-GB"/>
        </w:rPr>
        <w:t xml:space="preserve"> </w:t>
      </w:r>
      <w:r>
        <w:t>the</w:t>
      </w:r>
      <w:r>
        <w:rPr>
          <w:lang w:val="en-GB"/>
        </w:rPr>
        <w:t xml:space="preserve"> context </w:t>
      </w:r>
      <w:r>
        <w:t>of</w:t>
      </w:r>
      <w:r>
        <w:rPr>
          <w:lang w:val="en-GB"/>
        </w:rPr>
        <w:t xml:space="preserve"> </w:t>
      </w:r>
      <w:r>
        <w:t>the</w:t>
      </w:r>
      <w:r>
        <w:rPr>
          <w:lang w:val="en-GB"/>
        </w:rPr>
        <w:t xml:space="preserve"> </w:t>
      </w:r>
      <w:r>
        <w:t>EQUAL</w:t>
      </w:r>
      <w:r>
        <w:rPr>
          <w:lang w:val="en-GB"/>
        </w:rPr>
        <w:t xml:space="preserve"> </w:t>
      </w:r>
      <w:r>
        <w:t>Initiat</w:t>
      </w:r>
      <w:r>
        <w:t>i</w:t>
      </w:r>
      <w:r>
        <w:t xml:space="preserve">ve, together with </w:t>
      </w:r>
      <w:r>
        <w:rPr>
          <w:lang w:val="en-GB"/>
        </w:rPr>
        <w:t>23 more institutions</w:t>
      </w:r>
      <w:r>
        <w:t>, and in the framework of this cooperation, an international conference has recently taken place on</w:t>
      </w:r>
      <w:r>
        <w:rPr>
          <w:lang w:val="en-GB"/>
        </w:rPr>
        <w:t>: “The attitude of Mass Media towards phenomena of racism and xenophobia”, which included phenomena of r</w:t>
      </w:r>
      <w:r>
        <w:rPr>
          <w:lang w:val="en-GB"/>
        </w:rPr>
        <w:t>a</w:t>
      </w:r>
      <w:r>
        <w:rPr>
          <w:lang w:val="en-GB"/>
        </w:rPr>
        <w:t xml:space="preserve">cism against foreign women. </w:t>
      </w:r>
    </w:p>
    <w:p w:rsidR="00000000" w:rsidRDefault="00000000">
      <w:pPr>
        <w:pStyle w:val="SingleTxt"/>
        <w:rPr>
          <w:lang w:val="en-GB"/>
        </w:rPr>
      </w:pPr>
      <w:r>
        <w:tab/>
        <w:t xml:space="preserve">The above mentioned programme started in the beginning of </w:t>
      </w:r>
      <w:r>
        <w:rPr>
          <w:lang w:val="en-GB"/>
        </w:rPr>
        <w:t xml:space="preserve">2002 </w:t>
      </w:r>
      <w:r>
        <w:t xml:space="preserve">and was completed by the end of </w:t>
      </w:r>
      <w:r>
        <w:rPr>
          <w:lang w:val="en-GB"/>
        </w:rPr>
        <w:t>2004, financed by 70% by the</w:t>
      </w:r>
      <w:r>
        <w:t xml:space="preserve"> European Union </w:t>
      </w:r>
      <w:r>
        <w:rPr>
          <w:lang w:val="en-GB"/>
        </w:rPr>
        <w:t xml:space="preserve">and by 30% by the Greek Public Sector. </w:t>
      </w:r>
    </w:p>
    <w:p w:rsidR="00000000" w:rsidRDefault="00000000">
      <w:pPr>
        <w:pStyle w:val="SingleTxt"/>
        <w:rPr>
          <w:lang w:val="en-GB"/>
        </w:rPr>
      </w:pPr>
      <w:r>
        <w:tab/>
        <w:t>Apart from</w:t>
      </w:r>
      <w:r>
        <w:rPr>
          <w:lang w:val="en-GB"/>
        </w:rPr>
        <w:t xml:space="preserve"> the </w:t>
      </w:r>
      <w:r>
        <w:t>Athens</w:t>
      </w:r>
      <w:r>
        <w:rPr>
          <w:lang w:val="en-GB"/>
        </w:rPr>
        <w:t xml:space="preserve"> </w:t>
      </w:r>
      <w:r>
        <w:t>News</w:t>
      </w:r>
      <w:r>
        <w:rPr>
          <w:lang w:val="en-GB"/>
        </w:rPr>
        <w:t xml:space="preserve"> </w:t>
      </w:r>
      <w:r>
        <w:t>Agency</w:t>
      </w:r>
      <w:r>
        <w:rPr>
          <w:lang w:val="en-GB"/>
        </w:rPr>
        <w:t>, other participants of the above me</w:t>
      </w:r>
      <w:r>
        <w:rPr>
          <w:lang w:val="en-GB"/>
        </w:rPr>
        <w:t>n</w:t>
      </w:r>
      <w:r>
        <w:rPr>
          <w:lang w:val="en-GB"/>
        </w:rPr>
        <w:t xml:space="preserve">tioned co-operation were: the </w:t>
      </w:r>
      <w:r>
        <w:t>UNICEF</w:t>
      </w:r>
      <w:r>
        <w:rPr>
          <w:lang w:val="en-GB"/>
        </w:rPr>
        <w:t xml:space="preserve">, the </w:t>
      </w:r>
      <w:r>
        <w:t>Development</w:t>
      </w:r>
      <w:r>
        <w:rPr>
          <w:lang w:val="en-GB"/>
        </w:rPr>
        <w:t xml:space="preserve"> </w:t>
      </w:r>
      <w:r>
        <w:t>Company</w:t>
      </w:r>
      <w:r>
        <w:rPr>
          <w:lang w:val="en-GB"/>
        </w:rPr>
        <w:t xml:space="preserve"> </w:t>
      </w:r>
      <w:r>
        <w:t>of</w:t>
      </w:r>
      <w:r>
        <w:rPr>
          <w:lang w:val="en-GB"/>
        </w:rPr>
        <w:t xml:space="preserve"> </w:t>
      </w:r>
      <w:r>
        <w:t>the</w:t>
      </w:r>
      <w:r>
        <w:rPr>
          <w:lang w:val="en-GB"/>
        </w:rPr>
        <w:t xml:space="preserve"> </w:t>
      </w:r>
      <w:r>
        <w:t>Munic</w:t>
      </w:r>
      <w:r>
        <w:t>i</w:t>
      </w:r>
      <w:r>
        <w:t>pality</w:t>
      </w:r>
      <w:r>
        <w:rPr>
          <w:lang w:val="en-GB"/>
        </w:rPr>
        <w:t xml:space="preserve"> </w:t>
      </w:r>
      <w:r>
        <w:t>of</w:t>
      </w:r>
      <w:r>
        <w:rPr>
          <w:lang w:val="en-GB"/>
        </w:rPr>
        <w:t xml:space="preserve"> </w:t>
      </w:r>
      <w:r>
        <w:t>Athens</w:t>
      </w:r>
      <w:r>
        <w:rPr>
          <w:lang w:val="en-GB"/>
        </w:rPr>
        <w:t>, the Medecines sans Frontieres, the</w:t>
      </w:r>
      <w:r>
        <w:t xml:space="preserve"> National Youth Institute</w:t>
      </w:r>
      <w:r>
        <w:rPr>
          <w:lang w:val="en-GB"/>
        </w:rPr>
        <w:t>, the</w:t>
      </w:r>
      <w:r>
        <w:t xml:space="preserve"> Greek Network of Enterprises for Social Cohesion</w:t>
      </w:r>
      <w:r>
        <w:rPr>
          <w:lang w:val="en-GB"/>
        </w:rPr>
        <w:t>, the</w:t>
      </w:r>
      <w:r>
        <w:t xml:space="preserve"> Athens Labour Centre</w:t>
      </w:r>
      <w:r>
        <w:rPr>
          <w:lang w:val="en-GB"/>
        </w:rPr>
        <w:t>, the</w:t>
      </w:r>
      <w:r>
        <w:t xml:space="preserve"> Social Work Institute</w:t>
      </w:r>
      <w:r>
        <w:rPr>
          <w:lang w:val="en-GB"/>
        </w:rPr>
        <w:t xml:space="preserve">, </w:t>
      </w:r>
      <w:r>
        <w:t>The Lambrakis Institute of Studies</w:t>
      </w:r>
      <w:r>
        <w:rPr>
          <w:lang w:val="en-GB"/>
        </w:rPr>
        <w:t>, the Militant and Cultural Solidarity Centre, the Centre for Employment and Entrepreneurship of the Munic</w:t>
      </w:r>
      <w:r>
        <w:rPr>
          <w:lang w:val="en-GB"/>
        </w:rPr>
        <w:t>i</w:t>
      </w:r>
      <w:r>
        <w:rPr>
          <w:lang w:val="en-GB"/>
        </w:rPr>
        <w:t xml:space="preserve">pality of Athens, the Centre for Studies and Documentation of the Federation of Teachers of Secondary Education, the </w:t>
      </w:r>
      <w:r>
        <w:t>KYPEKO</w:t>
      </w:r>
      <w:r>
        <w:rPr>
          <w:lang w:val="en-GB"/>
        </w:rPr>
        <w:t xml:space="preserve"> (Centre for the Support of Vulne</w:t>
      </w:r>
      <w:r>
        <w:rPr>
          <w:lang w:val="en-GB"/>
        </w:rPr>
        <w:t>r</w:t>
      </w:r>
      <w:r>
        <w:rPr>
          <w:lang w:val="en-GB"/>
        </w:rPr>
        <w:t xml:space="preserve">able Social Groups) of the Municipality of Acharnes, Federation of Workers and Employees of the Textile – Clothing – </w:t>
      </w:r>
      <w:r>
        <w:t>Leather Industry</w:t>
      </w:r>
      <w:r>
        <w:rPr>
          <w:lang w:val="en-GB"/>
        </w:rPr>
        <w:t>, the Children’s SOS Vi</w:t>
      </w:r>
      <w:r>
        <w:rPr>
          <w:lang w:val="en-GB"/>
        </w:rPr>
        <w:t>l</w:t>
      </w:r>
      <w:r>
        <w:rPr>
          <w:lang w:val="en-GB"/>
        </w:rPr>
        <w:t xml:space="preserve">lages, the University of Athens – Department of Mass Media, the </w:t>
      </w:r>
      <w:r>
        <w:t>ELYROS Comp</w:t>
      </w:r>
      <w:r>
        <w:t>a</w:t>
      </w:r>
      <w:r>
        <w:t>ny</w:t>
      </w:r>
      <w:r>
        <w:rPr>
          <w:lang w:val="en-GB"/>
        </w:rPr>
        <w:t>, the Vocational Training Centre “Ergon”, the Vocational Training Centre “A</w:t>
      </w:r>
      <w:r>
        <w:rPr>
          <w:lang w:val="en-GB"/>
        </w:rPr>
        <w:t>k</w:t>
      </w:r>
      <w:r>
        <w:rPr>
          <w:lang w:val="en-GB"/>
        </w:rPr>
        <w:t xml:space="preserve">mon”, </w:t>
      </w:r>
      <w:r>
        <w:t>ΤΕΚΜOR</w:t>
      </w:r>
      <w:r>
        <w:rPr>
          <w:lang w:val="en-GB"/>
        </w:rPr>
        <w:t>, the Ethiopian Community, the Albanian Community, the Union of Immigrant Workers from Bangladesh, and the Association</w:t>
      </w:r>
      <w:r>
        <w:t xml:space="preserve"> of Albanian Immigrants</w:t>
      </w:r>
      <w:r>
        <w:rPr>
          <w:lang w:val="en-GB"/>
        </w:rPr>
        <w:t xml:space="preserve">. </w:t>
      </w:r>
    </w:p>
    <w:p w:rsidR="00000000" w:rsidRDefault="00000000">
      <w:pPr>
        <w:pStyle w:val="SingleTxt"/>
        <w:numPr>
          <w:ilvl w:val="0"/>
          <w:numId w:val="308"/>
        </w:numPr>
        <w:rPr>
          <w:lang w:val="en-GB"/>
        </w:rPr>
      </w:pPr>
      <w:r>
        <w:rPr>
          <w:lang w:val="en-US"/>
        </w:rPr>
        <w:t>In</w:t>
      </w:r>
      <w:r>
        <w:rPr>
          <w:lang w:val="en-GB"/>
        </w:rPr>
        <w:t xml:space="preserve"> </w:t>
      </w:r>
      <w:r>
        <w:rPr>
          <w:lang w:val="en-US"/>
        </w:rPr>
        <w:t>the</w:t>
      </w:r>
      <w:r>
        <w:rPr>
          <w:lang w:val="en-GB"/>
        </w:rPr>
        <w:t xml:space="preserve"> </w:t>
      </w:r>
      <w:r>
        <w:rPr>
          <w:lang w:val="en-US"/>
        </w:rPr>
        <w:t>context</w:t>
      </w:r>
      <w:r>
        <w:rPr>
          <w:lang w:val="en-GB"/>
        </w:rPr>
        <w:t xml:space="preserve"> </w:t>
      </w:r>
      <w:r>
        <w:rPr>
          <w:lang w:val="en-US"/>
        </w:rPr>
        <w:t>of</w:t>
      </w:r>
      <w:r>
        <w:rPr>
          <w:lang w:val="en-GB"/>
        </w:rPr>
        <w:t xml:space="preserve"> </w:t>
      </w:r>
      <w:r>
        <w:rPr>
          <w:lang w:val="en-US"/>
        </w:rPr>
        <w:t>the</w:t>
      </w:r>
      <w:r>
        <w:rPr>
          <w:lang w:val="en-GB"/>
        </w:rPr>
        <w:t xml:space="preserve"> </w:t>
      </w:r>
      <w:r>
        <w:rPr>
          <w:lang w:val="en-US"/>
        </w:rPr>
        <w:t>EQUAL Community</w:t>
      </w:r>
      <w:r>
        <w:rPr>
          <w:lang w:val="en-GB"/>
        </w:rPr>
        <w:t xml:space="preserve"> </w:t>
      </w:r>
      <w:r>
        <w:rPr>
          <w:lang w:val="en-US"/>
        </w:rPr>
        <w:t>Initiative</w:t>
      </w:r>
      <w:r>
        <w:rPr>
          <w:lang w:val="en-GB"/>
        </w:rPr>
        <w:t xml:space="preserve">, </w:t>
      </w:r>
      <w:r>
        <w:rPr>
          <w:lang w:val="en-US"/>
        </w:rPr>
        <w:t>the</w:t>
      </w:r>
      <w:r>
        <w:rPr>
          <w:lang w:val="en-GB"/>
        </w:rPr>
        <w:t xml:space="preserve"> </w:t>
      </w:r>
      <w:r>
        <w:rPr>
          <w:lang w:val="en-US"/>
        </w:rPr>
        <w:t>Work</w:t>
      </w:r>
      <w:r>
        <w:rPr>
          <w:lang w:val="en-GB"/>
        </w:rPr>
        <w:t xml:space="preserve"> “</w:t>
      </w:r>
      <w:r>
        <w:rPr>
          <w:lang w:val="en-US"/>
        </w:rPr>
        <w:t>DREAM</w:t>
      </w:r>
      <w:r>
        <w:rPr>
          <w:lang w:val="en-GB"/>
        </w:rPr>
        <w:t xml:space="preserve"> – </w:t>
      </w:r>
      <w:r>
        <w:rPr>
          <w:lang w:val="en-US"/>
        </w:rPr>
        <w:t>Combating</w:t>
      </w:r>
      <w:r>
        <w:rPr>
          <w:lang w:val="en-GB"/>
        </w:rPr>
        <w:t xml:space="preserve"> </w:t>
      </w:r>
      <w:r>
        <w:rPr>
          <w:lang w:val="en-US"/>
        </w:rPr>
        <w:t>racism</w:t>
      </w:r>
      <w:r>
        <w:rPr>
          <w:lang w:val="en-GB"/>
        </w:rPr>
        <w:t xml:space="preserve"> </w:t>
      </w:r>
      <w:r>
        <w:rPr>
          <w:lang w:val="en-US"/>
        </w:rPr>
        <w:t>and</w:t>
      </w:r>
      <w:r>
        <w:rPr>
          <w:lang w:val="en-GB"/>
        </w:rPr>
        <w:t xml:space="preserve"> </w:t>
      </w:r>
      <w:r>
        <w:rPr>
          <w:lang w:val="en-US"/>
        </w:rPr>
        <w:t>xenophobia</w:t>
      </w:r>
      <w:r>
        <w:rPr>
          <w:lang w:val="en-GB"/>
        </w:rPr>
        <w:t xml:space="preserve"> </w:t>
      </w:r>
      <w:r>
        <w:rPr>
          <w:lang w:val="en-US"/>
        </w:rPr>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has been implemented, since</w:t>
      </w:r>
      <w:r>
        <w:rPr>
          <w:lang w:val="en-GB"/>
        </w:rPr>
        <w:t xml:space="preserve"> 2002,</w:t>
      </w:r>
      <w:r>
        <w:rPr>
          <w:lang w:val="en-US"/>
        </w:rPr>
        <w:t xml:space="preserve"> by the Development Partnership</w:t>
      </w:r>
      <w:r>
        <w:rPr>
          <w:lang w:val="en-GB"/>
        </w:rPr>
        <w:t xml:space="preserve"> – Network for combating racism and xen</w:t>
      </w:r>
      <w:r>
        <w:rPr>
          <w:lang w:val="en-GB"/>
        </w:rPr>
        <w:t>o</w:t>
      </w:r>
      <w:r>
        <w:rPr>
          <w:lang w:val="en-GB"/>
        </w:rPr>
        <w:t>phobia in the Mass Media, financed by 75% by the European Social Fund and by 25% by the Ministry of Employment and Welfare. The participants in this pr</w:t>
      </w:r>
      <w:r>
        <w:rPr>
          <w:lang w:val="en-GB"/>
        </w:rPr>
        <w:t>o</w:t>
      </w:r>
      <w:r>
        <w:rPr>
          <w:lang w:val="en-GB"/>
        </w:rPr>
        <w:t>gramme are:</w:t>
      </w:r>
    </w:p>
    <w:p w:rsidR="00000000" w:rsidRDefault="00000000">
      <w:pPr>
        <w:pStyle w:val="SingleTxt"/>
        <w:numPr>
          <w:ilvl w:val="0"/>
          <w:numId w:val="310"/>
        </w:numPr>
        <w:tabs>
          <w:tab w:val="clear" w:pos="1742"/>
        </w:tabs>
        <w:spacing w:line="230" w:lineRule="exact"/>
        <w:ind w:left="1656" w:hanging="360"/>
        <w:rPr>
          <w:lang w:val="en-GB"/>
        </w:rPr>
      </w:pPr>
      <w:r>
        <w:t>ΚΕ</w:t>
      </w:r>
      <w:r>
        <w:rPr>
          <w:lang w:val="en-US"/>
        </w:rPr>
        <w:t>D</w:t>
      </w:r>
      <w:r>
        <w:t>ΚΕ</w:t>
      </w:r>
      <w:r>
        <w:rPr>
          <w:lang w:val="en-GB"/>
        </w:rPr>
        <w:t xml:space="preserve"> – </w:t>
      </w:r>
      <w:r>
        <w:rPr>
          <w:lang w:val="en-US"/>
        </w:rPr>
        <w:t>Central Union of Municipalities and Communities of Greece</w:t>
      </w:r>
    </w:p>
    <w:p w:rsidR="00000000" w:rsidRDefault="00000000">
      <w:pPr>
        <w:pStyle w:val="SingleTxt"/>
        <w:numPr>
          <w:ilvl w:val="0"/>
          <w:numId w:val="310"/>
        </w:numPr>
        <w:tabs>
          <w:tab w:val="clear" w:pos="1742"/>
        </w:tabs>
        <w:spacing w:line="230" w:lineRule="exact"/>
        <w:ind w:left="1656" w:hanging="360"/>
        <w:rPr>
          <w:lang w:val="en-GB"/>
        </w:rPr>
      </w:pPr>
      <w:r>
        <w:t>ΤΕ</w:t>
      </w:r>
      <w:r>
        <w:rPr>
          <w:lang w:val="en-US"/>
        </w:rPr>
        <w:t>P</w:t>
      </w:r>
      <w:r>
        <w:rPr>
          <w:lang w:val="en-GB"/>
        </w:rPr>
        <w:t xml:space="preserve"> - Regional </w:t>
      </w:r>
      <w:r>
        <w:rPr>
          <w:lang w:val="en-US"/>
        </w:rPr>
        <w:t>Television of Greece</w:t>
      </w:r>
    </w:p>
    <w:p w:rsidR="00000000" w:rsidRDefault="00000000">
      <w:pPr>
        <w:pStyle w:val="SingleTxt"/>
        <w:numPr>
          <w:ilvl w:val="0"/>
          <w:numId w:val="310"/>
        </w:numPr>
        <w:tabs>
          <w:tab w:val="clear" w:pos="1742"/>
        </w:tabs>
        <w:spacing w:line="230" w:lineRule="exact"/>
        <w:ind w:left="1656" w:hanging="360"/>
        <w:rPr>
          <w:lang w:val="en-GB"/>
        </w:rPr>
      </w:pPr>
      <w:r>
        <w:rPr>
          <w:lang w:val="en-US"/>
        </w:rPr>
        <w:t>Association</w:t>
      </w:r>
      <w:r>
        <w:rPr>
          <w:lang w:val="en-GB"/>
        </w:rPr>
        <w:t xml:space="preserve"> of Daily Regional Newspapers</w:t>
      </w:r>
    </w:p>
    <w:p w:rsidR="00000000" w:rsidRDefault="00000000">
      <w:pPr>
        <w:pStyle w:val="SingleTxt"/>
        <w:numPr>
          <w:ilvl w:val="0"/>
          <w:numId w:val="310"/>
        </w:numPr>
        <w:tabs>
          <w:tab w:val="clear" w:pos="1742"/>
        </w:tabs>
        <w:spacing w:line="230" w:lineRule="exact"/>
        <w:ind w:left="1656" w:hanging="360"/>
        <w:rPr>
          <w:lang w:val="en-GB"/>
        </w:rPr>
      </w:pPr>
      <w:r>
        <w:rPr>
          <w:lang w:val="en-US"/>
        </w:rPr>
        <w:t>Panhellenic</w:t>
      </w:r>
      <w:r>
        <w:rPr>
          <w:lang w:val="en-GB"/>
        </w:rPr>
        <w:t xml:space="preserve"> Federation of </w:t>
      </w:r>
      <w:r>
        <w:rPr>
          <w:lang w:val="en-US"/>
        </w:rPr>
        <w:t>Pontos Associations</w:t>
      </w:r>
      <w:r>
        <w:rPr>
          <w:lang w:val="en-GB"/>
        </w:rPr>
        <w:t xml:space="preserve"> (POPS)</w:t>
      </w:r>
    </w:p>
    <w:p w:rsidR="00000000" w:rsidRDefault="00000000">
      <w:pPr>
        <w:pStyle w:val="SingleTxt"/>
        <w:numPr>
          <w:ilvl w:val="0"/>
          <w:numId w:val="310"/>
        </w:numPr>
        <w:tabs>
          <w:tab w:val="clear" w:pos="1742"/>
        </w:tabs>
        <w:spacing w:line="230" w:lineRule="exact"/>
        <w:ind w:left="1656" w:hanging="360"/>
        <w:rPr>
          <w:lang w:val="en-GB"/>
        </w:rPr>
      </w:pPr>
      <w:r>
        <w:rPr>
          <w:lang w:val="en-US"/>
        </w:rPr>
        <w:t>Federation of Associations of Greeks from Northern Epirus “Eg</w:t>
      </w:r>
      <w:r>
        <w:rPr>
          <w:lang w:val="en-GB"/>
        </w:rPr>
        <w:t xml:space="preserve">ios </w:t>
      </w:r>
      <w:r>
        <w:t>Κο</w:t>
      </w:r>
      <w:r>
        <w:rPr>
          <w:lang w:val="en-US"/>
        </w:rPr>
        <w:t>smas”</w:t>
      </w:r>
    </w:p>
    <w:p w:rsidR="00000000" w:rsidRDefault="00000000">
      <w:pPr>
        <w:pStyle w:val="SingleTxt"/>
        <w:numPr>
          <w:ilvl w:val="0"/>
          <w:numId w:val="310"/>
        </w:numPr>
        <w:tabs>
          <w:tab w:val="clear" w:pos="1742"/>
        </w:tabs>
        <w:spacing w:line="230" w:lineRule="exact"/>
        <w:ind w:left="1656" w:hanging="360"/>
        <w:rPr>
          <w:lang w:val="en-GB"/>
        </w:rPr>
      </w:pPr>
      <w:r>
        <w:t>Μacedonian</w:t>
      </w:r>
      <w:r>
        <w:rPr>
          <w:lang w:val="en-US"/>
        </w:rPr>
        <w:t xml:space="preserve"> News Agency S.A.</w:t>
      </w:r>
    </w:p>
    <w:p w:rsidR="00000000" w:rsidRDefault="00000000">
      <w:pPr>
        <w:pStyle w:val="SingleTxt"/>
        <w:numPr>
          <w:ilvl w:val="0"/>
          <w:numId w:val="310"/>
        </w:numPr>
        <w:tabs>
          <w:tab w:val="clear" w:pos="1742"/>
        </w:tabs>
        <w:spacing w:line="230" w:lineRule="exact"/>
        <w:ind w:left="1656" w:hanging="360"/>
        <w:rPr>
          <w:lang w:val="en-GB"/>
        </w:rPr>
      </w:pPr>
      <w:r>
        <w:rPr>
          <w:lang w:val="en-US"/>
        </w:rPr>
        <w:t>Vocational Education Centre “Consul”</w:t>
      </w:r>
    </w:p>
    <w:p w:rsidR="00000000" w:rsidRDefault="00000000">
      <w:pPr>
        <w:pStyle w:val="SingleTxt"/>
        <w:numPr>
          <w:ilvl w:val="0"/>
          <w:numId w:val="310"/>
        </w:numPr>
        <w:tabs>
          <w:tab w:val="clear" w:pos="1742"/>
        </w:tabs>
        <w:spacing w:line="230" w:lineRule="exact"/>
        <w:ind w:left="1656" w:hanging="360"/>
        <w:rPr>
          <w:lang w:val="en-GB"/>
        </w:rPr>
      </w:pPr>
      <w:r>
        <w:rPr>
          <w:lang w:val="en-US"/>
        </w:rPr>
        <w:t xml:space="preserve">General Secretariat of Communication and General Secretariat of Information </w:t>
      </w:r>
      <w:r>
        <w:rPr>
          <w:lang w:val="en-GB"/>
        </w:rPr>
        <w:t>(</w:t>
      </w:r>
      <w:r>
        <w:rPr>
          <w:lang w:val="en-US"/>
        </w:rPr>
        <w:t>Ex Ministry of Press and Mass Media</w:t>
      </w:r>
      <w:r>
        <w:rPr>
          <w:lang w:val="en-GB"/>
        </w:rPr>
        <w:t>)</w:t>
      </w:r>
    </w:p>
    <w:p w:rsidR="00000000" w:rsidRDefault="00000000">
      <w:pPr>
        <w:pStyle w:val="SingleTxt"/>
        <w:numPr>
          <w:ilvl w:val="0"/>
          <w:numId w:val="310"/>
        </w:numPr>
        <w:tabs>
          <w:tab w:val="clear" w:pos="1742"/>
        </w:tabs>
        <w:spacing w:line="230" w:lineRule="exact"/>
        <w:ind w:left="1656" w:hanging="360"/>
      </w:pPr>
      <w:r>
        <w:rPr>
          <w:lang w:val="en-US"/>
        </w:rPr>
        <w:t xml:space="preserve">Greek Radio-Television </w:t>
      </w:r>
      <w:r>
        <w:t>ΕRT3</w:t>
      </w:r>
    </w:p>
    <w:p w:rsidR="00000000" w:rsidRDefault="00000000">
      <w:pPr>
        <w:pStyle w:val="SingleTxt"/>
        <w:numPr>
          <w:ilvl w:val="0"/>
          <w:numId w:val="310"/>
        </w:numPr>
        <w:tabs>
          <w:tab w:val="clear" w:pos="1742"/>
        </w:tabs>
        <w:spacing w:line="230" w:lineRule="exact"/>
        <w:ind w:left="1656" w:hanging="360"/>
        <w:rPr>
          <w:lang w:val="en-GB"/>
        </w:rPr>
      </w:pPr>
      <w:r>
        <w:t>Greek Observatory of the Helsinki Conventions “Company of Communication and P</w:t>
      </w:r>
      <w:r>
        <w:t>o</w:t>
      </w:r>
      <w:r>
        <w:t>litical Research – E.P.S:E.</w:t>
      </w:r>
    </w:p>
    <w:p w:rsidR="00000000" w:rsidRDefault="00000000">
      <w:pPr>
        <w:pStyle w:val="SingleTxt"/>
        <w:numPr>
          <w:ilvl w:val="0"/>
          <w:numId w:val="310"/>
        </w:numPr>
        <w:tabs>
          <w:tab w:val="clear" w:pos="1742"/>
        </w:tabs>
        <w:spacing w:line="230" w:lineRule="exact"/>
        <w:ind w:left="1656" w:hanging="360"/>
      </w:pPr>
      <w:r>
        <w:t>Municipal Organisation of Social Intervention and Health (D.Ο.Κ.P.Υ.)</w:t>
      </w:r>
    </w:p>
    <w:p w:rsidR="00000000" w:rsidRDefault="00000000">
      <w:pPr>
        <w:pStyle w:val="SingleTxt"/>
        <w:numPr>
          <w:ilvl w:val="0"/>
          <w:numId w:val="310"/>
        </w:numPr>
        <w:tabs>
          <w:tab w:val="clear" w:pos="1742"/>
        </w:tabs>
        <w:spacing w:line="230" w:lineRule="exact"/>
        <w:ind w:left="1656" w:hanging="360"/>
      </w:pPr>
      <w:r>
        <w:t>General Secretariat of Emigrant Hellenism</w:t>
      </w:r>
    </w:p>
    <w:p w:rsidR="00000000" w:rsidRDefault="00000000">
      <w:pPr>
        <w:pStyle w:val="SingleTxt"/>
        <w:numPr>
          <w:ilvl w:val="0"/>
          <w:numId w:val="310"/>
        </w:numPr>
        <w:tabs>
          <w:tab w:val="clear" w:pos="1742"/>
        </w:tabs>
        <w:spacing w:line="230" w:lineRule="exact"/>
        <w:ind w:left="1656" w:hanging="360"/>
      </w:pPr>
      <w:r>
        <w:t>The Aristotle University of Thessaloniki – Committee of Research</w:t>
      </w:r>
    </w:p>
    <w:p w:rsidR="00000000" w:rsidRDefault="00000000">
      <w:pPr>
        <w:pStyle w:val="SingleTxt"/>
        <w:numPr>
          <w:ilvl w:val="0"/>
          <w:numId w:val="310"/>
        </w:numPr>
        <w:tabs>
          <w:tab w:val="clear" w:pos="1742"/>
        </w:tabs>
        <w:spacing w:line="230" w:lineRule="exact"/>
        <w:ind w:left="1656" w:hanging="360"/>
      </w:pPr>
      <w:r>
        <w:t>Αgisο (Association of Settlers of The Agia Sofia Settlement, Municipality of Echedoros)</w:t>
      </w:r>
    </w:p>
    <w:p w:rsidR="00000000" w:rsidRDefault="00000000">
      <w:pPr>
        <w:pStyle w:val="SingleTxt"/>
        <w:numPr>
          <w:ilvl w:val="0"/>
          <w:numId w:val="310"/>
        </w:numPr>
        <w:tabs>
          <w:tab w:val="clear" w:pos="1742"/>
        </w:tabs>
        <w:spacing w:line="230" w:lineRule="exact"/>
        <w:ind w:left="1656" w:hanging="360"/>
      </w:pPr>
      <w:r>
        <w:rPr>
          <w:lang w:val="en-US"/>
        </w:rPr>
        <w:t>Dimitra</w:t>
      </w:r>
      <w:r>
        <w:t xml:space="preserve"> – C</w:t>
      </w:r>
      <w:r>
        <w:rPr>
          <w:lang w:val="en-US"/>
        </w:rPr>
        <w:t>entre of Information and Education</w:t>
      </w:r>
      <w:r>
        <w:t xml:space="preserve"> S.A.</w:t>
      </w:r>
    </w:p>
    <w:p w:rsidR="00000000" w:rsidRDefault="00000000">
      <w:pPr>
        <w:pStyle w:val="SingleTxt"/>
        <w:numPr>
          <w:ilvl w:val="0"/>
          <w:numId w:val="310"/>
        </w:numPr>
        <w:tabs>
          <w:tab w:val="clear" w:pos="1742"/>
        </w:tabs>
        <w:spacing w:line="230" w:lineRule="exact"/>
        <w:ind w:left="1656" w:hanging="360"/>
        <w:rPr>
          <w:lang w:val="en-GB"/>
        </w:rPr>
      </w:pPr>
      <w:r>
        <w:rPr>
          <w:lang w:val="en-US"/>
        </w:rPr>
        <w:t>Company</w:t>
      </w:r>
      <w:r>
        <w:rPr>
          <w:lang w:val="en-GB"/>
        </w:rPr>
        <w:t xml:space="preserve"> o</w:t>
      </w:r>
      <w:r>
        <w:rPr>
          <w:lang w:val="en-US"/>
        </w:rPr>
        <w:t xml:space="preserve">f Social and Cultural Support of Repatriated Greek Emigrants </w:t>
      </w:r>
      <w:r>
        <w:rPr>
          <w:lang w:val="en-GB"/>
        </w:rPr>
        <w:t>“NOSTOS”.</w:t>
      </w:r>
    </w:p>
    <w:p w:rsidR="00000000" w:rsidRDefault="00000000">
      <w:pPr>
        <w:pStyle w:val="SingleTxt"/>
        <w:numPr>
          <w:ilvl w:val="0"/>
          <w:numId w:val="310"/>
        </w:numPr>
        <w:tabs>
          <w:tab w:val="clear" w:pos="1742"/>
        </w:tabs>
        <w:spacing w:line="230" w:lineRule="exact"/>
        <w:ind w:left="1656" w:hanging="360"/>
        <w:rPr>
          <w:lang w:val="en-GB"/>
        </w:rPr>
      </w:pPr>
      <w:r>
        <w:rPr>
          <w:lang w:val="en-US"/>
        </w:rPr>
        <w:t>Vocational Training</w:t>
      </w:r>
      <w:r>
        <w:rPr>
          <w:lang w:val="en-GB"/>
        </w:rPr>
        <w:t xml:space="preserve"> </w:t>
      </w:r>
      <w:r>
        <w:rPr>
          <w:lang w:val="en-US"/>
        </w:rPr>
        <w:t>Centre</w:t>
      </w:r>
      <w:r>
        <w:rPr>
          <w:lang w:val="en-GB"/>
        </w:rPr>
        <w:t xml:space="preserve"> “</w:t>
      </w:r>
      <w:r>
        <w:t>ΕDIP</w:t>
      </w:r>
      <w:r>
        <w:rPr>
          <w:lang w:val="en-US"/>
        </w:rPr>
        <w:t>”, Administration and Information Techno</w:t>
      </w:r>
      <w:r>
        <w:rPr>
          <w:lang w:val="en-US"/>
        </w:rPr>
        <w:t>l</w:t>
      </w:r>
      <w:r>
        <w:rPr>
          <w:lang w:val="en-US"/>
        </w:rPr>
        <w:t>ogy</w:t>
      </w:r>
      <w:r>
        <w:rPr>
          <w:lang w:val="en-GB"/>
        </w:rPr>
        <w:t xml:space="preserve"> Enterprise – Information Technology for Young People</w:t>
      </w:r>
    </w:p>
    <w:p w:rsidR="00000000" w:rsidRDefault="00000000">
      <w:pPr>
        <w:pStyle w:val="SingleTxt"/>
        <w:rPr>
          <w:lang w:val="en-GB"/>
        </w:rPr>
      </w:pPr>
      <w:r>
        <w:rPr>
          <w:lang w:val="en-US"/>
        </w:rPr>
        <w:tab/>
        <w:t>The programme mainly aims at combating discriminations against social groups – victims of racism, through the active participation of all organizations i</w:t>
      </w:r>
      <w:r>
        <w:rPr>
          <w:lang w:val="en-US"/>
        </w:rPr>
        <w:t>n</w:t>
      </w:r>
      <w:r>
        <w:rPr>
          <w:lang w:val="en-US"/>
        </w:rPr>
        <w:t>volved, taking into consideration the power of the Mass Media in the formation of public opinion</w:t>
      </w:r>
      <w:r>
        <w:rPr>
          <w:lang w:val="en-GB"/>
        </w:rPr>
        <w:t>. More specifically:</w:t>
      </w:r>
    </w:p>
    <w:p w:rsidR="00000000" w:rsidRDefault="00000000">
      <w:pPr>
        <w:pStyle w:val="SingleTxt"/>
        <w:rPr>
          <w:lang w:val="en-GB"/>
        </w:rPr>
      </w:pPr>
      <w:r>
        <w:tab/>
        <w:t>a)</w:t>
      </w:r>
      <w:r>
        <w:tab/>
      </w:r>
      <w:r>
        <w:rPr>
          <w:lang w:val="en-US"/>
        </w:rPr>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as</w:t>
      </w:r>
      <w:r>
        <w:rPr>
          <w:lang w:val="en-GB"/>
        </w:rPr>
        <w:t xml:space="preserve"> </w:t>
      </w:r>
      <w:r>
        <w:rPr>
          <w:lang w:val="en-US"/>
        </w:rPr>
        <w:t>a</w:t>
      </w:r>
      <w:r>
        <w:rPr>
          <w:lang w:val="en-GB"/>
        </w:rPr>
        <w:t xml:space="preserve"> </w:t>
      </w:r>
      <w:r>
        <w:rPr>
          <w:lang w:val="en-US"/>
        </w:rPr>
        <w:t>place</w:t>
      </w:r>
      <w:r>
        <w:rPr>
          <w:lang w:val="en-GB"/>
        </w:rPr>
        <w:t xml:space="preserve"> </w:t>
      </w:r>
      <w:r>
        <w:rPr>
          <w:lang w:val="en-US"/>
        </w:rPr>
        <w:t>of</w:t>
      </w:r>
      <w:r>
        <w:rPr>
          <w:lang w:val="en-GB"/>
        </w:rPr>
        <w:t xml:space="preserve"> </w:t>
      </w:r>
      <w:r>
        <w:rPr>
          <w:lang w:val="en-US"/>
        </w:rPr>
        <w:t>work</w:t>
      </w:r>
      <w:r>
        <w:rPr>
          <w:lang w:val="en-GB"/>
        </w:rPr>
        <w:t xml:space="preserve">, </w:t>
      </w:r>
      <w:r>
        <w:rPr>
          <w:lang w:val="en-US"/>
        </w:rPr>
        <w:t>creating</w:t>
      </w:r>
      <w:r>
        <w:rPr>
          <w:lang w:val="en-GB"/>
        </w:rPr>
        <w:t xml:space="preserve"> conditions </w:t>
      </w:r>
      <w:r>
        <w:rPr>
          <w:lang w:val="en-US"/>
        </w:rPr>
        <w:t>that</w:t>
      </w:r>
      <w:r>
        <w:rPr>
          <w:lang w:val="en-GB"/>
        </w:rPr>
        <w:t xml:space="preserve"> </w:t>
      </w:r>
      <w:r>
        <w:rPr>
          <w:lang w:val="en-US"/>
        </w:rPr>
        <w:t>will allow democratic representation</w:t>
      </w:r>
      <w:r>
        <w:rPr>
          <w:lang w:val="en-GB"/>
        </w:rPr>
        <w:t xml:space="preserve"> </w:t>
      </w:r>
      <w:r>
        <w:rPr>
          <w:lang w:val="en-US"/>
        </w:rPr>
        <w:t>in employment</w:t>
      </w:r>
      <w:r>
        <w:rPr>
          <w:lang w:val="en-GB"/>
        </w:rPr>
        <w:t xml:space="preserve"> </w:t>
      </w:r>
      <w:r>
        <w:rPr>
          <w:lang w:val="en-US"/>
        </w:rPr>
        <w:t>of individuals of the above mentioned groups</w:t>
      </w:r>
      <w:r>
        <w:rPr>
          <w:lang w:val="en-GB"/>
        </w:rPr>
        <w:t xml:space="preserve">. </w:t>
      </w:r>
    </w:p>
    <w:p w:rsidR="00000000" w:rsidRDefault="00000000">
      <w:pPr>
        <w:pStyle w:val="SingleTxt"/>
        <w:rPr>
          <w:lang w:val="en-GB"/>
        </w:rPr>
      </w:pPr>
      <w:r>
        <w:tab/>
        <w:t>b)</w:t>
      </w:r>
      <w:r>
        <w:tab/>
      </w:r>
      <w:r>
        <w:rPr>
          <w:lang w:val="en-US"/>
        </w:rPr>
        <w:t>In</w:t>
      </w:r>
      <w:r>
        <w:rPr>
          <w:lang w:val="en-GB"/>
        </w:rPr>
        <w:t xml:space="preserve"> the </w:t>
      </w:r>
      <w:r>
        <w:rPr>
          <w:lang w:val="en-US"/>
        </w:rPr>
        <w:t>Mass</w:t>
      </w:r>
      <w:r>
        <w:rPr>
          <w:lang w:val="en-GB"/>
        </w:rPr>
        <w:t xml:space="preserve"> </w:t>
      </w:r>
      <w:r>
        <w:rPr>
          <w:lang w:val="en-US"/>
        </w:rPr>
        <w:t>Media</w:t>
      </w:r>
      <w:r>
        <w:rPr>
          <w:lang w:val="en-GB"/>
        </w:rPr>
        <w:t xml:space="preserve">, </w:t>
      </w:r>
      <w:r>
        <w:rPr>
          <w:lang w:val="en-US"/>
        </w:rPr>
        <w:t>as</w:t>
      </w:r>
      <w:r>
        <w:rPr>
          <w:lang w:val="en-GB"/>
        </w:rPr>
        <w:t xml:space="preserve"> agencies which form and influence</w:t>
      </w:r>
      <w:r>
        <w:rPr>
          <w:lang w:val="en-US"/>
        </w:rPr>
        <w:t xml:space="preserve"> public opinion</w:t>
      </w:r>
      <w:r>
        <w:rPr>
          <w:lang w:val="en-GB"/>
        </w:rPr>
        <w:t xml:space="preserve">, </w:t>
      </w:r>
      <w:r>
        <w:rPr>
          <w:lang w:val="en-US"/>
        </w:rPr>
        <w:t xml:space="preserve">in order to combat stereotypes and </w:t>
      </w:r>
      <w:r>
        <w:rPr>
          <w:lang w:val="en-GB"/>
        </w:rPr>
        <w:t>biases that make the access of the above me</w:t>
      </w:r>
      <w:r>
        <w:rPr>
          <w:lang w:val="en-GB"/>
        </w:rPr>
        <w:t>n</w:t>
      </w:r>
      <w:r>
        <w:rPr>
          <w:lang w:val="en-GB"/>
        </w:rPr>
        <w:t>tioned social groups to the labour market difficult.</w:t>
      </w:r>
    </w:p>
    <w:p w:rsidR="00000000" w:rsidRDefault="00000000">
      <w:pPr>
        <w:pStyle w:val="SingleTxt"/>
        <w:rPr>
          <w:lang w:val="en-GB"/>
        </w:rPr>
      </w:pPr>
      <w:r>
        <w:rPr>
          <w:lang w:val="en-US"/>
        </w:rPr>
        <w:tab/>
        <w:t>The equality of opportunities for both men and women also concerns all stages of the DREAM Plan</w:t>
      </w:r>
      <w:r>
        <w:rPr>
          <w:lang w:val="en-GB"/>
        </w:rPr>
        <w:t>. Among proposed activities, the following are included:</w:t>
      </w:r>
    </w:p>
    <w:p w:rsidR="00000000" w:rsidRDefault="00000000">
      <w:pPr>
        <w:pStyle w:val="SingleTxt"/>
        <w:tabs>
          <w:tab w:val="right" w:pos="1685"/>
        </w:tabs>
        <w:ind w:left="1742" w:hanging="475"/>
        <w:rPr>
          <w:lang w:val="en-GB"/>
        </w:rPr>
      </w:pPr>
      <w:r>
        <w:rPr>
          <w:lang w:val="en-US"/>
        </w:rPr>
        <w:tab/>
        <w:t>•</w:t>
      </w:r>
      <w:r>
        <w:rPr>
          <w:lang w:val="en-US"/>
        </w:rPr>
        <w:tab/>
        <w:t>Programmes of training in professions related to the Mass Media</w:t>
      </w:r>
    </w:p>
    <w:p w:rsidR="00000000" w:rsidRDefault="00000000">
      <w:pPr>
        <w:pStyle w:val="SingleTxt"/>
        <w:tabs>
          <w:tab w:val="right" w:pos="1685"/>
        </w:tabs>
        <w:ind w:left="1742" w:hanging="475"/>
        <w:rPr>
          <w:lang w:val="en-GB"/>
        </w:rPr>
      </w:pPr>
      <w:r>
        <w:rPr>
          <w:lang w:val="en-US"/>
        </w:rPr>
        <w:tab/>
        <w:t>•</w:t>
      </w:r>
      <w:r>
        <w:rPr>
          <w:lang w:val="en-US"/>
        </w:rPr>
        <w:tab/>
        <w:t>Collection, evaluation, and adjustment of material on discriminations in the Mass Media</w:t>
      </w:r>
    </w:p>
    <w:p w:rsidR="00000000" w:rsidRDefault="00000000">
      <w:pPr>
        <w:pStyle w:val="SingleTxt"/>
        <w:tabs>
          <w:tab w:val="right" w:pos="1685"/>
        </w:tabs>
        <w:ind w:left="1742" w:hanging="475"/>
        <w:rPr>
          <w:lang w:val="en-GB"/>
        </w:rPr>
      </w:pPr>
      <w:r>
        <w:rPr>
          <w:lang w:val="en-US"/>
        </w:rPr>
        <w:tab/>
        <w:t>•</w:t>
      </w:r>
      <w:r>
        <w:rPr>
          <w:lang w:val="en-US"/>
        </w:rPr>
        <w:tab/>
        <w:t>A</w:t>
      </w:r>
      <w:r>
        <w:rPr>
          <w:lang w:val="en-GB"/>
        </w:rPr>
        <w:t xml:space="preserve"> field </w:t>
      </w:r>
      <w:r>
        <w:rPr>
          <w:lang w:val="en-US"/>
        </w:rPr>
        <w:t>study</w:t>
      </w:r>
      <w:r>
        <w:rPr>
          <w:lang w:val="en-GB"/>
        </w:rPr>
        <w:t xml:space="preserve"> </w:t>
      </w:r>
      <w:r>
        <w:rPr>
          <w:lang w:val="en-US"/>
        </w:rPr>
        <w:t>at</w:t>
      </w:r>
      <w:r>
        <w:rPr>
          <w:lang w:val="en-GB"/>
        </w:rPr>
        <w:t xml:space="preserve"> </w:t>
      </w:r>
      <w:r>
        <w:rPr>
          <w:lang w:val="en-US"/>
        </w:rPr>
        <w:t>the</w:t>
      </w:r>
      <w:r>
        <w:rPr>
          <w:lang w:val="en-GB"/>
        </w:rPr>
        <w:t xml:space="preserve"> </w:t>
      </w:r>
      <w:r>
        <w:rPr>
          <w:lang w:val="en-US"/>
        </w:rPr>
        <w:t>place</w:t>
      </w:r>
      <w:r>
        <w:rPr>
          <w:lang w:val="en-GB"/>
        </w:rPr>
        <w:t xml:space="preserve"> </w:t>
      </w:r>
      <w:r>
        <w:rPr>
          <w:lang w:val="en-US"/>
        </w:rPr>
        <w:t>of</w:t>
      </w:r>
      <w:r>
        <w:rPr>
          <w:lang w:val="en-GB"/>
        </w:rPr>
        <w:t xml:space="preserve"> </w:t>
      </w:r>
      <w:r>
        <w:rPr>
          <w:lang w:val="en-US"/>
        </w:rPr>
        <w:t>work</w:t>
      </w:r>
      <w:r>
        <w:rPr>
          <w:lang w:val="en-GB"/>
        </w:rPr>
        <w:t xml:space="preserve"> </w:t>
      </w:r>
      <w:r>
        <w:rPr>
          <w:lang w:val="en-US"/>
        </w:rPr>
        <w:t>of</w:t>
      </w:r>
      <w:r>
        <w:rPr>
          <w:lang w:val="en-GB"/>
        </w:rPr>
        <w:t xml:space="preserve"> M</w:t>
      </w:r>
      <w:r>
        <w:rPr>
          <w:lang w:val="en-US"/>
        </w:rPr>
        <w:t>ass</w:t>
      </w:r>
      <w:r>
        <w:rPr>
          <w:lang w:val="en-GB"/>
        </w:rPr>
        <w:t xml:space="preserve"> M</w:t>
      </w:r>
      <w:r>
        <w:rPr>
          <w:lang w:val="en-US"/>
        </w:rPr>
        <w:t>edia</w:t>
      </w:r>
      <w:r>
        <w:rPr>
          <w:lang w:val="en-GB"/>
        </w:rPr>
        <w:t xml:space="preserve"> </w:t>
      </w:r>
      <w:r>
        <w:rPr>
          <w:lang w:val="en-US"/>
        </w:rPr>
        <w:t>employees</w:t>
      </w:r>
      <w:r>
        <w:rPr>
          <w:lang w:val="en-GB"/>
        </w:rPr>
        <w:t xml:space="preserve">, </w:t>
      </w:r>
      <w:r>
        <w:rPr>
          <w:lang w:val="en-US"/>
        </w:rPr>
        <w:t xml:space="preserve">concerning the way in which they regard and depict </w:t>
      </w:r>
      <w:r>
        <w:rPr>
          <w:lang w:val="en-GB"/>
        </w:rPr>
        <w:t>“vulnerable” social groups.</w:t>
      </w:r>
    </w:p>
    <w:p w:rsidR="00000000" w:rsidRDefault="00000000">
      <w:pPr>
        <w:pStyle w:val="SingleTxt"/>
        <w:tabs>
          <w:tab w:val="right" w:pos="1685"/>
        </w:tabs>
        <w:ind w:left="1742" w:hanging="475"/>
        <w:rPr>
          <w:lang w:val="en-GB"/>
        </w:rPr>
      </w:pPr>
      <w:r>
        <w:rPr>
          <w:lang w:val="en-US"/>
        </w:rPr>
        <w:tab/>
        <w:t>•</w:t>
      </w:r>
      <w:r>
        <w:rPr>
          <w:lang w:val="en-US"/>
        </w:rPr>
        <w:tab/>
        <w:t xml:space="preserve">Creation and application of educational material for employees in the Mass Media </w:t>
      </w:r>
    </w:p>
    <w:p w:rsidR="00000000" w:rsidRDefault="00000000">
      <w:pPr>
        <w:pStyle w:val="SingleTxt"/>
        <w:tabs>
          <w:tab w:val="right" w:pos="1685"/>
        </w:tabs>
        <w:ind w:left="1742" w:hanging="475"/>
        <w:rPr>
          <w:lang w:val="en-GB"/>
        </w:rPr>
      </w:pPr>
      <w:r>
        <w:rPr>
          <w:lang w:val="en-US"/>
        </w:rPr>
        <w:tab/>
        <w:t>•</w:t>
      </w:r>
      <w:r>
        <w:rPr>
          <w:lang w:val="en-US"/>
        </w:rPr>
        <w:tab/>
        <w:t>Training seminars</w:t>
      </w:r>
      <w:r>
        <w:rPr>
          <w:lang w:val="en-GB"/>
        </w:rPr>
        <w:t xml:space="preserve"> </w:t>
      </w:r>
      <w:r>
        <w:rPr>
          <w:lang w:val="en-US"/>
        </w:rPr>
        <w:t>for</w:t>
      </w:r>
      <w:r>
        <w:rPr>
          <w:lang w:val="en-GB"/>
        </w:rPr>
        <w:t xml:space="preserve"> </w:t>
      </w:r>
      <w:r>
        <w:rPr>
          <w:lang w:val="en-US"/>
        </w:rPr>
        <w:t>employees</w:t>
      </w:r>
      <w:r>
        <w:rPr>
          <w:lang w:val="en-GB"/>
        </w:rPr>
        <w:t xml:space="preserve"> in the M</w:t>
      </w:r>
      <w:r>
        <w:rPr>
          <w:lang w:val="en-US"/>
        </w:rPr>
        <w:t>ass</w:t>
      </w:r>
      <w:r>
        <w:rPr>
          <w:lang w:val="en-GB"/>
        </w:rPr>
        <w:t xml:space="preserve"> M</w:t>
      </w:r>
      <w:r>
        <w:rPr>
          <w:lang w:val="en-US"/>
        </w:rPr>
        <w:t>edia</w:t>
      </w:r>
      <w:r>
        <w:rPr>
          <w:lang w:val="en-GB"/>
        </w:rPr>
        <w:t xml:space="preserve">, </w:t>
      </w:r>
      <w:r>
        <w:rPr>
          <w:lang w:val="en-US"/>
        </w:rPr>
        <w:t>aiming at their sensitiz</w:t>
      </w:r>
      <w:r>
        <w:rPr>
          <w:lang w:val="en-US"/>
        </w:rPr>
        <w:t>a</w:t>
      </w:r>
      <w:r>
        <w:rPr>
          <w:lang w:val="en-US"/>
        </w:rPr>
        <w:t>tion</w:t>
      </w:r>
      <w:r>
        <w:rPr>
          <w:lang w:val="en-GB"/>
        </w:rPr>
        <w:t xml:space="preserve"> </w:t>
      </w:r>
      <w:r>
        <w:rPr>
          <w:lang w:val="en-US"/>
        </w:rPr>
        <w:t>on the struggle against discriminations</w:t>
      </w:r>
      <w:r>
        <w:rPr>
          <w:lang w:val="en-GB"/>
        </w:rPr>
        <w:t xml:space="preserve">, </w:t>
      </w:r>
      <w:r>
        <w:rPr>
          <w:lang w:val="en-US"/>
        </w:rPr>
        <w:t>etc</w:t>
      </w:r>
      <w:r>
        <w:rPr>
          <w:lang w:val="en-GB"/>
        </w:rPr>
        <w:t>.</w:t>
      </w:r>
    </w:p>
    <w:p w:rsidR="00000000" w:rsidRDefault="00000000">
      <w:pPr>
        <w:pStyle w:val="SingleTxt"/>
        <w:numPr>
          <w:ilvl w:val="0"/>
          <w:numId w:val="308"/>
        </w:numPr>
        <w:rPr>
          <w:lang w:val="en-GB"/>
        </w:rPr>
      </w:pPr>
      <w:r>
        <w:rPr>
          <w:lang w:val="en-US"/>
        </w:rPr>
        <w:t>With</w:t>
      </w:r>
      <w:r>
        <w:rPr>
          <w:lang w:val="en-GB"/>
        </w:rPr>
        <w:t xml:space="preserve"> </w:t>
      </w:r>
      <w:r>
        <w:rPr>
          <w:lang w:val="en-US"/>
        </w:rPr>
        <w:t>the</w:t>
      </w:r>
      <w:r>
        <w:rPr>
          <w:lang w:val="en-GB"/>
        </w:rPr>
        <w:t xml:space="preserve"> </w:t>
      </w:r>
      <w:r>
        <w:rPr>
          <w:lang w:val="en-US"/>
        </w:rPr>
        <w:t>participation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Journalists’ Union of the Athens Daily Newsp</w:t>
      </w:r>
      <w:r>
        <w:rPr>
          <w:lang w:val="en-US"/>
        </w:rPr>
        <w:t>a</w:t>
      </w:r>
      <w:r>
        <w:rPr>
          <w:lang w:val="en-US"/>
        </w:rPr>
        <w:t>pers (E.S.I.E.A.), the 25</w:t>
      </w:r>
      <w:r>
        <w:rPr>
          <w:vertAlign w:val="superscript"/>
          <w:lang w:val="en-US"/>
        </w:rPr>
        <w:t>th</w:t>
      </w:r>
      <w:r>
        <w:rPr>
          <w:lang w:val="en-US"/>
        </w:rPr>
        <w:t xml:space="preserve"> World Conference of the International Journalists’ Fe</w:t>
      </w:r>
      <w:r>
        <w:rPr>
          <w:lang w:val="en-US"/>
        </w:rPr>
        <w:t>d</w:t>
      </w:r>
      <w:r>
        <w:rPr>
          <w:lang w:val="en-US"/>
        </w:rPr>
        <w:t>eration took place in Athens</w:t>
      </w:r>
      <w:r>
        <w:rPr>
          <w:lang w:val="en-GB"/>
        </w:rPr>
        <w:t xml:space="preserve"> (25-30 May 2004); it included a special thematic unit </w:t>
      </w:r>
      <w:r>
        <w:rPr>
          <w:lang w:val="en-US"/>
        </w:rPr>
        <w:t>titled</w:t>
      </w:r>
      <w:r>
        <w:rPr>
          <w:lang w:val="en-GB"/>
        </w:rPr>
        <w:t>: “Creating solidarity for Gender Equality”.</w:t>
      </w:r>
    </w:p>
    <w:p w:rsidR="00000000" w:rsidRDefault="00000000">
      <w:pPr>
        <w:pStyle w:val="SingleTxt"/>
        <w:rPr>
          <w:lang w:val="en-GB"/>
        </w:rPr>
      </w:pPr>
      <w:r>
        <w:rPr>
          <w:lang w:val="en-US"/>
        </w:rPr>
        <w:tab/>
        <w:t>All</w:t>
      </w:r>
      <w:r>
        <w:rPr>
          <w:lang w:val="en-GB"/>
        </w:rPr>
        <w:t xml:space="preserve"> subjects </w:t>
      </w:r>
      <w:r>
        <w:rPr>
          <w:lang w:val="en-US"/>
        </w:rPr>
        <w:t>of</w:t>
      </w:r>
      <w:r>
        <w:rPr>
          <w:lang w:val="en-GB"/>
        </w:rPr>
        <w:t xml:space="preserve"> </w:t>
      </w:r>
      <w:r>
        <w:rPr>
          <w:lang w:val="en-US"/>
        </w:rPr>
        <w:t>the</w:t>
      </w:r>
      <w:r>
        <w:rPr>
          <w:lang w:val="en-GB"/>
        </w:rPr>
        <w:t xml:space="preserve"> </w:t>
      </w:r>
      <w:r>
        <w:rPr>
          <w:lang w:val="en-US"/>
        </w:rPr>
        <w:t>Conference</w:t>
      </w:r>
      <w:r>
        <w:rPr>
          <w:lang w:val="en-GB"/>
        </w:rPr>
        <w:t>’</w:t>
      </w:r>
      <w:r>
        <w:rPr>
          <w:lang w:val="en-US"/>
        </w:rPr>
        <w:t>s</w:t>
      </w:r>
      <w:r>
        <w:rPr>
          <w:lang w:val="en-GB"/>
        </w:rPr>
        <w:t xml:space="preserve"> </w:t>
      </w:r>
      <w:r>
        <w:rPr>
          <w:lang w:val="en-US"/>
        </w:rPr>
        <w:t>agenda</w:t>
      </w:r>
      <w:r>
        <w:rPr>
          <w:lang w:val="en-GB"/>
        </w:rPr>
        <w:t xml:space="preserve"> </w:t>
      </w:r>
      <w:r>
        <w:rPr>
          <w:lang w:val="en-US"/>
        </w:rPr>
        <w:t>were</w:t>
      </w:r>
      <w:r>
        <w:rPr>
          <w:lang w:val="en-GB"/>
        </w:rPr>
        <w:t xml:space="preserve"> </w:t>
      </w:r>
      <w:r>
        <w:rPr>
          <w:lang w:val="en-US"/>
        </w:rPr>
        <w:t>related</w:t>
      </w:r>
      <w:r>
        <w:rPr>
          <w:lang w:val="en-GB"/>
        </w:rPr>
        <w:t xml:space="preserve"> </w:t>
      </w:r>
      <w:r>
        <w:rPr>
          <w:lang w:val="en-US"/>
        </w:rPr>
        <w:t>to</w:t>
      </w:r>
      <w:r>
        <w:rPr>
          <w:lang w:val="en-GB"/>
        </w:rPr>
        <w:t xml:space="preserve"> </w:t>
      </w:r>
      <w:r>
        <w:rPr>
          <w:lang w:val="en-US"/>
        </w:rPr>
        <w:t>women</w:t>
      </w:r>
      <w:r>
        <w:rPr>
          <w:lang w:val="en-GB"/>
        </w:rPr>
        <w:t xml:space="preserve"> – conflicts, </w:t>
      </w:r>
      <w:r>
        <w:rPr>
          <w:lang w:val="en-US"/>
        </w:rPr>
        <w:t>strategies</w:t>
      </w:r>
      <w:r>
        <w:rPr>
          <w:lang w:val="en-GB"/>
        </w:rPr>
        <w:t xml:space="preserve"> </w:t>
      </w:r>
      <w:r>
        <w:rPr>
          <w:lang w:val="en-US"/>
        </w:rPr>
        <w:t>to</w:t>
      </w:r>
      <w:r>
        <w:rPr>
          <w:lang w:val="en-GB"/>
        </w:rPr>
        <w:t xml:space="preserve"> </w:t>
      </w:r>
      <w:r>
        <w:rPr>
          <w:lang w:val="en-US"/>
        </w:rPr>
        <w:t>address</w:t>
      </w:r>
      <w:r>
        <w:rPr>
          <w:lang w:val="en-GB"/>
        </w:rPr>
        <w:t xml:space="preserve"> challenges of globalisation, quality in the mass media and the future working programme of the </w:t>
      </w:r>
      <w:r>
        <w:rPr>
          <w:lang w:val="en-US"/>
        </w:rPr>
        <w:t>IFJ (International Federation of Journalists)</w:t>
      </w:r>
      <w:r>
        <w:rPr>
          <w:lang w:val="en-GB"/>
        </w:rPr>
        <w:t>. The panel examined the reasons why gender issues are still margin</w:t>
      </w:r>
      <w:r>
        <w:rPr>
          <w:lang w:val="en-US"/>
        </w:rPr>
        <w:t>al</w:t>
      </w:r>
      <w:r>
        <w:rPr>
          <w:lang w:val="en-GB"/>
        </w:rPr>
        <w:t xml:space="preserve">, </w:t>
      </w:r>
      <w:r>
        <w:rPr>
          <w:lang w:val="en-US"/>
        </w:rPr>
        <w:t>how to bring the action plan for equality at the core of the IFJ work, and the role of training</w:t>
      </w:r>
      <w:r>
        <w:rPr>
          <w:lang w:val="en-GB"/>
        </w:rPr>
        <w:t>. A cr</w:t>
      </w:r>
      <w:r>
        <w:rPr>
          <w:lang w:val="en-GB"/>
        </w:rPr>
        <w:t>u</w:t>
      </w:r>
      <w:r>
        <w:rPr>
          <w:lang w:val="en-GB"/>
        </w:rPr>
        <w:t>cial issue was the need for regional areas’ voice to be heard.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br w:type="page"/>
      </w:r>
      <w:r>
        <w:tab/>
      </w:r>
      <w:r>
        <w:tab/>
        <w:t>Annex</w:t>
      </w:r>
      <w:r>
        <w:rPr>
          <w:lang w:val="en-GB"/>
        </w:rPr>
        <w:t xml:space="preserve"> 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w:t>
      </w:r>
      <w:r>
        <w:t>Article</w:t>
      </w:r>
      <w:r>
        <w:rPr>
          <w:lang w:val="en-GB"/>
        </w:rPr>
        <w:t xml:space="preserv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US"/>
        </w:rPr>
        <w:tab/>
      </w:r>
      <w:r>
        <w:rPr>
          <w:lang w:val="en-US"/>
        </w:rPr>
        <w:tab/>
        <w:t>General Secretariat for Gender Equality</w:t>
      </w:r>
      <w:r>
        <w:rPr>
          <w:lang w:val="en-GB"/>
        </w:rPr>
        <w:t xml:space="preserv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violence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Sample</w:t>
      </w:r>
      <w:r>
        <w:rPr>
          <w:lang w:val="en-GB"/>
        </w:rPr>
        <w:t xml:space="preserve"> </w:t>
      </w:r>
      <w:r>
        <w:rPr>
          <w:lang w:val="en-US"/>
        </w:rPr>
        <w:t>statistical development of data on women’s abuse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 conclusions</w:t>
      </w:r>
    </w:p>
    <w:p w:rsidR="00000000" w:rsidRDefault="00000000">
      <w:pPr>
        <w:pStyle w:val="SingleTxt"/>
        <w:spacing w:after="0" w:line="120" w:lineRule="exact"/>
        <w:rPr>
          <w:sz w:val="10"/>
        </w:rPr>
      </w:pPr>
    </w:p>
    <w:p w:rsidR="00000000" w:rsidRDefault="00000000">
      <w:pPr>
        <w:pStyle w:val="SingleTxt"/>
        <w:rPr>
          <w:lang w:val="en-GB"/>
        </w:rPr>
      </w:pPr>
      <w:r>
        <w:rPr>
          <w:lang w:val="en-US"/>
        </w:rPr>
        <w:tab/>
        <w:t>The activities of the Consultation Centres of Athens – Piraeus</w:t>
      </w:r>
      <w:r>
        <w:rPr>
          <w:lang w:val="en-GB"/>
        </w:rPr>
        <w:t xml:space="preserve"> </w:t>
      </w:r>
      <w:r>
        <w:rPr>
          <w:lang w:val="en-US"/>
        </w:rPr>
        <w:t>of the General Secretariat for Gender Equality</w:t>
      </w:r>
      <w:r>
        <w:rPr>
          <w:lang w:val="en-GB"/>
        </w:rPr>
        <w:t xml:space="preserve">, </w:t>
      </w:r>
      <w:r>
        <w:rPr>
          <w:lang w:val="en-US"/>
        </w:rPr>
        <w:t xml:space="preserve">during the period from </w:t>
      </w:r>
      <w:r>
        <w:rPr>
          <w:lang w:val="en-GB"/>
        </w:rPr>
        <w:t xml:space="preserve">01/01/2004 </w:t>
      </w:r>
      <w:r>
        <w:rPr>
          <w:lang w:val="en-US"/>
        </w:rPr>
        <w:t>to</w:t>
      </w:r>
      <w:r>
        <w:rPr>
          <w:lang w:val="en-GB"/>
        </w:rPr>
        <w:t xml:space="preserve"> 31/10/2004, </w:t>
      </w:r>
      <w:r>
        <w:rPr>
          <w:lang w:val="en-US"/>
        </w:rPr>
        <w:t>have been as follows</w:t>
      </w:r>
      <w:r>
        <w:rPr>
          <w:lang w:val="en-GB"/>
        </w:rPr>
        <w:t>:</w:t>
      </w:r>
    </w:p>
    <w:p w:rsidR="00000000" w:rsidRDefault="00000000">
      <w:pPr>
        <w:pStyle w:val="SingleTxt"/>
        <w:tabs>
          <w:tab w:val="right" w:pos="1685"/>
        </w:tabs>
        <w:ind w:left="1742" w:hanging="475"/>
      </w:pPr>
      <w:r>
        <w:rPr>
          <w:lang w:val="en-US"/>
        </w:rPr>
        <w:tab/>
        <w:t>•</w:t>
      </w:r>
      <w:r>
        <w:rPr>
          <w:lang w:val="en-US"/>
        </w:rPr>
        <w:tab/>
        <w:t>Appointments</w:t>
      </w:r>
      <w:r>
        <w:t>: 728</w:t>
      </w:r>
    </w:p>
    <w:p w:rsidR="00000000" w:rsidRDefault="00000000">
      <w:pPr>
        <w:pStyle w:val="SingleTxt"/>
        <w:tabs>
          <w:tab w:val="right" w:pos="1685"/>
        </w:tabs>
        <w:ind w:left="1742" w:hanging="475"/>
      </w:pPr>
      <w:r>
        <w:rPr>
          <w:lang w:val="en-US"/>
        </w:rPr>
        <w:tab/>
        <w:t>•</w:t>
      </w:r>
      <w:r>
        <w:rPr>
          <w:lang w:val="en-US"/>
        </w:rPr>
        <w:tab/>
        <w:t>Telephone calls</w:t>
      </w:r>
      <w:r>
        <w:t>: 2302</w:t>
      </w:r>
    </w:p>
    <w:p w:rsidR="00000000" w:rsidRDefault="00000000">
      <w:pPr>
        <w:pStyle w:val="SingleTxt"/>
        <w:numPr>
          <w:ilvl w:val="0"/>
          <w:numId w:val="310"/>
        </w:numPr>
        <w:tabs>
          <w:tab w:val="clear" w:pos="1742"/>
        </w:tabs>
        <w:spacing w:line="230" w:lineRule="exact"/>
        <w:ind w:left="1656" w:hanging="360"/>
        <w:rPr>
          <w:lang w:val="en-GB"/>
        </w:rPr>
      </w:pPr>
      <w:r>
        <w:rPr>
          <w:lang w:val="en-GB"/>
        </w:rPr>
        <w:t xml:space="preserve">16% </w:t>
      </w:r>
      <w:r>
        <w:rPr>
          <w:lang w:val="en-US"/>
        </w:rPr>
        <w:t>of</w:t>
      </w:r>
      <w:r>
        <w:rPr>
          <w:lang w:val="en-GB"/>
        </w:rPr>
        <w:t xml:space="preserve"> the </w:t>
      </w:r>
      <w:r>
        <w:rPr>
          <w:lang w:val="en-US"/>
        </w:rPr>
        <w:t>women</w:t>
      </w:r>
      <w:r>
        <w:rPr>
          <w:lang w:val="en-GB"/>
        </w:rPr>
        <w:t xml:space="preserve"> </w:t>
      </w:r>
      <w:r>
        <w:rPr>
          <w:lang w:val="en-US"/>
        </w:rPr>
        <w:t>who</w:t>
      </w:r>
      <w:r>
        <w:rPr>
          <w:lang w:val="en-GB"/>
        </w:rPr>
        <w:t xml:space="preserve"> </w:t>
      </w:r>
      <w:r>
        <w:rPr>
          <w:lang w:val="en-US"/>
        </w:rPr>
        <w:t>contacted</w:t>
      </w:r>
      <w:r>
        <w:rPr>
          <w:lang w:val="en-GB"/>
        </w:rPr>
        <w:t xml:space="preserve"> </w:t>
      </w:r>
      <w:r>
        <w:rPr>
          <w:lang w:val="en-US"/>
        </w:rPr>
        <w:t>the Consultation Centres</w:t>
      </w:r>
      <w:r>
        <w:rPr>
          <w:lang w:val="en-GB"/>
        </w:rPr>
        <w:t xml:space="preserve">, </w:t>
      </w:r>
      <w:r>
        <w:rPr>
          <w:lang w:val="en-US"/>
        </w:rPr>
        <w:t>during the time p</w:t>
      </w:r>
      <w:r>
        <w:rPr>
          <w:lang w:val="en-US"/>
        </w:rPr>
        <w:t>e</w:t>
      </w:r>
      <w:r>
        <w:rPr>
          <w:lang w:val="en-US"/>
        </w:rPr>
        <w:t xml:space="preserve">riod from </w:t>
      </w:r>
      <w:r>
        <w:rPr>
          <w:lang w:val="en-GB"/>
        </w:rPr>
        <w:t xml:space="preserve">01/01/2002 </w:t>
      </w:r>
      <w:r>
        <w:rPr>
          <w:lang w:val="en-US"/>
        </w:rPr>
        <w:t>to</w:t>
      </w:r>
      <w:r>
        <w:rPr>
          <w:lang w:val="en-GB"/>
        </w:rPr>
        <w:t xml:space="preserve"> 31/10/2004, were</w:t>
      </w:r>
      <w:r>
        <w:rPr>
          <w:lang w:val="en-US"/>
        </w:rPr>
        <w:t xml:space="preserve"> foreign nationals</w:t>
      </w:r>
      <w:r>
        <w:rPr>
          <w:lang w:val="en-GB"/>
        </w:rPr>
        <w:t xml:space="preserve">. It is noted that </w:t>
      </w:r>
      <w:r>
        <w:rPr>
          <w:i/>
          <w:lang w:val="en-US"/>
        </w:rPr>
        <w:t>of the total number of foreign women</w:t>
      </w:r>
      <w:r>
        <w:rPr>
          <w:i/>
          <w:lang w:val="en-GB"/>
        </w:rPr>
        <w:t xml:space="preserve"> – </w:t>
      </w:r>
      <w:r>
        <w:rPr>
          <w:i/>
          <w:lang w:val="en-US"/>
        </w:rPr>
        <w:t>victims of domestic violence</w:t>
      </w:r>
      <w:r>
        <w:rPr>
          <w:lang w:val="en-GB"/>
        </w:rPr>
        <w:t xml:space="preserve">, </w:t>
      </w:r>
      <w:r>
        <w:rPr>
          <w:lang w:val="en-US"/>
        </w:rPr>
        <w:t>approx</w:t>
      </w:r>
      <w:r>
        <w:rPr>
          <w:lang w:val="en-US"/>
        </w:rPr>
        <w:t>i</w:t>
      </w:r>
      <w:r>
        <w:rPr>
          <w:lang w:val="en-US"/>
        </w:rPr>
        <w:t>mately</w:t>
      </w:r>
      <w:r>
        <w:rPr>
          <w:lang w:val="en-GB"/>
        </w:rPr>
        <w:t xml:space="preserve">, </w:t>
      </w:r>
      <w:r>
        <w:rPr>
          <w:i/>
          <w:lang w:val="en-GB"/>
        </w:rPr>
        <w:t xml:space="preserve">4 </w:t>
      </w:r>
      <w:r>
        <w:rPr>
          <w:i/>
          <w:lang w:val="en-US"/>
        </w:rPr>
        <w:t xml:space="preserve">out of </w:t>
      </w:r>
      <w:r>
        <w:rPr>
          <w:i/>
          <w:lang w:val="en-GB"/>
        </w:rPr>
        <w:t xml:space="preserve">10 </w:t>
      </w:r>
      <w:r>
        <w:rPr>
          <w:i/>
          <w:lang w:val="en-US"/>
        </w:rPr>
        <w:t>come from the Balkans</w:t>
      </w:r>
      <w:r>
        <w:rPr>
          <w:i/>
          <w:lang w:val="en-GB"/>
        </w:rPr>
        <w:t>.</w:t>
      </w:r>
    </w:p>
    <w:p w:rsidR="00000000" w:rsidRDefault="00000000">
      <w:pPr>
        <w:pStyle w:val="SingleTxt"/>
        <w:numPr>
          <w:ilvl w:val="0"/>
          <w:numId w:val="310"/>
        </w:numPr>
        <w:tabs>
          <w:tab w:val="clear" w:pos="1742"/>
        </w:tabs>
        <w:spacing w:line="230" w:lineRule="exact"/>
        <w:ind w:left="1656" w:hanging="360"/>
        <w:rPr>
          <w:lang w:val="en-GB"/>
        </w:rPr>
      </w:pPr>
      <w:r>
        <w:rPr>
          <w:lang w:val="en-US"/>
        </w:rPr>
        <w:t>The majority of women</w:t>
      </w:r>
      <w:r>
        <w:rPr>
          <w:lang w:val="en-GB"/>
        </w:rPr>
        <w:t>-</w:t>
      </w:r>
      <w:r>
        <w:rPr>
          <w:lang w:val="en-US"/>
        </w:rPr>
        <w:t>victims of domestic violence</w:t>
      </w:r>
      <w:r>
        <w:rPr>
          <w:lang w:val="en-GB"/>
        </w:rPr>
        <w:t xml:space="preserve">, (64%) </w:t>
      </w:r>
      <w:r>
        <w:rPr>
          <w:lang w:val="en-US"/>
        </w:rPr>
        <w:t>belong to the age group from</w:t>
      </w:r>
      <w:r>
        <w:rPr>
          <w:lang w:val="en-GB"/>
        </w:rPr>
        <w:t xml:space="preserve"> 31 to 50 years</w:t>
      </w:r>
      <w:r>
        <w:rPr>
          <w:b/>
          <w:lang w:val="en-GB"/>
        </w:rPr>
        <w:t>.</w:t>
      </w:r>
    </w:p>
    <w:p w:rsidR="00000000" w:rsidRDefault="00000000">
      <w:pPr>
        <w:pStyle w:val="SingleTxt"/>
        <w:numPr>
          <w:ilvl w:val="0"/>
          <w:numId w:val="310"/>
        </w:numPr>
        <w:tabs>
          <w:tab w:val="clear" w:pos="1742"/>
        </w:tabs>
        <w:spacing w:line="230" w:lineRule="exact"/>
        <w:ind w:left="1656" w:hanging="360"/>
        <w:rPr>
          <w:lang w:val="en-GB"/>
        </w:rPr>
      </w:pPr>
      <w:r>
        <w:rPr>
          <w:lang w:val="en-GB"/>
        </w:rPr>
        <w:t xml:space="preserve">67% </w:t>
      </w:r>
      <w:r>
        <w:rPr>
          <w:lang w:val="en-US"/>
        </w:rPr>
        <w:t>of</w:t>
      </w:r>
      <w:r>
        <w:rPr>
          <w:lang w:val="en-GB"/>
        </w:rPr>
        <w:t xml:space="preserve"> the </w:t>
      </w:r>
      <w:r>
        <w:rPr>
          <w:lang w:val="en-US"/>
        </w:rPr>
        <w:t>women</w:t>
      </w:r>
      <w:r>
        <w:rPr>
          <w:lang w:val="en-GB"/>
        </w:rPr>
        <w:t xml:space="preserve"> </w:t>
      </w:r>
      <w:r>
        <w:rPr>
          <w:lang w:val="en-US"/>
        </w:rPr>
        <w:t>having</w:t>
      </w:r>
      <w:r>
        <w:rPr>
          <w:lang w:val="en-GB"/>
        </w:rPr>
        <w:t xml:space="preserve"> </w:t>
      </w:r>
      <w:r>
        <w:rPr>
          <w:lang w:val="en-US"/>
        </w:rPr>
        <w:t>suffered</w:t>
      </w:r>
      <w:r>
        <w:rPr>
          <w:lang w:val="en-GB"/>
        </w:rPr>
        <w:t xml:space="preserve"> </w:t>
      </w:r>
      <w:r>
        <w:rPr>
          <w:lang w:val="en-US"/>
        </w:rPr>
        <w:t>abuse</w:t>
      </w:r>
      <w:r>
        <w:rPr>
          <w:lang w:val="en-GB"/>
        </w:rPr>
        <w:t xml:space="preserve"> </w:t>
      </w:r>
      <w:r>
        <w:rPr>
          <w:lang w:val="en-US"/>
        </w:rPr>
        <w:t>and contacted the Consultation Ce</w:t>
      </w:r>
      <w:r>
        <w:rPr>
          <w:lang w:val="en-US"/>
        </w:rPr>
        <w:t>n</w:t>
      </w:r>
      <w:r>
        <w:rPr>
          <w:lang w:val="en-US"/>
        </w:rPr>
        <w:t>tres in Athens and Piraeus</w:t>
      </w:r>
      <w:r>
        <w:rPr>
          <w:lang w:val="en-GB"/>
        </w:rPr>
        <w:t>, are married.</w:t>
      </w:r>
    </w:p>
    <w:p w:rsidR="00000000" w:rsidRDefault="00000000">
      <w:pPr>
        <w:pStyle w:val="SingleTxt"/>
        <w:numPr>
          <w:ilvl w:val="0"/>
          <w:numId w:val="310"/>
        </w:numPr>
        <w:tabs>
          <w:tab w:val="clear" w:pos="1742"/>
        </w:tabs>
        <w:spacing w:line="230" w:lineRule="exact"/>
        <w:ind w:left="1656" w:hanging="360"/>
      </w:pPr>
      <w:r>
        <w:t>Concerning the educational level of women who visited the Consultation Ce</w:t>
      </w:r>
      <w:r>
        <w:t>n</w:t>
      </w:r>
      <w:r>
        <w:t xml:space="preserve">tres of the General Secretariat for Gender Equality, it is worth-noting that, approximately, </w:t>
      </w:r>
      <w:r>
        <w:rPr>
          <w:i/>
        </w:rPr>
        <w:t>7</w:t>
      </w:r>
      <w:r>
        <w:t xml:space="preserve"> </w:t>
      </w:r>
      <w:r>
        <w:rPr>
          <w:i/>
        </w:rPr>
        <w:t>out of 10 are graduates of Secondary, Technological or Te</w:t>
      </w:r>
      <w:r>
        <w:rPr>
          <w:i/>
        </w:rPr>
        <w:t>r</w:t>
      </w:r>
      <w:r>
        <w:rPr>
          <w:i/>
        </w:rPr>
        <w:t>tiary Education Institutes.</w:t>
      </w:r>
      <w:r>
        <w:t xml:space="preserve"> The common belief that abused women are usually of low educational level is not confirmed</w:t>
      </w:r>
      <w:r>
        <w:rPr>
          <w:rStyle w:val="FootnoteReference"/>
        </w:rPr>
        <w:footnoteReference w:id="36"/>
      </w:r>
      <w:r>
        <w:t>. Consequently, women may become victims of violence, regardless of their educ</w:t>
      </w:r>
      <w:r>
        <w:t>a</w:t>
      </w:r>
      <w:r>
        <w:t xml:space="preserve">tional level. </w:t>
      </w:r>
    </w:p>
    <w:p w:rsidR="00000000" w:rsidRDefault="00000000">
      <w:pPr>
        <w:pStyle w:val="SingleTxt"/>
        <w:numPr>
          <w:ilvl w:val="0"/>
          <w:numId w:val="310"/>
        </w:numPr>
        <w:tabs>
          <w:tab w:val="clear" w:pos="1742"/>
        </w:tabs>
        <w:spacing w:line="230" w:lineRule="exact"/>
        <w:ind w:left="1656" w:hanging="360"/>
        <w:rPr>
          <w:lang w:val="en-GB"/>
        </w:rPr>
      </w:pPr>
      <w:r>
        <w:rPr>
          <w:lang w:val="en-GB"/>
        </w:rPr>
        <w:t xml:space="preserve">Of </w:t>
      </w:r>
      <w:r>
        <w:rPr>
          <w:lang w:val="en-US"/>
        </w:rPr>
        <w:t>particular interest is the fact that</w:t>
      </w:r>
      <w:r>
        <w:rPr>
          <w:lang w:val="en-GB"/>
        </w:rPr>
        <w:t xml:space="preserve"> </w:t>
      </w:r>
      <w:r>
        <w:rPr>
          <w:lang w:val="en-US"/>
        </w:rPr>
        <w:t xml:space="preserve">approximately </w:t>
      </w:r>
      <w:r>
        <w:rPr>
          <w:lang w:val="en-GB"/>
        </w:rPr>
        <w:t xml:space="preserve">6 </w:t>
      </w:r>
      <w:r>
        <w:rPr>
          <w:lang w:val="en-US"/>
        </w:rPr>
        <w:t xml:space="preserve">out of </w:t>
      </w:r>
      <w:r>
        <w:rPr>
          <w:lang w:val="en-GB"/>
        </w:rPr>
        <w:t xml:space="preserve">10 </w:t>
      </w:r>
      <w:r>
        <w:rPr>
          <w:lang w:val="en-US"/>
        </w:rPr>
        <w:t>women who su</w:t>
      </w:r>
      <w:r>
        <w:rPr>
          <w:lang w:val="en-US"/>
        </w:rPr>
        <w:t>f</w:t>
      </w:r>
      <w:r>
        <w:rPr>
          <w:lang w:val="en-US"/>
        </w:rPr>
        <w:t>fered abuse and</w:t>
      </w:r>
      <w:r>
        <w:rPr>
          <w:lang w:val="en-GB"/>
        </w:rPr>
        <w:t xml:space="preserve"> </w:t>
      </w:r>
      <w:r>
        <w:rPr>
          <w:lang w:val="en-US"/>
        </w:rPr>
        <w:t>visited the Consultation Centres of Athens</w:t>
      </w:r>
      <w:r>
        <w:rPr>
          <w:lang w:val="en-GB"/>
        </w:rPr>
        <w:t xml:space="preserve"> </w:t>
      </w:r>
      <w:r>
        <w:t>–</w:t>
      </w:r>
      <w:r>
        <w:rPr>
          <w:lang w:val="en-GB"/>
        </w:rPr>
        <w:t xml:space="preserve"> Piraeus mentioned that they are of a medium or good financial situation.</w:t>
      </w:r>
    </w:p>
    <w:p w:rsidR="00000000" w:rsidRDefault="00000000">
      <w:pPr>
        <w:pStyle w:val="SingleTxt"/>
        <w:numPr>
          <w:ilvl w:val="0"/>
          <w:numId w:val="310"/>
        </w:numPr>
        <w:tabs>
          <w:tab w:val="clear" w:pos="1742"/>
        </w:tabs>
        <w:spacing w:line="230" w:lineRule="exact"/>
        <w:ind w:left="1656" w:hanging="360"/>
        <w:rPr>
          <w:lang w:val="en-GB"/>
        </w:rPr>
      </w:pPr>
      <w:r>
        <w:rPr>
          <w:lang w:val="en-US"/>
        </w:rPr>
        <w:t>Out</w:t>
      </w:r>
      <w:r>
        <w:rPr>
          <w:lang w:val="en-GB"/>
        </w:rPr>
        <w:t xml:space="preserve"> </w:t>
      </w:r>
      <w:r>
        <w:rPr>
          <w:lang w:val="en-US"/>
        </w:rPr>
        <w:t>of</w:t>
      </w:r>
      <w:r>
        <w:rPr>
          <w:lang w:val="en-GB"/>
        </w:rPr>
        <w:t xml:space="preserve"> </w:t>
      </w:r>
      <w:r>
        <w:rPr>
          <w:lang w:val="en-US"/>
        </w:rPr>
        <w:t>the</w:t>
      </w:r>
      <w:r>
        <w:rPr>
          <w:lang w:val="en-GB"/>
        </w:rPr>
        <w:t xml:space="preserve"> </w:t>
      </w:r>
      <w:r>
        <w:rPr>
          <w:lang w:val="en-US"/>
        </w:rPr>
        <w:t>total</w:t>
      </w:r>
      <w:r>
        <w:rPr>
          <w:lang w:val="en-GB"/>
        </w:rPr>
        <w:t xml:space="preserve"> </w:t>
      </w:r>
      <w:r>
        <w:rPr>
          <w:lang w:val="en-US"/>
        </w:rPr>
        <w:t>sample</w:t>
      </w:r>
      <w:r>
        <w:rPr>
          <w:lang w:val="en-GB"/>
        </w:rPr>
        <w:t xml:space="preserve"> </w:t>
      </w:r>
      <w:r>
        <w:rPr>
          <w:lang w:val="en-US"/>
        </w:rPr>
        <w:t>of</w:t>
      </w:r>
      <w:r>
        <w:rPr>
          <w:lang w:val="en-GB"/>
        </w:rPr>
        <w:t xml:space="preserve"> </w:t>
      </w:r>
      <w:r>
        <w:rPr>
          <w:lang w:val="en-US"/>
        </w:rPr>
        <w:t>women</w:t>
      </w:r>
      <w:r>
        <w:rPr>
          <w:lang w:val="en-GB"/>
        </w:rPr>
        <w:t xml:space="preserve"> who </w:t>
      </w:r>
      <w:r>
        <w:rPr>
          <w:lang w:val="en-US"/>
        </w:rPr>
        <w:t>visited</w:t>
      </w:r>
      <w:r>
        <w:rPr>
          <w:lang w:val="en-GB"/>
        </w:rPr>
        <w:t xml:space="preserve"> </w:t>
      </w:r>
      <w:r>
        <w:rPr>
          <w:lang w:val="en-US"/>
        </w:rPr>
        <w:t>the</w:t>
      </w:r>
      <w:r>
        <w:rPr>
          <w:lang w:val="en-GB"/>
        </w:rPr>
        <w:t xml:space="preserve"> </w:t>
      </w:r>
      <w:r>
        <w:rPr>
          <w:lang w:val="en-US"/>
        </w:rPr>
        <w:t>Consultation Centres</w:t>
      </w:r>
      <w:r>
        <w:rPr>
          <w:lang w:val="en-GB"/>
        </w:rPr>
        <w:t xml:space="preserve"> </w:t>
      </w:r>
      <w:r>
        <w:rPr>
          <w:lang w:val="en-US"/>
        </w:rPr>
        <w:t>of</w:t>
      </w:r>
      <w:r>
        <w:rPr>
          <w:lang w:val="en-GB"/>
        </w:rPr>
        <w:t xml:space="preserve"> </w:t>
      </w:r>
      <w:r>
        <w:rPr>
          <w:lang w:val="en-US"/>
        </w:rPr>
        <w:t>At</w:t>
      </w:r>
      <w:r>
        <w:rPr>
          <w:lang w:val="en-US"/>
        </w:rPr>
        <w:t>h</w:t>
      </w:r>
      <w:r>
        <w:rPr>
          <w:lang w:val="en-US"/>
        </w:rPr>
        <w:t>ens</w:t>
      </w:r>
      <w:r>
        <w:rPr>
          <w:lang w:val="en-GB"/>
        </w:rPr>
        <w:t xml:space="preserve"> </w:t>
      </w:r>
      <w:r>
        <w:rPr>
          <w:lang w:val="en-US"/>
        </w:rPr>
        <w:t>and</w:t>
      </w:r>
      <w:r>
        <w:rPr>
          <w:lang w:val="en-GB"/>
        </w:rPr>
        <w:t xml:space="preserve"> </w:t>
      </w:r>
      <w:r>
        <w:rPr>
          <w:lang w:val="en-US"/>
        </w:rPr>
        <w:t>Piraeus</w:t>
      </w:r>
      <w:r>
        <w:rPr>
          <w:lang w:val="en-GB"/>
        </w:rPr>
        <w:t>, only</w:t>
      </w:r>
      <w:r>
        <w:rPr>
          <w:lang w:val="en-US"/>
        </w:rPr>
        <w:t xml:space="preserve"> </w:t>
      </w:r>
      <w:r>
        <w:rPr>
          <w:lang w:val="en-GB"/>
        </w:rPr>
        <w:t xml:space="preserve">22% stated that they had suffered abuse in the past (by father, mother, brother, etc.), while the remaining </w:t>
      </w:r>
      <w:r>
        <w:rPr>
          <w:i/>
          <w:lang w:val="en-GB"/>
        </w:rPr>
        <w:t>78% stated that they had not been victims of abuse in the past.</w:t>
      </w:r>
    </w:p>
    <w:p w:rsidR="00000000" w:rsidRDefault="00000000">
      <w:pPr>
        <w:pStyle w:val="SingleTxt"/>
        <w:rPr>
          <w:lang w:val="en-GB"/>
        </w:rPr>
      </w:pPr>
      <w:r>
        <w:rPr>
          <w:lang w:val="en-GB"/>
        </w:rPr>
        <w:tab/>
        <w:t xml:space="preserve">Consequently, </w:t>
      </w:r>
      <w:r>
        <w:rPr>
          <w:lang w:val="en-US"/>
        </w:rPr>
        <w:t xml:space="preserve">tolerance of violent behaviour does not necessarily </w:t>
      </w:r>
      <w:r>
        <w:rPr>
          <w:lang w:val="en-GB"/>
        </w:rPr>
        <w:t xml:space="preserve">imply abuse of the woman-victim in the past (by father, mother or brother). </w:t>
      </w:r>
    </w:p>
    <w:p w:rsidR="00000000" w:rsidRDefault="00000000">
      <w:pPr>
        <w:pStyle w:val="SingleTxt"/>
        <w:numPr>
          <w:ilvl w:val="0"/>
          <w:numId w:val="310"/>
        </w:numPr>
        <w:tabs>
          <w:tab w:val="clear" w:pos="1742"/>
        </w:tabs>
        <w:spacing w:line="230" w:lineRule="exact"/>
        <w:ind w:left="1656" w:hanging="360"/>
        <w:rPr>
          <w:lang w:val="en-GB"/>
        </w:rPr>
      </w:pPr>
      <w:r>
        <w:rPr>
          <w:lang w:val="en-US"/>
        </w:rPr>
        <w:t>It is worth-noting</w:t>
      </w:r>
      <w:r>
        <w:rPr>
          <w:lang w:val="en-GB"/>
        </w:rPr>
        <w:t xml:space="preserve"> </w:t>
      </w:r>
      <w:r>
        <w:rPr>
          <w:lang w:val="en-US"/>
        </w:rPr>
        <w:t>that</w:t>
      </w:r>
      <w:r>
        <w:rPr>
          <w:lang w:val="en-GB"/>
        </w:rPr>
        <w:t xml:space="preserve"> </w:t>
      </w:r>
      <w:r>
        <w:rPr>
          <w:i/>
          <w:lang w:val="en-GB"/>
        </w:rPr>
        <w:t xml:space="preserve">1 </w:t>
      </w:r>
      <w:r>
        <w:rPr>
          <w:i/>
          <w:lang w:val="en-US"/>
        </w:rPr>
        <w:t xml:space="preserve">out of </w:t>
      </w:r>
      <w:r>
        <w:rPr>
          <w:i/>
          <w:lang w:val="en-GB"/>
        </w:rPr>
        <w:t xml:space="preserve">3 </w:t>
      </w:r>
      <w:r>
        <w:rPr>
          <w:i/>
          <w:lang w:val="en-US"/>
        </w:rPr>
        <w:t>women victims of domestic violence</w:t>
      </w:r>
      <w:r>
        <w:rPr>
          <w:i/>
          <w:lang w:val="en-GB"/>
        </w:rPr>
        <w:t xml:space="preserve"> 33% </w:t>
      </w:r>
      <w:r>
        <w:rPr>
          <w:i/>
          <w:lang w:val="en-US"/>
        </w:rPr>
        <w:t>had suffered abuse</w:t>
      </w:r>
      <w:r>
        <w:rPr>
          <w:lang w:val="en-GB"/>
        </w:rPr>
        <w:t xml:space="preserve"> (</w:t>
      </w:r>
      <w:r>
        <w:rPr>
          <w:lang w:val="en-US"/>
        </w:rPr>
        <w:t>psychological</w:t>
      </w:r>
      <w:r>
        <w:rPr>
          <w:lang w:val="en-GB"/>
        </w:rPr>
        <w:t xml:space="preserve">, </w:t>
      </w:r>
      <w:r>
        <w:rPr>
          <w:lang w:val="en-US"/>
        </w:rPr>
        <w:t>physical</w:t>
      </w:r>
      <w:r>
        <w:rPr>
          <w:lang w:val="en-GB"/>
        </w:rPr>
        <w:t xml:space="preserve"> </w:t>
      </w:r>
      <w:r>
        <w:rPr>
          <w:lang w:val="en-US"/>
        </w:rPr>
        <w:t>or sexual</w:t>
      </w:r>
      <w:r>
        <w:rPr>
          <w:lang w:val="en-GB"/>
        </w:rPr>
        <w:t xml:space="preserve">) </w:t>
      </w:r>
      <w:r>
        <w:rPr>
          <w:i/>
          <w:lang w:val="en-US"/>
        </w:rPr>
        <w:t>by the perpetrator</w:t>
      </w:r>
      <w:r>
        <w:rPr>
          <w:i/>
          <w:lang w:val="en-GB"/>
        </w:rPr>
        <w:t xml:space="preserve"> before d</w:t>
      </w:r>
      <w:r>
        <w:rPr>
          <w:i/>
          <w:lang w:val="en-GB"/>
        </w:rPr>
        <w:t>e</w:t>
      </w:r>
      <w:r>
        <w:rPr>
          <w:i/>
          <w:lang w:val="en-GB"/>
        </w:rPr>
        <w:t>ciding to marry him.</w:t>
      </w:r>
      <w:r>
        <w:rPr>
          <w:lang w:val="en-GB"/>
        </w:rPr>
        <w:t xml:space="preserve"> However, </w:t>
      </w:r>
      <w:r>
        <w:rPr>
          <w:lang w:val="en-US"/>
        </w:rPr>
        <w:t>this fact did not prevent them from getting ma</w:t>
      </w:r>
      <w:r>
        <w:rPr>
          <w:lang w:val="en-US"/>
        </w:rPr>
        <w:t>r</w:t>
      </w:r>
      <w:r>
        <w:rPr>
          <w:lang w:val="en-US"/>
        </w:rPr>
        <w:t>ried to the pe</w:t>
      </w:r>
      <w:r>
        <w:rPr>
          <w:lang w:val="en-US"/>
        </w:rPr>
        <w:t>r</w:t>
      </w:r>
      <w:r>
        <w:rPr>
          <w:lang w:val="en-US"/>
        </w:rPr>
        <w:t>petrator</w:t>
      </w:r>
      <w:r>
        <w:rPr>
          <w:lang w:val="en-GB"/>
        </w:rPr>
        <w:t>.</w:t>
      </w:r>
    </w:p>
    <w:p w:rsidR="00000000" w:rsidRDefault="00000000">
      <w:pPr>
        <w:pStyle w:val="SingleTxt"/>
        <w:numPr>
          <w:ilvl w:val="0"/>
          <w:numId w:val="310"/>
        </w:numPr>
        <w:tabs>
          <w:tab w:val="clear" w:pos="1742"/>
        </w:tabs>
        <w:spacing w:line="230" w:lineRule="exact"/>
        <w:ind w:left="1656" w:hanging="360"/>
        <w:rPr>
          <w:lang w:val="en-GB"/>
        </w:rPr>
      </w:pPr>
      <w:r>
        <w:rPr>
          <w:lang w:val="en-US"/>
        </w:rPr>
        <w:t>Concerning</w:t>
      </w:r>
      <w:r>
        <w:rPr>
          <w:lang w:val="en-GB"/>
        </w:rPr>
        <w:t xml:space="preserve"> </w:t>
      </w:r>
      <w:r>
        <w:rPr>
          <w:lang w:val="en-US"/>
        </w:rPr>
        <w:t>the</w:t>
      </w:r>
      <w:r>
        <w:rPr>
          <w:lang w:val="en-GB"/>
        </w:rPr>
        <w:t xml:space="preserve"> </w:t>
      </w:r>
      <w:r>
        <w:rPr>
          <w:lang w:val="en-US"/>
        </w:rPr>
        <w:t>relationship</w:t>
      </w:r>
      <w:r>
        <w:rPr>
          <w:lang w:val="en-GB"/>
        </w:rPr>
        <w:t xml:space="preserve"> </w:t>
      </w:r>
      <w:r>
        <w:rPr>
          <w:lang w:val="en-US"/>
        </w:rPr>
        <w:t>between</w:t>
      </w:r>
      <w:r>
        <w:rPr>
          <w:lang w:val="en-GB"/>
        </w:rPr>
        <w:t xml:space="preserve"> the </w:t>
      </w:r>
      <w:r>
        <w:rPr>
          <w:lang w:val="en-US"/>
        </w:rPr>
        <w:t>woman</w:t>
      </w:r>
      <w:r>
        <w:rPr>
          <w:lang w:val="en-GB"/>
        </w:rPr>
        <w:t>-</w:t>
      </w:r>
      <w:r>
        <w:rPr>
          <w:lang w:val="en-US"/>
        </w:rPr>
        <w:t>victim</w:t>
      </w:r>
      <w:r>
        <w:rPr>
          <w:lang w:val="en-GB"/>
        </w:rPr>
        <w:t xml:space="preserve"> </w:t>
      </w:r>
      <w:r>
        <w:rPr>
          <w:lang w:val="en-US"/>
        </w:rPr>
        <w:t>and</w:t>
      </w:r>
      <w:r>
        <w:rPr>
          <w:lang w:val="en-GB"/>
        </w:rPr>
        <w:t xml:space="preserve"> the </w:t>
      </w:r>
      <w:r>
        <w:rPr>
          <w:lang w:val="en-US"/>
        </w:rPr>
        <w:t>perpetrator</w:t>
      </w:r>
      <w:r>
        <w:rPr>
          <w:lang w:val="en-GB"/>
        </w:rPr>
        <w:t xml:space="preserve">, </w:t>
      </w:r>
      <w:r>
        <w:rPr>
          <w:lang w:val="en-US"/>
        </w:rPr>
        <w:t>in</w:t>
      </w:r>
      <w:r>
        <w:rPr>
          <w:lang w:val="en-GB"/>
        </w:rPr>
        <w:t xml:space="preserve"> 82% </w:t>
      </w:r>
      <w:r>
        <w:rPr>
          <w:lang w:val="en-US"/>
        </w:rPr>
        <w:t>of</w:t>
      </w:r>
      <w:r>
        <w:rPr>
          <w:lang w:val="en-GB"/>
        </w:rPr>
        <w:t xml:space="preserve"> </w:t>
      </w:r>
      <w:r>
        <w:rPr>
          <w:lang w:val="en-US"/>
        </w:rPr>
        <w:t>the</w:t>
      </w:r>
      <w:r>
        <w:rPr>
          <w:lang w:val="en-GB"/>
        </w:rPr>
        <w:t xml:space="preserve"> </w:t>
      </w:r>
      <w:r>
        <w:rPr>
          <w:lang w:val="en-US"/>
        </w:rPr>
        <w:t>cases</w:t>
      </w:r>
      <w:r>
        <w:rPr>
          <w:lang w:val="en-GB"/>
        </w:rPr>
        <w:t xml:space="preserve">, the </w:t>
      </w:r>
      <w:r>
        <w:rPr>
          <w:lang w:val="en-US"/>
        </w:rPr>
        <w:t>perpetrator</w:t>
      </w:r>
      <w:r>
        <w:rPr>
          <w:lang w:val="en-GB"/>
        </w:rPr>
        <w:t xml:space="preserve"> </w:t>
      </w:r>
      <w:r>
        <w:rPr>
          <w:lang w:val="en-US"/>
        </w:rPr>
        <w:t>is</w:t>
      </w:r>
      <w:r>
        <w:rPr>
          <w:lang w:val="en-GB"/>
        </w:rPr>
        <w:t xml:space="preserve"> </w:t>
      </w:r>
      <w:r>
        <w:rPr>
          <w:lang w:val="en-US"/>
        </w:rPr>
        <w:t>the</w:t>
      </w:r>
      <w:r>
        <w:rPr>
          <w:lang w:val="en-GB"/>
        </w:rPr>
        <w:t xml:space="preserve"> </w:t>
      </w:r>
      <w:r>
        <w:rPr>
          <w:lang w:val="en-US"/>
        </w:rPr>
        <w:t>husband of the victim</w:t>
      </w:r>
      <w:r>
        <w:rPr>
          <w:lang w:val="en-GB"/>
        </w:rPr>
        <w:t xml:space="preserve">, 11% he </w:t>
      </w:r>
      <w:r>
        <w:rPr>
          <w:lang w:val="en-US"/>
        </w:rPr>
        <w:t>is the partner</w:t>
      </w:r>
      <w:r>
        <w:rPr>
          <w:lang w:val="en-GB"/>
        </w:rPr>
        <w:t>,</w:t>
      </w:r>
      <w:r>
        <w:rPr>
          <w:lang w:val="en-US"/>
        </w:rPr>
        <w:t xml:space="preserve"> while</w:t>
      </w:r>
      <w:r>
        <w:rPr>
          <w:lang w:val="en-GB"/>
        </w:rPr>
        <w:t xml:space="preserve"> the percentage of cases of women’s abuse in which the perpetr</w:t>
      </w:r>
      <w:r>
        <w:rPr>
          <w:lang w:val="en-GB"/>
        </w:rPr>
        <w:t>a</w:t>
      </w:r>
      <w:r>
        <w:rPr>
          <w:lang w:val="en-GB"/>
        </w:rPr>
        <w:t>tor belongs to their family or social environment is lower.</w:t>
      </w:r>
    </w:p>
    <w:p w:rsidR="00000000" w:rsidRDefault="00000000">
      <w:pPr>
        <w:pStyle w:val="SingleTxt"/>
        <w:numPr>
          <w:ilvl w:val="0"/>
          <w:numId w:val="310"/>
        </w:numPr>
        <w:tabs>
          <w:tab w:val="clear" w:pos="1742"/>
        </w:tabs>
        <w:spacing w:line="230" w:lineRule="exact"/>
        <w:ind w:left="1656" w:hanging="360"/>
        <w:rPr>
          <w:lang w:val="en-GB"/>
        </w:rPr>
      </w:pPr>
      <w:r>
        <w:rPr>
          <w:lang w:val="en-US"/>
        </w:rPr>
        <w:t>Examination</w:t>
      </w:r>
      <w:r>
        <w:rPr>
          <w:lang w:val="en-GB"/>
        </w:rPr>
        <w:t xml:space="preserve"> of </w:t>
      </w:r>
      <w:r>
        <w:rPr>
          <w:lang w:val="en-US"/>
        </w:rPr>
        <w:t>the duration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relationship</w:t>
      </w:r>
      <w:r>
        <w:rPr>
          <w:lang w:val="en-GB"/>
        </w:rPr>
        <w:t xml:space="preserve"> </w:t>
      </w:r>
      <w:r>
        <w:rPr>
          <w:lang w:val="en-US"/>
        </w:rPr>
        <w:t>between</w:t>
      </w:r>
      <w:r>
        <w:rPr>
          <w:lang w:val="en-GB"/>
        </w:rPr>
        <w:t xml:space="preserve"> </w:t>
      </w:r>
      <w:r>
        <w:rPr>
          <w:lang w:val="en-US"/>
        </w:rPr>
        <w:t>woman-victim and perpetrator</w:t>
      </w:r>
      <w:r>
        <w:rPr>
          <w:lang w:val="en-GB"/>
        </w:rPr>
        <w:t>,</w:t>
      </w:r>
      <w:r>
        <w:rPr>
          <w:lang w:val="en-US"/>
        </w:rPr>
        <w:t xml:space="preserve"> showed that approximately </w:t>
      </w:r>
      <w:r>
        <w:rPr>
          <w:i/>
          <w:lang w:val="en-GB"/>
        </w:rPr>
        <w:t xml:space="preserve">5 </w:t>
      </w:r>
      <w:r>
        <w:rPr>
          <w:i/>
          <w:lang w:val="en-US"/>
        </w:rPr>
        <w:t xml:space="preserve">out of </w:t>
      </w:r>
      <w:r>
        <w:rPr>
          <w:i/>
          <w:lang w:val="en-GB"/>
        </w:rPr>
        <w:t xml:space="preserve">10 </w:t>
      </w:r>
      <w:r>
        <w:rPr>
          <w:i/>
          <w:lang w:val="en-US"/>
        </w:rPr>
        <w:t>women</w:t>
      </w:r>
      <w:r>
        <w:rPr>
          <w:i/>
          <w:lang w:val="en-GB"/>
        </w:rPr>
        <w:t>-</w:t>
      </w:r>
      <w:r>
        <w:rPr>
          <w:i/>
          <w:lang w:val="en-US"/>
        </w:rPr>
        <w:t>victims</w:t>
      </w:r>
      <w:r>
        <w:rPr>
          <w:i/>
          <w:lang w:val="en-GB"/>
        </w:rPr>
        <w:t xml:space="preserve"> </w:t>
      </w:r>
      <w:r>
        <w:rPr>
          <w:i/>
          <w:lang w:val="en-US"/>
        </w:rPr>
        <w:t>of domestic violence</w:t>
      </w:r>
      <w:r>
        <w:rPr>
          <w:i/>
          <w:lang w:val="en-GB"/>
        </w:rPr>
        <w:t xml:space="preserve"> have been in the relationship for more than 16 years.</w:t>
      </w:r>
      <w:r>
        <w:rPr>
          <w:lang w:val="en-GB"/>
        </w:rPr>
        <w:t xml:space="preserve"> </w:t>
      </w:r>
    </w:p>
    <w:p w:rsidR="00000000" w:rsidRDefault="00000000">
      <w:pPr>
        <w:pStyle w:val="SingleTxt"/>
        <w:numPr>
          <w:ilvl w:val="0"/>
          <w:numId w:val="310"/>
        </w:numPr>
        <w:tabs>
          <w:tab w:val="clear" w:pos="1742"/>
        </w:tabs>
        <w:spacing w:line="230" w:lineRule="exact"/>
        <w:ind w:left="1656" w:hanging="360"/>
        <w:rPr>
          <w:lang w:val="en-GB"/>
        </w:rPr>
      </w:pPr>
      <w:r>
        <w:rPr>
          <w:lang w:val="en-US"/>
        </w:rPr>
        <w:t>The majority of women</w:t>
      </w:r>
      <w:r>
        <w:rPr>
          <w:lang w:val="en-GB"/>
        </w:rPr>
        <w:t xml:space="preserve"> </w:t>
      </w:r>
      <w:r>
        <w:rPr>
          <w:lang w:val="en-US"/>
        </w:rPr>
        <w:t>that contacted the Consultation Centres of the General Secretariat for Gender Equality</w:t>
      </w:r>
      <w:r>
        <w:rPr>
          <w:lang w:val="en-GB"/>
        </w:rPr>
        <w:t xml:space="preserve">, </w:t>
      </w:r>
      <w:r>
        <w:rPr>
          <w:lang w:val="en-US"/>
        </w:rPr>
        <w:t xml:space="preserve">during the period from </w:t>
      </w:r>
      <w:r>
        <w:rPr>
          <w:lang w:val="en-GB"/>
        </w:rPr>
        <w:t>01/01/2002 to 31/10/2004, had suffered —at a percentage of 65%— a combination of ps</w:t>
      </w:r>
      <w:r>
        <w:rPr>
          <w:lang w:val="en-GB"/>
        </w:rPr>
        <w:t>y</w:t>
      </w:r>
      <w:r>
        <w:rPr>
          <w:lang w:val="en-GB"/>
        </w:rPr>
        <w:t>chological and physical violence, 21% of them had suffered psychological, physical, and sexual violence, while 14% of them had suffered psychological vi</w:t>
      </w:r>
      <w:r>
        <w:rPr>
          <w:lang w:val="en-GB"/>
        </w:rPr>
        <w:t>o</w:t>
      </w:r>
      <w:r>
        <w:rPr>
          <w:lang w:val="en-GB"/>
        </w:rPr>
        <w:t>lence.</w:t>
      </w:r>
    </w:p>
    <w:p w:rsidR="00000000" w:rsidRDefault="00000000">
      <w:pPr>
        <w:pStyle w:val="SingleTxt"/>
        <w:numPr>
          <w:ilvl w:val="0"/>
          <w:numId w:val="310"/>
        </w:numPr>
        <w:tabs>
          <w:tab w:val="clear" w:pos="1742"/>
        </w:tabs>
        <w:spacing w:line="230" w:lineRule="exact"/>
        <w:ind w:left="1656" w:hanging="360"/>
        <w:rPr>
          <w:lang w:val="en-GB"/>
        </w:rPr>
      </w:pPr>
      <w:r>
        <w:rPr>
          <w:lang w:val="en-GB"/>
        </w:rPr>
        <w:t xml:space="preserve">3 </w:t>
      </w:r>
      <w:r>
        <w:rPr>
          <w:lang w:val="en-US"/>
        </w:rPr>
        <w:t>out</w:t>
      </w:r>
      <w:r>
        <w:rPr>
          <w:lang w:val="en-GB"/>
        </w:rPr>
        <w:t xml:space="preserve"> </w:t>
      </w:r>
      <w:r>
        <w:rPr>
          <w:lang w:val="en-US"/>
        </w:rPr>
        <w:t>of</w:t>
      </w:r>
      <w:r>
        <w:rPr>
          <w:lang w:val="en-GB"/>
        </w:rPr>
        <w:t xml:space="preserve"> 4 </w:t>
      </w:r>
      <w:r>
        <w:rPr>
          <w:lang w:val="en-US"/>
        </w:rPr>
        <w:t>women</w:t>
      </w:r>
      <w:r>
        <w:rPr>
          <w:lang w:val="en-GB"/>
        </w:rPr>
        <w:t>-</w:t>
      </w:r>
      <w:r>
        <w:rPr>
          <w:lang w:val="en-US"/>
        </w:rPr>
        <w:t>victims</w:t>
      </w:r>
      <w:r>
        <w:rPr>
          <w:lang w:val="en-GB"/>
        </w:rPr>
        <w:t xml:space="preserve"> </w:t>
      </w:r>
      <w:r>
        <w:rPr>
          <w:lang w:val="en-US"/>
        </w:rPr>
        <w:t>of</w:t>
      </w:r>
      <w:r>
        <w:rPr>
          <w:lang w:val="en-GB"/>
        </w:rPr>
        <w:t xml:space="preserve"> </w:t>
      </w:r>
      <w:r>
        <w:rPr>
          <w:lang w:val="en-US"/>
        </w:rPr>
        <w:t>domestic</w:t>
      </w:r>
      <w:r>
        <w:rPr>
          <w:lang w:val="en-GB"/>
        </w:rPr>
        <w:t xml:space="preserve"> </w:t>
      </w:r>
      <w:r>
        <w:rPr>
          <w:lang w:val="en-US"/>
        </w:rPr>
        <w:t>violence</w:t>
      </w:r>
      <w:r>
        <w:rPr>
          <w:lang w:val="en-GB"/>
        </w:rPr>
        <w:t xml:space="preserve"> </w:t>
      </w:r>
      <w:r>
        <w:rPr>
          <w:lang w:val="en-US"/>
        </w:rPr>
        <w:t>had</w:t>
      </w:r>
      <w:r>
        <w:rPr>
          <w:lang w:val="en-GB"/>
        </w:rPr>
        <w:t xml:space="preserve"> </w:t>
      </w:r>
      <w:r>
        <w:rPr>
          <w:lang w:val="en-US"/>
        </w:rPr>
        <w:t>sought</w:t>
      </w:r>
      <w:r>
        <w:rPr>
          <w:lang w:val="en-GB"/>
        </w:rPr>
        <w:t xml:space="preserve"> </w:t>
      </w:r>
      <w:r>
        <w:rPr>
          <w:lang w:val="en-US"/>
        </w:rPr>
        <w:t>help</w:t>
      </w:r>
      <w:r>
        <w:rPr>
          <w:lang w:val="en-GB"/>
        </w:rPr>
        <w:t xml:space="preserve"> </w:t>
      </w:r>
      <w:r>
        <w:rPr>
          <w:lang w:val="en-US"/>
        </w:rPr>
        <w:t>in</w:t>
      </w:r>
      <w:r>
        <w:rPr>
          <w:lang w:val="en-GB"/>
        </w:rPr>
        <w:t xml:space="preserve"> </w:t>
      </w:r>
      <w:r>
        <w:rPr>
          <w:lang w:val="en-US"/>
        </w:rPr>
        <w:t>the</w:t>
      </w:r>
      <w:r>
        <w:rPr>
          <w:lang w:val="en-GB"/>
        </w:rPr>
        <w:t xml:space="preserve"> </w:t>
      </w:r>
      <w:r>
        <w:rPr>
          <w:lang w:val="en-US"/>
        </w:rPr>
        <w:t>past</w:t>
      </w:r>
      <w:r>
        <w:rPr>
          <w:lang w:val="en-GB"/>
        </w:rPr>
        <w:t xml:space="preserve"> (</w:t>
      </w:r>
      <w:r>
        <w:rPr>
          <w:lang w:val="en-US"/>
        </w:rPr>
        <w:t>P</w:t>
      </w:r>
      <w:r>
        <w:rPr>
          <w:lang w:val="en-US"/>
        </w:rPr>
        <w:t>o</w:t>
      </w:r>
      <w:r>
        <w:rPr>
          <w:lang w:val="en-US"/>
        </w:rPr>
        <w:t>lice</w:t>
      </w:r>
      <w:r>
        <w:rPr>
          <w:lang w:val="en-GB"/>
        </w:rPr>
        <w:t xml:space="preserve">, Courts, Hospitals, Welfare Services etc.), before </w:t>
      </w:r>
      <w:r>
        <w:rPr>
          <w:lang w:val="en-US"/>
        </w:rPr>
        <w:t>contacting the Consult</w:t>
      </w:r>
      <w:r>
        <w:rPr>
          <w:lang w:val="en-US"/>
        </w:rPr>
        <w:t>a</w:t>
      </w:r>
      <w:r>
        <w:rPr>
          <w:lang w:val="en-US"/>
        </w:rPr>
        <w:t>tion Centres of the General Secretariat for Gender Equality</w:t>
      </w:r>
      <w:r>
        <w:rPr>
          <w:lang w:val="en-GB"/>
        </w:rPr>
        <w:t xml:space="preserve">. This implies </w:t>
      </w:r>
      <w:r>
        <w:rPr>
          <w:lang w:val="en-US"/>
        </w:rPr>
        <w:t>the</w:t>
      </w:r>
      <w:r>
        <w:rPr>
          <w:lang w:val="en-GB"/>
        </w:rPr>
        <w:t xml:space="preserve"> </w:t>
      </w:r>
      <w:r>
        <w:rPr>
          <w:lang w:val="en-US"/>
        </w:rPr>
        <w:t>existence</w:t>
      </w:r>
      <w:r>
        <w:rPr>
          <w:lang w:val="en-GB"/>
        </w:rPr>
        <w:t xml:space="preserve"> </w:t>
      </w:r>
      <w:r>
        <w:rPr>
          <w:lang w:val="en-US"/>
        </w:rPr>
        <w:t>of</w:t>
      </w:r>
      <w:r>
        <w:rPr>
          <w:lang w:val="en-GB"/>
        </w:rPr>
        <w:t xml:space="preserve"> </w:t>
      </w:r>
      <w:r>
        <w:rPr>
          <w:lang w:val="en-US"/>
        </w:rPr>
        <w:t>real</w:t>
      </w:r>
      <w:r>
        <w:rPr>
          <w:lang w:val="en-GB"/>
        </w:rPr>
        <w:t xml:space="preserve"> </w:t>
      </w:r>
      <w:r>
        <w:rPr>
          <w:lang w:val="en-US"/>
        </w:rPr>
        <w:t>need and interest</w:t>
      </w:r>
      <w:r>
        <w:rPr>
          <w:lang w:val="en-GB"/>
        </w:rPr>
        <w:t xml:space="preserve"> </w:t>
      </w:r>
      <w:r>
        <w:rPr>
          <w:lang w:val="en-US"/>
        </w:rPr>
        <w:t>on behalf of the women themselves</w:t>
      </w:r>
      <w:r>
        <w:rPr>
          <w:lang w:val="en-GB"/>
        </w:rPr>
        <w:t xml:space="preserve"> regarding their disengagement from the abusive relationship.</w:t>
      </w:r>
    </w:p>
    <w:p w:rsidR="00000000" w:rsidRDefault="00000000">
      <w:pPr>
        <w:pStyle w:val="SingleTxt"/>
        <w:numPr>
          <w:ilvl w:val="0"/>
          <w:numId w:val="310"/>
        </w:numPr>
        <w:tabs>
          <w:tab w:val="clear" w:pos="1742"/>
        </w:tabs>
        <w:spacing w:line="230" w:lineRule="exact"/>
        <w:ind w:left="1656" w:hanging="360"/>
        <w:rPr>
          <w:lang w:val="en-GB"/>
        </w:rPr>
      </w:pPr>
      <w:r>
        <w:rPr>
          <w:lang w:val="en-GB"/>
        </w:rPr>
        <w:t xml:space="preserve">40% </w:t>
      </w:r>
      <w:r>
        <w:rPr>
          <w:lang w:val="en-US"/>
        </w:rPr>
        <w:t>of</w:t>
      </w:r>
      <w:r>
        <w:rPr>
          <w:lang w:val="en-GB"/>
        </w:rPr>
        <w:t xml:space="preserve"> </w:t>
      </w:r>
      <w:r>
        <w:rPr>
          <w:lang w:val="en-US"/>
        </w:rPr>
        <w:t>women</w:t>
      </w:r>
      <w:r>
        <w:rPr>
          <w:lang w:val="en-GB"/>
        </w:rPr>
        <w:t xml:space="preserve"> </w:t>
      </w:r>
      <w:r>
        <w:rPr>
          <w:lang w:val="en-US"/>
        </w:rPr>
        <w:t>who</w:t>
      </w:r>
      <w:r>
        <w:rPr>
          <w:lang w:val="en-GB"/>
        </w:rPr>
        <w:t xml:space="preserve"> </w:t>
      </w:r>
      <w:r>
        <w:rPr>
          <w:lang w:val="en-US"/>
        </w:rPr>
        <w:t>contacted</w:t>
      </w:r>
      <w:r>
        <w:rPr>
          <w:lang w:val="en-GB"/>
        </w:rPr>
        <w:t xml:space="preserve"> </w:t>
      </w:r>
      <w:r>
        <w:rPr>
          <w:lang w:val="en-US"/>
        </w:rPr>
        <w:t>the</w:t>
      </w:r>
      <w:r>
        <w:rPr>
          <w:lang w:val="en-GB"/>
        </w:rPr>
        <w:t xml:space="preserve"> </w:t>
      </w:r>
      <w:r>
        <w:rPr>
          <w:lang w:val="en-US"/>
        </w:rPr>
        <w:t>Consultation Centres</w:t>
      </w:r>
      <w:r>
        <w:rPr>
          <w:lang w:val="en-GB"/>
        </w:rPr>
        <w:t xml:space="preserve"> </w:t>
      </w:r>
      <w:r>
        <w:rPr>
          <w:lang w:val="en-US"/>
        </w:rPr>
        <w:t>of</w:t>
      </w:r>
      <w:r>
        <w:rPr>
          <w:lang w:val="en-GB"/>
        </w:rPr>
        <w:t xml:space="preserve"> </w:t>
      </w:r>
      <w:r>
        <w:rPr>
          <w:lang w:val="en-US"/>
        </w:rPr>
        <w:t>the</w:t>
      </w:r>
      <w:r>
        <w:rPr>
          <w:lang w:val="en-GB"/>
        </w:rPr>
        <w:t xml:space="preserve"> </w:t>
      </w:r>
      <w:r>
        <w:rPr>
          <w:lang w:val="en-US"/>
        </w:rPr>
        <w:t>General Secr</w:t>
      </w:r>
      <w:r>
        <w:rPr>
          <w:lang w:val="en-US"/>
        </w:rPr>
        <w:t>e</w:t>
      </w:r>
      <w:r>
        <w:rPr>
          <w:lang w:val="en-US"/>
        </w:rPr>
        <w:t>tariat for Gender Equality</w:t>
      </w:r>
      <w:r>
        <w:rPr>
          <w:lang w:val="en-GB"/>
        </w:rPr>
        <w:t xml:space="preserve"> </w:t>
      </w:r>
      <w:r>
        <w:rPr>
          <w:lang w:val="en-US"/>
        </w:rPr>
        <w:t>from</w:t>
      </w:r>
      <w:r>
        <w:rPr>
          <w:lang w:val="en-GB"/>
        </w:rPr>
        <w:t xml:space="preserve"> 01/01/2002 </w:t>
      </w:r>
      <w:r>
        <w:rPr>
          <w:lang w:val="en-US"/>
        </w:rPr>
        <w:t xml:space="preserve">to </w:t>
      </w:r>
      <w:r>
        <w:rPr>
          <w:lang w:val="en-GB"/>
        </w:rPr>
        <w:t>31/10/2004, sought socio-psychological support, 19% of them sought legal advice, 19% needed a comb</w:t>
      </w:r>
      <w:r>
        <w:rPr>
          <w:lang w:val="en-GB"/>
        </w:rPr>
        <w:t>i</w:t>
      </w:r>
      <w:r>
        <w:rPr>
          <w:lang w:val="en-GB"/>
        </w:rPr>
        <w:t>nation of the above mentioned provided services, while the remaining 8% sought accommodation at a shelter, as well.</w:t>
      </w:r>
    </w:p>
    <w:p w:rsidR="00000000" w:rsidRDefault="00000000">
      <w:pPr>
        <w:pStyle w:val="SingleTxt"/>
        <w:numPr>
          <w:ilvl w:val="0"/>
          <w:numId w:val="310"/>
        </w:numPr>
        <w:tabs>
          <w:tab w:val="clear" w:pos="1742"/>
        </w:tabs>
        <w:spacing w:line="230" w:lineRule="exact"/>
        <w:ind w:left="1656" w:hanging="360"/>
        <w:rPr>
          <w:lang w:val="en-GB"/>
        </w:rPr>
      </w:pPr>
      <w:r>
        <w:rPr>
          <w:lang w:val="en-US"/>
        </w:rPr>
        <w:t>Regarding</w:t>
      </w:r>
      <w:r>
        <w:rPr>
          <w:lang w:val="en-GB"/>
        </w:rPr>
        <w:t xml:space="preserve"> the </w:t>
      </w:r>
      <w:r>
        <w:rPr>
          <w:color w:val="000000"/>
          <w:lang w:val="en-US"/>
        </w:rPr>
        <w:t>age</w:t>
      </w:r>
      <w:r>
        <w:rPr>
          <w:color w:val="000000"/>
          <w:lang w:val="en-GB"/>
        </w:rPr>
        <w:t xml:space="preserve"> </w:t>
      </w:r>
      <w:r>
        <w:rPr>
          <w:color w:val="000000"/>
          <w:lang w:val="en-US"/>
        </w:rPr>
        <w:t>distribution</w:t>
      </w:r>
      <w:r>
        <w:rPr>
          <w:color w:val="000000"/>
          <w:lang w:val="en-GB"/>
        </w:rPr>
        <w:t xml:space="preserve"> </w:t>
      </w:r>
      <w:r>
        <w:rPr>
          <w:color w:val="000000"/>
          <w:lang w:val="en-US"/>
        </w:rPr>
        <w:t>of</w:t>
      </w:r>
      <w:r>
        <w:rPr>
          <w:lang w:val="en-GB"/>
        </w:rPr>
        <w:t xml:space="preserve"> </w:t>
      </w:r>
      <w:r>
        <w:rPr>
          <w:lang w:val="en-US"/>
        </w:rPr>
        <w:t>perpetrators</w:t>
      </w:r>
      <w:r>
        <w:rPr>
          <w:lang w:val="en-GB"/>
        </w:rPr>
        <w:t xml:space="preserve">, about 6 </w:t>
      </w:r>
      <w:r>
        <w:rPr>
          <w:lang w:val="en-US"/>
        </w:rPr>
        <w:t>out of</w:t>
      </w:r>
      <w:r>
        <w:rPr>
          <w:lang w:val="en-GB"/>
        </w:rPr>
        <w:t xml:space="preserve"> 10 </w:t>
      </w:r>
      <w:r>
        <w:rPr>
          <w:lang w:val="en-US"/>
        </w:rPr>
        <w:t>are from</w:t>
      </w:r>
      <w:r>
        <w:rPr>
          <w:lang w:val="en-GB"/>
        </w:rPr>
        <w:t xml:space="preserve"> 31 </w:t>
      </w:r>
      <w:r>
        <w:rPr>
          <w:lang w:val="en-US"/>
        </w:rPr>
        <w:t xml:space="preserve">to </w:t>
      </w:r>
      <w:r>
        <w:rPr>
          <w:lang w:val="en-GB"/>
        </w:rPr>
        <w:t xml:space="preserve">50 </w:t>
      </w:r>
      <w:r>
        <w:rPr>
          <w:lang w:val="en-US"/>
        </w:rPr>
        <w:t>years old</w:t>
      </w:r>
      <w:r>
        <w:rPr>
          <w:lang w:val="en-GB"/>
        </w:rPr>
        <w:t>.</w:t>
      </w:r>
    </w:p>
    <w:p w:rsidR="00000000" w:rsidRDefault="00000000">
      <w:pPr>
        <w:pStyle w:val="SingleTxt"/>
        <w:numPr>
          <w:ilvl w:val="0"/>
          <w:numId w:val="310"/>
        </w:numPr>
        <w:tabs>
          <w:tab w:val="clear" w:pos="1742"/>
        </w:tabs>
        <w:spacing w:line="230" w:lineRule="exact"/>
        <w:ind w:left="1656" w:hanging="360"/>
        <w:rPr>
          <w:lang w:val="en-GB"/>
        </w:rPr>
      </w:pPr>
      <w:r>
        <w:rPr>
          <w:lang w:val="en-US"/>
        </w:rPr>
        <w:t>Concerning</w:t>
      </w:r>
      <w:r>
        <w:rPr>
          <w:lang w:val="en-GB"/>
        </w:rPr>
        <w:t xml:space="preserve"> the </w:t>
      </w:r>
      <w:r>
        <w:rPr>
          <w:lang w:val="en-US"/>
        </w:rPr>
        <w:t>educational</w:t>
      </w:r>
      <w:r>
        <w:rPr>
          <w:lang w:val="en-GB"/>
        </w:rPr>
        <w:t xml:space="preserve"> </w:t>
      </w:r>
      <w:r>
        <w:rPr>
          <w:lang w:val="en-US"/>
        </w:rPr>
        <w:t>level</w:t>
      </w:r>
      <w:r>
        <w:rPr>
          <w:lang w:val="en-GB"/>
        </w:rPr>
        <w:t xml:space="preserve"> </w:t>
      </w:r>
      <w:r>
        <w:rPr>
          <w:lang w:val="en-US"/>
        </w:rPr>
        <w:t>of</w:t>
      </w:r>
      <w:r>
        <w:rPr>
          <w:lang w:val="en-GB"/>
        </w:rPr>
        <w:t xml:space="preserve"> </w:t>
      </w:r>
      <w:r>
        <w:rPr>
          <w:lang w:val="en-US"/>
        </w:rPr>
        <w:t>perpetrators</w:t>
      </w:r>
      <w:r>
        <w:rPr>
          <w:lang w:val="en-GB"/>
        </w:rPr>
        <w:t xml:space="preserve">, </w:t>
      </w:r>
      <w:r>
        <w:rPr>
          <w:i/>
          <w:lang w:val="en-US"/>
        </w:rPr>
        <w:t xml:space="preserve">approximately </w:t>
      </w:r>
      <w:r>
        <w:rPr>
          <w:i/>
          <w:lang w:val="en-GB"/>
        </w:rPr>
        <w:t xml:space="preserve">6 </w:t>
      </w:r>
      <w:r>
        <w:rPr>
          <w:i/>
          <w:lang w:val="en-US"/>
        </w:rPr>
        <w:t>out of</w:t>
      </w:r>
      <w:r>
        <w:rPr>
          <w:i/>
          <w:lang w:val="en-GB"/>
        </w:rPr>
        <w:t xml:space="preserve"> 10 </w:t>
      </w:r>
      <w:r>
        <w:rPr>
          <w:i/>
          <w:lang w:val="en-US"/>
        </w:rPr>
        <w:t>perpetrators are graduates of Secondary, Technological or Tertiary Education Institutes</w:t>
      </w:r>
      <w:r>
        <w:rPr>
          <w:lang w:val="en-GB"/>
        </w:rPr>
        <w:t xml:space="preserve">. The above data </w:t>
      </w:r>
      <w:r>
        <w:rPr>
          <w:lang w:val="en-US"/>
        </w:rPr>
        <w:t>essentially</w:t>
      </w:r>
      <w:r>
        <w:rPr>
          <w:lang w:val="en-GB"/>
        </w:rPr>
        <w:t xml:space="preserve"> </w:t>
      </w:r>
      <w:r>
        <w:rPr>
          <w:lang w:val="en-US"/>
        </w:rPr>
        <w:t>contradict</w:t>
      </w:r>
      <w:r>
        <w:rPr>
          <w:lang w:val="en-GB"/>
        </w:rPr>
        <w:t xml:space="preserve"> </w:t>
      </w:r>
      <w:r>
        <w:rPr>
          <w:lang w:val="en-US"/>
        </w:rPr>
        <w:t>the</w:t>
      </w:r>
      <w:r>
        <w:rPr>
          <w:lang w:val="en-GB"/>
        </w:rPr>
        <w:t xml:space="preserve"> </w:t>
      </w:r>
      <w:r>
        <w:rPr>
          <w:lang w:val="en-US"/>
        </w:rPr>
        <w:t>predominant</w:t>
      </w:r>
      <w:r>
        <w:rPr>
          <w:lang w:val="en-GB"/>
        </w:rPr>
        <w:t xml:space="preserve"> </w:t>
      </w:r>
      <w:r>
        <w:rPr>
          <w:lang w:val="en-US"/>
        </w:rPr>
        <w:t>perception a</w:t>
      </w:r>
      <w:r>
        <w:rPr>
          <w:lang w:val="en-US"/>
        </w:rPr>
        <w:t>c</w:t>
      </w:r>
      <w:r>
        <w:rPr>
          <w:lang w:val="en-US"/>
        </w:rPr>
        <w:t>cording to which, one of the basic reasons for violent behaviour</w:t>
      </w:r>
      <w:r>
        <w:rPr>
          <w:lang w:val="en-GB"/>
        </w:rPr>
        <w:t xml:space="preserve"> is the low ed</w:t>
      </w:r>
      <w:r>
        <w:rPr>
          <w:lang w:val="en-GB"/>
        </w:rPr>
        <w:t>u</w:t>
      </w:r>
      <w:r>
        <w:rPr>
          <w:lang w:val="en-GB"/>
        </w:rPr>
        <w:t xml:space="preserve">cational level of perpetrators. According to </w:t>
      </w:r>
      <w:r>
        <w:rPr>
          <w:lang w:val="en-US"/>
        </w:rPr>
        <w:t>a</w:t>
      </w:r>
      <w:r>
        <w:rPr>
          <w:lang w:val="en-GB"/>
        </w:rPr>
        <w:t xml:space="preserve"> </w:t>
      </w:r>
      <w:r>
        <w:rPr>
          <w:lang w:val="en-US"/>
        </w:rPr>
        <w:t>research</w:t>
      </w:r>
      <w:r>
        <w:rPr>
          <w:lang w:val="en-GB"/>
        </w:rPr>
        <w:t xml:space="preserve"> by </w:t>
      </w:r>
      <w:r>
        <w:rPr>
          <w:lang w:val="en-US"/>
        </w:rPr>
        <w:t>Eurobarometer</w:t>
      </w:r>
      <w:r>
        <w:rPr>
          <w:rStyle w:val="FootnoteReference"/>
          <w:lang w:val="en-US"/>
        </w:rPr>
        <w:footnoteReference w:id="37"/>
      </w:r>
      <w:r>
        <w:rPr>
          <w:lang w:val="en-GB"/>
        </w:rPr>
        <w:t xml:space="preserve">, </w:t>
      </w:r>
      <w:r>
        <w:rPr>
          <w:lang w:val="en-US"/>
        </w:rPr>
        <w:t>which</w:t>
      </w:r>
      <w:r>
        <w:rPr>
          <w:lang w:val="en-GB"/>
        </w:rPr>
        <w:t xml:space="preserve"> </w:t>
      </w:r>
      <w:r>
        <w:rPr>
          <w:lang w:val="en-US"/>
        </w:rPr>
        <w:t>registers</w:t>
      </w:r>
      <w:r>
        <w:rPr>
          <w:lang w:val="en-GB"/>
        </w:rPr>
        <w:t xml:space="preserve"> </w:t>
      </w:r>
      <w:r>
        <w:rPr>
          <w:lang w:val="en-US"/>
        </w:rPr>
        <w:t>European</w:t>
      </w:r>
      <w:r>
        <w:rPr>
          <w:lang w:val="en-GB"/>
        </w:rPr>
        <w:t xml:space="preserve"> </w:t>
      </w:r>
      <w:r>
        <w:rPr>
          <w:lang w:val="en-US"/>
        </w:rPr>
        <w:t>public</w:t>
      </w:r>
      <w:r>
        <w:rPr>
          <w:lang w:val="en-GB"/>
        </w:rPr>
        <w:t xml:space="preserve"> </w:t>
      </w:r>
      <w:r>
        <w:rPr>
          <w:lang w:val="en-US"/>
        </w:rPr>
        <w:t>opinion</w:t>
      </w:r>
      <w:r>
        <w:rPr>
          <w:lang w:val="en-GB"/>
        </w:rPr>
        <w:t xml:space="preserve"> </w:t>
      </w:r>
      <w:r>
        <w:rPr>
          <w:lang w:val="en-US"/>
        </w:rPr>
        <w:t>in relation to domestic violence</w:t>
      </w:r>
      <w:r>
        <w:rPr>
          <w:lang w:val="en-GB"/>
        </w:rPr>
        <w:t xml:space="preserve">, 84,5% </w:t>
      </w:r>
      <w:r>
        <w:rPr>
          <w:lang w:val="en-US"/>
        </w:rPr>
        <w:t>of the Greeks who took part in the research replied that they consider low educational level as a factor leading to demonstration of violent</w:t>
      </w:r>
      <w:r>
        <w:rPr>
          <w:lang w:val="en-GB"/>
        </w:rPr>
        <w:t xml:space="preserve"> behaviour against women. </w:t>
      </w:r>
    </w:p>
    <w:p w:rsidR="00000000" w:rsidRDefault="00000000">
      <w:pPr>
        <w:pStyle w:val="SingleTxt"/>
        <w:numPr>
          <w:ilvl w:val="0"/>
          <w:numId w:val="310"/>
        </w:numPr>
        <w:tabs>
          <w:tab w:val="clear" w:pos="1742"/>
        </w:tabs>
        <w:spacing w:line="230" w:lineRule="exact"/>
        <w:ind w:left="1656" w:hanging="360"/>
        <w:rPr>
          <w:lang w:val="en-GB"/>
        </w:rPr>
      </w:pPr>
      <w:r>
        <w:rPr>
          <w:lang w:val="en-US"/>
        </w:rPr>
        <w:t>Concerning the employment status of the perpetrators, it seems that</w:t>
      </w:r>
      <w:r>
        <w:rPr>
          <w:lang w:val="en-GB"/>
        </w:rPr>
        <w:t xml:space="preserve"> </w:t>
      </w:r>
      <w:r>
        <w:rPr>
          <w:i/>
          <w:lang w:val="en-GB"/>
        </w:rPr>
        <w:t xml:space="preserve">8 </w:t>
      </w:r>
      <w:r>
        <w:rPr>
          <w:i/>
          <w:lang w:val="en-US"/>
        </w:rPr>
        <w:t xml:space="preserve">out of </w:t>
      </w:r>
      <w:r>
        <w:rPr>
          <w:i/>
          <w:lang w:val="en-GB"/>
        </w:rPr>
        <w:t>10 perpetrators of domestic violence are employed.</w:t>
      </w:r>
      <w:r>
        <w:rPr>
          <w:lang w:val="en-GB"/>
        </w:rPr>
        <w:t xml:space="preserve"> This </w:t>
      </w:r>
      <w:r>
        <w:rPr>
          <w:lang w:val="en-US"/>
        </w:rPr>
        <w:t>finding</w:t>
      </w:r>
      <w:r>
        <w:rPr>
          <w:lang w:val="en-GB"/>
        </w:rPr>
        <w:t xml:space="preserve"> refutes </w:t>
      </w:r>
      <w:r>
        <w:rPr>
          <w:lang w:val="en-US"/>
        </w:rPr>
        <w:t>the</w:t>
      </w:r>
      <w:r>
        <w:rPr>
          <w:lang w:val="en-GB"/>
        </w:rPr>
        <w:t xml:space="preserve"> co</w:t>
      </w:r>
      <w:r>
        <w:rPr>
          <w:lang w:val="en-GB"/>
        </w:rPr>
        <w:t>m</w:t>
      </w:r>
      <w:r>
        <w:rPr>
          <w:lang w:val="en-GB"/>
        </w:rPr>
        <w:t xml:space="preserve">mon belief </w:t>
      </w:r>
      <w:r>
        <w:rPr>
          <w:lang w:val="en-US"/>
        </w:rPr>
        <w:t>according to which, one of the predominant factors</w:t>
      </w:r>
      <w:r>
        <w:rPr>
          <w:lang w:val="en-GB"/>
        </w:rPr>
        <w:t xml:space="preserve"> for demonstra</w:t>
      </w:r>
      <w:r>
        <w:rPr>
          <w:lang w:val="en-GB"/>
        </w:rPr>
        <w:t>t</w:t>
      </w:r>
      <w:r>
        <w:rPr>
          <w:lang w:val="en-GB"/>
        </w:rPr>
        <w:t>ing violent behaviour is unemployment. A</w:t>
      </w:r>
      <w:r>
        <w:rPr>
          <w:lang w:val="en-US"/>
        </w:rPr>
        <w:t>ccording</w:t>
      </w:r>
      <w:r>
        <w:rPr>
          <w:lang w:val="en-GB"/>
        </w:rPr>
        <w:t xml:space="preserve"> </w:t>
      </w:r>
      <w:r>
        <w:rPr>
          <w:lang w:val="en-US"/>
        </w:rPr>
        <w:t>to</w:t>
      </w:r>
      <w:r>
        <w:rPr>
          <w:lang w:val="en-GB"/>
        </w:rPr>
        <w:t xml:space="preserve"> </w:t>
      </w:r>
      <w:r>
        <w:rPr>
          <w:lang w:val="en-US"/>
        </w:rPr>
        <w:t>the</w:t>
      </w:r>
      <w:r>
        <w:rPr>
          <w:lang w:val="en-GB"/>
        </w:rPr>
        <w:t xml:space="preserve"> </w:t>
      </w:r>
      <w:r>
        <w:rPr>
          <w:lang w:val="en-US"/>
        </w:rPr>
        <w:t>Eurobarometer</w:t>
      </w:r>
      <w:r>
        <w:rPr>
          <w:rStyle w:val="FootnoteReference"/>
          <w:lang w:val="en-US"/>
        </w:rPr>
        <w:footnoteReference w:id="38"/>
      </w:r>
      <w:r>
        <w:rPr>
          <w:lang w:val="en-GB"/>
        </w:rPr>
        <w:t xml:space="preserve"> </w:t>
      </w:r>
      <w:r>
        <w:rPr>
          <w:lang w:val="en-US"/>
        </w:rPr>
        <w:t>r</w:t>
      </w:r>
      <w:r>
        <w:rPr>
          <w:lang w:val="en-US"/>
        </w:rPr>
        <w:t>e</w:t>
      </w:r>
      <w:r>
        <w:rPr>
          <w:lang w:val="en-US"/>
        </w:rPr>
        <w:t>search</w:t>
      </w:r>
      <w:r>
        <w:rPr>
          <w:lang w:val="en-GB"/>
        </w:rPr>
        <w:t xml:space="preserve">, 88% </w:t>
      </w:r>
      <w:r>
        <w:rPr>
          <w:lang w:val="en-US"/>
        </w:rPr>
        <w:t>of the Greeks who participated in this research</w:t>
      </w:r>
      <w:r>
        <w:rPr>
          <w:lang w:val="en-GB"/>
        </w:rPr>
        <w:t xml:space="preserve"> </w:t>
      </w:r>
      <w:r>
        <w:rPr>
          <w:lang w:val="en-US"/>
        </w:rPr>
        <w:t>replied that they consider unemployment as a factor</w:t>
      </w:r>
      <w:r>
        <w:rPr>
          <w:lang w:val="en-GB"/>
        </w:rPr>
        <w:t xml:space="preserve"> leading to demonstration of violent beha</w:t>
      </w:r>
      <w:r>
        <w:rPr>
          <w:lang w:val="en-GB"/>
        </w:rPr>
        <w:t>v</w:t>
      </w:r>
      <w:r>
        <w:rPr>
          <w:lang w:val="en-GB"/>
        </w:rPr>
        <w:t>iour against women.</w:t>
      </w:r>
    </w:p>
    <w:p w:rsidR="00000000" w:rsidRDefault="00000000">
      <w:pPr>
        <w:pStyle w:val="SingleTxt"/>
        <w:numPr>
          <w:ilvl w:val="0"/>
          <w:numId w:val="310"/>
        </w:numPr>
        <w:tabs>
          <w:tab w:val="clear" w:pos="1742"/>
        </w:tabs>
        <w:spacing w:line="230" w:lineRule="exact"/>
        <w:ind w:left="1656" w:hanging="360"/>
        <w:rPr>
          <w:lang w:val="en-GB"/>
        </w:rPr>
      </w:pPr>
      <w:r>
        <w:rPr>
          <w:lang w:val="en-US"/>
        </w:rPr>
        <w:t>Concerning</w:t>
      </w:r>
      <w:r>
        <w:rPr>
          <w:lang w:val="en-GB"/>
        </w:rPr>
        <w:t xml:space="preserve"> the </w:t>
      </w:r>
      <w:r>
        <w:rPr>
          <w:lang w:val="en-US"/>
        </w:rPr>
        <w:t>use</w:t>
      </w:r>
      <w:r>
        <w:rPr>
          <w:lang w:val="en-GB"/>
        </w:rPr>
        <w:t xml:space="preserve"> </w:t>
      </w:r>
      <w:r>
        <w:rPr>
          <w:lang w:val="en-US"/>
        </w:rPr>
        <w:t>of</w:t>
      </w:r>
      <w:r>
        <w:rPr>
          <w:lang w:val="en-GB"/>
        </w:rPr>
        <w:t xml:space="preserve"> narcotic substances </w:t>
      </w:r>
      <w:r>
        <w:rPr>
          <w:lang w:val="en-US"/>
        </w:rPr>
        <w:t>by</w:t>
      </w:r>
      <w:r>
        <w:rPr>
          <w:lang w:val="en-GB"/>
        </w:rPr>
        <w:t xml:space="preserve"> the </w:t>
      </w:r>
      <w:r>
        <w:rPr>
          <w:lang w:val="en-US"/>
        </w:rPr>
        <w:t>perpetrators</w:t>
      </w:r>
      <w:r>
        <w:rPr>
          <w:lang w:val="en-GB"/>
        </w:rPr>
        <w:t xml:space="preserve">, </w:t>
      </w:r>
      <w:r>
        <w:rPr>
          <w:i/>
          <w:lang w:val="en-GB"/>
        </w:rPr>
        <w:t xml:space="preserve">62% of them </w:t>
      </w:r>
      <w:r>
        <w:rPr>
          <w:i/>
          <w:lang w:val="en-US"/>
        </w:rPr>
        <w:t>do not make any use</w:t>
      </w:r>
      <w:r>
        <w:rPr>
          <w:lang w:val="en-GB"/>
        </w:rPr>
        <w:t xml:space="preserve">, </w:t>
      </w:r>
      <w:r>
        <w:rPr>
          <w:lang w:val="en-US"/>
        </w:rPr>
        <w:t>as mentioned by women</w:t>
      </w:r>
      <w:r>
        <w:rPr>
          <w:lang w:val="en-GB"/>
        </w:rPr>
        <w:t>-</w:t>
      </w:r>
      <w:r>
        <w:rPr>
          <w:lang w:val="en-US"/>
        </w:rPr>
        <w:t>victims</w:t>
      </w:r>
      <w:r>
        <w:rPr>
          <w:lang w:val="en-GB"/>
        </w:rPr>
        <w:t xml:space="preserve"> </w:t>
      </w:r>
      <w:r>
        <w:rPr>
          <w:lang w:val="en-US"/>
        </w:rPr>
        <w:t>of domestic violence</w:t>
      </w:r>
      <w:r>
        <w:rPr>
          <w:lang w:val="en-GB"/>
        </w:rPr>
        <w:t xml:space="preserve">, </w:t>
      </w:r>
      <w:r>
        <w:rPr>
          <w:lang w:val="en-US"/>
        </w:rPr>
        <w:t xml:space="preserve">while </w:t>
      </w:r>
      <w:r>
        <w:rPr>
          <w:lang w:val="en-GB"/>
        </w:rPr>
        <w:t>38% make use of such substances. According to the research of Eurobarom</w:t>
      </w:r>
      <w:r>
        <w:rPr>
          <w:lang w:val="en-GB"/>
        </w:rPr>
        <w:t>e</w:t>
      </w:r>
      <w:r>
        <w:rPr>
          <w:lang w:val="en-GB"/>
        </w:rPr>
        <w:t>ter</w:t>
      </w:r>
      <w:r>
        <w:rPr>
          <w:rStyle w:val="FootnoteReference"/>
          <w:lang w:val="en-GB"/>
        </w:rPr>
        <w:footnoteReference w:id="39"/>
      </w:r>
      <w:r>
        <w:rPr>
          <w:lang w:val="en-GB"/>
        </w:rPr>
        <w:t xml:space="preserve">, </w:t>
      </w:r>
      <w:r>
        <w:rPr>
          <w:lang w:val="en-US"/>
        </w:rPr>
        <w:t>which registers European public opinion</w:t>
      </w:r>
      <w:r>
        <w:rPr>
          <w:lang w:val="en-GB"/>
        </w:rPr>
        <w:t xml:space="preserve"> </w:t>
      </w:r>
      <w:r>
        <w:rPr>
          <w:lang w:val="en-US"/>
        </w:rPr>
        <w:t>on domestic</w:t>
      </w:r>
      <w:r>
        <w:rPr>
          <w:lang w:val="en-GB"/>
        </w:rPr>
        <w:t xml:space="preserve"> </w:t>
      </w:r>
      <w:r>
        <w:rPr>
          <w:lang w:val="en-US"/>
        </w:rPr>
        <w:t>violence</w:t>
      </w:r>
      <w:r>
        <w:rPr>
          <w:lang w:val="en-GB"/>
        </w:rPr>
        <w:t>, percen</w:t>
      </w:r>
      <w:r>
        <w:rPr>
          <w:lang w:val="en-GB"/>
        </w:rPr>
        <w:t>t</w:t>
      </w:r>
      <w:r>
        <w:rPr>
          <w:lang w:val="en-GB"/>
        </w:rPr>
        <w:t xml:space="preserve">ages 95,7% </w:t>
      </w:r>
      <w:r>
        <w:rPr>
          <w:lang w:val="en-US"/>
        </w:rPr>
        <w:t>and</w:t>
      </w:r>
      <w:r>
        <w:rPr>
          <w:lang w:val="en-GB"/>
        </w:rPr>
        <w:t xml:space="preserve"> 94,4% </w:t>
      </w:r>
      <w:r>
        <w:rPr>
          <w:lang w:val="en-US"/>
        </w:rPr>
        <w:t>of the Greeks, who participated in the research,</w:t>
      </w:r>
      <w:r>
        <w:rPr>
          <w:lang w:val="en-GB"/>
        </w:rPr>
        <w:t xml:space="preserve"> </w:t>
      </w:r>
      <w:r>
        <w:rPr>
          <w:lang w:val="en-US"/>
        </w:rPr>
        <w:t>replied that they consider alcoholism and the use of narcotics/medicinal products for mental disturbances</w:t>
      </w:r>
      <w:r>
        <w:rPr>
          <w:lang w:val="en-GB"/>
        </w:rPr>
        <w:t>, respectively, as factors leading to demonstration of violent b</w:t>
      </w:r>
      <w:r>
        <w:rPr>
          <w:lang w:val="en-GB"/>
        </w:rPr>
        <w:t>e</w:t>
      </w:r>
      <w:r>
        <w:rPr>
          <w:lang w:val="en-GB"/>
        </w:rPr>
        <w:t xml:space="preserve">haviour against women.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br w:type="page"/>
      </w:r>
      <w:r>
        <w:rPr>
          <w:lang w:val="en-GB"/>
        </w:rPr>
        <w:tab/>
      </w:r>
      <w:r>
        <w:rPr>
          <w:lang w:val="en-GB"/>
        </w:rPr>
        <w:tab/>
        <w:t>Annex 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tab/>
      </w:r>
      <w:r>
        <w:rPr>
          <w:lang w:val="en-GB"/>
        </w:rPr>
        <w:tab/>
        <w:t>Action</w:t>
      </w:r>
      <w:r>
        <w: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 Panhellenic campaign of information and sensitization for the largest poss</w:t>
      </w:r>
      <w:r>
        <w:t>i</w:t>
      </w:r>
      <w:r>
        <w:t>ble participation of women as candidates for elections, and also, the reinfo</w:t>
      </w:r>
      <w:r>
        <w:t>r</w:t>
      </w:r>
      <w:r>
        <w:t xml:space="preserve">cement of their </w:t>
      </w:r>
      <w:r>
        <w:rPr>
          <w:lang w:val="en-GB"/>
        </w:rPr>
        <w:t>eligibility</w:t>
      </w:r>
      <w:r>
        <w:t>, through TV and radio messages as well as printed material and visits of executives of the General Secretariat for Gender Equality and the Regional Committees for Equality to the 13 Regions of the country aiming at informing citizens (Prefectural/Municipal-National Parliamentary elections)</w:t>
      </w:r>
    </w:p>
    <w:p w:rsidR="00000000" w:rsidRDefault="00000000">
      <w:pPr>
        <w:pStyle w:val="SingleTxt"/>
        <w:tabs>
          <w:tab w:val="right" w:pos="1685"/>
        </w:tabs>
        <w:ind w:left="1742" w:hanging="475"/>
        <w:rPr>
          <w:lang w:val="en-US"/>
        </w:rPr>
      </w:pPr>
      <w:r>
        <w:rPr>
          <w:lang w:val="en-US"/>
        </w:rPr>
        <w:tab/>
        <w:t>•</w:t>
      </w:r>
      <w:r>
        <w:rPr>
          <w:lang w:val="en-US"/>
        </w:rPr>
        <w:tab/>
        <w:t xml:space="preserve">A Panhellenic Conference on “Women and Local Authority: New Dynamics in </w:t>
      </w:r>
      <w:r>
        <w:rPr>
          <w:spacing w:val="2"/>
          <w:lang w:val="en-US"/>
        </w:rPr>
        <w:t>Local Communities”, where the newly-elected women prefectural and munici</w:t>
      </w:r>
      <w:r>
        <w:rPr>
          <w:lang w:val="en-US"/>
        </w:rPr>
        <w:t>pal officers (elected in October 2002) were invited to participate for information and empowerment, Athens, 18/12/2002 (Co-organized by the General Secr</w:t>
      </w:r>
      <w:r>
        <w:rPr>
          <w:lang w:val="en-US"/>
        </w:rPr>
        <w:t>e</w:t>
      </w:r>
      <w:r>
        <w:rPr>
          <w:lang w:val="en-US"/>
        </w:rPr>
        <w:t>tariat for Gender Equality of the Ministry of the Interior, Public Administr</w:t>
      </w:r>
      <w:r>
        <w:rPr>
          <w:lang w:val="en-US"/>
        </w:rPr>
        <w:t>a</w:t>
      </w:r>
      <w:r>
        <w:rPr>
          <w:lang w:val="en-US"/>
        </w:rPr>
        <w:t>tion and Dece</w:t>
      </w:r>
      <w:r>
        <w:rPr>
          <w:lang w:val="en-US"/>
        </w:rPr>
        <w:t>n</w:t>
      </w:r>
      <w:r>
        <w:rPr>
          <w:lang w:val="en-US"/>
        </w:rPr>
        <w:t xml:space="preserve">tralization, and </w:t>
      </w:r>
      <w:r>
        <w:t>ΚΕ</w:t>
      </w:r>
      <w:r>
        <w:rPr>
          <w:lang w:val="en-US"/>
        </w:rPr>
        <w:t>D</w:t>
      </w:r>
      <w:r>
        <w:t>ΚΕ</w:t>
      </w:r>
      <w:r>
        <w:rPr>
          <w:lang w:val="en-US"/>
        </w:rPr>
        <w:t xml:space="preserve">). </w:t>
      </w:r>
    </w:p>
    <w:p w:rsidR="00000000" w:rsidRDefault="00000000">
      <w:pPr>
        <w:pStyle w:val="SingleTxt"/>
        <w:tabs>
          <w:tab w:val="right" w:pos="1685"/>
        </w:tabs>
        <w:ind w:left="1742" w:hanging="475"/>
        <w:rPr>
          <w:lang w:val="en-GB"/>
        </w:rPr>
      </w:pPr>
      <w:r>
        <w:rPr>
          <w:lang w:val="en-US"/>
        </w:rPr>
        <w:tab/>
        <w:t>•</w:t>
      </w:r>
      <w:r>
        <w:rPr>
          <w:lang w:val="en-US"/>
        </w:rPr>
        <w:tab/>
        <w:t>European</w:t>
      </w:r>
      <w:r>
        <w:rPr>
          <w:lang w:val="en-GB"/>
        </w:rPr>
        <w:t xml:space="preserve"> </w:t>
      </w:r>
      <w:r>
        <w:rPr>
          <w:lang w:val="en-US"/>
        </w:rPr>
        <w:t>Conference</w:t>
      </w:r>
      <w:r>
        <w:rPr>
          <w:lang w:val="en-GB"/>
        </w:rPr>
        <w:t xml:space="preserve"> (</w:t>
      </w:r>
      <w:r>
        <w:rPr>
          <w:lang w:val="en-US"/>
        </w:rPr>
        <w:t>Greek Presidency</w:t>
      </w:r>
      <w:r>
        <w:rPr>
          <w:lang w:val="en-GB"/>
        </w:rPr>
        <w:t>) on the subject</w:t>
      </w:r>
      <w:r>
        <w:rPr>
          <w:lang w:val="en-US"/>
        </w:rPr>
        <w:t xml:space="preserve"> </w:t>
      </w:r>
      <w:r>
        <w:rPr>
          <w:lang w:val="en-GB"/>
        </w:rPr>
        <w:t>“</w:t>
      </w:r>
      <w:r>
        <w:rPr>
          <w:lang w:val="en-US"/>
        </w:rPr>
        <w:t>Women’s Particip</w:t>
      </w:r>
      <w:r>
        <w:rPr>
          <w:lang w:val="en-US"/>
        </w:rPr>
        <w:t>a</w:t>
      </w:r>
      <w:r>
        <w:rPr>
          <w:lang w:val="en-US"/>
        </w:rPr>
        <w:t>tion in High Responsibility Positions</w:t>
      </w:r>
      <w:r>
        <w:rPr>
          <w:lang w:val="en-GB"/>
        </w:rPr>
        <w:t xml:space="preserve">: </w:t>
      </w:r>
      <w:r>
        <w:rPr>
          <w:lang w:val="en-US"/>
        </w:rPr>
        <w:t>New European Policies”</w:t>
      </w:r>
      <w:r>
        <w:rPr>
          <w:lang w:val="en-GB"/>
        </w:rPr>
        <w:t xml:space="preserve"> </w:t>
      </w:r>
      <w:r>
        <w:rPr>
          <w:lang w:val="en-US"/>
        </w:rPr>
        <w:t>Athens</w:t>
      </w:r>
      <w:r>
        <w:rPr>
          <w:lang w:val="en-GB"/>
        </w:rPr>
        <w:t>, 7/5/2003, (</w:t>
      </w:r>
      <w:r>
        <w:rPr>
          <w:lang w:val="en-US"/>
        </w:rPr>
        <w:t>Co-organized by the General Secretariat for Gender Equality, the Greek Section of the European Women’s Lobby, and Women’s Association of Greece).</w:t>
      </w:r>
    </w:p>
    <w:p w:rsidR="00000000" w:rsidRDefault="00000000">
      <w:pPr>
        <w:spacing w:line="120" w:lineRule="exact"/>
        <w:jc w:val="both"/>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Actions</w:t>
      </w:r>
      <w:r>
        <w:rPr>
          <w:lang w:val="en-GB"/>
        </w:rPr>
        <w:t xml:space="preserve"> </w:t>
      </w:r>
      <w:r>
        <w:rPr>
          <w:lang w:val="en-US"/>
        </w:rPr>
        <w:t>by</w:t>
      </w:r>
      <w:r>
        <w:rPr>
          <w:lang w:val="en-GB"/>
        </w:rPr>
        <w:t xml:space="preserve"> K.E.TH.I for</w:t>
      </w:r>
      <w:r>
        <w:rPr>
          <w:lang w:val="en-US"/>
        </w:rPr>
        <w:t xml:space="preserve"> Equal Participation in Decision-making Centres</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lang w:val="en-GB"/>
        </w:rPr>
      </w:pPr>
      <w:r>
        <w:rPr>
          <w:lang w:val="en-US"/>
        </w:rPr>
        <w:tab/>
        <w:t>•</w:t>
      </w:r>
      <w:r>
        <w:rPr>
          <w:lang w:val="en-US"/>
        </w:rPr>
        <w:tab/>
        <w:t xml:space="preserve">The Research Centre for Gender Equality participates, as the Greek partner, in the Programme </w:t>
      </w:r>
      <w:r>
        <w:rPr>
          <w:lang w:val="en-GB"/>
        </w:rPr>
        <w:t>“</w:t>
      </w:r>
      <w:r>
        <w:rPr>
          <w:lang w:val="en-US"/>
        </w:rPr>
        <w:t xml:space="preserve">European Database </w:t>
      </w:r>
      <w:r>
        <w:rPr>
          <w:lang w:val="en-GB"/>
        </w:rPr>
        <w:t>(</w:t>
      </w:r>
      <w:r>
        <w:rPr>
          <w:lang w:val="en-US"/>
        </w:rPr>
        <w:t>www</w:t>
      </w:r>
      <w:r>
        <w:rPr>
          <w:lang w:val="en-GB"/>
        </w:rPr>
        <w:t>.</w:t>
      </w:r>
      <w:r>
        <w:rPr>
          <w:lang w:val="en-US"/>
        </w:rPr>
        <w:t>db</w:t>
      </w:r>
      <w:r>
        <w:rPr>
          <w:lang w:val="en-GB"/>
        </w:rPr>
        <w:t>-</w:t>
      </w:r>
      <w:r>
        <w:rPr>
          <w:lang w:val="en-US"/>
        </w:rPr>
        <w:t>decision</w:t>
      </w:r>
      <w:r>
        <w:rPr>
          <w:lang w:val="en-GB"/>
        </w:rPr>
        <w:t>.</w:t>
      </w:r>
      <w:r>
        <w:rPr>
          <w:lang w:val="en-US"/>
        </w:rPr>
        <w:t>de</w:t>
      </w:r>
      <w:r>
        <w:rPr>
          <w:lang w:val="en-GB"/>
        </w:rPr>
        <w:t>): Women in dec</w:t>
      </w:r>
      <w:r>
        <w:rPr>
          <w:lang w:val="en-GB"/>
        </w:rPr>
        <w:t>i</w:t>
      </w:r>
      <w:r>
        <w:rPr>
          <w:lang w:val="en-GB"/>
        </w:rPr>
        <w:t>sion-making centres”, that contains data and numbers relat</w:t>
      </w:r>
      <w:r>
        <w:rPr>
          <w:lang w:val="en-US"/>
        </w:rPr>
        <w:t>ed</w:t>
      </w:r>
      <w:r>
        <w:rPr>
          <w:lang w:val="en-GB"/>
        </w:rPr>
        <w:t xml:space="preserve"> to women’s pa</w:t>
      </w:r>
      <w:r>
        <w:rPr>
          <w:lang w:val="en-GB"/>
        </w:rPr>
        <w:t>r</w:t>
      </w:r>
      <w:r>
        <w:rPr>
          <w:lang w:val="en-GB"/>
        </w:rPr>
        <w:t>ticip</w:t>
      </w:r>
      <w:r>
        <w:rPr>
          <w:lang w:val="en-GB"/>
        </w:rPr>
        <w:t>a</w:t>
      </w:r>
      <w:r>
        <w:rPr>
          <w:lang w:val="en-GB"/>
        </w:rPr>
        <w:t>tion in the E.U. and the countries of the European Economic Space.</w:t>
      </w:r>
    </w:p>
    <w:p w:rsidR="00000000" w:rsidRDefault="00000000">
      <w:pPr>
        <w:pStyle w:val="SingleTxt"/>
        <w:tabs>
          <w:tab w:val="right" w:pos="1685"/>
        </w:tabs>
        <w:ind w:left="1742" w:hanging="475"/>
        <w:rPr>
          <w:lang w:val="en-GB"/>
        </w:rPr>
      </w:pPr>
      <w:r>
        <w:rPr>
          <w:lang w:val="en-GB"/>
        </w:rPr>
        <w:tab/>
        <w:t>•</w:t>
      </w:r>
      <w:r>
        <w:rPr>
          <w:lang w:val="en-GB"/>
        </w:rPr>
        <w:tab/>
        <w:t xml:space="preserve">Conducting </w:t>
      </w:r>
      <w:r>
        <w:rPr>
          <w:lang w:val="en-US"/>
        </w:rPr>
        <w:t>a</w:t>
      </w:r>
      <w:r>
        <w:rPr>
          <w:lang w:val="en-GB"/>
        </w:rPr>
        <w:t xml:space="preserve"> </w:t>
      </w:r>
      <w:r>
        <w:rPr>
          <w:lang w:val="en-US"/>
        </w:rPr>
        <w:t>research</w:t>
      </w:r>
      <w:r>
        <w:rPr>
          <w:lang w:val="en-GB"/>
        </w:rPr>
        <w:t xml:space="preserve"> </w:t>
      </w:r>
      <w:r>
        <w:rPr>
          <w:lang w:val="en-US"/>
        </w:rPr>
        <w:t>in</w:t>
      </w:r>
      <w:r>
        <w:rPr>
          <w:lang w:val="en-GB"/>
        </w:rPr>
        <w:t xml:space="preserve"> </w:t>
      </w:r>
      <w:r>
        <w:rPr>
          <w:lang w:val="en-US"/>
        </w:rPr>
        <w:t>cooperation</w:t>
      </w:r>
      <w:r>
        <w:rPr>
          <w:lang w:val="en-GB"/>
        </w:rPr>
        <w:t xml:space="preserve"> </w:t>
      </w:r>
      <w:r>
        <w:rPr>
          <w:lang w:val="en-US"/>
        </w:rPr>
        <w:t>with</w:t>
      </w:r>
      <w:r>
        <w:rPr>
          <w:lang w:val="en-GB"/>
        </w:rPr>
        <w:t xml:space="preserve"> the “</w:t>
      </w:r>
      <w:r>
        <w:rPr>
          <w:lang w:val="en-US"/>
        </w:rPr>
        <w:t>Network</w:t>
      </w:r>
      <w:r>
        <w:rPr>
          <w:lang w:val="en-GB"/>
        </w:rPr>
        <w:t xml:space="preserve"> </w:t>
      </w:r>
      <w:r>
        <w:rPr>
          <w:lang w:val="en-US"/>
        </w:rPr>
        <w:t>of</w:t>
      </w:r>
      <w:r>
        <w:rPr>
          <w:lang w:val="en-GB"/>
        </w:rPr>
        <w:t xml:space="preserve"> Elected Women </w:t>
      </w:r>
      <w:r>
        <w:rPr>
          <w:lang w:val="en-US"/>
        </w:rPr>
        <w:t>in Local Authorities” on</w:t>
      </w:r>
      <w:r>
        <w:rPr>
          <w:lang w:val="en-GB"/>
        </w:rPr>
        <w:t xml:space="preserve"> “The female force in</w:t>
      </w:r>
      <w:r>
        <w:rPr>
          <w:lang w:val="en-US"/>
        </w:rPr>
        <w:t xml:space="preserve"> Local Authorities</w:t>
      </w:r>
      <w:r>
        <w:rPr>
          <w:lang w:val="en-GB"/>
        </w:rPr>
        <w:t xml:space="preserve"> – Women Elected all</w:t>
      </w:r>
      <w:r>
        <w:rPr>
          <w:lang w:val="en-US"/>
        </w:rPr>
        <w:t xml:space="preserve"> over</w:t>
      </w:r>
      <w:r>
        <w:rPr>
          <w:lang w:val="en-GB"/>
        </w:rPr>
        <w:t xml:space="preserve"> Greece”. The research concerns Local Authorities (Munic</w:t>
      </w:r>
      <w:r>
        <w:rPr>
          <w:lang w:val="en-GB"/>
        </w:rPr>
        <w:t>i</w:t>
      </w:r>
      <w:r>
        <w:rPr>
          <w:lang w:val="en-GB"/>
        </w:rPr>
        <w:t>palities) for the period 1998-2000.</w:t>
      </w:r>
    </w:p>
    <w:p w:rsidR="00000000" w:rsidRDefault="00000000">
      <w:pPr>
        <w:pStyle w:val="SingleTxt"/>
        <w:tabs>
          <w:tab w:val="right" w:pos="1685"/>
        </w:tabs>
        <w:ind w:left="1742" w:hanging="475"/>
        <w:rPr>
          <w:lang w:val="en-GB"/>
        </w:rPr>
      </w:pPr>
      <w:r>
        <w:rPr>
          <w:lang w:val="en-US"/>
        </w:rPr>
        <w:tab/>
        <w:t>•</w:t>
      </w:r>
      <w:r>
        <w:rPr>
          <w:lang w:val="en-US"/>
        </w:rPr>
        <w:tab/>
        <w:t>In</w:t>
      </w:r>
      <w:r>
        <w:rPr>
          <w:lang w:val="en-GB"/>
        </w:rPr>
        <w:t xml:space="preserve"> 2001 </w:t>
      </w:r>
      <w:r>
        <w:rPr>
          <w:lang w:val="en-US"/>
        </w:rPr>
        <w:t>the</w:t>
      </w:r>
      <w:r>
        <w:rPr>
          <w:lang w:val="en-GB"/>
        </w:rPr>
        <w:t xml:space="preserve"> </w:t>
      </w:r>
      <w:r>
        <w:rPr>
          <w:lang w:val="en-US"/>
        </w:rPr>
        <w:t>brochure</w:t>
      </w:r>
      <w:r>
        <w:rPr>
          <w:lang w:val="en-GB"/>
        </w:rPr>
        <w:t xml:space="preserve"> “</w:t>
      </w:r>
      <w:r>
        <w:rPr>
          <w:lang w:val="en-US"/>
        </w:rPr>
        <w:t>Women in Political Decision-making Centres</w:t>
      </w:r>
      <w:r>
        <w:rPr>
          <w:lang w:val="en-GB"/>
        </w:rPr>
        <w:t xml:space="preserve">, Facts and numbers 2000” was published in Greek. </w:t>
      </w:r>
    </w:p>
    <w:p w:rsidR="00000000" w:rsidRDefault="00000000">
      <w:pPr>
        <w:pStyle w:val="SingleTxt"/>
        <w:tabs>
          <w:tab w:val="right" w:pos="1685"/>
        </w:tabs>
        <w:ind w:left="1742" w:hanging="475"/>
        <w:rPr>
          <w:lang w:val="en-GB"/>
        </w:rPr>
      </w:pPr>
      <w:r>
        <w:rPr>
          <w:lang w:val="en-US"/>
        </w:rPr>
        <w:tab/>
        <w:t>•</w:t>
      </w:r>
      <w:r>
        <w:rPr>
          <w:lang w:val="en-US"/>
        </w:rPr>
        <w:tab/>
        <w:t>In</w:t>
      </w:r>
      <w:r>
        <w:rPr>
          <w:lang w:val="en-GB"/>
        </w:rPr>
        <w:t xml:space="preserve"> 2000 </w:t>
      </w:r>
      <w:r>
        <w:rPr>
          <w:lang w:val="en-US"/>
        </w:rPr>
        <w:t>the</w:t>
      </w:r>
      <w:r>
        <w:rPr>
          <w:lang w:val="en-GB"/>
        </w:rPr>
        <w:t xml:space="preserve"> </w:t>
      </w:r>
      <w:r>
        <w:rPr>
          <w:lang w:val="en-US"/>
        </w:rPr>
        <w:t>study</w:t>
      </w:r>
      <w:r>
        <w:rPr>
          <w:lang w:val="en-GB"/>
        </w:rPr>
        <w:t xml:space="preserve"> “</w:t>
      </w:r>
      <w:r>
        <w:rPr>
          <w:lang w:val="en-US"/>
        </w:rPr>
        <w:t>Women</w:t>
      </w:r>
      <w:r>
        <w:rPr>
          <w:lang w:val="en-GB"/>
        </w:rPr>
        <w:t xml:space="preserve"> </w:t>
      </w:r>
      <w:r>
        <w:rPr>
          <w:lang w:val="en-US"/>
        </w:rPr>
        <w:t>and</w:t>
      </w:r>
      <w:r>
        <w:rPr>
          <w:lang w:val="en-GB"/>
        </w:rPr>
        <w:t xml:space="preserve"> </w:t>
      </w:r>
      <w:r>
        <w:rPr>
          <w:lang w:val="en-US"/>
        </w:rPr>
        <w:t>Politics” was also conducted.</w:t>
      </w:r>
    </w:p>
    <w:p w:rsidR="00000000" w:rsidRDefault="00000000">
      <w:pPr>
        <w:pStyle w:val="SingleTxt"/>
        <w:tabs>
          <w:tab w:val="right" w:pos="1685"/>
        </w:tabs>
        <w:ind w:left="1742" w:hanging="475"/>
        <w:rPr>
          <w:lang w:val="en-GB"/>
        </w:rPr>
      </w:pPr>
      <w:r>
        <w:rPr>
          <w:lang w:val="en-GB"/>
        </w:rPr>
        <w:tab/>
        <w:t>•</w:t>
      </w:r>
      <w:r>
        <w:rPr>
          <w:lang w:val="en-GB"/>
        </w:rPr>
        <w:tab/>
        <w:t xml:space="preserve">During the period 2000-2001 </w:t>
      </w:r>
      <w:r>
        <w:rPr>
          <w:lang w:val="en-US"/>
        </w:rPr>
        <w:t>a survey was conducted in 2</w:t>
      </w:r>
      <w:r>
        <w:rPr>
          <w:vertAlign w:val="superscript"/>
          <w:lang w:val="en-US"/>
        </w:rPr>
        <w:t>nd</w:t>
      </w:r>
      <w:r>
        <w:rPr>
          <w:lang w:val="en-US"/>
        </w:rPr>
        <w:t xml:space="preserve"> and 3</w:t>
      </w:r>
      <w:r>
        <w:rPr>
          <w:vertAlign w:val="superscript"/>
          <w:lang w:val="en-US"/>
        </w:rPr>
        <w:t>rd</w:t>
      </w:r>
      <w:r>
        <w:rPr>
          <w:lang w:val="en-US"/>
        </w:rPr>
        <w:t xml:space="preserve"> degree trade unions and federations concerning collection about </w:t>
      </w:r>
      <w:r>
        <w:rPr>
          <w:lang w:val="en-GB"/>
        </w:rPr>
        <w:t>numerical data of women’s participation in the administration boards of trade unions. This su</w:t>
      </w:r>
      <w:r>
        <w:rPr>
          <w:lang w:val="en-GB"/>
        </w:rPr>
        <w:t>r</w:t>
      </w:r>
      <w:r>
        <w:rPr>
          <w:lang w:val="en-GB"/>
        </w:rPr>
        <w:t xml:space="preserve">vey was also enriched, in its course, with historical data, </w:t>
      </w:r>
      <w:r>
        <w:rPr>
          <w:lang w:val="en-US"/>
        </w:rPr>
        <w:t xml:space="preserve">record material and comments, and was published in </w:t>
      </w:r>
      <w:r>
        <w:rPr>
          <w:lang w:val="en-GB"/>
        </w:rPr>
        <w:t>2003 in the form of a book under the title “The Chronicle of an Absence, Women in Trade Unions’ decision-making centres”.</w:t>
      </w:r>
    </w:p>
    <w:p w:rsidR="00000000" w:rsidRDefault="00000000">
      <w:pPr>
        <w:pStyle w:val="SingleTxt"/>
        <w:tabs>
          <w:tab w:val="right" w:pos="1685"/>
        </w:tabs>
        <w:ind w:left="1742" w:hanging="475"/>
        <w:rPr>
          <w:lang w:val="en-GB"/>
        </w:rPr>
      </w:pPr>
      <w:r>
        <w:rPr>
          <w:lang w:val="en-US"/>
        </w:rPr>
        <w:tab/>
        <w:t>•</w:t>
      </w:r>
      <w:r>
        <w:rPr>
          <w:lang w:val="en-US"/>
        </w:rPr>
        <w:tab/>
        <w:t>In</w:t>
      </w:r>
      <w:r>
        <w:rPr>
          <w:lang w:val="en-GB"/>
        </w:rPr>
        <w:t xml:space="preserve"> </w:t>
      </w:r>
      <w:r>
        <w:rPr>
          <w:lang w:val="en-US"/>
        </w:rPr>
        <w:t>the</w:t>
      </w:r>
      <w:r>
        <w:rPr>
          <w:lang w:val="en-GB"/>
        </w:rPr>
        <w:t xml:space="preserve"> context </w:t>
      </w:r>
      <w:r>
        <w:rPr>
          <w:lang w:val="en-US"/>
        </w:rPr>
        <w:t>of</w:t>
      </w:r>
      <w:r>
        <w:rPr>
          <w:lang w:val="en-GB"/>
        </w:rPr>
        <w:t xml:space="preserve"> </w:t>
      </w:r>
      <w:r>
        <w:rPr>
          <w:lang w:val="en-US"/>
        </w:rPr>
        <w:t>the</w:t>
      </w:r>
      <w:r>
        <w:rPr>
          <w:lang w:val="en-GB"/>
        </w:rPr>
        <w:t xml:space="preserve"> </w:t>
      </w:r>
      <w:r>
        <w:rPr>
          <w:lang w:val="en-US"/>
        </w:rPr>
        <w:t>European</w:t>
      </w:r>
      <w:r>
        <w:rPr>
          <w:lang w:val="en-GB"/>
        </w:rPr>
        <w:t xml:space="preserve"> </w:t>
      </w:r>
      <w:r>
        <w:rPr>
          <w:lang w:val="en-US"/>
        </w:rPr>
        <w:t>Programme</w:t>
      </w:r>
      <w:r>
        <w:rPr>
          <w:lang w:val="en-GB"/>
        </w:rPr>
        <w:t xml:space="preserve"> “</w:t>
      </w:r>
      <w:r>
        <w:rPr>
          <w:lang w:val="en-US"/>
        </w:rPr>
        <w:t>Equal</w:t>
      </w:r>
      <w:r>
        <w:rPr>
          <w:lang w:val="en-GB"/>
        </w:rPr>
        <w:t xml:space="preserve"> </w:t>
      </w:r>
      <w:r>
        <w:rPr>
          <w:lang w:val="en-US"/>
        </w:rPr>
        <w:t>Participation</w:t>
      </w:r>
      <w:r>
        <w:rPr>
          <w:lang w:val="en-GB"/>
        </w:rPr>
        <w:t xml:space="preserve"> </w:t>
      </w:r>
      <w:r>
        <w:rPr>
          <w:lang w:val="en-US"/>
        </w:rPr>
        <w:t>in</w:t>
      </w:r>
      <w:r>
        <w:rPr>
          <w:lang w:val="en-GB"/>
        </w:rPr>
        <w:t xml:space="preserve"> </w:t>
      </w:r>
      <w:r>
        <w:rPr>
          <w:lang w:val="en-US"/>
        </w:rPr>
        <w:t>Dec</w:t>
      </w:r>
      <w:r>
        <w:rPr>
          <w:lang w:val="en-US"/>
        </w:rPr>
        <w:t>i</w:t>
      </w:r>
      <w:r>
        <w:rPr>
          <w:lang w:val="en-US"/>
        </w:rPr>
        <w:t>sion</w:t>
      </w:r>
      <w:r>
        <w:rPr>
          <w:lang w:val="en-GB"/>
        </w:rPr>
        <w:t>-</w:t>
      </w:r>
      <w:r>
        <w:rPr>
          <w:lang w:val="en-US"/>
        </w:rPr>
        <w:t>making</w:t>
      </w:r>
      <w:r>
        <w:rPr>
          <w:lang w:val="en-GB"/>
        </w:rPr>
        <w:t xml:space="preserve"> </w:t>
      </w:r>
      <w:r>
        <w:rPr>
          <w:lang w:val="en-US"/>
        </w:rPr>
        <w:t>Centres</w:t>
      </w:r>
      <w:r>
        <w:rPr>
          <w:lang w:val="en-GB"/>
        </w:rPr>
        <w:t xml:space="preserve"> – </w:t>
      </w:r>
      <w:r>
        <w:rPr>
          <w:lang w:val="en-US"/>
        </w:rPr>
        <w:t>Women</w:t>
      </w:r>
      <w:r>
        <w:rPr>
          <w:lang w:val="en-GB"/>
        </w:rPr>
        <w:t xml:space="preserve"> </w:t>
      </w:r>
      <w:r>
        <w:rPr>
          <w:lang w:val="en-US"/>
        </w:rPr>
        <w:t>in</w:t>
      </w:r>
      <w:r>
        <w:rPr>
          <w:lang w:val="en-GB"/>
        </w:rPr>
        <w:t xml:space="preserve"> </w:t>
      </w:r>
      <w:r>
        <w:rPr>
          <w:lang w:val="en-US"/>
        </w:rPr>
        <w:t>the</w:t>
      </w:r>
      <w:r>
        <w:rPr>
          <w:lang w:val="en-GB"/>
        </w:rPr>
        <w:t xml:space="preserve"> </w:t>
      </w:r>
      <w:r>
        <w:rPr>
          <w:lang w:val="en-US"/>
        </w:rPr>
        <w:t>heart</w:t>
      </w:r>
      <w:r>
        <w:rPr>
          <w:lang w:val="en-GB"/>
        </w:rPr>
        <w:t xml:space="preserve"> </w:t>
      </w:r>
      <w:r>
        <w:rPr>
          <w:lang w:val="en-US"/>
        </w:rPr>
        <w:t>of</w:t>
      </w:r>
      <w:r>
        <w:rPr>
          <w:lang w:val="en-GB"/>
        </w:rPr>
        <w:t xml:space="preserve"> </w:t>
      </w:r>
      <w:r>
        <w:rPr>
          <w:lang w:val="en-US"/>
        </w:rPr>
        <w:t>Europe”</w:t>
      </w:r>
      <w:r>
        <w:rPr>
          <w:lang w:val="en-GB"/>
        </w:rPr>
        <w:t>,</w:t>
      </w:r>
      <w:r>
        <w:rPr>
          <w:lang w:val="en-US"/>
        </w:rPr>
        <w:t xml:space="preserve"> implemented by </w:t>
      </w:r>
      <w:r>
        <w:t>Κ</w:t>
      </w:r>
      <w:r>
        <w:rPr>
          <w:lang w:val="en-GB"/>
        </w:rPr>
        <w:t>.</w:t>
      </w:r>
      <w:r>
        <w:t>Ε</w:t>
      </w:r>
      <w:r>
        <w:rPr>
          <w:lang w:val="en-GB"/>
        </w:rPr>
        <w:t>.TH.</w:t>
      </w:r>
      <w:r>
        <w:t>Ι</w:t>
      </w:r>
      <w:r>
        <w:rPr>
          <w:lang w:val="en-GB"/>
        </w:rPr>
        <w:t>. since 2003, and aiming at increasing women’s participation in political dec</w:t>
      </w:r>
      <w:r>
        <w:rPr>
          <w:lang w:val="en-GB"/>
        </w:rPr>
        <w:t>i</w:t>
      </w:r>
      <w:r>
        <w:rPr>
          <w:lang w:val="en-GB"/>
        </w:rPr>
        <w:t>sion-making centres, particularly in connection to the national and European Parliame</w:t>
      </w:r>
      <w:r>
        <w:rPr>
          <w:lang w:val="en-GB"/>
        </w:rPr>
        <w:t>n</w:t>
      </w:r>
      <w:r>
        <w:rPr>
          <w:lang w:val="en-GB"/>
        </w:rPr>
        <w:t>tary elections of 2004, the following have been realised:</w:t>
      </w:r>
    </w:p>
    <w:p w:rsidR="00000000" w:rsidRDefault="00000000">
      <w:pPr>
        <w:pStyle w:val="SingleTxt"/>
        <w:tabs>
          <w:tab w:val="right" w:pos="1685"/>
        </w:tabs>
        <w:ind w:left="1742" w:hanging="475"/>
        <w:rPr>
          <w:lang w:val="en-GB"/>
        </w:rPr>
      </w:pPr>
      <w:r>
        <w:rPr>
          <w:lang w:val="en-GB"/>
        </w:rPr>
        <w:tab/>
        <w:t>–</w:t>
      </w:r>
      <w:r>
        <w:rPr>
          <w:lang w:val="en-GB"/>
        </w:rPr>
        <w:tab/>
        <w:t xml:space="preserve">9 </w:t>
      </w:r>
      <w:r>
        <w:rPr>
          <w:lang w:val="en-US"/>
        </w:rPr>
        <w:t>one</w:t>
      </w:r>
      <w:r>
        <w:rPr>
          <w:lang w:val="en-GB"/>
        </w:rPr>
        <w:t>-</w:t>
      </w:r>
      <w:r>
        <w:rPr>
          <w:lang w:val="en-US"/>
        </w:rPr>
        <w:t>day</w:t>
      </w:r>
      <w:r>
        <w:rPr>
          <w:lang w:val="en-GB"/>
        </w:rPr>
        <w:t xml:space="preserve"> </w:t>
      </w:r>
      <w:r>
        <w:rPr>
          <w:lang w:val="en-US"/>
        </w:rPr>
        <w:t>conferences</w:t>
      </w:r>
      <w:r>
        <w:rPr>
          <w:lang w:val="en-GB"/>
        </w:rPr>
        <w:t xml:space="preserve"> </w:t>
      </w:r>
      <w:r>
        <w:rPr>
          <w:lang w:val="en-US"/>
        </w:rPr>
        <w:t>from</w:t>
      </w:r>
      <w:r>
        <w:rPr>
          <w:lang w:val="en-GB"/>
        </w:rPr>
        <w:t xml:space="preserve"> </w:t>
      </w:r>
      <w:r>
        <w:rPr>
          <w:lang w:val="en-US"/>
        </w:rPr>
        <w:t>December</w:t>
      </w:r>
      <w:r>
        <w:rPr>
          <w:lang w:val="en-GB"/>
        </w:rPr>
        <w:t xml:space="preserve"> 2003 </w:t>
      </w:r>
      <w:r>
        <w:rPr>
          <w:lang w:val="en-US"/>
        </w:rPr>
        <w:t>till</w:t>
      </w:r>
      <w:r>
        <w:rPr>
          <w:lang w:val="en-GB"/>
        </w:rPr>
        <w:t xml:space="preserve"> </w:t>
      </w:r>
      <w:r>
        <w:rPr>
          <w:lang w:val="en-US"/>
        </w:rPr>
        <w:t>June</w:t>
      </w:r>
      <w:r>
        <w:rPr>
          <w:lang w:val="en-GB"/>
        </w:rPr>
        <w:t xml:space="preserve"> 2004 </w:t>
      </w:r>
      <w:r>
        <w:rPr>
          <w:lang w:val="en-US"/>
        </w:rPr>
        <w:t>in</w:t>
      </w:r>
      <w:r>
        <w:rPr>
          <w:lang w:val="en-GB"/>
        </w:rPr>
        <w:t xml:space="preserve"> </w:t>
      </w:r>
      <w:r>
        <w:rPr>
          <w:lang w:val="en-US"/>
        </w:rPr>
        <w:t>Athens</w:t>
      </w:r>
      <w:r>
        <w:rPr>
          <w:lang w:val="en-GB"/>
        </w:rPr>
        <w:t xml:space="preserve">, </w:t>
      </w:r>
      <w:r>
        <w:rPr>
          <w:lang w:val="en-US"/>
        </w:rPr>
        <w:t>Thess</w:t>
      </w:r>
      <w:r>
        <w:rPr>
          <w:lang w:val="en-US"/>
        </w:rPr>
        <w:t>a</w:t>
      </w:r>
      <w:r>
        <w:rPr>
          <w:lang w:val="en-US"/>
        </w:rPr>
        <w:t>loniki</w:t>
      </w:r>
      <w:r>
        <w:rPr>
          <w:lang w:val="en-GB"/>
        </w:rPr>
        <w:t xml:space="preserve">, </w:t>
      </w:r>
      <w:r>
        <w:rPr>
          <w:lang w:val="en-US"/>
        </w:rPr>
        <w:t>Larissa</w:t>
      </w:r>
      <w:r>
        <w:rPr>
          <w:lang w:val="en-GB"/>
        </w:rPr>
        <w:t xml:space="preserve">, </w:t>
      </w:r>
      <w:r>
        <w:rPr>
          <w:lang w:val="en-US"/>
        </w:rPr>
        <w:t>Volos</w:t>
      </w:r>
      <w:r>
        <w:rPr>
          <w:lang w:val="en-GB"/>
        </w:rPr>
        <w:t xml:space="preserve">, </w:t>
      </w:r>
      <w:r>
        <w:rPr>
          <w:lang w:val="en-US"/>
        </w:rPr>
        <w:t>Patra</w:t>
      </w:r>
      <w:r>
        <w:rPr>
          <w:lang w:val="en-GB"/>
        </w:rPr>
        <w:t xml:space="preserve">, </w:t>
      </w:r>
      <w:r>
        <w:rPr>
          <w:lang w:val="en-US"/>
        </w:rPr>
        <w:t>Herakleion/Crete, and Komotini</w:t>
      </w:r>
      <w:r>
        <w:rPr>
          <w:lang w:val="en-GB"/>
        </w:rPr>
        <w:t xml:space="preserve"> </w:t>
      </w:r>
      <w:r>
        <w:rPr>
          <w:lang w:val="en-US"/>
        </w:rPr>
        <w:t>concerning pr</w:t>
      </w:r>
      <w:r>
        <w:rPr>
          <w:lang w:val="en-US"/>
        </w:rPr>
        <w:t>o</w:t>
      </w:r>
      <w:r>
        <w:rPr>
          <w:lang w:val="en-US"/>
        </w:rPr>
        <w:t>motion of candidate women of all political parties to the national parliame</w:t>
      </w:r>
      <w:r>
        <w:rPr>
          <w:lang w:val="en-US"/>
        </w:rPr>
        <w:t>n</w:t>
      </w:r>
      <w:r>
        <w:rPr>
          <w:lang w:val="en-US"/>
        </w:rPr>
        <w:t>tary elections, and promotion</w:t>
      </w:r>
      <w:r>
        <w:rPr>
          <w:lang w:val="en-GB"/>
        </w:rPr>
        <w:t xml:space="preserve"> of the value of equal participation in European Parliame</w:t>
      </w:r>
      <w:r>
        <w:rPr>
          <w:lang w:val="en-GB"/>
        </w:rPr>
        <w:t>n</w:t>
      </w:r>
      <w:r>
        <w:rPr>
          <w:lang w:val="en-GB"/>
        </w:rPr>
        <w:t>tary elections.</w:t>
      </w:r>
    </w:p>
    <w:p w:rsidR="00000000" w:rsidRDefault="00000000">
      <w:pPr>
        <w:pStyle w:val="SingleTxt"/>
        <w:tabs>
          <w:tab w:val="right" w:pos="1685"/>
        </w:tabs>
        <w:ind w:left="1742" w:hanging="475"/>
        <w:rPr>
          <w:lang w:val="en-GB"/>
        </w:rPr>
      </w:pPr>
      <w:r>
        <w:rPr>
          <w:lang w:val="en-GB"/>
        </w:rPr>
        <w:tab/>
        <w:t>–</w:t>
      </w:r>
      <w:r>
        <w:rPr>
          <w:lang w:val="en-GB"/>
        </w:rPr>
        <w:tab/>
      </w:r>
      <w:r>
        <w:rPr>
          <w:lang w:val="en-US"/>
        </w:rPr>
        <w:t>Campaign by means of radio spots</w:t>
      </w:r>
      <w:r>
        <w:rPr>
          <w:lang w:val="en-GB"/>
        </w:rPr>
        <w:t xml:space="preserve"> concerning</w:t>
      </w:r>
      <w:r>
        <w:rPr>
          <w:lang w:val="en-US"/>
        </w:rPr>
        <w:t xml:space="preserve"> the National Parliamentary elections and TV spots concerning the European Parliamentary elections</w:t>
      </w:r>
      <w:r>
        <w:rPr>
          <w:lang w:val="en-GB"/>
        </w:rPr>
        <w:t>. Pu</w:t>
      </w:r>
      <w:r>
        <w:rPr>
          <w:lang w:val="en-GB"/>
        </w:rPr>
        <w:t>b</w:t>
      </w:r>
      <w:r>
        <w:rPr>
          <w:lang w:val="en-GB"/>
        </w:rPr>
        <w:t xml:space="preserve">lication of leaflets </w:t>
      </w:r>
      <w:r>
        <w:rPr>
          <w:lang w:val="en-US"/>
        </w:rPr>
        <w:t>for both elections</w:t>
      </w:r>
      <w:r>
        <w:rPr>
          <w:lang w:val="en-GB"/>
        </w:rPr>
        <w:t xml:space="preserve">, </w:t>
      </w:r>
      <w:r>
        <w:rPr>
          <w:lang w:val="en-US"/>
        </w:rPr>
        <w:t xml:space="preserve">which have been sent to the </w:t>
      </w:r>
      <w:r>
        <w:t>ΚΕ</w:t>
      </w:r>
      <w:r>
        <w:rPr>
          <w:lang w:val="en-US"/>
        </w:rPr>
        <w:t>TH</w:t>
      </w:r>
      <w:r>
        <w:t>Ι</w:t>
      </w:r>
      <w:r>
        <w:rPr>
          <w:lang w:val="en-US"/>
        </w:rPr>
        <w:t xml:space="preserve"> mailing list,</w:t>
      </w:r>
      <w:r>
        <w:rPr>
          <w:lang w:val="en-GB"/>
        </w:rPr>
        <w:t xml:space="preserve"> to women candidates, and have been distributed at pre-election events.</w:t>
      </w:r>
    </w:p>
    <w:p w:rsidR="00000000" w:rsidRDefault="00000000">
      <w:pPr>
        <w:pStyle w:val="SingleTxt"/>
        <w:tabs>
          <w:tab w:val="right" w:pos="1685"/>
        </w:tabs>
        <w:ind w:left="1742" w:hanging="475"/>
        <w:rPr>
          <w:lang w:val="en-GB"/>
        </w:rPr>
      </w:pPr>
      <w:r>
        <w:rPr>
          <w:lang w:val="en-GB"/>
        </w:rPr>
        <w:tab/>
        <w:t>–</w:t>
      </w:r>
      <w:r>
        <w:rPr>
          <w:lang w:val="en-GB"/>
        </w:rPr>
        <w:tab/>
      </w:r>
      <w:r>
        <w:rPr>
          <w:lang w:val="en-US"/>
        </w:rPr>
        <w:t>On</w:t>
      </w:r>
      <w:r>
        <w:rPr>
          <w:lang w:val="en-GB"/>
        </w:rPr>
        <w:t xml:space="preserve"> 28</w:t>
      </w:r>
      <w:r>
        <w:rPr>
          <w:vertAlign w:val="superscript"/>
          <w:lang w:val="en-GB"/>
        </w:rPr>
        <w:t>th</w:t>
      </w:r>
      <w:r>
        <w:rPr>
          <w:lang w:val="en-GB"/>
        </w:rPr>
        <w:t xml:space="preserve"> &amp; 29</w:t>
      </w:r>
      <w:r>
        <w:rPr>
          <w:vertAlign w:val="superscript"/>
          <w:lang w:val="en-GB"/>
        </w:rPr>
        <w:t>th</w:t>
      </w:r>
      <w:r>
        <w:rPr>
          <w:lang w:val="en-GB"/>
        </w:rPr>
        <w:t xml:space="preserve"> </w:t>
      </w:r>
      <w:r>
        <w:rPr>
          <w:lang w:val="en-US"/>
        </w:rPr>
        <w:t>April</w:t>
      </w:r>
      <w:r>
        <w:rPr>
          <w:lang w:val="en-GB"/>
        </w:rPr>
        <w:t xml:space="preserve">, </w:t>
      </w:r>
      <w:r>
        <w:rPr>
          <w:lang w:val="en-US"/>
        </w:rPr>
        <w:t>in</w:t>
      </w:r>
      <w:r>
        <w:rPr>
          <w:lang w:val="en-GB"/>
        </w:rPr>
        <w:t xml:space="preserve"> </w:t>
      </w:r>
      <w:r>
        <w:rPr>
          <w:lang w:val="en-US"/>
        </w:rPr>
        <w:t>Athens</w:t>
      </w:r>
      <w:r>
        <w:rPr>
          <w:lang w:val="en-GB"/>
        </w:rPr>
        <w:t xml:space="preserve">, </w:t>
      </w:r>
      <w:r>
        <w:rPr>
          <w:lang w:val="en-US"/>
        </w:rPr>
        <w:t>seminar on</w:t>
      </w:r>
      <w:r>
        <w:rPr>
          <w:lang w:val="en-GB"/>
        </w:rPr>
        <w:t xml:space="preserve"> “The Art of Communication”; 22 </w:t>
      </w:r>
      <w:r>
        <w:rPr>
          <w:lang w:val="en-US"/>
        </w:rPr>
        <w:t>women trainees</w:t>
      </w:r>
      <w:r>
        <w:rPr>
          <w:lang w:val="en-GB"/>
        </w:rPr>
        <w:t xml:space="preserve"> – </w:t>
      </w:r>
      <w:r>
        <w:rPr>
          <w:lang w:val="en-US"/>
        </w:rPr>
        <w:t>executives of political parties and national partners of the Pr</w:t>
      </w:r>
      <w:r>
        <w:rPr>
          <w:lang w:val="en-US"/>
        </w:rPr>
        <w:t>o</w:t>
      </w:r>
      <w:r>
        <w:rPr>
          <w:lang w:val="en-US"/>
        </w:rPr>
        <w:t>gramme took part</w:t>
      </w:r>
      <w:r>
        <w:rPr>
          <w:lang w:val="en-GB"/>
        </w:rPr>
        <w:t xml:space="preserve">. </w:t>
      </w:r>
    </w:p>
    <w:p w:rsidR="00000000" w:rsidRDefault="00000000">
      <w:pPr>
        <w:pStyle w:val="SingleTxt"/>
        <w:tabs>
          <w:tab w:val="right" w:pos="1685"/>
        </w:tabs>
        <w:ind w:left="1742" w:hanging="475"/>
        <w:rPr>
          <w:lang w:val="en-GB"/>
        </w:rPr>
      </w:pPr>
      <w:r>
        <w:rPr>
          <w:lang w:val="en-GB"/>
        </w:rPr>
        <w:tab/>
        <w:t>–</w:t>
      </w:r>
      <w:r>
        <w:rPr>
          <w:lang w:val="en-GB"/>
        </w:rPr>
        <w:tab/>
      </w:r>
      <w:r>
        <w:t xml:space="preserve">On </w:t>
      </w:r>
      <w:r>
        <w:rPr>
          <w:lang w:val="en-GB"/>
        </w:rPr>
        <w:t>1</w:t>
      </w:r>
      <w:r>
        <w:rPr>
          <w:vertAlign w:val="superscript"/>
          <w:lang w:val="en-GB"/>
        </w:rPr>
        <w:t>st</w:t>
      </w:r>
      <w:r>
        <w:rPr>
          <w:lang w:val="en-GB"/>
        </w:rPr>
        <w:t xml:space="preserve"> &amp; 2</w:t>
      </w:r>
      <w:r>
        <w:rPr>
          <w:vertAlign w:val="superscript"/>
          <w:lang w:val="en-GB"/>
        </w:rPr>
        <w:t>nd</w:t>
      </w:r>
      <w:r>
        <w:rPr>
          <w:lang w:val="en-GB"/>
        </w:rPr>
        <w:t xml:space="preserve"> </w:t>
      </w:r>
      <w:r>
        <w:t>June, in Athens,</w:t>
      </w:r>
      <w:r>
        <w:rPr>
          <w:lang w:val="en-GB"/>
        </w:rPr>
        <w:t xml:space="preserve"> </w:t>
      </w:r>
      <w:r>
        <w:t xml:space="preserve">seminar on “Women in Politics – Communication Skills”; </w:t>
      </w:r>
      <w:r>
        <w:rPr>
          <w:lang w:val="en-GB"/>
        </w:rPr>
        <w:t xml:space="preserve">22 </w:t>
      </w:r>
      <w:r>
        <w:t>people took part</w:t>
      </w:r>
      <w:r>
        <w:rPr>
          <w:lang w:val="en-GB"/>
        </w:rPr>
        <w:t xml:space="preserve">, </w:t>
      </w:r>
      <w:r>
        <w:t>the same team as in the previous seminar</w:t>
      </w:r>
      <w:r>
        <w:rPr>
          <w:lang w:val="en-GB"/>
        </w:rPr>
        <w:t xml:space="preserve">. </w:t>
      </w:r>
    </w:p>
    <w:p w:rsidR="00000000" w:rsidRDefault="00000000">
      <w:pPr>
        <w:pStyle w:val="SingleTxt"/>
        <w:tabs>
          <w:tab w:val="right" w:pos="1685"/>
        </w:tabs>
        <w:ind w:left="1742" w:hanging="475"/>
        <w:rPr>
          <w:lang w:val="en-GB"/>
        </w:rPr>
      </w:pPr>
      <w:r>
        <w:rPr>
          <w:lang w:val="en-GB"/>
        </w:rPr>
        <w:tab/>
        <w:t>–</w:t>
      </w:r>
      <w:r>
        <w:rPr>
          <w:lang w:val="en-GB"/>
        </w:rPr>
        <w:tab/>
      </w:r>
      <w:r>
        <w:t xml:space="preserve">On </w:t>
      </w:r>
      <w:r>
        <w:rPr>
          <w:lang w:val="en-GB"/>
        </w:rPr>
        <w:t>3</w:t>
      </w:r>
      <w:r>
        <w:rPr>
          <w:vertAlign w:val="superscript"/>
          <w:lang w:val="en-GB"/>
        </w:rPr>
        <w:t>rd</w:t>
      </w:r>
      <w:r>
        <w:rPr>
          <w:lang w:val="en-GB"/>
        </w:rPr>
        <w:t xml:space="preserve"> &amp; 4</w:t>
      </w:r>
      <w:r>
        <w:rPr>
          <w:vertAlign w:val="superscript"/>
          <w:lang w:val="en-GB"/>
        </w:rPr>
        <w:t>th</w:t>
      </w:r>
      <w:r>
        <w:rPr>
          <w:lang w:val="en-GB"/>
        </w:rPr>
        <w:t xml:space="preserve"> </w:t>
      </w:r>
      <w:r>
        <w:t>June, the seminar “Women in Politics – Communication Skills”</w:t>
      </w:r>
      <w:r>
        <w:rPr>
          <w:lang w:val="en-GB"/>
        </w:rPr>
        <w:t xml:space="preserve"> was repeated in Thessaloniki, with 39 women-trainees. </w:t>
      </w:r>
    </w:p>
    <w:p w:rsidR="00000000" w:rsidRDefault="00000000">
      <w:pPr>
        <w:pStyle w:val="SingleTxt"/>
        <w:tabs>
          <w:tab w:val="right" w:pos="1685"/>
        </w:tabs>
        <w:ind w:left="1742" w:hanging="475"/>
        <w:rPr>
          <w:rStyle w:val="Strong"/>
          <w:b w:val="0"/>
          <w:lang w:val="en-GB"/>
        </w:rPr>
      </w:pPr>
      <w:bookmarkStart w:id="26" w:name="3"/>
      <w:r>
        <w:rPr>
          <w:lang w:val="en-GB"/>
        </w:rPr>
        <w:tab/>
        <w:t>–</w:t>
      </w:r>
      <w:r>
        <w:rPr>
          <w:lang w:val="en-GB"/>
        </w:rPr>
        <w:tab/>
      </w:r>
      <w:r>
        <w:rPr>
          <w:rStyle w:val="Strong"/>
          <w:b w:val="0"/>
        </w:rPr>
        <w:t>Separate</w:t>
      </w:r>
      <w:r>
        <w:rPr>
          <w:rStyle w:val="Strong"/>
          <w:lang w:val="en-GB"/>
        </w:rPr>
        <w:t xml:space="preserve"> </w:t>
      </w:r>
      <w:r>
        <w:rPr>
          <w:rStyle w:val="Strong"/>
          <w:b w:val="0"/>
        </w:rPr>
        <w:t>page</w:t>
      </w:r>
      <w:r>
        <w:rPr>
          <w:rStyle w:val="Strong"/>
          <w:lang w:val="en-GB"/>
        </w:rPr>
        <w:t xml:space="preserve"> </w:t>
      </w:r>
      <w:r>
        <w:rPr>
          <w:rStyle w:val="Strong"/>
          <w:b w:val="0"/>
        </w:rPr>
        <w:t>in</w:t>
      </w:r>
      <w:r>
        <w:rPr>
          <w:rStyle w:val="Strong"/>
          <w:b w:val="0"/>
          <w:lang w:val="en-GB"/>
        </w:rPr>
        <w:t xml:space="preserve"> </w:t>
      </w:r>
      <w:r>
        <w:rPr>
          <w:rStyle w:val="Strong"/>
          <w:b w:val="0"/>
        </w:rPr>
        <w:t>K</w:t>
      </w:r>
      <w:r>
        <w:rPr>
          <w:rStyle w:val="Strong"/>
          <w:b w:val="0"/>
          <w:lang w:val="en-GB"/>
        </w:rPr>
        <w:t>.</w:t>
      </w:r>
      <w:r>
        <w:rPr>
          <w:rStyle w:val="Strong"/>
          <w:b w:val="0"/>
        </w:rPr>
        <w:t>E</w:t>
      </w:r>
      <w:r>
        <w:rPr>
          <w:rStyle w:val="Strong"/>
          <w:b w:val="0"/>
          <w:lang w:val="en-GB"/>
        </w:rPr>
        <w:t>.</w:t>
      </w:r>
      <w:r>
        <w:rPr>
          <w:rStyle w:val="Strong"/>
          <w:b w:val="0"/>
        </w:rPr>
        <w:t>TH</w:t>
      </w:r>
      <w:r>
        <w:rPr>
          <w:rStyle w:val="Strong"/>
          <w:b w:val="0"/>
          <w:lang w:val="en-GB"/>
        </w:rPr>
        <w:t>.</w:t>
      </w:r>
      <w:r>
        <w:rPr>
          <w:rStyle w:val="Strong"/>
          <w:b w:val="0"/>
        </w:rPr>
        <w:t>I</w:t>
      </w:r>
      <w:r>
        <w:rPr>
          <w:rStyle w:val="Strong"/>
          <w:b w:val="0"/>
          <w:lang w:val="en-GB"/>
        </w:rPr>
        <w:t>.’</w:t>
      </w:r>
      <w:r>
        <w:rPr>
          <w:rStyle w:val="Strong"/>
          <w:b w:val="0"/>
        </w:rPr>
        <w:t>s</w:t>
      </w:r>
      <w:r>
        <w:rPr>
          <w:rStyle w:val="Strong"/>
          <w:b w:val="0"/>
          <w:lang w:val="en-GB"/>
        </w:rPr>
        <w:t xml:space="preserve"> </w:t>
      </w:r>
      <w:r>
        <w:rPr>
          <w:rStyle w:val="Strong"/>
          <w:b w:val="0"/>
        </w:rPr>
        <w:t>Web site, aiming at the promotion of women candidates</w:t>
      </w:r>
      <w:r>
        <w:rPr>
          <w:rStyle w:val="Strong"/>
          <w:b w:val="0"/>
          <w:lang w:val="en-GB"/>
        </w:rPr>
        <w:t xml:space="preserve"> </w:t>
      </w:r>
      <w:r>
        <w:rPr>
          <w:rStyle w:val="Strong"/>
          <w:b w:val="0"/>
        </w:rPr>
        <w:t>and their empowerment, by providing arguments for their cause.</w:t>
      </w:r>
      <w:r>
        <w:rPr>
          <w:rStyle w:val="Strong"/>
          <w:lang w:val="en-GB"/>
        </w:rPr>
        <w:t xml:space="preserve"> </w:t>
      </w:r>
      <w:bookmarkEnd w:id="26"/>
      <w:r>
        <w:rPr>
          <w:rStyle w:val="Strong"/>
          <w:b w:val="0"/>
          <w:lang w:val="en-GB"/>
        </w:rPr>
        <w:t>After the elections, it was enriched with the results of both electoral proc</w:t>
      </w:r>
      <w:r>
        <w:rPr>
          <w:rStyle w:val="Strong"/>
          <w:b w:val="0"/>
          <w:lang w:val="en-GB"/>
        </w:rPr>
        <w:t>e</w:t>
      </w:r>
      <w:r>
        <w:rPr>
          <w:rStyle w:val="Strong"/>
          <w:b w:val="0"/>
          <w:lang w:val="en-GB"/>
        </w:rPr>
        <w:t>dures.</w:t>
      </w:r>
    </w:p>
    <w:p w:rsidR="00000000" w:rsidRDefault="00000000">
      <w:pPr>
        <w:pStyle w:val="SingleTxt"/>
        <w:rPr>
          <w:rStyle w:val="Strong"/>
          <w:b w:val="0"/>
          <w:sz w:val="23"/>
          <w:lang w:val="en-GB"/>
        </w:rPr>
      </w:pPr>
      <w:r>
        <w:rPr>
          <w:rStyle w:val="Strong"/>
          <w:b w:val="0"/>
        </w:rPr>
        <w:tab/>
        <w:t>In</w:t>
      </w:r>
      <w:r>
        <w:rPr>
          <w:rStyle w:val="Strong"/>
          <w:b w:val="0"/>
          <w:lang w:val="en-GB"/>
        </w:rPr>
        <w:t xml:space="preserve"> </w:t>
      </w:r>
      <w:r>
        <w:rPr>
          <w:rStyle w:val="Strong"/>
          <w:b w:val="0"/>
        </w:rPr>
        <w:t>the</w:t>
      </w:r>
      <w:r>
        <w:rPr>
          <w:rStyle w:val="Strong"/>
          <w:b w:val="0"/>
          <w:lang w:val="en-GB"/>
        </w:rPr>
        <w:t xml:space="preserve"> context </w:t>
      </w:r>
      <w:r>
        <w:rPr>
          <w:rStyle w:val="Strong"/>
          <w:b w:val="0"/>
        </w:rPr>
        <w:t>of</w:t>
      </w:r>
      <w:r>
        <w:rPr>
          <w:rStyle w:val="Strong"/>
          <w:b w:val="0"/>
          <w:lang w:val="en-GB"/>
        </w:rPr>
        <w:t xml:space="preserve"> </w:t>
      </w:r>
      <w:r>
        <w:rPr>
          <w:rStyle w:val="Strong"/>
          <w:b w:val="0"/>
        </w:rPr>
        <w:t>the</w:t>
      </w:r>
      <w:r>
        <w:rPr>
          <w:rStyle w:val="Strong"/>
          <w:b w:val="0"/>
          <w:lang w:val="en-GB"/>
        </w:rPr>
        <w:t xml:space="preserve"> </w:t>
      </w:r>
      <w:r>
        <w:rPr>
          <w:rStyle w:val="Strong"/>
          <w:b w:val="0"/>
        </w:rPr>
        <w:t xml:space="preserve">European Programme </w:t>
      </w:r>
      <w:r>
        <w:rPr>
          <w:rStyle w:val="Strong"/>
          <w:b w:val="0"/>
          <w:lang w:val="en-GB"/>
        </w:rPr>
        <w:t>“</w:t>
      </w:r>
      <w:r>
        <w:rPr>
          <w:rStyle w:val="Strong"/>
          <w:b w:val="0"/>
        </w:rPr>
        <w:t>Women at the top”</w:t>
      </w:r>
      <w:r>
        <w:rPr>
          <w:rStyle w:val="Strong"/>
          <w:b w:val="0"/>
          <w:lang w:val="en-GB"/>
        </w:rPr>
        <w:t xml:space="preserve"> (2004)</w:t>
      </w:r>
      <w:r>
        <w:rPr>
          <w:rStyle w:val="Strong"/>
          <w:b w:val="0"/>
        </w:rPr>
        <w:t>, aiming at increasing the number of women number in the highest ranking offices of ente</w:t>
      </w:r>
      <w:r>
        <w:rPr>
          <w:rStyle w:val="Strong"/>
          <w:b w:val="0"/>
        </w:rPr>
        <w:t>r</w:t>
      </w:r>
      <w:r>
        <w:rPr>
          <w:rStyle w:val="Strong"/>
          <w:b w:val="0"/>
        </w:rPr>
        <w:t>prises</w:t>
      </w:r>
      <w:r>
        <w:rPr>
          <w:rStyle w:val="Strong"/>
          <w:b w:val="0"/>
          <w:sz w:val="23"/>
          <w:lang w:val="en-GB"/>
        </w:rPr>
        <w:t>:</w:t>
      </w:r>
    </w:p>
    <w:p w:rsidR="00000000" w:rsidRDefault="00000000">
      <w:pPr>
        <w:pStyle w:val="SingleTxt"/>
        <w:tabs>
          <w:tab w:val="right" w:pos="1685"/>
        </w:tabs>
        <w:ind w:left="1742" w:hanging="475"/>
        <w:rPr>
          <w:rStyle w:val="Strong"/>
          <w:b w:val="0"/>
        </w:rPr>
      </w:pPr>
      <w:r>
        <w:rPr>
          <w:lang w:val="en-GB"/>
        </w:rPr>
        <w:tab/>
        <w:t>–</w:t>
      </w:r>
      <w:r>
        <w:rPr>
          <w:lang w:val="en-GB"/>
        </w:rPr>
        <w:tab/>
      </w:r>
      <w:r>
        <w:rPr>
          <w:rStyle w:val="Strong"/>
          <w:b w:val="0"/>
        </w:rPr>
        <w:t>Seminar (September 2004) “Enterprise and Gender”</w:t>
      </w:r>
    </w:p>
    <w:p w:rsidR="00000000" w:rsidRDefault="00000000">
      <w:pPr>
        <w:pStyle w:val="SingleTxt"/>
        <w:tabs>
          <w:tab w:val="right" w:pos="1685"/>
        </w:tabs>
        <w:ind w:left="1742" w:hanging="475"/>
        <w:rPr>
          <w:rStyle w:val="Strong"/>
          <w:b w:val="0"/>
          <w:sz w:val="23"/>
          <w:lang w:val="en-GB"/>
        </w:rPr>
      </w:pPr>
      <w:r>
        <w:rPr>
          <w:lang w:val="en-GB"/>
        </w:rPr>
        <w:tab/>
        <w:t>–</w:t>
      </w:r>
      <w:r>
        <w:rPr>
          <w:lang w:val="en-GB"/>
        </w:rPr>
        <w:tab/>
      </w:r>
      <w:r>
        <w:rPr>
          <w:rStyle w:val="Strong"/>
          <w:b w:val="0"/>
          <w:lang w:val="en-GB"/>
        </w:rPr>
        <w:t>Survey</w:t>
      </w:r>
      <w:r>
        <w:rPr>
          <w:rStyle w:val="Strong"/>
          <w:b w:val="0"/>
          <w:lang w:val="en-US"/>
        </w:rPr>
        <w:t xml:space="preserve"> in offices of evaluation and employment of staff, concerning the pr</w:t>
      </w:r>
      <w:r>
        <w:rPr>
          <w:rStyle w:val="Strong"/>
          <w:b w:val="0"/>
          <w:lang w:val="en-US"/>
        </w:rPr>
        <w:t>o</w:t>
      </w:r>
      <w:r>
        <w:rPr>
          <w:rStyle w:val="Strong"/>
          <w:b w:val="0"/>
          <w:lang w:val="en-US"/>
        </w:rPr>
        <w:t>files of co</w:t>
      </w:r>
      <w:r>
        <w:rPr>
          <w:rStyle w:val="Strong"/>
          <w:b w:val="0"/>
          <w:lang w:val="en-US"/>
        </w:rPr>
        <w:t>m</w:t>
      </w:r>
      <w:r>
        <w:rPr>
          <w:rStyle w:val="Strong"/>
          <w:b w:val="0"/>
          <w:lang w:val="en-US"/>
        </w:rPr>
        <w:t>panies</w:t>
      </w:r>
      <w:r>
        <w:rPr>
          <w:rStyle w:val="Strong"/>
          <w:b w:val="0"/>
          <w:lang w:val="en-GB"/>
        </w:rPr>
        <w:t xml:space="preserve"> and candidate executives who resort to them.</w:t>
      </w:r>
    </w:p>
    <w:p w:rsidR="00000000" w:rsidRDefault="00000000">
      <w:pPr>
        <w:pStyle w:val="SingleTxt"/>
        <w:tabs>
          <w:tab w:val="right" w:pos="1685"/>
        </w:tabs>
        <w:ind w:left="1742" w:hanging="475"/>
        <w:rPr>
          <w:rStyle w:val="Strong"/>
          <w:b w:val="0"/>
          <w:lang w:val="en-GB"/>
        </w:rPr>
      </w:pPr>
      <w:r>
        <w:rPr>
          <w:lang w:val="en-GB"/>
        </w:rPr>
        <w:tab/>
        <w:t>–</w:t>
      </w:r>
      <w:r>
        <w:rPr>
          <w:lang w:val="en-GB"/>
        </w:rPr>
        <w:tab/>
      </w:r>
      <w:r>
        <w:rPr>
          <w:rStyle w:val="Strong"/>
          <w:b w:val="0"/>
          <w:lang w:val="en-US"/>
        </w:rPr>
        <w:t>Consultation</w:t>
      </w:r>
      <w:r>
        <w:rPr>
          <w:rStyle w:val="Strong"/>
          <w:b w:val="0"/>
          <w:lang w:val="en-GB"/>
        </w:rPr>
        <w:t xml:space="preserve"> </w:t>
      </w:r>
      <w:r>
        <w:rPr>
          <w:rStyle w:val="Strong"/>
          <w:b w:val="0"/>
          <w:lang w:val="en-US"/>
        </w:rPr>
        <w:t>for</w:t>
      </w:r>
      <w:r>
        <w:rPr>
          <w:rStyle w:val="Strong"/>
          <w:b w:val="0"/>
          <w:lang w:val="en-GB"/>
        </w:rPr>
        <w:t xml:space="preserve"> </w:t>
      </w:r>
      <w:r>
        <w:rPr>
          <w:rStyle w:val="Strong"/>
          <w:b w:val="0"/>
          <w:lang w:val="en-US"/>
        </w:rPr>
        <w:t>professional</w:t>
      </w:r>
      <w:r>
        <w:rPr>
          <w:rStyle w:val="Strong"/>
          <w:b w:val="0"/>
          <w:lang w:val="en-GB"/>
        </w:rPr>
        <w:t xml:space="preserve"> </w:t>
      </w:r>
      <w:r>
        <w:rPr>
          <w:rStyle w:val="Strong"/>
          <w:b w:val="0"/>
          <w:lang w:val="en-US"/>
        </w:rPr>
        <w:t xml:space="preserve">development/support to </w:t>
      </w:r>
      <w:r>
        <w:rPr>
          <w:rStyle w:val="Strong"/>
          <w:b w:val="0"/>
          <w:lang w:val="en-GB"/>
        </w:rPr>
        <w:t xml:space="preserve">8 </w:t>
      </w:r>
      <w:r>
        <w:rPr>
          <w:rStyle w:val="Strong"/>
          <w:b w:val="0"/>
          <w:lang w:val="en-US"/>
        </w:rPr>
        <w:t>women executives of the companies “</w:t>
      </w:r>
      <w:r>
        <w:rPr>
          <w:rStyle w:val="Strong"/>
          <w:b w:val="0"/>
        </w:rPr>
        <w:t>Ε</w:t>
      </w:r>
      <w:r>
        <w:rPr>
          <w:rStyle w:val="Strong"/>
          <w:b w:val="0"/>
          <w:lang w:val="en-US"/>
        </w:rPr>
        <w:t>LG</w:t>
      </w:r>
      <w:r>
        <w:rPr>
          <w:rStyle w:val="Strong"/>
          <w:b w:val="0"/>
        </w:rPr>
        <w:t>ΕΚΑ</w:t>
      </w:r>
      <w:r>
        <w:rPr>
          <w:rStyle w:val="Strong"/>
          <w:b w:val="0"/>
          <w:lang w:val="en-US"/>
        </w:rPr>
        <w:t xml:space="preserve">” </w:t>
      </w:r>
      <w:r>
        <w:rPr>
          <w:rStyle w:val="Strong"/>
          <w:b w:val="0"/>
          <w:lang w:val="en-GB"/>
        </w:rPr>
        <w:t>and “</w:t>
      </w:r>
      <w:r>
        <w:rPr>
          <w:rStyle w:val="Strong"/>
          <w:b w:val="0"/>
        </w:rPr>
        <w:t>ΑΤΤΙΚΟ</w:t>
      </w:r>
      <w:r>
        <w:rPr>
          <w:rStyle w:val="Strong"/>
          <w:b w:val="0"/>
          <w:lang w:val="en-GB"/>
        </w:rPr>
        <w:t xml:space="preserve"> </w:t>
      </w:r>
      <w:r>
        <w:rPr>
          <w:rStyle w:val="Strong"/>
          <w:b w:val="0"/>
        </w:rPr>
        <w:t>ΜΕΤ</w:t>
      </w:r>
      <w:r>
        <w:rPr>
          <w:rStyle w:val="Strong"/>
          <w:b w:val="0"/>
          <w:lang w:val="en-US"/>
        </w:rPr>
        <w:t>R</w:t>
      </w:r>
      <w:r>
        <w:rPr>
          <w:rStyle w:val="Strong"/>
          <w:b w:val="0"/>
        </w:rPr>
        <w:t>Ο</w:t>
      </w:r>
      <w:r>
        <w:rPr>
          <w:rStyle w:val="Strong"/>
          <w:b w:val="0"/>
          <w:lang w:val="en-US"/>
        </w:rPr>
        <w:t>”</w:t>
      </w:r>
      <w:r>
        <w:rPr>
          <w:rStyle w:val="Strong"/>
          <w:b w:val="0"/>
          <w:lang w:val="en-GB"/>
        </w:rPr>
        <w:t xml:space="preserve"> and of the Municipality of Athens, for empowerment and promotion to higher pos</w:t>
      </w:r>
      <w:r>
        <w:rPr>
          <w:rStyle w:val="Strong"/>
          <w:b w:val="0"/>
          <w:lang w:val="en-GB"/>
        </w:rPr>
        <w:t>i</w:t>
      </w:r>
      <w:r>
        <w:rPr>
          <w:rStyle w:val="Strong"/>
          <w:b w:val="0"/>
          <w:lang w:val="en-GB"/>
        </w:rPr>
        <w:t>tions.</w:t>
      </w:r>
    </w:p>
    <w:p w:rsidR="00000000" w:rsidRDefault="00000000">
      <w:pPr>
        <w:pStyle w:val="SingleTxt"/>
        <w:tabs>
          <w:tab w:val="right" w:pos="1685"/>
        </w:tabs>
        <w:spacing w:after="0" w:line="120" w:lineRule="exact"/>
        <w:ind w:left="1742" w:hanging="475"/>
        <w:rPr>
          <w:rStyle w:val="Strong"/>
          <w:b w:val="0"/>
          <w:sz w:val="10"/>
          <w:lang w:val="en-GB"/>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Style w:val="Strong"/>
          <w:b/>
          <w:lang w:val="en-GB"/>
        </w:rPr>
        <w:br w:type="page"/>
      </w:r>
      <w:r>
        <w:tab/>
      </w:r>
      <w:r>
        <w:tab/>
        <w:t>Annex 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w:t>
      </w:r>
      <w:r>
        <w:t>Article</w:t>
      </w:r>
      <w:r>
        <w:rPr>
          <w:lang w:val="en-GB"/>
        </w:rPr>
        <w:t xml:space="preserv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t xml:space="preserve">Public &amp; Private Secondary Education in Greece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w:t>
      </w:r>
      <w:r>
        <w:t xml:space="preserve"> </w:t>
      </w:r>
      <w:r>
        <w:br/>
        <w:t>School Year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Public</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332 407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160 680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9 568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224 573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123 409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6 298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117 603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51 503</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36</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8 898</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2 181</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Private</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18 895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8 952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16 508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8 431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6 502</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4 069</w:t>
            </w:r>
          </w:p>
        </w:tc>
      </w:tr>
      <w:tr w:rsidR="00000000">
        <w:tblPrEx>
          <w:tblCellMar>
            <w:top w:w="0" w:type="dxa"/>
            <w:left w:w="0" w:type="dxa"/>
            <w:bottom w:w="0" w:type="dxa"/>
            <w:right w:w="0" w:type="dxa"/>
          </w:tblCellMar>
        </w:tblPrEx>
        <w:tc>
          <w:tcPr>
            <w:tcW w:w="297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659</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Source</w:t>
      </w:r>
      <w:r>
        <w:t xml:space="preserve">: Ministry of National Education and Religious Affairs, Directorate for Planning and Operational Research, Dept. of Oper. Research </w:t>
      </w:r>
      <w:r>
        <w:rPr>
          <w:lang w:val="en-US"/>
        </w:rPr>
        <w:t>&amp;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t xml:space="preserve"> </w:t>
      </w:r>
      <w:r>
        <w:br/>
        <w:t>School Year 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Public</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321 674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155 739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9 533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219 269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120 532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7 178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122 581</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53 361</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39</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11 337</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3 031</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Private</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19 054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16 814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8 502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6 236</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3 866</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580</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Source</w:t>
      </w:r>
      <w:r>
        <w:t xml:space="preserve">: Ministry of National Education and Religious Affairs, Directorate for Planning and Operational Research, Dept. of Oper. Research </w:t>
      </w:r>
      <w:r>
        <w:rPr>
          <w:lang w:val="en-US"/>
        </w:rPr>
        <w:t>&amp;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3</w:t>
      </w:r>
      <w:r>
        <w:br/>
        <w:t>School Year 2002-2003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Public</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311 871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151 057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10 301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213 617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116 940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8 014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112 314</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47 128</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41</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13 714</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3 582</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Private</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18 659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16 534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8 285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6 030</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3 823</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568</w:t>
            </w:r>
          </w:p>
        </w:tc>
        <w:tc>
          <w:tcPr>
            <w:tcW w:w="1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Source</w:t>
      </w:r>
      <w:r>
        <w:t xml:space="preserve">: Ministry of National Education and Religious Affairs, Directorate for Planning and Operational Research, Dept. of Oper. Research </w:t>
      </w:r>
      <w:r>
        <w:rPr>
          <w:lang w:val="en-US"/>
        </w:rPr>
        <w:t>&amp;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4</w:t>
      </w:r>
      <w:r>
        <w:br/>
        <w:t>School Year 2003-2004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Public</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300 734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145 668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10 235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216 557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118 079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8 262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103 518</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42 039</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15 737</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4 066</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Private</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Schools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Students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17 697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8 529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gymnasia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17 020</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8 380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Evening Integrated Lykeia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Day Technical Vocational Schools</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4 788</w:t>
            </w:r>
          </w:p>
        </w:tc>
        <w:tc>
          <w:tcPr>
            <w:tcW w:w="145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3 052</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Evening Technical Vocational Schools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553</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Source</w:t>
      </w:r>
      <w:r>
        <w:t xml:space="preserve">: Ministry of National Education and Religious Affairs, Directorate for Planning and Operational Research, Dept. of Oper. Research </w:t>
      </w:r>
      <w:r>
        <w:rPr>
          <w:lang w:val="en-US"/>
        </w:rPr>
        <w:t>&amp;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Tertiary</w:t>
      </w:r>
      <w:r>
        <w:rPr>
          <w:lang w:val="en-GB"/>
        </w:rPr>
        <w:t xml:space="preserve"> </w:t>
      </w:r>
      <w:r>
        <w:t>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5</w:t>
      </w:r>
      <w:r>
        <w:br/>
      </w:r>
      <w:r>
        <w:rPr>
          <w:lang w:val="en-US"/>
        </w:rPr>
        <w:t>General</w:t>
      </w:r>
      <w:r>
        <w:rPr>
          <w:lang w:val="en-GB"/>
        </w:rPr>
        <w:t xml:space="preserve"> </w:t>
      </w:r>
      <w:r>
        <w:rPr>
          <w:lang w:val="en-US"/>
        </w:rPr>
        <w:t>total</w:t>
      </w:r>
      <w:r>
        <w:rPr>
          <w:lang w:val="en-GB"/>
        </w:rPr>
        <w:t xml:space="preserve"> </w:t>
      </w:r>
      <w:r>
        <w:rPr>
          <w:lang w:val="en-US"/>
        </w:rPr>
        <w:t>of</w:t>
      </w:r>
      <w:r>
        <w:rPr>
          <w:lang w:val="en-GB"/>
        </w:rPr>
        <w:t xml:space="preserve"> </w:t>
      </w:r>
      <w:r>
        <w:rPr>
          <w:lang w:val="en-US"/>
        </w:rPr>
        <w:t>students</w:t>
      </w:r>
      <w:r>
        <w:rPr>
          <w:lang w:val="en-GB"/>
        </w:rPr>
        <w:t xml:space="preserve"> in Te</w:t>
      </w:r>
      <w:r>
        <w:rPr>
          <w:lang w:val="en-US"/>
        </w:rPr>
        <w:t>chnological</w:t>
      </w:r>
      <w:r>
        <w:rPr>
          <w:lang w:val="en-GB"/>
        </w:rPr>
        <w:t xml:space="preserve"> E</w:t>
      </w:r>
      <w:r>
        <w:rPr>
          <w:lang w:val="en-US"/>
        </w:rPr>
        <w:t>ducational</w:t>
      </w:r>
      <w:r>
        <w:rPr>
          <w:lang w:val="en-GB"/>
        </w:rPr>
        <w:t xml:space="preserve"> I</w:t>
      </w:r>
      <w:r>
        <w:rPr>
          <w:lang w:val="en-US"/>
        </w:rPr>
        <w:t>nstitutes</w:t>
      </w:r>
      <w:r>
        <w:rPr>
          <w:lang w:val="en-US"/>
        </w:rPr>
        <w:br/>
      </w:r>
      <w:r>
        <w:rPr>
          <w:lang w:val="en-GB"/>
        </w:rPr>
        <w:t xml:space="preserve">(T.E.I.) </w:t>
      </w:r>
      <w:r>
        <w:t>2000 - 2001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District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Branch</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enrolled students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17 250</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Epirus</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Arta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2 794</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1 391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Ioannina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1 834</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1 695</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Igoumenitsa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1 239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671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Preveza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912</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579</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Argostoli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313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178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Lixouri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0</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Crete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Herakleion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4 418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Chania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1 185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258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Rethymnon</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146</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46</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Siteia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143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109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Thessaloniki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Thessaloniki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19 379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10 761</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Kilkis</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Kilkis</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229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209</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Moudania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139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49</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Kavala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Kavala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6 793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2 767</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Drama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658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341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Kalamata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Kalamata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2 282</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Kozani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Kozani</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6 350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2 868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Florina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1 875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814</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Kastoria</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1 334</w:t>
            </w:r>
          </w:p>
        </w:tc>
        <w:tc>
          <w:tcPr>
            <w:tcW w:w="1830" w:type="dxa"/>
            <w:vAlign w:val="bottom"/>
          </w:tcPr>
          <w:p w:rsidR="00000000" w:rsidRDefault="00000000">
            <w:pPr>
              <w:tabs>
                <w:tab w:val="left" w:pos="288"/>
                <w:tab w:val="left" w:pos="576"/>
                <w:tab w:val="left" w:pos="864"/>
                <w:tab w:val="left" w:pos="1152"/>
              </w:tabs>
              <w:spacing w:before="40" w:after="40" w:line="200" w:lineRule="exact"/>
              <w:ind w:right="43"/>
              <w:jc w:val="right"/>
              <w:rPr>
                <w:sz w:val="17"/>
              </w:rPr>
            </w:pPr>
            <w:r>
              <w:rPr>
                <w:sz w:val="17"/>
              </w:rPr>
              <w:t>839</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Larissa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Larissa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6 650</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Karditsa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Lamia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Lamia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Karpenissi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Amfissa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Pireaus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Pireaus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7 804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3 029</w:t>
            </w:r>
          </w:p>
        </w:tc>
      </w:tr>
      <w:tr w:rsidR="00000000">
        <w:tblPrEx>
          <w:tblCellMar>
            <w:top w:w="0" w:type="dxa"/>
            <w:left w:w="0" w:type="dxa"/>
            <w:bottom w:w="0" w:type="dxa"/>
            <w:right w:w="0" w:type="dxa"/>
          </w:tblCellMar>
        </w:tblPrEx>
        <w:trPr>
          <w:cantSplit/>
        </w:trPr>
        <w:tc>
          <w:tcPr>
            <w:tcW w:w="3660" w:type="dxa"/>
            <w:gridSpan w:val="2"/>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830" w:type="dxa"/>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148 696</w:t>
            </w:r>
          </w:p>
        </w:tc>
        <w:tc>
          <w:tcPr>
            <w:tcW w:w="1830" w:type="dxa"/>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75 765</w:t>
            </w:r>
          </w:p>
        </w:tc>
      </w:tr>
      <w:tr w:rsidR="00000000">
        <w:tblPrEx>
          <w:tblCellMar>
            <w:top w:w="0" w:type="dxa"/>
            <w:left w:w="0" w:type="dxa"/>
            <w:bottom w:w="0" w:type="dxa"/>
            <w:right w:w="0" w:type="dxa"/>
          </w:tblCellMar>
        </w:tblPrEx>
        <w:trPr>
          <w:cantSplit/>
        </w:trPr>
        <w:tc>
          <w:tcPr>
            <w:tcW w:w="366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Asetem-Selete (School of Educators of Vocational </w:t>
            </w:r>
            <w:r>
              <w:rPr>
                <w:sz w:val="17"/>
                <w:lang w:val="en-US"/>
              </w:rPr>
              <w:t>&amp; Technical Education)</w:t>
            </w:r>
          </w:p>
        </w:tc>
        <w:tc>
          <w:tcPr>
            <w:tcW w:w="183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1 280</w:t>
            </w:r>
          </w:p>
        </w:tc>
        <w:tc>
          <w:tcPr>
            <w:tcW w:w="183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350</w:t>
            </w:r>
          </w:p>
        </w:tc>
      </w:tr>
      <w:tr w:rsidR="00000000">
        <w:tblPrEx>
          <w:tblCellMar>
            <w:top w:w="0" w:type="dxa"/>
            <w:left w:w="0" w:type="dxa"/>
            <w:bottom w:w="0" w:type="dxa"/>
            <w:right w:w="0" w:type="dxa"/>
          </w:tblCellMar>
        </w:tblPrEx>
        <w:trPr>
          <w:cantSplit/>
        </w:trPr>
        <w:tc>
          <w:tcPr>
            <w:tcW w:w="36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General 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149 976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76 115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lang w:val="en-GB"/>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Pr>
          <w:b w:val="0"/>
          <w:lang w:val="en-US"/>
        </w:rPr>
        <w:t>Table 6</w:t>
      </w:r>
      <w:r>
        <w:rPr>
          <w:lang w:val="en-US"/>
        </w:rPr>
        <w:br/>
        <w:t>General</w:t>
      </w:r>
      <w:r>
        <w:rPr>
          <w:lang w:val="en-GB"/>
        </w:rPr>
        <w:t xml:space="preserve"> </w:t>
      </w:r>
      <w:r>
        <w:rPr>
          <w:lang w:val="en-US"/>
        </w:rPr>
        <w:t>total</w:t>
      </w:r>
      <w:r>
        <w:rPr>
          <w:lang w:val="en-GB"/>
        </w:rPr>
        <w:t xml:space="preserve"> </w:t>
      </w:r>
      <w:r>
        <w:rPr>
          <w:lang w:val="en-US"/>
        </w:rPr>
        <w:t>of</w:t>
      </w:r>
      <w:r>
        <w:rPr>
          <w:lang w:val="en-GB"/>
        </w:rPr>
        <w:t xml:space="preserve"> </w:t>
      </w:r>
      <w:r>
        <w:rPr>
          <w:lang w:val="en-US"/>
        </w:rPr>
        <w:t>students</w:t>
      </w:r>
      <w:r>
        <w:rPr>
          <w:lang w:val="en-GB"/>
        </w:rPr>
        <w:t xml:space="preserve"> in T</w:t>
      </w:r>
      <w:r>
        <w:rPr>
          <w:lang w:val="en-US"/>
        </w:rPr>
        <w:t>echnological</w:t>
      </w:r>
      <w:r>
        <w:rPr>
          <w:lang w:val="en-GB"/>
        </w:rPr>
        <w:t xml:space="preserve"> E</w:t>
      </w:r>
      <w:r>
        <w:rPr>
          <w:lang w:val="en-US"/>
        </w:rPr>
        <w:t>ducational</w:t>
      </w:r>
      <w:r>
        <w:rPr>
          <w:lang w:val="en-GB"/>
        </w:rPr>
        <w:t xml:space="preserve"> I</w:t>
      </w:r>
      <w:r>
        <w:rPr>
          <w:lang w:val="en-US"/>
        </w:rPr>
        <w:t>nstitutes</w:t>
      </w:r>
      <w:r>
        <w:rPr>
          <w:lang w:val="en-US"/>
        </w:rPr>
        <w:br/>
      </w:r>
      <w:r>
        <w:rPr>
          <w:lang w:val="en-GB"/>
        </w:rPr>
        <w:t xml:space="preserve">(T.E.I.) </w:t>
      </w:r>
      <w:r>
        <w:t>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District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Branch</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enrolled students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Athens</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31 269</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18 698</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Epirus</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Arta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3 404</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1 781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Ioannina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1 960</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1 740</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Igoumenitsa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2 015</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1 180</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Preveza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1 593</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1 007</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Argostoli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455</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235</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Lixouri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317</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124</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Crete</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Herakelion</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10 373</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5 500</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Chania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1 139</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276</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Rethymnon</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140</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40</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Siteia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251</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Thessaloniki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Thessaloniki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20 563</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11 001</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Kilkis</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Kilkis</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368</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318</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Moudania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269</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90</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Kavala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Kavala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7 558</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3 034</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Drama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767</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Kalamata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Kalamata</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5 449</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0"/>
              <w:jc w:val="right"/>
              <w:rPr>
                <w:sz w:val="17"/>
              </w:rPr>
            </w:pPr>
            <w:r>
              <w:rPr>
                <w:sz w:val="17"/>
              </w:rPr>
              <w:t>3 029</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Kozani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Kozani</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7 720</w:t>
            </w:r>
          </w:p>
        </w:tc>
        <w:tc>
          <w:tcPr>
            <w:tcW w:w="1830" w:type="dxa"/>
            <w:vAlign w:val="bottom"/>
          </w:tcPr>
          <w:p w:rsidR="00000000" w:rsidRDefault="00000000">
            <w:pPr>
              <w:tabs>
                <w:tab w:val="left" w:pos="288"/>
                <w:tab w:val="left" w:pos="576"/>
                <w:tab w:val="left" w:pos="864"/>
                <w:tab w:val="left" w:pos="1152"/>
              </w:tabs>
              <w:spacing w:before="40" w:after="40" w:line="210" w:lineRule="atLeast"/>
              <w:ind w:right="43"/>
              <w:jc w:val="right"/>
              <w:rPr>
                <w:sz w:val="17"/>
              </w:rPr>
            </w:pPr>
            <w:r>
              <w:rPr>
                <w:sz w:val="17"/>
              </w:rPr>
              <w:t>3 461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Florina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2 363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1 051</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Kastoria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1 150</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Larissa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Larissa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7 507</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Karditsa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r>
      <w:tr w:rsidR="00000000">
        <w:tblPrEx>
          <w:tblCellMar>
            <w:top w:w="0" w:type="dxa"/>
            <w:left w:w="0" w:type="dxa"/>
            <w:bottom w:w="0" w:type="dxa"/>
            <w:right w:w="0" w:type="dxa"/>
          </w:tblCellMar>
        </w:tblPrEx>
        <w:trPr>
          <w:cantSplit/>
        </w:trPr>
        <w:tc>
          <w:tcPr>
            <w:tcW w:w="183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Lamia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Lamia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5 280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1 744</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Karpenissi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294</w:t>
            </w:r>
          </w:p>
        </w:tc>
      </w:tr>
      <w:tr w:rsidR="00000000">
        <w:tblPrEx>
          <w:tblCellMar>
            <w:top w:w="0" w:type="dxa"/>
            <w:left w:w="0" w:type="dxa"/>
            <w:bottom w:w="0" w:type="dxa"/>
            <w:right w:w="0" w:type="dxa"/>
          </w:tblCellMar>
        </w:tblPrEx>
        <w:trPr>
          <w:cantSplit/>
        </w:trPr>
        <w:tc>
          <w:tcPr>
            <w:tcW w:w="183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Amfissa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3 060</w:t>
            </w:r>
          </w:p>
        </w:tc>
      </w:tr>
      <w:tr w:rsidR="00000000">
        <w:tblPrEx>
          <w:tblCellMar>
            <w:top w:w="0" w:type="dxa"/>
            <w:left w:w="0" w:type="dxa"/>
            <w:bottom w:w="0" w:type="dxa"/>
            <w:right w:w="0" w:type="dxa"/>
          </w:tblCellMar>
        </w:tblPrEx>
        <w:trPr>
          <w:cantSplit/>
        </w:trPr>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171 553</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86 196</w:t>
            </w:r>
          </w:p>
        </w:tc>
      </w:tr>
      <w:tr w:rsidR="00000000">
        <w:tblPrEx>
          <w:tblCellMar>
            <w:top w:w="0" w:type="dxa"/>
            <w:left w:w="0" w:type="dxa"/>
            <w:bottom w:w="0" w:type="dxa"/>
            <w:right w:w="0" w:type="dxa"/>
          </w:tblCellMar>
        </w:tblPrEx>
        <w:trPr>
          <w:cantSplit/>
        </w:trPr>
        <w:tc>
          <w:tcPr>
            <w:tcW w:w="3660"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Asetem-Selete (School of Educators of Vocational </w:t>
            </w:r>
            <w:r>
              <w:rPr>
                <w:sz w:val="17"/>
                <w:lang w:val="en-US"/>
              </w:rPr>
              <w:t>&amp; Technical Education)</w:t>
            </w:r>
          </w:p>
        </w:tc>
        <w:tc>
          <w:tcPr>
            <w:tcW w:w="1830" w:type="dxa"/>
            <w:tcBorders>
              <w:top w:val="single" w:sz="12"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1 328</w:t>
            </w:r>
          </w:p>
        </w:tc>
        <w:tc>
          <w:tcPr>
            <w:tcW w:w="1830" w:type="dxa"/>
            <w:tcBorders>
              <w:top w:val="single" w:sz="12" w:space="0" w:color="auto"/>
              <w:bottom w:val="single" w:sz="4" w:space="0" w:color="auto"/>
            </w:tcBorders>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352</w:t>
            </w:r>
          </w:p>
        </w:tc>
      </w:tr>
      <w:tr w:rsidR="00000000">
        <w:tblPrEx>
          <w:tblCellMar>
            <w:top w:w="0" w:type="dxa"/>
            <w:left w:w="0" w:type="dxa"/>
            <w:bottom w:w="0" w:type="dxa"/>
            <w:right w:w="0" w:type="dxa"/>
          </w:tblCellMar>
        </w:tblPrEx>
        <w:trPr>
          <w:cantSplit/>
        </w:trPr>
        <w:tc>
          <w:tcPr>
            <w:tcW w:w="366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General 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172 881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86 548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color w:val="000000"/>
          <w:sz w:val="10"/>
          <w:lang w:val="en-GB"/>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SingleTxt"/>
        <w:tabs>
          <w:tab w:val="right" w:pos="1022"/>
        </w:tabs>
        <w:ind w:right="1260" w:hanging="1267"/>
        <w:jc w:val="left"/>
      </w:pPr>
      <w:r>
        <w:tab/>
      </w:r>
      <w:r>
        <w:tab/>
        <w:t>Table 7</w:t>
      </w:r>
      <w:r>
        <w:br/>
      </w:r>
      <w:r>
        <w:rPr>
          <w:b/>
          <w:spacing w:val="2"/>
        </w:rPr>
        <w:t>Number of students enrolled in universities 2000 - 2001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725"/>
        <w:gridCol w:w="1995"/>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Universities</w:t>
            </w:r>
          </w:p>
        </w:tc>
        <w:tc>
          <w:tcPr>
            <w:tcW w:w="17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enrolled students</w:t>
            </w:r>
          </w:p>
        </w:tc>
        <w:tc>
          <w:tcPr>
            <w:tcW w:w="1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and Kapodistrian University of Athens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87 207</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50 358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Technical University of Athens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10 664</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Aristotle University of Thessaloniki</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90 788</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48 635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University of Economics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21 781</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9 875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Agricultural University of Athens </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3 411</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School of Fine Arts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Panteion University of Social and Political Sciences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13 802</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8 552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Piraeus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17 625</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7 470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Macedonia</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12 194</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5 399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Patras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16 391</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Ioannina</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11 916</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7 517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Democritus University of Thrace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13 462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Crete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7 996</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4 783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 University of Crete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1 587</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The Aegean</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4 927</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Ionian University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Thessaly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3 835</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Harokopio University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Hellenic Open University</w:t>
            </w:r>
          </w:p>
        </w:tc>
        <w:tc>
          <w:tcPr>
            <w:tcW w:w="172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2 549</w:t>
            </w:r>
          </w:p>
        </w:tc>
        <w:tc>
          <w:tcPr>
            <w:tcW w:w="19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1 349</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General Total</w:t>
            </w:r>
          </w:p>
        </w:tc>
        <w:tc>
          <w:tcPr>
            <w:tcW w:w="1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323 339</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170 675</w:t>
            </w:r>
          </w:p>
        </w:tc>
      </w:tr>
    </w:tbl>
    <w:p w:rsidR="00000000" w:rsidRDefault="00000000">
      <w:pPr>
        <w:pStyle w:val="SingleTxt"/>
        <w:spacing w:after="0" w:line="120" w:lineRule="exact"/>
        <w:rPr>
          <w:i/>
          <w:color w:val="000000"/>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SingleTxt"/>
        <w:jc w:val="left"/>
        <w:rPr>
          <w:b/>
          <w:spacing w:val="2"/>
        </w:rPr>
      </w:pPr>
      <w:r>
        <w:t>Table 8</w:t>
      </w:r>
      <w:r>
        <w:br/>
      </w:r>
      <w:r>
        <w:rPr>
          <w:b/>
          <w:spacing w:val="2"/>
        </w:rPr>
        <w:t>Number of students enrolled in universities 2001 – 2002</w:t>
      </w:r>
    </w:p>
    <w:p w:rsidR="00000000" w:rsidRDefault="00000000">
      <w:pPr>
        <w:pStyle w:val="SingleTxt"/>
        <w:spacing w:after="0" w:line="120" w:lineRule="exact"/>
        <w:jc w:val="left"/>
        <w:rPr>
          <w:b/>
          <w:spacing w:val="2"/>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725"/>
        <w:gridCol w:w="1995"/>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Universities</w:t>
            </w:r>
          </w:p>
        </w:tc>
        <w:tc>
          <w:tcPr>
            <w:tcW w:w="17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No. of enrolled students</w:t>
            </w:r>
          </w:p>
        </w:tc>
        <w:tc>
          <w:tcPr>
            <w:tcW w:w="199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and Kapodistrian University of Athens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88 878</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52 965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Technical University of Athens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12 960</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Aristotle University of Thessaloniki</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74 402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39 013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University of Economics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22 635</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10 311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Agricultural University of Athens </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3 539</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School of Fine Arts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Panteion University of Social and Political Sciences</w:t>
            </w:r>
          </w:p>
        </w:tc>
        <w:tc>
          <w:tcPr>
            <w:tcW w:w="17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15 038</w:t>
            </w:r>
          </w:p>
        </w:tc>
        <w:tc>
          <w:tcPr>
            <w:tcW w:w="199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9 556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Piraeus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18 623</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7 929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Macedonia</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12 529</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Patras</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18 442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7 662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Ioannina</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12 196</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Democritus University of Thrace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15 992</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9 217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Crete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8 655</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5 182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 University of Crete</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1 701</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The Aegean</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6 243</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Ionian University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1 667</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of Thessaly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5 121</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Harokopio University</w:t>
            </w:r>
          </w:p>
        </w:tc>
        <w:tc>
          <w:tcPr>
            <w:tcW w:w="17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Hellenic Open University</w:t>
            </w:r>
          </w:p>
        </w:tc>
        <w:tc>
          <w:tcPr>
            <w:tcW w:w="172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4 913</w:t>
            </w:r>
          </w:p>
        </w:tc>
        <w:tc>
          <w:tcPr>
            <w:tcW w:w="199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2 750</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General Total</w:t>
            </w:r>
          </w:p>
        </w:tc>
        <w:tc>
          <w:tcPr>
            <w:tcW w:w="17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325 001</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172 525</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lang w:val="en-US"/>
        </w:rPr>
        <w:t>Additional</w:t>
      </w:r>
      <w:r>
        <w:t xml:space="preserve"> </w:t>
      </w:r>
      <w:r>
        <w:rPr>
          <w:lang w:val="en-US"/>
        </w:rPr>
        <w:t>Teaching Support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lang w:val="en-US"/>
        </w:rPr>
        <w:t>Additional</w:t>
      </w:r>
      <w:r>
        <w:rPr>
          <w:lang w:val="en-GB"/>
        </w:rPr>
        <w:t xml:space="preserve"> </w:t>
      </w:r>
      <w:r>
        <w:rPr>
          <w:lang w:val="en-US"/>
        </w:rPr>
        <w:t>Teaching Support of Students of Integrated Lykeia</w:t>
      </w:r>
      <w:r>
        <w:rPr>
          <w:lang w:val="en-GB"/>
        </w:rPr>
        <w:t xml:space="preserve"> </w:t>
      </w:r>
      <w:r>
        <w:rPr>
          <w:lang w:val="en-US"/>
        </w:rPr>
        <w:t>&amp;Technical </w:t>
      </w:r>
      <w:r>
        <w:rPr>
          <w:lang w:val="en-GB"/>
        </w:rPr>
        <w:t>Vocational Schools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School 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43 564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99 527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45 295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100 597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2003-2004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50 702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61 211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111 913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Teaching Personnel</w:t>
      </w:r>
    </w:p>
    <w:p w:rsidR="00000000" w:rsidRDefault="00000000">
      <w:pPr>
        <w:keepNext/>
        <w:keepLines/>
        <w:spacing w:line="120" w:lineRule="exact"/>
        <w:rPr>
          <w:sz w:val="10"/>
        </w:rPr>
      </w:pPr>
    </w:p>
    <w:p w:rsidR="00000000" w:rsidRDefault="00000000">
      <w:pPr>
        <w:keepNext/>
        <w:keepLines/>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Teaching Personnel</w:t>
      </w:r>
      <w:r>
        <w:rPr>
          <w:lang w:val="en-GB"/>
        </w:rPr>
        <w:t xml:space="preserve"> </w:t>
      </w:r>
      <w:r>
        <w:t>in Elementary and Secondary Education</w:t>
      </w:r>
    </w:p>
    <w:p w:rsidR="00000000" w:rsidRDefault="00000000">
      <w:pPr>
        <w:pStyle w:val="SingleTxt"/>
        <w:keepNext/>
        <w:keepLines/>
        <w:spacing w:after="0" w:line="120" w:lineRule="exact"/>
        <w:rPr>
          <w:sz w:val="10"/>
        </w:rPr>
      </w:pPr>
    </w:p>
    <w:p w:rsidR="00000000" w:rsidRDefault="00000000">
      <w:pPr>
        <w:pStyle w:val="SingleTxt"/>
        <w:keepNext/>
        <w:keepLines/>
        <w:rPr>
          <w:lang w:val="en-GB"/>
        </w:rPr>
      </w:pPr>
      <w:r>
        <w:rPr>
          <w:lang w:val="en-US"/>
        </w:rPr>
        <w:tab/>
        <w:t>The vast majority of teachers in pre-school education are women</w:t>
      </w:r>
      <w:r>
        <w:rPr>
          <w:lang w:val="en-GB"/>
        </w:rPr>
        <w:t>. In recent years, a small increase of the number of men kindergarten teachers has been noticed.</w:t>
      </w:r>
    </w:p>
    <w:p w:rsidR="00000000" w:rsidRDefault="00000000">
      <w:pPr>
        <w:pStyle w:val="SingleTxt"/>
        <w:rPr>
          <w:lang w:val="en-GB"/>
        </w:rPr>
      </w:pPr>
      <w:r>
        <w:rPr>
          <w:lang w:val="en-US"/>
        </w:rPr>
        <w:tab/>
        <w:t>The</w:t>
      </w:r>
      <w:r>
        <w:rPr>
          <w:lang w:val="en-GB"/>
        </w:rPr>
        <w:t xml:space="preserve"> </w:t>
      </w:r>
      <w:r>
        <w:rPr>
          <w:lang w:val="en-US"/>
        </w:rPr>
        <w:t>total</w:t>
      </w:r>
      <w:r>
        <w:rPr>
          <w:lang w:val="en-GB"/>
        </w:rPr>
        <w:t xml:space="preserve"> </w:t>
      </w:r>
      <w:r>
        <w:rPr>
          <w:lang w:val="en-US"/>
        </w:rPr>
        <w:t>number</w:t>
      </w:r>
      <w:r>
        <w:rPr>
          <w:lang w:val="en-GB"/>
        </w:rPr>
        <w:t xml:space="preserve"> </w:t>
      </w:r>
      <w:r>
        <w:rPr>
          <w:lang w:val="en-US"/>
        </w:rPr>
        <w:t>of</w:t>
      </w:r>
      <w:r>
        <w:rPr>
          <w:lang w:val="en-GB"/>
        </w:rPr>
        <w:t xml:space="preserve"> </w:t>
      </w:r>
      <w:r>
        <w:rPr>
          <w:lang w:val="en-US"/>
        </w:rPr>
        <w:t>teaching</w:t>
      </w:r>
      <w:r>
        <w:rPr>
          <w:lang w:val="en-GB"/>
        </w:rPr>
        <w:t xml:space="preserve"> </w:t>
      </w:r>
      <w:r>
        <w:rPr>
          <w:lang w:val="en-US"/>
        </w:rPr>
        <w:t>personnel</w:t>
      </w:r>
      <w:r>
        <w:rPr>
          <w:lang w:val="en-GB"/>
        </w:rPr>
        <w:t xml:space="preserve"> </w:t>
      </w:r>
      <w:r>
        <w:rPr>
          <w:lang w:val="en-US"/>
        </w:rPr>
        <w:t>and</w:t>
      </w:r>
      <w:r>
        <w:rPr>
          <w:lang w:val="en-GB"/>
        </w:rPr>
        <w:t xml:space="preserve"> </w:t>
      </w:r>
      <w:r>
        <w:rPr>
          <w:lang w:val="en-US"/>
        </w:rPr>
        <w:t>the number of women teaching at</w:t>
      </w:r>
      <w:r>
        <w:rPr>
          <w:lang w:val="en-GB"/>
        </w:rPr>
        <w:t xml:space="preserve"> </w:t>
      </w:r>
      <w:r>
        <w:rPr>
          <w:lang w:val="en-US"/>
        </w:rPr>
        <w:t>Kindergartens</w:t>
      </w:r>
      <w:r>
        <w:rPr>
          <w:lang w:val="en-GB"/>
        </w:rPr>
        <w:t xml:space="preserve"> </w:t>
      </w:r>
      <w:r>
        <w:rPr>
          <w:lang w:val="en-US"/>
        </w:rPr>
        <w:t>and Elementary Schools of the country</w:t>
      </w:r>
      <w:r>
        <w:rPr>
          <w:lang w:val="en-GB"/>
        </w:rPr>
        <w:t xml:space="preserve"> </w:t>
      </w:r>
      <w:r>
        <w:rPr>
          <w:lang w:val="en-US"/>
        </w:rPr>
        <w:t xml:space="preserve">during years </w:t>
      </w:r>
      <w:r>
        <w:rPr>
          <w:lang w:val="en-GB"/>
        </w:rPr>
        <w:t xml:space="preserve">2000-2004 </w:t>
      </w:r>
      <w:r>
        <w:rPr>
          <w:lang w:val="en-US"/>
        </w:rPr>
        <w:t>are as follows</w:t>
      </w:r>
      <w:r>
        <w:rPr>
          <w:lang w:val="en-GB"/>
        </w:rPr>
        <w:t>:</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 10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30"/>
        <w:gridCol w:w="930"/>
        <w:gridCol w:w="930"/>
        <w:gridCol w:w="75"/>
        <w:gridCol w:w="915"/>
        <w:gridCol w:w="915"/>
        <w:gridCol w:w="915"/>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7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Kindergartens</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Elementary Schools</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School year</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 women</w:t>
            </w:r>
          </w:p>
        </w:tc>
        <w:tc>
          <w:tcPr>
            <w:tcW w:w="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1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 women</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10 139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50 012</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28 419</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20001-2002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10 295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10 239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51 606</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30 431</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10 747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10 685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54 599</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33 012</w:t>
            </w:r>
          </w:p>
        </w:tc>
        <w:tc>
          <w:tcPr>
            <w:tcW w:w="9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2003-2004</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10 992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10 922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99,4</w:t>
            </w:r>
          </w:p>
        </w:tc>
        <w:tc>
          <w:tcPr>
            <w:tcW w:w="7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54 131</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33 196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61,3</w:t>
            </w:r>
          </w:p>
        </w:tc>
      </w:tr>
    </w:tbl>
    <w:p w:rsidR="00000000" w:rsidRDefault="00000000">
      <w:pPr>
        <w:pStyle w:val="SingleTxt"/>
        <w:spacing w:after="0" w:line="120" w:lineRule="exact"/>
        <w:rPr>
          <w:i/>
          <w:color w:val="000000"/>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 11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945"/>
        <w:gridCol w:w="945"/>
        <w:gridCol w:w="90"/>
        <w:gridCol w:w="945"/>
        <w:gridCol w:w="945"/>
        <w:gridCol w:w="90"/>
        <w:gridCol w:w="958"/>
        <w:gridCol w:w="959"/>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Gymnasia</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Lykeia</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Technical Vocational Schools</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School Year</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Man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5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24 212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13 434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11 607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7 843</w:t>
            </w:r>
          </w:p>
        </w:tc>
        <w:tc>
          <w:tcPr>
            <w:tcW w:w="9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9 616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24 630</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13 704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11 845</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8 294</w:t>
            </w:r>
          </w:p>
        </w:tc>
        <w:tc>
          <w:tcPr>
            <w:tcW w:w="9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10 176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25 308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11 967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12 099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8 426</w:t>
            </w:r>
          </w:p>
        </w:tc>
        <w:tc>
          <w:tcPr>
            <w:tcW w:w="9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10 370</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2003-2004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26 029</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14 444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12 182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12 395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5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8 486</w:t>
            </w:r>
          </w:p>
        </w:tc>
        <w:tc>
          <w:tcPr>
            <w:tcW w:w="95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10 312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caps/>
        </w:rPr>
        <w:tab/>
      </w:r>
      <w:r>
        <w:rPr>
          <w:caps/>
        </w:rPr>
        <w:tab/>
        <w:t>T</w:t>
      </w:r>
      <w:r>
        <w:t>eaching</w:t>
      </w:r>
      <w:r>
        <w:rPr>
          <w:lang w:val="en-GB"/>
        </w:rPr>
        <w:t xml:space="preserve"> </w:t>
      </w:r>
      <w:r>
        <w:t>personnel in Tertiary Education</w:t>
      </w:r>
    </w:p>
    <w:p w:rsidR="00000000" w:rsidRDefault="00000000">
      <w:pPr>
        <w:pStyle w:val="SingleTxt"/>
        <w:spacing w:after="0" w:line="120" w:lineRule="exact"/>
        <w:rPr>
          <w:sz w:val="10"/>
          <w:lang w:val="en-GB"/>
        </w:rPr>
      </w:pPr>
    </w:p>
    <w:p w:rsidR="00000000" w:rsidRDefault="00000000">
      <w:pPr>
        <w:pStyle w:val="SingleTxt"/>
        <w:rPr>
          <w:lang w:val="en-GB"/>
        </w:rPr>
      </w:pPr>
      <w:r>
        <w:tab/>
        <w:t>The participation of women in tertiary education has increased in the last five years</w:t>
      </w:r>
      <w:r>
        <w:rPr>
          <w:lang w:val="en-GB"/>
        </w:rPr>
        <w:t xml:space="preserve">. Women </w:t>
      </w:r>
      <w:r>
        <w:t>usually staff</w:t>
      </w:r>
      <w:r>
        <w:rPr>
          <w:lang w:val="en-GB"/>
        </w:rPr>
        <w:t xml:space="preserve"> </w:t>
      </w:r>
      <w:r>
        <w:t>lower levels</w:t>
      </w:r>
      <w:r>
        <w:rPr>
          <w:lang w:val="en-GB"/>
        </w:rPr>
        <w:t xml:space="preserve"> </w:t>
      </w:r>
      <w:r>
        <w:t>and</w:t>
      </w:r>
      <w:r>
        <w:rPr>
          <w:lang w:val="en-GB"/>
        </w:rPr>
        <w:t xml:space="preserve"> </w:t>
      </w:r>
      <w:r>
        <w:t>are promoted at a slower pace than men</w:t>
      </w:r>
      <w:r>
        <w:rPr>
          <w:lang w:val="en-GB"/>
        </w:rPr>
        <w:t xml:space="preserve">. The tables that follow </w:t>
      </w:r>
      <w:r>
        <w:t>show</w:t>
      </w:r>
      <w:r>
        <w:rPr>
          <w:lang w:val="en-GB"/>
        </w:rPr>
        <w:t xml:space="preserve"> </w:t>
      </w:r>
      <w:r>
        <w:t>the</w:t>
      </w:r>
      <w:r>
        <w:rPr>
          <w:lang w:val="en-GB"/>
        </w:rPr>
        <w:t xml:space="preserve"> </w:t>
      </w:r>
      <w:r>
        <w:t>distribution of teaching personnel in tertiary education</w:t>
      </w:r>
      <w:r>
        <w:rPr>
          <w:lang w:val="en-GB"/>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br w:type="page"/>
      </w:r>
      <w:r>
        <w:rPr>
          <w:lang w:val="en-GB"/>
        </w:rPr>
        <w:tab/>
      </w:r>
      <w:r>
        <w:rPr>
          <w:lang w:val="en-GB"/>
        </w:rPr>
        <w:tab/>
      </w:r>
      <w:r>
        <w:rPr>
          <w:b w:val="0"/>
          <w:lang w:val="en-GB"/>
        </w:rPr>
        <w:t>Table 12</w:t>
      </w:r>
      <w:r>
        <w:rPr>
          <w:lang w:val="en-GB"/>
        </w:rPr>
        <w:br/>
      </w:r>
      <w:r>
        <w:t>General total of teaching personnel</w:t>
      </w:r>
      <w:r>
        <w:rPr>
          <w:lang w:val="en-GB"/>
        </w:rPr>
        <w:t xml:space="preserve"> in Technological Educational Institutes (T.E.I.)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350"/>
        <w:gridCol w:w="90"/>
        <w:gridCol w:w="990"/>
        <w:gridCol w:w="990"/>
        <w:gridCol w:w="90"/>
        <w:gridCol w:w="855"/>
        <w:gridCol w:w="855"/>
        <w:gridCol w:w="90"/>
        <w:gridCol w:w="826"/>
        <w:gridCol w:w="826"/>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Permanent Teaching Personnel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Dismissible Teaching Personnel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General Total Permanent-Dismissible Personnel</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District</w:t>
            </w:r>
          </w:p>
        </w:tc>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Branch</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5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5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2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2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1 631</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Epirus</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Arta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246</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94</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Ioannina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173</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193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139</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Igoumenitsa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59</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122</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62</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Preveza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41</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47</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22</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Argostoli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22</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Lixouri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Crete</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Herakleion</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194</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615</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305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809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363</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Chania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44</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109</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47</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Rethymnon</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14</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16</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Siteia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17</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Thessaloniki</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Thessaloniki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418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726</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381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1 144</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531</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Kilkis</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Kilkis</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19</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Moudania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14</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14</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Kavala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Kavala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 xml:space="preserve">75 </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270</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345</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Drama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36</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51</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Kalamata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Kalamata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168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63</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Kozani</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Kozani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 xml:space="preserve">16 </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298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 xml:space="preserve">80 </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369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96</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Florina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 xml:space="preserve">29 </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25</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Kastoria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25</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Larissa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Larissa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215</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482</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213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697</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261</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Karditsa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55</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73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24</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Lamia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Lamia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275</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161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323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165</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Karpenissi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24</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11</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Amfissa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41</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42</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rPr>
          <w:cantSplit/>
        </w:trPr>
        <w:tc>
          <w:tcPr>
            <w:tcW w:w="29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rPr>
                <w:b/>
                <w:sz w:val="17"/>
              </w:rPr>
            </w:pPr>
            <w:r>
              <w:rPr>
                <w:b/>
                <w:sz w:val="17"/>
              </w:rPr>
              <w:tab/>
              <w:t>Total</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2 566</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838</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6 507</w:t>
            </w:r>
          </w:p>
        </w:tc>
        <w:tc>
          <w:tcPr>
            <w:tcW w:w="8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2 863</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9 073</w:t>
            </w:r>
          </w:p>
        </w:tc>
        <w:tc>
          <w:tcPr>
            <w:tcW w:w="8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3 701</w:t>
            </w:r>
          </w:p>
        </w:tc>
      </w:tr>
      <w:tr w:rsidR="00000000">
        <w:tblPrEx>
          <w:tblCellMar>
            <w:top w:w="0" w:type="dxa"/>
            <w:left w:w="0" w:type="dxa"/>
            <w:bottom w:w="0" w:type="dxa"/>
            <w:right w:w="0" w:type="dxa"/>
          </w:tblCellMar>
        </w:tblPrEx>
        <w:trPr>
          <w:cantSplit/>
        </w:trPr>
        <w:tc>
          <w:tcPr>
            <w:tcW w:w="2970" w:type="dxa"/>
            <w:gridSpan w:val="2"/>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 xml:space="preserve">Asetem-Selete (School of Educators of Vocational </w:t>
            </w:r>
            <w:r>
              <w:rPr>
                <w:sz w:val="17"/>
                <w:lang w:val="en-US"/>
              </w:rPr>
              <w:t>&amp; Technical Education)</w:t>
            </w:r>
          </w:p>
        </w:tc>
        <w:tc>
          <w:tcPr>
            <w:tcW w:w="90" w:type="dxa"/>
            <w:vAlign w:val="bottom"/>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990"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25</w:t>
            </w:r>
          </w:p>
        </w:tc>
        <w:tc>
          <w:tcPr>
            <w:tcW w:w="990"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1</w:t>
            </w:r>
          </w:p>
        </w:tc>
        <w:tc>
          <w:tcPr>
            <w:tcW w:w="90" w:type="dxa"/>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855"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111</w:t>
            </w:r>
          </w:p>
        </w:tc>
        <w:tc>
          <w:tcPr>
            <w:tcW w:w="855"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27</w:t>
            </w:r>
          </w:p>
        </w:tc>
        <w:tc>
          <w:tcPr>
            <w:tcW w:w="90" w:type="dxa"/>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826"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136</w:t>
            </w:r>
          </w:p>
        </w:tc>
        <w:tc>
          <w:tcPr>
            <w:tcW w:w="826"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28</w:t>
            </w:r>
          </w:p>
        </w:tc>
      </w:tr>
      <w:tr w:rsidR="00000000">
        <w:tblPrEx>
          <w:tblCellMar>
            <w:top w:w="0" w:type="dxa"/>
            <w:left w:w="0" w:type="dxa"/>
            <w:bottom w:w="0" w:type="dxa"/>
            <w:right w:w="0" w:type="dxa"/>
          </w:tblCellMar>
        </w:tblPrEx>
        <w:trPr>
          <w:cantSplit/>
        </w:trPr>
        <w:tc>
          <w:tcPr>
            <w:tcW w:w="297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rPr>
                <w:b/>
                <w:sz w:val="17"/>
              </w:rPr>
            </w:pPr>
            <w:r>
              <w:rPr>
                <w:b/>
                <w:sz w:val="17"/>
              </w:rPr>
              <w:tab/>
              <w:t>General Total</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2 591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839</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6 618</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2 890</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9 209</w:t>
            </w:r>
          </w:p>
        </w:tc>
        <w:tc>
          <w:tcPr>
            <w:tcW w:w="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3 729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color w:val="000000"/>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Pr>
          <w:b w:val="0"/>
          <w:lang w:val="en-GB"/>
        </w:rPr>
        <w:t>Table 13</w:t>
      </w:r>
      <w:r>
        <w:rPr>
          <w:lang w:val="en-GB"/>
        </w:rPr>
        <w:br/>
      </w:r>
      <w:r>
        <w:t>General total of teaching personnel</w:t>
      </w:r>
      <w:r>
        <w:rPr>
          <w:lang w:val="en-GB"/>
        </w:rPr>
        <w:t xml:space="preserve"> in Technological Educational Institutes (T.E.I.) 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350"/>
        <w:gridCol w:w="90"/>
        <w:gridCol w:w="990"/>
        <w:gridCol w:w="990"/>
        <w:gridCol w:w="90"/>
        <w:gridCol w:w="855"/>
        <w:gridCol w:w="855"/>
        <w:gridCol w:w="90"/>
        <w:gridCol w:w="826"/>
        <w:gridCol w:w="826"/>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Permanent Teaching Personnel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Dismissible Teaching Personnel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General Total Permanent-Dismissible Personnel</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District</w:t>
            </w:r>
          </w:p>
        </w:tc>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Branch</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5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5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2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2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Epirus</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Arta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43</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310</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353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137</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Ioannina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217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181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232</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185</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Igoumenitsa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101</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59</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121</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64</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Preveza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89</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97</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43</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Argostoli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40</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42</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21</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Lixouri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30</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Crete</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Heracleion</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171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718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349</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889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400</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Chania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111</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26</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129</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28</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Rethymnon</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30</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Siteia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24</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24</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Thessaloniki</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Thessaloniki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425</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723</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374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1 148</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512</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Kilkis</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Kilkis</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30</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14</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Moudania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23</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Kavala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Kavala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68</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277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345</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Drama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51</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Kalamata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Kalamata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33</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257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290</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74</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Kozani</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Kozani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74</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361</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120</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435</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137</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Florina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83</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102</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33</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Kastoria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72</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78</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r>
              <w:rPr>
                <w:sz w:val="17"/>
              </w:rPr>
              <w:t>39</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Larissa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Larissa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222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613</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269</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835</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312</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Karditsa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92</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37</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111</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41</w:t>
            </w:r>
          </w:p>
        </w:tc>
      </w:tr>
      <w:tr w:rsidR="00000000">
        <w:tblPrEx>
          <w:tblCellMar>
            <w:top w:w="0" w:type="dxa"/>
            <w:left w:w="0" w:type="dxa"/>
            <w:bottom w:w="0" w:type="dxa"/>
            <w:right w:w="0" w:type="dxa"/>
          </w:tblCellMar>
        </w:tblPrEx>
        <w:trPr>
          <w:cantSplit/>
        </w:trPr>
        <w:tc>
          <w:tcPr>
            <w:tcW w:w="1620" w:type="dxa"/>
            <w:vMerge w:val="restart"/>
            <w:vAlign w:val="center"/>
          </w:tcPr>
          <w:p w:rsidR="00000000" w:rsidRDefault="00000000">
            <w:pPr>
              <w:tabs>
                <w:tab w:val="left" w:pos="288"/>
                <w:tab w:val="left" w:pos="576"/>
                <w:tab w:val="left" w:pos="864"/>
                <w:tab w:val="left" w:pos="1152"/>
              </w:tabs>
              <w:spacing w:before="40" w:after="40" w:line="200" w:lineRule="atLeast"/>
              <w:ind w:right="40"/>
              <w:rPr>
                <w:sz w:val="17"/>
              </w:rPr>
            </w:pPr>
            <w:r>
              <w:rPr>
                <w:sz w:val="17"/>
              </w:rPr>
              <w:t>Lamia</w:t>
            </w: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Lamia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5</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358</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182</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400</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187</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Karpenissi</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3</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47</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56</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19</w:t>
            </w:r>
          </w:p>
        </w:tc>
      </w:tr>
      <w:tr w:rsidR="00000000">
        <w:tblPrEx>
          <w:tblCellMar>
            <w:top w:w="0" w:type="dxa"/>
            <w:left w:w="0" w:type="dxa"/>
            <w:bottom w:w="0" w:type="dxa"/>
            <w:right w:w="0" w:type="dxa"/>
          </w:tblCellMar>
        </w:tblPrEx>
        <w:trPr>
          <w:cantSplit/>
        </w:trPr>
        <w:tc>
          <w:tcPr>
            <w:tcW w:w="1620" w:type="dxa"/>
            <w:vMerge/>
            <w:vAlign w:val="bottom"/>
          </w:tcPr>
          <w:p w:rsidR="00000000" w:rsidRDefault="00000000">
            <w:pPr>
              <w:tabs>
                <w:tab w:val="left" w:pos="288"/>
                <w:tab w:val="left" w:pos="576"/>
                <w:tab w:val="left" w:pos="864"/>
                <w:tab w:val="left" w:pos="1152"/>
              </w:tabs>
              <w:spacing w:before="40" w:after="40" w:line="200" w:lineRule="atLeast"/>
              <w:ind w:right="40"/>
              <w:rPr>
                <w:sz w:val="17"/>
              </w:rPr>
            </w:pPr>
          </w:p>
        </w:tc>
        <w:tc>
          <w:tcPr>
            <w:tcW w:w="1350" w:type="dxa"/>
            <w:vAlign w:val="bottom"/>
          </w:tcPr>
          <w:p w:rsidR="00000000" w:rsidRDefault="00000000">
            <w:pPr>
              <w:tabs>
                <w:tab w:val="left" w:pos="288"/>
                <w:tab w:val="left" w:pos="576"/>
                <w:tab w:val="left" w:pos="864"/>
                <w:tab w:val="left" w:pos="1152"/>
              </w:tabs>
              <w:spacing w:before="40" w:after="40" w:line="200" w:lineRule="atLeast"/>
              <w:ind w:right="40"/>
              <w:rPr>
                <w:sz w:val="17"/>
              </w:rPr>
            </w:pPr>
            <w:r>
              <w:rPr>
                <w:sz w:val="17"/>
              </w:rPr>
              <w:t>Amfissa</w:t>
            </w:r>
          </w:p>
        </w:tc>
        <w:tc>
          <w:tcPr>
            <w:tcW w:w="90" w:type="dxa"/>
            <w:vAlign w:val="bottom"/>
          </w:tcPr>
          <w:p w:rsidR="00000000" w:rsidRDefault="00000000">
            <w:pPr>
              <w:tabs>
                <w:tab w:val="left" w:pos="288"/>
                <w:tab w:val="left" w:pos="576"/>
                <w:tab w:val="left" w:pos="864"/>
                <w:tab w:val="left" w:pos="1152"/>
              </w:tabs>
              <w:spacing w:before="40" w:after="40" w:line="200" w:lineRule="atLeas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62</w:t>
            </w:r>
          </w:p>
        </w:tc>
        <w:tc>
          <w:tcPr>
            <w:tcW w:w="855"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21</w:t>
            </w:r>
          </w:p>
        </w:tc>
        <w:tc>
          <w:tcPr>
            <w:tcW w:w="90"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64</w:t>
            </w:r>
          </w:p>
        </w:tc>
        <w:tc>
          <w:tcPr>
            <w:tcW w:w="826" w:type="dxa"/>
            <w:vAlign w:val="bottom"/>
          </w:tcPr>
          <w:p w:rsidR="00000000" w:rsidRDefault="00000000">
            <w:pPr>
              <w:tabs>
                <w:tab w:val="left" w:pos="288"/>
                <w:tab w:val="left" w:pos="576"/>
                <w:tab w:val="left" w:pos="864"/>
                <w:tab w:val="left" w:pos="1152"/>
              </w:tabs>
              <w:spacing w:before="40" w:after="40" w:line="200" w:lineRule="atLeast"/>
              <w:ind w:right="43"/>
              <w:jc w:val="right"/>
              <w:rPr>
                <w:sz w:val="17"/>
              </w:rPr>
            </w:pPr>
            <w:r>
              <w:rPr>
                <w:sz w:val="17"/>
              </w:rPr>
              <w:t>22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Messolonghi</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Patra</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Piraeus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Serres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Chalkida</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8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8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rPr>
          <w:cantSplit/>
        </w:trPr>
        <w:tc>
          <w:tcPr>
            <w:tcW w:w="29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rPr>
                <w:b/>
                <w:sz w:val="17"/>
              </w:rPr>
            </w:pPr>
            <w:r>
              <w:rPr>
                <w:b/>
                <w:sz w:val="17"/>
              </w:rPr>
              <w:tab/>
              <w:t>Total</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2 448</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790</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7 808</w:t>
            </w:r>
          </w:p>
        </w:tc>
        <w:tc>
          <w:tcPr>
            <w:tcW w:w="8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3 250</w:t>
            </w:r>
          </w:p>
        </w:tc>
        <w:tc>
          <w:tcPr>
            <w:tcW w:w="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10 256</w:t>
            </w:r>
          </w:p>
        </w:tc>
        <w:tc>
          <w:tcPr>
            <w:tcW w:w="8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4 040</w:t>
            </w:r>
          </w:p>
        </w:tc>
      </w:tr>
      <w:tr w:rsidR="00000000">
        <w:tblPrEx>
          <w:tblCellMar>
            <w:top w:w="0" w:type="dxa"/>
            <w:left w:w="0" w:type="dxa"/>
            <w:bottom w:w="0" w:type="dxa"/>
            <w:right w:w="0" w:type="dxa"/>
          </w:tblCellMar>
        </w:tblPrEx>
        <w:trPr>
          <w:cantSplit/>
        </w:trPr>
        <w:tc>
          <w:tcPr>
            <w:tcW w:w="2970" w:type="dxa"/>
            <w:gridSpan w:val="2"/>
            <w:vAlign w:val="bottom"/>
          </w:tcPr>
          <w:p w:rsidR="00000000" w:rsidRDefault="00000000">
            <w:pPr>
              <w:tabs>
                <w:tab w:val="left" w:pos="288"/>
                <w:tab w:val="left" w:pos="576"/>
                <w:tab w:val="left" w:pos="864"/>
                <w:tab w:val="left" w:pos="1152"/>
              </w:tabs>
              <w:spacing w:before="40" w:after="40" w:line="200" w:lineRule="exact"/>
              <w:ind w:right="43"/>
              <w:rPr>
                <w:sz w:val="17"/>
              </w:rPr>
            </w:pPr>
            <w:r>
              <w:rPr>
                <w:sz w:val="17"/>
              </w:rPr>
              <w:t xml:space="preserve">Asetem-Selete (School of Educators of Vocational </w:t>
            </w:r>
            <w:r>
              <w:rPr>
                <w:sz w:val="17"/>
                <w:lang w:val="en-US"/>
              </w:rPr>
              <w:t>&amp; Technical Education)</w:t>
            </w:r>
          </w:p>
        </w:tc>
        <w:tc>
          <w:tcPr>
            <w:tcW w:w="90" w:type="dxa"/>
            <w:vAlign w:val="bottom"/>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990"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39</w:t>
            </w:r>
          </w:p>
        </w:tc>
        <w:tc>
          <w:tcPr>
            <w:tcW w:w="990"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9</w:t>
            </w:r>
          </w:p>
        </w:tc>
        <w:tc>
          <w:tcPr>
            <w:tcW w:w="90" w:type="dxa"/>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855"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111</w:t>
            </w:r>
          </w:p>
        </w:tc>
        <w:tc>
          <w:tcPr>
            <w:tcW w:w="855"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27</w:t>
            </w:r>
          </w:p>
        </w:tc>
        <w:tc>
          <w:tcPr>
            <w:tcW w:w="90" w:type="dxa"/>
          </w:tcPr>
          <w:p w:rsidR="00000000" w:rsidRDefault="00000000">
            <w:pPr>
              <w:tabs>
                <w:tab w:val="left" w:pos="288"/>
                <w:tab w:val="left" w:pos="576"/>
                <w:tab w:val="left" w:pos="864"/>
                <w:tab w:val="left" w:pos="1152"/>
              </w:tabs>
              <w:spacing w:before="81" w:after="81" w:line="200" w:lineRule="exact"/>
              <w:ind w:right="40"/>
              <w:jc w:val="right"/>
              <w:rPr>
                <w:sz w:val="17"/>
              </w:rPr>
            </w:pPr>
          </w:p>
        </w:tc>
        <w:tc>
          <w:tcPr>
            <w:tcW w:w="826"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150</w:t>
            </w:r>
          </w:p>
        </w:tc>
        <w:tc>
          <w:tcPr>
            <w:tcW w:w="826" w:type="dxa"/>
          </w:tcPr>
          <w:p w:rsidR="00000000" w:rsidRDefault="00000000">
            <w:pPr>
              <w:tabs>
                <w:tab w:val="left" w:pos="288"/>
                <w:tab w:val="left" w:pos="576"/>
                <w:tab w:val="left" w:pos="864"/>
                <w:tab w:val="left" w:pos="1152"/>
              </w:tabs>
              <w:spacing w:before="81" w:after="81" w:line="200" w:lineRule="exact"/>
              <w:ind w:right="40"/>
              <w:jc w:val="right"/>
              <w:rPr>
                <w:sz w:val="17"/>
              </w:rPr>
            </w:pPr>
            <w:r>
              <w:rPr>
                <w:sz w:val="17"/>
              </w:rPr>
              <w:t>36</w:t>
            </w:r>
          </w:p>
        </w:tc>
      </w:tr>
      <w:tr w:rsidR="00000000">
        <w:tblPrEx>
          <w:tblCellMar>
            <w:top w:w="0" w:type="dxa"/>
            <w:left w:w="0" w:type="dxa"/>
            <w:bottom w:w="0" w:type="dxa"/>
            <w:right w:w="0" w:type="dxa"/>
          </w:tblCellMar>
        </w:tblPrEx>
        <w:trPr>
          <w:cantSplit/>
        </w:trPr>
        <w:tc>
          <w:tcPr>
            <w:tcW w:w="297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rPr>
                <w:b/>
                <w:sz w:val="17"/>
              </w:rPr>
            </w:pPr>
            <w:r>
              <w:rPr>
                <w:b/>
                <w:sz w:val="17"/>
              </w:rPr>
              <w:tab/>
              <w:t>General Total</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2 487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799</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7 919</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3 277</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p>
        </w:tc>
        <w:tc>
          <w:tcPr>
            <w:tcW w:w="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10 406</w:t>
            </w:r>
          </w:p>
        </w:tc>
        <w:tc>
          <w:tcPr>
            <w:tcW w:w="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jc w:val="right"/>
              <w:rPr>
                <w:b/>
                <w:sz w:val="17"/>
              </w:rPr>
            </w:pPr>
            <w:r>
              <w:rPr>
                <w:b/>
                <w:sz w:val="17"/>
              </w:rPr>
              <w:t>4 076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color w:val="000000"/>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Pr>
          <w:b w:val="0"/>
          <w:lang w:val="en-US"/>
        </w:rPr>
        <w:t>Table 14</w:t>
      </w:r>
      <w:r>
        <w:rPr>
          <w:lang w:val="en-US"/>
        </w:rPr>
        <w:br/>
        <w:t>General total teaching personnel per University ( Teaching Scientific Personnel + Permanent + On Service + On Contract + Detached)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05"/>
        <w:gridCol w:w="1905"/>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General total</w:t>
            </w: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Universities</w:t>
            </w:r>
          </w:p>
        </w:tc>
        <w:tc>
          <w:tcPr>
            <w:tcW w:w="19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9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and Kapodistrian University of Athens</w:t>
            </w:r>
          </w:p>
        </w:tc>
        <w:tc>
          <w:tcPr>
            <w:tcW w:w="190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2 389</w:t>
            </w:r>
          </w:p>
        </w:tc>
        <w:tc>
          <w:tcPr>
            <w:tcW w:w="190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National Technical University of Athens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Aristotle University of Thessaloniki</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2 758</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University of Economics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Agricultural University of Athens </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School of Fine Arts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Panteion University of Social and Political Sciences</w:t>
            </w:r>
          </w:p>
        </w:tc>
        <w:tc>
          <w:tcPr>
            <w:tcW w:w="190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315</w:t>
            </w:r>
          </w:p>
        </w:tc>
        <w:tc>
          <w:tcPr>
            <w:tcW w:w="190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Piraeus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205</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Macedonia</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242</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Patras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814</w:t>
            </w:r>
          </w:p>
        </w:tc>
        <w:tc>
          <w:tcPr>
            <w:tcW w:w="190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Ioannina</w:t>
            </w:r>
          </w:p>
        </w:tc>
        <w:tc>
          <w:tcPr>
            <w:tcW w:w="1905" w:type="dxa"/>
            <w:vAlign w:val="bottom"/>
          </w:tcPr>
          <w:p w:rsidR="00000000" w:rsidRDefault="00000000">
            <w:pPr>
              <w:spacing w:before="40" w:after="40" w:line="210" w:lineRule="exact"/>
              <w:ind w:right="43"/>
              <w:jc w:val="right"/>
              <w:rPr>
                <w:sz w:val="17"/>
              </w:rPr>
            </w:pPr>
            <w:r>
              <w:rPr>
                <w:sz w:val="17"/>
              </w:rPr>
              <w:t>639</w:t>
            </w:r>
          </w:p>
        </w:tc>
        <w:tc>
          <w:tcPr>
            <w:tcW w:w="1905" w:type="dxa"/>
            <w:vAlign w:val="bottom"/>
          </w:tcPr>
          <w:p w:rsidR="00000000" w:rsidRDefault="00000000">
            <w:pPr>
              <w:jc w:val="right"/>
              <w:rPr>
                <w:sz w:val="17"/>
              </w:rPr>
            </w:pPr>
            <w:r>
              <w:rPr>
                <w:sz w:val="17"/>
              </w:rPr>
              <w:t>205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Democritus University of Thrace</w:t>
            </w:r>
          </w:p>
        </w:tc>
        <w:tc>
          <w:tcPr>
            <w:tcW w:w="1905" w:type="dxa"/>
            <w:vAlign w:val="bottom"/>
          </w:tcPr>
          <w:p w:rsidR="00000000" w:rsidRDefault="00000000">
            <w:pPr>
              <w:spacing w:before="40" w:after="40" w:line="210" w:lineRule="exact"/>
              <w:ind w:right="43"/>
              <w:jc w:val="right"/>
              <w:rPr>
                <w:sz w:val="17"/>
              </w:rPr>
            </w:pPr>
            <w:r>
              <w:rPr>
                <w:sz w:val="17"/>
              </w:rPr>
              <w:t>702</w:t>
            </w:r>
          </w:p>
        </w:tc>
        <w:tc>
          <w:tcPr>
            <w:tcW w:w="1905" w:type="dxa"/>
            <w:vAlign w:val="bottom"/>
          </w:tcPr>
          <w:p w:rsidR="00000000" w:rsidRDefault="00000000">
            <w:pPr>
              <w:jc w:val="right"/>
              <w:rPr>
                <w:sz w:val="17"/>
              </w:rPr>
            </w:pPr>
            <w:r>
              <w:rPr>
                <w:sz w:val="17"/>
              </w:rPr>
              <w:t>205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Crete</w:t>
            </w:r>
          </w:p>
        </w:tc>
        <w:tc>
          <w:tcPr>
            <w:tcW w:w="1905" w:type="dxa"/>
            <w:vAlign w:val="bottom"/>
          </w:tcPr>
          <w:p w:rsidR="00000000" w:rsidRDefault="00000000">
            <w:pPr>
              <w:spacing w:before="40" w:after="40" w:line="210" w:lineRule="exact"/>
              <w:ind w:right="43"/>
              <w:jc w:val="right"/>
              <w:rPr>
                <w:sz w:val="17"/>
              </w:rPr>
            </w:pPr>
            <w:r>
              <w:rPr>
                <w:sz w:val="17"/>
              </w:rPr>
              <w:t>553</w:t>
            </w:r>
          </w:p>
        </w:tc>
        <w:tc>
          <w:tcPr>
            <w:tcW w:w="1905" w:type="dxa"/>
            <w:vAlign w:val="bottom"/>
          </w:tcPr>
          <w:p w:rsidR="00000000" w:rsidRDefault="00000000">
            <w:pPr>
              <w:jc w:val="right"/>
              <w:rPr>
                <w:sz w:val="17"/>
              </w:rPr>
            </w:pPr>
            <w:r>
              <w:rPr>
                <w:sz w:val="17"/>
              </w:rPr>
              <w:t>141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Technical University of Crete</w:t>
            </w:r>
          </w:p>
        </w:tc>
        <w:tc>
          <w:tcPr>
            <w:tcW w:w="1905" w:type="dxa"/>
            <w:vAlign w:val="bottom"/>
          </w:tcPr>
          <w:p w:rsidR="00000000" w:rsidRDefault="00000000">
            <w:pPr>
              <w:spacing w:before="40" w:after="40" w:line="210" w:lineRule="exact"/>
              <w:ind w:right="43"/>
              <w:jc w:val="right"/>
              <w:rPr>
                <w:sz w:val="17"/>
              </w:rPr>
            </w:pPr>
            <w:r>
              <w:rPr>
                <w:sz w:val="17"/>
              </w:rPr>
              <w:t>191</w:t>
            </w:r>
          </w:p>
        </w:tc>
        <w:tc>
          <w:tcPr>
            <w:tcW w:w="1905" w:type="dxa"/>
            <w:vAlign w:val="bottom"/>
          </w:tcPr>
          <w:p w:rsidR="00000000" w:rsidRDefault="00000000">
            <w:pPr>
              <w:jc w:val="right"/>
              <w:rPr>
                <w:sz w:val="17"/>
              </w:rPr>
            </w:pPr>
            <w:r>
              <w:rPr>
                <w:sz w:val="17"/>
              </w:rPr>
              <w:t>38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The Aegean</w:t>
            </w:r>
          </w:p>
        </w:tc>
        <w:tc>
          <w:tcPr>
            <w:tcW w:w="1905" w:type="dxa"/>
            <w:vAlign w:val="bottom"/>
          </w:tcPr>
          <w:p w:rsidR="00000000" w:rsidRDefault="00000000">
            <w:pPr>
              <w:spacing w:before="40" w:after="40" w:line="210" w:lineRule="exact"/>
              <w:ind w:right="43"/>
              <w:jc w:val="right"/>
              <w:rPr>
                <w:sz w:val="17"/>
              </w:rPr>
            </w:pPr>
            <w:r>
              <w:rPr>
                <w:sz w:val="17"/>
              </w:rPr>
              <w:t>397</w:t>
            </w:r>
          </w:p>
        </w:tc>
        <w:tc>
          <w:tcPr>
            <w:tcW w:w="1905" w:type="dxa"/>
            <w:vAlign w:val="bottom"/>
          </w:tcPr>
          <w:p w:rsidR="00000000" w:rsidRDefault="00000000">
            <w:pPr>
              <w:jc w:val="right"/>
              <w:rPr>
                <w:sz w:val="17"/>
              </w:rPr>
            </w:pPr>
            <w:r>
              <w:rPr>
                <w:sz w:val="17"/>
              </w:rPr>
              <w:t>136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Ionian University</w:t>
            </w:r>
          </w:p>
        </w:tc>
        <w:tc>
          <w:tcPr>
            <w:tcW w:w="1905" w:type="dxa"/>
            <w:vAlign w:val="bottom"/>
          </w:tcPr>
          <w:p w:rsidR="00000000" w:rsidRDefault="00000000">
            <w:pPr>
              <w:spacing w:before="40" w:after="40" w:line="210" w:lineRule="exact"/>
              <w:ind w:right="43"/>
              <w:jc w:val="right"/>
              <w:rPr>
                <w:sz w:val="17"/>
              </w:rPr>
            </w:pPr>
            <w:r>
              <w:rPr>
                <w:sz w:val="17"/>
              </w:rPr>
              <w:t>122</w:t>
            </w:r>
          </w:p>
        </w:tc>
        <w:tc>
          <w:tcPr>
            <w:tcW w:w="1905" w:type="dxa"/>
            <w:vAlign w:val="bottom"/>
          </w:tcPr>
          <w:p w:rsidR="00000000" w:rsidRDefault="00000000">
            <w:pPr>
              <w:jc w:val="right"/>
              <w:rPr>
                <w:sz w:val="17"/>
              </w:rPr>
            </w:pPr>
            <w:r>
              <w:rPr>
                <w:sz w:val="17"/>
              </w:rPr>
              <w:t>43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Thessaly</w:t>
            </w:r>
          </w:p>
        </w:tc>
        <w:tc>
          <w:tcPr>
            <w:tcW w:w="1905" w:type="dxa"/>
            <w:vAlign w:val="bottom"/>
          </w:tcPr>
          <w:p w:rsidR="00000000" w:rsidRDefault="00000000">
            <w:pPr>
              <w:spacing w:before="40" w:after="40" w:line="210" w:lineRule="exact"/>
              <w:ind w:right="43"/>
              <w:jc w:val="right"/>
              <w:rPr>
                <w:sz w:val="17"/>
              </w:rPr>
            </w:pPr>
            <w:r>
              <w:rPr>
                <w:sz w:val="17"/>
              </w:rPr>
              <w:t>686</w:t>
            </w:r>
          </w:p>
        </w:tc>
        <w:tc>
          <w:tcPr>
            <w:tcW w:w="1905" w:type="dxa"/>
            <w:vAlign w:val="bottom"/>
          </w:tcPr>
          <w:p w:rsidR="00000000" w:rsidRDefault="00000000">
            <w:pPr>
              <w:jc w:val="right"/>
              <w:rPr>
                <w:sz w:val="17"/>
              </w:rPr>
            </w:pPr>
            <w:r>
              <w:rPr>
                <w:sz w:val="17"/>
              </w:rPr>
              <w:t>219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Harokopio University</w:t>
            </w:r>
          </w:p>
        </w:tc>
        <w:tc>
          <w:tcPr>
            <w:tcW w:w="1905" w:type="dxa"/>
            <w:vAlign w:val="bottom"/>
          </w:tcPr>
          <w:p w:rsidR="00000000" w:rsidRDefault="00000000">
            <w:pPr>
              <w:spacing w:before="40" w:after="40" w:line="210" w:lineRule="exact"/>
              <w:ind w:right="43"/>
              <w:jc w:val="right"/>
              <w:rPr>
                <w:sz w:val="17"/>
              </w:rPr>
            </w:pPr>
            <w:r>
              <w:rPr>
                <w:sz w:val="17"/>
              </w:rPr>
              <w:t>75</w:t>
            </w:r>
          </w:p>
        </w:tc>
        <w:tc>
          <w:tcPr>
            <w:tcW w:w="1905" w:type="dxa"/>
            <w:vAlign w:val="bottom"/>
          </w:tcPr>
          <w:p w:rsidR="00000000" w:rsidRDefault="00000000">
            <w:pPr>
              <w:jc w:val="right"/>
              <w:rPr>
                <w:sz w:val="17"/>
              </w:rPr>
            </w:pPr>
            <w:r>
              <w:rPr>
                <w:sz w:val="17"/>
              </w:rPr>
              <w:t>47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Hellenic Open University</w:t>
            </w:r>
          </w:p>
        </w:tc>
        <w:tc>
          <w:tcPr>
            <w:tcW w:w="1905" w:type="dxa"/>
            <w:vAlign w:val="bottom"/>
          </w:tcPr>
          <w:p w:rsidR="00000000" w:rsidRDefault="00000000">
            <w:pPr>
              <w:spacing w:before="40" w:after="81" w:line="210" w:lineRule="exact"/>
              <w:ind w:right="43"/>
              <w:jc w:val="right"/>
              <w:rPr>
                <w:sz w:val="17"/>
              </w:rPr>
            </w:pPr>
            <w:r>
              <w:rPr>
                <w:sz w:val="17"/>
              </w:rPr>
              <w:t>311</w:t>
            </w:r>
          </w:p>
        </w:tc>
        <w:tc>
          <w:tcPr>
            <w:tcW w:w="1905" w:type="dxa"/>
            <w:vAlign w:val="bottom"/>
          </w:tcPr>
          <w:p w:rsidR="00000000" w:rsidRDefault="00000000">
            <w:pPr>
              <w:jc w:val="right"/>
              <w:rPr>
                <w:sz w:val="17"/>
              </w:rPr>
            </w:pPr>
            <w:r>
              <w:rPr>
                <w:sz w:val="17"/>
              </w:rPr>
              <w:t>18</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General Total</w:t>
            </w:r>
          </w:p>
        </w:tc>
        <w:tc>
          <w:tcPr>
            <w:tcW w:w="1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11 677</w:t>
            </w:r>
          </w:p>
        </w:tc>
        <w:tc>
          <w:tcPr>
            <w:tcW w:w="1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3 520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 15</w:t>
      </w:r>
      <w:r>
        <w:br/>
        <w:t>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05"/>
        <w:gridCol w:w="1905"/>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General total</w:t>
            </w: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Universities</w:t>
            </w:r>
          </w:p>
        </w:tc>
        <w:tc>
          <w:tcPr>
            <w:tcW w:w="19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9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and Kapodistrian University of Athens</w:t>
            </w:r>
          </w:p>
        </w:tc>
        <w:tc>
          <w:tcPr>
            <w:tcW w:w="1905" w:type="dxa"/>
          </w:tcPr>
          <w:p w:rsidR="00000000" w:rsidRDefault="00000000">
            <w:pPr>
              <w:jc w:val="right"/>
              <w:rPr>
                <w:sz w:val="17"/>
              </w:rPr>
            </w:pPr>
            <w:r>
              <w:rPr>
                <w:sz w:val="17"/>
              </w:rPr>
              <w:t>2 343</w:t>
            </w:r>
          </w:p>
        </w:tc>
        <w:tc>
          <w:tcPr>
            <w:tcW w:w="1905" w:type="dxa"/>
          </w:tcPr>
          <w:p w:rsidR="00000000" w:rsidRDefault="00000000">
            <w:pPr>
              <w:jc w:val="right"/>
              <w:rPr>
                <w:sz w:val="17"/>
              </w:rPr>
            </w:pPr>
            <w:r>
              <w:rPr>
                <w:sz w:val="17"/>
              </w:rPr>
              <w:t>843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National Technical University of Athens</w:t>
            </w:r>
          </w:p>
        </w:tc>
        <w:tc>
          <w:tcPr>
            <w:tcW w:w="1905" w:type="dxa"/>
            <w:vAlign w:val="bottom"/>
          </w:tcPr>
          <w:p w:rsidR="00000000" w:rsidRDefault="00000000">
            <w:pPr>
              <w:jc w:val="right"/>
              <w:rPr>
                <w:sz w:val="17"/>
              </w:rPr>
            </w:pPr>
            <w:r>
              <w:rPr>
                <w:sz w:val="17"/>
              </w:rPr>
              <w:t>785</w:t>
            </w:r>
          </w:p>
        </w:tc>
        <w:tc>
          <w:tcPr>
            <w:tcW w:w="1905" w:type="dxa"/>
            <w:vAlign w:val="bottom"/>
          </w:tcPr>
          <w:p w:rsidR="00000000" w:rsidRDefault="00000000">
            <w:pPr>
              <w:jc w:val="right"/>
              <w:rPr>
                <w:sz w:val="17"/>
              </w:rPr>
            </w:pPr>
            <w:r>
              <w:rPr>
                <w:sz w:val="17"/>
              </w:rPr>
              <w:t>180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Aristotle University of Thessaloniki</w:t>
            </w:r>
          </w:p>
        </w:tc>
        <w:tc>
          <w:tcPr>
            <w:tcW w:w="1905" w:type="dxa"/>
            <w:vAlign w:val="bottom"/>
          </w:tcPr>
          <w:p w:rsidR="00000000" w:rsidRDefault="00000000">
            <w:pPr>
              <w:jc w:val="right"/>
              <w:rPr>
                <w:sz w:val="17"/>
              </w:rPr>
            </w:pPr>
            <w:r>
              <w:rPr>
                <w:sz w:val="17"/>
              </w:rPr>
              <w:t>2 742</w:t>
            </w:r>
          </w:p>
        </w:tc>
        <w:tc>
          <w:tcPr>
            <w:tcW w:w="1905" w:type="dxa"/>
            <w:vAlign w:val="bottom"/>
          </w:tcPr>
          <w:p w:rsidR="00000000" w:rsidRDefault="00000000">
            <w:pPr>
              <w:jc w:val="right"/>
              <w:rPr>
                <w:sz w:val="17"/>
              </w:rPr>
            </w:pPr>
            <w:r>
              <w:rPr>
                <w:sz w:val="17"/>
              </w:rPr>
              <w:t>905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University of Economics</w:t>
            </w:r>
          </w:p>
        </w:tc>
        <w:tc>
          <w:tcPr>
            <w:tcW w:w="1905" w:type="dxa"/>
            <w:vAlign w:val="bottom"/>
          </w:tcPr>
          <w:p w:rsidR="00000000" w:rsidRDefault="00000000">
            <w:pPr>
              <w:jc w:val="right"/>
              <w:rPr>
                <w:sz w:val="17"/>
              </w:rPr>
            </w:pPr>
            <w:r>
              <w:rPr>
                <w:sz w:val="17"/>
              </w:rPr>
              <w:t>263</w:t>
            </w:r>
          </w:p>
        </w:tc>
        <w:tc>
          <w:tcPr>
            <w:tcW w:w="1905" w:type="dxa"/>
            <w:vAlign w:val="bottom"/>
          </w:tcPr>
          <w:p w:rsidR="00000000" w:rsidRDefault="00000000">
            <w:pPr>
              <w:jc w:val="right"/>
              <w:rPr>
                <w:sz w:val="17"/>
              </w:rPr>
            </w:pPr>
            <w:r>
              <w:rPr>
                <w:sz w:val="17"/>
              </w:rPr>
              <w:t>65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Agricultural University of Athens </w:t>
            </w:r>
          </w:p>
        </w:tc>
        <w:tc>
          <w:tcPr>
            <w:tcW w:w="1905" w:type="dxa"/>
            <w:vAlign w:val="bottom"/>
          </w:tcPr>
          <w:p w:rsidR="00000000" w:rsidRDefault="00000000">
            <w:pPr>
              <w:jc w:val="right"/>
              <w:rPr>
                <w:sz w:val="17"/>
              </w:rPr>
            </w:pPr>
            <w:r>
              <w:rPr>
                <w:sz w:val="17"/>
              </w:rPr>
              <w:t>246</w:t>
            </w:r>
          </w:p>
        </w:tc>
        <w:tc>
          <w:tcPr>
            <w:tcW w:w="1905" w:type="dxa"/>
            <w:vAlign w:val="bottom"/>
          </w:tcPr>
          <w:p w:rsidR="00000000" w:rsidRDefault="00000000">
            <w:pPr>
              <w:jc w:val="right"/>
              <w:rPr>
                <w:sz w:val="17"/>
              </w:rPr>
            </w:pPr>
            <w:r>
              <w:rPr>
                <w:sz w:val="17"/>
              </w:rPr>
              <w:t>64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Athens School of Fine Arts</w:t>
            </w:r>
          </w:p>
        </w:tc>
        <w:tc>
          <w:tcPr>
            <w:tcW w:w="1905" w:type="dxa"/>
            <w:vAlign w:val="bottom"/>
          </w:tcPr>
          <w:p w:rsidR="00000000" w:rsidRDefault="00000000">
            <w:pPr>
              <w:jc w:val="right"/>
              <w:rPr>
                <w:sz w:val="17"/>
              </w:rPr>
            </w:pPr>
            <w:r>
              <w:rPr>
                <w:sz w:val="17"/>
              </w:rPr>
              <w:t>71</w:t>
            </w:r>
          </w:p>
        </w:tc>
        <w:tc>
          <w:tcPr>
            <w:tcW w:w="1905" w:type="dxa"/>
            <w:vAlign w:val="bottom"/>
          </w:tcPr>
          <w:p w:rsidR="00000000" w:rsidRDefault="00000000">
            <w:pPr>
              <w:jc w:val="right"/>
              <w:rPr>
                <w:sz w:val="17"/>
              </w:rPr>
            </w:pPr>
            <w:r>
              <w:rPr>
                <w:sz w:val="17"/>
              </w:rPr>
              <w:t>24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Panteion University of Social and Political Sciences</w:t>
            </w:r>
          </w:p>
        </w:tc>
        <w:tc>
          <w:tcPr>
            <w:tcW w:w="1905" w:type="dxa"/>
          </w:tcPr>
          <w:p w:rsidR="00000000" w:rsidRDefault="00000000">
            <w:pPr>
              <w:jc w:val="right"/>
              <w:rPr>
                <w:sz w:val="17"/>
              </w:rPr>
            </w:pPr>
            <w:r>
              <w:rPr>
                <w:sz w:val="17"/>
              </w:rPr>
              <w:t>312</w:t>
            </w:r>
          </w:p>
        </w:tc>
        <w:tc>
          <w:tcPr>
            <w:tcW w:w="1905" w:type="dxa"/>
          </w:tcPr>
          <w:p w:rsidR="00000000" w:rsidRDefault="00000000">
            <w:pPr>
              <w:jc w:val="right"/>
              <w:rPr>
                <w:sz w:val="17"/>
              </w:rPr>
            </w:pPr>
            <w:r>
              <w:rPr>
                <w:sz w:val="17"/>
              </w:rPr>
              <w:t>119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Piraeus</w:t>
            </w:r>
          </w:p>
        </w:tc>
        <w:tc>
          <w:tcPr>
            <w:tcW w:w="1905" w:type="dxa"/>
            <w:vAlign w:val="bottom"/>
          </w:tcPr>
          <w:p w:rsidR="00000000" w:rsidRDefault="00000000">
            <w:pPr>
              <w:jc w:val="right"/>
              <w:rPr>
                <w:sz w:val="17"/>
              </w:rPr>
            </w:pPr>
            <w:r>
              <w:rPr>
                <w:sz w:val="17"/>
              </w:rPr>
              <w:t>234</w:t>
            </w:r>
          </w:p>
        </w:tc>
        <w:tc>
          <w:tcPr>
            <w:tcW w:w="1905" w:type="dxa"/>
            <w:vAlign w:val="bottom"/>
          </w:tcPr>
          <w:p w:rsidR="00000000" w:rsidRDefault="00000000">
            <w:pPr>
              <w:jc w:val="right"/>
              <w:rPr>
                <w:sz w:val="17"/>
              </w:rPr>
            </w:pPr>
            <w:r>
              <w:rPr>
                <w:sz w:val="17"/>
              </w:rPr>
              <w:t>55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Macedonia</w:t>
            </w:r>
          </w:p>
        </w:tc>
        <w:tc>
          <w:tcPr>
            <w:tcW w:w="1905" w:type="dxa"/>
            <w:vAlign w:val="bottom"/>
          </w:tcPr>
          <w:p w:rsidR="00000000" w:rsidRDefault="00000000">
            <w:pPr>
              <w:jc w:val="right"/>
              <w:rPr>
                <w:sz w:val="17"/>
              </w:rPr>
            </w:pPr>
            <w:r>
              <w:rPr>
                <w:sz w:val="17"/>
              </w:rPr>
              <w:t>234</w:t>
            </w:r>
          </w:p>
        </w:tc>
        <w:tc>
          <w:tcPr>
            <w:tcW w:w="1905" w:type="dxa"/>
            <w:vAlign w:val="bottom"/>
          </w:tcPr>
          <w:p w:rsidR="00000000" w:rsidRDefault="00000000">
            <w:pPr>
              <w:jc w:val="right"/>
              <w:rPr>
                <w:sz w:val="17"/>
              </w:rPr>
            </w:pPr>
            <w:r>
              <w:rPr>
                <w:sz w:val="17"/>
              </w:rPr>
              <w:t>73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Patras</w:t>
            </w:r>
          </w:p>
        </w:tc>
        <w:tc>
          <w:tcPr>
            <w:tcW w:w="1905" w:type="dxa"/>
            <w:vAlign w:val="bottom"/>
          </w:tcPr>
          <w:p w:rsidR="00000000" w:rsidRDefault="00000000">
            <w:pPr>
              <w:jc w:val="right"/>
              <w:rPr>
                <w:sz w:val="17"/>
              </w:rPr>
            </w:pPr>
            <w:r>
              <w:rPr>
                <w:sz w:val="17"/>
              </w:rPr>
              <w:t>858</w:t>
            </w:r>
          </w:p>
        </w:tc>
        <w:tc>
          <w:tcPr>
            <w:tcW w:w="1905" w:type="dxa"/>
            <w:vAlign w:val="bottom"/>
          </w:tcPr>
          <w:p w:rsidR="00000000" w:rsidRDefault="00000000">
            <w:pPr>
              <w:jc w:val="right"/>
              <w:rPr>
                <w:sz w:val="17"/>
              </w:rPr>
            </w:pPr>
            <w:r>
              <w:rPr>
                <w:sz w:val="17"/>
              </w:rPr>
              <w:t>198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Ioannina</w:t>
            </w:r>
          </w:p>
        </w:tc>
        <w:tc>
          <w:tcPr>
            <w:tcW w:w="1905" w:type="dxa"/>
            <w:vAlign w:val="bottom"/>
          </w:tcPr>
          <w:p w:rsidR="00000000" w:rsidRDefault="00000000">
            <w:pPr>
              <w:jc w:val="right"/>
              <w:rPr>
                <w:sz w:val="17"/>
              </w:rPr>
            </w:pPr>
            <w:r>
              <w:rPr>
                <w:sz w:val="17"/>
              </w:rPr>
              <w:t>674</w:t>
            </w:r>
          </w:p>
        </w:tc>
        <w:tc>
          <w:tcPr>
            <w:tcW w:w="1905" w:type="dxa"/>
            <w:vAlign w:val="bottom"/>
          </w:tcPr>
          <w:p w:rsidR="00000000" w:rsidRDefault="00000000">
            <w:pPr>
              <w:jc w:val="right"/>
              <w:rPr>
                <w:sz w:val="17"/>
              </w:rPr>
            </w:pPr>
            <w:r>
              <w:rPr>
                <w:sz w:val="17"/>
              </w:rPr>
              <w:t>191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Democritus University of Thrace</w:t>
            </w:r>
          </w:p>
        </w:tc>
        <w:tc>
          <w:tcPr>
            <w:tcW w:w="1905" w:type="dxa"/>
            <w:vAlign w:val="bottom"/>
          </w:tcPr>
          <w:p w:rsidR="00000000" w:rsidRDefault="00000000">
            <w:pPr>
              <w:jc w:val="right"/>
              <w:rPr>
                <w:sz w:val="17"/>
              </w:rPr>
            </w:pPr>
            <w:r>
              <w:rPr>
                <w:sz w:val="17"/>
              </w:rPr>
              <w:t>768</w:t>
            </w:r>
          </w:p>
        </w:tc>
        <w:tc>
          <w:tcPr>
            <w:tcW w:w="1905" w:type="dxa"/>
            <w:vAlign w:val="bottom"/>
          </w:tcPr>
          <w:p w:rsidR="00000000" w:rsidRDefault="00000000">
            <w:pPr>
              <w:jc w:val="right"/>
              <w:rPr>
                <w:sz w:val="17"/>
              </w:rPr>
            </w:pPr>
            <w:r>
              <w:rPr>
                <w:sz w:val="17"/>
              </w:rPr>
              <w:t>218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Crete</w:t>
            </w:r>
          </w:p>
        </w:tc>
        <w:tc>
          <w:tcPr>
            <w:tcW w:w="1905" w:type="dxa"/>
            <w:vAlign w:val="bottom"/>
          </w:tcPr>
          <w:p w:rsidR="00000000" w:rsidRDefault="00000000">
            <w:pPr>
              <w:jc w:val="right"/>
              <w:rPr>
                <w:sz w:val="17"/>
              </w:rPr>
            </w:pPr>
            <w:r>
              <w:rPr>
                <w:sz w:val="17"/>
              </w:rPr>
              <w:t>583</w:t>
            </w:r>
          </w:p>
        </w:tc>
        <w:tc>
          <w:tcPr>
            <w:tcW w:w="1905" w:type="dxa"/>
            <w:vAlign w:val="bottom"/>
          </w:tcPr>
          <w:p w:rsidR="00000000" w:rsidRDefault="00000000">
            <w:pPr>
              <w:jc w:val="right"/>
              <w:rPr>
                <w:sz w:val="17"/>
              </w:rPr>
            </w:pPr>
            <w:r>
              <w:rPr>
                <w:sz w:val="17"/>
              </w:rPr>
              <w:t>154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Technical University of Crete</w:t>
            </w:r>
          </w:p>
        </w:tc>
        <w:tc>
          <w:tcPr>
            <w:tcW w:w="1905" w:type="dxa"/>
            <w:vAlign w:val="bottom"/>
          </w:tcPr>
          <w:p w:rsidR="00000000" w:rsidRDefault="00000000">
            <w:pPr>
              <w:jc w:val="right"/>
              <w:rPr>
                <w:sz w:val="17"/>
              </w:rPr>
            </w:pPr>
            <w:r>
              <w:rPr>
                <w:sz w:val="17"/>
              </w:rPr>
              <w:t>227</w:t>
            </w:r>
          </w:p>
        </w:tc>
        <w:tc>
          <w:tcPr>
            <w:tcW w:w="1905" w:type="dxa"/>
            <w:vAlign w:val="bottom"/>
          </w:tcPr>
          <w:p w:rsidR="00000000" w:rsidRDefault="00000000">
            <w:pPr>
              <w:jc w:val="right"/>
              <w:rPr>
                <w:sz w:val="17"/>
              </w:rPr>
            </w:pPr>
            <w:r>
              <w:rPr>
                <w:sz w:val="17"/>
              </w:rPr>
              <w:t>55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The Aegean</w:t>
            </w:r>
          </w:p>
        </w:tc>
        <w:tc>
          <w:tcPr>
            <w:tcW w:w="1905" w:type="dxa"/>
            <w:vAlign w:val="bottom"/>
          </w:tcPr>
          <w:p w:rsidR="00000000" w:rsidRDefault="00000000">
            <w:pPr>
              <w:jc w:val="right"/>
              <w:rPr>
                <w:sz w:val="17"/>
              </w:rPr>
            </w:pPr>
            <w:r>
              <w:rPr>
                <w:sz w:val="17"/>
              </w:rPr>
              <w:t>393</w:t>
            </w:r>
          </w:p>
        </w:tc>
        <w:tc>
          <w:tcPr>
            <w:tcW w:w="1905" w:type="dxa"/>
            <w:vAlign w:val="bottom"/>
          </w:tcPr>
          <w:p w:rsidR="00000000" w:rsidRDefault="00000000">
            <w:pPr>
              <w:jc w:val="right"/>
              <w:rPr>
                <w:sz w:val="17"/>
              </w:rPr>
            </w:pPr>
            <w:r>
              <w:rPr>
                <w:sz w:val="17"/>
              </w:rPr>
              <w:t>127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Ionian University</w:t>
            </w:r>
          </w:p>
        </w:tc>
        <w:tc>
          <w:tcPr>
            <w:tcW w:w="1905" w:type="dxa"/>
            <w:vAlign w:val="bottom"/>
          </w:tcPr>
          <w:p w:rsidR="00000000" w:rsidRDefault="00000000">
            <w:pPr>
              <w:jc w:val="right"/>
              <w:rPr>
                <w:sz w:val="17"/>
              </w:rPr>
            </w:pPr>
            <w:r>
              <w:rPr>
                <w:sz w:val="17"/>
              </w:rPr>
              <w:t>127</w:t>
            </w:r>
          </w:p>
        </w:tc>
        <w:tc>
          <w:tcPr>
            <w:tcW w:w="1905" w:type="dxa"/>
            <w:vAlign w:val="bottom"/>
          </w:tcPr>
          <w:p w:rsidR="00000000" w:rsidRDefault="00000000">
            <w:pPr>
              <w:jc w:val="right"/>
              <w:rPr>
                <w:sz w:val="17"/>
              </w:rPr>
            </w:pPr>
            <w:r>
              <w:rPr>
                <w:sz w:val="17"/>
              </w:rPr>
              <w:t>44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University of Thessaly</w:t>
            </w:r>
          </w:p>
        </w:tc>
        <w:tc>
          <w:tcPr>
            <w:tcW w:w="1905" w:type="dxa"/>
            <w:vAlign w:val="bottom"/>
          </w:tcPr>
          <w:p w:rsidR="00000000" w:rsidRDefault="00000000">
            <w:pPr>
              <w:jc w:val="right"/>
              <w:rPr>
                <w:sz w:val="17"/>
              </w:rPr>
            </w:pPr>
            <w:r>
              <w:rPr>
                <w:sz w:val="17"/>
              </w:rPr>
              <w:t>711</w:t>
            </w:r>
          </w:p>
        </w:tc>
        <w:tc>
          <w:tcPr>
            <w:tcW w:w="1905" w:type="dxa"/>
            <w:vAlign w:val="bottom"/>
          </w:tcPr>
          <w:p w:rsidR="00000000" w:rsidRDefault="00000000">
            <w:pPr>
              <w:jc w:val="right"/>
              <w:rPr>
                <w:sz w:val="17"/>
              </w:rPr>
            </w:pPr>
            <w:r>
              <w:rPr>
                <w:sz w:val="17"/>
              </w:rPr>
              <w:t>224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Harokopio University</w:t>
            </w:r>
          </w:p>
        </w:tc>
        <w:tc>
          <w:tcPr>
            <w:tcW w:w="1905" w:type="dxa"/>
            <w:vAlign w:val="bottom"/>
          </w:tcPr>
          <w:p w:rsidR="00000000" w:rsidRDefault="00000000">
            <w:pPr>
              <w:jc w:val="right"/>
              <w:rPr>
                <w:sz w:val="17"/>
              </w:rPr>
            </w:pPr>
            <w:r>
              <w:rPr>
                <w:sz w:val="17"/>
              </w:rPr>
              <w:t>90</w:t>
            </w:r>
          </w:p>
        </w:tc>
        <w:tc>
          <w:tcPr>
            <w:tcW w:w="1905" w:type="dxa"/>
            <w:vAlign w:val="bottom"/>
          </w:tcPr>
          <w:p w:rsidR="00000000" w:rsidRDefault="00000000">
            <w:pPr>
              <w:jc w:val="right"/>
              <w:rPr>
                <w:sz w:val="17"/>
              </w:rPr>
            </w:pPr>
            <w:r>
              <w:rPr>
                <w:sz w:val="17"/>
              </w:rPr>
              <w:t>51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Hellenic Open University</w:t>
            </w:r>
          </w:p>
        </w:tc>
        <w:tc>
          <w:tcPr>
            <w:tcW w:w="1905" w:type="dxa"/>
            <w:vAlign w:val="bottom"/>
          </w:tcPr>
          <w:p w:rsidR="00000000" w:rsidRDefault="00000000">
            <w:pPr>
              <w:jc w:val="right"/>
              <w:rPr>
                <w:sz w:val="17"/>
              </w:rPr>
            </w:pPr>
            <w:r>
              <w:rPr>
                <w:sz w:val="17"/>
              </w:rPr>
              <w:t>725</w:t>
            </w:r>
          </w:p>
        </w:tc>
        <w:tc>
          <w:tcPr>
            <w:tcW w:w="1905" w:type="dxa"/>
            <w:vAlign w:val="bottom"/>
          </w:tcPr>
          <w:p w:rsidR="00000000" w:rsidRDefault="00000000">
            <w:pPr>
              <w:jc w:val="right"/>
              <w:rPr>
                <w:sz w:val="17"/>
              </w:rPr>
            </w:pPr>
            <w:r>
              <w:rPr>
                <w:sz w:val="17"/>
              </w:rPr>
              <w:t>221</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General Total</w:t>
            </w:r>
          </w:p>
        </w:tc>
        <w:tc>
          <w:tcPr>
            <w:tcW w:w="1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12 386</w:t>
            </w:r>
          </w:p>
        </w:tc>
        <w:tc>
          <w:tcPr>
            <w:tcW w:w="1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3 811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color w:val="000000"/>
          <w:lang w:val="en-US"/>
        </w:rPr>
        <w:t>Source</w:t>
      </w:r>
      <w:r>
        <w:rPr>
          <w:i/>
          <w:color w:val="000000"/>
        </w:rPr>
        <w:t>:</w:t>
      </w:r>
      <w:r>
        <w:rPr>
          <w:color w:val="000000"/>
          <w:lang w:val="en-GB"/>
        </w:rPr>
        <w:t xml:space="preserve"> </w:t>
      </w:r>
      <w:r>
        <w:rPr>
          <w:lang w:val="en-US"/>
        </w:rPr>
        <w:t>Ministry of National Education and Religious Affairs</w:t>
      </w:r>
      <w:r>
        <w:rPr>
          <w:color w:val="000000"/>
          <w:lang w:val="en-GB"/>
        </w:rPr>
        <w:t xml:space="preserve">, </w:t>
      </w:r>
      <w:r>
        <w:rPr>
          <w:lang w:val="en-GB"/>
        </w:rPr>
        <w:t>Directorate for Planning and Operational Research</w:t>
      </w:r>
      <w:r>
        <w:rPr>
          <w:color w:val="000000"/>
          <w:lang w:val="en-GB"/>
        </w:rPr>
        <w:t>, Dept</w:t>
      </w:r>
      <w:r>
        <w:rPr>
          <w:lang w:val="en-GB"/>
        </w:rPr>
        <w:t>. of Oper. Research &amp; Statistics)</w:t>
      </w:r>
    </w:p>
    <w:p w:rsidR="00000000" w:rsidRDefault="00000000">
      <w:pPr>
        <w:pStyle w:val="SingleTxt"/>
        <w:rPr>
          <w:lang w:val="en-GB"/>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br w:type="page"/>
      </w:r>
      <w:r>
        <w:tab/>
      </w:r>
      <w:r>
        <w:tab/>
        <w:t>Annex 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Against Unemployment – Measures For The Increase Of Women’s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Gender equality and the 3rd community support framework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2"/>
        </w:numPr>
      </w:pPr>
      <w:r>
        <w:t>The 3rd Community Support Framework, drafting strategic priorities conce</w:t>
      </w:r>
      <w:r>
        <w:t>r</w:t>
      </w:r>
      <w:r>
        <w:t>ning the development of human resources in Greece according to the five policy fields of the regulation of the European Social Fund, aims at the distribution of sp</w:t>
      </w:r>
      <w:r>
        <w:t>e</w:t>
      </w:r>
      <w:r>
        <w:t>cific appropriations in the fifth policy field “for the improvement of access and pa</w:t>
      </w:r>
      <w:r>
        <w:t>r</w:t>
      </w:r>
      <w:r>
        <w:t>ticipation of women in the labour market including their professional career, access to new employment opportunities and their capability to establish new enterprises, but also, for the reduction of horizontal and vertical gender-based discriminations in the labour market”.</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07"/>
        <w:gridCol w:w="6120"/>
        <w:gridCol w:w="1082"/>
      </w:tblGrid>
      <w:tr w:rsidR="00000000">
        <w:tblPrEx>
          <w:tblCellMar>
            <w:top w:w="0" w:type="dxa"/>
            <w:left w:w="0" w:type="dxa"/>
            <w:bottom w:w="0" w:type="dxa"/>
            <w:right w:w="0" w:type="dxa"/>
          </w:tblCellMar>
        </w:tblPrEx>
        <w:tc>
          <w:tcPr>
            <w:tcW w:w="407"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61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t xml:space="preserve">Concrete measures to improve access and participation of </w:t>
            </w:r>
            <w:r>
              <w:rPr>
                <w:lang w:val="en-US"/>
              </w:rPr>
              <w:t>women in the labour market</w:t>
            </w:r>
          </w:p>
        </w:tc>
        <w:tc>
          <w:tcPr>
            <w:tcW w:w="1082" w:type="dxa"/>
          </w:tcPr>
          <w:p w:rsidR="00000000" w:rsidRDefault="00000000">
            <w:pPr>
              <w:pStyle w:val="DualTxt"/>
              <w:jc w:val="left"/>
              <w:rPr>
                <w:lang w:val="en-US"/>
              </w:rPr>
            </w:pPr>
            <w:r>
              <w:t>11,8%</w:t>
            </w:r>
            <w:r>
              <w:rPr>
                <w:lang w:val="en-US"/>
              </w:rPr>
              <w:t xml:space="preserve"> or</w:t>
            </w:r>
            <w:r>
              <w:t xml:space="preserve"> 501,6 </w:t>
            </w:r>
            <w:r>
              <w:rPr>
                <w:lang w:val="en-US"/>
              </w:rPr>
              <w:t>mil</w:t>
            </w:r>
            <w:r>
              <w:t xml:space="preserve">. </w:t>
            </w:r>
            <w:r>
              <w:rPr>
                <w:lang w:val="en-US"/>
              </w:rPr>
              <w:t>Euro</w:t>
            </w: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rPr>
          <w:lang w:val="en-GB"/>
        </w:rPr>
      </w:pPr>
      <w:r>
        <w:rPr>
          <w:color w:val="000000"/>
          <w:lang w:val="en-US"/>
        </w:rPr>
        <w:tab/>
        <w:t>The</w:t>
      </w:r>
      <w:r>
        <w:rPr>
          <w:color w:val="000000"/>
          <w:lang w:val="en-GB"/>
        </w:rPr>
        <w:t xml:space="preserve"> </w:t>
      </w:r>
      <w:r>
        <w:rPr>
          <w:color w:val="000000"/>
          <w:lang w:val="en-US"/>
        </w:rPr>
        <w:t>following</w:t>
      </w:r>
      <w:r>
        <w:rPr>
          <w:color w:val="000000"/>
          <w:lang w:val="en-GB"/>
        </w:rPr>
        <w:t xml:space="preserve"> </w:t>
      </w:r>
      <w:r>
        <w:rPr>
          <w:color w:val="000000"/>
          <w:lang w:val="en-US"/>
        </w:rPr>
        <w:t>table</w:t>
      </w:r>
      <w:r>
        <w:rPr>
          <w:color w:val="000000"/>
          <w:lang w:val="en-GB"/>
        </w:rPr>
        <w:t xml:space="preserve"> </w:t>
      </w:r>
      <w:r>
        <w:rPr>
          <w:color w:val="000000"/>
          <w:lang w:val="en-US"/>
        </w:rPr>
        <w:t>presents the distribution of appropriations</w:t>
      </w:r>
      <w:r>
        <w:rPr>
          <w:lang w:val="en-US"/>
        </w:rPr>
        <w:t xml:space="preserve"> for positive a</w:t>
      </w:r>
      <w:r>
        <w:rPr>
          <w:lang w:val="en-US"/>
        </w:rPr>
        <w:t>c</w:t>
      </w:r>
      <w:r>
        <w:rPr>
          <w:lang w:val="en-US"/>
        </w:rPr>
        <w:t>tions in favour of women in the Operational Programmes during the period under examin</w:t>
      </w:r>
      <w:r>
        <w:rPr>
          <w:lang w:val="en-US"/>
        </w:rPr>
        <w:t>a</w:t>
      </w:r>
      <w:r>
        <w:rPr>
          <w:lang w:val="en-US"/>
        </w:rPr>
        <w:t>tion</w:t>
      </w:r>
      <w:r>
        <w:rPr>
          <w:lang w:val="en-GB"/>
        </w:rPr>
        <w:t>.</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 Percentage</w:t>
      </w:r>
      <w:r>
        <w:rPr>
          <w:lang w:val="en-GB"/>
        </w:rPr>
        <w:t xml:space="preserve"> </w:t>
      </w:r>
      <w:r>
        <w:t>for Positive Action Measures of the</w:t>
      </w:r>
      <w:r>
        <w:br/>
        <w:t>Operational Programmes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Operational Programmes</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43" w:right="43"/>
              <w:rPr>
                <w:i/>
                <w:sz w:val="14"/>
              </w:rPr>
            </w:pPr>
            <w:r>
              <w:rPr>
                <w:i/>
                <w:sz w:val="14"/>
              </w:rPr>
              <w:t>Positive actions in favour of women</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Nominal sum in </w:t>
            </w:r>
            <w:r>
              <w:rPr>
                <w:sz w:val="14"/>
                <w:lang w:val="en-US"/>
              </w:rPr>
              <w:t>Є</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in relation to total budget of the Operational Programmes.</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in relation to total of E.S.F. in the Operational Programmes.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ight="43"/>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Height w:val="143"/>
        </w:trPr>
        <w:tc>
          <w:tcPr>
            <w:tcW w:w="2250" w:type="dxa"/>
            <w:vMerge w:val="restart"/>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Competitiveness</w:t>
            </w:r>
          </w:p>
        </w:tc>
        <w:tc>
          <w:tcPr>
            <w:tcW w:w="1267" w:type="dxa"/>
            <w:vAlign w:val="bottom"/>
          </w:tcPr>
          <w:p w:rsidR="00000000" w:rsidRDefault="00000000">
            <w:pPr>
              <w:tabs>
                <w:tab w:val="left" w:pos="288"/>
                <w:tab w:val="left" w:pos="576"/>
                <w:tab w:val="left" w:pos="864"/>
                <w:tab w:val="left" w:pos="1152"/>
              </w:tabs>
              <w:spacing w:before="40" w:after="40" w:line="210" w:lineRule="exact"/>
              <w:ind w:left="43" w:right="43"/>
              <w:rPr>
                <w:sz w:val="17"/>
              </w:rPr>
            </w:pPr>
            <w:r>
              <w:rPr>
                <w:sz w:val="17"/>
              </w:rPr>
              <w:t>Action in 2.8.2.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35 500 000</w:t>
            </w:r>
          </w:p>
        </w:tc>
        <w:tc>
          <w:tcPr>
            <w:tcW w:w="1267"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1268" w:type="dxa"/>
            <w:vMerge w:val="restart"/>
            <w:vAlign w:val="center"/>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rPr>
          <w:cantSplit/>
          <w:trHeight w:val="142"/>
        </w:trPr>
        <w:tc>
          <w:tcPr>
            <w:tcW w:w="225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vAlign w:val="bottom"/>
          </w:tcPr>
          <w:p w:rsidR="00000000" w:rsidRDefault="00000000">
            <w:pPr>
              <w:tabs>
                <w:tab w:val="left" w:pos="288"/>
                <w:tab w:val="left" w:pos="576"/>
                <w:tab w:val="left" w:pos="864"/>
                <w:tab w:val="left" w:pos="1152"/>
              </w:tabs>
              <w:spacing w:before="40" w:after="40" w:line="210" w:lineRule="exact"/>
              <w:ind w:left="43" w:right="43"/>
              <w:rPr>
                <w:sz w:val="17"/>
              </w:rPr>
            </w:pPr>
            <w:r>
              <w:rPr>
                <w:sz w:val="17"/>
              </w:rPr>
              <w:t>Action in 8.8.2.</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800 000</w:t>
            </w:r>
          </w:p>
        </w:tc>
        <w:tc>
          <w:tcPr>
            <w:tcW w:w="1267"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Employment and Vocational Training</w:t>
            </w:r>
          </w:p>
        </w:tc>
        <w:tc>
          <w:tcPr>
            <w:tcW w:w="1267" w:type="dxa"/>
          </w:tcPr>
          <w:p w:rsidR="00000000" w:rsidRDefault="00000000">
            <w:pPr>
              <w:tabs>
                <w:tab w:val="left" w:pos="288"/>
                <w:tab w:val="left" w:pos="576"/>
                <w:tab w:val="left" w:pos="864"/>
                <w:tab w:val="left" w:pos="1152"/>
              </w:tabs>
              <w:spacing w:before="40" w:after="40" w:line="210" w:lineRule="exact"/>
              <w:ind w:left="43" w:right="43"/>
              <w:rPr>
                <w:sz w:val="17"/>
              </w:rPr>
            </w:pPr>
            <w:r>
              <w:rPr>
                <w:sz w:val="17"/>
              </w:rPr>
              <w:t>5.1.,5.2.,5.3</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175 000 000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 and Initial Vocational Training</w:t>
            </w:r>
          </w:p>
        </w:tc>
        <w:tc>
          <w:tcPr>
            <w:tcW w:w="1267" w:type="dxa"/>
          </w:tcPr>
          <w:p w:rsidR="00000000" w:rsidRDefault="00000000">
            <w:pPr>
              <w:tabs>
                <w:tab w:val="left" w:pos="288"/>
                <w:tab w:val="left" w:pos="576"/>
                <w:tab w:val="left" w:pos="864"/>
                <w:tab w:val="left" w:pos="1152"/>
              </w:tabs>
              <w:spacing w:before="40" w:after="40" w:line="210" w:lineRule="exact"/>
              <w:ind w:left="43" w:right="43"/>
              <w:rPr>
                <w:sz w:val="17"/>
              </w:rPr>
            </w:pPr>
            <w:r>
              <w:rPr>
                <w:sz w:val="17"/>
              </w:rPr>
              <w:t>4.1 and 4.2</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69 469 234</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Information Society</w:t>
            </w:r>
          </w:p>
        </w:tc>
        <w:tc>
          <w:tcPr>
            <w:tcW w:w="1267" w:type="dxa"/>
          </w:tcPr>
          <w:p w:rsidR="00000000" w:rsidRDefault="00000000">
            <w:pPr>
              <w:tabs>
                <w:tab w:val="left" w:pos="288"/>
                <w:tab w:val="left" w:pos="576"/>
                <w:tab w:val="left" w:pos="864"/>
                <w:tab w:val="left" w:pos="1152"/>
              </w:tabs>
              <w:spacing w:before="40" w:after="40" w:line="210" w:lineRule="exact"/>
              <w:ind w:left="43" w:right="43"/>
              <w:rPr>
                <w:sz w:val="17"/>
              </w:rPr>
            </w:pPr>
            <w:r>
              <w:rPr>
                <w:sz w:val="17"/>
              </w:rPr>
              <w:t>Actions in 3.5 and 3.4</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of the cost will be allotted, i.e.8.000.000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Eastern Macedonia and Thrace</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5.4.</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23.734.740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Attica</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3.3.</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17.972.977</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Northern Aegean</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1.5.</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13.206.082</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Western Greece</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16.140.552</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Western Macedonia</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1.1.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13.206.163</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Epirus</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16.573.000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Regionof Thessaly</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5.3.</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21.716.800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Ionian Islands</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5.3.</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10.570.000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Central Macedonia</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34.629.505</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Crete</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6.1.</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18.999.997</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14,25</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Southern Aegean</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4.2.</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14.434.335</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Peloponnese</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5.3.</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8.800.000</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Operational Programmes of the Region of Central Greece (Sterea Hellas)</w:t>
            </w:r>
          </w:p>
        </w:tc>
        <w:tc>
          <w:tcPr>
            <w:tcW w:w="1267" w:type="dxa"/>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5.2.</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19.075.568</w:t>
            </w:r>
          </w:p>
        </w:tc>
        <w:tc>
          <w:tcPr>
            <w:tcW w:w="12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268"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Community Programme EQUAL</w:t>
            </w:r>
          </w:p>
        </w:tc>
        <w:tc>
          <w:tcPr>
            <w:tcW w:w="12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left="43" w:right="43"/>
              <w:jc w:val="right"/>
              <w:rPr>
                <w:sz w:val="17"/>
              </w:rPr>
            </w:pPr>
            <w:r>
              <w:rPr>
                <w:sz w:val="17"/>
              </w:rPr>
              <w:t>4.1., 4.2.</w:t>
            </w:r>
          </w:p>
        </w:tc>
        <w:tc>
          <w:tcPr>
            <w:tcW w:w="12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13.880.000</w:t>
            </w:r>
          </w:p>
        </w:tc>
        <w:tc>
          <w:tcPr>
            <w:tcW w:w="12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68"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lang w:val="en-US"/>
        </w:rPr>
        <w:t>Source</w:t>
      </w:r>
      <w:r>
        <w:rPr>
          <w:lang w:val="en-GB"/>
        </w:rPr>
        <w:t xml:space="preserve">: </w:t>
      </w:r>
      <w:r>
        <w:rPr>
          <w:lang w:val="en-US"/>
        </w:rPr>
        <w:t>Financial</w:t>
      </w:r>
      <w:r>
        <w:rPr>
          <w:lang w:val="en-GB"/>
        </w:rPr>
        <w:t xml:space="preserve"> </w:t>
      </w:r>
      <w:r>
        <w:rPr>
          <w:lang w:val="en-US"/>
        </w:rPr>
        <w:t>data</w:t>
      </w:r>
      <w:r>
        <w:rPr>
          <w:lang w:val="en-GB"/>
        </w:rPr>
        <w:t xml:space="preserve"> </w:t>
      </w:r>
      <w:r>
        <w:rPr>
          <w:lang w:val="en-US"/>
        </w:rPr>
        <w:t>of</w:t>
      </w:r>
      <w:r>
        <w:rPr>
          <w:lang w:val="en-GB"/>
        </w:rPr>
        <w:t xml:space="preserve"> the </w:t>
      </w:r>
      <w:r>
        <w:rPr>
          <w:lang w:val="en-US"/>
        </w:rPr>
        <w:t>3</w:t>
      </w:r>
      <w:r>
        <w:rPr>
          <w:vertAlign w:val="superscript"/>
          <w:lang w:val="en-US"/>
        </w:rPr>
        <w:t>rd</w:t>
      </w:r>
      <w:r>
        <w:rPr>
          <w:lang w:val="en-US"/>
        </w:rPr>
        <w:t xml:space="preserve"> Community Support Framework</w:t>
      </w:r>
      <w:r>
        <w:rPr>
          <w:lang w:val="en-GB"/>
        </w:rPr>
        <w:t xml:space="preserve"> </w:t>
      </w:r>
      <w:r>
        <w:rPr>
          <w:lang w:val="en-US"/>
        </w:rPr>
        <w:t>Operational Programmes and the EQUAL Community Programme</w:t>
      </w:r>
      <w:r>
        <w:rPr>
          <w:lang w:val="en-GB"/>
        </w:rPr>
        <w:t xml:space="preserve"> Programming Complements, Study of the Research Centre for Gender Equality.</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13"/>
        </w:numPr>
      </w:pPr>
      <w:r>
        <w:t>Establishment</w:t>
      </w:r>
      <w:r>
        <w:rPr>
          <w:lang w:val="en-GB"/>
        </w:rPr>
        <w:t xml:space="preserve"> </w:t>
      </w:r>
      <w:r>
        <w:t>of</w:t>
      </w:r>
      <w:r>
        <w:rPr>
          <w:lang w:val="en-GB"/>
        </w:rPr>
        <w:t xml:space="preserve"> </w:t>
      </w:r>
      <w:r>
        <w:t>agencies to support and monitor equality:</w:t>
      </w:r>
    </w:p>
    <w:p w:rsidR="00000000" w:rsidRDefault="00000000">
      <w:pPr>
        <w:pStyle w:val="SingleTxt"/>
        <w:tabs>
          <w:tab w:val="right" w:pos="1685"/>
        </w:tabs>
        <w:ind w:left="1742" w:hanging="475"/>
        <w:rPr>
          <w:i/>
          <w:lang w:val="en-GB"/>
        </w:rPr>
      </w:pPr>
      <w:r>
        <w:rPr>
          <w:i/>
        </w:rPr>
        <w:tab/>
        <w:t>•</w:t>
      </w:r>
      <w:r>
        <w:rPr>
          <w:i/>
        </w:rPr>
        <w:tab/>
        <w:t>Special Service for E.S.F. Action Coordination in the Operational Programmes of the 3</w:t>
      </w:r>
      <w:r>
        <w:rPr>
          <w:i/>
          <w:vertAlign w:val="superscript"/>
        </w:rPr>
        <w:t>rd</w:t>
      </w:r>
      <w:r>
        <w:rPr>
          <w:i/>
        </w:rPr>
        <w:t xml:space="preserve"> Community Support Framework</w:t>
      </w:r>
      <w:r>
        <w:rPr>
          <w:i/>
          <w:lang w:val="en-GB"/>
        </w:rPr>
        <w:t xml:space="preserve"> </w:t>
      </w:r>
    </w:p>
    <w:p w:rsidR="00000000" w:rsidRDefault="00000000">
      <w:pPr>
        <w:pStyle w:val="SingleTxt"/>
        <w:rPr>
          <w:lang w:val="en-GB"/>
        </w:rPr>
      </w:pPr>
      <w:r>
        <w:rPr>
          <w:color w:val="000000"/>
        </w:rPr>
        <w:tab/>
        <w:t>The ΕΥSΕΚΤ (Special Service for the Coordination of Actions of the Eur</w:t>
      </w:r>
      <w:r>
        <w:rPr>
          <w:color w:val="000000"/>
        </w:rPr>
        <w:t>o</w:t>
      </w:r>
      <w:r>
        <w:rPr>
          <w:color w:val="000000"/>
        </w:rPr>
        <w:t>pean Social Fund)</w:t>
      </w:r>
      <w:r>
        <w:rPr>
          <w:lang w:val="en-GB"/>
        </w:rPr>
        <w:t xml:space="preserve">, </w:t>
      </w:r>
      <w:r>
        <w:t>as</w:t>
      </w:r>
      <w:r>
        <w:rPr>
          <w:lang w:val="en-GB"/>
        </w:rPr>
        <w:t xml:space="preserve"> </w:t>
      </w:r>
      <w:r>
        <w:t>the</w:t>
      </w:r>
      <w:r>
        <w:rPr>
          <w:lang w:val="en-GB"/>
        </w:rPr>
        <w:t xml:space="preserve"> authority co</w:t>
      </w:r>
      <w:r>
        <w:t>mpetent</w:t>
      </w:r>
      <w:r>
        <w:rPr>
          <w:lang w:val="en-GB"/>
        </w:rPr>
        <w:t xml:space="preserve"> to </w:t>
      </w:r>
      <w:r>
        <w:t>coordinate</w:t>
      </w:r>
      <w:r>
        <w:rPr>
          <w:lang w:val="en-GB"/>
        </w:rPr>
        <w:t xml:space="preserve"> </w:t>
      </w:r>
      <w:r>
        <w:t>actions</w:t>
      </w:r>
      <w:r>
        <w:rPr>
          <w:lang w:val="en-GB"/>
        </w:rPr>
        <w:t xml:space="preserve"> </w:t>
      </w:r>
      <w:r>
        <w:t>of</w:t>
      </w:r>
      <w:r>
        <w:rPr>
          <w:lang w:val="en-GB"/>
        </w:rPr>
        <w:t xml:space="preserve"> </w:t>
      </w:r>
      <w:r>
        <w:t>the</w:t>
      </w:r>
      <w:r>
        <w:rPr>
          <w:lang w:val="en-GB"/>
        </w:rPr>
        <w:t xml:space="preserve"> </w:t>
      </w:r>
      <w:r>
        <w:t>European</w:t>
      </w:r>
      <w:r>
        <w:rPr>
          <w:lang w:val="en-GB"/>
        </w:rPr>
        <w:t xml:space="preserve"> </w:t>
      </w:r>
      <w:r>
        <w:t>Social</w:t>
      </w:r>
      <w:r>
        <w:rPr>
          <w:lang w:val="en-GB"/>
        </w:rPr>
        <w:t xml:space="preserve"> </w:t>
      </w:r>
      <w:r>
        <w:t>Fund</w:t>
      </w:r>
      <w:r>
        <w:rPr>
          <w:lang w:val="en-GB"/>
        </w:rPr>
        <w:t xml:space="preserve"> </w:t>
      </w:r>
      <w:r>
        <w:t>and</w:t>
      </w:r>
      <w:r>
        <w:rPr>
          <w:lang w:val="en-GB"/>
        </w:rPr>
        <w:t xml:space="preserve"> </w:t>
      </w:r>
      <w:r>
        <w:t>monitor</w:t>
      </w:r>
      <w:r>
        <w:rPr>
          <w:lang w:val="en-GB"/>
        </w:rPr>
        <w:t xml:space="preserve"> </w:t>
      </w:r>
      <w:r>
        <w:t>the</w:t>
      </w:r>
      <w:r>
        <w:rPr>
          <w:lang w:val="en-GB"/>
        </w:rPr>
        <w:t xml:space="preserve"> </w:t>
      </w:r>
      <w:r>
        <w:t>effectiveness of interventions of the European Social Fund</w:t>
      </w:r>
      <w:r>
        <w:rPr>
          <w:lang w:val="en-GB"/>
        </w:rPr>
        <w:t xml:space="preserve">, </w:t>
      </w:r>
      <w:r>
        <w:rPr>
          <w:i/>
        </w:rPr>
        <w:t>has undertaken the responsibility of promoting gender equality issues in the actions of the Operational Programmes</w:t>
      </w:r>
      <w:r>
        <w:rPr>
          <w:i/>
          <w:lang w:val="en-GB"/>
        </w:rPr>
        <w:t>.</w:t>
      </w:r>
    </w:p>
    <w:p w:rsidR="00000000" w:rsidRDefault="00000000">
      <w:pPr>
        <w:pStyle w:val="SingleTxt"/>
        <w:tabs>
          <w:tab w:val="right" w:pos="1685"/>
        </w:tabs>
        <w:ind w:left="1742" w:hanging="475"/>
        <w:rPr>
          <w:lang w:val="en-GB"/>
        </w:rPr>
      </w:pPr>
      <w:r>
        <w:rPr>
          <w:i/>
          <w:spacing w:val="6"/>
          <w:lang w:val="en-US"/>
        </w:rPr>
        <w:tab/>
        <w:t>•</w:t>
      </w:r>
      <w:r>
        <w:rPr>
          <w:i/>
          <w:spacing w:val="6"/>
          <w:lang w:val="en-US"/>
        </w:rPr>
        <w:tab/>
        <w:t>Appointment</w:t>
      </w:r>
      <w:r>
        <w:rPr>
          <w:i/>
          <w:spacing w:val="6"/>
          <w:lang w:val="en-GB"/>
        </w:rPr>
        <w:t xml:space="preserve"> </w:t>
      </w:r>
      <w:r>
        <w:rPr>
          <w:i/>
          <w:spacing w:val="6"/>
          <w:lang w:val="en-US"/>
        </w:rPr>
        <w:t>of</w:t>
      </w:r>
      <w:r>
        <w:rPr>
          <w:i/>
          <w:spacing w:val="6"/>
          <w:lang w:val="en-GB"/>
        </w:rPr>
        <w:t xml:space="preserve"> Officers </w:t>
      </w:r>
      <w:r>
        <w:rPr>
          <w:i/>
          <w:spacing w:val="6"/>
          <w:lang w:val="en-US"/>
        </w:rPr>
        <w:t>for</w:t>
      </w:r>
      <w:r>
        <w:rPr>
          <w:i/>
          <w:spacing w:val="6"/>
          <w:lang w:val="en-GB"/>
        </w:rPr>
        <w:t xml:space="preserve"> </w:t>
      </w:r>
      <w:r>
        <w:rPr>
          <w:i/>
          <w:spacing w:val="6"/>
          <w:lang w:val="en-US"/>
        </w:rPr>
        <w:t>Gender</w:t>
      </w:r>
      <w:r>
        <w:rPr>
          <w:i/>
          <w:spacing w:val="6"/>
          <w:lang w:val="en-GB"/>
        </w:rPr>
        <w:t xml:space="preserve"> </w:t>
      </w:r>
      <w:r>
        <w:rPr>
          <w:i/>
          <w:spacing w:val="6"/>
          <w:lang w:val="en-US"/>
        </w:rPr>
        <w:t>Equality</w:t>
      </w:r>
      <w:r>
        <w:rPr>
          <w:spacing w:val="6"/>
          <w:lang w:val="en-GB"/>
        </w:rPr>
        <w:t xml:space="preserve"> </w:t>
      </w:r>
      <w:r>
        <w:rPr>
          <w:spacing w:val="6"/>
          <w:lang w:val="en-US"/>
        </w:rPr>
        <w:t>in Managing Authorities of Sec</w:t>
      </w:r>
      <w:r>
        <w:rPr>
          <w:lang w:val="en-US"/>
        </w:rPr>
        <w:t>toral Operational Programmes of the 3</w:t>
      </w:r>
      <w:r>
        <w:rPr>
          <w:vertAlign w:val="superscript"/>
          <w:lang w:val="en-US"/>
        </w:rPr>
        <w:t>rd</w:t>
      </w:r>
      <w:r>
        <w:rPr>
          <w:lang w:val="en-US"/>
        </w:rPr>
        <w:t xml:space="preserve"> Community Support Framework</w:t>
      </w:r>
      <w:r>
        <w:rPr>
          <w:lang w:val="en-GB"/>
        </w:rPr>
        <w:t>. Issuing,</w:t>
      </w:r>
      <w:r>
        <w:rPr>
          <w:lang w:val="en-US"/>
        </w:rPr>
        <w:t xml:space="preserve"> by the Ministry of National Economy,</w:t>
      </w:r>
      <w:r>
        <w:rPr>
          <w:lang w:val="en-GB"/>
        </w:rPr>
        <w:t xml:space="preserve"> of the 18321/6/6/2001 circular “on appointment of officers responsible for gender equality in Managing Authorities”.</w:t>
      </w:r>
    </w:p>
    <w:p w:rsidR="00000000" w:rsidRDefault="00000000">
      <w:pPr>
        <w:pStyle w:val="SingleTxt"/>
        <w:tabs>
          <w:tab w:val="right" w:pos="1685"/>
        </w:tabs>
        <w:ind w:left="1742" w:hanging="475"/>
        <w:rPr>
          <w:lang w:val="en-GB"/>
        </w:rPr>
      </w:pPr>
      <w:r>
        <w:tab/>
        <w:t>•</w:t>
      </w:r>
      <w:r>
        <w:tab/>
        <w:t>Publication</w:t>
      </w:r>
      <w:r>
        <w:rPr>
          <w:lang w:val="en-GB"/>
        </w:rPr>
        <w:t xml:space="preserve"> </w:t>
      </w:r>
      <w:r>
        <w:t>of</w:t>
      </w:r>
      <w:r>
        <w:rPr>
          <w:lang w:val="en-GB"/>
        </w:rPr>
        <w:t xml:space="preserve"> a </w:t>
      </w:r>
      <w:r>
        <w:t>Guide</w:t>
      </w:r>
      <w:r>
        <w:rPr>
          <w:lang w:val="en-GB"/>
        </w:rPr>
        <w:t xml:space="preserve"> </w:t>
      </w:r>
      <w:r>
        <w:t>on</w:t>
      </w:r>
      <w:r>
        <w:rPr>
          <w:lang w:val="en-GB"/>
        </w:rPr>
        <w:t xml:space="preserve"> </w:t>
      </w:r>
      <w:r>
        <w:t>the</w:t>
      </w:r>
      <w:r>
        <w:rPr>
          <w:lang w:val="en-GB"/>
        </w:rPr>
        <w:t xml:space="preserve"> </w:t>
      </w:r>
      <w:r>
        <w:t>integration</w:t>
      </w:r>
      <w:r>
        <w:rPr>
          <w:lang w:val="en-GB"/>
        </w:rPr>
        <w:t xml:space="preserve"> </w:t>
      </w:r>
      <w:r>
        <w:t>of gender equality policies on gender equality</w:t>
      </w:r>
      <w:r>
        <w:rPr>
          <w:lang w:val="en-GB"/>
        </w:rPr>
        <w:t xml:space="preserve"> </w:t>
      </w:r>
      <w:r>
        <w:t>in the planning and evaluation of actions of the</w:t>
      </w:r>
      <w:r>
        <w:rPr>
          <w:i/>
        </w:rPr>
        <w:t xml:space="preserve"> </w:t>
      </w:r>
      <w:r>
        <w:t>Operational Pr</w:t>
      </w:r>
      <w:r>
        <w:t>o</w:t>
      </w:r>
      <w:r>
        <w:t>grammes</w:t>
      </w:r>
      <w:r>
        <w:rPr>
          <w:lang w:val="en-GB"/>
        </w:rPr>
        <w:t xml:space="preserve"> </w:t>
      </w:r>
      <w:r>
        <w:t>of</w:t>
      </w:r>
      <w:r>
        <w:rPr>
          <w:lang w:val="en-GB"/>
        </w:rPr>
        <w:t xml:space="preserve"> </w:t>
      </w:r>
      <w:r>
        <w:t>the</w:t>
      </w:r>
      <w:r>
        <w:rPr>
          <w:lang w:val="en-GB"/>
        </w:rPr>
        <w:t xml:space="preserve"> 3</w:t>
      </w:r>
      <w:r>
        <w:rPr>
          <w:vertAlign w:val="superscript"/>
        </w:rPr>
        <w:t>rd</w:t>
      </w:r>
      <w:r>
        <w:rPr>
          <w:lang w:val="en-GB"/>
        </w:rPr>
        <w:t xml:space="preserve"> </w:t>
      </w:r>
      <w:r>
        <w:t>Community</w:t>
      </w:r>
      <w:r>
        <w:rPr>
          <w:lang w:val="en-GB"/>
        </w:rPr>
        <w:t xml:space="preserve"> </w:t>
      </w:r>
      <w:r>
        <w:t>Support</w:t>
      </w:r>
      <w:r>
        <w:rPr>
          <w:lang w:val="en-GB"/>
        </w:rPr>
        <w:t xml:space="preserve"> </w:t>
      </w:r>
      <w:r>
        <w:t>Framework</w:t>
      </w:r>
      <w:r>
        <w:rPr>
          <w:lang w:val="en-GB"/>
        </w:rPr>
        <w:t xml:space="preserve"> (</w:t>
      </w:r>
      <w:r>
        <w:t>ΚΕTHΙ</w:t>
      </w:r>
      <w:r>
        <w:rPr>
          <w:lang w:val="en-GB"/>
        </w:rPr>
        <w:t>, June 2003)</w:t>
      </w:r>
    </w:p>
    <w:p w:rsidR="00000000" w:rsidRDefault="00000000">
      <w:pPr>
        <w:pStyle w:val="SingleTxt"/>
        <w:rPr>
          <w:lang w:val="en-GB"/>
        </w:rPr>
      </w:pPr>
      <w:r>
        <w:rPr>
          <w:lang w:val="en-US"/>
        </w:rPr>
        <w:tab/>
        <w:t>The</w:t>
      </w:r>
      <w:r>
        <w:rPr>
          <w:lang w:val="en-GB"/>
        </w:rPr>
        <w:t xml:space="preserve"> </w:t>
      </w:r>
      <w:r>
        <w:rPr>
          <w:lang w:val="en-US"/>
        </w:rPr>
        <w:t>publication</w:t>
      </w:r>
      <w:r>
        <w:rPr>
          <w:lang w:val="en-GB"/>
        </w:rPr>
        <w:t xml:space="preserve"> </w:t>
      </w:r>
      <w:r>
        <w:rPr>
          <w:lang w:val="en-US"/>
        </w:rPr>
        <w:t>of</w:t>
      </w:r>
      <w:r>
        <w:rPr>
          <w:lang w:val="en-GB"/>
        </w:rPr>
        <w:t xml:space="preserve"> </w:t>
      </w:r>
      <w:r>
        <w:rPr>
          <w:lang w:val="en-US"/>
        </w:rPr>
        <w:t>the</w:t>
      </w:r>
      <w:r>
        <w:rPr>
          <w:lang w:val="en-GB"/>
        </w:rPr>
        <w:t xml:space="preserve"> </w:t>
      </w:r>
      <w:r>
        <w:rPr>
          <w:lang w:val="en-US"/>
        </w:rPr>
        <w:t>Guide</w:t>
      </w:r>
      <w:r>
        <w:rPr>
          <w:lang w:val="en-GB"/>
        </w:rPr>
        <w:t xml:space="preserve">, </w:t>
      </w:r>
      <w:r>
        <w:rPr>
          <w:lang w:val="en-US"/>
        </w:rPr>
        <w:t>which</w:t>
      </w:r>
      <w:r>
        <w:rPr>
          <w:lang w:val="en-GB"/>
        </w:rPr>
        <w:t xml:space="preserve"> </w:t>
      </w:r>
      <w:r>
        <w:rPr>
          <w:lang w:val="en-US"/>
        </w:rPr>
        <w:t>was</w:t>
      </w:r>
      <w:r>
        <w:rPr>
          <w:lang w:val="en-GB"/>
        </w:rPr>
        <w:t xml:space="preserve"> </w:t>
      </w:r>
      <w:r>
        <w:rPr>
          <w:lang w:val="en-US"/>
        </w:rPr>
        <w:t>distributed</w:t>
      </w:r>
      <w:r>
        <w:rPr>
          <w:lang w:val="en-GB"/>
        </w:rPr>
        <w:t xml:space="preserve"> </w:t>
      </w:r>
      <w:r>
        <w:rPr>
          <w:lang w:val="en-US"/>
        </w:rPr>
        <w:t>to</w:t>
      </w:r>
      <w:r>
        <w:rPr>
          <w:lang w:val="en-GB"/>
        </w:rPr>
        <w:t xml:space="preserve"> </w:t>
      </w:r>
      <w:r>
        <w:rPr>
          <w:lang w:val="en-US"/>
        </w:rPr>
        <w:t>all</w:t>
      </w:r>
      <w:r>
        <w:rPr>
          <w:lang w:val="en-GB"/>
        </w:rPr>
        <w:t xml:space="preserve"> </w:t>
      </w:r>
      <w:r>
        <w:rPr>
          <w:lang w:val="en-US"/>
        </w:rPr>
        <w:t>Managing</w:t>
      </w:r>
      <w:r>
        <w:rPr>
          <w:lang w:val="en-GB"/>
        </w:rPr>
        <w:t xml:space="preserve"> </w:t>
      </w:r>
      <w:r>
        <w:rPr>
          <w:lang w:val="en-US"/>
        </w:rPr>
        <w:t>Author</w:t>
      </w:r>
      <w:r>
        <w:rPr>
          <w:lang w:val="en-US"/>
        </w:rPr>
        <w:t>i</w:t>
      </w:r>
      <w:r>
        <w:rPr>
          <w:lang w:val="en-US"/>
        </w:rPr>
        <w:t>ties</w:t>
      </w:r>
      <w:r>
        <w:rPr>
          <w:lang w:val="en-GB"/>
        </w:rPr>
        <w:t xml:space="preserve">, </w:t>
      </w:r>
      <w:r>
        <w:rPr>
          <w:lang w:val="en-US"/>
        </w:rPr>
        <w:t>to</w:t>
      </w:r>
      <w:r>
        <w:rPr>
          <w:lang w:val="en-GB"/>
        </w:rPr>
        <w:t xml:space="preserve"> </w:t>
      </w:r>
      <w:r>
        <w:rPr>
          <w:lang w:val="en-US"/>
        </w:rPr>
        <w:t>final</w:t>
      </w:r>
      <w:r>
        <w:rPr>
          <w:lang w:val="en-GB"/>
        </w:rPr>
        <w:t xml:space="preserve"> </w:t>
      </w:r>
      <w:r>
        <w:rPr>
          <w:lang w:val="en-US"/>
        </w:rPr>
        <w:t>beneficiaries</w:t>
      </w:r>
      <w:r>
        <w:rPr>
          <w:lang w:val="en-GB"/>
        </w:rPr>
        <w:t xml:space="preserve"> </w:t>
      </w:r>
      <w:r>
        <w:rPr>
          <w:lang w:val="en-US"/>
        </w:rPr>
        <w:t>of</w:t>
      </w:r>
      <w:r>
        <w:rPr>
          <w:lang w:val="en-GB"/>
        </w:rPr>
        <w:t xml:space="preserve"> the </w:t>
      </w:r>
      <w:r>
        <w:rPr>
          <w:lang w:val="en-US"/>
        </w:rPr>
        <w:t>Operational Programmes</w:t>
      </w:r>
      <w:r>
        <w:rPr>
          <w:lang w:val="en-GB"/>
        </w:rPr>
        <w:t xml:space="preserve"> </w:t>
      </w:r>
      <w:r>
        <w:rPr>
          <w:lang w:val="en-US"/>
        </w:rPr>
        <w:t>as</w:t>
      </w:r>
      <w:r>
        <w:rPr>
          <w:lang w:val="en-GB"/>
        </w:rPr>
        <w:t xml:space="preserve"> </w:t>
      </w:r>
      <w:r>
        <w:rPr>
          <w:lang w:val="en-US"/>
        </w:rPr>
        <w:t>well</w:t>
      </w:r>
      <w:r>
        <w:rPr>
          <w:lang w:val="en-GB"/>
        </w:rPr>
        <w:t xml:space="preserve"> </w:t>
      </w:r>
      <w:r>
        <w:rPr>
          <w:lang w:val="en-US"/>
        </w:rPr>
        <w:t>as</w:t>
      </w:r>
      <w:r>
        <w:rPr>
          <w:lang w:val="en-GB"/>
        </w:rPr>
        <w:t xml:space="preserve"> </w:t>
      </w:r>
      <w:r>
        <w:rPr>
          <w:lang w:val="en-US"/>
        </w:rPr>
        <w:t>consultants</w:t>
      </w:r>
      <w:r>
        <w:rPr>
          <w:lang w:val="en-GB"/>
        </w:rPr>
        <w:t xml:space="preserve"> for the </w:t>
      </w:r>
      <w:r>
        <w:rPr>
          <w:lang w:val="en-US"/>
        </w:rPr>
        <w:t>intermediate</w:t>
      </w:r>
      <w:r>
        <w:rPr>
          <w:lang w:val="en-GB"/>
        </w:rPr>
        <w:t xml:space="preserve"> </w:t>
      </w:r>
      <w:r>
        <w:rPr>
          <w:lang w:val="en-US"/>
        </w:rPr>
        <w:t>evaluation</w:t>
      </w:r>
      <w:r>
        <w:rPr>
          <w:lang w:val="en-GB"/>
        </w:rPr>
        <w:t xml:space="preserve"> </w:t>
      </w:r>
      <w:r>
        <w:rPr>
          <w:lang w:val="en-US"/>
        </w:rPr>
        <w:t>of</w:t>
      </w:r>
      <w:r>
        <w:rPr>
          <w:lang w:val="en-GB"/>
        </w:rPr>
        <w:t xml:space="preserve"> </w:t>
      </w:r>
      <w:r>
        <w:rPr>
          <w:lang w:val="en-US"/>
        </w:rPr>
        <w:t>Operational</w:t>
      </w:r>
      <w:r>
        <w:rPr>
          <w:lang w:val="en-GB"/>
        </w:rPr>
        <w:t xml:space="preserve"> </w:t>
      </w:r>
      <w:r>
        <w:rPr>
          <w:lang w:val="en-US"/>
        </w:rPr>
        <w:t>Programmes</w:t>
      </w:r>
      <w:r>
        <w:rPr>
          <w:lang w:val="en-GB"/>
        </w:rPr>
        <w:t xml:space="preserve">, </w:t>
      </w:r>
      <w:r>
        <w:rPr>
          <w:lang w:val="en-US"/>
        </w:rPr>
        <w:t>mainly</w:t>
      </w:r>
      <w:r>
        <w:rPr>
          <w:lang w:val="en-GB"/>
        </w:rPr>
        <w:t xml:space="preserve"> </w:t>
      </w:r>
      <w:r>
        <w:rPr>
          <w:lang w:val="en-US"/>
        </w:rPr>
        <w:t>aims</w:t>
      </w:r>
      <w:r>
        <w:rPr>
          <w:lang w:val="en-GB"/>
        </w:rPr>
        <w:t xml:space="preserve"> </w:t>
      </w:r>
      <w:r>
        <w:rPr>
          <w:lang w:val="en-US"/>
        </w:rPr>
        <w:t>at</w:t>
      </w:r>
      <w:r>
        <w:rPr>
          <w:lang w:val="en-GB"/>
        </w:rPr>
        <w:t xml:space="preserve"> </w:t>
      </w:r>
      <w:r>
        <w:rPr>
          <w:lang w:val="en-US"/>
        </w:rPr>
        <w:t>promoting</w:t>
      </w:r>
      <w:r>
        <w:rPr>
          <w:lang w:val="en-GB"/>
        </w:rPr>
        <w:t xml:space="preserve"> </w:t>
      </w:r>
      <w:r>
        <w:rPr>
          <w:lang w:val="en-US"/>
        </w:rPr>
        <w:t>the</w:t>
      </w:r>
      <w:r>
        <w:rPr>
          <w:lang w:val="en-GB"/>
        </w:rPr>
        <w:t xml:space="preserve"> </w:t>
      </w:r>
      <w:r>
        <w:rPr>
          <w:lang w:val="en-US"/>
        </w:rPr>
        <w:t>integration</w:t>
      </w:r>
      <w:r>
        <w:rPr>
          <w:lang w:val="en-GB"/>
        </w:rPr>
        <w:t xml:space="preserve"> </w:t>
      </w:r>
      <w:r>
        <w:rPr>
          <w:lang w:val="en-US"/>
        </w:rPr>
        <w:t>of</w:t>
      </w:r>
      <w:r>
        <w:rPr>
          <w:lang w:val="en-GB"/>
        </w:rPr>
        <w:t xml:space="preserve"> </w:t>
      </w:r>
      <w:r>
        <w:rPr>
          <w:lang w:val="en-US"/>
        </w:rPr>
        <w:t>gender</w:t>
      </w:r>
      <w:r>
        <w:rPr>
          <w:lang w:val="en-GB"/>
        </w:rPr>
        <w:t xml:space="preserve"> </w:t>
      </w:r>
      <w:r>
        <w:rPr>
          <w:lang w:val="en-US"/>
        </w:rPr>
        <w:t>equality</w:t>
      </w:r>
      <w:r>
        <w:rPr>
          <w:lang w:val="en-GB"/>
        </w:rPr>
        <w:t xml:space="preserve"> </w:t>
      </w:r>
      <w:r>
        <w:rPr>
          <w:lang w:val="en-US"/>
        </w:rPr>
        <w:t>in</w:t>
      </w:r>
      <w:r>
        <w:rPr>
          <w:lang w:val="en-GB"/>
        </w:rPr>
        <w:t xml:space="preserve"> </w:t>
      </w:r>
      <w:r>
        <w:rPr>
          <w:lang w:val="en-US"/>
        </w:rPr>
        <w:t>the</w:t>
      </w:r>
      <w:r>
        <w:rPr>
          <w:lang w:val="en-GB"/>
        </w:rPr>
        <w:t xml:space="preserve"> </w:t>
      </w:r>
      <w:r>
        <w:rPr>
          <w:lang w:val="en-US"/>
        </w:rPr>
        <w:t>implementation of the 3</w:t>
      </w:r>
      <w:r>
        <w:rPr>
          <w:vertAlign w:val="superscript"/>
          <w:lang w:val="en-US"/>
        </w:rPr>
        <w:t>rd</w:t>
      </w:r>
      <w:r>
        <w:rPr>
          <w:lang w:val="en-US"/>
        </w:rPr>
        <w:t xml:space="preserve"> Community Su</w:t>
      </w:r>
      <w:r>
        <w:rPr>
          <w:lang w:val="en-US"/>
        </w:rPr>
        <w:t>p</w:t>
      </w:r>
      <w:r>
        <w:rPr>
          <w:lang w:val="en-US"/>
        </w:rPr>
        <w:t>port Framework, providing technical knowledge to persons involved in planning, monitoring and evaluating Operational Programmes</w:t>
      </w:r>
      <w:r>
        <w:rPr>
          <w:lang w:val="en-GB"/>
        </w:rPr>
        <w:t xml:space="preserve">, both at the level of Managing Authorities and the level of final beneficiaries. </w:t>
      </w:r>
    </w:p>
    <w:p w:rsidR="00000000" w:rsidRDefault="00000000">
      <w:pPr>
        <w:pStyle w:val="SingleTxt"/>
        <w:tabs>
          <w:tab w:val="right" w:pos="1685"/>
        </w:tabs>
        <w:ind w:left="1742" w:hanging="475"/>
        <w:rPr>
          <w:lang w:val="en-GB"/>
        </w:rPr>
      </w:pPr>
      <w:r>
        <w:rPr>
          <w:i/>
          <w:lang w:val="en-US"/>
        </w:rPr>
        <w:tab/>
        <w:t>•</w:t>
      </w:r>
      <w:r>
        <w:rPr>
          <w:i/>
          <w:lang w:val="en-US"/>
        </w:rPr>
        <w:tab/>
        <w:t>Organizing an informational seminar</w:t>
      </w:r>
      <w:r>
        <w:rPr>
          <w:b/>
          <w:lang w:val="en-GB"/>
        </w:rPr>
        <w:t xml:space="preserve"> </w:t>
      </w:r>
      <w:r>
        <w:rPr>
          <w:lang w:val="en-US"/>
        </w:rPr>
        <w:t>concerning integration of gender equa</w:t>
      </w:r>
      <w:r>
        <w:rPr>
          <w:lang w:val="en-US"/>
        </w:rPr>
        <w:t>l</w:t>
      </w:r>
      <w:r>
        <w:rPr>
          <w:lang w:val="en-US"/>
        </w:rPr>
        <w:t>ity</w:t>
      </w:r>
      <w:r>
        <w:rPr>
          <w:lang w:val="en-GB"/>
        </w:rPr>
        <w:t xml:space="preserve"> </w:t>
      </w:r>
      <w:r>
        <w:rPr>
          <w:lang w:val="en-US"/>
        </w:rPr>
        <w:t>into the actions implemented in the context of the Operational Programmes. The seminar was intended</w:t>
      </w:r>
      <w:r>
        <w:rPr>
          <w:lang w:val="en-GB"/>
        </w:rPr>
        <w:t xml:space="preserve"> </w:t>
      </w:r>
      <w:r>
        <w:rPr>
          <w:lang w:val="en-US"/>
        </w:rPr>
        <w:t>for</w:t>
      </w:r>
      <w:r>
        <w:rPr>
          <w:lang w:val="en-GB"/>
        </w:rPr>
        <w:t xml:space="preserve"> </w:t>
      </w:r>
      <w:r>
        <w:rPr>
          <w:lang w:val="en-US"/>
        </w:rPr>
        <w:t>people</w:t>
      </w:r>
      <w:r>
        <w:rPr>
          <w:lang w:val="en-GB"/>
        </w:rPr>
        <w:t xml:space="preserve"> </w:t>
      </w:r>
      <w:r>
        <w:rPr>
          <w:lang w:val="en-US"/>
        </w:rPr>
        <w:t>responsible</w:t>
      </w:r>
      <w:r>
        <w:rPr>
          <w:lang w:val="en-GB"/>
        </w:rPr>
        <w:t xml:space="preserve"> </w:t>
      </w:r>
      <w:r>
        <w:rPr>
          <w:lang w:val="en-US"/>
        </w:rPr>
        <w:t>for</w:t>
      </w:r>
      <w:r>
        <w:rPr>
          <w:lang w:val="en-GB"/>
        </w:rPr>
        <w:t xml:space="preserve"> the </w:t>
      </w:r>
      <w:r>
        <w:rPr>
          <w:lang w:val="en-US"/>
        </w:rPr>
        <w:t>Operational</w:t>
      </w:r>
      <w:r>
        <w:rPr>
          <w:lang w:val="en-GB"/>
        </w:rPr>
        <w:t xml:space="preserve"> </w:t>
      </w:r>
      <w:r>
        <w:rPr>
          <w:lang w:val="en-US"/>
        </w:rPr>
        <w:t>Pr</w:t>
      </w:r>
      <w:r>
        <w:rPr>
          <w:lang w:val="en-US"/>
        </w:rPr>
        <w:t>o</w:t>
      </w:r>
      <w:r>
        <w:rPr>
          <w:lang w:val="en-US"/>
        </w:rPr>
        <w:t>grammes</w:t>
      </w:r>
      <w:r>
        <w:rPr>
          <w:lang w:val="en-GB"/>
        </w:rPr>
        <w:t xml:space="preserve">, executives of Managing Authorities, and implementation operators, Ithaca 19-20 </w:t>
      </w:r>
      <w:r>
        <w:rPr>
          <w:lang w:val="en-US"/>
        </w:rPr>
        <w:t>June</w:t>
      </w:r>
      <w:r>
        <w:rPr>
          <w:lang w:val="en-GB"/>
        </w:rPr>
        <w:t xml:space="preserve"> 2003.</w:t>
      </w:r>
    </w:p>
    <w:p w:rsidR="00000000" w:rsidRDefault="00000000">
      <w:pPr>
        <w:pStyle w:val="SingleTxt"/>
        <w:tabs>
          <w:tab w:val="right" w:pos="1685"/>
        </w:tabs>
        <w:ind w:left="1742" w:hanging="475"/>
        <w:rPr>
          <w:color w:val="000000"/>
          <w:lang w:val="en-GB"/>
        </w:rPr>
      </w:pPr>
      <w:r>
        <w:rPr>
          <w:i/>
          <w:lang w:val="en-US"/>
        </w:rPr>
        <w:tab/>
        <w:t>•</w:t>
      </w:r>
      <w:r>
        <w:rPr>
          <w:i/>
          <w:lang w:val="en-US"/>
        </w:rPr>
        <w:tab/>
        <w:t>Creation</w:t>
      </w:r>
      <w:r>
        <w:rPr>
          <w:i/>
          <w:lang w:val="en-GB"/>
        </w:rPr>
        <w:t xml:space="preserve"> </w:t>
      </w:r>
      <w:r>
        <w:rPr>
          <w:i/>
          <w:lang w:val="en-US"/>
        </w:rPr>
        <w:t>of</w:t>
      </w:r>
      <w:r>
        <w:rPr>
          <w:i/>
          <w:lang w:val="en-GB"/>
        </w:rPr>
        <w:t xml:space="preserve"> </w:t>
      </w:r>
      <w:r>
        <w:rPr>
          <w:i/>
          <w:lang w:val="en-US"/>
        </w:rPr>
        <w:t>a</w:t>
      </w:r>
      <w:r>
        <w:rPr>
          <w:i/>
          <w:lang w:val="en-GB"/>
        </w:rPr>
        <w:t xml:space="preserve"> </w:t>
      </w:r>
      <w:r>
        <w:rPr>
          <w:i/>
          <w:lang w:val="en-US"/>
        </w:rPr>
        <w:t>system</w:t>
      </w:r>
      <w:r>
        <w:rPr>
          <w:i/>
          <w:lang w:val="en-GB"/>
        </w:rPr>
        <w:t xml:space="preserve"> for </w:t>
      </w:r>
      <w:r>
        <w:rPr>
          <w:i/>
          <w:lang w:val="en-US"/>
        </w:rPr>
        <w:t>monitoring</w:t>
      </w:r>
      <w:r>
        <w:rPr>
          <w:b/>
          <w:lang w:val="en-GB"/>
        </w:rPr>
        <w:t xml:space="preserve"> </w:t>
      </w:r>
      <w:r>
        <w:rPr>
          <w:lang w:val="en-GB"/>
        </w:rPr>
        <w:t xml:space="preserve">the </w:t>
      </w:r>
      <w:r>
        <w:rPr>
          <w:lang w:val="en-US"/>
        </w:rPr>
        <w:t xml:space="preserve">promotion of gender equality in the actions of the Operational Programmes of the Community Support Framework </w:t>
      </w:r>
      <w:r>
        <w:rPr>
          <w:lang w:val="en-GB"/>
        </w:rPr>
        <w:t>2000-2006. (</w:t>
      </w:r>
      <w:r>
        <w:rPr>
          <w:lang w:val="en-US"/>
        </w:rPr>
        <w:t>database</w:t>
      </w:r>
      <w:r>
        <w:rPr>
          <w:lang w:val="en-GB"/>
        </w:rPr>
        <w:t xml:space="preserve"> </w:t>
      </w:r>
      <w:r>
        <w:rPr>
          <w:color w:val="000000"/>
        </w:rPr>
        <w:t>ΕΥSΕΚΤ</w:t>
      </w:r>
      <w:r>
        <w:rPr>
          <w:color w:val="000000"/>
          <w:lang w:val="en-GB"/>
        </w:rPr>
        <w:t>).</w:t>
      </w:r>
    </w:p>
    <w:p w:rsidR="00000000" w:rsidRDefault="00000000">
      <w:pPr>
        <w:pStyle w:val="SingleTxt"/>
        <w:tabs>
          <w:tab w:val="right" w:pos="1685"/>
        </w:tabs>
        <w:spacing w:after="0" w:line="120" w:lineRule="exact"/>
        <w:ind w:left="1742" w:hanging="475"/>
        <w:rPr>
          <w:color w:val="000000"/>
          <w:sz w:val="10"/>
          <w:lang w:val="en-GB"/>
        </w:rPr>
      </w:pPr>
    </w:p>
    <w:p w:rsidR="00000000" w:rsidRDefault="00000000">
      <w:pPr>
        <w:pStyle w:val="SingleTxt"/>
        <w:tabs>
          <w:tab w:val="right" w:pos="1685"/>
        </w:tabs>
        <w:spacing w:after="0" w:line="120" w:lineRule="exact"/>
        <w:ind w:left="1742" w:hanging="475"/>
        <w:rPr>
          <w:color w:val="000000"/>
          <w:sz w:val="10"/>
          <w:lang w:val="en-GB"/>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Gender</w:t>
      </w:r>
      <w:r>
        <w:rPr>
          <w:lang w:val="en-GB"/>
        </w:rPr>
        <w:t xml:space="preserve"> </w:t>
      </w:r>
      <w:r>
        <w:t>equality</w:t>
      </w:r>
      <w:r>
        <w:rPr>
          <w:lang w:val="en-GB"/>
        </w:rPr>
        <w:t xml:space="preserve"> </w:t>
      </w:r>
      <w:r>
        <w:t>in</w:t>
      </w:r>
      <w:r>
        <w:rPr>
          <w:lang w:val="en-GB"/>
        </w:rPr>
        <w:t xml:space="preserve"> specific O</w:t>
      </w:r>
      <w:r>
        <w:t>perational</w:t>
      </w:r>
      <w:r>
        <w:rPr>
          <w:lang w:val="en-GB"/>
        </w:rPr>
        <w:t xml:space="preserve"> P</w:t>
      </w:r>
      <w:r>
        <w:t>rogramme Interventions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n-GB"/>
        </w:rPr>
      </w:pPr>
      <w:r>
        <w:rPr>
          <w:lang w:val="en-US"/>
        </w:rPr>
        <w:tab/>
        <w:t>More</w:t>
      </w:r>
      <w:r>
        <w:rPr>
          <w:lang w:val="en-GB"/>
        </w:rPr>
        <w:t xml:space="preserve"> </w:t>
      </w:r>
      <w:r>
        <w:rPr>
          <w:lang w:val="en-US"/>
        </w:rPr>
        <w:t>specifically</w:t>
      </w:r>
      <w:r>
        <w:rPr>
          <w:lang w:val="en-GB"/>
        </w:rPr>
        <w:t xml:space="preserve">, </w:t>
      </w:r>
      <w:r>
        <w:rPr>
          <w:lang w:val="en-US"/>
        </w:rPr>
        <w:t>and</w:t>
      </w:r>
      <w:r>
        <w:rPr>
          <w:lang w:val="en-GB"/>
        </w:rPr>
        <w:t xml:space="preserve"> </w:t>
      </w:r>
      <w:r>
        <w:rPr>
          <w:lang w:val="en-US"/>
        </w:rPr>
        <w:t>per sector of intervention,</w:t>
      </w:r>
      <w:r>
        <w:rPr>
          <w:lang w:val="en-GB"/>
        </w:rPr>
        <w:t xml:space="preserve"> the </w:t>
      </w:r>
      <w:r>
        <w:rPr>
          <w:lang w:val="en-US"/>
        </w:rPr>
        <w:t>progress of positive a</w:t>
      </w:r>
      <w:r>
        <w:rPr>
          <w:lang w:val="en-US"/>
        </w:rPr>
        <w:t>c</w:t>
      </w:r>
      <w:r>
        <w:rPr>
          <w:lang w:val="en-US"/>
        </w:rPr>
        <w:t>tions</w:t>
      </w:r>
      <w:r>
        <w:rPr>
          <w:lang w:val="en-GB"/>
        </w:rPr>
        <w:t xml:space="preserve"> </w:t>
      </w:r>
      <w:r>
        <w:rPr>
          <w:lang w:val="en-US"/>
        </w:rPr>
        <w:t>for the promotion of gender equality which have been integrated and are i</w:t>
      </w:r>
      <w:r>
        <w:rPr>
          <w:lang w:val="en-US"/>
        </w:rPr>
        <w:t>m</w:t>
      </w:r>
      <w:r>
        <w:rPr>
          <w:lang w:val="en-US"/>
        </w:rPr>
        <w:t>plemented</w:t>
      </w:r>
      <w:r>
        <w:rPr>
          <w:lang w:val="en-GB"/>
        </w:rPr>
        <w:t xml:space="preserve"> </w:t>
      </w:r>
      <w:r>
        <w:rPr>
          <w:lang w:val="en-US"/>
        </w:rPr>
        <w:t>in Operational Programmes of the 3</w:t>
      </w:r>
      <w:r>
        <w:rPr>
          <w:vertAlign w:val="superscript"/>
          <w:lang w:val="en-US"/>
        </w:rPr>
        <w:t>rd</w:t>
      </w:r>
      <w:r>
        <w:rPr>
          <w:lang w:val="en-US"/>
        </w:rPr>
        <w:t xml:space="preserve"> Community Support Framework, is presented in the tables attached</w:t>
      </w:r>
      <w:r>
        <w:rPr>
          <w:lang w:val="en-GB"/>
        </w:rPr>
        <w:t>.</w:t>
      </w:r>
    </w:p>
    <w:p w:rsidR="00000000" w:rsidRDefault="00000000">
      <w:pPr>
        <w:pStyle w:val="SingleTxt"/>
        <w:rPr>
          <w:lang w:val="en-GB"/>
        </w:rPr>
      </w:pPr>
      <w:r>
        <w:rPr>
          <w:lang w:val="en-US"/>
        </w:rPr>
        <w:tab/>
        <w:t>Here,</w:t>
      </w:r>
      <w:r>
        <w:rPr>
          <w:lang w:val="en-GB"/>
        </w:rPr>
        <w:t xml:space="preserve"> </w:t>
      </w:r>
      <w:r>
        <w:rPr>
          <w:lang w:val="en-US"/>
        </w:rPr>
        <w:t>actions</w:t>
      </w:r>
      <w:r>
        <w:rPr>
          <w:lang w:val="en-GB"/>
        </w:rPr>
        <w:t xml:space="preserve"> </w:t>
      </w:r>
      <w:r>
        <w:rPr>
          <w:lang w:val="en-US"/>
        </w:rPr>
        <w:t>such as:</w:t>
      </w:r>
      <w:r>
        <w:rPr>
          <w:lang w:val="en-GB"/>
        </w:rPr>
        <w:t xml:space="preserve"> </w:t>
      </w:r>
    </w:p>
    <w:p w:rsidR="00000000" w:rsidRDefault="00000000">
      <w:pPr>
        <w:pStyle w:val="SingleTxt"/>
        <w:rPr>
          <w:lang w:val="en-GB"/>
        </w:rPr>
      </w:pPr>
      <w:r>
        <w:rPr>
          <w:lang w:val="en-GB"/>
        </w:rPr>
        <w:tab/>
        <w:t>1.</w:t>
      </w:r>
      <w:r>
        <w:rPr>
          <w:lang w:val="en-GB"/>
        </w:rPr>
        <w:tab/>
        <w:t>“</w:t>
      </w:r>
      <w:r>
        <w:t>Positive actions for the promotion of equal opportunities between men and women in small-medium sized enterprises and large enterprises</w:t>
      </w:r>
      <w:r>
        <w:rPr>
          <w:lang w:val="en-GB"/>
        </w:rPr>
        <w:t xml:space="preserve">” and </w:t>
      </w:r>
    </w:p>
    <w:p w:rsidR="00000000" w:rsidRDefault="00000000">
      <w:pPr>
        <w:pStyle w:val="SingleTxt"/>
        <w:rPr>
          <w:lang w:val="en-GB"/>
        </w:rPr>
      </w:pPr>
      <w:r>
        <w:tab/>
        <w:t>2.</w:t>
      </w:r>
      <w:r>
        <w:tab/>
        <w:t xml:space="preserve">“Integrated interventions in favour of women”, </w:t>
      </w:r>
      <w:r>
        <w:rPr>
          <w:lang w:val="en-GB"/>
        </w:rPr>
        <w:t>are included.</w:t>
      </w:r>
    </w:p>
    <w:p w:rsidR="00000000" w:rsidRDefault="00000000">
      <w:pPr>
        <w:pStyle w:val="SingleTxt"/>
        <w:tabs>
          <w:tab w:val="right" w:pos="1685"/>
        </w:tabs>
        <w:ind w:left="1742" w:hanging="475"/>
        <w:rPr>
          <w:lang w:val="en-GB"/>
        </w:rPr>
      </w:pPr>
      <w:r>
        <w:rPr>
          <w:lang w:val="en-GB"/>
        </w:rPr>
        <w:tab/>
        <w:t>•</w:t>
      </w:r>
      <w:r>
        <w:rPr>
          <w:lang w:val="en-GB"/>
        </w:rPr>
        <w:tab/>
        <w:t xml:space="preserve">In the sector of developing </w:t>
      </w:r>
      <w:r>
        <w:rPr>
          <w:i/>
          <w:lang w:val="en-US"/>
        </w:rPr>
        <w:t>women</w:t>
      </w:r>
      <w:r>
        <w:rPr>
          <w:i/>
          <w:lang w:val="en-GB"/>
        </w:rPr>
        <w:t>’</w:t>
      </w:r>
      <w:r>
        <w:rPr>
          <w:i/>
          <w:lang w:val="en-US"/>
        </w:rPr>
        <w:t>s</w:t>
      </w:r>
      <w:r>
        <w:rPr>
          <w:i/>
          <w:lang w:val="en-GB"/>
        </w:rPr>
        <w:t xml:space="preserve"> </w:t>
      </w:r>
      <w:r>
        <w:rPr>
          <w:i/>
          <w:lang w:val="en-US"/>
        </w:rPr>
        <w:t>entrepreneurship</w:t>
      </w:r>
      <w:r>
        <w:rPr>
          <w:lang w:val="en-GB"/>
        </w:rPr>
        <w:t xml:space="preserve">, </w:t>
      </w:r>
      <w:r>
        <w:rPr>
          <w:lang w:val="en-US"/>
        </w:rPr>
        <w:t xml:space="preserve">actions relating to the support of women’s entrepreneurship </w:t>
      </w:r>
      <w:r>
        <w:rPr>
          <w:lang w:val="en-GB"/>
        </w:rPr>
        <w:t>(supporting 1,218 women’s enterprises) through financial aid, for the creation of new viable enterprises</w:t>
      </w:r>
      <w:r>
        <w:rPr>
          <w:lang w:val="en-US"/>
        </w:rPr>
        <w:t xml:space="preserve"> are of</w:t>
      </w:r>
      <w:r>
        <w:rPr>
          <w:lang w:val="en-GB"/>
        </w:rPr>
        <w:t xml:space="preserve"> </w:t>
      </w:r>
      <w:r>
        <w:rPr>
          <w:lang w:val="en-US"/>
        </w:rPr>
        <w:t>partic</w:t>
      </w:r>
      <w:r>
        <w:rPr>
          <w:lang w:val="en-US"/>
        </w:rPr>
        <w:t>u</w:t>
      </w:r>
      <w:r>
        <w:rPr>
          <w:lang w:val="en-US"/>
        </w:rPr>
        <w:t>lar</w:t>
      </w:r>
      <w:r>
        <w:rPr>
          <w:lang w:val="en-GB"/>
        </w:rPr>
        <w:t xml:space="preserve"> </w:t>
      </w:r>
      <w:r>
        <w:rPr>
          <w:lang w:val="en-US"/>
        </w:rPr>
        <w:t>i</w:t>
      </w:r>
      <w:r>
        <w:rPr>
          <w:lang w:val="en-US"/>
        </w:rPr>
        <w:t>n</w:t>
      </w:r>
      <w:r>
        <w:rPr>
          <w:lang w:val="en-US"/>
        </w:rPr>
        <w:t>terest</w:t>
      </w:r>
      <w:r>
        <w:rPr>
          <w:lang w:val="en-GB"/>
        </w:rPr>
        <w:t>.</w:t>
      </w:r>
    </w:p>
    <w:p w:rsidR="00000000" w:rsidRDefault="00000000">
      <w:pPr>
        <w:pStyle w:val="SingleTxt"/>
        <w:tabs>
          <w:tab w:val="right" w:pos="1685"/>
        </w:tabs>
        <w:ind w:left="1742" w:hanging="475"/>
        <w:rPr>
          <w:lang w:val="en-GB"/>
        </w:rPr>
      </w:pPr>
      <w:r>
        <w:rPr>
          <w:lang w:val="en-US"/>
        </w:rPr>
        <w:tab/>
        <w:t>•</w:t>
      </w:r>
      <w:r>
        <w:rPr>
          <w:lang w:val="en-US"/>
        </w:rPr>
        <w:tab/>
        <w:t>Moreover</w:t>
      </w:r>
      <w:r>
        <w:rPr>
          <w:lang w:val="en-GB"/>
        </w:rPr>
        <w:t xml:space="preserve">, </w:t>
      </w:r>
      <w:r>
        <w:rPr>
          <w:lang w:val="en-US"/>
        </w:rPr>
        <w:t>in</w:t>
      </w:r>
      <w:r>
        <w:rPr>
          <w:lang w:val="en-GB"/>
        </w:rPr>
        <w:t xml:space="preserve"> </w:t>
      </w:r>
      <w:r>
        <w:rPr>
          <w:lang w:val="en-US"/>
        </w:rPr>
        <w:t>Centres</w:t>
      </w:r>
      <w:r>
        <w:rPr>
          <w:lang w:val="en-GB"/>
        </w:rPr>
        <w:t xml:space="preserve"> </w:t>
      </w:r>
      <w:r>
        <w:rPr>
          <w:lang w:val="en-US"/>
        </w:rPr>
        <w:t>of</w:t>
      </w:r>
      <w:r>
        <w:rPr>
          <w:lang w:val="en-GB"/>
        </w:rPr>
        <w:t xml:space="preserve"> </w:t>
      </w:r>
      <w:r>
        <w:rPr>
          <w:lang w:val="en-US"/>
        </w:rPr>
        <w:t>Professional</w:t>
      </w:r>
      <w:r>
        <w:rPr>
          <w:lang w:val="en-GB"/>
        </w:rPr>
        <w:t xml:space="preserve"> </w:t>
      </w:r>
      <w:r>
        <w:rPr>
          <w:lang w:val="en-US"/>
        </w:rPr>
        <w:t>and</w:t>
      </w:r>
      <w:r>
        <w:rPr>
          <w:lang w:val="en-GB"/>
        </w:rPr>
        <w:t xml:space="preserve"> </w:t>
      </w:r>
      <w:r>
        <w:rPr>
          <w:lang w:val="en-US"/>
        </w:rPr>
        <w:t>Technological Development</w:t>
      </w:r>
      <w:r>
        <w:rPr>
          <w:lang w:val="en-GB"/>
        </w:rPr>
        <w:t xml:space="preserve"> </w:t>
      </w:r>
      <w:r>
        <w:rPr>
          <w:lang w:val="en-US"/>
        </w:rPr>
        <w:t xml:space="preserve">in the </w:t>
      </w:r>
      <w:r>
        <w:rPr>
          <w:lang w:val="en-GB"/>
        </w:rPr>
        <w:t xml:space="preserve">13 </w:t>
      </w:r>
      <w:r>
        <w:rPr>
          <w:lang w:val="en-US"/>
        </w:rPr>
        <w:t>Regions of the country there are specialized advisors</w:t>
      </w:r>
      <w:r>
        <w:rPr>
          <w:lang w:val="en-GB"/>
        </w:rPr>
        <w:t xml:space="preserve"> </w:t>
      </w:r>
      <w:r>
        <w:rPr>
          <w:lang w:val="en-US"/>
        </w:rPr>
        <w:t>providing support to women</w:t>
      </w:r>
      <w:r>
        <w:rPr>
          <w:lang w:val="en-GB"/>
        </w:rPr>
        <w:t xml:space="preserve"> </w:t>
      </w:r>
      <w:r>
        <w:rPr>
          <w:lang w:val="en-US"/>
        </w:rPr>
        <w:t>i</w:t>
      </w:r>
      <w:r>
        <w:rPr>
          <w:lang w:val="en-US"/>
        </w:rPr>
        <w:t>n</w:t>
      </w:r>
      <w:r>
        <w:rPr>
          <w:lang w:val="en-US"/>
        </w:rPr>
        <w:t>vestors</w:t>
      </w:r>
      <w:r>
        <w:rPr>
          <w:lang w:val="en-GB"/>
        </w:rPr>
        <w:t>.</w:t>
      </w:r>
    </w:p>
    <w:p w:rsidR="00000000" w:rsidRDefault="00000000">
      <w:pPr>
        <w:pStyle w:val="SingleTxt"/>
        <w:tabs>
          <w:tab w:val="right" w:pos="1685"/>
        </w:tabs>
        <w:ind w:left="1742" w:hanging="475"/>
        <w:rPr>
          <w:lang w:val="en-GB"/>
        </w:rPr>
      </w:pPr>
      <w:r>
        <w:rPr>
          <w:lang w:val="en-US"/>
        </w:rPr>
        <w:tab/>
        <w:t>•</w:t>
      </w:r>
      <w:r>
        <w:rPr>
          <w:lang w:val="en-US"/>
        </w:rPr>
        <w:tab/>
        <w:t>At</w:t>
      </w:r>
      <w:r>
        <w:rPr>
          <w:lang w:val="en-GB"/>
        </w:rPr>
        <w:t xml:space="preserve"> </w:t>
      </w:r>
      <w:r>
        <w:rPr>
          <w:lang w:val="en-US"/>
        </w:rPr>
        <w:t>the</w:t>
      </w:r>
      <w:r>
        <w:rPr>
          <w:lang w:val="en-GB"/>
        </w:rPr>
        <w:t xml:space="preserve"> </w:t>
      </w:r>
      <w:r>
        <w:rPr>
          <w:lang w:val="en-US"/>
        </w:rPr>
        <w:t>same</w:t>
      </w:r>
      <w:r>
        <w:rPr>
          <w:lang w:val="en-GB"/>
        </w:rPr>
        <w:t xml:space="preserve"> </w:t>
      </w:r>
      <w:r>
        <w:rPr>
          <w:lang w:val="en-US"/>
        </w:rPr>
        <w:t>time</w:t>
      </w:r>
      <w:r>
        <w:rPr>
          <w:lang w:val="en-GB"/>
        </w:rPr>
        <w:t xml:space="preserve">, </w:t>
      </w:r>
      <w:r>
        <w:rPr>
          <w:lang w:val="en-US"/>
        </w:rPr>
        <w:t>the</w:t>
      </w:r>
      <w:r>
        <w:rPr>
          <w:lang w:val="en-GB"/>
        </w:rPr>
        <w:t xml:space="preserve"> </w:t>
      </w:r>
      <w:r>
        <w:rPr>
          <w:lang w:val="en-US"/>
        </w:rPr>
        <w:t>institutional</w:t>
      </w:r>
      <w:r>
        <w:rPr>
          <w:lang w:val="en-GB"/>
        </w:rPr>
        <w:t xml:space="preserve"> </w:t>
      </w:r>
      <w:r>
        <w:rPr>
          <w:lang w:val="en-US"/>
        </w:rPr>
        <w:t>framework</w:t>
      </w:r>
      <w:r>
        <w:rPr>
          <w:lang w:val="en-GB"/>
        </w:rPr>
        <w:t xml:space="preserve"> </w:t>
      </w:r>
      <w:r>
        <w:rPr>
          <w:lang w:val="en-US"/>
        </w:rPr>
        <w:t>for the implementation of a</w:t>
      </w:r>
      <w:r>
        <w:rPr>
          <w:lang w:val="en-US"/>
        </w:rPr>
        <w:t>c</w:t>
      </w:r>
      <w:r>
        <w:rPr>
          <w:lang w:val="en-US"/>
        </w:rPr>
        <w:t>tions supporting women’s entrepreneurship in Regional Operational Pr</w:t>
      </w:r>
      <w:r>
        <w:rPr>
          <w:lang w:val="en-US"/>
        </w:rPr>
        <w:t>o</w:t>
      </w:r>
      <w:r>
        <w:rPr>
          <w:lang w:val="en-US"/>
        </w:rPr>
        <w:t>grammes is</w:t>
      </w:r>
      <w:r>
        <w:rPr>
          <w:lang w:val="en-GB"/>
        </w:rPr>
        <w:t xml:space="preserve"> being completed.</w:t>
      </w:r>
    </w:p>
    <w:p w:rsidR="00000000" w:rsidRDefault="00000000">
      <w:pPr>
        <w:pStyle w:val="SingleTxt"/>
        <w:tabs>
          <w:tab w:val="right" w:pos="1685"/>
        </w:tabs>
        <w:ind w:left="1742" w:hanging="475"/>
        <w:rPr>
          <w:lang w:val="en-GB"/>
        </w:rPr>
      </w:pPr>
      <w:r>
        <w:rPr>
          <w:lang w:val="en-US"/>
        </w:rPr>
        <w:tab/>
        <w:t>•</w:t>
      </w:r>
      <w:r>
        <w:rPr>
          <w:lang w:val="en-US"/>
        </w:rPr>
        <w:tab/>
        <w:t>Finally,</w:t>
      </w:r>
      <w:r>
        <w:rPr>
          <w:lang w:val="en-GB"/>
        </w:rPr>
        <w:t xml:space="preserve"> </w:t>
      </w:r>
      <w:r>
        <w:rPr>
          <w:lang w:val="en-US"/>
        </w:rPr>
        <w:t>in the context of integrating the principle of gender equality</w:t>
      </w:r>
      <w:r>
        <w:rPr>
          <w:lang w:val="en-GB"/>
        </w:rPr>
        <w:t xml:space="preserve"> </w:t>
      </w:r>
      <w:r>
        <w:rPr>
          <w:lang w:val="en-US"/>
        </w:rPr>
        <w:t>in all policies</w:t>
      </w:r>
      <w:r>
        <w:rPr>
          <w:lang w:val="en-GB"/>
        </w:rPr>
        <w:t>, actions that have integrated the dimension of gender (</w:t>
      </w:r>
      <w:r>
        <w:rPr>
          <w:lang w:val="en-US"/>
        </w:rPr>
        <w:t>mainstreaming</w:t>
      </w:r>
      <w:r>
        <w:rPr>
          <w:lang w:val="en-GB"/>
        </w:rPr>
        <w:t>) are impl</w:t>
      </w:r>
      <w:r>
        <w:rPr>
          <w:lang w:val="en-GB"/>
        </w:rPr>
        <w:t>e</w:t>
      </w:r>
      <w:r>
        <w:rPr>
          <w:lang w:val="en-GB"/>
        </w:rPr>
        <w:t>mented in all Operational Programmes.</w:t>
      </w:r>
    </w:p>
    <w:p w:rsidR="00000000" w:rsidRDefault="00000000">
      <w:pPr>
        <w:pStyle w:val="SingleTxt"/>
        <w:rPr>
          <w:lang w:val="en-GB"/>
        </w:rPr>
      </w:pPr>
      <w:r>
        <w:rPr>
          <w:lang w:val="en-GB"/>
        </w:rPr>
        <w:tab/>
        <w:t>For instance</w:t>
      </w:r>
      <w:r>
        <w:rPr>
          <w:lang w:val="en-US"/>
        </w:rPr>
        <w:t>,</w:t>
      </w:r>
      <w:r>
        <w:rPr>
          <w:lang w:val="en-GB"/>
        </w:rPr>
        <w:t xml:space="preserve"> </w:t>
      </w:r>
      <w:r>
        <w:rPr>
          <w:lang w:val="en-US"/>
        </w:rPr>
        <w:t>we mention</w:t>
      </w:r>
      <w:r>
        <w:rPr>
          <w:b/>
          <w:lang w:val="en-GB"/>
        </w:rPr>
        <w:t>:</w:t>
      </w:r>
    </w:p>
    <w:p w:rsidR="00000000" w:rsidRDefault="00000000">
      <w:pPr>
        <w:pStyle w:val="SingleTxt"/>
        <w:tabs>
          <w:tab w:val="right" w:pos="1685"/>
        </w:tabs>
        <w:ind w:left="1742" w:hanging="475"/>
        <w:rPr>
          <w:lang w:val="en-GB"/>
        </w:rPr>
      </w:pPr>
      <w:r>
        <w:rPr>
          <w:lang w:val="en-US"/>
        </w:rPr>
        <w:tab/>
        <w:t>•</w:t>
      </w:r>
      <w:r>
        <w:rPr>
          <w:lang w:val="en-US"/>
        </w:rPr>
        <w:tab/>
        <w:t xml:space="preserve">In the field of </w:t>
      </w:r>
      <w:r>
        <w:rPr>
          <w:i/>
          <w:lang w:val="en-US"/>
        </w:rPr>
        <w:t>Research</w:t>
      </w:r>
      <w:r>
        <w:rPr>
          <w:lang w:val="en-GB"/>
        </w:rPr>
        <w:t xml:space="preserve">: </w:t>
      </w:r>
    </w:p>
    <w:p w:rsidR="00000000" w:rsidRDefault="00000000">
      <w:pPr>
        <w:pStyle w:val="SingleTxt"/>
        <w:numPr>
          <w:ilvl w:val="0"/>
          <w:numId w:val="310"/>
        </w:numPr>
        <w:tabs>
          <w:tab w:val="clear" w:pos="1742"/>
        </w:tabs>
        <w:spacing w:line="230" w:lineRule="exact"/>
        <w:ind w:left="1656" w:hanging="360"/>
        <w:rPr>
          <w:lang w:val="en-GB"/>
        </w:rPr>
      </w:pPr>
      <w:r>
        <w:t>Operation of the Network of Women researchers-scientists</w:t>
      </w:r>
      <w:r>
        <w:rPr>
          <w:lang w:val="en-GB"/>
        </w:rPr>
        <w:t xml:space="preserve"> </w:t>
      </w:r>
    </w:p>
    <w:p w:rsidR="00000000" w:rsidRDefault="00000000">
      <w:pPr>
        <w:pStyle w:val="SingleTxt"/>
        <w:rPr>
          <w:lang w:val="en-GB"/>
        </w:rPr>
      </w:pPr>
      <w:r>
        <w:rPr>
          <w:lang w:val="en-GB"/>
        </w:rPr>
        <w:t>“</w:t>
      </w:r>
      <w:r>
        <w:t>PERIKTIONI”</w:t>
      </w:r>
      <w:r>
        <w:rPr>
          <w:lang w:val="en-GB"/>
        </w:rPr>
        <w:t xml:space="preserve"> for the promotion of</w:t>
      </w:r>
      <w:r>
        <w:t xml:space="preserve"> equal opportunities in research and technol</w:t>
      </w:r>
      <w:r>
        <w:t>o</w:t>
      </w:r>
      <w:r>
        <w:t>gical development</w:t>
      </w:r>
      <w:r>
        <w:rPr>
          <w:lang w:val="en-GB"/>
        </w:rPr>
        <w:t xml:space="preserve">. The General Secretariat for Gender Equality also participates in the Network. </w:t>
      </w:r>
    </w:p>
    <w:p w:rsidR="00000000" w:rsidRDefault="00000000">
      <w:pPr>
        <w:pStyle w:val="SingleTxt"/>
        <w:numPr>
          <w:ilvl w:val="0"/>
          <w:numId w:val="310"/>
        </w:numPr>
        <w:tabs>
          <w:tab w:val="clear" w:pos="1742"/>
        </w:tabs>
        <w:spacing w:line="230" w:lineRule="exact"/>
        <w:ind w:left="1656" w:hanging="360"/>
        <w:rPr>
          <w:lang w:val="en-GB"/>
        </w:rPr>
      </w:pPr>
      <w:r>
        <w:t>Operation</w:t>
      </w:r>
      <w:r>
        <w:rPr>
          <w:lang w:val="en-GB"/>
        </w:rPr>
        <w:t xml:space="preserve"> </w:t>
      </w:r>
      <w:r>
        <w:t>of</w:t>
      </w:r>
      <w:r>
        <w:rPr>
          <w:lang w:val="en-GB"/>
        </w:rPr>
        <w:t xml:space="preserve"> an </w:t>
      </w:r>
      <w:r>
        <w:t>Observatory</w:t>
      </w:r>
      <w:r>
        <w:rPr>
          <w:lang w:val="en-GB"/>
        </w:rPr>
        <w:t xml:space="preserve">, </w:t>
      </w:r>
      <w:r>
        <w:t>which</w:t>
      </w:r>
      <w:r>
        <w:rPr>
          <w:lang w:val="en-GB"/>
        </w:rPr>
        <w:t xml:space="preserve">, </w:t>
      </w:r>
      <w:r>
        <w:t>inter</w:t>
      </w:r>
      <w:r>
        <w:rPr>
          <w:lang w:val="en-GB"/>
        </w:rPr>
        <w:t xml:space="preserve"> </w:t>
      </w:r>
      <w:r>
        <w:t>alia</w:t>
      </w:r>
      <w:r>
        <w:rPr>
          <w:lang w:val="en-GB"/>
        </w:rPr>
        <w:t xml:space="preserve">, </w:t>
      </w:r>
      <w:r>
        <w:t>will monitor and record w</w:t>
      </w:r>
      <w:r>
        <w:t>o</w:t>
      </w:r>
      <w:r>
        <w:t>men’s pre</w:t>
      </w:r>
      <w:r>
        <w:t>s</w:t>
      </w:r>
      <w:r>
        <w:t>ence</w:t>
      </w:r>
      <w:r>
        <w:rPr>
          <w:lang w:val="en-GB"/>
        </w:rPr>
        <w:t>.</w:t>
      </w:r>
    </w:p>
    <w:p w:rsidR="00000000" w:rsidRDefault="00000000">
      <w:pPr>
        <w:pStyle w:val="SingleTxt"/>
        <w:numPr>
          <w:ilvl w:val="0"/>
          <w:numId w:val="310"/>
        </w:numPr>
        <w:tabs>
          <w:tab w:val="clear" w:pos="1742"/>
        </w:tabs>
        <w:spacing w:line="230" w:lineRule="exact"/>
        <w:ind w:left="1656" w:hanging="360"/>
        <w:rPr>
          <w:lang w:val="en-GB"/>
        </w:rPr>
      </w:pPr>
      <w:r>
        <w:t>Programme</w:t>
      </w:r>
      <w:r>
        <w:rPr>
          <w:lang w:val="en-GB"/>
        </w:rPr>
        <w:t xml:space="preserve"> </w:t>
      </w:r>
      <w:r>
        <w:t>for the Support of Research Manpower,</w:t>
      </w:r>
      <w:r>
        <w:rPr>
          <w:lang w:val="en-GB"/>
        </w:rPr>
        <w:t xml:space="preserve"> with special </w:t>
      </w:r>
      <w:r>
        <w:t>bonus</w:t>
      </w:r>
      <w:r>
        <w:rPr>
          <w:lang w:val="en-GB"/>
        </w:rPr>
        <w:t xml:space="preserve"> for women’s participation.</w:t>
      </w:r>
    </w:p>
    <w:p w:rsidR="00000000" w:rsidRDefault="00000000">
      <w:pPr>
        <w:pStyle w:val="SingleTxt"/>
        <w:tabs>
          <w:tab w:val="right" w:pos="1685"/>
        </w:tabs>
        <w:ind w:left="1742" w:hanging="475"/>
        <w:rPr>
          <w:lang w:val="en-GB"/>
        </w:rPr>
      </w:pPr>
      <w:r>
        <w:rPr>
          <w:lang w:val="en-GB"/>
        </w:rPr>
        <w:tab/>
        <w:t>•</w:t>
      </w:r>
      <w:r>
        <w:rPr>
          <w:lang w:val="en-GB"/>
        </w:rPr>
        <w:tab/>
        <w:t xml:space="preserve">In the field of the </w:t>
      </w:r>
      <w:r>
        <w:rPr>
          <w:i/>
          <w:lang w:val="en-US"/>
        </w:rPr>
        <w:t>Information Society</w:t>
      </w:r>
      <w:r>
        <w:rPr>
          <w:lang w:val="en-GB"/>
        </w:rPr>
        <w:t>:</w:t>
      </w:r>
    </w:p>
    <w:p w:rsidR="00000000" w:rsidRDefault="00000000">
      <w:pPr>
        <w:pStyle w:val="SingleTxt"/>
        <w:rPr>
          <w:lang w:val="en-GB"/>
        </w:rPr>
      </w:pPr>
      <w:r>
        <w:rPr>
          <w:lang w:val="en-US"/>
        </w:rPr>
        <w:tab/>
        <w:t>Actions</w:t>
      </w:r>
      <w:r>
        <w:rPr>
          <w:lang w:val="en-GB"/>
        </w:rPr>
        <w:t xml:space="preserve"> </w:t>
      </w:r>
      <w:r>
        <w:rPr>
          <w:lang w:val="en-US"/>
        </w:rPr>
        <w:t>to</w:t>
      </w:r>
      <w:r>
        <w:rPr>
          <w:lang w:val="en-GB"/>
        </w:rPr>
        <w:t xml:space="preserve"> upgrade Manpower’s</w:t>
      </w:r>
      <w:r>
        <w:rPr>
          <w:lang w:val="en-US"/>
        </w:rPr>
        <w:t xml:space="preserve"> Skills</w:t>
      </w:r>
      <w:r>
        <w:rPr>
          <w:lang w:val="en-GB"/>
        </w:rPr>
        <w:t xml:space="preserve"> – </w:t>
      </w:r>
      <w:r>
        <w:rPr>
          <w:lang w:val="en-US"/>
        </w:rPr>
        <w:t>training in new technologies</w:t>
      </w:r>
      <w:r>
        <w:rPr>
          <w:lang w:val="en-GB"/>
        </w:rPr>
        <w:t xml:space="preserve"> </w:t>
      </w:r>
      <w:r>
        <w:rPr>
          <w:lang w:val="en-US"/>
        </w:rPr>
        <w:t>aiming at fast acquisition of skills so as to enhance the access of the unemployed to the l</w:t>
      </w:r>
      <w:r>
        <w:rPr>
          <w:lang w:val="en-US"/>
        </w:rPr>
        <w:t>a</w:t>
      </w:r>
      <w:r>
        <w:rPr>
          <w:lang w:val="en-US"/>
        </w:rPr>
        <w:t>bour market and to maintain the employability of the manpower at a high level</w:t>
      </w:r>
      <w:r>
        <w:rPr>
          <w:lang w:val="en-GB"/>
        </w:rPr>
        <w:t xml:space="preserve">. These actions also include, besides </w:t>
      </w:r>
      <w:r>
        <w:rPr>
          <w:lang w:val="en-US"/>
        </w:rPr>
        <w:t>the</w:t>
      </w:r>
      <w:r>
        <w:rPr>
          <w:lang w:val="en-GB"/>
        </w:rPr>
        <w:t xml:space="preserve"> </w:t>
      </w:r>
      <w:r>
        <w:rPr>
          <w:lang w:val="en-US"/>
        </w:rPr>
        <w:t>provision</w:t>
      </w:r>
      <w:r>
        <w:rPr>
          <w:lang w:val="en-GB"/>
        </w:rPr>
        <w:t xml:space="preserve"> regarding 60% </w:t>
      </w:r>
      <w:r>
        <w:rPr>
          <w:lang w:val="en-US"/>
        </w:rPr>
        <w:t>for women’s pa</w:t>
      </w:r>
      <w:r>
        <w:rPr>
          <w:lang w:val="en-US"/>
        </w:rPr>
        <w:t>r</w:t>
      </w:r>
      <w:r>
        <w:rPr>
          <w:lang w:val="en-US"/>
        </w:rPr>
        <w:t>ticipation in actions of training</w:t>
      </w:r>
      <w:r>
        <w:rPr>
          <w:lang w:val="en-GB"/>
        </w:rPr>
        <w:t xml:space="preserve"> (</w:t>
      </w:r>
      <w:r>
        <w:rPr>
          <w:lang w:val="en-US"/>
        </w:rPr>
        <w:t>in the last invitation the percentage goes up to</w:t>
      </w:r>
      <w:r>
        <w:rPr>
          <w:lang w:val="en-GB"/>
        </w:rPr>
        <w:t xml:space="preserve"> 70%) special care for the implementation of flexible forms of training for women (tele-training). </w:t>
      </w:r>
    </w:p>
    <w:p w:rsidR="00000000" w:rsidRDefault="00000000">
      <w:pPr>
        <w:pStyle w:val="SingleTxt"/>
        <w:rPr>
          <w:lang w:val="en-GB"/>
        </w:rPr>
      </w:pPr>
      <w:r>
        <w:rPr>
          <w:lang w:val="en-US"/>
        </w:rPr>
        <w:tab/>
        <w:t>In particular</w:t>
      </w:r>
      <w:r>
        <w:rPr>
          <w:lang w:val="en-GB"/>
        </w:rPr>
        <w:t xml:space="preserve">, </w:t>
      </w:r>
      <w:r>
        <w:rPr>
          <w:lang w:val="en-US"/>
        </w:rPr>
        <w:t>special</w:t>
      </w:r>
      <w:r>
        <w:rPr>
          <w:lang w:val="en-GB"/>
        </w:rPr>
        <w:t xml:space="preserve"> </w:t>
      </w:r>
      <w:r>
        <w:rPr>
          <w:lang w:val="en-US"/>
        </w:rPr>
        <w:t>action</w:t>
      </w:r>
      <w:r>
        <w:rPr>
          <w:lang w:val="en-GB"/>
        </w:rPr>
        <w:t xml:space="preserve"> </w:t>
      </w:r>
      <w:r>
        <w:rPr>
          <w:lang w:val="en-US"/>
        </w:rPr>
        <w:t>i</w:t>
      </w:r>
      <w:r>
        <w:rPr>
          <w:lang w:val="en-GB"/>
        </w:rPr>
        <w:t xml:space="preserve">s </w:t>
      </w:r>
      <w:r>
        <w:rPr>
          <w:lang w:val="en-US"/>
        </w:rPr>
        <w:t>planned</w:t>
      </w:r>
      <w:r>
        <w:rPr>
          <w:lang w:val="en-GB"/>
        </w:rPr>
        <w:t xml:space="preserve"> for the acquisition of </w:t>
      </w:r>
      <w:r>
        <w:rPr>
          <w:lang w:val="en-US"/>
        </w:rPr>
        <w:t>working exper</w:t>
      </w:r>
      <w:r>
        <w:rPr>
          <w:lang w:val="en-US"/>
        </w:rPr>
        <w:t>i</w:t>
      </w:r>
      <w:r>
        <w:rPr>
          <w:lang w:val="en-US"/>
        </w:rPr>
        <w:t>ence</w:t>
      </w:r>
      <w:r>
        <w:rPr>
          <w:lang w:val="en-GB"/>
        </w:rPr>
        <w:t xml:space="preserve"> (</w:t>
      </w:r>
      <w:r>
        <w:rPr>
          <w:lang w:val="en-US"/>
        </w:rPr>
        <w:t>stage</w:t>
      </w:r>
      <w:r>
        <w:rPr>
          <w:lang w:val="en-GB"/>
        </w:rPr>
        <w:t xml:space="preserve">) </w:t>
      </w:r>
      <w:r>
        <w:rPr>
          <w:lang w:val="en-US"/>
        </w:rPr>
        <w:t>so as to facilitate women’s integration into the labour market and to promote telework for women</w:t>
      </w:r>
      <w:r>
        <w:rPr>
          <w:lang w:val="en-GB"/>
        </w:rPr>
        <w:t>.</w:t>
      </w:r>
    </w:p>
    <w:p w:rsidR="00000000" w:rsidRDefault="00000000">
      <w:pPr>
        <w:pStyle w:val="SingleTxt"/>
        <w:tabs>
          <w:tab w:val="right" w:pos="1685"/>
        </w:tabs>
        <w:ind w:left="1742" w:hanging="475"/>
        <w:rPr>
          <w:b/>
          <w:lang w:val="en-GB"/>
        </w:rPr>
      </w:pPr>
      <w:r>
        <w:tab/>
        <w:t>•</w:t>
      </w:r>
      <w:r>
        <w:tab/>
        <w:t xml:space="preserve">In the field of </w:t>
      </w:r>
      <w:r>
        <w:rPr>
          <w:i/>
        </w:rPr>
        <w:t>Training</w:t>
      </w:r>
      <w:r>
        <w:rPr>
          <w:i/>
          <w:lang w:val="en-GB"/>
        </w:rPr>
        <w:t>-</w:t>
      </w:r>
      <w:r>
        <w:rPr>
          <w:i/>
        </w:rPr>
        <w:t>Employment</w:t>
      </w:r>
      <w:r>
        <w:rPr>
          <w:b/>
          <w:lang w:val="en-GB"/>
        </w:rPr>
        <w:t>:</w:t>
      </w:r>
    </w:p>
    <w:p w:rsidR="00000000" w:rsidRDefault="00000000">
      <w:pPr>
        <w:pStyle w:val="SingleTxt"/>
        <w:numPr>
          <w:ilvl w:val="0"/>
          <w:numId w:val="310"/>
        </w:numPr>
        <w:tabs>
          <w:tab w:val="clear" w:pos="1742"/>
        </w:tabs>
        <w:spacing w:line="230" w:lineRule="exact"/>
        <w:ind w:left="1656" w:hanging="360"/>
        <w:rPr>
          <w:lang w:val="en-GB"/>
        </w:rPr>
      </w:pPr>
      <w:r>
        <w:t>The Operational Programme</w:t>
      </w:r>
      <w:r>
        <w:rPr>
          <w:lang w:val="en-GB"/>
        </w:rPr>
        <w:t xml:space="preserve"> “</w:t>
      </w:r>
      <w:r>
        <w:t>Employment and Vocational Training”</w:t>
      </w:r>
      <w:r>
        <w:rPr>
          <w:lang w:val="en-GB"/>
        </w:rPr>
        <w:t xml:space="preserve"> </w:t>
      </w:r>
      <w:r>
        <w:t>impl</w:t>
      </w:r>
      <w:r>
        <w:t>e</w:t>
      </w:r>
      <w:r>
        <w:t>ments actions of training and promotion</w:t>
      </w:r>
      <w:r>
        <w:rPr>
          <w:lang w:val="en-GB"/>
        </w:rPr>
        <w:t xml:space="preserve"> in employment where women’s partic</w:t>
      </w:r>
      <w:r>
        <w:rPr>
          <w:lang w:val="en-GB"/>
        </w:rPr>
        <w:t>i</w:t>
      </w:r>
      <w:r>
        <w:rPr>
          <w:lang w:val="en-GB"/>
        </w:rPr>
        <w:t>pation a</w:t>
      </w:r>
      <w:r>
        <w:rPr>
          <w:lang w:val="en-GB"/>
        </w:rPr>
        <w:t>s</w:t>
      </w:r>
      <w:r>
        <w:rPr>
          <w:lang w:val="en-GB"/>
        </w:rPr>
        <w:t>cends to 62%.</w:t>
      </w:r>
    </w:p>
    <w:p w:rsidR="00000000" w:rsidRDefault="00000000">
      <w:pPr>
        <w:pStyle w:val="SingleTxt"/>
        <w:numPr>
          <w:ilvl w:val="0"/>
          <w:numId w:val="310"/>
        </w:numPr>
        <w:tabs>
          <w:tab w:val="clear" w:pos="1742"/>
        </w:tabs>
        <w:spacing w:line="230" w:lineRule="exact"/>
        <w:ind w:left="1656" w:hanging="360"/>
        <w:rPr>
          <w:lang w:val="en-GB"/>
        </w:rPr>
      </w:pPr>
      <w:r>
        <w:t>Regarding the training actions of the Operational Programme “Health-Welfare”, in the sector of Health it is noted that women’s participation reaches 67%, while it reaches 80% in the sector of Welfare, a result of female domination in the particular fields of intervention.</w:t>
      </w:r>
    </w:p>
    <w:p w:rsidR="00000000" w:rsidRDefault="00000000">
      <w:pPr>
        <w:pStyle w:val="SingleTxt"/>
        <w:rPr>
          <w:lang w:val="en-GB"/>
        </w:rPr>
      </w:pPr>
      <w:r>
        <w:rPr>
          <w:lang w:val="en-US"/>
        </w:rPr>
        <w:tab/>
        <w:t>However</w:t>
      </w:r>
      <w:r>
        <w:rPr>
          <w:lang w:val="en-GB"/>
        </w:rPr>
        <w:t xml:space="preserve">, </w:t>
      </w:r>
      <w:r>
        <w:rPr>
          <w:lang w:val="en-US"/>
        </w:rPr>
        <w:t>we</w:t>
      </w:r>
      <w:r>
        <w:rPr>
          <w:lang w:val="en-GB"/>
        </w:rPr>
        <w:t xml:space="preserve"> </w:t>
      </w:r>
      <w:r>
        <w:rPr>
          <w:lang w:val="en-US"/>
        </w:rPr>
        <w:t>should</w:t>
      </w:r>
      <w:r>
        <w:rPr>
          <w:lang w:val="en-GB"/>
        </w:rPr>
        <w:t xml:space="preserve"> </w:t>
      </w:r>
      <w:r>
        <w:rPr>
          <w:lang w:val="en-US"/>
        </w:rPr>
        <w:t>note</w:t>
      </w:r>
      <w:r>
        <w:rPr>
          <w:lang w:val="en-GB"/>
        </w:rPr>
        <w:t xml:space="preserve"> </w:t>
      </w:r>
      <w:r>
        <w:rPr>
          <w:lang w:val="en-US"/>
        </w:rPr>
        <w:t>the</w:t>
      </w:r>
      <w:r>
        <w:rPr>
          <w:lang w:val="en-GB"/>
        </w:rPr>
        <w:t xml:space="preserve"> </w:t>
      </w:r>
      <w:r>
        <w:rPr>
          <w:lang w:val="en-US"/>
        </w:rPr>
        <w:t>indirect</w:t>
      </w:r>
      <w:r>
        <w:rPr>
          <w:lang w:val="en-GB"/>
        </w:rPr>
        <w:t xml:space="preserve"> </w:t>
      </w:r>
      <w:r>
        <w:rPr>
          <w:lang w:val="en-US"/>
        </w:rPr>
        <w:t>positive</w:t>
      </w:r>
      <w:r>
        <w:rPr>
          <w:lang w:val="en-GB"/>
        </w:rPr>
        <w:t xml:space="preserve"> </w:t>
      </w:r>
      <w:r>
        <w:rPr>
          <w:lang w:val="en-US"/>
        </w:rPr>
        <w:t>impact of the programme</w:t>
      </w:r>
      <w:r>
        <w:rPr>
          <w:lang w:val="en-GB"/>
        </w:rPr>
        <w:t xml:space="preserve"> </w:t>
      </w:r>
      <w:r>
        <w:rPr>
          <w:lang w:val="en-US"/>
        </w:rPr>
        <w:t>on women’s employment both during implementation and as concerns the positions e</w:t>
      </w:r>
      <w:r>
        <w:rPr>
          <w:lang w:val="en-US"/>
        </w:rPr>
        <w:t>x</w:t>
      </w:r>
      <w:r>
        <w:rPr>
          <w:lang w:val="en-US"/>
        </w:rPr>
        <w:t xml:space="preserve">pected to be created </w:t>
      </w:r>
      <w:r>
        <w:rPr>
          <w:lang w:val="en-GB"/>
        </w:rPr>
        <w:t>(women’s participation 65.5%- 82.35%).</w:t>
      </w:r>
    </w:p>
    <w:p w:rsidR="00000000" w:rsidRDefault="00000000">
      <w:pPr>
        <w:pStyle w:val="SingleTxt"/>
        <w:rPr>
          <w:i/>
          <w:lang w:val="en-GB"/>
        </w:rPr>
      </w:pPr>
      <w:r>
        <w:rPr>
          <w:lang w:val="en-US"/>
        </w:rPr>
        <w:tab/>
        <w:t>Finally</w:t>
      </w:r>
      <w:r>
        <w:rPr>
          <w:lang w:val="en-GB"/>
        </w:rPr>
        <w:t xml:space="preserve">, </w:t>
      </w:r>
      <w:r>
        <w:rPr>
          <w:lang w:val="en-US"/>
        </w:rPr>
        <w:t>several Regional Operational Programmes</w:t>
      </w:r>
      <w:r>
        <w:rPr>
          <w:lang w:val="en-GB"/>
        </w:rPr>
        <w:t xml:space="preserve"> in their notices for the Measure “Development of Human Resources </w:t>
      </w:r>
      <w:r>
        <w:t>–</w:t>
      </w:r>
      <w:r>
        <w:rPr>
          <w:lang w:val="en-GB"/>
        </w:rPr>
        <w:t xml:space="preserve"> Synergy”, </w:t>
      </w:r>
      <w:r>
        <w:rPr>
          <w:lang w:val="en-US"/>
        </w:rPr>
        <w:t xml:space="preserve">included a </w:t>
      </w:r>
      <w:r>
        <w:rPr>
          <w:lang w:val="en-GB"/>
        </w:rPr>
        <w:t>60% quota in favour of women.</w:t>
      </w:r>
      <w:r>
        <w:rPr>
          <w:i/>
          <w:lang w:val="en-GB"/>
        </w:rPr>
        <w:t xml:space="preserve"> </w:t>
      </w:r>
    </w:p>
    <w:p w:rsidR="00000000" w:rsidRDefault="00000000">
      <w:pPr>
        <w:pStyle w:val="SingleTxt"/>
        <w:spacing w:after="0" w:line="120" w:lineRule="exact"/>
        <w:rPr>
          <w:i/>
          <w:sz w:val="10"/>
          <w:lang w:val="en-GB"/>
        </w:rPr>
      </w:pPr>
    </w:p>
    <w:p w:rsidR="00000000" w:rsidRDefault="00000000">
      <w:pPr>
        <w:pStyle w:val="SingleTxt"/>
        <w:spacing w:after="0" w:line="120" w:lineRule="exact"/>
        <w:rPr>
          <w:i/>
          <w:sz w:val="10"/>
          <w:lang w:val="en-GB"/>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C.</w:t>
      </w:r>
      <w:r>
        <w:rPr>
          <w:lang w:val="en-GB"/>
        </w:rPr>
        <w:tab/>
        <w:t>Detailed</w:t>
      </w:r>
      <w:r>
        <w:t xml:space="preserve"> data on the progress of operational programme</w:t>
      </w:r>
      <w:r>
        <w:rPr>
          <w:lang w:val="en-GB"/>
        </w:rPr>
        <w:t xml:space="preserve"> “Employment and Vocational Training”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Obligatory participation of women at an increased percentage (60%) has been established in all interventions financed by the Operational Programme to promote equal opportunities between the sexes.</w:t>
      </w:r>
    </w:p>
    <w:p w:rsidR="00000000" w:rsidRDefault="00000000">
      <w:pPr>
        <w:pStyle w:val="SingleTxt"/>
        <w:rPr>
          <w:i/>
          <w:lang w:val="en-GB"/>
        </w:rPr>
      </w:pPr>
      <w:r>
        <w:rPr>
          <w:lang w:val="en-GB"/>
        </w:rPr>
        <w:tab/>
        <w:t>In the Axis “</w:t>
      </w:r>
      <w:r>
        <w:t>Improvement of access and participation of women in the labour market”</w:t>
      </w:r>
      <w:r>
        <w:rPr>
          <w:lang w:val="en-GB"/>
        </w:rPr>
        <w:t xml:space="preserve">, implemented actions </w:t>
      </w:r>
      <w:r>
        <w:rPr>
          <w:i/>
        </w:rPr>
        <w:t>exclusively aim at promoting</w:t>
      </w:r>
      <w:r>
        <w:rPr>
          <w:i/>
          <w:lang w:val="en-GB"/>
        </w:rPr>
        <w:t xml:space="preserve"> equal opportunities between men and women. </w:t>
      </w:r>
    </w:p>
    <w:p w:rsidR="00000000" w:rsidRDefault="00000000">
      <w:pPr>
        <w:pStyle w:val="SingleTxt"/>
      </w:pPr>
      <w:r>
        <w:tab/>
        <w:t>The General Secretariat for Gender Equality is the final beneficiary in Meas</w:t>
      </w:r>
      <w:r>
        <w:t>u</w:t>
      </w:r>
      <w:r>
        <w:t>res 5.1. and</w:t>
      </w:r>
      <w:r>
        <w:rPr>
          <w:sz w:val="23"/>
          <w:lang w:val="en-GB"/>
        </w:rPr>
        <w:t xml:space="preserve"> 5.3., </w:t>
      </w:r>
      <w:r>
        <w:t xml:space="preserve">which are included in the above mentioned Axis. </w:t>
      </w:r>
    </w:p>
    <w:p w:rsidR="00000000" w:rsidRDefault="00000000">
      <w:pPr>
        <w:pStyle w:val="SingleTxt"/>
        <w:rPr>
          <w:i/>
          <w:lang w:val="en-GB"/>
        </w:rPr>
      </w:pPr>
      <w:r>
        <w:rPr>
          <w:i/>
          <w:lang w:val="en-US"/>
        </w:rPr>
        <w:t>More</w:t>
      </w:r>
      <w:r>
        <w:rPr>
          <w:i/>
          <w:lang w:val="en-GB"/>
        </w:rPr>
        <w:t xml:space="preserve"> </w:t>
      </w:r>
      <w:r>
        <w:rPr>
          <w:i/>
          <w:lang w:val="en-US"/>
        </w:rPr>
        <w:t>specifically</w:t>
      </w:r>
      <w:r>
        <w:rPr>
          <w:i/>
          <w:lang w:val="en-GB"/>
        </w:rPr>
        <w:t>:</w:t>
      </w:r>
    </w:p>
    <w:p w:rsidR="00000000" w:rsidRDefault="00000000">
      <w:pPr>
        <w:pStyle w:val="SingleTxt"/>
        <w:spacing w:after="0" w:line="120" w:lineRule="exact"/>
        <w:rPr>
          <w:i/>
          <w:sz w:val="10"/>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Measure</w:t>
      </w:r>
      <w:r>
        <w:rPr>
          <w:lang w:val="en-GB"/>
        </w:rPr>
        <w:t xml:space="preserve"> “</w:t>
      </w:r>
      <w:r>
        <w:rPr>
          <w:lang w:val="en-US"/>
        </w:rPr>
        <w:t>Positive</w:t>
      </w:r>
      <w:r>
        <w:rPr>
          <w:lang w:val="en-GB"/>
        </w:rPr>
        <w:t xml:space="preserve"> </w:t>
      </w:r>
      <w:r>
        <w:rPr>
          <w:lang w:val="en-US"/>
        </w:rPr>
        <w:t>Actions</w:t>
      </w:r>
      <w:r>
        <w:rPr>
          <w:lang w:val="en-GB"/>
        </w:rPr>
        <w:t xml:space="preserve"> </w:t>
      </w:r>
      <w:r>
        <w:rPr>
          <w:lang w:val="en-US"/>
        </w:rPr>
        <w:t>in</w:t>
      </w:r>
      <w:r>
        <w:rPr>
          <w:lang w:val="en-GB"/>
        </w:rPr>
        <w:t xml:space="preserve"> </w:t>
      </w:r>
      <w:r>
        <w:rPr>
          <w:lang w:val="en-US"/>
        </w:rPr>
        <w:t>favour</w:t>
      </w:r>
      <w:r>
        <w:rPr>
          <w:lang w:val="en-GB"/>
        </w:rPr>
        <w:t xml:space="preserve"> </w:t>
      </w:r>
      <w:r>
        <w:rPr>
          <w:lang w:val="en-US"/>
        </w:rPr>
        <w:t>of</w:t>
      </w:r>
      <w:r>
        <w:rPr>
          <w:lang w:val="en-GB"/>
        </w:rPr>
        <w:t xml:space="preserve"> </w:t>
      </w:r>
      <w:r>
        <w:rPr>
          <w:lang w:val="en-US"/>
        </w:rPr>
        <w:t>women</w:t>
      </w:r>
      <w:r>
        <w:rPr>
          <w:lang w:val="en-GB"/>
        </w:rPr>
        <w:t xml:space="preserve"> </w:t>
      </w:r>
      <w:r>
        <w:rPr>
          <w:lang w:val="en-US"/>
        </w:rPr>
        <w:t>in Small-medium</w:t>
      </w:r>
      <w:r>
        <w:rPr>
          <w:lang w:val="en-GB"/>
        </w:rPr>
        <w:t xml:space="preserve"> sized &amp; </w:t>
      </w:r>
      <w:r>
        <w:rPr>
          <w:lang w:val="en-US"/>
        </w:rPr>
        <w:t>Large Enterprises”</w:t>
      </w:r>
    </w:p>
    <w:p w:rsidR="00000000" w:rsidRDefault="00000000">
      <w:pPr>
        <w:pStyle w:val="SingleTxt"/>
        <w:spacing w:after="0" w:line="120" w:lineRule="exact"/>
        <w:rPr>
          <w:sz w:val="10"/>
        </w:rPr>
      </w:pPr>
    </w:p>
    <w:p w:rsidR="00000000" w:rsidRDefault="00000000">
      <w:pPr>
        <w:pStyle w:val="SingleTxt"/>
        <w:rPr>
          <w:lang w:val="en-GB"/>
        </w:rPr>
      </w:pPr>
      <w:r>
        <w:rPr>
          <w:lang w:val="en-GB"/>
        </w:rPr>
        <w:tab/>
        <w:t xml:space="preserve">The measure will be implemented by the General Secretariat for Gender Equality, </w:t>
      </w:r>
      <w:r>
        <w:t>for the first time in Greece,</w:t>
      </w:r>
      <w:r>
        <w:rPr>
          <w:lang w:val="en-GB"/>
        </w:rPr>
        <w:t xml:space="preserve"> </w:t>
      </w:r>
      <w:r>
        <w:t>and aims at helping women working in small-medium</w:t>
      </w:r>
      <w:r>
        <w:rPr>
          <w:lang w:val="en-GB"/>
        </w:rPr>
        <w:t xml:space="preserve"> sized </w:t>
      </w:r>
      <w:r>
        <w:t>and</w:t>
      </w:r>
      <w:r>
        <w:rPr>
          <w:lang w:val="en-GB"/>
        </w:rPr>
        <w:t xml:space="preserve"> </w:t>
      </w:r>
      <w:r>
        <w:t>large enterprises</w:t>
      </w:r>
      <w:r>
        <w:rPr>
          <w:lang w:val="en-GB"/>
        </w:rPr>
        <w:t xml:space="preserve"> </w:t>
      </w:r>
      <w:r>
        <w:t>to acquire additional qualifications</w:t>
      </w:r>
      <w:r>
        <w:rPr>
          <w:lang w:val="en-GB"/>
        </w:rPr>
        <w:t xml:space="preserve">, so as to be able to claim a </w:t>
      </w:r>
      <w:r>
        <w:t>better career as well as to combine family and working responsibil</w:t>
      </w:r>
      <w:r>
        <w:t>i</w:t>
      </w:r>
      <w:r>
        <w:t>ties</w:t>
      </w:r>
      <w:r>
        <w:rPr>
          <w:lang w:val="en-GB"/>
        </w:rPr>
        <w:t xml:space="preserve">. This project will benefit 5,000 </w:t>
      </w:r>
      <w:r>
        <w:t>employees</w:t>
      </w:r>
      <w:r>
        <w:rPr>
          <w:lang w:val="en-GB"/>
        </w:rPr>
        <w:t>.</w:t>
      </w:r>
      <w:r>
        <w:t xml:space="preserve"> It will be implemented by enterpr</w:t>
      </w:r>
      <w:r>
        <w:t>i</w:t>
      </w:r>
      <w:r>
        <w:t>ses or partnerships of enterprises</w:t>
      </w:r>
      <w:r>
        <w:rPr>
          <w:lang w:val="en-GB"/>
        </w:rPr>
        <w:t xml:space="preserve">. The project is under way. </w:t>
      </w:r>
    </w:p>
    <w:p w:rsidR="00000000" w:rsidRDefault="00000000">
      <w:pPr>
        <w:pStyle w:val="SingleTxt"/>
        <w:spacing w:after="0" w:line="120" w:lineRule="exact"/>
        <w:rPr>
          <w:sz w:val="10"/>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Measure </w:t>
      </w:r>
      <w:r>
        <w:rPr>
          <w:lang w:val="en-GB"/>
        </w:rPr>
        <w:t>“</w:t>
      </w:r>
      <w:r>
        <w:rPr>
          <w:lang w:val="en-US"/>
        </w:rPr>
        <w:t>Integrated Interventions in favour of women”</w:t>
      </w:r>
    </w:p>
    <w:p w:rsidR="00000000" w:rsidRDefault="00000000">
      <w:pPr>
        <w:pStyle w:val="SingleTxt"/>
        <w:spacing w:after="0" w:line="120" w:lineRule="exact"/>
        <w:rPr>
          <w:sz w:val="10"/>
        </w:rPr>
      </w:pPr>
    </w:p>
    <w:p w:rsidR="00000000" w:rsidRDefault="00000000">
      <w:pPr>
        <w:pStyle w:val="SingleTxt"/>
        <w:rPr>
          <w:lang w:val="en-GB"/>
        </w:rPr>
      </w:pPr>
      <w:r>
        <w:rPr>
          <w:lang w:val="en-US"/>
        </w:rPr>
        <w:tab/>
        <w:t>The</w:t>
      </w:r>
      <w:r>
        <w:rPr>
          <w:lang w:val="en-GB"/>
        </w:rPr>
        <w:t xml:space="preserve"> </w:t>
      </w:r>
      <w:r>
        <w:rPr>
          <w:lang w:val="en-US"/>
        </w:rPr>
        <w:t>measure</w:t>
      </w:r>
      <w:r>
        <w:rPr>
          <w:lang w:val="en-GB"/>
        </w:rPr>
        <w:t xml:space="preserve"> </w:t>
      </w:r>
      <w:r>
        <w:rPr>
          <w:lang w:val="en-US"/>
        </w:rPr>
        <w:t>provides</w:t>
      </w:r>
      <w:r>
        <w:rPr>
          <w:lang w:val="en-GB"/>
        </w:rPr>
        <w:t xml:space="preserve"> for Accompanying Supportive Services </w:t>
      </w:r>
      <w:r>
        <w:rPr>
          <w:lang w:val="en-US"/>
        </w:rPr>
        <w:t xml:space="preserve">and addresses </w:t>
      </w:r>
      <w:r>
        <w:rPr>
          <w:lang w:val="en-GB"/>
        </w:rPr>
        <w:t xml:space="preserve">30,000 </w:t>
      </w:r>
      <w:r>
        <w:rPr>
          <w:lang w:val="en-US"/>
        </w:rPr>
        <w:t xml:space="preserve">unemployed women for the period </w:t>
      </w:r>
      <w:r>
        <w:rPr>
          <w:lang w:val="en-GB"/>
        </w:rPr>
        <w:t xml:space="preserve">2000-2006. </w:t>
      </w:r>
    </w:p>
    <w:p w:rsidR="00000000" w:rsidRDefault="00000000">
      <w:pPr>
        <w:pStyle w:val="SingleTxt"/>
        <w:rPr>
          <w:lang w:val="en-GB"/>
        </w:rPr>
      </w:pPr>
      <w:r>
        <w:rPr>
          <w:lang w:val="en-US"/>
        </w:rPr>
        <w:tab/>
        <w:t>During</w:t>
      </w:r>
      <w:r>
        <w:rPr>
          <w:lang w:val="en-GB"/>
        </w:rPr>
        <w:t xml:space="preserve"> </w:t>
      </w:r>
      <w:r>
        <w:rPr>
          <w:lang w:val="en-US"/>
        </w:rPr>
        <w:t>implementation</w:t>
      </w:r>
      <w:r>
        <w:rPr>
          <w:lang w:val="en-GB"/>
        </w:rPr>
        <w:t xml:space="preserve"> </w:t>
      </w:r>
      <w:r>
        <w:rPr>
          <w:lang w:val="en-US"/>
        </w:rPr>
        <w:t>of</w:t>
      </w:r>
      <w:r>
        <w:rPr>
          <w:lang w:val="en-GB"/>
        </w:rPr>
        <w:t xml:space="preserve"> the </w:t>
      </w:r>
      <w:r>
        <w:rPr>
          <w:i/>
          <w:lang w:val="en-GB"/>
        </w:rPr>
        <w:t xml:space="preserve">first </w:t>
      </w:r>
      <w:r>
        <w:rPr>
          <w:i/>
          <w:lang w:val="en-US"/>
        </w:rPr>
        <w:t>phase</w:t>
      </w:r>
      <w:r>
        <w:rPr>
          <w:lang w:val="en-US"/>
        </w:rPr>
        <w:t xml:space="preserve"> </w:t>
      </w:r>
      <w:r>
        <w:rPr>
          <w:lang w:val="en-GB"/>
        </w:rPr>
        <w:t xml:space="preserve">(2000-2003) of </w:t>
      </w:r>
      <w:r>
        <w:rPr>
          <w:lang w:val="en-US"/>
        </w:rPr>
        <w:t>supportive</w:t>
      </w:r>
      <w:r>
        <w:rPr>
          <w:lang w:val="en-GB"/>
        </w:rPr>
        <w:t xml:space="preserve"> </w:t>
      </w:r>
      <w:r>
        <w:rPr>
          <w:lang w:val="en-US"/>
        </w:rPr>
        <w:t>services</w:t>
      </w:r>
      <w:r>
        <w:rPr>
          <w:lang w:val="en-GB"/>
        </w:rPr>
        <w:t xml:space="preserve"> </w:t>
      </w:r>
      <w:r>
        <w:rPr>
          <w:lang w:val="en-US"/>
        </w:rPr>
        <w:t>by</w:t>
      </w:r>
      <w:r>
        <w:rPr>
          <w:lang w:val="en-GB"/>
        </w:rPr>
        <w:t xml:space="preserve"> </w:t>
      </w:r>
      <w:r>
        <w:rPr>
          <w:lang w:val="en-US"/>
        </w:rPr>
        <w:t>K</w:t>
      </w:r>
      <w:r>
        <w:t>Ε</w:t>
      </w:r>
      <w:r>
        <w:rPr>
          <w:lang w:val="en-US"/>
        </w:rPr>
        <w:t>TH</w:t>
      </w:r>
      <w:r>
        <w:t>Ι</w:t>
      </w:r>
      <w:r>
        <w:rPr>
          <w:lang w:val="en-GB"/>
        </w:rPr>
        <w:t>, 14,189</w:t>
      </w:r>
      <w:r>
        <w:rPr>
          <w:lang w:val="en-US"/>
        </w:rPr>
        <w:t xml:space="preserve"> women benefited from consultation and supportive actions in their working and social environment</w:t>
      </w:r>
      <w:r>
        <w:rPr>
          <w:lang w:val="en-GB"/>
        </w:rPr>
        <w:t xml:space="preserve">. </w:t>
      </w:r>
    </w:p>
    <w:p w:rsidR="00000000" w:rsidRDefault="00000000">
      <w:pPr>
        <w:pStyle w:val="SingleTxt"/>
        <w:rPr>
          <w:lang w:val="en-GB"/>
        </w:rPr>
      </w:pPr>
      <w:r>
        <w:rPr>
          <w:lang w:val="en-US"/>
        </w:rPr>
        <w:tab/>
        <w:t>During</w:t>
      </w:r>
      <w:r>
        <w:rPr>
          <w:lang w:val="en-GB"/>
        </w:rPr>
        <w:t xml:space="preserve"> </w:t>
      </w:r>
      <w:r>
        <w:rPr>
          <w:lang w:val="en-US"/>
        </w:rPr>
        <w:t>the</w:t>
      </w:r>
      <w:r>
        <w:rPr>
          <w:lang w:val="en-GB"/>
        </w:rPr>
        <w:t xml:space="preserve"> </w:t>
      </w:r>
      <w:r>
        <w:rPr>
          <w:i/>
          <w:lang w:val="en-US"/>
        </w:rPr>
        <w:t>second phase</w:t>
      </w:r>
      <w:r>
        <w:rPr>
          <w:lang w:val="en-GB"/>
        </w:rPr>
        <w:t xml:space="preserve"> </w:t>
      </w:r>
      <w:r>
        <w:rPr>
          <w:lang w:val="en-US"/>
        </w:rPr>
        <w:t>of implementation</w:t>
      </w:r>
      <w:r>
        <w:rPr>
          <w:lang w:val="en-GB"/>
        </w:rPr>
        <w:t xml:space="preserve">, 2003-2006, </w:t>
      </w:r>
      <w:r>
        <w:rPr>
          <w:lang w:val="en-US"/>
        </w:rPr>
        <w:t>the General Secreta</w:t>
      </w:r>
      <w:r>
        <w:rPr>
          <w:lang w:val="en-US"/>
        </w:rPr>
        <w:t>r</w:t>
      </w:r>
      <w:r>
        <w:rPr>
          <w:lang w:val="en-US"/>
        </w:rPr>
        <w:t>iat for Gender Equality</w:t>
      </w:r>
      <w:r>
        <w:rPr>
          <w:lang w:val="en-GB"/>
        </w:rPr>
        <w:t xml:space="preserve"> carries out the project “</w:t>
      </w:r>
      <w:r>
        <w:rPr>
          <w:i/>
          <w:lang w:val="en-GB"/>
        </w:rPr>
        <w:t>Provision of integrated interventions in favour of women</w:t>
      </w:r>
      <w:r>
        <w:rPr>
          <w:lang w:val="en-GB"/>
        </w:rPr>
        <w:t xml:space="preserve">”. </w:t>
      </w:r>
    </w:p>
    <w:p w:rsidR="00000000" w:rsidRDefault="00000000">
      <w:pPr>
        <w:pStyle w:val="SingleTxt"/>
        <w:rPr>
          <w:lang w:val="en-GB"/>
        </w:rPr>
      </w:pPr>
      <w:r>
        <w:rPr>
          <w:lang w:val="en-GB"/>
        </w:rPr>
        <w:tab/>
        <w:t xml:space="preserve">The innovation of the project </w:t>
      </w:r>
      <w:r>
        <w:rPr>
          <w:lang w:val="en-US"/>
        </w:rPr>
        <w:t>is</w:t>
      </w:r>
      <w:r>
        <w:rPr>
          <w:lang w:val="en-GB"/>
        </w:rPr>
        <w:t xml:space="preserve"> </w:t>
      </w:r>
      <w:r>
        <w:rPr>
          <w:lang w:val="en-US"/>
        </w:rPr>
        <w:t>the integrated character of the intervention</w:t>
      </w:r>
      <w:r>
        <w:rPr>
          <w:lang w:val="en-GB"/>
        </w:rPr>
        <w:t xml:space="preserve">, </w:t>
      </w:r>
      <w:r>
        <w:rPr>
          <w:lang w:val="en-US"/>
        </w:rPr>
        <w:t>which is achieved through providing interconnected activities</w:t>
      </w:r>
      <w:r>
        <w:rPr>
          <w:lang w:val="en-GB"/>
        </w:rPr>
        <w:t xml:space="preserve">. </w:t>
      </w:r>
    </w:p>
    <w:p w:rsidR="00000000" w:rsidRDefault="00000000">
      <w:pPr>
        <w:pStyle w:val="SingleTxt"/>
        <w:rPr>
          <w:lang w:val="en-GB"/>
        </w:rPr>
      </w:pPr>
      <w:r>
        <w:rPr>
          <w:lang w:val="en-US"/>
        </w:rPr>
        <w:tab/>
        <w:t>The</w:t>
      </w:r>
      <w:r>
        <w:rPr>
          <w:lang w:val="en-GB"/>
        </w:rPr>
        <w:t xml:space="preserve"> project </w:t>
      </w:r>
      <w:r>
        <w:rPr>
          <w:lang w:val="en-US"/>
        </w:rPr>
        <w:t>addresses</w:t>
      </w:r>
      <w:r>
        <w:rPr>
          <w:lang w:val="en-GB"/>
        </w:rPr>
        <w:t xml:space="preserve"> 9,018 </w:t>
      </w:r>
      <w:r>
        <w:rPr>
          <w:lang w:val="en-US"/>
        </w:rPr>
        <w:t>mainly</w:t>
      </w:r>
      <w:r>
        <w:rPr>
          <w:lang w:val="en-GB"/>
        </w:rPr>
        <w:t xml:space="preserve"> </w:t>
      </w:r>
      <w:r>
        <w:rPr>
          <w:lang w:val="en-US"/>
        </w:rPr>
        <w:t>unemployed</w:t>
      </w:r>
      <w:r>
        <w:rPr>
          <w:lang w:val="en-GB"/>
        </w:rPr>
        <w:t xml:space="preserve"> </w:t>
      </w:r>
      <w:r>
        <w:rPr>
          <w:lang w:val="en-US"/>
        </w:rPr>
        <w:t>women</w:t>
      </w:r>
      <w:r>
        <w:rPr>
          <w:lang w:val="en-GB"/>
        </w:rPr>
        <w:t xml:space="preserve">, </w:t>
      </w:r>
      <w:r>
        <w:rPr>
          <w:lang w:val="en-US"/>
        </w:rPr>
        <w:t>it</w:t>
      </w:r>
      <w:r>
        <w:rPr>
          <w:lang w:val="en-GB"/>
        </w:rPr>
        <w:t xml:space="preserve"> </w:t>
      </w:r>
      <w:r>
        <w:rPr>
          <w:lang w:val="en-US"/>
        </w:rPr>
        <w:t>is</w:t>
      </w:r>
      <w:r>
        <w:rPr>
          <w:lang w:val="en-GB"/>
        </w:rPr>
        <w:t xml:space="preserve"> </w:t>
      </w:r>
      <w:r>
        <w:rPr>
          <w:lang w:val="en-US"/>
        </w:rPr>
        <w:t>implemented</w:t>
      </w:r>
      <w:r>
        <w:rPr>
          <w:lang w:val="en-GB"/>
        </w:rPr>
        <w:t xml:space="preserve"> </w:t>
      </w:r>
      <w:r>
        <w:rPr>
          <w:lang w:val="en-US"/>
        </w:rPr>
        <w:t>at</w:t>
      </w:r>
      <w:r>
        <w:rPr>
          <w:lang w:val="en-GB"/>
        </w:rPr>
        <w:t xml:space="preserve"> </w:t>
      </w:r>
      <w:r>
        <w:rPr>
          <w:lang w:val="en-US"/>
        </w:rPr>
        <w:t>Regional</w:t>
      </w:r>
      <w:r>
        <w:rPr>
          <w:lang w:val="en-GB"/>
        </w:rPr>
        <w:t xml:space="preserve"> </w:t>
      </w:r>
      <w:r>
        <w:rPr>
          <w:lang w:val="en-US"/>
        </w:rPr>
        <w:t>level</w:t>
      </w:r>
      <w:r>
        <w:rPr>
          <w:lang w:val="en-GB"/>
        </w:rPr>
        <w:t xml:space="preserve"> </w:t>
      </w:r>
      <w:r>
        <w:rPr>
          <w:lang w:val="en-US"/>
        </w:rPr>
        <w:t>by</w:t>
      </w:r>
      <w:r>
        <w:rPr>
          <w:lang w:val="en-GB"/>
        </w:rPr>
        <w:t xml:space="preserve"> 17 </w:t>
      </w:r>
      <w:r>
        <w:rPr>
          <w:lang w:val="en-US"/>
        </w:rPr>
        <w:t>Action</w:t>
      </w:r>
      <w:r>
        <w:rPr>
          <w:lang w:val="en-GB"/>
        </w:rPr>
        <w:t xml:space="preserve"> </w:t>
      </w:r>
      <w:r>
        <w:rPr>
          <w:lang w:val="en-US"/>
        </w:rPr>
        <w:t>Plans</w:t>
      </w:r>
      <w:r>
        <w:rPr>
          <w:lang w:val="en-GB"/>
        </w:rPr>
        <w:t xml:space="preserve">, </w:t>
      </w:r>
      <w:r>
        <w:rPr>
          <w:lang w:val="en-US"/>
        </w:rPr>
        <w:t>and</w:t>
      </w:r>
      <w:r>
        <w:rPr>
          <w:lang w:val="en-GB"/>
        </w:rPr>
        <w:t xml:space="preserve"> </w:t>
      </w:r>
      <w:r>
        <w:rPr>
          <w:lang w:val="en-US"/>
        </w:rPr>
        <w:t>aims</w:t>
      </w:r>
      <w:r>
        <w:rPr>
          <w:lang w:val="en-GB"/>
        </w:rPr>
        <w:t xml:space="preserve"> </w:t>
      </w:r>
      <w:r>
        <w:rPr>
          <w:lang w:val="en-US"/>
        </w:rPr>
        <w:t>at</w:t>
      </w:r>
      <w:r>
        <w:rPr>
          <w:lang w:val="en-GB"/>
        </w:rPr>
        <w:t xml:space="preserve"> </w:t>
      </w:r>
      <w:r>
        <w:rPr>
          <w:lang w:val="en-US"/>
        </w:rPr>
        <w:t>the</w:t>
      </w:r>
      <w:r>
        <w:rPr>
          <w:lang w:val="en-GB"/>
        </w:rPr>
        <w:t xml:space="preserve"> </w:t>
      </w:r>
      <w:r>
        <w:rPr>
          <w:lang w:val="en-US"/>
        </w:rPr>
        <w:t>improvement</w:t>
      </w:r>
      <w:r>
        <w:rPr>
          <w:lang w:val="en-GB"/>
        </w:rPr>
        <w:t xml:space="preserve"> </w:t>
      </w:r>
      <w:r>
        <w:rPr>
          <w:lang w:val="en-US"/>
        </w:rPr>
        <w:t>of</w:t>
      </w:r>
      <w:r>
        <w:rPr>
          <w:lang w:val="en-GB"/>
        </w:rPr>
        <w:t xml:space="preserve"> </w:t>
      </w:r>
      <w:r>
        <w:rPr>
          <w:lang w:val="en-US"/>
        </w:rPr>
        <w:t>women</w:t>
      </w:r>
      <w:r>
        <w:rPr>
          <w:lang w:val="en-GB"/>
        </w:rPr>
        <w:t>’</w:t>
      </w:r>
      <w:r>
        <w:rPr>
          <w:lang w:val="en-US"/>
        </w:rPr>
        <w:t>s</w:t>
      </w:r>
      <w:r>
        <w:rPr>
          <w:lang w:val="en-GB"/>
        </w:rPr>
        <w:t xml:space="preserve"> </w:t>
      </w:r>
      <w:r>
        <w:rPr>
          <w:lang w:val="en-US"/>
        </w:rPr>
        <w:t>access</w:t>
      </w:r>
      <w:r>
        <w:rPr>
          <w:lang w:val="en-GB"/>
        </w:rPr>
        <w:t xml:space="preserve"> to </w:t>
      </w:r>
      <w:r>
        <w:rPr>
          <w:lang w:val="en-US"/>
        </w:rPr>
        <w:t>and participation in the labour market through services of specialized inform</w:t>
      </w:r>
      <w:r>
        <w:rPr>
          <w:lang w:val="en-US"/>
        </w:rPr>
        <w:t>a</w:t>
      </w:r>
      <w:r>
        <w:rPr>
          <w:lang w:val="en-US"/>
        </w:rPr>
        <w:t>tion</w:t>
      </w:r>
      <w:r>
        <w:rPr>
          <w:lang w:val="en-GB"/>
        </w:rPr>
        <w:t>, consultation and social support, and, mainly, their participation in active pol</w:t>
      </w:r>
      <w:r>
        <w:rPr>
          <w:lang w:val="en-GB"/>
        </w:rPr>
        <w:t>i</w:t>
      </w:r>
      <w:r>
        <w:rPr>
          <w:lang w:val="en-GB"/>
        </w:rPr>
        <w:t>cies for employment and their obtaining viable employment.</w:t>
      </w:r>
    </w:p>
    <w:p w:rsidR="00000000" w:rsidRDefault="00000000">
      <w:pPr>
        <w:pStyle w:val="SingleTxt"/>
        <w:rPr>
          <w:lang w:val="en-GB"/>
        </w:rPr>
      </w:pPr>
      <w:r>
        <w:rPr>
          <w:color w:val="000000"/>
          <w:lang w:val="en-GB"/>
        </w:rPr>
        <w:tab/>
        <w:t xml:space="preserve">To this end, </w:t>
      </w:r>
      <w:r>
        <w:rPr>
          <w:color w:val="000000"/>
          <w:lang w:val="en-US"/>
        </w:rPr>
        <w:t>in the context of the above mentioned measure</w:t>
      </w:r>
      <w:r>
        <w:rPr>
          <w:color w:val="000000"/>
          <w:lang w:val="en-GB"/>
        </w:rPr>
        <w:t xml:space="preserve">, the </w:t>
      </w:r>
      <w:r>
        <w:rPr>
          <w:lang w:val="en-US"/>
        </w:rPr>
        <w:t>General Se</w:t>
      </w:r>
      <w:r>
        <w:rPr>
          <w:lang w:val="en-US"/>
        </w:rPr>
        <w:t>c</w:t>
      </w:r>
      <w:r>
        <w:rPr>
          <w:lang w:val="en-US"/>
        </w:rPr>
        <w:t xml:space="preserve">retariat for Gender Equality appropriates funds of </w:t>
      </w:r>
      <w:r>
        <w:rPr>
          <w:lang w:val="en-GB"/>
        </w:rPr>
        <w:t xml:space="preserve">30 million Euro for promoting 4,785 unemployed women into employment. This programme will </w:t>
      </w:r>
      <w:r>
        <w:rPr>
          <w:lang w:val="en-US"/>
        </w:rPr>
        <w:t>be</w:t>
      </w:r>
      <w:r>
        <w:rPr>
          <w:lang w:val="en-GB"/>
        </w:rPr>
        <w:t xml:space="preserve"> </w:t>
      </w:r>
      <w:r>
        <w:rPr>
          <w:lang w:val="en-US"/>
        </w:rPr>
        <w:t>implemented</w:t>
      </w:r>
      <w:r>
        <w:rPr>
          <w:lang w:val="en-GB"/>
        </w:rPr>
        <w:t xml:space="preserve"> </w:t>
      </w:r>
      <w:r>
        <w:rPr>
          <w:lang w:val="en-US"/>
        </w:rPr>
        <w:t>by</w:t>
      </w:r>
      <w:r>
        <w:rPr>
          <w:lang w:val="en-GB"/>
        </w:rPr>
        <w:t xml:space="preserve"> </w:t>
      </w:r>
      <w:r>
        <w:rPr>
          <w:lang w:val="en-US"/>
        </w:rPr>
        <w:t>the</w:t>
      </w:r>
      <w:r>
        <w:rPr>
          <w:lang w:val="en-GB"/>
        </w:rPr>
        <w:t xml:space="preserve"> </w:t>
      </w:r>
      <w:r>
        <w:rPr>
          <w:color w:val="000000"/>
          <w:lang w:val="en-US"/>
        </w:rPr>
        <w:t>Greek Manpower Employment Organization</w:t>
      </w:r>
      <w:r>
        <w:rPr>
          <w:lang w:val="en-US"/>
        </w:rPr>
        <w:t xml:space="preserve"> during the period </w:t>
      </w:r>
      <w:r>
        <w:rPr>
          <w:lang w:val="en-GB"/>
        </w:rPr>
        <w:t>2004-2006, and, for this reason, a fruitful co-operation between the General Secretariat for Ge</w:t>
      </w:r>
      <w:r>
        <w:rPr>
          <w:lang w:val="en-GB"/>
        </w:rPr>
        <w:t>n</w:t>
      </w:r>
      <w:r>
        <w:rPr>
          <w:lang w:val="en-GB"/>
        </w:rPr>
        <w:t xml:space="preserve">der Equality and the </w:t>
      </w:r>
      <w:r>
        <w:rPr>
          <w:color w:val="000000"/>
          <w:lang w:val="en-US"/>
        </w:rPr>
        <w:t>Greek Manpower Employment Organization</w:t>
      </w:r>
      <w:r>
        <w:rPr>
          <w:lang w:val="en-GB"/>
        </w:rPr>
        <w:t xml:space="preserve"> has already taken place.</w:t>
      </w:r>
    </w:p>
    <w:p w:rsidR="00000000" w:rsidRDefault="00000000">
      <w:pPr>
        <w:pStyle w:val="SingleTxt"/>
        <w:rPr>
          <w:lang w:val="en-GB"/>
        </w:rPr>
      </w:pPr>
      <w:r>
        <w:rPr>
          <w:lang w:val="en-US"/>
        </w:rPr>
        <w:tab/>
        <w:t>So</w:t>
      </w:r>
      <w:r>
        <w:rPr>
          <w:lang w:val="en-GB"/>
        </w:rPr>
        <w:t xml:space="preserve">, </w:t>
      </w:r>
      <w:r>
        <w:rPr>
          <w:lang w:val="en-US"/>
        </w:rPr>
        <w:t>for</w:t>
      </w:r>
      <w:r>
        <w:rPr>
          <w:lang w:val="en-GB"/>
        </w:rPr>
        <w:t xml:space="preserve"> </w:t>
      </w:r>
      <w:r>
        <w:rPr>
          <w:lang w:val="en-US"/>
        </w:rPr>
        <w:t>the</w:t>
      </w:r>
      <w:r>
        <w:rPr>
          <w:lang w:val="en-GB"/>
        </w:rPr>
        <w:t xml:space="preserve"> </w:t>
      </w:r>
      <w:r>
        <w:rPr>
          <w:lang w:val="en-US"/>
        </w:rPr>
        <w:t>first</w:t>
      </w:r>
      <w:r>
        <w:rPr>
          <w:lang w:val="en-GB"/>
        </w:rPr>
        <w:t xml:space="preserve"> </w:t>
      </w:r>
      <w:r>
        <w:rPr>
          <w:lang w:val="en-US"/>
        </w:rPr>
        <w:t>time</w:t>
      </w:r>
      <w:r>
        <w:rPr>
          <w:lang w:val="en-GB"/>
        </w:rPr>
        <w:t xml:space="preserve">, </w:t>
      </w:r>
      <w:r>
        <w:rPr>
          <w:lang w:val="en-US"/>
        </w:rPr>
        <w:t>ensuring</w:t>
      </w:r>
      <w:r>
        <w:rPr>
          <w:lang w:val="en-GB"/>
        </w:rPr>
        <w:t xml:space="preserve"> </w:t>
      </w:r>
      <w:r>
        <w:rPr>
          <w:lang w:val="en-US"/>
        </w:rPr>
        <w:t>the</w:t>
      </w:r>
      <w:r>
        <w:rPr>
          <w:lang w:val="en-GB"/>
        </w:rPr>
        <w:t xml:space="preserve"> </w:t>
      </w:r>
      <w:r>
        <w:rPr>
          <w:lang w:val="en-US"/>
        </w:rPr>
        <w:t>integrated</w:t>
      </w:r>
      <w:r>
        <w:rPr>
          <w:lang w:val="en-GB"/>
        </w:rPr>
        <w:t xml:space="preserve"> </w:t>
      </w:r>
      <w:r>
        <w:rPr>
          <w:lang w:val="en-US"/>
        </w:rPr>
        <w:t>character</w:t>
      </w:r>
      <w:r>
        <w:rPr>
          <w:lang w:val="en-GB"/>
        </w:rPr>
        <w:t xml:space="preserve"> </w:t>
      </w:r>
      <w:r>
        <w:rPr>
          <w:lang w:val="en-US"/>
        </w:rPr>
        <w:t>of</w:t>
      </w:r>
      <w:r>
        <w:rPr>
          <w:lang w:val="en-GB"/>
        </w:rPr>
        <w:t xml:space="preserve"> </w:t>
      </w:r>
      <w:r>
        <w:rPr>
          <w:lang w:val="en-US"/>
        </w:rPr>
        <w:t>the</w:t>
      </w:r>
      <w:r>
        <w:rPr>
          <w:lang w:val="en-GB"/>
        </w:rPr>
        <w:t xml:space="preserve"> </w:t>
      </w:r>
      <w:r>
        <w:rPr>
          <w:lang w:val="en-US"/>
        </w:rPr>
        <w:t>intervention</w:t>
      </w:r>
      <w:r>
        <w:rPr>
          <w:lang w:val="en-GB"/>
        </w:rPr>
        <w:t xml:space="preserve">, </w:t>
      </w:r>
      <w:r>
        <w:rPr>
          <w:lang w:val="en-US"/>
        </w:rPr>
        <w:t>a package of programmes, addressing women beneficiaries of this project, will</w:t>
      </w:r>
      <w:r>
        <w:rPr>
          <w:lang w:val="en-GB"/>
        </w:rPr>
        <w:t xml:space="preserve"> be r</w:t>
      </w:r>
      <w:r>
        <w:rPr>
          <w:lang w:val="en-GB"/>
        </w:rPr>
        <w:t>e</w:t>
      </w:r>
      <w:r>
        <w:rPr>
          <w:lang w:val="en-GB"/>
        </w:rPr>
        <w:t>alised as follows:</w:t>
      </w:r>
    </w:p>
    <w:p w:rsidR="00000000" w:rsidRDefault="00000000">
      <w:pPr>
        <w:pStyle w:val="SingleTxt"/>
        <w:tabs>
          <w:tab w:val="right" w:pos="1685"/>
        </w:tabs>
        <w:ind w:left="1742" w:hanging="475"/>
        <w:rPr>
          <w:lang w:val="en-GB"/>
        </w:rPr>
      </w:pPr>
      <w:r>
        <w:rPr>
          <w:lang w:val="en-US"/>
        </w:rPr>
        <w:tab/>
        <w:t>–</w:t>
      </w:r>
      <w:r>
        <w:rPr>
          <w:lang w:val="en-US"/>
        </w:rPr>
        <w:tab/>
        <w:t>Subsidies Programme, for the creation of</w:t>
      </w:r>
      <w:r>
        <w:rPr>
          <w:lang w:val="en-GB"/>
        </w:rPr>
        <w:t xml:space="preserve"> </w:t>
      </w:r>
      <w:r>
        <w:rPr>
          <w:lang w:val="en-US"/>
        </w:rPr>
        <w:t>New Jobs</w:t>
      </w:r>
      <w:r>
        <w:rPr>
          <w:lang w:val="en-GB"/>
        </w:rPr>
        <w:t>,</w:t>
      </w:r>
    </w:p>
    <w:p w:rsidR="00000000" w:rsidRDefault="00000000">
      <w:pPr>
        <w:pStyle w:val="SingleTxt"/>
        <w:tabs>
          <w:tab w:val="right" w:pos="1685"/>
        </w:tabs>
        <w:ind w:left="1742" w:hanging="475"/>
        <w:rPr>
          <w:lang w:val="en-GB"/>
        </w:rPr>
      </w:pPr>
      <w:r>
        <w:rPr>
          <w:lang w:val="en-US"/>
        </w:rPr>
        <w:tab/>
        <w:t>–</w:t>
      </w:r>
      <w:r>
        <w:rPr>
          <w:lang w:val="en-US"/>
        </w:rPr>
        <w:tab/>
        <w:t>Programme</w:t>
      </w:r>
      <w:r>
        <w:rPr>
          <w:lang w:val="en-GB"/>
        </w:rPr>
        <w:t xml:space="preserve"> </w:t>
      </w:r>
      <w:r>
        <w:rPr>
          <w:lang w:val="en-US"/>
        </w:rPr>
        <w:t>for</w:t>
      </w:r>
      <w:r>
        <w:rPr>
          <w:lang w:val="en-GB"/>
        </w:rPr>
        <w:t xml:space="preserve"> the </w:t>
      </w:r>
      <w:r>
        <w:rPr>
          <w:lang w:val="en-US"/>
        </w:rPr>
        <w:t>New</w:t>
      </w:r>
      <w:r>
        <w:rPr>
          <w:lang w:val="en-GB"/>
        </w:rPr>
        <w:t xml:space="preserve"> Self-employed, and </w:t>
      </w:r>
    </w:p>
    <w:p w:rsidR="00000000" w:rsidRDefault="00000000">
      <w:pPr>
        <w:pStyle w:val="SingleTxt"/>
        <w:tabs>
          <w:tab w:val="right" w:pos="1685"/>
        </w:tabs>
        <w:ind w:left="1742" w:hanging="475"/>
        <w:rPr>
          <w:lang w:val="en-GB"/>
        </w:rPr>
      </w:pPr>
      <w:r>
        <w:rPr>
          <w:lang w:val="en-US"/>
        </w:rPr>
        <w:tab/>
        <w:t>–</w:t>
      </w:r>
      <w:r>
        <w:rPr>
          <w:lang w:val="en-US"/>
        </w:rPr>
        <w:tab/>
        <w:t>Programme</w:t>
      </w:r>
      <w:r>
        <w:rPr>
          <w:lang w:val="en-GB"/>
        </w:rPr>
        <w:t xml:space="preserve"> </w:t>
      </w:r>
      <w:r>
        <w:rPr>
          <w:lang w:val="en-US"/>
        </w:rPr>
        <w:t>for acquiring work experience</w:t>
      </w:r>
      <w:r>
        <w:rPr>
          <w:lang w:val="en-GB"/>
        </w:rPr>
        <w:t xml:space="preserve"> (</w:t>
      </w:r>
      <w:r>
        <w:rPr>
          <w:lang w:val="en-US"/>
        </w:rPr>
        <w:t>stage</w:t>
      </w:r>
      <w:r>
        <w:rPr>
          <w:lang w:val="en-GB"/>
        </w:rPr>
        <w:t xml:space="preserve">) </w:t>
      </w:r>
    </w:p>
    <w:p w:rsidR="00000000" w:rsidRDefault="00000000">
      <w:pPr>
        <w:pStyle w:val="SingleTxt"/>
        <w:rPr>
          <w:rFonts w:eastAsia="Arial Unicode MS"/>
          <w:lang w:val="en-GB"/>
        </w:rPr>
      </w:pPr>
      <w:r>
        <w:rPr>
          <w:lang w:val="en-US"/>
        </w:rPr>
        <w:tab/>
        <w:t xml:space="preserve">The Research Centre for Gender Equality </w:t>
      </w:r>
      <w:r>
        <w:rPr>
          <w:rFonts w:eastAsia="Arial Unicode MS"/>
          <w:lang w:val="en-GB"/>
        </w:rPr>
        <w:t xml:space="preserve">( </w:t>
      </w:r>
      <w:r>
        <w:rPr>
          <w:rFonts w:eastAsia="Arial Unicode MS"/>
        </w:rPr>
        <w:t>Κ</w:t>
      </w:r>
      <w:r>
        <w:rPr>
          <w:rFonts w:eastAsia="Arial Unicode MS"/>
          <w:lang w:val="en-GB"/>
        </w:rPr>
        <w:t>.</w:t>
      </w:r>
      <w:r>
        <w:rPr>
          <w:rFonts w:eastAsia="Arial Unicode MS"/>
        </w:rPr>
        <w:t>Ε</w:t>
      </w:r>
      <w:r>
        <w:rPr>
          <w:rFonts w:eastAsia="Arial Unicode MS"/>
          <w:lang w:val="en-GB"/>
        </w:rPr>
        <w:t>.TH.</w:t>
      </w:r>
      <w:r>
        <w:rPr>
          <w:rFonts w:eastAsia="Arial Unicode MS"/>
        </w:rPr>
        <w:t>Ι</w:t>
      </w:r>
      <w:r>
        <w:rPr>
          <w:rFonts w:eastAsia="Arial Unicode MS"/>
          <w:lang w:val="en-GB"/>
        </w:rPr>
        <w:t>. ) is the s</w:t>
      </w:r>
      <w:r>
        <w:rPr>
          <w:lang w:val="en-US"/>
        </w:rPr>
        <w:t>cientific co</w:t>
      </w:r>
      <w:r>
        <w:rPr>
          <w:lang w:val="en-US"/>
        </w:rPr>
        <w:t>n</w:t>
      </w:r>
      <w:r>
        <w:rPr>
          <w:lang w:val="en-US"/>
        </w:rPr>
        <w:t>sultant for the Actions of Integrated Interventions in favour of women</w:t>
      </w:r>
      <w:r>
        <w:rPr>
          <w:rFonts w:eastAsia="Arial Unicode MS"/>
          <w:lang w:val="en-GB"/>
        </w:rPr>
        <w:t>.</w:t>
      </w:r>
    </w:p>
    <w:p w:rsidR="00000000" w:rsidRDefault="00000000">
      <w:pPr>
        <w:pStyle w:val="SingleTxt"/>
        <w:rPr>
          <w:lang w:val="en-GB"/>
        </w:rPr>
      </w:pPr>
      <w:r>
        <w:rPr>
          <w:lang w:val="en-US"/>
        </w:rPr>
        <w:tab/>
        <w:t>As a conclusion,</w:t>
      </w:r>
      <w:r>
        <w:rPr>
          <w:lang w:val="en-GB"/>
        </w:rPr>
        <w:t xml:space="preserve"> </w:t>
      </w:r>
      <w:r>
        <w:rPr>
          <w:lang w:val="en-US"/>
        </w:rPr>
        <w:t>we can say that</w:t>
      </w:r>
      <w:r>
        <w:rPr>
          <w:lang w:val="en-GB"/>
        </w:rPr>
        <w:t>:</w:t>
      </w:r>
    </w:p>
    <w:p w:rsidR="00000000" w:rsidRDefault="00000000">
      <w:pPr>
        <w:pStyle w:val="SingleTxt"/>
        <w:rPr>
          <w:i/>
          <w:lang w:val="en-GB"/>
        </w:rPr>
      </w:pPr>
      <w:r>
        <w:rPr>
          <w:i/>
        </w:rPr>
        <w:tab/>
        <w:t>The</w:t>
      </w:r>
      <w:r>
        <w:rPr>
          <w:i/>
          <w:lang w:val="en-GB"/>
        </w:rPr>
        <w:t xml:space="preserve"> target set for </w:t>
      </w:r>
      <w:r>
        <w:rPr>
          <w:i/>
        </w:rPr>
        <w:t>the</w:t>
      </w:r>
      <w:r>
        <w:rPr>
          <w:i/>
          <w:lang w:val="en-GB"/>
        </w:rPr>
        <w:t xml:space="preserve"> 3</w:t>
      </w:r>
      <w:r>
        <w:rPr>
          <w:i/>
          <w:vertAlign w:val="superscript"/>
        </w:rPr>
        <w:t>rd</w:t>
      </w:r>
      <w:r>
        <w:rPr>
          <w:i/>
          <w:lang w:val="en-GB"/>
        </w:rPr>
        <w:t xml:space="preserve"> </w:t>
      </w:r>
      <w:r>
        <w:rPr>
          <w:i/>
        </w:rPr>
        <w:t>Community</w:t>
      </w:r>
      <w:r>
        <w:rPr>
          <w:i/>
          <w:lang w:val="en-GB"/>
        </w:rPr>
        <w:t xml:space="preserve"> </w:t>
      </w:r>
      <w:r>
        <w:rPr>
          <w:i/>
        </w:rPr>
        <w:t>Support</w:t>
      </w:r>
      <w:r>
        <w:rPr>
          <w:i/>
          <w:lang w:val="en-GB"/>
        </w:rPr>
        <w:t xml:space="preserve"> </w:t>
      </w:r>
      <w:r>
        <w:rPr>
          <w:i/>
        </w:rPr>
        <w:t>Framework</w:t>
      </w:r>
      <w:r>
        <w:rPr>
          <w:b/>
          <w:lang w:val="en-GB"/>
        </w:rPr>
        <w:t xml:space="preserve"> </w:t>
      </w:r>
      <w:r>
        <w:t>in</w:t>
      </w:r>
      <w:r>
        <w:rPr>
          <w:lang w:val="en-GB"/>
        </w:rPr>
        <w:t xml:space="preserve"> </w:t>
      </w:r>
      <w:r>
        <w:t>relation</w:t>
      </w:r>
      <w:r>
        <w:rPr>
          <w:lang w:val="en-GB"/>
        </w:rPr>
        <w:t xml:space="preserve"> </w:t>
      </w:r>
      <w:r>
        <w:t>to</w:t>
      </w:r>
      <w:r>
        <w:rPr>
          <w:lang w:val="en-GB"/>
        </w:rPr>
        <w:t xml:space="preserve"> </w:t>
      </w:r>
      <w:r>
        <w:t xml:space="preserve">the appropriation of </w:t>
      </w:r>
      <w:r>
        <w:rPr>
          <w:i/>
          <w:lang w:val="en-GB"/>
        </w:rPr>
        <w:t>11.8%</w:t>
      </w:r>
      <w:r>
        <w:rPr>
          <w:lang w:val="en-GB"/>
        </w:rPr>
        <w:t xml:space="preserve"> </w:t>
      </w:r>
      <w:r>
        <w:t xml:space="preserve">of the budget of the European Social Fund </w:t>
      </w:r>
      <w:r>
        <w:rPr>
          <w:lang w:val="en-GB"/>
        </w:rPr>
        <w:t>(501.600.000€) for the financing of positive actions for the promotion of gender equality, approx</w:t>
      </w:r>
      <w:r>
        <w:rPr>
          <w:lang w:val="en-GB"/>
        </w:rPr>
        <w:t>i</w:t>
      </w:r>
      <w:r>
        <w:rPr>
          <w:lang w:val="en-GB"/>
        </w:rPr>
        <w:t xml:space="preserve">mately in the middle of the programme period, has been covered by 47,3% </w:t>
      </w:r>
      <w:r>
        <w:rPr>
          <w:i/>
          <w:lang w:val="en-GB"/>
        </w:rPr>
        <w:t>(5.6%)</w:t>
      </w:r>
    </w:p>
    <w:p w:rsidR="00000000" w:rsidRDefault="00000000">
      <w:pPr>
        <w:pStyle w:val="SingleTxt"/>
        <w:rPr>
          <w:lang w:val="en-GB"/>
        </w:rPr>
      </w:pPr>
      <w:r>
        <w:rPr>
          <w:i/>
          <w:lang w:val="en-US"/>
        </w:rPr>
        <w:tab/>
        <w:t>Positive actions for equality</w:t>
      </w:r>
      <w:r>
        <w:rPr>
          <w:lang w:val="en-GB"/>
        </w:rPr>
        <w:t xml:space="preserve"> </w:t>
      </w:r>
      <w:r>
        <w:rPr>
          <w:lang w:val="en-US"/>
        </w:rPr>
        <w:t>that were included and implemented in all Oper</w:t>
      </w:r>
      <w:r>
        <w:rPr>
          <w:lang w:val="en-US"/>
        </w:rPr>
        <w:t>a</w:t>
      </w:r>
      <w:r>
        <w:rPr>
          <w:lang w:val="en-US"/>
        </w:rPr>
        <w:t xml:space="preserve">tional Programmes have absorbed </w:t>
      </w:r>
      <w:r>
        <w:rPr>
          <w:lang w:val="en-GB"/>
        </w:rPr>
        <w:t>237.285.686 € of the European Social Fund co</w:t>
      </w:r>
      <w:r>
        <w:rPr>
          <w:lang w:val="en-GB"/>
        </w:rPr>
        <w:t>n</w:t>
      </w:r>
      <w:r>
        <w:rPr>
          <w:lang w:val="en-GB"/>
        </w:rPr>
        <w:t>trib</w:t>
      </w:r>
      <w:r>
        <w:rPr>
          <w:lang w:val="en-GB"/>
        </w:rPr>
        <w:t>u</w:t>
      </w:r>
      <w:r>
        <w:rPr>
          <w:lang w:val="en-GB"/>
        </w:rPr>
        <w:t>tion.</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Other programmes and initiatives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Community Initiative EQUAL</w:t>
      </w:r>
      <w:r>
        <w:rPr>
          <w:lang w:val="en-GB"/>
        </w:rPr>
        <w:t xml:space="preserve">- </w:t>
      </w:r>
      <w:r>
        <w:t>A labour market open to all</w:t>
      </w:r>
    </w:p>
    <w:p w:rsidR="00000000" w:rsidRDefault="00000000">
      <w:pPr>
        <w:pStyle w:val="SingleTxt"/>
        <w:spacing w:after="0" w:line="120" w:lineRule="exact"/>
        <w:rPr>
          <w:sz w:val="10"/>
        </w:rPr>
      </w:pPr>
    </w:p>
    <w:p w:rsidR="00000000" w:rsidRDefault="00000000">
      <w:pPr>
        <w:pStyle w:val="SingleTxt"/>
        <w:rPr>
          <w:lang w:val="en-GB"/>
        </w:rPr>
      </w:pPr>
      <w:r>
        <w:rPr>
          <w:lang w:val="en-US"/>
        </w:rPr>
        <w:tab/>
        <w:t>It has been structured on nine (9) thematic fields</w:t>
      </w:r>
      <w:r>
        <w:rPr>
          <w:lang w:val="en-GB"/>
        </w:rPr>
        <w:t>-</w:t>
      </w:r>
      <w:r>
        <w:rPr>
          <w:lang w:val="en-US"/>
        </w:rPr>
        <w:t>measures</w:t>
      </w:r>
      <w:r>
        <w:rPr>
          <w:lang w:val="en-GB"/>
        </w:rPr>
        <w:t xml:space="preserve">. These measures </w:t>
      </w:r>
      <w:r>
        <w:rPr>
          <w:lang w:val="en-US"/>
        </w:rPr>
        <w:t>are</w:t>
      </w:r>
      <w:r>
        <w:rPr>
          <w:lang w:val="en-GB"/>
        </w:rPr>
        <w:t xml:space="preserve"> </w:t>
      </w:r>
      <w:r>
        <w:rPr>
          <w:lang w:val="en-US"/>
        </w:rPr>
        <w:t>based</w:t>
      </w:r>
      <w:r>
        <w:rPr>
          <w:lang w:val="en-GB"/>
        </w:rPr>
        <w:t xml:space="preserve"> </w:t>
      </w:r>
      <w:r>
        <w:rPr>
          <w:lang w:val="en-US"/>
        </w:rPr>
        <w:t>on</w:t>
      </w:r>
      <w:r>
        <w:rPr>
          <w:lang w:val="en-GB"/>
        </w:rPr>
        <w:t xml:space="preserve"> </w:t>
      </w:r>
      <w:r>
        <w:rPr>
          <w:lang w:val="en-US"/>
        </w:rPr>
        <w:t>the</w:t>
      </w:r>
      <w:r>
        <w:rPr>
          <w:lang w:val="en-GB"/>
        </w:rPr>
        <w:t xml:space="preserve"> </w:t>
      </w:r>
      <w:r>
        <w:rPr>
          <w:lang w:val="en-US"/>
        </w:rPr>
        <w:t>four</w:t>
      </w:r>
      <w:r>
        <w:rPr>
          <w:lang w:val="en-GB"/>
        </w:rPr>
        <w:t xml:space="preserve"> (4) pillars </w:t>
      </w:r>
      <w:r>
        <w:rPr>
          <w:lang w:val="en-US"/>
        </w:rPr>
        <w:t>of the European Employment</w:t>
      </w:r>
      <w:r>
        <w:rPr>
          <w:lang w:val="en-GB"/>
        </w:rPr>
        <w:t>. It also includes a</w:t>
      </w:r>
      <w:r>
        <w:rPr>
          <w:lang w:val="en-GB"/>
        </w:rPr>
        <w:t>c</w:t>
      </w:r>
      <w:r>
        <w:rPr>
          <w:lang w:val="en-GB"/>
        </w:rPr>
        <w:t xml:space="preserve">tivities that promote and qualitatively enlarge </w:t>
      </w:r>
      <w:r>
        <w:rPr>
          <w:lang w:val="en-US"/>
        </w:rPr>
        <w:t>relevant policies of the National A</w:t>
      </w:r>
      <w:r>
        <w:rPr>
          <w:lang w:val="en-US"/>
        </w:rPr>
        <w:t>c</w:t>
      </w:r>
      <w:r>
        <w:rPr>
          <w:lang w:val="en-US"/>
        </w:rPr>
        <w:t>tion Plan</w:t>
      </w:r>
      <w:r>
        <w:rPr>
          <w:lang w:val="en-GB"/>
        </w:rPr>
        <w:t xml:space="preserve"> for</w:t>
      </w:r>
      <w:r>
        <w:rPr>
          <w:lang w:val="en-US"/>
        </w:rPr>
        <w:t xml:space="preserve"> Employment</w:t>
      </w:r>
      <w:r>
        <w:rPr>
          <w:lang w:val="en-GB"/>
        </w:rPr>
        <w:t>.</w:t>
      </w:r>
    </w:p>
    <w:p w:rsidR="00000000" w:rsidRDefault="00000000">
      <w:pPr>
        <w:pStyle w:val="SingleTxt"/>
        <w:rPr>
          <w:lang w:val="en-GB"/>
        </w:rPr>
      </w:pPr>
      <w:r>
        <w:rPr>
          <w:lang w:val="en-US"/>
        </w:rPr>
        <w:tab/>
        <w:t>In</w:t>
      </w:r>
      <w:r>
        <w:rPr>
          <w:lang w:val="en-GB"/>
        </w:rPr>
        <w:t xml:space="preserve"> the </w:t>
      </w:r>
      <w:r>
        <w:rPr>
          <w:lang w:val="en-US"/>
        </w:rPr>
        <w:t>Community</w:t>
      </w:r>
      <w:r>
        <w:rPr>
          <w:lang w:val="en-GB"/>
        </w:rPr>
        <w:t xml:space="preserve"> </w:t>
      </w:r>
      <w:r>
        <w:rPr>
          <w:lang w:val="en-US"/>
        </w:rPr>
        <w:t>Initiative</w:t>
      </w:r>
      <w:r>
        <w:rPr>
          <w:lang w:val="en-GB"/>
        </w:rPr>
        <w:t xml:space="preserve"> </w:t>
      </w:r>
      <w:r>
        <w:rPr>
          <w:lang w:val="en-US"/>
        </w:rPr>
        <w:t>EQUAL</w:t>
      </w:r>
      <w:r>
        <w:rPr>
          <w:lang w:val="en-GB"/>
        </w:rPr>
        <w:t xml:space="preserve">, </w:t>
      </w:r>
      <w:r>
        <w:rPr>
          <w:lang w:val="en-US"/>
        </w:rPr>
        <w:t>axis</w:t>
      </w:r>
      <w:r>
        <w:rPr>
          <w:lang w:val="en-GB"/>
        </w:rPr>
        <w:t xml:space="preserve"> 4 </w:t>
      </w:r>
      <w:r>
        <w:rPr>
          <w:lang w:val="en-US"/>
        </w:rPr>
        <w:t>with</w:t>
      </w:r>
      <w:r>
        <w:rPr>
          <w:lang w:val="en-GB"/>
        </w:rPr>
        <w:t xml:space="preserve"> </w:t>
      </w:r>
      <w:r>
        <w:rPr>
          <w:lang w:val="en-US"/>
        </w:rPr>
        <w:t>the</w:t>
      </w:r>
      <w:r>
        <w:rPr>
          <w:lang w:val="en-GB"/>
        </w:rPr>
        <w:t xml:space="preserve"> </w:t>
      </w:r>
      <w:r>
        <w:rPr>
          <w:lang w:val="en-US"/>
        </w:rPr>
        <w:t>general</w:t>
      </w:r>
      <w:r>
        <w:rPr>
          <w:lang w:val="en-GB"/>
        </w:rPr>
        <w:t xml:space="preserve"> </w:t>
      </w:r>
      <w:r>
        <w:rPr>
          <w:lang w:val="en-US"/>
        </w:rPr>
        <w:t>goal</w:t>
      </w:r>
      <w:r>
        <w:rPr>
          <w:lang w:val="en-GB"/>
        </w:rPr>
        <w:t xml:space="preserve"> «</w:t>
      </w:r>
      <w:r>
        <w:rPr>
          <w:lang w:val="en-US"/>
        </w:rPr>
        <w:t>Equal o</w:t>
      </w:r>
      <w:r>
        <w:rPr>
          <w:lang w:val="en-US"/>
        </w:rPr>
        <w:t>p</w:t>
      </w:r>
      <w:r>
        <w:rPr>
          <w:lang w:val="en-US"/>
        </w:rPr>
        <w:t>portunities for both women and men</w:t>
      </w:r>
      <w:r>
        <w:rPr>
          <w:lang w:val="en-GB"/>
        </w:rPr>
        <w:t>» contributes to the promotion of Pillar 4 of the National Action Plan for Employment “</w:t>
      </w:r>
      <w:r>
        <w:rPr>
          <w:lang w:val="en-US"/>
        </w:rPr>
        <w:t>Reinforcing the equality of opportunities between men and women”</w:t>
      </w:r>
      <w:r>
        <w:rPr>
          <w:lang w:val="en-GB"/>
        </w:rPr>
        <w:t>.</w:t>
      </w:r>
    </w:p>
    <w:p w:rsidR="00000000" w:rsidRDefault="00000000">
      <w:pPr>
        <w:pStyle w:val="SingleTxt"/>
        <w:rPr>
          <w:lang w:val="en-GB"/>
        </w:rPr>
      </w:pPr>
      <w:r>
        <w:rPr>
          <w:lang w:val="en-US"/>
        </w:rPr>
        <w:tab/>
        <w:t>We</w:t>
      </w:r>
      <w:r>
        <w:rPr>
          <w:lang w:val="en-GB"/>
        </w:rPr>
        <w:t xml:space="preserve"> </w:t>
      </w:r>
      <w:r>
        <w:rPr>
          <w:lang w:val="en-US"/>
        </w:rPr>
        <w:t>note</w:t>
      </w:r>
      <w:r>
        <w:rPr>
          <w:lang w:val="en-GB"/>
        </w:rPr>
        <w:t xml:space="preserve"> </w:t>
      </w:r>
      <w:r>
        <w:rPr>
          <w:lang w:val="en-US"/>
        </w:rPr>
        <w:t>that equality of opportunities is a basic feature of all the projects of the EQUAL</w:t>
      </w:r>
      <w:r>
        <w:rPr>
          <w:lang w:val="en-GB"/>
        </w:rPr>
        <w:t xml:space="preserve"> Initiative, in</w:t>
      </w:r>
      <w:r>
        <w:rPr>
          <w:lang w:val="en-US"/>
        </w:rPr>
        <w:t xml:space="preserve"> all measures</w:t>
      </w:r>
      <w:r>
        <w:rPr>
          <w:lang w:val="en-GB"/>
        </w:rPr>
        <w:t xml:space="preserve">. </w:t>
      </w:r>
    </w:p>
    <w:p w:rsidR="00000000" w:rsidRDefault="00000000">
      <w:pPr>
        <w:pStyle w:val="SingleTxt"/>
        <w:rPr>
          <w:b/>
          <w:lang w:val="en-GB"/>
        </w:rPr>
      </w:pPr>
      <w:r>
        <w:rPr>
          <w:lang w:val="en-US"/>
        </w:rPr>
        <w:tab/>
        <w:t>The</w:t>
      </w:r>
      <w:r>
        <w:rPr>
          <w:lang w:val="en-GB"/>
        </w:rPr>
        <w:t xml:space="preserve"> </w:t>
      </w:r>
      <w:r>
        <w:rPr>
          <w:lang w:val="en-US"/>
        </w:rPr>
        <w:t>General Secretariat for Gender Equality</w:t>
      </w:r>
      <w:r>
        <w:rPr>
          <w:lang w:val="en-GB"/>
        </w:rPr>
        <w:t xml:space="preserve"> </w:t>
      </w:r>
      <w:r>
        <w:rPr>
          <w:lang w:val="en-US"/>
        </w:rPr>
        <w:t>participates as a partner in Deve</w:t>
      </w:r>
      <w:r>
        <w:rPr>
          <w:lang w:val="en-US"/>
        </w:rPr>
        <w:t>l</w:t>
      </w:r>
      <w:r>
        <w:rPr>
          <w:lang w:val="en-US"/>
        </w:rPr>
        <w:t xml:space="preserve">opment Partnerships for the implementation of six </w:t>
      </w:r>
      <w:r>
        <w:rPr>
          <w:lang w:val="en-GB"/>
        </w:rPr>
        <w:t xml:space="preserve">(6) projects of the </w:t>
      </w:r>
      <w:r>
        <w:rPr>
          <w:lang w:val="en-US"/>
        </w:rPr>
        <w:t>EQUAL In</w:t>
      </w:r>
      <w:r>
        <w:rPr>
          <w:lang w:val="en-US"/>
        </w:rPr>
        <w:t>i</w:t>
      </w:r>
      <w:r>
        <w:rPr>
          <w:lang w:val="en-US"/>
        </w:rPr>
        <w:t>tiative</w:t>
      </w:r>
      <w:r>
        <w:rPr>
          <w:lang w:val="en-GB"/>
        </w:rPr>
        <w:t xml:space="preserve">, aiming at preserving the implementation </w:t>
      </w:r>
      <w:r>
        <w:rPr>
          <w:color w:val="000000"/>
          <w:lang w:val="en-GB"/>
        </w:rPr>
        <w:t>of equality of opportunities in the framework of each programme.</w:t>
      </w:r>
    </w:p>
    <w:p w:rsidR="00000000" w:rsidRDefault="00000000">
      <w:pPr>
        <w:pStyle w:val="SingleTxt"/>
        <w:spacing w:after="0" w:line="120" w:lineRule="exact"/>
        <w:rPr>
          <w:b/>
          <w:smallCaps/>
          <w:sz w:val="10"/>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t>Community Initiatives INTERREG</w:t>
      </w:r>
      <w:r>
        <w:rPr>
          <w:lang w:val="en-GB"/>
        </w:rPr>
        <w:t xml:space="preserve"> </w:t>
      </w:r>
      <w:r>
        <w:t>ΙΙΙ</w:t>
      </w:r>
      <w:r>
        <w:rPr>
          <w:lang w:val="en-GB"/>
        </w:rPr>
        <w:t xml:space="preserve"> &amp; </w:t>
      </w:r>
      <w:r>
        <w:rPr>
          <w:lang w:val="en-US"/>
        </w:rPr>
        <w:t>URBAN</w:t>
      </w:r>
      <w:r>
        <w:rPr>
          <w:lang w:val="en-GB"/>
        </w:rPr>
        <w:t xml:space="preserve"> </w:t>
      </w:r>
      <w:r>
        <w:t>ΙΙ</w:t>
      </w:r>
    </w:p>
    <w:p w:rsidR="00000000" w:rsidRDefault="00000000">
      <w:pPr>
        <w:pStyle w:val="SingleTxt"/>
        <w:spacing w:after="0" w:line="120" w:lineRule="exact"/>
        <w:rPr>
          <w:sz w:val="10"/>
        </w:rPr>
      </w:pPr>
    </w:p>
    <w:p w:rsidR="00000000" w:rsidRDefault="00000000">
      <w:pPr>
        <w:pStyle w:val="SingleTxt"/>
        <w:rPr>
          <w:lang w:val="en-GB"/>
        </w:rPr>
      </w:pPr>
      <w:r>
        <w:rPr>
          <w:lang w:val="en-US"/>
        </w:rPr>
        <w:tab/>
        <w:t>The Community Initiatives</w:t>
      </w:r>
      <w:r>
        <w:rPr>
          <w:lang w:val="en-GB"/>
        </w:rPr>
        <w:t xml:space="preserve"> </w:t>
      </w:r>
      <w:r>
        <w:rPr>
          <w:lang w:val="en-US"/>
        </w:rPr>
        <w:t>INTERREG</w:t>
      </w:r>
      <w:r>
        <w:rPr>
          <w:lang w:val="en-GB"/>
        </w:rPr>
        <w:t xml:space="preserve"> </w:t>
      </w:r>
      <w:r>
        <w:t>ΙΙΙ</w:t>
      </w:r>
      <w:r>
        <w:rPr>
          <w:lang w:val="en-GB"/>
        </w:rPr>
        <w:t xml:space="preserve"> &amp; </w:t>
      </w:r>
      <w:r>
        <w:rPr>
          <w:lang w:val="en-US"/>
        </w:rPr>
        <w:t>URBAN</w:t>
      </w:r>
      <w:r>
        <w:rPr>
          <w:lang w:val="en-GB"/>
        </w:rPr>
        <w:t xml:space="preserve"> </w:t>
      </w:r>
      <w:r>
        <w:t>ΙΙ</w:t>
      </w:r>
      <w:r>
        <w:rPr>
          <w:lang w:val="en-GB"/>
        </w:rPr>
        <w:t xml:space="preserve"> </w:t>
      </w:r>
      <w:r>
        <w:rPr>
          <w:lang w:val="en-US"/>
        </w:rPr>
        <w:t>have included the dimension of equality in a large number of Measures concerning not only access to the labour market and development of entrepreneurship</w:t>
      </w:r>
      <w:r>
        <w:rPr>
          <w:lang w:val="en-GB"/>
        </w:rPr>
        <w:t>, but also issues as the pr</w:t>
      </w:r>
      <w:r>
        <w:rPr>
          <w:lang w:val="en-GB"/>
        </w:rPr>
        <w:t>o</w:t>
      </w:r>
      <w:r>
        <w:rPr>
          <w:lang w:val="en-GB"/>
        </w:rPr>
        <w:t xml:space="preserve">tection of the environment or technologies of networking.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US"/>
        </w:rPr>
        <w:tab/>
      </w:r>
      <w:r>
        <w:rPr>
          <w:lang w:val="en-US"/>
        </w:rPr>
        <w:tab/>
        <w:t>Community initiative Leader</w:t>
      </w:r>
      <w:r>
        <w:rPr>
          <w:lang w:val="en-GB"/>
        </w:rPr>
        <w:t xml:space="preserve"> +</w:t>
      </w:r>
    </w:p>
    <w:p w:rsidR="00000000" w:rsidRDefault="00000000">
      <w:pPr>
        <w:pStyle w:val="SingleTxt"/>
        <w:spacing w:after="0" w:line="120" w:lineRule="exact"/>
        <w:rPr>
          <w:sz w:val="10"/>
        </w:rPr>
      </w:pPr>
    </w:p>
    <w:p w:rsidR="00000000" w:rsidRDefault="00000000">
      <w:pPr>
        <w:pStyle w:val="SingleTxt"/>
        <w:rPr>
          <w:lang w:val="en-GB"/>
        </w:rPr>
      </w:pPr>
      <w:r>
        <w:rPr>
          <w:lang w:val="en-US"/>
        </w:rPr>
        <w:tab/>
        <w:t>Basic goal of the Community Initiative LEADER</w:t>
      </w:r>
      <w:r>
        <w:rPr>
          <w:lang w:val="en-GB"/>
        </w:rPr>
        <w:t>+ for</w:t>
      </w:r>
      <w:r>
        <w:rPr>
          <w:lang w:val="en-US"/>
        </w:rPr>
        <w:t xml:space="preserve"> agricultural develo</w:t>
      </w:r>
      <w:r>
        <w:rPr>
          <w:lang w:val="en-US"/>
        </w:rPr>
        <w:t>p</w:t>
      </w:r>
      <w:r>
        <w:rPr>
          <w:lang w:val="en-US"/>
        </w:rPr>
        <w:t>ment</w:t>
      </w:r>
      <w:r>
        <w:rPr>
          <w:lang w:val="en-GB"/>
        </w:rPr>
        <w:t xml:space="preserve"> </w:t>
      </w:r>
      <w:r>
        <w:rPr>
          <w:lang w:val="en-US"/>
        </w:rPr>
        <w:t>is to promote the development of agricultural areas</w:t>
      </w:r>
      <w:r>
        <w:rPr>
          <w:lang w:val="en-GB"/>
        </w:rPr>
        <w:t xml:space="preserve">, </w:t>
      </w:r>
      <w:r>
        <w:rPr>
          <w:lang w:val="en-US"/>
        </w:rPr>
        <w:t>to urge local societies to create opportunities for new forms of employment</w:t>
      </w:r>
      <w:r>
        <w:rPr>
          <w:lang w:val="en-GB"/>
        </w:rPr>
        <w:t>.</w:t>
      </w:r>
    </w:p>
    <w:p w:rsidR="00000000" w:rsidRDefault="00000000">
      <w:pPr>
        <w:pStyle w:val="SingleTxt"/>
        <w:tabs>
          <w:tab w:val="right" w:pos="1685"/>
        </w:tabs>
        <w:ind w:left="1742" w:hanging="475"/>
        <w:rPr>
          <w:sz w:val="23"/>
          <w:u w:val="single"/>
          <w:lang w:val="en-GB"/>
        </w:rPr>
      </w:pPr>
      <w:r>
        <w:tab/>
        <w:t>•</w:t>
      </w:r>
      <w:r>
        <w:tab/>
        <w:t xml:space="preserve">One of the </w:t>
      </w:r>
      <w:r>
        <w:rPr>
          <w:i/>
        </w:rPr>
        <w:t>special goals</w:t>
      </w:r>
      <w:r>
        <w:t xml:space="preserve"> of the Community Initiative is the </w:t>
      </w:r>
      <w:r>
        <w:rPr>
          <w:i/>
        </w:rPr>
        <w:t>promotion of equal</w:t>
      </w:r>
      <w:r>
        <w:rPr>
          <w:i/>
          <w:lang w:val="en-US"/>
        </w:rPr>
        <w:t xml:space="preserve"> o</w:t>
      </w:r>
      <w:r>
        <w:rPr>
          <w:i/>
          <w:lang w:val="en-US"/>
        </w:rPr>
        <w:t>p</w:t>
      </w:r>
      <w:r>
        <w:rPr>
          <w:i/>
          <w:lang w:val="en-US"/>
        </w:rPr>
        <w:t>portunities for women</w:t>
      </w:r>
      <w:r>
        <w:rPr>
          <w:i/>
          <w:lang w:val="en-GB"/>
        </w:rPr>
        <w:t>.</w:t>
      </w:r>
      <w:r>
        <w:rPr>
          <w:sz w:val="23"/>
          <w:lang w:val="en-GB"/>
        </w:rPr>
        <w:t xml:space="preserve"> </w:t>
      </w:r>
    </w:p>
    <w:p w:rsidR="00000000" w:rsidRDefault="00000000">
      <w:pPr>
        <w:pStyle w:val="SingleTxt"/>
        <w:keepNext/>
        <w:keepLines/>
        <w:rPr>
          <w:u w:val="single"/>
          <w:lang w:val="en-GB"/>
        </w:rPr>
      </w:pPr>
      <w:r>
        <w:rPr>
          <w:lang w:val="en-US"/>
        </w:rPr>
        <w:tab/>
        <w:t>We</w:t>
      </w:r>
      <w:r>
        <w:rPr>
          <w:lang w:val="en-GB"/>
        </w:rPr>
        <w:t xml:space="preserve"> point out </w:t>
      </w:r>
      <w:r>
        <w:rPr>
          <w:lang w:val="en-US"/>
        </w:rPr>
        <w:t>that</w:t>
      </w:r>
      <w:r>
        <w:rPr>
          <w:lang w:val="en-GB"/>
        </w:rPr>
        <w:t xml:space="preserve"> the </w:t>
      </w:r>
      <w:r>
        <w:rPr>
          <w:lang w:val="en-US"/>
        </w:rPr>
        <w:t>evaluation</w:t>
      </w:r>
      <w:r>
        <w:rPr>
          <w:lang w:val="en-GB"/>
        </w:rPr>
        <w:t xml:space="preserve"> </w:t>
      </w:r>
      <w:r>
        <w:rPr>
          <w:lang w:val="en-US"/>
        </w:rPr>
        <w:t>criteria</w:t>
      </w:r>
      <w:r>
        <w:rPr>
          <w:lang w:val="en-GB"/>
        </w:rPr>
        <w:t xml:space="preserve"> </w:t>
      </w:r>
      <w:r>
        <w:rPr>
          <w:lang w:val="en-US"/>
        </w:rPr>
        <w:t>for</w:t>
      </w:r>
      <w:r>
        <w:rPr>
          <w:lang w:val="en-GB"/>
        </w:rPr>
        <w:t xml:space="preserve"> the </w:t>
      </w:r>
      <w:r>
        <w:rPr>
          <w:lang w:val="en-US"/>
        </w:rPr>
        <w:t xml:space="preserve">investment proposals submitted </w:t>
      </w:r>
      <w:r>
        <w:rPr>
          <w:spacing w:val="6"/>
          <w:lang w:val="en-US"/>
        </w:rPr>
        <w:t>for implementation to the Development Partnerships of Local Action Groups i</w:t>
      </w:r>
      <w:r>
        <w:rPr>
          <w:spacing w:val="6"/>
          <w:lang w:val="en-US"/>
        </w:rPr>
        <w:t>m</w:t>
      </w:r>
      <w:r>
        <w:rPr>
          <w:lang w:val="en-US"/>
        </w:rPr>
        <w:t>plementing the Programme</w:t>
      </w:r>
      <w:r>
        <w:rPr>
          <w:lang w:val="en-GB"/>
        </w:rPr>
        <w:t xml:space="preserve">, </w:t>
      </w:r>
      <w:r>
        <w:rPr>
          <w:i/>
          <w:lang w:val="en-GB"/>
        </w:rPr>
        <w:t>provide for additional credits for women candidate i</w:t>
      </w:r>
      <w:r>
        <w:rPr>
          <w:i/>
          <w:lang w:val="en-GB"/>
        </w:rPr>
        <w:t>n</w:t>
      </w:r>
      <w:r>
        <w:rPr>
          <w:i/>
          <w:lang w:val="en-GB"/>
        </w:rPr>
        <w:t>ve</w:t>
      </w:r>
      <w:r>
        <w:rPr>
          <w:i/>
          <w:lang w:val="en-GB"/>
        </w:rPr>
        <w:t>s</w:t>
      </w:r>
      <w:r>
        <w:rPr>
          <w:i/>
          <w:lang w:val="en-GB"/>
        </w:rPr>
        <w:t xml:space="preserve">tors. </w:t>
      </w:r>
    </w:p>
    <w:p w:rsidR="00000000" w:rsidRDefault="00000000">
      <w:pPr>
        <w:pStyle w:val="SingleTxt"/>
        <w:rPr>
          <w:lang w:val="en-GB"/>
        </w:rPr>
      </w:pPr>
      <w:r>
        <w:tab/>
        <w:t>In</w:t>
      </w:r>
      <w:r>
        <w:rPr>
          <w:lang w:val="en-GB"/>
        </w:rPr>
        <w:t xml:space="preserve"> the </w:t>
      </w:r>
      <w:r>
        <w:t>case</w:t>
      </w:r>
      <w:r>
        <w:rPr>
          <w:lang w:val="en-GB"/>
        </w:rPr>
        <w:t xml:space="preserve"> </w:t>
      </w:r>
      <w:r>
        <w:t>of</w:t>
      </w:r>
      <w:r>
        <w:rPr>
          <w:lang w:val="en-GB"/>
        </w:rPr>
        <w:t xml:space="preserve"> </w:t>
      </w:r>
      <w:r>
        <w:t>companies</w:t>
      </w:r>
      <w:r>
        <w:rPr>
          <w:lang w:val="en-GB"/>
        </w:rPr>
        <w:t xml:space="preserve">, co-operatives </w:t>
      </w:r>
      <w:r>
        <w:t>and</w:t>
      </w:r>
      <w:r>
        <w:rPr>
          <w:lang w:val="en-GB"/>
        </w:rPr>
        <w:t xml:space="preserve"> associations, the </w:t>
      </w:r>
      <w:r>
        <w:t>highest</w:t>
      </w:r>
      <w:r>
        <w:rPr>
          <w:lang w:val="en-GB"/>
        </w:rPr>
        <w:t xml:space="preserve"> number of credits are</w:t>
      </w:r>
      <w:r>
        <w:t xml:space="preserve"> given</w:t>
      </w:r>
      <w:r>
        <w:rPr>
          <w:lang w:val="en-GB"/>
        </w:rPr>
        <w:t xml:space="preserve">, </w:t>
      </w:r>
      <w:r>
        <w:t xml:space="preserve">when the percentage of women’s investment in equity </w:t>
      </w:r>
      <w:r>
        <w:rPr>
          <w:lang w:val="en-GB"/>
        </w:rPr>
        <w:t xml:space="preserve">capital is higher or equal to 75% and management is exercised by a woman. </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E.</w:t>
      </w:r>
      <w:r>
        <w:rPr>
          <w:lang w:val="en-GB"/>
        </w:rPr>
        <w:tab/>
        <w:t>Combating the equality deficit in the labour market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n-GB"/>
        </w:rPr>
      </w:pPr>
      <w:r>
        <w:rPr>
          <w:lang w:val="en-US"/>
        </w:rPr>
        <w:tab/>
        <w:t>One</w:t>
      </w:r>
      <w:r>
        <w:rPr>
          <w:lang w:val="en-GB"/>
        </w:rPr>
        <w:t xml:space="preserve"> </w:t>
      </w:r>
      <w:r>
        <w:rPr>
          <w:lang w:val="en-US"/>
        </w:rPr>
        <w:t>of</w:t>
      </w:r>
      <w:r>
        <w:rPr>
          <w:lang w:val="en-GB"/>
        </w:rPr>
        <w:t xml:space="preserve"> </w:t>
      </w:r>
      <w:r>
        <w:rPr>
          <w:lang w:val="en-US"/>
        </w:rPr>
        <w:t>the</w:t>
      </w:r>
      <w:r>
        <w:rPr>
          <w:lang w:val="en-GB"/>
        </w:rPr>
        <w:t xml:space="preserve"> </w:t>
      </w:r>
      <w:r>
        <w:rPr>
          <w:lang w:val="en-US"/>
        </w:rPr>
        <w:t>priority</w:t>
      </w:r>
      <w:r>
        <w:rPr>
          <w:lang w:val="en-GB"/>
        </w:rPr>
        <w:t xml:space="preserve"> </w:t>
      </w:r>
      <w:r>
        <w:rPr>
          <w:lang w:val="en-US"/>
        </w:rPr>
        <w:t>action</w:t>
      </w:r>
      <w:r>
        <w:rPr>
          <w:lang w:val="en-GB"/>
        </w:rPr>
        <w:t xml:space="preserve"> axes </w:t>
      </w:r>
      <w:r>
        <w:rPr>
          <w:lang w:val="en-US"/>
        </w:rPr>
        <w:t xml:space="preserve">of the General Secretariat for Gender Equality for the coming period is </w:t>
      </w:r>
      <w:r>
        <w:rPr>
          <w:lang w:val="en-GB"/>
        </w:rPr>
        <w:t xml:space="preserve">to promote </w:t>
      </w:r>
      <w:r>
        <w:rPr>
          <w:lang w:val="en-US"/>
        </w:rPr>
        <w:t>the</w:t>
      </w:r>
      <w:r>
        <w:rPr>
          <w:lang w:val="en-GB"/>
        </w:rPr>
        <w:t xml:space="preserve"> acceleration </w:t>
      </w:r>
      <w:r>
        <w:rPr>
          <w:lang w:val="en-US"/>
        </w:rPr>
        <w:t>of</w:t>
      </w:r>
      <w:r>
        <w:rPr>
          <w:lang w:val="en-GB"/>
        </w:rPr>
        <w:t xml:space="preserve"> </w:t>
      </w:r>
      <w:r>
        <w:rPr>
          <w:lang w:val="en-US"/>
        </w:rPr>
        <w:t>the</w:t>
      </w:r>
      <w:r>
        <w:rPr>
          <w:lang w:val="en-GB"/>
        </w:rPr>
        <w:t xml:space="preserve"> </w:t>
      </w:r>
      <w:r>
        <w:rPr>
          <w:lang w:val="en-US"/>
        </w:rPr>
        <w:t>implementation of all measures and activities of the 3</w:t>
      </w:r>
      <w:r>
        <w:rPr>
          <w:vertAlign w:val="superscript"/>
          <w:lang w:val="en-US"/>
        </w:rPr>
        <w:t>rd</w:t>
      </w:r>
      <w:r>
        <w:rPr>
          <w:lang w:val="en-US"/>
        </w:rPr>
        <w:t xml:space="preserve"> Community Support Framework</w:t>
      </w:r>
      <w:r>
        <w:rPr>
          <w:lang w:val="en-GB"/>
        </w:rPr>
        <w:t xml:space="preserve"> concerning women in the context of the Operational Programme “Employment and Vocational Training” and the</w:t>
      </w:r>
      <w:r>
        <w:rPr>
          <w:lang w:val="en-US"/>
        </w:rPr>
        <w:t xml:space="preserve"> Operational Programme</w:t>
      </w:r>
      <w:r>
        <w:rPr>
          <w:lang w:val="en-GB"/>
        </w:rPr>
        <w:t xml:space="preserve"> “Competitiveness”. Particular </w:t>
      </w:r>
      <w:r>
        <w:rPr>
          <w:lang w:val="en-US"/>
        </w:rPr>
        <w:t>emphasis</w:t>
      </w:r>
      <w:r>
        <w:rPr>
          <w:lang w:val="en-GB"/>
        </w:rPr>
        <w:t xml:space="preserve"> is </w:t>
      </w:r>
      <w:r>
        <w:rPr>
          <w:lang w:val="en-US"/>
        </w:rPr>
        <w:t>placed on</w:t>
      </w:r>
      <w:r>
        <w:rPr>
          <w:lang w:val="en-GB"/>
        </w:rPr>
        <w:t xml:space="preserve"> </w:t>
      </w:r>
      <w:r>
        <w:rPr>
          <w:lang w:val="en-US"/>
        </w:rPr>
        <w:t>the</w:t>
      </w:r>
      <w:r>
        <w:rPr>
          <w:lang w:val="en-GB"/>
        </w:rPr>
        <w:t xml:space="preserve"> </w:t>
      </w:r>
      <w:r>
        <w:rPr>
          <w:lang w:val="en-US"/>
        </w:rPr>
        <w:t>promotion</w:t>
      </w:r>
      <w:r>
        <w:rPr>
          <w:lang w:val="en-GB"/>
        </w:rPr>
        <w:t xml:space="preserve"> </w:t>
      </w:r>
      <w:r>
        <w:rPr>
          <w:lang w:val="en-US"/>
        </w:rPr>
        <w:t>of employment</w:t>
      </w:r>
      <w:r>
        <w:rPr>
          <w:lang w:val="en-GB"/>
        </w:rPr>
        <w:t xml:space="preserve">, </w:t>
      </w:r>
      <w:r>
        <w:rPr>
          <w:lang w:val="en-US"/>
        </w:rPr>
        <w:t>support and empowerment of the entr</w:t>
      </w:r>
      <w:r>
        <w:rPr>
          <w:lang w:val="en-US"/>
        </w:rPr>
        <w:t>e</w:t>
      </w:r>
      <w:r>
        <w:rPr>
          <w:lang w:val="en-US"/>
        </w:rPr>
        <w:t>preneurial</w:t>
      </w:r>
      <w:r>
        <w:rPr>
          <w:lang w:val="en-GB"/>
        </w:rPr>
        <w:t xml:space="preserve"> capa</w:t>
      </w:r>
      <w:r>
        <w:rPr>
          <w:lang w:val="en-GB"/>
        </w:rPr>
        <w:t>c</w:t>
      </w:r>
      <w:r>
        <w:rPr>
          <w:lang w:val="en-GB"/>
        </w:rPr>
        <w:t>ity of women.</w:t>
      </w:r>
    </w:p>
    <w:p w:rsidR="00000000" w:rsidRDefault="00000000">
      <w:pPr>
        <w:pStyle w:val="SingleTxt"/>
        <w:rPr>
          <w:lang w:val="en-GB"/>
        </w:rPr>
      </w:pPr>
      <w:r>
        <w:rPr>
          <w:lang w:val="en-US"/>
        </w:rPr>
        <w:tab/>
        <w:t>To</w:t>
      </w:r>
      <w:r>
        <w:rPr>
          <w:lang w:val="en-GB"/>
        </w:rPr>
        <w:t xml:space="preserve"> </w:t>
      </w:r>
      <w:r>
        <w:rPr>
          <w:lang w:val="en-US"/>
        </w:rPr>
        <w:t>reinforce</w:t>
      </w:r>
      <w:r>
        <w:rPr>
          <w:lang w:val="en-GB"/>
        </w:rPr>
        <w:t xml:space="preserve"> </w:t>
      </w:r>
      <w:r>
        <w:rPr>
          <w:lang w:val="en-US"/>
        </w:rPr>
        <w:t>women</w:t>
      </w:r>
      <w:r>
        <w:rPr>
          <w:lang w:val="en-GB"/>
        </w:rPr>
        <w:t>’</w:t>
      </w:r>
      <w:r>
        <w:rPr>
          <w:lang w:val="en-US"/>
        </w:rPr>
        <w:t>s</w:t>
      </w:r>
      <w:r>
        <w:rPr>
          <w:lang w:val="en-GB"/>
        </w:rPr>
        <w:t xml:space="preserve"> </w:t>
      </w:r>
      <w:r>
        <w:rPr>
          <w:lang w:val="en-US"/>
        </w:rPr>
        <w:t>employment</w:t>
      </w:r>
      <w:r>
        <w:rPr>
          <w:lang w:val="en-GB"/>
        </w:rPr>
        <w:t xml:space="preserve">, </w:t>
      </w:r>
      <w:r>
        <w:rPr>
          <w:lang w:val="en-US"/>
        </w:rPr>
        <w:t>the</w:t>
      </w:r>
      <w:r>
        <w:rPr>
          <w:lang w:val="en-GB"/>
        </w:rPr>
        <w:t xml:space="preserve"> </w:t>
      </w:r>
      <w:r>
        <w:rPr>
          <w:lang w:val="en-US"/>
        </w:rPr>
        <w:t>implementation</w:t>
      </w:r>
      <w:r>
        <w:rPr>
          <w:lang w:val="en-GB"/>
        </w:rPr>
        <w:t xml:space="preserve"> </w:t>
      </w:r>
      <w:r>
        <w:rPr>
          <w:lang w:val="en-US"/>
        </w:rPr>
        <w:t>of</w:t>
      </w:r>
      <w:r>
        <w:rPr>
          <w:lang w:val="en-GB"/>
        </w:rPr>
        <w:t xml:space="preserve"> </w:t>
      </w:r>
      <w:r>
        <w:rPr>
          <w:lang w:val="en-US"/>
        </w:rPr>
        <w:t>the</w:t>
      </w:r>
      <w:r>
        <w:rPr>
          <w:lang w:val="en-GB"/>
        </w:rPr>
        <w:t xml:space="preserve"> project “</w:t>
      </w:r>
      <w:r>
        <w:rPr>
          <w:lang w:val="en-US"/>
        </w:rPr>
        <w:t>Int</w:t>
      </w:r>
      <w:r>
        <w:rPr>
          <w:lang w:val="en-US"/>
        </w:rPr>
        <w:t>e</w:t>
      </w:r>
      <w:r>
        <w:rPr>
          <w:lang w:val="en-US"/>
        </w:rPr>
        <w:t>grated Interventions in favour of women”</w:t>
      </w:r>
      <w:r>
        <w:rPr>
          <w:lang w:val="en-GB"/>
        </w:rPr>
        <w:t xml:space="preserve"> (</w:t>
      </w:r>
      <w:r>
        <w:rPr>
          <w:lang w:val="en-US"/>
        </w:rPr>
        <w:t>Measure</w:t>
      </w:r>
      <w:r>
        <w:rPr>
          <w:lang w:val="en-GB"/>
        </w:rPr>
        <w:t xml:space="preserve"> 5.3), </w:t>
      </w:r>
      <w:r>
        <w:rPr>
          <w:lang w:val="en-US"/>
        </w:rPr>
        <w:t xml:space="preserve">of a total budget of </w:t>
      </w:r>
      <w:r>
        <w:rPr>
          <w:lang w:val="en-GB"/>
        </w:rPr>
        <w:t xml:space="preserve">53 million Euro has already started, with a significant impact on the Region as well as geographical diffusion to all agricultural areas of the country. It is estimated that 9,018 </w:t>
      </w:r>
      <w:r>
        <w:rPr>
          <w:lang w:val="en-US"/>
        </w:rPr>
        <w:t>women will benefit from this project</w:t>
      </w:r>
      <w:r>
        <w:rPr>
          <w:lang w:val="en-GB"/>
        </w:rPr>
        <w:t>, provided with services of specialised i</w:t>
      </w:r>
      <w:r>
        <w:rPr>
          <w:lang w:val="en-GB"/>
        </w:rPr>
        <w:t>n</w:t>
      </w:r>
      <w:r>
        <w:rPr>
          <w:lang w:val="en-GB"/>
        </w:rPr>
        <w:t>fo</w:t>
      </w:r>
      <w:r>
        <w:rPr>
          <w:lang w:val="en-GB"/>
        </w:rPr>
        <w:t>r</w:t>
      </w:r>
      <w:r>
        <w:rPr>
          <w:lang w:val="en-GB"/>
        </w:rPr>
        <w:t>mation, consultation and social support.</w:t>
      </w:r>
    </w:p>
    <w:p w:rsidR="00000000" w:rsidRDefault="00000000">
      <w:pPr>
        <w:pStyle w:val="SingleTxt"/>
        <w:rPr>
          <w:lang w:val="en-US"/>
        </w:rPr>
      </w:pPr>
      <w:r>
        <w:rPr>
          <w:lang w:val="en-GB"/>
        </w:rPr>
        <w:tab/>
        <w:t>In the context of this Programme, 4,785 unemployed women are directly pr</w:t>
      </w:r>
      <w:r>
        <w:rPr>
          <w:lang w:val="en-GB"/>
        </w:rPr>
        <w:t>o</w:t>
      </w:r>
      <w:r>
        <w:rPr>
          <w:lang w:val="en-GB"/>
        </w:rPr>
        <w:t xml:space="preserve">moted to employment, in co-operation with the </w:t>
      </w:r>
      <w:r>
        <w:rPr>
          <w:lang w:val="en-US"/>
        </w:rPr>
        <w:t>Greek Manpower Employment O</w:t>
      </w:r>
      <w:r>
        <w:rPr>
          <w:lang w:val="en-US"/>
        </w:rPr>
        <w:t>r</w:t>
      </w:r>
      <w:r>
        <w:rPr>
          <w:lang w:val="en-US"/>
        </w:rPr>
        <w:t>ganization (OAED), through the creation of 2,000 new jobs for unemployed women, the subsidization of 1,285 young self-employed women and acquiring vocational experience (stage) by 1,500 unemployed women. The entrepreneurship of mothers with underage children or women who care for disabled people is particularly f</w:t>
      </w:r>
      <w:r>
        <w:rPr>
          <w:lang w:val="en-US"/>
        </w:rPr>
        <w:t>a</w:t>
      </w:r>
      <w:r>
        <w:rPr>
          <w:lang w:val="en-US"/>
        </w:rPr>
        <w:t>cilitated through the opportunity to state as their enterprise headquarters their home and to justify relevant expenses up to a specific amount. (1/3 of operational e</w:t>
      </w:r>
      <w:r>
        <w:rPr>
          <w:lang w:val="en-US"/>
        </w:rPr>
        <w:t>x</w:t>
      </w:r>
      <w:r>
        <w:rPr>
          <w:lang w:val="en-US"/>
        </w:rPr>
        <w:t>penses, expenses of daycare centre for the children etc). Simplification of the proc</w:t>
      </w:r>
      <w:r>
        <w:rPr>
          <w:lang w:val="en-US"/>
        </w:rPr>
        <w:t>e</w:t>
      </w:r>
      <w:r>
        <w:rPr>
          <w:lang w:val="en-US"/>
        </w:rPr>
        <w:t>dures for participation in the programme is also provided for, aiming at reducing b</w:t>
      </w:r>
      <w:r>
        <w:rPr>
          <w:lang w:val="en-US"/>
        </w:rPr>
        <w:t>u</w:t>
      </w:r>
      <w:r>
        <w:rPr>
          <w:lang w:val="en-US"/>
        </w:rPr>
        <w:t>reaucratic procedures and making it easier for interested women to express interest in the pr</w:t>
      </w:r>
      <w:r>
        <w:rPr>
          <w:lang w:val="en-US"/>
        </w:rPr>
        <w:t>o</w:t>
      </w:r>
      <w:r>
        <w:rPr>
          <w:lang w:val="en-US"/>
        </w:rPr>
        <w:t>gramme.</w:t>
      </w:r>
    </w:p>
    <w:p w:rsidR="00000000" w:rsidRDefault="00000000">
      <w:pPr>
        <w:pStyle w:val="SingleTxt"/>
        <w:rPr>
          <w:lang w:val="en-GB"/>
        </w:rPr>
      </w:pPr>
      <w:r>
        <w:rPr>
          <w:lang w:val="en-US"/>
        </w:rPr>
        <w:tab/>
        <w:t>In the context of the same programme, in the category of beneficiaries are for the first time included women who have been characterized as victims of human trafficking. These women acquire immediately a residence permit which is at the same time a work permit, a fact ensured by a legal provision recently promoted by the Ministry of the Interior, Public Administration and Decentralization (law 3274/2004, Article 34, paragraph 7).</w:t>
      </w:r>
    </w:p>
    <w:p w:rsidR="00000000" w:rsidRDefault="00000000">
      <w:pPr>
        <w:pStyle w:val="SingleTxt"/>
        <w:rPr>
          <w:i/>
        </w:rPr>
      </w:pPr>
      <w:r>
        <w:rPr>
          <w:i/>
        </w:rPr>
        <w:t xml:space="preserve">Sources: </w:t>
      </w:r>
    </w:p>
    <w:p w:rsidR="00000000" w:rsidRDefault="00000000">
      <w:pPr>
        <w:pStyle w:val="SingleTxt"/>
        <w:spacing w:line="230" w:lineRule="exact"/>
        <w:ind w:left="1742" w:hanging="475"/>
        <w:rPr>
          <w:lang w:val="en-GB"/>
        </w:rPr>
      </w:pPr>
      <w:r>
        <w:rPr>
          <w:lang w:val="en-GB"/>
        </w:rPr>
        <w:t>1.</w:t>
      </w:r>
      <w:r>
        <w:rPr>
          <w:lang w:val="en-GB"/>
        </w:rPr>
        <w:tab/>
      </w:r>
      <w:r>
        <w:rPr>
          <w:i/>
          <w:spacing w:val="0"/>
          <w:w w:val="101"/>
          <w:lang w:val="en-GB"/>
        </w:rPr>
        <w:t>File Subcommittee</w:t>
      </w:r>
      <w:r>
        <w:rPr>
          <w:i/>
          <w:spacing w:val="0"/>
          <w:w w:val="101"/>
        </w:rPr>
        <w:t xml:space="preserve"> for Human Resources</w:t>
      </w:r>
      <w:r>
        <w:rPr>
          <w:i/>
          <w:spacing w:val="0"/>
          <w:w w:val="101"/>
          <w:lang w:val="en-GB"/>
        </w:rPr>
        <w:t xml:space="preserve">, / </w:t>
      </w:r>
      <w:r>
        <w:rPr>
          <w:i/>
          <w:color w:val="000000"/>
          <w:spacing w:val="0"/>
          <w:w w:val="101"/>
        </w:rPr>
        <w:t>ΕΥSΕΚΤ</w:t>
      </w:r>
      <w:r>
        <w:rPr>
          <w:i/>
          <w:color w:val="000000"/>
          <w:spacing w:val="0"/>
          <w:w w:val="101"/>
          <w:lang w:val="en-GB"/>
        </w:rPr>
        <w:t>, Thessaloniki,</w:t>
      </w:r>
      <w:r>
        <w:rPr>
          <w:i/>
          <w:spacing w:val="0"/>
          <w:w w:val="101"/>
          <w:lang w:val="en-GB"/>
        </w:rPr>
        <w:t xml:space="preserve"> December </w:t>
      </w:r>
      <w:r>
        <w:rPr>
          <w:i/>
          <w:lang w:val="en-GB"/>
        </w:rPr>
        <w:t>2003.</w:t>
      </w:r>
    </w:p>
    <w:p w:rsidR="00000000" w:rsidRDefault="00000000">
      <w:pPr>
        <w:pStyle w:val="SingleTxt"/>
        <w:spacing w:line="230" w:lineRule="exact"/>
        <w:rPr>
          <w:lang w:val="en-GB"/>
        </w:rPr>
      </w:pPr>
      <w:r>
        <w:t>2</w:t>
      </w:r>
      <w:r>
        <w:tab/>
        <w:t>NAP for Employment</w:t>
      </w:r>
      <w:r>
        <w:rPr>
          <w:lang w:val="en-GB"/>
        </w:rPr>
        <w:t xml:space="preserve"> 2003 </w:t>
      </w:r>
    </w:p>
    <w:p w:rsidR="00000000" w:rsidRDefault="00000000">
      <w:pPr>
        <w:pStyle w:val="SingleTxt"/>
        <w:spacing w:line="230" w:lineRule="exact"/>
        <w:rPr>
          <w:lang w:val="en-GB"/>
        </w:rPr>
      </w:pPr>
      <w:r>
        <w:t>3.</w:t>
      </w:r>
      <w:r>
        <w:tab/>
        <w:t>Operational Programme</w:t>
      </w:r>
      <w:r>
        <w:rPr>
          <w:lang w:val="en-GB"/>
        </w:rPr>
        <w:t xml:space="preserve"> “</w:t>
      </w:r>
      <w:r>
        <w:t>Employment and Vocational Training</w:t>
      </w:r>
      <w:r>
        <w:rPr>
          <w:lang w:val="en-GB"/>
        </w:rPr>
        <w:t>”</w:t>
      </w:r>
    </w:p>
    <w:p w:rsidR="00000000" w:rsidRDefault="00000000">
      <w:pPr>
        <w:pStyle w:val="SingleTxt"/>
        <w:spacing w:after="0" w:line="120" w:lineRule="exact"/>
        <w:rPr>
          <w:sz w:val="10"/>
          <w:lang w:val="en-GB"/>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Annex</w:t>
      </w:r>
      <w:r>
        <w:rPr>
          <w:lang w:val="en-GB"/>
        </w:rPr>
        <w:t xml:space="preserve"> </w:t>
      </w:r>
      <w:r>
        <w:rPr>
          <w:lang w:val="en-US"/>
        </w:rPr>
        <w:t>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w:t>
      </w:r>
      <w:r>
        <w:t>Αrticle</w:t>
      </w:r>
      <w:r>
        <w:rPr>
          <w:lang w:val="en-GB"/>
        </w:rPr>
        <w:t xml:space="preserv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Community Programmes On Health</w:t>
      </w:r>
    </w:p>
    <w:p w:rsidR="00000000" w:rsidRDefault="00000000">
      <w:pPr>
        <w:pStyle w:val="SingleTxt"/>
        <w:spacing w:after="0" w:line="120" w:lineRule="exact"/>
        <w:rPr>
          <w:sz w:val="10"/>
        </w:rPr>
      </w:pPr>
    </w:p>
    <w:p w:rsidR="00000000" w:rsidRDefault="00000000">
      <w:pPr>
        <w:pStyle w:val="SingleTxt"/>
        <w:tabs>
          <w:tab w:val="right" w:pos="1685"/>
        </w:tabs>
        <w:ind w:left="1742" w:hanging="475"/>
        <w:rPr>
          <w:lang w:val="en-GB"/>
        </w:rPr>
      </w:pPr>
      <w:r>
        <w:rPr>
          <w:lang w:val="en-US"/>
        </w:rPr>
        <w:tab/>
        <w:t>•</w:t>
      </w:r>
      <w:r>
        <w:rPr>
          <w:lang w:val="en-US"/>
        </w:rPr>
        <w:tab/>
        <w:t>In the context of the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HEALTH</w:t>
      </w:r>
      <w:r>
        <w:rPr>
          <w:lang w:val="en-GB"/>
        </w:rPr>
        <w:t xml:space="preserve">-WELFARE” 2000-2006 </w:t>
      </w:r>
      <w:r>
        <w:rPr>
          <w:lang w:val="en-US"/>
        </w:rPr>
        <w:t>in</w:t>
      </w:r>
      <w:r>
        <w:rPr>
          <w:lang w:val="en-GB"/>
        </w:rPr>
        <w:t xml:space="preserve"> </w:t>
      </w:r>
      <w:r>
        <w:rPr>
          <w:lang w:val="en-US"/>
        </w:rPr>
        <w:t>the</w:t>
      </w:r>
      <w:r>
        <w:rPr>
          <w:lang w:val="en-GB"/>
        </w:rPr>
        <w:t xml:space="preserve"> </w:t>
      </w:r>
      <w:r>
        <w:rPr>
          <w:lang w:val="en-US"/>
        </w:rPr>
        <w:t>priority</w:t>
      </w:r>
      <w:r>
        <w:rPr>
          <w:lang w:val="en-GB"/>
        </w:rPr>
        <w:t xml:space="preserve"> </w:t>
      </w:r>
      <w:r>
        <w:rPr>
          <w:lang w:val="en-US"/>
        </w:rPr>
        <w:t>Axis</w:t>
      </w:r>
      <w:r>
        <w:rPr>
          <w:lang w:val="en-GB"/>
        </w:rPr>
        <w:t xml:space="preserve"> “Welfare, </w:t>
      </w:r>
      <w:r>
        <w:rPr>
          <w:lang w:val="en-US"/>
        </w:rPr>
        <w:t>Measure</w:t>
      </w:r>
      <w:r>
        <w:rPr>
          <w:lang w:val="en-GB"/>
        </w:rPr>
        <w:t xml:space="preserve"> 2”, the programme “Gradual r</w:t>
      </w:r>
      <w:r>
        <w:rPr>
          <w:lang w:val="en-GB"/>
        </w:rPr>
        <w:t>e</w:t>
      </w:r>
      <w:r>
        <w:rPr>
          <w:lang w:val="en-GB"/>
        </w:rPr>
        <w:t>integration of individuals with disabilities in socio-economic life and prom</w:t>
      </w:r>
      <w:r>
        <w:rPr>
          <w:lang w:val="en-GB"/>
        </w:rPr>
        <w:t>o</w:t>
      </w:r>
      <w:r>
        <w:rPr>
          <w:lang w:val="en-GB"/>
        </w:rPr>
        <w:t xml:space="preserve">tion to an autonomous existence” </w:t>
      </w:r>
      <w:r>
        <w:rPr>
          <w:lang w:val="en-US"/>
        </w:rPr>
        <w:t>has been included and is implemented by the Directorate for the Protection of People with Disabilities of the Ministry of Health and Welfare.</w:t>
      </w:r>
      <w:r>
        <w:rPr>
          <w:lang w:val="en-GB"/>
        </w:rPr>
        <w:t xml:space="preserve"> The programme concerns People with Intellectual </w:t>
      </w:r>
      <w:r>
        <w:rPr>
          <w:lang w:val="en-US"/>
        </w:rPr>
        <w:t>D</w:t>
      </w:r>
      <w:r>
        <w:rPr>
          <w:lang w:val="en-US"/>
        </w:rPr>
        <w:t>e</w:t>
      </w:r>
      <w:r>
        <w:rPr>
          <w:lang w:val="en-US"/>
        </w:rPr>
        <w:t>prival and other disabilities, who are institutionalized</w:t>
      </w:r>
      <w:r>
        <w:rPr>
          <w:lang w:val="en-GB"/>
        </w:rPr>
        <w:t>.</w:t>
      </w:r>
    </w:p>
    <w:p w:rsidR="00000000" w:rsidRDefault="00000000">
      <w:pPr>
        <w:pStyle w:val="SingleTxt"/>
        <w:tabs>
          <w:tab w:val="right" w:pos="1685"/>
        </w:tabs>
        <w:ind w:left="1742" w:hanging="475"/>
        <w:rPr>
          <w:lang w:val="en-GB"/>
        </w:rPr>
      </w:pPr>
      <w:r>
        <w:rPr>
          <w:lang w:val="en-GB"/>
        </w:rPr>
        <w:tab/>
        <w:t>•</w:t>
      </w:r>
      <w:r>
        <w:rPr>
          <w:lang w:val="en-GB"/>
        </w:rPr>
        <w:tab/>
        <w:t xml:space="preserve">In the </w:t>
      </w:r>
      <w:r>
        <w:t>framework</w:t>
      </w:r>
      <w:r>
        <w:rPr>
          <w:lang w:val="en-GB"/>
        </w:rPr>
        <w:t xml:space="preserve"> </w:t>
      </w:r>
      <w:r>
        <w:t>of</w:t>
      </w:r>
      <w:r>
        <w:rPr>
          <w:lang w:val="en-GB"/>
        </w:rPr>
        <w:t xml:space="preserve"> </w:t>
      </w:r>
      <w:r>
        <w:t>the</w:t>
      </w:r>
      <w:r>
        <w:rPr>
          <w:lang w:val="en-GB"/>
        </w:rPr>
        <w:t xml:space="preserve"> 2</w:t>
      </w:r>
      <w:r>
        <w:rPr>
          <w:vertAlign w:val="superscript"/>
        </w:rPr>
        <w:t>nd</w:t>
      </w:r>
      <w:r>
        <w:rPr>
          <w:lang w:val="en-GB"/>
        </w:rPr>
        <w:t xml:space="preserve"> </w:t>
      </w:r>
      <w:r>
        <w:t>Community</w:t>
      </w:r>
      <w:r>
        <w:rPr>
          <w:lang w:val="en-GB"/>
        </w:rPr>
        <w:t xml:space="preserve"> </w:t>
      </w:r>
      <w:r>
        <w:t>Support</w:t>
      </w:r>
      <w:r>
        <w:rPr>
          <w:lang w:val="en-GB"/>
        </w:rPr>
        <w:t xml:space="preserve"> </w:t>
      </w:r>
      <w:r>
        <w:t>Framework</w:t>
      </w:r>
      <w:r>
        <w:rPr>
          <w:lang w:val="en-GB"/>
        </w:rPr>
        <w:t xml:space="preserve"> </w:t>
      </w:r>
      <w:r>
        <w:t>and</w:t>
      </w:r>
      <w:r>
        <w:rPr>
          <w:lang w:val="en-GB"/>
        </w:rPr>
        <w:t xml:space="preserve"> </w:t>
      </w:r>
      <w:r>
        <w:t>the</w:t>
      </w:r>
      <w:r>
        <w:rPr>
          <w:lang w:val="en-GB"/>
        </w:rPr>
        <w:t xml:space="preserve"> </w:t>
      </w:r>
      <w:r>
        <w:t>Operati</w:t>
      </w:r>
      <w:r>
        <w:t>o</w:t>
      </w:r>
      <w:r>
        <w:t>nal</w:t>
      </w:r>
      <w:r>
        <w:rPr>
          <w:lang w:val="en-GB"/>
        </w:rPr>
        <w:t xml:space="preserve"> </w:t>
      </w:r>
      <w:r>
        <w:t>Programme</w:t>
      </w:r>
      <w:r>
        <w:rPr>
          <w:lang w:val="en-GB"/>
        </w:rPr>
        <w:t xml:space="preserve"> “</w:t>
      </w:r>
      <w:r>
        <w:t>Combating Exclusion from the labour market”, the Ministry of Health and Welfare, through the Directorate for the Protection of People with Disabilities</w:t>
      </w:r>
      <w:r>
        <w:rPr>
          <w:lang w:val="en-GB"/>
        </w:rPr>
        <w:t xml:space="preserve">, </w:t>
      </w:r>
      <w:r>
        <w:t>has implemented the programme “</w:t>
      </w:r>
      <w:r>
        <w:rPr>
          <w:lang w:val="en-GB"/>
        </w:rPr>
        <w:t>Ergonomic arrangements in places housing State and Municipal Services”, which has financed 13 Pr</w:t>
      </w:r>
      <w:r>
        <w:rPr>
          <w:lang w:val="en-GB"/>
        </w:rPr>
        <w:t>e</w:t>
      </w:r>
      <w:r>
        <w:rPr>
          <w:lang w:val="en-GB"/>
        </w:rPr>
        <w:t>fecture Authorities and 5 Regional Administrations in order to implement i</w:t>
      </w:r>
      <w:r>
        <w:rPr>
          <w:lang w:val="en-GB"/>
        </w:rPr>
        <w:t>n</w:t>
      </w:r>
      <w:r>
        <w:rPr>
          <w:lang w:val="en-GB"/>
        </w:rPr>
        <w:t>terventions in buildings of their competency so as to make them accessible to people with disabilities.</w:t>
      </w:r>
    </w:p>
    <w:p w:rsidR="00000000" w:rsidRDefault="00000000">
      <w:pPr>
        <w:pStyle w:val="SingleTxt"/>
        <w:tabs>
          <w:tab w:val="right" w:pos="1685"/>
        </w:tabs>
        <w:ind w:left="1742" w:hanging="475"/>
        <w:rPr>
          <w:lang w:val="en-GB"/>
        </w:rPr>
      </w:pPr>
      <w:r>
        <w:rPr>
          <w:lang w:val="en-US"/>
        </w:rPr>
        <w:tab/>
        <w:t>•</w:t>
      </w:r>
      <w:r>
        <w:rPr>
          <w:lang w:val="en-US"/>
        </w:rPr>
        <w:tab/>
        <w:t>In</w:t>
      </w:r>
      <w:r>
        <w:rPr>
          <w:lang w:val="en-GB"/>
        </w:rPr>
        <w:t xml:space="preserve"> </w:t>
      </w:r>
      <w:r>
        <w:rPr>
          <w:lang w:val="en-US"/>
        </w:rPr>
        <w:t>the</w:t>
      </w:r>
      <w:r>
        <w:rPr>
          <w:lang w:val="en-GB"/>
        </w:rPr>
        <w:t xml:space="preserve"> </w:t>
      </w:r>
      <w:r>
        <w:rPr>
          <w:lang w:val="en-US"/>
        </w:rPr>
        <w:t>framework</w:t>
      </w:r>
      <w:r>
        <w:rPr>
          <w:lang w:val="en-GB"/>
        </w:rPr>
        <w:t xml:space="preserve"> </w:t>
      </w:r>
      <w:r>
        <w:rPr>
          <w:lang w:val="en-US"/>
        </w:rPr>
        <w:t>of</w:t>
      </w:r>
      <w:r>
        <w:rPr>
          <w:lang w:val="en-GB"/>
        </w:rPr>
        <w:t xml:space="preserve"> </w:t>
      </w:r>
      <w:r>
        <w:rPr>
          <w:lang w:val="en-US"/>
        </w:rPr>
        <w:t>the</w:t>
      </w:r>
      <w:r>
        <w:rPr>
          <w:lang w:val="en-GB"/>
        </w:rPr>
        <w:t xml:space="preserve"> </w:t>
      </w:r>
      <w:r>
        <w:rPr>
          <w:lang w:val="en-US"/>
        </w:rPr>
        <w:t>same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and</w:t>
      </w:r>
      <w:r>
        <w:rPr>
          <w:lang w:val="en-GB"/>
        </w:rPr>
        <w:t xml:space="preserve">, additionally </w:t>
      </w:r>
      <w:r>
        <w:rPr>
          <w:lang w:val="en-US"/>
        </w:rPr>
        <w:t>to</w:t>
      </w:r>
      <w:r>
        <w:rPr>
          <w:lang w:val="en-GB"/>
        </w:rPr>
        <w:t xml:space="preserve"> </w:t>
      </w:r>
      <w:r>
        <w:rPr>
          <w:lang w:val="en-US"/>
        </w:rPr>
        <w:t>the</w:t>
      </w:r>
      <w:r>
        <w:rPr>
          <w:lang w:val="en-GB"/>
        </w:rPr>
        <w:t xml:space="preserve"> </w:t>
      </w:r>
      <w:r>
        <w:rPr>
          <w:lang w:val="en-US"/>
        </w:rPr>
        <w:t>above</w:t>
      </w:r>
      <w:r>
        <w:rPr>
          <w:lang w:val="en-GB"/>
        </w:rPr>
        <w:t xml:space="preserve"> </w:t>
      </w:r>
      <w:r>
        <w:rPr>
          <w:lang w:val="en-US"/>
        </w:rPr>
        <w:t>mentioned</w:t>
      </w:r>
      <w:r>
        <w:rPr>
          <w:lang w:val="en-GB"/>
        </w:rPr>
        <w:t xml:space="preserve"> </w:t>
      </w:r>
      <w:r>
        <w:rPr>
          <w:lang w:val="en-US"/>
        </w:rPr>
        <w:t>programme</w:t>
      </w:r>
      <w:r>
        <w:rPr>
          <w:lang w:val="en-GB"/>
        </w:rPr>
        <w:t xml:space="preserve">, </w:t>
      </w:r>
      <w:r>
        <w:rPr>
          <w:lang w:val="en-US"/>
        </w:rPr>
        <w:t>the</w:t>
      </w:r>
      <w:r>
        <w:rPr>
          <w:lang w:val="en-GB"/>
        </w:rPr>
        <w:t xml:space="preserve"> </w:t>
      </w:r>
      <w:r>
        <w:rPr>
          <w:lang w:val="en-US"/>
        </w:rPr>
        <w:t>Directorate</w:t>
      </w:r>
      <w:r>
        <w:rPr>
          <w:lang w:val="en-GB"/>
        </w:rPr>
        <w:t xml:space="preserve"> </w:t>
      </w:r>
      <w:r>
        <w:rPr>
          <w:lang w:val="en-US"/>
        </w:rPr>
        <w:t>for</w:t>
      </w:r>
      <w:r>
        <w:rPr>
          <w:lang w:val="en-GB"/>
        </w:rPr>
        <w:t xml:space="preserve"> </w:t>
      </w:r>
      <w:r>
        <w:rPr>
          <w:lang w:val="en-US"/>
        </w:rPr>
        <w:t>Health</w:t>
      </w:r>
      <w:r>
        <w:rPr>
          <w:lang w:val="en-GB"/>
        </w:rPr>
        <w:t xml:space="preserve"> </w:t>
      </w:r>
      <w:r>
        <w:rPr>
          <w:lang w:val="en-US"/>
        </w:rPr>
        <w:t>Education and Info</w:t>
      </w:r>
      <w:r>
        <w:rPr>
          <w:lang w:val="en-US"/>
        </w:rPr>
        <w:t>r</w:t>
      </w:r>
      <w:r>
        <w:rPr>
          <w:lang w:val="en-US"/>
        </w:rPr>
        <w:t>mation of the Ministry of Health and Welfare</w:t>
      </w:r>
      <w:r>
        <w:rPr>
          <w:lang w:val="en-GB"/>
        </w:rPr>
        <w:t xml:space="preserve"> has published a Special Guide, in printed and electronic form, containing the specifications necessary for a pu</w:t>
      </w:r>
      <w:r>
        <w:rPr>
          <w:lang w:val="en-GB"/>
        </w:rPr>
        <w:t>b</w:t>
      </w:r>
      <w:r>
        <w:rPr>
          <w:lang w:val="en-GB"/>
        </w:rPr>
        <w:t xml:space="preserve">lic building to be accessible and friendly to all citizens. The contents of the guide were presented during 2 one-day conferences that took place in Athens and Thessaloniki, and it has been included in the Ministry’s Web site: </w:t>
      </w:r>
      <w:bookmarkStart w:id="27" w:name="_Hlt124162984"/>
      <w:r>
        <w:rPr>
          <w:i/>
          <w:lang w:val="en-GB"/>
        </w:rPr>
        <w:t>www.mohaw.gr</w:t>
      </w:r>
      <w:bookmarkEnd w:id="27"/>
      <w:r>
        <w:rPr>
          <w:lang w:val="en-GB"/>
        </w:rPr>
        <w:t xml:space="preserve"> under the title “WELFARE”.</w:t>
      </w:r>
    </w:p>
    <w:p w:rsidR="00000000" w:rsidRDefault="00000000">
      <w:pPr>
        <w:pStyle w:val="SingleTxt"/>
        <w:tabs>
          <w:tab w:val="right" w:pos="1685"/>
        </w:tabs>
        <w:ind w:left="1742" w:hanging="475"/>
        <w:rPr>
          <w:lang w:val="en-GB"/>
        </w:rPr>
      </w:pPr>
      <w:r>
        <w:rPr>
          <w:lang w:val="en-GB"/>
        </w:rPr>
        <w:tab/>
        <w:t>•</w:t>
      </w:r>
      <w:r>
        <w:rPr>
          <w:lang w:val="en-GB"/>
        </w:rPr>
        <w:tab/>
        <w:t>In the framework of the “</w:t>
      </w:r>
      <w:r>
        <w:rPr>
          <w:lang w:val="en-US"/>
        </w:rPr>
        <w:t>European</w:t>
      </w:r>
      <w:r>
        <w:rPr>
          <w:lang w:val="en-GB"/>
        </w:rPr>
        <w:t xml:space="preserve"> </w:t>
      </w:r>
      <w:r>
        <w:rPr>
          <w:lang w:val="en-US"/>
        </w:rPr>
        <w:t>Year</w:t>
      </w:r>
      <w:r>
        <w:rPr>
          <w:lang w:val="en-GB"/>
        </w:rPr>
        <w:t xml:space="preserve"> </w:t>
      </w:r>
      <w:r>
        <w:rPr>
          <w:lang w:val="en-US"/>
        </w:rPr>
        <w:t>for</w:t>
      </w:r>
      <w:r>
        <w:rPr>
          <w:lang w:val="en-GB"/>
        </w:rPr>
        <w:t xml:space="preserve"> People with Disabilities” 2003, </w:t>
      </w:r>
      <w:r>
        <w:rPr>
          <w:lang w:val="en-US"/>
        </w:rPr>
        <w:t>the</w:t>
      </w:r>
      <w:r>
        <w:rPr>
          <w:lang w:val="en-GB"/>
        </w:rPr>
        <w:t xml:space="preserve"> </w:t>
      </w:r>
      <w:r>
        <w:rPr>
          <w:lang w:val="en-US"/>
        </w:rPr>
        <w:t>Ministry</w:t>
      </w:r>
      <w:r>
        <w:rPr>
          <w:lang w:val="en-GB"/>
        </w:rPr>
        <w:t xml:space="preserve"> </w:t>
      </w:r>
      <w:r>
        <w:rPr>
          <w:lang w:val="en-US"/>
        </w:rPr>
        <w:t>of</w:t>
      </w:r>
      <w:r>
        <w:rPr>
          <w:lang w:val="en-GB"/>
        </w:rPr>
        <w:t xml:space="preserve"> </w:t>
      </w:r>
      <w:r>
        <w:rPr>
          <w:lang w:val="en-US"/>
        </w:rPr>
        <w:t>Health</w:t>
      </w:r>
      <w:r>
        <w:rPr>
          <w:lang w:val="en-GB"/>
        </w:rPr>
        <w:t xml:space="preserve"> </w:t>
      </w:r>
      <w:r>
        <w:rPr>
          <w:lang w:val="en-US"/>
        </w:rPr>
        <w:t>and</w:t>
      </w:r>
      <w:r>
        <w:rPr>
          <w:lang w:val="en-GB"/>
        </w:rPr>
        <w:t xml:space="preserve"> Welfare</w:t>
      </w:r>
      <w:r>
        <w:rPr>
          <w:lang w:val="en-US"/>
        </w:rPr>
        <w:t>,</w:t>
      </w:r>
      <w:r>
        <w:rPr>
          <w:lang w:val="en-GB"/>
        </w:rPr>
        <w:t xml:space="preserve"> </w:t>
      </w:r>
      <w:r>
        <w:rPr>
          <w:lang w:val="en-US"/>
        </w:rPr>
        <w:t>as National Managing Authority</w:t>
      </w:r>
      <w:r>
        <w:rPr>
          <w:lang w:val="en-GB"/>
        </w:rPr>
        <w:t xml:space="preserve"> </w:t>
      </w:r>
      <w:r>
        <w:rPr>
          <w:lang w:val="en-US"/>
        </w:rPr>
        <w:t>in Greece,</w:t>
      </w:r>
      <w:r>
        <w:rPr>
          <w:lang w:val="en-GB"/>
        </w:rPr>
        <w:t xml:space="preserve"> has announced activities that concern events, information campaigns, measures of diffusing examples of good practice, and, in general, actions co</w:t>
      </w:r>
      <w:r>
        <w:rPr>
          <w:lang w:val="en-GB"/>
        </w:rPr>
        <w:t>n</w:t>
      </w:r>
      <w:r>
        <w:rPr>
          <w:lang w:val="en-GB"/>
        </w:rPr>
        <w:t>nected to the Goals of the Year. Operators to implement activities that were adopted are Public Law Bodies, Private Law Bodies, Institutions, Associ</w:t>
      </w:r>
      <w:r>
        <w:rPr>
          <w:lang w:val="en-GB"/>
        </w:rPr>
        <w:t>a</w:t>
      </w:r>
      <w:r>
        <w:rPr>
          <w:lang w:val="en-GB"/>
        </w:rPr>
        <w:t xml:space="preserve">tions, Leagues, Organisations of People with Disabilities and private bodies that promote or defend the rights of people with disabilities. </w:t>
      </w:r>
    </w:p>
    <w:p w:rsidR="00000000" w:rsidRDefault="00000000">
      <w:pPr>
        <w:pStyle w:val="SingleTxt"/>
        <w:tabs>
          <w:tab w:val="right" w:pos="1685"/>
        </w:tabs>
        <w:ind w:left="1742" w:hanging="475"/>
        <w:rPr>
          <w:lang w:val="en-GB"/>
        </w:rPr>
      </w:pPr>
      <w:r>
        <w:rPr>
          <w:lang w:val="en-US"/>
        </w:rPr>
        <w:tab/>
        <w:t>•</w:t>
      </w:r>
      <w:r>
        <w:rPr>
          <w:lang w:val="en-US"/>
        </w:rPr>
        <w:tab/>
        <w:t>Finally</w:t>
      </w:r>
      <w:r>
        <w:rPr>
          <w:lang w:val="en-GB"/>
        </w:rPr>
        <w:t xml:space="preserve">, </w:t>
      </w:r>
      <w:r>
        <w:rPr>
          <w:lang w:val="en-US"/>
        </w:rPr>
        <w:t>in</w:t>
      </w:r>
      <w:r>
        <w:rPr>
          <w:lang w:val="en-GB"/>
        </w:rPr>
        <w:t xml:space="preserve"> </w:t>
      </w:r>
      <w:r>
        <w:rPr>
          <w:lang w:val="en-US"/>
        </w:rPr>
        <w:t>the</w:t>
      </w:r>
      <w:r>
        <w:rPr>
          <w:lang w:val="en-GB"/>
        </w:rPr>
        <w:t xml:space="preserve"> </w:t>
      </w:r>
      <w:r>
        <w:rPr>
          <w:lang w:val="en-US"/>
        </w:rPr>
        <w:t>framework</w:t>
      </w:r>
      <w:r>
        <w:rPr>
          <w:lang w:val="en-GB"/>
        </w:rPr>
        <w:t xml:space="preserve"> </w:t>
      </w:r>
      <w:r>
        <w:rPr>
          <w:lang w:val="en-US"/>
        </w:rPr>
        <w:t>of</w:t>
      </w:r>
      <w:r>
        <w:rPr>
          <w:lang w:val="en-GB"/>
        </w:rPr>
        <w:t xml:space="preserve"> </w:t>
      </w:r>
      <w:r>
        <w:rPr>
          <w:lang w:val="en-US"/>
        </w:rPr>
        <w:t>the</w:t>
      </w:r>
      <w:r>
        <w:rPr>
          <w:lang w:val="en-GB"/>
        </w:rPr>
        <w:t xml:space="preserve"> </w:t>
      </w:r>
      <w:r>
        <w:rPr>
          <w:lang w:val="en-US"/>
        </w:rPr>
        <w:t>Programme</w:t>
      </w:r>
      <w:r>
        <w:rPr>
          <w:lang w:val="en-GB"/>
        </w:rPr>
        <w:t xml:space="preserve"> </w:t>
      </w:r>
      <w:r>
        <w:rPr>
          <w:lang w:val="en-US"/>
        </w:rPr>
        <w:t>of</w:t>
      </w:r>
      <w:r>
        <w:rPr>
          <w:lang w:val="en-GB"/>
        </w:rPr>
        <w:t xml:space="preserve"> </w:t>
      </w:r>
      <w:r>
        <w:rPr>
          <w:lang w:val="en-US"/>
        </w:rPr>
        <w:t>the</w:t>
      </w:r>
      <w:r>
        <w:rPr>
          <w:lang w:val="en-GB"/>
        </w:rPr>
        <w:t xml:space="preserve"> </w:t>
      </w:r>
      <w:r>
        <w:rPr>
          <w:lang w:val="en-US"/>
        </w:rPr>
        <w:t>Community</w:t>
      </w:r>
      <w:r>
        <w:rPr>
          <w:lang w:val="en-GB"/>
        </w:rPr>
        <w:t xml:space="preserve"> </w:t>
      </w:r>
      <w:r>
        <w:rPr>
          <w:lang w:val="en-US"/>
        </w:rPr>
        <w:t>Initiative</w:t>
      </w:r>
      <w:r>
        <w:rPr>
          <w:lang w:val="en-GB"/>
        </w:rPr>
        <w:t xml:space="preserve"> </w:t>
      </w:r>
      <w:r>
        <w:rPr>
          <w:lang w:val="en-US"/>
        </w:rPr>
        <w:t>EQUAL</w:t>
      </w:r>
      <w:r>
        <w:rPr>
          <w:lang w:val="en-GB"/>
        </w:rPr>
        <w:t xml:space="preserve">, </w:t>
      </w:r>
      <w:r>
        <w:rPr>
          <w:lang w:val="en-US"/>
        </w:rPr>
        <w:t>the National Confederation of People with Disabilities</w:t>
      </w:r>
      <w:r>
        <w:rPr>
          <w:lang w:val="en-GB"/>
        </w:rPr>
        <w:t xml:space="preserve"> </w:t>
      </w:r>
      <w:r>
        <w:rPr>
          <w:lang w:val="en-US"/>
        </w:rPr>
        <w:t>has unde</w:t>
      </w:r>
      <w:r>
        <w:rPr>
          <w:lang w:val="en-US"/>
        </w:rPr>
        <w:t>r</w:t>
      </w:r>
      <w:r>
        <w:rPr>
          <w:lang w:val="en-US"/>
        </w:rPr>
        <w:t xml:space="preserve">taken the coordination of the Project </w:t>
      </w:r>
      <w:r>
        <w:rPr>
          <w:lang w:val="en-GB"/>
        </w:rPr>
        <w:t>“INVITATION – Identification and Elimination of Discriminations of a simple of multiple form that people with disabilities are subjected to, in the labour market” of the Development Partne</w:t>
      </w:r>
      <w:r>
        <w:rPr>
          <w:lang w:val="en-GB"/>
        </w:rPr>
        <w:t>r</w:t>
      </w:r>
      <w:r>
        <w:rPr>
          <w:lang w:val="en-GB"/>
        </w:rPr>
        <w:t xml:space="preserve">ship “PROKLISSI”. The </w:t>
      </w:r>
      <w:r>
        <w:rPr>
          <w:lang w:val="en-US"/>
        </w:rPr>
        <w:t xml:space="preserve">goal </w:t>
      </w:r>
      <w:r>
        <w:rPr>
          <w:lang w:val="en-GB"/>
        </w:rPr>
        <w:t xml:space="preserve">of </w:t>
      </w:r>
      <w:r>
        <w:rPr>
          <w:lang w:val="en-US"/>
        </w:rPr>
        <w:t>the Project is to detect and combat difficulties faced by people with disabilities, who experience simple or multiple discrim</w:t>
      </w:r>
      <w:r>
        <w:rPr>
          <w:lang w:val="en-US"/>
        </w:rPr>
        <w:t>i</w:t>
      </w:r>
      <w:r>
        <w:rPr>
          <w:lang w:val="en-US"/>
        </w:rPr>
        <w:t>nation, in accessing and staying in the labour market</w:t>
      </w:r>
      <w:r>
        <w:rPr>
          <w:lang w:val="en-GB"/>
        </w:rPr>
        <w:t>. The Project puts pa</w:t>
      </w:r>
      <w:r>
        <w:rPr>
          <w:lang w:val="en-GB"/>
        </w:rPr>
        <w:t>r</w:t>
      </w:r>
      <w:r>
        <w:rPr>
          <w:lang w:val="en-GB"/>
        </w:rPr>
        <w:t xml:space="preserve">ticular emphasis </w:t>
      </w:r>
      <w:r>
        <w:rPr>
          <w:lang w:val="en-US"/>
        </w:rPr>
        <w:t>on the gender dimension</w:t>
      </w:r>
      <w:r>
        <w:rPr>
          <w:lang w:val="en-GB"/>
        </w:rPr>
        <w:t>, since</w:t>
      </w:r>
      <w:r>
        <w:rPr>
          <w:lang w:val="en-US"/>
        </w:rPr>
        <w:t xml:space="preserve"> its target groups include both mothers of disabled children, and disabled women as victims of multiple di</w:t>
      </w:r>
      <w:r>
        <w:rPr>
          <w:lang w:val="en-US"/>
        </w:rPr>
        <w:t>s</w:t>
      </w:r>
      <w:r>
        <w:rPr>
          <w:lang w:val="en-US"/>
        </w:rPr>
        <w:t>crimination</w:t>
      </w:r>
      <w:r>
        <w:rPr>
          <w:lang w:val="en-GB"/>
        </w:rPr>
        <w:t>.</w:t>
      </w:r>
    </w:p>
    <w:p w:rsidR="00000000" w:rsidRDefault="00000000">
      <w:pPr>
        <w:pStyle w:val="SingleTxt"/>
        <w:tabs>
          <w:tab w:val="right" w:pos="1685"/>
        </w:tabs>
        <w:spacing w:after="0" w:line="120" w:lineRule="exact"/>
        <w:ind w:left="1742" w:hanging="475"/>
        <w:rPr>
          <w:sz w:val="10"/>
          <w:lang w:val="en-GB"/>
        </w:rPr>
      </w:pPr>
    </w:p>
    <w:p w:rsidR="00000000" w:rsidRDefault="00000000">
      <w:pPr>
        <w:pStyle w:val="SingleTxt"/>
        <w:tabs>
          <w:tab w:val="right" w:pos="1685"/>
        </w:tabs>
        <w:spacing w:after="0" w:line="120" w:lineRule="exact"/>
        <w:ind w:left="1742" w:hanging="475"/>
        <w:rPr>
          <w:sz w:val="10"/>
          <w:lang w:val="en-GB"/>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GB"/>
        </w:rPr>
        <w:tab/>
      </w:r>
      <w:r>
        <w:rPr>
          <w:lang w:val="en-GB"/>
        </w:rPr>
        <w:tab/>
        <w:t xml:space="preserve">Annex </w:t>
      </w:r>
      <w:r>
        <w:rPr>
          <w:lang w:val="en-US"/>
        </w:rPr>
        <w:t>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w:t>
      </w:r>
      <w:r>
        <w:t xml:space="preserve">Αrticle </w:t>
      </w:r>
      <w:r>
        <w:rPr>
          <w:lang w:val="en-GB"/>
        </w:rPr>
        <w:t>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Community Programmes For 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US"/>
        </w:rPr>
        <w:tab/>
      </w:r>
      <w:r>
        <w:rPr>
          <w:lang w:val="en-US"/>
        </w:rPr>
        <w:tab/>
        <w:t>Measures</w:t>
      </w:r>
      <w:r>
        <w:rPr>
          <w:lang w:val="en-GB"/>
        </w:rPr>
        <w:t xml:space="preserve"> </w:t>
      </w:r>
      <w:r>
        <w:rPr>
          <w:lang w:val="en-US"/>
        </w:rPr>
        <w:t>and</w:t>
      </w:r>
      <w:r>
        <w:rPr>
          <w:lang w:val="en-GB"/>
        </w:rPr>
        <w:t xml:space="preserve"> </w:t>
      </w:r>
      <w:r>
        <w:rPr>
          <w:lang w:val="en-US"/>
        </w:rPr>
        <w:t>positive actions</w:t>
      </w:r>
      <w:r>
        <w:rPr>
          <w:lang w:val="en-GB"/>
        </w:rPr>
        <w:t xml:space="preserve"> </w:t>
      </w:r>
      <w:r>
        <w:rPr>
          <w:lang w:val="en-US"/>
        </w:rPr>
        <w:t>included in the 3rd Community Support Framework </w:t>
      </w:r>
      <w:r>
        <w:rPr>
          <w:lang w:val="en-GB"/>
        </w:rPr>
        <w:t>(2000 – 2006)</w:t>
      </w:r>
    </w:p>
    <w:p w:rsidR="00000000" w:rsidRDefault="00000000">
      <w:pPr>
        <w:pStyle w:val="SingleTxt"/>
        <w:spacing w:after="0" w:line="120" w:lineRule="exact"/>
        <w:rPr>
          <w:sz w:val="10"/>
        </w:rPr>
      </w:pPr>
    </w:p>
    <w:p w:rsidR="00000000" w:rsidRDefault="00000000">
      <w:pPr>
        <w:pStyle w:val="SingleTxt"/>
        <w:rPr>
          <w:lang w:val="en-GB"/>
        </w:rPr>
      </w:pPr>
      <w:r>
        <w:rPr>
          <w:lang w:val="en-US"/>
        </w:rPr>
        <w:tab/>
        <w:t>Aiming</w:t>
      </w:r>
      <w:r>
        <w:rPr>
          <w:lang w:val="en-GB"/>
        </w:rPr>
        <w:t xml:space="preserve"> </w:t>
      </w:r>
      <w:r>
        <w:rPr>
          <w:lang w:val="en-US"/>
        </w:rPr>
        <w:t>at</w:t>
      </w:r>
      <w:r>
        <w:rPr>
          <w:lang w:val="en-GB"/>
        </w:rPr>
        <w:t xml:space="preserve"> </w:t>
      </w:r>
      <w:r>
        <w:rPr>
          <w:lang w:val="en-US"/>
        </w:rPr>
        <w:t>reinforcing</w:t>
      </w:r>
      <w:r>
        <w:rPr>
          <w:lang w:val="en-GB"/>
        </w:rPr>
        <w:t xml:space="preserve"> </w:t>
      </w:r>
      <w:r>
        <w:rPr>
          <w:lang w:val="en-US"/>
        </w:rPr>
        <w:t>women</w:t>
      </w:r>
      <w:r>
        <w:rPr>
          <w:lang w:val="en-GB"/>
        </w:rPr>
        <w:t>’</w:t>
      </w:r>
      <w:r>
        <w:rPr>
          <w:lang w:val="en-US"/>
        </w:rPr>
        <w:t>s</w:t>
      </w:r>
      <w:r>
        <w:rPr>
          <w:lang w:val="en-GB"/>
        </w:rPr>
        <w:t xml:space="preserve"> </w:t>
      </w:r>
      <w:r>
        <w:rPr>
          <w:lang w:val="en-US"/>
        </w:rPr>
        <w:t>employment</w:t>
      </w:r>
      <w:r>
        <w:rPr>
          <w:lang w:val="en-GB"/>
        </w:rPr>
        <w:t xml:space="preserve"> </w:t>
      </w:r>
      <w:r>
        <w:rPr>
          <w:lang w:val="en-US"/>
        </w:rPr>
        <w:t>in</w:t>
      </w:r>
      <w:r>
        <w:rPr>
          <w:lang w:val="en-GB"/>
        </w:rPr>
        <w:t xml:space="preserve"> </w:t>
      </w:r>
      <w:r>
        <w:rPr>
          <w:lang w:val="en-US"/>
        </w:rPr>
        <w:t>agriculture</w:t>
      </w:r>
      <w:r>
        <w:rPr>
          <w:lang w:val="en-GB"/>
        </w:rPr>
        <w:t xml:space="preserve">, </w:t>
      </w:r>
      <w:r>
        <w:rPr>
          <w:lang w:val="en-US"/>
        </w:rPr>
        <w:t>and</w:t>
      </w:r>
      <w:r>
        <w:rPr>
          <w:lang w:val="en-GB"/>
        </w:rPr>
        <w:t xml:space="preserve">, </w:t>
      </w:r>
      <w:r>
        <w:rPr>
          <w:lang w:val="en-US"/>
        </w:rPr>
        <w:t>in</w:t>
      </w:r>
      <w:r>
        <w:rPr>
          <w:lang w:val="en-GB"/>
        </w:rPr>
        <w:t xml:space="preserve"> </w:t>
      </w:r>
      <w:r>
        <w:rPr>
          <w:lang w:val="en-US"/>
        </w:rPr>
        <w:t>general</w:t>
      </w:r>
      <w:r>
        <w:rPr>
          <w:lang w:val="en-GB"/>
        </w:rPr>
        <w:t xml:space="preserve">, </w:t>
      </w:r>
      <w:r>
        <w:rPr>
          <w:lang w:val="en-US"/>
        </w:rPr>
        <w:t>in</w:t>
      </w:r>
      <w:r>
        <w:rPr>
          <w:lang w:val="en-GB"/>
        </w:rPr>
        <w:t xml:space="preserve"> the </w:t>
      </w:r>
      <w:r>
        <w:rPr>
          <w:lang w:val="en-US"/>
        </w:rPr>
        <w:t>rural</w:t>
      </w:r>
      <w:r>
        <w:rPr>
          <w:lang w:val="en-GB"/>
        </w:rPr>
        <w:t xml:space="preserve"> </w:t>
      </w:r>
      <w:r>
        <w:rPr>
          <w:lang w:val="en-US"/>
        </w:rPr>
        <w:t>sector, certain motives for rural women have been created by the Oper</w:t>
      </w:r>
      <w:r>
        <w:rPr>
          <w:lang w:val="en-US"/>
        </w:rPr>
        <w:t>a</w:t>
      </w:r>
      <w:r>
        <w:rPr>
          <w:lang w:val="en-US"/>
        </w:rPr>
        <w:t>tional Programmes of the 3</w:t>
      </w:r>
      <w:r>
        <w:rPr>
          <w:vertAlign w:val="superscript"/>
          <w:lang w:val="en-US"/>
        </w:rPr>
        <w:t>rd</w:t>
      </w:r>
      <w:r>
        <w:rPr>
          <w:lang w:val="en-US"/>
        </w:rPr>
        <w:t xml:space="preserve"> Community Support Framework</w:t>
      </w:r>
      <w:r>
        <w:rPr>
          <w:lang w:val="en-GB"/>
        </w:rPr>
        <w:t xml:space="preserve">. </w:t>
      </w:r>
    </w:p>
    <w:p w:rsidR="00000000" w:rsidRDefault="00000000">
      <w:pPr>
        <w:pStyle w:val="SingleTxt"/>
        <w:rPr>
          <w:lang w:val="en-GB"/>
        </w:rPr>
      </w:pPr>
      <w:r>
        <w:rPr>
          <w:lang w:val="en-US"/>
        </w:rPr>
        <w:tab/>
        <w:t>The</w:t>
      </w:r>
      <w:r>
        <w:rPr>
          <w:lang w:val="en-GB"/>
        </w:rPr>
        <w:t xml:space="preserve"> </w:t>
      </w:r>
      <w:r>
        <w:rPr>
          <w:lang w:val="en-US"/>
        </w:rPr>
        <w:t>General Secretariat for Gender Equality</w:t>
      </w:r>
      <w:r>
        <w:rPr>
          <w:lang w:val="en-GB"/>
        </w:rPr>
        <w:t xml:space="preserve">, </w:t>
      </w:r>
      <w:r>
        <w:rPr>
          <w:lang w:val="en-US"/>
        </w:rPr>
        <w:t>as</w:t>
      </w:r>
      <w:r>
        <w:rPr>
          <w:lang w:val="en-GB"/>
        </w:rPr>
        <w:t xml:space="preserve"> </w:t>
      </w:r>
      <w:r>
        <w:rPr>
          <w:lang w:val="en-US"/>
        </w:rPr>
        <w:t>the</w:t>
      </w:r>
      <w:r>
        <w:rPr>
          <w:lang w:val="en-GB"/>
        </w:rPr>
        <w:t xml:space="preserve"> </w:t>
      </w:r>
      <w:r>
        <w:rPr>
          <w:lang w:val="en-US"/>
        </w:rPr>
        <w:t>competent</w:t>
      </w:r>
      <w:r>
        <w:rPr>
          <w:lang w:val="en-GB"/>
        </w:rPr>
        <w:t xml:space="preserve"> </w:t>
      </w:r>
      <w:r>
        <w:rPr>
          <w:lang w:val="en-US"/>
        </w:rPr>
        <w:t>governmental</w:t>
      </w:r>
      <w:r>
        <w:rPr>
          <w:lang w:val="en-GB"/>
        </w:rPr>
        <w:t xml:space="preserve"> </w:t>
      </w:r>
      <w:r>
        <w:rPr>
          <w:lang w:val="en-US"/>
        </w:rPr>
        <w:t>body</w:t>
      </w:r>
      <w:r>
        <w:rPr>
          <w:lang w:val="en-GB"/>
        </w:rPr>
        <w:t xml:space="preserve">, </w:t>
      </w:r>
      <w:r>
        <w:rPr>
          <w:lang w:val="en-US"/>
        </w:rPr>
        <w:t>participates</w:t>
      </w:r>
      <w:r>
        <w:rPr>
          <w:lang w:val="en-GB"/>
        </w:rPr>
        <w:t xml:space="preserve"> </w:t>
      </w:r>
      <w:r>
        <w:rPr>
          <w:lang w:val="en-US"/>
        </w:rPr>
        <w:t>in planning actions on Equality</w:t>
      </w:r>
      <w:r>
        <w:rPr>
          <w:lang w:val="en-GB"/>
        </w:rPr>
        <w:t xml:space="preserve"> </w:t>
      </w:r>
      <w:r>
        <w:rPr>
          <w:i/>
          <w:lang w:val="en-US"/>
        </w:rPr>
        <w:t>in</w:t>
      </w:r>
      <w:r>
        <w:rPr>
          <w:i/>
          <w:lang w:val="en-GB"/>
        </w:rPr>
        <w:t xml:space="preserve"> the Operational Programme “Agricultural development- Restructuring the countryside”,</w:t>
      </w:r>
      <w:r>
        <w:rPr>
          <w:lang w:val="en-GB"/>
        </w:rPr>
        <w:t xml:space="preserve"> as well as in the O</w:t>
      </w:r>
      <w:r>
        <w:rPr>
          <w:lang w:val="en-GB"/>
        </w:rPr>
        <w:t>p</w:t>
      </w:r>
      <w:r>
        <w:rPr>
          <w:lang w:val="en-GB"/>
        </w:rPr>
        <w:t xml:space="preserve">erational Programme </w:t>
      </w:r>
      <w:r>
        <w:rPr>
          <w:i/>
          <w:lang w:val="en-GB"/>
        </w:rPr>
        <w:t>“Fishery”</w:t>
      </w:r>
      <w:r>
        <w:rPr>
          <w:lang w:val="en-GB"/>
        </w:rPr>
        <w:t xml:space="preserve"> of the Ministry of Agriculture. </w:t>
      </w:r>
    </w:p>
    <w:p w:rsidR="00000000" w:rsidRDefault="00000000">
      <w:pPr>
        <w:pStyle w:val="SingleTxt"/>
        <w:rPr>
          <w:lang w:val="en-GB"/>
        </w:rPr>
      </w:pPr>
      <w:r>
        <w:rPr>
          <w:lang w:val="en-US"/>
        </w:rPr>
        <w:tab/>
        <w:t>The</w:t>
      </w:r>
      <w:r>
        <w:rPr>
          <w:lang w:val="en-GB"/>
        </w:rPr>
        <w:t xml:space="preserve"> </w:t>
      </w:r>
      <w:r>
        <w:rPr>
          <w:lang w:val="en-US"/>
        </w:rPr>
        <w:t>above</w:t>
      </w:r>
      <w:r>
        <w:rPr>
          <w:lang w:val="en-GB"/>
        </w:rPr>
        <w:t xml:space="preserve">-mentioned </w:t>
      </w:r>
      <w:r>
        <w:rPr>
          <w:lang w:val="en-US"/>
        </w:rPr>
        <w:t>Operational</w:t>
      </w:r>
      <w:r>
        <w:rPr>
          <w:lang w:val="en-GB"/>
        </w:rPr>
        <w:t xml:space="preserve"> </w:t>
      </w:r>
      <w:r>
        <w:rPr>
          <w:lang w:val="en-US"/>
        </w:rPr>
        <w:t>Programmes, in the context of implemen</w:t>
      </w:r>
      <w:r>
        <w:rPr>
          <w:lang w:val="en-US"/>
        </w:rPr>
        <w:t>t</w:t>
      </w:r>
      <w:r>
        <w:rPr>
          <w:lang w:val="en-US"/>
        </w:rPr>
        <w:t>ing gender</w:t>
      </w:r>
      <w:r>
        <w:rPr>
          <w:lang w:val="en-GB"/>
        </w:rPr>
        <w:t xml:space="preserve"> </w:t>
      </w:r>
      <w:r>
        <w:rPr>
          <w:lang w:val="en-US"/>
        </w:rPr>
        <w:t>mainstreaming, include actions or activities for the support of women far</w:t>
      </w:r>
      <w:r>
        <w:rPr>
          <w:lang w:val="en-US"/>
        </w:rPr>
        <w:t>m</w:t>
      </w:r>
      <w:r>
        <w:rPr>
          <w:lang w:val="en-US"/>
        </w:rPr>
        <w:t>ers</w:t>
      </w:r>
      <w:r>
        <w:rPr>
          <w:lang w:val="en-GB"/>
        </w:rPr>
        <w:t>.</w:t>
      </w:r>
    </w:p>
    <w:p w:rsidR="00000000" w:rsidRDefault="00000000">
      <w:pPr>
        <w:pStyle w:val="SingleTxt"/>
        <w:rPr>
          <w:i/>
          <w:lang w:val="en-GB"/>
        </w:rPr>
      </w:pPr>
      <w:r>
        <w:rPr>
          <w:i/>
        </w:rPr>
        <w:t>More specifically</w:t>
      </w:r>
      <w:r>
        <w:rPr>
          <w:i/>
          <w:lang w:val="en-GB"/>
        </w:rPr>
        <w:t>:</w:t>
      </w:r>
    </w:p>
    <w:p w:rsidR="00000000" w:rsidRDefault="00000000">
      <w:pPr>
        <w:pStyle w:val="SingleTxt"/>
        <w:spacing w:after="0" w:line="120" w:lineRule="exact"/>
        <w:rPr>
          <w:i/>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t>Α</w:t>
      </w:r>
      <w:r>
        <w:rPr>
          <w:lang w:val="en-GB"/>
        </w:rPr>
        <w:t>.</w:t>
      </w:r>
      <w:r>
        <w:rPr>
          <w:lang w:val="en-GB"/>
        </w:rPr>
        <w:tab/>
      </w:r>
      <w:r>
        <w:rPr>
          <w:lang w:val="en-US"/>
        </w:rPr>
        <w:t>Operational Programme</w:t>
      </w:r>
      <w:r>
        <w:rPr>
          <w:lang w:val="en-GB"/>
        </w:rPr>
        <w:t xml:space="preserve"> “A</w:t>
      </w:r>
      <w:r>
        <w:rPr>
          <w:lang w:val="en-US"/>
        </w:rPr>
        <w:t>gricultural Development –Restructuring the Countryside</w:t>
      </w:r>
      <w:r>
        <w:rPr>
          <w:lang w:val="en-GB"/>
        </w:rPr>
        <w:t>”</w:t>
      </w:r>
    </w:p>
    <w:p w:rsidR="00000000" w:rsidRDefault="00000000">
      <w:pPr>
        <w:pStyle w:val="SingleTxt"/>
        <w:spacing w:after="0" w:line="120" w:lineRule="exact"/>
        <w:rPr>
          <w:sz w:val="10"/>
        </w:rPr>
      </w:pPr>
    </w:p>
    <w:p w:rsidR="00000000" w:rsidRDefault="00000000">
      <w:pPr>
        <w:pStyle w:val="SingleTxt"/>
        <w:rPr>
          <w:lang w:val="en-GB"/>
        </w:rPr>
      </w:pPr>
      <w:r>
        <w:tab/>
        <w:t>Τ</w:t>
      </w:r>
      <w:r>
        <w:rPr>
          <w:lang w:val="en-US"/>
        </w:rPr>
        <w:t>he</w:t>
      </w:r>
      <w:r>
        <w:rPr>
          <w:lang w:val="en-GB"/>
        </w:rPr>
        <w:t xml:space="preserve"> </w:t>
      </w:r>
      <w:r>
        <w:rPr>
          <w:lang w:val="en-US"/>
        </w:rPr>
        <w:t>Operational</w:t>
      </w:r>
      <w:r>
        <w:rPr>
          <w:lang w:val="en-GB"/>
        </w:rPr>
        <w:t xml:space="preserve"> </w:t>
      </w:r>
      <w:r>
        <w:rPr>
          <w:lang w:val="en-US"/>
        </w:rPr>
        <w:t>Programme</w:t>
      </w:r>
      <w:r>
        <w:rPr>
          <w:lang w:val="en-GB"/>
        </w:rPr>
        <w:t xml:space="preserve"> “</w:t>
      </w:r>
      <w:r>
        <w:rPr>
          <w:lang w:val="en-US"/>
        </w:rPr>
        <w:t>Agricultural Development</w:t>
      </w:r>
      <w:r>
        <w:rPr>
          <w:lang w:val="en-GB"/>
        </w:rPr>
        <w:t>-</w:t>
      </w:r>
      <w:r>
        <w:rPr>
          <w:lang w:val="en-US"/>
        </w:rPr>
        <w:t>Restructuring the countryside</w:t>
      </w:r>
      <w:r>
        <w:rPr>
          <w:lang w:val="en-GB"/>
        </w:rPr>
        <w:t xml:space="preserve"> 2000-2006” </w:t>
      </w:r>
      <w:r>
        <w:rPr>
          <w:lang w:val="en-US"/>
        </w:rPr>
        <w:t>is the programme of the National part of the 3</w:t>
      </w:r>
      <w:r>
        <w:rPr>
          <w:vertAlign w:val="superscript"/>
          <w:lang w:val="en-US"/>
        </w:rPr>
        <w:t>rd</w:t>
      </w:r>
      <w:r>
        <w:rPr>
          <w:lang w:val="en-US"/>
        </w:rPr>
        <w:t xml:space="preserve"> Community Support Framework. The</w:t>
      </w:r>
      <w:r>
        <w:rPr>
          <w:lang w:val="en-GB"/>
        </w:rPr>
        <w:t xml:space="preserve"> </w:t>
      </w:r>
      <w:r>
        <w:rPr>
          <w:lang w:val="en-US"/>
        </w:rPr>
        <w:t>Operational</w:t>
      </w:r>
      <w:r>
        <w:rPr>
          <w:lang w:val="en-GB"/>
        </w:rPr>
        <w:t xml:space="preserve"> </w:t>
      </w:r>
      <w:r>
        <w:rPr>
          <w:lang w:val="en-US"/>
        </w:rPr>
        <w:t>Programme</w:t>
      </w:r>
      <w:r>
        <w:rPr>
          <w:lang w:val="en-GB"/>
        </w:rPr>
        <w:t xml:space="preserve"> in question is structured </w:t>
      </w:r>
      <w:r>
        <w:rPr>
          <w:lang w:val="en-US"/>
        </w:rPr>
        <w:t>in seven</w:t>
      </w:r>
      <w:r>
        <w:rPr>
          <w:lang w:val="en-GB"/>
        </w:rPr>
        <w:t xml:space="preserve"> (7) </w:t>
      </w:r>
      <w:r>
        <w:rPr>
          <w:lang w:val="en-US"/>
        </w:rPr>
        <w:t>Axes</w:t>
      </w:r>
      <w:r>
        <w:rPr>
          <w:lang w:val="en-GB"/>
        </w:rPr>
        <w:t xml:space="preserve"> </w:t>
      </w:r>
      <w:r>
        <w:rPr>
          <w:lang w:val="en-US"/>
        </w:rPr>
        <w:t>and thirty-four</w:t>
      </w:r>
      <w:r>
        <w:rPr>
          <w:lang w:val="en-GB"/>
        </w:rPr>
        <w:t xml:space="preserve"> (34) </w:t>
      </w:r>
      <w:r>
        <w:t>Μ</w:t>
      </w:r>
      <w:r>
        <w:rPr>
          <w:lang w:val="en-US"/>
        </w:rPr>
        <w:t>easures</w:t>
      </w:r>
      <w:r>
        <w:rPr>
          <w:lang w:val="en-GB"/>
        </w:rPr>
        <w:t>.</w:t>
      </w:r>
    </w:p>
    <w:p w:rsidR="00000000" w:rsidRDefault="00000000">
      <w:pPr>
        <w:pStyle w:val="SingleTxt"/>
        <w:rPr>
          <w:lang w:val="en-GB"/>
        </w:rPr>
      </w:pPr>
      <w:r>
        <w:rPr>
          <w:lang w:val="en-US"/>
        </w:rPr>
        <w:tab/>
        <w:t>The strategic goals of the programme are</w:t>
      </w:r>
      <w:r>
        <w:rPr>
          <w:lang w:val="en-GB"/>
        </w:rPr>
        <w:t>:</w:t>
      </w:r>
    </w:p>
    <w:p w:rsidR="00000000" w:rsidRDefault="00000000">
      <w:pPr>
        <w:pStyle w:val="SingleTxt"/>
        <w:rPr>
          <w:lang w:val="en-GB"/>
        </w:rPr>
      </w:pPr>
      <w:r>
        <w:rPr>
          <w:lang w:val="en-US"/>
        </w:rPr>
        <w:tab/>
        <w:t>“Improvement of the competitiveness of Greek Agriculture”</w:t>
      </w:r>
      <w:r>
        <w:rPr>
          <w:lang w:val="en-GB"/>
        </w:rPr>
        <w:t xml:space="preserve"> </w:t>
      </w:r>
    </w:p>
    <w:p w:rsidR="00000000" w:rsidRDefault="00000000">
      <w:pPr>
        <w:pStyle w:val="SingleTxt"/>
        <w:rPr>
          <w:lang w:val="en-GB"/>
        </w:rPr>
      </w:pPr>
      <w:r>
        <w:rPr>
          <w:lang w:val="en-US"/>
        </w:rPr>
        <w:tab/>
        <w:t>“Viable and integrated development of rural areas”</w:t>
      </w:r>
      <w:r>
        <w:rPr>
          <w:lang w:val="en-GB"/>
        </w:rPr>
        <w:t xml:space="preserve"> </w:t>
      </w:r>
    </w:p>
    <w:p w:rsidR="00000000" w:rsidRDefault="00000000">
      <w:pPr>
        <w:pStyle w:val="SingleTxt"/>
        <w:rPr>
          <w:lang w:val="en-GB"/>
        </w:rPr>
      </w:pPr>
      <w:r>
        <w:rPr>
          <w:lang w:val="en-GB"/>
        </w:rPr>
        <w:tab/>
        <w:t>“</w:t>
      </w:r>
      <w:r>
        <w:rPr>
          <w:lang w:val="en-US"/>
        </w:rPr>
        <w:t>M</w:t>
      </w:r>
      <w:r>
        <w:rPr>
          <w:lang w:val="en-GB"/>
        </w:rPr>
        <w:t xml:space="preserve">aintenance and improvement of the environment </w:t>
      </w:r>
      <w:r>
        <w:rPr>
          <w:lang w:val="en-US"/>
        </w:rPr>
        <w:t>and the natural resources of the countryside”</w:t>
      </w:r>
    </w:p>
    <w:p w:rsidR="00000000" w:rsidRDefault="00000000">
      <w:pPr>
        <w:pStyle w:val="SingleTxt"/>
        <w:rPr>
          <w:lang w:val="en-GB"/>
        </w:rPr>
      </w:pPr>
      <w:r>
        <w:rPr>
          <w:lang w:val="en-US"/>
        </w:rPr>
        <w:tab/>
        <w:t>In</w:t>
      </w:r>
      <w:r>
        <w:rPr>
          <w:lang w:val="en-GB"/>
        </w:rPr>
        <w:t xml:space="preserve"> </w:t>
      </w:r>
      <w:r>
        <w:rPr>
          <w:lang w:val="en-US"/>
        </w:rPr>
        <w:t>the</w:t>
      </w:r>
      <w:r>
        <w:rPr>
          <w:lang w:val="en-GB"/>
        </w:rPr>
        <w:t xml:space="preserve"> context </w:t>
      </w:r>
      <w:r>
        <w:rPr>
          <w:lang w:val="en-US"/>
        </w:rPr>
        <w:t>of</w:t>
      </w:r>
      <w:r>
        <w:rPr>
          <w:lang w:val="en-GB"/>
        </w:rPr>
        <w:t xml:space="preserve"> </w:t>
      </w:r>
      <w:r>
        <w:rPr>
          <w:lang w:val="en-US"/>
        </w:rPr>
        <w:t>the</w:t>
      </w:r>
      <w:r>
        <w:rPr>
          <w:lang w:val="en-GB"/>
        </w:rPr>
        <w:t xml:space="preserve"> </w:t>
      </w:r>
      <w:r>
        <w:rPr>
          <w:lang w:val="en-US"/>
        </w:rPr>
        <w:t>programme</w:t>
      </w:r>
      <w:r>
        <w:rPr>
          <w:lang w:val="en-GB"/>
        </w:rPr>
        <w:t xml:space="preserve">, </w:t>
      </w:r>
      <w:r>
        <w:rPr>
          <w:lang w:val="en-US"/>
        </w:rPr>
        <w:t>special regulations are provided for, regar</w:t>
      </w:r>
      <w:r>
        <w:rPr>
          <w:lang w:val="en-US"/>
        </w:rPr>
        <w:t>d</w:t>
      </w:r>
      <w:r>
        <w:rPr>
          <w:lang w:val="en-US"/>
        </w:rPr>
        <w:t>ing women farmers who undertake, as</w:t>
      </w:r>
      <w:r>
        <w:rPr>
          <w:lang w:val="en-GB"/>
        </w:rPr>
        <w:t xml:space="preserve"> owners of agricultural enterprises, to invest in a</w:t>
      </w:r>
      <w:r>
        <w:rPr>
          <w:lang w:val="en-GB"/>
        </w:rPr>
        <w:t>g</w:t>
      </w:r>
      <w:r>
        <w:rPr>
          <w:lang w:val="en-GB"/>
        </w:rPr>
        <w:t>ricultural enterprises (Common Ministerial Decision 532/2003).</w:t>
      </w:r>
    </w:p>
    <w:p w:rsidR="00000000" w:rsidRDefault="00000000">
      <w:pPr>
        <w:pStyle w:val="SingleTxt"/>
        <w:tabs>
          <w:tab w:val="right" w:pos="1685"/>
        </w:tabs>
        <w:ind w:left="1742" w:hanging="475"/>
        <w:rPr>
          <w:i/>
          <w:lang w:val="en-US"/>
        </w:rPr>
      </w:pPr>
      <w:r>
        <w:rPr>
          <w:i/>
          <w:lang w:val="en-US"/>
        </w:rPr>
        <w:tab/>
        <w:t>•</w:t>
      </w:r>
      <w:r>
        <w:rPr>
          <w:i/>
          <w:lang w:val="en-US"/>
        </w:rPr>
        <w:tab/>
        <w:t>Investments</w:t>
      </w:r>
      <w:r>
        <w:rPr>
          <w:i/>
        </w:rPr>
        <w:t xml:space="preserve"> </w:t>
      </w:r>
      <w:r>
        <w:rPr>
          <w:i/>
          <w:lang w:val="en-US"/>
        </w:rPr>
        <w:t>in</w:t>
      </w:r>
      <w:r>
        <w:rPr>
          <w:i/>
        </w:rPr>
        <w:t xml:space="preserve"> </w:t>
      </w:r>
      <w:r>
        <w:rPr>
          <w:i/>
          <w:lang w:val="en-US"/>
        </w:rPr>
        <w:t>agricultural</w:t>
      </w:r>
      <w:r>
        <w:rPr>
          <w:i/>
        </w:rPr>
        <w:t xml:space="preserve"> </w:t>
      </w:r>
      <w:r>
        <w:rPr>
          <w:i/>
          <w:lang w:val="en-US"/>
        </w:rPr>
        <w:t>enterprises</w:t>
      </w:r>
    </w:p>
    <w:p w:rsidR="00000000" w:rsidRDefault="00000000">
      <w:pPr>
        <w:pStyle w:val="SingleTxt"/>
        <w:rPr>
          <w:lang w:val="en-GB"/>
        </w:rPr>
      </w:pPr>
      <w:r>
        <w:rPr>
          <w:lang w:val="en-US"/>
        </w:rPr>
        <w:tab/>
        <w:t>To</w:t>
      </w:r>
      <w:r>
        <w:rPr>
          <w:lang w:val="en-GB"/>
        </w:rPr>
        <w:t xml:space="preserve"> </w:t>
      </w:r>
      <w:r>
        <w:rPr>
          <w:lang w:val="en-US"/>
        </w:rPr>
        <w:t>reinforce</w:t>
      </w:r>
      <w:r>
        <w:rPr>
          <w:lang w:val="en-GB"/>
        </w:rPr>
        <w:t xml:space="preserve"> </w:t>
      </w:r>
      <w:r>
        <w:rPr>
          <w:lang w:val="en-US"/>
        </w:rPr>
        <w:t>women</w:t>
      </w:r>
      <w:r>
        <w:rPr>
          <w:lang w:val="en-GB"/>
        </w:rPr>
        <w:t>’</w:t>
      </w:r>
      <w:r>
        <w:rPr>
          <w:lang w:val="en-US"/>
        </w:rPr>
        <w:t>s</w:t>
      </w:r>
      <w:r>
        <w:rPr>
          <w:lang w:val="en-GB"/>
        </w:rPr>
        <w:t xml:space="preserve"> </w:t>
      </w:r>
      <w:r>
        <w:rPr>
          <w:lang w:val="en-US"/>
        </w:rPr>
        <w:t>participation</w:t>
      </w:r>
      <w:r>
        <w:rPr>
          <w:lang w:val="en-GB"/>
        </w:rPr>
        <w:t xml:space="preserve">, </w:t>
      </w:r>
      <w:r>
        <w:rPr>
          <w:lang w:val="en-US"/>
        </w:rPr>
        <w:t>a</w:t>
      </w:r>
      <w:r>
        <w:rPr>
          <w:lang w:val="en-GB"/>
        </w:rPr>
        <w:t xml:space="preserve"> bonus of 4 </w:t>
      </w:r>
      <w:r>
        <w:rPr>
          <w:lang w:val="en-US"/>
        </w:rPr>
        <w:t>points</w:t>
      </w:r>
      <w:r>
        <w:rPr>
          <w:lang w:val="en-GB"/>
        </w:rPr>
        <w:t xml:space="preserve"> </w:t>
      </w:r>
      <w:r>
        <w:rPr>
          <w:lang w:val="en-US"/>
        </w:rPr>
        <w:t>was</w:t>
      </w:r>
      <w:r>
        <w:rPr>
          <w:lang w:val="en-GB"/>
        </w:rPr>
        <w:t xml:space="preserve"> </w:t>
      </w:r>
      <w:r>
        <w:rPr>
          <w:lang w:val="en-US"/>
        </w:rPr>
        <w:t>established</w:t>
      </w:r>
      <w:r>
        <w:rPr>
          <w:lang w:val="en-GB"/>
        </w:rPr>
        <w:t xml:space="preserve"> for the cases when </w:t>
      </w:r>
      <w:r>
        <w:rPr>
          <w:lang w:val="en-US"/>
        </w:rPr>
        <w:t>the</w:t>
      </w:r>
      <w:r>
        <w:rPr>
          <w:lang w:val="en-GB"/>
        </w:rPr>
        <w:t xml:space="preserve"> </w:t>
      </w:r>
      <w:r>
        <w:rPr>
          <w:lang w:val="en-US"/>
        </w:rPr>
        <w:t>application</w:t>
      </w:r>
      <w:r>
        <w:rPr>
          <w:lang w:val="en-GB"/>
        </w:rPr>
        <w:t xml:space="preserve"> </w:t>
      </w:r>
      <w:r>
        <w:rPr>
          <w:lang w:val="en-US"/>
        </w:rPr>
        <w:t>concerns</w:t>
      </w:r>
      <w:r>
        <w:rPr>
          <w:lang w:val="en-GB"/>
        </w:rPr>
        <w:t xml:space="preserve"> </w:t>
      </w:r>
      <w:r>
        <w:rPr>
          <w:lang w:val="en-US"/>
        </w:rPr>
        <w:t>a natural person</w:t>
      </w:r>
      <w:r>
        <w:rPr>
          <w:lang w:val="en-GB"/>
        </w:rPr>
        <w:t xml:space="preserve">, </w:t>
      </w:r>
      <w:r>
        <w:rPr>
          <w:lang w:val="en-US"/>
        </w:rPr>
        <w:t>and</w:t>
      </w:r>
      <w:r>
        <w:rPr>
          <w:lang w:val="en-GB"/>
        </w:rPr>
        <w:t xml:space="preserve"> </w:t>
      </w:r>
      <w:r>
        <w:rPr>
          <w:lang w:val="en-US"/>
        </w:rPr>
        <w:t>a</w:t>
      </w:r>
      <w:r>
        <w:rPr>
          <w:lang w:val="en-GB"/>
        </w:rPr>
        <w:t xml:space="preserve"> </w:t>
      </w:r>
      <w:r>
        <w:rPr>
          <w:lang w:val="en-US"/>
        </w:rPr>
        <w:t>bonus</w:t>
      </w:r>
      <w:r>
        <w:rPr>
          <w:lang w:val="en-GB"/>
        </w:rPr>
        <w:t xml:space="preserve"> </w:t>
      </w:r>
      <w:r>
        <w:rPr>
          <w:lang w:val="en-US"/>
        </w:rPr>
        <w:t>of</w:t>
      </w:r>
      <w:r>
        <w:rPr>
          <w:lang w:val="en-GB"/>
        </w:rPr>
        <w:t xml:space="preserve"> 10 </w:t>
      </w:r>
      <w:r>
        <w:rPr>
          <w:lang w:val="en-US"/>
        </w:rPr>
        <w:t>points</w:t>
      </w:r>
      <w:r>
        <w:rPr>
          <w:lang w:val="en-GB"/>
        </w:rPr>
        <w:t xml:space="preserve"> </w:t>
      </w:r>
      <w:r>
        <w:rPr>
          <w:lang w:val="en-US"/>
        </w:rPr>
        <w:t>when it concerns a legal entity,</w:t>
      </w:r>
      <w:r>
        <w:rPr>
          <w:lang w:val="en-GB"/>
        </w:rPr>
        <w:t xml:space="preserve"> the majority of the equity capital of which belongs to women. </w:t>
      </w:r>
    </w:p>
    <w:p w:rsidR="00000000" w:rsidRDefault="00000000">
      <w:pPr>
        <w:pStyle w:val="SingleTxt"/>
        <w:rPr>
          <w:color w:val="000000"/>
          <w:lang w:val="en-GB"/>
        </w:rPr>
      </w:pPr>
      <w:r>
        <w:rPr>
          <w:color w:val="000000"/>
          <w:lang w:val="en-US"/>
        </w:rPr>
        <w:tab/>
        <w:t>According</w:t>
      </w:r>
      <w:r>
        <w:rPr>
          <w:color w:val="000000"/>
          <w:lang w:val="en-GB"/>
        </w:rPr>
        <w:t xml:space="preserve"> </w:t>
      </w:r>
      <w:r>
        <w:rPr>
          <w:color w:val="000000"/>
          <w:lang w:val="en-US"/>
        </w:rPr>
        <w:t>to</w:t>
      </w:r>
      <w:r>
        <w:rPr>
          <w:color w:val="000000"/>
          <w:lang w:val="en-GB"/>
        </w:rPr>
        <w:t xml:space="preserve"> </w:t>
      </w:r>
      <w:r>
        <w:rPr>
          <w:color w:val="000000"/>
          <w:lang w:val="en-US"/>
        </w:rPr>
        <w:t>the</w:t>
      </w:r>
      <w:r>
        <w:rPr>
          <w:color w:val="000000"/>
          <w:lang w:val="en-GB"/>
        </w:rPr>
        <w:t xml:space="preserve"> </w:t>
      </w:r>
      <w:r>
        <w:rPr>
          <w:color w:val="000000"/>
          <w:lang w:val="en-US"/>
        </w:rPr>
        <w:t xml:space="preserve">Managing </w:t>
      </w:r>
      <w:r>
        <w:rPr>
          <w:color w:val="000000"/>
          <w:lang w:val="en-GB"/>
        </w:rPr>
        <w:t xml:space="preserve">Authority </w:t>
      </w:r>
      <w:r>
        <w:rPr>
          <w:color w:val="000000"/>
          <w:lang w:val="en-US"/>
        </w:rPr>
        <w:t>of</w:t>
      </w:r>
      <w:r>
        <w:rPr>
          <w:color w:val="000000"/>
          <w:lang w:val="en-GB"/>
        </w:rPr>
        <w:t xml:space="preserve"> </w:t>
      </w:r>
      <w:r>
        <w:rPr>
          <w:color w:val="000000"/>
          <w:lang w:val="en-US"/>
        </w:rPr>
        <w:t>the</w:t>
      </w:r>
      <w:r>
        <w:rPr>
          <w:color w:val="000000"/>
          <w:lang w:val="en-GB"/>
        </w:rPr>
        <w:t xml:space="preserve"> </w:t>
      </w:r>
      <w:r>
        <w:rPr>
          <w:color w:val="000000"/>
          <w:lang w:val="en-US"/>
        </w:rPr>
        <w:t>Operational</w:t>
      </w:r>
      <w:r>
        <w:rPr>
          <w:color w:val="000000"/>
          <w:lang w:val="en-GB"/>
        </w:rPr>
        <w:t xml:space="preserve"> </w:t>
      </w:r>
      <w:r>
        <w:rPr>
          <w:color w:val="000000"/>
          <w:lang w:val="en-US"/>
        </w:rPr>
        <w:t>Programme</w:t>
      </w:r>
      <w:r>
        <w:rPr>
          <w:color w:val="000000"/>
          <w:lang w:val="en-GB"/>
        </w:rPr>
        <w:t xml:space="preserve"> “</w:t>
      </w:r>
      <w:r>
        <w:rPr>
          <w:color w:val="000000"/>
          <w:lang w:val="en-US"/>
        </w:rPr>
        <w:t>Agr</w:t>
      </w:r>
      <w:r>
        <w:rPr>
          <w:color w:val="000000"/>
          <w:lang w:val="en-US"/>
        </w:rPr>
        <w:t>i</w:t>
      </w:r>
      <w:r>
        <w:rPr>
          <w:color w:val="000000"/>
          <w:lang w:val="en-US"/>
        </w:rPr>
        <w:t>cultural Development</w:t>
      </w:r>
      <w:r>
        <w:rPr>
          <w:color w:val="000000"/>
          <w:lang w:val="en-GB"/>
        </w:rPr>
        <w:t>-</w:t>
      </w:r>
      <w:r>
        <w:rPr>
          <w:color w:val="000000"/>
          <w:lang w:val="en-US"/>
        </w:rPr>
        <w:t>Restructuring the countryside</w:t>
      </w:r>
      <w:r>
        <w:rPr>
          <w:color w:val="000000"/>
          <w:lang w:val="en-GB"/>
        </w:rPr>
        <w:t xml:space="preserve"> 2000-2006”, </w:t>
      </w:r>
      <w:r>
        <w:rPr>
          <w:color w:val="000000"/>
          <w:lang w:val="en-US"/>
        </w:rPr>
        <w:t xml:space="preserve">the percentage of </w:t>
      </w:r>
      <w:r>
        <w:rPr>
          <w:color w:val="000000"/>
          <w:lang w:val="en-GB"/>
        </w:rPr>
        <w:t>approved plans of women in this measure has reached 22,6% after the last invit</w:t>
      </w:r>
      <w:r>
        <w:rPr>
          <w:color w:val="000000"/>
          <w:lang w:val="en-GB"/>
        </w:rPr>
        <w:t>a</w:t>
      </w:r>
      <w:r>
        <w:rPr>
          <w:color w:val="000000"/>
          <w:lang w:val="en-GB"/>
        </w:rPr>
        <w:t>tions for the above mentioned measures.</w:t>
      </w:r>
    </w:p>
    <w:p w:rsidR="00000000" w:rsidRDefault="00000000">
      <w:pPr>
        <w:pStyle w:val="SingleTxt"/>
        <w:tabs>
          <w:tab w:val="right" w:pos="1685"/>
        </w:tabs>
        <w:ind w:left="1742" w:hanging="475"/>
        <w:rPr>
          <w:i/>
          <w:lang w:val="en-US"/>
        </w:rPr>
      </w:pPr>
      <w:r>
        <w:rPr>
          <w:i/>
          <w:lang w:val="en-US"/>
        </w:rPr>
        <w:tab/>
        <w:t>•</w:t>
      </w:r>
      <w:r>
        <w:rPr>
          <w:i/>
          <w:lang w:val="en-US"/>
        </w:rPr>
        <w:tab/>
        <w:t>Investments</w:t>
      </w:r>
      <w:r>
        <w:rPr>
          <w:i/>
          <w:lang w:val="en-GB"/>
        </w:rPr>
        <w:t xml:space="preserve"> </w:t>
      </w:r>
      <w:r>
        <w:rPr>
          <w:i/>
          <w:lang w:val="en-US"/>
        </w:rPr>
        <w:t>in</w:t>
      </w:r>
      <w:r>
        <w:rPr>
          <w:i/>
          <w:lang w:val="en-GB"/>
        </w:rPr>
        <w:t xml:space="preserve"> </w:t>
      </w:r>
      <w:r>
        <w:rPr>
          <w:i/>
          <w:lang w:val="en-US"/>
        </w:rPr>
        <w:t>processing</w:t>
      </w:r>
      <w:r>
        <w:rPr>
          <w:i/>
          <w:lang w:val="en-GB"/>
        </w:rPr>
        <w:t xml:space="preserve"> </w:t>
      </w:r>
      <w:r>
        <w:rPr>
          <w:i/>
          <w:lang w:val="en-US"/>
        </w:rPr>
        <w:t>and</w:t>
      </w:r>
      <w:r>
        <w:rPr>
          <w:i/>
          <w:lang w:val="en-GB"/>
        </w:rPr>
        <w:t xml:space="preserve"> </w:t>
      </w:r>
      <w:r>
        <w:rPr>
          <w:i/>
          <w:lang w:val="en-US"/>
        </w:rPr>
        <w:t>trading</w:t>
      </w:r>
      <w:r>
        <w:rPr>
          <w:i/>
          <w:lang w:val="en-GB"/>
        </w:rPr>
        <w:t xml:space="preserve"> </w:t>
      </w:r>
      <w:r>
        <w:rPr>
          <w:i/>
          <w:lang w:val="en-US"/>
        </w:rPr>
        <w:t>products</w:t>
      </w:r>
      <w:r>
        <w:rPr>
          <w:i/>
          <w:lang w:val="en-GB"/>
        </w:rPr>
        <w:t xml:space="preserve"> </w:t>
      </w:r>
      <w:r>
        <w:rPr>
          <w:i/>
          <w:lang w:val="en-US"/>
        </w:rPr>
        <w:t>of Agriculture - Investments</w:t>
      </w:r>
      <w:r>
        <w:rPr>
          <w:i/>
          <w:lang w:val="en-GB"/>
        </w:rPr>
        <w:t xml:space="preserve"> </w:t>
      </w:r>
      <w:r>
        <w:rPr>
          <w:i/>
          <w:lang w:val="en-US"/>
        </w:rPr>
        <w:t>in</w:t>
      </w:r>
      <w:r>
        <w:rPr>
          <w:i/>
          <w:lang w:val="en-GB"/>
        </w:rPr>
        <w:t xml:space="preserve"> </w:t>
      </w:r>
      <w:r>
        <w:rPr>
          <w:i/>
          <w:lang w:val="en-US"/>
        </w:rPr>
        <w:t>pro</w:t>
      </w:r>
      <w:r>
        <w:rPr>
          <w:i/>
          <w:lang w:val="en-US"/>
        </w:rPr>
        <w:t>c</w:t>
      </w:r>
      <w:r>
        <w:rPr>
          <w:i/>
          <w:lang w:val="en-US"/>
        </w:rPr>
        <w:t>essing</w:t>
      </w:r>
      <w:r>
        <w:rPr>
          <w:i/>
          <w:lang w:val="en-GB"/>
        </w:rPr>
        <w:t xml:space="preserve"> </w:t>
      </w:r>
      <w:r>
        <w:rPr>
          <w:i/>
          <w:lang w:val="en-US"/>
        </w:rPr>
        <w:t>and</w:t>
      </w:r>
      <w:r>
        <w:rPr>
          <w:i/>
          <w:lang w:val="en-GB"/>
        </w:rPr>
        <w:t xml:space="preserve"> </w:t>
      </w:r>
      <w:r>
        <w:rPr>
          <w:i/>
          <w:lang w:val="en-US"/>
        </w:rPr>
        <w:t>trading</w:t>
      </w:r>
      <w:r>
        <w:rPr>
          <w:i/>
          <w:lang w:val="en-GB"/>
        </w:rPr>
        <w:t xml:space="preserve"> </w:t>
      </w:r>
      <w:r>
        <w:rPr>
          <w:i/>
          <w:lang w:val="en-US"/>
        </w:rPr>
        <w:t>products</w:t>
      </w:r>
      <w:r>
        <w:rPr>
          <w:i/>
          <w:lang w:val="en-GB"/>
        </w:rPr>
        <w:t xml:space="preserve"> </w:t>
      </w:r>
      <w:r>
        <w:rPr>
          <w:i/>
          <w:lang w:val="en-US"/>
        </w:rPr>
        <w:t>of</w:t>
      </w:r>
      <w:r>
        <w:rPr>
          <w:i/>
          <w:lang w:val="en-GB"/>
        </w:rPr>
        <w:t xml:space="preserve"> </w:t>
      </w:r>
      <w:r>
        <w:rPr>
          <w:i/>
          <w:lang w:val="en-US"/>
        </w:rPr>
        <w:t>Forestry</w:t>
      </w:r>
    </w:p>
    <w:p w:rsidR="00000000" w:rsidRDefault="00000000">
      <w:pPr>
        <w:pStyle w:val="SingleTxt"/>
        <w:rPr>
          <w:lang w:val="en-GB"/>
        </w:rPr>
      </w:pPr>
      <w:r>
        <w:rPr>
          <w:lang w:val="en-US"/>
        </w:rPr>
        <w:tab/>
        <w:t>It concerns investments and investing plans of natural persons</w:t>
      </w:r>
      <w:r>
        <w:rPr>
          <w:lang w:val="en-GB"/>
        </w:rPr>
        <w:t xml:space="preserve"> (</w:t>
      </w:r>
      <w:r>
        <w:rPr>
          <w:lang w:val="en-US"/>
        </w:rPr>
        <w:t>Common Mi</w:t>
      </w:r>
      <w:r>
        <w:rPr>
          <w:lang w:val="en-US"/>
        </w:rPr>
        <w:t>n</w:t>
      </w:r>
      <w:r>
        <w:rPr>
          <w:lang w:val="en-US"/>
        </w:rPr>
        <w:t>isterial Decisions</w:t>
      </w:r>
      <w:r>
        <w:rPr>
          <w:lang w:val="en-GB"/>
        </w:rPr>
        <w:t xml:space="preserve"> 110850/4938/2001)</w:t>
      </w:r>
    </w:p>
    <w:p w:rsidR="00000000" w:rsidRDefault="00000000">
      <w:pPr>
        <w:pStyle w:val="SingleTxt"/>
        <w:rPr>
          <w:lang w:val="en-GB"/>
        </w:rPr>
      </w:pPr>
      <w:r>
        <w:rPr>
          <w:lang w:val="en-US"/>
        </w:rPr>
        <w:tab/>
        <w:t>In the above mentioned investment programmes, women’s participation is promoted by bonus awarding.</w:t>
      </w:r>
    </w:p>
    <w:p w:rsidR="00000000" w:rsidRDefault="00000000">
      <w:pPr>
        <w:pStyle w:val="SingleTxt"/>
        <w:rPr>
          <w:lang w:val="en-GB"/>
        </w:rPr>
      </w:pPr>
      <w:r>
        <w:rPr>
          <w:lang w:val="en-US"/>
        </w:rPr>
        <w:tab/>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the percentage of women’s participation in approved plans, in this mea</w:t>
      </w:r>
      <w:r>
        <w:rPr>
          <w:lang w:val="en-US"/>
        </w:rPr>
        <w:t>s</w:t>
      </w:r>
      <w:r>
        <w:rPr>
          <w:lang w:val="en-US"/>
        </w:rPr>
        <w:t xml:space="preserve">ure, has been </w:t>
      </w:r>
      <w:r>
        <w:rPr>
          <w:lang w:val="en-GB"/>
        </w:rPr>
        <w:t>11,5%.</w:t>
      </w:r>
    </w:p>
    <w:p w:rsidR="00000000" w:rsidRDefault="00000000">
      <w:pPr>
        <w:pStyle w:val="SingleTxt"/>
        <w:tabs>
          <w:tab w:val="right" w:pos="1685"/>
        </w:tabs>
        <w:ind w:left="1742" w:hanging="475"/>
        <w:rPr>
          <w:i/>
          <w:lang w:val="en-GB"/>
        </w:rPr>
      </w:pPr>
      <w:r>
        <w:rPr>
          <w:i/>
          <w:lang w:val="en-US"/>
        </w:rPr>
        <w:tab/>
        <w:t>•</w:t>
      </w:r>
      <w:r>
        <w:rPr>
          <w:i/>
          <w:lang w:val="en-US"/>
        </w:rPr>
        <w:tab/>
        <w:t>Improvement</w:t>
      </w:r>
      <w:r>
        <w:rPr>
          <w:i/>
          <w:lang w:val="en-GB"/>
        </w:rPr>
        <w:t xml:space="preserve"> </w:t>
      </w:r>
      <w:r>
        <w:rPr>
          <w:i/>
          <w:lang w:val="en-US"/>
        </w:rPr>
        <w:t>of</w:t>
      </w:r>
      <w:r>
        <w:rPr>
          <w:i/>
          <w:lang w:val="en-GB"/>
        </w:rPr>
        <w:t xml:space="preserve"> the age-related composition </w:t>
      </w:r>
      <w:r>
        <w:rPr>
          <w:i/>
          <w:lang w:val="en-US"/>
        </w:rPr>
        <w:t>of the Rural Population</w:t>
      </w:r>
      <w:r>
        <w:rPr>
          <w:i/>
          <w:lang w:val="en-GB"/>
        </w:rPr>
        <w:t>. (</w:t>
      </w:r>
      <w:r>
        <w:rPr>
          <w:i/>
          <w:lang w:val="en-US"/>
        </w:rPr>
        <w:t>Pr</w:t>
      </w:r>
      <w:r>
        <w:rPr>
          <w:i/>
          <w:lang w:val="en-US"/>
        </w:rPr>
        <w:t>o</w:t>
      </w:r>
      <w:r>
        <w:rPr>
          <w:i/>
          <w:lang w:val="en-US"/>
        </w:rPr>
        <w:t>gramme for Young Farmers</w:t>
      </w:r>
      <w:r>
        <w:rPr>
          <w:i/>
          <w:lang w:val="en-GB"/>
        </w:rPr>
        <w:t>)</w:t>
      </w:r>
    </w:p>
    <w:p w:rsidR="00000000" w:rsidRDefault="00000000">
      <w:pPr>
        <w:pStyle w:val="SingleTxt"/>
        <w:rPr>
          <w:i/>
          <w:lang w:val="en-GB"/>
        </w:rPr>
      </w:pPr>
      <w:r>
        <w:rPr>
          <w:i/>
        </w:rPr>
        <w:t xml:space="preserve">Non-recurring bonus for initial installation (Common Ministerial Order </w:t>
      </w:r>
      <w:r>
        <w:rPr>
          <w:i/>
          <w:lang w:val="en-GB"/>
        </w:rPr>
        <w:t>448/2001)</w:t>
      </w:r>
    </w:p>
    <w:p w:rsidR="00000000" w:rsidRDefault="00000000">
      <w:pPr>
        <w:pStyle w:val="SingleTxt"/>
        <w:rPr>
          <w:lang w:val="en-GB"/>
        </w:rPr>
      </w:pPr>
      <w:r>
        <w:rPr>
          <w:lang w:val="en-GB"/>
        </w:rPr>
        <w:tab/>
        <w:t>Confrontation of the expenses of initial installation</w:t>
      </w:r>
    </w:p>
    <w:p w:rsidR="00000000" w:rsidRDefault="00000000">
      <w:pPr>
        <w:pStyle w:val="SingleTxt"/>
        <w:rPr>
          <w:lang w:val="en-GB"/>
        </w:rPr>
      </w:pPr>
      <w:r>
        <w:rPr>
          <w:lang w:val="en-US"/>
        </w:rPr>
        <w:tab/>
        <w:t>The participation of women</w:t>
      </w:r>
      <w:r>
        <w:rPr>
          <w:lang w:val="en-GB"/>
        </w:rPr>
        <w:t xml:space="preserve"> </w:t>
      </w:r>
      <w:r>
        <w:rPr>
          <w:lang w:val="en-US"/>
        </w:rPr>
        <w:t xml:space="preserve">in the above mentioned programme is granted a bonus of </w:t>
      </w:r>
      <w:r>
        <w:rPr>
          <w:lang w:val="en-GB"/>
        </w:rPr>
        <w:t>5</w:t>
      </w:r>
      <w:r>
        <w:rPr>
          <w:lang w:val="en-US"/>
        </w:rPr>
        <w:t xml:space="preserve"> additional points</w:t>
      </w:r>
      <w:r>
        <w:rPr>
          <w:lang w:val="en-GB"/>
        </w:rPr>
        <w:t xml:space="preserve">. </w:t>
      </w:r>
    </w:p>
    <w:p w:rsidR="00000000" w:rsidRDefault="00000000">
      <w:pPr>
        <w:pStyle w:val="SingleTxt"/>
        <w:rPr>
          <w:lang w:val="en-GB"/>
        </w:rPr>
      </w:pPr>
      <w:r>
        <w:rPr>
          <w:lang w:val="en-US"/>
        </w:rPr>
        <w:tab/>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the</w:t>
      </w:r>
      <w:r>
        <w:rPr>
          <w:lang w:val="en-GB"/>
        </w:rPr>
        <w:t xml:space="preserve"> </w:t>
      </w:r>
      <w:r>
        <w:rPr>
          <w:lang w:val="en-US"/>
        </w:rPr>
        <w:t>percentage</w:t>
      </w:r>
      <w:r>
        <w:rPr>
          <w:lang w:val="en-GB"/>
        </w:rPr>
        <w:t xml:space="preserve"> </w:t>
      </w:r>
      <w:r>
        <w:rPr>
          <w:lang w:val="en-US"/>
        </w:rPr>
        <w:t>of</w:t>
      </w:r>
      <w:r>
        <w:rPr>
          <w:lang w:val="en-GB"/>
        </w:rPr>
        <w:t xml:space="preserve"> </w:t>
      </w:r>
      <w:r>
        <w:rPr>
          <w:lang w:val="en-US"/>
        </w:rPr>
        <w:t>approved</w:t>
      </w:r>
      <w:r>
        <w:rPr>
          <w:lang w:val="en-GB"/>
        </w:rPr>
        <w:t xml:space="preserve"> </w:t>
      </w:r>
      <w:r>
        <w:rPr>
          <w:lang w:val="en-US"/>
        </w:rPr>
        <w:t>plans</w:t>
      </w:r>
      <w:r>
        <w:rPr>
          <w:lang w:val="en-GB"/>
        </w:rPr>
        <w:t xml:space="preserve"> </w:t>
      </w:r>
      <w:r>
        <w:rPr>
          <w:lang w:val="en-US"/>
        </w:rPr>
        <w:t>that</w:t>
      </w:r>
      <w:r>
        <w:rPr>
          <w:lang w:val="en-GB"/>
        </w:rPr>
        <w:t xml:space="preserve"> </w:t>
      </w:r>
      <w:r>
        <w:rPr>
          <w:lang w:val="en-US"/>
        </w:rPr>
        <w:t xml:space="preserve">were submitted by women in the above mentioned measure was </w:t>
      </w:r>
      <w:r>
        <w:rPr>
          <w:lang w:val="en-GB"/>
        </w:rPr>
        <w:t>31%.</w:t>
      </w:r>
    </w:p>
    <w:p w:rsidR="00000000" w:rsidRDefault="00000000">
      <w:pPr>
        <w:pStyle w:val="SingleTxt"/>
        <w:tabs>
          <w:tab w:val="right" w:pos="1685"/>
        </w:tabs>
        <w:ind w:left="1742" w:hanging="475"/>
        <w:rPr>
          <w:i/>
          <w:lang w:val="en-GB"/>
        </w:rPr>
      </w:pPr>
      <w:r>
        <w:rPr>
          <w:i/>
          <w:lang w:val="en-US"/>
        </w:rPr>
        <w:tab/>
        <w:t>•</w:t>
      </w:r>
      <w:r>
        <w:rPr>
          <w:i/>
          <w:lang w:val="en-US"/>
        </w:rPr>
        <w:tab/>
        <w:t>Programme for the Development of Rural Areas</w:t>
      </w:r>
    </w:p>
    <w:p w:rsidR="00000000" w:rsidRDefault="00000000">
      <w:pPr>
        <w:pStyle w:val="SingleTxt"/>
        <w:rPr>
          <w:lang w:val="en-GB"/>
        </w:rPr>
      </w:pPr>
      <w:r>
        <w:rPr>
          <w:lang w:val="en-US"/>
        </w:rPr>
        <w:tab/>
        <w:t>Actions concerning the following are included here:</w:t>
      </w:r>
      <w:r>
        <w:rPr>
          <w:lang w:val="en-GB"/>
        </w:rPr>
        <w:t xml:space="preserve"> </w:t>
      </w:r>
    </w:p>
    <w:p w:rsidR="00000000" w:rsidRDefault="00000000">
      <w:pPr>
        <w:pStyle w:val="SingleTxt"/>
        <w:rPr>
          <w:lang w:val="en-GB"/>
        </w:rPr>
      </w:pPr>
      <w:r>
        <w:rPr>
          <w:lang w:val="en-GB"/>
        </w:rPr>
        <w:tab/>
        <w:t>“</w:t>
      </w:r>
      <w:r>
        <w:rPr>
          <w:lang w:val="en-US"/>
        </w:rPr>
        <w:t>Basic services</w:t>
      </w:r>
      <w:r>
        <w:rPr>
          <w:lang w:val="en-GB"/>
        </w:rPr>
        <w:t xml:space="preserve"> </w:t>
      </w:r>
      <w:r>
        <w:rPr>
          <w:lang w:val="en-US"/>
        </w:rPr>
        <w:t>for agricultural economy</w:t>
      </w:r>
      <w:r>
        <w:rPr>
          <w:lang w:val="en-GB"/>
        </w:rPr>
        <w:t xml:space="preserve"> </w:t>
      </w:r>
      <w:r>
        <w:rPr>
          <w:lang w:val="en-US"/>
        </w:rPr>
        <w:t>and rural population</w:t>
      </w:r>
    </w:p>
    <w:p w:rsidR="00000000" w:rsidRDefault="00000000">
      <w:pPr>
        <w:pStyle w:val="SingleTxt"/>
        <w:rPr>
          <w:lang w:val="en-GB"/>
        </w:rPr>
      </w:pPr>
      <w:r>
        <w:rPr>
          <w:lang w:val="en-GB"/>
        </w:rPr>
        <w:tab/>
        <w:t xml:space="preserve">“Differentiation </w:t>
      </w:r>
      <w:r>
        <w:rPr>
          <w:lang w:val="en-US"/>
        </w:rPr>
        <w:t>of</w:t>
      </w:r>
      <w:r>
        <w:rPr>
          <w:lang w:val="en-GB"/>
        </w:rPr>
        <w:t xml:space="preserve"> the </w:t>
      </w:r>
      <w:r>
        <w:rPr>
          <w:lang w:val="en-US"/>
        </w:rPr>
        <w:t>agricultural</w:t>
      </w:r>
      <w:r>
        <w:rPr>
          <w:lang w:val="en-GB"/>
        </w:rPr>
        <w:t xml:space="preserve"> </w:t>
      </w:r>
      <w:r>
        <w:rPr>
          <w:lang w:val="en-US"/>
        </w:rPr>
        <w:t>activities</w:t>
      </w:r>
      <w:r>
        <w:rPr>
          <w:lang w:val="en-GB"/>
        </w:rPr>
        <w:t xml:space="preserve"> related </w:t>
      </w:r>
      <w:r>
        <w:rPr>
          <w:lang w:val="en-US"/>
        </w:rPr>
        <w:t>to</w:t>
      </w:r>
      <w:r>
        <w:rPr>
          <w:lang w:val="en-GB"/>
        </w:rPr>
        <w:t xml:space="preserve"> </w:t>
      </w:r>
      <w:r>
        <w:rPr>
          <w:lang w:val="en-US"/>
        </w:rPr>
        <w:t xml:space="preserve">agriculture for the creation of multiple activities and acquisition of </w:t>
      </w:r>
      <w:r>
        <w:rPr>
          <w:lang w:val="en-GB"/>
        </w:rPr>
        <w:t xml:space="preserve">alternative income </w:t>
      </w:r>
    </w:p>
    <w:p w:rsidR="00000000" w:rsidRDefault="00000000">
      <w:pPr>
        <w:pStyle w:val="SingleTxt"/>
        <w:rPr>
          <w:lang w:val="en-GB"/>
        </w:rPr>
      </w:pPr>
      <w:r>
        <w:rPr>
          <w:lang w:val="en-GB"/>
        </w:rPr>
        <w:tab/>
        <w:t>“</w:t>
      </w:r>
      <w:r>
        <w:rPr>
          <w:lang w:val="en-US"/>
        </w:rPr>
        <w:t>Encouragement of tourist and manufacturing</w:t>
      </w:r>
      <w:r>
        <w:rPr>
          <w:lang w:val="en-GB"/>
        </w:rPr>
        <w:t xml:space="preserve"> activities</w:t>
      </w:r>
    </w:p>
    <w:p w:rsidR="00000000" w:rsidRDefault="00000000">
      <w:pPr>
        <w:pStyle w:val="SingleTxt"/>
        <w:rPr>
          <w:lang w:val="en-GB"/>
        </w:rPr>
      </w:pPr>
      <w:r>
        <w:rPr>
          <w:lang w:val="en-GB"/>
        </w:rPr>
        <w:tab/>
        <w:t>“</w:t>
      </w:r>
      <w:r>
        <w:rPr>
          <w:lang w:val="en-US"/>
        </w:rPr>
        <w:t>Improvement of competitiveness</w:t>
      </w:r>
      <w:r>
        <w:rPr>
          <w:lang w:val="en-GB"/>
        </w:rPr>
        <w:t xml:space="preserve"> </w:t>
      </w:r>
      <w:r>
        <w:rPr>
          <w:lang w:val="en-US"/>
        </w:rPr>
        <w:t>of agricultural enterprises”</w:t>
      </w:r>
    </w:p>
    <w:p w:rsidR="00000000" w:rsidRDefault="00000000">
      <w:pPr>
        <w:pStyle w:val="SingleTxt"/>
        <w:rPr>
          <w:lang w:val="en-GB"/>
        </w:rPr>
      </w:pPr>
      <w:r>
        <w:rPr>
          <w:lang w:val="en-US"/>
        </w:rPr>
        <w:tab/>
        <w:t>All</w:t>
      </w:r>
      <w:r>
        <w:rPr>
          <w:lang w:val="en-GB"/>
        </w:rPr>
        <w:t xml:space="preserve"> </w:t>
      </w:r>
      <w:r>
        <w:rPr>
          <w:lang w:val="en-US"/>
        </w:rPr>
        <w:t xml:space="preserve">activities involve a bonus of additional points for women ranging from </w:t>
      </w:r>
      <w:r>
        <w:rPr>
          <w:lang w:val="en-GB"/>
        </w:rPr>
        <w:t xml:space="preserve">1 </w:t>
      </w:r>
      <w:r>
        <w:rPr>
          <w:lang w:val="en-US"/>
        </w:rPr>
        <w:t>to</w:t>
      </w:r>
      <w:r>
        <w:rPr>
          <w:lang w:val="en-GB"/>
        </w:rPr>
        <w:t xml:space="preserve"> 5 points. The measures are considered to have contributed </w:t>
      </w:r>
      <w:r>
        <w:rPr>
          <w:lang w:val="en-US"/>
        </w:rPr>
        <w:t>to creation of jobs</w:t>
      </w:r>
      <w:r>
        <w:rPr>
          <w:lang w:val="en-GB"/>
        </w:rPr>
        <w:t xml:space="preserve"> </w:t>
      </w:r>
      <w:r>
        <w:rPr>
          <w:lang w:val="en-US"/>
        </w:rPr>
        <w:t>in r</w:t>
      </w:r>
      <w:r>
        <w:rPr>
          <w:lang w:val="en-US"/>
        </w:rPr>
        <w:t>u</w:t>
      </w:r>
      <w:r>
        <w:rPr>
          <w:lang w:val="en-US"/>
        </w:rPr>
        <w:t>ral areas</w:t>
      </w:r>
      <w:r>
        <w:rPr>
          <w:lang w:val="en-GB"/>
        </w:rPr>
        <w:t xml:space="preserve">. </w:t>
      </w:r>
    </w:p>
    <w:p w:rsidR="00000000" w:rsidRDefault="00000000">
      <w:pPr>
        <w:pStyle w:val="SingleTxt"/>
        <w:rPr>
          <w:lang w:val="en-GB"/>
        </w:rPr>
      </w:pPr>
      <w:r>
        <w:rPr>
          <w:lang w:val="en-US"/>
        </w:rPr>
        <w:tab/>
        <w:t>For instance, we</w:t>
      </w:r>
      <w:r>
        <w:rPr>
          <w:lang w:val="en-GB"/>
        </w:rPr>
        <w:t xml:space="preserve"> </w:t>
      </w:r>
      <w:r>
        <w:rPr>
          <w:lang w:val="en-US"/>
        </w:rPr>
        <w:t>note</w:t>
      </w:r>
      <w:r>
        <w:rPr>
          <w:lang w:val="en-GB"/>
        </w:rPr>
        <w:t xml:space="preserve"> </w:t>
      </w:r>
      <w:r>
        <w:rPr>
          <w:lang w:val="en-US"/>
        </w:rPr>
        <w:t>that the percentage of women’s participation reached 23,47%, while, in distant areas as Southern and Northern Aegean</w:t>
      </w:r>
      <w:r>
        <w:rPr>
          <w:lang w:val="en-GB"/>
        </w:rPr>
        <w:t>, Attica-</w:t>
      </w:r>
      <w:r>
        <w:t>Κ</w:t>
      </w:r>
      <w:r>
        <w:rPr>
          <w:lang w:val="en-US"/>
        </w:rPr>
        <w:t>ythira</w:t>
      </w:r>
      <w:r>
        <w:rPr>
          <w:lang w:val="en-GB"/>
        </w:rPr>
        <w:t xml:space="preserve">, it reached 37,84%. </w:t>
      </w:r>
    </w:p>
    <w:p w:rsidR="00000000" w:rsidRDefault="00000000">
      <w:pPr>
        <w:pStyle w:val="SingleTxt"/>
        <w:rPr>
          <w:lang w:val="en-GB"/>
        </w:rPr>
      </w:pPr>
      <w:r>
        <w:rPr>
          <w:lang w:val="en-US"/>
        </w:rPr>
        <w:tab/>
        <w:t>In</w:t>
      </w:r>
      <w:r>
        <w:rPr>
          <w:lang w:val="en-GB"/>
        </w:rPr>
        <w:t xml:space="preserve"> </w:t>
      </w:r>
      <w:r>
        <w:rPr>
          <w:lang w:val="en-US"/>
        </w:rPr>
        <w:t>similar</w:t>
      </w:r>
      <w:r>
        <w:rPr>
          <w:lang w:val="en-GB"/>
        </w:rPr>
        <w:t xml:space="preserve"> </w:t>
      </w:r>
      <w:r>
        <w:rPr>
          <w:lang w:val="en-US"/>
        </w:rPr>
        <w:t>programmes</w:t>
      </w:r>
      <w:r>
        <w:rPr>
          <w:lang w:val="en-GB"/>
        </w:rPr>
        <w:t xml:space="preserve"> </w:t>
      </w:r>
      <w:r>
        <w:rPr>
          <w:lang w:val="en-US"/>
        </w:rPr>
        <w:t>of</w:t>
      </w:r>
      <w:r>
        <w:rPr>
          <w:lang w:val="en-GB"/>
        </w:rPr>
        <w:t xml:space="preserve"> the </w:t>
      </w:r>
      <w:r>
        <w:rPr>
          <w:lang w:val="en-US"/>
        </w:rPr>
        <w:t>Regions</w:t>
      </w:r>
      <w:r>
        <w:rPr>
          <w:lang w:val="en-GB"/>
        </w:rPr>
        <w:t xml:space="preserve">, </w:t>
      </w:r>
      <w:r>
        <w:rPr>
          <w:lang w:val="en-US"/>
        </w:rPr>
        <w:t>women’s participation in Thessaly</w:t>
      </w:r>
      <w:r>
        <w:rPr>
          <w:lang w:val="en-GB"/>
        </w:rPr>
        <w:t xml:space="preserve"> </w:t>
      </w:r>
      <w:r>
        <w:rPr>
          <w:lang w:val="en-US"/>
        </w:rPr>
        <w:t xml:space="preserve">has reached a percentage of </w:t>
      </w:r>
      <w:r>
        <w:rPr>
          <w:lang w:val="en-GB"/>
        </w:rPr>
        <w:t xml:space="preserve">27,95%, </w:t>
      </w:r>
      <w:r>
        <w:rPr>
          <w:lang w:val="en-US"/>
        </w:rPr>
        <w:t xml:space="preserve">in Western Greece </w:t>
      </w:r>
      <w:r>
        <w:rPr>
          <w:lang w:val="en-GB"/>
        </w:rPr>
        <w:t xml:space="preserve">26,37%, </w:t>
      </w:r>
      <w:r>
        <w:rPr>
          <w:lang w:val="en-US"/>
        </w:rPr>
        <w:t>in Epirus the percen</w:t>
      </w:r>
      <w:r>
        <w:rPr>
          <w:lang w:val="en-US"/>
        </w:rPr>
        <w:t>t</w:t>
      </w:r>
      <w:r>
        <w:rPr>
          <w:lang w:val="en-US"/>
        </w:rPr>
        <w:t xml:space="preserve">age was </w:t>
      </w:r>
      <w:r>
        <w:rPr>
          <w:lang w:val="en-GB"/>
        </w:rPr>
        <w:t>20,75%</w:t>
      </w:r>
      <w:r>
        <w:rPr>
          <w:lang w:val="en-US"/>
        </w:rPr>
        <w:t xml:space="preserve">, and in Central Macedonia </w:t>
      </w:r>
      <w:r>
        <w:rPr>
          <w:lang w:val="en-GB"/>
        </w:rPr>
        <w:t xml:space="preserve">18,50%. </w:t>
      </w:r>
    </w:p>
    <w:p w:rsidR="00000000" w:rsidRDefault="00000000">
      <w:pPr>
        <w:pStyle w:val="SingleTxt"/>
        <w:rPr>
          <w:lang w:val="en-GB"/>
        </w:rPr>
      </w:pPr>
      <w:r>
        <w:rPr>
          <w:lang w:val="en-GB"/>
        </w:rPr>
        <w:tab/>
        <w:t>As concerns this axis, women’s interest mainly</w:t>
      </w:r>
      <w:r>
        <w:rPr>
          <w:lang w:val="en-US"/>
        </w:rPr>
        <w:t xml:space="preserve"> focused to measures </w:t>
      </w:r>
      <w:r>
        <w:rPr>
          <w:lang w:val="en-GB"/>
        </w:rPr>
        <w:t xml:space="preserve">7.6 </w:t>
      </w:r>
      <w:r>
        <w:rPr>
          <w:lang w:val="en-US"/>
        </w:rPr>
        <w:t>and</w:t>
      </w:r>
      <w:r>
        <w:rPr>
          <w:lang w:val="en-GB"/>
        </w:rPr>
        <w:t xml:space="preserve"> 7.9 (</w:t>
      </w:r>
      <w:r>
        <w:rPr>
          <w:lang w:val="en-US"/>
        </w:rPr>
        <w:t>agro-tourist</w:t>
      </w:r>
      <w:r>
        <w:rPr>
          <w:lang w:val="en-GB"/>
        </w:rPr>
        <w:t xml:space="preserve">) </w:t>
      </w:r>
      <w:r>
        <w:rPr>
          <w:lang w:val="en-US"/>
        </w:rPr>
        <w:t>where their participation’s percentages reached</w:t>
      </w:r>
      <w:r>
        <w:rPr>
          <w:lang w:val="en-GB"/>
        </w:rPr>
        <w:t xml:space="preserve"> 37%. </w:t>
      </w: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t>Β</w:t>
      </w:r>
      <w:r>
        <w:rPr>
          <w:lang w:val="en-GB"/>
        </w:rPr>
        <w:t>.</w:t>
      </w:r>
      <w:r>
        <w:rPr>
          <w:lang w:val="en-GB"/>
        </w:rPr>
        <w:tab/>
      </w:r>
      <w:r>
        <w:rPr>
          <w:lang w:val="en-US"/>
        </w:rPr>
        <w:t>Operational</w:t>
      </w:r>
      <w:r>
        <w:rPr>
          <w:lang w:val="en-GB"/>
        </w:rPr>
        <w:t xml:space="preserve"> P</w:t>
      </w:r>
      <w:r>
        <w:rPr>
          <w:lang w:val="en-US"/>
        </w:rPr>
        <w:t>rogramme</w:t>
      </w:r>
      <w:r>
        <w:rPr>
          <w:lang w:val="en-GB"/>
        </w:rPr>
        <w:t xml:space="preserve"> “F</w:t>
      </w:r>
      <w:r>
        <w:rPr>
          <w:lang w:val="en-US"/>
        </w:rPr>
        <w:t>ishery”</w:t>
      </w:r>
    </w:p>
    <w:p w:rsidR="00000000" w:rsidRDefault="00000000">
      <w:pPr>
        <w:pStyle w:val="SingleTxt"/>
        <w:spacing w:after="0" w:line="120" w:lineRule="exact"/>
        <w:rPr>
          <w:sz w:val="10"/>
        </w:rPr>
      </w:pPr>
    </w:p>
    <w:p w:rsidR="00000000" w:rsidRDefault="00000000">
      <w:pPr>
        <w:pStyle w:val="SingleTxt"/>
        <w:rPr>
          <w:lang w:val="en-GB"/>
        </w:rPr>
      </w:pPr>
      <w:r>
        <w:rPr>
          <w:lang w:val="en-US"/>
        </w:rPr>
        <w:tab/>
        <w:t>We</w:t>
      </w:r>
      <w:r>
        <w:rPr>
          <w:lang w:val="en-GB"/>
        </w:rPr>
        <w:t xml:space="preserve"> </w:t>
      </w:r>
      <w:r>
        <w:rPr>
          <w:lang w:val="en-US"/>
        </w:rPr>
        <w:t>note</w:t>
      </w:r>
      <w:r>
        <w:rPr>
          <w:lang w:val="en-GB"/>
        </w:rPr>
        <w:t xml:space="preserve"> </w:t>
      </w:r>
      <w:r>
        <w:rPr>
          <w:lang w:val="en-US"/>
        </w:rPr>
        <w:t>that</w:t>
      </w:r>
      <w:r>
        <w:rPr>
          <w:lang w:val="en-GB"/>
        </w:rPr>
        <w:t xml:space="preserve"> </w:t>
      </w:r>
      <w:r>
        <w:rPr>
          <w:lang w:val="en-US"/>
        </w:rPr>
        <w:t>the</w:t>
      </w:r>
      <w:r>
        <w:rPr>
          <w:lang w:val="en-GB"/>
        </w:rPr>
        <w:t xml:space="preserve"> </w:t>
      </w:r>
      <w:r>
        <w:rPr>
          <w:lang w:val="en-US"/>
        </w:rPr>
        <w:t>operational</w:t>
      </w:r>
      <w:r>
        <w:rPr>
          <w:lang w:val="en-GB"/>
        </w:rPr>
        <w:t xml:space="preserve"> </w:t>
      </w:r>
      <w:r>
        <w:rPr>
          <w:lang w:val="en-US"/>
        </w:rPr>
        <w:t>programme for fishery, due to nature of the sector</w:t>
      </w:r>
      <w:r>
        <w:rPr>
          <w:lang w:val="en-GB"/>
        </w:rPr>
        <w:t>, does not offer</w:t>
      </w:r>
      <w:r>
        <w:rPr>
          <w:lang w:val="en-US"/>
        </w:rPr>
        <w:t xml:space="preserve"> special motives to women but it does not exclude them either.</w:t>
      </w:r>
      <w:r>
        <w:rPr>
          <w:lang w:val="en-GB"/>
        </w:rPr>
        <w:t xml:space="preserve"> </w:t>
      </w: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C</w:t>
      </w:r>
      <w:r>
        <w:rPr>
          <w:lang w:val="en-GB"/>
        </w:rPr>
        <w:t>.</w:t>
      </w:r>
      <w:r>
        <w:rPr>
          <w:lang w:val="en-GB"/>
        </w:rPr>
        <w:tab/>
      </w:r>
      <w:r>
        <w:rPr>
          <w:lang w:val="en-US"/>
        </w:rPr>
        <w:t>Community Initiatives</w:t>
      </w:r>
    </w:p>
    <w:p w:rsidR="00000000" w:rsidRDefault="00000000">
      <w:pPr>
        <w:pStyle w:val="SingleTxt"/>
        <w:keepNext/>
        <w:keepLines/>
        <w:spacing w:after="0" w:line="120" w:lineRule="exact"/>
        <w:rPr>
          <w:sz w:val="10"/>
        </w:rPr>
      </w:pPr>
    </w:p>
    <w:p w:rsidR="00000000" w:rsidRDefault="00000000">
      <w:pPr>
        <w:pStyle w:val="SingleTxt"/>
        <w:keepNext/>
        <w:keepLines/>
        <w:rPr>
          <w:lang w:val="en-GB"/>
        </w:rPr>
      </w:pPr>
      <w:r>
        <w:rPr>
          <w:lang w:val="en-US"/>
        </w:rPr>
        <w:tab/>
        <w:t>The Community Initiative</w:t>
      </w:r>
      <w:r>
        <w:rPr>
          <w:lang w:val="en-GB"/>
        </w:rPr>
        <w:t xml:space="preserve"> </w:t>
      </w:r>
      <w:r>
        <w:rPr>
          <w:lang w:val="en-US"/>
        </w:rPr>
        <w:t>Leader</w:t>
      </w:r>
      <w:r>
        <w:rPr>
          <w:lang w:val="en-GB"/>
        </w:rPr>
        <w:t xml:space="preserve">+ (2000-2006) </w:t>
      </w:r>
      <w:r>
        <w:rPr>
          <w:lang w:val="en-US"/>
        </w:rPr>
        <w:t>is being implemented all over Greece</w:t>
      </w:r>
      <w:r>
        <w:rPr>
          <w:lang w:val="en-GB"/>
        </w:rPr>
        <w:t xml:space="preserve"> through forty (40) Local Programmes.</w:t>
      </w:r>
    </w:p>
    <w:p w:rsidR="00000000" w:rsidRDefault="00000000">
      <w:pPr>
        <w:pStyle w:val="SingleTxt"/>
        <w:keepNext/>
        <w:keepLines/>
        <w:tabs>
          <w:tab w:val="right" w:pos="1685"/>
        </w:tabs>
        <w:ind w:left="1742" w:hanging="475"/>
      </w:pPr>
      <w:r>
        <w:rPr>
          <w:lang w:val="en-US"/>
        </w:rPr>
        <w:tab/>
        <w:t>•</w:t>
      </w:r>
      <w:r>
        <w:rPr>
          <w:lang w:val="en-US"/>
        </w:rPr>
        <w:tab/>
        <w:t>One</w:t>
      </w:r>
      <w:r>
        <w:rPr>
          <w:lang w:val="en-GB"/>
        </w:rPr>
        <w:t xml:space="preserve"> </w:t>
      </w:r>
      <w:r>
        <w:rPr>
          <w:lang w:val="en-US"/>
        </w:rPr>
        <w:t>of</w:t>
      </w:r>
      <w:r>
        <w:rPr>
          <w:lang w:val="en-GB"/>
        </w:rPr>
        <w:t xml:space="preserve"> </w:t>
      </w:r>
      <w:r>
        <w:rPr>
          <w:lang w:val="en-US"/>
        </w:rPr>
        <w:t>the special goals</w:t>
      </w:r>
      <w:r>
        <w:rPr>
          <w:lang w:val="en-GB"/>
        </w:rPr>
        <w:t xml:space="preserve"> </w:t>
      </w:r>
      <w:r>
        <w:rPr>
          <w:lang w:val="en-US"/>
        </w:rPr>
        <w:t>of the programme</w:t>
      </w:r>
      <w:r>
        <w:rPr>
          <w:lang w:val="en-GB"/>
        </w:rPr>
        <w:t xml:space="preserve"> </w:t>
      </w:r>
      <w:r>
        <w:rPr>
          <w:lang w:val="en-US"/>
        </w:rPr>
        <w:t>is the promotion of equal opport</w:t>
      </w:r>
      <w:r>
        <w:rPr>
          <w:lang w:val="en-US"/>
        </w:rPr>
        <w:t>u</w:t>
      </w:r>
      <w:r>
        <w:rPr>
          <w:lang w:val="en-US"/>
        </w:rPr>
        <w:t>nities for women</w:t>
      </w:r>
      <w:r>
        <w:rPr>
          <w:lang w:val="en-GB"/>
        </w:rPr>
        <w:t>. It</w:t>
      </w:r>
      <w:r>
        <w:t xml:space="preserve"> </w:t>
      </w:r>
      <w:r>
        <w:rPr>
          <w:lang w:val="en-GB"/>
        </w:rPr>
        <w:t>is</w:t>
      </w:r>
      <w:r>
        <w:t xml:space="preserve"> </w:t>
      </w:r>
      <w:r>
        <w:rPr>
          <w:lang w:val="en-GB"/>
        </w:rPr>
        <w:t>expected</w:t>
      </w:r>
      <w:r>
        <w:t xml:space="preserve"> </w:t>
      </w:r>
      <w:r>
        <w:rPr>
          <w:lang w:val="en-US"/>
        </w:rPr>
        <w:t>that</w:t>
      </w:r>
      <w:r>
        <w:t xml:space="preserve"> </w:t>
      </w:r>
      <w:r>
        <w:rPr>
          <w:lang w:val="en-US"/>
        </w:rPr>
        <w:t>1,400 women will benefit from the</w:t>
      </w:r>
      <w:r>
        <w:t xml:space="preserve"> </w:t>
      </w:r>
      <w:r>
        <w:rPr>
          <w:lang w:val="en-US"/>
        </w:rPr>
        <w:t>pr</w:t>
      </w:r>
      <w:r>
        <w:rPr>
          <w:lang w:val="en-US"/>
        </w:rPr>
        <w:t>o</w:t>
      </w:r>
      <w:r>
        <w:rPr>
          <w:lang w:val="en-US"/>
        </w:rPr>
        <w:t>gramme.</w:t>
      </w:r>
    </w:p>
    <w:p w:rsidR="00000000" w:rsidRDefault="00000000">
      <w:pPr>
        <w:pStyle w:val="SingleTxt"/>
        <w:rPr>
          <w:lang w:val="en-GB"/>
        </w:rPr>
      </w:pPr>
      <w:r>
        <w:rPr>
          <w:lang w:val="en-US"/>
        </w:rPr>
        <w:tab/>
        <w:t>Final</w:t>
      </w:r>
      <w:r>
        <w:rPr>
          <w:lang w:val="en-GB"/>
        </w:rPr>
        <w:t xml:space="preserve"> </w:t>
      </w:r>
      <w:r>
        <w:rPr>
          <w:lang w:val="en-US"/>
        </w:rPr>
        <w:t>beneficiaries</w:t>
      </w:r>
      <w:r>
        <w:rPr>
          <w:lang w:val="en-GB"/>
        </w:rPr>
        <w:t xml:space="preserve"> </w:t>
      </w:r>
      <w:r>
        <w:rPr>
          <w:lang w:val="en-US"/>
        </w:rPr>
        <w:t>of</w:t>
      </w:r>
      <w:r>
        <w:rPr>
          <w:lang w:val="en-GB"/>
        </w:rPr>
        <w:t xml:space="preserve"> </w:t>
      </w:r>
      <w:r>
        <w:rPr>
          <w:lang w:val="en-US"/>
        </w:rPr>
        <w:t>these</w:t>
      </w:r>
      <w:r>
        <w:rPr>
          <w:lang w:val="en-GB"/>
        </w:rPr>
        <w:t xml:space="preserve"> </w:t>
      </w:r>
      <w:r>
        <w:rPr>
          <w:lang w:val="en-US"/>
        </w:rPr>
        <w:t>interventions</w:t>
      </w:r>
      <w:r>
        <w:rPr>
          <w:lang w:val="en-GB"/>
        </w:rPr>
        <w:t xml:space="preserve"> </w:t>
      </w:r>
      <w:r>
        <w:rPr>
          <w:lang w:val="en-US"/>
        </w:rPr>
        <w:t>are Local</w:t>
      </w:r>
      <w:r>
        <w:rPr>
          <w:lang w:val="en-GB"/>
        </w:rPr>
        <w:t xml:space="preserve"> </w:t>
      </w:r>
      <w:r>
        <w:rPr>
          <w:lang w:val="en-US"/>
        </w:rPr>
        <w:t>Action Groups</w:t>
      </w:r>
      <w:r>
        <w:rPr>
          <w:lang w:val="en-GB"/>
        </w:rPr>
        <w:t xml:space="preserve">, </w:t>
      </w:r>
      <w:r>
        <w:rPr>
          <w:lang w:val="en-US"/>
        </w:rPr>
        <w:t>which</w:t>
      </w:r>
      <w:r>
        <w:rPr>
          <w:lang w:val="en-GB"/>
        </w:rPr>
        <w:t xml:space="preserve"> </w:t>
      </w:r>
      <w:r>
        <w:rPr>
          <w:lang w:val="en-US"/>
        </w:rPr>
        <w:t>are</w:t>
      </w:r>
      <w:r>
        <w:rPr>
          <w:lang w:val="en-GB"/>
        </w:rPr>
        <w:t xml:space="preserve"> </w:t>
      </w:r>
      <w:r>
        <w:rPr>
          <w:lang w:val="en-US"/>
        </w:rPr>
        <w:t>public</w:t>
      </w:r>
      <w:r>
        <w:rPr>
          <w:lang w:val="en-GB"/>
        </w:rPr>
        <w:t xml:space="preserve"> </w:t>
      </w:r>
      <w:r>
        <w:rPr>
          <w:lang w:val="en-US"/>
        </w:rPr>
        <w:t>limited</w:t>
      </w:r>
      <w:r>
        <w:rPr>
          <w:lang w:val="en-GB"/>
        </w:rPr>
        <w:t xml:space="preserve"> </w:t>
      </w:r>
      <w:r>
        <w:rPr>
          <w:lang w:val="en-US"/>
        </w:rPr>
        <w:t>companies</w:t>
      </w:r>
      <w:r>
        <w:rPr>
          <w:lang w:val="en-GB"/>
        </w:rPr>
        <w:t xml:space="preserve"> </w:t>
      </w:r>
      <w:r>
        <w:rPr>
          <w:lang w:val="en-US"/>
        </w:rPr>
        <w:t>whose</w:t>
      </w:r>
      <w:r>
        <w:rPr>
          <w:lang w:val="en-GB"/>
        </w:rPr>
        <w:t xml:space="preserve"> </w:t>
      </w:r>
      <w:r>
        <w:rPr>
          <w:lang w:val="en-US"/>
        </w:rPr>
        <w:t>main</w:t>
      </w:r>
      <w:r>
        <w:rPr>
          <w:lang w:val="en-GB"/>
        </w:rPr>
        <w:t xml:space="preserve"> statutory aim </w:t>
      </w:r>
      <w:r>
        <w:rPr>
          <w:lang w:val="en-US"/>
        </w:rPr>
        <w:t>and</w:t>
      </w:r>
      <w:r>
        <w:rPr>
          <w:lang w:val="en-GB"/>
        </w:rPr>
        <w:t xml:space="preserve"> </w:t>
      </w:r>
      <w:r>
        <w:rPr>
          <w:lang w:val="en-US"/>
        </w:rPr>
        <w:t>object of activities is the development of their area</w:t>
      </w:r>
      <w:r>
        <w:rPr>
          <w:lang w:val="en-GB"/>
        </w:rPr>
        <w:t xml:space="preserve"> </w:t>
      </w:r>
      <w:r>
        <w:rPr>
          <w:lang w:val="en-US"/>
        </w:rPr>
        <w:t>and their members are mainly bodies of collective inte</w:t>
      </w:r>
      <w:r>
        <w:rPr>
          <w:lang w:val="en-US"/>
        </w:rPr>
        <w:t>r</w:t>
      </w:r>
      <w:r>
        <w:rPr>
          <w:lang w:val="en-US"/>
        </w:rPr>
        <w:t>ests from the greater Public and Private sector</w:t>
      </w:r>
      <w:r>
        <w:rPr>
          <w:lang w:val="en-GB"/>
        </w:rPr>
        <w:t xml:space="preserve">. </w:t>
      </w:r>
    </w:p>
    <w:p w:rsidR="00000000" w:rsidRDefault="00000000">
      <w:pPr>
        <w:pStyle w:val="SingleTxt"/>
        <w:rPr>
          <w:lang w:val="en-GB"/>
        </w:rPr>
      </w:pPr>
      <w:r>
        <w:rPr>
          <w:lang w:val="en-US"/>
        </w:rPr>
        <w:tab/>
        <w:t>During</w:t>
      </w:r>
      <w:r>
        <w:rPr>
          <w:lang w:val="en-GB"/>
        </w:rPr>
        <w:t xml:space="preserve"> the </w:t>
      </w:r>
      <w:r>
        <w:rPr>
          <w:lang w:val="en-US"/>
        </w:rPr>
        <w:t>planning</w:t>
      </w:r>
      <w:r>
        <w:rPr>
          <w:lang w:val="en-GB"/>
        </w:rPr>
        <w:t xml:space="preserve"> </w:t>
      </w:r>
      <w:r>
        <w:rPr>
          <w:lang w:val="en-US"/>
        </w:rPr>
        <w:t>of</w:t>
      </w:r>
      <w:r>
        <w:rPr>
          <w:lang w:val="en-GB"/>
        </w:rPr>
        <w:t xml:space="preserve"> </w:t>
      </w:r>
      <w:r>
        <w:rPr>
          <w:lang w:val="en-US"/>
        </w:rPr>
        <w:t>local</w:t>
      </w:r>
      <w:r>
        <w:rPr>
          <w:lang w:val="en-GB"/>
        </w:rPr>
        <w:t xml:space="preserve"> </w:t>
      </w:r>
      <w:r>
        <w:rPr>
          <w:lang w:val="en-US"/>
        </w:rPr>
        <w:t>programmes</w:t>
      </w:r>
      <w:r>
        <w:rPr>
          <w:lang w:val="en-GB"/>
        </w:rPr>
        <w:t xml:space="preserve"> </w:t>
      </w:r>
      <w:r>
        <w:rPr>
          <w:lang w:val="en-US"/>
        </w:rPr>
        <w:t>Leader</w:t>
      </w:r>
      <w:r>
        <w:rPr>
          <w:lang w:val="en-GB"/>
        </w:rPr>
        <w:t xml:space="preserve">+, </w:t>
      </w:r>
      <w:r>
        <w:rPr>
          <w:lang w:val="en-US"/>
        </w:rPr>
        <w:t>initiatives</w:t>
      </w:r>
      <w:r>
        <w:rPr>
          <w:lang w:val="en-GB"/>
        </w:rPr>
        <w:t xml:space="preserve"> </w:t>
      </w:r>
      <w:r>
        <w:rPr>
          <w:lang w:val="en-US"/>
        </w:rPr>
        <w:t>were</w:t>
      </w:r>
      <w:r>
        <w:rPr>
          <w:lang w:val="en-GB"/>
        </w:rPr>
        <w:t xml:space="preserve"> </w:t>
      </w:r>
      <w:r>
        <w:rPr>
          <w:lang w:val="en-US"/>
        </w:rPr>
        <w:t>undertaken</w:t>
      </w:r>
      <w:r>
        <w:rPr>
          <w:lang w:val="en-GB"/>
        </w:rPr>
        <w:t xml:space="preserve"> </w:t>
      </w:r>
      <w:r>
        <w:rPr>
          <w:lang w:val="en-US"/>
        </w:rPr>
        <w:t>by</w:t>
      </w:r>
      <w:r>
        <w:rPr>
          <w:lang w:val="en-GB"/>
        </w:rPr>
        <w:t xml:space="preserve"> </w:t>
      </w:r>
      <w:r>
        <w:rPr>
          <w:lang w:val="en-US"/>
        </w:rPr>
        <w:t>Local</w:t>
      </w:r>
      <w:r>
        <w:rPr>
          <w:lang w:val="en-GB"/>
        </w:rPr>
        <w:t xml:space="preserve"> </w:t>
      </w:r>
      <w:r>
        <w:rPr>
          <w:lang w:val="en-US"/>
        </w:rPr>
        <w:t>Action Groups, aiming at, on the one hand, a better definition of women’s needs, and, on the other, encouraging women to participate in the programme</w:t>
      </w:r>
      <w:r>
        <w:rPr>
          <w:lang w:val="en-GB"/>
        </w:rPr>
        <w:t xml:space="preserve">. </w:t>
      </w:r>
    </w:p>
    <w:p w:rsidR="00000000" w:rsidRDefault="00000000">
      <w:pPr>
        <w:pStyle w:val="SingleTxt"/>
        <w:rPr>
          <w:lang w:val="en-GB"/>
        </w:rPr>
      </w:pPr>
      <w:r>
        <w:rPr>
          <w:lang w:val="en-US"/>
        </w:rPr>
        <w:tab/>
        <w:t>Ministerial</w:t>
      </w:r>
      <w:r>
        <w:rPr>
          <w:lang w:val="en-GB"/>
        </w:rPr>
        <w:t xml:space="preserve"> Order 430/18-2-2003 </w:t>
      </w:r>
      <w:r>
        <w:rPr>
          <w:lang w:val="en-US"/>
        </w:rPr>
        <w:t>defines the details for the implementation of the Initiative, as well as an evaluation criterion</w:t>
      </w:r>
      <w:r>
        <w:rPr>
          <w:lang w:val="en-GB"/>
        </w:rPr>
        <w:t xml:space="preserve"> which grants bonus credits to women candidate investors. </w:t>
      </w:r>
    </w:p>
    <w:p w:rsidR="00000000" w:rsidRDefault="00000000">
      <w:pPr>
        <w:pStyle w:val="SingleTxt"/>
        <w:rPr>
          <w:lang w:val="en-GB"/>
        </w:rPr>
      </w:pPr>
      <w:r>
        <w:rPr>
          <w:lang w:val="en-US"/>
        </w:rPr>
        <w:tab/>
        <w:t>To</w:t>
      </w:r>
      <w:r>
        <w:rPr>
          <w:lang w:val="en-GB"/>
        </w:rPr>
        <w:t xml:space="preserve"> </w:t>
      </w:r>
      <w:r>
        <w:rPr>
          <w:lang w:val="en-US"/>
        </w:rPr>
        <w:t>evaluate</w:t>
      </w:r>
      <w:r>
        <w:rPr>
          <w:lang w:val="en-GB"/>
        </w:rPr>
        <w:t xml:space="preserve"> </w:t>
      </w:r>
      <w:r>
        <w:rPr>
          <w:lang w:val="en-US"/>
        </w:rPr>
        <w:t>and</w:t>
      </w:r>
      <w:r>
        <w:rPr>
          <w:lang w:val="en-GB"/>
        </w:rPr>
        <w:t xml:space="preserve"> </w:t>
      </w:r>
      <w:r>
        <w:rPr>
          <w:lang w:val="en-US"/>
        </w:rPr>
        <w:t>include</w:t>
      </w:r>
      <w:r>
        <w:rPr>
          <w:lang w:val="en-GB"/>
        </w:rPr>
        <w:t xml:space="preserve"> investment </w:t>
      </w:r>
      <w:r>
        <w:rPr>
          <w:lang w:val="en-US"/>
        </w:rPr>
        <w:t>projects</w:t>
      </w:r>
      <w:r>
        <w:rPr>
          <w:lang w:val="en-GB"/>
        </w:rPr>
        <w:t xml:space="preserve"> </w:t>
      </w:r>
      <w:r>
        <w:rPr>
          <w:lang w:val="en-US"/>
        </w:rPr>
        <w:t>in local Leader</w:t>
      </w:r>
      <w:r>
        <w:rPr>
          <w:lang w:val="en-GB"/>
        </w:rPr>
        <w:t>+ programmes, the following practices of a point- prim for candidate women investors have been adopted:</w:t>
      </w:r>
    </w:p>
    <w:p w:rsidR="00000000" w:rsidRDefault="00000000">
      <w:pPr>
        <w:pStyle w:val="SingleTxt"/>
        <w:rPr>
          <w:lang w:val="en-GB"/>
        </w:rPr>
      </w:pPr>
      <w:r>
        <w:tab/>
        <w:t>The</w:t>
      </w:r>
      <w:r>
        <w:rPr>
          <w:lang w:val="en-GB"/>
        </w:rPr>
        <w:t xml:space="preserve"> </w:t>
      </w:r>
      <w:r>
        <w:t>Measure</w:t>
      </w:r>
      <w:r>
        <w:rPr>
          <w:lang w:val="en-GB"/>
        </w:rPr>
        <w:t xml:space="preserve"> </w:t>
      </w:r>
      <w:r>
        <w:t>concerning</w:t>
      </w:r>
      <w:r>
        <w:rPr>
          <w:lang w:val="en-GB"/>
        </w:rPr>
        <w:t xml:space="preserve"> the </w:t>
      </w:r>
      <w:r>
        <w:t>reinforcement</w:t>
      </w:r>
      <w:r>
        <w:rPr>
          <w:lang w:val="en-GB"/>
        </w:rPr>
        <w:t xml:space="preserve"> </w:t>
      </w:r>
      <w:r>
        <w:t>of</w:t>
      </w:r>
      <w:r>
        <w:rPr>
          <w:lang w:val="en-GB"/>
        </w:rPr>
        <w:t xml:space="preserve"> enterprising action</w:t>
      </w:r>
      <w:r>
        <w:t>s</w:t>
      </w:r>
      <w:r>
        <w:rPr>
          <w:lang w:val="en-GB"/>
        </w:rPr>
        <w:t xml:space="preserve"> (</w:t>
      </w:r>
      <w:r>
        <w:t>agro-tourism</w:t>
      </w:r>
      <w:r>
        <w:rPr>
          <w:lang w:val="en-GB"/>
        </w:rPr>
        <w:t xml:space="preserve">, </w:t>
      </w:r>
      <w:r>
        <w:t>small</w:t>
      </w:r>
      <w:r>
        <w:rPr>
          <w:lang w:val="en-GB"/>
        </w:rPr>
        <w:t xml:space="preserve"> </w:t>
      </w:r>
      <w:r>
        <w:t>enterprises</w:t>
      </w:r>
      <w:r>
        <w:rPr>
          <w:lang w:val="en-GB"/>
        </w:rPr>
        <w:t xml:space="preserve"> </w:t>
      </w:r>
      <w:r>
        <w:t>in</w:t>
      </w:r>
      <w:r>
        <w:rPr>
          <w:lang w:val="en-GB"/>
        </w:rPr>
        <w:t xml:space="preserve"> </w:t>
      </w:r>
      <w:r>
        <w:t>agricultural</w:t>
      </w:r>
      <w:r>
        <w:rPr>
          <w:lang w:val="en-GB"/>
        </w:rPr>
        <w:t xml:space="preserve"> </w:t>
      </w:r>
      <w:r>
        <w:t>and</w:t>
      </w:r>
      <w:r>
        <w:rPr>
          <w:lang w:val="en-GB"/>
        </w:rPr>
        <w:t xml:space="preserve"> </w:t>
      </w:r>
      <w:r>
        <w:t>other</w:t>
      </w:r>
      <w:r>
        <w:rPr>
          <w:lang w:val="en-GB"/>
        </w:rPr>
        <w:t xml:space="preserve"> </w:t>
      </w:r>
      <w:r>
        <w:t>sectors</w:t>
      </w:r>
      <w:r>
        <w:rPr>
          <w:lang w:val="en-GB"/>
        </w:rPr>
        <w:t xml:space="preserve"> </w:t>
      </w:r>
      <w:r>
        <w:t>of</w:t>
      </w:r>
      <w:r>
        <w:rPr>
          <w:lang w:val="en-GB"/>
        </w:rPr>
        <w:t xml:space="preserve"> </w:t>
      </w:r>
      <w:r>
        <w:t>economy</w:t>
      </w:r>
      <w:r>
        <w:rPr>
          <w:lang w:val="en-GB"/>
        </w:rPr>
        <w:t xml:space="preserve"> </w:t>
      </w:r>
      <w:r>
        <w:t>and</w:t>
      </w:r>
      <w:r>
        <w:rPr>
          <w:lang w:val="en-GB"/>
        </w:rPr>
        <w:t xml:space="preserve"> </w:t>
      </w:r>
      <w:r>
        <w:t>inves</w:t>
      </w:r>
      <w:r>
        <w:t>t</w:t>
      </w:r>
      <w:r>
        <w:t>ments</w:t>
      </w:r>
      <w:r>
        <w:rPr>
          <w:lang w:val="en-GB"/>
        </w:rPr>
        <w:t xml:space="preserve"> </w:t>
      </w:r>
      <w:r>
        <w:t>related</w:t>
      </w:r>
      <w:r>
        <w:rPr>
          <w:lang w:val="en-GB"/>
        </w:rPr>
        <w:t xml:space="preserve"> </w:t>
      </w:r>
      <w:r>
        <w:t>to</w:t>
      </w:r>
      <w:r>
        <w:rPr>
          <w:lang w:val="en-GB"/>
        </w:rPr>
        <w:t xml:space="preserve"> </w:t>
      </w:r>
      <w:r>
        <w:t>modern</w:t>
      </w:r>
      <w:r>
        <w:rPr>
          <w:lang w:val="en-GB"/>
        </w:rPr>
        <w:t xml:space="preserve"> </w:t>
      </w:r>
      <w:r>
        <w:t>technology</w:t>
      </w:r>
      <w:r>
        <w:rPr>
          <w:lang w:val="en-GB"/>
        </w:rPr>
        <w:t xml:space="preserve">), </w:t>
      </w:r>
      <w:r>
        <w:t>which are of larger financing significance</w:t>
      </w:r>
      <w:r>
        <w:rPr>
          <w:lang w:val="en-GB"/>
        </w:rPr>
        <w:t xml:space="preserve">, asks for, evaluates, and grades jobs created by women, in the Candidate Potential Investors File, the Expected Impact on Employment Chapter. In the implementation of this measure, it is expected that 40% </w:t>
      </w:r>
      <w:r>
        <w:t>of the ben</w:t>
      </w:r>
      <w:r>
        <w:t>e</w:t>
      </w:r>
      <w:r>
        <w:t>ficiaries will be women</w:t>
      </w:r>
      <w:r>
        <w:rPr>
          <w:lang w:val="en-GB"/>
        </w:rPr>
        <w:t>.</w:t>
      </w:r>
    </w:p>
    <w:p w:rsidR="00000000" w:rsidRDefault="00000000">
      <w:pPr>
        <w:pStyle w:val="SingleTxt"/>
        <w:rPr>
          <w:lang w:val="en-GB"/>
        </w:rPr>
      </w:pPr>
      <w:r>
        <w:rPr>
          <w:lang w:val="en-GB"/>
        </w:rPr>
        <w:tab/>
        <w:t xml:space="preserve">The same measure </w:t>
      </w:r>
      <w:r>
        <w:t>provides</w:t>
      </w:r>
      <w:r>
        <w:rPr>
          <w:lang w:val="en-GB"/>
        </w:rPr>
        <w:t xml:space="preserve"> for </w:t>
      </w:r>
      <w:r>
        <w:t>additional</w:t>
      </w:r>
      <w:r>
        <w:rPr>
          <w:lang w:val="en-GB"/>
        </w:rPr>
        <w:t xml:space="preserve"> </w:t>
      </w:r>
      <w:r>
        <w:t>points</w:t>
      </w:r>
      <w:r>
        <w:rPr>
          <w:lang w:val="en-GB"/>
        </w:rPr>
        <w:t xml:space="preserve"> </w:t>
      </w:r>
      <w:r>
        <w:t>in</w:t>
      </w:r>
      <w:r>
        <w:rPr>
          <w:lang w:val="en-GB"/>
        </w:rPr>
        <w:t xml:space="preserve"> the </w:t>
      </w:r>
      <w:r>
        <w:t>evaluation</w:t>
      </w:r>
      <w:r>
        <w:rPr>
          <w:lang w:val="en-GB"/>
        </w:rPr>
        <w:t xml:space="preserve"> </w:t>
      </w:r>
      <w:r>
        <w:t>criteria for investment proposals</w:t>
      </w:r>
      <w:r>
        <w:rPr>
          <w:lang w:val="en-GB"/>
        </w:rPr>
        <w:t xml:space="preserve">, if the candidate investor is a woman. </w:t>
      </w:r>
      <w:r>
        <w:t>In</w:t>
      </w:r>
      <w:r>
        <w:rPr>
          <w:lang w:val="en-GB"/>
        </w:rPr>
        <w:t xml:space="preserve"> the </w:t>
      </w:r>
      <w:r>
        <w:t>case</w:t>
      </w:r>
      <w:r>
        <w:rPr>
          <w:lang w:val="en-GB"/>
        </w:rPr>
        <w:t xml:space="preserve"> </w:t>
      </w:r>
      <w:r>
        <w:t>of</w:t>
      </w:r>
      <w:r>
        <w:rPr>
          <w:lang w:val="en-GB"/>
        </w:rPr>
        <w:t xml:space="preserve"> </w:t>
      </w:r>
      <w:r>
        <w:t>comp</w:t>
      </w:r>
      <w:r>
        <w:t>a</w:t>
      </w:r>
      <w:r>
        <w:t>nies</w:t>
      </w:r>
      <w:r>
        <w:rPr>
          <w:lang w:val="en-GB"/>
        </w:rPr>
        <w:t xml:space="preserve">, co-operatives </w:t>
      </w:r>
      <w:r>
        <w:t>and</w:t>
      </w:r>
      <w:r>
        <w:rPr>
          <w:lang w:val="en-GB"/>
        </w:rPr>
        <w:t xml:space="preserve"> associations, the </w:t>
      </w:r>
      <w:r>
        <w:t>highest</w:t>
      </w:r>
      <w:r>
        <w:rPr>
          <w:lang w:val="en-GB"/>
        </w:rPr>
        <w:t xml:space="preserve"> number of credits are</w:t>
      </w:r>
      <w:r>
        <w:t xml:space="preserve"> given</w:t>
      </w:r>
      <w:r>
        <w:rPr>
          <w:lang w:val="en-GB"/>
        </w:rPr>
        <w:t xml:space="preserve">, </w:t>
      </w:r>
      <w:r>
        <w:t xml:space="preserve">when the percentage of women’s investment in equity </w:t>
      </w:r>
      <w:r>
        <w:rPr>
          <w:lang w:val="en-GB"/>
        </w:rPr>
        <w:t xml:space="preserve">capital is higher or equal to 75% and the management is exercised by a woman. </w:t>
      </w:r>
    </w:p>
    <w:p w:rsidR="00000000" w:rsidRDefault="00000000">
      <w:pPr>
        <w:pStyle w:val="SingleTxt"/>
        <w:spacing w:after="0" w:line="120" w:lineRule="exact"/>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D</w:t>
      </w:r>
      <w:r>
        <w:rPr>
          <w:lang w:val="en-GB"/>
        </w:rPr>
        <w:t>.</w:t>
      </w:r>
      <w:r>
        <w:rPr>
          <w:lang w:val="en-GB"/>
        </w:rPr>
        <w:tab/>
      </w:r>
      <w:r>
        <w:rPr>
          <w:lang w:val="en-US"/>
        </w:rPr>
        <w:t>Measures</w:t>
      </w:r>
      <w:r>
        <w:rPr>
          <w:lang w:val="en-GB"/>
        </w:rPr>
        <w:t>-</w:t>
      </w:r>
      <w:r>
        <w:rPr>
          <w:lang w:val="en-US"/>
        </w:rPr>
        <w:t>actions</w:t>
      </w:r>
      <w:r>
        <w:rPr>
          <w:lang w:val="en-GB"/>
        </w:rPr>
        <w:t xml:space="preserve"> </w:t>
      </w:r>
      <w:r>
        <w:rPr>
          <w:lang w:val="en-US"/>
        </w:rPr>
        <w:t>in the context of National Programmes</w:t>
      </w:r>
    </w:p>
    <w:p w:rsidR="00000000" w:rsidRDefault="00000000">
      <w:pPr>
        <w:pStyle w:val="SingleTxt"/>
        <w:spacing w:after="0" w:line="120" w:lineRule="exact"/>
        <w:rPr>
          <w:sz w:val="10"/>
        </w:rPr>
      </w:pPr>
    </w:p>
    <w:p w:rsidR="00000000" w:rsidRDefault="00000000">
      <w:pPr>
        <w:pStyle w:val="SingleTxt"/>
        <w:rPr>
          <w:lang w:val="en-GB"/>
        </w:rPr>
      </w:pPr>
      <w:r>
        <w:rPr>
          <w:lang w:val="en-US"/>
        </w:rPr>
        <w:tab/>
        <w:t>The</w:t>
      </w:r>
      <w:r>
        <w:rPr>
          <w:lang w:val="en-GB"/>
        </w:rPr>
        <w:t xml:space="preserve"> Document </w:t>
      </w:r>
      <w:r>
        <w:rPr>
          <w:lang w:val="en-US"/>
        </w:rPr>
        <w:t>of</w:t>
      </w:r>
      <w:r>
        <w:rPr>
          <w:lang w:val="en-GB"/>
        </w:rPr>
        <w:t xml:space="preserve"> </w:t>
      </w:r>
      <w:r>
        <w:rPr>
          <w:lang w:val="en-US"/>
        </w:rPr>
        <w:t>Agricultural</w:t>
      </w:r>
      <w:r>
        <w:rPr>
          <w:lang w:val="en-GB"/>
        </w:rPr>
        <w:t xml:space="preserve"> </w:t>
      </w:r>
      <w:r>
        <w:rPr>
          <w:lang w:val="en-US"/>
        </w:rPr>
        <w:t>Development</w:t>
      </w:r>
      <w:r>
        <w:rPr>
          <w:lang w:val="en-GB"/>
        </w:rPr>
        <w:t xml:space="preserve"> Planning </w:t>
      </w:r>
      <w:r>
        <w:rPr>
          <w:lang w:val="en-US"/>
        </w:rPr>
        <w:t>for the Environment</w:t>
      </w:r>
      <w:r>
        <w:rPr>
          <w:lang w:val="en-GB"/>
        </w:rPr>
        <w:t xml:space="preserve"> 2000-2006 (</w:t>
      </w:r>
      <w:r>
        <w:rPr>
          <w:lang w:val="en-US"/>
        </w:rPr>
        <w:t>European Commission Decision</w:t>
      </w:r>
      <w:r>
        <w:rPr>
          <w:lang w:val="en-GB"/>
        </w:rPr>
        <w:t xml:space="preserve"> </w:t>
      </w:r>
      <w:r>
        <w:t>Ε</w:t>
      </w:r>
      <w:r>
        <w:rPr>
          <w:lang w:val="en-GB"/>
        </w:rPr>
        <w:t xml:space="preserve"> (2000) 2733/27-9-2003) </w:t>
      </w:r>
      <w:r>
        <w:rPr>
          <w:lang w:val="en-US"/>
        </w:rPr>
        <w:t>offers a b</w:t>
      </w:r>
      <w:r>
        <w:rPr>
          <w:lang w:val="en-US"/>
        </w:rPr>
        <w:t>o</w:t>
      </w:r>
      <w:r>
        <w:rPr>
          <w:lang w:val="en-US"/>
        </w:rPr>
        <w:t>nus of 3 credits to the participation of women,</w:t>
      </w:r>
      <w:r>
        <w:rPr>
          <w:lang w:val="en-GB"/>
        </w:rPr>
        <w:t xml:space="preserve"> who: </w:t>
      </w:r>
    </w:p>
    <w:p w:rsidR="00000000" w:rsidRDefault="00000000">
      <w:pPr>
        <w:pStyle w:val="SingleTxt"/>
        <w:tabs>
          <w:tab w:val="right" w:pos="1685"/>
        </w:tabs>
        <w:ind w:left="1742" w:hanging="475"/>
        <w:rPr>
          <w:lang w:val="en-GB"/>
        </w:rPr>
      </w:pPr>
      <w:r>
        <w:rPr>
          <w:lang w:val="en-US"/>
        </w:rPr>
        <w:tab/>
        <w:t>•</w:t>
      </w:r>
      <w:r>
        <w:rPr>
          <w:lang w:val="en-US"/>
        </w:rPr>
        <w:tab/>
        <w:t>Undertake</w:t>
      </w:r>
      <w:r>
        <w:rPr>
          <w:lang w:val="en-GB"/>
        </w:rPr>
        <w:t xml:space="preserve"> </w:t>
      </w:r>
      <w:r>
        <w:rPr>
          <w:lang w:val="en-US"/>
        </w:rPr>
        <w:t>the</w:t>
      </w:r>
      <w:r>
        <w:rPr>
          <w:lang w:val="en-GB"/>
        </w:rPr>
        <w:t xml:space="preserve"> </w:t>
      </w:r>
      <w:r>
        <w:rPr>
          <w:lang w:val="en-US"/>
        </w:rPr>
        <w:t>obligation</w:t>
      </w:r>
      <w:r>
        <w:rPr>
          <w:lang w:val="en-GB"/>
        </w:rPr>
        <w:t xml:space="preserve"> </w:t>
      </w:r>
      <w:r>
        <w:rPr>
          <w:lang w:val="en-US"/>
        </w:rPr>
        <w:t>to</w:t>
      </w:r>
      <w:r>
        <w:rPr>
          <w:lang w:val="en-GB"/>
        </w:rPr>
        <w:t xml:space="preserve"> </w:t>
      </w:r>
      <w:r>
        <w:rPr>
          <w:lang w:val="en-US"/>
        </w:rPr>
        <w:t>reduce</w:t>
      </w:r>
      <w:r>
        <w:rPr>
          <w:lang w:val="en-GB"/>
        </w:rPr>
        <w:t xml:space="preserve"> </w:t>
      </w:r>
      <w:r>
        <w:rPr>
          <w:lang w:val="en-US"/>
        </w:rPr>
        <w:t>the</w:t>
      </w:r>
      <w:r>
        <w:rPr>
          <w:lang w:val="en-GB"/>
        </w:rPr>
        <w:t xml:space="preserve"> </w:t>
      </w:r>
      <w:r>
        <w:rPr>
          <w:lang w:val="en-US"/>
        </w:rPr>
        <w:t>applied</w:t>
      </w:r>
      <w:r>
        <w:rPr>
          <w:lang w:val="en-GB"/>
        </w:rPr>
        <w:t xml:space="preserve"> </w:t>
      </w:r>
      <w:r>
        <w:rPr>
          <w:lang w:val="en-US"/>
        </w:rPr>
        <w:t>quantity</w:t>
      </w:r>
      <w:r>
        <w:rPr>
          <w:lang w:val="en-GB"/>
        </w:rPr>
        <w:t xml:space="preserve"> </w:t>
      </w:r>
      <w:r>
        <w:rPr>
          <w:lang w:val="en-US"/>
        </w:rPr>
        <w:t>of</w:t>
      </w:r>
      <w:r>
        <w:rPr>
          <w:lang w:val="en-GB"/>
        </w:rPr>
        <w:t xml:space="preserve"> </w:t>
      </w:r>
      <w:r>
        <w:rPr>
          <w:lang w:val="en-US"/>
        </w:rPr>
        <w:t>water</w:t>
      </w:r>
      <w:r>
        <w:rPr>
          <w:lang w:val="en-GB"/>
        </w:rPr>
        <w:t xml:space="preserve"> </w:t>
      </w:r>
      <w:r>
        <w:rPr>
          <w:lang w:val="en-US"/>
        </w:rPr>
        <w:t>or</w:t>
      </w:r>
      <w:r>
        <w:rPr>
          <w:lang w:val="en-GB"/>
        </w:rPr>
        <w:t xml:space="preserve"> </w:t>
      </w:r>
      <w:r>
        <w:rPr>
          <w:lang w:val="en-US"/>
        </w:rPr>
        <w:t>nitrate</w:t>
      </w:r>
      <w:r>
        <w:rPr>
          <w:lang w:val="en-GB"/>
        </w:rPr>
        <w:t xml:space="preserve"> from 20% -50%, by means of fallow or crop rotation, or participate in the i</w:t>
      </w:r>
      <w:r>
        <w:rPr>
          <w:lang w:val="en-GB"/>
        </w:rPr>
        <w:t>m</w:t>
      </w:r>
      <w:r>
        <w:rPr>
          <w:lang w:val="en-GB"/>
        </w:rPr>
        <w:t xml:space="preserve">plementation of programmes as: </w:t>
      </w:r>
    </w:p>
    <w:p w:rsidR="00000000" w:rsidRDefault="00000000">
      <w:pPr>
        <w:pStyle w:val="SingleTxt"/>
        <w:tabs>
          <w:tab w:val="right" w:pos="1685"/>
        </w:tabs>
        <w:ind w:left="1742" w:hanging="475"/>
      </w:pPr>
      <w:r>
        <w:rPr>
          <w:lang w:val="en-GB"/>
        </w:rPr>
        <w:tab/>
      </w:r>
      <w:r>
        <w:rPr>
          <w:lang w:val="en-GB"/>
        </w:rPr>
        <w:tab/>
      </w:r>
      <w:r>
        <w:t>“Programme of managing lakes and lagoons in Thrace. Areas of the NATURA Network 2000: The river Nestos delta and Keramoti lagoon (Α11500010)” and “Lakes and l</w:t>
      </w:r>
      <w:r>
        <w:t>a</w:t>
      </w:r>
      <w:r>
        <w:t>goons of Thrace (A11300009)</w:t>
      </w:r>
    </w:p>
    <w:p w:rsidR="00000000" w:rsidRDefault="00000000">
      <w:pPr>
        <w:pStyle w:val="SingleTxt"/>
        <w:rPr>
          <w:lang w:val="en-GB"/>
        </w:rPr>
      </w:pPr>
      <w:r>
        <w:rPr>
          <w:lang w:val="en-GB"/>
        </w:rPr>
        <w:tab/>
        <w:t>“</w:t>
      </w:r>
      <w:r>
        <w:rPr>
          <w:lang w:val="en-US"/>
        </w:rPr>
        <w:t>Programme</w:t>
      </w:r>
      <w:r>
        <w:rPr>
          <w:lang w:val="en-GB"/>
        </w:rPr>
        <w:t xml:space="preserve"> </w:t>
      </w:r>
      <w:r>
        <w:rPr>
          <w:lang w:val="en-US"/>
        </w:rPr>
        <w:t>of</w:t>
      </w:r>
      <w:r>
        <w:rPr>
          <w:lang w:val="en-GB"/>
        </w:rPr>
        <w:t xml:space="preserve"> </w:t>
      </w:r>
      <w:r>
        <w:rPr>
          <w:lang w:val="en-US"/>
        </w:rPr>
        <w:t>managing</w:t>
      </w:r>
      <w:r>
        <w:rPr>
          <w:lang w:val="en-GB"/>
        </w:rPr>
        <w:t xml:space="preserve"> </w:t>
      </w:r>
      <w:r>
        <w:rPr>
          <w:lang w:val="en-US"/>
        </w:rPr>
        <w:t>lakeside</w:t>
      </w:r>
      <w:r>
        <w:rPr>
          <w:lang w:val="en-GB"/>
        </w:rPr>
        <w:t xml:space="preserve"> </w:t>
      </w:r>
      <w:r>
        <w:rPr>
          <w:lang w:val="en-US"/>
        </w:rPr>
        <w:t>grounds in the area of the NATURA</w:t>
      </w:r>
      <w:r>
        <w:rPr>
          <w:lang w:val="en-GB"/>
        </w:rPr>
        <w:t xml:space="preserve"> </w:t>
      </w:r>
      <w:r>
        <w:rPr>
          <w:lang w:val="en-US"/>
        </w:rPr>
        <w:t>Ne</w:t>
      </w:r>
      <w:r>
        <w:rPr>
          <w:lang w:val="en-US"/>
        </w:rPr>
        <w:t>t</w:t>
      </w:r>
      <w:r>
        <w:rPr>
          <w:lang w:val="en-US"/>
        </w:rPr>
        <w:t>work</w:t>
      </w:r>
      <w:r>
        <w:rPr>
          <w:lang w:val="en-GB"/>
        </w:rPr>
        <w:t xml:space="preserve"> 2000: “Volvi – Koroneia lakes (</w:t>
      </w:r>
      <w:r>
        <w:t>Α</w:t>
      </w:r>
      <w:r>
        <w:rPr>
          <w:lang w:val="en-GB"/>
        </w:rPr>
        <w:t xml:space="preserve"> 12200001)”.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GB"/>
        </w:rPr>
        <w:tab/>
      </w:r>
      <w:r>
        <w:rPr>
          <w:lang w:val="en-US"/>
        </w:rPr>
        <w:t>Appendix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t>List Of Institutions that provided data for the 6</w:t>
      </w:r>
      <w:r>
        <w:rPr>
          <w:vertAlign w:val="superscript"/>
        </w:rPr>
        <w:t>th</w:t>
      </w:r>
      <w:r>
        <w:t xml:space="preserve"> National Report To The Committee On The Elimination Of Discrimination Against </w:t>
      </w:r>
      <w:r>
        <w:rPr>
          <w:lang w:val="en-US"/>
        </w:rPr>
        <w:t>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14"/>
        </w:numPr>
        <w:suppressAutoHyphens/>
        <w:jc w:val="left"/>
        <w:rPr>
          <w:lang w:val="en-US"/>
        </w:rPr>
      </w:pPr>
      <w:r>
        <w:rPr>
          <w:lang w:val="en-US"/>
        </w:rPr>
        <w:t>Ministry of The Interior, Public Administration And Decentralization</w:t>
      </w:r>
    </w:p>
    <w:p w:rsidR="00000000" w:rsidRDefault="00000000">
      <w:pPr>
        <w:pStyle w:val="SingleTxt"/>
        <w:numPr>
          <w:ilvl w:val="0"/>
          <w:numId w:val="314"/>
        </w:numPr>
        <w:suppressAutoHyphens/>
        <w:jc w:val="left"/>
        <w:rPr>
          <w:lang w:val="en-US"/>
        </w:rPr>
      </w:pPr>
      <w:r>
        <w:rPr>
          <w:lang w:val="en-US"/>
        </w:rPr>
        <w:t>Ministry of Foreign Affairs</w:t>
      </w:r>
    </w:p>
    <w:p w:rsidR="00000000" w:rsidRDefault="00000000">
      <w:pPr>
        <w:pStyle w:val="SingleTxt"/>
        <w:numPr>
          <w:ilvl w:val="0"/>
          <w:numId w:val="314"/>
        </w:numPr>
        <w:suppressAutoHyphens/>
        <w:jc w:val="left"/>
        <w:rPr>
          <w:lang w:val="en-US"/>
        </w:rPr>
      </w:pPr>
      <w:r>
        <w:rPr>
          <w:lang w:val="en-US"/>
        </w:rPr>
        <w:t>Ministry of National Defense</w:t>
      </w:r>
    </w:p>
    <w:p w:rsidR="00000000" w:rsidRDefault="00000000">
      <w:pPr>
        <w:pStyle w:val="SingleTxt"/>
        <w:numPr>
          <w:ilvl w:val="0"/>
          <w:numId w:val="314"/>
        </w:numPr>
        <w:suppressAutoHyphens/>
        <w:jc w:val="left"/>
        <w:rPr>
          <w:lang w:val="en-US"/>
        </w:rPr>
      </w:pPr>
      <w:r>
        <w:rPr>
          <w:lang w:val="en-US"/>
        </w:rPr>
        <w:t>Ministry for The Environment, Physical Planning and Public Works</w:t>
      </w:r>
    </w:p>
    <w:p w:rsidR="00000000" w:rsidRDefault="00000000">
      <w:pPr>
        <w:pStyle w:val="SingleTxt"/>
        <w:numPr>
          <w:ilvl w:val="0"/>
          <w:numId w:val="314"/>
        </w:numPr>
        <w:suppressAutoHyphens/>
        <w:jc w:val="left"/>
        <w:rPr>
          <w:lang w:val="en-US"/>
        </w:rPr>
      </w:pPr>
      <w:r>
        <w:rPr>
          <w:lang w:val="en-US"/>
        </w:rPr>
        <w:t>Ministry for National Education and Religious Affairs</w:t>
      </w:r>
    </w:p>
    <w:p w:rsidR="00000000" w:rsidRDefault="00000000">
      <w:pPr>
        <w:pStyle w:val="SingleTxt"/>
        <w:numPr>
          <w:ilvl w:val="0"/>
          <w:numId w:val="314"/>
        </w:numPr>
        <w:suppressAutoHyphens/>
        <w:jc w:val="left"/>
        <w:rPr>
          <w:lang w:val="en-US"/>
        </w:rPr>
      </w:pPr>
      <w:r>
        <w:rPr>
          <w:lang w:val="en-US"/>
        </w:rPr>
        <w:t>Ministry of Employment and Social Protection</w:t>
      </w:r>
    </w:p>
    <w:p w:rsidR="00000000" w:rsidRDefault="00000000">
      <w:pPr>
        <w:pStyle w:val="SingleTxt"/>
        <w:numPr>
          <w:ilvl w:val="0"/>
          <w:numId w:val="314"/>
        </w:numPr>
        <w:suppressAutoHyphens/>
        <w:jc w:val="left"/>
        <w:rPr>
          <w:lang w:val="en-US"/>
        </w:rPr>
      </w:pPr>
      <w:r>
        <w:rPr>
          <w:lang w:val="en-US"/>
        </w:rPr>
        <w:t>Ministry of Health and Welfare</w:t>
      </w:r>
    </w:p>
    <w:p w:rsidR="00000000" w:rsidRDefault="00000000">
      <w:pPr>
        <w:pStyle w:val="SingleTxt"/>
        <w:numPr>
          <w:ilvl w:val="0"/>
          <w:numId w:val="314"/>
        </w:numPr>
        <w:suppressAutoHyphens/>
        <w:jc w:val="left"/>
        <w:rPr>
          <w:lang w:val="en-US"/>
        </w:rPr>
      </w:pPr>
      <w:r>
        <w:rPr>
          <w:lang w:val="en-US"/>
        </w:rPr>
        <w:t>Ministry of Rural Development and Food</w:t>
      </w:r>
    </w:p>
    <w:p w:rsidR="00000000" w:rsidRDefault="00000000">
      <w:pPr>
        <w:pStyle w:val="SingleTxt"/>
        <w:numPr>
          <w:ilvl w:val="0"/>
          <w:numId w:val="314"/>
        </w:numPr>
        <w:suppressAutoHyphens/>
        <w:jc w:val="left"/>
        <w:rPr>
          <w:lang w:val="en-US"/>
        </w:rPr>
      </w:pPr>
      <w:r>
        <w:rPr>
          <w:lang w:val="en-US"/>
        </w:rPr>
        <w:t>Ministry of Justice</w:t>
      </w:r>
    </w:p>
    <w:p w:rsidR="00000000" w:rsidRDefault="00000000">
      <w:pPr>
        <w:pStyle w:val="SingleTxt"/>
        <w:numPr>
          <w:ilvl w:val="0"/>
          <w:numId w:val="314"/>
        </w:numPr>
        <w:suppressAutoHyphens/>
        <w:jc w:val="left"/>
        <w:rPr>
          <w:lang w:val="en-US"/>
        </w:rPr>
      </w:pPr>
      <w:r>
        <w:rPr>
          <w:lang w:val="en-US"/>
        </w:rPr>
        <w:t>Ministry of Public Order</w:t>
      </w:r>
    </w:p>
    <w:p w:rsidR="00000000" w:rsidRDefault="00000000">
      <w:pPr>
        <w:pStyle w:val="SingleTxt"/>
        <w:numPr>
          <w:ilvl w:val="0"/>
          <w:numId w:val="314"/>
        </w:numPr>
        <w:suppressAutoHyphens/>
        <w:jc w:val="left"/>
        <w:rPr>
          <w:lang w:val="en-US"/>
        </w:rPr>
      </w:pPr>
      <w:r>
        <w:rPr>
          <w:lang w:val="en-US"/>
        </w:rPr>
        <w:t>General Secretariat for Communication</w:t>
      </w:r>
    </w:p>
    <w:p w:rsidR="00000000" w:rsidRDefault="00000000">
      <w:pPr>
        <w:pStyle w:val="SingleTxt"/>
        <w:numPr>
          <w:ilvl w:val="0"/>
          <w:numId w:val="314"/>
        </w:numPr>
        <w:suppressAutoHyphens/>
        <w:jc w:val="left"/>
        <w:rPr>
          <w:lang w:val="en-US"/>
        </w:rPr>
      </w:pPr>
      <w:r>
        <w:rPr>
          <w:lang w:val="en-US"/>
        </w:rPr>
        <w:t>General Secretariat of National Statistical Service of Greece</w:t>
      </w:r>
    </w:p>
    <w:p w:rsidR="00000000" w:rsidRDefault="00000000">
      <w:pPr>
        <w:pStyle w:val="SingleTxt"/>
        <w:numPr>
          <w:ilvl w:val="0"/>
          <w:numId w:val="314"/>
        </w:numPr>
        <w:suppressAutoHyphens/>
        <w:jc w:val="left"/>
        <w:rPr>
          <w:lang w:val="en-US"/>
        </w:rPr>
      </w:pPr>
      <w:r>
        <w:rPr>
          <w:lang w:val="en-US"/>
        </w:rPr>
        <w:t>General Secretariat for Youth</w:t>
      </w:r>
    </w:p>
    <w:p w:rsidR="00000000" w:rsidRDefault="00000000">
      <w:pPr>
        <w:pStyle w:val="SingleTxt"/>
        <w:numPr>
          <w:ilvl w:val="0"/>
          <w:numId w:val="314"/>
        </w:numPr>
        <w:suppressAutoHyphens/>
        <w:jc w:val="left"/>
        <w:rPr>
          <w:lang w:val="en-US"/>
        </w:rPr>
      </w:pPr>
      <w:r>
        <w:rPr>
          <w:lang w:val="en-US"/>
        </w:rPr>
        <w:t>General Secretariat for Adult Education</w:t>
      </w:r>
    </w:p>
    <w:p w:rsidR="00000000" w:rsidRDefault="00000000">
      <w:pPr>
        <w:pStyle w:val="SingleTxt"/>
        <w:numPr>
          <w:ilvl w:val="0"/>
          <w:numId w:val="314"/>
        </w:numPr>
        <w:suppressAutoHyphens/>
        <w:jc w:val="left"/>
        <w:rPr>
          <w:lang w:val="en-US"/>
        </w:rPr>
      </w:pPr>
      <w:r>
        <w:rPr>
          <w:lang w:val="en-US"/>
        </w:rPr>
        <w:t>Agricultural Insurance Organization</w:t>
      </w:r>
    </w:p>
    <w:p w:rsidR="00000000" w:rsidRDefault="00000000">
      <w:pPr>
        <w:pStyle w:val="SingleTxt"/>
        <w:numPr>
          <w:ilvl w:val="0"/>
          <w:numId w:val="314"/>
        </w:numPr>
        <w:suppressAutoHyphens/>
        <w:ind w:left="1742" w:hanging="475"/>
        <w:jc w:val="left"/>
        <w:rPr>
          <w:lang w:val="en-US"/>
        </w:rPr>
      </w:pPr>
      <w:r>
        <w:rPr>
          <w:lang w:val="en-US"/>
        </w:rPr>
        <w:t>Agricultural Vocational Education, Training and Employment Organization “DIMITRA”</w:t>
      </w:r>
    </w:p>
    <w:p w:rsidR="00000000" w:rsidRDefault="00000000">
      <w:pPr>
        <w:pStyle w:val="SingleTxt"/>
        <w:numPr>
          <w:ilvl w:val="0"/>
          <w:numId w:val="314"/>
        </w:numPr>
        <w:suppressAutoHyphens/>
        <w:jc w:val="left"/>
        <w:rPr>
          <w:caps/>
          <w:lang w:val="en-US"/>
        </w:rPr>
      </w:pPr>
      <w:r>
        <w:rPr>
          <w:lang w:val="en-US"/>
        </w:rPr>
        <w:t>Areteion Hospital</w:t>
      </w:r>
    </w:p>
    <w:p w:rsidR="00000000" w:rsidRDefault="00000000">
      <w:pPr>
        <w:pStyle w:val="SingleTxt"/>
        <w:numPr>
          <w:ilvl w:val="0"/>
          <w:numId w:val="314"/>
        </w:numPr>
        <w:suppressAutoHyphens/>
        <w:jc w:val="left"/>
        <w:rPr>
          <w:caps/>
          <w:lang w:val="en-US"/>
        </w:rPr>
      </w:pPr>
      <w:r>
        <w:rPr>
          <w:lang w:val="en-US"/>
        </w:rPr>
        <w:t>Athens News Agency</w:t>
      </w:r>
    </w:p>
    <w:p w:rsidR="00000000" w:rsidRDefault="00000000">
      <w:pPr>
        <w:pStyle w:val="SingleTxt"/>
        <w:numPr>
          <w:ilvl w:val="0"/>
          <w:numId w:val="314"/>
        </w:numPr>
        <w:suppressAutoHyphens/>
        <w:jc w:val="left"/>
        <w:rPr>
          <w:lang w:val="en-US"/>
        </w:rPr>
      </w:pPr>
      <w:r>
        <w:rPr>
          <w:lang w:val="en-US"/>
        </w:rPr>
        <w:t>Economic and Social Council of Greece</w:t>
      </w:r>
    </w:p>
    <w:p w:rsidR="00000000" w:rsidRDefault="00000000">
      <w:pPr>
        <w:pStyle w:val="SingleTxt"/>
        <w:numPr>
          <w:ilvl w:val="0"/>
          <w:numId w:val="314"/>
        </w:numPr>
        <w:suppressAutoHyphens/>
        <w:jc w:val="left"/>
        <w:rPr>
          <w:lang w:val="en-US"/>
        </w:rPr>
      </w:pPr>
      <w:r>
        <w:rPr>
          <w:lang w:val="en-US"/>
        </w:rPr>
        <w:t>Hellenic Audiovisual Institute</w:t>
      </w:r>
    </w:p>
    <w:p w:rsidR="00000000" w:rsidRDefault="00000000">
      <w:pPr>
        <w:pStyle w:val="SingleTxt"/>
        <w:numPr>
          <w:ilvl w:val="0"/>
          <w:numId w:val="314"/>
        </w:numPr>
        <w:suppressAutoHyphens/>
        <w:jc w:val="left"/>
        <w:rPr>
          <w:caps/>
          <w:lang w:val="en-US"/>
        </w:rPr>
      </w:pPr>
      <w:r>
        <w:rPr>
          <w:lang w:val="en-US"/>
        </w:rPr>
        <w:t>Hellenic Broadcasting Corporation</w:t>
      </w:r>
    </w:p>
    <w:p w:rsidR="00000000" w:rsidRDefault="00000000">
      <w:pPr>
        <w:pStyle w:val="SingleTxt"/>
        <w:numPr>
          <w:ilvl w:val="0"/>
          <w:numId w:val="314"/>
        </w:numPr>
        <w:suppressAutoHyphens/>
        <w:jc w:val="left"/>
        <w:rPr>
          <w:lang w:val="en-US"/>
        </w:rPr>
      </w:pPr>
      <w:r>
        <w:rPr>
          <w:lang w:val="en-US"/>
        </w:rPr>
        <w:t>Hellenic Centre for Infectious Diseases Control</w:t>
      </w:r>
    </w:p>
    <w:p w:rsidR="00000000" w:rsidRDefault="00000000">
      <w:pPr>
        <w:pStyle w:val="SingleTxt"/>
        <w:numPr>
          <w:ilvl w:val="0"/>
          <w:numId w:val="314"/>
        </w:numPr>
        <w:suppressAutoHyphens/>
        <w:jc w:val="left"/>
        <w:rPr>
          <w:lang w:val="en-US"/>
        </w:rPr>
      </w:pPr>
      <w:r>
        <w:rPr>
          <w:lang w:val="en-US"/>
        </w:rPr>
        <w:t>Institute of Continuous Adult Education</w:t>
      </w:r>
    </w:p>
    <w:p w:rsidR="00000000" w:rsidRDefault="00000000">
      <w:pPr>
        <w:pStyle w:val="SingleTxt"/>
        <w:numPr>
          <w:ilvl w:val="0"/>
          <w:numId w:val="314"/>
        </w:numPr>
        <w:suppressAutoHyphens/>
        <w:ind w:left="1742" w:hanging="475"/>
        <w:jc w:val="left"/>
        <w:rPr>
          <w:caps/>
          <w:lang w:val="en-US"/>
        </w:rPr>
      </w:pPr>
      <w:r>
        <w:rPr>
          <w:lang w:val="en-US"/>
        </w:rPr>
        <w:t>Medical School of Athens – Centre for Research and Prevention of Injuries Among the Young</w:t>
      </w:r>
    </w:p>
    <w:p w:rsidR="00000000" w:rsidRDefault="00000000">
      <w:pPr>
        <w:pStyle w:val="SingleTxt"/>
        <w:numPr>
          <w:ilvl w:val="0"/>
          <w:numId w:val="314"/>
        </w:numPr>
        <w:suppressAutoHyphens/>
        <w:jc w:val="left"/>
        <w:rPr>
          <w:caps/>
          <w:lang w:val="en-US"/>
        </w:rPr>
      </w:pPr>
      <w:r>
        <w:rPr>
          <w:lang w:val="en-US"/>
        </w:rPr>
        <w:t>Municipality of Athens – Office for Gender Equality</w:t>
      </w:r>
    </w:p>
    <w:p w:rsidR="00000000" w:rsidRDefault="00000000">
      <w:pPr>
        <w:pStyle w:val="SingleTxt"/>
        <w:numPr>
          <w:ilvl w:val="0"/>
          <w:numId w:val="314"/>
        </w:numPr>
        <w:suppressAutoHyphens/>
        <w:jc w:val="left"/>
        <w:rPr>
          <w:caps/>
          <w:lang w:val="en-US"/>
        </w:rPr>
      </w:pPr>
      <w:r>
        <w:rPr>
          <w:lang w:val="en-US"/>
        </w:rPr>
        <w:t>Municipality of Chios – Office for Women’s Issues</w:t>
      </w:r>
    </w:p>
    <w:p w:rsidR="00000000" w:rsidRDefault="00000000">
      <w:pPr>
        <w:pStyle w:val="SingleTxt"/>
        <w:numPr>
          <w:ilvl w:val="0"/>
          <w:numId w:val="314"/>
        </w:numPr>
        <w:suppressAutoHyphens/>
        <w:jc w:val="left"/>
        <w:rPr>
          <w:lang w:val="en-US"/>
        </w:rPr>
      </w:pPr>
      <w:r>
        <w:rPr>
          <w:lang w:val="en-US"/>
        </w:rPr>
        <w:t>National Centre for Public Administration</w:t>
      </w:r>
    </w:p>
    <w:p w:rsidR="00000000" w:rsidRDefault="00000000">
      <w:pPr>
        <w:pStyle w:val="SingleTxt"/>
        <w:numPr>
          <w:ilvl w:val="0"/>
          <w:numId w:val="314"/>
        </w:numPr>
        <w:suppressAutoHyphens/>
        <w:jc w:val="left"/>
        <w:rPr>
          <w:lang w:val="en-US"/>
        </w:rPr>
      </w:pPr>
      <w:r>
        <w:rPr>
          <w:lang w:val="en-US"/>
        </w:rPr>
        <w:t>National Centre of Emergency Social Care</w:t>
      </w:r>
    </w:p>
    <w:p w:rsidR="00000000" w:rsidRDefault="00000000">
      <w:pPr>
        <w:pStyle w:val="SingleTxt"/>
        <w:numPr>
          <w:ilvl w:val="0"/>
          <w:numId w:val="314"/>
        </w:numPr>
        <w:suppressAutoHyphens/>
        <w:jc w:val="left"/>
        <w:rPr>
          <w:lang w:val="en-US"/>
        </w:rPr>
      </w:pPr>
      <w:r>
        <w:rPr>
          <w:lang w:val="en-US"/>
        </w:rPr>
        <w:t>National School of Public Health</w:t>
      </w:r>
    </w:p>
    <w:p w:rsidR="00000000" w:rsidRDefault="00000000">
      <w:pPr>
        <w:pStyle w:val="SingleTxt"/>
        <w:numPr>
          <w:ilvl w:val="0"/>
          <w:numId w:val="314"/>
        </w:numPr>
        <w:suppressAutoHyphens/>
        <w:jc w:val="left"/>
        <w:rPr>
          <w:lang w:val="en-US"/>
        </w:rPr>
      </w:pPr>
      <w:r>
        <w:rPr>
          <w:lang w:val="en-US"/>
        </w:rPr>
        <w:t>Organization for Vocational Education and Training</w:t>
      </w:r>
    </w:p>
    <w:p w:rsidR="00000000" w:rsidRDefault="00000000">
      <w:pPr>
        <w:pStyle w:val="SingleTxt"/>
        <w:numPr>
          <w:ilvl w:val="0"/>
          <w:numId w:val="314"/>
        </w:numPr>
        <w:suppressAutoHyphens/>
        <w:jc w:val="left"/>
        <w:rPr>
          <w:caps/>
          <w:lang w:val="en-US"/>
        </w:rPr>
      </w:pPr>
      <w:r>
        <w:rPr>
          <w:lang w:val="en-US"/>
        </w:rPr>
        <w:t>Panteion University – Department of Communication, Media and Culture</w:t>
      </w:r>
    </w:p>
    <w:p w:rsidR="00000000" w:rsidRDefault="00000000">
      <w:pPr>
        <w:pStyle w:val="SingleTxt"/>
        <w:numPr>
          <w:ilvl w:val="0"/>
          <w:numId w:val="314"/>
        </w:numPr>
        <w:suppressAutoHyphens/>
        <w:jc w:val="left"/>
        <w:rPr>
          <w:lang w:val="en-US"/>
        </w:rPr>
      </w:pPr>
      <w:r>
        <w:rPr>
          <w:lang w:val="en-US"/>
        </w:rPr>
        <w:t>Pedagogical Institute</w:t>
      </w:r>
    </w:p>
    <w:p w:rsidR="00000000" w:rsidRDefault="00000000">
      <w:pPr>
        <w:pStyle w:val="SingleTxt"/>
        <w:numPr>
          <w:ilvl w:val="0"/>
          <w:numId w:val="314"/>
        </w:numPr>
        <w:suppressAutoHyphens/>
        <w:jc w:val="left"/>
        <w:rPr>
          <w:lang w:val="en-US"/>
        </w:rPr>
      </w:pPr>
      <w:r>
        <w:rPr>
          <w:lang w:val="en-US"/>
        </w:rPr>
        <w:t>Research Centre for Gender Equality</w:t>
      </w:r>
    </w:p>
    <w:p w:rsidR="00000000" w:rsidRDefault="00000000">
      <w:pPr>
        <w:pStyle w:val="SingleTxt"/>
        <w:numPr>
          <w:ilvl w:val="0"/>
          <w:numId w:val="314"/>
        </w:numPr>
        <w:suppressAutoHyphens/>
        <w:ind w:left="1742" w:hanging="475"/>
        <w:jc w:val="left"/>
        <w:rPr>
          <w:lang w:val="en-US"/>
        </w:rPr>
      </w:pPr>
      <w:r>
        <w:rPr>
          <w:lang w:val="en-US"/>
        </w:rPr>
        <w:t>Special Managing Authority of the Operational Programme “Education and Initial Vocational Training”</w:t>
      </w:r>
    </w:p>
    <w:p w:rsidR="00000000" w:rsidRDefault="00000000">
      <w:pPr>
        <w:pStyle w:val="SingleTxt"/>
        <w:numPr>
          <w:ilvl w:val="0"/>
          <w:numId w:val="314"/>
        </w:numPr>
        <w:suppressAutoHyphens/>
        <w:ind w:left="1742" w:hanging="475"/>
        <w:jc w:val="left"/>
        <w:rPr>
          <w:caps/>
          <w:lang w:val="en-US"/>
        </w:rPr>
      </w:pPr>
      <w:r>
        <w:rPr>
          <w:lang w:val="en-US"/>
        </w:rPr>
        <w:t>Special Service for the Coordination and Monitoring of Actions of the European Social Fund</w:t>
      </w:r>
    </w:p>
    <w:p w:rsidR="00000000" w:rsidRDefault="00000000">
      <w:pPr>
        <w:pStyle w:val="SingleTxt"/>
        <w:numPr>
          <w:ilvl w:val="0"/>
          <w:numId w:val="314"/>
        </w:numPr>
        <w:suppressAutoHyphens/>
        <w:ind w:left="1742" w:hanging="475"/>
        <w:jc w:val="left"/>
        <w:rPr>
          <w:caps/>
          <w:lang w:val="en-US"/>
        </w:rPr>
      </w:pPr>
      <w:r>
        <w:rPr>
          <w:lang w:val="en-US"/>
        </w:rPr>
        <w:t>Special Service for the Management of the Operational Programme “Employment and Vocational Training”</w:t>
      </w:r>
    </w:p>
    <w:p w:rsidR="00000000" w:rsidRDefault="00000000">
      <w:pPr>
        <w:pStyle w:val="SingleTxt"/>
        <w:numPr>
          <w:ilvl w:val="0"/>
          <w:numId w:val="314"/>
        </w:numPr>
        <w:suppressAutoHyphens/>
        <w:jc w:val="left"/>
        <w:rPr>
          <w:caps/>
          <w:lang w:val="en-US"/>
        </w:rPr>
      </w:pPr>
      <w:r>
        <w:rPr>
          <w:lang w:val="en-US"/>
        </w:rPr>
        <w:t>Unesco National Commission</w:t>
      </w:r>
    </w:p>
    <w:p w:rsidR="00000000" w:rsidRDefault="00000000">
      <w:pPr>
        <w:pStyle w:val="SingleTxt"/>
        <w:tabs>
          <w:tab w:val="clear" w:pos="1742"/>
        </w:tabs>
        <w:suppressAutoHyphens/>
        <w:spacing w:after="0" w:line="120" w:lineRule="exact"/>
        <w:ind w:left="0"/>
        <w:jc w:val="left"/>
        <w:rPr>
          <w:caps/>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Non Governmental Institutions and Organizations (in alphabetical order)</w:t>
      </w:r>
    </w:p>
    <w:p w:rsidR="00000000" w:rsidRDefault="00000000">
      <w:pPr>
        <w:pStyle w:val="SingleTxt"/>
        <w:suppressAutoHyphens/>
        <w:spacing w:after="0" w:line="120" w:lineRule="exact"/>
        <w:jc w:val="left"/>
        <w:rPr>
          <w:sz w:val="10"/>
        </w:rPr>
      </w:pPr>
    </w:p>
    <w:p w:rsidR="00000000" w:rsidRDefault="00000000">
      <w:pPr>
        <w:pStyle w:val="SingleTxt"/>
        <w:numPr>
          <w:ilvl w:val="0"/>
          <w:numId w:val="277"/>
        </w:numPr>
        <w:suppressAutoHyphens/>
        <w:jc w:val="left"/>
        <w:rPr>
          <w:lang w:val="en-US"/>
        </w:rPr>
      </w:pPr>
      <w:r>
        <w:rPr>
          <w:lang w:val="en-US"/>
        </w:rPr>
        <w:t>Association of Greek Women in Legal Professions</w:t>
      </w:r>
    </w:p>
    <w:p w:rsidR="00000000" w:rsidRDefault="00000000">
      <w:pPr>
        <w:pStyle w:val="SingleTxt"/>
        <w:numPr>
          <w:ilvl w:val="0"/>
          <w:numId w:val="277"/>
        </w:numPr>
        <w:suppressAutoHyphens/>
        <w:jc w:val="left"/>
        <w:rPr>
          <w:lang w:val="en-US"/>
        </w:rPr>
      </w:pPr>
      <w:r>
        <w:rPr>
          <w:lang w:val="en-US"/>
        </w:rPr>
        <w:t>Association of Greek Women Scientists</w:t>
      </w:r>
    </w:p>
    <w:p w:rsidR="00000000" w:rsidRDefault="00000000">
      <w:pPr>
        <w:pStyle w:val="SingleTxt"/>
        <w:numPr>
          <w:ilvl w:val="0"/>
          <w:numId w:val="277"/>
        </w:numPr>
        <w:suppressAutoHyphens/>
        <w:jc w:val="left"/>
        <w:rPr>
          <w:lang w:val="en-US"/>
        </w:rPr>
      </w:pPr>
      <w:r>
        <w:t>Athens Daily Newspaper Publishers’ Association</w:t>
      </w:r>
    </w:p>
    <w:p w:rsidR="00000000" w:rsidRDefault="00000000">
      <w:pPr>
        <w:pStyle w:val="SingleTxt"/>
        <w:numPr>
          <w:ilvl w:val="0"/>
          <w:numId w:val="277"/>
        </w:numPr>
        <w:suppressAutoHyphens/>
        <w:jc w:val="left"/>
        <w:rPr>
          <w:lang w:val="en-US"/>
        </w:rPr>
      </w:pPr>
      <w:r>
        <w:rPr>
          <w:lang w:val="en-US"/>
        </w:rPr>
        <w:t>Centre for Women Studies and Research</w:t>
      </w:r>
    </w:p>
    <w:p w:rsidR="00000000" w:rsidRDefault="00000000">
      <w:pPr>
        <w:pStyle w:val="SingleTxt"/>
        <w:numPr>
          <w:ilvl w:val="0"/>
          <w:numId w:val="277"/>
        </w:numPr>
        <w:suppressAutoHyphens/>
        <w:jc w:val="left"/>
        <w:rPr>
          <w:lang w:val="en-US"/>
        </w:rPr>
      </w:pPr>
      <w:r>
        <w:rPr>
          <w:lang w:val="en-US"/>
        </w:rPr>
        <w:t>Centre of Research and Action on Peace</w:t>
      </w:r>
    </w:p>
    <w:p w:rsidR="00000000" w:rsidRDefault="00000000">
      <w:pPr>
        <w:pStyle w:val="SingleTxt"/>
        <w:numPr>
          <w:ilvl w:val="0"/>
          <w:numId w:val="277"/>
        </w:numPr>
        <w:suppressAutoHyphens/>
        <w:jc w:val="left"/>
        <w:rPr>
          <w:lang w:val="en-US"/>
        </w:rPr>
      </w:pPr>
      <w:r>
        <w:rPr>
          <w:lang w:val="en-US"/>
        </w:rPr>
        <w:t>Coordination of Greek Women Ngos for the European Women Lobby</w:t>
      </w:r>
    </w:p>
    <w:p w:rsidR="00000000" w:rsidRDefault="00000000">
      <w:pPr>
        <w:pStyle w:val="SingleTxt"/>
        <w:numPr>
          <w:ilvl w:val="0"/>
          <w:numId w:val="277"/>
        </w:numPr>
        <w:suppressAutoHyphens/>
        <w:jc w:val="left"/>
        <w:rPr>
          <w:lang w:val="en-US"/>
        </w:rPr>
      </w:pPr>
      <w:r>
        <w:rPr>
          <w:lang w:val="en-US"/>
        </w:rPr>
        <w:t>Democratic Women’s Movement</w:t>
      </w:r>
    </w:p>
    <w:p w:rsidR="00000000" w:rsidRDefault="00000000">
      <w:pPr>
        <w:pStyle w:val="SingleTxt"/>
        <w:numPr>
          <w:ilvl w:val="0"/>
          <w:numId w:val="277"/>
        </w:numPr>
        <w:suppressAutoHyphens/>
        <w:jc w:val="left"/>
        <w:rPr>
          <w:lang w:val="en-US"/>
        </w:rPr>
      </w:pPr>
      <w:r>
        <w:rPr>
          <w:lang w:val="en-US"/>
        </w:rPr>
        <w:t>Doctors of the World</w:t>
      </w:r>
    </w:p>
    <w:p w:rsidR="00000000" w:rsidRDefault="00000000">
      <w:pPr>
        <w:pStyle w:val="SingleTxt"/>
        <w:numPr>
          <w:ilvl w:val="0"/>
          <w:numId w:val="277"/>
        </w:numPr>
        <w:suppressAutoHyphens/>
        <w:jc w:val="left"/>
        <w:rPr>
          <w:lang w:val="en-US"/>
        </w:rPr>
      </w:pPr>
      <w:r>
        <w:rPr>
          <w:lang w:val="en-US"/>
        </w:rPr>
        <w:t>European Network of Greek Women Journalists</w:t>
      </w:r>
    </w:p>
    <w:p w:rsidR="00000000" w:rsidRDefault="00000000">
      <w:pPr>
        <w:pStyle w:val="SingleTxt"/>
        <w:numPr>
          <w:ilvl w:val="0"/>
          <w:numId w:val="277"/>
        </w:numPr>
        <w:suppressAutoHyphens/>
        <w:jc w:val="left"/>
        <w:rPr>
          <w:lang w:val="en-US"/>
        </w:rPr>
      </w:pPr>
      <w:r>
        <w:rPr>
          <w:lang w:val="en-US"/>
        </w:rPr>
        <w:t>European Network of Women, Greek Department</w:t>
      </w:r>
    </w:p>
    <w:p w:rsidR="00000000" w:rsidRDefault="00000000">
      <w:pPr>
        <w:pStyle w:val="SingleTxt"/>
        <w:numPr>
          <w:ilvl w:val="0"/>
          <w:numId w:val="277"/>
        </w:numPr>
        <w:suppressAutoHyphens/>
        <w:jc w:val="left"/>
        <w:rPr>
          <w:lang w:val="en-US"/>
        </w:rPr>
      </w:pPr>
      <w:r>
        <w:rPr>
          <w:lang w:val="en-US"/>
        </w:rPr>
        <w:t>Family and Child Support Centre</w:t>
      </w:r>
    </w:p>
    <w:p w:rsidR="00000000" w:rsidRDefault="00000000">
      <w:pPr>
        <w:pStyle w:val="SingleTxt"/>
        <w:numPr>
          <w:ilvl w:val="0"/>
          <w:numId w:val="277"/>
        </w:numPr>
        <w:suppressAutoHyphens/>
        <w:jc w:val="left"/>
        <w:rPr>
          <w:lang w:val="en-US"/>
        </w:rPr>
      </w:pPr>
      <w:r>
        <w:rPr>
          <w:lang w:val="en-US"/>
        </w:rPr>
        <w:t>Family Support Centre of the Athens Archdiocese</w:t>
      </w:r>
    </w:p>
    <w:p w:rsidR="00000000" w:rsidRDefault="00000000">
      <w:pPr>
        <w:pStyle w:val="SingleTxt"/>
        <w:numPr>
          <w:ilvl w:val="0"/>
          <w:numId w:val="277"/>
        </w:numPr>
        <w:suppressAutoHyphens/>
        <w:jc w:val="left"/>
        <w:rPr>
          <w:lang w:val="en-US"/>
        </w:rPr>
      </w:pPr>
      <w:r>
        <w:rPr>
          <w:lang w:val="en-US"/>
        </w:rPr>
        <w:t>Federation of Greek Women</w:t>
      </w:r>
    </w:p>
    <w:p w:rsidR="00000000" w:rsidRDefault="00000000">
      <w:pPr>
        <w:pStyle w:val="SingleTxt"/>
        <w:numPr>
          <w:ilvl w:val="0"/>
          <w:numId w:val="277"/>
        </w:numPr>
        <w:suppressAutoHyphens/>
        <w:jc w:val="left"/>
        <w:rPr>
          <w:lang w:val="en-US"/>
        </w:rPr>
      </w:pPr>
      <w:r>
        <w:rPr>
          <w:lang w:val="en-US"/>
        </w:rPr>
        <w:t>Greek Anticancer Society</w:t>
      </w:r>
    </w:p>
    <w:p w:rsidR="00000000" w:rsidRDefault="00000000">
      <w:pPr>
        <w:pStyle w:val="SingleTxt"/>
        <w:numPr>
          <w:ilvl w:val="0"/>
          <w:numId w:val="277"/>
        </w:numPr>
        <w:suppressAutoHyphens/>
        <w:jc w:val="left"/>
        <w:rPr>
          <w:lang w:val="en-US"/>
        </w:rPr>
      </w:pPr>
      <w:r>
        <w:rPr>
          <w:lang w:val="en-US"/>
        </w:rPr>
        <w:t>Inter-balkan Women’s Cooperation Society UNESCO</w:t>
      </w:r>
    </w:p>
    <w:p w:rsidR="00000000" w:rsidRDefault="00000000">
      <w:pPr>
        <w:pStyle w:val="SingleTxt"/>
        <w:numPr>
          <w:ilvl w:val="0"/>
          <w:numId w:val="277"/>
        </w:numPr>
        <w:suppressAutoHyphens/>
        <w:jc w:val="left"/>
        <w:rPr>
          <w:lang w:val="en-US"/>
        </w:rPr>
      </w:pPr>
      <w:r>
        <w:rPr>
          <w:lang w:val="en-US"/>
        </w:rPr>
        <w:t>Journalists’ Union of Athens Daily Newspapers</w:t>
      </w:r>
    </w:p>
    <w:p w:rsidR="00000000" w:rsidRDefault="00000000">
      <w:pPr>
        <w:pStyle w:val="SingleTxt"/>
        <w:numPr>
          <w:ilvl w:val="0"/>
          <w:numId w:val="277"/>
        </w:numPr>
        <w:suppressAutoHyphens/>
        <w:jc w:val="left"/>
        <w:rPr>
          <w:lang w:val="en-US"/>
        </w:rPr>
      </w:pPr>
      <w:r>
        <w:rPr>
          <w:lang w:val="en-US"/>
        </w:rPr>
        <w:t>Macedonian Institute – Women Support Centre</w:t>
      </w:r>
    </w:p>
    <w:p w:rsidR="00000000" w:rsidRDefault="00000000">
      <w:pPr>
        <w:pStyle w:val="SingleTxt"/>
        <w:numPr>
          <w:ilvl w:val="0"/>
          <w:numId w:val="277"/>
        </w:numPr>
        <w:suppressAutoHyphens/>
        <w:jc w:val="left"/>
        <w:rPr>
          <w:lang w:val="en-US"/>
        </w:rPr>
      </w:pPr>
      <w:r>
        <w:rPr>
          <w:lang w:val="en-US"/>
        </w:rPr>
        <w:t>Maragopoulos Institute for Human Rights</w:t>
      </w:r>
    </w:p>
    <w:p w:rsidR="00000000" w:rsidRDefault="00000000">
      <w:pPr>
        <w:pStyle w:val="SingleTxt"/>
        <w:numPr>
          <w:ilvl w:val="0"/>
          <w:numId w:val="277"/>
        </w:numPr>
        <w:suppressAutoHyphens/>
        <w:jc w:val="left"/>
        <w:rPr>
          <w:lang w:val="en-US"/>
        </w:rPr>
      </w:pPr>
      <w:r>
        <w:rPr>
          <w:lang w:val="en-US"/>
        </w:rPr>
        <w:t>Medecins Sans Frontieres</w:t>
      </w:r>
    </w:p>
    <w:p w:rsidR="00000000" w:rsidRDefault="00000000">
      <w:pPr>
        <w:pStyle w:val="SingleTxt"/>
        <w:numPr>
          <w:ilvl w:val="0"/>
          <w:numId w:val="277"/>
        </w:numPr>
        <w:suppressAutoHyphens/>
        <w:jc w:val="left"/>
        <w:rPr>
          <w:lang w:val="en-US"/>
        </w:rPr>
      </w:pPr>
      <w:r>
        <w:rPr>
          <w:lang w:val="en-US"/>
        </w:rPr>
        <w:t>National Confederation of People with Special Needs</w:t>
      </w:r>
    </w:p>
    <w:p w:rsidR="00000000" w:rsidRDefault="00000000">
      <w:pPr>
        <w:pStyle w:val="SingleTxt"/>
        <w:numPr>
          <w:ilvl w:val="0"/>
          <w:numId w:val="277"/>
        </w:numPr>
        <w:suppressAutoHyphens/>
        <w:jc w:val="left"/>
        <w:rPr>
          <w:lang w:val="en-US"/>
        </w:rPr>
      </w:pPr>
      <w:r>
        <w:rPr>
          <w:lang w:val="en-US"/>
        </w:rPr>
        <w:t>National Council of Greek Women</w:t>
      </w:r>
    </w:p>
    <w:p w:rsidR="00000000" w:rsidRDefault="00000000">
      <w:pPr>
        <w:pStyle w:val="SingleTxt"/>
        <w:numPr>
          <w:ilvl w:val="0"/>
          <w:numId w:val="277"/>
        </w:numPr>
        <w:suppressAutoHyphens/>
        <w:jc w:val="left"/>
        <w:rPr>
          <w:lang w:val="en-US"/>
        </w:rPr>
      </w:pPr>
      <w:r>
        <w:rPr>
          <w:lang w:val="en-US"/>
        </w:rPr>
        <w:t>Network of Elected Women in Local Authorities</w:t>
      </w:r>
    </w:p>
    <w:p w:rsidR="00000000" w:rsidRDefault="00000000">
      <w:pPr>
        <w:pStyle w:val="SingleTxt"/>
        <w:numPr>
          <w:ilvl w:val="0"/>
          <w:numId w:val="277"/>
        </w:numPr>
        <w:suppressAutoHyphens/>
        <w:jc w:val="left"/>
        <w:rPr>
          <w:lang w:val="en-US"/>
        </w:rPr>
      </w:pPr>
      <w:r>
        <w:rPr>
          <w:lang w:val="en-US"/>
        </w:rPr>
        <w:t>Network of Women of Athens</w:t>
      </w:r>
    </w:p>
    <w:p w:rsidR="00000000" w:rsidRDefault="00000000">
      <w:pPr>
        <w:pStyle w:val="SingleTxt"/>
        <w:numPr>
          <w:ilvl w:val="0"/>
          <w:numId w:val="277"/>
        </w:numPr>
        <w:suppressAutoHyphens/>
        <w:jc w:val="left"/>
        <w:rPr>
          <w:lang w:val="en-US"/>
        </w:rPr>
      </w:pPr>
      <w:r>
        <w:rPr>
          <w:lang w:val="en-US"/>
        </w:rPr>
        <w:t>Pan-Cretan Union of Cretan Women</w:t>
      </w:r>
    </w:p>
    <w:p w:rsidR="00000000" w:rsidRDefault="00000000">
      <w:pPr>
        <w:pStyle w:val="SingleTxt"/>
        <w:numPr>
          <w:ilvl w:val="0"/>
          <w:numId w:val="277"/>
        </w:numPr>
        <w:suppressAutoHyphens/>
        <w:jc w:val="left"/>
        <w:rPr>
          <w:lang w:val="en-US"/>
        </w:rPr>
      </w:pPr>
      <w:r>
        <w:rPr>
          <w:lang w:val="en-US"/>
        </w:rPr>
        <w:t>Panhellenic Women’s Organization “Panathinaiki”</w:t>
      </w:r>
    </w:p>
    <w:p w:rsidR="00000000" w:rsidRDefault="00000000">
      <w:pPr>
        <w:pStyle w:val="SingleTxt"/>
        <w:numPr>
          <w:ilvl w:val="0"/>
          <w:numId w:val="277"/>
        </w:numPr>
        <w:suppressAutoHyphens/>
        <w:ind w:left="1742" w:hanging="475"/>
        <w:jc w:val="left"/>
        <w:rPr>
          <w:lang w:val="en-US"/>
        </w:rPr>
      </w:pPr>
      <w:r>
        <w:rPr>
          <w:lang w:val="en-US"/>
        </w:rPr>
        <w:t>Research and Support Centre for Victims of Maltreatment and Social Exclusion of the Ioannina Prefecture</w:t>
      </w:r>
    </w:p>
    <w:p w:rsidR="00000000" w:rsidRDefault="00000000">
      <w:pPr>
        <w:pStyle w:val="SingleTxt"/>
        <w:numPr>
          <w:ilvl w:val="0"/>
          <w:numId w:val="315"/>
        </w:numPr>
        <w:suppressAutoHyphens/>
        <w:ind w:left="1742" w:hanging="475"/>
        <w:jc w:val="left"/>
      </w:pPr>
      <w:r>
        <w:t>Research and Support Centre for Victims Of Maltreatment Coming from Vulnerable Groups and for Protection of Single</w:t>
      </w:r>
      <w:r>
        <w:rPr>
          <w:b/>
          <w:sz w:val="23"/>
          <w:lang w:val="en-US"/>
        </w:rPr>
        <w:t xml:space="preserve"> </w:t>
      </w:r>
      <w:r>
        <w:t>Parent Families of the Preveza Prefe</w:t>
      </w:r>
      <w:r>
        <w:t>c</w:t>
      </w:r>
      <w:r>
        <w:t>ture</w:t>
      </w:r>
    </w:p>
    <w:p w:rsidR="00000000" w:rsidRDefault="00000000">
      <w:pPr>
        <w:pStyle w:val="SingleTxt"/>
        <w:numPr>
          <w:ilvl w:val="0"/>
          <w:numId w:val="315"/>
        </w:numPr>
        <w:suppressAutoHyphens/>
        <w:jc w:val="left"/>
        <w:rPr>
          <w:lang w:val="en-US"/>
        </w:rPr>
      </w:pPr>
      <w:r>
        <w:rPr>
          <w:lang w:val="en-US"/>
        </w:rPr>
        <w:t>Social Assistance of Greece</w:t>
      </w:r>
    </w:p>
    <w:p w:rsidR="00000000" w:rsidRDefault="00000000">
      <w:pPr>
        <w:pStyle w:val="SingleTxt"/>
        <w:numPr>
          <w:ilvl w:val="0"/>
          <w:numId w:val="315"/>
        </w:numPr>
        <w:suppressAutoHyphens/>
        <w:jc w:val="left"/>
        <w:rPr>
          <w:lang w:val="en-US"/>
        </w:rPr>
      </w:pPr>
      <w:r>
        <w:rPr>
          <w:lang w:val="en-US"/>
        </w:rPr>
        <w:t>Soroptimistic Union of Greece</w:t>
      </w:r>
    </w:p>
    <w:p w:rsidR="00000000" w:rsidRDefault="00000000">
      <w:pPr>
        <w:pStyle w:val="SingleTxt"/>
        <w:numPr>
          <w:ilvl w:val="0"/>
          <w:numId w:val="315"/>
        </w:numPr>
        <w:suppressAutoHyphens/>
        <w:jc w:val="left"/>
        <w:rPr>
          <w:lang w:val="en-US"/>
        </w:rPr>
      </w:pPr>
      <w:r>
        <w:rPr>
          <w:lang w:val="en-US"/>
        </w:rPr>
        <w:t>Union of Cretan Women</w:t>
      </w:r>
    </w:p>
    <w:p w:rsidR="00000000" w:rsidRDefault="00000000">
      <w:pPr>
        <w:pStyle w:val="SingleTxt"/>
        <w:numPr>
          <w:ilvl w:val="0"/>
          <w:numId w:val="315"/>
        </w:numPr>
        <w:suppressAutoHyphens/>
        <w:jc w:val="left"/>
        <w:rPr>
          <w:lang w:val="en-US"/>
        </w:rPr>
      </w:pPr>
      <w:r>
        <w:rPr>
          <w:lang w:val="en-US"/>
        </w:rPr>
        <w:t>Vocational Training Centre “ERGON”</w:t>
      </w:r>
    </w:p>
    <w:p w:rsidR="00000000" w:rsidRDefault="00000000">
      <w:pPr>
        <w:pStyle w:val="SingleTxt"/>
        <w:numPr>
          <w:ilvl w:val="0"/>
          <w:numId w:val="315"/>
        </w:numPr>
        <w:suppressAutoHyphens/>
        <w:jc w:val="left"/>
        <w:rPr>
          <w:lang w:val="en-US"/>
        </w:rPr>
      </w:pPr>
      <w:r>
        <w:rPr>
          <w:lang w:val="en-US"/>
        </w:rPr>
        <w:t>Women’s Rights Association</w:t>
      </w:r>
    </w:p>
    <w:p w:rsidR="00000000" w:rsidRDefault="00000000">
      <w:pPr>
        <w:pStyle w:val="SingleTxt"/>
        <w:numPr>
          <w:ilvl w:val="0"/>
          <w:numId w:val="315"/>
        </w:numPr>
        <w:suppressAutoHyphens/>
        <w:jc w:val="left"/>
        <w:rPr>
          <w:lang w:val="en-US"/>
        </w:rPr>
      </w:pPr>
      <w:r>
        <w:rPr>
          <w:lang w:val="en-US"/>
        </w:rPr>
        <w:t>Women’s Union of Greece</w:t>
      </w:r>
    </w:p>
    <w:p w:rsidR="00000000" w:rsidRDefault="00000000">
      <w:pPr>
        <w:pStyle w:val="SingleTxt"/>
        <w:tabs>
          <w:tab w:val="clear" w:pos="1742"/>
        </w:tabs>
        <w:suppressAutoHyphens/>
        <w:spacing w:after="0" w:line="120" w:lineRule="exact"/>
        <w:ind w:left="0"/>
        <w:jc w:val="lef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Independent Administrative Authorities</w:t>
      </w:r>
    </w:p>
    <w:p w:rsidR="00000000" w:rsidRDefault="00000000">
      <w:pPr>
        <w:pStyle w:val="SingleTxt"/>
        <w:suppressAutoHyphens/>
        <w:spacing w:after="0" w:line="120" w:lineRule="exact"/>
        <w:jc w:val="left"/>
        <w:rPr>
          <w:sz w:val="10"/>
        </w:rPr>
      </w:pPr>
    </w:p>
    <w:p w:rsidR="00000000" w:rsidRDefault="00000000">
      <w:pPr>
        <w:pStyle w:val="SingleTxt"/>
        <w:numPr>
          <w:ilvl w:val="0"/>
          <w:numId w:val="316"/>
        </w:numPr>
        <w:suppressAutoHyphens/>
        <w:jc w:val="left"/>
        <w:rPr>
          <w:lang w:val="en-US"/>
        </w:rPr>
      </w:pPr>
      <w:r>
        <w:rPr>
          <w:lang w:val="en-US"/>
        </w:rPr>
        <w:t>Greek National Council for Radio and Television</w:t>
      </w:r>
    </w:p>
    <w:p w:rsidR="00000000" w:rsidRDefault="00000000">
      <w:pPr>
        <w:pStyle w:val="SingleTxt"/>
        <w:numPr>
          <w:ilvl w:val="0"/>
          <w:numId w:val="316"/>
        </w:numPr>
        <w:suppressAutoHyphens/>
        <w:jc w:val="left"/>
        <w:rPr>
          <w:lang w:val="en-US"/>
        </w:rPr>
      </w:pPr>
      <w:r>
        <w:rPr>
          <w:lang w:val="en-US"/>
        </w:rPr>
        <w:t>National Ombudsman</w:t>
      </w:r>
    </w:p>
    <w:p w:rsidR="00000000" w:rsidRDefault="00000000">
      <w:pPr>
        <w:pStyle w:val="SingleTxt"/>
        <w:tabs>
          <w:tab w:val="clear" w:pos="1742"/>
        </w:tabs>
        <w:suppressAutoHyphens/>
        <w:spacing w:after="0" w:line="120" w:lineRule="exact"/>
        <w:ind w:left="0"/>
        <w:jc w:val="lef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Institutions</w:t>
      </w:r>
    </w:p>
    <w:p w:rsidR="00000000" w:rsidRDefault="00000000">
      <w:pPr>
        <w:pStyle w:val="SingleTxt"/>
        <w:suppressAutoHyphens/>
        <w:spacing w:after="0" w:line="120" w:lineRule="exact"/>
        <w:jc w:val="left"/>
        <w:rPr>
          <w:sz w:val="10"/>
        </w:rPr>
      </w:pPr>
    </w:p>
    <w:p w:rsidR="00000000" w:rsidRDefault="00000000">
      <w:pPr>
        <w:pStyle w:val="SingleTxt"/>
        <w:numPr>
          <w:ilvl w:val="0"/>
          <w:numId w:val="317"/>
        </w:numPr>
        <w:suppressAutoHyphens/>
        <w:jc w:val="left"/>
        <w:rPr>
          <w:lang w:val="en-US"/>
        </w:rPr>
      </w:pPr>
      <w:r>
        <w:rPr>
          <w:lang w:val="en-US"/>
        </w:rPr>
        <w:t>Council of Europe</w:t>
      </w:r>
    </w:p>
    <w:p w:rsidR="00000000" w:rsidRDefault="00000000">
      <w:pPr>
        <w:pStyle w:val="SingleTxt"/>
        <w:numPr>
          <w:ilvl w:val="0"/>
          <w:numId w:val="317"/>
        </w:numPr>
        <w:suppressAutoHyphens/>
        <w:jc w:val="left"/>
        <w:rPr>
          <w:lang w:val="en-US"/>
        </w:rPr>
      </w:pPr>
      <w:r>
        <w:rPr>
          <w:lang w:val="en-US"/>
        </w:rPr>
        <w:t>The European Union Statistical Office Eurostat</w:t>
      </w:r>
    </w:p>
    <w:p w:rsidR="00000000" w:rsidRDefault="00000000">
      <w:pPr>
        <w:pStyle w:val="SingleTxt"/>
        <w:numPr>
          <w:ilvl w:val="0"/>
          <w:numId w:val="317"/>
        </w:numPr>
        <w:suppressAutoHyphens/>
        <w:jc w:val="left"/>
        <w:rPr>
          <w:lang w:val="en-US"/>
        </w:rPr>
      </w:pPr>
      <w:r>
        <w:rPr>
          <w:lang w:val="en-US"/>
        </w:rPr>
        <w:t>International Federation of Journalists</w:t>
      </w:r>
    </w:p>
    <w:p w:rsidR="00000000" w:rsidRDefault="00000000">
      <w:pPr>
        <w:pStyle w:val="SingleTxt"/>
        <w:numPr>
          <w:ilvl w:val="0"/>
          <w:numId w:val="317"/>
        </w:numPr>
        <w:suppressAutoHyphens/>
        <w:jc w:val="left"/>
        <w:rPr>
          <w:lang w:val="en-US"/>
        </w:rPr>
      </w:pPr>
      <w:r>
        <w:rPr>
          <w:lang w:val="en-US"/>
        </w:rPr>
        <w:t>The Office of The United Nations High Commissioner for Refugees</w:t>
      </w:r>
    </w:p>
    <w:p w:rsidR="00000000" w:rsidRDefault="00000000">
      <w:pPr>
        <w:pStyle w:val="SingleTxt"/>
        <w:spacing w:after="0" w:line="240" w:lineRule="auto"/>
        <w:rPr>
          <w:lang w:val="en-US"/>
        </w:rPr>
      </w:pPr>
      <w:r>
        <w:rPr>
          <w:noProof/>
          <w:w w:val="100"/>
        </w:rPr>
        <w:pict>
          <v:line id="_x0000_s2117" style="position:absolute;left:0;text-align:left;z-index:4;mso-position-horizontal:absolute;mso-position-horizontal-relative:page;mso-position-vertical:absolute;mso-position-vertical-relative:text" from="280.8pt,24pt" to="352.8pt,24pt" o:allowincell="f" strokeweight=".25pt">
            <w10:wrap type="topAndBottom" anchorx="page"/>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NO&gt;&gt;N0540582S&lt;&lt;ODS JOB NO&gt;&gt;</w:t>
      </w:r>
    </w:p>
    <w:p w:rsidR="00000000" w:rsidRDefault="00000000">
      <w:pPr>
        <w:pStyle w:val="CommentText"/>
      </w:pPr>
      <w:r>
        <w:t>&lt;&lt;ODS DOC SYMBOL1&gt;&gt;CEDAW/C/GRC/6&lt;&lt;ODS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0540582s.doc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0540582s.doc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05-40582 (S)    130106    130106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2"/>
          <w:lang w:val="es-ES_tradnl"/>
        </w:rPr>
        <w:t>Véanse los párrafos 3 y 4 de la sección del presente informe correspondiente a los artículos 2 y 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Véanse los párrafos 2, 3 y 4 de la sección del presente informe correspondiente al artículo 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1 de la sección del presente informe correspondiente al artículo 4.</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El artículo 31 de la Constitución establece que “para poder presentarse a las elecciones presidenciales, los candidatos tendrán que tener la nacionalidad griega desde hace más de cinco años, ser de ascendencia griega por parte de padre o de madre, haber cumplido los 40 años y tener legalmente el derecho de voto”.</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4"/>
          <w:lang w:val="es-ES_tradnl"/>
        </w:rPr>
        <w:t>Consejo de Estado (Sección Tercera)</w:t>
      </w:r>
      <w:r>
        <w:rPr>
          <w:color w:val="000000"/>
          <w:spacing w:val="4"/>
          <w:lang w:val="es-ES_tradnl"/>
        </w:rPr>
        <w:t xml:space="preserve"> 2905/2003, 2906/2003, 2907/2003, 2908/2003 y 2909/2003.</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 xml:space="preserve">Orden Ministerial  no. 2/190/0094 (Boletín Oficial de Grecia, F.E.K. </w:t>
      </w:r>
      <w:r>
        <w:rPr>
          <w:lang w:val="el-GR"/>
        </w:rPr>
        <w:t>Β΄</w:t>
      </w:r>
      <w:r>
        <w:rPr>
          <w:lang w:val="es-ES_tradnl"/>
        </w:rPr>
        <w:t xml:space="preserve"> 323/11-2-2004).</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13 de la sección del presente informe correspondiente al artículo 6.</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3 de la sección del presente informe correspondiente al artículo 6.</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3 de la sección del presente informe correspondiente al artículo 6.</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Véanse los párrafos 3 y 4 de la sección del presente informe correspondiente al artículo 7.</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Véanse los párrafos 3, 4 y 5 de la sección del presente informe correspondiente al artículo 4.</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la sección del presente informe correspondiente al artículo 9.</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Orden 316/14-7-2000. Véase el párrafo 5 de la sección del presente informe correspondiente al artículo 7.</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Artículo 43A del nuevo Reglamento del Parlamento (enero de 2002). Véase el párrafo 6 de la sección del presente informe correspondiente al artículo 7.</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Boletín Oficial de Grecia,  FEKA’  36/09.02.2004.</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13 de la sección del presente informe correspondiente al artículo 14.</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4 de la sección del presente informe correspondiente al artículo 14.</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también el párrafo 1 de la sección del presente informe correspondiente a los artículos 2 y 3.</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Consejo de Estado 192/2004, 3189/2003, 3188/2003, 3187/2003, 3185/2003, 3098/2003, 3027/2003, 2833/2003, 2832/2003.</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Anexo A del presente informe.</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Párrafo 1 del artículo 4 del Decreto Presidencial  77/2003 (Boletín Oficial de Grecia, FEKA’ 752003)</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Orden Ministerial , número 2/37645/0020/2002.</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Boletín Oficial de Grecia,  FEKA</w:t>
      </w:r>
      <w:r>
        <w:rPr>
          <w:lang w:val="el-GR"/>
        </w:rPr>
        <w:t>΄</w:t>
      </w:r>
      <w:r>
        <w:rPr>
          <w:lang w:val="es-ES_tradnl"/>
        </w:rPr>
        <w:t xml:space="preserve"> 15/2004</w:t>
      </w:r>
      <w:r>
        <w:rPr>
          <w:sz w:val="19"/>
          <w:lang w:val="es-ES_tradnl"/>
        </w:rPr>
        <w:t>.</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rPr>
          <w:sz w:val="19"/>
          <w:lang w:val="es-ES_tradnl"/>
        </w:rPr>
      </w:pPr>
      <w:r>
        <w:rPr>
          <w:rStyle w:val="FootnoteReference"/>
          <w:sz w:val="19"/>
        </w:rPr>
        <w:footnoteRef/>
      </w:r>
      <w:r>
        <w:rPr>
          <w:sz w:val="19"/>
          <w:lang w:val="es-ES_tradnl"/>
        </w:rPr>
        <w:t xml:space="preserve"> </w:t>
      </w:r>
      <w:r>
        <w:rPr>
          <w:lang w:val="es-ES_tradnl"/>
        </w:rPr>
        <w:t>Esas medidas figuran en el Anexo  C, al final del presente informe.</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Véanse los párrafos 2, 3 y 4 de la sección del presente informe correspondiente al artículo 4.</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21 de la sección del presente informe correspondiente a los artículos 2 y 3.</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el párrafo 22 de la sección del presente informe correspondiente a los artículos 2 y 3.</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asimismo el párrafo 5 del artículo 69 de la Ley 2910/2001.</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asimismo el párrafo 4 del artículo 69 de la Ley 2910/2001.</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asimismo el párrafo 6 del artículo 69 de la Ley 2910/2001.</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asimismo el párrafo 7 del artículo 69 de la Ley 2910/2001.</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Véase asimismo el párrafo 8 del artículo 69 de la Ley 2910/2001.</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Fuente: http://www.ypepth.gr/el_ec_page70.htm.</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también la sección del presente informe relativa al artículo 5.</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también la primera parte de la sección del presente informe dedicada al artículo 12.</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See Walker L., «When love kills», transl. by Moschopoulou P., Fytrakis Publications, Athens, 1997, p. 148</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n-GB"/>
        </w:rPr>
        <w:t xml:space="preserve">See </w:t>
      </w:r>
      <w:r>
        <w:rPr>
          <w:lang w:val="en-US"/>
        </w:rPr>
        <w:t>European Commission, Eurobarometer 51.0, “Europeans and Their views on domestic</w:t>
      </w:r>
      <w:r>
        <w:rPr>
          <w:lang w:val="en-GB"/>
        </w:rPr>
        <w:t xml:space="preserve"> </w:t>
      </w:r>
      <w:r>
        <w:rPr>
          <w:lang w:val="en-US"/>
        </w:rPr>
        <w:t xml:space="preserve">violence </w:t>
      </w:r>
      <w:r>
        <w:rPr>
          <w:lang w:val="en-GB"/>
        </w:rPr>
        <w:t xml:space="preserve">  </w:t>
      </w:r>
      <w:r>
        <w:rPr>
          <w:lang w:val="en-US"/>
        </w:rPr>
        <w:t>against women”, June 1999, p</w:t>
      </w:r>
      <w:r>
        <w:rPr>
          <w:lang w:val="en-GB"/>
        </w:rPr>
        <w:t>. 32</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European Commission, ibid, p.p. 24-25</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European Commission, ibid, p.p.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CEDAW/C/GRC/6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CEDAW/C/GRC/6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/C/GRC/6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40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
    <w:nsid w:val="01802D52"/>
    <w:multiLevelType w:val="singleLevel"/>
    <w:tmpl w:val="A698C7D6"/>
    <w:lvl w:ilvl="0">
      <w:start w:val="1"/>
      <w:numFmt w:val="decimal"/>
      <w:lvlRestart w:val="0"/>
      <w:lvlText w:val="%1."/>
      <w:lvlJc w:val="left"/>
      <w:pPr>
        <w:tabs>
          <w:tab w:val="num" w:pos="1742"/>
        </w:tabs>
        <w:ind w:left="1267" w:firstLine="0"/>
      </w:pPr>
      <w:rPr>
        <w:spacing w:val="0"/>
        <w:w w:val="100"/>
      </w:rPr>
    </w:lvl>
  </w:abstractNum>
  <w:abstractNum w:abstractNumId="2">
    <w:nsid w:val="018A2E5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
    <w:nsid w:val="01A8464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
    <w:nsid w:val="01F368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
    <w:nsid w:val="027916D1"/>
    <w:multiLevelType w:val="singleLevel"/>
    <w:tmpl w:val="04080017"/>
    <w:lvl w:ilvl="0">
      <w:start w:val="1"/>
      <w:numFmt w:val="lowerLetter"/>
      <w:lvlText w:val="%1)"/>
      <w:lvlJc w:val="left"/>
      <w:pPr>
        <w:tabs>
          <w:tab w:val="num" w:pos="360"/>
        </w:tabs>
        <w:ind w:left="360" w:hanging="360"/>
      </w:pPr>
      <w:rPr>
        <w:rFonts w:hint="default"/>
      </w:rPr>
    </w:lvl>
  </w:abstractNum>
  <w:abstractNum w:abstractNumId="6">
    <w:nsid w:val="03295D29"/>
    <w:multiLevelType w:val="singleLevel"/>
    <w:tmpl w:val="558A0D0A"/>
    <w:lvl w:ilvl="0">
      <w:start w:val="1"/>
      <w:numFmt w:val="decimal"/>
      <w:lvlText w:val="%1."/>
      <w:lvlJc w:val="left"/>
      <w:pPr>
        <w:tabs>
          <w:tab w:val="num" w:pos="360"/>
        </w:tabs>
        <w:ind w:left="360" w:hanging="360"/>
      </w:pPr>
      <w:rPr>
        <w:b/>
        <w:i w:val="0"/>
      </w:rPr>
    </w:lvl>
  </w:abstractNum>
  <w:abstractNum w:abstractNumId="7">
    <w:nsid w:val="03F62D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
    <w:nsid w:val="04142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
    <w:nsid w:val="04F435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
    <w:nsid w:val="057F06DD"/>
    <w:multiLevelType w:val="singleLevel"/>
    <w:tmpl w:val="A00456D8"/>
    <w:lvl w:ilvl="0">
      <w:start w:val="1"/>
      <w:numFmt w:val="decimal"/>
      <w:lvlRestart w:val="0"/>
      <w:lvlText w:val="%1."/>
      <w:lvlJc w:val="left"/>
      <w:pPr>
        <w:tabs>
          <w:tab w:val="num" w:pos="1742"/>
        </w:tabs>
        <w:ind w:left="1267" w:firstLine="0"/>
      </w:pPr>
      <w:rPr>
        <w:spacing w:val="0"/>
        <w:w w:val="100"/>
      </w:rPr>
    </w:lvl>
  </w:abstractNum>
  <w:abstractNum w:abstractNumId="11">
    <w:nsid w:val="05ED7C3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
    <w:nsid w:val="0605166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
    <w:nsid w:val="06482F9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
    <w:nsid w:val="06494354"/>
    <w:multiLevelType w:val="singleLevel"/>
    <w:tmpl w:val="4F5E2CF4"/>
    <w:lvl w:ilvl="0">
      <w:start w:val="9"/>
      <w:numFmt w:val="decimal"/>
      <w:lvlText w:val="%1."/>
      <w:lvlJc w:val="left"/>
      <w:pPr>
        <w:tabs>
          <w:tab w:val="num" w:pos="360"/>
        </w:tabs>
        <w:ind w:left="360" w:hanging="360"/>
      </w:pPr>
      <w:rPr>
        <w:b/>
        <w:i w:val="0"/>
      </w:rPr>
    </w:lvl>
  </w:abstractNum>
  <w:abstractNum w:abstractNumId="15">
    <w:nsid w:val="069D53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
    <w:nsid w:val="06C311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
    <w:nsid w:val="06CD1B2A"/>
    <w:multiLevelType w:val="singleLevel"/>
    <w:tmpl w:val="8FD8C2BA"/>
    <w:lvl w:ilvl="0">
      <w:start w:val="6"/>
      <w:numFmt w:val="decimal"/>
      <w:lvlRestart w:val="0"/>
      <w:lvlText w:val="%1."/>
      <w:lvlJc w:val="left"/>
      <w:pPr>
        <w:tabs>
          <w:tab w:val="num" w:pos="1742"/>
        </w:tabs>
        <w:ind w:left="1267" w:firstLine="0"/>
      </w:pPr>
      <w:rPr>
        <w:spacing w:val="0"/>
        <w:w w:val="100"/>
      </w:rPr>
    </w:lvl>
  </w:abstractNum>
  <w:abstractNum w:abstractNumId="18">
    <w:nsid w:val="06F46B67"/>
    <w:multiLevelType w:val="singleLevel"/>
    <w:tmpl w:val="74206C58"/>
    <w:lvl w:ilvl="0">
      <w:start w:val="21"/>
      <w:numFmt w:val="decimal"/>
      <w:lvlText w:val="%1."/>
      <w:lvlJc w:val="left"/>
      <w:pPr>
        <w:tabs>
          <w:tab w:val="num" w:pos="360"/>
        </w:tabs>
        <w:ind w:left="360" w:hanging="360"/>
      </w:pPr>
      <w:rPr>
        <w:b/>
        <w:i w:val="0"/>
      </w:rPr>
    </w:lvl>
  </w:abstractNum>
  <w:abstractNum w:abstractNumId="19">
    <w:nsid w:val="070D32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
    <w:nsid w:val="089A3B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
    <w:nsid w:val="09535B38"/>
    <w:multiLevelType w:val="singleLevel"/>
    <w:tmpl w:val="A00456D8"/>
    <w:lvl w:ilvl="0">
      <w:start w:val="1"/>
      <w:numFmt w:val="decimal"/>
      <w:lvlRestart w:val="0"/>
      <w:lvlText w:val="%1."/>
      <w:lvlJc w:val="left"/>
      <w:pPr>
        <w:tabs>
          <w:tab w:val="num" w:pos="1742"/>
        </w:tabs>
        <w:ind w:left="1267" w:firstLine="0"/>
      </w:pPr>
      <w:rPr>
        <w:spacing w:val="0"/>
        <w:w w:val="100"/>
      </w:rPr>
    </w:lvl>
  </w:abstractNum>
  <w:abstractNum w:abstractNumId="22">
    <w:nsid w:val="0A3723D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
    <w:nsid w:val="0A7D0C93"/>
    <w:multiLevelType w:val="singleLevel"/>
    <w:tmpl w:val="16FC27B2"/>
    <w:lvl w:ilvl="0">
      <w:start w:val="1"/>
      <w:numFmt w:val="decimal"/>
      <w:lvlText w:val="%1."/>
      <w:lvlJc w:val="left"/>
      <w:pPr>
        <w:tabs>
          <w:tab w:val="num" w:pos="1980"/>
        </w:tabs>
        <w:ind w:left="1980" w:hanging="360"/>
      </w:pPr>
      <w:rPr>
        <w:rFonts w:hint="default"/>
      </w:rPr>
    </w:lvl>
  </w:abstractNum>
  <w:abstractNum w:abstractNumId="24">
    <w:nsid w:val="0ADA0216"/>
    <w:multiLevelType w:val="singleLevel"/>
    <w:tmpl w:val="61EE6F10"/>
    <w:lvl w:ilvl="0">
      <w:start w:val="1"/>
      <w:numFmt w:val="decimal"/>
      <w:lvlText w:val="%1."/>
      <w:lvlJc w:val="left"/>
      <w:pPr>
        <w:tabs>
          <w:tab w:val="num" w:pos="1627"/>
        </w:tabs>
        <w:ind w:left="1627" w:hanging="360"/>
      </w:pPr>
      <w:rPr>
        <w:rFonts w:hint="default"/>
      </w:rPr>
    </w:lvl>
  </w:abstractNum>
  <w:abstractNum w:abstractNumId="25">
    <w:nsid w:val="0B404B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
    <w:nsid w:val="0B6964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
    <w:nsid w:val="0C5C56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
    <w:nsid w:val="0C666116"/>
    <w:multiLevelType w:val="singleLevel"/>
    <w:tmpl w:val="FFAC03C6"/>
    <w:lvl w:ilvl="0">
      <w:start w:val="4"/>
      <w:numFmt w:val="decimal"/>
      <w:lvlRestart w:val="0"/>
      <w:lvlText w:val="%1."/>
      <w:lvlJc w:val="left"/>
      <w:pPr>
        <w:tabs>
          <w:tab w:val="num" w:pos="1742"/>
        </w:tabs>
        <w:ind w:left="1267" w:firstLine="0"/>
      </w:pPr>
      <w:rPr>
        <w:spacing w:val="0"/>
        <w:w w:val="100"/>
      </w:rPr>
    </w:lvl>
  </w:abstractNum>
  <w:abstractNum w:abstractNumId="29">
    <w:nsid w:val="0C972A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
    <w:nsid w:val="0CD91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
    <w:nsid w:val="0D577909"/>
    <w:multiLevelType w:val="singleLevel"/>
    <w:tmpl w:val="8780E480"/>
    <w:lvl w:ilvl="0">
      <w:start w:val="1"/>
      <w:numFmt w:val="decimal"/>
      <w:lvlText w:val="%1."/>
      <w:lvlJc w:val="left"/>
      <w:pPr>
        <w:tabs>
          <w:tab w:val="num" w:pos="360"/>
        </w:tabs>
        <w:ind w:left="360" w:hanging="360"/>
      </w:pPr>
      <w:rPr>
        <w:b/>
        <w:i w:val="0"/>
      </w:rPr>
    </w:lvl>
  </w:abstractNum>
  <w:abstractNum w:abstractNumId="32">
    <w:nsid w:val="0D5A7073"/>
    <w:multiLevelType w:val="singleLevel"/>
    <w:tmpl w:val="869C7B8A"/>
    <w:lvl w:ilvl="0">
      <w:start w:val="1"/>
      <w:numFmt w:val="lowerLetter"/>
      <w:lvlText w:val="%1)"/>
      <w:lvlJc w:val="left"/>
      <w:pPr>
        <w:tabs>
          <w:tab w:val="num" w:pos="1800"/>
        </w:tabs>
        <w:ind w:left="1800" w:hanging="360"/>
      </w:pPr>
      <w:rPr>
        <w:rFonts w:hint="default"/>
      </w:rPr>
    </w:lvl>
  </w:abstractNum>
  <w:abstractNum w:abstractNumId="33">
    <w:nsid w:val="0D9713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4">
    <w:nsid w:val="0E3B20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
    <w:nsid w:val="0E4E756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
    <w:nsid w:val="0EEC320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
    <w:nsid w:val="0F6966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
    <w:nsid w:val="0F764C61"/>
    <w:multiLevelType w:val="singleLevel"/>
    <w:tmpl w:val="558A0D0A"/>
    <w:lvl w:ilvl="0">
      <w:start w:val="1"/>
      <w:numFmt w:val="decimal"/>
      <w:lvlText w:val="%1."/>
      <w:lvlJc w:val="left"/>
      <w:pPr>
        <w:tabs>
          <w:tab w:val="num" w:pos="360"/>
        </w:tabs>
        <w:ind w:left="360" w:hanging="360"/>
      </w:pPr>
      <w:rPr>
        <w:b/>
        <w:i w:val="0"/>
      </w:rPr>
    </w:lvl>
  </w:abstractNum>
  <w:abstractNum w:abstractNumId="39">
    <w:nsid w:val="0FA55FCE"/>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40">
    <w:nsid w:val="10106F09"/>
    <w:multiLevelType w:val="singleLevel"/>
    <w:tmpl w:val="F7E0F80C"/>
    <w:lvl w:ilvl="0">
      <w:start w:val="6"/>
      <w:numFmt w:val="decimal"/>
      <w:lvlText w:val="%1."/>
      <w:lvlJc w:val="left"/>
      <w:pPr>
        <w:tabs>
          <w:tab w:val="num" w:pos="360"/>
        </w:tabs>
        <w:ind w:left="360" w:hanging="360"/>
      </w:pPr>
      <w:rPr>
        <w:b/>
        <w:i w:val="0"/>
      </w:rPr>
    </w:lvl>
  </w:abstractNum>
  <w:abstractNum w:abstractNumId="41">
    <w:nsid w:val="10641167"/>
    <w:multiLevelType w:val="singleLevel"/>
    <w:tmpl w:val="980C6A50"/>
    <w:lvl w:ilvl="0">
      <w:start w:val="1"/>
      <w:numFmt w:val="decimal"/>
      <w:lvlRestart w:val="0"/>
      <w:lvlText w:val="%1."/>
      <w:lvlJc w:val="left"/>
      <w:pPr>
        <w:tabs>
          <w:tab w:val="num" w:pos="1742"/>
        </w:tabs>
        <w:ind w:left="1267" w:firstLine="0"/>
      </w:pPr>
      <w:rPr>
        <w:spacing w:val="0"/>
        <w:w w:val="100"/>
      </w:rPr>
    </w:lvl>
  </w:abstractNum>
  <w:abstractNum w:abstractNumId="42">
    <w:nsid w:val="10E271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3">
    <w:nsid w:val="114703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
    <w:nsid w:val="118D77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5">
    <w:nsid w:val="126722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6">
    <w:nsid w:val="12DD636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7">
    <w:nsid w:val="12E462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8">
    <w:nsid w:val="13C473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
    <w:nsid w:val="13CE0961"/>
    <w:multiLevelType w:val="singleLevel"/>
    <w:tmpl w:val="B4047C5A"/>
    <w:lvl w:ilvl="0">
      <w:start w:val="3"/>
      <w:numFmt w:val="decimal"/>
      <w:lvlRestart w:val="0"/>
      <w:lvlText w:val="%1."/>
      <w:lvlJc w:val="left"/>
      <w:pPr>
        <w:tabs>
          <w:tab w:val="num" w:pos="1742"/>
        </w:tabs>
        <w:ind w:left="1267" w:firstLine="0"/>
      </w:pPr>
      <w:rPr>
        <w:spacing w:val="0"/>
        <w:w w:val="100"/>
      </w:rPr>
    </w:lvl>
  </w:abstractNum>
  <w:abstractNum w:abstractNumId="50">
    <w:nsid w:val="147B6C0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1">
    <w:nsid w:val="15726AA1"/>
    <w:multiLevelType w:val="singleLevel"/>
    <w:tmpl w:val="A698C7D6"/>
    <w:lvl w:ilvl="0">
      <w:start w:val="1"/>
      <w:numFmt w:val="decimal"/>
      <w:lvlRestart w:val="0"/>
      <w:lvlText w:val="%1."/>
      <w:lvlJc w:val="left"/>
      <w:pPr>
        <w:tabs>
          <w:tab w:val="num" w:pos="1742"/>
        </w:tabs>
        <w:ind w:left="1267" w:firstLine="0"/>
      </w:pPr>
      <w:rPr>
        <w:spacing w:val="0"/>
        <w:w w:val="100"/>
      </w:rPr>
    </w:lvl>
  </w:abstractNum>
  <w:abstractNum w:abstractNumId="52">
    <w:nsid w:val="158C43F7"/>
    <w:multiLevelType w:val="singleLevel"/>
    <w:tmpl w:val="6D1AFDB8"/>
    <w:lvl w:ilvl="0">
      <w:start w:val="9"/>
      <w:numFmt w:val="decimal"/>
      <w:lvlRestart w:val="0"/>
      <w:lvlText w:val="%1."/>
      <w:lvlJc w:val="left"/>
      <w:pPr>
        <w:tabs>
          <w:tab w:val="num" w:pos="1742"/>
        </w:tabs>
        <w:ind w:left="1267" w:firstLine="0"/>
      </w:pPr>
      <w:rPr>
        <w:spacing w:val="0"/>
        <w:w w:val="100"/>
      </w:rPr>
    </w:lvl>
  </w:abstractNum>
  <w:abstractNum w:abstractNumId="53">
    <w:nsid w:val="159106E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4">
    <w:nsid w:val="165E3AF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5">
    <w:nsid w:val="16880B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6">
    <w:nsid w:val="16E8737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
    <w:nsid w:val="171820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8">
    <w:nsid w:val="1866462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9">
    <w:nsid w:val="18702F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0">
    <w:nsid w:val="18BF7F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1">
    <w:nsid w:val="197853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2">
    <w:nsid w:val="1983625D"/>
    <w:multiLevelType w:val="singleLevel"/>
    <w:tmpl w:val="11B00438"/>
    <w:lvl w:ilvl="0">
      <w:start w:val="1"/>
      <w:numFmt w:val="decimal"/>
      <w:lvlRestart w:val="0"/>
      <w:lvlText w:val="%1."/>
      <w:lvlJc w:val="left"/>
      <w:pPr>
        <w:tabs>
          <w:tab w:val="num" w:pos="1742"/>
        </w:tabs>
        <w:ind w:left="1267" w:firstLine="0"/>
      </w:pPr>
      <w:rPr>
        <w:spacing w:val="0"/>
        <w:w w:val="100"/>
      </w:rPr>
    </w:lvl>
  </w:abstractNum>
  <w:abstractNum w:abstractNumId="63">
    <w:nsid w:val="198B1FE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4">
    <w:nsid w:val="1B3578CD"/>
    <w:multiLevelType w:val="singleLevel"/>
    <w:tmpl w:val="5F3CD900"/>
    <w:lvl w:ilvl="0">
      <w:start w:val="17"/>
      <w:numFmt w:val="decimal"/>
      <w:lvlText w:val="%1."/>
      <w:lvlJc w:val="left"/>
      <w:pPr>
        <w:tabs>
          <w:tab w:val="num" w:pos="360"/>
        </w:tabs>
        <w:ind w:left="360" w:hanging="360"/>
      </w:pPr>
      <w:rPr>
        <w:b/>
        <w:i w:val="0"/>
      </w:rPr>
    </w:lvl>
  </w:abstractNum>
  <w:abstractNum w:abstractNumId="65">
    <w:nsid w:val="1BA000FA"/>
    <w:multiLevelType w:val="singleLevel"/>
    <w:tmpl w:val="69F2C6EA"/>
    <w:lvl w:ilvl="0">
      <w:start w:val="1"/>
      <w:numFmt w:val="lowerLetter"/>
      <w:lvlText w:val="%1)"/>
      <w:lvlJc w:val="left"/>
      <w:pPr>
        <w:tabs>
          <w:tab w:val="num" w:pos="900"/>
        </w:tabs>
        <w:ind w:left="900" w:hanging="360"/>
      </w:pPr>
      <w:rPr>
        <w:rFonts w:hint="default"/>
      </w:rPr>
    </w:lvl>
  </w:abstractNum>
  <w:abstractNum w:abstractNumId="66">
    <w:nsid w:val="1C0776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7">
    <w:nsid w:val="1C3850C4"/>
    <w:multiLevelType w:val="singleLevel"/>
    <w:tmpl w:val="75F0EE58"/>
    <w:lvl w:ilvl="0">
      <w:start w:val="1"/>
      <w:numFmt w:val="decimal"/>
      <w:lvlText w:val="%1."/>
      <w:lvlJc w:val="left"/>
      <w:pPr>
        <w:tabs>
          <w:tab w:val="num" w:pos="360"/>
        </w:tabs>
        <w:ind w:left="360" w:hanging="360"/>
      </w:pPr>
      <w:rPr>
        <w:b/>
        <w:i w:val="0"/>
      </w:rPr>
    </w:lvl>
  </w:abstractNum>
  <w:abstractNum w:abstractNumId="68">
    <w:nsid w:val="1C6628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9">
    <w:nsid w:val="1D766725"/>
    <w:multiLevelType w:val="singleLevel"/>
    <w:tmpl w:val="769CA0C6"/>
    <w:lvl w:ilvl="0">
      <w:start w:val="3"/>
      <w:numFmt w:val="decimal"/>
      <w:lvlRestart w:val="0"/>
      <w:lvlText w:val="%1."/>
      <w:lvlJc w:val="left"/>
      <w:pPr>
        <w:tabs>
          <w:tab w:val="num" w:pos="1742"/>
        </w:tabs>
        <w:ind w:left="1267" w:firstLine="0"/>
      </w:pPr>
      <w:rPr>
        <w:spacing w:val="0"/>
        <w:w w:val="100"/>
      </w:rPr>
    </w:lvl>
  </w:abstractNum>
  <w:abstractNum w:abstractNumId="70">
    <w:nsid w:val="1D95108D"/>
    <w:multiLevelType w:val="singleLevel"/>
    <w:tmpl w:val="A9ACBD1A"/>
    <w:lvl w:ilvl="0">
      <w:start w:val="8"/>
      <w:numFmt w:val="decimal"/>
      <w:lvlRestart w:val="0"/>
      <w:lvlText w:val="%1."/>
      <w:lvlJc w:val="left"/>
      <w:pPr>
        <w:tabs>
          <w:tab w:val="num" w:pos="1742"/>
        </w:tabs>
        <w:ind w:left="1267" w:firstLine="0"/>
      </w:pPr>
      <w:rPr>
        <w:spacing w:val="0"/>
        <w:w w:val="100"/>
      </w:rPr>
    </w:lvl>
  </w:abstractNum>
  <w:abstractNum w:abstractNumId="71">
    <w:nsid w:val="1DC842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2">
    <w:nsid w:val="1E706D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3">
    <w:nsid w:val="1ED579D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4">
    <w:nsid w:val="1EEA1F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5">
    <w:nsid w:val="1F1C38BD"/>
    <w:multiLevelType w:val="singleLevel"/>
    <w:tmpl w:val="558A0D0A"/>
    <w:lvl w:ilvl="0">
      <w:start w:val="1"/>
      <w:numFmt w:val="decimal"/>
      <w:lvlText w:val="%1."/>
      <w:lvlJc w:val="left"/>
      <w:pPr>
        <w:tabs>
          <w:tab w:val="num" w:pos="360"/>
        </w:tabs>
        <w:ind w:left="360" w:hanging="360"/>
      </w:pPr>
      <w:rPr>
        <w:b/>
        <w:i w:val="0"/>
      </w:rPr>
    </w:lvl>
  </w:abstractNum>
  <w:abstractNum w:abstractNumId="76">
    <w:nsid w:val="1F2B59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7">
    <w:nsid w:val="1F791D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8">
    <w:nsid w:val="205637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9">
    <w:nsid w:val="20813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0">
    <w:nsid w:val="21671BF6"/>
    <w:multiLevelType w:val="singleLevel"/>
    <w:tmpl w:val="2850CA00"/>
    <w:lvl w:ilvl="0">
      <w:start w:val="1"/>
      <w:numFmt w:val="decimal"/>
      <w:lvlRestart w:val="0"/>
      <w:lvlText w:val="%1."/>
      <w:lvlJc w:val="left"/>
      <w:pPr>
        <w:tabs>
          <w:tab w:val="num" w:pos="1742"/>
        </w:tabs>
        <w:ind w:left="1267" w:firstLine="0"/>
      </w:pPr>
      <w:rPr>
        <w:spacing w:val="0"/>
        <w:w w:val="100"/>
      </w:rPr>
    </w:lvl>
  </w:abstractNum>
  <w:abstractNum w:abstractNumId="81">
    <w:nsid w:val="21EE57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2">
    <w:nsid w:val="230C4182"/>
    <w:multiLevelType w:val="singleLevel"/>
    <w:tmpl w:val="3BB85204"/>
    <w:lvl w:ilvl="0">
      <w:start w:val="1"/>
      <w:numFmt w:val="lowerLetter"/>
      <w:lvlText w:val="(%1)"/>
      <w:lvlJc w:val="left"/>
      <w:pPr>
        <w:tabs>
          <w:tab w:val="num" w:pos="375"/>
        </w:tabs>
        <w:ind w:left="375" w:hanging="375"/>
      </w:pPr>
      <w:rPr>
        <w:rFonts w:ascii="Verdana" w:hAnsi="Verdana" w:hint="default"/>
        <w:sz w:val="20"/>
      </w:rPr>
    </w:lvl>
  </w:abstractNum>
  <w:abstractNum w:abstractNumId="83">
    <w:nsid w:val="23F238C4"/>
    <w:multiLevelType w:val="singleLevel"/>
    <w:tmpl w:val="8BD85864"/>
    <w:lvl w:ilvl="0">
      <w:start w:val="24"/>
      <w:numFmt w:val="decimal"/>
      <w:lvlText w:val="%1."/>
      <w:lvlJc w:val="left"/>
      <w:pPr>
        <w:tabs>
          <w:tab w:val="num" w:pos="360"/>
        </w:tabs>
        <w:ind w:left="360" w:hanging="360"/>
      </w:pPr>
      <w:rPr>
        <w:b/>
        <w:i w:val="0"/>
      </w:rPr>
    </w:lvl>
  </w:abstractNum>
  <w:abstractNum w:abstractNumId="84">
    <w:nsid w:val="24395E10"/>
    <w:multiLevelType w:val="singleLevel"/>
    <w:tmpl w:val="70668E3E"/>
    <w:lvl w:ilvl="0">
      <w:start w:val="19"/>
      <w:numFmt w:val="decimal"/>
      <w:lvlText w:val="%1."/>
      <w:lvlJc w:val="left"/>
      <w:pPr>
        <w:tabs>
          <w:tab w:val="num" w:pos="360"/>
        </w:tabs>
        <w:ind w:left="360" w:hanging="360"/>
      </w:pPr>
      <w:rPr>
        <w:b/>
        <w:i w:val="0"/>
      </w:rPr>
    </w:lvl>
  </w:abstractNum>
  <w:abstractNum w:abstractNumId="85">
    <w:nsid w:val="24ED3E9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6">
    <w:nsid w:val="250A30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7">
    <w:nsid w:val="25253F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8">
    <w:nsid w:val="256C5D1A"/>
    <w:multiLevelType w:val="singleLevel"/>
    <w:tmpl w:val="8780E480"/>
    <w:lvl w:ilvl="0">
      <w:start w:val="1"/>
      <w:numFmt w:val="decimal"/>
      <w:lvlText w:val="%1."/>
      <w:lvlJc w:val="left"/>
      <w:pPr>
        <w:tabs>
          <w:tab w:val="num" w:pos="360"/>
        </w:tabs>
        <w:ind w:left="360" w:hanging="360"/>
      </w:pPr>
      <w:rPr>
        <w:b/>
        <w:i w:val="0"/>
      </w:rPr>
    </w:lvl>
  </w:abstractNum>
  <w:abstractNum w:abstractNumId="89">
    <w:nsid w:val="25BB4145"/>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90">
    <w:nsid w:val="25F55E8A"/>
    <w:multiLevelType w:val="singleLevel"/>
    <w:tmpl w:val="A56A7B70"/>
    <w:lvl w:ilvl="0">
      <w:start w:val="1"/>
      <w:numFmt w:val="decimal"/>
      <w:lvlText w:val="%1."/>
      <w:lvlJc w:val="left"/>
      <w:pPr>
        <w:tabs>
          <w:tab w:val="num" w:pos="360"/>
        </w:tabs>
        <w:ind w:left="360" w:hanging="360"/>
      </w:pPr>
      <w:rPr>
        <w:b/>
        <w:i w:val="0"/>
      </w:rPr>
    </w:lvl>
  </w:abstractNum>
  <w:abstractNum w:abstractNumId="91">
    <w:nsid w:val="265D06C4"/>
    <w:multiLevelType w:val="singleLevel"/>
    <w:tmpl w:val="0408000F"/>
    <w:lvl w:ilvl="0">
      <w:start w:val="1"/>
      <w:numFmt w:val="decimal"/>
      <w:lvlText w:val="%1."/>
      <w:lvlJc w:val="left"/>
      <w:pPr>
        <w:tabs>
          <w:tab w:val="num" w:pos="360"/>
        </w:tabs>
        <w:ind w:left="360" w:hanging="360"/>
      </w:pPr>
    </w:lvl>
  </w:abstractNum>
  <w:abstractNum w:abstractNumId="92">
    <w:nsid w:val="2706489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3">
    <w:nsid w:val="27A23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4">
    <w:nsid w:val="28032F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5">
    <w:nsid w:val="281A2C4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6">
    <w:nsid w:val="28BF68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7">
    <w:nsid w:val="28F325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8">
    <w:nsid w:val="2968227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9">
    <w:nsid w:val="2B7D088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0">
    <w:nsid w:val="2BCF63B7"/>
    <w:multiLevelType w:val="singleLevel"/>
    <w:tmpl w:val="F7760F6E"/>
    <w:lvl w:ilvl="0">
      <w:start w:val="2"/>
      <w:numFmt w:val="decimal"/>
      <w:lvlRestart w:val="0"/>
      <w:lvlText w:val="%1."/>
      <w:lvlJc w:val="left"/>
      <w:pPr>
        <w:tabs>
          <w:tab w:val="num" w:pos="1742"/>
        </w:tabs>
        <w:ind w:left="1267" w:firstLine="0"/>
      </w:pPr>
      <w:rPr>
        <w:spacing w:val="0"/>
        <w:w w:val="100"/>
      </w:rPr>
    </w:lvl>
  </w:abstractNum>
  <w:abstractNum w:abstractNumId="101">
    <w:nsid w:val="2BD55003"/>
    <w:multiLevelType w:val="singleLevel"/>
    <w:tmpl w:val="B3A8E510"/>
    <w:lvl w:ilvl="0">
      <w:start w:val="1"/>
      <w:numFmt w:val="lowerLetter"/>
      <w:lvlText w:val="%1)"/>
      <w:lvlJc w:val="left"/>
      <w:pPr>
        <w:tabs>
          <w:tab w:val="num" w:pos="1800"/>
        </w:tabs>
        <w:ind w:left="1800" w:hanging="360"/>
      </w:pPr>
      <w:rPr>
        <w:rFonts w:hint="default"/>
      </w:rPr>
    </w:lvl>
  </w:abstractNum>
  <w:abstractNum w:abstractNumId="102">
    <w:nsid w:val="2C1A27B0"/>
    <w:multiLevelType w:val="singleLevel"/>
    <w:tmpl w:val="D2049EB2"/>
    <w:lvl w:ilvl="0">
      <w:start w:val="1"/>
      <w:numFmt w:val="decimal"/>
      <w:lvlRestart w:val="0"/>
      <w:lvlText w:val="%1."/>
      <w:lvlJc w:val="left"/>
      <w:pPr>
        <w:tabs>
          <w:tab w:val="num" w:pos="1742"/>
        </w:tabs>
        <w:ind w:left="1267" w:firstLine="0"/>
      </w:pPr>
      <w:rPr>
        <w:spacing w:val="0"/>
        <w:w w:val="100"/>
      </w:rPr>
    </w:lvl>
  </w:abstractNum>
  <w:abstractNum w:abstractNumId="103">
    <w:nsid w:val="2C2D70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4">
    <w:nsid w:val="2D000A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5">
    <w:nsid w:val="2D14248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6">
    <w:nsid w:val="2D3922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7">
    <w:nsid w:val="2D4141A4"/>
    <w:multiLevelType w:val="singleLevel"/>
    <w:tmpl w:val="0AA4AAB0"/>
    <w:lvl w:ilvl="0">
      <w:start w:val="1"/>
      <w:numFmt w:val="lowerLetter"/>
      <w:lvlText w:val="(%1)"/>
      <w:lvlJc w:val="left"/>
      <w:pPr>
        <w:tabs>
          <w:tab w:val="num" w:pos="1995"/>
        </w:tabs>
        <w:ind w:left="1995" w:hanging="375"/>
      </w:pPr>
      <w:rPr>
        <w:rFonts w:hint="default"/>
      </w:rPr>
    </w:lvl>
  </w:abstractNum>
  <w:abstractNum w:abstractNumId="108">
    <w:nsid w:val="2FBD120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9">
    <w:nsid w:val="302420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0">
    <w:nsid w:val="30420D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1">
    <w:nsid w:val="306A1FC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2">
    <w:nsid w:val="319D11F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3">
    <w:nsid w:val="319F5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4">
    <w:nsid w:val="31A84823"/>
    <w:multiLevelType w:val="singleLevel"/>
    <w:tmpl w:val="4CB65D58"/>
    <w:lvl w:ilvl="0">
      <w:start w:val="4"/>
      <w:numFmt w:val="decimal"/>
      <w:lvlRestart w:val="0"/>
      <w:lvlText w:val="%1."/>
      <w:lvlJc w:val="left"/>
      <w:pPr>
        <w:tabs>
          <w:tab w:val="num" w:pos="1742"/>
        </w:tabs>
        <w:ind w:left="1267" w:firstLine="0"/>
      </w:pPr>
      <w:rPr>
        <w:spacing w:val="0"/>
        <w:w w:val="100"/>
      </w:rPr>
    </w:lvl>
  </w:abstractNum>
  <w:abstractNum w:abstractNumId="115">
    <w:nsid w:val="327F6692"/>
    <w:multiLevelType w:val="multilevel"/>
    <w:tmpl w:val="73561C98"/>
    <w:lvl w:ilvl="0">
      <w:start w:val="1"/>
      <w:numFmt w:val="bullet"/>
      <w:lvlText w:val=""/>
      <w:lvlJc w:val="left"/>
      <w:pPr>
        <w:tabs>
          <w:tab w:val="num" w:pos="1440"/>
        </w:tabs>
        <w:ind w:left="1440" w:hanging="360"/>
      </w:pPr>
      <w:rPr>
        <w:rFonts w:ascii="Symbol" w:hAnsi="Symbol" w:hint="default"/>
      </w:rPr>
    </w:lvl>
    <w:lvl w:ilvl="1">
      <w:start w:val="23"/>
      <w:numFmt w:val="decimal"/>
      <w:lvlText w:val="%2."/>
      <w:lvlJc w:val="left"/>
      <w:pPr>
        <w:tabs>
          <w:tab w:val="num" w:pos="2160"/>
        </w:tabs>
        <w:ind w:left="2160" w:hanging="360"/>
      </w:pPr>
      <w:rPr>
        <w:rFont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6">
    <w:nsid w:val="33481F7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7">
    <w:nsid w:val="33F041BC"/>
    <w:multiLevelType w:val="singleLevel"/>
    <w:tmpl w:val="B1823C2A"/>
    <w:lvl w:ilvl="0">
      <w:start w:val="85"/>
      <w:numFmt w:val="decimal"/>
      <w:lvlRestart w:val="0"/>
      <w:lvlText w:val="%1."/>
      <w:lvlJc w:val="left"/>
      <w:pPr>
        <w:tabs>
          <w:tab w:val="num" w:pos="1742"/>
        </w:tabs>
        <w:ind w:left="1267" w:firstLine="0"/>
      </w:pPr>
      <w:rPr>
        <w:spacing w:val="0"/>
        <w:w w:val="100"/>
      </w:rPr>
    </w:lvl>
  </w:abstractNum>
  <w:abstractNum w:abstractNumId="118">
    <w:nsid w:val="33FE6735"/>
    <w:multiLevelType w:val="singleLevel"/>
    <w:tmpl w:val="C0FC32DE"/>
    <w:lvl w:ilvl="0">
      <w:start w:val="1"/>
      <w:numFmt w:val="decimal"/>
      <w:lvlText w:val="%1."/>
      <w:lvlJc w:val="left"/>
      <w:pPr>
        <w:tabs>
          <w:tab w:val="num" w:pos="360"/>
        </w:tabs>
        <w:ind w:left="360" w:hanging="360"/>
      </w:pPr>
      <w:rPr>
        <w:b/>
        <w:i w:val="0"/>
      </w:rPr>
    </w:lvl>
  </w:abstractNum>
  <w:abstractNum w:abstractNumId="119">
    <w:nsid w:val="34E86A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0">
    <w:nsid w:val="350837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1">
    <w:nsid w:val="358A33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2">
    <w:nsid w:val="358C692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3">
    <w:nsid w:val="35C4550B"/>
    <w:multiLevelType w:val="singleLevel"/>
    <w:tmpl w:val="64046642"/>
    <w:lvl w:ilvl="0">
      <w:start w:val="1"/>
      <w:numFmt w:val="decimal"/>
      <w:lvlRestart w:val="0"/>
      <w:lvlText w:val="%1."/>
      <w:lvlJc w:val="left"/>
      <w:pPr>
        <w:tabs>
          <w:tab w:val="num" w:pos="1742"/>
        </w:tabs>
        <w:ind w:left="1267" w:firstLine="0"/>
      </w:pPr>
      <w:rPr>
        <w:spacing w:val="0"/>
        <w:w w:val="100"/>
      </w:rPr>
    </w:lvl>
  </w:abstractNum>
  <w:abstractNum w:abstractNumId="124">
    <w:nsid w:val="367D1D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5">
    <w:nsid w:val="36F211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6">
    <w:nsid w:val="377D6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7">
    <w:nsid w:val="379918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8">
    <w:nsid w:val="3799279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9">
    <w:nsid w:val="37B43B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0">
    <w:nsid w:val="37E86EF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1">
    <w:nsid w:val="38317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2">
    <w:nsid w:val="39273B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3">
    <w:nsid w:val="392F76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4">
    <w:nsid w:val="39F361B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5">
    <w:nsid w:val="3A5D4E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6">
    <w:nsid w:val="3B0F69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7">
    <w:nsid w:val="3C4D117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8">
    <w:nsid w:val="3C9A1C1A"/>
    <w:multiLevelType w:val="multilevel"/>
    <w:tmpl w:val="84682F30"/>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cs="Verdana"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cs="Verdana"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cs="Verdana"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139">
    <w:nsid w:val="3CA969C0"/>
    <w:multiLevelType w:val="singleLevel"/>
    <w:tmpl w:val="D2049EB2"/>
    <w:lvl w:ilvl="0">
      <w:start w:val="1"/>
      <w:numFmt w:val="decimal"/>
      <w:lvlRestart w:val="0"/>
      <w:lvlText w:val="%1."/>
      <w:lvlJc w:val="left"/>
      <w:pPr>
        <w:tabs>
          <w:tab w:val="num" w:pos="1742"/>
        </w:tabs>
        <w:ind w:left="1267" w:firstLine="0"/>
      </w:pPr>
      <w:rPr>
        <w:spacing w:val="0"/>
        <w:w w:val="100"/>
      </w:rPr>
    </w:lvl>
  </w:abstractNum>
  <w:abstractNum w:abstractNumId="140">
    <w:nsid w:val="3CD45460"/>
    <w:multiLevelType w:val="singleLevel"/>
    <w:tmpl w:val="33BE4A8E"/>
    <w:lvl w:ilvl="0">
      <w:start w:val="5"/>
      <w:numFmt w:val="decimal"/>
      <w:lvlRestart w:val="0"/>
      <w:lvlText w:val="%1."/>
      <w:lvlJc w:val="left"/>
      <w:pPr>
        <w:tabs>
          <w:tab w:val="num" w:pos="1742"/>
        </w:tabs>
        <w:ind w:left="1267" w:firstLine="0"/>
      </w:pPr>
      <w:rPr>
        <w:spacing w:val="0"/>
        <w:w w:val="100"/>
      </w:rPr>
    </w:lvl>
  </w:abstractNum>
  <w:abstractNum w:abstractNumId="141">
    <w:nsid w:val="3D36796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2">
    <w:nsid w:val="3D9C52E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3">
    <w:nsid w:val="3DAF32B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4">
    <w:nsid w:val="3E284A3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5">
    <w:nsid w:val="3F247B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6">
    <w:nsid w:val="402E6FB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7">
    <w:nsid w:val="42027BF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8">
    <w:nsid w:val="422952E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9">
    <w:nsid w:val="42BC6E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0">
    <w:nsid w:val="4301349A"/>
    <w:multiLevelType w:val="multilevel"/>
    <w:tmpl w:val="56906A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1">
    <w:nsid w:val="432350F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2">
    <w:nsid w:val="437F27A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3">
    <w:nsid w:val="44273F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4">
    <w:nsid w:val="443A395F"/>
    <w:multiLevelType w:val="multilevel"/>
    <w:tmpl w:val="696CE3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44D612A1"/>
    <w:multiLevelType w:val="multilevel"/>
    <w:tmpl w:val="01B0FB02"/>
    <w:lvl w:ilvl="0">
      <w:start w:val="1"/>
      <w:numFmt w:val="bullet"/>
      <w:lvlText w:val=""/>
      <w:lvlJc w:val="left"/>
      <w:pPr>
        <w:tabs>
          <w:tab w:val="num" w:pos="1440"/>
        </w:tabs>
        <w:ind w:left="1440" w:hanging="360"/>
      </w:pPr>
      <w:rPr>
        <w:rFonts w:ascii="Symbol" w:hAnsi="Symbol" w:hint="default"/>
      </w:rPr>
    </w:lvl>
    <w:lvl w:ilvl="1">
      <w:start w:val="4"/>
      <w:numFmt w:val="decimal"/>
      <w:lvlText w:val="%2."/>
      <w:lvlJc w:val="left"/>
      <w:pPr>
        <w:tabs>
          <w:tab w:val="num" w:pos="2160"/>
        </w:tabs>
        <w:ind w:left="2160" w:hanging="360"/>
      </w:pPr>
      <w:rPr>
        <w:rFonts w:hint="default"/>
        <w:b/>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6">
    <w:nsid w:val="44E262D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7">
    <w:nsid w:val="45494D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8">
    <w:nsid w:val="45D11A4B"/>
    <w:multiLevelType w:val="multilevel"/>
    <w:tmpl w:val="AFF4BA3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59">
    <w:nsid w:val="45FF013C"/>
    <w:multiLevelType w:val="singleLevel"/>
    <w:tmpl w:val="D02E1C46"/>
    <w:lvl w:ilvl="0">
      <w:start w:val="1"/>
      <w:numFmt w:val="bullet"/>
      <w:lvlText w:val=""/>
      <w:lvlJc w:val="left"/>
      <w:pPr>
        <w:tabs>
          <w:tab w:val="num" w:pos="432"/>
        </w:tabs>
        <w:ind w:left="432" w:hanging="432"/>
      </w:pPr>
      <w:rPr>
        <w:rFonts w:ascii="Wingdings" w:hAnsi="Wingdings" w:hint="default"/>
      </w:rPr>
    </w:lvl>
  </w:abstractNum>
  <w:abstractNum w:abstractNumId="160">
    <w:nsid w:val="468D5C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1">
    <w:nsid w:val="469176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2">
    <w:nsid w:val="46A146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3">
    <w:nsid w:val="46F84A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4">
    <w:nsid w:val="477879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5">
    <w:nsid w:val="47D920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6">
    <w:nsid w:val="48094B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7">
    <w:nsid w:val="48594B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8">
    <w:nsid w:val="48C61B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9">
    <w:nsid w:val="49B0214D"/>
    <w:multiLevelType w:val="multilevel"/>
    <w:tmpl w:val="D772CC4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0">
    <w:nsid w:val="49EE66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1">
    <w:nsid w:val="4A2E144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2">
    <w:nsid w:val="4A4F0C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3">
    <w:nsid w:val="4A8A65F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4">
    <w:nsid w:val="4B3748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5">
    <w:nsid w:val="4BE5647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6">
    <w:nsid w:val="4C5059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7">
    <w:nsid w:val="4CCA336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8">
    <w:nsid w:val="4CDA0238"/>
    <w:multiLevelType w:val="singleLevel"/>
    <w:tmpl w:val="8780E480"/>
    <w:lvl w:ilvl="0">
      <w:start w:val="1"/>
      <w:numFmt w:val="decimal"/>
      <w:lvlText w:val="%1."/>
      <w:lvlJc w:val="left"/>
      <w:pPr>
        <w:tabs>
          <w:tab w:val="num" w:pos="360"/>
        </w:tabs>
        <w:ind w:left="360" w:hanging="360"/>
      </w:pPr>
      <w:rPr>
        <w:b/>
        <w:i w:val="0"/>
      </w:rPr>
    </w:lvl>
  </w:abstractNum>
  <w:abstractNum w:abstractNumId="179">
    <w:nsid w:val="4CDC61F8"/>
    <w:multiLevelType w:val="singleLevel"/>
    <w:tmpl w:val="3AC4FA4A"/>
    <w:lvl w:ilvl="0">
      <w:start w:val="6"/>
      <w:numFmt w:val="decimal"/>
      <w:lvlRestart w:val="0"/>
      <w:lvlText w:val="%1."/>
      <w:lvlJc w:val="left"/>
      <w:pPr>
        <w:tabs>
          <w:tab w:val="num" w:pos="1742"/>
        </w:tabs>
        <w:ind w:left="1267" w:firstLine="0"/>
      </w:pPr>
      <w:rPr>
        <w:spacing w:val="0"/>
        <w:w w:val="100"/>
      </w:rPr>
    </w:lvl>
  </w:abstractNum>
  <w:abstractNum w:abstractNumId="180">
    <w:nsid w:val="4CDD71EE"/>
    <w:multiLevelType w:val="singleLevel"/>
    <w:tmpl w:val="A00456D8"/>
    <w:lvl w:ilvl="0">
      <w:start w:val="1"/>
      <w:numFmt w:val="decimal"/>
      <w:lvlRestart w:val="0"/>
      <w:lvlText w:val="%1."/>
      <w:lvlJc w:val="left"/>
      <w:pPr>
        <w:tabs>
          <w:tab w:val="num" w:pos="1742"/>
        </w:tabs>
        <w:ind w:left="1267" w:firstLine="0"/>
      </w:pPr>
      <w:rPr>
        <w:spacing w:val="0"/>
        <w:w w:val="100"/>
      </w:rPr>
    </w:lvl>
  </w:abstractNum>
  <w:abstractNum w:abstractNumId="181">
    <w:nsid w:val="4DD701A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2">
    <w:nsid w:val="4DE221DF"/>
    <w:multiLevelType w:val="singleLevel"/>
    <w:tmpl w:val="D21E80F4"/>
    <w:lvl w:ilvl="0">
      <w:start w:val="2"/>
      <w:numFmt w:val="decimal"/>
      <w:lvlText w:val="%1."/>
      <w:lvlJc w:val="left"/>
      <w:pPr>
        <w:tabs>
          <w:tab w:val="num" w:pos="360"/>
        </w:tabs>
        <w:ind w:left="360" w:hanging="360"/>
      </w:pPr>
    </w:lvl>
  </w:abstractNum>
  <w:abstractNum w:abstractNumId="183">
    <w:nsid w:val="4E1372D0"/>
    <w:multiLevelType w:val="multilevel"/>
    <w:tmpl w:val="01B0FB02"/>
    <w:lvl w:ilvl="0">
      <w:start w:val="1"/>
      <w:numFmt w:val="bullet"/>
      <w:lvlText w:val=""/>
      <w:lvlJc w:val="left"/>
      <w:pPr>
        <w:tabs>
          <w:tab w:val="num" w:pos="1440"/>
        </w:tabs>
        <w:ind w:left="1440" w:hanging="360"/>
      </w:pPr>
      <w:rPr>
        <w:rFonts w:ascii="Symbol" w:hAnsi="Symbol" w:hint="default"/>
      </w:rPr>
    </w:lvl>
    <w:lvl w:ilvl="1">
      <w:start w:val="4"/>
      <w:numFmt w:val="decimal"/>
      <w:lvlText w:val="%2."/>
      <w:lvlJc w:val="left"/>
      <w:pPr>
        <w:tabs>
          <w:tab w:val="num" w:pos="2160"/>
        </w:tabs>
        <w:ind w:left="2160" w:hanging="360"/>
      </w:pPr>
      <w:rPr>
        <w:rFonts w:hint="default"/>
        <w:b/>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84">
    <w:nsid w:val="4F194B0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5">
    <w:nsid w:val="4FDA354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6">
    <w:nsid w:val="4FF47A12"/>
    <w:multiLevelType w:val="singleLevel"/>
    <w:tmpl w:val="4440A26E"/>
    <w:lvl w:ilvl="0">
      <w:start w:val="1"/>
      <w:numFmt w:val="decimal"/>
      <w:lvlText w:val="%1."/>
      <w:lvlJc w:val="left"/>
      <w:pPr>
        <w:tabs>
          <w:tab w:val="num" w:pos="360"/>
        </w:tabs>
        <w:ind w:left="360" w:hanging="360"/>
      </w:pPr>
      <w:rPr>
        <w:b/>
        <w:i w:val="0"/>
      </w:rPr>
    </w:lvl>
  </w:abstractNum>
  <w:abstractNum w:abstractNumId="187">
    <w:nsid w:val="500D37B3"/>
    <w:multiLevelType w:val="singleLevel"/>
    <w:tmpl w:val="EF66AA64"/>
    <w:lvl w:ilvl="0">
      <w:start w:val="1"/>
      <w:numFmt w:val="bullet"/>
      <w:lvlText w:val=""/>
      <w:lvlJc w:val="left"/>
      <w:pPr>
        <w:tabs>
          <w:tab w:val="num" w:pos="360"/>
        </w:tabs>
        <w:ind w:left="360" w:hanging="360"/>
      </w:pPr>
      <w:rPr>
        <w:rFonts w:ascii="Symbol" w:hAnsi="Symbol" w:hint="default"/>
        <w:sz w:val="28"/>
      </w:rPr>
    </w:lvl>
  </w:abstractNum>
  <w:abstractNum w:abstractNumId="188">
    <w:nsid w:val="50256AC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9">
    <w:nsid w:val="50365C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0">
    <w:nsid w:val="50906086"/>
    <w:multiLevelType w:val="multilevel"/>
    <w:tmpl w:val="66CE7BD2"/>
    <w:lvl w:ilvl="0">
      <w:start w:val="1"/>
      <w:numFmt w:val="bullet"/>
      <w:lvlText w:val=""/>
      <w:lvlJc w:val="left"/>
      <w:pPr>
        <w:tabs>
          <w:tab w:val="num" w:pos="1494"/>
        </w:tabs>
        <w:ind w:left="1494" w:hanging="360"/>
      </w:pPr>
      <w:rPr>
        <w:rFonts w:ascii="Symbol" w:hAnsi="Symbol" w:hint="default"/>
      </w:rPr>
    </w:lvl>
    <w:lvl w:ilvl="1" w:tentative="1">
      <w:start w:val="1"/>
      <w:numFmt w:val="bullet"/>
      <w:lvlText w:val="o"/>
      <w:lvlJc w:val="left"/>
      <w:pPr>
        <w:tabs>
          <w:tab w:val="num" w:pos="2214"/>
        </w:tabs>
        <w:ind w:left="2214" w:hanging="360"/>
      </w:pPr>
      <w:rPr>
        <w:rFonts w:ascii="Courier New" w:hAnsi="Courier New" w:cs="Verdana" w:hint="default"/>
      </w:rPr>
    </w:lvl>
    <w:lvl w:ilvl="2" w:tentative="1">
      <w:start w:val="1"/>
      <w:numFmt w:val="bullet"/>
      <w:lvlText w:val=""/>
      <w:lvlJc w:val="left"/>
      <w:pPr>
        <w:tabs>
          <w:tab w:val="num" w:pos="2934"/>
        </w:tabs>
        <w:ind w:left="2934" w:hanging="360"/>
      </w:pPr>
      <w:rPr>
        <w:rFonts w:ascii="Wingdings" w:hAnsi="Wingdings" w:hint="default"/>
      </w:rPr>
    </w:lvl>
    <w:lvl w:ilvl="3" w:tentative="1">
      <w:start w:val="1"/>
      <w:numFmt w:val="bullet"/>
      <w:lvlText w:val=""/>
      <w:lvlJc w:val="left"/>
      <w:pPr>
        <w:tabs>
          <w:tab w:val="num" w:pos="3654"/>
        </w:tabs>
        <w:ind w:left="3654" w:hanging="360"/>
      </w:pPr>
      <w:rPr>
        <w:rFonts w:ascii="Symbol" w:hAnsi="Symbol" w:hint="default"/>
      </w:rPr>
    </w:lvl>
    <w:lvl w:ilvl="4" w:tentative="1">
      <w:start w:val="1"/>
      <w:numFmt w:val="bullet"/>
      <w:lvlText w:val="o"/>
      <w:lvlJc w:val="left"/>
      <w:pPr>
        <w:tabs>
          <w:tab w:val="num" w:pos="4374"/>
        </w:tabs>
        <w:ind w:left="4374" w:hanging="360"/>
      </w:pPr>
      <w:rPr>
        <w:rFonts w:ascii="Courier New" w:hAnsi="Courier New" w:cs="Verdana" w:hint="default"/>
      </w:rPr>
    </w:lvl>
    <w:lvl w:ilvl="5" w:tentative="1">
      <w:start w:val="1"/>
      <w:numFmt w:val="bullet"/>
      <w:lvlText w:val=""/>
      <w:lvlJc w:val="left"/>
      <w:pPr>
        <w:tabs>
          <w:tab w:val="num" w:pos="5094"/>
        </w:tabs>
        <w:ind w:left="5094" w:hanging="360"/>
      </w:pPr>
      <w:rPr>
        <w:rFonts w:ascii="Wingdings" w:hAnsi="Wingdings" w:hint="default"/>
      </w:rPr>
    </w:lvl>
    <w:lvl w:ilvl="6" w:tentative="1">
      <w:start w:val="1"/>
      <w:numFmt w:val="bullet"/>
      <w:lvlText w:val=""/>
      <w:lvlJc w:val="left"/>
      <w:pPr>
        <w:tabs>
          <w:tab w:val="num" w:pos="5814"/>
        </w:tabs>
        <w:ind w:left="5814" w:hanging="360"/>
      </w:pPr>
      <w:rPr>
        <w:rFonts w:ascii="Symbol" w:hAnsi="Symbol" w:hint="default"/>
      </w:rPr>
    </w:lvl>
    <w:lvl w:ilvl="7" w:tentative="1">
      <w:start w:val="1"/>
      <w:numFmt w:val="bullet"/>
      <w:lvlText w:val="o"/>
      <w:lvlJc w:val="left"/>
      <w:pPr>
        <w:tabs>
          <w:tab w:val="num" w:pos="6534"/>
        </w:tabs>
        <w:ind w:left="6534" w:hanging="360"/>
      </w:pPr>
      <w:rPr>
        <w:rFonts w:ascii="Courier New" w:hAnsi="Courier New" w:cs="Verdana" w:hint="default"/>
      </w:rPr>
    </w:lvl>
    <w:lvl w:ilvl="8" w:tentative="1">
      <w:start w:val="1"/>
      <w:numFmt w:val="bullet"/>
      <w:lvlText w:val=""/>
      <w:lvlJc w:val="left"/>
      <w:pPr>
        <w:tabs>
          <w:tab w:val="num" w:pos="7254"/>
        </w:tabs>
        <w:ind w:left="7254" w:hanging="360"/>
      </w:pPr>
      <w:rPr>
        <w:rFonts w:ascii="Wingdings" w:hAnsi="Wingdings" w:hint="default"/>
      </w:rPr>
    </w:lvl>
  </w:abstractNum>
  <w:abstractNum w:abstractNumId="191">
    <w:nsid w:val="512C57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2">
    <w:nsid w:val="51E204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3">
    <w:nsid w:val="52677BF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4">
    <w:nsid w:val="52B94F1A"/>
    <w:multiLevelType w:val="singleLevel"/>
    <w:tmpl w:val="99F27D02"/>
    <w:lvl w:ilvl="0">
      <w:start w:val="1"/>
      <w:numFmt w:val="lowerLetter"/>
      <w:lvlText w:val="%1)"/>
      <w:lvlJc w:val="left"/>
      <w:pPr>
        <w:tabs>
          <w:tab w:val="num" w:pos="1627"/>
        </w:tabs>
        <w:ind w:left="1627" w:hanging="360"/>
      </w:pPr>
      <w:rPr>
        <w:rFonts w:hint="default"/>
      </w:rPr>
    </w:lvl>
  </w:abstractNum>
  <w:abstractNum w:abstractNumId="195">
    <w:nsid w:val="5300741F"/>
    <w:multiLevelType w:val="singleLevel"/>
    <w:tmpl w:val="4578623A"/>
    <w:lvl w:ilvl="0">
      <w:start w:val="184"/>
      <w:numFmt w:val="decimal"/>
      <w:lvlRestart w:val="0"/>
      <w:lvlText w:val="%1."/>
      <w:lvlJc w:val="left"/>
      <w:pPr>
        <w:tabs>
          <w:tab w:val="num" w:pos="1742"/>
        </w:tabs>
        <w:ind w:left="1267" w:firstLine="0"/>
      </w:pPr>
      <w:rPr>
        <w:spacing w:val="0"/>
        <w:w w:val="100"/>
      </w:rPr>
    </w:lvl>
  </w:abstractNum>
  <w:abstractNum w:abstractNumId="196">
    <w:nsid w:val="53105E41"/>
    <w:multiLevelType w:val="singleLevel"/>
    <w:tmpl w:val="75F0EE58"/>
    <w:lvl w:ilvl="0">
      <w:start w:val="1"/>
      <w:numFmt w:val="decimal"/>
      <w:lvlText w:val="%1."/>
      <w:lvlJc w:val="left"/>
      <w:pPr>
        <w:tabs>
          <w:tab w:val="num" w:pos="360"/>
        </w:tabs>
        <w:ind w:left="360" w:hanging="360"/>
      </w:pPr>
      <w:rPr>
        <w:b/>
        <w:i w:val="0"/>
      </w:rPr>
    </w:lvl>
  </w:abstractNum>
  <w:abstractNum w:abstractNumId="197">
    <w:nsid w:val="531F07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8">
    <w:nsid w:val="53287F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9">
    <w:nsid w:val="538F6B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0">
    <w:nsid w:val="543F3B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1">
    <w:nsid w:val="544343E4"/>
    <w:multiLevelType w:val="singleLevel"/>
    <w:tmpl w:val="C76AD81E"/>
    <w:lvl w:ilvl="0">
      <w:start w:val="3"/>
      <w:numFmt w:val="decimal"/>
      <w:lvlRestart w:val="0"/>
      <w:lvlText w:val="%1."/>
      <w:lvlJc w:val="left"/>
      <w:pPr>
        <w:tabs>
          <w:tab w:val="num" w:pos="1742"/>
        </w:tabs>
        <w:ind w:left="1267" w:firstLine="0"/>
      </w:pPr>
      <w:rPr>
        <w:spacing w:val="0"/>
        <w:w w:val="100"/>
      </w:rPr>
    </w:lvl>
  </w:abstractNum>
  <w:abstractNum w:abstractNumId="202">
    <w:nsid w:val="5475525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3">
    <w:nsid w:val="54C97C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4">
    <w:nsid w:val="54D366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5">
    <w:nsid w:val="5597489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6">
    <w:nsid w:val="559D3C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7">
    <w:nsid w:val="5676410D"/>
    <w:multiLevelType w:val="singleLevel"/>
    <w:tmpl w:val="2850CA00"/>
    <w:lvl w:ilvl="0">
      <w:start w:val="1"/>
      <w:numFmt w:val="decimal"/>
      <w:lvlRestart w:val="0"/>
      <w:lvlText w:val="%1."/>
      <w:lvlJc w:val="left"/>
      <w:pPr>
        <w:tabs>
          <w:tab w:val="num" w:pos="1742"/>
        </w:tabs>
        <w:ind w:left="1267" w:firstLine="0"/>
      </w:pPr>
      <w:rPr>
        <w:spacing w:val="0"/>
        <w:w w:val="100"/>
      </w:rPr>
    </w:lvl>
  </w:abstractNum>
  <w:abstractNum w:abstractNumId="208">
    <w:nsid w:val="577871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9">
    <w:nsid w:val="578A0109"/>
    <w:multiLevelType w:val="singleLevel"/>
    <w:tmpl w:val="EB92D4BC"/>
    <w:lvl w:ilvl="0">
      <w:start w:val="1"/>
      <w:numFmt w:val="decimal"/>
      <w:lvlRestart w:val="0"/>
      <w:lvlText w:val="%1."/>
      <w:lvlJc w:val="left"/>
      <w:pPr>
        <w:tabs>
          <w:tab w:val="num" w:pos="1742"/>
        </w:tabs>
        <w:ind w:left="1267" w:firstLine="0"/>
      </w:pPr>
      <w:rPr>
        <w:spacing w:val="0"/>
        <w:w w:val="100"/>
      </w:rPr>
    </w:lvl>
  </w:abstractNum>
  <w:abstractNum w:abstractNumId="210">
    <w:nsid w:val="579A7A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1">
    <w:nsid w:val="57F21D47"/>
    <w:multiLevelType w:val="singleLevel"/>
    <w:tmpl w:val="D42078B2"/>
    <w:lvl w:ilvl="0">
      <w:start w:val="7"/>
      <w:numFmt w:val="decimal"/>
      <w:lvlText w:val="%1."/>
      <w:lvlJc w:val="left"/>
      <w:pPr>
        <w:tabs>
          <w:tab w:val="num" w:pos="360"/>
        </w:tabs>
        <w:ind w:left="360" w:hanging="360"/>
      </w:pPr>
      <w:rPr>
        <w:b/>
        <w:i w:val="0"/>
      </w:rPr>
    </w:lvl>
  </w:abstractNum>
  <w:abstractNum w:abstractNumId="212">
    <w:nsid w:val="58213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3">
    <w:nsid w:val="58AD36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4">
    <w:nsid w:val="5A5B11AF"/>
    <w:multiLevelType w:val="singleLevel"/>
    <w:tmpl w:val="BACA5470"/>
    <w:lvl w:ilvl="0">
      <w:start w:val="8"/>
      <w:numFmt w:val="decimal"/>
      <w:lvlText w:val="%1."/>
      <w:lvlJc w:val="left"/>
      <w:pPr>
        <w:tabs>
          <w:tab w:val="num" w:pos="360"/>
        </w:tabs>
        <w:ind w:left="360" w:hanging="360"/>
      </w:pPr>
      <w:rPr>
        <w:b/>
        <w:i w:val="0"/>
      </w:rPr>
    </w:lvl>
  </w:abstractNum>
  <w:abstractNum w:abstractNumId="215">
    <w:nsid w:val="5A9C4B9F"/>
    <w:multiLevelType w:val="singleLevel"/>
    <w:tmpl w:val="86BEA5AE"/>
    <w:lvl w:ilvl="0">
      <w:start w:val="2"/>
      <w:numFmt w:val="decimal"/>
      <w:lvlText w:val="%1."/>
      <w:lvlJc w:val="left"/>
      <w:pPr>
        <w:tabs>
          <w:tab w:val="num" w:pos="360"/>
        </w:tabs>
        <w:ind w:left="360" w:hanging="360"/>
      </w:pPr>
      <w:rPr>
        <w:b/>
        <w:i w:val="0"/>
      </w:rPr>
    </w:lvl>
  </w:abstractNum>
  <w:abstractNum w:abstractNumId="216">
    <w:nsid w:val="5AD60DF2"/>
    <w:multiLevelType w:val="singleLevel"/>
    <w:tmpl w:val="C0FC32DE"/>
    <w:lvl w:ilvl="0">
      <w:start w:val="1"/>
      <w:numFmt w:val="decimal"/>
      <w:lvlText w:val="%1."/>
      <w:lvlJc w:val="left"/>
      <w:pPr>
        <w:tabs>
          <w:tab w:val="num" w:pos="360"/>
        </w:tabs>
        <w:ind w:left="360" w:hanging="360"/>
      </w:pPr>
      <w:rPr>
        <w:b/>
        <w:i w:val="0"/>
      </w:rPr>
    </w:lvl>
  </w:abstractNum>
  <w:abstractNum w:abstractNumId="217">
    <w:nsid w:val="5ADC71CA"/>
    <w:multiLevelType w:val="singleLevel"/>
    <w:tmpl w:val="6F48BDFA"/>
    <w:lvl w:ilvl="0">
      <w:start w:val="1"/>
      <w:numFmt w:val="lowerLetter"/>
      <w:lvlText w:val="(%1)"/>
      <w:lvlJc w:val="left"/>
      <w:pPr>
        <w:tabs>
          <w:tab w:val="num" w:pos="375"/>
        </w:tabs>
        <w:ind w:left="375" w:hanging="375"/>
      </w:pPr>
      <w:rPr>
        <w:rFonts w:ascii="Verdana" w:hAnsi="Verdana" w:hint="default"/>
        <w:sz w:val="20"/>
      </w:rPr>
    </w:lvl>
  </w:abstractNum>
  <w:abstractNum w:abstractNumId="218">
    <w:nsid w:val="5C252F0E"/>
    <w:multiLevelType w:val="multilevel"/>
    <w:tmpl w:val="AC8E6938"/>
    <w:lvl w:ilvl="0">
      <w:start w:val="1"/>
      <w:numFmt w:val="bullet"/>
      <w:lvlText w:val=""/>
      <w:lvlJc w:val="left"/>
      <w:pPr>
        <w:tabs>
          <w:tab w:val="num" w:pos="540"/>
        </w:tabs>
        <w:ind w:left="1050" w:hanging="15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19">
    <w:nsid w:val="5CEA5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0">
    <w:nsid w:val="5CFD1932"/>
    <w:multiLevelType w:val="singleLevel"/>
    <w:tmpl w:val="0408000F"/>
    <w:lvl w:ilvl="0">
      <w:start w:val="1"/>
      <w:numFmt w:val="decimal"/>
      <w:lvlText w:val="%1."/>
      <w:lvlJc w:val="left"/>
      <w:pPr>
        <w:tabs>
          <w:tab w:val="num" w:pos="360"/>
        </w:tabs>
        <w:ind w:left="360" w:hanging="360"/>
      </w:pPr>
    </w:lvl>
  </w:abstractNum>
  <w:abstractNum w:abstractNumId="221">
    <w:nsid w:val="5D0844B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2">
    <w:nsid w:val="5E162B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3">
    <w:nsid w:val="5FC563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4">
    <w:nsid w:val="5FE81745"/>
    <w:multiLevelType w:val="singleLevel"/>
    <w:tmpl w:val="EB92D4BC"/>
    <w:lvl w:ilvl="0">
      <w:start w:val="1"/>
      <w:numFmt w:val="decimal"/>
      <w:lvlRestart w:val="0"/>
      <w:lvlText w:val="%1."/>
      <w:lvlJc w:val="left"/>
      <w:pPr>
        <w:tabs>
          <w:tab w:val="num" w:pos="1742"/>
        </w:tabs>
        <w:ind w:left="1267" w:firstLine="0"/>
      </w:pPr>
      <w:rPr>
        <w:spacing w:val="0"/>
        <w:w w:val="100"/>
      </w:rPr>
    </w:lvl>
  </w:abstractNum>
  <w:abstractNum w:abstractNumId="225">
    <w:nsid w:val="60031C5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6">
    <w:nsid w:val="6007297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7">
    <w:nsid w:val="604C1B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8">
    <w:nsid w:val="608B11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9">
    <w:nsid w:val="61041345"/>
    <w:multiLevelType w:val="singleLevel"/>
    <w:tmpl w:val="C39EFAAA"/>
    <w:lvl w:ilvl="0">
      <w:start w:val="23"/>
      <w:numFmt w:val="decimal"/>
      <w:lvlText w:val="%1."/>
      <w:lvlJc w:val="left"/>
      <w:pPr>
        <w:tabs>
          <w:tab w:val="num" w:pos="360"/>
        </w:tabs>
        <w:ind w:left="360" w:hanging="360"/>
      </w:pPr>
      <w:rPr>
        <w:b/>
        <w:i w:val="0"/>
      </w:rPr>
    </w:lvl>
  </w:abstractNum>
  <w:abstractNum w:abstractNumId="230">
    <w:nsid w:val="615B2C5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1">
    <w:nsid w:val="617469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2">
    <w:nsid w:val="617B6B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3">
    <w:nsid w:val="62063A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4">
    <w:nsid w:val="62400A6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5">
    <w:nsid w:val="62C85A0B"/>
    <w:multiLevelType w:val="multilevel"/>
    <w:tmpl w:val="BF8AB9BE"/>
    <w:lvl w:ilvl="0">
      <w:start w:val="1"/>
      <w:numFmt w:val="decimal"/>
      <w:lvlText w:val="%1."/>
      <w:lvlJc w:val="left"/>
      <w:pPr>
        <w:tabs>
          <w:tab w:val="num" w:pos="720"/>
        </w:tabs>
        <w:ind w:left="720" w:hanging="360"/>
      </w:pPr>
      <w:rPr>
        <w:b/>
        <w:i w:val="0"/>
      </w:rPr>
    </w:lvl>
    <w:lvl w:ilvl="1">
      <w:start w:val="1"/>
      <w:numFmt w:val="bullet"/>
      <w:lvlText w:val=""/>
      <w:lvlJc w:val="left"/>
      <w:pPr>
        <w:tabs>
          <w:tab w:val="num" w:pos="1440"/>
        </w:tabs>
        <w:ind w:left="1440" w:hanging="360"/>
      </w:pPr>
      <w:rPr>
        <w:rFonts w:ascii="Symbol" w:hAnsi="Symbol" w:hint="default"/>
      </w:rPr>
    </w:lvl>
    <w:lvl w:ilvl="2">
      <w:start w:val="1"/>
      <w:numFmt w:val="upp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6">
    <w:nsid w:val="631865C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7">
    <w:nsid w:val="63A61F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8">
    <w:nsid w:val="64456B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9">
    <w:nsid w:val="64915B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0">
    <w:nsid w:val="6512392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1">
    <w:nsid w:val="655D5C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2">
    <w:nsid w:val="657746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3">
    <w:nsid w:val="65EF4F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4">
    <w:nsid w:val="661156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5">
    <w:nsid w:val="66715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6">
    <w:nsid w:val="66F17C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7">
    <w:nsid w:val="672B33E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8">
    <w:nsid w:val="674221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9">
    <w:nsid w:val="67AD2141"/>
    <w:multiLevelType w:val="singleLevel"/>
    <w:tmpl w:val="580ACBE0"/>
    <w:lvl w:ilvl="0">
      <w:start w:val="10"/>
      <w:numFmt w:val="decimal"/>
      <w:lvlRestart w:val="0"/>
      <w:lvlText w:val="%1."/>
      <w:lvlJc w:val="left"/>
      <w:pPr>
        <w:tabs>
          <w:tab w:val="num" w:pos="1742"/>
        </w:tabs>
        <w:ind w:left="1267" w:firstLine="0"/>
      </w:pPr>
      <w:rPr>
        <w:spacing w:val="0"/>
        <w:w w:val="100"/>
      </w:rPr>
    </w:lvl>
  </w:abstractNum>
  <w:abstractNum w:abstractNumId="250">
    <w:nsid w:val="68316805"/>
    <w:multiLevelType w:val="singleLevel"/>
    <w:tmpl w:val="9A401EAE"/>
    <w:lvl w:ilvl="0">
      <w:start w:val="1"/>
      <w:numFmt w:val="decimal"/>
      <w:lvlText w:val="%1."/>
      <w:lvlJc w:val="left"/>
      <w:pPr>
        <w:tabs>
          <w:tab w:val="num" w:pos="1778"/>
        </w:tabs>
        <w:ind w:left="1778" w:hanging="360"/>
      </w:pPr>
      <w:rPr>
        <w:rFonts w:hint="default"/>
      </w:rPr>
    </w:lvl>
  </w:abstractNum>
  <w:abstractNum w:abstractNumId="251">
    <w:nsid w:val="6858493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2">
    <w:nsid w:val="6A5D4069"/>
    <w:multiLevelType w:val="multilevel"/>
    <w:tmpl w:val="A1B41258"/>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3">
    <w:nsid w:val="6A614CB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4">
    <w:nsid w:val="6A88251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5">
    <w:nsid w:val="6A963E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6">
    <w:nsid w:val="6C0D01A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7">
    <w:nsid w:val="6C1F1ED1"/>
    <w:multiLevelType w:val="multilevel"/>
    <w:tmpl w:val="01B0FB02"/>
    <w:lvl w:ilvl="0">
      <w:start w:val="1"/>
      <w:numFmt w:val="bullet"/>
      <w:lvlText w:val=""/>
      <w:lvlJc w:val="left"/>
      <w:pPr>
        <w:tabs>
          <w:tab w:val="num" w:pos="1440"/>
        </w:tabs>
        <w:ind w:left="1440" w:hanging="360"/>
      </w:pPr>
      <w:rPr>
        <w:rFonts w:ascii="Symbol" w:hAnsi="Symbol" w:hint="default"/>
      </w:rPr>
    </w:lvl>
    <w:lvl w:ilvl="1">
      <w:start w:val="4"/>
      <w:numFmt w:val="decimal"/>
      <w:lvlText w:val="%2."/>
      <w:lvlJc w:val="left"/>
      <w:pPr>
        <w:tabs>
          <w:tab w:val="num" w:pos="2160"/>
        </w:tabs>
        <w:ind w:left="2160" w:hanging="360"/>
      </w:pPr>
      <w:rPr>
        <w:rFonts w:hint="default"/>
        <w:b/>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58">
    <w:nsid w:val="6CF425B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9">
    <w:nsid w:val="6E22559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0">
    <w:nsid w:val="6E267CD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1">
    <w:nsid w:val="6EED3D46"/>
    <w:multiLevelType w:val="singleLevel"/>
    <w:tmpl w:val="350092DE"/>
    <w:lvl w:ilvl="0">
      <w:start w:val="1"/>
      <w:numFmt w:val="decimal"/>
      <w:lvlRestart w:val="0"/>
      <w:lvlText w:val="%1."/>
      <w:lvlJc w:val="left"/>
      <w:pPr>
        <w:tabs>
          <w:tab w:val="num" w:pos="1742"/>
        </w:tabs>
        <w:ind w:left="1267" w:firstLine="0"/>
      </w:pPr>
      <w:rPr>
        <w:spacing w:val="0"/>
        <w:w w:val="100"/>
      </w:rPr>
    </w:lvl>
  </w:abstractNum>
  <w:abstractNum w:abstractNumId="262">
    <w:nsid w:val="6F0B39BF"/>
    <w:multiLevelType w:val="singleLevel"/>
    <w:tmpl w:val="FD72ABD0"/>
    <w:lvl w:ilvl="0">
      <w:start w:val="1"/>
      <w:numFmt w:val="bullet"/>
      <w:lvlText w:val=""/>
      <w:lvlJc w:val="left"/>
      <w:pPr>
        <w:tabs>
          <w:tab w:val="num" w:pos="1656"/>
        </w:tabs>
        <w:ind w:left="432" w:firstLine="864"/>
      </w:pPr>
      <w:rPr>
        <w:rFonts w:ascii="Wingdings" w:hAnsi="Wingdings" w:hint="default"/>
      </w:rPr>
    </w:lvl>
  </w:abstractNum>
  <w:abstractNum w:abstractNumId="263">
    <w:nsid w:val="6F3B0C1D"/>
    <w:multiLevelType w:val="singleLevel"/>
    <w:tmpl w:val="8780E480"/>
    <w:lvl w:ilvl="0">
      <w:start w:val="1"/>
      <w:numFmt w:val="decimal"/>
      <w:lvlText w:val="%1."/>
      <w:lvlJc w:val="left"/>
      <w:pPr>
        <w:tabs>
          <w:tab w:val="num" w:pos="360"/>
        </w:tabs>
        <w:ind w:left="360" w:hanging="360"/>
      </w:pPr>
      <w:rPr>
        <w:b/>
        <w:i w:val="0"/>
      </w:rPr>
    </w:lvl>
  </w:abstractNum>
  <w:abstractNum w:abstractNumId="264">
    <w:nsid w:val="6F6966A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5">
    <w:nsid w:val="6FF83F09"/>
    <w:multiLevelType w:val="singleLevel"/>
    <w:tmpl w:val="EF54F808"/>
    <w:lvl w:ilvl="0">
      <w:start w:val="2"/>
      <w:numFmt w:val="decimal"/>
      <w:lvlRestart w:val="0"/>
      <w:lvlText w:val="%1."/>
      <w:lvlJc w:val="left"/>
      <w:pPr>
        <w:tabs>
          <w:tab w:val="num" w:pos="1742"/>
        </w:tabs>
        <w:ind w:left="1267" w:firstLine="0"/>
      </w:pPr>
      <w:rPr>
        <w:spacing w:val="0"/>
        <w:w w:val="100"/>
      </w:rPr>
    </w:lvl>
  </w:abstractNum>
  <w:abstractNum w:abstractNumId="266">
    <w:nsid w:val="716341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7">
    <w:nsid w:val="722E125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8">
    <w:nsid w:val="731D6B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9">
    <w:nsid w:val="73252E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0">
    <w:nsid w:val="739C73A7"/>
    <w:multiLevelType w:val="singleLevel"/>
    <w:tmpl w:val="F97A4748"/>
    <w:lvl w:ilvl="0">
      <w:start w:val="1"/>
      <w:numFmt w:val="decimal"/>
      <w:lvlRestart w:val="0"/>
      <w:lvlText w:val="%1."/>
      <w:lvlJc w:val="left"/>
      <w:pPr>
        <w:tabs>
          <w:tab w:val="num" w:pos="475"/>
        </w:tabs>
        <w:ind w:left="0" w:firstLine="0"/>
      </w:pPr>
      <w:rPr>
        <w:spacing w:val="0"/>
        <w:w w:val="100"/>
      </w:rPr>
    </w:lvl>
  </w:abstractNum>
  <w:abstractNum w:abstractNumId="271">
    <w:nsid w:val="73AF453B"/>
    <w:multiLevelType w:val="singleLevel"/>
    <w:tmpl w:val="17F8F642"/>
    <w:lvl w:ilvl="0">
      <w:start w:val="8"/>
      <w:numFmt w:val="decimal"/>
      <w:lvlRestart w:val="0"/>
      <w:lvlText w:val="%1."/>
      <w:lvlJc w:val="left"/>
      <w:pPr>
        <w:tabs>
          <w:tab w:val="num" w:pos="1742"/>
        </w:tabs>
        <w:ind w:left="1267" w:firstLine="0"/>
      </w:pPr>
      <w:rPr>
        <w:spacing w:val="0"/>
        <w:w w:val="100"/>
      </w:rPr>
    </w:lvl>
  </w:abstractNum>
  <w:abstractNum w:abstractNumId="272">
    <w:nsid w:val="73BD7605"/>
    <w:multiLevelType w:val="singleLevel"/>
    <w:tmpl w:val="DA4C162A"/>
    <w:lvl w:ilvl="0">
      <w:start w:val="1"/>
      <w:numFmt w:val="decimal"/>
      <w:lvlText w:val="%1."/>
      <w:lvlJc w:val="left"/>
      <w:pPr>
        <w:tabs>
          <w:tab w:val="num" w:pos="1980"/>
        </w:tabs>
        <w:ind w:left="1980" w:hanging="360"/>
      </w:pPr>
      <w:rPr>
        <w:rFonts w:ascii="Verdana" w:hAnsi="Verdana" w:hint="default"/>
        <w:sz w:val="20"/>
      </w:rPr>
    </w:lvl>
  </w:abstractNum>
  <w:abstractNum w:abstractNumId="273">
    <w:nsid w:val="74065E08"/>
    <w:multiLevelType w:val="singleLevel"/>
    <w:tmpl w:val="7BC80868"/>
    <w:lvl w:ilvl="0">
      <w:start w:val="9"/>
      <w:numFmt w:val="decimal"/>
      <w:lvlRestart w:val="0"/>
      <w:lvlText w:val="%1."/>
      <w:lvlJc w:val="left"/>
      <w:pPr>
        <w:tabs>
          <w:tab w:val="num" w:pos="1742"/>
        </w:tabs>
        <w:ind w:left="1267" w:firstLine="0"/>
      </w:pPr>
      <w:rPr>
        <w:spacing w:val="0"/>
        <w:w w:val="100"/>
      </w:rPr>
    </w:lvl>
  </w:abstractNum>
  <w:abstractNum w:abstractNumId="274">
    <w:nsid w:val="7491219A"/>
    <w:multiLevelType w:val="singleLevel"/>
    <w:tmpl w:val="1F182B56"/>
    <w:lvl w:ilvl="0">
      <w:start w:val="4"/>
      <w:numFmt w:val="decimal"/>
      <w:lvlRestart w:val="0"/>
      <w:lvlText w:val="%1."/>
      <w:lvlJc w:val="left"/>
      <w:pPr>
        <w:tabs>
          <w:tab w:val="num" w:pos="1742"/>
        </w:tabs>
        <w:ind w:left="1267" w:firstLine="0"/>
      </w:pPr>
      <w:rPr>
        <w:spacing w:val="0"/>
        <w:w w:val="100"/>
      </w:rPr>
    </w:lvl>
  </w:abstractNum>
  <w:abstractNum w:abstractNumId="275">
    <w:nsid w:val="74F3689C"/>
    <w:multiLevelType w:val="multilevel"/>
    <w:tmpl w:val="F9A0388E"/>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276">
    <w:nsid w:val="752F4C69"/>
    <w:multiLevelType w:val="singleLevel"/>
    <w:tmpl w:val="2850CA00"/>
    <w:lvl w:ilvl="0">
      <w:start w:val="1"/>
      <w:numFmt w:val="decimal"/>
      <w:lvlRestart w:val="0"/>
      <w:lvlText w:val="%1."/>
      <w:lvlJc w:val="left"/>
      <w:pPr>
        <w:tabs>
          <w:tab w:val="num" w:pos="1742"/>
        </w:tabs>
        <w:ind w:left="1267" w:firstLine="0"/>
      </w:pPr>
      <w:rPr>
        <w:spacing w:val="0"/>
        <w:w w:val="100"/>
      </w:rPr>
    </w:lvl>
  </w:abstractNum>
  <w:abstractNum w:abstractNumId="277">
    <w:nsid w:val="75562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8">
    <w:nsid w:val="75906F4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9">
    <w:nsid w:val="75910A8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0">
    <w:nsid w:val="759B1F7D"/>
    <w:multiLevelType w:val="singleLevel"/>
    <w:tmpl w:val="80BE68FC"/>
    <w:lvl w:ilvl="0">
      <w:start w:val="1"/>
      <w:numFmt w:val="decimal"/>
      <w:lvlText w:val="%1."/>
      <w:lvlJc w:val="left"/>
      <w:pPr>
        <w:tabs>
          <w:tab w:val="num" w:pos="1800"/>
        </w:tabs>
        <w:ind w:left="1800" w:hanging="360"/>
      </w:pPr>
      <w:rPr>
        <w:rFonts w:hint="default"/>
      </w:rPr>
    </w:lvl>
  </w:abstractNum>
  <w:abstractNum w:abstractNumId="281">
    <w:nsid w:val="760443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2">
    <w:nsid w:val="765977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3">
    <w:nsid w:val="76DD55F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4">
    <w:nsid w:val="77001C2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5">
    <w:nsid w:val="7744443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6">
    <w:nsid w:val="777B060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7">
    <w:nsid w:val="77AF40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8">
    <w:nsid w:val="77DE5131"/>
    <w:multiLevelType w:val="singleLevel"/>
    <w:tmpl w:val="EB92D4BC"/>
    <w:lvl w:ilvl="0">
      <w:start w:val="1"/>
      <w:numFmt w:val="decimal"/>
      <w:lvlRestart w:val="0"/>
      <w:lvlText w:val="%1."/>
      <w:lvlJc w:val="left"/>
      <w:pPr>
        <w:tabs>
          <w:tab w:val="num" w:pos="1742"/>
        </w:tabs>
        <w:ind w:left="1267" w:firstLine="0"/>
      </w:pPr>
      <w:rPr>
        <w:spacing w:val="0"/>
        <w:w w:val="100"/>
      </w:rPr>
    </w:lvl>
  </w:abstractNum>
  <w:abstractNum w:abstractNumId="289">
    <w:nsid w:val="782738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0">
    <w:nsid w:val="784655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1">
    <w:nsid w:val="78727D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2">
    <w:nsid w:val="78EA75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3">
    <w:nsid w:val="794D572A"/>
    <w:multiLevelType w:val="singleLevel"/>
    <w:tmpl w:val="8780E480"/>
    <w:lvl w:ilvl="0">
      <w:start w:val="1"/>
      <w:numFmt w:val="decimal"/>
      <w:lvlText w:val="%1."/>
      <w:lvlJc w:val="left"/>
      <w:pPr>
        <w:tabs>
          <w:tab w:val="num" w:pos="360"/>
        </w:tabs>
        <w:ind w:left="360" w:hanging="360"/>
      </w:pPr>
      <w:rPr>
        <w:b/>
        <w:i w:val="0"/>
      </w:rPr>
    </w:lvl>
  </w:abstractNum>
  <w:abstractNum w:abstractNumId="294">
    <w:nsid w:val="794E7106"/>
    <w:multiLevelType w:val="multilevel"/>
    <w:tmpl w:val="A5C60F02"/>
    <w:lvl w:ilvl="0">
      <w:start w:val="1"/>
      <w:numFmt w:val="bullet"/>
      <w:lvlText w:val=""/>
      <w:lvlJc w:val="left"/>
      <w:pPr>
        <w:tabs>
          <w:tab w:val="num" w:pos="1020"/>
        </w:tabs>
        <w:ind w:left="1020" w:hanging="360"/>
      </w:pPr>
      <w:rPr>
        <w:rFonts w:ascii="Symbol" w:hAnsi="Symbol" w:hint="default"/>
      </w:rPr>
    </w:lvl>
    <w:lvl w:ilvl="1" w:tentative="1">
      <w:start w:val="1"/>
      <w:numFmt w:val="bullet"/>
      <w:lvlText w:val="o"/>
      <w:lvlJc w:val="left"/>
      <w:pPr>
        <w:tabs>
          <w:tab w:val="num" w:pos="1740"/>
        </w:tabs>
        <w:ind w:left="1740" w:hanging="360"/>
      </w:pPr>
      <w:rPr>
        <w:rFonts w:ascii="Courier New" w:hAnsi="Courier New" w:hint="default"/>
      </w:rPr>
    </w:lvl>
    <w:lvl w:ilvl="2" w:tentative="1">
      <w:start w:val="1"/>
      <w:numFmt w:val="bullet"/>
      <w:lvlText w:val=""/>
      <w:lvlJc w:val="left"/>
      <w:pPr>
        <w:tabs>
          <w:tab w:val="num" w:pos="2460"/>
        </w:tabs>
        <w:ind w:left="2460" w:hanging="360"/>
      </w:pPr>
      <w:rPr>
        <w:rFonts w:ascii="Wingdings" w:hAnsi="Wingdings" w:hint="default"/>
      </w:rPr>
    </w:lvl>
    <w:lvl w:ilvl="3" w:tentative="1">
      <w:start w:val="1"/>
      <w:numFmt w:val="bullet"/>
      <w:lvlText w:val=""/>
      <w:lvlJc w:val="left"/>
      <w:pPr>
        <w:tabs>
          <w:tab w:val="num" w:pos="3180"/>
        </w:tabs>
        <w:ind w:left="3180" w:hanging="360"/>
      </w:pPr>
      <w:rPr>
        <w:rFonts w:ascii="Symbol" w:hAnsi="Symbol" w:hint="default"/>
      </w:rPr>
    </w:lvl>
    <w:lvl w:ilvl="4" w:tentative="1">
      <w:start w:val="1"/>
      <w:numFmt w:val="bullet"/>
      <w:lvlText w:val="o"/>
      <w:lvlJc w:val="left"/>
      <w:pPr>
        <w:tabs>
          <w:tab w:val="num" w:pos="3900"/>
        </w:tabs>
        <w:ind w:left="3900" w:hanging="360"/>
      </w:pPr>
      <w:rPr>
        <w:rFonts w:ascii="Courier New" w:hAnsi="Courier New" w:hint="default"/>
      </w:rPr>
    </w:lvl>
    <w:lvl w:ilvl="5" w:tentative="1">
      <w:start w:val="1"/>
      <w:numFmt w:val="bullet"/>
      <w:lvlText w:val=""/>
      <w:lvlJc w:val="left"/>
      <w:pPr>
        <w:tabs>
          <w:tab w:val="num" w:pos="4620"/>
        </w:tabs>
        <w:ind w:left="4620" w:hanging="360"/>
      </w:pPr>
      <w:rPr>
        <w:rFonts w:ascii="Wingdings" w:hAnsi="Wingdings" w:hint="default"/>
      </w:rPr>
    </w:lvl>
    <w:lvl w:ilvl="6" w:tentative="1">
      <w:start w:val="1"/>
      <w:numFmt w:val="bullet"/>
      <w:lvlText w:val=""/>
      <w:lvlJc w:val="left"/>
      <w:pPr>
        <w:tabs>
          <w:tab w:val="num" w:pos="5340"/>
        </w:tabs>
        <w:ind w:left="5340" w:hanging="360"/>
      </w:pPr>
      <w:rPr>
        <w:rFonts w:ascii="Symbol" w:hAnsi="Symbol" w:hint="default"/>
      </w:rPr>
    </w:lvl>
    <w:lvl w:ilvl="7" w:tentative="1">
      <w:start w:val="1"/>
      <w:numFmt w:val="bullet"/>
      <w:lvlText w:val="o"/>
      <w:lvlJc w:val="left"/>
      <w:pPr>
        <w:tabs>
          <w:tab w:val="num" w:pos="6060"/>
        </w:tabs>
        <w:ind w:left="6060" w:hanging="360"/>
      </w:pPr>
      <w:rPr>
        <w:rFonts w:ascii="Courier New" w:hAnsi="Courier New" w:hint="default"/>
      </w:rPr>
    </w:lvl>
    <w:lvl w:ilvl="8" w:tentative="1">
      <w:start w:val="1"/>
      <w:numFmt w:val="bullet"/>
      <w:lvlText w:val=""/>
      <w:lvlJc w:val="left"/>
      <w:pPr>
        <w:tabs>
          <w:tab w:val="num" w:pos="6780"/>
        </w:tabs>
        <w:ind w:left="6780" w:hanging="360"/>
      </w:pPr>
      <w:rPr>
        <w:rFonts w:ascii="Wingdings" w:hAnsi="Wingdings" w:hint="default"/>
      </w:rPr>
    </w:lvl>
  </w:abstractNum>
  <w:abstractNum w:abstractNumId="295">
    <w:nsid w:val="798407D2"/>
    <w:multiLevelType w:val="singleLevel"/>
    <w:tmpl w:val="5888EBBA"/>
    <w:lvl w:ilvl="0">
      <w:start w:val="7"/>
      <w:numFmt w:val="decimal"/>
      <w:lvlRestart w:val="0"/>
      <w:lvlText w:val="%1."/>
      <w:lvlJc w:val="left"/>
      <w:pPr>
        <w:tabs>
          <w:tab w:val="num" w:pos="1742"/>
        </w:tabs>
        <w:ind w:left="1267" w:firstLine="0"/>
      </w:pPr>
      <w:rPr>
        <w:spacing w:val="0"/>
        <w:w w:val="100"/>
      </w:rPr>
    </w:lvl>
  </w:abstractNum>
  <w:abstractNum w:abstractNumId="296">
    <w:nsid w:val="7993549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7">
    <w:nsid w:val="79C413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8">
    <w:nsid w:val="7A24153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9">
    <w:nsid w:val="7B5534C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0">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301">
    <w:nsid w:val="7B95693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2">
    <w:nsid w:val="7BCE59D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3">
    <w:nsid w:val="7BD037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4">
    <w:nsid w:val="7C191DFC"/>
    <w:multiLevelType w:val="singleLevel"/>
    <w:tmpl w:val="A00456D8"/>
    <w:lvl w:ilvl="0">
      <w:start w:val="1"/>
      <w:numFmt w:val="decimal"/>
      <w:lvlRestart w:val="0"/>
      <w:lvlText w:val="%1."/>
      <w:lvlJc w:val="left"/>
      <w:pPr>
        <w:tabs>
          <w:tab w:val="num" w:pos="1742"/>
        </w:tabs>
        <w:ind w:left="1267" w:firstLine="0"/>
      </w:pPr>
      <w:rPr>
        <w:spacing w:val="0"/>
        <w:w w:val="100"/>
      </w:rPr>
    </w:lvl>
  </w:abstractNum>
  <w:abstractNum w:abstractNumId="305">
    <w:nsid w:val="7C5638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6">
    <w:nsid w:val="7D2411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7">
    <w:nsid w:val="7D3A7041"/>
    <w:multiLevelType w:val="singleLevel"/>
    <w:tmpl w:val="558A0D0A"/>
    <w:lvl w:ilvl="0">
      <w:start w:val="1"/>
      <w:numFmt w:val="decimal"/>
      <w:lvlText w:val="%1."/>
      <w:lvlJc w:val="left"/>
      <w:pPr>
        <w:tabs>
          <w:tab w:val="num" w:pos="360"/>
        </w:tabs>
        <w:ind w:left="360" w:hanging="360"/>
      </w:pPr>
      <w:rPr>
        <w:b/>
        <w:i w:val="0"/>
      </w:rPr>
    </w:lvl>
  </w:abstractNum>
  <w:abstractNum w:abstractNumId="308">
    <w:nsid w:val="7E025B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9">
    <w:nsid w:val="7E5C69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0">
    <w:nsid w:val="7E8B7359"/>
    <w:multiLevelType w:val="singleLevel"/>
    <w:tmpl w:val="C0EEDED4"/>
    <w:lvl w:ilvl="0">
      <w:start w:val="8"/>
      <w:numFmt w:val="decimal"/>
      <w:lvlText w:val="%1."/>
      <w:lvlJc w:val="left"/>
      <w:pPr>
        <w:tabs>
          <w:tab w:val="num" w:pos="360"/>
        </w:tabs>
        <w:ind w:left="360" w:hanging="360"/>
      </w:pPr>
      <w:rPr>
        <w:b/>
        <w:i w:val="0"/>
      </w:rPr>
    </w:lvl>
  </w:abstractNum>
  <w:abstractNum w:abstractNumId="311">
    <w:nsid w:val="7E9A2740"/>
    <w:multiLevelType w:val="singleLevel"/>
    <w:tmpl w:val="E07C709E"/>
    <w:lvl w:ilvl="0">
      <w:start w:val="12"/>
      <w:numFmt w:val="decimal"/>
      <w:lvlRestart w:val="0"/>
      <w:lvlText w:val="%1."/>
      <w:lvlJc w:val="left"/>
      <w:pPr>
        <w:tabs>
          <w:tab w:val="num" w:pos="1742"/>
        </w:tabs>
        <w:ind w:left="1267" w:firstLine="0"/>
      </w:pPr>
      <w:rPr>
        <w:spacing w:val="0"/>
        <w:w w:val="100"/>
      </w:rPr>
    </w:lvl>
  </w:abstractNum>
  <w:abstractNum w:abstractNumId="312">
    <w:nsid w:val="7EB671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3">
    <w:nsid w:val="7F2D384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4">
    <w:nsid w:val="7FC337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5">
    <w:nsid w:val="7FC57DB3"/>
    <w:multiLevelType w:val="singleLevel"/>
    <w:tmpl w:val="04080001"/>
    <w:lvl w:ilvl="0">
      <w:start w:val="1"/>
      <w:numFmt w:val="bullet"/>
      <w:lvlText w:val=""/>
      <w:lvlJc w:val="left"/>
      <w:pPr>
        <w:tabs>
          <w:tab w:val="num" w:pos="360"/>
        </w:tabs>
        <w:ind w:left="360" w:hanging="360"/>
      </w:pPr>
      <w:rPr>
        <w:rFonts w:ascii="Symbol" w:hAnsi="Symbol" w:hint="default"/>
      </w:rPr>
    </w:lvl>
  </w:abstractNum>
  <w:num w:numId="1">
    <w:abstractNumId w:val="216"/>
  </w:num>
  <w:num w:numId="2">
    <w:abstractNumId w:val="96"/>
  </w:num>
  <w:num w:numId="3">
    <w:abstractNumId w:val="111"/>
  </w:num>
  <w:num w:numId="4">
    <w:abstractNumId w:val="171"/>
  </w:num>
  <w:num w:numId="5">
    <w:abstractNumId w:val="181"/>
  </w:num>
  <w:num w:numId="6">
    <w:abstractNumId w:val="193"/>
  </w:num>
  <w:num w:numId="7">
    <w:abstractNumId w:val="22"/>
  </w:num>
  <w:num w:numId="8">
    <w:abstractNumId w:val="185"/>
  </w:num>
  <w:num w:numId="9">
    <w:abstractNumId w:val="119"/>
  </w:num>
  <w:num w:numId="10">
    <w:abstractNumId w:val="251"/>
  </w:num>
  <w:num w:numId="11">
    <w:abstractNumId w:val="270"/>
  </w:num>
  <w:num w:numId="12">
    <w:abstractNumId w:val="270"/>
    <w:lvlOverride w:ilvl="0">
      <w:lvl w:ilvl="0">
        <w:start w:val="1"/>
        <w:numFmt w:val="decimal"/>
        <w:lvlRestart w:val="0"/>
        <w:lvlText w:val="%1."/>
        <w:lvlJc w:val="left"/>
        <w:pPr>
          <w:tabs>
            <w:tab w:val="num" w:pos="475"/>
          </w:tabs>
          <w:ind w:left="0" w:firstLine="0"/>
        </w:pPr>
        <w:rPr>
          <w:spacing w:val="0"/>
          <w:w w:val="100"/>
        </w:rPr>
      </w:lvl>
    </w:lvlOverride>
  </w:num>
  <w:num w:numId="13">
    <w:abstractNumId w:val="235"/>
  </w:num>
  <w:num w:numId="14">
    <w:abstractNumId w:val="115"/>
  </w:num>
  <w:num w:numId="15">
    <w:abstractNumId w:val="155"/>
  </w:num>
  <w:num w:numId="16">
    <w:abstractNumId w:val="261"/>
  </w:num>
  <w:num w:numId="17">
    <w:abstractNumId w:val="90"/>
  </w:num>
  <w:num w:numId="18">
    <w:abstractNumId w:val="264"/>
  </w:num>
  <w:num w:numId="19">
    <w:abstractNumId w:val="26"/>
  </w:num>
  <w:num w:numId="20">
    <w:abstractNumId w:val="268"/>
  </w:num>
  <w:num w:numId="21">
    <w:abstractNumId w:val="234"/>
  </w:num>
  <w:num w:numId="22">
    <w:abstractNumId w:val="152"/>
  </w:num>
  <w:num w:numId="23">
    <w:abstractNumId w:val="210"/>
  </w:num>
  <w:num w:numId="24">
    <w:abstractNumId w:val="306"/>
  </w:num>
  <w:num w:numId="25">
    <w:abstractNumId w:val="236"/>
  </w:num>
  <w:num w:numId="26">
    <w:abstractNumId w:val="94"/>
  </w:num>
  <w:num w:numId="27">
    <w:abstractNumId w:val="305"/>
  </w:num>
  <w:num w:numId="28">
    <w:abstractNumId w:val="48"/>
  </w:num>
  <w:num w:numId="29">
    <w:abstractNumId w:val="244"/>
  </w:num>
  <w:num w:numId="30">
    <w:abstractNumId w:val="29"/>
  </w:num>
  <w:num w:numId="31">
    <w:abstractNumId w:val="129"/>
  </w:num>
  <w:num w:numId="32">
    <w:abstractNumId w:val="66"/>
  </w:num>
  <w:num w:numId="33">
    <w:abstractNumId w:val="308"/>
  </w:num>
  <w:num w:numId="34">
    <w:abstractNumId w:val="37"/>
  </w:num>
  <w:num w:numId="35">
    <w:abstractNumId w:val="226"/>
  </w:num>
  <w:num w:numId="36">
    <w:abstractNumId w:val="192"/>
  </w:num>
  <w:num w:numId="37">
    <w:abstractNumId w:val="163"/>
  </w:num>
  <w:num w:numId="38">
    <w:abstractNumId w:val="141"/>
  </w:num>
  <w:num w:numId="39">
    <w:abstractNumId w:val="287"/>
  </w:num>
  <w:num w:numId="40">
    <w:abstractNumId w:val="231"/>
  </w:num>
  <w:num w:numId="41">
    <w:abstractNumId w:val="45"/>
  </w:num>
  <w:num w:numId="42">
    <w:abstractNumId w:val="282"/>
  </w:num>
  <w:num w:numId="43">
    <w:abstractNumId w:val="8"/>
  </w:num>
  <w:num w:numId="44">
    <w:abstractNumId w:val="247"/>
  </w:num>
  <w:num w:numId="45">
    <w:abstractNumId w:val="166"/>
  </w:num>
  <w:num w:numId="46">
    <w:abstractNumId w:val="149"/>
  </w:num>
  <w:num w:numId="47">
    <w:abstractNumId w:val="314"/>
  </w:num>
  <w:num w:numId="48">
    <w:abstractNumId w:val="137"/>
  </w:num>
  <w:num w:numId="49">
    <w:abstractNumId w:val="284"/>
  </w:num>
  <w:num w:numId="50">
    <w:abstractNumId w:val="33"/>
  </w:num>
  <w:num w:numId="51">
    <w:abstractNumId w:val="106"/>
  </w:num>
  <w:num w:numId="52">
    <w:abstractNumId w:val="145"/>
  </w:num>
  <w:num w:numId="53">
    <w:abstractNumId w:val="255"/>
  </w:num>
  <w:num w:numId="54">
    <w:abstractNumId w:val="108"/>
  </w:num>
  <w:num w:numId="55">
    <w:abstractNumId w:val="30"/>
  </w:num>
  <w:num w:numId="56">
    <w:abstractNumId w:val="13"/>
  </w:num>
  <w:num w:numId="57">
    <w:abstractNumId w:val="64"/>
  </w:num>
  <w:num w:numId="58">
    <w:abstractNumId w:val="40"/>
  </w:num>
  <w:num w:numId="59">
    <w:abstractNumId w:val="211"/>
  </w:num>
  <w:num w:numId="60">
    <w:abstractNumId w:val="214"/>
  </w:num>
  <w:num w:numId="61">
    <w:abstractNumId w:val="14"/>
  </w:num>
  <w:num w:numId="62">
    <w:abstractNumId w:val="117"/>
  </w:num>
  <w:num w:numId="63">
    <w:abstractNumId w:val="276"/>
  </w:num>
  <w:num w:numId="64">
    <w:abstractNumId w:val="5"/>
  </w:num>
  <w:num w:numId="65">
    <w:abstractNumId w:val="80"/>
  </w:num>
  <w:num w:numId="66">
    <w:abstractNumId w:val="186"/>
  </w:num>
  <w:num w:numId="67">
    <w:abstractNumId w:val="101"/>
  </w:num>
  <w:num w:numId="68">
    <w:abstractNumId w:val="32"/>
  </w:num>
  <w:num w:numId="69">
    <w:abstractNumId w:val="242"/>
  </w:num>
  <w:num w:numId="70">
    <w:abstractNumId w:val="161"/>
  </w:num>
  <w:num w:numId="71">
    <w:abstractNumId w:val="259"/>
  </w:num>
  <w:num w:numId="72">
    <w:abstractNumId w:val="113"/>
  </w:num>
  <w:num w:numId="73">
    <w:abstractNumId w:val="237"/>
  </w:num>
  <w:num w:numId="74">
    <w:abstractNumId w:val="315"/>
  </w:num>
  <w:num w:numId="75">
    <w:abstractNumId w:val="71"/>
  </w:num>
  <w:num w:numId="76">
    <w:abstractNumId w:val="207"/>
  </w:num>
  <w:num w:numId="77">
    <w:abstractNumId w:val="201"/>
  </w:num>
  <w:num w:numId="78">
    <w:abstractNumId w:val="70"/>
  </w:num>
  <w:num w:numId="79">
    <w:abstractNumId w:val="140"/>
  </w:num>
  <w:num w:numId="80">
    <w:abstractNumId w:val="201"/>
    <w:lvlOverride w:ilvl="0">
      <w:lvl w:ilvl="0">
        <w:start w:val="5"/>
        <w:numFmt w:val="decimal"/>
        <w:lvlRestart w:val="0"/>
        <w:lvlText w:val="%1."/>
        <w:lvlJc w:val="left"/>
        <w:pPr>
          <w:tabs>
            <w:tab w:val="num" w:pos="1742"/>
          </w:tabs>
          <w:ind w:left="1267" w:firstLine="0"/>
        </w:pPr>
        <w:rPr>
          <w:spacing w:val="0"/>
          <w:w w:val="100"/>
        </w:rPr>
      </w:lvl>
    </w:lvlOverride>
  </w:num>
  <w:num w:numId="81">
    <w:abstractNumId w:val="179"/>
  </w:num>
  <w:num w:numId="82">
    <w:abstractNumId w:val="273"/>
  </w:num>
  <w:num w:numId="83">
    <w:abstractNumId w:val="249"/>
  </w:num>
  <w:num w:numId="84">
    <w:abstractNumId w:val="311"/>
  </w:num>
  <w:num w:numId="85">
    <w:abstractNumId w:val="300"/>
  </w:num>
  <w:num w:numId="86">
    <w:abstractNumId w:val="258"/>
  </w:num>
  <w:num w:numId="87">
    <w:abstractNumId w:val="57"/>
  </w:num>
  <w:num w:numId="88">
    <w:abstractNumId w:val="250"/>
  </w:num>
  <w:num w:numId="89">
    <w:abstractNumId w:val="118"/>
  </w:num>
  <w:num w:numId="90">
    <w:abstractNumId w:val="55"/>
  </w:num>
  <w:num w:numId="91">
    <w:abstractNumId w:val="112"/>
  </w:num>
  <w:num w:numId="92">
    <w:abstractNumId w:val="191"/>
  </w:num>
  <w:num w:numId="93">
    <w:abstractNumId w:val="298"/>
  </w:num>
  <w:num w:numId="94">
    <w:abstractNumId w:val="266"/>
  </w:num>
  <w:num w:numId="95">
    <w:abstractNumId w:val="59"/>
  </w:num>
  <w:num w:numId="96">
    <w:abstractNumId w:val="248"/>
  </w:num>
  <w:num w:numId="97">
    <w:abstractNumId w:val="132"/>
  </w:num>
  <w:num w:numId="98">
    <w:abstractNumId w:val="228"/>
  </w:num>
  <w:num w:numId="99">
    <w:abstractNumId w:val="189"/>
  </w:num>
  <w:num w:numId="100">
    <w:abstractNumId w:val="73"/>
  </w:num>
  <w:num w:numId="101">
    <w:abstractNumId w:val="269"/>
  </w:num>
  <w:num w:numId="102">
    <w:abstractNumId w:val="78"/>
  </w:num>
  <w:num w:numId="103">
    <w:abstractNumId w:val="206"/>
  </w:num>
  <w:num w:numId="104">
    <w:abstractNumId w:val="87"/>
  </w:num>
  <w:num w:numId="105">
    <w:abstractNumId w:val="208"/>
  </w:num>
  <w:num w:numId="106">
    <w:abstractNumId w:val="213"/>
  </w:num>
  <w:num w:numId="107">
    <w:abstractNumId w:val="177"/>
  </w:num>
  <w:num w:numId="108">
    <w:abstractNumId w:val="77"/>
  </w:num>
  <w:num w:numId="109">
    <w:abstractNumId w:val="256"/>
  </w:num>
  <w:num w:numId="110">
    <w:abstractNumId w:val="61"/>
  </w:num>
  <w:num w:numId="111">
    <w:abstractNumId w:val="81"/>
  </w:num>
  <w:num w:numId="112">
    <w:abstractNumId w:val="136"/>
  </w:num>
  <w:num w:numId="113">
    <w:abstractNumId w:val="2"/>
  </w:num>
  <w:num w:numId="114">
    <w:abstractNumId w:val="203"/>
  </w:num>
  <w:num w:numId="115">
    <w:abstractNumId w:val="143"/>
  </w:num>
  <w:num w:numId="116">
    <w:abstractNumId w:val="197"/>
  </w:num>
  <w:num w:numId="117">
    <w:abstractNumId w:val="168"/>
  </w:num>
  <w:num w:numId="118">
    <w:abstractNumId w:val="184"/>
  </w:num>
  <w:num w:numId="119">
    <w:abstractNumId w:val="289"/>
  </w:num>
  <w:num w:numId="120">
    <w:abstractNumId w:val="79"/>
  </w:num>
  <w:num w:numId="121">
    <w:abstractNumId w:val="135"/>
  </w:num>
  <w:num w:numId="122">
    <w:abstractNumId w:val="239"/>
  </w:num>
  <w:num w:numId="123">
    <w:abstractNumId w:val="0"/>
  </w:num>
  <w:num w:numId="124">
    <w:abstractNumId w:val="142"/>
  </w:num>
  <w:num w:numId="125">
    <w:abstractNumId w:val="9"/>
  </w:num>
  <w:num w:numId="126">
    <w:abstractNumId w:val="297"/>
  </w:num>
  <w:num w:numId="127">
    <w:abstractNumId w:val="165"/>
  </w:num>
  <w:num w:numId="128">
    <w:abstractNumId w:val="97"/>
  </w:num>
  <w:num w:numId="129">
    <w:abstractNumId w:val="116"/>
  </w:num>
  <w:num w:numId="130">
    <w:abstractNumId w:val="254"/>
  </w:num>
  <w:num w:numId="131">
    <w:abstractNumId w:val="11"/>
  </w:num>
  <w:num w:numId="132">
    <w:abstractNumId w:val="68"/>
  </w:num>
  <w:num w:numId="133">
    <w:abstractNumId w:val="15"/>
  </w:num>
  <w:num w:numId="134">
    <w:abstractNumId w:val="127"/>
  </w:num>
  <w:num w:numId="135">
    <w:abstractNumId w:val="19"/>
  </w:num>
  <w:num w:numId="136">
    <w:abstractNumId w:val="126"/>
  </w:num>
  <w:num w:numId="137">
    <w:abstractNumId w:val="34"/>
  </w:num>
  <w:num w:numId="138">
    <w:abstractNumId w:val="233"/>
  </w:num>
  <w:num w:numId="139">
    <w:abstractNumId w:val="76"/>
  </w:num>
  <w:num w:numId="140">
    <w:abstractNumId w:val="241"/>
  </w:num>
  <w:num w:numId="141">
    <w:abstractNumId w:val="279"/>
  </w:num>
  <w:num w:numId="142">
    <w:abstractNumId w:val="240"/>
  </w:num>
  <w:num w:numId="143">
    <w:abstractNumId w:val="144"/>
  </w:num>
  <w:num w:numId="144">
    <w:abstractNumId w:val="131"/>
  </w:num>
  <w:num w:numId="145">
    <w:abstractNumId w:val="230"/>
  </w:num>
  <w:num w:numId="146">
    <w:abstractNumId w:val="198"/>
  </w:num>
  <w:num w:numId="147">
    <w:abstractNumId w:val="146"/>
  </w:num>
  <w:num w:numId="148">
    <w:abstractNumId w:val="86"/>
  </w:num>
  <w:num w:numId="149">
    <w:abstractNumId w:val="153"/>
  </w:num>
  <w:num w:numId="150">
    <w:abstractNumId w:val="176"/>
  </w:num>
  <w:num w:numId="151">
    <w:abstractNumId w:val="98"/>
  </w:num>
  <w:num w:numId="152">
    <w:abstractNumId w:val="47"/>
  </w:num>
  <w:num w:numId="153">
    <w:abstractNumId w:val="122"/>
  </w:num>
  <w:num w:numId="154">
    <w:abstractNumId w:val="246"/>
  </w:num>
  <w:num w:numId="155">
    <w:abstractNumId w:val="3"/>
  </w:num>
  <w:num w:numId="156">
    <w:abstractNumId w:val="313"/>
  </w:num>
  <w:num w:numId="157">
    <w:abstractNumId w:val="36"/>
  </w:num>
  <w:num w:numId="158">
    <w:abstractNumId w:val="120"/>
  </w:num>
  <w:num w:numId="159">
    <w:abstractNumId w:val="50"/>
  </w:num>
  <w:num w:numId="160">
    <w:abstractNumId w:val="134"/>
  </w:num>
  <w:num w:numId="161">
    <w:abstractNumId w:val="299"/>
  </w:num>
  <w:num w:numId="162">
    <w:abstractNumId w:val="301"/>
  </w:num>
  <w:num w:numId="163">
    <w:abstractNumId w:val="219"/>
  </w:num>
  <w:num w:numId="164">
    <w:abstractNumId w:val="85"/>
  </w:num>
  <w:num w:numId="165">
    <w:abstractNumId w:val="92"/>
  </w:num>
  <w:num w:numId="166">
    <w:abstractNumId w:val="267"/>
  </w:num>
  <w:num w:numId="167">
    <w:abstractNumId w:val="296"/>
  </w:num>
  <w:num w:numId="168">
    <w:abstractNumId w:val="107"/>
  </w:num>
  <w:num w:numId="169">
    <w:abstractNumId w:val="293"/>
  </w:num>
  <w:num w:numId="170">
    <w:abstractNumId w:val="272"/>
  </w:num>
  <w:num w:numId="171">
    <w:abstractNumId w:val="125"/>
  </w:num>
  <w:num w:numId="172">
    <w:abstractNumId w:val="16"/>
  </w:num>
  <w:num w:numId="173">
    <w:abstractNumId w:val="243"/>
  </w:num>
  <w:num w:numId="174">
    <w:abstractNumId w:val="99"/>
  </w:num>
  <w:num w:numId="175">
    <w:abstractNumId w:val="128"/>
  </w:num>
  <w:num w:numId="176">
    <w:abstractNumId w:val="275"/>
  </w:num>
  <w:num w:numId="177">
    <w:abstractNumId w:val="294"/>
  </w:num>
  <w:num w:numId="178">
    <w:abstractNumId w:val="158"/>
  </w:num>
  <w:num w:numId="179">
    <w:abstractNumId w:val="154"/>
  </w:num>
  <w:num w:numId="180">
    <w:abstractNumId w:val="218"/>
  </w:num>
  <w:num w:numId="181">
    <w:abstractNumId w:val="169"/>
  </w:num>
  <w:num w:numId="182">
    <w:abstractNumId w:val="217"/>
  </w:num>
  <w:num w:numId="183">
    <w:abstractNumId w:val="182"/>
  </w:num>
  <w:num w:numId="184">
    <w:abstractNumId w:val="82"/>
  </w:num>
  <w:num w:numId="185">
    <w:abstractNumId w:val="6"/>
  </w:num>
  <w:num w:numId="186">
    <w:abstractNumId w:val="164"/>
  </w:num>
  <w:num w:numId="187">
    <w:abstractNumId w:val="35"/>
  </w:num>
  <w:num w:numId="188">
    <w:abstractNumId w:val="174"/>
  </w:num>
  <w:num w:numId="189">
    <w:abstractNumId w:val="309"/>
  </w:num>
  <w:num w:numId="190">
    <w:abstractNumId w:val="110"/>
  </w:num>
  <w:num w:numId="191">
    <w:abstractNumId w:val="156"/>
  </w:num>
  <w:num w:numId="192">
    <w:abstractNumId w:val="286"/>
  </w:num>
  <w:num w:numId="193">
    <w:abstractNumId w:val="199"/>
  </w:num>
  <w:num w:numId="194">
    <w:abstractNumId w:val="205"/>
  </w:num>
  <w:num w:numId="195">
    <w:abstractNumId w:val="133"/>
  </w:num>
  <w:num w:numId="196">
    <w:abstractNumId w:val="162"/>
  </w:num>
  <w:num w:numId="197">
    <w:abstractNumId w:val="277"/>
  </w:num>
  <w:num w:numId="198">
    <w:abstractNumId w:val="151"/>
  </w:num>
  <w:num w:numId="199">
    <w:abstractNumId w:val="283"/>
  </w:num>
  <w:num w:numId="200">
    <w:abstractNumId w:val="281"/>
  </w:num>
  <w:num w:numId="201">
    <w:abstractNumId w:val="95"/>
  </w:num>
  <w:num w:numId="202">
    <w:abstractNumId w:val="27"/>
  </w:num>
  <w:num w:numId="203">
    <w:abstractNumId w:val="157"/>
  </w:num>
  <w:num w:numId="204">
    <w:abstractNumId w:val="7"/>
  </w:num>
  <w:num w:numId="205">
    <w:abstractNumId w:val="291"/>
  </w:num>
  <w:num w:numId="206">
    <w:abstractNumId w:val="109"/>
  </w:num>
  <w:num w:numId="207">
    <w:abstractNumId w:val="170"/>
  </w:num>
  <w:num w:numId="208">
    <w:abstractNumId w:val="223"/>
  </w:num>
  <w:num w:numId="209">
    <w:abstractNumId w:val="227"/>
  </w:num>
  <w:num w:numId="210">
    <w:abstractNumId w:val="23"/>
  </w:num>
  <w:num w:numId="211">
    <w:abstractNumId w:val="75"/>
  </w:num>
  <w:num w:numId="212">
    <w:abstractNumId w:val="253"/>
  </w:num>
  <w:num w:numId="213">
    <w:abstractNumId w:val="232"/>
  </w:num>
  <w:num w:numId="214">
    <w:abstractNumId w:val="54"/>
  </w:num>
  <w:num w:numId="215">
    <w:abstractNumId w:val="160"/>
  </w:num>
  <w:num w:numId="216">
    <w:abstractNumId w:val="221"/>
  </w:num>
  <w:num w:numId="217">
    <w:abstractNumId w:val="188"/>
  </w:num>
  <w:num w:numId="218">
    <w:abstractNumId w:val="178"/>
  </w:num>
  <w:num w:numId="219">
    <w:abstractNumId w:val="83"/>
  </w:num>
  <w:num w:numId="220">
    <w:abstractNumId w:val="200"/>
  </w:num>
  <w:num w:numId="221">
    <w:abstractNumId w:val="12"/>
  </w:num>
  <w:num w:numId="222">
    <w:abstractNumId w:val="212"/>
  </w:num>
  <w:num w:numId="223">
    <w:abstractNumId w:val="173"/>
  </w:num>
  <w:num w:numId="224">
    <w:abstractNumId w:val="44"/>
  </w:num>
  <w:num w:numId="225">
    <w:abstractNumId w:val="42"/>
  </w:num>
  <w:num w:numId="226">
    <w:abstractNumId w:val="121"/>
  </w:num>
  <w:num w:numId="227">
    <w:abstractNumId w:val="53"/>
  </w:num>
  <w:num w:numId="228">
    <w:abstractNumId w:val="43"/>
  </w:num>
  <w:num w:numId="229">
    <w:abstractNumId w:val="25"/>
  </w:num>
  <w:num w:numId="230">
    <w:abstractNumId w:val="130"/>
  </w:num>
  <w:num w:numId="231">
    <w:abstractNumId w:val="58"/>
  </w:num>
  <w:num w:numId="232">
    <w:abstractNumId w:val="307"/>
  </w:num>
  <w:num w:numId="233">
    <w:abstractNumId w:val="310"/>
  </w:num>
  <w:num w:numId="234">
    <w:abstractNumId w:val="172"/>
  </w:num>
  <w:num w:numId="235">
    <w:abstractNumId w:val="74"/>
  </w:num>
  <w:num w:numId="236">
    <w:abstractNumId w:val="303"/>
  </w:num>
  <w:num w:numId="237">
    <w:abstractNumId w:val="285"/>
  </w:num>
  <w:num w:numId="238">
    <w:abstractNumId w:val="252"/>
  </w:num>
  <w:num w:numId="239">
    <w:abstractNumId w:val="63"/>
  </w:num>
  <w:num w:numId="240">
    <w:abstractNumId w:val="147"/>
  </w:num>
  <w:num w:numId="241">
    <w:abstractNumId w:val="202"/>
  </w:num>
  <w:num w:numId="242">
    <w:abstractNumId w:val="222"/>
  </w:num>
  <w:num w:numId="243">
    <w:abstractNumId w:val="105"/>
  </w:num>
  <w:num w:numId="244">
    <w:abstractNumId w:val="167"/>
  </w:num>
  <w:num w:numId="245">
    <w:abstractNumId w:val="148"/>
  </w:num>
  <w:num w:numId="246">
    <w:abstractNumId w:val="104"/>
  </w:num>
  <w:num w:numId="247">
    <w:abstractNumId w:val="88"/>
  </w:num>
  <w:num w:numId="248">
    <w:abstractNumId w:val="20"/>
  </w:num>
  <w:num w:numId="249">
    <w:abstractNumId w:val="238"/>
  </w:num>
  <w:num w:numId="250">
    <w:abstractNumId w:val="93"/>
  </w:num>
  <w:num w:numId="251">
    <w:abstractNumId w:val="278"/>
  </w:num>
  <w:num w:numId="252">
    <w:abstractNumId w:val="124"/>
  </w:num>
  <w:num w:numId="253">
    <w:abstractNumId w:val="290"/>
  </w:num>
  <w:num w:numId="254">
    <w:abstractNumId w:val="292"/>
  </w:num>
  <w:num w:numId="255">
    <w:abstractNumId w:val="39"/>
  </w:num>
  <w:num w:numId="256">
    <w:abstractNumId w:val="89"/>
  </w:num>
  <w:num w:numId="257">
    <w:abstractNumId w:val="225"/>
  </w:num>
  <w:num w:numId="258">
    <w:abstractNumId w:val="204"/>
  </w:num>
  <w:num w:numId="259">
    <w:abstractNumId w:val="46"/>
  </w:num>
  <w:num w:numId="260">
    <w:abstractNumId w:val="56"/>
  </w:num>
  <w:num w:numId="261">
    <w:abstractNumId w:val="260"/>
  </w:num>
  <w:num w:numId="262">
    <w:abstractNumId w:val="103"/>
  </w:num>
  <w:num w:numId="263">
    <w:abstractNumId w:val="263"/>
  </w:num>
  <w:num w:numId="264">
    <w:abstractNumId w:val="150"/>
  </w:num>
  <w:num w:numId="265">
    <w:abstractNumId w:val="245"/>
  </w:num>
  <w:num w:numId="266">
    <w:abstractNumId w:val="72"/>
  </w:num>
  <w:num w:numId="267">
    <w:abstractNumId w:val="60"/>
  </w:num>
  <w:num w:numId="268">
    <w:abstractNumId w:val="312"/>
  </w:num>
  <w:num w:numId="269">
    <w:abstractNumId w:val="4"/>
  </w:num>
  <w:num w:numId="270">
    <w:abstractNumId w:val="38"/>
  </w:num>
  <w:num w:numId="271">
    <w:abstractNumId w:val="65"/>
  </w:num>
  <w:num w:numId="272">
    <w:abstractNumId w:val="67"/>
  </w:num>
  <w:num w:numId="273">
    <w:abstractNumId w:val="215"/>
  </w:num>
  <w:num w:numId="274">
    <w:abstractNumId w:val="175"/>
  </w:num>
  <w:num w:numId="275">
    <w:abstractNumId w:val="302"/>
  </w:num>
  <w:num w:numId="276">
    <w:abstractNumId w:val="91"/>
  </w:num>
  <w:num w:numId="277">
    <w:abstractNumId w:val="180"/>
  </w:num>
  <w:num w:numId="278">
    <w:abstractNumId w:val="220"/>
  </w:num>
  <w:num w:numId="279">
    <w:abstractNumId w:val="196"/>
  </w:num>
  <w:num w:numId="280">
    <w:abstractNumId w:val="187"/>
  </w:num>
  <w:num w:numId="281">
    <w:abstractNumId w:val="138"/>
  </w:num>
  <w:num w:numId="282">
    <w:abstractNumId w:val="190"/>
  </w:num>
  <w:num w:numId="283">
    <w:abstractNumId w:val="183"/>
  </w:num>
  <w:num w:numId="284">
    <w:abstractNumId w:val="257"/>
  </w:num>
  <w:num w:numId="285">
    <w:abstractNumId w:val="62"/>
  </w:num>
  <w:num w:numId="286">
    <w:abstractNumId w:val="62"/>
    <w:lvlOverride w:ilvl="0">
      <w:lvl w:ilvl="0">
        <w:start w:val="1"/>
        <w:numFmt w:val="decimal"/>
        <w:lvlRestart w:val="0"/>
        <w:lvlText w:val="%1."/>
        <w:lvlJc w:val="left"/>
        <w:pPr>
          <w:tabs>
            <w:tab w:val="num" w:pos="1742"/>
          </w:tabs>
          <w:ind w:left="1267" w:firstLine="0"/>
        </w:pPr>
        <w:rPr>
          <w:spacing w:val="0"/>
          <w:w w:val="100"/>
        </w:rPr>
      </w:lvl>
    </w:lvlOverride>
  </w:num>
  <w:num w:numId="287">
    <w:abstractNumId w:val="265"/>
  </w:num>
  <w:num w:numId="288">
    <w:abstractNumId w:val="209"/>
  </w:num>
  <w:num w:numId="289">
    <w:abstractNumId w:val="224"/>
  </w:num>
  <w:num w:numId="290">
    <w:abstractNumId w:val="288"/>
  </w:num>
  <w:num w:numId="291">
    <w:abstractNumId w:val="288"/>
    <w:lvlOverride w:ilvl="0">
      <w:lvl w:ilvl="0">
        <w:start w:val="1"/>
        <w:numFmt w:val="decimal"/>
        <w:lvlRestart w:val="0"/>
        <w:lvlText w:val="%1."/>
        <w:lvlJc w:val="left"/>
        <w:pPr>
          <w:tabs>
            <w:tab w:val="num" w:pos="1742"/>
          </w:tabs>
          <w:ind w:left="1267" w:firstLine="0"/>
        </w:pPr>
        <w:rPr>
          <w:spacing w:val="0"/>
          <w:w w:val="100"/>
        </w:rPr>
      </w:lvl>
    </w:lvlOverride>
  </w:num>
  <w:num w:numId="292">
    <w:abstractNumId w:val="274"/>
  </w:num>
  <w:num w:numId="293">
    <w:abstractNumId w:val="17"/>
  </w:num>
  <w:num w:numId="294">
    <w:abstractNumId w:val="41"/>
  </w:num>
  <w:num w:numId="295">
    <w:abstractNumId w:val="123"/>
  </w:num>
  <w:num w:numId="296">
    <w:abstractNumId w:val="49"/>
  </w:num>
  <w:num w:numId="297">
    <w:abstractNumId w:val="28"/>
  </w:num>
  <w:num w:numId="298">
    <w:abstractNumId w:val="28"/>
    <w:lvlOverride w:ilvl="0">
      <w:lvl w:ilvl="0">
        <w:start w:val="4"/>
        <w:numFmt w:val="decimal"/>
        <w:lvlRestart w:val="0"/>
        <w:lvlText w:val="%1."/>
        <w:lvlJc w:val="left"/>
        <w:pPr>
          <w:tabs>
            <w:tab w:val="num" w:pos="1742"/>
          </w:tabs>
          <w:ind w:left="1267" w:firstLine="0"/>
        </w:pPr>
        <w:rPr>
          <w:spacing w:val="0"/>
          <w:w w:val="100"/>
        </w:rPr>
      </w:lvl>
    </w:lvlOverride>
  </w:num>
  <w:num w:numId="299">
    <w:abstractNumId w:val="1"/>
  </w:num>
  <w:num w:numId="300">
    <w:abstractNumId w:val="194"/>
  </w:num>
  <w:num w:numId="301">
    <w:abstractNumId w:val="51"/>
  </w:num>
  <w:num w:numId="302">
    <w:abstractNumId w:val="100"/>
  </w:num>
  <w:num w:numId="303">
    <w:abstractNumId w:val="31"/>
  </w:num>
  <w:num w:numId="304">
    <w:abstractNumId w:val="280"/>
  </w:num>
  <w:num w:numId="305">
    <w:abstractNumId w:val="84"/>
  </w:num>
  <w:num w:numId="306">
    <w:abstractNumId w:val="18"/>
  </w:num>
  <w:num w:numId="307">
    <w:abstractNumId w:val="229"/>
  </w:num>
  <w:num w:numId="308">
    <w:abstractNumId w:val="139"/>
  </w:num>
  <w:num w:numId="309">
    <w:abstractNumId w:val="159"/>
  </w:num>
  <w:num w:numId="310">
    <w:abstractNumId w:val="262"/>
  </w:num>
  <w:num w:numId="311">
    <w:abstractNumId w:val="24"/>
  </w:num>
  <w:num w:numId="312">
    <w:abstractNumId w:val="102"/>
  </w:num>
  <w:num w:numId="313">
    <w:abstractNumId w:val="69"/>
  </w:num>
  <w:num w:numId="314">
    <w:abstractNumId w:val="21"/>
  </w:num>
  <w:num w:numId="315">
    <w:abstractNumId w:val="180"/>
    <w:lvlOverride w:ilvl="0">
      <w:lvl w:ilvl="0">
        <w:start w:val="1"/>
        <w:numFmt w:val="decimal"/>
        <w:lvlRestart w:val="0"/>
        <w:lvlText w:val="%1."/>
        <w:lvlJc w:val="left"/>
        <w:pPr>
          <w:tabs>
            <w:tab w:val="num" w:pos="1742"/>
          </w:tabs>
          <w:ind w:left="1267" w:firstLine="0"/>
        </w:pPr>
        <w:rPr>
          <w:spacing w:val="0"/>
          <w:w w:val="100"/>
        </w:rPr>
      </w:lvl>
    </w:lvlOverride>
  </w:num>
  <w:num w:numId="316">
    <w:abstractNumId w:val="304"/>
  </w:num>
  <w:num w:numId="317">
    <w:abstractNumId w:val="10"/>
  </w:num>
  <w:num w:numId="318">
    <w:abstractNumId w:val="195"/>
  </w:num>
  <w:num w:numId="319">
    <w:abstractNumId w:val="271"/>
  </w:num>
  <w:num w:numId="320">
    <w:abstractNumId w:val="295"/>
  </w:num>
  <w:num w:numId="321">
    <w:abstractNumId w:val="52"/>
  </w:num>
  <w:num w:numId="322">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6 13:03:33"/>
    <w:docVar w:name="DocCategory" w:val="Doc"/>
    <w:docVar w:name="DocType" w:val="Final"/>
    <w:docVar w:name="JobNo" w:val="0540582S"/>
    <w:docVar w:name="OandT" w:val="cris"/>
    <w:docVar w:name="Symbol1" w:val="CEDAW/C/GRC/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Strong">
    <w:name w:val="Strong"/>
    <w:qFormat/>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wmf"/><Relationship Id="rId26"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emf"/><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emf"/><Relationship Id="rId28" Type="http://schemas.openxmlformats.org/officeDocument/2006/relationships/image" Target="media/image15.emf"/><Relationship Id="rId10" Type="http://schemas.openxmlformats.org/officeDocument/2006/relationships/footer" Target="footer2.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131</Pages>
  <Words>51065</Words>
  <Characters>272778</Characters>
  <Application>Microsoft Office Word</Application>
  <DocSecurity>4</DocSecurity>
  <Lines>8128</Lines>
  <Paragraphs>3504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320181</CharactersWithSpaces>
  <SharedDoc>false</SharedDoc>
  <HLinks>
    <vt:vector size="6" baseType="variant">
      <vt:variant>
        <vt:i4>4522087</vt:i4>
      </vt:variant>
      <vt:variant>
        <vt:i4>358114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Arias, Cristina</cp:lastModifiedBy>
  <cp:revision>30</cp:revision>
  <cp:lastPrinted>2006-01-13T11:33:00Z</cp:lastPrinted>
  <dcterms:created xsi:type="dcterms:W3CDTF">2006-01-13T11:03:00Z</dcterms:created>
  <dcterms:modified xsi:type="dcterms:W3CDTF">2006-01-13T17:31:00Z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0540582</vt:lpwstr>
  </property>
  <property fmtid="{D5CDD505-2E9C-101B-9397-08002B2CF9AE}" pid="3" name="Symbol1">
    <vt:lpwstr>CEDAW/C/GRC/6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