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8066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8066C" w:rsidP="0078066C">
            <w:pPr>
              <w:jc w:val="right"/>
            </w:pPr>
            <w:r w:rsidRPr="0078066C">
              <w:rPr>
                <w:sz w:val="40"/>
              </w:rPr>
              <w:t>C</w:t>
            </w:r>
            <w:r w:rsidR="00E20EBE">
              <w:rPr>
                <w:sz w:val="40"/>
              </w:rPr>
              <w:t>A</w:t>
            </w:r>
            <w:r w:rsidRPr="0078066C">
              <w:rPr>
                <w:sz w:val="40"/>
              </w:rPr>
              <w:t>T</w:t>
            </w:r>
            <w:r>
              <w:t>/C/SR.1039</w:t>
            </w:r>
          </w:p>
        </w:tc>
      </w:tr>
      <w:tr w:rsidR="002D5AAC" w:rsidTr="0078066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78066C" w:rsidRDefault="0078066C" w:rsidP="00712895">
            <w:pPr>
              <w:spacing w:before="240"/>
            </w:pPr>
            <w:r>
              <w:t>Distr. general</w:t>
            </w:r>
          </w:p>
          <w:p w:rsidR="0078066C" w:rsidRDefault="0078066C" w:rsidP="0078066C">
            <w:pPr>
              <w:spacing w:line="240" w:lineRule="exact"/>
            </w:pPr>
            <w:r>
              <w:t>10 de agosto de 2012</w:t>
            </w:r>
          </w:p>
          <w:p w:rsidR="0078066C" w:rsidRDefault="0078066C" w:rsidP="0078066C">
            <w:pPr>
              <w:spacing w:line="240" w:lineRule="exact"/>
            </w:pPr>
            <w:r>
              <w:t>Español</w:t>
            </w:r>
          </w:p>
          <w:p w:rsidR="002D5AAC" w:rsidRDefault="0078066C" w:rsidP="0078066C">
            <w:pPr>
              <w:spacing w:line="240" w:lineRule="exact"/>
            </w:pPr>
            <w:r>
              <w:t>Original: francés</w:t>
            </w:r>
          </w:p>
        </w:tc>
      </w:tr>
    </w:tbl>
    <w:p w:rsidR="0078066C" w:rsidRPr="00C242B9" w:rsidRDefault="0078066C" w:rsidP="0078066C">
      <w:pPr>
        <w:spacing w:before="120"/>
        <w:rPr>
          <w:b/>
          <w:sz w:val="24"/>
          <w:szCs w:val="24"/>
        </w:rPr>
      </w:pPr>
      <w:r w:rsidRPr="00C242B9">
        <w:rPr>
          <w:b/>
          <w:sz w:val="24"/>
          <w:szCs w:val="24"/>
        </w:rPr>
        <w:t>Comité contra la Tortura</w:t>
      </w:r>
    </w:p>
    <w:p w:rsidR="0078066C" w:rsidRDefault="0078066C" w:rsidP="0078066C">
      <w:pPr>
        <w:spacing w:after="120"/>
        <w:rPr>
          <w:b/>
        </w:rPr>
      </w:pPr>
      <w:r>
        <w:rPr>
          <w:b/>
        </w:rPr>
        <w:t>47º período de sesiones</w:t>
      </w:r>
    </w:p>
    <w:p w:rsidR="0078066C" w:rsidRDefault="0078066C" w:rsidP="0078066C">
      <w:pPr>
        <w:rPr>
          <w:b/>
        </w:rPr>
      </w:pPr>
      <w:r>
        <w:rPr>
          <w:b/>
        </w:rPr>
        <w:t>Acta resumida de la 1039ª sesión</w:t>
      </w:r>
    </w:p>
    <w:p w:rsidR="0078066C" w:rsidRDefault="0078066C" w:rsidP="0078066C">
      <w:pPr>
        <w:spacing w:after="240" w:line="240" w:lineRule="auto"/>
      </w:pPr>
      <w:r>
        <w:t>Celebrada en el Palais Wilson, Ginebra, el lunes 14 de noviembre de 2011, a las 15.00 horas</w:t>
      </w:r>
    </w:p>
    <w:p w:rsidR="0078066C" w:rsidRDefault="0078066C" w:rsidP="0078066C">
      <w:pPr>
        <w:tabs>
          <w:tab w:val="right" w:pos="992"/>
          <w:tab w:val="left" w:pos="1134"/>
          <w:tab w:val="right" w:leader="dot" w:pos="8505"/>
        </w:tabs>
        <w:spacing w:before="120"/>
      </w:pPr>
      <w:r>
        <w:tab/>
      </w:r>
      <w:r w:rsidRPr="00C242B9">
        <w:rPr>
          <w:i/>
        </w:rPr>
        <w:t>Presidente:</w:t>
      </w:r>
      <w:r>
        <w:tab/>
        <w:t xml:space="preserve">Sr. </w:t>
      </w:r>
      <w:r w:rsidRPr="00C242B9">
        <w:rPr>
          <w:lang w:val="es-ES_tradnl"/>
        </w:rPr>
        <w:t>Grossman</w:t>
      </w:r>
    </w:p>
    <w:p w:rsidR="0078066C" w:rsidRPr="00C242B9" w:rsidRDefault="0078066C" w:rsidP="0078066C">
      <w:pPr>
        <w:pStyle w:val="HChG"/>
        <w:rPr>
          <w:b w:val="0"/>
        </w:rPr>
      </w:pPr>
      <w:r w:rsidRPr="00C242B9">
        <w:rPr>
          <w:b w:val="0"/>
        </w:rPr>
        <w:t>Sumario</w:t>
      </w:r>
    </w:p>
    <w:p w:rsidR="0078066C" w:rsidRDefault="0078066C" w:rsidP="0078066C">
      <w:pPr>
        <w:pStyle w:val="SingleTxtG"/>
        <w:jc w:val="left"/>
      </w:pPr>
      <w:r>
        <w:t xml:space="preserve">Examen de los informes presentados por los Estados partes en virtud del artículo 19 de la Convención </w:t>
      </w:r>
      <w:r>
        <w:rPr>
          <w:i/>
        </w:rPr>
        <w:t>(continuación)</w:t>
      </w:r>
    </w:p>
    <w:p w:rsidR="0078066C" w:rsidRDefault="0078066C" w:rsidP="0078066C">
      <w:pPr>
        <w:pStyle w:val="SingleTxtG"/>
        <w:ind w:left="1701"/>
      </w:pPr>
      <w:r>
        <w:rPr>
          <w:i/>
        </w:rPr>
        <w:t>Cuarto informe periódico de Belarús</w:t>
      </w:r>
      <w:r>
        <w:t xml:space="preserve"> (continuación)</w:t>
      </w:r>
    </w:p>
    <w:p w:rsidR="0078066C" w:rsidRPr="0034350F" w:rsidRDefault="0078066C" w:rsidP="0078066C">
      <w:pPr>
        <w:pStyle w:val="SingleTxtG"/>
        <w:rPr>
          <w:i/>
        </w:rPr>
      </w:pPr>
      <w:r>
        <w:rPr>
          <w:lang w:val="es-ES_tradnl"/>
        </w:rPr>
        <w:br w:type="page"/>
      </w:r>
      <w:r w:rsidRPr="0034350F">
        <w:rPr>
          <w:i/>
        </w:rPr>
        <w:t>Se levanta la sesión a las 15.05 horas</w:t>
      </w:r>
      <w:r>
        <w:rPr>
          <w:i/>
        </w:rPr>
        <w:t>.</w:t>
      </w:r>
    </w:p>
    <w:p w:rsidR="0078066C" w:rsidRPr="0034350F" w:rsidRDefault="0078066C" w:rsidP="0078066C">
      <w:pPr>
        <w:pStyle w:val="H23G"/>
        <w:rPr>
          <w:b w:val="0"/>
          <w:i/>
        </w:rPr>
      </w:pPr>
      <w:r>
        <w:tab/>
      </w:r>
      <w:r>
        <w:tab/>
      </w:r>
      <w:r w:rsidRPr="0034350F">
        <w:t>Examen de los informes presentados por los Estados partes en virtud del artículo</w:t>
      </w:r>
      <w:r>
        <w:t> </w:t>
      </w:r>
      <w:r w:rsidRPr="0034350F">
        <w:t>19</w:t>
      </w:r>
      <w:r>
        <w:t> </w:t>
      </w:r>
      <w:r w:rsidRPr="0034350F">
        <w:t xml:space="preserve">de la Convención </w:t>
      </w:r>
      <w:r w:rsidRPr="0034350F">
        <w:rPr>
          <w:b w:val="0"/>
          <w:i/>
        </w:rPr>
        <w:t>(continuación)</w:t>
      </w:r>
    </w:p>
    <w:p w:rsidR="0078066C" w:rsidRPr="0034350F" w:rsidRDefault="0078066C" w:rsidP="0078066C">
      <w:pPr>
        <w:pStyle w:val="H4G"/>
      </w:pPr>
      <w:r>
        <w:tab/>
      </w:r>
      <w:r>
        <w:tab/>
      </w:r>
      <w:r w:rsidRPr="0034350F">
        <w:t xml:space="preserve">Cuarto informe periódico de Belarús </w:t>
      </w:r>
      <w:r w:rsidRPr="0034350F">
        <w:rPr>
          <w:i w:val="0"/>
        </w:rPr>
        <w:t>(CAT/C/BLR/4; CAT/C/BLR/Q/4 y HRI/CORE/1/Add.70</w:t>
      </w:r>
      <w:r>
        <w:rPr>
          <w:i w:val="0"/>
        </w:rPr>
        <w:t>)</w:t>
      </w:r>
      <w:r w:rsidRPr="0034350F">
        <w:t xml:space="preserve"> </w:t>
      </w:r>
      <w:r w:rsidRPr="001629FB">
        <w:rPr>
          <w:i w:val="0"/>
        </w:rPr>
        <w:t>(continuación)</w:t>
      </w:r>
    </w:p>
    <w:p w:rsidR="0078066C" w:rsidRPr="0034350F" w:rsidRDefault="0078066C" w:rsidP="0078066C">
      <w:pPr>
        <w:pStyle w:val="SingleTxtG"/>
        <w:rPr>
          <w:i/>
        </w:rPr>
      </w:pPr>
      <w:r w:rsidRPr="0034350F">
        <w:t>1.</w:t>
      </w:r>
      <w:r w:rsidRPr="0034350F">
        <w:tab/>
      </w:r>
      <w:r w:rsidRPr="0034350F">
        <w:rPr>
          <w:i/>
        </w:rPr>
        <w:t xml:space="preserve">Por invitación del Presidente, la delegación de Belarús toma asiento de nuevo a la </w:t>
      </w:r>
      <w:r w:rsidR="00B72EE5" w:rsidRPr="0034350F">
        <w:rPr>
          <w:i/>
        </w:rPr>
        <w:t xml:space="preserve">Mesa </w:t>
      </w:r>
      <w:r w:rsidRPr="0034350F">
        <w:rPr>
          <w:i/>
        </w:rPr>
        <w:t>del Comité.</w:t>
      </w:r>
    </w:p>
    <w:p w:rsidR="0078066C" w:rsidRPr="0034350F" w:rsidRDefault="0078066C" w:rsidP="0078066C">
      <w:pPr>
        <w:pStyle w:val="SingleTxtG"/>
      </w:pPr>
      <w:r w:rsidRPr="0034350F">
        <w:t>2.</w:t>
      </w:r>
      <w:r w:rsidRPr="0034350F">
        <w:tab/>
      </w:r>
      <w:r w:rsidRPr="0034350F">
        <w:rPr>
          <w:b/>
        </w:rPr>
        <w:t xml:space="preserve">El Sr. Khvostov </w:t>
      </w:r>
      <w:r w:rsidRPr="0034350F">
        <w:t xml:space="preserve">(Belarús) desea hacer un cierto número de observaciones preliminares antes de responder a las preguntas </w:t>
      </w:r>
      <w:r>
        <w:t>hechas</w:t>
      </w:r>
      <w:r w:rsidRPr="0034350F">
        <w:t xml:space="preserve"> en la primera sesión dedicada al examen del informe (véase CAT/C/SR.1036). El Gobierno de Belarús estima que el Comité no </w:t>
      </w:r>
      <w:r>
        <w:t>es competente</w:t>
      </w:r>
      <w:r w:rsidRPr="0034350F">
        <w:t xml:space="preserve"> para </w:t>
      </w:r>
      <w:r>
        <w:t>proceder al examen de</w:t>
      </w:r>
      <w:r w:rsidRPr="0034350F">
        <w:t xml:space="preserve"> la aplicación de disposiciones de instrumentos regionales o internacionales que no sean la Convención. Considera pues inoportunas las referencias de la Relatora al informe de la Oficina de Instituciones Democráticas y Derechos Humanos (BIDDH) de la Organización para la Seguridad y la Cooperación en Europa (OSCE). No </w:t>
      </w:r>
      <w:r>
        <w:t>incumbe al</w:t>
      </w:r>
      <w:r w:rsidRPr="0034350F">
        <w:t xml:space="preserve"> Comité juzgar a los Estados partes</w:t>
      </w:r>
      <w:r>
        <w:t>;</w:t>
      </w:r>
      <w:r w:rsidRPr="0034350F">
        <w:t xml:space="preserve"> en consecuencia, sus miembros deberían evitar todo comentario subjetivo o con connotaciones políticas. El Gobierno de Belarús rechaza categóricamente las afirmaciones de la Correlatora </w:t>
      </w:r>
      <w:r>
        <w:t>de que</w:t>
      </w:r>
      <w:r w:rsidRPr="0034350F">
        <w:t xml:space="preserve"> en Belarús reina una cultura de la impunidad. El Comité tampoco está facultado para determinar si la detención de una persona es ilegal, ni para examinar el trato dado a personas autodenominadas defensoras de los derechos humanos y que han sido detenidas por haber vulnerado la ley. La Convención ofrece su protección a todos, sin excepción, y no hace ninguna distinción basada en la actividad profesional. </w:t>
      </w:r>
      <w:r>
        <w:t>Así pues,</w:t>
      </w:r>
      <w:r w:rsidRPr="0034350F">
        <w:t xml:space="preserve"> el Comité </w:t>
      </w:r>
      <w:r>
        <w:t>no tiene por qué interesarse</w:t>
      </w:r>
      <w:r w:rsidRPr="0034350F">
        <w:t xml:space="preserve"> más especialmente en esta clase de personas.</w:t>
      </w:r>
    </w:p>
    <w:p w:rsidR="0078066C" w:rsidRPr="0034350F" w:rsidRDefault="0078066C" w:rsidP="0078066C">
      <w:pPr>
        <w:pStyle w:val="SingleTxtG"/>
      </w:pPr>
      <w:r w:rsidRPr="0034350F">
        <w:t>3.</w:t>
      </w:r>
      <w:r w:rsidRPr="0034350F">
        <w:tab/>
        <w:t xml:space="preserve">En lo referente a los graves disturbios </w:t>
      </w:r>
      <w:r>
        <w:t>acontecidos</w:t>
      </w:r>
      <w:r w:rsidRPr="0034350F">
        <w:t xml:space="preserve"> el 19 de diciembre de 2010, cabe precisar que, contrariamente a lo que parece creer la Relatora, las manifestaciones </w:t>
      </w:r>
      <w:r>
        <w:t>de</w:t>
      </w:r>
      <w:r w:rsidRPr="0034350F">
        <w:t xml:space="preserve"> la Plaza de Octubre </w:t>
      </w:r>
      <w:r>
        <w:t>fueron</w:t>
      </w:r>
      <w:r w:rsidRPr="0034350F">
        <w:t xml:space="preserve"> pacíficas y solo después, cuando los manifestantes se trasladaron a la Plaza de la Independencia, degeneró la situación. Allí es donde uno de los candidatos a la presidencia indujo deliberadamente </w:t>
      </w:r>
      <w:r>
        <w:t>a</w:t>
      </w:r>
      <w:r w:rsidRPr="0034350F">
        <w:t xml:space="preserve"> error a los manifestantes anunciando </w:t>
      </w:r>
      <w:r>
        <w:t>la caída d</w:t>
      </w:r>
      <w:r w:rsidRPr="0034350F">
        <w:t xml:space="preserve">el Gobierno, lo que </w:t>
      </w:r>
      <w:r>
        <w:t>incitó a la multitud</w:t>
      </w:r>
      <w:r w:rsidRPr="0034350F">
        <w:t xml:space="preserve"> a atacar la sede del Gobierno. Las autoridades </w:t>
      </w:r>
      <w:r>
        <w:t>vieron en</w:t>
      </w:r>
      <w:r w:rsidRPr="0034350F">
        <w:t xml:space="preserve"> este ataque un intento de golpe de Estado, y la policía intervino y detuvo a 600 personas.</w:t>
      </w:r>
    </w:p>
    <w:p w:rsidR="0078066C" w:rsidRPr="0034350F" w:rsidRDefault="0078066C" w:rsidP="0078066C">
      <w:pPr>
        <w:pStyle w:val="SingleTxtG"/>
      </w:pPr>
      <w:r w:rsidRPr="0034350F">
        <w:t>4.</w:t>
      </w:r>
      <w:r w:rsidRPr="0034350F">
        <w:tab/>
        <w:t xml:space="preserve">El Sr. Khvostov observa que, en términos generales, la mayoría de las preguntas formuladas por los miembros del Comité </w:t>
      </w:r>
      <w:r>
        <w:t>conciernen</w:t>
      </w:r>
      <w:r w:rsidRPr="0034350F">
        <w:t xml:space="preserve"> a individuos o acontecimientos concretos. Recuerda que el examen de las comunicaciones de particulares está previsto en el artículo 22 de la Convención</w:t>
      </w:r>
      <w:r>
        <w:t>,</w:t>
      </w:r>
      <w:r w:rsidRPr="0034350F">
        <w:t xml:space="preserve"> y que Belarús no ha hecho la declaración prevista en este artículo. Si el Gobierno de Belarús no ha respondido a todas las preguntas </w:t>
      </w:r>
      <w:r>
        <w:t>de</w:t>
      </w:r>
      <w:r w:rsidRPr="0034350F">
        <w:t xml:space="preserve"> la lista de </w:t>
      </w:r>
      <w:r>
        <w:t>cuestiones</w:t>
      </w:r>
      <w:r w:rsidRPr="0034350F">
        <w:t xml:space="preserve">, ello es debido a que consideró que el documento en el que figuraban sus respuestas por escrito no debía ser más </w:t>
      </w:r>
      <w:r>
        <w:t>largo</w:t>
      </w:r>
      <w:r w:rsidRPr="0034350F">
        <w:t xml:space="preserve"> que su informe periódico. Por lo demás, se ha facilitado una traducción de estas respuestas en uno de los idiomas de trabajo del Comité</w:t>
      </w:r>
      <w:r>
        <w:t>,</w:t>
      </w:r>
      <w:r w:rsidRPr="0034350F">
        <w:t xml:space="preserve"> para propiciar un diálogo fructífero con este.</w:t>
      </w:r>
    </w:p>
    <w:p w:rsidR="0078066C" w:rsidRPr="0034350F" w:rsidRDefault="0078066C" w:rsidP="0078066C">
      <w:pPr>
        <w:pStyle w:val="SingleTxtG"/>
      </w:pPr>
      <w:r w:rsidRPr="0034350F">
        <w:t>5.</w:t>
      </w:r>
      <w:r w:rsidRPr="0034350F">
        <w:tab/>
        <w:t xml:space="preserve">Los miembros del Comité </w:t>
      </w:r>
      <w:r>
        <w:t>han mencionado repetidamente</w:t>
      </w:r>
      <w:r w:rsidRPr="0034350F">
        <w:t xml:space="preserve"> los llamamientos urgentes dirigidos al Gobierno de Belarús por varios titulares de mandatos </w:t>
      </w:r>
      <w:r>
        <w:t>en el marco</w:t>
      </w:r>
      <w:r w:rsidRPr="0034350F">
        <w:t xml:space="preserve"> de los procedimientos especiales del Consejo de Derechos Humanos, y en particular los efectuados en ocasión de los acontecimientos de diciembre de 2010 y durante el período subsiguiente. Todos estos llamamientos se examinarán detenidamente y se darán respuestas detalladas</w:t>
      </w:r>
      <w:r>
        <w:t>, orales y</w:t>
      </w:r>
      <w:r w:rsidRPr="0034350F">
        <w:t xml:space="preserve"> por escrito, en un período de sesiones futuro del Consejo de Derechos Humanos</w:t>
      </w:r>
      <w:r>
        <w:t xml:space="preserve">, </w:t>
      </w:r>
      <w:r w:rsidRPr="0034350F">
        <w:t xml:space="preserve">en el marco del diálogo interactivo con los titulares de mandatos. A este respecto, conviene destacar que los llamamientos urgentes no son la expresión del </w:t>
      </w:r>
      <w:r>
        <w:t>juicio</w:t>
      </w:r>
      <w:r w:rsidRPr="0034350F">
        <w:t xml:space="preserve"> de los titulares de mandatos sobre los hechos señalados a su atención. En su informe de marzo de 2011 al Consejo de Derechos Humanos (A/HRC/16/52), el Relator Especial sobre la tortura indica</w:t>
      </w:r>
      <w:r>
        <w:t>ba</w:t>
      </w:r>
      <w:r w:rsidRPr="0034350F">
        <w:t xml:space="preserve"> que del 19 de diciembre de 2009 al 30 de noviembre de 2010 </w:t>
      </w:r>
      <w:r>
        <w:t xml:space="preserve">había </w:t>
      </w:r>
      <w:r w:rsidRPr="0034350F">
        <w:t>envi</w:t>
      </w:r>
      <w:r>
        <w:t>ado</w:t>
      </w:r>
      <w:r w:rsidRPr="0034350F">
        <w:t xml:space="preserve"> 64 cartas sobre denuncias de tortura a 35 Estados y </w:t>
      </w:r>
      <w:r>
        <w:t>dirigido</w:t>
      </w:r>
      <w:r w:rsidRPr="0034350F">
        <w:t xml:space="preserve"> 137 llamamientos urgentes a 53 Estados</w:t>
      </w:r>
      <w:r>
        <w:t xml:space="preserve"> </w:t>
      </w:r>
      <w:r w:rsidRPr="0034350F">
        <w:t>en favor de personas amenazadas de tortura o de penas o tratos crueles, inhumanos o degradantes. Ahora bien, en la adición a este informe solo se citan dos asuntos relativos a Belarús. En lo que respecta a los acontecimientos del 19 de diciembre de 2010, se invita al Comité a remitirse a las observaciones del Gobierno de Belarús que figuran en dos notas verbales dirigidas al Consejo de Derechos Humanos (A/HRC/17/G/4 y A/HRC/18/G/7).</w:t>
      </w:r>
    </w:p>
    <w:p w:rsidR="0078066C" w:rsidRPr="0034350F" w:rsidRDefault="0078066C" w:rsidP="0078066C">
      <w:pPr>
        <w:pStyle w:val="SingleTxtG"/>
      </w:pPr>
      <w:r w:rsidRPr="0034350F">
        <w:t>6.</w:t>
      </w:r>
      <w:r w:rsidRPr="0034350F">
        <w:tab/>
        <w:t xml:space="preserve">Todos los abogados de las personas detenidas en ocasión de los disturbios registrados el 19 de diciembre de 2010 en Minsk tuvieron derecho a entrevistarse libremente con sus clientes, en la medida en que lo permitían las condiciones materiales. </w:t>
      </w:r>
      <w:r>
        <w:t>Como</w:t>
      </w:r>
      <w:r w:rsidRPr="0034350F">
        <w:t xml:space="preserve"> el Gobierno no </w:t>
      </w:r>
      <w:r>
        <w:t>preveía</w:t>
      </w:r>
      <w:r w:rsidRPr="0034350F">
        <w:t xml:space="preserve"> que estos acontecimientos </w:t>
      </w:r>
      <w:r>
        <w:t>fueran a adquirir</w:t>
      </w:r>
      <w:r w:rsidRPr="0034350F">
        <w:t xml:space="preserve"> tales proporciones, en aquel momento no había locales suficientes en los lugares de detención para que todos los sospechosos pudieran entrevistarse </w:t>
      </w:r>
      <w:r>
        <w:t>cara a cara</w:t>
      </w:r>
      <w:r w:rsidRPr="0034350F">
        <w:t xml:space="preserve"> con sus abogados. </w:t>
      </w:r>
      <w:r>
        <w:t>Más adelante</w:t>
      </w:r>
      <w:r w:rsidRPr="0034350F">
        <w:t xml:space="preserve"> se adoptaron disposiciones para remediar esta situación. Además, la Fiscalía ha abierto una investigación sobre las informaciones divulgadas por los medios de comunicación, según las cuales </w:t>
      </w:r>
      <w:r>
        <w:t>los abogados no fueron autorizados</w:t>
      </w:r>
      <w:r w:rsidRPr="0034350F">
        <w:t xml:space="preserve"> a ver a sus clientes. De los resultados de esta investigación no se </w:t>
      </w:r>
      <w:r>
        <w:t>infiere</w:t>
      </w:r>
      <w:r w:rsidRPr="0034350F">
        <w:t xml:space="preserve"> la existencia de ninguna violación de las disposiciones pertinentes del Código de Procedimiento Penal.</w:t>
      </w:r>
    </w:p>
    <w:p w:rsidR="0078066C" w:rsidRPr="0034350F" w:rsidRDefault="0078066C" w:rsidP="0078066C">
      <w:pPr>
        <w:pStyle w:val="SingleTxtG"/>
      </w:pPr>
      <w:r w:rsidRPr="0034350F">
        <w:t>7.</w:t>
      </w:r>
      <w:r w:rsidRPr="0034350F">
        <w:tab/>
        <w:t xml:space="preserve">De conformidad con el artículo 25 de la Ley sobre las modalidades y condiciones de la detención provisional, las personas </w:t>
      </w:r>
      <w:r>
        <w:t>sometidas a</w:t>
      </w:r>
      <w:r w:rsidRPr="0034350F">
        <w:t xml:space="preserve"> detención policial tienen la posibilidad de entrevistarse </w:t>
      </w:r>
      <w:r>
        <w:t>cara a cara</w:t>
      </w:r>
      <w:r w:rsidRPr="0034350F">
        <w:t xml:space="preserve"> con sus defensores, en condiciones que preservan el carácter confidencial de estas entrevistas. Las entrevistas tienen lugar en locales previstos a este efecto, en los que los guardia</w:t>
      </w:r>
      <w:r>
        <w:t>nes</w:t>
      </w:r>
      <w:r w:rsidRPr="0034350F">
        <w:t xml:space="preserve"> pueden ver al detenido y a su abogado sin oír su conversación, y </w:t>
      </w:r>
      <w:r>
        <w:t>sin que haya</w:t>
      </w:r>
      <w:r w:rsidRPr="0034350F">
        <w:t xml:space="preserve"> límite </w:t>
      </w:r>
      <w:r>
        <w:t xml:space="preserve">alguno </w:t>
      </w:r>
      <w:r w:rsidRPr="0034350F">
        <w:t xml:space="preserve">a su frecuencia </w:t>
      </w:r>
      <w:r>
        <w:t>o</w:t>
      </w:r>
      <w:r w:rsidRPr="0034350F">
        <w:t xml:space="preserve"> su duración. En la época de los disturbios, el centro de detención provisional (SIZO) del Comité de Seguridad del Estado (KGB) no tenía locales </w:t>
      </w:r>
      <w:r>
        <w:t>aptos</w:t>
      </w:r>
      <w:r w:rsidRPr="0034350F">
        <w:t xml:space="preserve"> para este tipo de entrevistas; por este motivo algunas personas detenidas en diciembre de 2010 no pudieron ver a su</w:t>
      </w:r>
      <w:r>
        <w:t>s</w:t>
      </w:r>
      <w:r w:rsidRPr="0034350F">
        <w:t xml:space="preserve"> abogado</w:t>
      </w:r>
      <w:r>
        <w:t>s</w:t>
      </w:r>
      <w:r w:rsidRPr="0034350F">
        <w:t xml:space="preserve"> en plazo útil. Cabe precisar que la Ley no autoriza </w:t>
      </w:r>
      <w:r>
        <w:t>las entrevistas de</w:t>
      </w:r>
      <w:r w:rsidRPr="0034350F">
        <w:t xml:space="preserve"> los sospechosos o los acusados con sus abogados por otros medios de comunicación, como el teléfono.</w:t>
      </w:r>
    </w:p>
    <w:p w:rsidR="0078066C" w:rsidRPr="0034350F" w:rsidRDefault="0078066C" w:rsidP="0078066C">
      <w:pPr>
        <w:pStyle w:val="SingleTxtG"/>
      </w:pPr>
      <w:r w:rsidRPr="0034350F">
        <w:t>8.</w:t>
      </w:r>
      <w:r w:rsidRPr="0034350F">
        <w:tab/>
        <w:t>El Ministerio del Interior efectúa visitas regulares</w:t>
      </w:r>
      <w:r>
        <w:t>,</w:t>
      </w:r>
      <w:r w:rsidRPr="0034350F">
        <w:t xml:space="preserve"> anunciadas o </w:t>
      </w:r>
      <w:r>
        <w:t>por sorpresa,</w:t>
      </w:r>
      <w:r w:rsidRPr="0034350F">
        <w:t xml:space="preserve"> a los centros de detención temporal (IVS) que dependen de sus órganos regionales. Se ha establecido un mecanismo encargado de verificar </w:t>
      </w:r>
      <w:r>
        <w:t>si en esos centros se respeta la ley</w:t>
      </w:r>
      <w:r w:rsidRPr="0034350F">
        <w:t>. Además, los IVS están vigila</w:t>
      </w:r>
      <w:r>
        <w:t>dos</w:t>
      </w:r>
      <w:r w:rsidRPr="0034350F">
        <w:t xml:space="preserve"> permanente</w:t>
      </w:r>
      <w:r>
        <w:t>mente por</w:t>
      </w:r>
      <w:r w:rsidRPr="0034350F">
        <w:t xml:space="preserve"> los servicios de la Fiscalía </w:t>
      </w:r>
      <w:r w:rsidRPr="001629FB">
        <w:t>(Prokuratura)</w:t>
      </w:r>
      <w:r w:rsidRPr="0034350F">
        <w:t>. No se ha denegado nunca a una persona recluida en una IVS el acceso a los abogados del servicio de vigilancia de los lugares de detención del Ministerio del Interior. De conformidad con el Código de Procedimiento Penal, el abogado puede participar en el procedimiento desde la detención de su cliente y a partir del momento en que se inicie la acción penal contra él.</w:t>
      </w:r>
    </w:p>
    <w:p w:rsidR="0078066C" w:rsidRPr="0034350F" w:rsidRDefault="0078066C" w:rsidP="0078066C">
      <w:pPr>
        <w:pStyle w:val="SingleTxtG"/>
      </w:pPr>
      <w:r w:rsidRPr="0034350F">
        <w:t>9.</w:t>
      </w:r>
      <w:r w:rsidRPr="0034350F">
        <w:tab/>
        <w:t xml:space="preserve">Con arreglo a la Ley sobre las modalidades y las condiciones de la detención provisional, el Fiscal General y </w:t>
      </w:r>
      <w:r>
        <w:t>sus</w:t>
      </w:r>
      <w:r w:rsidRPr="0034350F">
        <w:t xml:space="preserve"> fiscales subordinados vigilan que la legislación sea aplicada escrupulosamente y de manera uniforme en los lugares de detención provisional. En </w:t>
      </w:r>
      <w:r>
        <w:t>ocasión</w:t>
      </w:r>
      <w:r w:rsidRPr="0034350F">
        <w:t xml:space="preserve"> de las inspecciones efectuadas en virtud de la Ley </w:t>
      </w:r>
      <w:r>
        <w:t>de</w:t>
      </w:r>
      <w:r w:rsidRPr="0034350F">
        <w:t xml:space="preserve"> la fiscalía, el personal de los servicios del fiscal se entrevista con los detenidos para obtener su opinión acerca de las condiciones de detención y para que les comuniquen cualquier problema que pueda plantearse. A 1º de noviembre de 2011 había 7.155 personas detenidas en los SIZO del Ministerio del Interior. Entre enero y septiembre de este año los servicios del fiscal efectuaron 117 visitas a </w:t>
      </w:r>
      <w:r>
        <w:t>los</w:t>
      </w:r>
      <w:r w:rsidRPr="0034350F">
        <w:t xml:space="preserve"> SIZO, de resultas de las cuales se dictaron </w:t>
      </w:r>
      <w:r>
        <w:t>10</w:t>
      </w:r>
      <w:r w:rsidRPr="0034350F">
        <w:t xml:space="preserve"> ordenanzas con recomendaciones sobre las medidas que debían adoptarse para resolver los problemas constatados. En total, 16 funcionarios del Ministerio del Interior fueron objeto de un procedimiento disciplinario. </w:t>
      </w:r>
    </w:p>
    <w:p w:rsidR="0078066C" w:rsidRPr="0034350F" w:rsidRDefault="0078066C" w:rsidP="0078066C">
      <w:pPr>
        <w:pStyle w:val="SingleTxtG"/>
      </w:pPr>
      <w:r w:rsidRPr="0034350F">
        <w:t>10.</w:t>
      </w:r>
      <w:r w:rsidRPr="0034350F">
        <w:tab/>
        <w:t xml:space="preserve">El artículo 21 del Código de Ejecución Penal prevé que las organizaciones de la sociedad civil pueden participar en </w:t>
      </w:r>
      <w:r>
        <w:t>la</w:t>
      </w:r>
      <w:r w:rsidRPr="0034350F">
        <w:t xml:space="preserve"> vigilancia del funcionamiento de los establecimientos penitenciarios. </w:t>
      </w:r>
      <w:r>
        <w:t>En el contexto de</w:t>
      </w:r>
      <w:r w:rsidRPr="0034350F">
        <w:t xml:space="preserve"> la aplicación de la legislación relativa a la inspección de los establecimientos penitenciarios, el Ministerio del Interior ha </w:t>
      </w:r>
      <w:r>
        <w:t xml:space="preserve">dispuesto que </w:t>
      </w:r>
      <w:r w:rsidRPr="0034350F">
        <w:t xml:space="preserve">las inspecciones </w:t>
      </w:r>
      <w:r>
        <w:t>de</w:t>
      </w:r>
      <w:r w:rsidRPr="0034350F">
        <w:t xml:space="preserve"> los establecimientos dependientes del servicio de ejecución penal</w:t>
      </w:r>
      <w:r>
        <w:t xml:space="preserve"> deberán realizarse en plazos no inferiores a dos años ni superiores a cuatro</w:t>
      </w:r>
      <w:r w:rsidRPr="0034350F">
        <w:t>. El objetivo de estas inspecciones es verificar la conformidad de los establecimientos penitenciarios con las normas definidas en la legislación y supervisar las condiciones de detención de las personas recluidas en estos establecimientos.</w:t>
      </w:r>
    </w:p>
    <w:p w:rsidR="0078066C" w:rsidRPr="0034350F" w:rsidRDefault="0078066C" w:rsidP="0078066C">
      <w:pPr>
        <w:pStyle w:val="SingleTxtG"/>
      </w:pPr>
      <w:r w:rsidRPr="0034350F">
        <w:t>11.</w:t>
      </w:r>
      <w:r w:rsidRPr="0034350F">
        <w:tab/>
        <w:t xml:space="preserve">A raíz de los disturbios del 19 de diciembre de 2010, representantes de los servicios del Fiscal General han hecho visitas mensuales a los SIZO del KGB para comprobar la legalidad de la detención de las personas recluidas. Durante estas visitas, los representantes estudiaron los expedientes de los acusados, y en particular su historial médico, entraron en todas las celdas y preguntaron a todos los acusados si tenían alguna queja que </w:t>
      </w:r>
      <w:r>
        <w:t>hacer</w:t>
      </w:r>
      <w:r w:rsidRPr="0034350F">
        <w:t xml:space="preserve"> respecto de las condiciones de detención y si se consideraban víctimas de violaciones de sus derechos. Los representantes constataron que todos los acusados tenían acceso a atención médica adecuada y podían recibir paquetes y dinero. Durante estas visitas, ni los excandidatos a la presidencia ni sus partidarios formularon reclamación alguna acerca de sus condiciones de detención, su estado de salud o la posibilidad de entrevistarse con un abogado.</w:t>
      </w:r>
    </w:p>
    <w:p w:rsidR="0078066C" w:rsidRPr="0034350F" w:rsidRDefault="0078066C" w:rsidP="0078066C">
      <w:pPr>
        <w:pStyle w:val="SingleTxtG"/>
      </w:pPr>
      <w:r w:rsidRPr="0034350F">
        <w:t>12.</w:t>
      </w:r>
      <w:r w:rsidRPr="0034350F">
        <w:tab/>
        <w:t>De conformidad con el artículo 115 del Código de Procedimiento Penal, durante las</w:t>
      </w:r>
      <w:r>
        <w:t> </w:t>
      </w:r>
      <w:r w:rsidRPr="0034350F">
        <w:t>12 horas siguientes a la detención</w:t>
      </w:r>
      <w:r>
        <w:t xml:space="preserve"> </w:t>
      </w:r>
      <w:r w:rsidRPr="0034350F">
        <w:t xml:space="preserve">el órgano encargado de los procesos penales debe </w:t>
      </w:r>
      <w:r>
        <w:t>ponerse en contacto</w:t>
      </w:r>
      <w:r w:rsidRPr="0034350F">
        <w:t xml:space="preserve"> </w:t>
      </w:r>
      <w:r>
        <w:t>con</w:t>
      </w:r>
      <w:r w:rsidRPr="0034350F">
        <w:t xml:space="preserve"> un familiar </w:t>
      </w:r>
      <w:r>
        <w:t xml:space="preserve">o allegado </w:t>
      </w:r>
      <w:r w:rsidRPr="0034350F">
        <w:t xml:space="preserve">de la persona detenida para informarle de </w:t>
      </w:r>
      <w:r>
        <w:t>l</w:t>
      </w:r>
      <w:r w:rsidRPr="0034350F">
        <w:t xml:space="preserve">a detención y del lugar en que se encuentra la persona. También </w:t>
      </w:r>
      <w:r>
        <w:t xml:space="preserve">se </w:t>
      </w:r>
      <w:r w:rsidRPr="0034350F">
        <w:t xml:space="preserve">puede autorizar al interesado a avisar </w:t>
      </w:r>
      <w:r>
        <w:t>por su cuenta</w:t>
      </w:r>
      <w:r w:rsidRPr="0034350F">
        <w:t xml:space="preserve"> a sus </w:t>
      </w:r>
      <w:r>
        <w:t xml:space="preserve">familiares o </w:t>
      </w:r>
      <w:r w:rsidRPr="0034350F">
        <w:t xml:space="preserve">allegados, pero </w:t>
      </w:r>
      <w:r>
        <w:t>la ley no establece la obligatoriedad de esta autorización</w:t>
      </w:r>
      <w:r w:rsidRPr="0034350F">
        <w:t xml:space="preserve">. Los </w:t>
      </w:r>
      <w:r>
        <w:t xml:space="preserve">familiares o </w:t>
      </w:r>
      <w:r w:rsidRPr="0034350F">
        <w:t xml:space="preserve">allegados de las personas detenidas durante los acontecimientos del 19 de diciembre de 2010 fueron debidamente informados del lugar en que se encontraban estas personas, como demuestra </w:t>
      </w:r>
      <w:r>
        <w:t>la documentación</w:t>
      </w:r>
      <w:r w:rsidRPr="0034350F">
        <w:t xml:space="preserve"> del expediente. Los servicios del fiscal no constataron </w:t>
      </w:r>
      <w:r>
        <w:t>que se hubieran</w:t>
      </w:r>
      <w:r w:rsidRPr="0034350F">
        <w:t xml:space="preserve"> </w:t>
      </w:r>
      <w:r>
        <w:t xml:space="preserve">vulnerado </w:t>
      </w:r>
      <w:r w:rsidRPr="0034350F">
        <w:t>las disposiciones legislativas pertinentes.</w:t>
      </w:r>
    </w:p>
    <w:p w:rsidR="0078066C" w:rsidRPr="0034350F" w:rsidRDefault="0078066C" w:rsidP="0078066C">
      <w:pPr>
        <w:pStyle w:val="SingleTxtG"/>
      </w:pPr>
      <w:r w:rsidRPr="0034350F">
        <w:t>13.</w:t>
      </w:r>
      <w:r w:rsidRPr="0034350F">
        <w:tab/>
        <w:t xml:space="preserve">El </w:t>
      </w:r>
      <w:r>
        <w:t>encargado de la investigación es la única persona</w:t>
      </w:r>
      <w:r w:rsidRPr="0034350F">
        <w:t xml:space="preserve"> que puede autorizar la visita al acusado de sus </w:t>
      </w:r>
      <w:r>
        <w:t xml:space="preserve">familiares o </w:t>
      </w:r>
      <w:r w:rsidRPr="0034350F">
        <w:t xml:space="preserve">allegados. La administración del SIZO no </w:t>
      </w:r>
      <w:r>
        <w:t>está autorizada</w:t>
      </w:r>
      <w:r w:rsidRPr="0034350F">
        <w:t xml:space="preserve"> a organizar estas visitas sin </w:t>
      </w:r>
      <w:r>
        <w:t>el permiso del investigador</w:t>
      </w:r>
      <w:r w:rsidRPr="0034350F">
        <w:t xml:space="preserve">. El artículo 15 de la Ley sobre las modalidades y condiciones de la detención provisional prevé que los sospechosos serán examinados por el personal sanitario asignado a los locales de detención policial </w:t>
      </w:r>
      <w:r>
        <w:t>a</w:t>
      </w:r>
      <w:r w:rsidRPr="0034350F">
        <w:t xml:space="preserve"> su llegada a esos locales, y cuando presenten lesiones corporales. Los resultados de este examen se registran debidamente y </w:t>
      </w:r>
      <w:r>
        <w:t>son</w:t>
      </w:r>
      <w:r w:rsidRPr="0034350F">
        <w:t xml:space="preserve"> comunica</w:t>
      </w:r>
      <w:r>
        <w:t>dos</w:t>
      </w:r>
      <w:r w:rsidRPr="0034350F">
        <w:t xml:space="preserve"> al interesado y a su abogado. </w:t>
      </w:r>
      <w:r>
        <w:t>También puede realizar un</w:t>
      </w:r>
      <w:r w:rsidRPr="0034350F">
        <w:t xml:space="preserve"> examen m</w:t>
      </w:r>
      <w:r>
        <w:t>édico</w:t>
      </w:r>
      <w:r w:rsidRPr="0034350F">
        <w:t xml:space="preserve"> el personal de los establecimientos dependientes del Ministerio de Salud, por orden del director del centro de detención provisional o del juez encargado del asunto, o a petición del acusado o de su abogado. En caso de que se deniegue </w:t>
      </w:r>
      <w:r>
        <w:t>esta</w:t>
      </w:r>
      <w:r w:rsidRPr="0034350F">
        <w:t xml:space="preserve"> solicitud, el acusado o su abogado pueden recurrir al fiscal o a un tribunal.</w:t>
      </w:r>
    </w:p>
    <w:p w:rsidR="0078066C" w:rsidRPr="0034350F" w:rsidRDefault="0078066C" w:rsidP="0078066C">
      <w:pPr>
        <w:pStyle w:val="SingleTxtG"/>
      </w:pPr>
      <w:r w:rsidRPr="0034350F">
        <w:t>14.</w:t>
      </w:r>
      <w:r w:rsidRPr="0034350F">
        <w:tab/>
        <w:t xml:space="preserve">Durante su detención provisional, Andreï Sannikov presentó 18 solicitudes de atención médica. Fue objeto de diez exámenes médicos preventivos y se le proporcionaron cuidados médicos cada vez que lo solicitó. Entre otras cosas, fue examinado por especialistas. En su expediente médico </w:t>
      </w:r>
      <w:r>
        <w:t>constan</w:t>
      </w:r>
      <w:r w:rsidRPr="0034350F">
        <w:t xml:space="preserve"> sus peticiones de atención médica y los exámenes a que fue sometido. En la actualidad, el Sr. Sannikov no ha </w:t>
      </w:r>
      <w:r>
        <w:t>formulado</w:t>
      </w:r>
      <w:r w:rsidRPr="0034350F">
        <w:t xml:space="preserve"> ninguna queja sobre su estado de salud.</w:t>
      </w:r>
    </w:p>
    <w:p w:rsidR="0078066C" w:rsidRDefault="0078066C" w:rsidP="0078066C">
      <w:pPr>
        <w:pStyle w:val="SingleTxtG"/>
      </w:pPr>
      <w:r w:rsidRPr="0034350F">
        <w:t>15.</w:t>
      </w:r>
      <w:r w:rsidRPr="0034350F">
        <w:tab/>
        <w:t>En el curso de su detención, Vladimir Neklyayev sufrió un traumatismo craneal menor y fue transportado al servicio de urgencia</w:t>
      </w:r>
      <w:r>
        <w:t>s</w:t>
      </w:r>
      <w:r w:rsidRPr="0034350F">
        <w:t xml:space="preserve"> del hospital de Minsk, donde se le proporcionaron los necesarios cuidados. A continuación, en el marco de la acción penal abierta contra él por su participación en los disturbios del 19 de diciembre de 2010, fue transferido al SIZO del KGB, donde recibió cuidados médicos especializados gratuitos. Los médicos que trataron al Sr. Neklyayev no hicieron constar ninguna queja de este señor ni de otras personas.</w:t>
      </w:r>
    </w:p>
    <w:p w:rsidR="00BB2BAE" w:rsidRPr="002160B2" w:rsidRDefault="00BB2BAE" w:rsidP="00BB2BAE">
      <w:pPr>
        <w:pStyle w:val="SingleTxtG"/>
      </w:pPr>
      <w:r w:rsidRPr="002160B2">
        <w:t>16.</w:t>
      </w:r>
      <w:r w:rsidRPr="002160B2">
        <w:tab/>
        <w:t xml:space="preserve">En lo relativo al procedimiento de </w:t>
      </w:r>
      <w:r w:rsidRPr="007A0F63">
        <w:rPr>
          <w:i/>
        </w:rPr>
        <w:t>habeas corpus</w:t>
      </w:r>
      <w:r w:rsidRPr="002160B2">
        <w:t>, el Sr. Khovstov dice que el artículo 43 del Código de Procedimiento Penal prevé la posibilidad, para toda persona sospechada o acusada de una infracción penal, de impugnar la legalidad de su detención. En cuanto a la identificación de los policías que habrían torturado a A. Sannikov y V.</w:t>
      </w:r>
      <w:r>
        <w:t> </w:t>
      </w:r>
      <w:r w:rsidRPr="002160B2">
        <w:t xml:space="preserve">Neklyayev, </w:t>
      </w:r>
      <w:r>
        <w:t xml:space="preserve">el representante </w:t>
      </w:r>
      <w:r w:rsidRPr="002160B2">
        <w:t xml:space="preserve">precisa que, de conformidad con el artículo 193 del Código de Procedimiento Penal, el sumario de la instrucción, que incluye el acta del interrogatorio, debe </w:t>
      </w:r>
      <w:r>
        <w:t>ir</w:t>
      </w:r>
      <w:r w:rsidRPr="002160B2">
        <w:t xml:space="preserve"> firmado por todas las personas que hayan participado</w:t>
      </w:r>
      <w:r>
        <w:t xml:space="preserve"> en ella</w:t>
      </w:r>
      <w:r w:rsidRPr="002160B2">
        <w:t xml:space="preserve">, lo que incluye a los investigadores. </w:t>
      </w:r>
      <w:r>
        <w:t xml:space="preserve">Durante </w:t>
      </w:r>
      <w:r w:rsidRPr="002160B2">
        <w:t xml:space="preserve">el interrogatorio, el interrogador debe </w:t>
      </w:r>
      <w:r>
        <w:t xml:space="preserve">dar a conocer </w:t>
      </w:r>
      <w:r w:rsidRPr="002160B2">
        <w:t xml:space="preserve">sus datos personales (función, nombre, apellido, circunstancias personales) al sospechoso y a su defensor y, de ser posible, </w:t>
      </w:r>
      <w:r>
        <w:t xml:space="preserve">mostrarles </w:t>
      </w:r>
      <w:r w:rsidRPr="002160B2">
        <w:t xml:space="preserve">un documento de identidad. Además, todo el equipo encargado de la investigación es presentado al sospechoso, </w:t>
      </w:r>
      <w:r>
        <w:t xml:space="preserve">a quien debe informarse </w:t>
      </w:r>
      <w:r w:rsidRPr="002160B2">
        <w:t>de su derecho a pedir la exclusión de uno o varios miembros del equipo. Los investigadores tienen prohibido disim</w:t>
      </w:r>
      <w:r>
        <w:t>u</w:t>
      </w:r>
      <w:r w:rsidRPr="002160B2">
        <w:t xml:space="preserve">lar su identidad, </w:t>
      </w:r>
      <w:r>
        <w:t xml:space="preserve">por ejemplo </w:t>
      </w:r>
      <w:r w:rsidRPr="002160B2">
        <w:t xml:space="preserve">mediante una máscara. </w:t>
      </w:r>
      <w:r>
        <w:t>En t</w:t>
      </w:r>
      <w:r w:rsidRPr="002160B2">
        <w:t xml:space="preserve">odos los interrogatorios que tuvieron lugar a raíz de los acontecimientos de diciembre de 2010, entre ellos </w:t>
      </w:r>
      <w:r>
        <w:t xml:space="preserve">los </w:t>
      </w:r>
      <w:r w:rsidRPr="002160B2">
        <w:t xml:space="preserve">de los Sres. Neklyayev y Sannikov, se </w:t>
      </w:r>
      <w:r>
        <w:t xml:space="preserve">respetaron estrictamente estas </w:t>
      </w:r>
      <w:r w:rsidRPr="002160B2">
        <w:t xml:space="preserve">disposiciones, como atestiguan los documentos que obran en </w:t>
      </w:r>
      <w:r>
        <w:t>los</w:t>
      </w:r>
      <w:r w:rsidRPr="002160B2">
        <w:t xml:space="preserve"> expedientes.</w:t>
      </w:r>
    </w:p>
    <w:p w:rsidR="00BB2BAE" w:rsidRPr="002160B2" w:rsidRDefault="00BB2BAE" w:rsidP="00BB2BAE">
      <w:pPr>
        <w:pStyle w:val="SingleTxtG"/>
      </w:pPr>
      <w:r w:rsidRPr="002160B2">
        <w:t>17.</w:t>
      </w:r>
      <w:r w:rsidRPr="002160B2">
        <w:tab/>
        <w:t xml:space="preserve">Con arreglo </w:t>
      </w:r>
      <w:r>
        <w:t>a</w:t>
      </w:r>
      <w:r w:rsidRPr="002160B2">
        <w:t xml:space="preserve">l capítulo 16 del título V del Código de Procedimiento Penal, </w:t>
      </w:r>
      <w:r>
        <w:t>el</w:t>
      </w:r>
      <w:r w:rsidRPr="002160B2">
        <w:t xml:space="preserve"> control judicial de la legalidad de la medida de privación de libertad se efectúa dentro de las 24 horas siguientes a la recepción del recurso </w:t>
      </w:r>
      <w:r>
        <w:t xml:space="preserve">en los casos de </w:t>
      </w:r>
      <w:r w:rsidRPr="002160B2">
        <w:t xml:space="preserve">detención provisional, y dentro de las 72 horas siguientes </w:t>
      </w:r>
      <w:r>
        <w:t xml:space="preserve">en los casos de </w:t>
      </w:r>
      <w:r w:rsidRPr="002160B2">
        <w:t xml:space="preserve">detención provisional o arresto domiciliario. Se </w:t>
      </w:r>
      <w:r>
        <w:t xml:space="preserve">presentaron </w:t>
      </w:r>
      <w:r w:rsidRPr="002160B2">
        <w:t xml:space="preserve">recursos para las personas </w:t>
      </w:r>
      <w:r>
        <w:t xml:space="preserve">arrestadas </w:t>
      </w:r>
      <w:r w:rsidRPr="002160B2">
        <w:t xml:space="preserve">en ocasión de los acontecimientos del 19 de diciembre de 2010, que fueron sometidas a detención provisional e impugnaron la legalidad y las razones de su detención. Los tribunales a los que se presentaron estos recursos los examinaron debidamente pero no </w:t>
      </w:r>
      <w:r>
        <w:t xml:space="preserve">decidieron ninguna </w:t>
      </w:r>
      <w:r w:rsidRPr="002160B2">
        <w:t>puesta en libertad. Durante el período considerado, la Fiscalía General no ha recibido ninguna información de presuntas violaciones del derecho a elevar un recurso, garantizado por el Código de Procedimiento Penal.</w:t>
      </w:r>
    </w:p>
    <w:p w:rsidR="00BB2BAE" w:rsidRPr="002160B2" w:rsidRDefault="00BB2BAE" w:rsidP="00BB2BAE">
      <w:pPr>
        <w:pStyle w:val="SingleTxtG"/>
      </w:pPr>
      <w:r w:rsidRPr="002160B2">
        <w:t>18.</w:t>
      </w:r>
      <w:r w:rsidRPr="002160B2">
        <w:tab/>
        <w:t xml:space="preserve">Las afirmaciones de Andreï Sannikov y Vladimir Neklyayev según las cuales se les </w:t>
      </w:r>
      <w:r>
        <w:t xml:space="preserve">había </w:t>
      </w:r>
      <w:r w:rsidRPr="002160B2">
        <w:t>imp</w:t>
      </w:r>
      <w:r>
        <w:t>edido</w:t>
      </w:r>
      <w:r w:rsidRPr="002160B2">
        <w:t xml:space="preserve"> entrevistarse con su abogado fueron verificadas, y los resultados de las verificaciones se comunicaron debidamente a los interesados. La Fiscalía General no ha recibido ninguna queja por esta razón de las personas detenidas </w:t>
      </w:r>
      <w:r>
        <w:t>en los SIZO del KGB</w:t>
      </w:r>
      <w:r w:rsidRPr="002160B2">
        <w:t>. En cuanto a la presunta denegación de asistencia jurídica al Sr. Sannik</w:t>
      </w:r>
      <w:r>
        <w:t>ov</w:t>
      </w:r>
      <w:r w:rsidRPr="002160B2">
        <w:t xml:space="preserve"> en su lugar de detención, los hechos no han sido demostrados.</w:t>
      </w:r>
    </w:p>
    <w:p w:rsidR="00BB2BAE" w:rsidRPr="002160B2" w:rsidRDefault="00BB2BAE" w:rsidP="00BB2BAE">
      <w:pPr>
        <w:pStyle w:val="SingleTxtG"/>
      </w:pPr>
      <w:r w:rsidRPr="002160B2">
        <w:t>19.</w:t>
      </w:r>
      <w:r w:rsidRPr="002160B2">
        <w:tab/>
        <w:t xml:space="preserve">La queja presentada por Daria Korsak, esposa de Aleksandr Otrochtchenkov, no </w:t>
      </w:r>
      <w:r>
        <w:t>ha dado lugar a</w:t>
      </w:r>
      <w:r w:rsidRPr="002160B2">
        <w:t xml:space="preserve"> una acción penal. La Fiscalía Militar procedió a efectuar comprobaciones</w:t>
      </w:r>
      <w:r>
        <w:t>,</w:t>
      </w:r>
      <w:r w:rsidRPr="002160B2">
        <w:t xml:space="preserve"> </w:t>
      </w:r>
      <w:r>
        <w:t>respecto de las cuales no se ha abierto ninguna causa</w:t>
      </w:r>
      <w:r w:rsidRPr="002160B2">
        <w:t>. Según declaraciones de la Sra.</w:t>
      </w:r>
      <w:r>
        <w:t> </w:t>
      </w:r>
      <w:r w:rsidRPr="002160B2">
        <w:t xml:space="preserve">Korsak, </w:t>
      </w:r>
      <w:r>
        <w:t xml:space="preserve">en ocasión de su visita al lugar de detención, </w:t>
      </w:r>
      <w:r w:rsidRPr="002160B2">
        <w:t xml:space="preserve">su marido </w:t>
      </w:r>
      <w:r>
        <w:t>a</w:t>
      </w:r>
      <w:r w:rsidRPr="002160B2">
        <w:t>firm</w:t>
      </w:r>
      <w:r>
        <w:t xml:space="preserve">ó que había sido </w:t>
      </w:r>
      <w:r w:rsidRPr="002160B2">
        <w:t xml:space="preserve">torturado. </w:t>
      </w:r>
      <w:r>
        <w:t>No obstante</w:t>
      </w:r>
      <w:r w:rsidRPr="002160B2">
        <w:t xml:space="preserve">, interrogado </w:t>
      </w:r>
      <w:r>
        <w:t xml:space="preserve">acerca de </w:t>
      </w:r>
      <w:r w:rsidRPr="002160B2">
        <w:t xml:space="preserve">las declaraciones de su mujer, el marido se negó a facilitar informaciones y las personas que estaban detenidas con él negaron que se hubiera producido </w:t>
      </w:r>
      <w:r>
        <w:t xml:space="preserve">ningún </w:t>
      </w:r>
      <w:r w:rsidRPr="002160B2">
        <w:t>acto ilegal.</w:t>
      </w:r>
    </w:p>
    <w:p w:rsidR="00BB2BAE" w:rsidRPr="002160B2" w:rsidRDefault="00BB2BAE" w:rsidP="00BB2BAE">
      <w:pPr>
        <w:pStyle w:val="SingleTxtG"/>
      </w:pPr>
      <w:r w:rsidRPr="002160B2">
        <w:t>20.</w:t>
      </w:r>
      <w:r w:rsidRPr="002160B2">
        <w:tab/>
        <w:t>En lo referente a las 180 personas que</w:t>
      </w:r>
      <w:r>
        <w:t>,</w:t>
      </w:r>
      <w:r w:rsidRPr="002160B2">
        <w:t xml:space="preserve"> según el informe de Human Rights Watch, sufrieron malos tratos, la delegación no está en condiciones de hacer ninguna observación porque no dispone de datos concretos y detallados a</w:t>
      </w:r>
      <w:r>
        <w:t>l</w:t>
      </w:r>
      <w:r w:rsidRPr="002160B2">
        <w:t xml:space="preserve"> respecto. Durante su intervención en el momento del ataque contra el edificio del Gobierno, la policía utilizó ciertamente porras, pero actuó con moderación y no utilizó gases lacrimógenos ni balas de caucho o cañones de agua.</w:t>
      </w:r>
    </w:p>
    <w:p w:rsidR="00BB2BAE" w:rsidRPr="002160B2" w:rsidRDefault="00BB2BAE" w:rsidP="00BB2BAE">
      <w:pPr>
        <w:pStyle w:val="SingleTxtG"/>
      </w:pPr>
      <w:r w:rsidRPr="002160B2">
        <w:t>21.</w:t>
      </w:r>
      <w:r w:rsidRPr="002160B2">
        <w:tab/>
        <w:t>La investigación sobre la desaparición de Y. Zakharenko, V. Gonchar y A.</w:t>
      </w:r>
      <w:r>
        <w:t> </w:t>
      </w:r>
      <w:r w:rsidRPr="002160B2">
        <w:t xml:space="preserve">Krasovski se ha prolongado y debería concluir al final del mes de diciembre. El acceso a la base de datos sobre las personas desaparecidas, en la cual están los nombres de estas personas, solo </w:t>
      </w:r>
      <w:r>
        <w:t xml:space="preserve">autoriza </w:t>
      </w:r>
      <w:r w:rsidRPr="002160B2">
        <w:t xml:space="preserve">a los funcionarios de los órganos competentes, y los familiares deben dirigirse a </w:t>
      </w:r>
      <w:r>
        <w:t xml:space="preserve">las instancias </w:t>
      </w:r>
      <w:r w:rsidRPr="002160B2">
        <w:t>encargad</w:t>
      </w:r>
      <w:r>
        <w:t>a</w:t>
      </w:r>
      <w:r w:rsidRPr="002160B2">
        <w:t xml:space="preserve">s de la investigación. La </w:t>
      </w:r>
      <w:r>
        <w:t xml:space="preserve">incorporación </w:t>
      </w:r>
      <w:r w:rsidRPr="002160B2">
        <w:t xml:space="preserve">de informaciones </w:t>
      </w:r>
      <w:r>
        <w:t xml:space="preserve">a </w:t>
      </w:r>
      <w:r w:rsidRPr="002160B2">
        <w:t xml:space="preserve">las bases de datos destinadas al uso </w:t>
      </w:r>
      <w:r>
        <w:t xml:space="preserve">de los tribunales </w:t>
      </w:r>
      <w:r w:rsidRPr="002160B2">
        <w:t>obedece a reglas precisas</w:t>
      </w:r>
      <w:r>
        <w:t>,</w:t>
      </w:r>
      <w:r w:rsidRPr="002160B2">
        <w:t xml:space="preserve"> y el procedimiento prevé que las informaciones deben incluirse dentro de las 24 horas siguientes a la adopción de una decisión.</w:t>
      </w:r>
    </w:p>
    <w:p w:rsidR="00BB2BAE" w:rsidRPr="002160B2" w:rsidRDefault="00BB2BAE" w:rsidP="00BB2BAE">
      <w:pPr>
        <w:pStyle w:val="SingleTxtG"/>
      </w:pPr>
      <w:r w:rsidRPr="002160B2">
        <w:t>22.</w:t>
      </w:r>
      <w:r w:rsidRPr="002160B2">
        <w:tab/>
        <w:t xml:space="preserve">La ley autoriza a los medios de comunicación a pedir informaciones </w:t>
      </w:r>
      <w:r>
        <w:t xml:space="preserve">a los órganos del Estado </w:t>
      </w:r>
      <w:r w:rsidRPr="002160B2">
        <w:t xml:space="preserve">sobre las situaciones de privación de libertad. </w:t>
      </w:r>
      <w:r>
        <w:t xml:space="preserve">No hay </w:t>
      </w:r>
      <w:r w:rsidRPr="002160B2">
        <w:t xml:space="preserve">ningún límite </w:t>
      </w:r>
      <w:r>
        <w:t xml:space="preserve">legal previsto, </w:t>
      </w:r>
      <w:r w:rsidRPr="002160B2">
        <w:t>y periodistas de medios de comunicación tanto gubernamentales como privados se personaron en los centros de detención.</w:t>
      </w:r>
    </w:p>
    <w:p w:rsidR="00BB2BAE" w:rsidRPr="002160B2" w:rsidRDefault="00BB2BAE" w:rsidP="00BB2BAE">
      <w:pPr>
        <w:pStyle w:val="SingleTxtG"/>
      </w:pPr>
      <w:r w:rsidRPr="002160B2">
        <w:t>23.</w:t>
      </w:r>
      <w:r w:rsidRPr="002160B2">
        <w:tab/>
        <w:t xml:space="preserve">El informe de la Oficina de </w:t>
      </w:r>
      <w:r>
        <w:t xml:space="preserve">Instituciones </w:t>
      </w:r>
      <w:r w:rsidRPr="002160B2">
        <w:t>Democráticas y Derechos Humanos (BIDDH)</w:t>
      </w:r>
      <w:r>
        <w:t>,</w:t>
      </w:r>
      <w:r w:rsidRPr="002160B2">
        <w:t xml:space="preserve"> de la OSCE</w:t>
      </w:r>
      <w:r>
        <w:t>,</w:t>
      </w:r>
      <w:r w:rsidRPr="002160B2">
        <w:t xml:space="preserve"> se preparó sin </w:t>
      </w:r>
      <w:r>
        <w:t xml:space="preserve">previa </w:t>
      </w:r>
      <w:r w:rsidRPr="002160B2">
        <w:t xml:space="preserve">consulta </w:t>
      </w:r>
      <w:r>
        <w:t xml:space="preserve">con </w:t>
      </w:r>
      <w:r w:rsidRPr="002160B2">
        <w:t>Belarús, y por consiguiente sin que se tuvieran en cuenta las opiniones de expertos nacionales, siendo así que cuando se prepara</w:t>
      </w:r>
      <w:r>
        <w:t>ron</w:t>
      </w:r>
      <w:r w:rsidRPr="002160B2">
        <w:t xml:space="preserve"> informes análogos </w:t>
      </w:r>
      <w:r>
        <w:t xml:space="preserve">para otros países se ofreció </w:t>
      </w:r>
      <w:r w:rsidRPr="002160B2">
        <w:t>esta posibilidad</w:t>
      </w:r>
      <w:r>
        <w:t>.</w:t>
      </w:r>
      <w:r w:rsidRPr="002160B2">
        <w:t xml:space="preserve"> Los tribunales civiles de Minsk confirmaron la legalidad y validez de las condenas dictadas contra las personas que participaron en los acontecimientos del 19 de diciembre de 2010</w:t>
      </w:r>
      <w:r>
        <w:t>,</w:t>
      </w:r>
      <w:r w:rsidRPr="002160B2">
        <w:t xml:space="preserve"> y </w:t>
      </w:r>
      <w:r>
        <w:t xml:space="preserve">durante los </w:t>
      </w:r>
      <w:r w:rsidRPr="002160B2">
        <w:t xml:space="preserve">procesos ningún juez sufrió presiones destinadas a obstaculizar el examen exhaustivo y objetivo de la cuestión. </w:t>
      </w:r>
      <w:r>
        <w:t>En cambio s</w:t>
      </w:r>
      <w:r w:rsidRPr="002160B2">
        <w:t xml:space="preserve">í se </w:t>
      </w:r>
      <w:r>
        <w:t xml:space="preserve">han ejercido presiones </w:t>
      </w:r>
      <w:r w:rsidRPr="002160B2">
        <w:t>sobre los tribunales</w:t>
      </w:r>
      <w:r>
        <w:t xml:space="preserve"> </w:t>
      </w:r>
      <w:r w:rsidRPr="002160B2">
        <w:t>por parte de instituciones de la Unión Europea, que presentaron listas de personas respecto de las cuales deseaban obtener información.</w:t>
      </w:r>
    </w:p>
    <w:p w:rsidR="00BB2BAE" w:rsidRPr="002160B2" w:rsidRDefault="00BB2BAE" w:rsidP="00BB2BAE">
      <w:pPr>
        <w:pStyle w:val="SingleTxtG"/>
      </w:pPr>
      <w:r w:rsidRPr="002160B2">
        <w:t>24.</w:t>
      </w:r>
      <w:r w:rsidRPr="002160B2">
        <w:tab/>
        <w:t xml:space="preserve">Las disposiciones de la ley relativa a los abogados en virtud de las cuales se retiró </w:t>
      </w:r>
      <w:r>
        <w:t xml:space="preserve">el permiso a ejercer su profesión </w:t>
      </w:r>
      <w:r w:rsidRPr="002160B2">
        <w:t>a Pavel Sapelka, Tatsiana Aheyeva, Uladzimir Toustsik, Aleh Aleyeu, Tamara Harayeva y Alyaksandr Pylchanka</w:t>
      </w:r>
      <w:r>
        <w:t>,</w:t>
      </w:r>
      <w:r w:rsidRPr="002160B2">
        <w:t xml:space="preserve"> son conformes con las normas y principios internacionales en vigor. Las </w:t>
      </w:r>
      <w:r>
        <w:t xml:space="preserve">alegaciones </w:t>
      </w:r>
      <w:r w:rsidRPr="002160B2">
        <w:t xml:space="preserve">de que el Ministerio de Justicia se inmiscuye en las actividades de los abogados que defendieron a los responsables de los disturbios de diciembre de 2010 no están justificadas ni confirmadas por los hechos. En realidad, la suspensión de estos abogados </w:t>
      </w:r>
      <w:r>
        <w:t xml:space="preserve">fue consecuencia </w:t>
      </w:r>
      <w:r w:rsidRPr="002160B2">
        <w:t xml:space="preserve">de los controles regulares realizados por el Ministerio de Justicia en 2010 y en 2011 con 400 abogados. En total, 89 abogados fueron sancionados por haber incumplido las reglas que regulan </w:t>
      </w:r>
      <w:r>
        <w:t xml:space="preserve">el ejercicio de </w:t>
      </w:r>
      <w:r w:rsidRPr="002160B2">
        <w:t xml:space="preserve">su profesión. La decisión de retirar </w:t>
      </w:r>
      <w:r>
        <w:t>el permiso a</w:t>
      </w:r>
      <w:r w:rsidRPr="002160B2">
        <w:t xml:space="preserve"> P. Sapelka se adoptó después de que el Colegio de Abogados de Minsk decidiera su exclusión por negativa injustificada a conceder una asistencia</w:t>
      </w:r>
      <w:r>
        <w:t xml:space="preserve"> letrada</w:t>
      </w:r>
      <w:r w:rsidRPr="002160B2">
        <w:t>. También se habían constatado infracciones anteriores de carácter financiero.</w:t>
      </w:r>
    </w:p>
    <w:p w:rsidR="00BB2BAE" w:rsidRPr="002160B2" w:rsidRDefault="00BB2BAE" w:rsidP="00BB2BAE">
      <w:pPr>
        <w:pStyle w:val="SingleTxtG"/>
      </w:pPr>
      <w:r w:rsidRPr="002160B2">
        <w:t>25.</w:t>
      </w:r>
      <w:r w:rsidRPr="002160B2">
        <w:tab/>
        <w:t>El control del respeto de la</w:t>
      </w:r>
      <w:r>
        <w:t xml:space="preserve"> ley</w:t>
      </w:r>
      <w:r w:rsidRPr="002160B2">
        <w:t xml:space="preserve"> </w:t>
      </w:r>
      <w:r>
        <w:t xml:space="preserve">por parte de </w:t>
      </w:r>
      <w:r w:rsidRPr="002160B2">
        <w:t xml:space="preserve">los abogados es una de las prerrogativas legales del Ministerio de Justicia, de conformidad con la legislación nacional y con los Principios Básicos sobre la Función de los Abogados, adoptados en el octavo Congreso de las Naciones Unidas sobre Prevención del Delito y Tratamiento del Delincuente, en 1990. Este control no puede considerarse una forma de </w:t>
      </w:r>
      <w:r>
        <w:t>injerencia o</w:t>
      </w:r>
      <w:r w:rsidRPr="002160B2">
        <w:t xml:space="preserve"> de intimidación porque el </w:t>
      </w:r>
      <w:r>
        <w:t xml:space="preserve">permiso de ejercer la profesión </w:t>
      </w:r>
      <w:r w:rsidRPr="002160B2">
        <w:t xml:space="preserve">solo puede </w:t>
      </w:r>
      <w:r>
        <w:t xml:space="preserve">retirarse cuando se han producido </w:t>
      </w:r>
      <w:r w:rsidRPr="002160B2">
        <w:t xml:space="preserve">violaciones flagrantes y sistemáticas de la </w:t>
      </w:r>
      <w:r>
        <w:t>ley</w:t>
      </w:r>
      <w:r w:rsidRPr="002160B2">
        <w:t xml:space="preserve">. Además, la negativa a conceder un </w:t>
      </w:r>
      <w:r>
        <w:t xml:space="preserve">permiso </w:t>
      </w:r>
      <w:r w:rsidRPr="002160B2">
        <w:t xml:space="preserve">o </w:t>
      </w:r>
      <w:r>
        <w:t xml:space="preserve">a </w:t>
      </w:r>
      <w:r w:rsidRPr="002160B2">
        <w:t>autorizar a un candidato a someterse a un examen para ejercer la abogacía puede ser objeto de una demanda judicial.</w:t>
      </w:r>
    </w:p>
    <w:p w:rsidR="00BB2BAE" w:rsidRPr="002160B2" w:rsidRDefault="00BB2BAE" w:rsidP="00BB2BAE">
      <w:pPr>
        <w:pStyle w:val="SingleTxtG"/>
      </w:pPr>
      <w:r w:rsidRPr="002160B2">
        <w:t>26.</w:t>
      </w:r>
      <w:r w:rsidRPr="002160B2">
        <w:tab/>
        <w:t xml:space="preserve">En respuesta a las denuncias de intimidación de los defensores de los derechos humanos, </w:t>
      </w:r>
      <w:r>
        <w:t xml:space="preserve">procede </w:t>
      </w:r>
      <w:r w:rsidRPr="002160B2">
        <w:t xml:space="preserve">señalar que el Ministerio de Justicia </w:t>
      </w:r>
      <w:r>
        <w:t xml:space="preserve">hizo </w:t>
      </w:r>
      <w:r w:rsidRPr="002160B2">
        <w:t xml:space="preserve">una advertencia al Comité de Helsinki </w:t>
      </w:r>
      <w:r>
        <w:t>para</w:t>
      </w:r>
      <w:r w:rsidRPr="002160B2">
        <w:t xml:space="preserve"> Belarús por</w:t>
      </w:r>
      <w:r>
        <w:t xml:space="preserve"> haber </w:t>
      </w:r>
      <w:r w:rsidRPr="002160B2">
        <w:t xml:space="preserve">utilizado repetidamente tampones o documentos con una denominación falsa. La decisión judicial de destruir los tampones demuestra que esta infracción fue reconocida. El Sr. Ales Bialiatski, por su parte, fue objeto de una </w:t>
      </w:r>
      <w:r>
        <w:t xml:space="preserve">acción </w:t>
      </w:r>
      <w:r w:rsidRPr="002160B2">
        <w:t>penal por evasión fiscal. Esta grave infracción conlleva penas de un máximo de siete años de privación de libertad</w:t>
      </w:r>
      <w:r>
        <w:t>,</w:t>
      </w:r>
      <w:r w:rsidRPr="002160B2">
        <w:t xml:space="preserve"> con o sin confiscación de bienes. Así pues, el Sr. Bialiatski no está detenido por actividades de defensa de los derechos humanos, sino porque se abstuvo de declarar sus ingresos, de un monto elevado, y de pagar el correspondiente impuesto. Este señor fue condenado el 23 de septiembre de 2011 por este motivo, y el procedimiento judicial todavía </w:t>
      </w:r>
      <w:r>
        <w:t xml:space="preserve">está </w:t>
      </w:r>
      <w:r w:rsidRPr="002160B2">
        <w:t xml:space="preserve">abierto. El registro de la asociación de protección de derechos humanos "Nacha Viasna" fue denegado porque los documentos </w:t>
      </w:r>
      <w:r>
        <w:t xml:space="preserve">que acompañaban a </w:t>
      </w:r>
      <w:r w:rsidRPr="002160B2">
        <w:t>la solicitud no cumplían las prescripciones legales. La decisión del Ministerio de Justicia fue recurrida, pero el Tribunal Supremo confirmó su validez.</w:t>
      </w:r>
    </w:p>
    <w:p w:rsidR="00BB2BAE" w:rsidRPr="002160B2" w:rsidRDefault="00BB2BAE" w:rsidP="00BB2BAE">
      <w:pPr>
        <w:pStyle w:val="SingleTxtG"/>
      </w:pPr>
      <w:r w:rsidRPr="002160B2">
        <w:t>27.</w:t>
      </w:r>
      <w:r w:rsidRPr="002160B2">
        <w:tab/>
        <w:t xml:space="preserve">El proceso de designación de jueces es conforme con las normas internacionales y la independencia del </w:t>
      </w:r>
      <w:r>
        <w:t>p</w:t>
      </w:r>
      <w:r w:rsidRPr="002160B2">
        <w:t xml:space="preserve">oder </w:t>
      </w:r>
      <w:r>
        <w:t>j</w:t>
      </w:r>
      <w:r w:rsidRPr="002160B2">
        <w:t>udicial está garantizada por la Constitución, que consagra el principio de la separación de poderes, y por el artículo 99 del Código sobre el sistema judicial y la condición jurídica de los jueces.</w:t>
      </w:r>
      <w:r>
        <w:t xml:space="preserve"> </w:t>
      </w:r>
      <w:r w:rsidRPr="002160B2">
        <w:t>Los jueces del Tribunal Supremo y del Tribunal Supremo Económico son designados por el Presidente</w:t>
      </w:r>
      <w:r>
        <w:t>,</w:t>
      </w:r>
      <w:r w:rsidRPr="002160B2">
        <w:t xml:space="preserve"> con la aprobación del Parlamento. De conformidad con </w:t>
      </w:r>
      <w:r>
        <w:t xml:space="preserve">el correspondiente </w:t>
      </w:r>
      <w:r w:rsidRPr="002160B2">
        <w:t>código, los jueces gozan de inmunidad en el ejercicio de sus funciones.</w:t>
      </w:r>
    </w:p>
    <w:p w:rsidR="00BB2BAE" w:rsidRPr="002160B2" w:rsidRDefault="00BB2BAE" w:rsidP="00BB2BAE">
      <w:pPr>
        <w:pStyle w:val="SingleTxtG"/>
      </w:pPr>
      <w:r w:rsidRPr="002160B2">
        <w:t>28.</w:t>
      </w:r>
      <w:r w:rsidRPr="002160B2">
        <w:tab/>
        <w:t xml:space="preserve">Como </w:t>
      </w:r>
      <w:r>
        <w:t xml:space="preserve">él mismo </w:t>
      </w:r>
      <w:r w:rsidRPr="002160B2">
        <w:t xml:space="preserve">confirmó por escrito, Vladimir Russkin fue reclutado en 2001 en territorio de Polonia por los servicios especiales polacos. De 2001 a 2007 transmitió informaciones de carácter militar cubiertas por el secreto de Estado, de las que había tenido conocimiento cuando era oficial de la defensa antiaérea de Belarús. </w:t>
      </w:r>
      <w:r>
        <w:t>A</w:t>
      </w:r>
      <w:r w:rsidRPr="002160B2">
        <w:t>cusado de traición por espionaje y de organización de actividades de espionaje</w:t>
      </w:r>
      <w:r>
        <w:t xml:space="preserve">, </w:t>
      </w:r>
      <w:r w:rsidRPr="002160B2">
        <w:t>Vladimir Russkin</w:t>
      </w:r>
      <w:r>
        <w:t xml:space="preserve"> fue </w:t>
      </w:r>
      <w:r w:rsidRPr="002160B2">
        <w:t xml:space="preserve">detenido en los locales del KGB. El 14 de septiembre de 2007 fue condenado a diez años de cárcel y </w:t>
      </w:r>
      <w:r>
        <w:t>degradado</w:t>
      </w:r>
      <w:r w:rsidRPr="002160B2">
        <w:t xml:space="preserve">. </w:t>
      </w:r>
    </w:p>
    <w:p w:rsidR="00BB2BAE" w:rsidRPr="002160B2" w:rsidRDefault="00BB2BAE" w:rsidP="00BB2BAE">
      <w:pPr>
        <w:pStyle w:val="SingleTxtG"/>
      </w:pPr>
      <w:r w:rsidRPr="002160B2">
        <w:t>29.</w:t>
      </w:r>
      <w:r w:rsidRPr="002160B2">
        <w:tab/>
        <w:t xml:space="preserve">En cuanto a las instancias ante las cuales es posible </w:t>
      </w:r>
      <w:r>
        <w:t xml:space="preserve">presentar </w:t>
      </w:r>
      <w:r w:rsidRPr="002160B2">
        <w:t xml:space="preserve">un recurso, con arreglo a la Ley del procedimiento y las condiciones de detención, la administración transmite las solicitudes, declaraciones y quejas de los detenidos del lugar de detención a los órganos judiciales. Estas solicitudes, declaraciones o quejas no pasan por la censura y deben transmitirse en un plazo de 24 horas. Las respuestas se comunican por escrito al detenido, y se incorporan a su expediente. Las </w:t>
      </w:r>
      <w:r>
        <w:t xml:space="preserve">aseveraciones </w:t>
      </w:r>
      <w:r w:rsidRPr="002160B2">
        <w:t xml:space="preserve">de que los servicios del fiscal son los únicos facultados a </w:t>
      </w:r>
      <w:r>
        <w:t xml:space="preserve">abrir un procedimiento </w:t>
      </w:r>
      <w:r w:rsidRPr="002160B2">
        <w:t xml:space="preserve">contra los agentes del Estado por actos de tortura no están fundamentadas. Toda información relativa a este tipo de actos da lugar a la apertura de un proceso penal. Numerosas instancias, en particular en los órganos dependientes del Ministerio del Interior, están autorizadas a </w:t>
      </w:r>
      <w:r>
        <w:t xml:space="preserve">iniciar </w:t>
      </w:r>
      <w:r w:rsidRPr="002160B2">
        <w:t>investigaciones.</w:t>
      </w:r>
    </w:p>
    <w:p w:rsidR="00BB2BAE" w:rsidRPr="002160B2" w:rsidRDefault="00BB2BAE" w:rsidP="00BB2BAE">
      <w:pPr>
        <w:pStyle w:val="SingleTxtG"/>
      </w:pPr>
      <w:r w:rsidRPr="002160B2">
        <w:t>30.</w:t>
      </w:r>
      <w:r w:rsidRPr="002160B2">
        <w:tab/>
        <w:t xml:space="preserve">Las facultades de la Comisión Nacional Pública de Vigilancia y de sus miembros, así como sus métodos de trabajo, fueron aprobadas por decreto gubernamental. La Comisión </w:t>
      </w:r>
      <w:r>
        <w:t xml:space="preserve">determina </w:t>
      </w:r>
      <w:r w:rsidRPr="002160B2">
        <w:t>sus propias actividades, de conformidad con su mandato. El Ministerio de Justicia</w:t>
      </w:r>
      <w:r>
        <w:t xml:space="preserve"> </w:t>
      </w:r>
      <w:r w:rsidRPr="002160B2">
        <w:t>no ejerce ningún control sobre la Comisión</w:t>
      </w:r>
      <w:r>
        <w:t xml:space="preserve"> y su intervención se limita a </w:t>
      </w:r>
      <w:r w:rsidRPr="002160B2">
        <w:t>los aspectos de organización. La ley no prevé ninguna limitación para la cobertura mediática de las actividades de la Comisión.</w:t>
      </w:r>
    </w:p>
    <w:p w:rsidR="00BB2BAE" w:rsidRPr="002160B2" w:rsidRDefault="00BB2BAE" w:rsidP="00BB2BAE">
      <w:pPr>
        <w:pStyle w:val="SingleTxtG"/>
      </w:pPr>
      <w:r w:rsidRPr="002160B2">
        <w:t>31.</w:t>
      </w:r>
      <w:r w:rsidRPr="002160B2">
        <w:tab/>
        <w:t xml:space="preserve">Al </w:t>
      </w:r>
      <w:r>
        <w:t>f</w:t>
      </w:r>
      <w:r w:rsidRPr="002160B2">
        <w:t xml:space="preserve">iscal de la ciudad de Minsk se le encargó el asunto relativo a Maya Abromtchik, que parece haber sufrido graves lesiones corporales durante los acontecimientos del 19 de diciembre de 2010. A este respecto, conviene precisar que todas las personas presentes </w:t>
      </w:r>
      <w:r>
        <w:t xml:space="preserve">aquel día </w:t>
      </w:r>
      <w:r w:rsidRPr="002160B2">
        <w:t xml:space="preserve">en la Plaza de la Independencia fueron advertidas y tuvieron la posibilidad de abandonar el lugar antes de la intervención de la policía. Maya Abromtchik fue detenida hacia las 23.00 horas y transportada el día siguiente al hospital, por petición propia. No se ha redactado ningún documento oficial sobre su estado de salud. </w:t>
      </w:r>
      <w:r>
        <w:t xml:space="preserve">Sigue abierto el </w:t>
      </w:r>
      <w:r w:rsidRPr="002160B2">
        <w:t xml:space="preserve">procedimiento </w:t>
      </w:r>
      <w:r>
        <w:t xml:space="preserve">iniciado </w:t>
      </w:r>
      <w:r w:rsidRPr="002160B2">
        <w:t>en virtud del artículo 155 del Código Penal</w:t>
      </w:r>
      <w:r>
        <w:t>.</w:t>
      </w:r>
    </w:p>
    <w:p w:rsidR="00BB2BAE" w:rsidRPr="002160B2" w:rsidRDefault="00BB2BAE" w:rsidP="00BB2BAE">
      <w:pPr>
        <w:pStyle w:val="SingleTxtG"/>
      </w:pPr>
      <w:r w:rsidRPr="002160B2">
        <w:t>32.</w:t>
      </w:r>
      <w:r w:rsidRPr="002160B2">
        <w:tab/>
        <w:t>Las verificaciones efectuadas respecto de las afirmaciones según las cuales el Sr.</w:t>
      </w:r>
      <w:r>
        <w:t> </w:t>
      </w:r>
      <w:r w:rsidRPr="002160B2">
        <w:t xml:space="preserve">Mikhalevich fue víctima de actos de tortura y de malos tratos durante su detención no revelaron ningún </w:t>
      </w:r>
      <w:r>
        <w:t xml:space="preserve">hecho </w:t>
      </w:r>
      <w:r w:rsidRPr="002160B2">
        <w:t>que pudiera confirmar</w:t>
      </w:r>
      <w:r>
        <w:t>las</w:t>
      </w:r>
      <w:r w:rsidRPr="002160B2">
        <w:t xml:space="preserve">. El interesado fue debidamente informado de sus derechos. Se le interrogó en presencia de su abogado y en esta ocasión no </w:t>
      </w:r>
      <w:r>
        <w:t xml:space="preserve">formuló ninguna queja de malos tratos, por ningún </w:t>
      </w:r>
      <w:r w:rsidRPr="002160B2">
        <w:t xml:space="preserve">concepto. </w:t>
      </w:r>
      <w:r>
        <w:t>A</w:t>
      </w:r>
      <w:r w:rsidRPr="002160B2">
        <w:t xml:space="preserve"> petición propia </w:t>
      </w:r>
      <w:r>
        <w:t xml:space="preserve">fue sometido a varios exámenes por un facultativo, </w:t>
      </w:r>
      <w:r w:rsidRPr="002160B2">
        <w:t xml:space="preserve">y recibió los cuidados que necesitaba. No habiéndose constatado ninguna violación, la </w:t>
      </w:r>
      <w:r>
        <w:t>f</w:t>
      </w:r>
      <w:r w:rsidRPr="002160B2">
        <w:t>iscalía renunció a abrir un proce</w:t>
      </w:r>
      <w:r>
        <w:t>dimiento</w:t>
      </w:r>
      <w:r w:rsidRPr="002160B2">
        <w:t xml:space="preserve">. Por lo demás, </w:t>
      </w:r>
      <w:r>
        <w:t xml:space="preserve">la acción </w:t>
      </w:r>
      <w:r w:rsidRPr="002160B2">
        <w:t>penal emprendid</w:t>
      </w:r>
      <w:r>
        <w:t>a</w:t>
      </w:r>
      <w:r w:rsidRPr="002160B2">
        <w:t xml:space="preserve"> contra el Sr. Mikhalevich fue suspendid</w:t>
      </w:r>
      <w:r>
        <w:t>a</w:t>
      </w:r>
      <w:r w:rsidRPr="002160B2">
        <w:t xml:space="preserve"> por </w:t>
      </w:r>
      <w:r>
        <w:t xml:space="preserve">no </w:t>
      </w:r>
      <w:r w:rsidRPr="002160B2">
        <w:t xml:space="preserve">conocerse el paradero de esta persona y porque la legislación de Belarús no </w:t>
      </w:r>
      <w:r>
        <w:t xml:space="preserve">contempla </w:t>
      </w:r>
      <w:r w:rsidRPr="002160B2">
        <w:t>el procedimiento en rebeldía.</w:t>
      </w:r>
    </w:p>
    <w:p w:rsidR="00BB2BAE" w:rsidRPr="002160B2" w:rsidRDefault="00BB2BAE" w:rsidP="00BB2BAE">
      <w:pPr>
        <w:pStyle w:val="SingleTxtG"/>
      </w:pPr>
      <w:r w:rsidRPr="002160B2">
        <w:t>33.</w:t>
      </w:r>
      <w:r w:rsidRPr="002160B2">
        <w:tab/>
        <w:t xml:space="preserve">El fiscal militar efectuó comprobaciones respecto de las quejas presentadas por el Sr. Hulak, Presidente del Comité </w:t>
      </w:r>
      <w:r>
        <w:t xml:space="preserve">de </w:t>
      </w:r>
      <w:r w:rsidRPr="002160B2">
        <w:t xml:space="preserve">Helsinki para Belarús, y la Sra. Korsak, </w:t>
      </w:r>
      <w:r>
        <w:t xml:space="preserve">acerca </w:t>
      </w:r>
      <w:r w:rsidRPr="002160B2">
        <w:t>de los malos tratos que habrían padecido el Sr. Sannikov y el Sr. Atrochtchenkov cuando estaban detenidos, y decidió que no había lugar a incoar un proceso. El Sr. Sannikov estaba cumpliendo su pena en la colonia penitenciaria Nº 2 de Moguilev</w:t>
      </w:r>
      <w:r>
        <w:t xml:space="preserve"> y había</w:t>
      </w:r>
      <w:r w:rsidRPr="002160B2">
        <w:t xml:space="preserve"> present</w:t>
      </w:r>
      <w:r>
        <w:t>ado</w:t>
      </w:r>
      <w:r w:rsidRPr="002160B2">
        <w:t xml:space="preserve"> una solicitud de protección al director del establecimiento, que lo trasladó a un lugar seguro. La Sra. Radina no </w:t>
      </w:r>
      <w:r>
        <w:t xml:space="preserve">formuló </w:t>
      </w:r>
      <w:r w:rsidRPr="002160B2">
        <w:t xml:space="preserve">ninguna queja </w:t>
      </w:r>
      <w:r>
        <w:t xml:space="preserve">en el sentido de que </w:t>
      </w:r>
      <w:r w:rsidRPr="002160B2">
        <w:t xml:space="preserve">hubiera sido </w:t>
      </w:r>
      <w:r>
        <w:t xml:space="preserve">sometida a </w:t>
      </w:r>
      <w:r w:rsidRPr="002160B2">
        <w:t xml:space="preserve">presiones psicológicas durante su detención. En </w:t>
      </w:r>
      <w:r>
        <w:t xml:space="preserve">cuanto </w:t>
      </w:r>
      <w:r w:rsidRPr="002160B2">
        <w:t xml:space="preserve">a Vladimir Neklyayev, la delegación ya </w:t>
      </w:r>
      <w:r>
        <w:t xml:space="preserve">explicó </w:t>
      </w:r>
      <w:r w:rsidRPr="002160B2">
        <w:t xml:space="preserve">que la Fiscalía de Minsk se había negado a </w:t>
      </w:r>
      <w:r>
        <w:t xml:space="preserve">abrir un procedimiento </w:t>
      </w:r>
      <w:r w:rsidRPr="002160B2">
        <w:t>y no cree que deba añadir nada al respecto.</w:t>
      </w:r>
    </w:p>
    <w:p w:rsidR="00BB2BAE" w:rsidRPr="002160B2" w:rsidRDefault="00BB2BAE" w:rsidP="00BB2BAE">
      <w:pPr>
        <w:pStyle w:val="SingleTxtG"/>
      </w:pPr>
      <w:r w:rsidRPr="002160B2">
        <w:t>34.</w:t>
      </w:r>
      <w:r w:rsidRPr="002160B2">
        <w:tab/>
      </w:r>
      <w:r>
        <w:t>Se está elaborando un</w:t>
      </w:r>
      <w:r w:rsidRPr="002160B2">
        <w:t xml:space="preserve"> proyecto de ley que prevé la prohibición de la tortura</w:t>
      </w:r>
      <w:r>
        <w:t>.</w:t>
      </w:r>
      <w:r w:rsidRPr="002160B2">
        <w:t xml:space="preserve"> En esta fase no es posible indicar cuándo estará aprobado. Entretanto, las disposiciones vigentes del Código Penal permiten reprimir los actos constitutivos de tortura en el sentido de la Convención. En los últimos años la </w:t>
      </w:r>
      <w:r>
        <w:t>f</w:t>
      </w:r>
      <w:r w:rsidRPr="002160B2">
        <w:t xml:space="preserve">iscalía no ha </w:t>
      </w:r>
      <w:r>
        <w:t xml:space="preserve">recibido </w:t>
      </w:r>
      <w:r w:rsidRPr="002160B2">
        <w:t xml:space="preserve">ninguna queja de detenidos </w:t>
      </w:r>
      <w:r>
        <w:t xml:space="preserve">por </w:t>
      </w:r>
      <w:r w:rsidRPr="002160B2">
        <w:t>haber sido víctimas de amenazas, hostigamiento</w:t>
      </w:r>
      <w:r>
        <w:t>s</w:t>
      </w:r>
      <w:r w:rsidRPr="002160B2">
        <w:t xml:space="preserve"> o violencias sexuales durante su detención. En todos los centros de detención los menores están recluidos en un lugar distinto al de los adultos, de conformidad con la ley. </w:t>
      </w:r>
      <w:r>
        <w:t xml:space="preserve">Convendría </w:t>
      </w:r>
      <w:r w:rsidRPr="002160B2">
        <w:t xml:space="preserve">que el Comité </w:t>
      </w:r>
      <w:r>
        <w:t xml:space="preserve">precisara lo que entiende </w:t>
      </w:r>
      <w:r w:rsidRPr="002160B2">
        <w:t>por vigilancia sistemática de las reglas, instrucciones, métodos y prácticas de los interrogatorios, para que la delegación pueda responder a la pregunta relativa a los procedimientos previstos o establecidos para ejercer esta vigilancia (pregunta N</w:t>
      </w:r>
      <w:r w:rsidR="00B72EE5">
        <w:t xml:space="preserve">º </w:t>
      </w:r>
      <w:r w:rsidRPr="002160B2">
        <w:t xml:space="preserve">21 de la lista de </w:t>
      </w:r>
      <w:r>
        <w:t>cuestiones</w:t>
      </w:r>
      <w:r w:rsidRPr="002160B2">
        <w:t>).</w:t>
      </w:r>
    </w:p>
    <w:p w:rsidR="00BB2BAE" w:rsidRPr="002160B2" w:rsidRDefault="00BB2BAE" w:rsidP="00BB2BAE">
      <w:pPr>
        <w:pStyle w:val="SingleTxtG"/>
      </w:pPr>
      <w:r w:rsidRPr="002160B2">
        <w:t>35.</w:t>
      </w:r>
      <w:r w:rsidRPr="002160B2">
        <w:tab/>
      </w:r>
      <w:r w:rsidRPr="00AE7B0E">
        <w:rPr>
          <w:b/>
        </w:rPr>
        <w:t>El</w:t>
      </w:r>
      <w:r w:rsidRPr="002160B2">
        <w:t xml:space="preserve"> </w:t>
      </w:r>
      <w:r w:rsidRPr="00AE7B0E">
        <w:rPr>
          <w:b/>
        </w:rPr>
        <w:t>Presidente</w:t>
      </w:r>
      <w:r w:rsidRPr="002160B2">
        <w:t xml:space="preserve"> recuerda que el diálogo con el Estado parte, en </w:t>
      </w:r>
      <w:r>
        <w:t xml:space="preserve">virtud </w:t>
      </w:r>
      <w:r w:rsidRPr="002160B2">
        <w:t xml:space="preserve">del artículo 19 de la Convención, forma parte integrante del mandato más amplio del Comité, que consiste en garantizar el debido respeto </w:t>
      </w:r>
      <w:r>
        <w:t>a</w:t>
      </w:r>
      <w:r w:rsidRPr="002160B2">
        <w:t xml:space="preserve"> la Convención. Con esta finalidad</w:t>
      </w:r>
      <w:r>
        <w:t xml:space="preserve"> </w:t>
      </w:r>
      <w:r w:rsidRPr="002160B2">
        <w:t>el Comité</w:t>
      </w:r>
      <w:r>
        <w:t xml:space="preserve"> debería disponer</w:t>
      </w:r>
      <w:r w:rsidRPr="002160B2">
        <w:t xml:space="preserve">, además de las informaciones relativas al marco jurídico de la aplicación de la Convención, de informaciones </w:t>
      </w:r>
      <w:r>
        <w:t xml:space="preserve">sobre </w:t>
      </w:r>
      <w:r w:rsidRPr="002160B2">
        <w:t xml:space="preserve">casos o situaciones en </w:t>
      </w:r>
      <w:r>
        <w:t xml:space="preserve">las que </w:t>
      </w:r>
      <w:r w:rsidRPr="002160B2">
        <w:t xml:space="preserve">se ha </w:t>
      </w:r>
      <w:r>
        <w:t xml:space="preserve">vulnerado </w:t>
      </w:r>
      <w:r w:rsidRPr="002160B2">
        <w:t xml:space="preserve">la Convención, las causas de esas </w:t>
      </w:r>
      <w:r>
        <w:t>vulneraciones</w:t>
      </w:r>
      <w:r w:rsidRPr="002160B2">
        <w:t xml:space="preserve"> y las medidas adoptadas para remediarlas, a fin de que pueda hacerse una idea precisa no solo de la situación jurídica sino también de la situación de hecho. </w:t>
      </w:r>
      <w:r>
        <w:t xml:space="preserve">Esta era la finalidad de las </w:t>
      </w:r>
      <w:r w:rsidRPr="002160B2">
        <w:t xml:space="preserve">numerosas preguntas </w:t>
      </w:r>
      <w:r>
        <w:t xml:space="preserve">de los miembros del Comité </w:t>
      </w:r>
      <w:r w:rsidRPr="002160B2">
        <w:t>a la delegación</w:t>
      </w:r>
      <w:r>
        <w:t>,</w:t>
      </w:r>
      <w:r w:rsidRPr="002160B2">
        <w:t xml:space="preserve"> </w:t>
      </w:r>
      <w:r>
        <w:t xml:space="preserve">y no la voluntad de </w:t>
      </w:r>
      <w:r w:rsidRPr="002160B2">
        <w:t xml:space="preserve">abrumarla. El Presidente espera, </w:t>
      </w:r>
      <w:r>
        <w:t>pues</w:t>
      </w:r>
      <w:r w:rsidRPr="002160B2">
        <w:t xml:space="preserve">, que </w:t>
      </w:r>
      <w:r>
        <w:t xml:space="preserve">se comuniquen al Comité </w:t>
      </w:r>
      <w:r w:rsidRPr="002160B2">
        <w:t>las informaciones deseadas</w:t>
      </w:r>
      <w:r>
        <w:t>.</w:t>
      </w:r>
    </w:p>
    <w:p w:rsidR="00BB2BAE" w:rsidRPr="002160B2" w:rsidRDefault="00BB2BAE" w:rsidP="00BB2BAE">
      <w:pPr>
        <w:pStyle w:val="SingleTxtG"/>
      </w:pPr>
      <w:r w:rsidRPr="002160B2">
        <w:t>36.</w:t>
      </w:r>
      <w:r w:rsidRPr="002160B2">
        <w:tab/>
      </w:r>
      <w:r w:rsidRPr="005A3A44">
        <w:rPr>
          <w:b/>
        </w:rPr>
        <w:t>La Sra. Gaer</w:t>
      </w:r>
      <w:r w:rsidRPr="002160B2">
        <w:t xml:space="preserve"> (Relatora para Belarús) dice que el Comité debe </w:t>
      </w:r>
      <w:r>
        <w:t xml:space="preserve">hacer </w:t>
      </w:r>
      <w:r w:rsidRPr="002160B2">
        <w:t>preguntas para asegurarse de que los Estados partes cumpl</w:t>
      </w:r>
      <w:r>
        <w:t>e</w:t>
      </w:r>
      <w:r w:rsidRPr="002160B2">
        <w:t xml:space="preserve">n </w:t>
      </w:r>
      <w:r>
        <w:t>las</w:t>
      </w:r>
      <w:r w:rsidRPr="002160B2">
        <w:t xml:space="preserve"> obligaciones previstas en la Convención. Si el Comité ha formulado muchas preguntas a la delegación de Belarús, ello se debe a que ha recibido</w:t>
      </w:r>
      <w:r>
        <w:t xml:space="preserve"> un gran número de denuncias</w:t>
      </w:r>
      <w:r w:rsidRPr="002160B2">
        <w:t xml:space="preserve"> de distintas procedencias</w:t>
      </w:r>
      <w:r>
        <w:t xml:space="preserve"> </w:t>
      </w:r>
      <w:r w:rsidRPr="002160B2">
        <w:t>que suscitan graves preocupaciones con respecto a la Convención. De las respuestas de la delegación, la Sra.</w:t>
      </w:r>
      <w:r>
        <w:t> </w:t>
      </w:r>
      <w:r w:rsidRPr="002160B2">
        <w:t xml:space="preserve">Gaer ha creído comprender que esta desaprueba la designación como "defensores de </w:t>
      </w:r>
      <w:r>
        <w:t xml:space="preserve">los </w:t>
      </w:r>
      <w:r w:rsidRPr="002160B2">
        <w:t xml:space="preserve">derechos </w:t>
      </w:r>
      <w:r>
        <w:t>humanos</w:t>
      </w:r>
      <w:r w:rsidRPr="002160B2">
        <w:t xml:space="preserve">" de ciertas clases de personas que han sido víctimas de violaciones de la Convención, y cuyo caso ha evocado el Comité. El artículo 1 de la Declaración sobre el derecho </w:t>
      </w:r>
      <w:r>
        <w:t xml:space="preserve">y el deber de </w:t>
      </w:r>
      <w:r w:rsidRPr="002160B2">
        <w:t xml:space="preserve">los individuos, </w:t>
      </w:r>
      <w:r>
        <w:t xml:space="preserve">los </w:t>
      </w:r>
      <w:r w:rsidRPr="002160B2">
        <w:t xml:space="preserve">grupos y </w:t>
      </w:r>
      <w:r>
        <w:t xml:space="preserve">las instituciones </w:t>
      </w:r>
      <w:r w:rsidRPr="002160B2">
        <w:t xml:space="preserve">de promover y proteger los derechos humanos y las libertades fundamentales </w:t>
      </w:r>
      <w:r>
        <w:t xml:space="preserve">universalmente </w:t>
      </w:r>
      <w:r w:rsidRPr="002160B2">
        <w:t>reconocidos (Declaración sobre los defensores de los derechos humanos) dispone que tod</w:t>
      </w:r>
      <w:r>
        <w:t>a</w:t>
      </w:r>
      <w:r w:rsidRPr="002160B2">
        <w:t xml:space="preserve"> </w:t>
      </w:r>
      <w:r>
        <w:t>persona t</w:t>
      </w:r>
      <w:r w:rsidRPr="002160B2">
        <w:t xml:space="preserve">iene derecho, individual o </w:t>
      </w:r>
      <w:r>
        <w:t>colectivamente</w:t>
      </w:r>
      <w:r w:rsidRPr="002160B2">
        <w:t xml:space="preserve">, a promover </w:t>
      </w:r>
      <w:r>
        <w:t xml:space="preserve">y procurar la protección y realización de </w:t>
      </w:r>
      <w:r w:rsidRPr="002160B2">
        <w:t xml:space="preserve">derechos humanos y las libertades fundamentales </w:t>
      </w:r>
      <w:r>
        <w:t xml:space="preserve">en </w:t>
      </w:r>
      <w:r w:rsidRPr="002160B2">
        <w:t xml:space="preserve">los </w:t>
      </w:r>
      <w:r>
        <w:t xml:space="preserve">planos </w:t>
      </w:r>
      <w:r w:rsidRPr="002160B2">
        <w:t xml:space="preserve">nacional e internacional. Es en función de este principio </w:t>
      </w:r>
      <w:r>
        <w:t xml:space="preserve">que </w:t>
      </w:r>
      <w:r w:rsidRPr="002160B2">
        <w:t>el Comité interpreta la noción de defensor de los derechos humanos.</w:t>
      </w:r>
    </w:p>
    <w:p w:rsidR="00BB2BAE" w:rsidRDefault="00BB2BAE" w:rsidP="00BB2BAE">
      <w:pPr>
        <w:pStyle w:val="SingleTxtG"/>
      </w:pPr>
      <w:r w:rsidRPr="002160B2">
        <w:t>37.</w:t>
      </w:r>
      <w:r w:rsidRPr="002160B2">
        <w:tab/>
        <w:t xml:space="preserve">El Comité espera </w:t>
      </w:r>
      <w:r>
        <w:t xml:space="preserve">recibir </w:t>
      </w:r>
      <w:r w:rsidRPr="002160B2">
        <w:t>explicaciones sobre los motivos por los cuales las autoridades del centro de detención donde fueron conducidas las personas detenidas en la manifestación de 19 de diciembre de 2010 no toma</w:t>
      </w:r>
      <w:r>
        <w:t>ron</w:t>
      </w:r>
      <w:r w:rsidRPr="002160B2">
        <w:t xml:space="preserve"> disposiciones para que los interesados pudieran entrevistarse en privado con sus abogados, sabiendo que los dos locales previstos con esta finalidad no serían suficientes. La delegación </w:t>
      </w:r>
      <w:r>
        <w:t xml:space="preserve">dijo </w:t>
      </w:r>
      <w:r w:rsidRPr="002160B2">
        <w:t xml:space="preserve">que 16 funcionarios del Ministerio del Interior habían sido objeto de medidas disciplinarias. La Sra. Gaer desearía saber cuáles </w:t>
      </w:r>
      <w:r>
        <w:t xml:space="preserve">eran </w:t>
      </w:r>
      <w:r w:rsidRPr="002160B2">
        <w:t xml:space="preserve">las faltas de las que se </w:t>
      </w:r>
      <w:r>
        <w:t xml:space="preserve">reconoció </w:t>
      </w:r>
      <w:r w:rsidRPr="002160B2">
        <w:t xml:space="preserve">culpables a los interesados y </w:t>
      </w:r>
      <w:r>
        <w:t xml:space="preserve">en </w:t>
      </w:r>
      <w:r w:rsidRPr="002160B2">
        <w:t>qué consist</w:t>
      </w:r>
      <w:r>
        <w:t>ieron</w:t>
      </w:r>
      <w:r w:rsidRPr="002160B2">
        <w:t xml:space="preserve"> las sanciones aplicadas. Respecto del Sr. Sannikov, la delegación podría comentar las afirmaciones según las cuales el interesado solo pudo entrevistarse en privado con un abogado después de transcurridos tres meses de su detención, que pidió </w:t>
      </w:r>
      <w:r>
        <w:t xml:space="preserve">ser </w:t>
      </w:r>
      <w:r w:rsidRPr="002160B2">
        <w:t>examina</w:t>
      </w:r>
      <w:r>
        <w:t>do</w:t>
      </w:r>
      <w:r w:rsidRPr="002160B2">
        <w:t xml:space="preserve"> </w:t>
      </w:r>
      <w:r>
        <w:t xml:space="preserve">por </w:t>
      </w:r>
      <w:r w:rsidRPr="002160B2">
        <w:t>un médico independiente, si</w:t>
      </w:r>
      <w:r>
        <w:t>é</w:t>
      </w:r>
      <w:r w:rsidRPr="002160B2">
        <w:t>ndo</w:t>
      </w:r>
      <w:r>
        <w:t>le</w:t>
      </w:r>
      <w:r w:rsidRPr="002160B2">
        <w:t xml:space="preserve"> denegada esta solicitud, que hizo una declaración </w:t>
      </w:r>
      <w:r>
        <w:t xml:space="preserve">por </w:t>
      </w:r>
      <w:r w:rsidRPr="002160B2">
        <w:t xml:space="preserve">escrito, que quedó sin efecto, en la que se denunciaban los malos tratos que había </w:t>
      </w:r>
      <w:r>
        <w:t xml:space="preserve">sufrido </w:t>
      </w:r>
      <w:r w:rsidRPr="002160B2">
        <w:t xml:space="preserve">durante su detención y mientras estaba recluido, y que repitió su queja ante el tribunal </w:t>
      </w:r>
      <w:r>
        <w:t>sin efecto alguno</w:t>
      </w:r>
      <w:r w:rsidRPr="002160B2">
        <w:t>.</w:t>
      </w:r>
    </w:p>
    <w:p w:rsidR="00FA0B7B" w:rsidRPr="00A91D09" w:rsidRDefault="00FA0B7B" w:rsidP="00FA0B7B">
      <w:pPr>
        <w:pStyle w:val="SingleTxtG"/>
        <w:rPr>
          <w:snapToGrid w:val="0"/>
        </w:rPr>
      </w:pPr>
      <w:r w:rsidRPr="00A91D09">
        <w:rPr>
          <w:snapToGrid w:val="0"/>
        </w:rPr>
        <w:t>38.</w:t>
      </w:r>
      <w:r w:rsidRPr="00A91D09">
        <w:rPr>
          <w:snapToGrid w:val="0"/>
        </w:rPr>
        <w:tab/>
        <w:t xml:space="preserve">No habiendo respondido la delegación, la Sra. Gaer </w:t>
      </w:r>
      <w:r>
        <w:rPr>
          <w:snapToGrid w:val="0"/>
        </w:rPr>
        <w:t xml:space="preserve">pide otra vez </w:t>
      </w:r>
      <w:r w:rsidRPr="00A91D09">
        <w:rPr>
          <w:snapToGrid w:val="0"/>
        </w:rPr>
        <w:t xml:space="preserve">informaciones sobre el número de recursos de </w:t>
      </w:r>
      <w:r w:rsidRPr="00A91D09">
        <w:rPr>
          <w:i/>
          <w:snapToGrid w:val="0"/>
        </w:rPr>
        <w:t xml:space="preserve">habeas corpus </w:t>
      </w:r>
      <w:r>
        <w:rPr>
          <w:snapToGrid w:val="0"/>
        </w:rPr>
        <w:t xml:space="preserve">presentados </w:t>
      </w:r>
      <w:r w:rsidRPr="00A91D09">
        <w:rPr>
          <w:snapToGrid w:val="0"/>
        </w:rPr>
        <w:t xml:space="preserve">durante el período considerado, el número de recursos que han prosperado y, en su caso, las violaciones constatadas y las medidas </w:t>
      </w:r>
      <w:r>
        <w:rPr>
          <w:snapToGrid w:val="0"/>
        </w:rPr>
        <w:t xml:space="preserve">que se hayan </w:t>
      </w:r>
      <w:r w:rsidRPr="00A91D09">
        <w:rPr>
          <w:snapToGrid w:val="0"/>
        </w:rPr>
        <w:t>tomad</w:t>
      </w:r>
      <w:r>
        <w:rPr>
          <w:snapToGrid w:val="0"/>
        </w:rPr>
        <w:t>o</w:t>
      </w:r>
      <w:r w:rsidRPr="00A91D09">
        <w:rPr>
          <w:snapToGrid w:val="0"/>
        </w:rPr>
        <w:t xml:space="preserve"> al respecto. En lo relativo a los acontecimientos del 19 de diciembre de 2010, la delegación desmintió las afirmaciones </w:t>
      </w:r>
      <w:r>
        <w:rPr>
          <w:snapToGrid w:val="0"/>
        </w:rPr>
        <w:t xml:space="preserve">de que </w:t>
      </w:r>
      <w:r w:rsidRPr="00A91D09">
        <w:rPr>
          <w:snapToGrid w:val="0"/>
        </w:rPr>
        <w:t xml:space="preserve">la policía había utilizado balas de caucho, gases lacrimógenos y un cañón de agua para dispersar a los manifestantes, pero reconoció que los agentes habían empleado porras. Según testimonios obtenidos por Amnistía Internacional y otras organizaciones, los agentes de la policía antidisturbios atacaron violentamente y sin discernimiento a los manifestantes. El informe médico </w:t>
      </w:r>
      <w:r>
        <w:rPr>
          <w:snapToGrid w:val="0"/>
        </w:rPr>
        <w:t>sobre</w:t>
      </w:r>
      <w:r w:rsidRPr="00A91D09">
        <w:rPr>
          <w:snapToGrid w:val="0"/>
        </w:rPr>
        <w:t xml:space="preserve"> Maya Abromtchik, detenida durante la manifestación, constata la existencia de varias fracturas que podrían haber sido causadas por golpes de porra. La Sra. Gaer </w:t>
      </w:r>
      <w:r>
        <w:rPr>
          <w:snapToGrid w:val="0"/>
        </w:rPr>
        <w:t xml:space="preserve">desearía oír a </w:t>
      </w:r>
      <w:r w:rsidRPr="00A91D09">
        <w:rPr>
          <w:snapToGrid w:val="0"/>
        </w:rPr>
        <w:t xml:space="preserve">la delegación </w:t>
      </w:r>
      <w:r>
        <w:rPr>
          <w:snapToGrid w:val="0"/>
        </w:rPr>
        <w:t>a este respecto</w:t>
      </w:r>
      <w:r w:rsidRPr="00A91D09">
        <w:rPr>
          <w:snapToGrid w:val="0"/>
        </w:rPr>
        <w:t xml:space="preserve">. También </w:t>
      </w:r>
      <w:r>
        <w:rPr>
          <w:snapToGrid w:val="0"/>
        </w:rPr>
        <w:t xml:space="preserve">querría </w:t>
      </w:r>
      <w:r w:rsidRPr="00A91D09">
        <w:rPr>
          <w:snapToGrid w:val="0"/>
        </w:rPr>
        <w:t xml:space="preserve">saber cuántas denuncias se han presentado contra </w:t>
      </w:r>
      <w:r>
        <w:rPr>
          <w:snapToGrid w:val="0"/>
        </w:rPr>
        <w:t>a</w:t>
      </w:r>
      <w:r w:rsidRPr="00A91D09">
        <w:rPr>
          <w:snapToGrid w:val="0"/>
        </w:rPr>
        <w:t>gentes de la policía antidisturbios, y si estas denuncias han dado lugar a la apertura de investigaciones. La policía antidisturbios es bien conocida por sus métodos brutales, y</w:t>
      </w:r>
      <w:r>
        <w:rPr>
          <w:snapToGrid w:val="0"/>
        </w:rPr>
        <w:t>,</w:t>
      </w:r>
      <w:r w:rsidRPr="00A91D09">
        <w:rPr>
          <w:snapToGrid w:val="0"/>
        </w:rPr>
        <w:t xml:space="preserve"> </w:t>
      </w:r>
      <w:r>
        <w:rPr>
          <w:snapToGrid w:val="0"/>
        </w:rPr>
        <w:t xml:space="preserve">para resolver este problema, sería bueno </w:t>
      </w:r>
      <w:r w:rsidRPr="00A91D09">
        <w:rPr>
          <w:snapToGrid w:val="0"/>
        </w:rPr>
        <w:t>saber si, independientemente de los acontecimientos del 19 de diciembre de 2010, se ha realizado un estudio a fondo sobre la utilización excesiva de la fuerza por parte de los agentes de este cuerpo de intervención.</w:t>
      </w:r>
    </w:p>
    <w:p w:rsidR="00FA0B7B" w:rsidRPr="00A91D09" w:rsidRDefault="00FA0B7B" w:rsidP="00FA0B7B">
      <w:pPr>
        <w:pStyle w:val="SingleTxtG"/>
        <w:rPr>
          <w:snapToGrid w:val="0"/>
        </w:rPr>
      </w:pPr>
      <w:r w:rsidRPr="00A91D09">
        <w:rPr>
          <w:snapToGrid w:val="0"/>
        </w:rPr>
        <w:t>39.</w:t>
      </w:r>
      <w:r w:rsidRPr="00A91D09">
        <w:rPr>
          <w:snapToGrid w:val="0"/>
        </w:rPr>
        <w:tab/>
        <w:t xml:space="preserve">Numerosas declaraciones indican que, además de las violencias sufridas en </w:t>
      </w:r>
      <w:r>
        <w:rPr>
          <w:snapToGrid w:val="0"/>
        </w:rPr>
        <w:t xml:space="preserve">la dispersión de </w:t>
      </w:r>
      <w:r w:rsidRPr="00A91D09">
        <w:rPr>
          <w:snapToGrid w:val="0"/>
        </w:rPr>
        <w:t xml:space="preserve">la manifestación, las personas detenidas fueron </w:t>
      </w:r>
      <w:r>
        <w:rPr>
          <w:snapToGrid w:val="0"/>
        </w:rPr>
        <w:t xml:space="preserve">maltratadas, </w:t>
      </w:r>
      <w:r w:rsidRPr="00A91D09">
        <w:rPr>
          <w:snapToGrid w:val="0"/>
        </w:rPr>
        <w:t xml:space="preserve">durante la detención y </w:t>
      </w:r>
      <w:r>
        <w:rPr>
          <w:snapToGrid w:val="0"/>
        </w:rPr>
        <w:t xml:space="preserve">no dispusieron </w:t>
      </w:r>
      <w:r w:rsidRPr="00A91D09">
        <w:rPr>
          <w:snapToGrid w:val="0"/>
        </w:rPr>
        <w:t xml:space="preserve">de las garantías jurídicas fundamentales. La delegación podría indicar lo que ha hecho o va a hacer el Estado parte para que </w:t>
      </w:r>
      <w:r>
        <w:rPr>
          <w:snapToGrid w:val="0"/>
        </w:rPr>
        <w:t xml:space="preserve">se realice </w:t>
      </w:r>
      <w:r w:rsidRPr="00A91D09">
        <w:rPr>
          <w:snapToGrid w:val="0"/>
        </w:rPr>
        <w:t xml:space="preserve">una investigación imparcial sobre estas afirmaciones, y si </w:t>
      </w:r>
      <w:r>
        <w:rPr>
          <w:snapToGrid w:val="0"/>
        </w:rPr>
        <w:t xml:space="preserve">piensa </w:t>
      </w:r>
      <w:r w:rsidRPr="00A91D09">
        <w:rPr>
          <w:snapToGrid w:val="0"/>
        </w:rPr>
        <w:t xml:space="preserve">autorizar la visita del equipo del Alto Comisionado de los Derechos Humanos </w:t>
      </w:r>
      <w:r>
        <w:rPr>
          <w:snapToGrid w:val="0"/>
        </w:rPr>
        <w:t xml:space="preserve">en </w:t>
      </w:r>
      <w:r w:rsidRPr="00A91D09">
        <w:rPr>
          <w:snapToGrid w:val="0"/>
        </w:rPr>
        <w:t xml:space="preserve">el país y del Relator Especial sobre la independencia de los </w:t>
      </w:r>
      <w:r>
        <w:rPr>
          <w:snapToGrid w:val="0"/>
        </w:rPr>
        <w:t xml:space="preserve">magistrados </w:t>
      </w:r>
      <w:r w:rsidRPr="00A91D09">
        <w:rPr>
          <w:snapToGrid w:val="0"/>
        </w:rPr>
        <w:t>y los abogados, que le han presentado una solicitud a este efecto.</w:t>
      </w:r>
    </w:p>
    <w:p w:rsidR="00FA0B7B" w:rsidRPr="00A91D09" w:rsidRDefault="00FA0B7B" w:rsidP="00FA0B7B">
      <w:pPr>
        <w:pStyle w:val="SingleTxtG"/>
        <w:rPr>
          <w:snapToGrid w:val="0"/>
        </w:rPr>
      </w:pPr>
      <w:r w:rsidRPr="00A91D09">
        <w:rPr>
          <w:snapToGrid w:val="0"/>
        </w:rPr>
        <w:t>40.</w:t>
      </w:r>
      <w:r w:rsidRPr="00A91D09">
        <w:rPr>
          <w:snapToGrid w:val="0"/>
        </w:rPr>
        <w:tab/>
        <w:t xml:space="preserve">Las informaciones de que dispone el Comité tienden a indicar que el arresto y la detención del Presidente del Comité </w:t>
      </w:r>
      <w:r>
        <w:rPr>
          <w:snapToGrid w:val="0"/>
        </w:rPr>
        <w:t xml:space="preserve">de </w:t>
      </w:r>
      <w:r w:rsidRPr="00A91D09">
        <w:rPr>
          <w:snapToGrid w:val="0"/>
        </w:rPr>
        <w:t xml:space="preserve">Helsinki para Belarús, Aleh Hulak, así como el registro efectuado en su domicilio y en las oficinas del Comité, fueron medidas de represalia directamente relacionadas con el envío de una carta al Relator Especial sobre la independencia de los </w:t>
      </w:r>
      <w:r>
        <w:rPr>
          <w:snapToGrid w:val="0"/>
        </w:rPr>
        <w:t xml:space="preserve">magistrados </w:t>
      </w:r>
      <w:r w:rsidRPr="00A91D09">
        <w:rPr>
          <w:snapToGrid w:val="0"/>
        </w:rPr>
        <w:t xml:space="preserve">y los abogados. La Sra. Gaer desearía oír a la delegación a este respecto. </w:t>
      </w:r>
      <w:r>
        <w:rPr>
          <w:snapToGrid w:val="0"/>
        </w:rPr>
        <w:t xml:space="preserve">Quisiera </w:t>
      </w:r>
      <w:r w:rsidRPr="00A91D09">
        <w:rPr>
          <w:snapToGrid w:val="0"/>
        </w:rPr>
        <w:t xml:space="preserve">también </w:t>
      </w:r>
      <w:r>
        <w:rPr>
          <w:snapToGrid w:val="0"/>
        </w:rPr>
        <w:t xml:space="preserve">que se comentase el </w:t>
      </w:r>
      <w:r w:rsidRPr="00A91D09">
        <w:rPr>
          <w:snapToGrid w:val="0"/>
        </w:rPr>
        <w:t xml:space="preserve">caso del Sr. Russkin, condenado a </w:t>
      </w:r>
      <w:r>
        <w:rPr>
          <w:snapToGrid w:val="0"/>
        </w:rPr>
        <w:t>diez</w:t>
      </w:r>
      <w:r w:rsidRPr="00A91D09">
        <w:rPr>
          <w:snapToGrid w:val="0"/>
        </w:rPr>
        <w:t xml:space="preserve"> años de cárcel por traición y espionaje, </w:t>
      </w:r>
      <w:r>
        <w:rPr>
          <w:snapToGrid w:val="0"/>
        </w:rPr>
        <w:t xml:space="preserve">quien </w:t>
      </w:r>
      <w:r w:rsidRPr="00A91D09">
        <w:rPr>
          <w:snapToGrid w:val="0"/>
        </w:rPr>
        <w:t>afirma que ninguna de las solicitudes que present</w:t>
      </w:r>
      <w:r>
        <w:rPr>
          <w:snapToGrid w:val="0"/>
        </w:rPr>
        <w:t>ó</w:t>
      </w:r>
      <w:r w:rsidRPr="00A91D09">
        <w:rPr>
          <w:snapToGrid w:val="0"/>
        </w:rPr>
        <w:t xml:space="preserve"> a los tribunales ha surtido efecto</w:t>
      </w:r>
      <w:r>
        <w:rPr>
          <w:snapToGrid w:val="0"/>
        </w:rPr>
        <w:t xml:space="preserve"> y</w:t>
      </w:r>
      <w:r w:rsidRPr="00A91D09">
        <w:rPr>
          <w:snapToGrid w:val="0"/>
        </w:rPr>
        <w:t xml:space="preserve"> que no fue autorizado a citar testigos o a interrogar a los testigos de la acusación, ni a recurrir su condena. La delegación dijo que la acción penal </w:t>
      </w:r>
      <w:r>
        <w:rPr>
          <w:snapToGrid w:val="0"/>
        </w:rPr>
        <w:t xml:space="preserve">incoada </w:t>
      </w:r>
      <w:r w:rsidRPr="00A91D09">
        <w:rPr>
          <w:snapToGrid w:val="0"/>
        </w:rPr>
        <w:t xml:space="preserve">contra el Sr. Mikhalevic </w:t>
      </w:r>
      <w:r>
        <w:rPr>
          <w:snapToGrid w:val="0"/>
        </w:rPr>
        <w:t xml:space="preserve">se </w:t>
      </w:r>
      <w:r w:rsidRPr="00A91D09">
        <w:rPr>
          <w:snapToGrid w:val="0"/>
        </w:rPr>
        <w:t>había suspendid</w:t>
      </w:r>
      <w:r>
        <w:rPr>
          <w:snapToGrid w:val="0"/>
        </w:rPr>
        <w:t>o</w:t>
      </w:r>
      <w:r w:rsidRPr="00A91D09">
        <w:rPr>
          <w:snapToGrid w:val="0"/>
        </w:rPr>
        <w:t xml:space="preserve"> por desconocerse el paradero de este señor y </w:t>
      </w:r>
      <w:r>
        <w:rPr>
          <w:snapToGrid w:val="0"/>
        </w:rPr>
        <w:t>por</w:t>
      </w:r>
      <w:r w:rsidRPr="00A91D09">
        <w:rPr>
          <w:snapToGrid w:val="0"/>
        </w:rPr>
        <w:t xml:space="preserve">que la legislación de Belarús no preveía un procedimiento en rebeldía. Cabe preguntarse si, en circunstancias similares, podrían suspenderse </w:t>
      </w:r>
      <w:r>
        <w:rPr>
          <w:snapToGrid w:val="0"/>
        </w:rPr>
        <w:t xml:space="preserve">—o incluso abandonarse— </w:t>
      </w:r>
      <w:r w:rsidRPr="00A91D09">
        <w:rPr>
          <w:snapToGrid w:val="0"/>
        </w:rPr>
        <w:t>las diligencias contra el autor presunto de actos de tortura, lo que sería contrario a las obligaciones del Estado parte en virtud de la Convención.</w:t>
      </w:r>
    </w:p>
    <w:p w:rsidR="00FA0B7B" w:rsidRPr="00A91D09" w:rsidRDefault="00FA0B7B" w:rsidP="00FA0B7B">
      <w:pPr>
        <w:pStyle w:val="SingleTxtG"/>
        <w:rPr>
          <w:snapToGrid w:val="0"/>
        </w:rPr>
      </w:pPr>
      <w:r w:rsidRPr="00A91D09">
        <w:rPr>
          <w:snapToGrid w:val="0"/>
        </w:rPr>
        <w:t>41.</w:t>
      </w:r>
      <w:r w:rsidRPr="00A91D09">
        <w:rPr>
          <w:snapToGrid w:val="0"/>
        </w:rPr>
        <w:tab/>
        <w:t xml:space="preserve">El funcionamiento del sistema judicial del Estado parte, descrito en el informe de la OSCE, refleja la influencia omnipresente del poder ejecutivo y un grado de vulnerabilidad de los jueces que es incompatible con los principios fundamentales </w:t>
      </w:r>
      <w:r>
        <w:rPr>
          <w:snapToGrid w:val="0"/>
        </w:rPr>
        <w:t xml:space="preserve">de </w:t>
      </w:r>
      <w:r w:rsidRPr="00A91D09">
        <w:rPr>
          <w:snapToGrid w:val="0"/>
        </w:rPr>
        <w:t xml:space="preserve">la independencia de la magistratura. Los procedimientos de </w:t>
      </w:r>
      <w:r>
        <w:rPr>
          <w:snapToGrid w:val="0"/>
        </w:rPr>
        <w:t xml:space="preserve">nombramiento </w:t>
      </w:r>
      <w:r w:rsidRPr="00A91D09">
        <w:rPr>
          <w:snapToGrid w:val="0"/>
        </w:rPr>
        <w:t xml:space="preserve">y destitución, las modalidades de aplicación de sanciones disciplinarias y los criterios de evaluación de los </w:t>
      </w:r>
      <w:r>
        <w:rPr>
          <w:snapToGrid w:val="0"/>
        </w:rPr>
        <w:t>magistrados,</w:t>
      </w:r>
      <w:r w:rsidRPr="00A91D09">
        <w:rPr>
          <w:snapToGrid w:val="0"/>
        </w:rPr>
        <w:t xml:space="preserve"> que no están basados en la validez jurídica de sus decisiones sino en el número de decisiones que han sido impugnadas</w:t>
      </w:r>
      <w:r>
        <w:rPr>
          <w:snapToGrid w:val="0"/>
        </w:rPr>
        <w:t>,</w:t>
      </w:r>
      <w:r w:rsidRPr="00A91D09">
        <w:rPr>
          <w:snapToGrid w:val="0"/>
        </w:rPr>
        <w:t xml:space="preserve"> modificadas o anuladas en apelación, son especialmente preocupantes y </w:t>
      </w:r>
      <w:r>
        <w:rPr>
          <w:snapToGrid w:val="0"/>
        </w:rPr>
        <w:t>se prestan a hacer comentarios</w:t>
      </w:r>
      <w:r w:rsidRPr="00A91D09">
        <w:rPr>
          <w:snapToGrid w:val="0"/>
        </w:rPr>
        <w:t xml:space="preserve">. Habría que saber, en particular, qué medidas prevé adoptar el Estado parte para resolver los problemas estructurales que ponen en entredicho la independencia del sistema judicial. </w:t>
      </w:r>
    </w:p>
    <w:p w:rsidR="00FA0B7B" w:rsidRPr="00A91D09" w:rsidRDefault="00FA0B7B" w:rsidP="00FA0B7B">
      <w:pPr>
        <w:pStyle w:val="SingleTxtG"/>
        <w:rPr>
          <w:snapToGrid w:val="0"/>
        </w:rPr>
      </w:pPr>
      <w:r w:rsidRPr="00A91D09">
        <w:rPr>
          <w:snapToGrid w:val="0"/>
        </w:rPr>
        <w:t>42.</w:t>
      </w:r>
      <w:r w:rsidRPr="00A91D09">
        <w:rPr>
          <w:snapToGrid w:val="0"/>
        </w:rPr>
        <w:tab/>
      </w:r>
      <w:r w:rsidRPr="00A91D09">
        <w:rPr>
          <w:b/>
          <w:snapToGrid w:val="0"/>
        </w:rPr>
        <w:t>La Sra. Sveaass</w:t>
      </w:r>
      <w:r w:rsidRPr="00A91D09">
        <w:rPr>
          <w:snapToGrid w:val="0"/>
        </w:rPr>
        <w:t xml:space="preserve"> </w:t>
      </w:r>
      <w:r>
        <w:rPr>
          <w:snapToGrid w:val="0"/>
        </w:rPr>
        <w:t xml:space="preserve">ha tomado nota de </w:t>
      </w:r>
      <w:r w:rsidRPr="00A91D09">
        <w:rPr>
          <w:snapToGrid w:val="0"/>
        </w:rPr>
        <w:t xml:space="preserve">que el personal de la </w:t>
      </w:r>
      <w:r>
        <w:rPr>
          <w:snapToGrid w:val="0"/>
        </w:rPr>
        <w:t>f</w:t>
      </w:r>
      <w:r w:rsidRPr="00A91D09">
        <w:rPr>
          <w:snapToGrid w:val="0"/>
        </w:rPr>
        <w:t xml:space="preserve">iscalía se encarga de la vigilancia de los lugares de detención y efectúa visitas regulares a estos lugares, y pide a la delegación que precise cómo se </w:t>
      </w:r>
      <w:r>
        <w:rPr>
          <w:snapToGrid w:val="0"/>
        </w:rPr>
        <w:t xml:space="preserve">armonizan </w:t>
      </w:r>
      <w:r w:rsidRPr="00A91D09">
        <w:rPr>
          <w:snapToGrid w:val="0"/>
        </w:rPr>
        <w:t xml:space="preserve">estas actividades con las de las comisiones de vigilancia. </w:t>
      </w:r>
      <w:r>
        <w:rPr>
          <w:snapToGrid w:val="0"/>
        </w:rPr>
        <w:t xml:space="preserve">Desea </w:t>
      </w:r>
      <w:r w:rsidRPr="00A91D09">
        <w:rPr>
          <w:snapToGrid w:val="0"/>
        </w:rPr>
        <w:t xml:space="preserve">disponer de informaciones complementarias sobre el modo en que se constituyen estas comisiones y los criterios de designación de sus miembros, el grado de independencia de estos, las modalidades </w:t>
      </w:r>
      <w:r>
        <w:rPr>
          <w:snapToGrid w:val="0"/>
        </w:rPr>
        <w:t>d</w:t>
      </w:r>
      <w:r w:rsidRPr="00A91D09">
        <w:rPr>
          <w:snapToGrid w:val="0"/>
        </w:rPr>
        <w:t>e organización de sus entrevistas privadas con los detenidos y la divulgación de sus informes.</w:t>
      </w:r>
    </w:p>
    <w:p w:rsidR="00FA0B7B" w:rsidRPr="00A91D09" w:rsidRDefault="00FA0B7B" w:rsidP="00FA0B7B">
      <w:pPr>
        <w:pStyle w:val="SingleTxtG"/>
        <w:rPr>
          <w:snapToGrid w:val="0"/>
        </w:rPr>
      </w:pPr>
      <w:r w:rsidRPr="00A91D09">
        <w:rPr>
          <w:snapToGrid w:val="0"/>
        </w:rPr>
        <w:t>43.</w:t>
      </w:r>
      <w:r w:rsidRPr="00A91D09">
        <w:rPr>
          <w:snapToGrid w:val="0"/>
        </w:rPr>
        <w:tab/>
        <w:t xml:space="preserve">Es sorprendente que el Estado parte diga que no </w:t>
      </w:r>
      <w:r>
        <w:rPr>
          <w:snapToGrid w:val="0"/>
        </w:rPr>
        <w:t xml:space="preserve">le </w:t>
      </w:r>
      <w:r w:rsidRPr="00A91D09">
        <w:rPr>
          <w:snapToGrid w:val="0"/>
        </w:rPr>
        <w:t xml:space="preserve">ha </w:t>
      </w:r>
      <w:r>
        <w:rPr>
          <w:snapToGrid w:val="0"/>
        </w:rPr>
        <w:t xml:space="preserve">llegado </w:t>
      </w:r>
      <w:r w:rsidRPr="00A91D09">
        <w:rPr>
          <w:snapToGrid w:val="0"/>
        </w:rPr>
        <w:t>ninguna denuncia por violencia sexual en las cárceles</w:t>
      </w:r>
      <w:r>
        <w:rPr>
          <w:snapToGrid w:val="0"/>
        </w:rPr>
        <w:t>,</w:t>
      </w:r>
      <w:r w:rsidRPr="00A91D09">
        <w:rPr>
          <w:snapToGrid w:val="0"/>
        </w:rPr>
        <w:t xml:space="preserve"> siendo así que hay mujeres que han declarado haber sido víctimas de estas violencias, o </w:t>
      </w:r>
      <w:r>
        <w:rPr>
          <w:snapToGrid w:val="0"/>
        </w:rPr>
        <w:t>haber recibido amenazas en este sentido</w:t>
      </w:r>
      <w:r w:rsidRPr="00A91D09">
        <w:rPr>
          <w:snapToGrid w:val="0"/>
        </w:rPr>
        <w:t xml:space="preserve">. Convendría obtener aclaraciones sobre este punto. Además, se invita a la delegación a facilitar informaciones sobre las condiciones de detención de los condenados a muerte y sobre la vigilancia ejercida en los hospitales psiquiátricos, así como </w:t>
      </w:r>
      <w:r>
        <w:rPr>
          <w:snapToGrid w:val="0"/>
        </w:rPr>
        <w:t xml:space="preserve">sobre </w:t>
      </w:r>
      <w:r w:rsidRPr="00A91D09">
        <w:rPr>
          <w:snapToGrid w:val="0"/>
        </w:rPr>
        <w:t>las garantías jurídicas de que gozan las personas que reciben tratamiento en estos hospitales.</w:t>
      </w:r>
    </w:p>
    <w:p w:rsidR="00FA0B7B" w:rsidRPr="00A91D09" w:rsidRDefault="00FA0B7B" w:rsidP="00FA0B7B">
      <w:pPr>
        <w:pStyle w:val="SingleTxtG"/>
        <w:rPr>
          <w:snapToGrid w:val="0"/>
        </w:rPr>
      </w:pPr>
      <w:r w:rsidRPr="00A91D09">
        <w:rPr>
          <w:snapToGrid w:val="0"/>
        </w:rPr>
        <w:t>44.</w:t>
      </w:r>
      <w:r w:rsidRPr="00A91D09">
        <w:rPr>
          <w:snapToGrid w:val="0"/>
        </w:rPr>
        <w:tab/>
        <w:t xml:space="preserve">En el marco del Examen Periódico Universal del Estado parte, se ha recomendado </w:t>
      </w:r>
      <w:r>
        <w:rPr>
          <w:snapToGrid w:val="0"/>
        </w:rPr>
        <w:t xml:space="preserve">a este </w:t>
      </w:r>
      <w:r w:rsidRPr="00A91D09">
        <w:rPr>
          <w:snapToGrid w:val="0"/>
        </w:rPr>
        <w:t xml:space="preserve">que se adhiera al Protocolo Facultativo de la Convención contra la Tortura y Otros Tratos o Penas Crueles, Inhumanos o Degradantes. Sería interesante saber si </w:t>
      </w:r>
      <w:r>
        <w:rPr>
          <w:snapToGrid w:val="0"/>
        </w:rPr>
        <w:t xml:space="preserve">se ha considerado </w:t>
      </w:r>
      <w:r w:rsidRPr="00A91D09">
        <w:rPr>
          <w:snapToGrid w:val="0"/>
        </w:rPr>
        <w:t>esta recomendación</w:t>
      </w:r>
      <w:r>
        <w:rPr>
          <w:snapToGrid w:val="0"/>
        </w:rPr>
        <w:t>.</w:t>
      </w:r>
      <w:r w:rsidRPr="00A91D09">
        <w:rPr>
          <w:snapToGrid w:val="0"/>
        </w:rPr>
        <w:t xml:space="preserve"> También se recomendó al Estado parte que incluyese una definición de la tortura en su legislación. A este respecto, la Sra. Sveaass pregunta si la </w:t>
      </w:r>
      <w:r>
        <w:rPr>
          <w:snapToGrid w:val="0"/>
        </w:rPr>
        <w:t xml:space="preserve">ausencia </w:t>
      </w:r>
      <w:r w:rsidRPr="00A91D09">
        <w:rPr>
          <w:snapToGrid w:val="0"/>
        </w:rPr>
        <w:t xml:space="preserve">de esta definición puede explicar </w:t>
      </w:r>
      <w:r>
        <w:rPr>
          <w:snapToGrid w:val="0"/>
        </w:rPr>
        <w:t xml:space="preserve">el </w:t>
      </w:r>
      <w:r w:rsidRPr="00A91D09">
        <w:rPr>
          <w:snapToGrid w:val="0"/>
        </w:rPr>
        <w:t xml:space="preserve">que el Estado parte no esté en condiciones de precisar el número de investigaciones realizadas por la </w:t>
      </w:r>
      <w:r>
        <w:rPr>
          <w:snapToGrid w:val="0"/>
        </w:rPr>
        <w:t>f</w:t>
      </w:r>
      <w:r w:rsidRPr="00A91D09">
        <w:rPr>
          <w:snapToGrid w:val="0"/>
        </w:rPr>
        <w:t xml:space="preserve">iscalía </w:t>
      </w:r>
      <w:r>
        <w:rPr>
          <w:snapToGrid w:val="0"/>
        </w:rPr>
        <w:t xml:space="preserve">sobre </w:t>
      </w:r>
      <w:r w:rsidRPr="00A91D09">
        <w:rPr>
          <w:snapToGrid w:val="0"/>
        </w:rPr>
        <w:t xml:space="preserve">casos de tortura. </w:t>
      </w:r>
      <w:r>
        <w:rPr>
          <w:snapToGrid w:val="0"/>
        </w:rPr>
        <w:t>La oradora</w:t>
      </w:r>
      <w:r w:rsidRPr="00A91D09">
        <w:rPr>
          <w:snapToGrid w:val="0"/>
        </w:rPr>
        <w:t xml:space="preserve">, invita a la delegación a facilitar </w:t>
      </w:r>
      <w:r>
        <w:rPr>
          <w:snapToGrid w:val="0"/>
        </w:rPr>
        <w:t xml:space="preserve">informaciones </w:t>
      </w:r>
      <w:r w:rsidRPr="00A91D09">
        <w:rPr>
          <w:snapToGrid w:val="0"/>
        </w:rPr>
        <w:t xml:space="preserve">sobre las disposiciones legislativas referentes a las reparaciones a que tienen derecho las víctimas de las infracciones definidas en la Convención y sobre su </w:t>
      </w:r>
      <w:r>
        <w:rPr>
          <w:snapToGrid w:val="0"/>
        </w:rPr>
        <w:t xml:space="preserve">aplicación en la </w:t>
      </w:r>
      <w:r w:rsidRPr="00A91D09">
        <w:rPr>
          <w:snapToGrid w:val="0"/>
        </w:rPr>
        <w:t xml:space="preserve">práctica, así como sobre las disposiciones que garantizan que no </w:t>
      </w:r>
      <w:r>
        <w:rPr>
          <w:snapToGrid w:val="0"/>
        </w:rPr>
        <w:t xml:space="preserve">podrán alegarse </w:t>
      </w:r>
      <w:r w:rsidRPr="00A91D09">
        <w:rPr>
          <w:snapToGrid w:val="0"/>
        </w:rPr>
        <w:t xml:space="preserve">como elemento </w:t>
      </w:r>
      <w:r>
        <w:rPr>
          <w:snapToGrid w:val="0"/>
        </w:rPr>
        <w:t xml:space="preserve">probatorio </w:t>
      </w:r>
      <w:r w:rsidRPr="00A91D09">
        <w:rPr>
          <w:snapToGrid w:val="0"/>
        </w:rPr>
        <w:t xml:space="preserve">las declaraciones que se haya demostrado fueron obtenidas </w:t>
      </w:r>
      <w:r>
        <w:rPr>
          <w:snapToGrid w:val="0"/>
        </w:rPr>
        <w:t xml:space="preserve">con </w:t>
      </w:r>
      <w:r w:rsidRPr="00A91D09">
        <w:rPr>
          <w:snapToGrid w:val="0"/>
        </w:rPr>
        <w:t>la tortura.</w:t>
      </w:r>
    </w:p>
    <w:p w:rsidR="00FA0B7B" w:rsidRPr="00A91D09" w:rsidRDefault="00FA0B7B" w:rsidP="00FA0B7B">
      <w:pPr>
        <w:pStyle w:val="SingleTxtG"/>
        <w:rPr>
          <w:snapToGrid w:val="0"/>
        </w:rPr>
      </w:pPr>
      <w:r w:rsidRPr="00A91D09">
        <w:rPr>
          <w:snapToGrid w:val="0"/>
        </w:rPr>
        <w:t>45.</w:t>
      </w:r>
      <w:r w:rsidRPr="00A91D09">
        <w:rPr>
          <w:snapToGrid w:val="0"/>
        </w:rPr>
        <w:tab/>
        <w:t>En lo relativo a la condición de los defensores de los derechos humanos, y en particular a las acusaciones de fraude fiscal contra el Sr. Bialiatski, la Sra. Sveaass pide a la delegación que explique por qué se atribuye tanta importancia al registro de las organizaciones de defensa de los derechos humanos, y sobre qué base se considera que una persona perteneciente a una organización no registrada incumple la ley.</w:t>
      </w:r>
    </w:p>
    <w:p w:rsidR="00FA0B7B" w:rsidRPr="00A91D09" w:rsidRDefault="00FA0B7B" w:rsidP="00FA0B7B">
      <w:pPr>
        <w:pStyle w:val="SingleTxtG"/>
        <w:rPr>
          <w:snapToGrid w:val="0"/>
        </w:rPr>
      </w:pPr>
      <w:r w:rsidRPr="00A91D09">
        <w:rPr>
          <w:snapToGrid w:val="0"/>
        </w:rPr>
        <w:t>46.</w:t>
      </w:r>
      <w:r w:rsidRPr="00A91D09">
        <w:rPr>
          <w:snapToGrid w:val="0"/>
        </w:rPr>
        <w:tab/>
      </w:r>
      <w:r w:rsidRPr="00A91D09">
        <w:rPr>
          <w:b/>
          <w:snapToGrid w:val="0"/>
        </w:rPr>
        <w:t>El Sr. Mariño Menénde</w:t>
      </w:r>
      <w:r w:rsidRPr="00A91D09">
        <w:rPr>
          <w:snapToGrid w:val="0"/>
        </w:rPr>
        <w:t>z pregunta si, además del ruso, es posible utilizar el bielorruso en los procedimientos penales, y en particular en los asuntos relacionados con los derechos humanos. En lo tocante a la aplicación del artículo 3 de la Convención, desearía saber si todas las solicitudes de asilo o de la condición de refugiado de una persona originaria de un país que se considera seguro se rechazan automáticamente y, de ser así, cómo se confecciona la lista de los países que se consideran seguros. Por último, la delegación podría indicar si el estudio de la Convención y de otros instrumentos internacionales sobre los derechos humanos está incluido en el programa de estudios de las facultades de derecho de las universidades de Belarús.</w:t>
      </w:r>
    </w:p>
    <w:p w:rsidR="00FA0B7B" w:rsidRPr="005B6165" w:rsidRDefault="00FA0B7B" w:rsidP="00FA0B7B">
      <w:pPr>
        <w:pStyle w:val="SingleTxtG"/>
      </w:pPr>
      <w:r w:rsidRPr="00A91D09">
        <w:rPr>
          <w:snapToGrid w:val="0"/>
        </w:rPr>
        <w:t>47.</w:t>
      </w:r>
      <w:r w:rsidRPr="00A91D09">
        <w:rPr>
          <w:snapToGrid w:val="0"/>
        </w:rPr>
        <w:tab/>
      </w:r>
      <w:r w:rsidRPr="00A91D09">
        <w:rPr>
          <w:b/>
          <w:snapToGrid w:val="0"/>
        </w:rPr>
        <w:t>El Sr. Bruni</w:t>
      </w:r>
      <w:r w:rsidRPr="00A91D09">
        <w:rPr>
          <w:snapToGrid w:val="0"/>
        </w:rPr>
        <w:t xml:space="preserve"> pregunta si las autoridades de Belarús siguen considerando la posibilidad de hacer las declaraciones previstas en los artículos 21 y 22 de la Convención. Por lo demás, en el informe se dice que </w:t>
      </w:r>
      <w:r>
        <w:rPr>
          <w:snapToGrid w:val="0"/>
        </w:rPr>
        <w:t xml:space="preserve">en los dos últimos años </w:t>
      </w:r>
      <w:r w:rsidRPr="00A91D09">
        <w:rPr>
          <w:snapToGrid w:val="0"/>
        </w:rPr>
        <w:t xml:space="preserve">la Comisión nacional pública de vigilancia ha efectuado 38 visitas a los lugares de detención y ha señalado algunas cuestiones a la atención del Ministerio del Interior. La delegación podría precisar cuáles eran estas cuestiones, y qué medidas se han tomado. También se invita a la delegación a proporcionar informaciones sobre las medidas adoptadas para dar cumplimiento al compromiso contraído en mayo de 2010 por Belarús ante el Consejo de Derechos Humanos, de dedicar recursos importantes a la mejora de las condiciones de detención </w:t>
      </w:r>
      <w:r>
        <w:rPr>
          <w:snapToGrid w:val="0"/>
        </w:rPr>
        <w:t xml:space="preserve">en </w:t>
      </w:r>
      <w:r w:rsidRPr="00A91D09">
        <w:rPr>
          <w:snapToGrid w:val="0"/>
        </w:rPr>
        <w:t xml:space="preserve">los establecimientos penitenciarios. </w:t>
      </w:r>
      <w:r w:rsidRPr="005B6165">
        <w:t xml:space="preserve">Por último, convendría saber si las autoridades consideran la posibilidad de </w:t>
      </w:r>
      <w:r>
        <w:t xml:space="preserve">decretar </w:t>
      </w:r>
      <w:r w:rsidRPr="005B6165">
        <w:t>una moratoria para la pena de muerte.</w:t>
      </w:r>
    </w:p>
    <w:p w:rsidR="00FA0B7B" w:rsidRPr="005B6165" w:rsidRDefault="00FA0B7B" w:rsidP="00FA0B7B">
      <w:pPr>
        <w:pStyle w:val="SingleTxtG"/>
      </w:pPr>
      <w:r w:rsidRPr="005B6165">
        <w:t>48.</w:t>
      </w:r>
      <w:r w:rsidRPr="005B6165">
        <w:tab/>
      </w:r>
      <w:r w:rsidRPr="005B6165">
        <w:rPr>
          <w:b/>
        </w:rPr>
        <w:t xml:space="preserve">La Sra. Belmir </w:t>
      </w:r>
      <w:r w:rsidRPr="005B6165">
        <w:t xml:space="preserve">pide precisiones a la delegación sobre el alcance de las facultades del ministerio público y de los investigadores respecto a la detención y la prolongación de la detención provisional. Observa que con frecuencia </w:t>
      </w:r>
      <w:r>
        <w:t xml:space="preserve">las causas </w:t>
      </w:r>
      <w:r w:rsidRPr="005B6165">
        <w:t xml:space="preserve">penales se celebran a puerta cerrada y a menudo </w:t>
      </w:r>
      <w:r>
        <w:t xml:space="preserve">el Tribunal Supremo falla </w:t>
      </w:r>
      <w:r w:rsidRPr="005B6165">
        <w:t>en calidad de jurisdicción de primer grado, lo que no deja ninguna posibilidad de presentar un recurso contra la decisión tomada. Sería conveniente aclara</w:t>
      </w:r>
      <w:r>
        <w:t>r</w:t>
      </w:r>
      <w:r w:rsidRPr="005B6165">
        <w:t xml:space="preserve"> estos puntos. La delegación podría </w:t>
      </w:r>
      <w:r>
        <w:t xml:space="preserve">también comentar </w:t>
      </w:r>
      <w:r w:rsidRPr="005B6165">
        <w:t xml:space="preserve">la </w:t>
      </w:r>
      <w:r>
        <w:t xml:space="preserve">posible duplicación entre </w:t>
      </w:r>
      <w:r w:rsidRPr="005B6165">
        <w:t xml:space="preserve">los procedimientos administrativos y las medidas de detención administrativas previstas </w:t>
      </w:r>
      <w:r>
        <w:t xml:space="preserve">y </w:t>
      </w:r>
      <w:r w:rsidRPr="005B6165">
        <w:t xml:space="preserve">los procedimientos y las medidas </w:t>
      </w:r>
      <w:r>
        <w:t xml:space="preserve">contemplados en </w:t>
      </w:r>
      <w:r w:rsidRPr="005B6165">
        <w:t>la legislación penal.</w:t>
      </w:r>
    </w:p>
    <w:p w:rsidR="00FA0B7B" w:rsidRPr="005B6165" w:rsidRDefault="00FA0B7B" w:rsidP="00FA0B7B">
      <w:pPr>
        <w:pStyle w:val="SingleTxtG"/>
      </w:pPr>
      <w:r w:rsidRPr="005B6165">
        <w:t>49.</w:t>
      </w:r>
      <w:r w:rsidRPr="005B6165">
        <w:tab/>
      </w:r>
      <w:r w:rsidRPr="005B6165">
        <w:rPr>
          <w:b/>
        </w:rPr>
        <w:t xml:space="preserve">El Sr. Khvostov </w:t>
      </w:r>
      <w:r w:rsidRPr="005B6165">
        <w:t>(Belarús) dice que la adhesión de Belarús a la Convención estuvo precedida de una reflexión a fondo</w:t>
      </w:r>
      <w:r>
        <w:t>,</w:t>
      </w:r>
      <w:r w:rsidRPr="005B6165">
        <w:t xml:space="preserve"> y que </w:t>
      </w:r>
      <w:r>
        <w:t>más adelante</w:t>
      </w:r>
      <w:r w:rsidRPr="005B6165">
        <w:t xml:space="preserve"> su país levantó las reservas que había formulado respecto de la Convención. Belarús se interroga constantemente sobre la vía que conviene seguir y trata de </w:t>
      </w:r>
      <w:r>
        <w:t xml:space="preserve">poner en </w:t>
      </w:r>
      <w:r w:rsidRPr="005B6165">
        <w:t xml:space="preserve">práctica las disposiciones de la Convención como miembro responsable de la comunidad internacional. No obstante, hace solo 20 años que Belarús </w:t>
      </w:r>
      <w:r>
        <w:t xml:space="preserve">alcanzó la </w:t>
      </w:r>
      <w:r w:rsidRPr="005B6165">
        <w:t>independ</w:t>
      </w:r>
      <w:r>
        <w:t>encia</w:t>
      </w:r>
      <w:r w:rsidRPr="005B6165">
        <w:t xml:space="preserve">, y todavía no ha acumulado experiencia suficiente para responder a todas las preguntas que se le puedan formular, en particular las que se refieren a la aplicación de las disposiciones de la Convención. A este respecto, la delegación desea agradecer a los miembros del Comité sus preguntas y observaciones. </w:t>
      </w:r>
    </w:p>
    <w:p w:rsidR="00FA0B7B" w:rsidRPr="005B6165" w:rsidRDefault="00FA0B7B" w:rsidP="00FA0B7B">
      <w:pPr>
        <w:pStyle w:val="SingleTxtG"/>
      </w:pPr>
      <w:r w:rsidRPr="005B6165">
        <w:t>50.</w:t>
      </w:r>
      <w:r w:rsidRPr="005B6165">
        <w:tab/>
        <w:t xml:space="preserve">Si bien es cierto que en la legislación de Belarús no figura ninguna definición de la tortura, </w:t>
      </w:r>
      <w:r>
        <w:t xml:space="preserve">no hay que olvidar </w:t>
      </w:r>
      <w:r w:rsidRPr="005B6165">
        <w:t xml:space="preserve">que los instrumentos internacionales </w:t>
      </w:r>
      <w:r>
        <w:t>en</w:t>
      </w:r>
      <w:r w:rsidRPr="005B6165">
        <w:t xml:space="preserve"> los que Belarús </w:t>
      </w:r>
      <w:r>
        <w:t xml:space="preserve">es parte, incluida la Convención, </w:t>
      </w:r>
      <w:r w:rsidRPr="005B6165">
        <w:t>están incorporados al derecho interno y son directamente aplicables</w:t>
      </w:r>
      <w:r>
        <w:t xml:space="preserve">. </w:t>
      </w:r>
      <w:r w:rsidRPr="005B6165">
        <w:t>Como demuestra el ejemplo de otros países, el mero hecho de incorporar la noción de tortura a su legislación interna no basta</w:t>
      </w:r>
      <w:r>
        <w:t>,</w:t>
      </w:r>
      <w:r w:rsidRPr="005B6165">
        <w:t xml:space="preserve"> de por sí, para cambiar la situación sobre el terreno. El factor determinante a este respecto es la sinceridad de los esfuerzos desplegados para poner fin a la tortura y a los malos tratos.</w:t>
      </w:r>
    </w:p>
    <w:p w:rsidR="00FA0B7B" w:rsidRPr="005B6165" w:rsidRDefault="00FA0B7B" w:rsidP="00FA0B7B">
      <w:pPr>
        <w:pStyle w:val="SingleTxtG"/>
      </w:pPr>
      <w:r w:rsidRPr="005B6165">
        <w:t>51.</w:t>
      </w:r>
      <w:r w:rsidRPr="005B6165">
        <w:tab/>
        <w:t xml:space="preserve">En lo referente al comportamiento de la policía durante las manifestaciones del 19 de diciembre de 2010, </w:t>
      </w:r>
      <w:r>
        <w:t xml:space="preserve">hay que </w:t>
      </w:r>
      <w:r w:rsidRPr="005B6165">
        <w:t>señalar que, en términos generales, la situación sobre el terreno es compleja y los policías, frente a una persona que comete una infracción, no tratan de saber quién es ni hacen distinción alguna entre los defensores de los derechos humanos y los demás. Todo Estado tiene la obligación de proteger el sistema elegido por el pueblo. Ahora bien, las autoridades tienen prueba</w:t>
      </w:r>
      <w:r>
        <w:t>s</w:t>
      </w:r>
      <w:r w:rsidRPr="005B6165">
        <w:t xml:space="preserve"> de que los acontecimientos del 19 de diciembre tenían por objeto </w:t>
      </w:r>
      <w:r>
        <w:t xml:space="preserve">derribar </w:t>
      </w:r>
      <w:r w:rsidRPr="005B6165">
        <w:t xml:space="preserve">el Estado. No puede pensarse que cuando los defensores de los derechos humanos utilizan la fuerza contra el Estado su acción es legítima, como tampoco hay que darles sistemáticamente la razón por el simple hecho de que defienden la causa de los derechos humanos. En el caso </w:t>
      </w:r>
      <w:r>
        <w:t>presente</w:t>
      </w:r>
      <w:r w:rsidRPr="005B6165">
        <w:t xml:space="preserve">, los policías no </w:t>
      </w:r>
      <w:r>
        <w:t xml:space="preserve">hicieron </w:t>
      </w:r>
      <w:r w:rsidRPr="005B6165">
        <w:t>más que detener a personas que cometían una infracción, y corresponde a los jueces determinar el grado de participación de estas personas en los hechos.</w:t>
      </w:r>
    </w:p>
    <w:p w:rsidR="00FA0B7B" w:rsidRPr="005B6165" w:rsidRDefault="00FA0B7B" w:rsidP="00FA0B7B">
      <w:pPr>
        <w:pStyle w:val="SingleTxtG"/>
      </w:pPr>
      <w:r w:rsidRPr="005B6165">
        <w:t>52.</w:t>
      </w:r>
      <w:r w:rsidRPr="005B6165">
        <w:tab/>
        <w:t xml:space="preserve">La delegación </w:t>
      </w:r>
      <w:r>
        <w:t xml:space="preserve">niega que </w:t>
      </w:r>
      <w:r w:rsidRPr="005B6165">
        <w:t>las autoridades denegar</w:t>
      </w:r>
      <w:r>
        <w:t>a</w:t>
      </w:r>
      <w:r w:rsidRPr="005B6165">
        <w:t xml:space="preserve">n deliberadamente a un abogado la autorización de reunirse con el Sr. Sannikov. </w:t>
      </w:r>
      <w:r>
        <w:t>Para empezar</w:t>
      </w:r>
      <w:r w:rsidRPr="005B6165">
        <w:t xml:space="preserve">, el Estado no </w:t>
      </w:r>
      <w:r>
        <w:t xml:space="preserve">ha tenido conocimiento </w:t>
      </w:r>
      <w:r w:rsidRPr="005B6165">
        <w:t xml:space="preserve">de ninguna declaración del Sr. Sannikov que afirme que le impidieron entrevistarse con su abogado. Las vistas celebradas </w:t>
      </w:r>
      <w:r>
        <w:t xml:space="preserve">respecto de </w:t>
      </w:r>
      <w:r w:rsidRPr="005B6165">
        <w:t>este asunto eran abiertas, y asistieron a ellas numerosos observadores internacionales, en particular representantes de la OSCE. La delegación excluye también la posibilidad de que la mujer o el hijo del Sr.</w:t>
      </w:r>
      <w:r>
        <w:t> </w:t>
      </w:r>
      <w:r w:rsidRPr="005B6165">
        <w:t>Sannikov hayan recibi</w:t>
      </w:r>
      <w:r>
        <w:t>do</w:t>
      </w:r>
      <w:r w:rsidRPr="005B6165">
        <w:t xml:space="preserve"> amenazas.</w:t>
      </w:r>
    </w:p>
    <w:p w:rsidR="00FA0B7B" w:rsidRPr="005B6165" w:rsidRDefault="00FA0B7B" w:rsidP="00FA0B7B">
      <w:pPr>
        <w:pStyle w:val="SingleTxtG"/>
      </w:pPr>
      <w:r w:rsidRPr="005B6165">
        <w:t>53.</w:t>
      </w:r>
      <w:r w:rsidRPr="005B6165">
        <w:tab/>
        <w:t xml:space="preserve">En lo que concierne al Sr. Mikhalevich, la ley </w:t>
      </w:r>
      <w:r>
        <w:t xml:space="preserve">dispone </w:t>
      </w:r>
      <w:r w:rsidRPr="005B6165">
        <w:t xml:space="preserve">que un procedimiento penal </w:t>
      </w:r>
      <w:r>
        <w:t xml:space="preserve">no puede celebrarse </w:t>
      </w:r>
      <w:r w:rsidRPr="005B6165">
        <w:t xml:space="preserve">en ausencia del inculpado. Si el interesado regresa a Belarús el procedimiento se reanudará, pero entretanto la ley no </w:t>
      </w:r>
      <w:r>
        <w:t xml:space="preserve">permite </w:t>
      </w:r>
      <w:r w:rsidRPr="005B6165">
        <w:t>a las autoridades</w:t>
      </w:r>
      <w:r>
        <w:t xml:space="preserve"> llevarlo adelante</w:t>
      </w:r>
      <w:r w:rsidRPr="005B6165">
        <w:t xml:space="preserve">. </w:t>
      </w:r>
      <w:r>
        <w:t>Por otra parte, e</w:t>
      </w:r>
      <w:r w:rsidRPr="005B6165">
        <w:t>l asunto relativo al Sr. Bialatski</w:t>
      </w:r>
      <w:r>
        <w:t xml:space="preserve"> </w:t>
      </w:r>
      <w:r w:rsidRPr="005B6165">
        <w:t>es un simple caso de fraude fiscal. El Estado no ha establecido nunca un vínculo entre las actividades del Sr. Bialatski como miembro de una organización no registrada (Viasna) y el hecho de que se haya abstenido de pagar sus impuestos. En Belarús no se condena a nadie por la pertenencia a una organización no registrada.</w:t>
      </w:r>
    </w:p>
    <w:p w:rsidR="00FA0B7B" w:rsidRPr="005B6165" w:rsidRDefault="00FA0B7B" w:rsidP="00FA0B7B">
      <w:pPr>
        <w:pStyle w:val="SingleTxtG"/>
      </w:pPr>
      <w:r w:rsidRPr="005B6165">
        <w:t>54.</w:t>
      </w:r>
      <w:r w:rsidRPr="005B6165">
        <w:tab/>
        <w:t xml:space="preserve">El Sr. Russkin </w:t>
      </w:r>
      <w:r>
        <w:t xml:space="preserve">fue </w:t>
      </w:r>
      <w:r w:rsidRPr="005B6165">
        <w:t xml:space="preserve">acusado de espionaje y condenado por el tribunal a la pena prevista por </w:t>
      </w:r>
      <w:r>
        <w:t>este concepto</w:t>
      </w:r>
      <w:r w:rsidRPr="005B6165">
        <w:t xml:space="preserve">, como habría ocurrido en cualquier otro país. No corresponde a la delegación pronunciarse al respecto, y sus miembros ignoran si el Sr. Russkin ha presentado o no un recurso. En cuanto a la detención del Presidente del Comité </w:t>
      </w:r>
      <w:r>
        <w:t xml:space="preserve">de </w:t>
      </w:r>
      <w:r w:rsidRPr="005B6165">
        <w:t xml:space="preserve">Helsinki para Belarús, esto no </w:t>
      </w:r>
      <w:r>
        <w:t xml:space="preserve">fue </w:t>
      </w:r>
      <w:r w:rsidRPr="005B6165">
        <w:t xml:space="preserve">en </w:t>
      </w:r>
      <w:r>
        <w:t xml:space="preserve">modo alguno </w:t>
      </w:r>
      <w:r w:rsidRPr="005B6165">
        <w:t xml:space="preserve">una medida de represalia contra esta organización. Es cierto que durante mucho tiempo esta organización mantuvo una actitud inaceptable, pero en todo caso el conjunto de cuestiones planteadas respecto de este asunto </w:t>
      </w:r>
      <w:r>
        <w:t>ya</w:t>
      </w:r>
      <w:r w:rsidRPr="005B6165">
        <w:t xml:space="preserve"> ha </w:t>
      </w:r>
      <w:r>
        <w:t xml:space="preserve">sido </w:t>
      </w:r>
      <w:r w:rsidRPr="005B6165">
        <w:t>aclarado.</w:t>
      </w:r>
    </w:p>
    <w:p w:rsidR="00FA0B7B" w:rsidRPr="005B6165" w:rsidRDefault="00FA0B7B" w:rsidP="00FA0B7B">
      <w:pPr>
        <w:pStyle w:val="SingleTxtG"/>
      </w:pPr>
      <w:r w:rsidRPr="005B6165">
        <w:t>55.</w:t>
      </w:r>
      <w:r w:rsidRPr="005B6165">
        <w:tab/>
        <w:t xml:space="preserve">Belarús no entiende muy bien el interés repentino manifestado por el informe de la OSCE a su respecto. Recuerda que, en su calidad de miembro de pleno derecho de esta organización, </w:t>
      </w:r>
      <w:r>
        <w:t xml:space="preserve">puede </w:t>
      </w:r>
      <w:r w:rsidRPr="005B6165">
        <w:t xml:space="preserve">exigir que se le transmita todo documento que le ataña, cosa que no se ha hecho </w:t>
      </w:r>
      <w:r>
        <w:t xml:space="preserve">con </w:t>
      </w:r>
      <w:r w:rsidRPr="005B6165">
        <w:t xml:space="preserve">este informe. </w:t>
      </w:r>
    </w:p>
    <w:p w:rsidR="00FA0B7B" w:rsidRPr="005B6165" w:rsidRDefault="00FA0B7B" w:rsidP="00FA0B7B">
      <w:pPr>
        <w:pStyle w:val="SingleTxtG"/>
      </w:pPr>
      <w:r w:rsidRPr="005B6165">
        <w:t>56.</w:t>
      </w:r>
      <w:r w:rsidRPr="005B6165">
        <w:tab/>
        <w:t xml:space="preserve">Las víctimas de malos tratos tienen derecho a medidas de reparación en virtud de la legislación de Belarús, que además </w:t>
      </w:r>
      <w:r>
        <w:t xml:space="preserve">prevé </w:t>
      </w:r>
      <w:r w:rsidRPr="005B6165">
        <w:t xml:space="preserve">sanciones contra los autores de esos actos. Se enviarán al Comité informaciones más amplias sobre las disposiciones pertinentes. En cuanto a las amenazas de violencias sexuales que habrían recibido algunas detenidas, es cierto que </w:t>
      </w:r>
      <w:r>
        <w:t xml:space="preserve">entre detenidos </w:t>
      </w:r>
      <w:r w:rsidRPr="005B6165">
        <w:t>pueden proferirse o ponerse en práctica amenazas de este tipo, pero es inconcebible que provengan de investigadores o de las personas encargadas de las investigaciones. Todo funcionario que se comportase de esta manera sería condenado de inmediato.</w:t>
      </w:r>
    </w:p>
    <w:p w:rsidR="00FA0B7B" w:rsidRPr="005B6165" w:rsidRDefault="00FA0B7B" w:rsidP="00FA0B7B">
      <w:pPr>
        <w:pStyle w:val="SingleTxtG"/>
      </w:pPr>
      <w:r w:rsidRPr="005B6165">
        <w:t>57.</w:t>
      </w:r>
      <w:r w:rsidRPr="005B6165">
        <w:tab/>
        <w:t xml:space="preserve">El sistema judicial de Belarús no es un sistema de derecho anglosajón, y no prevé el procedimiento de </w:t>
      </w:r>
      <w:r w:rsidRPr="005B6165">
        <w:rPr>
          <w:i/>
        </w:rPr>
        <w:t>habeas corpus</w:t>
      </w:r>
      <w:r w:rsidRPr="005B6165">
        <w:t xml:space="preserve">. No obstante, el artículo 143 del Código Penal </w:t>
      </w:r>
      <w:r>
        <w:t xml:space="preserve">contempla </w:t>
      </w:r>
      <w:r w:rsidRPr="005B6165">
        <w:t xml:space="preserve">la posibilidad de que los detenidos interpongan una demanda ante los tribunales, en la fase </w:t>
      </w:r>
      <w:r>
        <w:t xml:space="preserve">de las diligencias previas o en la de la </w:t>
      </w:r>
      <w:r w:rsidRPr="005B6165">
        <w:t>instrucción. Los procedimientos e instituciones a que se refieren los instrumentos internacionales relativos a los derechos humanos a menudo proceden del derecho anglosajón, o están inspirados por él</w:t>
      </w:r>
      <w:r>
        <w:t>,</w:t>
      </w:r>
      <w:r w:rsidRPr="005B6165">
        <w:t xml:space="preserve"> y hay que dejar tiempo al sistema judicial nacional para que evolucione y se adapte.</w:t>
      </w:r>
    </w:p>
    <w:p w:rsidR="00FA0B7B" w:rsidRPr="005B6165" w:rsidRDefault="00FA0B7B" w:rsidP="00FA0B7B">
      <w:pPr>
        <w:pStyle w:val="SingleTxtG"/>
      </w:pPr>
      <w:r w:rsidRPr="005B6165">
        <w:t>58.</w:t>
      </w:r>
      <w:r w:rsidRPr="005B6165">
        <w:tab/>
        <w:t>L</w:t>
      </w:r>
      <w:r>
        <w:t>a</w:t>
      </w:r>
      <w:r w:rsidRPr="005B6165">
        <w:t xml:space="preserve">s </w:t>
      </w:r>
      <w:r>
        <w:t xml:space="preserve">actuaciones </w:t>
      </w:r>
      <w:r w:rsidRPr="005B6165">
        <w:t xml:space="preserve">judiciales </w:t>
      </w:r>
      <w:r>
        <w:t xml:space="preserve">tienen lugar </w:t>
      </w:r>
      <w:r w:rsidRPr="005B6165">
        <w:t>en el idioma oficial —belaruso o ruso— que haya elegido el acusado. En cuanto al estudio de los instrumentos internacionales relativos a los derechos humanos, esta disciplina figura en muchos planes de estudio</w:t>
      </w:r>
      <w:r>
        <w:t>s</w:t>
      </w:r>
      <w:r w:rsidRPr="005B6165">
        <w:t xml:space="preserve"> universitarios. Las autoridades </w:t>
      </w:r>
      <w:r>
        <w:t xml:space="preserve">están </w:t>
      </w:r>
      <w:r w:rsidRPr="005B6165">
        <w:t>consideran</w:t>
      </w:r>
      <w:r>
        <w:t>do</w:t>
      </w:r>
      <w:r w:rsidRPr="005B6165">
        <w:t xml:space="preserve"> la posibilidad de </w:t>
      </w:r>
      <w:r>
        <w:t xml:space="preserve">hacer </w:t>
      </w:r>
      <w:r w:rsidRPr="005B6165">
        <w:t xml:space="preserve">las declaraciones previstas en los artículos 21 y 22 de la Convención. En lo </w:t>
      </w:r>
      <w:r>
        <w:t xml:space="preserve">referente </w:t>
      </w:r>
      <w:r w:rsidRPr="005B6165">
        <w:t>a la adhesión al Protocolo Facultativo de la Convención contra la Tortura y otras Penas o Tratos Crueles Inhumanos o Degradantes, esta cuestión se someterá a las autoridades legislativas. Por último, la delegación está de acuerdo en que deben mejorarse las condiciones en las cárceles. Las autoridades tratan de hacerlo, pero la situación solo puede modificarse gradualmente.</w:t>
      </w:r>
    </w:p>
    <w:p w:rsidR="00FA0B7B" w:rsidRPr="005B6165" w:rsidRDefault="00FA0B7B" w:rsidP="00FA0B7B">
      <w:pPr>
        <w:pStyle w:val="SingleTxtG"/>
      </w:pPr>
      <w:r w:rsidRPr="005B6165">
        <w:t>59.</w:t>
      </w:r>
      <w:r w:rsidRPr="005B6165">
        <w:tab/>
        <w:t>El Sr.</w:t>
      </w:r>
      <w:r w:rsidRPr="005B6165">
        <w:rPr>
          <w:b/>
        </w:rPr>
        <w:t xml:space="preserve"> </w:t>
      </w:r>
      <w:r w:rsidRPr="005B6165">
        <w:t xml:space="preserve">Khvostov lamenta que la delegación no haya podido responder de manera más exhaustiva a las preguntas del Comité, por falta de tiempo. Se enviarán respuestas complementarias detalladas por escrito al Comité, en particular respecto de la independencia de los magistrados y la moratoria </w:t>
      </w:r>
      <w:r>
        <w:t>de</w:t>
      </w:r>
      <w:r w:rsidRPr="005B6165">
        <w:t xml:space="preserve"> la pena de muerte.</w:t>
      </w:r>
    </w:p>
    <w:p w:rsidR="00FA0B7B" w:rsidRPr="005B6165" w:rsidRDefault="00FA0B7B" w:rsidP="00FA0B7B">
      <w:pPr>
        <w:pStyle w:val="SingleTxtG"/>
      </w:pPr>
      <w:r w:rsidRPr="005B6165">
        <w:t>60.</w:t>
      </w:r>
      <w:r w:rsidRPr="005B6165">
        <w:tab/>
      </w:r>
      <w:r w:rsidRPr="005B6165">
        <w:rPr>
          <w:b/>
        </w:rPr>
        <w:t xml:space="preserve">El Presidente </w:t>
      </w:r>
      <w:r w:rsidRPr="005B6165">
        <w:t>da las gracias a la delegación de Belarús por sus respuestas y comunica que el Comité ha concluido el examen del cuarto informe periódico de Belarús.</w:t>
      </w:r>
    </w:p>
    <w:p w:rsidR="00FA0B7B" w:rsidRPr="00FD1F26" w:rsidRDefault="00FA0B7B" w:rsidP="00FA0B7B">
      <w:pPr>
        <w:pStyle w:val="SingleTxtG"/>
        <w:rPr>
          <w:i/>
        </w:rPr>
      </w:pPr>
      <w:r w:rsidRPr="00FD1F26">
        <w:rPr>
          <w:i/>
        </w:rPr>
        <w:t>Se levanta la sesión a las 18.05 horas.</w:t>
      </w:r>
    </w:p>
    <w:sectPr w:rsidR="00FA0B7B" w:rsidRPr="00FD1F26" w:rsidSect="0078066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E40" w:rsidRDefault="00096E40">
      <w:r>
        <w:separator/>
      </w:r>
    </w:p>
  </w:endnote>
  <w:endnote w:type="continuationSeparator" w:id="0">
    <w:p w:rsidR="00096E40" w:rsidRDefault="00096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66C" w:rsidRPr="0078066C" w:rsidRDefault="0078066C" w:rsidP="0078066C">
    <w:pPr>
      <w:pStyle w:val="Footer"/>
      <w:tabs>
        <w:tab w:val="right" w:pos="9638"/>
      </w:tabs>
    </w:pPr>
    <w:r w:rsidRPr="0078066C">
      <w:rPr>
        <w:b/>
        <w:sz w:val="18"/>
      </w:rPr>
      <w:fldChar w:fldCharType="begin"/>
    </w:r>
    <w:r w:rsidRPr="0078066C">
      <w:rPr>
        <w:b/>
        <w:sz w:val="18"/>
      </w:rPr>
      <w:instrText xml:space="preserve"> PAGE  \* MERGEFORMAT </w:instrText>
    </w:r>
    <w:r w:rsidRPr="0078066C">
      <w:rPr>
        <w:b/>
        <w:sz w:val="18"/>
      </w:rPr>
      <w:fldChar w:fldCharType="separate"/>
    </w:r>
    <w:r w:rsidR="004A0A8C">
      <w:rPr>
        <w:b/>
        <w:noProof/>
        <w:sz w:val="18"/>
      </w:rPr>
      <w:t>12</w:t>
    </w:r>
    <w:r w:rsidRPr="0078066C">
      <w:rPr>
        <w:b/>
        <w:sz w:val="18"/>
      </w:rPr>
      <w:fldChar w:fldCharType="end"/>
    </w:r>
    <w:r>
      <w:rPr>
        <w:b/>
        <w:sz w:val="18"/>
      </w:rPr>
      <w:tab/>
    </w:r>
    <w:r>
      <w:t>GE.11-46950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66C" w:rsidRPr="0078066C" w:rsidRDefault="0078066C" w:rsidP="0078066C">
    <w:pPr>
      <w:pStyle w:val="Footer"/>
      <w:tabs>
        <w:tab w:val="right" w:pos="9638"/>
      </w:tabs>
      <w:rPr>
        <w:b/>
        <w:sz w:val="18"/>
      </w:rPr>
    </w:pPr>
    <w:r>
      <w:t>GE.11-46950</w:t>
    </w:r>
    <w:r>
      <w:tab/>
    </w:r>
    <w:r w:rsidRPr="0078066C">
      <w:rPr>
        <w:b/>
        <w:sz w:val="18"/>
      </w:rPr>
      <w:fldChar w:fldCharType="begin"/>
    </w:r>
    <w:r w:rsidRPr="0078066C">
      <w:rPr>
        <w:b/>
        <w:sz w:val="18"/>
      </w:rPr>
      <w:instrText xml:space="preserve"> PAGE  \* MERGEFORMAT </w:instrText>
    </w:r>
    <w:r w:rsidRPr="0078066C">
      <w:rPr>
        <w:b/>
        <w:sz w:val="18"/>
      </w:rPr>
      <w:fldChar w:fldCharType="separate"/>
    </w:r>
    <w:r w:rsidR="004A0A8C">
      <w:rPr>
        <w:b/>
        <w:noProof/>
        <w:sz w:val="18"/>
      </w:rPr>
      <w:t>13</w:t>
    </w:r>
    <w:r w:rsidRPr="0078066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66C" w:rsidRDefault="0078066C" w:rsidP="0078066C">
    <w:pPr>
      <w:pBdr>
        <w:bottom w:val="single" w:sz="4" w:space="1" w:color="auto"/>
      </w:pBdr>
    </w:pPr>
  </w:p>
  <w:p w:rsidR="0078066C" w:rsidRDefault="0078066C" w:rsidP="0078066C">
    <w:pPr>
      <w:pStyle w:val="FootnoteText"/>
      <w:spacing w:after="120"/>
      <w:rPr>
        <w:lang w:val="es-ES_tradnl"/>
      </w:rPr>
    </w:pPr>
    <w:r>
      <w:tab/>
    </w:r>
    <w:r>
      <w:tab/>
    </w:r>
    <w:r>
      <w:rPr>
        <w:lang w:val="es-ES_tradnl"/>
      </w:rPr>
      <w:t>La presente acta podrá ser objeto de correcciones.</w:t>
    </w:r>
  </w:p>
  <w:p w:rsidR="0078066C" w:rsidRDefault="0078066C" w:rsidP="0078066C">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78066C" w:rsidRDefault="0078066C" w:rsidP="0078066C">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9878F7" w:rsidRPr="0078066C" w:rsidRDefault="0078066C">
    <w:pPr>
      <w:pStyle w:val="Footer"/>
      <w:rPr>
        <w:sz w:val="20"/>
      </w:rPr>
    </w:pPr>
    <w:r>
      <w:rPr>
        <w:sz w:val="20"/>
      </w:rPr>
      <w:t>GE.</w:t>
    </w:r>
    <w:r w:rsidR="009878F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11-46950  (S)    190612    100812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E40" w:rsidRPr="001075E9" w:rsidRDefault="00096E40" w:rsidP="001075E9">
      <w:pPr>
        <w:tabs>
          <w:tab w:val="right" w:pos="2155"/>
        </w:tabs>
        <w:spacing w:after="80" w:line="240" w:lineRule="auto"/>
        <w:ind w:left="680"/>
        <w:rPr>
          <w:u w:val="single"/>
        </w:rPr>
      </w:pPr>
      <w:r>
        <w:rPr>
          <w:u w:val="single"/>
        </w:rPr>
        <w:tab/>
      </w:r>
    </w:p>
  </w:footnote>
  <w:footnote w:type="continuationSeparator" w:id="0">
    <w:p w:rsidR="00096E40" w:rsidRDefault="00096E40"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66C" w:rsidRPr="0078066C" w:rsidRDefault="0078066C">
    <w:pPr>
      <w:pStyle w:val="Header"/>
    </w:pPr>
    <w:r>
      <w:t>C</w:t>
    </w:r>
    <w:r w:rsidR="00E20EBE">
      <w:t>A</w:t>
    </w:r>
    <w:r>
      <w:t>T/C/SR.1039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66C" w:rsidRPr="0078066C" w:rsidRDefault="0078066C" w:rsidP="0078066C">
    <w:pPr>
      <w:pStyle w:val="Header"/>
      <w:jc w:val="right"/>
    </w:pPr>
    <w:r>
      <w:t>C</w:t>
    </w:r>
    <w:r w:rsidR="00E20EBE">
      <w:t>A</w:t>
    </w:r>
    <w:r>
      <w:t>T/C/SR.1039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78F7"/>
    <w:rsid w:val="00033EE1"/>
    <w:rsid w:val="00042B72"/>
    <w:rsid w:val="00051E6D"/>
    <w:rsid w:val="000558BD"/>
    <w:rsid w:val="00096E40"/>
    <w:rsid w:val="000B57E7"/>
    <w:rsid w:val="000B6373"/>
    <w:rsid w:val="000F09DF"/>
    <w:rsid w:val="000F61B2"/>
    <w:rsid w:val="001075E9"/>
    <w:rsid w:val="00180183"/>
    <w:rsid w:val="0018649F"/>
    <w:rsid w:val="00196389"/>
    <w:rsid w:val="001B3EF6"/>
    <w:rsid w:val="001C7A89"/>
    <w:rsid w:val="002A2EFC"/>
    <w:rsid w:val="002C0E18"/>
    <w:rsid w:val="002D5AAC"/>
    <w:rsid w:val="00301299"/>
    <w:rsid w:val="00307FB6"/>
    <w:rsid w:val="00317339"/>
    <w:rsid w:val="00322004"/>
    <w:rsid w:val="003402C2"/>
    <w:rsid w:val="00381C24"/>
    <w:rsid w:val="003958D0"/>
    <w:rsid w:val="003B00E5"/>
    <w:rsid w:val="003B597C"/>
    <w:rsid w:val="00407B78"/>
    <w:rsid w:val="00424203"/>
    <w:rsid w:val="00454E07"/>
    <w:rsid w:val="004A0A8C"/>
    <w:rsid w:val="0050108D"/>
    <w:rsid w:val="00513081"/>
    <w:rsid w:val="00517901"/>
    <w:rsid w:val="00526683"/>
    <w:rsid w:val="005709E0"/>
    <w:rsid w:val="00572E19"/>
    <w:rsid w:val="005961C8"/>
    <w:rsid w:val="005D7914"/>
    <w:rsid w:val="005F0B42"/>
    <w:rsid w:val="00681A10"/>
    <w:rsid w:val="006C2031"/>
    <w:rsid w:val="006D461A"/>
    <w:rsid w:val="006F35EE"/>
    <w:rsid w:val="007021FF"/>
    <w:rsid w:val="00712895"/>
    <w:rsid w:val="00757357"/>
    <w:rsid w:val="0078066C"/>
    <w:rsid w:val="008063C2"/>
    <w:rsid w:val="00825F8D"/>
    <w:rsid w:val="00834B71"/>
    <w:rsid w:val="0086445C"/>
    <w:rsid w:val="00894693"/>
    <w:rsid w:val="008A08D7"/>
    <w:rsid w:val="008B6909"/>
    <w:rsid w:val="00906890"/>
    <w:rsid w:val="00911BE4"/>
    <w:rsid w:val="00951972"/>
    <w:rsid w:val="009878F7"/>
    <w:rsid w:val="009E2B30"/>
    <w:rsid w:val="00A84021"/>
    <w:rsid w:val="00A917B3"/>
    <w:rsid w:val="00AB4B51"/>
    <w:rsid w:val="00B10CC7"/>
    <w:rsid w:val="00B539E7"/>
    <w:rsid w:val="00B62458"/>
    <w:rsid w:val="00B72EE5"/>
    <w:rsid w:val="00BB2BAE"/>
    <w:rsid w:val="00BD33EE"/>
    <w:rsid w:val="00C22231"/>
    <w:rsid w:val="00C60F0C"/>
    <w:rsid w:val="00C805C9"/>
    <w:rsid w:val="00C92939"/>
    <w:rsid w:val="00CA1679"/>
    <w:rsid w:val="00CE5A1A"/>
    <w:rsid w:val="00CF55F6"/>
    <w:rsid w:val="00CF6E5E"/>
    <w:rsid w:val="00D33D63"/>
    <w:rsid w:val="00D90138"/>
    <w:rsid w:val="00E20EBE"/>
    <w:rsid w:val="00E73F76"/>
    <w:rsid w:val="00EA2C9F"/>
    <w:rsid w:val="00EA5759"/>
    <w:rsid w:val="00ED0BDA"/>
    <w:rsid w:val="00EF1360"/>
    <w:rsid w:val="00EF3220"/>
    <w:rsid w:val="00F94155"/>
    <w:rsid w:val="00FA0B7B"/>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13</Pages>
  <Words>7228</Words>
  <Characters>39759</Characters>
  <Application>Microsoft Office Word</Application>
  <DocSecurity>4</DocSecurity>
  <Lines>331</Lines>
  <Paragraphs>93</Paragraphs>
  <ScaleCrop>false</ScaleCrop>
  <HeadingPairs>
    <vt:vector size="2" baseType="variant">
      <vt:variant>
        <vt:lpstr>Título</vt:lpstr>
      </vt:variant>
      <vt:variant>
        <vt:i4>1</vt:i4>
      </vt:variant>
    </vt:vector>
  </HeadingPairs>
  <TitlesOfParts>
    <vt:vector size="1" baseType="lpstr">
      <vt:lpstr>CT/C/SR.1039   -11-46950</vt:lpstr>
    </vt:vector>
  </TitlesOfParts>
  <Company/>
  <LinksUpToDate>false</LinksUpToDate>
  <CharactersWithSpaces>46894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CT/C/SR.1039   -11-46950</dc:title>
  <dc:subject>Final</dc:subject>
  <dc:creator>Romina Meriño MacKay</dc:creator>
  <cp:keywords/>
  <dc:description/>
  <cp:lastModifiedBy>María de la Plaza</cp:lastModifiedBy>
  <cp:revision>2</cp:revision>
  <cp:lastPrinted>2012-08-10T07:40:00Z</cp:lastPrinted>
  <dcterms:created xsi:type="dcterms:W3CDTF">2012-08-10T09:23:00Z</dcterms:created>
  <dcterms:modified xsi:type="dcterms:W3CDTF">2012-08-10T09:23:00Z</dcterms:modified>
</cp:coreProperties>
</file>