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3DFD212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79BB367" w14:textId="77777777" w:rsidR="002D5AAC" w:rsidRDefault="002D5AAC" w:rsidP="004103F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B3E610B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31DA8C2" w14:textId="32EBA1D0" w:rsidR="002D5AAC" w:rsidRDefault="004103F3" w:rsidP="004103F3">
            <w:pPr>
              <w:jc w:val="right"/>
            </w:pPr>
            <w:r w:rsidRPr="004103F3">
              <w:rPr>
                <w:sz w:val="40"/>
              </w:rPr>
              <w:t>E</w:t>
            </w:r>
            <w:r>
              <w:t>/C.12/AZE/CO/4</w:t>
            </w:r>
          </w:p>
        </w:tc>
      </w:tr>
      <w:tr w:rsidR="002D5AAC" w:rsidRPr="008821C3" w14:paraId="39402DF5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8AF432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F2AD524" wp14:editId="693F9F9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C72584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722964D" w14:textId="77777777" w:rsidR="002D5AAC" w:rsidRDefault="004103F3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BB63967" w14:textId="77777777" w:rsidR="004103F3" w:rsidRDefault="004103F3" w:rsidP="004103F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November 2021</w:t>
            </w:r>
          </w:p>
          <w:p w14:paraId="114C84A9" w14:textId="77777777" w:rsidR="004103F3" w:rsidRDefault="004103F3" w:rsidP="004103F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7F6FC76" w14:textId="2CF99CB5" w:rsidR="004103F3" w:rsidRPr="00D62A45" w:rsidRDefault="004103F3" w:rsidP="004103F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C0C1907" w14:textId="2CDF8F92" w:rsidR="004103F3" w:rsidRPr="00982BA0" w:rsidRDefault="004103F3" w:rsidP="004103F3">
      <w:pPr>
        <w:spacing w:before="120"/>
        <w:rPr>
          <w:b/>
          <w:bCs/>
          <w:sz w:val="24"/>
          <w:szCs w:val="24"/>
        </w:rPr>
      </w:pPr>
      <w:r w:rsidRPr="00982BA0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982BA0">
        <w:rPr>
          <w:b/>
          <w:bCs/>
          <w:sz w:val="24"/>
          <w:szCs w:val="24"/>
        </w:rPr>
        <w:t>и культурным правам</w:t>
      </w:r>
    </w:p>
    <w:p w14:paraId="3728F0AB" w14:textId="77777777" w:rsidR="004103F3" w:rsidRPr="003D2E94" w:rsidRDefault="004103F3" w:rsidP="004103F3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Азербайджана</w:t>
      </w:r>
      <w:r w:rsidRPr="008E5D5D">
        <w:rPr>
          <w:b w:val="0"/>
          <w:bCs/>
          <w:sz w:val="20"/>
          <w:szCs w:val="14"/>
        </w:rPr>
        <w:footnoteReference w:customMarkFollows="1" w:id="1"/>
        <w:t>*</w:t>
      </w:r>
    </w:p>
    <w:p w14:paraId="38A5A2C5" w14:textId="1731E609" w:rsidR="004103F3" w:rsidRPr="003D2E94" w:rsidRDefault="004103F3" w:rsidP="004103F3">
      <w:pPr>
        <w:pStyle w:val="SingleTxtG"/>
      </w:pPr>
      <w:r>
        <w:t>1.</w:t>
      </w:r>
      <w:r>
        <w:tab/>
        <w:t>Комитет рассмотрел четвертый периодический доклад Азербайджана</w:t>
      </w:r>
      <w:r w:rsidRPr="008E5D5D">
        <w:rPr>
          <w:rStyle w:val="a8"/>
        </w:rPr>
        <w:footnoteReference w:id="2"/>
      </w:r>
      <w:r>
        <w:t xml:space="preserve"> на своих 34-м и 36-м заседаниях</w:t>
      </w:r>
      <w:r w:rsidRPr="008E5D5D">
        <w:rPr>
          <w:rStyle w:val="a8"/>
        </w:rPr>
        <w:footnoteReference w:id="3"/>
      </w:r>
      <w:r>
        <w:t xml:space="preserve"> , проведенных в режиме онлайн 30 сентября и 1 октября 2021</w:t>
      </w:r>
      <w:r>
        <w:rPr>
          <w:lang w:val="en-US"/>
        </w:rPr>
        <w:t> </w:t>
      </w:r>
      <w:r>
        <w:t>года, и принял настоящие заключительные замечания на своем 57-м заседании, состоявшемся 15 октября 2021 года.</w:t>
      </w:r>
    </w:p>
    <w:p w14:paraId="45622074" w14:textId="77777777" w:rsidR="004103F3" w:rsidRPr="003D2E94" w:rsidRDefault="004103F3" w:rsidP="004103F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6083E784" w14:textId="77777777" w:rsidR="004103F3" w:rsidRPr="003D2E94" w:rsidRDefault="004103F3" w:rsidP="004103F3">
      <w:pPr>
        <w:pStyle w:val="SingleTxtG"/>
      </w:pPr>
      <w:r>
        <w:t>2.</w:t>
      </w:r>
      <w:r>
        <w:tab/>
        <w:t>Комитет приветствует представление четвертого периодического доклада государства-участника и дополнительную информацию, представленную в ответах на перечень вопросов</w:t>
      </w:r>
      <w:r w:rsidRPr="008E5D5D">
        <w:rPr>
          <w:rStyle w:val="a8"/>
        </w:rPr>
        <w:footnoteReference w:id="4"/>
      </w:r>
      <w:r>
        <w:t>. Он высоко оценивает конструктивный диалог, состоявшийся с межведомственной делегацией высокого уровня государства-участника.</w:t>
      </w:r>
    </w:p>
    <w:p w14:paraId="3F55A9F1" w14:textId="77777777" w:rsidR="004103F3" w:rsidRPr="003D2E94" w:rsidRDefault="004103F3" w:rsidP="004103F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5465471C" w14:textId="77777777" w:rsidR="004103F3" w:rsidRPr="003D2E94" w:rsidRDefault="004103F3" w:rsidP="004103F3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государством-участником для более активного осуществления экономических, социальных и культурных прав, о которых говорится в настоящих заключительных замечаниях. В частности, он приветствует принятие Закона от 31 мая 2018 года о правах лиц с инвалидностью, который поощряет экономические, социальные и культурные права лиц с инвалидностью.</w:t>
      </w:r>
    </w:p>
    <w:p w14:paraId="4C65DEBA" w14:textId="4973ED4E" w:rsidR="004103F3" w:rsidRPr="003D2E94" w:rsidRDefault="004103F3" w:rsidP="004103F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9839EA">
        <w:rPr>
          <w:bCs/>
          <w:lang w:val="en-US"/>
        </w:rPr>
        <w:t> </w:t>
      </w:r>
      <w:r>
        <w:rPr>
          <w:bCs/>
        </w:rPr>
        <w:t>рекомендации</w:t>
      </w:r>
    </w:p>
    <w:p w14:paraId="7B1E7270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</w:p>
    <w:p w14:paraId="5A192FF7" w14:textId="77777777" w:rsidR="004103F3" w:rsidRPr="003D2E94" w:rsidRDefault="004103F3" w:rsidP="004103F3">
      <w:pPr>
        <w:pStyle w:val="SingleTxtG"/>
      </w:pPr>
      <w:r>
        <w:t>4.</w:t>
      </w:r>
      <w:r>
        <w:tab/>
        <w:t>Комитет с удовлетворением отмечает приведенные государством-участником примеры дел, в которых национальные суды прямо ссылались на статьи Пакта. Вместе с тем Комитет выражает обеспокоенность относительно того, что на положения Пакта редко ссылаются в судах, несмотря на конституционные положения, подтверждающие его статус неотъемлемой части внутренней правовой системы государства-участника (ст. 2 (1)).</w:t>
      </w:r>
    </w:p>
    <w:p w14:paraId="13520B8C" w14:textId="77777777" w:rsidR="004103F3" w:rsidRPr="003D2E94" w:rsidRDefault="004103F3" w:rsidP="004103F3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 xml:space="preserve">Комитет рекомендует государству-участнику расширить </w:t>
      </w:r>
      <w:r w:rsidRPr="000B40B5">
        <w:rPr>
          <w:b/>
          <w:bCs/>
        </w:rPr>
        <w:t>подготовку</w:t>
      </w:r>
      <w:r w:rsidRPr="00B00545">
        <w:rPr>
          <w:b/>
          <w:bCs/>
        </w:rPr>
        <w:t xml:space="preserve"> судей, адвокатов и государственных должностных лиц по</w:t>
      </w:r>
      <w:r w:rsidRPr="001E4EF0">
        <w:rPr>
          <w:b/>
          <w:bCs/>
        </w:rPr>
        <w:t xml:space="preserve"> </w:t>
      </w:r>
      <w:r w:rsidRPr="0061779F">
        <w:rPr>
          <w:b/>
          <w:bCs/>
        </w:rPr>
        <w:t>закрепленны</w:t>
      </w:r>
      <w:r>
        <w:rPr>
          <w:b/>
          <w:bCs/>
        </w:rPr>
        <w:t>м</w:t>
      </w:r>
      <w:r w:rsidRPr="0061779F">
        <w:rPr>
          <w:b/>
          <w:bCs/>
        </w:rPr>
        <w:t xml:space="preserve"> в </w:t>
      </w:r>
      <w:r>
        <w:rPr>
          <w:b/>
          <w:bCs/>
        </w:rPr>
        <w:t>Пакте</w:t>
      </w:r>
      <w:r w:rsidRPr="0061779F">
        <w:rPr>
          <w:b/>
          <w:bCs/>
        </w:rPr>
        <w:t xml:space="preserve"> </w:t>
      </w:r>
      <w:r w:rsidRPr="0061779F">
        <w:rPr>
          <w:b/>
          <w:bCs/>
        </w:rPr>
        <w:lastRenderedPageBreak/>
        <w:t>прав</w:t>
      </w:r>
      <w:r>
        <w:rPr>
          <w:b/>
          <w:bCs/>
        </w:rPr>
        <w:t>ам</w:t>
      </w:r>
      <w:r w:rsidRPr="0061779F">
        <w:rPr>
          <w:b/>
          <w:bCs/>
        </w:rPr>
        <w:t xml:space="preserve"> и возможностям </w:t>
      </w:r>
      <w:r>
        <w:rPr>
          <w:b/>
          <w:bCs/>
        </w:rPr>
        <w:t xml:space="preserve">их </w:t>
      </w:r>
      <w:r w:rsidRPr="0061779F">
        <w:rPr>
          <w:b/>
          <w:bCs/>
        </w:rPr>
        <w:t>защиты в судебном порядке</w:t>
      </w:r>
      <w:r>
        <w:rPr>
          <w:b/>
          <w:bCs/>
        </w:rPr>
        <w:t>.</w:t>
      </w:r>
      <w:r>
        <w:t xml:space="preserve"> </w:t>
      </w:r>
      <w:r w:rsidRPr="0061779F">
        <w:rPr>
          <w:b/>
        </w:rPr>
        <w:t>Кроме того,</w:t>
      </w:r>
      <w:r>
        <w:t xml:space="preserve"> </w:t>
      </w:r>
      <w:r>
        <w:rPr>
          <w:b/>
          <w:bCs/>
        </w:rPr>
        <w:t>он обращает внимание государства-участника на замечание общего порядка № 9 (1998) Комитета о применении Пакта во внутреннем праве.</w:t>
      </w:r>
    </w:p>
    <w:p w14:paraId="4D91B427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Применение Пакта в контексте военных действий</w:t>
      </w:r>
    </w:p>
    <w:p w14:paraId="69B92225" w14:textId="7F63B29B" w:rsidR="004103F3" w:rsidRPr="003D2E94" w:rsidRDefault="004103F3" w:rsidP="004103F3">
      <w:pPr>
        <w:pStyle w:val="SingleTxtG"/>
      </w:pPr>
      <w:r>
        <w:t>6.</w:t>
      </w:r>
      <w:r>
        <w:tab/>
        <w:t xml:space="preserve">Комитет напоминает, что в условиях военных действий применимость международного гуманитарного права не исключает применения международного права прав человека, в том числе Пакта, который выполняет самостоятельную функцию. В этом отношении, принимая во внимание информацию, представленную делегацией государства-участника в ходе конструктивного диалога, Комитет выражает обеспокоенность по поводу воздействия на осуществление экономических, социальных и культурных прав военных действий, имевших место в Нагорном Карабахе и прилегающих районах с 27 сентября по 9 ноября 2020 года. В частности, Комитет принимает к сведению сообщения о нарушениях экономических, социальных и культурных прав в контексте военных действий с участием вооруженных сил государства-участника, включая повреждение и разрушение домов, больниц, школ, детских садов, исторических, культурных и религиозных зданий и памятников </w:t>
      </w:r>
      <w:r w:rsidR="009839EA">
        <w:br/>
      </w:r>
      <w:r>
        <w:t>(ст. 2, 11–13 и 15).</w:t>
      </w:r>
    </w:p>
    <w:p w14:paraId="7E5FC772" w14:textId="77777777" w:rsidR="004103F3" w:rsidRPr="003D2E94" w:rsidRDefault="004103F3" w:rsidP="004103F3">
      <w:pPr>
        <w:pStyle w:val="SingleTxtG"/>
        <w:rPr>
          <w:b/>
          <w:bCs/>
        </w:rPr>
      </w:pPr>
      <w:r w:rsidRPr="009839EA">
        <w:t>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B7350BB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 w:rsidRPr="00F53EFA">
        <w:rPr>
          <w:b/>
        </w:rPr>
        <w:t>пров</w:t>
      </w:r>
      <w:r>
        <w:rPr>
          <w:b/>
        </w:rPr>
        <w:t>ести</w:t>
      </w:r>
      <w:r>
        <w:t xml:space="preserve"> </w:t>
      </w:r>
      <w:r>
        <w:rPr>
          <w:b/>
          <w:bCs/>
        </w:rPr>
        <w:t>эффективные, оперативные, тщательные и беспристрастные расследования всех нарушений Пакта в контексте военных действий и обеспечить, чтобы лица, предположительно совершившие эти нарушения, включая тех, кто непосредственно их совершил, и тех, кто отдавал приказы, были привлечены к ответственности и, в случае признания их виновными, понесли надлежащее наказание;</w:t>
      </w:r>
    </w:p>
    <w:p w14:paraId="51ECFA90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обеспечить доступ к средствам правовой защиты для жертв нарушений экономических, социальных и культурных прав в контексте военных действий;</w:t>
      </w:r>
    </w:p>
    <w:p w14:paraId="0B553DFB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проводить систематическую подготовку личного состава своих вооруженных сил по обязательствам государства в области права прав человека и гуманитарного права, с тем чтобы обеспечить соблюдение принципов избирательности и соразмерности и запрещение нападений на гражданских лиц и гражданские объекты;</w:t>
      </w:r>
    </w:p>
    <w:p w14:paraId="60378D97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продолжать принимать меры по восстановлению недискриминационного доступа к достаточному жилищу, медицинскому обслуживанию, образованию и другим общественным услугам в районах, затронутых военными действиями, и активизировать усилия по восстановлению разрушенной инфраструктуры;</w:t>
      </w:r>
    </w:p>
    <w:p w14:paraId="4E3FB7AA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e)</w:t>
      </w:r>
      <w:r>
        <w:tab/>
      </w:r>
      <w:r>
        <w:rPr>
          <w:b/>
          <w:bCs/>
        </w:rPr>
        <w:t>принять, в консультации с затронутыми общинами, необходимые меры для восстановления поврежденных исторических, культурных и религиозных зданий и памятников и рассмотреть возможность обращения за техническими консультациями и помощью к Организации Объединенных Наций по вопросам образования, науки и культуры в этой связи.</w:t>
      </w:r>
    </w:p>
    <w:p w14:paraId="7D75DE7A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DE4F9D7" w14:textId="77777777" w:rsidR="004103F3" w:rsidRPr="003D2E94" w:rsidRDefault="004103F3" w:rsidP="004103F3">
      <w:pPr>
        <w:pStyle w:val="SingleTxtG"/>
      </w:pPr>
      <w:r>
        <w:t>8.</w:t>
      </w:r>
      <w:r>
        <w:tab/>
        <w:t>Комитет с обеспокоенностью отмечает, что в 2018 году Глобальный альянс национальных правозащитных учреждений понизил статус Комиссии по правам человека Азербайджана со статуса А до статуса В, представив при этом ряд рекомендаций по дальнейшему укреплению ее независимости и повышению эффективности функционирования. Комитет с обеспокоенностью отмечает, в частности, что процесс отбора и назначения уполномоченного по правам человека недостаточно прозрачен и не основан на широком участии (ст. 2 (1)).</w:t>
      </w:r>
    </w:p>
    <w:p w14:paraId="445168F9" w14:textId="77777777" w:rsidR="004103F3" w:rsidRPr="003D2E94" w:rsidRDefault="004103F3" w:rsidP="004103F3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Комитет рекомендует государству-участнику всесторонне укреплять независимость и повышать эффективность функционирования Комиссии по правам человека в соответствии с принципами, касающимися статуса </w:t>
      </w:r>
      <w:r>
        <w:rPr>
          <w:b/>
          <w:bCs/>
        </w:rPr>
        <w:lastRenderedPageBreak/>
        <w:t>национальных учреждений, занимающихся поощрением и защитой прав человека (Парижскими принципами), в том числе посредством выполнения в полном объеме рекомендаций Глобального альянса национальных правозащитных учреждений.</w:t>
      </w:r>
    </w:p>
    <w:p w14:paraId="0234F752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Гражданское общество</w:t>
      </w:r>
    </w:p>
    <w:p w14:paraId="4500B69E" w14:textId="77777777" w:rsidR="004103F3" w:rsidRPr="003D2E94" w:rsidRDefault="004103F3" w:rsidP="004103F3">
      <w:pPr>
        <w:pStyle w:val="SingleTxtG"/>
      </w:pPr>
      <w:r>
        <w:t>10.</w:t>
      </w:r>
      <w:r>
        <w:tab/>
        <w:t>Что касается Закона о неправительственных организациях, Закона о государственной регистрации и государственном реестре юридических лиц и Закона о гранте, Комитет обеспокоен тем, что чрезмерные ограничения в отношении регистрации неправительственных организаций и их доступа к грантам, предусмотренные как в законодательстве, так и на практике, препятствуют деятельности таких организаций по защите и поощрению всех прав человека, включая, в частности, экономические, социальные и культурные права, предусмотренные Пактом (ст. 2 (1)).</w:t>
      </w:r>
    </w:p>
    <w:p w14:paraId="476A9D39" w14:textId="77777777" w:rsidR="004103F3" w:rsidRPr="003D2E94" w:rsidRDefault="004103F3" w:rsidP="004103F3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отменить любые законодательные положения, необоснованно ограничивающие деятельность неправительственных организаций, в том числе касающиеся их регистрации и доступа к грантам.</w:t>
      </w:r>
      <w:r>
        <w:t xml:space="preserve"> </w:t>
      </w:r>
      <w:r>
        <w:rPr>
          <w:b/>
          <w:bCs/>
        </w:rPr>
        <w:t>Кроме того, он рекомендует государству-участнику обеспечить благоприятные условия для неправительственных организаций, занимающихся поощрением и защитой экономических, социальных и культурных прав.</w:t>
      </w:r>
    </w:p>
    <w:p w14:paraId="601E6BAC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0A1588C5" w14:textId="104EE878" w:rsidR="004103F3" w:rsidRPr="003D2E94" w:rsidRDefault="004103F3" w:rsidP="004103F3">
      <w:pPr>
        <w:pStyle w:val="SingleTxtG"/>
      </w:pPr>
      <w:r>
        <w:t>12.</w:t>
      </w:r>
      <w:r>
        <w:tab/>
        <w:t>Комитет приветствует представленную делегацией государства-участника информацию относительно его антикоррупционной правовой и институциональной базы и вместе с тем выражает обеспокоенность в связи с ограничениями в ее применении, включая недостатки</w:t>
      </w:r>
      <w:r w:rsidRPr="00B00545">
        <w:t xml:space="preserve"> </w:t>
      </w:r>
      <w:r>
        <w:t>в сфере эффективного расследования, судебного преследования и вынесения судебных решений по делам о коррупции на высоком уровне. Он особенно обеспокоен распространенностью коррупции, несмотря на предпринимаемые государством-участником усилия, в судебной системе, правоохранительных органах, государственных службах, системе управления земельными ресурсами, налогового управления, государственных закупок и добывающем секторе, что оказывает серьезное воздействие на осуществление экономических, социальных и культурных прав (ст. 2 (1)).</w:t>
      </w:r>
    </w:p>
    <w:p w14:paraId="772C9487" w14:textId="77777777" w:rsidR="004103F3" w:rsidRPr="003D2E94" w:rsidRDefault="004103F3" w:rsidP="004103F3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44AEA45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>принять соответствующие меры для обеспечения независимости и беспристрастности судебной системы и укрепить потенциал Управления по борьбе с коррупцией при Генеральном прокуроре и правоохранительных органов для борьбы с коррупцией во всех секторах, в том числе путем организации подготовки сотрудников без отрыва от работы и предоставления адекватных ресурсов;</w:t>
      </w:r>
    </w:p>
    <w:p w14:paraId="490A09D8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обеспечить независимое и беспристрастное расследование всех коррупционных деяний, привлечение виновных к ответственности и надлежащее наказание в случае признания их виновными;</w:t>
      </w:r>
    </w:p>
    <w:p w14:paraId="212886D3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принять необходимые меры для обеспечения прозрачного управления природными ресурсами при участии гражданского общества.</w:t>
      </w:r>
    </w:p>
    <w:p w14:paraId="2AC920F3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0101CB05" w14:textId="77777777" w:rsidR="004103F3" w:rsidRPr="003D2E94" w:rsidRDefault="004103F3" w:rsidP="004103F3">
      <w:pPr>
        <w:pStyle w:val="SingleTxtG"/>
      </w:pPr>
      <w:r>
        <w:t>14.</w:t>
      </w:r>
      <w:r>
        <w:tab/>
        <w:t>Комитет обеспокоен отсутствием юридических обязательств предприятий, находящихся под юрисдикцией государства-участника, проявлять должную осмотрительность в вопросах прав человека. В этой связи он с обеспокоенностью отмечает отсутствие, по имеющимся данным, достаточной оценки воздействия на права человека хозяйственной деятельности, осуществляемой Государственной нефтяной компанией Азербайджанской Республики (ГНКАР), а также транснациональными нефтегазовыми корпорациями, действующими в государстве-</w:t>
      </w:r>
      <w:r>
        <w:lastRenderedPageBreak/>
        <w:t>участнике. Комитет особенно обеспокоен тем, что жители деревень, расположенных вблизи мест разведки нефти и газа, подвергаются негативному воздействию ввиду растущего уровня загрязнения почвы, воздуха и воды, что серьезно влияет на осуществление ими экономических, социальных и культурных прав (ст. 2 (1)).</w:t>
      </w:r>
    </w:p>
    <w:p w14:paraId="3CD62FE5" w14:textId="77777777" w:rsidR="004103F3" w:rsidRPr="003D2E94" w:rsidRDefault="004103F3" w:rsidP="004103F3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F83D0E" w14:textId="3A24EECF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 xml:space="preserve">принять </w:t>
      </w:r>
      <w:r w:rsidRPr="00FF749C">
        <w:rPr>
          <w:b/>
          <w:bCs/>
          <w:color w:val="000000" w:themeColor="text1"/>
        </w:rPr>
        <w:t>нормативн</w:t>
      </w:r>
      <w:r w:rsidR="00FF749C" w:rsidRPr="00FF749C">
        <w:rPr>
          <w:b/>
          <w:bCs/>
          <w:color w:val="000000" w:themeColor="text1"/>
        </w:rPr>
        <w:t>ую</w:t>
      </w:r>
      <w:r w:rsidRPr="00E168FD">
        <w:rPr>
          <w:b/>
          <w:bCs/>
          <w:color w:val="000000" w:themeColor="text1"/>
        </w:rPr>
        <w:t xml:space="preserve"> </w:t>
      </w:r>
      <w:r>
        <w:rPr>
          <w:b/>
          <w:bCs/>
        </w:rPr>
        <w:t>базу, требующую от предприятий проявлять должную осмотрительность в вопросах прав человека в рамках своей хозяйственной деятельности в стране и за рубежом;</w:t>
      </w:r>
    </w:p>
    <w:p w14:paraId="714B37B8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обеспечить, чтобы предприятия, действующие в государстве-участнике, и предприятия, находящиеся под его юрисдикцией и действующие за рубежом, независимо от того, находятся ли они в частной или государственной собственности, привлекались к ответственности за нарушения экономических, социальных и культурных прав, за осуществление которых они несут ответственность, и чтобы жертвы таких нарушений имели доступ к эффективным средствам правовой защиты;</w:t>
      </w:r>
    </w:p>
    <w:p w14:paraId="6DA594F0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активизировать усилия по обеспечению качества почвы, воздуха и источников воды и их защите от загрязнения в результате хозяйственной деятельности, в том числе путем установления ответственности предприятий и отдельных лиц, участвующих в деятельности по добыче нефти и газа, которая приводит к такому загрязнению;</w:t>
      </w:r>
    </w:p>
    <w:p w14:paraId="044FA836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руководствоваться замечанием общего порядка № 24 (2017) Комитета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7EF4DE2E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12FC7E41" w14:textId="69149647" w:rsidR="004103F3" w:rsidRPr="003D2E94" w:rsidRDefault="004103F3" w:rsidP="004103F3">
      <w:pPr>
        <w:pStyle w:val="SingleTxtG"/>
      </w:pPr>
      <w:r>
        <w:t>16.</w:t>
      </w:r>
      <w:r>
        <w:tab/>
        <w:t>Комитет приветствует усилия государства-участника по диверсификации экономики и повышению объема инвестиций в возобновляемые источники энергии и вместе с тем отмечает, что на нефть и газ приходится 90 процентов доходов от экспорта государства-участника и 98 процентов его собственных потребностей в энергии. В этой связи Комитет с обеспокоенностью отмечает, что меры по смягчению последствий изменения климата, принятые или запланированные государством-участником, являются недостаточными и что государство-участник отстает от графика достижения</w:t>
      </w:r>
      <w:r w:rsidRPr="00E22C3F">
        <w:t xml:space="preserve"> </w:t>
      </w:r>
      <w:r w:rsidRPr="00B00545">
        <w:t>своих определяемых на национальном уровне вкладов</w:t>
      </w:r>
      <w:r>
        <w:t xml:space="preserve"> в соответствии с Парижским соглашением и</w:t>
      </w:r>
      <w:r w:rsidRPr="00E22C3F">
        <w:t xml:space="preserve"> </w:t>
      </w:r>
      <w:r w:rsidRPr="0006051A">
        <w:t>свои</w:t>
      </w:r>
      <w:r>
        <w:t>х</w:t>
      </w:r>
      <w:r w:rsidRPr="00E22C3F">
        <w:t xml:space="preserve"> </w:t>
      </w:r>
      <w:r>
        <w:t>целевых показателей по сокращению выбросов парниковых газов (ст. 2 (1)).</w:t>
      </w:r>
    </w:p>
    <w:p w14:paraId="7B843AAF" w14:textId="1112AA86" w:rsidR="004103F3" w:rsidRPr="003D2E94" w:rsidRDefault="004103F3" w:rsidP="004103F3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достижению своих определяемых на национальном уровне вкладов </w:t>
      </w:r>
      <w:r w:rsidRPr="00B00545">
        <w:rPr>
          <w:b/>
          <w:bCs/>
        </w:rPr>
        <w:t>в соответствии с Парижским соглашением</w:t>
      </w:r>
      <w:r w:rsidRPr="00E22C3F">
        <w:rPr>
          <w:b/>
          <w:bCs/>
        </w:rPr>
        <w:t xml:space="preserve"> </w:t>
      </w:r>
      <w:r>
        <w:rPr>
          <w:b/>
          <w:bCs/>
        </w:rPr>
        <w:t>и сокращению выбросов парниковых газов, в частности путем внедрения альтернативных и возобновляемых источников энергии и соблюдения своих правозащитных обязательств в рамках своей политики в области эксплуатации и экспорта природных ресурсов.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об изменении климата и Пакте</w:t>
      </w:r>
      <w:r w:rsidRPr="008E5D5D">
        <w:rPr>
          <w:rStyle w:val="a8"/>
          <w:bCs/>
        </w:rPr>
        <w:footnoteReference w:id="5"/>
      </w:r>
      <w:r>
        <w:rPr>
          <w:b/>
          <w:bCs/>
        </w:rPr>
        <w:t>, принято</w:t>
      </w:r>
      <w:r w:rsidR="001940E0">
        <w:rPr>
          <w:b/>
          <w:bCs/>
        </w:rPr>
        <w:t>е</w:t>
      </w:r>
      <w:r>
        <w:rPr>
          <w:b/>
          <w:bCs/>
        </w:rPr>
        <w:t xml:space="preserve"> 8 октября 2018 года.</w:t>
      </w:r>
    </w:p>
    <w:p w14:paraId="1ACC38D3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7ACA3D6" w14:textId="77777777" w:rsidR="004103F3" w:rsidRPr="003D2E94" w:rsidRDefault="004103F3" w:rsidP="004103F3">
      <w:pPr>
        <w:pStyle w:val="SingleTxtG"/>
      </w:pPr>
      <w:r>
        <w:t>18.</w:t>
      </w:r>
      <w:r>
        <w:tab/>
        <w:t>Комитет обеспокоен тем, что:</w:t>
      </w:r>
    </w:p>
    <w:p w14:paraId="25161087" w14:textId="39CF4819" w:rsidR="004103F3" w:rsidRPr="003D2E94" w:rsidRDefault="004103F3" w:rsidP="004103F3">
      <w:pPr>
        <w:pStyle w:val="SingleTxtG"/>
      </w:pPr>
      <w:r>
        <w:tab/>
        <w:t>a)</w:t>
      </w:r>
      <w:r>
        <w:tab/>
        <w:t xml:space="preserve">несмотря на то, что в </w:t>
      </w:r>
      <w:r w:rsidR="001940E0">
        <w:t>К</w:t>
      </w:r>
      <w:r>
        <w:t>онституции и законодательстве государства-участника содержатся положения о борьбе с дискриминацией, всеобъемлющего антидискриминационного законодательства и политики не существует;</w:t>
      </w:r>
    </w:p>
    <w:p w14:paraId="5A84BEF8" w14:textId="0B7B063A" w:rsidR="004103F3" w:rsidRPr="003D2E94" w:rsidRDefault="004103F3" w:rsidP="004103F3">
      <w:pPr>
        <w:pStyle w:val="SingleTxtG"/>
      </w:pPr>
      <w:r>
        <w:tab/>
        <w:t>b)</w:t>
      </w:r>
      <w:r>
        <w:tab/>
        <w:t>большое число внутренне перемещенных лиц продолжа</w:t>
      </w:r>
      <w:r w:rsidR="001940E0">
        <w:t>ю</w:t>
      </w:r>
      <w:r>
        <w:t xml:space="preserve">т жить в бедности, несмотря на усилия государства-участника по улучшению условий их </w:t>
      </w:r>
      <w:r>
        <w:lastRenderedPageBreak/>
        <w:t>жизни, а их доступ к достаточному жилищу, легальной занятости, образованию и здравоохранению ограничен;</w:t>
      </w:r>
    </w:p>
    <w:p w14:paraId="319F0537" w14:textId="77777777" w:rsidR="004103F3" w:rsidRPr="003D2E94" w:rsidRDefault="004103F3" w:rsidP="004103F3">
      <w:pPr>
        <w:pStyle w:val="SingleTxtG"/>
      </w:pPr>
      <w:r>
        <w:tab/>
        <w:t>c)</w:t>
      </w:r>
      <w:r>
        <w:tab/>
        <w:t>принимая к сведению объяснение делегации государства-участника о том, что в его законодательстве нет положений, напрямую дискриминирующих лесбиянок, геев, бисексуальных, трансгендерных и интерсекс-людей, широко распространенная дискриминация на практике, стигматизация и негативные стереотипы препятствуют их доступу к экономическим, социальным и культурным правам;</w:t>
      </w:r>
    </w:p>
    <w:p w14:paraId="3C97CFA5" w14:textId="77777777" w:rsidR="004103F3" w:rsidRPr="003D2E94" w:rsidRDefault="004103F3" w:rsidP="004103F3">
      <w:pPr>
        <w:pStyle w:val="SingleTxtG"/>
      </w:pPr>
      <w:r>
        <w:tab/>
        <w:t>d)</w:t>
      </w:r>
      <w:r>
        <w:tab/>
        <w:t>отсутствие юридического признания гендерной идентичности трансгендерных людей является препятствием для их эффективного доступа к занятости, образованию и медицинским услугам (ст. 2 (2)).</w:t>
      </w:r>
    </w:p>
    <w:p w14:paraId="2705BD6B" w14:textId="77777777" w:rsidR="004103F3" w:rsidRPr="003D2E94" w:rsidRDefault="004103F3" w:rsidP="004103F3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40687F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>принять всеобъемлющее антидискриминационное законодательство и политику, направленные на обеспечение равенства и борьбу с прямыми, косвенными, множественными и перекрестными формами дискриминации по любому признаку, включая, в частности, гендерную идентичность, сексуальную ориентацию, место жительства или удостоверяющие личность документы;</w:t>
      </w:r>
    </w:p>
    <w:p w14:paraId="1BF59393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по обеспечению недискриминационного доступа к достаточному жилищу, занятости, образованию и здравоохранению для находящихся в неблагоприятном положении и маргинализированных лиц и групп, включая внутренне перемещенных лиц;</w:t>
      </w:r>
    </w:p>
    <w:p w14:paraId="372B3429" w14:textId="77777777" w:rsidR="004103F3" w:rsidRPr="00E22C3F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 xml:space="preserve">принять все необходимые меры для искоренения негативных стереотипов и стигматизации лесбиянок, геев, </w:t>
      </w:r>
      <w:r w:rsidRPr="00EA322A">
        <w:rPr>
          <w:b/>
          <w:bCs/>
        </w:rPr>
        <w:t>бисексуальных, трансгендерных и интерсекс-людей</w:t>
      </w:r>
      <w:r>
        <w:rPr>
          <w:b/>
          <w:bCs/>
        </w:rPr>
        <w:t>, в том числе путем проведения информационно-просветительских кампаний среди населения, медицинского персонала, учителей, социальных работников, сотрудников правоохранительных органов и других государственных служащих;</w:t>
      </w:r>
    </w:p>
    <w:p w14:paraId="0F7CE6DC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ввести эффективную процедуру юридического признания гендерной идентичности, независимо от того, была ли проведена операция по изменению пола, чтобы облегчить трансгендерным людям равное пользование правами, закрепленными в Пакте.</w:t>
      </w:r>
    </w:p>
    <w:p w14:paraId="45B130DB" w14:textId="77777777" w:rsidR="004103F3" w:rsidRPr="003D2E94" w:rsidRDefault="004103F3" w:rsidP="004103F3">
      <w:pPr>
        <w:pStyle w:val="H23G"/>
      </w:pPr>
      <w:r>
        <w:tab/>
      </w:r>
      <w:r>
        <w:tab/>
      </w:r>
      <w:r w:rsidRPr="007C0F0A">
        <w:rPr>
          <w:bCs/>
          <w:color w:val="000000" w:themeColor="text1"/>
        </w:rPr>
        <w:t>Равенство п</w:t>
      </w:r>
      <w:r>
        <w:rPr>
          <w:bCs/>
        </w:rPr>
        <w:t>рав мужчин и женщин</w:t>
      </w:r>
    </w:p>
    <w:p w14:paraId="39AC1E78" w14:textId="77777777" w:rsidR="004103F3" w:rsidRPr="003D2E94" w:rsidRDefault="004103F3" w:rsidP="004103F3">
      <w:pPr>
        <w:pStyle w:val="SingleTxtG"/>
      </w:pPr>
      <w:r>
        <w:t>20.</w:t>
      </w:r>
      <w:r>
        <w:tab/>
        <w:t>Отмечая усилия государства-участника по разработке политической основы для продвижения гендерного равенства, Комитет, тем не менее, обеспокоен тем, что:</w:t>
      </w:r>
    </w:p>
    <w:p w14:paraId="1B19C46D" w14:textId="77777777" w:rsidR="004103F3" w:rsidRPr="003D2E94" w:rsidRDefault="004103F3" w:rsidP="004103F3">
      <w:pPr>
        <w:pStyle w:val="SingleTxtG"/>
      </w:pPr>
      <w:r>
        <w:tab/>
        <w:t>a)</w:t>
      </w:r>
      <w:r>
        <w:tab/>
        <w:t>до сих пор существует ряд профессий, которыми женщинам на законодательном уровне запрещено заниматься, а их доступ к экономическим возможностям еще более ограничен из-за традиционных представлений о гендерных ролях в семье и обществе, особенно в сельских районах;</w:t>
      </w:r>
    </w:p>
    <w:p w14:paraId="4691537A" w14:textId="77777777" w:rsidR="004103F3" w:rsidRPr="003D2E94" w:rsidRDefault="004103F3" w:rsidP="004103F3">
      <w:pPr>
        <w:pStyle w:val="SingleTxtG"/>
      </w:pPr>
      <w:r>
        <w:tab/>
        <w:t>b)</w:t>
      </w:r>
      <w:r>
        <w:tab/>
        <w:t>женщины все еще недостаточно представлены на старших и руководящих должностях как в частном, так и в государственном секторах;</w:t>
      </w:r>
    </w:p>
    <w:p w14:paraId="503C4CE8" w14:textId="77777777" w:rsidR="004103F3" w:rsidRPr="003D2E94" w:rsidRDefault="004103F3" w:rsidP="004103F3">
      <w:pPr>
        <w:pStyle w:val="SingleTxtG"/>
      </w:pPr>
      <w:r>
        <w:tab/>
        <w:t>c)</w:t>
      </w:r>
      <w:r>
        <w:tab/>
        <w:t>гендерный разрыв в оплате труда остается высоким, и средняя заработная плата женщин составляет лишь половину от заработной платы мужчин;</w:t>
      </w:r>
    </w:p>
    <w:p w14:paraId="345F351A" w14:textId="77777777" w:rsidR="004103F3" w:rsidRPr="003D2E94" w:rsidRDefault="004103F3" w:rsidP="004103F3">
      <w:pPr>
        <w:pStyle w:val="SingleTxtG"/>
      </w:pPr>
      <w:r>
        <w:tab/>
        <w:t>d)</w:t>
      </w:r>
      <w:r>
        <w:tab/>
        <w:t xml:space="preserve">неравное распределение неоплачиваемых домашних обязанностей и обязанностей по уходу между мужчинами и женщинами остается существенным препятствием на пути к гендерному равенству и еще более усугубляется пагубным воздействием пандемии коронавирусной инфекции (COVID-19) на социально-экономические права женщин (ст. 3). </w:t>
      </w:r>
    </w:p>
    <w:p w14:paraId="4384F199" w14:textId="77777777" w:rsidR="004103F3" w:rsidRPr="003D2E94" w:rsidRDefault="004103F3" w:rsidP="004103F3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355B8A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 xml:space="preserve">как можно скорее отменить дискриминационные законы, чтобы обеспечить женщинам доступ к занятости во всех профессиях наравне с мужчинами, и принять конкретные меры по борьбе с традиционными </w:t>
      </w:r>
      <w:r>
        <w:rPr>
          <w:b/>
          <w:bCs/>
        </w:rPr>
        <w:lastRenderedPageBreak/>
        <w:t>представлениями о гендерных ролях в семье и обществе в целях содействия равенству возможностей в сфере занятости;</w:t>
      </w:r>
    </w:p>
    <w:p w14:paraId="4005989F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продолжать содействовать большей представленности женщин на всех уровнях государственной администрации, особенно на руководящих должностях, и поощрять их участие в принятии управленческих решений в частном секторе;</w:t>
      </w:r>
    </w:p>
    <w:p w14:paraId="31BCDD49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принять эффективные меры для ликвидации гендерного разрыва в оплате труда, в том числе путем устранения структурных причин, ведущих к тому, что женщины занимают низкооплачиваемые должности и сталкиваются с препятствиями, не позволяющими им иметь равные с мужчинами возможности карьерного роста;</w:t>
      </w:r>
    </w:p>
    <w:p w14:paraId="358204F9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разработать политику по уменьшению бремени неоплачиваемого домашнего труда и работы по уходу, которые приходится выполнять женщинам, путем содействия распределению семейных обязанностей между мужчинами и женщинами и проведения информационно-просветительских кампаний по борьбе с гендерными стереотипами в семье и в обществе;</w:t>
      </w:r>
    </w:p>
    <w:p w14:paraId="58059AEC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e)</w:t>
      </w:r>
      <w:r>
        <w:tab/>
      </w:r>
      <w:r>
        <w:rPr>
          <w:b/>
          <w:bCs/>
        </w:rPr>
        <w:t>руководствоваться его замечанием общего порядка № 16 (2005) о равном для мужчин и женщин праве пользования всеми экономическими, социальными и культурными правами.</w:t>
      </w:r>
    </w:p>
    <w:p w14:paraId="6A154119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Безработица</w:t>
      </w:r>
    </w:p>
    <w:p w14:paraId="4C6F5577" w14:textId="03A39047" w:rsidR="004103F3" w:rsidRPr="003D2E94" w:rsidRDefault="004103F3" w:rsidP="004103F3">
      <w:pPr>
        <w:pStyle w:val="SingleTxtG"/>
      </w:pPr>
      <w:r>
        <w:t>22.</w:t>
      </w:r>
      <w:r>
        <w:tab/>
        <w:t xml:space="preserve">Отмечая усилия государства-участника по содействию занятости, Комитет </w:t>
      </w:r>
      <w:r w:rsidR="007C0F0A">
        <w:br/>
      </w:r>
      <w:r>
        <w:t xml:space="preserve">по-прежнему обеспокоен высокими уровнями безработицы и неполной занятости, которые несоразмерно затрагивают женщин, молодежь, лиц с инвалидностью и внутренне перемещенных лиц. Кроме того, Комитет отмечает недостатки в сборе данных о занятости, и, соответственно, тот факт, что имеющиеся данные о занятости могут не полностью отражать масштабы неполной занятости и безработицы в государстве-участнике (ст. 6). </w:t>
      </w:r>
    </w:p>
    <w:p w14:paraId="662E99F5" w14:textId="77777777" w:rsidR="004103F3" w:rsidRPr="003D2E94" w:rsidRDefault="004103F3" w:rsidP="004103F3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в консультации с социальными партнерами:</w:t>
      </w:r>
    </w:p>
    <w:p w14:paraId="24D54324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 xml:space="preserve">активизировать усилия по снижению уровня безработицы и неполной занятости и обеспечить, чтобы его политика и стратегии в области занятости </w:t>
      </w:r>
      <w:r>
        <w:rPr>
          <w:b/>
          <w:bCs/>
          <w:iCs/>
        </w:rPr>
        <w:t xml:space="preserve">были направлены на устранение </w:t>
      </w:r>
      <w:r>
        <w:rPr>
          <w:b/>
          <w:bCs/>
        </w:rPr>
        <w:t>основных причин безработицы и неполной занятости в государстве-участнике, в частности среди женщин, молодежи, лиц с инвалидностью и внутренне перемещенных лиц;</w:t>
      </w:r>
    </w:p>
    <w:p w14:paraId="247D8E94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продолжать усилия по организации разнообразной профессионально-технической подготовки в целях содействия приобретению навыков, требующихся на рынке труда;</w:t>
      </w:r>
    </w:p>
    <w:p w14:paraId="7FD376B7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совершенствовать систему сбора дезагрегированных данных о занятости, неполной занятости и безработице и представить в своем следующем периодическом докладе обновленные данные в разбивке по полу, возрасту, географическому району, инвалидности, этническому происхождению, месту жительства или статусу согласно документам, а также любым другим параметрам, необходимым для оценки прогресса, достигнутого в реализации права на труд.</w:t>
      </w:r>
    </w:p>
    <w:p w14:paraId="6E7E3819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Неформальный сектор экономики</w:t>
      </w:r>
    </w:p>
    <w:p w14:paraId="7B3B0D64" w14:textId="77777777" w:rsidR="004103F3" w:rsidRPr="003D2E94" w:rsidRDefault="004103F3" w:rsidP="004103F3">
      <w:pPr>
        <w:pStyle w:val="SingleTxtG"/>
      </w:pPr>
      <w:r>
        <w:t>24.</w:t>
      </w:r>
      <w:r>
        <w:tab/>
        <w:t>Отмечая усилия государства-участника по обеспечению перехода от неформальной к формальной экономике, Комитет по-прежнему обеспокоен большим числом работников, занятых в неформальном секторе экономики, особенно в сферах сельского хозяйства, строительства и работы по дому, и тем, что эти работники недостаточно защищены законами о труде и социальной защите, в том числе в плане минимальной заработной платы, безопасности и гигиены труда, а также защиты от экономической эксплуатации (ст. 6–7 и 9).</w:t>
      </w:r>
    </w:p>
    <w:p w14:paraId="237DAE57" w14:textId="77777777" w:rsidR="004103F3" w:rsidRPr="003D2E94" w:rsidRDefault="004103F3" w:rsidP="004103F3">
      <w:pPr>
        <w:pStyle w:val="SingleTxtG"/>
        <w:rPr>
          <w:b/>
          <w:bCs/>
        </w:rPr>
      </w:pPr>
      <w:r>
        <w:lastRenderedPageBreak/>
        <w:t>25.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постепенному привлечению работников в формальный сектор и обеспечению того, чтобы на них распространялось трудовое законодательство, они имели доступ к социальной защите и могли подавать жалобы.</w:t>
      </w:r>
      <w:r>
        <w:t xml:space="preserve"> </w:t>
      </w:r>
      <w:r w:rsidRPr="004F668A">
        <w:rPr>
          <w:b/>
        </w:rPr>
        <w:t>Кроме того,</w:t>
      </w:r>
      <w:r>
        <w:t xml:space="preserve"> </w:t>
      </w:r>
      <w:r>
        <w:rPr>
          <w:b/>
          <w:bCs/>
        </w:rPr>
        <w:t>он рекомендует государству-участнику обеспечить проведение трудовых инспекций и предоставление услуг в области безопасности и гигиены труда также в неформальном секторе экономики.</w:t>
      </w:r>
    </w:p>
    <w:p w14:paraId="27960092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Минимальная заработная плата</w:t>
      </w:r>
    </w:p>
    <w:p w14:paraId="40A0A706" w14:textId="61718ED0" w:rsidR="004103F3" w:rsidRPr="003D2E94" w:rsidRDefault="004103F3" w:rsidP="004103F3">
      <w:pPr>
        <w:pStyle w:val="SingleTxtG"/>
      </w:pPr>
      <w:r>
        <w:t>26.</w:t>
      </w:r>
      <w:r>
        <w:tab/>
        <w:t>Принимая к сведению информацию, представленную делегацией государства-участника, о том, что минимальная заработная плата была увеличена в 2019 году до уровня, превышающего прожиточный минимум, Комитет сожалеет об отсутствии информации о том, позволяет ли минимальная заработная плата обеспечить работникам и их семьям достойный уровень жизни, а также о мерах, принятых с целью обеспечить выплату минимальной заработной платы во всех секторах экономики (ст.</w:t>
      </w:r>
      <w:r>
        <w:rPr>
          <w:lang w:val="en-US"/>
        </w:rPr>
        <w:t> </w:t>
      </w:r>
      <w:r>
        <w:t>7).</w:t>
      </w:r>
    </w:p>
    <w:p w14:paraId="6E345DAE" w14:textId="77777777" w:rsidR="004103F3" w:rsidRPr="003D2E94" w:rsidRDefault="004103F3" w:rsidP="004103F3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того, чтобы национальная минимальная заработная плата распространялась на всех трудящихся во всех секторах и отраслях экономики.</w:t>
      </w:r>
      <w:r>
        <w:t xml:space="preserve"> </w:t>
      </w:r>
      <w:r>
        <w:rPr>
          <w:b/>
          <w:bCs/>
        </w:rPr>
        <w:t>Кроме того, он рекомендует государству-участнику в консультации с социальными партнерами обеспечить периодический пересмотр размера минимальной заработной платы с целью ее индексации с учетом стоимости жизни и гарантировать трудящимся и их семьям достойный уровень жизни.</w:t>
      </w:r>
    </w:p>
    <w:p w14:paraId="69FAC782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54C4A443" w14:textId="77777777" w:rsidR="004103F3" w:rsidRPr="003D2E94" w:rsidRDefault="004103F3" w:rsidP="004103F3">
      <w:pPr>
        <w:pStyle w:val="SingleTxtG"/>
      </w:pPr>
      <w:r>
        <w:t>28.</w:t>
      </w:r>
      <w:r>
        <w:tab/>
        <w:t>Комитет обеспокоен распространенными нарушениями трудовых прав, особенно прав трудящихся-мигрантов, в сельском хозяйстве, строительстве и нефтегазовом секторе, включая невыплату или неполную выплату заработной платы, дискриминацию в оплате труда, а также случаи смерти и травматизма на рабочем месте. Он также обеспокоен тем, что, несмотря на сообщения о нарушениях трудовых прав во многих секторах экономики, проведение трудовых инспекций было приостановлено после принятия Закона от 20 октября 2015 года о приостановлении проверок в сфере предпринимательства (ст. 7).</w:t>
      </w:r>
    </w:p>
    <w:p w14:paraId="16DE769C" w14:textId="77777777" w:rsidR="004103F3" w:rsidRPr="003D2E94" w:rsidRDefault="004103F3" w:rsidP="004103F3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принять</w:t>
      </w:r>
      <w:r w:rsidRPr="00A277BF">
        <w:rPr>
          <w:b/>
          <w:bCs/>
        </w:rPr>
        <w:t xml:space="preserve"> </w:t>
      </w:r>
      <w:r>
        <w:rPr>
          <w:b/>
          <w:bCs/>
        </w:rPr>
        <w:t>следующие меры:</w:t>
      </w:r>
    </w:p>
    <w:p w14:paraId="6F78F119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>обеспечить, чтобы все трудящиеся, в частности трудящиеся-мигранты, пользовались справедливыми и благоприятными условиями труда без дискриминации и были защищены от производственных травм и несчастных случаев, эксплуатации и злоупотреблений;</w:t>
      </w:r>
    </w:p>
    <w:p w14:paraId="0DC62F4A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отменить Закон от 20 октября 2015 года о приостановлении проверок в сфере предпринимательства, а также обеспечить функционирование механизмов трудовой инспекции и контроль трудовыми инспекторами условий труда, особенно в сельском хозяйстве, строительстве и нефтегазовом секторе, в целях обеспечения полного соблюдения стандартов в сфере занятости;</w:t>
      </w:r>
    </w:p>
    <w:p w14:paraId="0710F03F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предоставить доступ к эффективным средствам правовой защиты всем жертвам нарушений трудовых прав, и обеспечить компенсацию и гарантии неповторения таких нарушений;</w:t>
      </w:r>
    </w:p>
    <w:p w14:paraId="2FDD4381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руководствоваться его замечанием общего порядка № 23 (2016) о праве на справедливые и благоприятные условия труда.</w:t>
      </w:r>
    </w:p>
    <w:p w14:paraId="5673828E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2864617F" w14:textId="77777777" w:rsidR="004103F3" w:rsidRPr="003D2E94" w:rsidRDefault="004103F3" w:rsidP="004103F3">
      <w:pPr>
        <w:pStyle w:val="SingleTxtG"/>
      </w:pPr>
      <w:r>
        <w:t>30.</w:t>
      </w:r>
      <w:r>
        <w:tab/>
        <w:t xml:space="preserve">Комитет с озабоченностью отмечает, что, несмотря на законодательную защиту прав профсоюзов, работники, особенно лица, работающие в транснациональных корпорациях в нефтегазовом секторе, воздерживаются от участия в профсоюзной деятельности из страха репрессий. Он по-прежнему обеспокоен чрезмерными </w:t>
      </w:r>
      <w:r>
        <w:lastRenderedPageBreak/>
        <w:t>ограничениями права на забастовку работников секторов воздушного и железнодорожного транспорта (ст. 8).</w:t>
      </w:r>
    </w:p>
    <w:p w14:paraId="2DFD0BCC" w14:textId="77777777" w:rsidR="004103F3" w:rsidRPr="003D2E94" w:rsidRDefault="004103F3" w:rsidP="004103F3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обеспечить свободное осуществление работниками, в том числе занятыми в нефтегазовом секторе, профсоюзных прав, включая права на ведение</w:t>
      </w:r>
      <w:r w:rsidRPr="00552F42">
        <w:rPr>
          <w:b/>
          <w:bCs/>
        </w:rPr>
        <w:t xml:space="preserve"> </w:t>
      </w:r>
      <w:r>
        <w:rPr>
          <w:b/>
          <w:bCs/>
        </w:rPr>
        <w:t>коллективных переговоров, забастовку и профсоюзное представительство, и их эффективную защиту от репрессий.</w:t>
      </w:r>
      <w:r>
        <w:t xml:space="preserve"> </w:t>
      </w:r>
      <w:r>
        <w:rPr>
          <w:b/>
          <w:bCs/>
        </w:rPr>
        <w:t>Он также</w:t>
      </w:r>
      <w:r w:rsidRPr="002A748E">
        <w:rPr>
          <w:b/>
          <w:bCs/>
        </w:rPr>
        <w:t xml:space="preserve"> </w:t>
      </w:r>
      <w:r>
        <w:rPr>
          <w:b/>
          <w:bCs/>
        </w:rPr>
        <w:t>повторяет свою предыдущую рекомендацию</w:t>
      </w:r>
      <w:r w:rsidRPr="00324E44">
        <w:rPr>
          <w:rStyle w:val="a8"/>
        </w:rPr>
        <w:footnoteReference w:id="6"/>
      </w:r>
      <w:r>
        <w:rPr>
          <w:b/>
          <w:bCs/>
        </w:rPr>
        <w:t xml:space="preserve"> государству-участнику пересмотреть рамки определения основных услуг, с тем чтобы обеспечить эффективное осуществление права на забастовку, в том числе работниками секторов воздушного и железнодорожного транспорта.</w:t>
      </w:r>
    </w:p>
    <w:p w14:paraId="5FBA4F99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098C8D28" w14:textId="77777777" w:rsidR="004103F3" w:rsidRPr="003D2E94" w:rsidRDefault="004103F3" w:rsidP="004103F3">
      <w:pPr>
        <w:pStyle w:val="SingleTxtG"/>
      </w:pPr>
      <w:r>
        <w:t>32.</w:t>
      </w:r>
      <w:r>
        <w:tab/>
        <w:t>Приветствуя представленную государством-участником информацию об увеличении</w:t>
      </w:r>
      <w:r w:rsidRPr="00263A55">
        <w:t xml:space="preserve"> </w:t>
      </w:r>
      <w:r>
        <w:t>на протяжении нескольких лет размеров ряда социальных пособий, Комитет выражает обеспокоенность в связи с тем, что размеры социальных пособий по-прежнему недостаточны, особенно пособий по безработице, инвалидности и старости. Кроме того, Комитет с обеспокоенностью отмечает недостатки в координации различных мер социальной защиты, которые затрудняют доступ к социальному обеспечению для ряда бенефициаров (ст. 9).</w:t>
      </w:r>
    </w:p>
    <w:p w14:paraId="700FF292" w14:textId="77777777" w:rsidR="004103F3" w:rsidRPr="003D2E94" w:rsidRDefault="004103F3" w:rsidP="004103F3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продолжать усилия по корректировке уровней мер социальной защиты и созданию устойчивой системы индексации и, в случае необходимости, провести перерасчет социальных пособий.</w:t>
      </w:r>
      <w:r>
        <w:t xml:space="preserve"> </w:t>
      </w:r>
      <w:r w:rsidRPr="000D2384">
        <w:rPr>
          <w:b/>
        </w:rPr>
        <w:t>Кроме того,</w:t>
      </w:r>
      <w:r>
        <w:t xml:space="preserve"> </w:t>
      </w:r>
      <w:r>
        <w:rPr>
          <w:b/>
          <w:bCs/>
        </w:rPr>
        <w:t>он рекомендует государству-участнику выделить необходимые людские, технические и финансовые ресурсы и организовать подготовку в целях укрепления административного потенциала социальных служб, с тем чтобы обеспечить координацию мер социальной защиты и оказание надлежащей, адресной и индивидуальной поддержки бенефициарам.</w:t>
      </w:r>
    </w:p>
    <w:p w14:paraId="2ED9D056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751A5279" w14:textId="7BD7FC4D" w:rsidR="004103F3" w:rsidRPr="003D2E94" w:rsidRDefault="004103F3" w:rsidP="004103F3">
      <w:pPr>
        <w:pStyle w:val="SingleTxtG"/>
      </w:pPr>
      <w:r>
        <w:t>34.</w:t>
      </w:r>
      <w:r>
        <w:tab/>
        <w:t xml:space="preserve">Приветствуя представленную делегацией государства-участника информацию об усилиях, предпринятых для искоренения гендерного насилия, Комитет </w:t>
      </w:r>
      <w:r w:rsidR="00BD1586">
        <w:br/>
      </w:r>
      <w:r>
        <w:t>по-прежнему обеспокоен высоким уровнем гендерного насилия в отношении женщин и очень низким числом сообщений, в частности о случаях домашнего насилия. Кроме того, Комитет обеспокоен отсутствием достаточного количества приютов и служб поддержки для жертв (ст. 10).</w:t>
      </w:r>
    </w:p>
    <w:p w14:paraId="0DDAE6FE" w14:textId="77777777" w:rsidR="004103F3" w:rsidRPr="003D2E94" w:rsidRDefault="004103F3" w:rsidP="004103F3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принять эффективные меры для облегчения процедур и поощрения сообщения о случаях гендерного насилия, включая домашнее насилие, и обеспечить проведение оперативных и тщательных расследований по всем сообщениям о подобных случаях, наказание виновных соразмерно тяжести совершенных ими преступлений и получение жертвами надлежащей поддержки, включая временное убежище, юридическую помощь и психологическую поддержку.</w:t>
      </w:r>
      <w:r>
        <w:t xml:space="preserve"> </w:t>
      </w:r>
      <w:r>
        <w:rPr>
          <w:b/>
          <w:bCs/>
        </w:rPr>
        <w:t>Он также</w:t>
      </w:r>
      <w:r w:rsidRPr="00FF40CE">
        <w:rPr>
          <w:b/>
          <w:bCs/>
        </w:rPr>
        <w:t xml:space="preserve"> </w:t>
      </w:r>
      <w:r>
        <w:rPr>
          <w:b/>
          <w:bCs/>
        </w:rPr>
        <w:t>рекомендует государству-участнику активизировать усилия по повышению осведомленности широкой общественности о гендерном насилии в отношении женщин и обеспечить учитывающую гендерные аспекты подготовку сотрудников правоохранительных и судебных органов по вопросам рассмотрения случаев гендерного насилия в отношении женщин, включая домашнее насилие.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рассмотреть вопрос о ратификации Конвенции Совета Европы о предотвращении и борьбе с насилием в отношении женщин и домашним насилием (Стамбульская конвенция).</w:t>
      </w:r>
    </w:p>
    <w:p w14:paraId="21DC5BA4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1DB4735A" w14:textId="77777777" w:rsidR="004103F3" w:rsidRPr="003D2E94" w:rsidRDefault="004103F3" w:rsidP="004103F3">
      <w:pPr>
        <w:pStyle w:val="SingleTxtG"/>
      </w:pPr>
      <w:r>
        <w:t>36.</w:t>
      </w:r>
      <w:r>
        <w:tab/>
        <w:t xml:space="preserve">Комитет обеспокоен нехваткой доступного жилья в государстве-участнике, которая усугубляется быстрыми темпами урбанизации, особенно в Баку и его </w:t>
      </w:r>
      <w:r>
        <w:lastRenderedPageBreak/>
        <w:t xml:space="preserve">окрестностях. Кроме того, он обеспокоен тем, что значительное число маргинализированных и находящихся в неблагоприятном положении семей продолжают жить в неадекватных и неофициальных жилищах, на которые, как сообщается, нет документов и которые были построены на непригодных и зачастую </w:t>
      </w:r>
      <w:r>
        <w:rPr>
          <w:iCs/>
        </w:rPr>
        <w:t xml:space="preserve">неустойчивых землях </w:t>
      </w:r>
      <w:r>
        <w:t>(ст. 11).</w:t>
      </w:r>
    </w:p>
    <w:p w14:paraId="2EBA1631" w14:textId="77777777" w:rsidR="004103F3" w:rsidRPr="003D2E94" w:rsidRDefault="004103F3" w:rsidP="004103F3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Комитет рекомендует государству-участнику принять и осуществлять учитывающую права человека жилищную стратегию, с тем чтобы решить проблему нехватки доступного жилья и добиться долгосрочного решения жилищной проблемы, повысить качество жилья и обеспечить наличие доступного и социального жилья, особенно для </w:t>
      </w:r>
      <w:r w:rsidRPr="00AF2F02">
        <w:rPr>
          <w:b/>
          <w:bCs/>
        </w:rPr>
        <w:t>находящихся в неблагоприятном положении</w:t>
      </w:r>
      <w:r>
        <w:rPr>
          <w:b/>
          <w:bCs/>
        </w:rPr>
        <w:t xml:space="preserve"> и маргинализированных лиц и групп.</w:t>
      </w:r>
    </w:p>
    <w:p w14:paraId="33F22F1E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Бедность</w:t>
      </w:r>
    </w:p>
    <w:p w14:paraId="6D065927" w14:textId="77777777" w:rsidR="004103F3" w:rsidRPr="003D2E94" w:rsidRDefault="004103F3" w:rsidP="004103F3">
      <w:pPr>
        <w:pStyle w:val="SingleTxtG"/>
      </w:pPr>
      <w:r>
        <w:t>38.</w:t>
      </w:r>
      <w:r>
        <w:tab/>
        <w:t xml:space="preserve">Принимая к сведению официальные статистические данные, свидетельствующие о низком уровне неравенства доходов в государстве-участнике, Комитет по-прежнему обеспокоен распространенностью неравенства доходов на практике, от которого непропорционально страдают находящихся в неблагоприятном положении и маргинализированные лица и группы. Кроме того, Комитет с озабоченностью отмечает, что более 4 процентов населения государства-участника живет за национальной чертой бедности (ст. 11). </w:t>
      </w:r>
    </w:p>
    <w:p w14:paraId="27972368" w14:textId="4CC17207" w:rsidR="004103F3" w:rsidRPr="003D2E94" w:rsidRDefault="004103F3" w:rsidP="004103F3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принять эффективные меры по сокращению неравенства доходов.</w:t>
      </w:r>
      <w:r>
        <w:t xml:space="preserve"> </w:t>
      </w:r>
      <w:r>
        <w:rPr>
          <w:b/>
          <w:bCs/>
        </w:rPr>
        <w:t>Он также</w:t>
      </w:r>
      <w:r w:rsidRPr="00041931">
        <w:rPr>
          <w:b/>
          <w:bCs/>
        </w:rPr>
        <w:t xml:space="preserve"> </w:t>
      </w:r>
      <w:r>
        <w:rPr>
          <w:b/>
          <w:bCs/>
        </w:rPr>
        <w:t>рекомендует государству-участнику активизировать усилия по искоренению бедности и устранению ее коренных причин.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 проблеме нищеты и осуществлении Пакта</w:t>
      </w:r>
      <w:r w:rsidRPr="008E5D5D">
        <w:rPr>
          <w:rStyle w:val="a8"/>
          <w:bCs/>
        </w:rPr>
        <w:footnoteReference w:id="7"/>
      </w:r>
      <w:r>
        <w:rPr>
          <w:b/>
          <w:bCs/>
        </w:rPr>
        <w:t>, принято</w:t>
      </w:r>
      <w:r w:rsidR="00BD1586">
        <w:rPr>
          <w:b/>
          <w:bCs/>
        </w:rPr>
        <w:t>е</w:t>
      </w:r>
      <w:r>
        <w:rPr>
          <w:b/>
          <w:bCs/>
        </w:rPr>
        <w:t xml:space="preserve"> 4 мая 2001 года.</w:t>
      </w:r>
    </w:p>
    <w:p w14:paraId="6C361888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  <w:r>
        <w:t xml:space="preserve"> </w:t>
      </w:r>
    </w:p>
    <w:p w14:paraId="72580BBE" w14:textId="77777777" w:rsidR="004103F3" w:rsidRPr="003D2E94" w:rsidRDefault="004103F3" w:rsidP="004103F3">
      <w:pPr>
        <w:pStyle w:val="SingleTxtG"/>
      </w:pPr>
      <w:r>
        <w:t>40.</w:t>
      </w:r>
      <w:r>
        <w:tab/>
        <w:t>Комитет с обеспокоенностью отмечает:</w:t>
      </w:r>
    </w:p>
    <w:p w14:paraId="36C77F6B" w14:textId="77777777" w:rsidR="004103F3" w:rsidRPr="003D2E94" w:rsidRDefault="004103F3" w:rsidP="004103F3">
      <w:pPr>
        <w:pStyle w:val="SingleTxtG"/>
      </w:pPr>
      <w:r>
        <w:tab/>
        <w:t>a)</w:t>
      </w:r>
      <w:r>
        <w:tab/>
        <w:t xml:space="preserve">уязвимость населения государства-участника с точки зрения отсутствия продовольственной безопасности и распространенность голода и недоедания, что приводит к значительным показателям задержки роста, ожирения и анемии; </w:t>
      </w:r>
    </w:p>
    <w:p w14:paraId="1E700E67" w14:textId="77777777" w:rsidR="004103F3" w:rsidRPr="003D2E94" w:rsidRDefault="004103F3" w:rsidP="004103F3">
      <w:pPr>
        <w:pStyle w:val="SingleTxtG"/>
      </w:pPr>
      <w:r>
        <w:tab/>
        <w:t>b)</w:t>
      </w:r>
      <w:r>
        <w:tab/>
        <w:t>проблемы, связанные с доступом к земле, регистрацией земли, сельскохозяйственными кредитами, транспортировкой и распределением продуктов питания;</w:t>
      </w:r>
    </w:p>
    <w:p w14:paraId="4BE559C9" w14:textId="77777777" w:rsidR="004103F3" w:rsidRPr="003D2E94" w:rsidRDefault="004103F3" w:rsidP="004103F3">
      <w:pPr>
        <w:pStyle w:val="SingleTxtG"/>
      </w:pPr>
      <w:r>
        <w:tab/>
        <w:t>c)</w:t>
      </w:r>
      <w:r>
        <w:tab/>
        <w:t>трудности, с которыми сталкиваются мелкие фермеры</w:t>
      </w:r>
      <w:r w:rsidRPr="00B00545">
        <w:t xml:space="preserve"> </w:t>
      </w:r>
      <w:r>
        <w:t>в сфере сбыта продукции, принимая во внимание сообщения о том, что мелкие фермеры вынуждены выбрасывать свой урожай после сбора, поскольку они не могут его продать, сохранить или переработать, а также недостаточную поддержку мелких фермеров со стороны государства-участника;</w:t>
      </w:r>
    </w:p>
    <w:p w14:paraId="38B26217" w14:textId="77777777" w:rsidR="004103F3" w:rsidRPr="003D2E94" w:rsidRDefault="004103F3" w:rsidP="004103F3">
      <w:pPr>
        <w:pStyle w:val="SingleTxtG"/>
      </w:pPr>
      <w:r>
        <w:tab/>
        <w:t>d)</w:t>
      </w:r>
      <w:r>
        <w:tab/>
        <w:t>деградацию пахотных земель, засухи, нехватку воды, загрязнение почвы и воды и другие экологические риски для продовольственной безопасности, которые, по прогнозам, увеличатся еще больше в результате изменения климата (ст. 11).</w:t>
      </w:r>
    </w:p>
    <w:p w14:paraId="2E69DFAD" w14:textId="77777777" w:rsidR="004103F3" w:rsidRPr="003D2E94" w:rsidRDefault="004103F3" w:rsidP="004103F3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принять следующие меры:</w:t>
      </w:r>
    </w:p>
    <w:p w14:paraId="2EB6C917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>принять всеобъемлющую стратегию по решению проблемы недоедания и выделить достаточные людские и финансовые ресурсы для ее осуществления;</w:t>
      </w:r>
    </w:p>
    <w:p w14:paraId="354D37A5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повысить продовольственную безопасность, в том числе путем обеспечения эффективного доступа к земле, гарантий землевладения, транспортировки и распределения продуктов питания, а также доступности сельскохозяйственных кредитов;</w:t>
      </w:r>
    </w:p>
    <w:p w14:paraId="6E5C88EF" w14:textId="77777777" w:rsidR="004103F3" w:rsidRPr="003D2E94" w:rsidRDefault="004103F3" w:rsidP="004103F3">
      <w:pPr>
        <w:pStyle w:val="SingleTxtG"/>
        <w:rPr>
          <w:b/>
          <w:bCs/>
        </w:rPr>
      </w:pPr>
      <w:r>
        <w:lastRenderedPageBreak/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способствовать решению проблем, с которыми сталкиваются мелкие фермеры, и повышению их производительности посредством облегчения их доступа к соответствующим технологиям и рынкам в целях повышения доходов в сельских районах;</w:t>
      </w:r>
    </w:p>
    <w:p w14:paraId="6EFE2A6A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разработать стратегию устойчивого управления земельными и водными ресурсами, включающую меры по адаптации к изменению климата в целях повышения устойчивости сельскохозяйственного производства;</w:t>
      </w:r>
    </w:p>
    <w:p w14:paraId="27AE0C6F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e)</w:t>
      </w:r>
      <w:r>
        <w:tab/>
      </w:r>
      <w:r>
        <w:rPr>
          <w:b/>
          <w:bCs/>
        </w:rPr>
        <w:t>руководствоваться замечанием общего порядка № 12 (1999) Комитета о праве на достаточное питание и Добровольными руководящими принципами в поддержку постепенного осуществления права на достаточное питание в контексте национальной продовольственной безопасности, принятыми Продовольственной и сельскохозяйственной организацией Объединенных Наций в 2004 году.</w:t>
      </w:r>
    </w:p>
    <w:p w14:paraId="5B1FD5C4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14:paraId="6F589911" w14:textId="77777777" w:rsidR="004103F3" w:rsidRPr="003D2E94" w:rsidRDefault="004103F3" w:rsidP="004103F3">
      <w:pPr>
        <w:pStyle w:val="SingleTxtG"/>
      </w:pPr>
      <w:r>
        <w:t>42.</w:t>
      </w:r>
      <w:r>
        <w:tab/>
        <w:t>Комитет с обеспокоенностью отмечает, что, несмотря на инвестиции государства-участника в строительство и улучшение инфраструктуры системы здравоохранения в сельских и отдаленных районах, наличие, доступность и качество медицинской помощи остаются ограниченными, особенно в сельских и отдаленных районах. Кроме того, Комитет обеспокоен широко распространенной практикой принятия медицинскими работниками неофициальной платы от пациентов (ст. 12).</w:t>
      </w:r>
    </w:p>
    <w:p w14:paraId="34F50B5A" w14:textId="77777777" w:rsidR="004103F3" w:rsidRPr="003D2E94" w:rsidRDefault="004103F3" w:rsidP="004103F3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выделить достаточные ресурсы для сектора здравоохранения и продолжать усилия по обеспечению наличия, доступности, приемлемости и качества медицинских услуг, в частности в сельских и отдаленных районах, в том числе путем обеспечения достаточного количества квалифицированного медицинского персонала и дальнейшего обеспечения наличия надлежащего медицинского оборудования, инфраструктуры и помещений.</w:t>
      </w:r>
      <w:r>
        <w:t xml:space="preserve"> </w:t>
      </w:r>
      <w:r>
        <w:rPr>
          <w:b/>
          <w:bCs/>
        </w:rPr>
        <w:t>Кроме того, он рекомендует государству-участнику продолжать принимать меры по запрещению приема медицинскими работниками неофициальной платы, а также рекомендует развернуть систему всеобщего медицинского страхования по всей стране и обеспечить ее надлежащий охват, чтобы гарантировать доступ к недорогому медицинскому обслуживанию для всех слоев населения, включая находящихся в неблагоприятном положении и маргинализированных лиц.</w:t>
      </w:r>
    </w:p>
    <w:p w14:paraId="37C13E02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Меры, принимаемые системой здравоохранения в связи с пандемией COVID-19</w:t>
      </w:r>
    </w:p>
    <w:p w14:paraId="0B74A30E" w14:textId="7D874B23" w:rsidR="004103F3" w:rsidRPr="003D2E94" w:rsidRDefault="004103F3" w:rsidP="004103F3">
      <w:pPr>
        <w:pStyle w:val="SingleTxtG"/>
      </w:pPr>
      <w:r>
        <w:t>44.</w:t>
      </w:r>
      <w:r>
        <w:tab/>
        <w:t>Комитет приветствует представленную делегацией государства-участника информацию о его усилиях по сдерживанию распространения COVID-19 и повышению темпов вакцинации против COVID-19, в том числе путем использования мобильных пунктов вакцинации. Тем не менее он обеспокоен непропорциональным воздействием пандемии COVID-19 на право каждого человека на наивысший достижимый уровень физического и психического здоровья, особенно на находящиеся в неблагоприятном положении и маргинализированные группы, такие как женщины, дети и внутренне перемещенные лица (ст. 12).</w:t>
      </w:r>
    </w:p>
    <w:p w14:paraId="149FF8C6" w14:textId="77777777" w:rsidR="004103F3" w:rsidRPr="003D2E94" w:rsidRDefault="004103F3" w:rsidP="004103F3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8178F9B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>продолжать усилия по обеспечению всеобщего и равного доступа к тестированию, лечению и иммунизации в связи с COVID-19;</w:t>
      </w:r>
    </w:p>
    <w:p w14:paraId="1AED18AF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регулярно собирать и распространять среди населения достоверную и научно обоснованную информацию и статистические данные, касающиеся пандемии COVID-19, включая информацию о вакцинах против COVID-19;</w:t>
      </w:r>
    </w:p>
    <w:p w14:paraId="14D8B038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c)</w:t>
      </w:r>
      <w:r>
        <w:tab/>
      </w:r>
      <w:r>
        <w:rPr>
          <w:b/>
          <w:bCs/>
        </w:rPr>
        <w:t>обеспечить, чтобы ограничения в сфере ресурсов системы здравоохранения в связи с пандемией COVID-19 существенно не затрудняли доступ к медицинской помощи, в том числе при уже имеющихся заболеваниях;</w:t>
      </w:r>
    </w:p>
    <w:p w14:paraId="57ED0220" w14:textId="4A5A68DD" w:rsidR="004103F3" w:rsidRPr="003D2E94" w:rsidRDefault="004103F3" w:rsidP="004103F3">
      <w:pPr>
        <w:pStyle w:val="SingleTxtG"/>
        <w:rPr>
          <w:b/>
          <w:bCs/>
        </w:rPr>
      </w:pPr>
      <w:r>
        <w:lastRenderedPageBreak/>
        <w:tab/>
      </w:r>
      <w:r w:rsidRPr="004103F3">
        <w:rPr>
          <w:b/>
          <w:bCs/>
        </w:rPr>
        <w:t>d)</w:t>
      </w:r>
      <w:r>
        <w:tab/>
      </w:r>
      <w:r>
        <w:rPr>
          <w:b/>
          <w:bCs/>
        </w:rPr>
        <w:t>руководствоваться замечанием общего порядка № 25 (2020) Комитета о науке и экономических, социальных и культурных правах, а также тремя заявлениями Комитета: о пандемии COVID-19 и экономических, социальных и культурных правах</w:t>
      </w:r>
      <w:r w:rsidRPr="008E5D5D">
        <w:rPr>
          <w:rStyle w:val="a8"/>
        </w:rPr>
        <w:footnoteReference w:id="8"/>
      </w:r>
      <w:r>
        <w:rPr>
          <w:b/>
          <w:bCs/>
        </w:rPr>
        <w:t>, о всеобщем и равном доступе к вакцинам против COVID-19</w:t>
      </w:r>
      <w:r w:rsidRPr="008E5D5D">
        <w:rPr>
          <w:rStyle w:val="a8"/>
        </w:rPr>
        <w:footnoteReference w:id="9"/>
      </w:r>
      <w:r>
        <w:rPr>
          <w:b/>
          <w:bCs/>
        </w:rPr>
        <w:t xml:space="preserve"> и о всеобщей доступной по цене вакцинации от COVID-19, международном сотрудничестве и интеллектуальной собственности</w:t>
      </w:r>
      <w:r w:rsidRPr="008E5D5D">
        <w:rPr>
          <w:rStyle w:val="a8"/>
        </w:rPr>
        <w:footnoteReference w:id="10"/>
      </w:r>
      <w:r>
        <w:rPr>
          <w:b/>
          <w:bCs/>
        </w:rPr>
        <w:t>.</w:t>
      </w:r>
    </w:p>
    <w:p w14:paraId="3A775ECA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Сексуальное и репродуктивное здоровье</w:t>
      </w:r>
    </w:p>
    <w:p w14:paraId="107C4B12" w14:textId="77777777" w:rsidR="004103F3" w:rsidRPr="003D2E94" w:rsidRDefault="004103F3" w:rsidP="004103F3">
      <w:pPr>
        <w:pStyle w:val="SingleTxtG"/>
      </w:pPr>
      <w:r>
        <w:t>46.</w:t>
      </w:r>
      <w:r>
        <w:tab/>
        <w:t>Приветствуя представленную государством-участником информацию о достигнутом прогрессе в области снижения показателей материнской смертности и отмечая меры по расширению доступа к услугам по охране сексуального и репродуктивного здоровья в рамках стратегии охраны репродуктивного здоровья</w:t>
      </w:r>
      <w:r w:rsidRPr="008E5D5D">
        <w:rPr>
          <w:rStyle w:val="a8"/>
        </w:rPr>
        <w:footnoteReference w:id="11"/>
      </w:r>
      <w:r>
        <w:t>, Комитет, тем не менее, выражает обеспокоенность в связи с недостаточным доступом к услугам и образованию в области охраны сексуального и репродуктивного здоровья, в том числе для подростков, лиц, проживающих в сельских районах, лиц с низким уровнем доходов и лиц с инвалидностью, а также в связи с ограниченным наличием и ограниченной доступностью современных противозачаточных средств (ст. 12).</w:t>
      </w:r>
    </w:p>
    <w:p w14:paraId="0B58A34C" w14:textId="77777777" w:rsidR="004103F3" w:rsidRPr="003D2E94" w:rsidRDefault="004103F3" w:rsidP="004103F3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обеспечить наличие и физическую и финансовую доступность услуг по охране сексуального и репродуктивного здоровья, включая современные противозачаточные средства, для всех, в том числе подростков, лиц, проживающих в сельских районах, лиц с низким уровнем доходов и лиц с инвалидностью.</w:t>
      </w:r>
      <w:r>
        <w:t xml:space="preserve"> </w:t>
      </w:r>
      <w:r w:rsidRPr="0071180E">
        <w:rPr>
          <w:b/>
        </w:rPr>
        <w:t>Кроме того</w:t>
      </w:r>
      <w:r>
        <w:rPr>
          <w:b/>
        </w:rPr>
        <w:t>,</w:t>
      </w:r>
      <w:r>
        <w:t xml:space="preserve"> </w:t>
      </w:r>
      <w:r>
        <w:rPr>
          <w:b/>
          <w:bCs/>
        </w:rPr>
        <w:t xml:space="preserve">он рекомендует государству-участнику включить в школьную программу </w:t>
      </w:r>
      <w:r w:rsidRPr="001E1C3F">
        <w:rPr>
          <w:b/>
          <w:bCs/>
        </w:rPr>
        <w:t>в</w:t>
      </w:r>
      <w:r>
        <w:rPr>
          <w:b/>
          <w:bCs/>
          <w:iCs/>
        </w:rPr>
        <w:t xml:space="preserve">сестороннее, недискриминационное, </w:t>
      </w:r>
      <w:r w:rsidRPr="00500B66">
        <w:rPr>
          <w:b/>
          <w:bCs/>
          <w:iCs/>
        </w:rPr>
        <w:t>основывающееся на фактах и достоверных с научной точки зрения да</w:t>
      </w:r>
      <w:r>
        <w:rPr>
          <w:b/>
          <w:bCs/>
          <w:iCs/>
        </w:rPr>
        <w:t>нных и соответствующее возрасту образование</w:t>
      </w:r>
      <w:r w:rsidRPr="001E1C3F">
        <w:rPr>
          <w:b/>
          <w:bCs/>
          <w:iCs/>
        </w:rPr>
        <w:t xml:space="preserve"> в области сексуального и репродуктивного здоровья.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14:paraId="627D3F19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Употребление наркотиков</w:t>
      </w:r>
    </w:p>
    <w:p w14:paraId="79EA8D87" w14:textId="77777777" w:rsidR="004103F3" w:rsidRPr="003D2E94" w:rsidRDefault="004103F3" w:rsidP="004103F3">
      <w:pPr>
        <w:pStyle w:val="SingleTxtG"/>
      </w:pPr>
      <w:r>
        <w:t>48.</w:t>
      </w:r>
      <w:r>
        <w:tab/>
        <w:t>Приветствуя представленную государством-участником информацию о его программах снижения вреда</w:t>
      </w:r>
      <w:r w:rsidRPr="008E5D5D">
        <w:rPr>
          <w:rStyle w:val="a8"/>
        </w:rPr>
        <w:footnoteReference w:id="12"/>
      </w:r>
      <w:r>
        <w:t>, Комитет, тем не менее, выражает обеспокоенность тяжелым состоянием здоровья потребителей наркотиков, а именно широкой распространенностью ВИЧ-инфекции, и ограниченным доступом к медицинским услугам для этих лиц из-за социальной стигматизации. Он также</w:t>
      </w:r>
      <w:r w:rsidRPr="004B0CFE">
        <w:t xml:space="preserve"> </w:t>
      </w:r>
      <w:r>
        <w:t>обеспокоен ограниченным доступом к опиоидной заместительной терапии и программам снижения вреда, в частности в тюрьмах (ст. 12).</w:t>
      </w:r>
    </w:p>
    <w:p w14:paraId="36446004" w14:textId="77777777" w:rsidR="004103F3" w:rsidRPr="003D2E94" w:rsidRDefault="004103F3" w:rsidP="004103F3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борьбы с социальной стигматизацией потребителей наркотиков, в том числе путем подготовки сотрудников полиции, работников тюрем, социальных работников</w:t>
      </w:r>
      <w:r w:rsidRPr="00F60324">
        <w:rPr>
          <w:b/>
          <w:bCs/>
        </w:rPr>
        <w:t xml:space="preserve"> </w:t>
      </w:r>
      <w:r>
        <w:rPr>
          <w:b/>
          <w:bCs/>
        </w:rPr>
        <w:t>и медицинских специалистов, а также повышения осведомленности населения.</w:t>
      </w:r>
      <w:r>
        <w:t xml:space="preserve"> </w:t>
      </w:r>
      <w:r>
        <w:rPr>
          <w:b/>
          <w:bCs/>
        </w:rPr>
        <w:t>Он также рекомендует государству-участнику расширить предоставление услуг по снижению вреда и услуг в сфере опиоидной заместительной терапии и выделить необходимые ресурсы на соответствующие программы.</w:t>
      </w:r>
    </w:p>
    <w:p w14:paraId="7824498C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232686BB" w14:textId="1B14DE9C" w:rsidR="004103F3" w:rsidRPr="003D2E94" w:rsidRDefault="004103F3" w:rsidP="004103F3">
      <w:pPr>
        <w:pStyle w:val="SingleTxtG"/>
      </w:pPr>
      <w:r>
        <w:t>50.</w:t>
      </w:r>
      <w:r>
        <w:tab/>
        <w:t>Комитет принимает к сведению представленную государством-участником информацию о его законодательных и политических мерах, принятых в целях укрепления психического здоровья</w:t>
      </w:r>
      <w:r w:rsidRPr="008E5D5D">
        <w:rPr>
          <w:rStyle w:val="a8"/>
        </w:rPr>
        <w:footnoteReference w:id="13"/>
      </w:r>
      <w:r>
        <w:t xml:space="preserve">, но вместе с тем по-прежнему обеспокоен </w:t>
      </w:r>
      <w:r>
        <w:lastRenderedPageBreak/>
        <w:t xml:space="preserve">отсутствием надлежащих амбулаторных услуг по охране психического здоровья и таких услуг на уровне общин для лиц с психосоциальными нарушениями и лиц с психическими расстройствами, а также распространенностью практики обязательного помещения таких лиц в психиатрические учреждения. Кроме того, он обеспокоен стигматизацией лиц с психосоциальными </w:t>
      </w:r>
      <w:r w:rsidR="00CB37CA">
        <w:t>нарушениями</w:t>
      </w:r>
      <w:r>
        <w:t xml:space="preserve"> и лиц с психическими расстройствами (ст. 12).</w:t>
      </w:r>
    </w:p>
    <w:p w14:paraId="180B8BFA" w14:textId="77777777" w:rsidR="004103F3" w:rsidRPr="003D2E94" w:rsidRDefault="004103F3" w:rsidP="004103F3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</w:t>
      </w:r>
      <w:r>
        <w:rPr>
          <w:b/>
          <w:bCs/>
          <w:i/>
          <w:iCs/>
        </w:rPr>
        <w:t xml:space="preserve"> </w:t>
      </w:r>
      <w:r w:rsidRPr="00694348">
        <w:rPr>
          <w:b/>
          <w:bCs/>
          <w:iCs/>
        </w:rPr>
        <w:t>повысить</w:t>
      </w:r>
      <w:r w:rsidRPr="00694348">
        <w:rPr>
          <w:b/>
          <w:bCs/>
        </w:rPr>
        <w:t xml:space="preserve"> </w:t>
      </w:r>
      <w:r>
        <w:rPr>
          <w:b/>
          <w:bCs/>
        </w:rPr>
        <w:t>наличие, доступность и качество профессиональных услуг по охране психического здоровья, включая амбулаторные услуги и услуги на уровне общин, и квалифицированного персонала.</w:t>
      </w:r>
      <w:r>
        <w:t xml:space="preserve"> </w:t>
      </w:r>
      <w:r>
        <w:rPr>
          <w:b/>
          <w:bCs/>
        </w:rPr>
        <w:t>Он настоятельно призывает государство-участник бороться с социальной стигматизацией лиц с психическими расстройствами, в том числе путем проведения мероприятий по повышению осведомленности населения.</w:t>
      </w:r>
    </w:p>
    <w:p w14:paraId="0E05B9B5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0CB21DF6" w14:textId="77777777" w:rsidR="004103F3" w:rsidRPr="003D2E94" w:rsidRDefault="004103F3" w:rsidP="004103F3">
      <w:pPr>
        <w:pStyle w:val="SingleTxtG"/>
      </w:pPr>
      <w:r>
        <w:t>52.</w:t>
      </w:r>
      <w:r>
        <w:tab/>
        <w:t>Комитет приветствует усилия государства-участника по повышению доступности и качества образования, в частности дошкольного. Однако он с озабоченностью отмечает повсеместные трудности, с которыми сталкиваются находящиеся в неблагоприятном положении и маргинализированные дети, и региональные различия в доступе к качественному начальному и среднему образованию. Комитет также с озабоченностью отмечает финансовые и материальные барьеры, препятствующие доступу к профессиональной подготовке и высшему образованию (ст. 13).</w:t>
      </w:r>
    </w:p>
    <w:p w14:paraId="28342B9A" w14:textId="77777777" w:rsidR="004103F3" w:rsidRPr="003D2E94" w:rsidRDefault="004103F3" w:rsidP="004103F3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79867D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a)</w:t>
      </w:r>
      <w:r>
        <w:tab/>
      </w:r>
      <w:r>
        <w:rPr>
          <w:b/>
          <w:bCs/>
        </w:rPr>
        <w:t>увеличить объем ресурсов, выделяемых на образование, с целью обеспечить всеобщий и равный доступ к качественному и инклюзивному начальному и среднему образованию на всей территории страны, в том числе путем сокращения социальной изоляции внутренне перемещенных детей и детей, проживающих в сельских районах, и экономической изоляции детей из бедных семей, а также путем преодоления барьеров для детей с инвалидностью;</w:t>
      </w:r>
    </w:p>
    <w:p w14:paraId="7529578D" w14:textId="77777777" w:rsidR="004103F3" w:rsidRPr="003D2E94" w:rsidRDefault="004103F3" w:rsidP="004103F3">
      <w:pPr>
        <w:pStyle w:val="SingleTxtG"/>
        <w:rPr>
          <w:b/>
          <w:bCs/>
        </w:rPr>
      </w:pPr>
      <w:r>
        <w:tab/>
      </w:r>
      <w:r w:rsidRPr="004103F3">
        <w:rPr>
          <w:b/>
          <w:bCs/>
        </w:rPr>
        <w:t>b)</w:t>
      </w:r>
      <w:r>
        <w:tab/>
      </w:r>
      <w:r>
        <w:rPr>
          <w:b/>
          <w:bCs/>
        </w:rPr>
        <w:t>продолжать принимать меры по устранению финансовых и материальных барьеров для обеспечения недискриминационного доступа к профессиональной подготовке и высшему образованию.</w:t>
      </w:r>
    </w:p>
    <w:p w14:paraId="4E10BD06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Влияние пандемии COVID-19 на образование</w:t>
      </w:r>
    </w:p>
    <w:p w14:paraId="7330724F" w14:textId="77777777" w:rsidR="004103F3" w:rsidRPr="003D2E94" w:rsidRDefault="004103F3" w:rsidP="004103F3">
      <w:pPr>
        <w:pStyle w:val="SingleTxtG"/>
      </w:pPr>
      <w:r>
        <w:t>54.</w:t>
      </w:r>
      <w:r>
        <w:tab/>
        <w:t>Комитет обеспокоен усилением неравенства в сфере образования, которое непропорционально затрагивает детей из бедных семей, детей с инвалидностью и детей, проживающих в сельских районах, во время пандемии COVID-19 из-за закрытия школ и дистанционного обучения. В частности, он отмечает, что примерно 30 процентов детей в государстве-участнике не имеют доступа к Интернету и поэтому не могут посещать онлайн-занятия (ст. 13).</w:t>
      </w:r>
    </w:p>
    <w:p w14:paraId="249E2674" w14:textId="77777777" w:rsidR="004103F3" w:rsidRPr="003D2E94" w:rsidRDefault="004103F3" w:rsidP="004103F3">
      <w:pPr>
        <w:pStyle w:val="SingleTxtG"/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продолжать принимать все необходимые в условиях пандемии COVID-19 меры для обеспечения безопасного доступа детей к образованию в школах и получения детьми, особенно находящимися в неблагоприятном положении и маргинализированными детьми, педагогической поддержки, с тем чтобы они не отставали в учебе.</w:t>
      </w:r>
      <w:r>
        <w:t xml:space="preserve"> </w:t>
      </w:r>
      <w:r>
        <w:rPr>
          <w:b/>
          <w:bCs/>
        </w:rPr>
        <w:t>Кроме того, он обращает внимание государства-участника на пункты 7 и 15 своего заявления о пандемии</w:t>
      </w:r>
      <w:r w:rsidRPr="00E22C3F">
        <w:rPr>
          <w:b/>
          <w:bCs/>
        </w:rPr>
        <w:t xml:space="preserve"> </w:t>
      </w:r>
      <w:r>
        <w:rPr>
          <w:b/>
          <w:bCs/>
        </w:rPr>
        <w:t>COVID-19 и экономических, социальных и культурных правах</w:t>
      </w:r>
      <w:r w:rsidRPr="008E5D5D">
        <w:rPr>
          <w:rStyle w:val="a8"/>
        </w:rPr>
        <w:footnoteReference w:id="14"/>
      </w:r>
      <w:r>
        <w:rPr>
          <w:b/>
          <w:bCs/>
        </w:rPr>
        <w:t>.</w:t>
      </w:r>
    </w:p>
    <w:p w14:paraId="6235FD64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</w:p>
    <w:p w14:paraId="4C46C995" w14:textId="77777777" w:rsidR="004103F3" w:rsidRPr="00A72A21" w:rsidRDefault="004103F3" w:rsidP="004103F3">
      <w:pPr>
        <w:pStyle w:val="SingleTxtG"/>
      </w:pPr>
      <w:r>
        <w:t>56.</w:t>
      </w:r>
      <w:r>
        <w:tab/>
        <w:t xml:space="preserve">Комитет отмечает принятые государством-участником меры для содействия преподаванию ряда языков меньшинств, включая грузинский и русский, и вместе с тем выражает обеспокоенность в связи с отсутствием комплексных мер и механизмов, </w:t>
      </w:r>
      <w:r>
        <w:lastRenderedPageBreak/>
        <w:t>позволяющих различным меньшинствам в составе населения государства-участника продвигать и выражать свою культурную самобытность и в полной мере осуществлять свои культурные права, а также изучать и использовать свой язык; и поощряющих уважение и межкультурное взаимопонимание между различными группами общества в целом (ст. 13 и 15).</w:t>
      </w:r>
    </w:p>
    <w:p w14:paraId="52B03451" w14:textId="77777777" w:rsidR="004103F3" w:rsidRPr="003D2E94" w:rsidRDefault="004103F3" w:rsidP="004103F3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 и создать механизмы для формирования благоприятной среды для сохранения, развития, поощрения и выражения самобытности, истории, культуры, языка, традиций и обычаев меньшинств в составе населения государства-участника.</w:t>
      </w:r>
      <w:r>
        <w:t xml:space="preserve"> </w:t>
      </w:r>
      <w:r w:rsidRPr="00393A5B">
        <w:rPr>
          <w:b/>
        </w:rPr>
        <w:t>Кроме того,</w:t>
      </w:r>
      <w:r>
        <w:t xml:space="preserve"> </w:t>
      </w:r>
      <w:r>
        <w:rPr>
          <w:b/>
          <w:bCs/>
        </w:rPr>
        <w:t>он рекомендует государству-участнику разработать и провести кампании по повышению осведомленности населения и другие мероприятия, включая комплексные меры, ориентированные на большинство населения, в целях содействия взаимопониманию, терпимости и дружбе между всеми нациями и всеми расовыми, этническими и религиозными группами в соответствии с пунктом 1 статьи 13 Пакта.</w:t>
      </w:r>
    </w:p>
    <w:p w14:paraId="4CD3E370" w14:textId="77777777" w:rsidR="004103F3" w:rsidRPr="003D2E94" w:rsidRDefault="004103F3" w:rsidP="004103F3">
      <w:pPr>
        <w:pStyle w:val="H23G"/>
      </w:pPr>
      <w:r>
        <w:tab/>
      </w:r>
      <w:r>
        <w:tab/>
      </w:r>
      <w:r>
        <w:rPr>
          <w:bCs/>
        </w:rPr>
        <w:t>Цифровой разрыв</w:t>
      </w:r>
    </w:p>
    <w:p w14:paraId="77C91B9F" w14:textId="77777777" w:rsidR="004103F3" w:rsidRPr="003D2E94" w:rsidRDefault="004103F3" w:rsidP="004103F3">
      <w:pPr>
        <w:pStyle w:val="SingleTxtG"/>
      </w:pPr>
      <w:r>
        <w:t>58.</w:t>
      </w:r>
      <w:r>
        <w:tab/>
        <w:t>Комитет отмечает инвестиции, направленные на улучшение цифровой инфраструктуры в государстве-участнике, но он по-прежнему обеспокоен повсеместным цифровым разрывом, следствием которого является отсутствие доступа к Интернету и цифровым технологиям и услугам для лиц, проживающих в сельских районах, семей с низким уровнем дохода и лиц с инвалидностью. Комитет особенно обеспокоен тем, что из-за цифрового разрыва в стране находящиеся в неблагоприятном положении и маргинализированные лица и группы имеют ограниченный доступ к экономическим, социальным и культурным правам во время пандемии COVID-19 в связи со все большей зависимостью от Интернета и цифровых технологий (ст. 15).</w:t>
      </w:r>
    </w:p>
    <w:p w14:paraId="79359E17" w14:textId="77777777" w:rsidR="004103F3" w:rsidRPr="003D2E94" w:rsidRDefault="004103F3" w:rsidP="004103F3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продолжать работу по сокращению цифрового разрыва путем расширения доступа к Интернету и цифровым технологиям, в частности для находящих</w:t>
      </w:r>
      <w:r w:rsidRPr="00851D3E">
        <w:rPr>
          <w:b/>
          <w:bCs/>
        </w:rPr>
        <w:t>ся в неблагоприятном положении</w:t>
      </w:r>
      <w:r>
        <w:rPr>
          <w:b/>
          <w:bCs/>
        </w:rPr>
        <w:t xml:space="preserve"> и маргинализированных лиц и групп.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25 (2020) о науке и экономических, социальных и культурных правах.</w:t>
      </w:r>
    </w:p>
    <w:p w14:paraId="18FED7F6" w14:textId="77777777" w:rsidR="004103F3" w:rsidRPr="003D2E94" w:rsidRDefault="004103F3" w:rsidP="004103F3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03AFB8BC" w14:textId="77777777" w:rsidR="004103F3" w:rsidRPr="003D2E94" w:rsidRDefault="004103F3" w:rsidP="004103F3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074EB8E6" w14:textId="77777777" w:rsidR="004103F3" w:rsidRPr="003D2E94" w:rsidRDefault="004103F3" w:rsidP="004103F3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посредством создания независимых механизмов мониторинга достигнутого прогресса и обращения с бенефициарами програ</w:t>
      </w:r>
      <w:r w:rsidRPr="0006051A">
        <w:rPr>
          <w:b/>
          <w:bCs/>
        </w:rPr>
        <w:t>мм</w:t>
      </w:r>
      <w:r w:rsidRPr="00B00545">
        <w:rPr>
          <w:b/>
          <w:bCs/>
          <w:color w:val="333333"/>
          <w:shd w:val="clear" w:color="auto" w:fill="FFFFFF"/>
        </w:rPr>
        <w:t xml:space="preserve"> государственной помощи</w:t>
      </w:r>
      <w:r w:rsidRPr="0006051A">
        <w:rPr>
          <w:b/>
          <w:bCs/>
        </w:rPr>
        <w:t xml:space="preserve"> как с правооблад</w:t>
      </w:r>
      <w:r>
        <w:rPr>
          <w:b/>
          <w:bCs/>
        </w:rPr>
        <w:t>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8E5D5D">
        <w:rPr>
          <w:rStyle w:val="a8"/>
          <w:bCs/>
        </w:rPr>
        <w:footnoteReference w:id="15"/>
      </w:r>
      <w:r>
        <w:rPr>
          <w:b/>
          <w:bCs/>
        </w:rPr>
        <w:t>.</w:t>
      </w:r>
      <w:r>
        <w:t xml:space="preserve"> </w:t>
      </w:r>
    </w:p>
    <w:p w14:paraId="721816A9" w14:textId="77777777" w:rsidR="004103F3" w:rsidRPr="003D2E94" w:rsidRDefault="004103F3" w:rsidP="004103F3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парламентариев, </w:t>
      </w:r>
      <w:r>
        <w:rPr>
          <w:b/>
          <w:bCs/>
        </w:rPr>
        <w:lastRenderedPageBreak/>
        <w:t>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перед представлением своего следующего периодического доклада привлечь Уполномоченного по правам человека, неправительственные организации и других членов гражданского общества к последующей деятельности по выполнению настоящих заключительных замечаний, а также к процессу консультаций на национальном уровне.</w:t>
      </w:r>
    </w:p>
    <w:p w14:paraId="212A39B2" w14:textId="77777777" w:rsidR="004103F3" w:rsidRPr="003D2E94" w:rsidRDefault="004103F3" w:rsidP="004103F3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15 а) (предпринимательская деятельность и права человека), 29 b) (право на справедливые и благоприятные условия труда) и 53 а) (право на образование) выше.</w:t>
      </w:r>
    </w:p>
    <w:p w14:paraId="6BF43582" w14:textId="702DEA2D" w:rsidR="004103F3" w:rsidRPr="003D2E94" w:rsidRDefault="004103F3" w:rsidP="004103F3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просит государство-участник представить свой пятый периодический доклад в соответствии со статьей 16 Пакта к 31 октября 2026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</w:t>
      </w:r>
      <w:r>
        <w:rPr>
          <w:b/>
          <w:bCs/>
          <w:lang w:val="en-US"/>
        </w:rPr>
        <w:t> </w:t>
      </w:r>
      <w:r>
        <w:rPr>
          <w:b/>
          <w:bCs/>
        </w:rPr>
        <w:t>соответствии с резолюцией 68/268 Генеральной Ассамблеи объем доклада не должен превышать 21</w:t>
      </w:r>
      <w:r w:rsidR="00321DE5">
        <w:rPr>
          <w:b/>
          <w:bCs/>
        </w:rPr>
        <w:t> </w:t>
      </w:r>
      <w:r>
        <w:rPr>
          <w:b/>
          <w:bCs/>
        </w:rPr>
        <w:t>200 слов.</w:t>
      </w:r>
    </w:p>
    <w:p w14:paraId="12B59FE2" w14:textId="77777777" w:rsidR="004103F3" w:rsidRPr="003D2E94" w:rsidRDefault="004103F3" w:rsidP="004103F3">
      <w:pPr>
        <w:spacing w:before="240"/>
        <w:jc w:val="center"/>
        <w:rPr>
          <w:u w:val="single"/>
        </w:rPr>
      </w:pPr>
      <w:r w:rsidRPr="003D2E94">
        <w:rPr>
          <w:u w:val="single"/>
        </w:rPr>
        <w:tab/>
      </w:r>
      <w:r w:rsidRPr="003D2E94">
        <w:rPr>
          <w:u w:val="single"/>
        </w:rPr>
        <w:tab/>
      </w:r>
      <w:r w:rsidRPr="003D2E94">
        <w:rPr>
          <w:u w:val="single"/>
        </w:rPr>
        <w:tab/>
      </w:r>
    </w:p>
    <w:sectPr w:rsidR="004103F3" w:rsidRPr="003D2E94" w:rsidSect="004103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489F0" w14:textId="77777777" w:rsidR="009839EA" w:rsidRPr="00A312BC" w:rsidRDefault="009839EA" w:rsidP="00A312BC"/>
  </w:endnote>
  <w:endnote w:type="continuationSeparator" w:id="0">
    <w:p w14:paraId="0AC31CFF" w14:textId="77777777" w:rsidR="009839EA" w:rsidRPr="00A312BC" w:rsidRDefault="009839E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1D5D0" w14:textId="45324C81" w:rsidR="009839EA" w:rsidRPr="004103F3" w:rsidRDefault="009839EA">
    <w:pPr>
      <w:pStyle w:val="aa"/>
    </w:pPr>
    <w:r w:rsidRPr="004103F3">
      <w:rPr>
        <w:b/>
        <w:sz w:val="18"/>
      </w:rPr>
      <w:fldChar w:fldCharType="begin"/>
    </w:r>
    <w:r w:rsidRPr="004103F3">
      <w:rPr>
        <w:b/>
        <w:sz w:val="18"/>
      </w:rPr>
      <w:instrText xml:space="preserve"> PAGE  \* MERGEFORMAT </w:instrText>
    </w:r>
    <w:r w:rsidRPr="004103F3">
      <w:rPr>
        <w:b/>
        <w:sz w:val="18"/>
      </w:rPr>
      <w:fldChar w:fldCharType="separate"/>
    </w:r>
    <w:r w:rsidRPr="004103F3">
      <w:rPr>
        <w:b/>
        <w:noProof/>
        <w:sz w:val="18"/>
      </w:rPr>
      <w:t>2</w:t>
    </w:r>
    <w:r w:rsidRPr="004103F3">
      <w:rPr>
        <w:b/>
        <w:sz w:val="18"/>
      </w:rPr>
      <w:fldChar w:fldCharType="end"/>
    </w:r>
    <w:r>
      <w:rPr>
        <w:b/>
        <w:sz w:val="18"/>
      </w:rPr>
      <w:tab/>
    </w:r>
    <w:r>
      <w:t>GE.21-15876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0B151" w14:textId="569B2F6B" w:rsidR="009839EA" w:rsidRPr="004103F3" w:rsidRDefault="009839EA" w:rsidP="004103F3">
    <w:pPr>
      <w:pStyle w:val="aa"/>
      <w:tabs>
        <w:tab w:val="clear" w:pos="9639"/>
        <w:tab w:val="right" w:pos="9638"/>
      </w:tabs>
      <w:rPr>
        <w:b/>
        <w:sz w:val="18"/>
      </w:rPr>
    </w:pPr>
    <w:r>
      <w:t>GE.21-15876</w:t>
    </w:r>
    <w:r>
      <w:tab/>
    </w:r>
    <w:r w:rsidRPr="004103F3">
      <w:rPr>
        <w:b/>
        <w:sz w:val="18"/>
      </w:rPr>
      <w:fldChar w:fldCharType="begin"/>
    </w:r>
    <w:r w:rsidRPr="004103F3">
      <w:rPr>
        <w:b/>
        <w:sz w:val="18"/>
      </w:rPr>
      <w:instrText xml:space="preserve"> PAGE  \* MERGEFORMAT </w:instrText>
    </w:r>
    <w:r w:rsidRPr="004103F3">
      <w:rPr>
        <w:b/>
        <w:sz w:val="18"/>
      </w:rPr>
      <w:fldChar w:fldCharType="separate"/>
    </w:r>
    <w:r w:rsidRPr="004103F3">
      <w:rPr>
        <w:b/>
        <w:noProof/>
        <w:sz w:val="18"/>
      </w:rPr>
      <w:t>3</w:t>
    </w:r>
    <w:r w:rsidRPr="004103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CC085" w14:textId="16183D32" w:rsidR="009839EA" w:rsidRPr="004103F3" w:rsidRDefault="009839EA" w:rsidP="004103F3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0D991A8" wp14:editId="39926C0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21-15876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1B2A757" wp14:editId="6B1889B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081221  091221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DB4C8F" w14:textId="77777777" w:rsidR="009839EA" w:rsidRPr="001075E9" w:rsidRDefault="009839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EDAB261" w14:textId="77777777" w:rsidR="009839EA" w:rsidRDefault="009839E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CC36B0E" w14:textId="6216DB91" w:rsidR="009839EA" w:rsidRPr="003D2E94" w:rsidRDefault="009839EA" w:rsidP="004103F3">
      <w:pPr>
        <w:pStyle w:val="af"/>
      </w:pPr>
      <w:r>
        <w:tab/>
      </w:r>
      <w:r w:rsidRPr="004103F3">
        <w:rPr>
          <w:sz w:val="20"/>
        </w:rPr>
        <w:t>*</w:t>
      </w:r>
      <w:r>
        <w:tab/>
        <w:t xml:space="preserve">Приняты Комитетом на семидесятой сессии (27 сентября </w:t>
      </w:r>
      <w:r w:rsidRPr="004103F3">
        <w:t>—</w:t>
      </w:r>
      <w:r>
        <w:t xml:space="preserve"> 15 октября 2021 года).</w:t>
      </w:r>
    </w:p>
  </w:footnote>
  <w:footnote w:id="2">
    <w:p w14:paraId="4FEEDCA4" w14:textId="5BFA166E" w:rsidR="009839EA" w:rsidRPr="008821C3" w:rsidRDefault="009839EA" w:rsidP="004103F3">
      <w:pPr>
        <w:pStyle w:val="af"/>
        <w:rPr>
          <w:lang w:val="es-ES"/>
        </w:rPr>
      </w:pPr>
      <w:r w:rsidRPr="008E5D5D"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bookmarkStart w:id="0" w:name="_Hlk89933608"/>
      <w:r w:rsidR="00E168FD">
        <w:fldChar w:fldCharType="begin"/>
      </w:r>
      <w:r w:rsidR="00E168FD" w:rsidRPr="00F62817">
        <w:rPr>
          <w:lang w:val="es-ES"/>
        </w:rPr>
        <w:instrText xml:space="preserve"> HYPERLINK "http://undocs.org/en/E/C.12/AZE/4" </w:instrText>
      </w:r>
      <w:r w:rsidR="00E168FD">
        <w:fldChar w:fldCharType="separate"/>
      </w:r>
      <w:r w:rsidR="00E168FD" w:rsidRPr="00AC05D6">
        <w:rPr>
          <w:rStyle w:val="a7"/>
          <w:bCs/>
          <w:lang w:val="de-CH"/>
        </w:rPr>
        <w:t>E/C.12/AZE/4</w:t>
      </w:r>
      <w:r w:rsidR="00E168FD">
        <w:rPr>
          <w:rStyle w:val="a7"/>
          <w:bCs/>
          <w:lang w:val="de-CH"/>
        </w:rPr>
        <w:fldChar w:fldCharType="end"/>
      </w:r>
      <w:bookmarkEnd w:id="0"/>
      <w:r w:rsidRPr="00B00545">
        <w:rPr>
          <w:lang w:val="es-ES"/>
        </w:rPr>
        <w:t xml:space="preserve">. </w:t>
      </w:r>
      <w:r w:rsidR="00E168FD" w:rsidRPr="008821C3">
        <w:rPr>
          <w:lang w:val="es-ES"/>
        </w:rPr>
        <w:t xml:space="preserve"> </w:t>
      </w:r>
    </w:p>
  </w:footnote>
  <w:footnote w:id="3">
    <w:p w14:paraId="19935047" w14:textId="58422763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r>
        <w:t>См</w:t>
      </w:r>
      <w:r w:rsidRPr="00B00545">
        <w:rPr>
          <w:lang w:val="es-ES"/>
        </w:rPr>
        <w:t xml:space="preserve">. </w:t>
      </w:r>
      <w:hyperlink r:id="rId1" w:history="1">
        <w:r w:rsidR="00E168FD" w:rsidRPr="00AC05D6">
          <w:rPr>
            <w:rStyle w:val="a7"/>
            <w:bCs/>
            <w:lang w:val="de-CH"/>
          </w:rPr>
          <w:t>E/C.12/2021/SR.34</w:t>
        </w:r>
      </w:hyperlink>
      <w:r w:rsidR="00E168FD">
        <w:rPr>
          <w:rStyle w:val="a7"/>
          <w:bCs/>
          <w:lang w:val="de-CH"/>
        </w:rPr>
        <w:t xml:space="preserve"> </w:t>
      </w:r>
      <w:r>
        <w:t>и</w:t>
      </w:r>
      <w:r w:rsidRPr="00B00545">
        <w:rPr>
          <w:lang w:val="es-ES"/>
        </w:rPr>
        <w:t xml:space="preserve"> </w:t>
      </w:r>
      <w:hyperlink r:id="rId2" w:history="1">
        <w:r w:rsidR="00E168FD" w:rsidRPr="00AC05D6">
          <w:rPr>
            <w:rStyle w:val="a7"/>
            <w:bCs/>
            <w:lang w:val="de-CH"/>
          </w:rPr>
          <w:t>E/C.12/2021/SR.36</w:t>
        </w:r>
      </w:hyperlink>
      <w:r w:rsidRPr="00B00545">
        <w:rPr>
          <w:lang w:val="es-ES"/>
        </w:rPr>
        <w:t xml:space="preserve">. </w:t>
      </w:r>
    </w:p>
  </w:footnote>
  <w:footnote w:id="4">
    <w:p w14:paraId="437B7F52" w14:textId="789DED77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3" w:history="1">
        <w:r w:rsidR="00E168FD" w:rsidRPr="008E5D5D">
          <w:rPr>
            <w:rStyle w:val="a7"/>
            <w:bCs/>
            <w:lang w:val="es-ES"/>
          </w:rPr>
          <w:t>E/C.12/AZE/RQ/4</w:t>
        </w:r>
      </w:hyperlink>
      <w:r w:rsidRPr="00B00545">
        <w:rPr>
          <w:lang w:val="es-ES"/>
        </w:rPr>
        <w:t xml:space="preserve">. </w:t>
      </w:r>
    </w:p>
  </w:footnote>
  <w:footnote w:id="5">
    <w:p w14:paraId="73D04A39" w14:textId="0DDC8D07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4" w:history="1">
        <w:r w:rsidR="004C5FC4" w:rsidRPr="008E5D5D">
          <w:rPr>
            <w:rStyle w:val="a7"/>
            <w:bCs/>
            <w:lang w:val="es-ES"/>
          </w:rPr>
          <w:t>E/C.12/2018/1</w:t>
        </w:r>
      </w:hyperlink>
      <w:r w:rsidRPr="00B00545">
        <w:rPr>
          <w:lang w:val="es-ES"/>
        </w:rPr>
        <w:t xml:space="preserve">. </w:t>
      </w:r>
    </w:p>
  </w:footnote>
  <w:footnote w:id="6">
    <w:p w14:paraId="18BC59F5" w14:textId="595AFC8D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r>
        <w:t>См</w:t>
      </w:r>
      <w:r w:rsidRPr="00B00545">
        <w:rPr>
          <w:lang w:val="es-ES"/>
        </w:rPr>
        <w:t xml:space="preserve">. </w:t>
      </w:r>
      <w:hyperlink r:id="rId5" w:history="1">
        <w:r w:rsidR="004C5FC4" w:rsidRPr="008E5D5D">
          <w:rPr>
            <w:rStyle w:val="a7"/>
            <w:bCs/>
            <w:lang w:val="es-ES"/>
          </w:rPr>
          <w:t>E/C.12/AZE/CO/3</w:t>
        </w:r>
      </w:hyperlink>
      <w:r w:rsidRPr="00B00545">
        <w:rPr>
          <w:lang w:val="es-ES"/>
        </w:rPr>
        <w:t xml:space="preserve">, </w:t>
      </w:r>
      <w:r>
        <w:t>п</w:t>
      </w:r>
      <w:r w:rsidRPr="00B00545">
        <w:rPr>
          <w:lang w:val="es-ES"/>
        </w:rPr>
        <w:t xml:space="preserve">. 15. </w:t>
      </w:r>
    </w:p>
  </w:footnote>
  <w:footnote w:id="7">
    <w:p w14:paraId="0CD3B930" w14:textId="69838862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6" w:history="1">
        <w:r w:rsidR="004C5FC4" w:rsidRPr="008E5D5D">
          <w:rPr>
            <w:rStyle w:val="a7"/>
            <w:bCs/>
            <w:lang w:val="es-ES"/>
          </w:rPr>
          <w:t>E/C.12/2001/10</w:t>
        </w:r>
      </w:hyperlink>
      <w:r w:rsidRPr="00B00545">
        <w:rPr>
          <w:lang w:val="es-ES"/>
        </w:rPr>
        <w:t xml:space="preserve">. </w:t>
      </w:r>
    </w:p>
  </w:footnote>
  <w:footnote w:id="8">
    <w:p w14:paraId="31742E38" w14:textId="1F5C5C51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7" w:history="1">
        <w:r w:rsidR="004C5FC4" w:rsidRPr="008E5D5D">
          <w:rPr>
            <w:rStyle w:val="a7"/>
            <w:lang w:val="es-ES"/>
          </w:rPr>
          <w:t>E/C.12/2020/1</w:t>
        </w:r>
      </w:hyperlink>
      <w:r w:rsidRPr="00B00545">
        <w:rPr>
          <w:lang w:val="es-ES"/>
        </w:rPr>
        <w:t xml:space="preserve">. </w:t>
      </w:r>
    </w:p>
  </w:footnote>
  <w:footnote w:id="9">
    <w:p w14:paraId="511DF4A2" w14:textId="22C8C16E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8" w:history="1">
        <w:r w:rsidR="004C5FC4" w:rsidRPr="008E5D5D">
          <w:rPr>
            <w:rStyle w:val="a7"/>
            <w:lang w:val="es-ES"/>
          </w:rPr>
          <w:t>E/C.12/2020/2</w:t>
        </w:r>
      </w:hyperlink>
      <w:r w:rsidRPr="00B00545">
        <w:rPr>
          <w:lang w:val="es-ES"/>
        </w:rPr>
        <w:t>.</w:t>
      </w:r>
    </w:p>
  </w:footnote>
  <w:footnote w:id="10">
    <w:p w14:paraId="053EBFF9" w14:textId="02E51D1F" w:rsidR="009839EA" w:rsidRPr="00B00545" w:rsidRDefault="009839EA" w:rsidP="004103F3">
      <w:pPr>
        <w:pStyle w:val="af"/>
        <w:rPr>
          <w:lang w:val="es-ES"/>
        </w:rPr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9" w:history="1">
        <w:r w:rsidR="004C5FC4" w:rsidRPr="008E5D5D">
          <w:rPr>
            <w:rStyle w:val="a7"/>
            <w:lang w:val="es-ES"/>
          </w:rPr>
          <w:t>E/C.12/2021/1</w:t>
        </w:r>
      </w:hyperlink>
      <w:r w:rsidRPr="00B00545">
        <w:rPr>
          <w:lang w:val="es-ES"/>
        </w:rPr>
        <w:t>.</w:t>
      </w:r>
    </w:p>
  </w:footnote>
  <w:footnote w:id="11">
    <w:p w14:paraId="5357741F" w14:textId="760698A7" w:rsidR="009839EA" w:rsidRPr="008821C3" w:rsidRDefault="009839EA" w:rsidP="004103F3">
      <w:pPr>
        <w:pStyle w:val="af"/>
      </w:pPr>
      <w:r w:rsidRPr="00B00545">
        <w:rPr>
          <w:lang w:val="es-ES"/>
        </w:rPr>
        <w:tab/>
      </w:r>
      <w:r w:rsidRPr="008E5D5D">
        <w:rPr>
          <w:rStyle w:val="a8"/>
        </w:rPr>
        <w:footnoteRef/>
      </w:r>
      <w:r w:rsidRPr="00B00545">
        <w:rPr>
          <w:lang w:val="es-ES"/>
        </w:rPr>
        <w:tab/>
      </w:r>
      <w:hyperlink r:id="rId10" w:history="1">
        <w:r w:rsidR="004C5FC4" w:rsidRPr="008E5D5D">
          <w:rPr>
            <w:rStyle w:val="a7"/>
            <w:bCs/>
            <w:lang w:val="es-ES"/>
          </w:rPr>
          <w:t>E</w:t>
        </w:r>
        <w:r w:rsidR="004C5FC4" w:rsidRPr="008821C3">
          <w:rPr>
            <w:rStyle w:val="a7"/>
            <w:bCs/>
          </w:rPr>
          <w:t>/</w:t>
        </w:r>
        <w:r w:rsidR="004C5FC4" w:rsidRPr="008E5D5D">
          <w:rPr>
            <w:rStyle w:val="a7"/>
            <w:bCs/>
            <w:lang w:val="es-ES"/>
          </w:rPr>
          <w:t>C</w:t>
        </w:r>
        <w:r w:rsidR="004C5FC4" w:rsidRPr="008821C3">
          <w:rPr>
            <w:rStyle w:val="a7"/>
            <w:bCs/>
          </w:rPr>
          <w:t>.12/</w:t>
        </w:r>
        <w:r w:rsidR="004C5FC4" w:rsidRPr="008E5D5D">
          <w:rPr>
            <w:rStyle w:val="a7"/>
            <w:bCs/>
            <w:lang w:val="es-ES"/>
          </w:rPr>
          <w:t>AZE</w:t>
        </w:r>
        <w:r w:rsidR="004C5FC4" w:rsidRPr="008821C3">
          <w:rPr>
            <w:rStyle w:val="a7"/>
            <w:bCs/>
          </w:rPr>
          <w:t>/</w:t>
        </w:r>
        <w:r w:rsidR="004C5FC4" w:rsidRPr="008E5D5D">
          <w:rPr>
            <w:rStyle w:val="a7"/>
            <w:bCs/>
            <w:lang w:val="es-ES"/>
          </w:rPr>
          <w:t>RQ</w:t>
        </w:r>
        <w:r w:rsidR="004C5FC4" w:rsidRPr="008821C3">
          <w:rPr>
            <w:rStyle w:val="a7"/>
            <w:bCs/>
          </w:rPr>
          <w:t>/4</w:t>
        </w:r>
      </w:hyperlink>
      <w:r w:rsidRPr="008821C3">
        <w:t xml:space="preserve">, </w:t>
      </w:r>
      <w:r>
        <w:t>пп</w:t>
      </w:r>
      <w:r w:rsidRPr="008821C3">
        <w:t xml:space="preserve">. 232–236. </w:t>
      </w:r>
    </w:p>
  </w:footnote>
  <w:footnote w:id="12">
    <w:p w14:paraId="5D0E99BC" w14:textId="77777777" w:rsidR="009839EA" w:rsidRPr="003D2E94" w:rsidRDefault="009839EA" w:rsidP="004103F3">
      <w:pPr>
        <w:pStyle w:val="af"/>
      </w:pPr>
      <w:r w:rsidRPr="008821C3">
        <w:tab/>
      </w:r>
      <w:r w:rsidRPr="008E5D5D">
        <w:rPr>
          <w:rStyle w:val="a8"/>
        </w:rPr>
        <w:footnoteRef/>
      </w:r>
      <w:r>
        <w:tab/>
        <w:t xml:space="preserve">Там же, пп. 240–246. </w:t>
      </w:r>
    </w:p>
  </w:footnote>
  <w:footnote w:id="13">
    <w:p w14:paraId="142C9E49" w14:textId="77777777" w:rsidR="009839EA" w:rsidRPr="003D2E94" w:rsidRDefault="009839EA" w:rsidP="004103F3">
      <w:pPr>
        <w:pStyle w:val="af"/>
      </w:pPr>
      <w:r w:rsidRPr="008E5D5D">
        <w:tab/>
      </w:r>
      <w:r w:rsidRPr="008E5D5D">
        <w:rPr>
          <w:rStyle w:val="a8"/>
        </w:rPr>
        <w:footnoteRef/>
      </w:r>
      <w:r>
        <w:tab/>
        <w:t xml:space="preserve">Там же, пп. 240–242. </w:t>
      </w:r>
    </w:p>
  </w:footnote>
  <w:footnote w:id="14">
    <w:p w14:paraId="0EC119F5" w14:textId="3A0AC3C4" w:rsidR="009839EA" w:rsidRPr="008E5D5D" w:rsidRDefault="009839EA" w:rsidP="004103F3">
      <w:pPr>
        <w:pStyle w:val="af"/>
      </w:pPr>
      <w:r w:rsidRPr="008E5D5D">
        <w:tab/>
      </w:r>
      <w:r w:rsidRPr="008E5D5D">
        <w:rPr>
          <w:rStyle w:val="a8"/>
        </w:rPr>
        <w:footnoteRef/>
      </w:r>
      <w:r>
        <w:tab/>
      </w:r>
      <w:hyperlink r:id="rId11" w:history="1">
        <w:r w:rsidR="00DE0E06" w:rsidRPr="008E5D5D">
          <w:rPr>
            <w:rStyle w:val="a7"/>
            <w:lang w:val="es-ES"/>
          </w:rPr>
          <w:t>E</w:t>
        </w:r>
        <w:r w:rsidR="00DE0E06" w:rsidRPr="008821C3">
          <w:rPr>
            <w:rStyle w:val="a7"/>
          </w:rPr>
          <w:t>/</w:t>
        </w:r>
        <w:r w:rsidR="00DE0E06" w:rsidRPr="008E5D5D">
          <w:rPr>
            <w:rStyle w:val="a7"/>
            <w:lang w:val="es-ES"/>
          </w:rPr>
          <w:t>C</w:t>
        </w:r>
        <w:r w:rsidR="00DE0E06" w:rsidRPr="008821C3">
          <w:rPr>
            <w:rStyle w:val="a7"/>
          </w:rPr>
          <w:t>.12/2020/1</w:t>
        </w:r>
      </w:hyperlink>
      <w:r>
        <w:t>.</w:t>
      </w:r>
    </w:p>
  </w:footnote>
  <w:footnote w:id="15">
    <w:p w14:paraId="210D91C4" w14:textId="61849F80" w:rsidR="009839EA" w:rsidRPr="008E5D5D" w:rsidRDefault="009839EA" w:rsidP="004103F3">
      <w:pPr>
        <w:pStyle w:val="af"/>
      </w:pPr>
      <w:r w:rsidRPr="008E5D5D">
        <w:tab/>
      </w:r>
      <w:r w:rsidRPr="008E5D5D">
        <w:rPr>
          <w:rStyle w:val="a8"/>
        </w:rPr>
        <w:footnoteRef/>
      </w:r>
      <w:r>
        <w:tab/>
      </w:r>
      <w:hyperlink r:id="rId12" w:history="1">
        <w:r w:rsidR="00DE0E06" w:rsidRPr="008E5D5D">
          <w:rPr>
            <w:rStyle w:val="a7"/>
            <w:bCs/>
          </w:rPr>
          <w:t>E/C.12/2019/1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EA40D" w14:textId="17FE592F" w:rsidR="009839EA" w:rsidRPr="004103F3" w:rsidRDefault="00CA4F2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E/C.12/AZE/CO/4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DB3EB" w14:textId="64134398" w:rsidR="009839EA" w:rsidRPr="004103F3" w:rsidRDefault="00CA4F21" w:rsidP="004103F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E/C.12/AZE/CO/4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2F028" w14:textId="77777777" w:rsidR="009839EA" w:rsidRDefault="009839EA" w:rsidP="004103F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21"/>
  </w:num>
  <w:num w:numId="20">
    <w:abstractNumId w:val="16"/>
  </w:num>
  <w:num w:numId="21">
    <w:abstractNumId w:val="18"/>
  </w:num>
  <w:num w:numId="22">
    <w:abstractNumId w:val="21"/>
  </w:num>
  <w:num w:numId="23">
    <w:abstractNumId w:val="16"/>
  </w:num>
  <w:num w:numId="24">
    <w:abstractNumId w:val="18"/>
  </w:num>
  <w:num w:numId="25">
    <w:abstractNumId w:val="21"/>
  </w:num>
  <w:num w:numId="26">
    <w:abstractNumId w:val="16"/>
  </w:num>
  <w:num w:numId="27">
    <w:abstractNumId w:val="18"/>
  </w:num>
  <w:num w:numId="28">
    <w:abstractNumId w:val="14"/>
  </w:num>
  <w:num w:numId="29">
    <w:abstractNumId w:val="13"/>
  </w:num>
  <w:num w:numId="30">
    <w:abstractNumId w:val="10"/>
  </w:num>
  <w:num w:numId="31">
    <w:abstractNumId w:val="19"/>
  </w:num>
  <w:num w:numId="32">
    <w:abstractNumId w:val="20"/>
  </w:num>
  <w:num w:numId="33">
    <w:abstractNumId w:val="24"/>
  </w:num>
  <w:num w:numId="34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AF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40E0"/>
    <w:rsid w:val="00196389"/>
    <w:rsid w:val="001B3EF6"/>
    <w:rsid w:val="001C7A89"/>
    <w:rsid w:val="001D5C5A"/>
    <w:rsid w:val="00203065"/>
    <w:rsid w:val="002979E2"/>
    <w:rsid w:val="002A2EFC"/>
    <w:rsid w:val="002B2AF5"/>
    <w:rsid w:val="002B74B1"/>
    <w:rsid w:val="002C0E18"/>
    <w:rsid w:val="002C5205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1DE5"/>
    <w:rsid w:val="00322004"/>
    <w:rsid w:val="003402C2"/>
    <w:rsid w:val="00381C24"/>
    <w:rsid w:val="003958D0"/>
    <w:rsid w:val="003A0D43"/>
    <w:rsid w:val="003B00E5"/>
    <w:rsid w:val="00407B78"/>
    <w:rsid w:val="004103F3"/>
    <w:rsid w:val="00424203"/>
    <w:rsid w:val="0042551A"/>
    <w:rsid w:val="00452493"/>
    <w:rsid w:val="00453318"/>
    <w:rsid w:val="00454E07"/>
    <w:rsid w:val="00472C5C"/>
    <w:rsid w:val="004C5FC4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C0F0A"/>
    <w:rsid w:val="00806737"/>
    <w:rsid w:val="00811570"/>
    <w:rsid w:val="00825F8D"/>
    <w:rsid w:val="00834B71"/>
    <w:rsid w:val="0086445C"/>
    <w:rsid w:val="00881771"/>
    <w:rsid w:val="008821C3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839EA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1586"/>
    <w:rsid w:val="00BD33EE"/>
    <w:rsid w:val="00BF21E1"/>
    <w:rsid w:val="00C106D6"/>
    <w:rsid w:val="00C60F0C"/>
    <w:rsid w:val="00C805C9"/>
    <w:rsid w:val="00C92939"/>
    <w:rsid w:val="00CA1679"/>
    <w:rsid w:val="00CA4F21"/>
    <w:rsid w:val="00CA5E7C"/>
    <w:rsid w:val="00CB151C"/>
    <w:rsid w:val="00CB37CA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0E06"/>
    <w:rsid w:val="00DE32CD"/>
    <w:rsid w:val="00DF71B9"/>
    <w:rsid w:val="00E168FD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2167"/>
    <w:rsid w:val="00FE447E"/>
    <w:rsid w:val="00FE6E84"/>
    <w:rsid w:val="00FF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1B506D"/>
  <w15:docId w15:val="{3C0E298E-43D5-4B35-BDD2-5FC67774D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20">
    <w:name w:val="Заголовок 2 Знак"/>
    <w:basedOn w:val="a0"/>
    <w:link w:val="2"/>
    <w:semiHidden/>
    <w:rsid w:val="004103F3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103F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103F3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103F3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103F3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103F3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103F3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103F3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4103F3"/>
    <w:pPr>
      <w:numPr>
        <w:numId w:val="32"/>
      </w:numPr>
    </w:pPr>
  </w:style>
  <w:style w:type="numbering" w:styleId="1ai">
    <w:name w:val="Outline List 1"/>
    <w:basedOn w:val="a2"/>
    <w:semiHidden/>
    <w:rsid w:val="004103F3"/>
    <w:pPr>
      <w:numPr>
        <w:numId w:val="33"/>
      </w:numPr>
    </w:pPr>
  </w:style>
  <w:style w:type="character" w:styleId="af3">
    <w:name w:val="Book Title"/>
    <w:basedOn w:val="a0"/>
    <w:uiPriority w:val="33"/>
    <w:rsid w:val="004103F3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4103F3"/>
    <w:rPr>
      <w:lang w:val="ru-RU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4103F3"/>
    <w:rPr>
      <w:color w:val="605E5C"/>
      <w:shd w:val="clear" w:color="auto" w:fill="E1DFDD"/>
    </w:rPr>
  </w:style>
  <w:style w:type="paragraph" w:styleId="af4">
    <w:name w:val="annotation text"/>
    <w:basedOn w:val="a"/>
    <w:link w:val="af5"/>
    <w:uiPriority w:val="99"/>
    <w:semiHidden/>
    <w:unhideWhenUsed/>
    <w:rsid w:val="004103F3"/>
    <w:pPr>
      <w:spacing w:line="240" w:lineRule="auto"/>
    </w:pPr>
    <w:rPr>
      <w:rFonts w:eastAsia="Times New Roman" w:cs="Times New Roman"/>
      <w:sz w:val="24"/>
      <w:szCs w:val="24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4103F3"/>
    <w:rPr>
      <w:sz w:val="24"/>
      <w:szCs w:val="24"/>
      <w:lang w:val="en-GB" w:eastAsia="en-US"/>
    </w:rPr>
  </w:style>
  <w:style w:type="character" w:styleId="af6">
    <w:name w:val="annotation reference"/>
    <w:basedOn w:val="a0"/>
    <w:uiPriority w:val="99"/>
    <w:semiHidden/>
    <w:unhideWhenUsed/>
    <w:rsid w:val="004103F3"/>
    <w:rPr>
      <w:sz w:val="18"/>
      <w:szCs w:val="18"/>
    </w:rPr>
  </w:style>
  <w:style w:type="paragraph" w:styleId="af7">
    <w:name w:val="annotation subject"/>
    <w:basedOn w:val="af4"/>
    <w:next w:val="af4"/>
    <w:link w:val="af8"/>
    <w:uiPriority w:val="99"/>
    <w:semiHidden/>
    <w:unhideWhenUsed/>
    <w:rsid w:val="004103F3"/>
    <w:rPr>
      <w:b/>
      <w:bCs/>
      <w:sz w:val="20"/>
      <w:szCs w:val="20"/>
    </w:rPr>
  </w:style>
  <w:style w:type="character" w:customStyle="1" w:styleId="af8">
    <w:name w:val="Тема примечания Знак"/>
    <w:basedOn w:val="af5"/>
    <w:link w:val="af7"/>
    <w:uiPriority w:val="99"/>
    <w:semiHidden/>
    <w:rsid w:val="004103F3"/>
    <w:rPr>
      <w:b/>
      <w:bCs/>
      <w:sz w:val="24"/>
      <w:szCs w:val="24"/>
      <w:lang w:val="en-GB" w:eastAsia="en-US"/>
    </w:rPr>
  </w:style>
  <w:style w:type="paragraph" w:styleId="af9">
    <w:name w:val="Revision"/>
    <w:hidden/>
    <w:uiPriority w:val="99"/>
    <w:semiHidden/>
    <w:rsid w:val="004103F3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20/2" TargetMode="External"/><Relationship Id="rId3" Type="http://schemas.openxmlformats.org/officeDocument/2006/relationships/hyperlink" Target="http://undocs.org/en/E/C.12/AZE/RQ/4" TargetMode="External"/><Relationship Id="rId7" Type="http://schemas.openxmlformats.org/officeDocument/2006/relationships/hyperlink" Target="http://undocs.org/ru/E/C.12/2020/1" TargetMode="External"/><Relationship Id="rId12" Type="http://schemas.openxmlformats.org/officeDocument/2006/relationships/hyperlink" Target="http://undocs.org/ru/E/C.12/2019/1" TargetMode="External"/><Relationship Id="rId2" Type="http://schemas.openxmlformats.org/officeDocument/2006/relationships/hyperlink" Target="http://undocs.org/en/E/C.12/2021/SR.36" TargetMode="External"/><Relationship Id="rId1" Type="http://schemas.openxmlformats.org/officeDocument/2006/relationships/hyperlink" Target="http://undocs.org/en/E/C.12/2021/SR.34" TargetMode="External"/><Relationship Id="rId6" Type="http://schemas.openxmlformats.org/officeDocument/2006/relationships/hyperlink" Target="http://undocs.org/ru/E/C.12/2001/10" TargetMode="External"/><Relationship Id="rId11" Type="http://schemas.openxmlformats.org/officeDocument/2006/relationships/hyperlink" Target="http://undocs.org/ru/E/C.12/2020/1" TargetMode="External"/><Relationship Id="rId5" Type="http://schemas.openxmlformats.org/officeDocument/2006/relationships/hyperlink" Target="http://undocs.org/ru/E/C.12/AZE/CO/3" TargetMode="External"/><Relationship Id="rId10" Type="http://schemas.openxmlformats.org/officeDocument/2006/relationships/hyperlink" Target="http://undocs.org/en/E/C.12/AZE/RQ/4" TargetMode="External"/><Relationship Id="rId4" Type="http://schemas.openxmlformats.org/officeDocument/2006/relationships/hyperlink" Target="http://undocs.org/ru/E/C.12/2018/1" TargetMode="External"/><Relationship Id="rId9" Type="http://schemas.openxmlformats.org/officeDocument/2006/relationships/hyperlink" Target="http://undocs.org/ru/E/C.12/2021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14</Pages>
  <Words>6312</Words>
  <Characters>35983</Characters>
  <Application>Microsoft Office Word</Application>
  <DocSecurity>0</DocSecurity>
  <Lines>299</Lines>
  <Paragraphs>84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E/C.12/AZE/CO/4</vt:lpstr>
      <vt:lpstr>A/</vt:lpstr>
      <vt:lpstr>A/</vt:lpstr>
    </vt:vector>
  </TitlesOfParts>
  <Company>DCM</Company>
  <LinksUpToDate>false</LinksUpToDate>
  <CharactersWithSpaces>42211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E/C.12/AZE/CO/4</dc:title>
  <dc:subject/>
  <dc:creator>Olga OVTCHINNIKOVA</dc:creator>
  <cp:keywords/>
  <cp:lastModifiedBy>Olga Ovchinnikova</cp:lastModifiedBy>
  <cp:revision>3</cp:revision>
  <cp:lastPrinted>2021-12-09T08:47:00Z</cp:lastPrinted>
  <dcterms:created xsi:type="dcterms:W3CDTF">2021-12-09T08:47:00Z</dcterms:created>
  <dcterms:modified xsi:type="dcterms:W3CDTF">2021-12-09T08:49:00Z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