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RPr="001359DC" w14:paraId="63AA1ABB" w14:textId="77777777" w:rsidTr="00995279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14:paraId="3B45DC99" w14:textId="77777777" w:rsidR="002D5AAC" w:rsidRPr="001359DC" w:rsidRDefault="002D5AAC" w:rsidP="00995279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lang w:val="es-ES"/>
              </w:rPr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14:paraId="022CAC88" w14:textId="77777777" w:rsidR="002D5AAC" w:rsidRPr="001359DC" w:rsidRDefault="00BD33EE" w:rsidP="0008244E">
            <w:pPr>
              <w:spacing w:after="80" w:line="300" w:lineRule="exact"/>
              <w:rPr>
                <w:sz w:val="28"/>
                <w:lang w:val="es-ES"/>
              </w:rPr>
            </w:pPr>
            <w:r w:rsidRPr="001359DC">
              <w:rPr>
                <w:sz w:val="28"/>
                <w:lang w:val="es-ES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14:paraId="06E393CF" w14:textId="03A4F4FB" w:rsidR="002D5AAC" w:rsidRPr="001359DC" w:rsidRDefault="00995279" w:rsidP="00995279">
            <w:pPr>
              <w:jc w:val="right"/>
              <w:rPr>
                <w:lang w:val="es-ES"/>
              </w:rPr>
            </w:pPr>
            <w:r w:rsidRPr="00995279">
              <w:rPr>
                <w:sz w:val="40"/>
                <w:lang w:val="es-ES"/>
              </w:rPr>
              <w:t>A</w:t>
            </w:r>
            <w:r>
              <w:rPr>
                <w:lang w:val="es-ES"/>
              </w:rPr>
              <w:t>/HRC/RES/48/1</w:t>
            </w:r>
          </w:p>
        </w:tc>
      </w:tr>
      <w:tr w:rsidR="002D5AAC" w:rsidRPr="001359DC" w14:paraId="3A5F7C19" w14:textId="77777777" w:rsidTr="0099527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14:paraId="0FD0610D" w14:textId="77777777" w:rsidR="002D5AAC" w:rsidRPr="001359DC" w:rsidRDefault="002E5067" w:rsidP="0008244E">
            <w:pPr>
              <w:spacing w:before="120"/>
              <w:jc w:val="center"/>
              <w:rPr>
                <w:lang w:val="es-ES"/>
              </w:rPr>
            </w:pPr>
            <w:r w:rsidRPr="001359DC">
              <w:rPr>
                <w:noProof/>
              </w:rPr>
              <w:drawing>
                <wp:inline distT="0" distB="0" distL="0" distR="0" wp14:anchorId="3DCD4919" wp14:editId="077A1323">
                  <wp:extent cx="714375" cy="590550"/>
                  <wp:effectExtent l="0" t="0" r="0" b="0"/>
                  <wp:docPr id="2" name="Imagen 1" descr="Naciones_Unidas_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827F435" w14:textId="77777777" w:rsidR="002D5AAC" w:rsidRPr="001359DC" w:rsidRDefault="002F7EEC" w:rsidP="0008244E">
            <w:pPr>
              <w:spacing w:before="120" w:line="360" w:lineRule="exact"/>
              <w:rPr>
                <w:b/>
                <w:sz w:val="34"/>
                <w:szCs w:val="34"/>
                <w:lang w:val="es-ES"/>
              </w:rPr>
            </w:pPr>
            <w:r w:rsidRPr="001359DC">
              <w:rPr>
                <w:b/>
                <w:sz w:val="40"/>
                <w:szCs w:val="40"/>
                <w:lang w:val="es-ES"/>
              </w:rPr>
              <w:t>Asamblea General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127724DC" w14:textId="77777777" w:rsidR="002D5AAC" w:rsidRDefault="00995279" w:rsidP="0008244E">
            <w:pPr>
              <w:spacing w:before="240"/>
              <w:rPr>
                <w:lang w:val="es-ES"/>
              </w:rPr>
            </w:pPr>
            <w:r>
              <w:rPr>
                <w:lang w:val="es-ES"/>
              </w:rPr>
              <w:t>Distr. general</w:t>
            </w:r>
          </w:p>
          <w:p w14:paraId="09008CB6" w14:textId="77777777" w:rsidR="00995279" w:rsidRDefault="00995279" w:rsidP="00995279">
            <w:pPr>
              <w:spacing w:line="240" w:lineRule="exact"/>
              <w:rPr>
                <w:lang w:val="es-ES"/>
              </w:rPr>
            </w:pPr>
            <w:r>
              <w:rPr>
                <w:lang w:val="es-ES"/>
              </w:rPr>
              <w:t>13 de octubre de 2021</w:t>
            </w:r>
          </w:p>
          <w:p w14:paraId="07D8AB5E" w14:textId="77777777" w:rsidR="00995279" w:rsidRDefault="00995279" w:rsidP="00995279">
            <w:pPr>
              <w:spacing w:line="240" w:lineRule="exact"/>
              <w:rPr>
                <w:lang w:val="es-ES"/>
              </w:rPr>
            </w:pPr>
            <w:r>
              <w:rPr>
                <w:lang w:val="es-ES"/>
              </w:rPr>
              <w:t>Español</w:t>
            </w:r>
          </w:p>
          <w:p w14:paraId="3FD06FD8" w14:textId="249F9671" w:rsidR="00995279" w:rsidRPr="001359DC" w:rsidRDefault="00995279" w:rsidP="00995279">
            <w:pPr>
              <w:spacing w:line="240" w:lineRule="exact"/>
              <w:rPr>
                <w:lang w:val="es-ES"/>
              </w:rPr>
            </w:pPr>
            <w:r>
              <w:rPr>
                <w:lang w:val="es-ES"/>
              </w:rPr>
              <w:t>Original: inglés</w:t>
            </w:r>
          </w:p>
        </w:tc>
      </w:tr>
    </w:tbl>
    <w:p w14:paraId="5783DAA2" w14:textId="77777777" w:rsidR="00995279" w:rsidRPr="00995279" w:rsidRDefault="00995279" w:rsidP="00995279">
      <w:pPr>
        <w:spacing w:before="120"/>
        <w:rPr>
          <w:b/>
          <w:sz w:val="24"/>
          <w:szCs w:val="24"/>
          <w:lang w:val="en-GB"/>
        </w:rPr>
      </w:pPr>
      <w:r w:rsidRPr="00995279">
        <w:rPr>
          <w:b/>
          <w:bCs/>
          <w:sz w:val="24"/>
          <w:szCs w:val="24"/>
        </w:rPr>
        <w:t>Consejo de Derechos Humanos</w:t>
      </w:r>
    </w:p>
    <w:p w14:paraId="786769C4" w14:textId="45B18CC1" w:rsidR="00995279" w:rsidRPr="00995279" w:rsidRDefault="00995279" w:rsidP="00995279">
      <w:pPr>
        <w:rPr>
          <w:b/>
          <w:lang w:val="en-GB"/>
        </w:rPr>
      </w:pPr>
      <w:r w:rsidRPr="00995279">
        <w:rPr>
          <w:b/>
          <w:bCs/>
        </w:rPr>
        <w:t>48</w:t>
      </w:r>
      <w:r w:rsidR="004F50BF">
        <w:rPr>
          <w:b/>
          <w:bCs/>
        </w:rPr>
        <w:t>º</w:t>
      </w:r>
      <w:r w:rsidRPr="00995279">
        <w:rPr>
          <w:b/>
          <w:bCs/>
        </w:rPr>
        <w:t xml:space="preserve"> período de sesiones</w:t>
      </w:r>
    </w:p>
    <w:p w14:paraId="32517A24" w14:textId="77777777" w:rsidR="00995279" w:rsidRPr="00995279" w:rsidRDefault="00995279" w:rsidP="00995279">
      <w:r w:rsidRPr="00995279">
        <w:t>13 de septiembre a 11 de octubre de 2021</w:t>
      </w:r>
    </w:p>
    <w:p w14:paraId="7AC78D51" w14:textId="77777777" w:rsidR="00995279" w:rsidRPr="00995279" w:rsidRDefault="00995279" w:rsidP="00995279">
      <w:r w:rsidRPr="00995279">
        <w:t>Tema 2 de la agenda</w:t>
      </w:r>
    </w:p>
    <w:p w14:paraId="54855F40" w14:textId="58750BD4" w:rsidR="00995279" w:rsidRPr="00995279" w:rsidRDefault="00995279" w:rsidP="00995279">
      <w:pPr>
        <w:rPr>
          <w:b/>
        </w:rPr>
      </w:pPr>
      <w:r w:rsidRPr="00995279">
        <w:rPr>
          <w:b/>
          <w:bCs/>
        </w:rPr>
        <w:t xml:space="preserve">Informe anual del Alto Comisionado de las Naciones Unidas </w:t>
      </w:r>
      <w:r>
        <w:rPr>
          <w:b/>
          <w:bCs/>
        </w:rPr>
        <w:br/>
      </w:r>
      <w:r w:rsidRPr="00995279">
        <w:rPr>
          <w:b/>
          <w:bCs/>
        </w:rPr>
        <w:t xml:space="preserve">para los Derechos Humanos e informes de la Oficina </w:t>
      </w:r>
      <w:r>
        <w:rPr>
          <w:b/>
          <w:bCs/>
        </w:rPr>
        <w:br/>
      </w:r>
      <w:r w:rsidRPr="00995279">
        <w:rPr>
          <w:b/>
          <w:bCs/>
        </w:rPr>
        <w:t>del Alto Comisionado y del Secretario General</w:t>
      </w:r>
    </w:p>
    <w:p w14:paraId="1BA3F9C9" w14:textId="529F0793" w:rsidR="00995279" w:rsidRPr="00995279" w:rsidRDefault="00995279" w:rsidP="00995279">
      <w:pPr>
        <w:pStyle w:val="HChG"/>
      </w:pPr>
      <w:r>
        <w:tab/>
      </w:r>
      <w:r w:rsidRPr="00995279">
        <w:tab/>
        <w:t>Resolución aprobada por el Consejo de Derechos Humanos el</w:t>
      </w:r>
      <w:r>
        <w:t> </w:t>
      </w:r>
      <w:r w:rsidRPr="00995279">
        <w:t>7 de octubre de 2021</w:t>
      </w:r>
    </w:p>
    <w:p w14:paraId="7C28A19F" w14:textId="39F2729C" w:rsidR="00995279" w:rsidRDefault="00995279" w:rsidP="00995279">
      <w:pPr>
        <w:pStyle w:val="H1G"/>
      </w:pPr>
      <w:r>
        <w:tab/>
      </w:r>
      <w:r w:rsidRPr="00651DAE">
        <w:t>48/1.</w:t>
      </w:r>
      <w:r w:rsidRPr="00651DAE">
        <w:tab/>
        <w:t>Situación de los derechos humanos en el Afganistán</w:t>
      </w:r>
    </w:p>
    <w:p w14:paraId="604FCA4E" w14:textId="77777777" w:rsidR="00995279" w:rsidRPr="00995279" w:rsidRDefault="00995279" w:rsidP="00995279">
      <w:pPr>
        <w:pStyle w:val="SingleTxtG"/>
      </w:pPr>
      <w:r w:rsidRPr="00995279">
        <w:tab/>
      </w:r>
      <w:r w:rsidRPr="00995279">
        <w:rPr>
          <w:i/>
          <w:iCs/>
        </w:rPr>
        <w:t>El Consejo de Derechos Humanos</w:t>
      </w:r>
      <w:r w:rsidRPr="00995279">
        <w:t>,</w:t>
      </w:r>
    </w:p>
    <w:p w14:paraId="7010FC0F" w14:textId="77777777" w:rsidR="00995279" w:rsidRPr="00995279" w:rsidRDefault="00995279" w:rsidP="00995279">
      <w:pPr>
        <w:pStyle w:val="SingleTxtG"/>
      </w:pPr>
      <w:r w:rsidRPr="00995279">
        <w:tab/>
      </w:r>
      <w:r w:rsidRPr="00995279">
        <w:rPr>
          <w:i/>
          <w:iCs/>
        </w:rPr>
        <w:t>Guiado</w:t>
      </w:r>
      <w:r w:rsidRPr="00995279">
        <w:t xml:space="preserve"> por los propósitos y principios de la Carta de las Naciones Unidas,</w:t>
      </w:r>
    </w:p>
    <w:p w14:paraId="56A2B09A" w14:textId="13EA6A0D" w:rsidR="00995279" w:rsidRPr="00995279" w:rsidRDefault="00995279" w:rsidP="00995279">
      <w:pPr>
        <w:pStyle w:val="SingleTxtG"/>
      </w:pPr>
      <w:r>
        <w:rPr>
          <w:i/>
          <w:iCs/>
        </w:rPr>
        <w:tab/>
      </w:r>
      <w:r w:rsidRPr="00995279">
        <w:rPr>
          <w:i/>
          <w:iCs/>
        </w:rPr>
        <w:t>Reafirmando</w:t>
      </w:r>
      <w:r w:rsidRPr="00995279">
        <w:t xml:space="preserve"> la Declaración Universal de Derechos Humanos y recordando los tratados internacionales de derechos humanos pertinentes,</w:t>
      </w:r>
    </w:p>
    <w:p w14:paraId="3A5DE62D" w14:textId="22F321AF" w:rsidR="00995279" w:rsidRPr="00995279" w:rsidRDefault="00995279" w:rsidP="00995279">
      <w:pPr>
        <w:pStyle w:val="SingleTxtG"/>
      </w:pPr>
      <w:r>
        <w:rPr>
          <w:i/>
          <w:iCs/>
        </w:rPr>
        <w:tab/>
      </w:r>
      <w:r w:rsidRPr="00995279">
        <w:rPr>
          <w:i/>
          <w:iCs/>
        </w:rPr>
        <w:t xml:space="preserve">Reafirmando también </w:t>
      </w:r>
      <w:r w:rsidRPr="00995279">
        <w:t>que todos los derechos humanos son universales e indivisibles, están relacionados entre sí, son interdependientes y se refuerzan mutuamente, y deben tratarse de manera justa y equitativa, en pie de igualdad y asignándoles la misma importancia,</w:t>
      </w:r>
    </w:p>
    <w:p w14:paraId="3F542B35" w14:textId="0177280F" w:rsidR="00995279" w:rsidRPr="00995279" w:rsidRDefault="00995279" w:rsidP="00995279">
      <w:pPr>
        <w:pStyle w:val="SingleTxtG"/>
        <w:rPr>
          <w:iCs/>
        </w:rPr>
      </w:pPr>
      <w:r>
        <w:rPr>
          <w:i/>
          <w:iCs/>
        </w:rPr>
        <w:tab/>
      </w:r>
      <w:r w:rsidRPr="00995279">
        <w:rPr>
          <w:i/>
          <w:iCs/>
        </w:rPr>
        <w:t>Reconociendo</w:t>
      </w:r>
      <w:r w:rsidRPr="00995279">
        <w:t xml:space="preserve"> que la promoción y protección de los derechos humanos debe basarse en los principios de cooperación y diálogo genuino a fin de fortalecer la capacidad de los</w:t>
      </w:r>
      <w:r w:rsidR="00067AC3">
        <w:t> </w:t>
      </w:r>
      <w:r w:rsidRPr="00995279">
        <w:t>Estados Miembros para cumplir sus obligaciones en materia de derechos humanos en beneficio de todas las personas,</w:t>
      </w:r>
    </w:p>
    <w:p w14:paraId="1B0A6872" w14:textId="63BDBFE2" w:rsidR="00995279" w:rsidRPr="00995279" w:rsidRDefault="00995279" w:rsidP="00995279">
      <w:pPr>
        <w:pStyle w:val="SingleTxtG"/>
      </w:pPr>
      <w:r>
        <w:rPr>
          <w:i/>
          <w:iCs/>
        </w:rPr>
        <w:tab/>
      </w:r>
      <w:r w:rsidRPr="00995279">
        <w:rPr>
          <w:i/>
          <w:iCs/>
        </w:rPr>
        <w:t>Reconociendo también</w:t>
      </w:r>
      <w:r w:rsidRPr="00995279">
        <w:t xml:space="preserve"> que el desarrollo, la paz y la seguridad y los derechos humanos están interrelacionados y se refuerzan mutuamente,</w:t>
      </w:r>
    </w:p>
    <w:p w14:paraId="7955AF3C" w14:textId="636E9AF4" w:rsidR="00995279" w:rsidRPr="00995279" w:rsidRDefault="00995279" w:rsidP="00995279">
      <w:pPr>
        <w:pStyle w:val="SingleTxtG"/>
      </w:pPr>
      <w:r>
        <w:rPr>
          <w:i/>
          <w:iCs/>
        </w:rPr>
        <w:tab/>
      </w:r>
      <w:r w:rsidRPr="00995279">
        <w:rPr>
          <w:i/>
          <w:iCs/>
        </w:rPr>
        <w:t>Reafirmando</w:t>
      </w:r>
      <w:r w:rsidRPr="00995279">
        <w:t xml:space="preserve"> su firme compromiso con la soberanía, la independencia política, la integridad territorial y la unidad del Afganistán, y que el pueblo afgano tiene derecho a establecer libremente su condición política y procurar libremente su desarrollo económico, social y cultural,</w:t>
      </w:r>
    </w:p>
    <w:p w14:paraId="6730781F" w14:textId="253B743C" w:rsidR="00995279" w:rsidRPr="00995279" w:rsidRDefault="00995279" w:rsidP="00995279">
      <w:pPr>
        <w:pStyle w:val="SingleTxtG"/>
      </w:pPr>
      <w:r>
        <w:rPr>
          <w:i/>
          <w:iCs/>
        </w:rPr>
        <w:tab/>
      </w:r>
      <w:r w:rsidRPr="00995279">
        <w:rPr>
          <w:i/>
          <w:iCs/>
        </w:rPr>
        <w:t>Recordando</w:t>
      </w:r>
      <w:r w:rsidRPr="00995279">
        <w:t xml:space="preserve"> el 31</w:t>
      </w:r>
      <w:r w:rsidRPr="00995279">
        <w:rPr>
          <w:vertAlign w:val="superscript"/>
        </w:rPr>
        <w:t>er</w:t>
      </w:r>
      <w:r w:rsidRPr="00995279">
        <w:t xml:space="preserve"> período extraordinario de sesiones del Consejo de Derechos Humanos sobre las serias preocupaciones y la grave situación en materia de derechos humanos en el Afganistán, y la resolución S-31/1 aprobada en él por el Consejo, el 24 de agosto de 2021,</w:t>
      </w:r>
    </w:p>
    <w:p w14:paraId="497D29AF" w14:textId="74E6E35B" w:rsidR="00995279" w:rsidRPr="00995279" w:rsidRDefault="00995279" w:rsidP="00995279">
      <w:pPr>
        <w:pStyle w:val="SingleTxtG"/>
      </w:pPr>
      <w:r>
        <w:rPr>
          <w:i/>
          <w:iCs/>
        </w:rPr>
        <w:tab/>
      </w:r>
      <w:r w:rsidRPr="00995279">
        <w:rPr>
          <w:i/>
          <w:iCs/>
        </w:rPr>
        <w:t>Recordando también</w:t>
      </w:r>
      <w:r w:rsidRPr="00995279">
        <w:t xml:space="preserve"> todas las resoluciones pertinentes aprobadas por la Asamblea General, el Consejo de Seguridad y el Consejo de Derechos Humanos sobre la situación en el Afganistán,</w:t>
      </w:r>
    </w:p>
    <w:p w14:paraId="61B4F20B" w14:textId="58AD17C9" w:rsidR="00995279" w:rsidRPr="00995279" w:rsidRDefault="00995279" w:rsidP="00995279">
      <w:pPr>
        <w:pStyle w:val="SingleTxtG"/>
      </w:pPr>
      <w:r>
        <w:rPr>
          <w:i/>
          <w:iCs/>
        </w:rPr>
        <w:tab/>
      </w:r>
      <w:r w:rsidRPr="00995279">
        <w:rPr>
          <w:i/>
          <w:iCs/>
        </w:rPr>
        <w:t xml:space="preserve">Recordando además </w:t>
      </w:r>
      <w:r w:rsidRPr="00995279">
        <w:t xml:space="preserve">las declaraciones formuladas por el Secretario General, la Alta Comisionada de las Naciones Unidas para los Derechos Humanos y la Comisión Independiente de Derechos Humanos del Afganistán, así como por diversos procedimientos especiales del Consejo de Derechos Humanos y los órganos creados en virtud de tratados, </w:t>
      </w:r>
      <w:r w:rsidRPr="00995279">
        <w:lastRenderedPageBreak/>
        <w:t>sobre las denuncias de violaciones y abusos de los derechos humanos y de violaciones del derecho internacional humanitario en el Afganistán cometidos por los talibanes y otras partes en el conflicto,</w:t>
      </w:r>
    </w:p>
    <w:p w14:paraId="75B6772B" w14:textId="6C512B8B" w:rsidR="00995279" w:rsidRPr="00995279" w:rsidRDefault="00995279" w:rsidP="00995279">
      <w:pPr>
        <w:pStyle w:val="SingleTxtG"/>
      </w:pPr>
      <w:r>
        <w:rPr>
          <w:i/>
          <w:iCs/>
        </w:rPr>
        <w:tab/>
      </w:r>
      <w:r w:rsidRPr="00995279">
        <w:rPr>
          <w:i/>
          <w:iCs/>
        </w:rPr>
        <w:t>Profundamente preocupado</w:t>
      </w:r>
      <w:r w:rsidRPr="00995279">
        <w:t xml:space="preserve"> por la situación de los derechos humanos en el Afganistán, en particular por las incesantes denuncias de violaciones y abusos de los derechos humanos y de violaciones del derecho internacional humanitario, lo que incluye ejecuciones sumarias o extrajudiciales, detenciones arbitrarias, violencia contra manifestantes pacíficos y periodistas, actos de represalia, redadas en oficinas de organizaciones no gubernamentales y grupos de la sociedad civil, violaciones y abusos de los derechos humanos de todas las mujeres y niñas, cometidos por los talibanes y otras partes en el conflicto, y recordando la importancia de proteger el patrimonio cultural contra el saqueo,</w:t>
      </w:r>
    </w:p>
    <w:p w14:paraId="7406B164" w14:textId="62EB235B" w:rsidR="00995279" w:rsidRPr="00995279" w:rsidRDefault="00995279" w:rsidP="00995279">
      <w:pPr>
        <w:pStyle w:val="SingleTxtG"/>
      </w:pPr>
      <w:r>
        <w:rPr>
          <w:i/>
          <w:iCs/>
        </w:rPr>
        <w:tab/>
      </w:r>
      <w:r w:rsidRPr="00995279">
        <w:rPr>
          <w:i/>
          <w:iCs/>
        </w:rPr>
        <w:t xml:space="preserve">Profundamente preocupado también </w:t>
      </w:r>
      <w:r w:rsidRPr="00995279">
        <w:t>por las consecuencias que pueda tener para los derechos humanos la grave situación de la seguridad en el Afganistán, en particular para todas las mujeres y niñas, y para las personas de edad y las pertenecientes a minorías étnicas y religiosas, los periodistas, los trabajadores de los medios de comunicación, los defensores de los derechos humanos y sus familiares, los desplazados internos, las personas que han trabajado para el Gobierno y para antiguo personal militar, y las personas en situación vulnerable, así como por el continuo deterioro de la situación humanitaria y la crisis de seguridad alimentaria que se está gestando,</w:t>
      </w:r>
    </w:p>
    <w:p w14:paraId="3FD04470" w14:textId="71B8547D" w:rsidR="00995279" w:rsidRPr="00995279" w:rsidRDefault="00995279" w:rsidP="00995279">
      <w:pPr>
        <w:pStyle w:val="SingleTxtG"/>
      </w:pPr>
      <w:r>
        <w:rPr>
          <w:i/>
          <w:iCs/>
        </w:rPr>
        <w:tab/>
      </w:r>
      <w:r w:rsidRPr="00995279">
        <w:rPr>
          <w:i/>
          <w:iCs/>
        </w:rPr>
        <w:t xml:space="preserve">Reconociendo </w:t>
      </w:r>
      <w:r w:rsidRPr="00995279">
        <w:t>que el ejercicio efectivo del derecho a la libertad de opinión y de expresión es un indicador importante del nivel de protección de otros derechos humanos y libertades, y subrayando el importante papel que desempeñan los periodistas y los trabajadores de los medios de comunicación locales al mantener una labor esencial, sobre todo de documentación e información, en circunstancias difíciles,</w:t>
      </w:r>
    </w:p>
    <w:p w14:paraId="33DE40F3" w14:textId="478E37F8" w:rsidR="00995279" w:rsidRPr="00995279" w:rsidRDefault="00995279" w:rsidP="00995279">
      <w:pPr>
        <w:pStyle w:val="SingleTxtG"/>
      </w:pPr>
      <w:r>
        <w:rPr>
          <w:i/>
          <w:iCs/>
        </w:rPr>
        <w:tab/>
      </w:r>
      <w:r w:rsidRPr="00995279">
        <w:rPr>
          <w:i/>
          <w:iCs/>
        </w:rPr>
        <w:t>Deplorando profundamente</w:t>
      </w:r>
      <w:r w:rsidRPr="00995279">
        <w:t xml:space="preserve"> el sufrimiento del pueblo del Afganistán, reafirmando su profunda solidaridad con él, y destacando la importancia de que se le proporcionen un apoyo y asistencia adecuados, así como la necesidad urgente e imperativa de garantizar la rendición de cuentas llevando ante la justicia a los autores de crímenes y delitos que entrañan violaciones y abusos del derecho internacional de los derechos humanos y del derecho internacional humanitario,</w:t>
      </w:r>
    </w:p>
    <w:p w14:paraId="706E6FF5" w14:textId="3D98C7EC" w:rsidR="00995279" w:rsidRPr="00995279" w:rsidRDefault="00995279" w:rsidP="00995279">
      <w:pPr>
        <w:pStyle w:val="SingleTxtG"/>
        <w:rPr>
          <w:bCs/>
        </w:rPr>
      </w:pPr>
      <w:r>
        <w:rPr>
          <w:i/>
          <w:iCs/>
        </w:rPr>
        <w:tab/>
      </w:r>
      <w:r w:rsidRPr="00995279">
        <w:rPr>
          <w:i/>
          <w:iCs/>
        </w:rPr>
        <w:t xml:space="preserve">Recordando </w:t>
      </w:r>
      <w:r w:rsidRPr="00995279">
        <w:t>las obligaciones del Afganistán en virtud del derecho internacional de los derechos humanos, expresadas en los tratados y convenciones en que es parte, entre ellos el</w:t>
      </w:r>
      <w:r w:rsidR="00067AC3">
        <w:t> </w:t>
      </w:r>
      <w:r w:rsidRPr="00995279">
        <w:t>Pacto Internacional de Derechos Civiles y Políticos, el Pacto Internacional de Derechos Económicos, Sociales y Culturales, la Convención contra la Tortura y Otros Tratos o Penas Crueles, Inhumanos o Degradantes, la Convención sobre la Eliminación de Todas las Formas de Discriminación contra la Mujer y la Convención sobre los Derechos del Niño,</w:t>
      </w:r>
    </w:p>
    <w:p w14:paraId="57CA075C" w14:textId="2093172B" w:rsidR="00995279" w:rsidRPr="00995279" w:rsidRDefault="00995279" w:rsidP="00995279">
      <w:pPr>
        <w:pStyle w:val="SingleTxtG"/>
      </w:pPr>
      <w:r>
        <w:rPr>
          <w:i/>
          <w:iCs/>
        </w:rPr>
        <w:tab/>
      </w:r>
      <w:r w:rsidRPr="00995279">
        <w:rPr>
          <w:i/>
          <w:iCs/>
        </w:rPr>
        <w:t>Recordando también</w:t>
      </w:r>
      <w:r w:rsidRPr="00995279">
        <w:t xml:space="preserve"> que el Afganistán es uno de los Estados partes en el Estatuto de Roma de la Corte Penal Internacional desde el 1 de mayo de 2003,</w:t>
      </w:r>
    </w:p>
    <w:p w14:paraId="7C8929E9" w14:textId="45EC96E0" w:rsidR="00995279" w:rsidRPr="00995279" w:rsidRDefault="00995279" w:rsidP="00995279">
      <w:pPr>
        <w:pStyle w:val="SingleTxtG"/>
      </w:pPr>
      <w:r>
        <w:rPr>
          <w:i/>
          <w:iCs/>
        </w:rPr>
        <w:tab/>
      </w:r>
      <w:r w:rsidRPr="00995279">
        <w:rPr>
          <w:i/>
          <w:iCs/>
        </w:rPr>
        <w:t xml:space="preserve">Reconociendo </w:t>
      </w:r>
      <w:r w:rsidRPr="00995279">
        <w:t>los esfuerzos de numerosos Estados para evacuar y reubicar a los afganos que desean abandonar el país, y destacando la necesidad de apoyar a los países vecinos que acogen a un elevado número de refugiados afganos,</w:t>
      </w:r>
    </w:p>
    <w:p w14:paraId="3519D983" w14:textId="2064E971" w:rsidR="00995279" w:rsidRPr="00995279" w:rsidRDefault="00995279" w:rsidP="00995279">
      <w:pPr>
        <w:pStyle w:val="SingleTxtG"/>
      </w:pPr>
      <w:r>
        <w:rPr>
          <w:i/>
          <w:iCs/>
        </w:rPr>
        <w:tab/>
      </w:r>
      <w:r w:rsidRPr="00995279">
        <w:rPr>
          <w:i/>
          <w:iCs/>
        </w:rPr>
        <w:t xml:space="preserve">Reconociendo también </w:t>
      </w:r>
      <w:r w:rsidRPr="00995279">
        <w:t>los esfuerzos de los países vecinos y de otros países para facilitar la entrega de asistencia humanitaria al Afganistán, en colaboración con las Naciones Unidas y otros organismos y asociados internacionales,</w:t>
      </w:r>
    </w:p>
    <w:p w14:paraId="3BBA58D2" w14:textId="5A5C5443" w:rsidR="00995279" w:rsidRPr="00995279" w:rsidRDefault="00995279" w:rsidP="00995279">
      <w:pPr>
        <w:pStyle w:val="SingleTxtG"/>
      </w:pPr>
      <w:r>
        <w:rPr>
          <w:i/>
          <w:iCs/>
        </w:rPr>
        <w:tab/>
      </w:r>
      <w:r w:rsidRPr="00995279">
        <w:rPr>
          <w:i/>
          <w:iCs/>
        </w:rPr>
        <w:t>Destacando</w:t>
      </w:r>
      <w:r w:rsidRPr="00995279">
        <w:t xml:space="preserve"> que la paz sostenible en el Afganistán solo se puede lograr mediante un acuerdo político inclusivo, justo, duradero y realista que defienda el disfrute de los derechos humanos, incluidos los de la totalidad de mujeres, niñas, niños y personas pertenecientes a minorías,</w:t>
      </w:r>
    </w:p>
    <w:p w14:paraId="76EE4F25" w14:textId="231981BB" w:rsidR="00995279" w:rsidRPr="00995279" w:rsidRDefault="00995279" w:rsidP="00995279">
      <w:pPr>
        <w:pStyle w:val="SingleTxtG"/>
      </w:pPr>
      <w:r>
        <w:rPr>
          <w:i/>
          <w:iCs/>
        </w:rPr>
        <w:tab/>
      </w:r>
      <w:r w:rsidRPr="00995279">
        <w:rPr>
          <w:i/>
          <w:iCs/>
        </w:rPr>
        <w:t>Reafirmando</w:t>
      </w:r>
      <w:r w:rsidRPr="00995279">
        <w:t xml:space="preserve"> la importancia de la participación plena, igualitaria y significativa de las mujeres en la planificación y la adopción de decisiones con respecto a la mediación, el fomento de la confianza y la prevención y la solución de conflictos, así como en todos los esfuerzos por mantener y promover la paz y la seguridad, y la necesidad de prevenir y reparar las violaciones de los derechos humanos, como todas las formas de violencia contra las mujeres y las niñas, en particular la violencia sexual y de género,</w:t>
      </w:r>
    </w:p>
    <w:p w14:paraId="2F5F3CFF" w14:textId="49A109A4" w:rsidR="00995279" w:rsidRPr="00995279" w:rsidRDefault="00995279" w:rsidP="00995279">
      <w:pPr>
        <w:pStyle w:val="SingleTxtG"/>
      </w:pPr>
      <w:r>
        <w:rPr>
          <w:i/>
          <w:iCs/>
        </w:rPr>
        <w:lastRenderedPageBreak/>
        <w:tab/>
      </w:r>
      <w:r w:rsidRPr="00995279">
        <w:rPr>
          <w:i/>
          <w:iCs/>
        </w:rPr>
        <w:t>Reafirmando también</w:t>
      </w:r>
      <w:r w:rsidRPr="00995279">
        <w:t xml:space="preserve"> que los derechos humanos, la democracia y el estado de derecho crean un entorno en el que los países pueden promover el desarrollo, proteger a las personas contra la discriminación y garantizar la igualdad de acceso a la justicia para todos,</w:t>
      </w:r>
    </w:p>
    <w:p w14:paraId="73B3D488" w14:textId="41FBBF15" w:rsidR="00995279" w:rsidRPr="00995279" w:rsidRDefault="00995279" w:rsidP="00995279">
      <w:pPr>
        <w:pStyle w:val="SingleTxtG"/>
      </w:pPr>
      <w:r>
        <w:rPr>
          <w:i/>
          <w:iCs/>
        </w:rPr>
        <w:tab/>
      </w:r>
      <w:r w:rsidRPr="00995279">
        <w:rPr>
          <w:i/>
          <w:iCs/>
        </w:rPr>
        <w:t>Reconociendo</w:t>
      </w:r>
      <w:r w:rsidRPr="00995279">
        <w:t xml:space="preserve"> que el terrorismo tiene consecuencias devastadoras para el disfrute de los derechos humanos y las libertades fundamentales de las víctimas y sus familias, en particular las mujeres y las niñas, y reafirmando la importancia de combatir el terrorismo en el Afganistán, respetando plenamente los derechos humanos, a fin de garantizar que no se utilice el territorio del Afganistán para amenazar o atacar a ningún país, y que ni los talibanes ni ningún otro grupo o individuo puedan apoyar a terroristas que actúen en el territorio de ningún otro país,</w:t>
      </w:r>
    </w:p>
    <w:p w14:paraId="54ED53B3" w14:textId="71DE4EAF" w:rsidR="00995279" w:rsidRPr="00995279" w:rsidRDefault="00995279" w:rsidP="00995279">
      <w:pPr>
        <w:pStyle w:val="SingleTxtG"/>
      </w:pPr>
      <w:r>
        <w:rPr>
          <w:i/>
          <w:iCs/>
        </w:rPr>
        <w:tab/>
      </w:r>
      <w:r w:rsidRPr="00995279">
        <w:rPr>
          <w:i/>
          <w:iCs/>
        </w:rPr>
        <w:t>Subrayando</w:t>
      </w:r>
      <w:r w:rsidRPr="00995279">
        <w:t xml:space="preserve"> la necesidad de preservar y aprovechar los logros políticos, económicos y sociales del pueblo afgano conseguidos en los últimos 20 años, y de lograr nuevas mejoras en ese sentido, en particular para hacer frente a la pobreza y prestar servicios, estimular el crecimiento económico, crear oportunidades de empleo, combatir la corrupción, mejorar la transparencia, aumentar los ingresos internos y promover y cumplir las obligaciones derivadas del derecho internacional de proteger todos los derechos humanos y las libertades fundamentales, </w:t>
      </w:r>
    </w:p>
    <w:p w14:paraId="2FB0E241" w14:textId="787D8968" w:rsidR="00995279" w:rsidRPr="00995279" w:rsidRDefault="00995279" w:rsidP="00995279">
      <w:pPr>
        <w:pStyle w:val="SingleTxtG"/>
      </w:pPr>
      <w:r>
        <w:rPr>
          <w:i/>
          <w:iCs/>
        </w:rPr>
        <w:tab/>
      </w:r>
      <w:r w:rsidRPr="00995279">
        <w:rPr>
          <w:i/>
          <w:iCs/>
        </w:rPr>
        <w:t>Reiterando</w:t>
      </w:r>
      <w:r w:rsidRPr="00995279">
        <w:t xml:space="preserve"> su apoyo a la labor de la Misión de Asistencia de las Naciones Unidas en el Afganistán, de la Representante Especial del Secretario General para el Afganistán y del Enviado Personal del Secretario General para el Afganistán a fin de facilitar un proceso de paz y reconciliación inclusivo en el Afganistán,</w:t>
      </w:r>
    </w:p>
    <w:p w14:paraId="2FE4A47E" w14:textId="030D421D" w:rsidR="00995279" w:rsidRPr="00995279" w:rsidRDefault="00995279" w:rsidP="00995279">
      <w:pPr>
        <w:pStyle w:val="SingleTxtG"/>
      </w:pPr>
      <w:r>
        <w:rPr>
          <w:i/>
          <w:iCs/>
        </w:rPr>
        <w:tab/>
      </w:r>
      <w:r w:rsidRPr="00995279">
        <w:rPr>
          <w:i/>
          <w:iCs/>
        </w:rPr>
        <w:t xml:space="preserve">Destacando </w:t>
      </w:r>
      <w:r w:rsidRPr="00995279">
        <w:t>la importancia de la seguridad del personal de las Naciones Unidas, incluido el que trabaja en el ámbito de los derechos humanos, y del personal diplomático y consular de los Estados Miembros de las Naciones Unidas y del personal humanitario, incluido el femenino,</w:t>
      </w:r>
    </w:p>
    <w:p w14:paraId="7187372F" w14:textId="2EADF23B" w:rsidR="00995279" w:rsidRPr="00995279" w:rsidRDefault="00995279" w:rsidP="00995279">
      <w:pPr>
        <w:pStyle w:val="SingleTxtG"/>
      </w:pPr>
      <w:r>
        <w:rPr>
          <w:i/>
          <w:iCs/>
        </w:rPr>
        <w:tab/>
      </w:r>
      <w:r w:rsidRPr="00995279">
        <w:rPr>
          <w:i/>
          <w:iCs/>
        </w:rPr>
        <w:t>Tomando nota</w:t>
      </w:r>
      <w:r w:rsidRPr="00995279">
        <w:t xml:space="preserve"> del comunicado de prensa emitido por el Consejo de Seguridad el 16 de agosto de 2021 sobre el Afganistán</w:t>
      </w:r>
      <w:r w:rsidRPr="00995279">
        <w:rPr>
          <w:rStyle w:val="Refdenotaalpie"/>
        </w:rPr>
        <w:footnoteReference w:id="1"/>
      </w:r>
      <w:r w:rsidRPr="00995279">
        <w:t>,</w:t>
      </w:r>
    </w:p>
    <w:p w14:paraId="6B5CF5DD" w14:textId="623294E7" w:rsidR="00995279" w:rsidRPr="00995279" w:rsidRDefault="00995279" w:rsidP="00995279">
      <w:pPr>
        <w:pStyle w:val="SingleTxtG"/>
      </w:pPr>
      <w:r>
        <w:tab/>
      </w:r>
      <w:r w:rsidRPr="00995279">
        <w:t>1.</w:t>
      </w:r>
      <w:r w:rsidRPr="00995279">
        <w:tab/>
      </w:r>
      <w:r w:rsidRPr="00995279">
        <w:rPr>
          <w:i/>
          <w:iCs/>
        </w:rPr>
        <w:t xml:space="preserve">Condena en los términos más enérgicos posibles </w:t>
      </w:r>
      <w:r w:rsidRPr="00995279">
        <w:t>todas las violaciones y abusos de los derechos humanos y violaciones del derecho internacional humanitario cometidos en el Afganistán, en particular los que entrañan ejecuciones sumarias o extrajudiciales, detenciones arbitrarias, violencia contra manifestantes pacíficos, periodistas y representantes de los medios de comunicación, actos de represalia, redadas en oficinas de organizaciones no gubernamentales y grupos de la sociedad civil, violaciones y abusos de los derechos humanos de todas las mujeres y niñas y de las personas pertenecientes a minorías étnicas y religiosas, y contra las personas que han trabajado para el Gobierno del Afganistán y antiguo personal militar;</w:t>
      </w:r>
    </w:p>
    <w:p w14:paraId="68511FC9" w14:textId="49876019" w:rsidR="00995279" w:rsidRPr="00995279" w:rsidRDefault="00995279" w:rsidP="00995279">
      <w:pPr>
        <w:pStyle w:val="SingleTxtG"/>
      </w:pPr>
      <w:r>
        <w:tab/>
      </w:r>
      <w:r w:rsidRPr="00995279">
        <w:t>2.</w:t>
      </w:r>
      <w:r w:rsidRPr="00995279">
        <w:tab/>
      </w:r>
      <w:r w:rsidRPr="00995279">
        <w:rPr>
          <w:i/>
          <w:iCs/>
        </w:rPr>
        <w:t xml:space="preserve">Pide </w:t>
      </w:r>
      <w:r w:rsidRPr="00995279">
        <w:t>que se ponga fin de inmediato a todas las violaciones y abusos de los derechos humanos y a las violaciones del derecho internacional humanitario en el Afganistán, que se respeten rigurosamente todos los derechos humanos y libertades fundamentales, entre otros los derechos a la vida, a un nivel de vida adecuado, que incluye una alimentación y una vivienda adecuadas y agua potable salubre y saneamiento, a la educación, al trabajo, al más alto nivel posible de salud física y mental, a la libertad de reunión pacífica y de religión o creencias, a la libertad de expresión y el derecho a la libertad de circulación y la libertad de abandonar el país, y que se proteja a los civiles y las infraestructuras civiles esenciales, en particular las instalaciones médicas y educativas del país;</w:t>
      </w:r>
    </w:p>
    <w:p w14:paraId="0B3D4FA5" w14:textId="6BEF5119" w:rsidR="00995279" w:rsidRPr="00995279" w:rsidRDefault="00995279" w:rsidP="00995279">
      <w:pPr>
        <w:pStyle w:val="SingleTxtG"/>
      </w:pPr>
      <w:r>
        <w:tab/>
      </w:r>
      <w:r w:rsidRPr="00995279">
        <w:t>3.</w:t>
      </w:r>
      <w:r w:rsidRPr="00995279">
        <w:tab/>
      </w:r>
      <w:r w:rsidRPr="00995279">
        <w:rPr>
          <w:i/>
          <w:iCs/>
        </w:rPr>
        <w:t xml:space="preserve">Reafirma </w:t>
      </w:r>
      <w:r w:rsidRPr="00995279">
        <w:t>su compromiso inquebrantable con el disfrute pleno e igualitario de</w:t>
      </w:r>
      <w:r w:rsidR="00067AC3">
        <w:t> </w:t>
      </w:r>
      <w:r w:rsidRPr="00995279">
        <w:t>todos los derechos humanos por la totalidad de las mujeres, las niñas y los niños en el</w:t>
      </w:r>
      <w:r w:rsidR="00067AC3">
        <w:t> </w:t>
      </w:r>
      <w:r w:rsidRPr="00995279">
        <w:t>Afganistán, lo que comprende el derecho a la libertad de circulación, el derecho a la educación, el derecho al disfrute del más alto nivel posible de salud física y mental, incluida la salud sexual y reproductiva, el derecho al trabajo y el derecho a acceder a la justicia en igualdad de condiciones con los demás;</w:t>
      </w:r>
    </w:p>
    <w:p w14:paraId="4A251674" w14:textId="02AEC60D" w:rsidR="00995279" w:rsidRPr="00995279" w:rsidRDefault="00995279" w:rsidP="00995279">
      <w:pPr>
        <w:pStyle w:val="SingleTxtG"/>
      </w:pPr>
      <w:r>
        <w:lastRenderedPageBreak/>
        <w:tab/>
      </w:r>
      <w:r w:rsidRPr="00995279">
        <w:t>4.</w:t>
      </w:r>
      <w:r w:rsidRPr="00995279">
        <w:tab/>
      </w:r>
      <w:r w:rsidRPr="00995279">
        <w:rPr>
          <w:i/>
          <w:iCs/>
        </w:rPr>
        <w:t>Condena</w:t>
      </w:r>
      <w:r w:rsidRPr="00995279">
        <w:t xml:space="preserve"> la discriminación contra las mujeres y las niñas en todas sus formas, y recuerda a todas las partes que todas las formas de violencia sexual y de género, incluida la violencia contra las mujeres y las niñas, así como el matrimonio infantil, precoz y forzado constituyen violaciones y abusos de sus derechos humanos y libertades fundamentales;</w:t>
      </w:r>
    </w:p>
    <w:p w14:paraId="0BDB2BBF" w14:textId="05F0A463" w:rsidR="00995279" w:rsidRPr="00995279" w:rsidRDefault="00995279" w:rsidP="00995279">
      <w:pPr>
        <w:pStyle w:val="SingleTxtG"/>
      </w:pPr>
      <w:r>
        <w:tab/>
      </w:r>
      <w:r w:rsidRPr="00995279">
        <w:t>5.</w:t>
      </w:r>
      <w:r w:rsidRPr="00995279">
        <w:tab/>
      </w:r>
      <w:r w:rsidRPr="00995279">
        <w:rPr>
          <w:i/>
          <w:iCs/>
        </w:rPr>
        <w:t>Pide</w:t>
      </w:r>
      <w:r w:rsidRPr="00995279">
        <w:t xml:space="preserve"> que se respete, promueva y proteja el derecho de todas las personas a participar en la vida cultural, lo que comprende la posibilidad de tener acceso al patrimonio cultural y disfrutar de este, e insta a todas las partes a que se abstengan de toda utilización ilícita del patrimonio cultural con fines militares o de atentar contra él;</w:t>
      </w:r>
    </w:p>
    <w:p w14:paraId="7229FC6D" w14:textId="7BDF1E44" w:rsidR="00995279" w:rsidRPr="00995279" w:rsidRDefault="00995279" w:rsidP="00995279">
      <w:pPr>
        <w:pStyle w:val="SingleTxtG"/>
      </w:pPr>
      <w:r>
        <w:tab/>
      </w:r>
      <w:r w:rsidRPr="00995279">
        <w:t>6.</w:t>
      </w:r>
      <w:r w:rsidRPr="00995279">
        <w:tab/>
      </w:r>
      <w:r w:rsidRPr="00995279">
        <w:rPr>
          <w:i/>
          <w:iCs/>
        </w:rPr>
        <w:t>Reitera</w:t>
      </w:r>
      <w:r w:rsidRPr="00995279">
        <w:t xml:space="preserve"> la urgente necesidad de iniciar un examen o investigación rápido, independiente e imparcial de todas las presuntas violaciones y abusos de los derechos humanos y violaciones del derecho internacional humanitario para poner fin a la impunidad, garantizar la rendición de cuentas y llevar a los autores ante la justicia;</w:t>
      </w:r>
    </w:p>
    <w:p w14:paraId="4FC5CAB9" w14:textId="3998FF4B" w:rsidR="00995279" w:rsidRPr="00995279" w:rsidRDefault="00995279" w:rsidP="00995279">
      <w:pPr>
        <w:pStyle w:val="SingleTxtG"/>
      </w:pPr>
      <w:r>
        <w:tab/>
      </w:r>
      <w:r w:rsidRPr="00995279">
        <w:t>7.</w:t>
      </w:r>
      <w:r w:rsidRPr="00995279">
        <w:tab/>
      </w:r>
      <w:r w:rsidRPr="00995279">
        <w:rPr>
          <w:i/>
          <w:iCs/>
        </w:rPr>
        <w:t xml:space="preserve">Pide </w:t>
      </w:r>
      <w:r w:rsidRPr="00995279">
        <w:t>que se establezca un gobierno unido, inclusivo y representativo, incluso en lo que respecta al género y a todas las minorías étnicas y religiosas, y que se garantice la participación plena, igualitaria y significativa de las mujeres y los jóvenes en cargos con funciones decisorias;</w:t>
      </w:r>
    </w:p>
    <w:p w14:paraId="71FEEF0D" w14:textId="3D86C0D4" w:rsidR="00995279" w:rsidRPr="00995279" w:rsidRDefault="00995279" w:rsidP="00995279">
      <w:pPr>
        <w:pStyle w:val="SingleTxtG"/>
      </w:pPr>
      <w:r>
        <w:tab/>
      </w:r>
      <w:r w:rsidRPr="00995279">
        <w:t>8.</w:t>
      </w:r>
      <w:r w:rsidRPr="00995279">
        <w:tab/>
      </w:r>
      <w:r w:rsidRPr="00995279">
        <w:rPr>
          <w:i/>
          <w:iCs/>
        </w:rPr>
        <w:t>Insta</w:t>
      </w:r>
      <w:r w:rsidRPr="00995279">
        <w:t xml:space="preserve"> a la comunidad internacional a que siga adecuando su interacción con cualquier futuro Gobierno del Afganistán en lo que concierne al respeto de los derechos humanos y las libertades fundamentales de todos los afganos, entre ellos las mujeres, las niñas, los niños y las personas pertenecientes a minorías étnicas y religiosas, y al respeto del estado de derecho, la libertad de expresión, en particular de los miembros de los medios de comunicación, con especial atención a los defensores de los derechos humanos, así como el respeto de las obligaciones del Afganistán dimanantes del derecho internacional de los derechos humanos;</w:t>
      </w:r>
    </w:p>
    <w:p w14:paraId="5C25A960" w14:textId="75A06406" w:rsidR="00995279" w:rsidRPr="00995279" w:rsidRDefault="00995279" w:rsidP="00995279">
      <w:pPr>
        <w:pStyle w:val="SingleTxtG"/>
      </w:pPr>
      <w:r>
        <w:tab/>
      </w:r>
      <w:r w:rsidRPr="00995279">
        <w:t>9.</w:t>
      </w:r>
      <w:r w:rsidRPr="00995279">
        <w:tab/>
      </w:r>
      <w:r w:rsidRPr="00995279">
        <w:rPr>
          <w:i/>
          <w:iCs/>
        </w:rPr>
        <w:t>Subraya</w:t>
      </w:r>
      <w:r w:rsidRPr="00995279">
        <w:t xml:space="preserve"> la necesidad de seguir mejorando las condiciones de vida del pueblo afgano y hace un llamamiento para que así sea, y hace hincapié en la necesidad de servicios sociales básicos a nivel nacional, provincial y local, en particular de educación, agua limpia, saneamiento, conectividad digital y salud pública;</w:t>
      </w:r>
    </w:p>
    <w:p w14:paraId="2BDFB832" w14:textId="252A204F" w:rsidR="00995279" w:rsidRPr="00995279" w:rsidRDefault="00995279" w:rsidP="00995279">
      <w:pPr>
        <w:pStyle w:val="SingleTxtG"/>
      </w:pPr>
      <w:r>
        <w:tab/>
      </w:r>
      <w:r w:rsidRPr="00995279">
        <w:t>10.</w:t>
      </w:r>
      <w:r w:rsidRPr="00995279">
        <w:tab/>
      </w:r>
      <w:r w:rsidRPr="00995279">
        <w:rPr>
          <w:i/>
          <w:iCs/>
        </w:rPr>
        <w:t xml:space="preserve">Expresa su profunda preocupación </w:t>
      </w:r>
      <w:r w:rsidRPr="00995279">
        <w:t>por la situación humanitaria, exhorta a la comunidad internacional a que preste más apoyo, también en el contexto de la situación de la seguridad alimentaria y de la actual crisis de protección, e insta a todas las partes a que permitan un acceso humanitario inmediato, seguro y sin obstáculos, incluso a través de las líneas de fuego, para garantizar que la asistencia humanitaria llegue a todas las personas necesitadas, en especial a los desplazados internos y a las personas en situación vulnerable, y a que respeten la independencia de los organismos humanitarios y garanticen la protección del personal humanitario, incluido el femenino;</w:t>
      </w:r>
    </w:p>
    <w:p w14:paraId="40AA145B" w14:textId="4416397F" w:rsidR="00995279" w:rsidRPr="00995279" w:rsidRDefault="00995279" w:rsidP="00995279">
      <w:pPr>
        <w:pStyle w:val="SingleTxtG"/>
      </w:pPr>
      <w:r>
        <w:tab/>
      </w:r>
      <w:r w:rsidRPr="00995279">
        <w:t>11.</w:t>
      </w:r>
      <w:r w:rsidRPr="00995279">
        <w:tab/>
      </w:r>
      <w:r w:rsidRPr="00995279">
        <w:rPr>
          <w:i/>
          <w:iCs/>
        </w:rPr>
        <w:t>Alienta</w:t>
      </w:r>
      <w:r w:rsidRPr="00995279">
        <w:t xml:space="preserve"> a todo futuro Gobierno del Afganistán a que mantenga el compromiso y la cooperación con las Naciones Unidas, lo que incluye la Misión de Asistencia de las</w:t>
      </w:r>
      <w:r w:rsidR="00067AC3">
        <w:t> </w:t>
      </w:r>
      <w:r w:rsidRPr="00995279">
        <w:t>Naciones Unidas en el Afganistán, la Oficina del Alto Comisionado de las Naciones Unidas para los Derechos Humanos y otras entidades pertinentes de las Naciones Unidas;</w:t>
      </w:r>
    </w:p>
    <w:p w14:paraId="57DBB7C1" w14:textId="427FABBD" w:rsidR="00995279" w:rsidRPr="00995279" w:rsidRDefault="00995279" w:rsidP="00995279">
      <w:pPr>
        <w:pStyle w:val="SingleTxtG"/>
      </w:pPr>
      <w:r>
        <w:tab/>
      </w:r>
      <w:r w:rsidRPr="00995279">
        <w:t>12.</w:t>
      </w:r>
      <w:r w:rsidRPr="00995279">
        <w:tab/>
      </w:r>
      <w:r w:rsidRPr="00995279">
        <w:rPr>
          <w:i/>
          <w:iCs/>
        </w:rPr>
        <w:t>Decide</w:t>
      </w:r>
      <w:r w:rsidRPr="00995279">
        <w:t xml:space="preserve"> nombrar, por un período de un año, a un relator especial para que supervise la situación de los derechos humanos en el Afganistán, con el siguiente mandato:</w:t>
      </w:r>
    </w:p>
    <w:p w14:paraId="23255902" w14:textId="36EC52D8" w:rsidR="00995279" w:rsidRPr="00995279" w:rsidRDefault="00995279" w:rsidP="00995279">
      <w:pPr>
        <w:pStyle w:val="SingleTxtG"/>
      </w:pPr>
      <w:r>
        <w:tab/>
      </w:r>
      <w:r w:rsidRPr="00995279">
        <w:t>a)</w:t>
      </w:r>
      <w:r w:rsidRPr="00995279">
        <w:tab/>
        <w:t>Informar sobre la evolución de la situación de los derechos humanos y formular recomendaciones para mejorarla;</w:t>
      </w:r>
    </w:p>
    <w:p w14:paraId="6AD458CC" w14:textId="2332F280" w:rsidR="00995279" w:rsidRPr="00995279" w:rsidRDefault="00995279" w:rsidP="00995279">
      <w:pPr>
        <w:pStyle w:val="SingleTxtG"/>
      </w:pPr>
      <w:r>
        <w:tab/>
      </w:r>
      <w:r w:rsidRPr="00995279">
        <w:t>b)</w:t>
      </w:r>
      <w:r w:rsidRPr="00995279">
        <w:tab/>
        <w:t>Contribuir al cumplimiento de las obligaciones en materia de derechos humanos que dimanan de los tratados internacionales que el Afganistán ha ratificado;</w:t>
      </w:r>
    </w:p>
    <w:p w14:paraId="6F5F775A" w14:textId="748DDDA8" w:rsidR="00995279" w:rsidRPr="00995279" w:rsidRDefault="00995279" w:rsidP="00995279">
      <w:pPr>
        <w:pStyle w:val="SingleTxtG"/>
      </w:pPr>
      <w:r>
        <w:tab/>
      </w:r>
      <w:r w:rsidRPr="00995279">
        <w:t>c)</w:t>
      </w:r>
      <w:r w:rsidRPr="00995279">
        <w:tab/>
        <w:t>Ofrecer apoyo y asesoramiento a la sociedad civil;</w:t>
      </w:r>
    </w:p>
    <w:p w14:paraId="3C72B19B" w14:textId="017D68FA" w:rsidR="00995279" w:rsidRPr="00995279" w:rsidRDefault="00995279" w:rsidP="00995279">
      <w:pPr>
        <w:pStyle w:val="SingleTxtG"/>
      </w:pPr>
      <w:r>
        <w:tab/>
      </w:r>
      <w:r w:rsidRPr="00995279">
        <w:t>d)</w:t>
      </w:r>
      <w:r w:rsidRPr="00995279">
        <w:tab/>
        <w:t>Recabar, recibir y examinar la información de todas las partes interesadas en relación con la situación de los derechos humanos en el Afganistán y adoptar las medidas que proceda;</w:t>
      </w:r>
    </w:p>
    <w:p w14:paraId="17144F2B" w14:textId="4330E482" w:rsidR="00995279" w:rsidRPr="00995279" w:rsidRDefault="00995279" w:rsidP="00995279">
      <w:pPr>
        <w:pStyle w:val="SingleTxtG"/>
      </w:pPr>
      <w:r>
        <w:tab/>
      </w:r>
      <w:r w:rsidRPr="00995279">
        <w:t>e)</w:t>
      </w:r>
      <w:r w:rsidRPr="00995279">
        <w:tab/>
        <w:t>Incorporar una perspectiva de género y un enfoque centrado en las víctimas en toda la labor del mandato;</w:t>
      </w:r>
    </w:p>
    <w:p w14:paraId="012DDF85" w14:textId="17D40E0D" w:rsidR="00995279" w:rsidRPr="00995279" w:rsidRDefault="00995279" w:rsidP="00995279">
      <w:pPr>
        <w:pStyle w:val="SingleTxtG"/>
      </w:pPr>
      <w:r>
        <w:lastRenderedPageBreak/>
        <w:tab/>
      </w:r>
      <w:r w:rsidRPr="00995279">
        <w:t>f)</w:t>
      </w:r>
      <w:r w:rsidRPr="00995279">
        <w:tab/>
        <w:t>Presentar un informe escrito al Consejo de Derechos Humanos en su 51</w:t>
      </w:r>
      <w:r w:rsidRPr="00995279">
        <w:rPr>
          <w:vertAlign w:val="superscript"/>
        </w:rPr>
        <w:t>er</w:t>
      </w:r>
      <w:r w:rsidR="00067AC3">
        <w:t> </w:t>
      </w:r>
      <w:r w:rsidRPr="00995279">
        <w:t>período de sesiones y a la Asamblea General en su septuagésimo séptimo período de sesiones, de conformidad con sus respectivos programas de trabajo;</w:t>
      </w:r>
    </w:p>
    <w:p w14:paraId="57E49BF3" w14:textId="3A3CD621" w:rsidR="00995279" w:rsidRPr="00995279" w:rsidRDefault="00995279" w:rsidP="00995279">
      <w:pPr>
        <w:pStyle w:val="SingleTxtG"/>
      </w:pPr>
      <w:r>
        <w:tab/>
      </w:r>
      <w:r w:rsidRPr="00995279">
        <w:t>13.</w:t>
      </w:r>
      <w:r w:rsidRPr="00995279">
        <w:tab/>
      </w:r>
      <w:r w:rsidRPr="00995279">
        <w:rPr>
          <w:i/>
          <w:iCs/>
        </w:rPr>
        <w:t xml:space="preserve">Decide también </w:t>
      </w:r>
      <w:r w:rsidRPr="00995279">
        <w:t>que, a fin de prestar el apoyo necesario al nuevo titular del mandato para que lo inicie en las circunstancias particulares actuales, el titular del mandato se beneficiará de los conocimientos especializados y específicos adicionales que proporcionará la Oficina del Alto Comisionado, en particular en los ámbitos de la determinación de los hechos, el análisis jurídico, los derechos de las mujeres y las niñas y de las personas pertenecientes a minorías, el derecho a la educación, la medicina forense, la tortura y otros tratos o penas crueles, inhumanos o degradantes;</w:t>
      </w:r>
    </w:p>
    <w:p w14:paraId="783FA0AD" w14:textId="4AEF7DFD" w:rsidR="00995279" w:rsidRPr="00995279" w:rsidRDefault="00995279" w:rsidP="00995279">
      <w:pPr>
        <w:pStyle w:val="SingleTxtG"/>
      </w:pPr>
      <w:r>
        <w:tab/>
      </w:r>
      <w:r w:rsidRPr="00995279">
        <w:t>14.</w:t>
      </w:r>
      <w:r w:rsidRPr="00995279">
        <w:tab/>
      </w:r>
      <w:r w:rsidRPr="00995279">
        <w:rPr>
          <w:i/>
          <w:iCs/>
        </w:rPr>
        <w:t xml:space="preserve">Exhorta </w:t>
      </w:r>
      <w:r w:rsidRPr="00995279">
        <w:t>a todas las partes interesadas a que cooperen plenamente con el Relator Especial, a que le permitan tener acceso al país sin trabas ni dilaciones, y a que faciliten al titular del mandato toda la información necesaria para asegurar el adecuado cumplimiento del mismo;</w:t>
      </w:r>
    </w:p>
    <w:p w14:paraId="3C040BA0" w14:textId="60C1301F" w:rsidR="00995279" w:rsidRPr="00995279" w:rsidRDefault="00995279" w:rsidP="00995279">
      <w:pPr>
        <w:pStyle w:val="SingleTxtG"/>
      </w:pPr>
      <w:r>
        <w:tab/>
      </w:r>
      <w:r w:rsidRPr="00995279">
        <w:t>15.</w:t>
      </w:r>
      <w:r w:rsidRPr="00995279">
        <w:tab/>
      </w:r>
      <w:r w:rsidRPr="00995279">
        <w:rPr>
          <w:i/>
          <w:iCs/>
        </w:rPr>
        <w:t>Solicita</w:t>
      </w:r>
      <w:r w:rsidRPr="00995279">
        <w:t xml:space="preserve"> a la Oficina del Alto Comisionado que proporcione al Relator Especial la asistencia y los recursos necesarios para el desempeño eficaz de su mandato;</w:t>
      </w:r>
    </w:p>
    <w:p w14:paraId="023EDFDB" w14:textId="6E5FED9A" w:rsidR="00995279" w:rsidRPr="00995279" w:rsidRDefault="00995279" w:rsidP="00995279">
      <w:pPr>
        <w:pStyle w:val="SingleTxtG"/>
      </w:pPr>
      <w:r>
        <w:tab/>
      </w:r>
      <w:r w:rsidRPr="00995279">
        <w:t>16.</w:t>
      </w:r>
      <w:r w:rsidRPr="00995279">
        <w:tab/>
      </w:r>
      <w:r w:rsidRPr="00995279">
        <w:rPr>
          <w:i/>
          <w:iCs/>
        </w:rPr>
        <w:t xml:space="preserve">Alienta </w:t>
      </w:r>
      <w:r w:rsidRPr="00995279">
        <w:t>a la Alta Comisionada de las Naciones Unidas para los Derechos Humanos a que facilite al Consejo de Derechos Humanos información actualizada entre períodos de sesiones, según se considere necesario, y en cualquier caso antes de que finalice el año 2021, y pide a la Alta Comisionada que presente al Consejo de Derechos Humanos, en su 50º período de sesiones, información actualizada en forma oral sobre la situación de los derechos humanos en el Afganistán, a lo que seguirá un diálogo interactivo;</w:t>
      </w:r>
    </w:p>
    <w:p w14:paraId="411E8929" w14:textId="712B0CB3" w:rsidR="00995279" w:rsidRPr="00995279" w:rsidRDefault="00995279" w:rsidP="00995279">
      <w:pPr>
        <w:pStyle w:val="SingleTxtG"/>
      </w:pPr>
      <w:r>
        <w:tab/>
      </w:r>
      <w:r w:rsidRPr="00995279">
        <w:t>17.</w:t>
      </w:r>
      <w:r w:rsidRPr="00995279">
        <w:tab/>
      </w:r>
      <w:r w:rsidRPr="00995279">
        <w:rPr>
          <w:i/>
          <w:iCs/>
        </w:rPr>
        <w:t>Decide</w:t>
      </w:r>
      <w:r w:rsidRPr="00995279">
        <w:t xml:space="preserve"> seguir ocupándose de la cuestión.</w:t>
      </w:r>
    </w:p>
    <w:p w14:paraId="23134C4E" w14:textId="69E6EDE8" w:rsidR="00995279" w:rsidRPr="00995279" w:rsidRDefault="00995279" w:rsidP="00995279">
      <w:pPr>
        <w:pStyle w:val="SingleTxtG"/>
        <w:jc w:val="right"/>
        <w:rPr>
          <w:i/>
          <w:iCs/>
        </w:rPr>
      </w:pPr>
      <w:r w:rsidRPr="00995279">
        <w:rPr>
          <w:i/>
          <w:iCs/>
        </w:rPr>
        <w:t>41ª sesión</w:t>
      </w:r>
      <w:r>
        <w:rPr>
          <w:i/>
          <w:iCs/>
        </w:rPr>
        <w:br/>
      </w:r>
      <w:r w:rsidRPr="00995279">
        <w:rPr>
          <w:i/>
          <w:iCs/>
        </w:rPr>
        <w:t>7 de octubre de 2021</w:t>
      </w:r>
    </w:p>
    <w:p w14:paraId="3663171E" w14:textId="3EEE6061" w:rsidR="00995279" w:rsidRPr="00995279" w:rsidRDefault="00995279" w:rsidP="00995279">
      <w:pPr>
        <w:pStyle w:val="SingleTxtG"/>
      </w:pPr>
      <w:r w:rsidRPr="00995279">
        <w:t>[Aprobada en votación registrada por 28 votos contra 5 y 14 abstenciones. El resultado de la votación fue el siguiente:</w:t>
      </w:r>
    </w:p>
    <w:p w14:paraId="127A9804" w14:textId="1B9334A1" w:rsidR="00995279" w:rsidRPr="00995279" w:rsidRDefault="00995279" w:rsidP="00995279">
      <w:pPr>
        <w:pStyle w:val="SingleTxtG"/>
        <w:spacing w:after="0"/>
        <w:ind w:left="1701"/>
      </w:pPr>
      <w:r w:rsidRPr="00995279">
        <w:rPr>
          <w:i/>
          <w:iCs/>
        </w:rPr>
        <w:t>Votos a favor:</w:t>
      </w:r>
    </w:p>
    <w:p w14:paraId="04269B30" w14:textId="1C99443B" w:rsidR="00995279" w:rsidRPr="00995279" w:rsidRDefault="00995279" w:rsidP="00995279">
      <w:pPr>
        <w:pStyle w:val="SingleTxtG"/>
        <w:ind w:left="2268"/>
      </w:pPr>
      <w:r w:rsidRPr="00995279">
        <w:t>Alemania, Argentina, Armenia, Austria, Bahamas, Brasil, Bulgaria, Chequia, Côte d’Ivoire, Dinamarca, Fiji, Filipinas, Francia, India, Islas Marshall, Italia, Japón, Malawi, México, Namibia, Países Bajos, Polonia, Reino Unido de Gran</w:t>
      </w:r>
      <w:r w:rsidR="009747F5">
        <w:t> </w:t>
      </w:r>
      <w:r w:rsidRPr="00995279">
        <w:t>Bretaña e Irlanda del Norte, República de Corea, Sudán, Togo, Ucrania y Uruguay</w:t>
      </w:r>
      <w:r>
        <w:t>.</w:t>
      </w:r>
    </w:p>
    <w:p w14:paraId="581C29B9" w14:textId="77777777" w:rsidR="00995279" w:rsidRPr="00995279" w:rsidRDefault="00995279" w:rsidP="00995279">
      <w:pPr>
        <w:pStyle w:val="SingleTxtG"/>
        <w:spacing w:after="0"/>
        <w:ind w:left="1701"/>
      </w:pPr>
      <w:r w:rsidRPr="00995279">
        <w:rPr>
          <w:i/>
          <w:iCs/>
        </w:rPr>
        <w:t>Votos en contra:</w:t>
      </w:r>
    </w:p>
    <w:p w14:paraId="4B797B45" w14:textId="3EDB455B" w:rsidR="00995279" w:rsidRPr="00995279" w:rsidRDefault="00995279" w:rsidP="00995279">
      <w:pPr>
        <w:pStyle w:val="SingleTxtG"/>
        <w:ind w:left="2268"/>
      </w:pPr>
      <w:r w:rsidRPr="00995279">
        <w:t>China, Eritrea, Federación de Rusia, Pakistán y Venezuela (República Bolivariana de)</w:t>
      </w:r>
      <w:r>
        <w:t>.</w:t>
      </w:r>
    </w:p>
    <w:p w14:paraId="0E7AD079" w14:textId="3D2BD680" w:rsidR="00995279" w:rsidRPr="00995279" w:rsidRDefault="00995279" w:rsidP="00995279">
      <w:pPr>
        <w:pStyle w:val="SingleTxtG"/>
        <w:spacing w:after="0"/>
        <w:ind w:left="1701"/>
      </w:pPr>
      <w:r w:rsidRPr="00995279">
        <w:rPr>
          <w:i/>
          <w:iCs/>
        </w:rPr>
        <w:t>Abstenciones:</w:t>
      </w:r>
    </w:p>
    <w:p w14:paraId="7DCBAD28" w14:textId="69D70329" w:rsidR="00995279" w:rsidRDefault="00995279" w:rsidP="00995279">
      <w:pPr>
        <w:pStyle w:val="SingleTxtG"/>
        <w:ind w:left="2268"/>
      </w:pPr>
      <w:r w:rsidRPr="00651DAE">
        <w:t>Bahrein, Bangladesh, Bolivia (Estado Plurinacional de), Burkina Faso, Camerún, Cuba, Gabón, Indonesia, Libia, Mauritania, Nepal, Senegal, Somalia y Uzbekistán</w:t>
      </w:r>
      <w:r>
        <w:t>.</w:t>
      </w:r>
      <w:r w:rsidRPr="00651DAE">
        <w:t>]</w:t>
      </w:r>
    </w:p>
    <w:p w14:paraId="6D99E508" w14:textId="43F460BD" w:rsidR="00995279" w:rsidRPr="00995279" w:rsidRDefault="00995279" w:rsidP="00995279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995279" w:rsidRPr="00995279" w:rsidSect="00995279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8BBFDA" w14:textId="77777777" w:rsidR="009A4F60" w:rsidRPr="00A312BC" w:rsidRDefault="009A4F60" w:rsidP="00A312BC">
      <w:pPr>
        <w:pStyle w:val="Piedepgina"/>
      </w:pPr>
    </w:p>
  </w:endnote>
  <w:endnote w:type="continuationSeparator" w:id="0">
    <w:p w14:paraId="3602E827" w14:textId="77777777" w:rsidR="009A4F60" w:rsidRPr="00A312BC" w:rsidRDefault="009A4F60" w:rsidP="00A312BC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0CB4FC" w14:textId="3F8A6C59" w:rsidR="00995279" w:rsidRPr="00995279" w:rsidRDefault="00995279" w:rsidP="00995279">
    <w:pPr>
      <w:pStyle w:val="Piedepgina"/>
      <w:tabs>
        <w:tab w:val="right" w:pos="9638"/>
      </w:tabs>
    </w:pPr>
    <w:r w:rsidRPr="00995279">
      <w:rPr>
        <w:b/>
        <w:sz w:val="18"/>
      </w:rPr>
      <w:fldChar w:fldCharType="begin"/>
    </w:r>
    <w:r w:rsidRPr="00995279">
      <w:rPr>
        <w:b/>
        <w:sz w:val="18"/>
      </w:rPr>
      <w:instrText xml:space="preserve"> PAGE  \* MERGEFORMAT </w:instrText>
    </w:r>
    <w:r w:rsidRPr="00995279">
      <w:rPr>
        <w:b/>
        <w:sz w:val="18"/>
      </w:rPr>
      <w:fldChar w:fldCharType="separate"/>
    </w:r>
    <w:r w:rsidRPr="00995279">
      <w:rPr>
        <w:b/>
        <w:noProof/>
        <w:sz w:val="18"/>
      </w:rPr>
      <w:t>2</w:t>
    </w:r>
    <w:r w:rsidRPr="00995279">
      <w:rPr>
        <w:b/>
        <w:sz w:val="18"/>
      </w:rPr>
      <w:fldChar w:fldCharType="end"/>
    </w:r>
    <w:r>
      <w:rPr>
        <w:b/>
        <w:sz w:val="18"/>
      </w:rPr>
      <w:tab/>
    </w:r>
    <w:r>
      <w:t>GE.21-14692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8DD265" w14:textId="136DFCB0" w:rsidR="00995279" w:rsidRPr="00995279" w:rsidRDefault="00995279" w:rsidP="00995279">
    <w:pPr>
      <w:pStyle w:val="Piedepgina"/>
      <w:tabs>
        <w:tab w:val="right" w:pos="9638"/>
      </w:tabs>
      <w:rPr>
        <w:b/>
        <w:sz w:val="18"/>
      </w:rPr>
    </w:pPr>
    <w:r>
      <w:t>GE.21-14692</w:t>
    </w:r>
    <w:r>
      <w:tab/>
    </w:r>
    <w:r w:rsidRPr="00995279">
      <w:rPr>
        <w:b/>
        <w:sz w:val="18"/>
      </w:rPr>
      <w:fldChar w:fldCharType="begin"/>
    </w:r>
    <w:r w:rsidRPr="00995279">
      <w:rPr>
        <w:b/>
        <w:sz w:val="18"/>
      </w:rPr>
      <w:instrText xml:space="preserve"> PAGE  \* MERGEFORMAT </w:instrText>
    </w:r>
    <w:r w:rsidRPr="00995279">
      <w:rPr>
        <w:b/>
        <w:sz w:val="18"/>
      </w:rPr>
      <w:fldChar w:fldCharType="separate"/>
    </w:r>
    <w:r w:rsidRPr="00995279">
      <w:rPr>
        <w:b/>
        <w:noProof/>
        <w:sz w:val="18"/>
      </w:rPr>
      <w:t>3</w:t>
    </w:r>
    <w:r w:rsidRPr="00995279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DF22B0" w14:textId="1D548AA3" w:rsidR="00042B72" w:rsidRPr="00995279" w:rsidRDefault="00995279" w:rsidP="00995279">
    <w:pPr>
      <w:pStyle w:val="Piedepgina"/>
      <w:spacing w:before="120" w:line="240" w:lineRule="auto"/>
      <w:rPr>
        <w:sz w:val="20"/>
      </w:rPr>
    </w:pPr>
    <w:r>
      <w:rPr>
        <w:sz w:val="20"/>
      </w:rPr>
      <w:t>GE.</w:t>
    </w:r>
    <w:r w:rsidR="002E5067">
      <w:rPr>
        <w:noProof/>
      </w:rPr>
      <w:drawing>
        <wp:anchor distT="0" distB="0" distL="114300" distR="114300" simplePos="0" relativeHeight="251657728" behindDoc="0" locked="1" layoutInCell="1" allowOverlap="1" wp14:anchorId="39CD4C50" wp14:editId="51C639C4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Se ruega reciclar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21-14692  (S)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 wp14:anchorId="534C0EB5" wp14:editId="4CA7944D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 xml:space="preserve">    261021    261021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13CCB07" w14:textId="77777777" w:rsidR="009A4F60" w:rsidRPr="001075E9" w:rsidRDefault="009A4F60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41871416" w14:textId="77777777" w:rsidR="009A4F60" w:rsidRDefault="009A4F60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450B6C8E" w14:textId="24280F2A" w:rsidR="00995279" w:rsidRPr="00651DAE" w:rsidRDefault="00995279" w:rsidP="00995279">
      <w:pPr>
        <w:pStyle w:val="Textonotapie"/>
      </w:pPr>
      <w:r w:rsidRPr="00651DAE">
        <w:tab/>
      </w:r>
      <w:r w:rsidRPr="00995279">
        <w:rPr>
          <w:rStyle w:val="Refdenotaalpie"/>
        </w:rPr>
        <w:footnoteRef/>
      </w:r>
      <w:r w:rsidRPr="00651DAE">
        <w:tab/>
      </w:r>
      <w:hyperlink r:id="rId1" w:history="1">
        <w:r w:rsidRPr="009747F5">
          <w:t>www.un.org/press/en/2021/sc14604.doc.htm</w:t>
        </w:r>
      </w:hyperlink>
      <w:r w:rsidRPr="00651DAE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1735B6" w14:textId="20EED6DC" w:rsidR="00995279" w:rsidRPr="00995279" w:rsidRDefault="00BA009E">
    <w:pPr>
      <w:pStyle w:val="Encabezado"/>
    </w:pPr>
    <w:r>
      <w:fldChar w:fldCharType="begin"/>
    </w:r>
    <w:r>
      <w:instrText xml:space="preserve"> TITLE  \* MERGEFORMAT </w:instrText>
    </w:r>
    <w:r>
      <w:fldChar w:fldCharType="separate"/>
    </w:r>
    <w:r>
      <w:t>A/HRC/RES/48/1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786104" w14:textId="1B79A127" w:rsidR="00995279" w:rsidRPr="00995279" w:rsidRDefault="00BA009E" w:rsidP="00995279">
    <w:pPr>
      <w:pStyle w:val="Encabezado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A/HRC/RES/48/1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1A52BD"/>
    <w:multiLevelType w:val="multilevel"/>
    <w:tmpl w:val="77FA4BF8"/>
    <w:lvl w:ilvl="0">
      <w:start w:val="1"/>
      <w:numFmt w:val="decimal"/>
      <w:lvlText w:val="%1."/>
      <w:lvlJc w:val="left"/>
      <w:pPr>
        <w:tabs>
          <w:tab w:val="num" w:pos="1134"/>
        </w:tabs>
        <w:ind w:left="1134" w:firstLine="0"/>
      </w:pPr>
      <w:rPr>
        <w:rFonts w:hint="default"/>
        <w:b w:val="0"/>
        <w:i w:val="0"/>
        <w:sz w:val="20"/>
      </w:rPr>
    </w:lvl>
    <w:lvl w:ilvl="1">
      <w:start w:val="1"/>
      <w:numFmt w:val="lowerLetter"/>
      <w:pStyle w:val="1ParNoG"/>
      <w:lvlText w:val="%2)"/>
      <w:lvlJc w:val="left"/>
      <w:pPr>
        <w:tabs>
          <w:tab w:val="num" w:pos="1701"/>
        </w:tabs>
        <w:ind w:left="1134" w:firstLine="567"/>
      </w:pPr>
      <w:rPr>
        <w:rFonts w:hint="default"/>
      </w:rPr>
    </w:lvl>
    <w:lvl w:ilvl="2">
      <w:start w:val="1"/>
      <w:numFmt w:val="lowerRoman"/>
      <w:pStyle w:val="1ParNoG0"/>
      <w:lvlText w:val="%3)"/>
      <w:lvlJc w:val="left"/>
      <w:pPr>
        <w:tabs>
          <w:tab w:val="num" w:pos="1701"/>
        </w:tabs>
        <w:ind w:left="1701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6"/>
  </w:num>
  <w:num w:numId="4">
    <w:abstractNumId w:val="15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0"/>
  </w:num>
  <w:num w:numId="17">
    <w:abstractNumId w:val="14"/>
  </w:num>
  <w:num w:numId="18">
    <w:abstractNumId w:val="11"/>
  </w:num>
  <w:num w:numId="19">
    <w:abstractNumId w:val="10"/>
  </w:num>
  <w:num w:numId="20">
    <w:abstractNumId w:val="16"/>
  </w:num>
  <w:num w:numId="21">
    <w:abstractNumId w:val="15"/>
  </w:num>
  <w:num w:numId="22">
    <w:abstractNumId w:val="12"/>
  </w:num>
  <w:num w:numId="23">
    <w:abstractNumId w:val="12"/>
  </w:num>
  <w:num w:numId="24">
    <w:abstractNumId w:val="13"/>
  </w:num>
  <w:num w:numId="25">
    <w:abstractNumId w:val="9"/>
  </w:num>
  <w:num w:numId="26">
    <w:abstractNumId w:val="7"/>
  </w:num>
  <w:num w:numId="27">
    <w:abstractNumId w:val="6"/>
  </w:num>
  <w:num w:numId="28">
    <w:abstractNumId w:val="5"/>
  </w:num>
  <w:num w:numId="29">
    <w:abstractNumId w:val="4"/>
  </w:num>
  <w:num w:numId="30">
    <w:abstractNumId w:val="8"/>
  </w:num>
  <w:num w:numId="31">
    <w:abstractNumId w:val="3"/>
  </w:num>
  <w:num w:numId="32">
    <w:abstractNumId w:val="2"/>
  </w:num>
  <w:num w:numId="33">
    <w:abstractNumId w:val="1"/>
  </w:num>
  <w:num w:numId="34">
    <w:abstractNumId w:val="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7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4F60"/>
    <w:rsid w:val="00033EE1"/>
    <w:rsid w:val="00042B72"/>
    <w:rsid w:val="000558BD"/>
    <w:rsid w:val="00067AC3"/>
    <w:rsid w:val="0008244E"/>
    <w:rsid w:val="000B57E7"/>
    <w:rsid w:val="000B6373"/>
    <w:rsid w:val="000F09DF"/>
    <w:rsid w:val="000F61B2"/>
    <w:rsid w:val="001075E9"/>
    <w:rsid w:val="001116B4"/>
    <w:rsid w:val="001256FE"/>
    <w:rsid w:val="001359DC"/>
    <w:rsid w:val="00180183"/>
    <w:rsid w:val="0018024D"/>
    <w:rsid w:val="0018649F"/>
    <w:rsid w:val="00196389"/>
    <w:rsid w:val="001B3EF6"/>
    <w:rsid w:val="001C7A89"/>
    <w:rsid w:val="002624B6"/>
    <w:rsid w:val="002A2EFC"/>
    <w:rsid w:val="002C0E18"/>
    <w:rsid w:val="002D5AAC"/>
    <w:rsid w:val="002E5067"/>
    <w:rsid w:val="002F405F"/>
    <w:rsid w:val="002F7EEC"/>
    <w:rsid w:val="00301299"/>
    <w:rsid w:val="00307FB6"/>
    <w:rsid w:val="00317339"/>
    <w:rsid w:val="00322004"/>
    <w:rsid w:val="003402C2"/>
    <w:rsid w:val="00381C24"/>
    <w:rsid w:val="003958D0"/>
    <w:rsid w:val="003B00E5"/>
    <w:rsid w:val="00407B78"/>
    <w:rsid w:val="00424203"/>
    <w:rsid w:val="00452493"/>
    <w:rsid w:val="00454E07"/>
    <w:rsid w:val="00472C5C"/>
    <w:rsid w:val="004F50BF"/>
    <w:rsid w:val="0050108D"/>
    <w:rsid w:val="00513081"/>
    <w:rsid w:val="00517901"/>
    <w:rsid w:val="00526683"/>
    <w:rsid w:val="005709E0"/>
    <w:rsid w:val="00572E19"/>
    <w:rsid w:val="005961C8"/>
    <w:rsid w:val="005A36B2"/>
    <w:rsid w:val="005D5215"/>
    <w:rsid w:val="005D7914"/>
    <w:rsid w:val="005E2B41"/>
    <w:rsid w:val="005F0B42"/>
    <w:rsid w:val="00681A10"/>
    <w:rsid w:val="006A1ED8"/>
    <w:rsid w:val="006C2031"/>
    <w:rsid w:val="006C4D4E"/>
    <w:rsid w:val="006D461A"/>
    <w:rsid w:val="006F35EE"/>
    <w:rsid w:val="007021FF"/>
    <w:rsid w:val="00704605"/>
    <w:rsid w:val="00712895"/>
    <w:rsid w:val="00757357"/>
    <w:rsid w:val="00825F8D"/>
    <w:rsid w:val="00834B71"/>
    <w:rsid w:val="008629AB"/>
    <w:rsid w:val="0086445C"/>
    <w:rsid w:val="00894693"/>
    <w:rsid w:val="008A08D7"/>
    <w:rsid w:val="008B6909"/>
    <w:rsid w:val="00906890"/>
    <w:rsid w:val="00911BE4"/>
    <w:rsid w:val="00951972"/>
    <w:rsid w:val="009608F3"/>
    <w:rsid w:val="009747F5"/>
    <w:rsid w:val="00982D57"/>
    <w:rsid w:val="00995279"/>
    <w:rsid w:val="009A24AC"/>
    <w:rsid w:val="009A4F60"/>
    <w:rsid w:val="00A312BC"/>
    <w:rsid w:val="00A84021"/>
    <w:rsid w:val="00A84D35"/>
    <w:rsid w:val="00A90665"/>
    <w:rsid w:val="00A917B3"/>
    <w:rsid w:val="00A978F1"/>
    <w:rsid w:val="00AB4B51"/>
    <w:rsid w:val="00B10CC7"/>
    <w:rsid w:val="00B539E7"/>
    <w:rsid w:val="00B62458"/>
    <w:rsid w:val="00BA009E"/>
    <w:rsid w:val="00BA2828"/>
    <w:rsid w:val="00BC18B2"/>
    <w:rsid w:val="00BD33EE"/>
    <w:rsid w:val="00C106D6"/>
    <w:rsid w:val="00C60B15"/>
    <w:rsid w:val="00C60F0C"/>
    <w:rsid w:val="00C805C9"/>
    <w:rsid w:val="00C92939"/>
    <w:rsid w:val="00CA1679"/>
    <w:rsid w:val="00CB151C"/>
    <w:rsid w:val="00CD0C97"/>
    <w:rsid w:val="00CE5A1A"/>
    <w:rsid w:val="00CF55F6"/>
    <w:rsid w:val="00D2626A"/>
    <w:rsid w:val="00D33D63"/>
    <w:rsid w:val="00D90138"/>
    <w:rsid w:val="00DE597D"/>
    <w:rsid w:val="00E728B5"/>
    <w:rsid w:val="00E73F76"/>
    <w:rsid w:val="00EA2C9F"/>
    <w:rsid w:val="00ED0BDA"/>
    <w:rsid w:val="00EF1360"/>
    <w:rsid w:val="00EF3220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33B37F0"/>
  <w15:docId w15:val="{F2349D64-34CF-43CF-9327-0445EC696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uiPriority="3" w:qFormat="1"/>
    <w:lsdException w:name="heading 1" w:uiPriority="9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" w:unhideWhenUsed="1"/>
    <w:lsdException w:name="toc 2" w:semiHidden="1" w:uiPriority="5" w:unhideWhenUsed="1"/>
    <w:lsdException w:name="toc 3" w:semiHidden="1" w:uiPriority="5" w:unhideWhenUsed="1"/>
    <w:lsdException w:name="toc 4" w:semiHidden="1" w:uiPriority="5" w:unhideWhenUsed="1"/>
    <w:lsdException w:name="toc 5" w:semiHidden="1" w:uiPriority="5" w:unhideWhenUsed="1"/>
    <w:lsdException w:name="toc 6" w:semiHidden="1" w:uiPriority="5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3" w:unhideWhenUsed="1" w:qFormat="1"/>
    <w:lsdException w:name="annotation text" w:semiHidden="1" w:unhideWhenUsed="1"/>
    <w:lsdException w:name="header" w:semiHidden="1" w:uiPriority="3" w:unhideWhenUsed="1" w:qFormat="1"/>
    <w:lsdException w:name="footer" w:semiHidden="1" w:uiPriority="3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3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3" w:unhideWhenUsed="1" w:qFormat="1"/>
    <w:lsdException w:name="endnote reference" w:semiHidden="1" w:uiPriority="3" w:unhideWhenUsed="1" w:qFormat="1"/>
    <w:lsdException w:name="endnote text" w:semiHidden="1" w:uiPriority="3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4" w:unhideWhenUsed="1"/>
    <w:lsdException w:name="FollowedHyperlink" w:semiHidden="1" w:uiPriority="4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3"/>
    <w:qFormat/>
    <w:rsid w:val="00A978F1"/>
    <w:pPr>
      <w:spacing w:line="240" w:lineRule="atLeast"/>
    </w:pPr>
  </w:style>
  <w:style w:type="paragraph" w:styleId="Ttulo1">
    <w:name w:val="heading 1"/>
    <w:aliases w:val="Cuadro_G"/>
    <w:basedOn w:val="SingleTxtG"/>
    <w:next w:val="SingleTxtG"/>
    <w:link w:val="Ttulo1Car"/>
    <w:uiPriority w:val="9"/>
    <w:qFormat/>
    <w:rsid w:val="00A978F1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semiHidden/>
    <w:rsid w:val="00A978F1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A978F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A978F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A978F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A978F1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A978F1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A978F1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A978F1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uiPriority w:val="3"/>
    <w:qFormat/>
    <w:rsid w:val="00A978F1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5"/>
    </w:pPr>
  </w:style>
  <w:style w:type="paragraph" w:styleId="Encabezado">
    <w:name w:val="header"/>
    <w:aliases w:val="6_G"/>
    <w:basedOn w:val="Normal"/>
    <w:next w:val="Normal"/>
    <w:link w:val="EncabezadoCar"/>
    <w:uiPriority w:val="3"/>
    <w:qFormat/>
    <w:rsid w:val="00A978F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uiPriority w:val="1"/>
    <w:qFormat/>
    <w:rsid w:val="00A978F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uiPriority w:val="5"/>
    <w:rsid w:val="00A978F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uiPriority w:val="5"/>
    <w:rsid w:val="00A978F1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uiPriority w:val="5"/>
    <w:rsid w:val="00A978F1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link w:val="PiedepginaCar"/>
    <w:uiPriority w:val="3"/>
    <w:qFormat/>
    <w:rsid w:val="00A978F1"/>
    <w:rPr>
      <w:sz w:val="16"/>
    </w:rPr>
  </w:style>
  <w:style w:type="paragraph" w:customStyle="1" w:styleId="XLargeG">
    <w:name w:val="__XLarge_G"/>
    <w:basedOn w:val="Normal"/>
    <w:next w:val="Normal"/>
    <w:uiPriority w:val="5"/>
    <w:rsid w:val="00A978F1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link w:val="TextonotapieCar"/>
    <w:uiPriority w:val="3"/>
    <w:qFormat/>
    <w:rsid w:val="00A978F1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rsid w:val="00A978F1"/>
    <w:pPr>
      <w:numPr>
        <w:numId w:val="3"/>
      </w:numPr>
    </w:pPr>
  </w:style>
  <w:style w:type="numbering" w:styleId="1ai">
    <w:name w:val="Outline List 1"/>
    <w:basedOn w:val="Sinlista"/>
    <w:rsid w:val="00A978F1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A978F1"/>
  </w:style>
  <w:style w:type="numbering" w:styleId="ArtculoSeccin">
    <w:name w:val="Outline List 3"/>
    <w:basedOn w:val="Sinlista"/>
    <w:rsid w:val="00A978F1"/>
    <w:pPr>
      <w:numPr>
        <w:numId w:val="5"/>
      </w:numPr>
    </w:pPr>
  </w:style>
  <w:style w:type="paragraph" w:styleId="Cierre">
    <w:name w:val="Closing"/>
    <w:basedOn w:val="Normal"/>
    <w:link w:val="CierreCar"/>
    <w:semiHidden/>
    <w:rsid w:val="00A978F1"/>
    <w:pPr>
      <w:ind w:left="4252"/>
    </w:pPr>
  </w:style>
  <w:style w:type="character" w:styleId="CitaHTML">
    <w:name w:val="HTML Cite"/>
    <w:semiHidden/>
    <w:rsid w:val="00A978F1"/>
    <w:rPr>
      <w:i/>
      <w:iCs/>
    </w:rPr>
  </w:style>
  <w:style w:type="character" w:styleId="CdigoHTML">
    <w:name w:val="HTML Code"/>
    <w:semiHidden/>
    <w:rsid w:val="00A978F1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A978F1"/>
    <w:pPr>
      <w:spacing w:after="120"/>
      <w:ind w:left="283"/>
    </w:pPr>
  </w:style>
  <w:style w:type="paragraph" w:styleId="Continuarlista2">
    <w:name w:val="List Continue 2"/>
    <w:basedOn w:val="Normal"/>
    <w:semiHidden/>
    <w:rsid w:val="00A978F1"/>
    <w:pPr>
      <w:spacing w:after="120"/>
      <w:ind w:left="566"/>
    </w:pPr>
  </w:style>
  <w:style w:type="paragraph" w:styleId="Continuarlista3">
    <w:name w:val="List Continue 3"/>
    <w:basedOn w:val="Normal"/>
    <w:semiHidden/>
    <w:rsid w:val="00A978F1"/>
    <w:pPr>
      <w:spacing w:after="120"/>
      <w:ind w:left="849"/>
    </w:pPr>
  </w:style>
  <w:style w:type="paragraph" w:styleId="Continuarlista4">
    <w:name w:val="List Continue 4"/>
    <w:basedOn w:val="Normal"/>
    <w:semiHidden/>
    <w:rsid w:val="00A978F1"/>
    <w:pPr>
      <w:spacing w:after="120"/>
      <w:ind w:left="1132"/>
    </w:pPr>
  </w:style>
  <w:style w:type="paragraph" w:styleId="Continuarlista5">
    <w:name w:val="List Continue 5"/>
    <w:basedOn w:val="Normal"/>
    <w:semiHidden/>
    <w:rsid w:val="00A978F1"/>
    <w:pPr>
      <w:spacing w:after="120"/>
      <w:ind w:left="1415"/>
    </w:pPr>
  </w:style>
  <w:style w:type="character" w:styleId="DefinicinHTML">
    <w:name w:val="HTML Definition"/>
    <w:semiHidden/>
    <w:rsid w:val="00A978F1"/>
    <w:rPr>
      <w:i/>
      <w:iCs/>
    </w:rPr>
  </w:style>
  <w:style w:type="paragraph" w:styleId="DireccinHTML">
    <w:name w:val="HTML Address"/>
    <w:basedOn w:val="Normal"/>
    <w:link w:val="DireccinHTMLCar"/>
    <w:semiHidden/>
    <w:rsid w:val="00A978F1"/>
    <w:rPr>
      <w:i/>
      <w:iCs/>
    </w:rPr>
  </w:style>
  <w:style w:type="paragraph" w:styleId="Direccinsobre">
    <w:name w:val="envelope address"/>
    <w:basedOn w:val="Normal"/>
    <w:semiHidden/>
    <w:rsid w:val="00A978F1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semiHidden/>
    <w:rsid w:val="00A978F1"/>
    <w:rPr>
      <w:rFonts w:ascii="Courier New" w:hAnsi="Courier New" w:cs="Courier New"/>
    </w:rPr>
  </w:style>
  <w:style w:type="paragraph" w:styleId="Encabezadodemensaje">
    <w:name w:val="Message Header"/>
    <w:basedOn w:val="Normal"/>
    <w:link w:val="EncabezadodemensajeCar"/>
    <w:semiHidden/>
    <w:rsid w:val="00A978F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link w:val="EncabezadodenotaCar"/>
    <w:semiHidden/>
    <w:rsid w:val="00A978F1"/>
  </w:style>
  <w:style w:type="paragraph" w:styleId="Fecha">
    <w:name w:val="Date"/>
    <w:basedOn w:val="Normal"/>
    <w:next w:val="Normal"/>
    <w:link w:val="FechaCar"/>
    <w:semiHidden/>
    <w:rsid w:val="00A978F1"/>
  </w:style>
  <w:style w:type="paragraph" w:styleId="Firma">
    <w:name w:val="Signature"/>
    <w:basedOn w:val="Normal"/>
    <w:link w:val="FirmaCar"/>
    <w:semiHidden/>
    <w:rsid w:val="00A978F1"/>
    <w:pPr>
      <w:ind w:left="4252"/>
    </w:pPr>
  </w:style>
  <w:style w:type="paragraph" w:styleId="Firmadecorreoelectrnico">
    <w:name w:val="E-mail Signature"/>
    <w:basedOn w:val="Normal"/>
    <w:link w:val="FirmadecorreoelectrnicoCar"/>
    <w:semiHidden/>
    <w:rsid w:val="00A978F1"/>
  </w:style>
  <w:style w:type="character" w:styleId="Hipervnculo">
    <w:name w:val="Hyperlink"/>
    <w:uiPriority w:val="4"/>
    <w:rsid w:val="00A978F1"/>
    <w:rPr>
      <w:color w:val="0000FF"/>
      <w:u w:val="none"/>
    </w:rPr>
  </w:style>
  <w:style w:type="character" w:styleId="Hipervnculovisitado">
    <w:name w:val="FollowedHyperlink"/>
    <w:uiPriority w:val="4"/>
    <w:rsid w:val="00A978F1"/>
    <w:rPr>
      <w:color w:val="0000FF"/>
      <w:u w:val="none"/>
    </w:rPr>
  </w:style>
  <w:style w:type="paragraph" w:styleId="HTMLconformatoprevio">
    <w:name w:val="HTML Preformatted"/>
    <w:basedOn w:val="Normal"/>
    <w:link w:val="HTMLconformatoprevioCar"/>
    <w:semiHidden/>
    <w:rsid w:val="00A978F1"/>
    <w:rPr>
      <w:rFonts w:ascii="Courier New" w:hAnsi="Courier New" w:cs="Courier New"/>
    </w:rPr>
  </w:style>
  <w:style w:type="paragraph" w:styleId="Lista">
    <w:name w:val="List"/>
    <w:basedOn w:val="Normal"/>
    <w:semiHidden/>
    <w:rsid w:val="00A978F1"/>
    <w:pPr>
      <w:ind w:left="283" w:hanging="283"/>
    </w:pPr>
  </w:style>
  <w:style w:type="paragraph" w:styleId="Lista2">
    <w:name w:val="List 2"/>
    <w:basedOn w:val="Normal"/>
    <w:semiHidden/>
    <w:rsid w:val="00A978F1"/>
    <w:pPr>
      <w:ind w:left="566" w:hanging="283"/>
    </w:pPr>
  </w:style>
  <w:style w:type="paragraph" w:styleId="Lista3">
    <w:name w:val="List 3"/>
    <w:basedOn w:val="Normal"/>
    <w:semiHidden/>
    <w:rsid w:val="00A978F1"/>
    <w:pPr>
      <w:ind w:left="849" w:hanging="283"/>
    </w:pPr>
  </w:style>
  <w:style w:type="paragraph" w:styleId="Lista4">
    <w:name w:val="List 4"/>
    <w:basedOn w:val="Normal"/>
    <w:semiHidden/>
    <w:rsid w:val="00A978F1"/>
    <w:pPr>
      <w:ind w:left="1132" w:hanging="283"/>
    </w:pPr>
  </w:style>
  <w:style w:type="paragraph" w:styleId="Lista5">
    <w:name w:val="List 5"/>
    <w:basedOn w:val="Normal"/>
    <w:semiHidden/>
    <w:rsid w:val="00A978F1"/>
    <w:pPr>
      <w:ind w:left="1415" w:hanging="283"/>
    </w:pPr>
  </w:style>
  <w:style w:type="paragraph" w:styleId="Listaconnmeros">
    <w:name w:val="List Number"/>
    <w:basedOn w:val="Normal"/>
    <w:semiHidden/>
    <w:rsid w:val="00A978F1"/>
    <w:pPr>
      <w:numPr>
        <w:numId w:val="30"/>
      </w:numPr>
    </w:pPr>
  </w:style>
  <w:style w:type="paragraph" w:styleId="Listaconnmeros2">
    <w:name w:val="List Number 2"/>
    <w:basedOn w:val="Normal"/>
    <w:semiHidden/>
    <w:rsid w:val="00A978F1"/>
    <w:pPr>
      <w:numPr>
        <w:numId w:val="31"/>
      </w:numPr>
    </w:pPr>
  </w:style>
  <w:style w:type="paragraph" w:styleId="Listaconnmeros3">
    <w:name w:val="List Number 3"/>
    <w:basedOn w:val="Normal"/>
    <w:semiHidden/>
    <w:rsid w:val="00A978F1"/>
    <w:pPr>
      <w:numPr>
        <w:numId w:val="32"/>
      </w:numPr>
    </w:pPr>
  </w:style>
  <w:style w:type="paragraph" w:styleId="Listaconnmeros4">
    <w:name w:val="List Number 4"/>
    <w:basedOn w:val="Normal"/>
    <w:semiHidden/>
    <w:rsid w:val="00A978F1"/>
    <w:pPr>
      <w:numPr>
        <w:numId w:val="33"/>
      </w:numPr>
    </w:pPr>
  </w:style>
  <w:style w:type="paragraph" w:styleId="Listaconnmeros5">
    <w:name w:val="List Number 5"/>
    <w:basedOn w:val="Normal"/>
    <w:semiHidden/>
    <w:rsid w:val="00A978F1"/>
    <w:pPr>
      <w:numPr>
        <w:numId w:val="34"/>
      </w:numPr>
    </w:pPr>
  </w:style>
  <w:style w:type="paragraph" w:styleId="Listaconvietas">
    <w:name w:val="List Bullet"/>
    <w:basedOn w:val="Normal"/>
    <w:semiHidden/>
    <w:rsid w:val="00A978F1"/>
    <w:pPr>
      <w:numPr>
        <w:numId w:val="25"/>
      </w:numPr>
    </w:pPr>
  </w:style>
  <w:style w:type="paragraph" w:styleId="Listaconvietas2">
    <w:name w:val="List Bullet 2"/>
    <w:basedOn w:val="Normal"/>
    <w:semiHidden/>
    <w:rsid w:val="00A978F1"/>
    <w:pPr>
      <w:numPr>
        <w:numId w:val="26"/>
      </w:numPr>
    </w:pPr>
  </w:style>
  <w:style w:type="paragraph" w:styleId="Listaconvietas3">
    <w:name w:val="List Bullet 3"/>
    <w:basedOn w:val="Normal"/>
    <w:semiHidden/>
    <w:rsid w:val="00A978F1"/>
    <w:pPr>
      <w:numPr>
        <w:numId w:val="27"/>
      </w:numPr>
    </w:pPr>
  </w:style>
  <w:style w:type="paragraph" w:styleId="Listaconvietas4">
    <w:name w:val="List Bullet 4"/>
    <w:basedOn w:val="Normal"/>
    <w:semiHidden/>
    <w:rsid w:val="00A978F1"/>
    <w:pPr>
      <w:numPr>
        <w:numId w:val="28"/>
      </w:numPr>
    </w:pPr>
  </w:style>
  <w:style w:type="paragraph" w:styleId="Listaconvietas5">
    <w:name w:val="List Bullet 5"/>
    <w:basedOn w:val="Normal"/>
    <w:semiHidden/>
    <w:rsid w:val="00A978F1"/>
    <w:pPr>
      <w:numPr>
        <w:numId w:val="29"/>
      </w:numPr>
    </w:pPr>
  </w:style>
  <w:style w:type="character" w:styleId="MquinadeescribirHTML">
    <w:name w:val="HTML Typewriter"/>
    <w:semiHidden/>
    <w:rsid w:val="00A978F1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A978F1"/>
    <w:rPr>
      <w:sz w:val="24"/>
      <w:szCs w:val="24"/>
    </w:rPr>
  </w:style>
  <w:style w:type="character" w:styleId="Nmerodelnea">
    <w:name w:val="line number"/>
    <w:basedOn w:val="Fuentedeprrafopredeter"/>
    <w:semiHidden/>
    <w:rsid w:val="00A978F1"/>
  </w:style>
  <w:style w:type="character" w:styleId="Nmerodepgina">
    <w:name w:val="page number"/>
    <w:aliases w:val="7_G"/>
    <w:uiPriority w:val="3"/>
    <w:qFormat/>
    <w:rsid w:val="00A978F1"/>
    <w:rPr>
      <w:b/>
      <w:sz w:val="18"/>
    </w:rPr>
  </w:style>
  <w:style w:type="character" w:styleId="Refdenotaalfinal">
    <w:name w:val="endnote reference"/>
    <w:aliases w:val="1_G"/>
    <w:uiPriority w:val="3"/>
    <w:qFormat/>
    <w:rsid w:val="00A978F1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A978F1"/>
    <w:rPr>
      <w:rFonts w:ascii="Arial" w:hAnsi="Arial" w:cs="Arial"/>
    </w:rPr>
  </w:style>
  <w:style w:type="paragraph" w:styleId="Saludo">
    <w:name w:val="Salutation"/>
    <w:basedOn w:val="Normal"/>
    <w:next w:val="Normal"/>
    <w:link w:val="SaludoCar"/>
    <w:semiHidden/>
    <w:rsid w:val="00A978F1"/>
  </w:style>
  <w:style w:type="paragraph" w:styleId="Sangra2detindependiente">
    <w:name w:val="Body Text Indent 2"/>
    <w:basedOn w:val="Normal"/>
    <w:link w:val="Sangra2detindependienteCar"/>
    <w:semiHidden/>
    <w:rsid w:val="00A978F1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link w:val="Sangra3detindependienteCar"/>
    <w:semiHidden/>
    <w:rsid w:val="00A978F1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link w:val="SangradetextonormalCar"/>
    <w:semiHidden/>
    <w:rsid w:val="00A978F1"/>
    <w:pPr>
      <w:spacing w:after="120"/>
      <w:ind w:left="283"/>
    </w:pPr>
  </w:style>
  <w:style w:type="paragraph" w:styleId="Sangranormal">
    <w:name w:val="Normal Indent"/>
    <w:basedOn w:val="Normal"/>
    <w:semiHidden/>
    <w:rsid w:val="00A978F1"/>
    <w:pPr>
      <w:ind w:left="567"/>
    </w:pPr>
  </w:style>
  <w:style w:type="paragraph" w:styleId="Subttulo">
    <w:name w:val="Subtitle"/>
    <w:basedOn w:val="Normal"/>
    <w:link w:val="SubttuloCar"/>
    <w:semiHidden/>
    <w:rsid w:val="00A978F1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rsid w:val="00A978F1"/>
    <w:pPr>
      <w:spacing w:line="240" w:lineRule="atLeast"/>
    </w:pPr>
    <w:rPr>
      <w:lang w:val="en-US" w:eastAsia="en-US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rsid w:val="00A978F1"/>
    <w:pPr>
      <w:spacing w:line="240" w:lineRule="atLeast"/>
    </w:pPr>
    <w:rPr>
      <w:color w:val="000080"/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rsid w:val="00A978F1"/>
    <w:pPr>
      <w:spacing w:line="240" w:lineRule="atLeast"/>
    </w:pPr>
    <w:rPr>
      <w:b/>
      <w:bCs/>
      <w:lang w:val="en-US" w:eastAsia="en-US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rsid w:val="00A978F1"/>
    <w:pPr>
      <w:spacing w:line="240" w:lineRule="atLeast"/>
    </w:pPr>
    <w:rPr>
      <w:b/>
      <w:bCs/>
      <w:lang w:val="en-US"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rsid w:val="00A978F1"/>
    <w:pPr>
      <w:spacing w:line="240" w:lineRule="atLeast"/>
    </w:pPr>
    <w:rPr>
      <w:b/>
      <w:bCs/>
      <w:lang w:val="en-US" w:eastAsia="en-US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rsid w:val="00A978F1"/>
    <w:pPr>
      <w:spacing w:line="240" w:lineRule="atLeast"/>
    </w:pPr>
    <w:rPr>
      <w:lang w:val="en-US"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rsid w:val="00A978F1"/>
    <w:pPr>
      <w:spacing w:line="240" w:lineRule="atLeast"/>
    </w:pPr>
    <w:rPr>
      <w:lang w:val="en-US" w:eastAsia="en-US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2">
    <w:name w:val="Table Grid 2"/>
    <w:basedOn w:val="Tablanormal"/>
    <w:rsid w:val="00A978F1"/>
    <w:pPr>
      <w:spacing w:line="240" w:lineRule="atLeast"/>
    </w:pPr>
    <w:rPr>
      <w:lang w:val="en-US" w:eastAsia="en-US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3">
    <w:name w:val="Table Grid 3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4">
    <w:name w:val="Table Grid 4"/>
    <w:basedOn w:val="Tablanormal"/>
    <w:rsid w:val="00A978F1"/>
    <w:pPr>
      <w:spacing w:line="240" w:lineRule="atLeast"/>
    </w:pPr>
    <w:rPr>
      <w:lang w:val="en-US" w:eastAsia="en-US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rsid w:val="00A978F1"/>
    <w:pPr>
      <w:spacing w:line="240" w:lineRule="atLeast"/>
    </w:pPr>
    <w:rPr>
      <w:b/>
      <w:bCs/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rsid w:val="00A978F1"/>
    <w:pPr>
      <w:spacing w:line="240" w:lineRule="atLeast"/>
    </w:pPr>
    <w:rPr>
      <w:lang w:val="en-US" w:eastAsia="en-US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rsid w:val="00A978F1"/>
    <w:pPr>
      <w:spacing w:line="240" w:lineRule="atLeast"/>
    </w:pPr>
    <w:rPr>
      <w:lang w:val="en-US" w:eastAsia="en-US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rsid w:val="00A978F1"/>
    <w:pPr>
      <w:spacing w:line="240" w:lineRule="atLeast"/>
    </w:pPr>
    <w:rPr>
      <w:lang w:val="en-US" w:eastAsia="en-US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rsid w:val="00A978F1"/>
    <w:pPr>
      <w:spacing w:line="240" w:lineRule="atLeast"/>
    </w:pPr>
    <w:rPr>
      <w:color w:val="FFFFFF"/>
      <w:lang w:val="en-US" w:eastAsia="en-US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rsid w:val="00A978F1"/>
    <w:pPr>
      <w:spacing w:line="240" w:lineRule="atLeast"/>
    </w:pPr>
    <w:rPr>
      <w:lang w:val="en-US" w:eastAsia="en-US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rsid w:val="00A978F1"/>
    <w:pPr>
      <w:spacing w:line="240" w:lineRule="atLeast"/>
    </w:pPr>
    <w:rPr>
      <w:lang w:val="en-US" w:eastAsia="en-US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rsid w:val="00A978F1"/>
    <w:pPr>
      <w:spacing w:line="240" w:lineRule="atLeast"/>
    </w:pPr>
    <w:rPr>
      <w:lang w:val="en-US" w:eastAsia="en-US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rsid w:val="00A978F1"/>
    <w:pPr>
      <w:spacing w:line="240" w:lineRule="atLeast"/>
    </w:pPr>
    <w:rPr>
      <w:lang w:val="en-US" w:eastAsia="en-US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semiHidden/>
    <w:rsid w:val="00A978F1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A978F1"/>
    <w:pPr>
      <w:spacing w:after="120"/>
      <w:ind w:left="1440" w:right="1440"/>
    </w:pPr>
  </w:style>
  <w:style w:type="character" w:styleId="Textoennegrita">
    <w:name w:val="Strong"/>
    <w:semiHidden/>
    <w:rsid w:val="00A978F1"/>
    <w:rPr>
      <w:b/>
      <w:bCs/>
    </w:rPr>
  </w:style>
  <w:style w:type="paragraph" w:styleId="Textoindependiente">
    <w:name w:val="Body Text"/>
    <w:basedOn w:val="Normal"/>
    <w:link w:val="TextoindependienteCar"/>
    <w:semiHidden/>
    <w:rsid w:val="00A978F1"/>
    <w:pPr>
      <w:spacing w:after="120"/>
    </w:pPr>
  </w:style>
  <w:style w:type="paragraph" w:styleId="Textoindependiente2">
    <w:name w:val="Body Text 2"/>
    <w:basedOn w:val="Normal"/>
    <w:link w:val="Textoindependiente2Car"/>
    <w:semiHidden/>
    <w:rsid w:val="00A978F1"/>
    <w:pPr>
      <w:spacing w:after="120" w:line="480" w:lineRule="auto"/>
    </w:pPr>
  </w:style>
  <w:style w:type="paragraph" w:styleId="Textoindependiente3">
    <w:name w:val="Body Text 3"/>
    <w:basedOn w:val="Normal"/>
    <w:link w:val="Textoindependiente3Car"/>
    <w:semiHidden/>
    <w:rsid w:val="00A978F1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link w:val="TextoindependienteprimerasangraCar"/>
    <w:semiHidden/>
    <w:rsid w:val="00A978F1"/>
    <w:pPr>
      <w:ind w:firstLine="210"/>
    </w:pPr>
  </w:style>
  <w:style w:type="paragraph" w:styleId="Textoindependienteprimerasangra2">
    <w:name w:val="Body Text First Indent 2"/>
    <w:basedOn w:val="Sangradetextonormal"/>
    <w:link w:val="Textoindependienteprimerasangra2Car"/>
    <w:semiHidden/>
    <w:rsid w:val="00A978F1"/>
    <w:pPr>
      <w:ind w:firstLine="210"/>
    </w:pPr>
  </w:style>
  <w:style w:type="paragraph" w:styleId="Textonotaalfinal">
    <w:name w:val="endnote text"/>
    <w:aliases w:val="2_G"/>
    <w:basedOn w:val="Textonotapie"/>
    <w:link w:val="TextonotaalfinalCar"/>
    <w:uiPriority w:val="3"/>
    <w:qFormat/>
    <w:rsid w:val="00A978F1"/>
  </w:style>
  <w:style w:type="paragraph" w:styleId="Textosinformato">
    <w:name w:val="Plain Text"/>
    <w:basedOn w:val="Normal"/>
    <w:link w:val="TextosinformatoCar"/>
    <w:semiHidden/>
    <w:rsid w:val="00A978F1"/>
    <w:rPr>
      <w:rFonts w:ascii="Courier New" w:hAnsi="Courier New" w:cs="Courier New"/>
    </w:rPr>
  </w:style>
  <w:style w:type="paragraph" w:styleId="Ttulo">
    <w:name w:val="Title"/>
    <w:basedOn w:val="Normal"/>
    <w:link w:val="TtuloCar"/>
    <w:semiHidden/>
    <w:rsid w:val="00A978F1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semiHidden/>
    <w:rsid w:val="00A978F1"/>
    <w:rPr>
      <w:i/>
      <w:iCs/>
    </w:rPr>
  </w:style>
  <w:style w:type="paragraph" w:customStyle="1" w:styleId="Bullet1G">
    <w:name w:val="_Bullet 1_G"/>
    <w:basedOn w:val="Normal"/>
    <w:uiPriority w:val="1"/>
    <w:qFormat/>
    <w:rsid w:val="00A978F1"/>
    <w:pPr>
      <w:numPr>
        <w:numId w:val="17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uiPriority w:val="1"/>
    <w:qFormat/>
    <w:rsid w:val="00A978F1"/>
    <w:pPr>
      <w:numPr>
        <w:numId w:val="18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unhideWhenUsed/>
    <w:rsid w:val="00A978F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A978F1"/>
    <w:rPr>
      <w:rFonts w:ascii="Segoe UI" w:hAnsi="Segoe UI" w:cs="Segoe UI"/>
      <w:sz w:val="18"/>
      <w:szCs w:val="18"/>
    </w:rPr>
  </w:style>
  <w:style w:type="character" w:customStyle="1" w:styleId="Ttulo1Car">
    <w:name w:val="Título 1 Car"/>
    <w:aliases w:val="Cuadro_G Car"/>
    <w:basedOn w:val="Fuentedeprrafopredeter"/>
    <w:link w:val="Ttulo1"/>
    <w:uiPriority w:val="9"/>
    <w:rsid w:val="00A978F1"/>
    <w:rPr>
      <w:lang w:val="fr-CH" w:eastAsia="en-US"/>
    </w:rPr>
  </w:style>
  <w:style w:type="paragraph" w:customStyle="1" w:styleId="ParNoG">
    <w:name w:val="_ParNo_G"/>
    <w:basedOn w:val="Normal"/>
    <w:uiPriority w:val="1"/>
    <w:qFormat/>
    <w:rsid w:val="00A978F1"/>
    <w:pPr>
      <w:numPr>
        <w:numId w:val="19"/>
      </w:num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  <w:lang w:eastAsia="en-US"/>
    </w:rPr>
  </w:style>
  <w:style w:type="character" w:customStyle="1" w:styleId="SingleTxtGChar">
    <w:name w:val="_ Single Txt_G Char"/>
    <w:link w:val="SingleTxtG"/>
    <w:uiPriority w:val="1"/>
    <w:rsid w:val="00A978F1"/>
  </w:style>
  <w:style w:type="paragraph" w:customStyle="1" w:styleId="1ParNoG">
    <w:name w:val="1 _ParNo_G"/>
    <w:basedOn w:val="Normal"/>
    <w:uiPriority w:val="1"/>
    <w:qFormat/>
    <w:rsid w:val="00A978F1"/>
    <w:pPr>
      <w:numPr>
        <w:ilvl w:val="1"/>
        <w:numId w:val="23"/>
      </w:numPr>
      <w:spacing w:after="120"/>
      <w:jc w:val="both"/>
    </w:pPr>
    <w:rPr>
      <w:rFonts w:eastAsiaTheme="minorHAnsi"/>
      <w:lang w:eastAsia="en-US"/>
    </w:rPr>
  </w:style>
  <w:style w:type="paragraph" w:customStyle="1" w:styleId="1ParNoG0">
    <w:name w:val="1_ParNo_G"/>
    <w:basedOn w:val="Normal"/>
    <w:uiPriority w:val="1"/>
    <w:qFormat/>
    <w:rsid w:val="00A978F1"/>
    <w:pPr>
      <w:numPr>
        <w:ilvl w:val="2"/>
        <w:numId w:val="23"/>
      </w:numPr>
      <w:tabs>
        <w:tab w:val="clear" w:pos="1701"/>
      </w:tabs>
      <w:spacing w:after="120"/>
      <w:jc w:val="both"/>
    </w:pPr>
    <w:rPr>
      <w:rFonts w:eastAsiaTheme="minorHAnsi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A978F1"/>
  </w:style>
  <w:style w:type="character" w:customStyle="1" w:styleId="Textoindependiente2Car">
    <w:name w:val="Texto independiente 2 Car"/>
    <w:basedOn w:val="Fuentedeprrafopredeter"/>
    <w:link w:val="Textoindependiente2"/>
    <w:semiHidden/>
    <w:rsid w:val="00A978F1"/>
  </w:style>
  <w:style w:type="character" w:customStyle="1" w:styleId="Textoindependiente3Car">
    <w:name w:val="Texto independiente 3 Car"/>
    <w:basedOn w:val="Fuentedeprrafopredeter"/>
    <w:link w:val="Textoindependiente3"/>
    <w:semiHidden/>
    <w:rsid w:val="00A978F1"/>
    <w:rPr>
      <w:sz w:val="16"/>
      <w:szCs w:val="16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semiHidden/>
    <w:rsid w:val="00A978F1"/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A978F1"/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semiHidden/>
    <w:rsid w:val="00A978F1"/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A978F1"/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A978F1"/>
    <w:rPr>
      <w:sz w:val="16"/>
      <w:szCs w:val="16"/>
    </w:rPr>
  </w:style>
  <w:style w:type="character" w:customStyle="1" w:styleId="CierreCar">
    <w:name w:val="Cierre Car"/>
    <w:basedOn w:val="Fuentedeprrafopredeter"/>
    <w:link w:val="Cierre"/>
    <w:semiHidden/>
    <w:rsid w:val="00A978F1"/>
  </w:style>
  <w:style w:type="character" w:customStyle="1" w:styleId="FechaCar">
    <w:name w:val="Fecha Car"/>
    <w:basedOn w:val="Fuentedeprrafopredeter"/>
    <w:link w:val="Fecha"/>
    <w:semiHidden/>
    <w:rsid w:val="00A978F1"/>
  </w:style>
  <w:style w:type="character" w:customStyle="1" w:styleId="FirmadecorreoelectrnicoCar">
    <w:name w:val="Firma de correo electrónico Car"/>
    <w:basedOn w:val="Fuentedeprrafopredeter"/>
    <w:link w:val="Firmadecorreoelectrnico"/>
    <w:semiHidden/>
    <w:rsid w:val="00A978F1"/>
  </w:style>
  <w:style w:type="character" w:customStyle="1" w:styleId="TextonotapieCar">
    <w:name w:val="Texto nota pie Car"/>
    <w:aliases w:val="5_G Car"/>
    <w:basedOn w:val="Fuentedeprrafopredeter"/>
    <w:link w:val="Textonotapie"/>
    <w:uiPriority w:val="3"/>
    <w:rsid w:val="00A978F1"/>
    <w:rPr>
      <w:sz w:val="18"/>
    </w:rPr>
  </w:style>
  <w:style w:type="character" w:customStyle="1" w:styleId="TextonotaalfinalCar">
    <w:name w:val="Texto nota al final Car"/>
    <w:aliases w:val="2_G Car"/>
    <w:basedOn w:val="Fuentedeprrafopredeter"/>
    <w:link w:val="Textonotaalfinal"/>
    <w:uiPriority w:val="3"/>
    <w:rsid w:val="00A978F1"/>
    <w:rPr>
      <w:sz w:val="18"/>
    </w:rPr>
  </w:style>
  <w:style w:type="character" w:customStyle="1" w:styleId="PiedepginaCar">
    <w:name w:val="Pie de página Car"/>
    <w:aliases w:val="3_G Car"/>
    <w:basedOn w:val="Fuentedeprrafopredeter"/>
    <w:link w:val="Piedepgina"/>
    <w:uiPriority w:val="3"/>
    <w:rsid w:val="00A978F1"/>
    <w:rPr>
      <w:sz w:val="16"/>
    </w:rPr>
  </w:style>
  <w:style w:type="character" w:customStyle="1" w:styleId="EncabezadoCar">
    <w:name w:val="Encabezado Car"/>
    <w:aliases w:val="6_G Car"/>
    <w:basedOn w:val="Fuentedeprrafopredeter"/>
    <w:link w:val="Encabezado"/>
    <w:uiPriority w:val="3"/>
    <w:rsid w:val="00A978F1"/>
    <w:rPr>
      <w:b/>
      <w:sz w:val="18"/>
    </w:rPr>
  </w:style>
  <w:style w:type="character" w:customStyle="1" w:styleId="DireccinHTMLCar">
    <w:name w:val="Dirección HTML Car"/>
    <w:basedOn w:val="Fuentedeprrafopredeter"/>
    <w:link w:val="DireccinHTML"/>
    <w:semiHidden/>
    <w:rsid w:val="00A978F1"/>
    <w:rPr>
      <w:i/>
      <w:iCs/>
    </w:rPr>
  </w:style>
  <w:style w:type="character" w:customStyle="1" w:styleId="HTMLconformatoprevioCar">
    <w:name w:val="HTML con formato previo Car"/>
    <w:basedOn w:val="Fuentedeprrafopredeter"/>
    <w:link w:val="HTMLconformatoprevio"/>
    <w:semiHidden/>
    <w:rsid w:val="00A978F1"/>
    <w:rPr>
      <w:rFonts w:ascii="Courier New" w:hAnsi="Courier New" w:cs="Courier New"/>
    </w:rPr>
  </w:style>
  <w:style w:type="character" w:customStyle="1" w:styleId="EncabezadodemensajeCar">
    <w:name w:val="Encabezado de mensaje Car"/>
    <w:basedOn w:val="Fuentedeprrafopredeter"/>
    <w:link w:val="Encabezadodemensaje"/>
    <w:semiHidden/>
    <w:rsid w:val="00A978F1"/>
    <w:rPr>
      <w:rFonts w:ascii="Arial" w:hAnsi="Arial" w:cs="Arial"/>
      <w:sz w:val="24"/>
      <w:szCs w:val="24"/>
      <w:shd w:val="pct20" w:color="auto" w:fill="auto"/>
    </w:rPr>
  </w:style>
  <w:style w:type="character" w:customStyle="1" w:styleId="EncabezadodenotaCar">
    <w:name w:val="Encabezado de nota Car"/>
    <w:basedOn w:val="Fuentedeprrafopredeter"/>
    <w:link w:val="Encabezadodenota"/>
    <w:semiHidden/>
    <w:rsid w:val="00A978F1"/>
  </w:style>
  <w:style w:type="character" w:customStyle="1" w:styleId="TextosinformatoCar">
    <w:name w:val="Texto sin formato Car"/>
    <w:basedOn w:val="Fuentedeprrafopredeter"/>
    <w:link w:val="Textosinformato"/>
    <w:semiHidden/>
    <w:rsid w:val="00A978F1"/>
    <w:rPr>
      <w:rFonts w:ascii="Courier New" w:hAnsi="Courier New" w:cs="Courier New"/>
    </w:rPr>
  </w:style>
  <w:style w:type="character" w:customStyle="1" w:styleId="SaludoCar">
    <w:name w:val="Saludo Car"/>
    <w:basedOn w:val="Fuentedeprrafopredeter"/>
    <w:link w:val="Saludo"/>
    <w:semiHidden/>
    <w:rsid w:val="00A978F1"/>
  </w:style>
  <w:style w:type="character" w:customStyle="1" w:styleId="FirmaCar">
    <w:name w:val="Firma Car"/>
    <w:basedOn w:val="Fuentedeprrafopredeter"/>
    <w:link w:val="Firma"/>
    <w:semiHidden/>
    <w:rsid w:val="00A978F1"/>
  </w:style>
  <w:style w:type="character" w:customStyle="1" w:styleId="SubttuloCar">
    <w:name w:val="Subtítulo Car"/>
    <w:basedOn w:val="Fuentedeprrafopredeter"/>
    <w:link w:val="Subttulo"/>
    <w:semiHidden/>
    <w:rsid w:val="00A978F1"/>
    <w:rPr>
      <w:rFonts w:ascii="Arial" w:hAnsi="Arial" w:cs="Arial"/>
      <w:sz w:val="24"/>
      <w:szCs w:val="24"/>
    </w:rPr>
  </w:style>
  <w:style w:type="paragraph" w:customStyle="1" w:styleId="Table1G">
    <w:name w:val="Table_1_G"/>
    <w:basedOn w:val="Normal"/>
    <w:next w:val="Normal"/>
    <w:uiPriority w:val="2"/>
    <w:qFormat/>
    <w:rsid w:val="00A978F1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line="240" w:lineRule="auto"/>
      <w:ind w:left="1134"/>
    </w:pPr>
    <w:rPr>
      <w:rFonts w:eastAsiaTheme="minorHAnsi"/>
      <w:lang w:eastAsia="en-US"/>
    </w:rPr>
  </w:style>
  <w:style w:type="paragraph" w:customStyle="1" w:styleId="Table1line2G">
    <w:name w:val="Table_1_line2_G"/>
    <w:basedOn w:val="Table1G"/>
    <w:next w:val="Normal"/>
    <w:uiPriority w:val="2"/>
    <w:qFormat/>
    <w:rsid w:val="00A978F1"/>
    <w:pPr>
      <w:spacing w:after="120"/>
    </w:pPr>
    <w:rPr>
      <w:b/>
    </w:rPr>
  </w:style>
  <w:style w:type="paragraph" w:customStyle="1" w:styleId="Table1Line3G">
    <w:name w:val="Table_1_Line3_G"/>
    <w:basedOn w:val="Table1line2G"/>
    <w:next w:val="Normal"/>
    <w:uiPriority w:val="2"/>
    <w:qFormat/>
    <w:rsid w:val="00A978F1"/>
    <w:rPr>
      <w:b w:val="0"/>
      <w:sz w:val="16"/>
    </w:rPr>
  </w:style>
  <w:style w:type="paragraph" w:customStyle="1" w:styleId="TableH23G">
    <w:name w:val="Table_H2/3_G"/>
    <w:basedOn w:val="H23G"/>
    <w:uiPriority w:val="2"/>
    <w:qFormat/>
    <w:rsid w:val="00A978F1"/>
    <w:pPr>
      <w:kinsoku w:val="0"/>
      <w:overflowPunct w:val="0"/>
      <w:autoSpaceDE w:val="0"/>
      <w:autoSpaceDN w:val="0"/>
      <w:adjustRightInd w:val="0"/>
      <w:snapToGrid w:val="0"/>
      <w:spacing w:before="0"/>
      <w:ind w:right="0" w:firstLine="0"/>
      <w:outlineLvl w:val="9"/>
    </w:pPr>
    <w:rPr>
      <w:rFonts w:eastAsiaTheme="minorHAnsi"/>
      <w:lang w:eastAsia="en-US"/>
    </w:rPr>
  </w:style>
  <w:style w:type="character" w:customStyle="1" w:styleId="TtuloCar">
    <w:name w:val="Título Car"/>
    <w:basedOn w:val="Fuentedeprrafopredeter"/>
    <w:link w:val="Ttulo"/>
    <w:semiHidden/>
    <w:rsid w:val="00A978F1"/>
    <w:rPr>
      <w:rFonts w:ascii="Arial" w:hAnsi="Arial" w:cs="Arial"/>
      <w:b/>
      <w:bCs/>
      <w:kern w:val="28"/>
      <w:sz w:val="32"/>
      <w:szCs w:val="32"/>
    </w:rPr>
  </w:style>
  <w:style w:type="paragraph" w:styleId="TDC1">
    <w:name w:val="toc 1"/>
    <w:basedOn w:val="Normal"/>
    <w:next w:val="Normal"/>
    <w:uiPriority w:val="5"/>
    <w:unhideWhenUsed/>
    <w:rsid w:val="00A978F1"/>
    <w:pPr>
      <w:tabs>
        <w:tab w:val="right" w:pos="851"/>
        <w:tab w:val="left" w:leader="dot" w:pos="9072"/>
        <w:tab w:val="right" w:pos="9639"/>
      </w:tabs>
      <w:spacing w:after="120"/>
      <w:ind w:left="1134" w:right="851" w:hanging="1134"/>
    </w:pPr>
    <w:rPr>
      <w:rFonts w:eastAsiaTheme="minorHAnsi"/>
      <w:lang w:eastAsia="en-US"/>
    </w:rPr>
  </w:style>
  <w:style w:type="paragraph" w:styleId="TDC2">
    <w:name w:val="toc 2"/>
    <w:basedOn w:val="TDC1"/>
    <w:next w:val="Normal"/>
    <w:uiPriority w:val="5"/>
    <w:unhideWhenUsed/>
    <w:rsid w:val="00A978F1"/>
    <w:pPr>
      <w:tabs>
        <w:tab w:val="clear" w:pos="851"/>
      </w:tabs>
      <w:ind w:left="1559" w:hanging="425"/>
    </w:pPr>
  </w:style>
  <w:style w:type="paragraph" w:styleId="TDC3">
    <w:name w:val="toc 3"/>
    <w:basedOn w:val="TDC2"/>
    <w:next w:val="Normal"/>
    <w:uiPriority w:val="5"/>
    <w:unhideWhenUsed/>
    <w:rsid w:val="00A978F1"/>
    <w:pPr>
      <w:tabs>
        <w:tab w:val="left" w:pos="1985"/>
      </w:tabs>
      <w:ind w:left="1984"/>
    </w:pPr>
  </w:style>
  <w:style w:type="paragraph" w:styleId="TDC4">
    <w:name w:val="toc 4"/>
    <w:basedOn w:val="TDC1"/>
    <w:next w:val="Normal"/>
    <w:uiPriority w:val="5"/>
    <w:unhideWhenUsed/>
    <w:rsid w:val="00A978F1"/>
    <w:pPr>
      <w:tabs>
        <w:tab w:val="clear" w:pos="9072"/>
        <w:tab w:val="left" w:leader="dot" w:pos="7938"/>
        <w:tab w:val="right" w:pos="8930"/>
      </w:tabs>
      <w:ind w:right="1701"/>
    </w:pPr>
  </w:style>
  <w:style w:type="paragraph" w:styleId="TDC5">
    <w:name w:val="toc 5"/>
    <w:basedOn w:val="TDC4"/>
    <w:next w:val="Normal"/>
    <w:uiPriority w:val="5"/>
    <w:unhideWhenUsed/>
    <w:rsid w:val="00A978F1"/>
    <w:pPr>
      <w:tabs>
        <w:tab w:val="clear" w:pos="851"/>
      </w:tabs>
      <w:ind w:left="1559" w:hanging="425"/>
    </w:pPr>
  </w:style>
  <w:style w:type="paragraph" w:styleId="TDC6">
    <w:name w:val="toc 6"/>
    <w:basedOn w:val="TDC5"/>
    <w:next w:val="Normal"/>
    <w:uiPriority w:val="5"/>
    <w:unhideWhenUsed/>
    <w:rsid w:val="00A978F1"/>
    <w:pPr>
      <w:tabs>
        <w:tab w:val="left" w:pos="1985"/>
      </w:tabs>
      <w:ind w:left="1984"/>
    </w:pPr>
  </w:style>
  <w:style w:type="character" w:styleId="Mencinsinresolver">
    <w:name w:val="Unresolved Mention"/>
    <w:basedOn w:val="Fuentedeprrafopredeter"/>
    <w:uiPriority w:val="99"/>
    <w:semiHidden/>
    <w:unhideWhenUsed/>
    <w:rsid w:val="00A978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n.org/press/en/2021/sc14604.doc.htm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A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B18687-3976-436B-A506-FDE9191D05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1</TotalTime>
  <Pages>5</Pages>
  <Words>2638</Words>
  <Characters>15037</Characters>
  <Application>Microsoft Office Word</Application>
  <DocSecurity>0</DocSecurity>
  <Lines>125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A/</vt:lpstr>
    </vt:vector>
  </TitlesOfParts>
  <Company>DCM</Company>
  <LinksUpToDate>false</LinksUpToDate>
  <CharactersWithSpaces>17640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A/HRC/RES/48/1</dc:title>
  <dc:subject/>
  <dc:creator>Marcel GONZALEZ-PEREZ</dc:creator>
  <cp:keywords/>
  <cp:lastModifiedBy>Juan Korol</cp:lastModifiedBy>
  <cp:revision>3</cp:revision>
  <cp:lastPrinted>2021-10-26T11:05:00Z</cp:lastPrinted>
  <dcterms:created xsi:type="dcterms:W3CDTF">2021-10-26T11:05:00Z</dcterms:created>
  <dcterms:modified xsi:type="dcterms:W3CDTF">2021-10-26T11:06:00Z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