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15C9A6" w14:textId="77777777" w:rsidTr="00213632">
        <w:trPr>
          <w:trHeight w:hRule="exact" w:val="851"/>
        </w:trPr>
        <w:tc>
          <w:tcPr>
            <w:tcW w:w="1276" w:type="dxa"/>
            <w:tcBorders>
              <w:bottom w:val="single" w:sz="4" w:space="0" w:color="auto"/>
            </w:tcBorders>
          </w:tcPr>
          <w:p w14:paraId="002F7C8C" w14:textId="77777777" w:rsidR="002D5AAC" w:rsidRDefault="002D5AAC" w:rsidP="00E423E1">
            <w:pPr>
              <w:kinsoku w:val="0"/>
              <w:overflowPunct w:val="0"/>
              <w:autoSpaceDE w:val="0"/>
              <w:autoSpaceDN w:val="0"/>
              <w:adjustRightInd w:val="0"/>
              <w:snapToGrid w:val="0"/>
            </w:pPr>
          </w:p>
        </w:tc>
        <w:tc>
          <w:tcPr>
            <w:tcW w:w="2268" w:type="dxa"/>
            <w:tcBorders>
              <w:bottom w:val="single" w:sz="4" w:space="0" w:color="auto"/>
            </w:tcBorders>
            <w:vAlign w:val="bottom"/>
          </w:tcPr>
          <w:p w14:paraId="38C9C773"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F55049" w14:textId="16C05721" w:rsidR="002D5AAC" w:rsidRDefault="00E423E1" w:rsidP="00E423E1">
            <w:pPr>
              <w:jc w:val="right"/>
            </w:pPr>
            <w:r w:rsidRPr="00E423E1">
              <w:rPr>
                <w:sz w:val="40"/>
              </w:rPr>
              <w:t>CERD</w:t>
            </w:r>
            <w:r>
              <w:t>/C/117/3</w:t>
            </w:r>
          </w:p>
        </w:tc>
      </w:tr>
      <w:tr w:rsidR="002D5AAC" w14:paraId="7FB44647" w14:textId="77777777" w:rsidTr="00213632">
        <w:trPr>
          <w:trHeight w:hRule="exact" w:val="2835"/>
        </w:trPr>
        <w:tc>
          <w:tcPr>
            <w:tcW w:w="1276" w:type="dxa"/>
            <w:tcBorders>
              <w:top w:val="single" w:sz="4" w:space="0" w:color="auto"/>
              <w:bottom w:val="single" w:sz="12" w:space="0" w:color="auto"/>
            </w:tcBorders>
          </w:tcPr>
          <w:p w14:paraId="6BE5C9EE" w14:textId="77777777" w:rsidR="002D5AAC" w:rsidRDefault="00CC15A3" w:rsidP="00213632">
            <w:pPr>
              <w:spacing w:before="120"/>
              <w:jc w:val="center"/>
            </w:pPr>
            <w:r>
              <w:rPr>
                <w:noProof/>
              </w:rPr>
              <w:drawing>
                <wp:inline distT="0" distB="0" distL="0" distR="0" wp14:anchorId="0D05E070" wp14:editId="357FD33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80AD9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2CA7C18A" w14:textId="77777777" w:rsidR="002D5AAC" w:rsidRDefault="00E423E1" w:rsidP="00213632">
            <w:pPr>
              <w:spacing w:before="240"/>
            </w:pPr>
            <w:r>
              <w:t>Distr. general</w:t>
            </w:r>
          </w:p>
          <w:p w14:paraId="185D17FF" w14:textId="77777777" w:rsidR="00E423E1" w:rsidRDefault="00E423E1" w:rsidP="00E423E1">
            <w:pPr>
              <w:spacing w:line="240" w:lineRule="exact"/>
            </w:pPr>
            <w:r>
              <w:t>5 de febrero de 2026</w:t>
            </w:r>
          </w:p>
          <w:p w14:paraId="7DD85DB8" w14:textId="77777777" w:rsidR="00E423E1" w:rsidRDefault="00E423E1" w:rsidP="00E423E1">
            <w:pPr>
              <w:spacing w:line="240" w:lineRule="exact"/>
            </w:pPr>
            <w:r>
              <w:t>Español</w:t>
            </w:r>
          </w:p>
          <w:p w14:paraId="088F6221" w14:textId="1EEBFF27" w:rsidR="00E423E1" w:rsidRDefault="00E423E1" w:rsidP="00E423E1">
            <w:pPr>
              <w:spacing w:line="240" w:lineRule="exact"/>
            </w:pPr>
            <w:r>
              <w:t>Original: inglés</w:t>
            </w:r>
            <w:r>
              <w:br/>
              <w:t>Español, francés e inglés únicamente</w:t>
            </w:r>
          </w:p>
        </w:tc>
      </w:tr>
    </w:tbl>
    <w:p w14:paraId="3857D20B" w14:textId="77777777" w:rsidR="00E423E1" w:rsidRPr="005849AB" w:rsidRDefault="00E423E1" w:rsidP="005849AB">
      <w:pPr>
        <w:spacing w:before="120"/>
        <w:rPr>
          <w:b/>
          <w:bCs/>
          <w:sz w:val="24"/>
          <w:szCs w:val="24"/>
          <w:lang w:val="es-ES_tradnl"/>
        </w:rPr>
      </w:pPr>
      <w:r w:rsidRPr="005849AB">
        <w:rPr>
          <w:b/>
          <w:bCs/>
          <w:sz w:val="24"/>
          <w:szCs w:val="24"/>
          <w:lang w:val="es-ES_tradnl"/>
        </w:rPr>
        <w:t>Comité para la Eliminación de la Discriminación Racial</w:t>
      </w:r>
    </w:p>
    <w:p w14:paraId="1C21B24F" w14:textId="77777777" w:rsidR="00E423E1" w:rsidRPr="003E332E" w:rsidRDefault="00E423E1" w:rsidP="00E423E1">
      <w:pPr>
        <w:rPr>
          <w:b/>
          <w:bCs/>
          <w:lang w:val="es-ES_tradnl"/>
        </w:rPr>
      </w:pPr>
      <w:r w:rsidRPr="003E332E">
        <w:rPr>
          <w:b/>
          <w:bCs/>
          <w:lang w:val="es-ES_tradnl"/>
        </w:rPr>
        <w:t>117º período de sesiones</w:t>
      </w:r>
    </w:p>
    <w:p w14:paraId="53C25105" w14:textId="77777777" w:rsidR="00E423E1" w:rsidRPr="003E332E" w:rsidRDefault="00E423E1" w:rsidP="00E423E1">
      <w:pPr>
        <w:rPr>
          <w:lang w:val="es-ES_tradnl"/>
        </w:rPr>
      </w:pPr>
      <w:r w:rsidRPr="003E332E">
        <w:rPr>
          <w:lang w:val="es-ES_tradnl"/>
        </w:rPr>
        <w:t>Ginebra, 13 de abril a 1 de mayo de 2026</w:t>
      </w:r>
    </w:p>
    <w:p w14:paraId="60AB223A" w14:textId="77777777" w:rsidR="00E423E1" w:rsidRPr="003E332E" w:rsidRDefault="00E423E1" w:rsidP="00E423E1">
      <w:pPr>
        <w:rPr>
          <w:lang w:val="es-ES_tradnl"/>
        </w:rPr>
      </w:pPr>
      <w:r w:rsidRPr="003E332E">
        <w:rPr>
          <w:lang w:val="es-ES_tradnl"/>
        </w:rPr>
        <w:t>Tema 13 del programa provisional</w:t>
      </w:r>
    </w:p>
    <w:p w14:paraId="204CFD1D" w14:textId="2A0345E1" w:rsidR="00E423E1" w:rsidRPr="003E332E" w:rsidRDefault="00E423E1" w:rsidP="00E423E1">
      <w:pPr>
        <w:rPr>
          <w:b/>
          <w:bCs/>
          <w:lang w:val="es-ES_tradnl"/>
        </w:rPr>
      </w:pPr>
      <w:r w:rsidRPr="003E332E">
        <w:rPr>
          <w:b/>
          <w:bCs/>
          <w:lang w:val="es-ES_tradnl"/>
        </w:rPr>
        <w:t xml:space="preserve">Examen de copias de peticiones, copias de informes y otras </w:t>
      </w:r>
      <w:r w:rsidR="005849AB">
        <w:rPr>
          <w:b/>
          <w:bCs/>
          <w:lang w:val="es-ES_tradnl"/>
        </w:rPr>
        <w:br/>
      </w:r>
      <w:r w:rsidRPr="003E332E">
        <w:rPr>
          <w:b/>
          <w:bCs/>
          <w:lang w:val="es-ES_tradnl"/>
        </w:rPr>
        <w:t xml:space="preserve">informaciones </w:t>
      </w:r>
      <w:r w:rsidR="00CD35FA" w:rsidRPr="003E332E">
        <w:rPr>
          <w:b/>
          <w:bCs/>
          <w:lang w:val="es-ES_tradnl"/>
        </w:rPr>
        <w:t>referentes a los territorios en fideicomiso</w:t>
      </w:r>
      <w:r w:rsidR="00CD35FA">
        <w:rPr>
          <w:b/>
          <w:bCs/>
          <w:lang w:val="es-ES_tradnl"/>
        </w:rPr>
        <w:br/>
      </w:r>
      <w:r w:rsidR="00CD35FA" w:rsidRPr="003E332E">
        <w:rPr>
          <w:b/>
          <w:bCs/>
          <w:lang w:val="es-ES_tradnl"/>
        </w:rPr>
        <w:t>y no autónomos y a cualesquiera ot</w:t>
      </w:r>
      <w:r w:rsidRPr="003E332E">
        <w:rPr>
          <w:b/>
          <w:bCs/>
          <w:lang w:val="es-ES_tradnl"/>
        </w:rPr>
        <w:t>ros territorios a los</w:t>
      </w:r>
      <w:r w:rsidR="005849AB">
        <w:rPr>
          <w:b/>
          <w:bCs/>
          <w:lang w:val="es-ES_tradnl"/>
        </w:rPr>
        <w:br/>
      </w:r>
      <w:r w:rsidRPr="003E332E">
        <w:rPr>
          <w:b/>
          <w:bCs/>
          <w:lang w:val="es-ES_tradnl"/>
        </w:rPr>
        <w:t xml:space="preserve">cuales se aplique la resolución 1514 (XV) de la </w:t>
      </w:r>
      <w:r w:rsidR="005849AB">
        <w:rPr>
          <w:b/>
          <w:bCs/>
          <w:lang w:val="es-ES_tradnl"/>
        </w:rPr>
        <w:br/>
      </w:r>
      <w:r w:rsidRPr="003E332E">
        <w:rPr>
          <w:b/>
          <w:bCs/>
          <w:lang w:val="es-ES_tradnl"/>
        </w:rPr>
        <w:t xml:space="preserve">Asamblea General, de conformidad con el </w:t>
      </w:r>
      <w:r w:rsidR="005849AB">
        <w:rPr>
          <w:b/>
          <w:bCs/>
          <w:lang w:val="es-ES_tradnl"/>
        </w:rPr>
        <w:br/>
      </w:r>
      <w:r w:rsidRPr="003E332E">
        <w:rPr>
          <w:b/>
          <w:bCs/>
          <w:lang w:val="es-ES_tradnl"/>
        </w:rPr>
        <w:t>artículo 15 de la Convención</w:t>
      </w:r>
    </w:p>
    <w:p w14:paraId="4497068B" w14:textId="27C3EA17" w:rsidR="00E423E1" w:rsidRPr="003E332E" w:rsidRDefault="00E423E1" w:rsidP="005849AB">
      <w:pPr>
        <w:pStyle w:val="HChG"/>
        <w:rPr>
          <w:lang w:val="es-ES_tradnl"/>
        </w:rPr>
      </w:pPr>
      <w:r>
        <w:rPr>
          <w:lang w:val="es-ES_tradnl"/>
        </w:rPr>
        <w:tab/>
      </w:r>
      <w:r w:rsidR="005849AB">
        <w:rPr>
          <w:lang w:val="es-ES_tradnl"/>
        </w:rPr>
        <w:tab/>
      </w:r>
      <w:r w:rsidRPr="003E332E">
        <w:rPr>
          <w:lang w:val="es-ES_tradnl"/>
        </w:rPr>
        <w:t>Examen de copias de peticiones, copias de informes y</w:t>
      </w:r>
      <w:r w:rsidR="007C7895">
        <w:rPr>
          <w:lang w:val="es-ES_tradnl"/>
        </w:rPr>
        <w:t xml:space="preserve"> </w:t>
      </w:r>
      <w:r w:rsidRPr="003E332E">
        <w:rPr>
          <w:lang w:val="es-ES_tradnl"/>
        </w:rPr>
        <w:t>otras</w:t>
      </w:r>
      <w:r w:rsidR="001651E2">
        <w:rPr>
          <w:lang w:val="es-ES_tradnl"/>
        </w:rPr>
        <w:t xml:space="preserve"> </w:t>
      </w:r>
      <w:r w:rsidRPr="003E332E">
        <w:rPr>
          <w:lang w:val="es-ES_tradnl"/>
        </w:rPr>
        <w:t xml:space="preserve">informaciones referentes a los </w:t>
      </w:r>
      <w:r w:rsidR="00CD35FA" w:rsidRPr="003E332E">
        <w:rPr>
          <w:lang w:val="es-ES_tradnl"/>
        </w:rPr>
        <w:t>territorios en fideicomiso y no</w:t>
      </w:r>
      <w:r w:rsidR="001651E2">
        <w:rPr>
          <w:lang w:val="es-ES_tradnl"/>
        </w:rPr>
        <w:t> </w:t>
      </w:r>
      <w:r w:rsidR="00CD35FA" w:rsidRPr="003E332E">
        <w:rPr>
          <w:lang w:val="es-ES_tradnl"/>
        </w:rPr>
        <w:t xml:space="preserve">autónomos </w:t>
      </w:r>
      <w:r w:rsidRPr="003E332E">
        <w:rPr>
          <w:lang w:val="es-ES_tradnl"/>
        </w:rPr>
        <w:t>y a cualesquiera otros territorios a los cuales se</w:t>
      </w:r>
      <w:r w:rsidR="001651E2">
        <w:rPr>
          <w:lang w:val="es-ES_tradnl"/>
        </w:rPr>
        <w:t> </w:t>
      </w:r>
      <w:r w:rsidRPr="003E332E">
        <w:rPr>
          <w:lang w:val="es-ES_tradnl"/>
        </w:rPr>
        <w:t>aplique la resolución 1514 (XV) de</w:t>
      </w:r>
      <w:r w:rsidR="007C7895">
        <w:rPr>
          <w:lang w:val="es-ES_tradnl"/>
        </w:rPr>
        <w:t> </w:t>
      </w:r>
      <w:r w:rsidRPr="003E332E">
        <w:rPr>
          <w:lang w:val="es-ES_tradnl"/>
        </w:rPr>
        <w:t>la Asamblea General, de conformidad con el artículo</w:t>
      </w:r>
      <w:r w:rsidR="007C7895">
        <w:rPr>
          <w:lang w:val="es-ES_tradnl"/>
        </w:rPr>
        <w:t> </w:t>
      </w:r>
      <w:r w:rsidRPr="003E332E">
        <w:rPr>
          <w:lang w:val="es-ES_tradnl"/>
        </w:rPr>
        <w:t>15</w:t>
      </w:r>
      <w:r w:rsidR="007C7895">
        <w:rPr>
          <w:lang w:val="es-ES_tradnl"/>
        </w:rPr>
        <w:t> </w:t>
      </w:r>
      <w:r w:rsidRPr="003E332E">
        <w:rPr>
          <w:lang w:val="es-ES_tradnl"/>
        </w:rPr>
        <w:t>de</w:t>
      </w:r>
      <w:r w:rsidR="007C7895">
        <w:rPr>
          <w:lang w:val="es-ES_tradnl"/>
        </w:rPr>
        <w:t> </w:t>
      </w:r>
      <w:r w:rsidRPr="003E332E">
        <w:rPr>
          <w:lang w:val="es-ES_tradnl"/>
        </w:rPr>
        <w:t>la Convención</w:t>
      </w:r>
    </w:p>
    <w:p w14:paraId="70E2E77F" w14:textId="32B05D05" w:rsidR="00E423E1" w:rsidRPr="003E332E" w:rsidRDefault="00E423E1" w:rsidP="005849AB">
      <w:pPr>
        <w:pStyle w:val="H1G"/>
        <w:rPr>
          <w:lang w:val="es-ES_tradnl"/>
        </w:rPr>
      </w:pPr>
      <w:r>
        <w:rPr>
          <w:lang w:val="es-ES_tradnl"/>
        </w:rPr>
        <w:tab/>
      </w:r>
      <w:r w:rsidR="005849AB">
        <w:rPr>
          <w:lang w:val="es-ES_tradnl"/>
        </w:rPr>
        <w:tab/>
      </w:r>
      <w:r w:rsidRPr="003E332E">
        <w:rPr>
          <w:lang w:val="es-ES_tradnl"/>
        </w:rPr>
        <w:t>Nota del Secretario General</w:t>
      </w:r>
    </w:p>
    <w:p w14:paraId="4BD7EDA5" w14:textId="77777777" w:rsidR="00E423E1" w:rsidRPr="003E332E" w:rsidRDefault="00E423E1" w:rsidP="005849AB">
      <w:pPr>
        <w:pStyle w:val="SingleTxtG"/>
        <w:rPr>
          <w:lang w:val="es-ES_tradnl"/>
        </w:rPr>
      </w:pPr>
      <w:r w:rsidRPr="003E332E">
        <w:rPr>
          <w:lang w:val="es-ES_tradnl"/>
        </w:rPr>
        <w:t>1.</w:t>
      </w:r>
      <w:r w:rsidRPr="003E332E">
        <w:rPr>
          <w:lang w:val="es-ES_tradnl"/>
        </w:rPr>
        <w:tab/>
        <w:t>En su 115º período de sesiones, el Comité para la Eliminación de la Discriminación Racial examinó copias de informes y otros documentos referentes a los territorios bajo administración fiduciaria o no autónomos que le habían sido presentados en 2025 de conformidad con las decisiones del Consejo de Administración Fiduciaria y del Comité Especial encargado de Examinar la Situación con respecto a la Aplicación de la Declaración sobre la Concesión de la Independencia a los Países y Pueblos Coloniales, con arreglo al artículo 15 de la Convención Internacional sobre la Eliminación de Todas las Formas de Discriminación Racial.</w:t>
      </w:r>
      <w:bookmarkStart w:id="0" w:name="_Hlk64378675"/>
    </w:p>
    <w:bookmarkEnd w:id="0"/>
    <w:p w14:paraId="35C4AC2F" w14:textId="77777777" w:rsidR="00E423E1" w:rsidRPr="003E332E" w:rsidRDefault="00E423E1" w:rsidP="005849AB">
      <w:pPr>
        <w:pStyle w:val="SingleTxtG"/>
        <w:rPr>
          <w:lang w:val="es-ES_tradnl"/>
        </w:rPr>
      </w:pPr>
      <w:r w:rsidRPr="003E332E">
        <w:rPr>
          <w:lang w:val="es-ES_tradnl"/>
        </w:rPr>
        <w:t>2.</w:t>
      </w:r>
      <w:r w:rsidRPr="003E332E">
        <w:rPr>
          <w:lang w:val="es-ES_tradnl"/>
        </w:rPr>
        <w:tab/>
        <w:t>En su período de sesiones de 2025, el Comité Especial continuó prestando atención a la labor del Comité y supervisando la evolución de la situación en los territorios, teniendo en cuenta las disposiciones pertinentes del artículo 15 de la Convención</w:t>
      </w:r>
      <w:r w:rsidRPr="003E332E">
        <w:rPr>
          <w:rStyle w:val="Refdenotaalpie"/>
          <w:lang w:val="es-ES_tradnl"/>
        </w:rPr>
        <w:footnoteReference w:id="1"/>
      </w:r>
      <w:r w:rsidRPr="003E332E">
        <w:rPr>
          <w:lang w:val="es-ES_tradnl"/>
        </w:rPr>
        <w:t>.</w:t>
      </w:r>
    </w:p>
    <w:p w14:paraId="550E475D" w14:textId="77777777" w:rsidR="00E423E1" w:rsidRPr="003E332E" w:rsidRDefault="00E423E1" w:rsidP="005849AB">
      <w:pPr>
        <w:pStyle w:val="SingleTxtG"/>
        <w:rPr>
          <w:lang w:val="es-ES_tradnl"/>
        </w:rPr>
      </w:pPr>
      <w:r w:rsidRPr="003E332E">
        <w:rPr>
          <w:lang w:val="es-ES_tradnl"/>
        </w:rPr>
        <w:t>3.</w:t>
      </w:r>
      <w:r w:rsidRPr="003E332E">
        <w:rPr>
          <w:lang w:val="es-ES_tradnl"/>
        </w:rPr>
        <w:tab/>
        <w:t>Se señalará posteriormente a la atención del Comité, según corresponda, cualquier medida ulterior que el Comité Especial adopte en relación con la transmisión de información al Comité en virtud del artículo 15 de la Convención.</w:t>
      </w:r>
    </w:p>
    <w:p w14:paraId="1FD48EC8" w14:textId="77777777" w:rsidR="00E423E1" w:rsidRPr="003E332E" w:rsidRDefault="00E423E1" w:rsidP="005849AB">
      <w:pPr>
        <w:pStyle w:val="SingleTxtG"/>
        <w:rPr>
          <w:lang w:val="es-ES_tradnl"/>
        </w:rPr>
      </w:pPr>
      <w:r w:rsidRPr="003E332E">
        <w:rPr>
          <w:lang w:val="es-ES_tradnl"/>
        </w:rPr>
        <w:t>4.</w:t>
      </w:r>
      <w:r w:rsidRPr="003E332E">
        <w:rPr>
          <w:lang w:val="es-ES_tradnl"/>
        </w:rPr>
        <w:tab/>
        <w:t>En todo caso, de conformidad con decisiones anteriores del Comité Especial y del Consejo de Administración Fiduciaria, el Secretario General proporcionará al Comité, en su 117º período de sesiones, los documentos de trabajo sobre los territorios elaborados por la secretaría para el Comité Especial y el Consejo de Administración Fiduciaria en 2025.</w:t>
      </w:r>
    </w:p>
    <w:p w14:paraId="387659E3" w14:textId="77777777" w:rsidR="00E423E1" w:rsidRPr="003E332E" w:rsidRDefault="00E423E1" w:rsidP="00CE1DF8">
      <w:pPr>
        <w:pStyle w:val="SingleTxtG"/>
        <w:keepNext/>
        <w:keepLines/>
        <w:rPr>
          <w:lang w:val="es-ES_tradnl"/>
        </w:rPr>
      </w:pPr>
      <w:r w:rsidRPr="003E332E">
        <w:rPr>
          <w:lang w:val="es-ES_tradnl"/>
        </w:rPr>
        <w:lastRenderedPageBreak/>
        <w:t>5.</w:t>
      </w:r>
      <w:r w:rsidRPr="003E332E">
        <w:rPr>
          <w:lang w:val="es-ES_tradnl"/>
        </w:rPr>
        <w:tab/>
        <w:t>En consecuencia, el Comité tendrá ante sí, en su 117º período de sesiones, los siguientes documentos:</w:t>
      </w:r>
    </w:p>
    <w:p w14:paraId="2F631B07" w14:textId="489ADF8C" w:rsidR="00E423E1" w:rsidRPr="003E332E" w:rsidRDefault="00E423E1" w:rsidP="00CE1DF8">
      <w:pPr>
        <w:keepNext/>
        <w:keepLines/>
        <w:tabs>
          <w:tab w:val="left" w:pos="3544"/>
        </w:tabs>
        <w:spacing w:after="120"/>
        <w:ind w:left="1701"/>
        <w:rPr>
          <w:lang w:val="es-ES_tradnl"/>
        </w:rPr>
      </w:pPr>
      <w:hyperlink r:id="rId8" w:history="1">
        <w:r w:rsidRPr="00CE1DF8">
          <w:rPr>
            <w:rStyle w:val="Hipervnculo"/>
            <w:lang w:val="es-ES_tradnl"/>
          </w:rPr>
          <w:t>A/AC.109/2025/1</w:t>
        </w:r>
      </w:hyperlink>
      <w:r w:rsidRPr="00CE1DF8">
        <w:rPr>
          <w:lang w:val="es-ES_tradnl"/>
        </w:rPr>
        <w:tab/>
        <w:t>Samoa Americana</w:t>
      </w:r>
    </w:p>
    <w:p w14:paraId="0810B2EA" w14:textId="776DC962" w:rsidR="00E423E1" w:rsidRPr="003E332E" w:rsidRDefault="00E423E1" w:rsidP="00CE1DF8">
      <w:pPr>
        <w:keepNext/>
        <w:keepLines/>
        <w:tabs>
          <w:tab w:val="left" w:pos="3544"/>
        </w:tabs>
        <w:spacing w:after="120"/>
        <w:ind w:left="1701"/>
        <w:rPr>
          <w:lang w:val="es-ES_tradnl"/>
        </w:rPr>
      </w:pPr>
      <w:hyperlink r:id="rId9" w:history="1">
        <w:r w:rsidRPr="00CE1DF8">
          <w:rPr>
            <w:rStyle w:val="Hipervnculo"/>
            <w:lang w:val="es-ES_tradnl"/>
          </w:rPr>
          <w:t>A/AC.109/2025/2</w:t>
        </w:r>
      </w:hyperlink>
      <w:r w:rsidRPr="00CE1DF8">
        <w:rPr>
          <w:lang w:val="es-ES_tradnl"/>
        </w:rPr>
        <w:tab/>
        <w:t>Anguila</w:t>
      </w:r>
    </w:p>
    <w:p w14:paraId="03AC668C" w14:textId="2AED74E1" w:rsidR="00E423E1" w:rsidRPr="003E332E" w:rsidRDefault="00E423E1" w:rsidP="00CE1DF8">
      <w:pPr>
        <w:keepNext/>
        <w:keepLines/>
        <w:tabs>
          <w:tab w:val="left" w:pos="3544"/>
        </w:tabs>
        <w:spacing w:after="120"/>
        <w:ind w:left="1701"/>
        <w:rPr>
          <w:lang w:val="es-ES_tradnl"/>
        </w:rPr>
      </w:pPr>
      <w:hyperlink r:id="rId10" w:history="1">
        <w:r w:rsidRPr="00CE1DF8">
          <w:rPr>
            <w:rStyle w:val="Hipervnculo"/>
            <w:lang w:val="es-ES_tradnl"/>
          </w:rPr>
          <w:t>A/AC.109/2025/3</w:t>
        </w:r>
      </w:hyperlink>
      <w:r w:rsidRPr="00CE1DF8">
        <w:rPr>
          <w:lang w:val="es-ES_tradnl"/>
        </w:rPr>
        <w:tab/>
        <w:t>Bermudas</w:t>
      </w:r>
    </w:p>
    <w:p w14:paraId="07E6AA6E" w14:textId="6AE760AF" w:rsidR="00E423E1" w:rsidRPr="003E332E" w:rsidRDefault="00E423E1" w:rsidP="00CE1DF8">
      <w:pPr>
        <w:keepNext/>
        <w:keepLines/>
        <w:tabs>
          <w:tab w:val="left" w:pos="3544"/>
        </w:tabs>
        <w:spacing w:after="120"/>
        <w:ind w:left="1701"/>
        <w:rPr>
          <w:lang w:val="es-ES_tradnl"/>
        </w:rPr>
      </w:pPr>
      <w:hyperlink r:id="rId11" w:history="1">
        <w:r w:rsidRPr="00CE1DF8">
          <w:rPr>
            <w:rStyle w:val="Hipervnculo"/>
            <w:lang w:val="es-ES_tradnl"/>
          </w:rPr>
          <w:t>A/AC.109/2025/4</w:t>
        </w:r>
      </w:hyperlink>
      <w:r w:rsidRPr="00CE1DF8">
        <w:rPr>
          <w:lang w:val="es-ES_tradnl"/>
        </w:rPr>
        <w:tab/>
        <w:t xml:space="preserve">Islas Vírgenes Británicas </w:t>
      </w:r>
    </w:p>
    <w:p w14:paraId="3724FFD3" w14:textId="18F6DD12" w:rsidR="00E423E1" w:rsidRPr="003E332E" w:rsidRDefault="00E423E1" w:rsidP="00CE1DF8">
      <w:pPr>
        <w:keepNext/>
        <w:keepLines/>
        <w:tabs>
          <w:tab w:val="left" w:pos="3544"/>
        </w:tabs>
        <w:spacing w:after="120"/>
        <w:ind w:left="1701"/>
        <w:rPr>
          <w:lang w:val="es-ES_tradnl"/>
        </w:rPr>
      </w:pPr>
      <w:hyperlink r:id="rId12" w:history="1">
        <w:r w:rsidRPr="00CE1DF8">
          <w:rPr>
            <w:rStyle w:val="Hipervnculo"/>
            <w:lang w:val="es-ES_tradnl"/>
          </w:rPr>
          <w:t>A/AC.109/2025/5</w:t>
        </w:r>
      </w:hyperlink>
      <w:r w:rsidRPr="00CE1DF8">
        <w:rPr>
          <w:lang w:val="es-ES_tradnl"/>
        </w:rPr>
        <w:tab/>
        <w:t>Islas Caimán</w:t>
      </w:r>
    </w:p>
    <w:p w14:paraId="21770E88" w14:textId="43967999" w:rsidR="00E423E1" w:rsidRPr="003E332E" w:rsidRDefault="00E423E1" w:rsidP="00CE1DF8">
      <w:pPr>
        <w:keepNext/>
        <w:keepLines/>
        <w:tabs>
          <w:tab w:val="left" w:pos="3544"/>
        </w:tabs>
        <w:spacing w:after="120"/>
        <w:ind w:left="1701"/>
        <w:rPr>
          <w:lang w:val="es-ES_tradnl"/>
        </w:rPr>
      </w:pPr>
      <w:hyperlink r:id="rId13" w:history="1">
        <w:r w:rsidRPr="00CE1DF8">
          <w:rPr>
            <w:rStyle w:val="Hipervnculo"/>
            <w:lang w:val="es-ES_tradnl"/>
          </w:rPr>
          <w:t>A/AC.109/2025/6</w:t>
        </w:r>
      </w:hyperlink>
      <w:r w:rsidRPr="00CE1DF8">
        <w:rPr>
          <w:lang w:val="es-ES_tradnl"/>
        </w:rPr>
        <w:tab/>
        <w:t>Islas Malvinas (Falkland Islands)</w:t>
      </w:r>
      <w:r w:rsidRPr="00CE1DF8">
        <w:rPr>
          <w:rStyle w:val="Refdenotaalpie"/>
          <w:lang w:val="es-ES_tradnl"/>
        </w:rPr>
        <w:footnoteReference w:id="2"/>
      </w:r>
    </w:p>
    <w:p w14:paraId="6F7538D1" w14:textId="5193B07F" w:rsidR="00E423E1" w:rsidRPr="003E332E" w:rsidRDefault="00E423E1" w:rsidP="00CE1DF8">
      <w:pPr>
        <w:keepNext/>
        <w:keepLines/>
        <w:tabs>
          <w:tab w:val="left" w:pos="3544"/>
        </w:tabs>
        <w:spacing w:after="120"/>
        <w:ind w:left="1701"/>
        <w:rPr>
          <w:lang w:val="es-ES_tradnl"/>
        </w:rPr>
      </w:pPr>
      <w:hyperlink r:id="rId14" w:history="1">
        <w:r w:rsidRPr="00CE1DF8">
          <w:rPr>
            <w:rStyle w:val="Hipervnculo"/>
            <w:lang w:val="es-ES_tradnl"/>
          </w:rPr>
          <w:t>A/AC.109/2025/7</w:t>
        </w:r>
      </w:hyperlink>
      <w:r w:rsidRPr="00CE1DF8">
        <w:rPr>
          <w:lang w:val="es-ES_tradnl"/>
        </w:rPr>
        <w:tab/>
        <w:t>Polinesia Francesa</w:t>
      </w:r>
    </w:p>
    <w:p w14:paraId="7F1199B7" w14:textId="241E1419" w:rsidR="00E423E1" w:rsidRPr="003E332E" w:rsidRDefault="00E423E1" w:rsidP="00CE1DF8">
      <w:pPr>
        <w:keepNext/>
        <w:keepLines/>
        <w:tabs>
          <w:tab w:val="left" w:pos="3544"/>
        </w:tabs>
        <w:spacing w:after="120"/>
        <w:ind w:left="1701"/>
        <w:rPr>
          <w:lang w:val="es-ES_tradnl"/>
        </w:rPr>
      </w:pPr>
      <w:hyperlink r:id="rId15" w:history="1">
        <w:r w:rsidRPr="00CE1DF8">
          <w:rPr>
            <w:rStyle w:val="Hipervnculo"/>
            <w:lang w:val="es-ES_tradnl"/>
          </w:rPr>
          <w:t>A/AC.109/2025/8</w:t>
        </w:r>
      </w:hyperlink>
      <w:r w:rsidRPr="00CE1DF8">
        <w:rPr>
          <w:lang w:val="es-ES_tradnl"/>
        </w:rPr>
        <w:tab/>
        <w:t>Gibraltar</w:t>
      </w:r>
    </w:p>
    <w:p w14:paraId="614301FB" w14:textId="357A6406" w:rsidR="00E423E1" w:rsidRPr="003E332E" w:rsidRDefault="00E423E1" w:rsidP="00CE1DF8">
      <w:pPr>
        <w:keepNext/>
        <w:keepLines/>
        <w:tabs>
          <w:tab w:val="left" w:pos="3544"/>
        </w:tabs>
        <w:spacing w:after="120"/>
        <w:ind w:left="1701"/>
        <w:rPr>
          <w:lang w:val="es-ES_tradnl"/>
        </w:rPr>
      </w:pPr>
      <w:hyperlink r:id="rId16" w:history="1">
        <w:r w:rsidRPr="00CE1DF8">
          <w:rPr>
            <w:rStyle w:val="Hipervnculo"/>
            <w:lang w:val="es-ES_tradnl"/>
          </w:rPr>
          <w:t>A/AC.109/2025/9</w:t>
        </w:r>
      </w:hyperlink>
      <w:r w:rsidRPr="00CE1DF8">
        <w:rPr>
          <w:lang w:val="es-ES_tradnl"/>
        </w:rPr>
        <w:tab/>
        <w:t>Guam</w:t>
      </w:r>
    </w:p>
    <w:p w14:paraId="62AFE7CD" w14:textId="5AFEBC54" w:rsidR="00E423E1" w:rsidRPr="003E332E" w:rsidRDefault="00E423E1" w:rsidP="00CE1DF8">
      <w:pPr>
        <w:keepNext/>
        <w:keepLines/>
        <w:tabs>
          <w:tab w:val="left" w:pos="3544"/>
        </w:tabs>
        <w:spacing w:after="120"/>
        <w:ind w:left="1701"/>
        <w:rPr>
          <w:lang w:val="es-ES_tradnl"/>
        </w:rPr>
      </w:pPr>
      <w:hyperlink r:id="rId17" w:history="1">
        <w:r w:rsidRPr="00CE1DF8">
          <w:rPr>
            <w:rStyle w:val="Hipervnculo"/>
            <w:lang w:val="es-ES_tradnl"/>
          </w:rPr>
          <w:t>A/AC.109/2025/10</w:t>
        </w:r>
      </w:hyperlink>
      <w:r w:rsidRPr="00CE1DF8">
        <w:rPr>
          <w:lang w:val="es-ES_tradnl"/>
        </w:rPr>
        <w:tab/>
        <w:t>Montserrat</w:t>
      </w:r>
    </w:p>
    <w:p w14:paraId="115C99B6" w14:textId="2331F58F" w:rsidR="00E423E1" w:rsidRPr="003E332E" w:rsidRDefault="00E423E1" w:rsidP="00CE1DF8">
      <w:pPr>
        <w:keepNext/>
        <w:keepLines/>
        <w:tabs>
          <w:tab w:val="left" w:pos="3544"/>
        </w:tabs>
        <w:spacing w:after="120"/>
        <w:ind w:left="1701"/>
        <w:rPr>
          <w:lang w:val="es-ES_tradnl"/>
        </w:rPr>
      </w:pPr>
      <w:hyperlink r:id="rId18" w:history="1">
        <w:r w:rsidRPr="00CE1DF8">
          <w:rPr>
            <w:rStyle w:val="Hipervnculo"/>
            <w:lang w:val="es-ES_tradnl"/>
          </w:rPr>
          <w:t>A/AC.109/2025/11</w:t>
        </w:r>
      </w:hyperlink>
      <w:r w:rsidRPr="00CE1DF8">
        <w:rPr>
          <w:lang w:val="es-ES_tradnl"/>
        </w:rPr>
        <w:tab/>
        <w:t>Nueva Caledonia</w:t>
      </w:r>
    </w:p>
    <w:p w14:paraId="2881A6B9" w14:textId="5FD8A551" w:rsidR="00E423E1" w:rsidRPr="003E332E" w:rsidRDefault="00E423E1" w:rsidP="00CE1DF8">
      <w:pPr>
        <w:keepNext/>
        <w:keepLines/>
        <w:tabs>
          <w:tab w:val="left" w:pos="3544"/>
        </w:tabs>
        <w:spacing w:after="120"/>
        <w:ind w:left="1701"/>
        <w:rPr>
          <w:lang w:val="es-ES_tradnl"/>
        </w:rPr>
      </w:pPr>
      <w:hyperlink r:id="rId19" w:history="1">
        <w:r w:rsidRPr="00CE1DF8">
          <w:rPr>
            <w:rStyle w:val="Hipervnculo"/>
            <w:lang w:val="es-ES_tradnl"/>
          </w:rPr>
          <w:t>A/AC.109/2025/12</w:t>
        </w:r>
      </w:hyperlink>
      <w:r w:rsidRPr="00CE1DF8">
        <w:rPr>
          <w:lang w:val="es-ES_tradnl"/>
        </w:rPr>
        <w:tab/>
        <w:t>Pitcairn</w:t>
      </w:r>
    </w:p>
    <w:p w14:paraId="10E5C540" w14:textId="43C9712C" w:rsidR="00E423E1" w:rsidRPr="003E332E" w:rsidRDefault="00E423E1" w:rsidP="00CE1DF8">
      <w:pPr>
        <w:keepNext/>
        <w:keepLines/>
        <w:tabs>
          <w:tab w:val="left" w:pos="3544"/>
        </w:tabs>
        <w:spacing w:after="120"/>
        <w:ind w:left="1701"/>
        <w:rPr>
          <w:lang w:val="es-ES_tradnl"/>
        </w:rPr>
      </w:pPr>
      <w:hyperlink r:id="rId20" w:history="1">
        <w:r w:rsidRPr="00CE1DF8">
          <w:rPr>
            <w:rStyle w:val="Hipervnculo"/>
            <w:lang w:val="es-ES_tradnl"/>
          </w:rPr>
          <w:t>A/AC.109/2025/13</w:t>
        </w:r>
      </w:hyperlink>
      <w:r w:rsidRPr="00CE1DF8">
        <w:rPr>
          <w:lang w:val="es-ES_tradnl"/>
        </w:rPr>
        <w:tab/>
        <w:t>Santa Elena</w:t>
      </w:r>
    </w:p>
    <w:p w14:paraId="59CCEB03" w14:textId="0F64809E" w:rsidR="00E423E1" w:rsidRPr="003E332E" w:rsidRDefault="00E423E1" w:rsidP="00CE1DF8">
      <w:pPr>
        <w:keepNext/>
        <w:keepLines/>
        <w:tabs>
          <w:tab w:val="left" w:pos="3544"/>
        </w:tabs>
        <w:spacing w:after="120"/>
        <w:ind w:left="1701"/>
        <w:rPr>
          <w:lang w:val="es-ES_tradnl"/>
        </w:rPr>
      </w:pPr>
      <w:hyperlink r:id="rId21" w:history="1">
        <w:r w:rsidRPr="00CE1DF8">
          <w:rPr>
            <w:rStyle w:val="Hipervnculo"/>
            <w:lang w:val="es-ES_tradnl"/>
          </w:rPr>
          <w:t>A/AC.109/2025/14</w:t>
        </w:r>
      </w:hyperlink>
      <w:r w:rsidRPr="00CE1DF8">
        <w:rPr>
          <w:lang w:val="es-ES_tradnl"/>
        </w:rPr>
        <w:tab/>
        <w:t xml:space="preserve">Tokelau </w:t>
      </w:r>
    </w:p>
    <w:p w14:paraId="2560A5DD" w14:textId="7BC5A9D7" w:rsidR="00E423E1" w:rsidRPr="003E332E" w:rsidRDefault="00E423E1" w:rsidP="00CE1DF8">
      <w:pPr>
        <w:keepNext/>
        <w:keepLines/>
        <w:tabs>
          <w:tab w:val="left" w:pos="3544"/>
        </w:tabs>
        <w:spacing w:after="120"/>
        <w:ind w:left="1701"/>
        <w:rPr>
          <w:lang w:val="es-ES_tradnl"/>
        </w:rPr>
      </w:pPr>
      <w:hyperlink r:id="rId22" w:history="1">
        <w:r w:rsidRPr="00CE1DF8">
          <w:rPr>
            <w:rStyle w:val="Hipervnculo"/>
            <w:lang w:val="es-ES_tradnl"/>
          </w:rPr>
          <w:t>A/AC.109/2025/15</w:t>
        </w:r>
      </w:hyperlink>
      <w:r w:rsidRPr="00CE1DF8">
        <w:rPr>
          <w:lang w:val="es-ES_tradnl"/>
        </w:rPr>
        <w:tab/>
        <w:t>Islas Turcas y Caicos</w:t>
      </w:r>
    </w:p>
    <w:p w14:paraId="07C7C59D" w14:textId="7B99BB7A" w:rsidR="00E423E1" w:rsidRPr="003E332E" w:rsidRDefault="00E423E1" w:rsidP="00CE1DF8">
      <w:pPr>
        <w:keepNext/>
        <w:keepLines/>
        <w:tabs>
          <w:tab w:val="left" w:pos="3544"/>
        </w:tabs>
        <w:spacing w:after="120"/>
        <w:ind w:left="1701"/>
        <w:rPr>
          <w:lang w:val="es-ES_tradnl"/>
        </w:rPr>
      </w:pPr>
      <w:hyperlink r:id="rId23" w:history="1">
        <w:r w:rsidRPr="00CE1DF8">
          <w:rPr>
            <w:rStyle w:val="Hipervnculo"/>
            <w:lang w:val="es-ES_tradnl"/>
          </w:rPr>
          <w:t>A/AC.109/2025/16</w:t>
        </w:r>
      </w:hyperlink>
      <w:r w:rsidRPr="00CE1DF8">
        <w:rPr>
          <w:lang w:val="es-ES_tradnl"/>
        </w:rPr>
        <w:tab/>
        <w:t>Islas Vírgenes de los Estados Unidos</w:t>
      </w:r>
    </w:p>
    <w:p w14:paraId="15F4BF9A" w14:textId="6E84E1A6" w:rsidR="00E423E1" w:rsidRPr="003E332E" w:rsidRDefault="00E423E1" w:rsidP="00CE1DF8">
      <w:pPr>
        <w:keepNext/>
        <w:keepLines/>
        <w:tabs>
          <w:tab w:val="left" w:pos="3544"/>
        </w:tabs>
        <w:spacing w:after="120"/>
        <w:ind w:left="1701"/>
        <w:rPr>
          <w:lang w:val="es-ES_tradnl"/>
        </w:rPr>
      </w:pPr>
      <w:hyperlink r:id="rId24" w:history="1">
        <w:r w:rsidRPr="00CE1DF8">
          <w:rPr>
            <w:rStyle w:val="Hipervnculo"/>
            <w:lang w:val="es-ES_tradnl"/>
          </w:rPr>
          <w:t>A/AC.109/2025/17</w:t>
        </w:r>
      </w:hyperlink>
      <w:r w:rsidRPr="00CE1DF8">
        <w:rPr>
          <w:lang w:val="es-ES_tradnl"/>
        </w:rPr>
        <w:tab/>
        <w:t>Sáhara Occidental</w:t>
      </w:r>
    </w:p>
    <w:p w14:paraId="59EE7009" w14:textId="58AF9572" w:rsidR="00381C24" w:rsidRDefault="00E423E1" w:rsidP="005849AB">
      <w:pPr>
        <w:pStyle w:val="SingleTxtG"/>
        <w:rPr>
          <w:lang w:val="es-ES_tradnl"/>
        </w:rPr>
      </w:pPr>
      <w:r w:rsidRPr="003E332E">
        <w:rPr>
          <w:lang w:val="es-ES_tradnl"/>
        </w:rPr>
        <w:t>6.</w:t>
      </w:r>
      <w:r w:rsidRPr="003E332E">
        <w:rPr>
          <w:lang w:val="es-ES_tradnl"/>
        </w:rPr>
        <w:tab/>
        <w:t>Los documentos de trabajo relativos a otros territorios que elabore la secretaría se presentarán al Comité tan pronto como se disponga de ellos, al igual que las copias de peticiones, documentos y decisiones que el Comité Especial decida transmitir al Comité con arreglo al artículo 15 de la Convención.</w:t>
      </w:r>
    </w:p>
    <w:p w14:paraId="536769A1" w14:textId="414C35A8" w:rsidR="005849AB" w:rsidRPr="005849AB" w:rsidRDefault="005849AB" w:rsidP="005849AB">
      <w:pPr>
        <w:pStyle w:val="SingleTxtG"/>
        <w:suppressAutoHyphens/>
        <w:spacing w:before="240" w:after="0"/>
        <w:jc w:val="center"/>
        <w:rPr>
          <w:u w:val="single"/>
        </w:rPr>
      </w:pPr>
      <w:r>
        <w:rPr>
          <w:u w:val="single"/>
        </w:rPr>
        <w:tab/>
      </w:r>
      <w:r>
        <w:rPr>
          <w:u w:val="single"/>
        </w:rPr>
        <w:tab/>
      </w:r>
      <w:r>
        <w:rPr>
          <w:u w:val="single"/>
        </w:rPr>
        <w:tab/>
      </w:r>
    </w:p>
    <w:sectPr w:rsidR="005849AB" w:rsidRPr="005849AB" w:rsidSect="00E423E1">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E55F7" w14:textId="77777777" w:rsidR="00305034" w:rsidRPr="00D43FF0" w:rsidRDefault="00305034" w:rsidP="00D43FF0">
      <w:pPr>
        <w:pStyle w:val="Piedepgina"/>
      </w:pPr>
    </w:p>
  </w:endnote>
  <w:endnote w:type="continuationSeparator" w:id="0">
    <w:p w14:paraId="42A898B7" w14:textId="77777777" w:rsidR="00305034" w:rsidRPr="00D43FF0" w:rsidRDefault="0030503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E2E8" w14:textId="3607C6FB" w:rsidR="00E423E1" w:rsidRPr="00E423E1" w:rsidRDefault="00E423E1" w:rsidP="00E423E1">
    <w:pPr>
      <w:pStyle w:val="Piedepgina"/>
      <w:tabs>
        <w:tab w:val="right" w:pos="9638"/>
      </w:tabs>
    </w:pPr>
    <w:r w:rsidRPr="00E423E1">
      <w:rPr>
        <w:b/>
        <w:sz w:val="18"/>
      </w:rPr>
      <w:fldChar w:fldCharType="begin"/>
    </w:r>
    <w:r w:rsidRPr="00E423E1">
      <w:rPr>
        <w:b/>
        <w:sz w:val="18"/>
      </w:rPr>
      <w:instrText xml:space="preserve"> PAGE  \* MERGEFORMAT </w:instrText>
    </w:r>
    <w:r w:rsidRPr="00E423E1">
      <w:rPr>
        <w:b/>
        <w:sz w:val="18"/>
      </w:rPr>
      <w:fldChar w:fldCharType="separate"/>
    </w:r>
    <w:r w:rsidRPr="00E423E1">
      <w:rPr>
        <w:b/>
        <w:noProof/>
        <w:sz w:val="18"/>
      </w:rPr>
      <w:t>2</w:t>
    </w:r>
    <w:r w:rsidRPr="00E423E1">
      <w:rPr>
        <w:b/>
        <w:sz w:val="18"/>
      </w:rPr>
      <w:fldChar w:fldCharType="end"/>
    </w:r>
    <w:r>
      <w:rPr>
        <w:b/>
        <w:sz w:val="18"/>
      </w:rPr>
      <w:tab/>
    </w:r>
    <w:r>
      <w:t>GE.26-01126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3C97" w14:textId="654299E3" w:rsidR="00E423E1" w:rsidRPr="00E423E1" w:rsidRDefault="00E423E1" w:rsidP="00E423E1">
    <w:pPr>
      <w:pStyle w:val="Piedepgina"/>
      <w:tabs>
        <w:tab w:val="right" w:pos="9638"/>
      </w:tabs>
      <w:rPr>
        <w:b/>
        <w:sz w:val="18"/>
      </w:rPr>
    </w:pPr>
    <w:r>
      <w:t>GE.26-01126</w:t>
    </w:r>
    <w:r>
      <w:tab/>
    </w:r>
    <w:r w:rsidRPr="00E423E1">
      <w:rPr>
        <w:b/>
        <w:sz w:val="18"/>
      </w:rPr>
      <w:fldChar w:fldCharType="begin"/>
    </w:r>
    <w:r w:rsidRPr="00E423E1">
      <w:rPr>
        <w:b/>
        <w:sz w:val="18"/>
      </w:rPr>
      <w:instrText xml:space="preserve"> PAGE  \* MERGEFORMAT </w:instrText>
    </w:r>
    <w:r w:rsidRPr="00E423E1">
      <w:rPr>
        <w:b/>
        <w:sz w:val="18"/>
      </w:rPr>
      <w:fldChar w:fldCharType="separate"/>
    </w:r>
    <w:r w:rsidRPr="00E423E1">
      <w:rPr>
        <w:b/>
        <w:noProof/>
        <w:sz w:val="18"/>
      </w:rPr>
      <w:t>3</w:t>
    </w:r>
    <w:r w:rsidRPr="00E423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120A1" w14:textId="6A0BD2E7" w:rsidR="00C63C2A" w:rsidRPr="00E423E1" w:rsidRDefault="00E423E1" w:rsidP="00E423E1">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3C0AADCA" wp14:editId="2A1E23D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-01126  (S)</w:t>
    </w:r>
    <w:r>
      <w:rPr>
        <w:noProof/>
        <w:sz w:val="20"/>
      </w:rPr>
      <w:drawing>
        <wp:anchor distT="0" distB="0" distL="114300" distR="114300" simplePos="0" relativeHeight="251658752" behindDoc="0" locked="0" layoutInCell="1" allowOverlap="1" wp14:anchorId="1853D997" wp14:editId="02E52494">
          <wp:simplePos x="0" y="0"/>
          <wp:positionH relativeFrom="margin">
            <wp:posOffset>5489575</wp:posOffset>
          </wp:positionH>
          <wp:positionV relativeFrom="margin">
            <wp:posOffset>8891905</wp:posOffset>
          </wp:positionV>
          <wp:extent cx="628650" cy="628650"/>
          <wp:effectExtent l="0" t="0" r="0" b="0"/>
          <wp:wrapNone/>
          <wp:docPr id="1530059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240226    2</w:t>
    </w:r>
    <w:r w:rsidR="001651E2">
      <w:rPr>
        <w:sz w:val="20"/>
      </w:rPr>
      <w:t>5</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E32DD" w14:textId="77777777" w:rsidR="00305034" w:rsidRPr="001075E9" w:rsidRDefault="00305034" w:rsidP="001075E9">
      <w:pPr>
        <w:tabs>
          <w:tab w:val="right" w:pos="2155"/>
        </w:tabs>
        <w:spacing w:after="80" w:line="240" w:lineRule="auto"/>
        <w:ind w:left="680"/>
        <w:rPr>
          <w:u w:val="single"/>
        </w:rPr>
      </w:pPr>
      <w:r>
        <w:rPr>
          <w:u w:val="single"/>
        </w:rPr>
        <w:tab/>
      </w:r>
    </w:p>
  </w:footnote>
  <w:footnote w:type="continuationSeparator" w:id="0">
    <w:p w14:paraId="34C7D614" w14:textId="77777777" w:rsidR="00305034" w:rsidRDefault="00305034" w:rsidP="00D43FF0">
      <w:pPr>
        <w:tabs>
          <w:tab w:val="right" w:pos="2155"/>
        </w:tabs>
        <w:spacing w:after="80" w:line="240" w:lineRule="auto"/>
        <w:ind w:left="680"/>
        <w:rPr>
          <w:u w:val="single"/>
        </w:rPr>
      </w:pPr>
      <w:r>
        <w:rPr>
          <w:u w:val="single"/>
        </w:rPr>
        <w:tab/>
      </w:r>
    </w:p>
  </w:footnote>
  <w:footnote w:id="1">
    <w:p w14:paraId="670A65FA" w14:textId="5B6A7B70" w:rsidR="00E423E1" w:rsidRPr="003E332E" w:rsidRDefault="00E423E1" w:rsidP="00E423E1">
      <w:pPr>
        <w:pStyle w:val="Textonotapie"/>
      </w:pPr>
      <w:r w:rsidRPr="003E332E">
        <w:tab/>
      </w:r>
      <w:r w:rsidRPr="003E332E">
        <w:rPr>
          <w:rStyle w:val="Refdenotaalpie"/>
        </w:rPr>
        <w:footnoteRef/>
      </w:r>
      <w:r w:rsidRPr="003E332E">
        <w:tab/>
        <w:t xml:space="preserve">Véase </w:t>
      </w:r>
      <w:hyperlink r:id="rId1" w:history="1">
        <w:r w:rsidRPr="00CE1DF8">
          <w:rPr>
            <w:rStyle w:val="Hipervnculo"/>
          </w:rPr>
          <w:t>A/80/23</w:t>
        </w:r>
      </w:hyperlink>
      <w:r w:rsidRPr="003E332E">
        <w:t>.</w:t>
      </w:r>
      <w:hyperlink r:id="rId2" w:history="1"/>
    </w:p>
  </w:footnote>
  <w:footnote w:id="2">
    <w:p w14:paraId="14F70329" w14:textId="77777777" w:rsidR="00E423E1" w:rsidRPr="003E332E" w:rsidRDefault="00E423E1" w:rsidP="00E423E1">
      <w:pPr>
        <w:pStyle w:val="Textonotapie"/>
      </w:pPr>
      <w:r w:rsidRPr="003E332E">
        <w:tab/>
      </w:r>
      <w:r w:rsidRPr="003E332E">
        <w:rPr>
          <w:rStyle w:val="Refdenotaalpie"/>
        </w:rPr>
        <w:footnoteRef/>
      </w:r>
      <w:r w:rsidRPr="003E332E">
        <w:tab/>
        <w:t>Existe una disputa de soberanía entre los Gobiernos de la Argentina y el Reino Unido de Gran Bretaña e Irlanda del Norte respecto de las Islas Malvinas (Falkland Islands).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A830A" w14:textId="706B85C7" w:rsidR="00E423E1" w:rsidRPr="00E423E1" w:rsidRDefault="00E423E1">
    <w:pPr>
      <w:pStyle w:val="Encabezado"/>
    </w:pPr>
    <w:fldSimple w:instr=" TITLE  \* MERGEFORMAT ">
      <w:r>
        <w:t>CERD/C/117/3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F747" w14:textId="7970E9AF" w:rsidR="00E423E1" w:rsidRPr="00E423E1" w:rsidRDefault="00E423E1" w:rsidP="00E423E1">
    <w:pPr>
      <w:pStyle w:val="Encabezado"/>
      <w:jc w:val="right"/>
    </w:pPr>
    <w:fldSimple w:instr=" TITLE  \* MERGEFORMAT ">
      <w:r>
        <w:t>CERD/C/117/3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2707446">
    <w:abstractNumId w:val="14"/>
  </w:num>
  <w:num w:numId="2" w16cid:durableId="1679035548">
    <w:abstractNumId w:val="11"/>
  </w:num>
  <w:num w:numId="3" w16cid:durableId="159472018">
    <w:abstractNumId w:val="16"/>
  </w:num>
  <w:num w:numId="4" w16cid:durableId="294334412">
    <w:abstractNumId w:val="15"/>
  </w:num>
  <w:num w:numId="5" w16cid:durableId="2092777047">
    <w:abstractNumId w:val="13"/>
  </w:num>
  <w:num w:numId="6" w16cid:durableId="2012904045">
    <w:abstractNumId w:val="8"/>
  </w:num>
  <w:num w:numId="7" w16cid:durableId="1488399395">
    <w:abstractNumId w:val="3"/>
  </w:num>
  <w:num w:numId="8" w16cid:durableId="1916236350">
    <w:abstractNumId w:val="2"/>
  </w:num>
  <w:num w:numId="9" w16cid:durableId="447511684">
    <w:abstractNumId w:val="1"/>
  </w:num>
  <w:num w:numId="10" w16cid:durableId="428358508">
    <w:abstractNumId w:val="0"/>
  </w:num>
  <w:num w:numId="11" w16cid:durableId="114257496">
    <w:abstractNumId w:val="9"/>
  </w:num>
  <w:num w:numId="12" w16cid:durableId="651719944">
    <w:abstractNumId w:val="7"/>
  </w:num>
  <w:num w:numId="13" w16cid:durableId="2005472630">
    <w:abstractNumId w:val="6"/>
  </w:num>
  <w:num w:numId="14" w16cid:durableId="643391123">
    <w:abstractNumId w:val="5"/>
  </w:num>
  <w:num w:numId="15" w16cid:durableId="1006858435">
    <w:abstractNumId w:val="4"/>
  </w:num>
  <w:num w:numId="16" w16cid:durableId="1719161577">
    <w:abstractNumId w:val="10"/>
  </w:num>
  <w:num w:numId="17" w16cid:durableId="1598825072">
    <w:abstractNumId w:val="14"/>
  </w:num>
  <w:num w:numId="18" w16cid:durableId="825241965">
    <w:abstractNumId w:val="11"/>
  </w:num>
  <w:num w:numId="19" w16cid:durableId="589586418">
    <w:abstractNumId w:val="10"/>
  </w:num>
  <w:num w:numId="20" w16cid:durableId="1447580711">
    <w:abstractNumId w:val="16"/>
  </w:num>
  <w:num w:numId="21" w16cid:durableId="1068573536">
    <w:abstractNumId w:val="15"/>
  </w:num>
  <w:num w:numId="22" w16cid:durableId="1156802074">
    <w:abstractNumId w:val="12"/>
  </w:num>
  <w:num w:numId="23" w16cid:durableId="1801024667">
    <w:abstractNumId w:val="12"/>
  </w:num>
  <w:num w:numId="24" w16cid:durableId="563491794">
    <w:abstractNumId w:val="13"/>
  </w:num>
  <w:num w:numId="25" w16cid:durableId="28115396">
    <w:abstractNumId w:val="9"/>
  </w:num>
  <w:num w:numId="26" w16cid:durableId="1486167228">
    <w:abstractNumId w:val="7"/>
  </w:num>
  <w:num w:numId="27" w16cid:durableId="1902205396">
    <w:abstractNumId w:val="6"/>
  </w:num>
  <w:num w:numId="28" w16cid:durableId="959141947">
    <w:abstractNumId w:val="5"/>
  </w:num>
  <w:num w:numId="29" w16cid:durableId="242646293">
    <w:abstractNumId w:val="4"/>
  </w:num>
  <w:num w:numId="30" w16cid:durableId="1212308092">
    <w:abstractNumId w:val="8"/>
  </w:num>
  <w:num w:numId="31" w16cid:durableId="576593014">
    <w:abstractNumId w:val="3"/>
  </w:num>
  <w:num w:numId="32" w16cid:durableId="242955124">
    <w:abstractNumId w:val="2"/>
  </w:num>
  <w:num w:numId="33" w16cid:durableId="1400668034">
    <w:abstractNumId w:val="1"/>
  </w:num>
  <w:num w:numId="34" w16cid:durableId="149534137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34"/>
    <w:rsid w:val="00006BB9"/>
    <w:rsid w:val="000107A1"/>
    <w:rsid w:val="0002339D"/>
    <w:rsid w:val="00036733"/>
    <w:rsid w:val="000B57E7"/>
    <w:rsid w:val="000F09DF"/>
    <w:rsid w:val="000F5804"/>
    <w:rsid w:val="000F61B2"/>
    <w:rsid w:val="00100EA7"/>
    <w:rsid w:val="00103A93"/>
    <w:rsid w:val="001075E9"/>
    <w:rsid w:val="00132629"/>
    <w:rsid w:val="00133DFF"/>
    <w:rsid w:val="00145F2F"/>
    <w:rsid w:val="00160FF7"/>
    <w:rsid w:val="001651E2"/>
    <w:rsid w:val="00180183"/>
    <w:rsid w:val="00196389"/>
    <w:rsid w:val="001C7A89"/>
    <w:rsid w:val="001F0BA6"/>
    <w:rsid w:val="00201F1A"/>
    <w:rsid w:val="00213632"/>
    <w:rsid w:val="002433EC"/>
    <w:rsid w:val="0025226E"/>
    <w:rsid w:val="00281DDE"/>
    <w:rsid w:val="00283ED7"/>
    <w:rsid w:val="002A2EFC"/>
    <w:rsid w:val="002C0E18"/>
    <w:rsid w:val="002C33BB"/>
    <w:rsid w:val="002D5AAC"/>
    <w:rsid w:val="00301299"/>
    <w:rsid w:val="00305034"/>
    <w:rsid w:val="00322004"/>
    <w:rsid w:val="003402C2"/>
    <w:rsid w:val="003817EE"/>
    <w:rsid w:val="00381C24"/>
    <w:rsid w:val="003958D0"/>
    <w:rsid w:val="004031F0"/>
    <w:rsid w:val="00454E07"/>
    <w:rsid w:val="00471CB3"/>
    <w:rsid w:val="004B5CEF"/>
    <w:rsid w:val="0050108D"/>
    <w:rsid w:val="00511CA8"/>
    <w:rsid w:val="0051740C"/>
    <w:rsid w:val="00572E19"/>
    <w:rsid w:val="005849AB"/>
    <w:rsid w:val="005C74CB"/>
    <w:rsid w:val="005F0B42"/>
    <w:rsid w:val="00634841"/>
    <w:rsid w:val="00655A21"/>
    <w:rsid w:val="0067198A"/>
    <w:rsid w:val="006725B3"/>
    <w:rsid w:val="006808A9"/>
    <w:rsid w:val="006B12B8"/>
    <w:rsid w:val="006C117F"/>
    <w:rsid w:val="006D631C"/>
    <w:rsid w:val="006F35EE"/>
    <w:rsid w:val="006F44F5"/>
    <w:rsid w:val="007021FF"/>
    <w:rsid w:val="007076CB"/>
    <w:rsid w:val="007967DF"/>
    <w:rsid w:val="007C7895"/>
    <w:rsid w:val="007F6465"/>
    <w:rsid w:val="00834B71"/>
    <w:rsid w:val="0086445C"/>
    <w:rsid w:val="00865A80"/>
    <w:rsid w:val="00865FAC"/>
    <w:rsid w:val="008728CD"/>
    <w:rsid w:val="008A08D7"/>
    <w:rsid w:val="008A13F9"/>
    <w:rsid w:val="008C0F65"/>
    <w:rsid w:val="008C29C4"/>
    <w:rsid w:val="00906890"/>
    <w:rsid w:val="00951972"/>
    <w:rsid w:val="00954E65"/>
    <w:rsid w:val="009F3E98"/>
    <w:rsid w:val="00A17DFD"/>
    <w:rsid w:val="00A414EF"/>
    <w:rsid w:val="00A4674B"/>
    <w:rsid w:val="00A917B3"/>
    <w:rsid w:val="00AB4B51"/>
    <w:rsid w:val="00B066FC"/>
    <w:rsid w:val="00B10CC7"/>
    <w:rsid w:val="00B50781"/>
    <w:rsid w:val="00B62458"/>
    <w:rsid w:val="00B778C8"/>
    <w:rsid w:val="00BA3587"/>
    <w:rsid w:val="00BB36EA"/>
    <w:rsid w:val="00BD33EE"/>
    <w:rsid w:val="00C60F0C"/>
    <w:rsid w:val="00C63C2A"/>
    <w:rsid w:val="00C805C9"/>
    <w:rsid w:val="00C907F0"/>
    <w:rsid w:val="00CA1679"/>
    <w:rsid w:val="00CC15A3"/>
    <w:rsid w:val="00CD35FA"/>
    <w:rsid w:val="00CE1DF8"/>
    <w:rsid w:val="00D05347"/>
    <w:rsid w:val="00D43910"/>
    <w:rsid w:val="00D43FF0"/>
    <w:rsid w:val="00D90138"/>
    <w:rsid w:val="00DA26B8"/>
    <w:rsid w:val="00DD4E25"/>
    <w:rsid w:val="00E05C6B"/>
    <w:rsid w:val="00E2656E"/>
    <w:rsid w:val="00E423E1"/>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35DDF"/>
  <w15:docId w15:val="{38B3F80B-DF06-4B41-8255-6C387DF0B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CE1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A/AC.109/2025/1" TargetMode="External"/><Relationship Id="rId13" Type="http://schemas.openxmlformats.org/officeDocument/2006/relationships/hyperlink" Target="https://docs.un.org/es/A/AC.109/2025/6" TargetMode="External"/><Relationship Id="rId18" Type="http://schemas.openxmlformats.org/officeDocument/2006/relationships/hyperlink" Target="https://docs.un.org/es/A/AC.109/2025/11"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docs.un.org/es/A/AC.109/2025/14" TargetMode="External"/><Relationship Id="rId7" Type="http://schemas.openxmlformats.org/officeDocument/2006/relationships/image" Target="media/image1.wmf"/><Relationship Id="rId12" Type="http://schemas.openxmlformats.org/officeDocument/2006/relationships/hyperlink" Target="https://docs.un.org/es/A/AC.109/2025/5" TargetMode="External"/><Relationship Id="rId17" Type="http://schemas.openxmlformats.org/officeDocument/2006/relationships/hyperlink" Target="https://docs.un.org/es/A/AC.109/2025/10"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cs.un.org/es/A/AC.109/2025/9" TargetMode="External"/><Relationship Id="rId20" Type="http://schemas.openxmlformats.org/officeDocument/2006/relationships/hyperlink" Target="https://docs.un.org/es/A/AC.109/2025/13"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s/A/AC.109/2025/4" TargetMode="External"/><Relationship Id="rId24" Type="http://schemas.openxmlformats.org/officeDocument/2006/relationships/hyperlink" Target="https://docs.un.org/es/A/AC.109/2025/17" TargetMode="External"/><Relationship Id="rId5" Type="http://schemas.openxmlformats.org/officeDocument/2006/relationships/footnotes" Target="footnotes.xml"/><Relationship Id="rId15" Type="http://schemas.openxmlformats.org/officeDocument/2006/relationships/hyperlink" Target="https://docs.un.org/es/A/AC.109/2025/8" TargetMode="External"/><Relationship Id="rId23" Type="http://schemas.openxmlformats.org/officeDocument/2006/relationships/hyperlink" Target="https://docs.un.org/es/A/AC.109/2025/16" TargetMode="External"/><Relationship Id="rId28" Type="http://schemas.openxmlformats.org/officeDocument/2006/relationships/footer" Target="footer2.xml"/><Relationship Id="rId10" Type="http://schemas.openxmlformats.org/officeDocument/2006/relationships/hyperlink" Target="https://docs.un.org/es/A/AC.109/2025/3" TargetMode="External"/><Relationship Id="rId19" Type="http://schemas.openxmlformats.org/officeDocument/2006/relationships/hyperlink" Target="https://docs.un.org/es/A/AC.109/2025/1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es/A/AC.109/2025/2" TargetMode="External"/><Relationship Id="rId14" Type="http://schemas.openxmlformats.org/officeDocument/2006/relationships/hyperlink" Target="https://docs.un.org/es/A/AC.109/2025/7" TargetMode="External"/><Relationship Id="rId22" Type="http://schemas.openxmlformats.org/officeDocument/2006/relationships/hyperlink" Target="https://docs.un.org/es/A/AC.109/2025/15"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A/80/23" TargetMode="External"/><Relationship Id="rId1" Type="http://schemas.openxmlformats.org/officeDocument/2006/relationships/hyperlink" Target="https://docs.un.org/es/A/8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Pages>
  <Words>504</Words>
  <Characters>2913</Characters>
  <Application>Microsoft Office Word</Application>
  <DocSecurity>0</DocSecurity>
  <Lines>71</Lines>
  <Paragraphs>37</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CERD/C/117/3</dc:title>
  <dc:subject/>
  <dc:creator>Carlos Ariel BRAGUNDE LOPEZ</dc:creator>
  <cp:keywords/>
  <cp:lastModifiedBy>Carlos Bragunde Lopez</cp:lastModifiedBy>
  <cp:revision>2</cp:revision>
  <dcterms:created xsi:type="dcterms:W3CDTF">2026-02-25T12:54:00Z</dcterms:created>
  <dcterms:modified xsi:type="dcterms:W3CDTF">2026-02-25T12:54:00Z</dcterms:modified>
</cp:coreProperties>
</file>