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3B2B3C5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7494C4D" w14:textId="77777777" w:rsidR="002D5AAC" w:rsidRDefault="002D5AAC" w:rsidP="00854F2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200E97C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80A06C7" w14:textId="433559AB" w:rsidR="002D5AAC" w:rsidRDefault="00854F28" w:rsidP="00854F28">
            <w:pPr>
              <w:jc w:val="right"/>
            </w:pPr>
            <w:r w:rsidRPr="00854F28">
              <w:rPr>
                <w:sz w:val="40"/>
              </w:rPr>
              <w:t>CED</w:t>
            </w:r>
            <w:r>
              <w:t>/C/MLI/CO/1</w:t>
            </w:r>
          </w:p>
        </w:tc>
      </w:tr>
      <w:tr w:rsidR="002D5AAC" w:rsidRPr="001205EA" w14:paraId="2EAD5588" w14:textId="7777777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9A75E3E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BB2865A" wp14:editId="3AD9217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4D7238C" w14:textId="77777777"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F4697EB" w14:textId="77777777" w:rsidR="002D5AAC" w:rsidRPr="00854F28" w:rsidRDefault="00854F28" w:rsidP="00877609">
            <w:pPr>
              <w:spacing w:before="240"/>
              <w:rPr>
                <w:lang w:val="en-US"/>
              </w:rPr>
            </w:pPr>
            <w:r w:rsidRPr="00854F28">
              <w:rPr>
                <w:lang w:val="en-US"/>
              </w:rPr>
              <w:t>Distr.: General</w:t>
            </w:r>
          </w:p>
          <w:p w14:paraId="4F004313" w14:textId="18642CE9" w:rsidR="00854F28" w:rsidRPr="00854F28" w:rsidRDefault="00854F28" w:rsidP="00854F2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854F28">
              <w:rPr>
                <w:lang w:val="en-US"/>
              </w:rPr>
              <w:t xml:space="preserve"> October 2022</w:t>
            </w:r>
          </w:p>
          <w:p w14:paraId="4B829D14" w14:textId="77777777" w:rsidR="00854F28" w:rsidRPr="00854F28" w:rsidRDefault="00854F28" w:rsidP="00854F28">
            <w:pPr>
              <w:spacing w:line="240" w:lineRule="exact"/>
              <w:rPr>
                <w:lang w:val="en-US"/>
              </w:rPr>
            </w:pPr>
            <w:r w:rsidRPr="00854F28">
              <w:rPr>
                <w:lang w:val="en-US"/>
              </w:rPr>
              <w:t>Russian</w:t>
            </w:r>
          </w:p>
          <w:p w14:paraId="7C7BA672" w14:textId="62D0EE8C" w:rsidR="00854F28" w:rsidRPr="00854F28" w:rsidRDefault="00854F28" w:rsidP="00854F28">
            <w:pPr>
              <w:spacing w:line="240" w:lineRule="exact"/>
              <w:rPr>
                <w:lang w:val="en-US"/>
              </w:rPr>
            </w:pPr>
            <w:r w:rsidRPr="00854F28">
              <w:rPr>
                <w:lang w:val="en-US"/>
              </w:rPr>
              <w:t xml:space="preserve">Original: </w:t>
            </w:r>
            <w:r>
              <w:rPr>
                <w:lang w:val="en-US"/>
              </w:rPr>
              <w:t>French</w:t>
            </w:r>
          </w:p>
        </w:tc>
      </w:tr>
    </w:tbl>
    <w:p w14:paraId="696C9EF3" w14:textId="77777777" w:rsidR="00375730" w:rsidRPr="005C0011" w:rsidRDefault="00375730" w:rsidP="00375730">
      <w:pPr>
        <w:spacing w:before="120"/>
        <w:rPr>
          <w:b/>
          <w:sz w:val="24"/>
          <w:szCs w:val="24"/>
        </w:rPr>
      </w:pPr>
      <w:r w:rsidRPr="005C0011">
        <w:rPr>
          <w:b/>
          <w:bCs/>
          <w:sz w:val="24"/>
          <w:szCs w:val="24"/>
        </w:rPr>
        <w:t>Комитет по насильственным исчезновениям</w:t>
      </w:r>
    </w:p>
    <w:p w14:paraId="071AAF24" w14:textId="7D4BA5E0" w:rsidR="00375730" w:rsidRPr="005C0011" w:rsidRDefault="00375730" w:rsidP="00375730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докладу, представленному Мали в соответствии с пунктом 1 статьи 29 Конвенции</w:t>
      </w:r>
      <w:r w:rsidRPr="00375730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25BDA9E8" w14:textId="6A0373F9" w:rsidR="00375730" w:rsidRPr="005C0011" w:rsidRDefault="00375730" w:rsidP="00375730">
      <w:pPr>
        <w:pStyle w:val="SingleTxtG"/>
      </w:pPr>
      <w:r>
        <w:t>1.</w:t>
      </w:r>
      <w:r>
        <w:tab/>
        <w:t>Комитет по насильственным исчезновениям рассмотрел доклад, представленный Мали в соответствии с пунктом 1 статьи 29 Конвенции</w:t>
      </w:r>
      <w:r w:rsidRPr="00D16742">
        <w:rPr>
          <w:rStyle w:val="aa"/>
        </w:rPr>
        <w:footnoteReference w:id="2"/>
      </w:r>
      <w:r>
        <w:t>, на своих</w:t>
      </w:r>
      <w:r>
        <w:br/>
        <w:t>403-м и 404-м заседаниях</w:t>
      </w:r>
      <w:r w:rsidRPr="00D16742">
        <w:rPr>
          <w:rStyle w:val="aa"/>
        </w:rPr>
        <w:footnoteReference w:id="3"/>
      </w:r>
      <w:r>
        <w:t xml:space="preserve">, состоявшихся 12 и 13 сентября 2022 года. На своем </w:t>
      </w:r>
      <w:r>
        <w:br/>
        <w:t>418-м заседании, состоявшемся 22 сентября 2022 года, он принял настоящие заключительные замечания.</w:t>
      </w:r>
    </w:p>
    <w:p w14:paraId="782BFB1A" w14:textId="77777777" w:rsidR="00375730" w:rsidRPr="005C0011" w:rsidRDefault="00375730" w:rsidP="00375730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4A4CFBC5" w14:textId="0DF68D3D" w:rsidR="00375730" w:rsidRPr="001122D7" w:rsidRDefault="00375730" w:rsidP="00375730">
      <w:pPr>
        <w:pStyle w:val="SingleTxtG"/>
      </w:pPr>
      <w:r>
        <w:t>2.</w:t>
      </w:r>
      <w:r>
        <w:tab/>
        <w:t xml:space="preserve">Комитет приветствует доклад, представленный Мали в соответствии с </w:t>
      </w:r>
      <w:r>
        <w:br/>
        <w:t>пунктом 1 статьи 29 Конвенции, который был подготовлен с учетом его руководящих принципов. Кроме того, Комитет благодарит государство-участник за письменные ответы</w:t>
      </w:r>
      <w:r w:rsidRPr="00D16742">
        <w:rPr>
          <w:rStyle w:val="aa"/>
        </w:rPr>
        <w:footnoteReference w:id="4"/>
      </w:r>
      <w:r>
        <w:t xml:space="preserve"> на перечень вопросов</w:t>
      </w:r>
      <w:r w:rsidRPr="00D16742">
        <w:rPr>
          <w:rStyle w:val="aa"/>
        </w:rPr>
        <w:footnoteReference w:id="5"/>
      </w:r>
      <w:r>
        <w:t>.</w:t>
      </w:r>
    </w:p>
    <w:p w14:paraId="0663A0FE" w14:textId="77777777" w:rsidR="00375730" w:rsidRPr="005C0011" w:rsidRDefault="00375730" w:rsidP="00375730">
      <w:pPr>
        <w:pStyle w:val="SingleTxtG"/>
      </w:pPr>
      <w:r>
        <w:t>3.</w:t>
      </w:r>
      <w:r>
        <w:tab/>
        <w:t>Комитет также выражает признательность за конструктивный диалог, который состоялся с делегацией государства-участника по вопросу о мерах, принятых для осуществления Конвенции, и открытость, с которой делегация ответила на заданные им вопросы. Он благодарит государство-участник за дополнительную информацию и разъяснения, представленные во время устных выступлений.</w:t>
      </w:r>
    </w:p>
    <w:p w14:paraId="3723DD62" w14:textId="77777777" w:rsidR="00375730" w:rsidRPr="005C0011" w:rsidRDefault="00375730" w:rsidP="00375730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75F0B969" w14:textId="77777777" w:rsidR="00375730" w:rsidRPr="005C0011" w:rsidRDefault="00375730" w:rsidP="00375730">
      <w:pPr>
        <w:pStyle w:val="SingleTxtG"/>
        <w:rPr>
          <w:bCs/>
        </w:rPr>
      </w:pPr>
      <w:r>
        <w:t>4.</w:t>
      </w:r>
      <w:r>
        <w:tab/>
        <w:t>Комитет c удовлетворением отмечает тот факт, что государство-участник присоединилось практически ко всем международным договорам по правам человека, включая несколько факультативных протоколов к ним, и ратифицировало Римский статут Международного уголовного суда.</w:t>
      </w:r>
    </w:p>
    <w:p w14:paraId="2F05F5EB" w14:textId="77777777" w:rsidR="00375730" w:rsidRPr="005C0011" w:rsidRDefault="00375730" w:rsidP="00375730">
      <w:pPr>
        <w:pStyle w:val="SingleTxtG"/>
        <w:rPr>
          <w:bCs/>
        </w:rPr>
      </w:pPr>
      <w:r>
        <w:t>5.</w:t>
      </w:r>
      <w:r>
        <w:tab/>
        <w:t>Комитет приветствует признание государством-участником компетенции Комитета получать и рассматривать индивидуальные и межгосударственные сообщения в соответствии со статьями 31 и 32 Конвенции соответственно.</w:t>
      </w:r>
    </w:p>
    <w:p w14:paraId="12B80D1E" w14:textId="77777777" w:rsidR="00375730" w:rsidRPr="005C0011" w:rsidRDefault="00375730" w:rsidP="00375730">
      <w:pPr>
        <w:pStyle w:val="SingleTxtG"/>
      </w:pPr>
      <w:r>
        <w:t>6.</w:t>
      </w:r>
      <w:r>
        <w:tab/>
        <w:t>Комитет также приветствует прогресс государства-участника в областях, имеющих отношение к Конвенции, в том числе:</w:t>
      </w:r>
    </w:p>
    <w:p w14:paraId="39DBFC15" w14:textId="77777777" w:rsidR="00375730" w:rsidRPr="005C0011" w:rsidRDefault="00375730" w:rsidP="00375730">
      <w:pPr>
        <w:pStyle w:val="SingleTxtG"/>
        <w:ind w:firstLine="567"/>
      </w:pPr>
      <w:r>
        <w:lastRenderedPageBreak/>
        <w:t>a)</w:t>
      </w:r>
      <w:r>
        <w:tab/>
        <w:t>включение в Уголовный кодекс преступлений, вытекающих из Римского статута Международного уголовного суда, включая насильственное исчезновение как преступление против человечности (ст. 29 Уголовного кодекса);</w:t>
      </w:r>
    </w:p>
    <w:p w14:paraId="476296B5" w14:textId="77777777" w:rsidR="00375730" w:rsidRPr="005C0011" w:rsidRDefault="00375730" w:rsidP="00375730">
      <w:pPr>
        <w:pStyle w:val="SingleTxtG"/>
        <w:ind w:firstLine="567"/>
      </w:pPr>
      <w:r>
        <w:t>b)</w:t>
      </w:r>
      <w:r>
        <w:tab/>
        <w:t>утверждение проекта нового уголовного кодекса в ходе семинара, который был проведен с 15 по 20 августа 2022 года и в котором приняли участие представители Национального переходного совета, члены гражданского общества, ученые, технические и финансовые партнеры;</w:t>
      </w:r>
    </w:p>
    <w:p w14:paraId="2C3C78DE" w14:textId="77777777" w:rsidR="00375730" w:rsidRPr="005C0011" w:rsidRDefault="00375730" w:rsidP="00375730">
      <w:pPr>
        <w:pStyle w:val="SingleTxtG"/>
        <w:ind w:firstLine="567"/>
      </w:pPr>
      <w:r>
        <w:t>c)</w:t>
      </w:r>
      <w:r>
        <w:tab/>
        <w:t xml:space="preserve">принятие закона </w:t>
      </w:r>
      <w:proofErr w:type="gramStart"/>
      <w:r>
        <w:t>№ 2019-072</w:t>
      </w:r>
      <w:proofErr w:type="gramEnd"/>
      <w:r>
        <w:t xml:space="preserve"> от 24 декабря 2019 года о законе об ориентации и программировании системы правосудия на период 2020</w:t>
      </w:r>
      <w:r w:rsidRPr="008C69F1">
        <w:t>–</w:t>
      </w:r>
      <w:r>
        <w:t>2024 годов.</w:t>
      </w:r>
    </w:p>
    <w:p w14:paraId="26F5B1B2" w14:textId="48BCD9E9" w:rsidR="00375730" w:rsidRPr="005C0011" w:rsidRDefault="00375730" w:rsidP="00375730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 xml:space="preserve">Основные вопросы, вызывающие обеспокоенность, </w:t>
      </w:r>
      <w:r>
        <w:rPr>
          <w:bCs/>
        </w:rPr>
        <w:br/>
        <w:t>и рекомендации</w:t>
      </w:r>
    </w:p>
    <w:p w14:paraId="3AAEB35C" w14:textId="77777777" w:rsidR="00375730" w:rsidRPr="005C0011" w:rsidRDefault="00375730" w:rsidP="00375730">
      <w:pPr>
        <w:pStyle w:val="SingleTxtG"/>
      </w:pPr>
      <w:r>
        <w:t>7.</w:t>
      </w:r>
      <w:r>
        <w:tab/>
        <w:t xml:space="preserve">Комитет признает множество серьезных трудностей, с которыми сталкивается государство-участник, и отмечает меры, принятые государством-участником для выполнения своих обязательств по Конвенции. Однако он считает, что на момент подготовки настоящих заключительных замечаний действующее в государстве-участнике законодательство, направленное на предупреждение насильственных исчезновений и наказание за них и обеспечение прав жертв, его применение, а также поведение некоторых его компетентных органов не в полной мере соответствовали обязательствам по Конвенции. Комитет особенно обеспокоен большим количеством заявлений о насильственных исчезновениях, многие из которых произошли после вступления Конвенции в силу. Он призывает государство-участник выполнить его рекомендации, которые были сформулированы в конструктивном духе сотрудничества, чтобы обеспечить полное осуществление Конвенции в законодательстве и на практике. В этой связи он предлагает ему воспользоваться продолжающимися дебатами по различным законопроектам в областях, представляющих интерес для Конвенции, для выполнения рекомендаций, сформулированных в этих заключительных замечаниях. </w:t>
      </w:r>
    </w:p>
    <w:p w14:paraId="5B23A504" w14:textId="77777777" w:rsidR="00375730" w:rsidRPr="005C0011" w:rsidRDefault="00375730" w:rsidP="00375730">
      <w:pPr>
        <w:pStyle w:val="H23G"/>
      </w:pPr>
      <w:r>
        <w:rPr>
          <w:bCs/>
        </w:rPr>
        <w:tab/>
        <w:t>1.</w:t>
      </w:r>
      <w:r>
        <w:tab/>
      </w:r>
      <w:r>
        <w:rPr>
          <w:bCs/>
        </w:rPr>
        <w:t>Справочная информация</w:t>
      </w:r>
    </w:p>
    <w:p w14:paraId="017E6712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Применимость Конвенции</w:t>
      </w:r>
    </w:p>
    <w:p w14:paraId="6944BE21" w14:textId="100096CA" w:rsidR="00375730" w:rsidRPr="005C0011" w:rsidRDefault="00375730" w:rsidP="00375730">
      <w:pPr>
        <w:pStyle w:val="SingleTxtG"/>
      </w:pPr>
      <w:r>
        <w:t>8.</w:t>
      </w:r>
      <w:r>
        <w:tab/>
        <w:t>Комитет сожалеет, что не было зарегистрировано никаких судебных решений по делам о насильственных исчезновениях и что, согласно государству-участнику, неприменение Конвенции обусловлено, в частности, тем, что судьи неохотно выполняют ее положения</w:t>
      </w:r>
      <w:r w:rsidRPr="00D16742">
        <w:rPr>
          <w:rStyle w:val="aa"/>
        </w:rPr>
        <w:footnoteReference w:id="6"/>
      </w:r>
      <w:r>
        <w:t>. В этой связи Комитет с удовлетворением отмечает представленную в ходе диалога информацию об усилиях по повышению осведомленности о Конвенции (ст. 23).</w:t>
      </w:r>
    </w:p>
    <w:p w14:paraId="0D3EF8B8" w14:textId="77777777" w:rsidR="00375730" w:rsidRPr="005C0011" w:rsidRDefault="00375730" w:rsidP="00375730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обучению судей, прокуроров и адвокатов положениям Конвенции, с тем чтобы она применялась и учитывалась национальными судами.</w:t>
      </w:r>
    </w:p>
    <w:p w14:paraId="43D86C08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Невозможность отступления от запрета насильственных исчезновений</w:t>
      </w:r>
    </w:p>
    <w:p w14:paraId="60B549CB" w14:textId="77777777" w:rsidR="00375730" w:rsidRPr="005C0011" w:rsidRDefault="00375730" w:rsidP="00375730">
      <w:pPr>
        <w:pStyle w:val="SingleTxtG"/>
      </w:pPr>
      <w:r>
        <w:t>10.</w:t>
      </w:r>
      <w:r>
        <w:tab/>
        <w:t>Комитет обеспокоен тем, что во внутреннем законодательстве конкретно не предусматривается недопустимость отступления от запрета насильственных исчезновений при любых исключительных обстоятельствах и что государство-участник не предоставило информацию о законодательных положениях и мерах, принятых для обеспечения того, чтобы никакие исключительные обстоятельства не могли служить основанием для отступления от права не подвергаться насильственному исчезновению (ст. 1).</w:t>
      </w:r>
    </w:p>
    <w:p w14:paraId="25DCD740" w14:textId="651421CB" w:rsidR="00375730" w:rsidRPr="005C0011" w:rsidRDefault="00375730" w:rsidP="00375730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 xml:space="preserve">Комитет рекомендует государству-участнику принять необходимые меры для прямого включения во внутреннее законодательство абсолютного запрета на </w:t>
      </w:r>
      <w:r>
        <w:rPr>
          <w:b/>
          <w:bCs/>
        </w:rPr>
        <w:lastRenderedPageBreak/>
        <w:t xml:space="preserve">насильственные исчезновения в соответствии с пунктом 2 статьи 1 Конвенции и обеспечить, чтобы меры, принимаемые в контексте борьбы с терроризмом, </w:t>
      </w:r>
      <w:r>
        <w:rPr>
          <w:b/>
          <w:bCs/>
        </w:rPr>
        <w:br/>
        <w:t>не влияли на эффективное осуществление Конвенции и чтобы никакие исключительные обстоятельства не могли служить оправданием насильственного исчезновения.</w:t>
      </w:r>
    </w:p>
    <w:p w14:paraId="243A784F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Национальные учреждения, занимающиеся поощрением и защитой прав человека</w:t>
      </w:r>
    </w:p>
    <w:p w14:paraId="7226422B" w14:textId="77777777" w:rsidR="00375730" w:rsidRPr="005C0011" w:rsidRDefault="00375730" w:rsidP="00375730">
      <w:pPr>
        <w:pStyle w:val="SingleTxtG"/>
      </w:pPr>
      <w:r>
        <w:t>12.</w:t>
      </w:r>
      <w:r>
        <w:tab/>
        <w:t xml:space="preserve">Комитет приветствует создание Национальной комиссии по правам человека в соответствии с законом </w:t>
      </w:r>
      <w:proofErr w:type="gramStart"/>
      <w:r>
        <w:t>№ 2016-036</w:t>
      </w:r>
      <w:proofErr w:type="gramEnd"/>
      <w:r>
        <w:t xml:space="preserve"> от 7 июля 2016 года. Он также приветствует тот факт, что в марте 2022 года Глобальный альянс национальных правозащитных учреждений повторно присвоил Комиссии статус «А». Однако он отмечает, что государство-участник не предоставляет достаточной информации о мерах, принятых для обеспечения того, чтобы Комиссия располагала финансовыми, техническими и людскими ресурсами, необходимыми для эффективного выполнения ее функций на всей территории государства-участника. Государство-участник также не указывает меры, принятые для распространения информации о Комиссии среди всего населения и национальных и местных органов власти.</w:t>
      </w:r>
    </w:p>
    <w:p w14:paraId="40C552CC" w14:textId="77777777" w:rsidR="00375730" w:rsidRPr="005C0011" w:rsidRDefault="00375730" w:rsidP="00375730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обеспечить Национальную комиссию по правам человека необходимыми финансовыми, техническими и людскими ресурсами для надлежащего выполнения своих функций на всей территории Мали.</w:t>
      </w:r>
      <w:r>
        <w:t xml:space="preserve"> </w:t>
      </w:r>
      <w:r>
        <w:rPr>
          <w:b/>
          <w:bCs/>
        </w:rPr>
        <w:t>Он также рекомендует ему распространять информацию о Комиссии и ее полномочиях среди всего населения, а также национальных и местных органов власти.</w:t>
      </w:r>
    </w:p>
    <w:p w14:paraId="6D063A97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Национальный механизм по предупреждению пыток</w:t>
      </w:r>
    </w:p>
    <w:p w14:paraId="2302B4EF" w14:textId="5061461B" w:rsidR="00375730" w:rsidRPr="005C0011" w:rsidRDefault="00375730" w:rsidP="00375730">
      <w:pPr>
        <w:pStyle w:val="SingleTxtG"/>
      </w:pPr>
      <w:r>
        <w:t>14.</w:t>
      </w:r>
      <w:r>
        <w:tab/>
        <w:t xml:space="preserve">Комитет отмечает существование национального механизма по предупреждению пыток в рамках Национальной комиссии по правам человека и признает важную роль, которую этот механизм может сыграть в предотвращении насильственных исчезновений. Однако он отмечает, что государство-участник не предоставляет достаточной информации о составе механизма и его отношениях с Комиссией, о том, как он выполняет свой мандат, какие места содержания под стражей он посещает, как организуются его посещения, о количестве посещений в год, </w:t>
      </w:r>
      <w:r>
        <w:br/>
        <w:t>их результатах и о том, как соответствующие органы власти сотрудничают в деле их осуществления.</w:t>
      </w:r>
    </w:p>
    <w:p w14:paraId="39E3F4E3" w14:textId="77777777" w:rsidR="00375730" w:rsidRPr="005C0011" w:rsidRDefault="00375730" w:rsidP="00375730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предоставить ему информацию о структуре национального механизма по предупреждению пыток, его взаимоотношениях с Национальной комиссией по правам человека с точки зрения независимости и о том, как он выполняет свой мандат.</w:t>
      </w:r>
      <w:r>
        <w:t xml:space="preserve"> </w:t>
      </w:r>
      <w:r>
        <w:rPr>
          <w:b/>
          <w:bCs/>
        </w:rPr>
        <w:t>Он также рекомендует выделить механизму материальные и людские ресурсы, которые позволят ему эффективно выполнять свою превентивную миссию.</w:t>
      </w:r>
    </w:p>
    <w:p w14:paraId="79368DEA" w14:textId="77777777" w:rsidR="00375730" w:rsidRPr="005C0011" w:rsidRDefault="00375730" w:rsidP="00375730">
      <w:pPr>
        <w:pStyle w:val="H23G"/>
      </w:pPr>
      <w:r>
        <w:rPr>
          <w:bCs/>
        </w:rPr>
        <w:tab/>
        <w:t>2.</w:t>
      </w:r>
      <w:r>
        <w:tab/>
      </w:r>
      <w:r>
        <w:rPr>
          <w:bCs/>
        </w:rPr>
        <w:t>Определение насильственного исчезновения и его квалификация в качестве уголовно наказуемого деяния (ст. 1–7)</w:t>
      </w:r>
    </w:p>
    <w:p w14:paraId="3CEF47F6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Статистическая информация и базы данных</w:t>
      </w:r>
    </w:p>
    <w:p w14:paraId="42A88F3E" w14:textId="77777777" w:rsidR="00375730" w:rsidRPr="005C0011" w:rsidRDefault="00375730" w:rsidP="00375730">
      <w:pPr>
        <w:pStyle w:val="SingleTxtG"/>
      </w:pPr>
      <w:r>
        <w:t>16.</w:t>
      </w:r>
      <w:r>
        <w:tab/>
        <w:t>Комитет отмечает утверждение государства-участника о том, что оно не располагает статистической информацией или базами данных об исчезнувших лицах (ст. 1, 2, 3, 12 и 24).</w:t>
      </w:r>
    </w:p>
    <w:p w14:paraId="578C266C" w14:textId="77777777" w:rsidR="00375730" w:rsidRPr="005C0011" w:rsidRDefault="00375730" w:rsidP="00375730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Государству-участнику следует создать безотлагательно базу данных и подготовить точную и актуальную статистическую информацию об исчезнувших лицах в разбивке по полу, сексуальной ориентации, гендерной идентичности, возрасту, гражданству, месту происхождения и расовой или этнической принадлежности.</w:t>
      </w:r>
      <w:r>
        <w:t xml:space="preserve"> </w:t>
      </w:r>
      <w:r>
        <w:rPr>
          <w:b/>
          <w:bCs/>
        </w:rPr>
        <w:t>Такая статистическая информация должна включать дату исчезновения; число лиц, местонахождение которых было установлено, как живых, так и умерших; и количество случаев, в которых, возможно, имело место участие государства в той или иной форме по смыслу статьи 2 Конвенции.</w:t>
      </w:r>
    </w:p>
    <w:p w14:paraId="36AAE277" w14:textId="77777777" w:rsidR="00375730" w:rsidRPr="005C0011" w:rsidRDefault="00375730" w:rsidP="00375730">
      <w:pPr>
        <w:pStyle w:val="H4G"/>
      </w:pPr>
      <w:r>
        <w:lastRenderedPageBreak/>
        <w:tab/>
      </w:r>
      <w:r>
        <w:tab/>
      </w:r>
      <w:r>
        <w:rPr>
          <w:iCs/>
        </w:rPr>
        <w:t>Самостоятельное преступление насильственного исчезновения и надлежащие меры наказания</w:t>
      </w:r>
    </w:p>
    <w:p w14:paraId="54BEB1EA" w14:textId="3ECB6016" w:rsidR="00375730" w:rsidRPr="005C0011" w:rsidRDefault="00375730" w:rsidP="00375730">
      <w:pPr>
        <w:pStyle w:val="SingleTxtG"/>
      </w:pPr>
      <w:r>
        <w:t>18.</w:t>
      </w:r>
      <w:r>
        <w:tab/>
        <w:t xml:space="preserve">Комитет обеспокоен тем, что насильственное исчезновение еще не является самостоятельным преступлением в соответствии с национальным законодательством. Однако он отмечает, что статья </w:t>
      </w:r>
      <w:proofErr w:type="gramStart"/>
      <w:r>
        <w:t>324-55</w:t>
      </w:r>
      <w:proofErr w:type="gramEnd"/>
      <w:r>
        <w:t xml:space="preserve"> проекта нового уголовного кодекса устанавливает насильственное исчезновение как самостоятельное преступление, </w:t>
      </w:r>
      <w:r>
        <w:br/>
        <w:t>и считает, что данное в ней определение соответствует положениям статьи 2 Конвенции (ст. 2, 4 и 8).</w:t>
      </w:r>
    </w:p>
    <w:p w14:paraId="32BC512C" w14:textId="77777777" w:rsidR="00375730" w:rsidRPr="005C0011" w:rsidRDefault="00375730" w:rsidP="00375730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предлагает государству-участнику незамедлительно завершить процедуру принятия нового уголовного кодекса, обеспечив наличие в нем положения, криминализирующего насильственное исчезновение как самостоятельное преступление в соответствии с определением, содержащимся в статье 2 Конвенции, и предусмотреть, чтобы срок исковой давности был продолжительным и соразмерным чрезвычайной серьезности этого преступления и, с учетом его длящегося характера, исчислялся с момента окончания преступления.</w:t>
      </w:r>
    </w:p>
    <w:p w14:paraId="7D82E5CA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Уголовная ответственность вышестоящих должностных лиц и выполнение приказа</w:t>
      </w:r>
    </w:p>
    <w:p w14:paraId="21B66A4D" w14:textId="1B320383" w:rsidR="00375730" w:rsidRPr="005C0011" w:rsidRDefault="00375730" w:rsidP="00375730">
      <w:pPr>
        <w:pStyle w:val="SingleTxtG"/>
      </w:pPr>
      <w:r>
        <w:t>20.</w:t>
      </w:r>
      <w:r>
        <w:tab/>
        <w:t xml:space="preserve">Комитет обеспокоен тем, что уголовное законодательство: </w:t>
      </w:r>
      <w:r>
        <w:br/>
        <w:t>a) не предусматривает привлечение к ответственности вышестоящих должностных лиц в условиях, изложенных в пункте 1 b) статьи 6 Конвенции; и b) прямо не исключает ссылки на выполнение приказа в качестве оправдания насильственного исчезновения (ст. 6 и 23).</w:t>
      </w:r>
    </w:p>
    <w:p w14:paraId="6E18BF72" w14:textId="629737DC" w:rsidR="00375730" w:rsidRPr="005C0011" w:rsidRDefault="00375730" w:rsidP="00375730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привлекать к уголовной ответственности и соответствующим образом наказывать любое лицо, которое совершает акт насильственного исчезновения, приказывает, подстрекает или побуждает его совершить, покушается на его совершение, является его пособником или участвует в нем, как это предусмотрено в пункте 1 а) статьи 6 Конвенции</w:t>
      </w:r>
      <w:r w:rsidR="00243BBC" w:rsidRPr="00243BBC">
        <w:rPr>
          <w:b/>
          <w:bCs/>
        </w:rPr>
        <w:t xml:space="preserve">. </w:t>
      </w:r>
      <w:r>
        <w:rPr>
          <w:b/>
          <w:bCs/>
        </w:rPr>
        <w:t xml:space="preserve">Он также предлагает государству-участнику гарантировать, чтобы внутреннее законодательство конкретно устанавливало уголовную ответственность начальников и предусматривало, что приказы или распоряжения начальства не могут служить оправданием преступления насильственного исчезновения, как это предусмотрено в пунктах 1 b) и 2 </w:t>
      </w:r>
      <w:r w:rsidR="00B8588A">
        <w:rPr>
          <w:b/>
          <w:bCs/>
        </w:rPr>
        <w:br/>
      </w:r>
      <w:r>
        <w:rPr>
          <w:b/>
          <w:bCs/>
        </w:rPr>
        <w:t>статьи 6 Конвенции.</w:t>
      </w:r>
    </w:p>
    <w:p w14:paraId="46757073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Отягчающие и смягчающие обстоятельства</w:t>
      </w:r>
    </w:p>
    <w:p w14:paraId="2267C552" w14:textId="77777777" w:rsidR="00375730" w:rsidRPr="005C0011" w:rsidRDefault="00375730" w:rsidP="00375730">
      <w:pPr>
        <w:pStyle w:val="SingleTxtG"/>
      </w:pPr>
      <w:r>
        <w:t>22.</w:t>
      </w:r>
      <w:r>
        <w:tab/>
        <w:t>Комитет отмечает, что статьи 18 и 19 Уголовного кодекса не учитывают отягчающие и смягчающие обстоятельства в случаях насильственного исчезновения и что смягчающие обстоятельства, предусмотренные в статье 6.5 проекта нового уголовного кодекса, конкретно не включают эффективное содействие «возвращению исчезнувшего лица живым», как это предусмотрено в пункте 2 статьи 7 Конвенции.</w:t>
      </w:r>
    </w:p>
    <w:p w14:paraId="02099097" w14:textId="77777777" w:rsidR="00375730" w:rsidRPr="005C0011" w:rsidRDefault="00375730" w:rsidP="00375730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 обеспечить, чтобы преступление насильственного исчезновения, включенное в проект нового уголовного кодекса, влекло за собой соответствующее наказание, учитывающее его крайнюю тяжесть, но исключающее смертную казнь.</w:t>
      </w:r>
      <w:r>
        <w:t xml:space="preserve"> </w:t>
      </w:r>
      <w:r>
        <w:rPr>
          <w:b/>
          <w:bCs/>
        </w:rPr>
        <w:t>Комитет также предлагает государству-участнику рассмотреть возможность включения в свое законодательство всех конкретных смягчающих и отягчающих обстоятельств для преступления насильственного исчезновения, которые предусмотрены в пункте 2 статьи 7 Конвенции.</w:t>
      </w:r>
    </w:p>
    <w:p w14:paraId="43FCB45E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Амнистия</w:t>
      </w:r>
    </w:p>
    <w:p w14:paraId="50A046E0" w14:textId="68BD720F" w:rsidR="00375730" w:rsidRPr="005C0011" w:rsidRDefault="00375730" w:rsidP="00375730">
      <w:pPr>
        <w:pStyle w:val="SingleTxtG"/>
      </w:pPr>
      <w:r>
        <w:t>24.</w:t>
      </w:r>
      <w:r>
        <w:tab/>
        <w:t xml:space="preserve">Комитет обеспокоен законом № 2012-020 от 18 мая 2012 года об амнистии за действия, совершенные во время мятежа, который привел к отставке президента Республики, и законом № 2019-042 от 24 июля 2019 года о законе о национальном примирении в той мере, в какой они могут быть истолкованы как применимые к преступлениям насильственного исчезновения. Комитет особенно обеспокоен тем, </w:t>
      </w:r>
      <w:r>
        <w:br/>
      </w:r>
      <w:r>
        <w:lastRenderedPageBreak/>
        <w:t xml:space="preserve">что в деле Амаду </w:t>
      </w:r>
      <w:proofErr w:type="spellStart"/>
      <w:r>
        <w:t>Хайя</w:t>
      </w:r>
      <w:proofErr w:type="spellEnd"/>
      <w:r>
        <w:t xml:space="preserve"> </w:t>
      </w:r>
      <w:proofErr w:type="spellStart"/>
      <w:r>
        <w:t>Саного</w:t>
      </w:r>
      <w:proofErr w:type="spellEnd"/>
      <w:r>
        <w:t xml:space="preserve"> обвиняемые были освобождены на основании закона о национальном примирении (ст. 7, 11 и 24).</w:t>
      </w:r>
    </w:p>
    <w:p w14:paraId="2FCBF038" w14:textId="46CD8F80" w:rsidR="00375730" w:rsidRPr="005C0011" w:rsidRDefault="00375730" w:rsidP="00375730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 xml:space="preserve">Комитет рекомендует государству-участнику отменить любое положение, которое освобождает лиц, виновных в насильственных исчезновениях, </w:t>
      </w:r>
      <w:r>
        <w:rPr>
          <w:b/>
          <w:bCs/>
        </w:rPr>
        <w:br/>
        <w:t>от уголовного преследования или наказания.</w:t>
      </w:r>
      <w:r>
        <w:t xml:space="preserve"> </w:t>
      </w:r>
      <w:r>
        <w:rPr>
          <w:b/>
          <w:bCs/>
        </w:rPr>
        <w:t>В частности, Комитет рекомендует государству-участнику принять необходимые законодательные меры для устранения возможности предоставления амнистии в случаях международных преступлений, включая насильственные исчезновения.</w:t>
      </w:r>
    </w:p>
    <w:p w14:paraId="3DCB5CF3" w14:textId="77777777" w:rsidR="00375730" w:rsidRPr="005C0011" w:rsidRDefault="00375730" w:rsidP="00375730">
      <w:pPr>
        <w:pStyle w:val="H4G"/>
        <w:rPr>
          <w:bCs/>
        </w:rPr>
      </w:pPr>
      <w:r>
        <w:tab/>
      </w:r>
      <w:r>
        <w:tab/>
      </w:r>
      <w:r>
        <w:rPr>
          <w:iCs/>
        </w:rPr>
        <w:t>Действия, совершенные негосударственными субъектами без участия государства</w:t>
      </w:r>
    </w:p>
    <w:p w14:paraId="3DB9B07E" w14:textId="77777777" w:rsidR="00375730" w:rsidRPr="005C0011" w:rsidRDefault="00375730" w:rsidP="00375730">
      <w:pPr>
        <w:pStyle w:val="SingleTxtG"/>
      </w:pPr>
      <w:r>
        <w:t>26.</w:t>
      </w:r>
      <w:r>
        <w:tab/>
        <w:t>Комитету известно о многочисленных проблемах, с которыми сталкивается государство-участник в результате серьезных злоупотреблений, включая исчезновения, совершенных негосударственными вооруженными группами. Тем не менее он сожалеет, что не получил информации о проведенных расследованиях этих исчезновений и их результатах, в том числе о мерах наказания, примененных к виновным, а также о помощи, оказанной жертвам, и о розыске и местонахождении исчезнувших лиц (ст. 3).</w:t>
      </w:r>
    </w:p>
    <w:p w14:paraId="17B49FED" w14:textId="77777777" w:rsidR="00375730" w:rsidRPr="005C0011" w:rsidRDefault="00375730" w:rsidP="00375730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обеспечению того, чтобы утверждения о деяниях, определенных в статье 2 Конвенции, совершенных вооруженными группами без разрешения, поддержки или согласия государства, оперативно, тщательно и беспристрастно расследовались и чтобы предполагаемые виновные были привлечены к ответственности и, в случае признания их виновными, приговорены к наказаниям, соразмерным тяжести совершенных ими деяний.</w:t>
      </w:r>
      <w:r>
        <w:t xml:space="preserve"> </w:t>
      </w:r>
      <w:r>
        <w:rPr>
          <w:b/>
          <w:bCs/>
        </w:rPr>
        <w:t>Комитет далее рекомендует государству-участнику принять все необходимые меры для оказания помощи жертвам, поиска и установления местонахождения лиц, исчезнувших в результате действий этих вооруженных групп, а также для предотвращения подобных актов.</w:t>
      </w:r>
    </w:p>
    <w:p w14:paraId="07680BE3" w14:textId="57070A79" w:rsidR="00375730" w:rsidRPr="005C0011" w:rsidRDefault="00375730" w:rsidP="00375730">
      <w:pPr>
        <w:pStyle w:val="H23G"/>
      </w:pPr>
      <w:r>
        <w:rPr>
          <w:bCs/>
        </w:rPr>
        <w:tab/>
        <w:t>3.</w:t>
      </w:r>
      <w:r>
        <w:tab/>
      </w:r>
      <w:r>
        <w:rPr>
          <w:bCs/>
        </w:rPr>
        <w:t xml:space="preserve">Уголовная ответственность и сотрудничество судебных органов в связи </w:t>
      </w:r>
      <w:r>
        <w:rPr>
          <w:bCs/>
        </w:rPr>
        <w:br/>
        <w:t>с насильственными исчезновениями (ст. 8–15)</w:t>
      </w:r>
    </w:p>
    <w:p w14:paraId="3D9CAD33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Заявления о насильственных исчезновениях, расследования и поиски</w:t>
      </w:r>
    </w:p>
    <w:p w14:paraId="3EAD5E09" w14:textId="77777777" w:rsidR="00375730" w:rsidRPr="005C0011" w:rsidRDefault="00375730" w:rsidP="00375730">
      <w:pPr>
        <w:pStyle w:val="SingleTxtG"/>
      </w:pPr>
      <w:r>
        <w:t>28.</w:t>
      </w:r>
      <w:r>
        <w:tab/>
        <w:t>Комитет обеспокоен многочисленными заявлениями о насильственных исчезновениях, предположительно совершенных Малийскими вооруженными силами, Главным управлением государственной безопасности или вооруженными группами, действующими под контролем, с разрешения или молчаливого согласия государства, а также тем фактом, что ни одно из расследований этих утверждений до сих пор не привело к вынесению обвинительных приговоров, что приводит к сохранению атмосферы безнаказанности. Комитет обеспокоен сообщениями о том, что военная полиция не гарантирует эффективной передачи сообщений о преступлениях и что следователи сталкиваются с трудностями при обеспечении безопасности своих перемещений на места преступлений в зонах конфликтов. Комитет также обеспокоен утверждениями о том, что при определенных обстоятельствах сотрудники судебных органов причастны к насильственным исчезновениям, ответственность за которые несет Главное управление государственной безопасности. Кроме того, Комитет сожалеет, что не получил точной информации о механизмах, позволяющих исключить из расследования насильственного исчезновения любое лицо, которое может быть заподозрено в участии в насильственном исчезновении (ст. 1, 11, 12 и 24).</w:t>
      </w:r>
    </w:p>
    <w:p w14:paraId="1BFD5750" w14:textId="77777777" w:rsidR="00375730" w:rsidRPr="005C0011" w:rsidRDefault="00375730" w:rsidP="00375730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по обеспечению права всех жертв насильственных исчезновений на правосудие, установление истины и возмещение ущерба, обеспечивая при этом, чтобы меры, принимаемые для борьбы с терроризмом, полностью соответствовали Конвенции.</w:t>
      </w:r>
      <w:r>
        <w:t xml:space="preserve"> </w:t>
      </w:r>
      <w:r>
        <w:rPr>
          <w:b/>
          <w:bCs/>
        </w:rPr>
        <w:t>При этом государству-участнику следует:</w:t>
      </w:r>
    </w:p>
    <w:p w14:paraId="610B5BF2" w14:textId="77777777" w:rsidR="00375730" w:rsidRPr="005C0011" w:rsidRDefault="00375730" w:rsidP="0037573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 xml:space="preserve">обеспечить, чтобы все утверждения о насильственных исчезновениях расследовались оперативно, тщательно и беспристрастно, даже </w:t>
      </w:r>
      <w:r>
        <w:rPr>
          <w:b/>
          <w:bCs/>
        </w:rPr>
        <w:lastRenderedPageBreak/>
        <w:t>при отсутствии официальной жалобы, и чтобы виновные были привлечены к ответственности и наказаны соразмерно тяжести совершенных ими деяний;</w:t>
      </w:r>
    </w:p>
    <w:p w14:paraId="0BD3427C" w14:textId="77777777" w:rsidR="00375730" w:rsidRPr="005C0011" w:rsidRDefault="00375730" w:rsidP="0037573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обеспечить, чтобы государственные служащие, подозреваемые в причастности к совершению преступления насильственного исчезновения, отстранялись от исполнения своих обязанностей с начала расследования и на весь его период, без ущерба для соблюдения принципа презумпции невиновности, и чтобы правоохранительные органы или силы безопасности, сотрудники которых подозреваются в участии в насильственном исчезновении, не могли принимать участие в расследовании;</w:t>
      </w:r>
    </w:p>
    <w:p w14:paraId="42AA5448" w14:textId="77777777" w:rsidR="00375730" w:rsidRPr="005C0011" w:rsidRDefault="00375730" w:rsidP="00375730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поощрять и облегчать безопасную подачу жалоб и активное и безоговорочное участие в расследовании жертв, включая родственников исчезнувшего лица, которые этого пожелают;</w:t>
      </w:r>
    </w:p>
    <w:p w14:paraId="1B7021B4" w14:textId="77777777" w:rsidR="00375730" w:rsidRPr="005C0011" w:rsidRDefault="00375730" w:rsidP="00375730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обеспечить, чтобы сотрудники судебных органов не потворствовали насильственным исчезновениям и не участвовали в них каким-либо образом;</w:t>
      </w:r>
    </w:p>
    <w:p w14:paraId="37C9BE2C" w14:textId="77777777" w:rsidR="00375730" w:rsidRPr="005C0011" w:rsidRDefault="00375730" w:rsidP="00375730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обеспечить полное соблюдение права жертв на установление истины на всех этапах разбирательства, в частности путем обеспечения их регулярного информирования о ходе и результатах расследований, даже если они не подали гражданский иск;</w:t>
      </w:r>
    </w:p>
    <w:p w14:paraId="51917846" w14:textId="0E57AD1A" w:rsidR="00375730" w:rsidRPr="005C0011" w:rsidRDefault="00375730" w:rsidP="00375730">
      <w:pPr>
        <w:pStyle w:val="SingleTxtG"/>
        <w:ind w:firstLine="567"/>
        <w:rPr>
          <w:b/>
          <w:bCs/>
        </w:rPr>
      </w:pPr>
      <w:r>
        <w:rPr>
          <w:b/>
          <w:bCs/>
        </w:rPr>
        <w:t>f)</w:t>
      </w:r>
      <w:r>
        <w:tab/>
      </w:r>
      <w:r>
        <w:rPr>
          <w:b/>
          <w:bCs/>
        </w:rPr>
        <w:t xml:space="preserve">принять все необходимые меры для обнаружения, освобождения и, </w:t>
      </w:r>
      <w:r>
        <w:rPr>
          <w:b/>
          <w:bCs/>
        </w:rPr>
        <w:br/>
        <w:t>в случае смерти, идентификации всех лиц, подвергшихся насильственному исчезновению, судьба которых еще не выяснена, и обеспечить, чтобы применяемые процедуры поиска соответствовали принятым Комитетом Руководящим принципам поиска пропавших без вести лиц</w:t>
      </w:r>
      <w:r w:rsidRPr="00D16742">
        <w:rPr>
          <w:rStyle w:val="aa"/>
        </w:rPr>
        <w:footnoteReference w:id="7"/>
      </w:r>
      <w:r>
        <w:rPr>
          <w:b/>
          <w:bCs/>
        </w:rPr>
        <w:t>;</w:t>
      </w:r>
    </w:p>
    <w:p w14:paraId="54BFEA8C" w14:textId="77777777" w:rsidR="00375730" w:rsidRPr="005C0011" w:rsidRDefault="00375730" w:rsidP="00375730">
      <w:pPr>
        <w:pStyle w:val="SingleTxtG"/>
        <w:keepNext/>
        <w:keepLines/>
        <w:ind w:firstLine="567"/>
        <w:rPr>
          <w:b/>
          <w:bCs/>
        </w:rPr>
      </w:pPr>
      <w:r>
        <w:rPr>
          <w:b/>
          <w:bCs/>
        </w:rPr>
        <w:t>g)</w:t>
      </w:r>
      <w:r>
        <w:tab/>
      </w:r>
      <w:r>
        <w:rPr>
          <w:b/>
          <w:bCs/>
        </w:rPr>
        <w:t>обеспечить эффективную координацию и сотрудничество между всеми органами, участвующими в расследованиях и дознании, а также наличие у них необходимых структур, финансовых, технических и людских ресурсов и опыта для оперативного и эффективного выполнения своих задач;</w:t>
      </w:r>
    </w:p>
    <w:p w14:paraId="6195E3E2" w14:textId="77777777" w:rsidR="00375730" w:rsidRPr="005C0011" w:rsidRDefault="00375730" w:rsidP="00375730">
      <w:pPr>
        <w:pStyle w:val="SingleTxtG"/>
        <w:ind w:firstLine="567"/>
        <w:rPr>
          <w:b/>
          <w:bCs/>
        </w:rPr>
      </w:pPr>
      <w:r>
        <w:rPr>
          <w:b/>
          <w:bCs/>
        </w:rPr>
        <w:t>h)</w:t>
      </w:r>
      <w:r>
        <w:tab/>
      </w:r>
      <w:r>
        <w:rPr>
          <w:b/>
          <w:bCs/>
        </w:rPr>
        <w:t>рассмотреть возможность создания специализированного подразделения по расследованию военных преступлений и преступлений против человечности и, в рамках этой структуры, группы, специализирующейся на расследовании насильственных исчезновений.</w:t>
      </w:r>
    </w:p>
    <w:p w14:paraId="4E544BF0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Массовые захоронения</w:t>
      </w:r>
    </w:p>
    <w:p w14:paraId="12F2132D" w14:textId="77777777" w:rsidR="00375730" w:rsidRPr="005C0011" w:rsidRDefault="00375730" w:rsidP="00375730">
      <w:pPr>
        <w:pStyle w:val="SingleTxtG"/>
      </w:pPr>
      <w:r>
        <w:t>30.</w:t>
      </w:r>
      <w:r>
        <w:tab/>
        <w:t>Отмечая утверждение государства-участника о том, что обнаружение массового захоронения дает основание для проведения расследования, Комитет обеспокоен заявлениями об обнаружении многочисленных массовых захоронений на территории Мали и отсутствием точной информации об усилиях по обеспечению идентификации, судебной экспертизы, уважения и возвращения останков исчезнувших лиц. Комитет приветствует создание Главного управления технической и научной полиции и план введения в действие центра исследования ДНК, но сожалеет, что не получил достаточной информации о том, как эти учреждения будут способствовать поиску жертв насильственных исчезновений.</w:t>
      </w:r>
    </w:p>
    <w:p w14:paraId="6BD668C8" w14:textId="77777777" w:rsidR="00375730" w:rsidRPr="005C0011" w:rsidRDefault="00375730" w:rsidP="00375730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настоятельно призывает государство-участник учитывать при разработке и осуществлении стратегии поиска Руководящие принципы поиска пропавших без вести лиц и рекомендует обеспечить охрану каждого зарегистрированного массового захоронения и использование соответствующих методов судебно-медицинской экспертизы.</w:t>
      </w:r>
      <w:r>
        <w:t xml:space="preserve"> </w:t>
      </w:r>
      <w:r>
        <w:rPr>
          <w:b/>
          <w:bCs/>
        </w:rPr>
        <w:t>Он также рекомендует, чтобы идентификация исчезнувших лиц была конкретно и эффективно интегрирована в задачи и цели Главного управления технической и научной полиции и центра исследования ДНК.</w:t>
      </w:r>
    </w:p>
    <w:p w14:paraId="1B7EACC8" w14:textId="77777777" w:rsidR="00375730" w:rsidRPr="005C0011" w:rsidRDefault="00375730" w:rsidP="00375730">
      <w:pPr>
        <w:pStyle w:val="H4G"/>
      </w:pPr>
      <w:r>
        <w:lastRenderedPageBreak/>
        <w:tab/>
      </w:r>
      <w:r>
        <w:tab/>
      </w:r>
      <w:r>
        <w:rPr>
          <w:iCs/>
        </w:rPr>
        <w:t>Универсальная юрисдикция</w:t>
      </w:r>
    </w:p>
    <w:p w14:paraId="65B72C53" w14:textId="77777777" w:rsidR="00375730" w:rsidRPr="005C0011" w:rsidRDefault="00375730" w:rsidP="00375730">
      <w:pPr>
        <w:pStyle w:val="SingleTxtG"/>
      </w:pPr>
      <w:r>
        <w:t>32.</w:t>
      </w:r>
      <w:r>
        <w:tab/>
        <w:t>Комитет обеспокоен тем, что суды государства-участника не могут осуществлять юрисдикцию в отношении преступления насильственного исчезновения во всех случаях, предусмотренных Конвенцией, в том числе в соответствии с принципом универсальной юрисдикции (ст. 9).</w:t>
      </w:r>
    </w:p>
    <w:p w14:paraId="3F2C6AC8" w14:textId="77777777" w:rsidR="00375730" w:rsidRPr="005C0011" w:rsidRDefault="00375730" w:rsidP="00375730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 xml:space="preserve">Комитет настоятельно призывает государство-участник обеспечить осуществление юрисдикции национальных судов по рассмотрению дел о насильственных исчезновениях в соответствии с обязательствами, вытекающими из статьи 9 Конвенции и, в частности, с изложенной в ней обязанностью </w:t>
      </w:r>
      <w:proofErr w:type="spellStart"/>
      <w:r>
        <w:rPr>
          <w:b/>
          <w:bCs/>
        </w:rPr>
        <w:t>aut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dedere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aut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judicare</w:t>
      </w:r>
      <w:proofErr w:type="spellEnd"/>
      <w:r>
        <w:rPr>
          <w:b/>
          <w:bCs/>
        </w:rPr>
        <w:t>.</w:t>
      </w:r>
    </w:p>
    <w:p w14:paraId="26095373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Военная юрисдикция</w:t>
      </w:r>
    </w:p>
    <w:p w14:paraId="4ED31F9E" w14:textId="77777777" w:rsidR="00375730" w:rsidRPr="005C0011" w:rsidRDefault="00375730" w:rsidP="00375730">
      <w:pPr>
        <w:pStyle w:val="SingleTxtG"/>
      </w:pPr>
      <w:r>
        <w:t>34.</w:t>
      </w:r>
      <w:r>
        <w:tab/>
        <w:t>Комитет обеспокоен тем, что национальное законодательство предусматривает юрисдикцию военных судов для расследования утверждений о насильственных исчезновениях, совершенных военнослужащими (ст. 11).</w:t>
      </w:r>
    </w:p>
    <w:p w14:paraId="1470DD1F" w14:textId="4A083FE7" w:rsidR="00375730" w:rsidRPr="005C0011" w:rsidRDefault="00375730" w:rsidP="00375730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>Ссылаясь на свое Заявление о насильственных исчезновениях и юрисдикции военных судов</w:t>
      </w:r>
      <w:r w:rsidRPr="00D16742">
        <w:rPr>
          <w:rStyle w:val="aa"/>
        </w:rPr>
        <w:footnoteReference w:id="8"/>
      </w:r>
      <w:r>
        <w:rPr>
          <w:b/>
          <w:bCs/>
        </w:rPr>
        <w:t>, Комитет рекомендует государству-участнику принять необходимые законодательные меры, чтобы исключить из юрисдикции военных судов расследование и преследование во всех случаях насильственных исчезновений.</w:t>
      </w:r>
    </w:p>
    <w:p w14:paraId="48DFB73E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Защита лиц, участвующих в расследовании</w:t>
      </w:r>
    </w:p>
    <w:p w14:paraId="49859C37" w14:textId="77777777" w:rsidR="00375730" w:rsidRPr="005C0011" w:rsidRDefault="00375730" w:rsidP="00375730">
      <w:pPr>
        <w:pStyle w:val="SingleTxtG"/>
      </w:pPr>
      <w:r>
        <w:t>36.</w:t>
      </w:r>
      <w:r>
        <w:tab/>
        <w:t>Комитет сожалеет, что не получил более конкретной информации о законопроекте о защите жертв и свидетелей (ст. 12).</w:t>
      </w:r>
    </w:p>
    <w:p w14:paraId="25C6C9E4" w14:textId="77777777" w:rsidR="00375730" w:rsidRPr="005C0011" w:rsidRDefault="00375730" w:rsidP="00375730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 создать механизмы, включая структурированную программу, для обеспечения эффективной защиты всех лиц, подпадающих под действие пункта 1 статьи 12 Конвенции, от любых форм неправомерного обращения или какого бы то ни было запугивания, обусловленных фактом подачи жалобы или дачи тех или иных показаний.</w:t>
      </w:r>
    </w:p>
    <w:p w14:paraId="563BF67C" w14:textId="77777777" w:rsidR="00375730" w:rsidRPr="005C0011" w:rsidRDefault="00375730" w:rsidP="00375730">
      <w:pPr>
        <w:pStyle w:val="H23G"/>
      </w:pPr>
      <w:r>
        <w:rPr>
          <w:bCs/>
        </w:rPr>
        <w:tab/>
        <w:t>4.</w:t>
      </w:r>
      <w:r>
        <w:tab/>
      </w:r>
      <w:r>
        <w:rPr>
          <w:bCs/>
        </w:rPr>
        <w:t>Меры по предупреждению насильственных исчезновений (ст. 16–23)</w:t>
      </w:r>
    </w:p>
    <w:p w14:paraId="556BD7E6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Недопустимость принудительного возвращения</w:t>
      </w:r>
    </w:p>
    <w:p w14:paraId="25467F21" w14:textId="77777777" w:rsidR="00375730" w:rsidRPr="005C0011" w:rsidRDefault="00375730" w:rsidP="00375730">
      <w:pPr>
        <w:pStyle w:val="SingleTxtG"/>
      </w:pPr>
      <w:r>
        <w:t>38.</w:t>
      </w:r>
      <w:r>
        <w:tab/>
        <w:t>Комитет принимает к сведению предоставленную делегацией государства-участника информацию о мерах, принятых для обеспечения соблюдения принципа недопустимости принудительного возвращения. Однако он сожалеет об отсутствии точной информации в отношении применяемых критериев или процедур, используемых для проверки риска насильственного исчезновения лица в стране назначения до его высылки, возвращения, выдачи или экстрадиции (ст. 16).</w:t>
      </w:r>
    </w:p>
    <w:p w14:paraId="1C87D009" w14:textId="77777777" w:rsidR="00375730" w:rsidRPr="005C0011" w:rsidRDefault="00375730" w:rsidP="00375730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обеспечить строгое соблюдение при любых обстоятельствах принципа недопустимости принудительного возвращения, закрепленного в пункте 1 статьи 16 Конвенции.</w:t>
      </w:r>
      <w:r>
        <w:t xml:space="preserve"> </w:t>
      </w:r>
      <w:r>
        <w:rPr>
          <w:b/>
          <w:bCs/>
        </w:rPr>
        <w:t>В частности, государству-участнику следует:</w:t>
      </w:r>
    </w:p>
    <w:p w14:paraId="2144A1D8" w14:textId="77777777" w:rsidR="00375730" w:rsidRPr="005C0011" w:rsidRDefault="00375730" w:rsidP="0037573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рассмотреть возможность включения в свое национальное законодательство конкретного положения, запрещающего высылку, возвращение, передачу или выдачу любого лица при наличии веских оснований полагать, что оно может стать жертвой насильственного исчезновения;</w:t>
      </w:r>
    </w:p>
    <w:p w14:paraId="61019443" w14:textId="77777777" w:rsidR="00375730" w:rsidRPr="005C0011" w:rsidRDefault="00375730" w:rsidP="0037573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 xml:space="preserve">обеспечить, чтобы перед высылкой, возвращением, передачей или экстрадицией были исчерпаны все соответствующие процедуры и проведено тщательное индивидуальное рассмотрение для определения того, существуют ли серьезные основания полагать, что данному лицу угрожает опасность стать </w:t>
      </w:r>
      <w:r>
        <w:rPr>
          <w:b/>
          <w:bCs/>
        </w:rPr>
        <w:lastRenderedPageBreak/>
        <w:t>жертвой насильственного исчезновения, и, если такие основания существуют, чтобы данное лицо не было выслано, экстрадировано, передано или возвращено;</w:t>
      </w:r>
    </w:p>
    <w:p w14:paraId="14A1C268" w14:textId="77777777" w:rsidR="00375730" w:rsidRPr="005C0011" w:rsidRDefault="00375730" w:rsidP="00375730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обеспечить в законодательстве и на практике приостанавливающее действие обжалования на исполнение решений о высылке, возвращении, передаче или экстрадиции.</w:t>
      </w:r>
    </w:p>
    <w:p w14:paraId="1CABD11F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Тайное содержание под стражей и основные правовые гарантии</w:t>
      </w:r>
    </w:p>
    <w:p w14:paraId="068254BA" w14:textId="77777777" w:rsidR="00375730" w:rsidRPr="005C0011" w:rsidRDefault="00375730" w:rsidP="00375730">
      <w:pPr>
        <w:pStyle w:val="SingleTxtG"/>
      </w:pPr>
      <w:r>
        <w:t>40.</w:t>
      </w:r>
      <w:r>
        <w:tab/>
        <w:t>Комитет обеспокоен утверждениями о том, что некоторые лица незаконно содержатся в неофициальных местах лишения свободы Малийскими вооруженными силами или Главным управлением государственной безопасности, не имея никаких контактов с внешним миром, доступа к адвокату или членам своей семьи. Он также сожалеет об отсутствии ясности в отношении положений внутреннего законодательства, устанавливающих конкретное средство правовой защиты в соответствии с пунктом 2 f) статьи 17 Конвенции. Принимая к сведению информацию о реестрах задержанных, Комитет обеспокоен сообщениями о недостатках в ведении реестров лиц, лишенных свободы (ст. 17, 18, 19 и 20).</w:t>
      </w:r>
    </w:p>
    <w:p w14:paraId="50F91B77" w14:textId="77777777" w:rsidR="00375730" w:rsidRPr="005C0011" w:rsidRDefault="00375730" w:rsidP="00375730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гарантировать, чтобы никто не содержался под стражей без связи с внешним миром, в том числе путем обеспечения того, чтобы все лица, лишенные свободы, пользовались всеми основными гарантиями, изложенными в статье 17 Конвенции.</w:t>
      </w:r>
      <w:r>
        <w:t xml:space="preserve"> </w:t>
      </w:r>
      <w:r>
        <w:rPr>
          <w:b/>
          <w:bCs/>
        </w:rPr>
        <w:t>При этом государству-участнику следует:</w:t>
      </w:r>
    </w:p>
    <w:p w14:paraId="7F9F9166" w14:textId="77777777" w:rsidR="00375730" w:rsidRPr="005C0011" w:rsidRDefault="00375730" w:rsidP="0037573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>обеспечить, чтобы лишенные свободы лица содержались только в официально признанных и контролируемых местах содержания под стражей на всех этапах процедуры;</w:t>
      </w:r>
    </w:p>
    <w:p w14:paraId="2799E8D9" w14:textId="77777777" w:rsidR="00375730" w:rsidRPr="00AF3393" w:rsidRDefault="00375730" w:rsidP="0037573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гарантировать с самого начала лишения свободы, чтобы каждый человек независимо от преступления, в котором он обвиняется, имел эффективный доступ к адвокату и чтобы его родственники, любое другое лицо по его выбору и, в случае иностранца, консульские органы его страны были эффективно информированы о лишении его свободы и месте его содержания под стражей;</w:t>
      </w:r>
    </w:p>
    <w:p w14:paraId="56868ACC" w14:textId="028A3D01" w:rsidR="00375730" w:rsidRPr="005C0011" w:rsidRDefault="00375730" w:rsidP="00375730">
      <w:pPr>
        <w:pStyle w:val="SingleTxtG"/>
        <w:ind w:firstLine="567"/>
        <w:rPr>
          <w:b/>
          <w:bCs/>
        </w:rPr>
      </w:pPr>
      <w:r>
        <w:rPr>
          <w:b/>
          <w:bCs/>
        </w:rPr>
        <w:t>c)</w:t>
      </w:r>
      <w:r>
        <w:tab/>
      </w:r>
      <w:r>
        <w:rPr>
          <w:b/>
          <w:bCs/>
        </w:rPr>
        <w:t>гарантировать каждому лицу, лишенному свободы, в том числе во время содержания под стражей в полиции, и</w:t>
      </w:r>
      <w:r w:rsidRPr="00375730">
        <w:rPr>
          <w:b/>
          <w:bCs/>
        </w:rPr>
        <w:t xml:space="preserve"> </w:t>
      </w:r>
      <w:r>
        <w:rPr>
          <w:b/>
          <w:bCs/>
        </w:rPr>
        <w:t>— в случае наличия подозрения о насильственном исчезновении</w:t>
      </w:r>
      <w:r w:rsidRPr="00375730">
        <w:rPr>
          <w:b/>
          <w:bCs/>
        </w:rPr>
        <w:t xml:space="preserve"> </w:t>
      </w:r>
      <w:r>
        <w:rPr>
          <w:b/>
          <w:bCs/>
        </w:rPr>
        <w:t>— любому лицу, имеющему законный интерес, если лишенное свободы лицо не имеет возможности сделать это самостоятельно, право на обращение в суд, с тем чтобы этот суд мог безотлагательно вынести постановление относительно законности лишения свободы и распорядиться об освобождении, если лишение свободы незаконно;</w:t>
      </w:r>
    </w:p>
    <w:p w14:paraId="02879645" w14:textId="77777777" w:rsidR="00375730" w:rsidRPr="005C0011" w:rsidRDefault="00375730" w:rsidP="00375730">
      <w:pPr>
        <w:pStyle w:val="SingleTxtG"/>
        <w:ind w:firstLine="567"/>
        <w:rPr>
          <w:b/>
          <w:bCs/>
        </w:rPr>
      </w:pPr>
      <w:r>
        <w:rPr>
          <w:b/>
          <w:bCs/>
        </w:rPr>
        <w:t>d)</w:t>
      </w:r>
      <w:r>
        <w:tab/>
      </w:r>
      <w:r>
        <w:rPr>
          <w:b/>
          <w:bCs/>
        </w:rPr>
        <w:t>внести все без исключения случаи лишения свободы в обновленные официальные реестры и/или досье, содержащие как минимум информацию, требуемую в пункте 3 статьи 17 Конвенции;</w:t>
      </w:r>
    </w:p>
    <w:p w14:paraId="269C8699" w14:textId="77777777" w:rsidR="00375730" w:rsidRPr="005C0011" w:rsidRDefault="00375730" w:rsidP="00375730">
      <w:pPr>
        <w:pStyle w:val="SingleTxtG"/>
        <w:ind w:firstLine="567"/>
        <w:rPr>
          <w:b/>
          <w:bCs/>
        </w:rPr>
      </w:pPr>
      <w:r>
        <w:rPr>
          <w:b/>
          <w:bCs/>
        </w:rPr>
        <w:t>e)</w:t>
      </w:r>
      <w:r>
        <w:tab/>
      </w:r>
      <w:r>
        <w:rPr>
          <w:b/>
          <w:bCs/>
        </w:rPr>
        <w:t>наказывать за несоблюдение обязанности регистрировать лишение свободы, регистрацию неверной или неточной информации, отказ в предоставлении информации о лишении свободы или предоставление неточной информации.</w:t>
      </w:r>
    </w:p>
    <w:p w14:paraId="5DE45188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Инспектирование мест лишения свободы</w:t>
      </w:r>
      <w:r>
        <w:t xml:space="preserve"> </w:t>
      </w:r>
    </w:p>
    <w:p w14:paraId="1B18B6DC" w14:textId="77777777" w:rsidR="00375730" w:rsidRPr="005C0011" w:rsidRDefault="00375730" w:rsidP="00375730">
      <w:pPr>
        <w:pStyle w:val="SingleTxtG"/>
      </w:pPr>
      <w:r>
        <w:t>42.</w:t>
      </w:r>
      <w:r>
        <w:tab/>
        <w:t>Комитет принимает к сведению предоставленную государством-участником информацию о государственных и негосударственных субъектах, уполномоченных посещать места лишения свободы. Однако он сожалеет об отсутствии информации о количестве посещений официальных мест содержания под стражей и их частоте. Комитет также обеспокоен сообщениями о том, что Национальная комиссия по правам человека, выполняя свой мандат в качестве национального механизма по предупреждению пыток, не всегда получает доступ во все места лишения свободы (ст. 17).</w:t>
      </w:r>
    </w:p>
    <w:p w14:paraId="1E2BD158" w14:textId="77777777" w:rsidR="00375730" w:rsidRPr="005C0011" w:rsidRDefault="00375730" w:rsidP="00375730">
      <w:pPr>
        <w:pStyle w:val="SingleTxtG"/>
        <w:rPr>
          <w:b/>
          <w:bCs/>
        </w:rPr>
      </w:pPr>
      <w:r>
        <w:lastRenderedPageBreak/>
        <w:t>43.</w:t>
      </w:r>
      <w:r>
        <w:tab/>
      </w:r>
      <w:r>
        <w:rPr>
          <w:b/>
          <w:bCs/>
        </w:rPr>
        <w:t>Комитет рекомендует государству-участнику обеспечить, чтобы все уполномоченные субъекты имели эффективный доступ ко всем местам лишения свободы, как официальным, так и неофициальным.</w:t>
      </w:r>
      <w:r>
        <w:t xml:space="preserve"> </w:t>
      </w:r>
      <w:r>
        <w:rPr>
          <w:b/>
          <w:bCs/>
        </w:rPr>
        <w:t>В частности, Комитет рекомендует государству-участнику обеспечить, чтобы Национальная комиссия по правам человека, являющаяся национальным механизмом по предупреждению пыток, могла свободно и беспрепятственно выполнять свой мандат на инспекцию.</w:t>
      </w:r>
    </w:p>
    <w:p w14:paraId="120AD205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Подготовка в области прав человека, в частности обучение положениям Конвенции</w:t>
      </w:r>
    </w:p>
    <w:p w14:paraId="4427D45F" w14:textId="77777777" w:rsidR="00375730" w:rsidRPr="005C0011" w:rsidRDefault="00375730" w:rsidP="00375730">
      <w:pPr>
        <w:pStyle w:val="SingleTxtG"/>
      </w:pPr>
      <w:r>
        <w:t>44.</w:t>
      </w:r>
      <w:r>
        <w:tab/>
        <w:t>Комитет принимает к сведению информацию о подготовке сотрудников полиции и тюремного персонала в области прав человека и стандартов, регулирующих лишение свободы. Однако он отмечает, что эти подготовительные курсы не имеют прямого отношения к Конвенции (ст. 23).</w:t>
      </w:r>
    </w:p>
    <w:p w14:paraId="470B1016" w14:textId="77777777" w:rsidR="00375730" w:rsidRPr="005C0011" w:rsidRDefault="00375730" w:rsidP="00375730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призывает государство-участник обеспечить, чтобы профессиональная подготовка, предлагаемая военному и гражданскому персоналу, отвечающему за применение законов, медицинскому персоналу, сотрудникам государственных органов и другим лицам, которые могут иметь отношение к содержанию под стражей любого лица, лишенного свободы, или обращению с ним, включая судей, прокуроров и других практикующих юристов всех рангов, включала в себя изучение Конвенции в соответствии с ее статьей 23.</w:t>
      </w:r>
    </w:p>
    <w:p w14:paraId="0E74F217" w14:textId="77777777" w:rsidR="00375730" w:rsidRPr="005C0011" w:rsidRDefault="00375730" w:rsidP="00375730">
      <w:pPr>
        <w:pStyle w:val="H23G"/>
      </w:pPr>
      <w:r>
        <w:rPr>
          <w:bCs/>
        </w:rPr>
        <w:tab/>
        <w:t>5.</w:t>
      </w:r>
      <w:r>
        <w:tab/>
      </w:r>
      <w:r>
        <w:rPr>
          <w:bCs/>
        </w:rPr>
        <w:t>Возмещение ущерба (ст. 24)</w:t>
      </w:r>
    </w:p>
    <w:p w14:paraId="37780485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Право на установление истины и возмещение ущерба</w:t>
      </w:r>
    </w:p>
    <w:p w14:paraId="12522395" w14:textId="77777777" w:rsidR="00375730" w:rsidRPr="005C0011" w:rsidRDefault="00375730" w:rsidP="00375730">
      <w:pPr>
        <w:pStyle w:val="SingleTxtG"/>
      </w:pPr>
      <w:r>
        <w:t>46.</w:t>
      </w:r>
      <w:r>
        <w:tab/>
        <w:t>Приветствуя проведение Комиссией по вопросам установления истины, справедливости и примирения слушания по делу о насильственных исчезновениях, Комитет сожалеет о том, что он не был проинформирован об итогах этого слушания и выводах Комиссии по истечении срока ее полномочий. Комитет обеспокоен тем, что внутреннее законодательство не предусматривает систему полного возмещения ущерба и не признает право любой жертвы знать правду. Он сожалеет, что не получил более точной информации о реализации мер, предусмотренных статьями 28</w:t>
      </w:r>
      <w:r w:rsidRPr="008C69F1">
        <w:t>–</w:t>
      </w:r>
      <w:r>
        <w:t>32 закона о национальном примирении от 2019 года (ст. 24).</w:t>
      </w:r>
    </w:p>
    <w:p w14:paraId="742BC69E" w14:textId="77777777" w:rsidR="00375730" w:rsidRPr="005C0011" w:rsidRDefault="00375730" w:rsidP="00375730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признать в своем внутреннем законодательстве право знать правду в отношении жертв насильственных исчезновений и включить в него систему полного возмещения ущерба, которая бы полностью соответствовала положениям пунктов 4 и 5 статьи 24 Конвенции и другим соответствующим международным стандартам и тем самым обеспечивала гарантии неповторения.</w:t>
      </w:r>
      <w:r>
        <w:t xml:space="preserve"> </w:t>
      </w:r>
      <w:r>
        <w:rPr>
          <w:b/>
          <w:bCs/>
        </w:rPr>
        <w:t>Он также рекомендует ему обеспечить, чтобы эта система применялась даже в тех случаях, когда судебное разбирательство не было начато, и чтобы она основывалась на дифференцированном подходе, учитывающем конкретный статус каждой жертвы, включая пол, сексуальную ориентацию, гендерную идентичность, возраст, этническую принадлежность, социальное положение и инвалидность.</w:t>
      </w:r>
    </w:p>
    <w:p w14:paraId="4E6FA424" w14:textId="6A31963A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Положение женщин</w:t>
      </w:r>
      <w:r w:rsidRPr="00375730">
        <w:rPr>
          <w:iCs/>
        </w:rPr>
        <w:t xml:space="preserve"> </w:t>
      </w:r>
      <w:r>
        <w:rPr>
          <w:iCs/>
        </w:rPr>
        <w:t>— членов семьи исчезнувшего лица</w:t>
      </w:r>
    </w:p>
    <w:p w14:paraId="2BF8E5F3" w14:textId="0B5D1DB2" w:rsidR="00375730" w:rsidRPr="005C0011" w:rsidRDefault="00375730" w:rsidP="00375730">
      <w:pPr>
        <w:pStyle w:val="SingleTxtG"/>
      </w:pPr>
      <w:r>
        <w:t>48.</w:t>
      </w:r>
      <w:r>
        <w:tab/>
        <w:t>Комитет напоминает об ограничениях, с которыми сталкиваются малийские женщины в отношении наследования и доступа к социальным пособиям, о чем сообщал Комитет по ликвидации дискриминации в отношении женщин</w:t>
      </w:r>
      <w:r w:rsidRPr="00D16742">
        <w:rPr>
          <w:rStyle w:val="aa"/>
        </w:rPr>
        <w:footnoteReference w:id="9"/>
      </w:r>
      <w:r>
        <w:t>, и обеспокоен потенциальным негативным воздействием таких ограничений на полное осуществление женщинами прав, закрепленных в статье 24 Конвенции (ст. 24).</w:t>
      </w:r>
    </w:p>
    <w:p w14:paraId="069A7233" w14:textId="77777777" w:rsidR="00375730" w:rsidRPr="005C0011" w:rsidRDefault="00375730" w:rsidP="00375730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 xml:space="preserve">Комитет рекомендует государству-участнику обеспечить, чтобы все женщины и девочки, являющиеся членами семей исчезнувших лиц, могли без </w:t>
      </w:r>
      <w:r>
        <w:rPr>
          <w:b/>
          <w:bCs/>
        </w:rPr>
        <w:lastRenderedPageBreak/>
        <w:t>ограничения пользоваться всеми правами, закрепленными в Конвенции, включая те, которые содержатся в статье 24.</w:t>
      </w:r>
    </w:p>
    <w:p w14:paraId="6E1BB69D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Правовой статус исчезнувших лиц, судьба которых неизвестна</w:t>
      </w:r>
    </w:p>
    <w:p w14:paraId="383985B2" w14:textId="77777777" w:rsidR="00375730" w:rsidRPr="005C0011" w:rsidRDefault="00375730" w:rsidP="00375730">
      <w:pPr>
        <w:pStyle w:val="SingleTxtG"/>
      </w:pPr>
      <w:r>
        <w:t>50.</w:t>
      </w:r>
      <w:r>
        <w:tab/>
        <w:t>Комитет считает, что система определения правового статуса исчезнувших лиц, судьба которых не установлена, предусмотренная в статьях 67, 68 и 76-83 Кодекса законов о личности и семье, которые требуют сообщать об отсутствии и возможной смерти исчезнувшего лица, не учитывает в достаточной степени социальную и экономическую уязвимость, которую насильственные исчезновения порождают для семей исчезнувшего лиц (ст. 24). Комитет обеспокоен тем, что должно пройти очень много времени, прежде чем родственники смогут отстаивать свои семейные и имущественные права.</w:t>
      </w:r>
    </w:p>
    <w:p w14:paraId="11CABD6E" w14:textId="77777777" w:rsidR="00375730" w:rsidRPr="005C0011" w:rsidRDefault="00375730" w:rsidP="00375730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принять необходимые законодательные меры для обеспечения того, чтобы в соответствии с пунктом 6 статьи 24 Конвенции правовой статус исчезнувших лиц, чья судьба или местонахождение неизвестны, и их родственников в таких сферах, как социальная защита, семейное право и права собственности, был урегулирован в разумные сроки и без необходимости объявления таких лиц умершими.</w:t>
      </w:r>
      <w:r>
        <w:t xml:space="preserve"> </w:t>
      </w:r>
      <w:r>
        <w:rPr>
          <w:b/>
          <w:bCs/>
        </w:rPr>
        <w:t>В этой связи Комитет призывает государство-участник закрепить в законодательстве положение о признании лица, в соответствии с Конвенцией, без вести пропавшим в результате насильственного исчезновения.</w:t>
      </w:r>
    </w:p>
    <w:p w14:paraId="29D1EE8B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Право на создание организаций и ассоциаций</w:t>
      </w:r>
    </w:p>
    <w:p w14:paraId="75B90C35" w14:textId="77777777" w:rsidR="00375730" w:rsidRPr="005C0011" w:rsidRDefault="00375730" w:rsidP="00375730">
      <w:pPr>
        <w:pStyle w:val="SingleTxtG"/>
      </w:pPr>
      <w:r>
        <w:t>52.</w:t>
      </w:r>
      <w:r>
        <w:tab/>
        <w:t>Комитет обеспокоен предоставленной государством-участником информацией о том, что в стране нет ассоциаций жертв насильственных исчезновений. Он также с беспокойством отмечает озабоченность, выраженную Независимым экспертом по вопросу о положении в области прав человека в Мали в связи с «продолжающимся сужением гражданского пространства»</w:t>
      </w:r>
      <w:r w:rsidRPr="00D16742">
        <w:rPr>
          <w:rStyle w:val="aa"/>
        </w:rPr>
        <w:footnoteReference w:id="10"/>
      </w:r>
      <w:r>
        <w:t xml:space="preserve"> и сообщениями о насильственных исчезновениях членов гражданского общества (ст. 24).</w:t>
      </w:r>
    </w:p>
    <w:p w14:paraId="5716328E" w14:textId="77777777" w:rsidR="00375730" w:rsidRPr="005C0011" w:rsidRDefault="00375730" w:rsidP="00375730">
      <w:pPr>
        <w:pStyle w:val="SingleTxtG"/>
        <w:rPr>
          <w:b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уважать и поощрять право создавать организации и ассоциации, которые занимаются содействием в установлении обстоятельств насильственных исчезновений и судьбы исчезнувших лиц и в оказании помощи жертвам насильственных исчезновений, а также уважать и обеспечивать право каждого свободно участвовать в работе таких организаций и ассоциаций.</w:t>
      </w:r>
    </w:p>
    <w:p w14:paraId="099E619B" w14:textId="77777777" w:rsidR="00375730" w:rsidRPr="005C0011" w:rsidRDefault="00375730" w:rsidP="00375730">
      <w:pPr>
        <w:pStyle w:val="H23G"/>
        <w:rPr>
          <w:bCs/>
        </w:rPr>
      </w:pPr>
      <w:r>
        <w:rPr>
          <w:bCs/>
        </w:rPr>
        <w:tab/>
        <w:t>6.</w:t>
      </w:r>
      <w:r>
        <w:tab/>
      </w:r>
      <w:r>
        <w:rPr>
          <w:bCs/>
        </w:rPr>
        <w:t>Меры по защите детей от исчезновений (ст. 25)</w:t>
      </w:r>
    </w:p>
    <w:p w14:paraId="1C133FFE" w14:textId="77777777" w:rsidR="00375730" w:rsidRPr="005C0011" w:rsidRDefault="00375730" w:rsidP="00375730">
      <w:pPr>
        <w:pStyle w:val="H4G"/>
      </w:pPr>
      <w:r>
        <w:tab/>
      </w:r>
      <w:r>
        <w:tab/>
      </w:r>
      <w:r>
        <w:rPr>
          <w:iCs/>
        </w:rPr>
        <w:t>Неправомерное изъятие ребенка</w:t>
      </w:r>
    </w:p>
    <w:p w14:paraId="298AAE18" w14:textId="77777777" w:rsidR="00375730" w:rsidRPr="005C0011" w:rsidRDefault="00375730" w:rsidP="00375730">
      <w:pPr>
        <w:pStyle w:val="SingleTxtG"/>
      </w:pPr>
      <w:r>
        <w:t>54.</w:t>
      </w:r>
      <w:r>
        <w:tab/>
        <w:t>Комитет выражает сожаление по поводу того, что не получил достаточной информации о мерах, предусмотренных внутренним законодательством для предупреждения и наказания поведения, определенного в пункте 1 статьи 25 Конвенции, а также для возвращения детей в их родные семьи (ст. 25).</w:t>
      </w:r>
    </w:p>
    <w:p w14:paraId="484598BF" w14:textId="77777777" w:rsidR="00375730" w:rsidRPr="005C0011" w:rsidRDefault="00375730" w:rsidP="00375730">
      <w:pPr>
        <w:pStyle w:val="SingleTxtG"/>
        <w:keepNext/>
        <w:keepLines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101C2E9" w14:textId="36EB4F8A" w:rsidR="00375730" w:rsidRPr="005C0011" w:rsidRDefault="00375730" w:rsidP="00375730">
      <w:pPr>
        <w:pStyle w:val="SingleTxtG"/>
        <w:ind w:firstLine="567"/>
        <w:rPr>
          <w:b/>
          <w:bCs/>
        </w:rPr>
      </w:pPr>
      <w:r>
        <w:rPr>
          <w:b/>
          <w:bCs/>
        </w:rPr>
        <w:t>a)</w:t>
      </w:r>
      <w:r>
        <w:tab/>
      </w:r>
      <w:r>
        <w:rPr>
          <w:b/>
          <w:bCs/>
        </w:rPr>
        <w:t xml:space="preserve">пересмотреть свое уголовное законодательство, с тем чтобы квалифицировать деяния, упомянутые в пункте 1 статьи 25 Конвенции, </w:t>
      </w:r>
      <w:r>
        <w:rPr>
          <w:b/>
          <w:bCs/>
        </w:rPr>
        <w:br/>
        <w:t>в качестве отдельных преступлений и предусмотреть назначение за их совершение мер наказания, соответствующих их особой тяжести;</w:t>
      </w:r>
    </w:p>
    <w:p w14:paraId="2B9F3139" w14:textId="77777777" w:rsidR="00375730" w:rsidRPr="005C0011" w:rsidRDefault="00375730" w:rsidP="00375730">
      <w:pPr>
        <w:pStyle w:val="SingleTxtG"/>
        <w:ind w:firstLine="567"/>
        <w:rPr>
          <w:b/>
          <w:bCs/>
        </w:rPr>
      </w:pPr>
      <w:r>
        <w:rPr>
          <w:b/>
          <w:bCs/>
        </w:rPr>
        <w:t>b)</w:t>
      </w:r>
      <w:r>
        <w:tab/>
      </w:r>
      <w:r>
        <w:rPr>
          <w:b/>
          <w:bCs/>
        </w:rPr>
        <w:t>установить конкретные процедуры для возвращения несовершеннолетних, упомянутых в пункте 1 а) статьи 25, в их родные семьи;</w:t>
      </w:r>
    </w:p>
    <w:p w14:paraId="1530239D" w14:textId="77777777" w:rsidR="00375730" w:rsidRPr="005C0011" w:rsidRDefault="00375730" w:rsidP="00375730">
      <w:pPr>
        <w:pStyle w:val="SingleTxtG"/>
        <w:ind w:firstLine="567"/>
        <w:rPr>
          <w:b/>
          <w:bCs/>
        </w:rPr>
      </w:pPr>
      <w:r>
        <w:rPr>
          <w:b/>
          <w:bCs/>
        </w:rPr>
        <w:lastRenderedPageBreak/>
        <w:t>c)</w:t>
      </w:r>
      <w:r>
        <w:tab/>
      </w:r>
      <w:r>
        <w:rPr>
          <w:b/>
          <w:bCs/>
        </w:rPr>
        <w:t>оказывать заинтересованным лицам поддержку, необходимую им для установления их личности и родства, а также для выяснения обстоятельств, при которых они были усыновлены, и гарантировать им право на возмещение ущерба.</w:t>
      </w:r>
    </w:p>
    <w:p w14:paraId="72D2F195" w14:textId="77777777" w:rsidR="00375730" w:rsidRPr="005C0011" w:rsidRDefault="00375730" w:rsidP="00375730">
      <w:pPr>
        <w:pStyle w:val="H1G"/>
      </w:pPr>
      <w:r>
        <w:rPr>
          <w:bCs/>
        </w:rPr>
        <w:tab/>
        <w:t>D.</w:t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218AE022" w14:textId="77777777" w:rsidR="00375730" w:rsidRPr="005C0011" w:rsidRDefault="00375730" w:rsidP="00375730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напоминает об обязательствах, взятых на себя государствами при присоединении к Конвенции, и в этой связи настоятельно призывает государство-участник обеспечить, чтобы все принимаемые им меры, независимо от их характера или органа власти, распорядившегося об их принятии, в полной мере соответствовали обязательствам, которые взяло на себя государство при присоединении к Конвенции и другим соответствующим международным договорам.</w:t>
      </w:r>
    </w:p>
    <w:p w14:paraId="67C54DB1" w14:textId="77777777" w:rsidR="00375730" w:rsidRPr="005C0011" w:rsidRDefault="00375730" w:rsidP="00375730">
      <w:pPr>
        <w:pStyle w:val="SingleTxtG"/>
        <w:rPr>
          <w:b/>
          <w:bCs/>
        </w:rPr>
      </w:pPr>
      <w:r>
        <w:t>57.</w:t>
      </w:r>
      <w:r>
        <w:tab/>
      </w:r>
      <w:r>
        <w:rPr>
          <w:b/>
          <w:bCs/>
        </w:rPr>
        <w:t>Комитет также хотел бы подчеркнуть особо пагубные последствия насильственных исчезновений для женщин и детей.</w:t>
      </w:r>
      <w:r>
        <w:t xml:space="preserve"> </w:t>
      </w:r>
      <w:r>
        <w:rPr>
          <w:b/>
          <w:bCs/>
        </w:rPr>
        <w:t>Женщины, ставшие жертвами насильственных исчезновений, в наибольшей степени подвержены сексуальному и другим видам гендерного насилия.</w:t>
      </w:r>
      <w:r>
        <w:t xml:space="preserve"> </w:t>
      </w:r>
      <w:r>
        <w:rPr>
          <w:b/>
          <w:bCs/>
        </w:rPr>
        <w:t>В качестве же членов семьи исчезнувшего лица женщины наиболее подвержены риску столкнуться с неблагоприятными социально-экономическими последствиями, а также с насилием, преследованиями и притеснениями при попытках разыскать своих близких.</w:t>
      </w:r>
      <w:r>
        <w:t xml:space="preserve"> </w:t>
      </w:r>
      <w:r>
        <w:rPr>
          <w:b/>
          <w:bCs/>
        </w:rPr>
        <w:t>Дети, ставшие жертвами насильственного исчезновения, независимо от того, подверглись ли они ему сами или страдают от последствий исчезновения члена семьи, особенно уязвимы к многочисленным нарушениям прав человека, в том числе риску подмены их подлинной личности.</w:t>
      </w:r>
      <w:r>
        <w:t xml:space="preserve"> </w:t>
      </w:r>
      <w:r>
        <w:rPr>
          <w:b/>
          <w:bCs/>
        </w:rPr>
        <w:t>Поэтому Комитет особо подчеркивает необходимость того, чтобы государство-участник придерживалось гендерно-чувствительного и учитывающего интересы ребенка подходов при осуществлении прав и обязанностей, предусмотренных Конвенцией.</w:t>
      </w:r>
    </w:p>
    <w:p w14:paraId="17427B3C" w14:textId="7C57270A" w:rsidR="00375730" w:rsidRPr="005C0011" w:rsidRDefault="00375730" w:rsidP="00375730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Государству-участнику рекомендуется обеспечить широкое распространение текста Конвенции, его доклада, представленного в соответствии с пунктом 1 статьи 29, письменных ответов на составленный Комитетом перечень вопросов и настоящих заключительных замечаний в целях повышения уровня осведомленности судебных, законодательных и административных органов, гражданского общества и неправительственных организаций, действующих в государстве-участнике, а также населения в целом.</w:t>
      </w:r>
      <w:r>
        <w:t xml:space="preserve"> </w:t>
      </w:r>
      <w:r>
        <w:rPr>
          <w:b/>
          <w:bCs/>
        </w:rPr>
        <w:t xml:space="preserve">Комитет призывает также государство-участник поощрять участие гражданского общества, в частности организаций родственников жертв, </w:t>
      </w:r>
      <w:r>
        <w:rPr>
          <w:b/>
          <w:bCs/>
        </w:rPr>
        <w:br/>
        <w:t>в процессе осуществления настоящих заключительных замечаний.</w:t>
      </w:r>
    </w:p>
    <w:p w14:paraId="6C7E70E8" w14:textId="36819688" w:rsidR="00375730" w:rsidRPr="005C0011" w:rsidRDefault="00375730" w:rsidP="00375730">
      <w:pPr>
        <w:pStyle w:val="SingleTxtG"/>
        <w:rPr>
          <w:b/>
          <w:bCs/>
        </w:rPr>
      </w:pPr>
      <w:r>
        <w:t>59.</w:t>
      </w:r>
      <w:r>
        <w:tab/>
      </w:r>
      <w:r>
        <w:rPr>
          <w:b/>
          <w:bCs/>
        </w:rPr>
        <w:t>В соответствии с пунктом 4 статьи 29 Конвенции Комитет просит государство-участник представить к 23 сентября 2025 года конкретную и обновленную информацию об осуществлении всех его рекомендаций, а также любую другую новую информацию, касающуюся выполнения его обязательств по Конвенции, в документе, подготовленном согласно руководящим принципам относительно формы и содержания докладов, которые должны быть представлены государствами-участниками в соответствии со статьей 29 Конвенции</w:t>
      </w:r>
      <w:r w:rsidRPr="00D16742">
        <w:rPr>
          <w:rStyle w:val="aa"/>
        </w:rPr>
        <w:footnoteReference w:id="11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Комитет информирует государство-участник о своем желании продолжить рассмотрение данного доклада в 2026 году и призывает государство-участник в процессе подготовки этой информации консультироваться с представителями гражданского общества, в частности с организациями родственников жертв.</w:t>
      </w:r>
    </w:p>
    <w:p w14:paraId="49BE5264" w14:textId="77777777" w:rsidR="00375730" w:rsidRPr="005C0011" w:rsidRDefault="00375730" w:rsidP="00375730">
      <w:pPr>
        <w:pStyle w:val="SingleTxtG"/>
        <w:spacing w:before="240" w:after="0"/>
        <w:jc w:val="center"/>
        <w:rPr>
          <w:u w:val="single"/>
        </w:rPr>
      </w:pPr>
      <w:r w:rsidRPr="005C0011">
        <w:rPr>
          <w:u w:val="single"/>
        </w:rPr>
        <w:tab/>
      </w:r>
      <w:r w:rsidRPr="005C0011">
        <w:rPr>
          <w:u w:val="single"/>
        </w:rPr>
        <w:tab/>
      </w:r>
      <w:r w:rsidRPr="005C0011">
        <w:rPr>
          <w:u w:val="single"/>
        </w:rPr>
        <w:tab/>
      </w:r>
    </w:p>
    <w:p w14:paraId="4AB70E75" w14:textId="19A5C278" w:rsidR="00854F28" w:rsidRPr="00375730" w:rsidRDefault="00854F28" w:rsidP="008027E5"/>
    <w:p w14:paraId="14435786" w14:textId="77777777" w:rsidR="00381C24" w:rsidRPr="00375730" w:rsidRDefault="00381C24" w:rsidP="008027E5"/>
    <w:sectPr w:rsidR="00381C24" w:rsidRPr="00375730" w:rsidSect="00854F2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897D17" w14:textId="77777777" w:rsidR="001C2A68" w:rsidRPr="00A312BC" w:rsidRDefault="001C2A68" w:rsidP="00A312BC"/>
  </w:endnote>
  <w:endnote w:type="continuationSeparator" w:id="0">
    <w:p w14:paraId="045B501F" w14:textId="77777777" w:rsidR="001C2A68" w:rsidRPr="00A312BC" w:rsidRDefault="001C2A6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7B6B4" w14:textId="5AEEEDA1" w:rsidR="00854F28" w:rsidRPr="00854F28" w:rsidRDefault="00854F28">
    <w:pPr>
      <w:pStyle w:val="a8"/>
    </w:pPr>
    <w:r w:rsidRPr="00854F28">
      <w:rPr>
        <w:b/>
        <w:sz w:val="18"/>
      </w:rPr>
      <w:fldChar w:fldCharType="begin"/>
    </w:r>
    <w:r w:rsidRPr="00854F28">
      <w:rPr>
        <w:b/>
        <w:sz w:val="18"/>
      </w:rPr>
      <w:instrText xml:space="preserve"> PAGE  \* MERGEFORMAT </w:instrText>
    </w:r>
    <w:r w:rsidRPr="00854F28">
      <w:rPr>
        <w:b/>
        <w:sz w:val="18"/>
      </w:rPr>
      <w:fldChar w:fldCharType="separate"/>
    </w:r>
    <w:r w:rsidRPr="00854F28">
      <w:rPr>
        <w:b/>
        <w:noProof/>
        <w:sz w:val="18"/>
      </w:rPr>
      <w:t>2</w:t>
    </w:r>
    <w:r w:rsidRPr="00854F28">
      <w:rPr>
        <w:b/>
        <w:sz w:val="18"/>
      </w:rPr>
      <w:fldChar w:fldCharType="end"/>
    </w:r>
    <w:r>
      <w:rPr>
        <w:b/>
        <w:sz w:val="18"/>
      </w:rPr>
      <w:tab/>
    </w:r>
    <w:r>
      <w:t>GE.22-15921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B442E" w14:textId="16F17E2B" w:rsidR="00854F28" w:rsidRPr="00854F28" w:rsidRDefault="00854F28" w:rsidP="00854F28">
    <w:pPr>
      <w:pStyle w:val="a8"/>
      <w:tabs>
        <w:tab w:val="clear" w:pos="9639"/>
        <w:tab w:val="right" w:pos="9638"/>
      </w:tabs>
      <w:rPr>
        <w:b/>
        <w:sz w:val="18"/>
      </w:rPr>
    </w:pPr>
    <w:r>
      <w:t>GE.22-15921</w:t>
    </w:r>
    <w:r>
      <w:tab/>
    </w:r>
    <w:r w:rsidRPr="00854F28">
      <w:rPr>
        <w:b/>
        <w:sz w:val="18"/>
      </w:rPr>
      <w:fldChar w:fldCharType="begin"/>
    </w:r>
    <w:r w:rsidRPr="00854F28">
      <w:rPr>
        <w:b/>
        <w:sz w:val="18"/>
      </w:rPr>
      <w:instrText xml:space="preserve"> PAGE  \* MERGEFORMAT </w:instrText>
    </w:r>
    <w:r w:rsidRPr="00854F28">
      <w:rPr>
        <w:b/>
        <w:sz w:val="18"/>
      </w:rPr>
      <w:fldChar w:fldCharType="separate"/>
    </w:r>
    <w:r w:rsidRPr="00854F28">
      <w:rPr>
        <w:b/>
        <w:noProof/>
        <w:sz w:val="18"/>
      </w:rPr>
      <w:t>3</w:t>
    </w:r>
    <w:r w:rsidRPr="00854F2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118E1" w14:textId="46DEEC29" w:rsidR="00042B72" w:rsidRPr="00A82B20" w:rsidRDefault="00854F28" w:rsidP="00854F2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6A94134" wp14:editId="5AF3C00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22-15921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EA475AB" wp14:editId="0128F9B0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2B20">
      <w:rPr>
        <w:lang w:val="en-US"/>
      </w:rPr>
      <w:t xml:space="preserve">  281222  090223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55B99" w14:textId="77777777" w:rsidR="001C2A68" w:rsidRPr="001075E9" w:rsidRDefault="001C2A6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837B270" w14:textId="77777777" w:rsidR="001C2A68" w:rsidRDefault="001C2A6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56BA590" w14:textId="77777777" w:rsidR="00375730" w:rsidRPr="005C0011" w:rsidRDefault="00375730" w:rsidP="00375730">
      <w:pPr>
        <w:pStyle w:val="ad"/>
      </w:pPr>
      <w:r>
        <w:tab/>
      </w:r>
      <w:r w:rsidRPr="00375730">
        <w:rPr>
          <w:sz w:val="20"/>
          <w:szCs w:val="22"/>
        </w:rPr>
        <w:t>*</w:t>
      </w:r>
      <w:r>
        <w:tab/>
        <w:t>Приняты Комитетом на его двадцать третьей сессии (12</w:t>
      </w:r>
      <w:r w:rsidRPr="008C69F1">
        <w:t>–</w:t>
      </w:r>
      <w:r>
        <w:t>23 сентября 2022 года).</w:t>
      </w:r>
    </w:p>
  </w:footnote>
  <w:footnote w:id="2">
    <w:p w14:paraId="2DBB59FC" w14:textId="716BBBA6" w:rsidR="00375730" w:rsidRPr="005C0011" w:rsidRDefault="00375730" w:rsidP="00375730">
      <w:pPr>
        <w:pStyle w:val="ad"/>
        <w:rPr>
          <w:lang w:val="en-US"/>
        </w:rPr>
      </w:pPr>
      <w:r w:rsidRPr="004D1D14">
        <w:tab/>
      </w:r>
      <w:r w:rsidRPr="001D6B37">
        <w:rPr>
          <w:rStyle w:val="aa"/>
        </w:rPr>
        <w:footnoteRef/>
      </w:r>
      <w:r w:rsidRPr="005C0011">
        <w:rPr>
          <w:lang w:val="en-US"/>
        </w:rPr>
        <w:tab/>
      </w:r>
      <w:r w:rsidR="005B5892">
        <w:fldChar w:fldCharType="begin"/>
      </w:r>
      <w:r w:rsidR="005B5892" w:rsidRPr="001205EA">
        <w:rPr>
          <w:lang w:val="en-US"/>
        </w:rPr>
        <w:instrText xml:space="preserve"> HYPERLINK "http://undocs.org/fr/CED/C/MLI/1" </w:instrText>
      </w:r>
      <w:r w:rsidR="005B5892">
        <w:fldChar w:fldCharType="separate"/>
      </w:r>
      <w:r w:rsidRPr="00375730">
        <w:rPr>
          <w:rStyle w:val="af1"/>
          <w:lang w:val="en-US"/>
        </w:rPr>
        <w:t>CED/C/MLI/1</w:t>
      </w:r>
      <w:r w:rsidR="005B5892">
        <w:rPr>
          <w:rStyle w:val="af1"/>
          <w:lang w:val="en-US"/>
        </w:rPr>
        <w:fldChar w:fldCharType="end"/>
      </w:r>
      <w:r w:rsidRPr="005C0011">
        <w:rPr>
          <w:lang w:val="en-US"/>
        </w:rPr>
        <w:t>.</w:t>
      </w:r>
    </w:p>
  </w:footnote>
  <w:footnote w:id="3">
    <w:p w14:paraId="0777D5C4" w14:textId="7170800F" w:rsidR="00375730" w:rsidRPr="001205EA" w:rsidRDefault="00375730" w:rsidP="00375730">
      <w:pPr>
        <w:pStyle w:val="ad"/>
        <w:rPr>
          <w:lang w:val="en-US"/>
        </w:rPr>
      </w:pPr>
      <w:r w:rsidRPr="005C0011">
        <w:rPr>
          <w:lang w:val="en-US"/>
        </w:rPr>
        <w:tab/>
      </w:r>
      <w:r w:rsidRPr="001D6B37">
        <w:rPr>
          <w:rStyle w:val="aa"/>
        </w:rPr>
        <w:footnoteRef/>
      </w:r>
      <w:r w:rsidRPr="005C0011">
        <w:rPr>
          <w:lang w:val="en-US"/>
        </w:rPr>
        <w:tab/>
      </w:r>
      <w:r>
        <w:t>См</w:t>
      </w:r>
      <w:r w:rsidRPr="005C0011">
        <w:rPr>
          <w:lang w:val="en-US"/>
        </w:rPr>
        <w:t xml:space="preserve">. </w:t>
      </w:r>
      <w:r w:rsidR="005B5892">
        <w:fldChar w:fldCharType="begin"/>
      </w:r>
      <w:r w:rsidR="005B5892" w:rsidRPr="001205EA">
        <w:rPr>
          <w:lang w:val="en-US"/>
        </w:rPr>
        <w:instrText xml:space="preserve"> HYPERLINK "http://undocs.org/ru/CED/C/SR.403" </w:instrText>
      </w:r>
      <w:r w:rsidR="005B5892">
        <w:fldChar w:fldCharType="separate"/>
      </w:r>
      <w:r w:rsidRPr="001205EA">
        <w:rPr>
          <w:rStyle w:val="af1"/>
          <w:lang w:val="en-US"/>
        </w:rPr>
        <w:t>CED/C/SR.403</w:t>
      </w:r>
      <w:r w:rsidR="005B5892">
        <w:rPr>
          <w:rStyle w:val="af1"/>
          <w:lang w:val="de-CH"/>
        </w:rPr>
        <w:fldChar w:fldCharType="end"/>
      </w:r>
      <w:r w:rsidRPr="001205EA">
        <w:rPr>
          <w:lang w:val="en-US"/>
        </w:rPr>
        <w:t xml:space="preserve"> </w:t>
      </w:r>
      <w:r>
        <w:t>и</w:t>
      </w:r>
      <w:r w:rsidRPr="001205EA">
        <w:rPr>
          <w:lang w:val="en-US"/>
        </w:rPr>
        <w:t xml:space="preserve"> </w:t>
      </w:r>
      <w:hyperlink r:id="rId1" w:history="1">
        <w:r w:rsidRPr="001205EA">
          <w:rPr>
            <w:rStyle w:val="af1"/>
            <w:lang w:val="en-US"/>
          </w:rPr>
          <w:t>CED/C/SR.404</w:t>
        </w:r>
      </w:hyperlink>
      <w:r w:rsidRPr="001205EA">
        <w:rPr>
          <w:lang w:val="en-US"/>
        </w:rPr>
        <w:t>.</w:t>
      </w:r>
    </w:p>
  </w:footnote>
  <w:footnote w:id="4">
    <w:p w14:paraId="1B50830B" w14:textId="546F5E83" w:rsidR="00375730" w:rsidRPr="005C0011" w:rsidRDefault="00375730" w:rsidP="00375730">
      <w:pPr>
        <w:pStyle w:val="ad"/>
        <w:rPr>
          <w:lang w:val="en-US"/>
        </w:rPr>
      </w:pPr>
      <w:r w:rsidRPr="001205EA">
        <w:rPr>
          <w:lang w:val="en-US"/>
        </w:rPr>
        <w:tab/>
      </w:r>
      <w:r w:rsidRPr="001D6B37">
        <w:rPr>
          <w:rStyle w:val="aa"/>
        </w:rPr>
        <w:footnoteRef/>
      </w:r>
      <w:r w:rsidRPr="005C0011">
        <w:rPr>
          <w:lang w:val="en-US"/>
        </w:rPr>
        <w:tab/>
      </w:r>
      <w:hyperlink r:id="rId2" w:history="1">
        <w:r w:rsidRPr="00375730">
          <w:rPr>
            <w:rStyle w:val="af1"/>
            <w:lang w:val="en-US"/>
          </w:rPr>
          <w:t>CED/C/MLI/RQ/1</w:t>
        </w:r>
      </w:hyperlink>
      <w:r w:rsidRPr="005C0011">
        <w:rPr>
          <w:lang w:val="en-US"/>
        </w:rPr>
        <w:t>.</w:t>
      </w:r>
    </w:p>
  </w:footnote>
  <w:footnote w:id="5">
    <w:p w14:paraId="7ABFF15E" w14:textId="24833D88" w:rsidR="00375730" w:rsidRPr="005C0011" w:rsidRDefault="00375730" w:rsidP="00375730">
      <w:pPr>
        <w:pStyle w:val="ad"/>
        <w:rPr>
          <w:lang w:val="en-US"/>
        </w:rPr>
      </w:pPr>
      <w:r w:rsidRPr="005C0011">
        <w:rPr>
          <w:lang w:val="en-US"/>
        </w:rPr>
        <w:tab/>
      </w:r>
      <w:r w:rsidRPr="001D6B37">
        <w:rPr>
          <w:rStyle w:val="aa"/>
        </w:rPr>
        <w:footnoteRef/>
      </w:r>
      <w:r w:rsidRPr="005C0011">
        <w:rPr>
          <w:lang w:val="en-US"/>
        </w:rPr>
        <w:tab/>
      </w:r>
      <w:r w:rsidR="005B5892">
        <w:fldChar w:fldCharType="begin"/>
      </w:r>
      <w:r w:rsidR="005B5892" w:rsidRPr="001205EA">
        <w:rPr>
          <w:lang w:val="en-US"/>
        </w:rPr>
        <w:instrText xml:space="preserve"> HYPERLINK "http://undocs.org/fr/CED/C/MLI/Q/1" </w:instrText>
      </w:r>
      <w:r w:rsidR="005B5892">
        <w:fldChar w:fldCharType="separate"/>
      </w:r>
      <w:r w:rsidRPr="00375730">
        <w:rPr>
          <w:rStyle w:val="af1"/>
          <w:lang w:val="en-US"/>
        </w:rPr>
        <w:t>CED/C/MLI/Q/1</w:t>
      </w:r>
      <w:r w:rsidR="005B5892">
        <w:rPr>
          <w:rStyle w:val="af1"/>
          <w:lang w:val="en-US"/>
        </w:rPr>
        <w:fldChar w:fldCharType="end"/>
      </w:r>
      <w:r w:rsidRPr="005C0011">
        <w:rPr>
          <w:lang w:val="en-US"/>
        </w:rPr>
        <w:t>.</w:t>
      </w:r>
    </w:p>
  </w:footnote>
  <w:footnote w:id="6">
    <w:p w14:paraId="309BA214" w14:textId="5B1235FC" w:rsidR="00375730" w:rsidRPr="005C0011" w:rsidRDefault="00375730" w:rsidP="00375730">
      <w:pPr>
        <w:pStyle w:val="ad"/>
        <w:rPr>
          <w:lang w:val="en-US"/>
        </w:rPr>
      </w:pPr>
      <w:r w:rsidRPr="005C0011">
        <w:rPr>
          <w:lang w:val="en-US"/>
        </w:rPr>
        <w:tab/>
      </w:r>
      <w:r w:rsidRPr="001D6B37">
        <w:rPr>
          <w:rStyle w:val="aa"/>
        </w:rPr>
        <w:footnoteRef/>
      </w:r>
      <w:r w:rsidRPr="005C0011">
        <w:rPr>
          <w:lang w:val="en-US"/>
        </w:rPr>
        <w:tab/>
      </w:r>
      <w:r w:rsidR="005B5892">
        <w:fldChar w:fldCharType="begin"/>
      </w:r>
      <w:r w:rsidR="005B5892" w:rsidRPr="001205EA">
        <w:rPr>
          <w:lang w:val="en-US"/>
        </w:rPr>
        <w:instrText xml:space="preserve"> HYPERLINK "http://undocs.org/fr/CED/C/MLI/RQ/1" </w:instrText>
      </w:r>
      <w:r w:rsidR="005B5892">
        <w:fldChar w:fldCharType="separate"/>
      </w:r>
      <w:r w:rsidRPr="00375730">
        <w:rPr>
          <w:rStyle w:val="af1"/>
          <w:lang w:val="en-US"/>
        </w:rPr>
        <w:t>CED/C/MLI/RQ/1</w:t>
      </w:r>
      <w:r w:rsidR="005B5892">
        <w:rPr>
          <w:rStyle w:val="af1"/>
          <w:lang w:val="en-US"/>
        </w:rPr>
        <w:fldChar w:fldCharType="end"/>
      </w:r>
      <w:r w:rsidRPr="005C0011">
        <w:rPr>
          <w:lang w:val="en-US"/>
        </w:rPr>
        <w:t xml:space="preserve">, </w:t>
      </w:r>
      <w:r>
        <w:t>п</w:t>
      </w:r>
      <w:r w:rsidRPr="005C0011">
        <w:rPr>
          <w:lang w:val="en-US"/>
        </w:rPr>
        <w:t>. 5.</w:t>
      </w:r>
    </w:p>
  </w:footnote>
  <w:footnote w:id="7">
    <w:p w14:paraId="5DA5A7B7" w14:textId="0A4311A3" w:rsidR="00375730" w:rsidRPr="005C0011" w:rsidRDefault="00375730" w:rsidP="00375730">
      <w:pPr>
        <w:pStyle w:val="ad"/>
      </w:pPr>
      <w:r w:rsidRPr="005C0011">
        <w:rPr>
          <w:lang w:val="en-US"/>
        </w:rPr>
        <w:tab/>
      </w:r>
      <w:r w:rsidRPr="001D6B37">
        <w:rPr>
          <w:rStyle w:val="aa"/>
        </w:rPr>
        <w:footnoteRef/>
      </w:r>
      <w:r>
        <w:tab/>
      </w:r>
      <w:hyperlink r:id="rId3" w:history="1">
        <w:r w:rsidRPr="00375730">
          <w:rPr>
            <w:rStyle w:val="af1"/>
          </w:rPr>
          <w:t>CED/C/7</w:t>
        </w:r>
      </w:hyperlink>
      <w:r>
        <w:t>.</w:t>
      </w:r>
    </w:p>
  </w:footnote>
  <w:footnote w:id="8">
    <w:p w14:paraId="371FF824" w14:textId="6D94CDF0" w:rsidR="00375730" w:rsidRPr="005C0011" w:rsidRDefault="00375730" w:rsidP="00375730">
      <w:pPr>
        <w:pStyle w:val="ad"/>
      </w:pPr>
      <w:r w:rsidRPr="00091998">
        <w:tab/>
      </w:r>
      <w:r w:rsidRPr="001D6B37">
        <w:rPr>
          <w:rStyle w:val="aa"/>
        </w:rPr>
        <w:footnoteRef/>
      </w:r>
      <w:r>
        <w:tab/>
      </w:r>
      <w:hyperlink r:id="rId4" w:history="1">
        <w:r w:rsidRPr="00375730">
          <w:rPr>
            <w:rStyle w:val="af1"/>
          </w:rPr>
          <w:t>A/70/56</w:t>
        </w:r>
      </w:hyperlink>
      <w:r>
        <w:t>, приложение III.</w:t>
      </w:r>
    </w:p>
  </w:footnote>
  <w:footnote w:id="9">
    <w:p w14:paraId="607F3CB1" w14:textId="221C68C0" w:rsidR="00375730" w:rsidRPr="005C0011" w:rsidRDefault="00375730" w:rsidP="00375730">
      <w:pPr>
        <w:pStyle w:val="ad"/>
        <w:rPr>
          <w:lang w:val="en-US"/>
        </w:rPr>
      </w:pPr>
      <w:r w:rsidRPr="004E1763">
        <w:tab/>
      </w:r>
      <w:r w:rsidRPr="001D6B37">
        <w:rPr>
          <w:rStyle w:val="aa"/>
        </w:rPr>
        <w:footnoteRef/>
      </w:r>
      <w:r w:rsidRPr="005C0011">
        <w:rPr>
          <w:lang w:val="en-US"/>
        </w:rPr>
        <w:tab/>
      </w:r>
      <w:r>
        <w:t>См</w:t>
      </w:r>
      <w:r w:rsidRPr="005C0011">
        <w:rPr>
          <w:lang w:val="en-US"/>
        </w:rPr>
        <w:t xml:space="preserve">. </w:t>
      </w:r>
      <w:r w:rsidR="005B5892">
        <w:fldChar w:fldCharType="begin"/>
      </w:r>
      <w:r w:rsidR="005B5892" w:rsidRPr="001205EA">
        <w:rPr>
          <w:lang w:val="en-US"/>
        </w:rPr>
        <w:instrText xml:space="preserve"> HYPERLINK "http://undocs.org/ru/CEDAW/C/MLI/CO/6-7" </w:instrText>
      </w:r>
      <w:r w:rsidR="005B5892">
        <w:fldChar w:fldCharType="separate"/>
      </w:r>
      <w:r w:rsidRPr="00375730">
        <w:rPr>
          <w:rStyle w:val="af1"/>
          <w:lang w:val="en-US"/>
        </w:rPr>
        <w:t>CEDAW/C/MLI/CO/6-7</w:t>
      </w:r>
      <w:r w:rsidR="005B5892">
        <w:rPr>
          <w:rStyle w:val="af1"/>
          <w:lang w:val="en-US"/>
        </w:rPr>
        <w:fldChar w:fldCharType="end"/>
      </w:r>
      <w:r w:rsidRPr="005C0011">
        <w:rPr>
          <w:lang w:val="en-US"/>
        </w:rPr>
        <w:t>.</w:t>
      </w:r>
    </w:p>
  </w:footnote>
  <w:footnote w:id="10">
    <w:p w14:paraId="0C48344F" w14:textId="77777777" w:rsidR="00375730" w:rsidRPr="00375730" w:rsidRDefault="00375730" w:rsidP="00375730">
      <w:pPr>
        <w:pStyle w:val="ad"/>
        <w:rPr>
          <w:lang w:val="fr-CH"/>
        </w:rPr>
      </w:pPr>
      <w:r w:rsidRPr="005C0011">
        <w:rPr>
          <w:lang w:val="en-US"/>
        </w:rPr>
        <w:tab/>
      </w:r>
      <w:r w:rsidRPr="001D6B37">
        <w:rPr>
          <w:rStyle w:val="aa"/>
        </w:rPr>
        <w:footnoteRef/>
      </w:r>
      <w:r w:rsidRPr="005C0011">
        <w:rPr>
          <w:lang w:val="fr-FR"/>
        </w:rPr>
        <w:tab/>
        <w:t>Haut-Commissariat des Nations Unies aux droits de l’homme, « Mali : L’expert de l’ONU gravement préoccupé par la détérioration de la situation sécuritaire et des droits humains », communiqué de presse, 15 août 2022.</w:t>
      </w:r>
    </w:p>
  </w:footnote>
  <w:footnote w:id="11">
    <w:p w14:paraId="490B84A7" w14:textId="21CA81CD" w:rsidR="00375730" w:rsidRDefault="00375730" w:rsidP="00375730">
      <w:pPr>
        <w:pStyle w:val="ad"/>
      </w:pPr>
      <w:r w:rsidRPr="005C0011">
        <w:rPr>
          <w:lang w:val="fr-FR"/>
        </w:rPr>
        <w:tab/>
      </w:r>
      <w:r w:rsidRPr="001D6B37">
        <w:rPr>
          <w:rStyle w:val="aa"/>
        </w:rPr>
        <w:footnoteRef/>
      </w:r>
      <w:r>
        <w:tab/>
      </w:r>
      <w:hyperlink r:id="rId5" w:history="1">
        <w:r w:rsidRPr="00375730">
          <w:rPr>
            <w:rStyle w:val="af1"/>
          </w:rPr>
          <w:t>CED/C/2</w:t>
        </w:r>
      </w:hyperlink>
      <w:r>
        <w:t>, п. 39.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2EF7" w14:textId="7145735F" w:rsidR="00854F28" w:rsidRPr="00854F28" w:rsidRDefault="005B5892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CED/C/MLI/CO/1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B9158" w14:textId="0157D5C0" w:rsidR="00854F28" w:rsidRPr="00854F28" w:rsidRDefault="005B5892" w:rsidP="00854F2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CED/C/MLI/CO/1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678340189">
    <w:abstractNumId w:val="16"/>
  </w:num>
  <w:num w:numId="2" w16cid:durableId="1136945381">
    <w:abstractNumId w:val="11"/>
  </w:num>
  <w:num w:numId="3" w16cid:durableId="1327124716">
    <w:abstractNumId w:val="10"/>
  </w:num>
  <w:num w:numId="4" w16cid:durableId="840006062">
    <w:abstractNumId w:val="17"/>
  </w:num>
  <w:num w:numId="5" w16cid:durableId="1243490729">
    <w:abstractNumId w:val="13"/>
  </w:num>
  <w:num w:numId="6" w16cid:durableId="288243382">
    <w:abstractNumId w:val="8"/>
  </w:num>
  <w:num w:numId="7" w16cid:durableId="1633897683">
    <w:abstractNumId w:val="3"/>
  </w:num>
  <w:num w:numId="8" w16cid:durableId="645166753">
    <w:abstractNumId w:val="2"/>
  </w:num>
  <w:num w:numId="9" w16cid:durableId="1624725742">
    <w:abstractNumId w:val="1"/>
  </w:num>
  <w:num w:numId="10" w16cid:durableId="137577953">
    <w:abstractNumId w:val="0"/>
  </w:num>
  <w:num w:numId="11" w16cid:durableId="1464351458">
    <w:abstractNumId w:val="9"/>
  </w:num>
  <w:num w:numId="12" w16cid:durableId="1130973509">
    <w:abstractNumId w:val="7"/>
  </w:num>
  <w:num w:numId="13" w16cid:durableId="1759328091">
    <w:abstractNumId w:val="6"/>
  </w:num>
  <w:num w:numId="14" w16cid:durableId="1190686146">
    <w:abstractNumId w:val="5"/>
  </w:num>
  <w:num w:numId="15" w16cid:durableId="1285888943">
    <w:abstractNumId w:val="4"/>
  </w:num>
  <w:num w:numId="16" w16cid:durableId="1551846275">
    <w:abstractNumId w:val="15"/>
  </w:num>
  <w:num w:numId="17" w16cid:durableId="1188061968">
    <w:abstractNumId w:val="12"/>
  </w:num>
  <w:num w:numId="18" w16cid:durableId="933629524">
    <w:abstractNumId w:val="14"/>
  </w:num>
  <w:num w:numId="19" w16cid:durableId="842935714">
    <w:abstractNumId w:val="15"/>
  </w:num>
  <w:num w:numId="20" w16cid:durableId="791169516">
    <w:abstractNumId w:val="12"/>
  </w:num>
  <w:num w:numId="21" w16cid:durableId="1679309559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A68"/>
    <w:rsid w:val="00033EE1"/>
    <w:rsid w:val="00042B72"/>
    <w:rsid w:val="00046E2F"/>
    <w:rsid w:val="00052360"/>
    <w:rsid w:val="000558BD"/>
    <w:rsid w:val="000B57E7"/>
    <w:rsid w:val="000B6373"/>
    <w:rsid w:val="000F09DF"/>
    <w:rsid w:val="000F2F61"/>
    <w:rsid w:val="000F61B2"/>
    <w:rsid w:val="001075E9"/>
    <w:rsid w:val="001205EA"/>
    <w:rsid w:val="00180183"/>
    <w:rsid w:val="0018024D"/>
    <w:rsid w:val="0018649F"/>
    <w:rsid w:val="00196389"/>
    <w:rsid w:val="001B3EF6"/>
    <w:rsid w:val="001C2A68"/>
    <w:rsid w:val="001C7A89"/>
    <w:rsid w:val="00206F9C"/>
    <w:rsid w:val="00215F21"/>
    <w:rsid w:val="00242547"/>
    <w:rsid w:val="00243BBC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75730"/>
    <w:rsid w:val="00381C24"/>
    <w:rsid w:val="003958D0"/>
    <w:rsid w:val="003B00E5"/>
    <w:rsid w:val="003D578C"/>
    <w:rsid w:val="00407B78"/>
    <w:rsid w:val="00424203"/>
    <w:rsid w:val="0043406B"/>
    <w:rsid w:val="00452493"/>
    <w:rsid w:val="00454E07"/>
    <w:rsid w:val="00472C5C"/>
    <w:rsid w:val="00475A37"/>
    <w:rsid w:val="004E4CB3"/>
    <w:rsid w:val="004F21B5"/>
    <w:rsid w:val="004F2361"/>
    <w:rsid w:val="004F2C88"/>
    <w:rsid w:val="0050108D"/>
    <w:rsid w:val="00513081"/>
    <w:rsid w:val="00517901"/>
    <w:rsid w:val="00526683"/>
    <w:rsid w:val="00536A7D"/>
    <w:rsid w:val="005709E0"/>
    <w:rsid w:val="00572E19"/>
    <w:rsid w:val="005961C8"/>
    <w:rsid w:val="005B5892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25545"/>
    <w:rsid w:val="00757357"/>
    <w:rsid w:val="007601E9"/>
    <w:rsid w:val="0077550D"/>
    <w:rsid w:val="008027E5"/>
    <w:rsid w:val="00806C83"/>
    <w:rsid w:val="008227B1"/>
    <w:rsid w:val="00825F8D"/>
    <w:rsid w:val="00834B71"/>
    <w:rsid w:val="00854F28"/>
    <w:rsid w:val="0086445C"/>
    <w:rsid w:val="00877609"/>
    <w:rsid w:val="00894693"/>
    <w:rsid w:val="008A08D7"/>
    <w:rsid w:val="008B6909"/>
    <w:rsid w:val="008D55B0"/>
    <w:rsid w:val="00906890"/>
    <w:rsid w:val="00911BE4"/>
    <w:rsid w:val="00942A43"/>
    <w:rsid w:val="00951972"/>
    <w:rsid w:val="009608F3"/>
    <w:rsid w:val="0098479A"/>
    <w:rsid w:val="009A24AC"/>
    <w:rsid w:val="00A14DA8"/>
    <w:rsid w:val="00A312BC"/>
    <w:rsid w:val="00A82B20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8588A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6B65"/>
    <w:rsid w:val="00D55C9D"/>
    <w:rsid w:val="00D90028"/>
    <w:rsid w:val="00D90138"/>
    <w:rsid w:val="00DB0902"/>
    <w:rsid w:val="00DD78D1"/>
    <w:rsid w:val="00DE32CD"/>
    <w:rsid w:val="00DF71B9"/>
    <w:rsid w:val="00E61978"/>
    <w:rsid w:val="00E73F76"/>
    <w:rsid w:val="00EA2C9F"/>
    <w:rsid w:val="00EA420E"/>
    <w:rsid w:val="00ED0BDA"/>
    <w:rsid w:val="00EF1360"/>
    <w:rsid w:val="00EF3220"/>
    <w:rsid w:val="00F41C74"/>
    <w:rsid w:val="00F43903"/>
    <w:rsid w:val="00F93C40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C86627"/>
  <w15:docId w15:val="{E62D662E-617E-4603-8FD6-BABF4CC56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0F2F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 w:themeColor="hyperlink"/>
      <w:u w:val="none"/>
    </w:rPr>
  </w:style>
  <w:style w:type="character" w:styleId="af2">
    <w:name w:val="FollowedHyperlink"/>
    <w:basedOn w:val="a0"/>
    <w:rsid w:val="00E61978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locked/>
    <w:rsid w:val="00375730"/>
    <w:rPr>
      <w:lang w:val="ru-RU" w:eastAsia="en-US"/>
    </w:rPr>
  </w:style>
  <w:style w:type="character" w:customStyle="1" w:styleId="HChGChar">
    <w:name w:val="_ H _Ch_G Char"/>
    <w:link w:val="HChG"/>
    <w:rsid w:val="00375730"/>
    <w:rPr>
      <w:b/>
      <w:sz w:val="28"/>
      <w:lang w:val="ru-RU" w:eastAsia="ru-RU"/>
    </w:rPr>
  </w:style>
  <w:style w:type="character" w:customStyle="1" w:styleId="H1GChar">
    <w:name w:val="_ H_1_G Char"/>
    <w:link w:val="H1G"/>
    <w:locked/>
    <w:rsid w:val="00375730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375730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3757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ED/C/7" TargetMode="External"/><Relationship Id="rId2" Type="http://schemas.openxmlformats.org/officeDocument/2006/relationships/hyperlink" Target="http://undocs.org/fr/CED/C/MLI/RQ/1" TargetMode="External"/><Relationship Id="rId1" Type="http://schemas.openxmlformats.org/officeDocument/2006/relationships/hyperlink" Target="http://undocs.org/ru/CED/C/SR.404" TargetMode="External"/><Relationship Id="rId5" Type="http://schemas.openxmlformats.org/officeDocument/2006/relationships/hyperlink" Target="http://undocs.org/ru/CED/C/2" TargetMode="External"/><Relationship Id="rId4" Type="http://schemas.openxmlformats.org/officeDocument/2006/relationships/hyperlink" Target="http://undocs.org/ru/A/70/5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1</TotalTime>
  <Pages>11</Pages>
  <Words>4253</Words>
  <Characters>30246</Characters>
  <Application>Microsoft Office Word</Application>
  <DocSecurity>0</DocSecurity>
  <Lines>540</Lines>
  <Paragraphs>141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34358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CED/C/MLI/CO/1</dc:title>
  <dc:subject/>
  <dc:creator>Ekaterina SALYNSKAYA</dc:creator>
  <cp:keywords/>
  <cp:lastModifiedBy>Ekaterina Salynskaya</cp:lastModifiedBy>
  <cp:revision>3</cp:revision>
  <cp:lastPrinted>2023-02-09T14:55:00Z</cp:lastPrinted>
  <dcterms:created xsi:type="dcterms:W3CDTF">2023-02-09T14:55:00Z</dcterms:created>
  <dcterms:modified xsi:type="dcterms:W3CDTF">2023-02-09T14:55:00Z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