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8D6DCE"/>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D6DCE" w:rsidP="008D6DCE">
            <w:pPr>
              <w:jc w:val="right"/>
            </w:pPr>
            <w:r w:rsidRPr="008D6DCE">
              <w:rPr>
                <w:sz w:val="40"/>
              </w:rPr>
              <w:t>A</w:t>
            </w:r>
            <w:r>
              <w:t>/HRC/RES/32/8</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D6DCE" w:rsidP="00F70608">
            <w:pPr>
              <w:spacing w:before="240"/>
            </w:pPr>
            <w:r>
              <w:t>Distr. générale</w:t>
            </w:r>
          </w:p>
          <w:p w:rsidR="008D6DCE" w:rsidRDefault="008D6DCE" w:rsidP="008D6DCE">
            <w:pPr>
              <w:spacing w:line="240" w:lineRule="exact"/>
            </w:pPr>
            <w:r>
              <w:t>18 juillet 2016</w:t>
            </w:r>
          </w:p>
          <w:p w:rsidR="008D6DCE" w:rsidRDefault="008D6DCE" w:rsidP="008D6DCE">
            <w:pPr>
              <w:spacing w:line="240" w:lineRule="exact"/>
            </w:pPr>
            <w:r>
              <w:t>Français</w:t>
            </w:r>
          </w:p>
          <w:p w:rsidR="008D6DCE" w:rsidRPr="00DB58B5" w:rsidRDefault="008D6DCE" w:rsidP="008D6DC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8D6DCE" w:rsidRDefault="008D6DCE" w:rsidP="008D6DCE">
      <w:pPr>
        <w:rPr>
          <w:b/>
        </w:rPr>
      </w:pPr>
      <w:r>
        <w:rPr>
          <w:b/>
        </w:rPr>
        <w:t>Trente-deuxième session</w:t>
      </w:r>
    </w:p>
    <w:p w:rsidR="008D6DCE" w:rsidRDefault="008D6DCE" w:rsidP="008D6DCE">
      <w:r>
        <w:t>Point 3 de l</w:t>
      </w:r>
      <w:r w:rsidRPr="00917F21">
        <w:t>’</w:t>
      </w:r>
      <w:r>
        <w:t>ordre du jour</w:t>
      </w:r>
    </w:p>
    <w:p w:rsidR="008D6DCE" w:rsidRDefault="008D6DCE" w:rsidP="008D6DCE">
      <w:pPr>
        <w:pStyle w:val="HChG"/>
      </w:pPr>
      <w:r>
        <w:tab/>
      </w:r>
      <w:r>
        <w:tab/>
        <w:t xml:space="preserve">Résolution adoptée par le Conseil des droits de l’homme </w:t>
      </w:r>
      <w:r>
        <w:br/>
      </w:r>
      <w:r>
        <w:t>le 30 juin 2016</w:t>
      </w:r>
    </w:p>
    <w:p w:rsidR="008D6DCE" w:rsidRPr="007A45D3" w:rsidRDefault="008D6DCE" w:rsidP="008D6DCE">
      <w:pPr>
        <w:pStyle w:val="H1G"/>
        <w:tabs>
          <w:tab w:val="clear" w:pos="851"/>
        </w:tabs>
        <w:ind w:left="1985" w:hanging="851"/>
      </w:pPr>
      <w:r>
        <w:t>32/8.</w:t>
      </w:r>
      <w:r>
        <w:tab/>
      </w:r>
      <w:r w:rsidRPr="00311CB6">
        <w:rPr>
          <w:spacing w:val="-2"/>
        </w:rPr>
        <w:t>Mandat de la Rapporteuse spéciale sur le droit à l’alimentation</w:t>
      </w:r>
    </w:p>
    <w:p w:rsidR="008D6DCE" w:rsidRDefault="008D6DCE" w:rsidP="008D6DCE">
      <w:pPr>
        <w:pStyle w:val="SingleTxtG"/>
        <w:ind w:firstLine="567"/>
      </w:pPr>
      <w:r>
        <w:rPr>
          <w:i/>
        </w:rPr>
        <w:t>Le Conseil des droits de l</w:t>
      </w:r>
      <w:r w:rsidRPr="009B206B">
        <w:rPr>
          <w:i/>
        </w:rPr>
        <w:t>’</w:t>
      </w:r>
      <w:r>
        <w:rPr>
          <w:i/>
        </w:rPr>
        <w:t>homme</w:t>
      </w:r>
      <w:r w:rsidRPr="00402A2C">
        <w:t>,</w:t>
      </w:r>
    </w:p>
    <w:p w:rsidR="008D6DCE" w:rsidRPr="00BB56C1" w:rsidRDefault="008D6DCE" w:rsidP="008D6DCE">
      <w:pPr>
        <w:pStyle w:val="SingleTxtG"/>
        <w:ind w:firstLine="567"/>
        <w:rPr>
          <w:rFonts w:eastAsia="SimSun"/>
        </w:rPr>
      </w:pPr>
      <w:r>
        <w:rPr>
          <w:rFonts w:eastAsia="SimSun"/>
          <w:i/>
        </w:rPr>
        <w:t>Rappelant</w:t>
      </w:r>
      <w:r w:rsidRPr="00BB56C1">
        <w:rPr>
          <w:rFonts w:eastAsia="SimSun"/>
        </w:rPr>
        <w:t xml:space="preserve"> </w:t>
      </w:r>
      <w:r>
        <w:rPr>
          <w:rFonts w:eastAsia="SimSun"/>
        </w:rPr>
        <w:t>toutes les résolutions antérieures de l</w:t>
      </w:r>
      <w:r w:rsidRPr="00F05D19">
        <w:rPr>
          <w:rFonts w:eastAsia="SimSun"/>
        </w:rPr>
        <w:t>’</w:t>
      </w:r>
      <w:r>
        <w:rPr>
          <w:rFonts w:eastAsia="SimSun"/>
        </w:rPr>
        <w:t>Assemblée générale et du Conseil des droits de l</w:t>
      </w:r>
      <w:r w:rsidRPr="00F05D19">
        <w:rPr>
          <w:rFonts w:eastAsia="SimSun"/>
        </w:rPr>
        <w:t>’</w:t>
      </w:r>
      <w:r>
        <w:rPr>
          <w:rFonts w:eastAsia="SimSun"/>
        </w:rPr>
        <w:t>homme sur le droit à l</w:t>
      </w:r>
      <w:r w:rsidRPr="00F05D19">
        <w:rPr>
          <w:rFonts w:eastAsia="SimSun"/>
        </w:rPr>
        <w:t>’</w:t>
      </w:r>
      <w:r>
        <w:rPr>
          <w:rFonts w:eastAsia="SimSun"/>
        </w:rPr>
        <w:t>alimentation, et toutes les résolutions de la Commission des droits de l</w:t>
      </w:r>
      <w:r w:rsidRPr="00F05D19">
        <w:rPr>
          <w:rFonts w:eastAsia="SimSun"/>
        </w:rPr>
        <w:t>’</w:t>
      </w:r>
      <w:r>
        <w:rPr>
          <w:rFonts w:eastAsia="SimSun"/>
        </w:rPr>
        <w:t>homme sur la question</w:t>
      </w:r>
      <w:r w:rsidRPr="00BB56C1">
        <w:rPr>
          <w:rFonts w:eastAsia="SimSun"/>
        </w:rPr>
        <w:t>,</w:t>
      </w:r>
    </w:p>
    <w:p w:rsidR="008D6DCE" w:rsidRPr="00BB56C1" w:rsidRDefault="008D6DCE" w:rsidP="008D6DCE">
      <w:pPr>
        <w:pStyle w:val="SingleTxtG"/>
        <w:ind w:firstLine="567"/>
        <w:rPr>
          <w:rFonts w:eastAsia="SimSun"/>
        </w:rPr>
      </w:pPr>
      <w:r>
        <w:rPr>
          <w:rFonts w:eastAsia="SimSun"/>
          <w:i/>
        </w:rPr>
        <w:t>Rappelant également</w:t>
      </w:r>
      <w:r w:rsidRPr="00BB56C1">
        <w:rPr>
          <w:rFonts w:eastAsia="SimSun"/>
        </w:rPr>
        <w:t xml:space="preserve"> </w:t>
      </w:r>
      <w:r>
        <w:rPr>
          <w:rFonts w:eastAsia="SimSun"/>
        </w:rPr>
        <w:t>ses résolutions 5/1, sur la mise en place des institutions du Conseil des droits de l</w:t>
      </w:r>
      <w:r w:rsidRPr="00D22DC5">
        <w:rPr>
          <w:rFonts w:eastAsia="SimSun"/>
        </w:rPr>
        <w:t>’</w:t>
      </w:r>
      <w:r>
        <w:rPr>
          <w:rFonts w:eastAsia="SimSun"/>
        </w:rPr>
        <w:t xml:space="preserve">homme, et </w:t>
      </w:r>
      <w:r w:rsidRPr="00BB56C1">
        <w:rPr>
          <w:rFonts w:eastAsia="SimSun"/>
        </w:rPr>
        <w:t xml:space="preserve">5/2, </w:t>
      </w:r>
      <w:r>
        <w:rPr>
          <w:rFonts w:eastAsia="SimSun"/>
        </w:rPr>
        <w:t>sur le Code de conduite pour les titulaires de mandat au titre des procédures spéciales du Conseil, en date du 18 juin 2007, et soulignant que tous les titulaires de mandat doivent s</w:t>
      </w:r>
      <w:r w:rsidRPr="00DF59BF">
        <w:rPr>
          <w:rFonts w:eastAsia="SimSun"/>
        </w:rPr>
        <w:t>’</w:t>
      </w:r>
      <w:r>
        <w:rPr>
          <w:rFonts w:eastAsia="SimSun"/>
        </w:rPr>
        <w:t>acquitter de leurs fonctions conformément à ces résolutions et à leurs annexes</w:t>
      </w:r>
      <w:r w:rsidRPr="00BB56C1">
        <w:rPr>
          <w:rFonts w:eastAsia="SimSun"/>
        </w:rPr>
        <w:t>,</w:t>
      </w:r>
    </w:p>
    <w:p w:rsidR="008D6DCE" w:rsidRPr="00BB56C1" w:rsidRDefault="008D6DCE" w:rsidP="008D6DCE">
      <w:pPr>
        <w:pStyle w:val="SingleTxtG"/>
        <w:ind w:firstLine="567"/>
        <w:rPr>
          <w:rFonts w:eastAsia="SimSun"/>
        </w:rPr>
      </w:pPr>
      <w:r w:rsidRPr="00BB56C1">
        <w:rPr>
          <w:rFonts w:eastAsia="SimSun"/>
        </w:rPr>
        <w:t>1</w:t>
      </w:r>
      <w:r>
        <w:rPr>
          <w:rFonts w:eastAsia="SimSun"/>
        </w:rPr>
        <w:t>.</w:t>
      </w:r>
      <w:r w:rsidRPr="00BB56C1">
        <w:rPr>
          <w:rFonts w:eastAsia="SimSun"/>
        </w:rPr>
        <w:tab/>
      </w:r>
      <w:r w:rsidRPr="00BB56C1">
        <w:rPr>
          <w:rFonts w:eastAsia="SimSun"/>
          <w:i/>
        </w:rPr>
        <w:t>D</w:t>
      </w:r>
      <w:r>
        <w:rPr>
          <w:rFonts w:eastAsia="SimSun"/>
          <w:i/>
        </w:rPr>
        <w:t>é</w:t>
      </w:r>
      <w:r w:rsidRPr="00BB56C1">
        <w:rPr>
          <w:rFonts w:eastAsia="SimSun"/>
          <w:i/>
        </w:rPr>
        <w:t>cide</w:t>
      </w:r>
      <w:r w:rsidRPr="00BB56C1">
        <w:rPr>
          <w:rFonts w:eastAsia="SimSun"/>
        </w:rPr>
        <w:t xml:space="preserve"> </w:t>
      </w:r>
      <w:r>
        <w:rPr>
          <w:rFonts w:eastAsia="SimSun"/>
        </w:rPr>
        <w:t>de prolonger le mandat de la Rapporteuse spéciale sur le droit à l</w:t>
      </w:r>
      <w:r w:rsidRPr="0048528C">
        <w:rPr>
          <w:rFonts w:eastAsia="SimSun"/>
        </w:rPr>
        <w:t>’</w:t>
      </w:r>
      <w:r>
        <w:rPr>
          <w:rFonts w:eastAsia="SimSun"/>
        </w:rPr>
        <w:t>alimentation</w:t>
      </w:r>
      <w:r w:rsidRPr="00BB56C1">
        <w:rPr>
          <w:rFonts w:eastAsia="SimSun"/>
        </w:rPr>
        <w:t xml:space="preserve"> </w:t>
      </w:r>
      <w:r>
        <w:rPr>
          <w:rFonts w:eastAsia="SimSun"/>
        </w:rPr>
        <w:t>pour une période de trois ans afin de permettre à la titulaire du mandat de poursuivre ses travaux conformément à la mission qui lui a é</w:t>
      </w:r>
      <w:bookmarkStart w:id="0" w:name="_GoBack"/>
      <w:bookmarkEnd w:id="0"/>
      <w:r>
        <w:rPr>
          <w:rFonts w:eastAsia="SimSun"/>
        </w:rPr>
        <w:t>té confiée par le Conseil dans sa résolution</w:t>
      </w:r>
      <w:r w:rsidRPr="00BB56C1">
        <w:rPr>
          <w:rFonts w:eastAsia="SimSun"/>
        </w:rPr>
        <w:t xml:space="preserve"> 6/2 </w:t>
      </w:r>
      <w:r>
        <w:rPr>
          <w:rFonts w:eastAsia="SimSun"/>
        </w:rPr>
        <w:t>du 27 septembre</w:t>
      </w:r>
      <w:r w:rsidRPr="00BB56C1">
        <w:rPr>
          <w:rFonts w:eastAsia="SimSun"/>
        </w:rPr>
        <w:t xml:space="preserve"> 2007</w:t>
      </w:r>
      <w:r>
        <w:rPr>
          <w:rFonts w:eastAsia="SimSun"/>
        </w:rPr>
        <w:t> </w:t>
      </w:r>
      <w:r w:rsidRPr="00BB56C1">
        <w:rPr>
          <w:rFonts w:eastAsia="SimSun"/>
        </w:rPr>
        <w:t>;</w:t>
      </w:r>
    </w:p>
    <w:p w:rsidR="008D6DCE" w:rsidRPr="00BB56C1" w:rsidRDefault="008D6DCE" w:rsidP="008D6DCE">
      <w:pPr>
        <w:pStyle w:val="SingleTxtG"/>
        <w:ind w:firstLine="567"/>
        <w:rPr>
          <w:rFonts w:eastAsia="SimSun"/>
        </w:rPr>
      </w:pPr>
      <w:r w:rsidRPr="00BB56C1">
        <w:rPr>
          <w:rFonts w:eastAsia="SimSun"/>
        </w:rPr>
        <w:t>2.</w:t>
      </w:r>
      <w:r w:rsidRPr="00BB56C1">
        <w:rPr>
          <w:rFonts w:eastAsia="SimSun"/>
        </w:rPr>
        <w:tab/>
      </w:r>
      <w:r>
        <w:rPr>
          <w:rFonts w:eastAsia="SimSun"/>
          <w:i/>
        </w:rPr>
        <w:t>Prie</w:t>
      </w:r>
      <w:r>
        <w:rPr>
          <w:rFonts w:eastAsia="SimSun"/>
        </w:rPr>
        <w:t xml:space="preserve"> l</w:t>
      </w:r>
      <w:r w:rsidRPr="00BB56C1">
        <w:rPr>
          <w:rFonts w:eastAsia="SimSun"/>
        </w:rPr>
        <w:t xml:space="preserve">e </w:t>
      </w:r>
      <w:r>
        <w:rPr>
          <w:rFonts w:eastAsia="SimSun"/>
        </w:rPr>
        <w:t>Secrétaire général et le Haut-Commissaire des Nations Unies aux droits de l</w:t>
      </w:r>
      <w:r w:rsidRPr="00613689">
        <w:rPr>
          <w:rFonts w:eastAsia="SimSun"/>
        </w:rPr>
        <w:t>’</w:t>
      </w:r>
      <w:r>
        <w:rPr>
          <w:rFonts w:eastAsia="SimSun"/>
        </w:rPr>
        <w:t>homme de continuer de fournir toutes les ressources humaines et financières dont la Rapporteuse spéciale a besoin pour poursuivre efficacement son mandat </w:t>
      </w:r>
      <w:r w:rsidRPr="00BB56C1">
        <w:rPr>
          <w:rFonts w:eastAsia="SimSun"/>
        </w:rPr>
        <w:t>;</w:t>
      </w:r>
    </w:p>
    <w:p w:rsidR="008D6DCE" w:rsidRPr="00BB56C1" w:rsidRDefault="008D6DCE" w:rsidP="008D6DCE">
      <w:pPr>
        <w:pStyle w:val="SingleTxtG"/>
        <w:ind w:firstLine="567"/>
      </w:pPr>
      <w:r w:rsidRPr="00BB56C1">
        <w:t>3.</w:t>
      </w:r>
      <w:r w:rsidRPr="00BB56C1">
        <w:tab/>
      </w:r>
      <w:r>
        <w:rPr>
          <w:i/>
        </w:rPr>
        <w:t>Engage</w:t>
      </w:r>
      <w:r w:rsidRPr="00BB56C1">
        <w:t xml:space="preserve"> </w:t>
      </w:r>
      <w:r>
        <w:t>tous les gouvernements à coopérer avec la Rapporteuse spéciale et à l</w:t>
      </w:r>
      <w:r w:rsidRPr="00917F21">
        <w:t>’</w:t>
      </w:r>
      <w:r>
        <w:t>aider dans sa tâche en lui fournissant toutes les informations dont elle a besoin, et à envisager sérieusement de répondre favorablement à ses demandes de visite afin de lui permettre de s</w:t>
      </w:r>
      <w:r w:rsidRPr="00917F21">
        <w:t>’</w:t>
      </w:r>
      <w:r>
        <w:t>acquitter encore plus efficacement de son mandat ;</w:t>
      </w:r>
    </w:p>
    <w:p w:rsidR="008D6DCE" w:rsidRDefault="008D6DCE" w:rsidP="008D6DCE">
      <w:pPr>
        <w:pStyle w:val="SingleTxtG"/>
        <w:ind w:firstLine="567"/>
      </w:pPr>
      <w:r w:rsidRPr="00BB56C1">
        <w:t>4.</w:t>
      </w:r>
      <w:r w:rsidRPr="00BB56C1">
        <w:tab/>
      </w:r>
      <w:r>
        <w:rPr>
          <w:i/>
        </w:rPr>
        <w:t>Prie</w:t>
      </w:r>
      <w:r w:rsidRPr="00BB56C1">
        <w:t xml:space="preserve"> </w:t>
      </w:r>
      <w:r>
        <w:t>la Rapporteuse spéciale de rendre compte chaque année de l’exécution de son mandat au Conseil des droits de l</w:t>
      </w:r>
      <w:r w:rsidRPr="00917F21">
        <w:t>’</w:t>
      </w:r>
      <w:r>
        <w:t>homme et à l</w:t>
      </w:r>
      <w:r w:rsidRPr="00917F21">
        <w:t>’</w:t>
      </w:r>
      <w:r>
        <w:t>Assemblée générale, conformément à leurs programmes de travail respectifs.</w:t>
      </w:r>
    </w:p>
    <w:p w:rsidR="00552797" w:rsidRDefault="008D6DCE" w:rsidP="008D6DCE">
      <w:pPr>
        <w:pStyle w:val="SingleTxtG"/>
        <w:spacing w:after="0"/>
        <w:jc w:val="right"/>
      </w:pPr>
      <w:r w:rsidRPr="008D6DCE">
        <w:rPr>
          <w:i/>
          <w:iCs/>
        </w:rPr>
        <w:t>42</w:t>
      </w:r>
      <w:r w:rsidRPr="008D6DCE">
        <w:rPr>
          <w:i/>
          <w:iCs/>
          <w:vertAlign w:val="superscript"/>
        </w:rPr>
        <w:t>e</w:t>
      </w:r>
      <w:r w:rsidRPr="008D6DCE">
        <w:rPr>
          <w:i/>
          <w:iCs/>
        </w:rPr>
        <w:t xml:space="preserve"> séance</w:t>
      </w:r>
      <w:r w:rsidRPr="008D6DCE">
        <w:rPr>
          <w:i/>
          <w:iCs/>
        </w:rPr>
        <w:br/>
      </w:r>
      <w:r w:rsidRPr="008D6DCE">
        <w:rPr>
          <w:i/>
          <w:iCs/>
        </w:rPr>
        <w:t>30 juin 2016</w:t>
      </w:r>
    </w:p>
    <w:p w:rsidR="008D6DCE" w:rsidRPr="008D6DCE" w:rsidRDefault="008D6DCE" w:rsidP="008D6DCE">
      <w:pPr>
        <w:pStyle w:val="SingleTxtG"/>
        <w:spacing w:before="120" w:after="0"/>
        <w:jc w:val="center"/>
        <w:rPr>
          <w:u w:val="single"/>
        </w:rPr>
      </w:pPr>
      <w:r>
        <w:rPr>
          <w:u w:val="single"/>
        </w:rPr>
        <w:tab/>
      </w:r>
      <w:r>
        <w:rPr>
          <w:u w:val="single"/>
        </w:rPr>
        <w:tab/>
      </w:r>
      <w:r>
        <w:rPr>
          <w:u w:val="single"/>
        </w:rPr>
        <w:tab/>
      </w:r>
    </w:p>
    <w:sectPr w:rsidR="008D6DCE" w:rsidRPr="008D6DCE" w:rsidSect="008D6DC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7EA" w:rsidRPr="00EF7F30" w:rsidRDefault="006907EA" w:rsidP="00EF7F30">
      <w:pPr>
        <w:pStyle w:val="Pieddepage"/>
      </w:pPr>
    </w:p>
  </w:endnote>
  <w:endnote w:type="continuationSeparator" w:id="0">
    <w:p w:rsidR="006907EA" w:rsidRPr="00EF7F30" w:rsidRDefault="006907EA" w:rsidP="00EF7F30">
      <w:pPr>
        <w:pStyle w:val="Pieddepage"/>
      </w:pPr>
    </w:p>
  </w:endnote>
  <w:endnote w:type="continuationNotice" w:id="1">
    <w:p w:rsidR="006907EA" w:rsidRDefault="006907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DCE" w:rsidRPr="008D6DCE" w:rsidRDefault="008D6DCE" w:rsidP="008D6DCE">
    <w:pPr>
      <w:pStyle w:val="Pieddepage"/>
      <w:tabs>
        <w:tab w:val="right" w:pos="9638"/>
      </w:tabs>
    </w:pPr>
    <w:r w:rsidRPr="008D6DCE">
      <w:rPr>
        <w:b/>
        <w:sz w:val="18"/>
      </w:rPr>
      <w:fldChar w:fldCharType="begin"/>
    </w:r>
    <w:r w:rsidRPr="008D6DCE">
      <w:rPr>
        <w:b/>
        <w:sz w:val="18"/>
      </w:rPr>
      <w:instrText xml:space="preserve"> PAGE  \* MERGEFORMAT </w:instrText>
    </w:r>
    <w:r w:rsidRPr="008D6DCE">
      <w:rPr>
        <w:b/>
        <w:sz w:val="18"/>
      </w:rPr>
      <w:fldChar w:fldCharType="separate"/>
    </w:r>
    <w:r>
      <w:rPr>
        <w:b/>
        <w:noProof/>
        <w:sz w:val="18"/>
      </w:rPr>
      <w:t>2</w:t>
    </w:r>
    <w:r w:rsidRPr="008D6DCE">
      <w:rPr>
        <w:b/>
        <w:sz w:val="18"/>
      </w:rPr>
      <w:fldChar w:fldCharType="end"/>
    </w:r>
    <w:r>
      <w:rPr>
        <w:b/>
        <w:sz w:val="18"/>
      </w:rPr>
      <w:tab/>
    </w:r>
    <w:r>
      <w:t>GE.16-12233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DCE" w:rsidRPr="008D6DCE" w:rsidRDefault="008D6DCE" w:rsidP="008D6DCE">
    <w:pPr>
      <w:pStyle w:val="Pieddepage"/>
      <w:tabs>
        <w:tab w:val="right" w:pos="9638"/>
      </w:tabs>
      <w:rPr>
        <w:b/>
        <w:sz w:val="18"/>
      </w:rPr>
    </w:pPr>
    <w:r>
      <w:t>GE.16-12233</w:t>
    </w:r>
    <w:r>
      <w:tab/>
    </w:r>
    <w:r w:rsidRPr="008D6DCE">
      <w:rPr>
        <w:b/>
        <w:sz w:val="18"/>
      </w:rPr>
      <w:fldChar w:fldCharType="begin"/>
    </w:r>
    <w:r w:rsidRPr="008D6DCE">
      <w:rPr>
        <w:b/>
        <w:sz w:val="18"/>
      </w:rPr>
      <w:instrText xml:space="preserve"> PAGE  \* MERGEFORMAT </w:instrText>
    </w:r>
    <w:r w:rsidRPr="008D6DCE">
      <w:rPr>
        <w:b/>
        <w:sz w:val="18"/>
      </w:rPr>
      <w:fldChar w:fldCharType="separate"/>
    </w:r>
    <w:r>
      <w:rPr>
        <w:b/>
        <w:noProof/>
        <w:sz w:val="18"/>
      </w:rPr>
      <w:t>3</w:t>
    </w:r>
    <w:r w:rsidRPr="008D6D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8D6DCE" w:rsidRDefault="008D6DCE" w:rsidP="008D6DC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4422C56" wp14:editId="19ABA05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16-12233  (F)</w:t>
    </w:r>
    <w:r w:rsidR="00652E08">
      <w:rPr>
        <w:sz w:val="20"/>
      </w:rPr>
      <w:t xml:space="preserve">    050816    090816</w:t>
    </w:r>
    <w:r>
      <w:rPr>
        <w:sz w:val="20"/>
      </w:rPr>
      <w:br/>
    </w:r>
    <w:r w:rsidRPr="008D6DCE">
      <w:rPr>
        <w:rFonts w:ascii="C39T30Lfz" w:hAnsi="C39T30Lfz"/>
        <w:sz w:val="56"/>
      </w:rPr>
      <w:t></w:t>
    </w:r>
    <w:r w:rsidRPr="008D6DCE">
      <w:rPr>
        <w:rFonts w:ascii="C39T30Lfz" w:hAnsi="C39T30Lfz"/>
        <w:sz w:val="56"/>
      </w:rPr>
      <w:t></w:t>
    </w:r>
    <w:r w:rsidRPr="008D6DCE">
      <w:rPr>
        <w:rFonts w:ascii="C39T30Lfz" w:hAnsi="C39T30Lfz"/>
        <w:sz w:val="56"/>
      </w:rPr>
      <w:t></w:t>
    </w:r>
    <w:r w:rsidRPr="008D6DCE">
      <w:rPr>
        <w:rFonts w:ascii="C39T30Lfz" w:hAnsi="C39T30Lfz"/>
        <w:sz w:val="56"/>
      </w:rPr>
      <w:t></w:t>
    </w:r>
    <w:r w:rsidRPr="008D6DCE">
      <w:rPr>
        <w:rFonts w:ascii="C39T30Lfz" w:hAnsi="C39T30Lfz"/>
        <w:sz w:val="56"/>
      </w:rPr>
      <w:t></w:t>
    </w:r>
    <w:r w:rsidRPr="008D6DCE">
      <w:rPr>
        <w:rFonts w:ascii="C39T30Lfz" w:hAnsi="C39T30Lfz"/>
        <w:sz w:val="56"/>
      </w:rPr>
      <w:t></w:t>
    </w:r>
    <w:r w:rsidRPr="008D6DCE">
      <w:rPr>
        <w:rFonts w:ascii="C39T30Lfz" w:hAnsi="C39T30Lfz"/>
        <w:sz w:val="56"/>
      </w:rPr>
      <w:t></w:t>
    </w:r>
    <w:r w:rsidRPr="008D6DCE">
      <w:rPr>
        <w:rFonts w:ascii="C39T30Lfz" w:hAnsi="C39T30Lfz"/>
        <w:sz w:val="56"/>
      </w:rPr>
      <w:t></w:t>
    </w:r>
    <w:r w:rsidRPr="008D6DC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2/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7EA" w:rsidRPr="00EF7F30" w:rsidRDefault="006907E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907EA" w:rsidRPr="00EF7F30" w:rsidRDefault="006907EA" w:rsidP="000E5ADA">
      <w:pPr>
        <w:pStyle w:val="Pieddepage"/>
        <w:tabs>
          <w:tab w:val="right" w:pos="2155"/>
        </w:tabs>
        <w:spacing w:after="80" w:line="240" w:lineRule="atLeast"/>
        <w:ind w:left="680"/>
      </w:pPr>
      <w:r w:rsidRPr="00EF7F30">
        <w:rPr>
          <w:u w:val="single"/>
        </w:rPr>
        <w:tab/>
      </w:r>
    </w:p>
  </w:footnote>
  <w:footnote w:type="continuationNotice" w:id="1">
    <w:p w:rsidR="006907EA" w:rsidRPr="000F2457" w:rsidRDefault="006907E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DCE" w:rsidRPr="008D6DCE" w:rsidRDefault="008D6DCE">
    <w:pPr>
      <w:pStyle w:val="En-tte"/>
    </w:pPr>
    <w:r>
      <w:t>A/HRC/RES/32/8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DCE" w:rsidRPr="008D6DCE" w:rsidRDefault="008D6DCE" w:rsidP="008D6DCE">
    <w:pPr>
      <w:pStyle w:val="En-tte"/>
      <w:jc w:val="right"/>
    </w:pPr>
    <w:r>
      <w:t>A/HRC/RES/32/8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7EA"/>
    <w:rsid w:val="00023842"/>
    <w:rsid w:val="0007796D"/>
    <w:rsid w:val="000E5ADA"/>
    <w:rsid w:val="000F2457"/>
    <w:rsid w:val="00111F2F"/>
    <w:rsid w:val="0014365E"/>
    <w:rsid w:val="00147D23"/>
    <w:rsid w:val="00176178"/>
    <w:rsid w:val="001F525A"/>
    <w:rsid w:val="00212168"/>
    <w:rsid w:val="00260711"/>
    <w:rsid w:val="002E0D9C"/>
    <w:rsid w:val="003547BE"/>
    <w:rsid w:val="00446FE5"/>
    <w:rsid w:val="00552797"/>
    <w:rsid w:val="00573BE5"/>
    <w:rsid w:val="00586ED3"/>
    <w:rsid w:val="00587A52"/>
    <w:rsid w:val="005B4E23"/>
    <w:rsid w:val="00617B29"/>
    <w:rsid w:val="00652E08"/>
    <w:rsid w:val="0068446C"/>
    <w:rsid w:val="006907EA"/>
    <w:rsid w:val="00695AED"/>
    <w:rsid w:val="00710BD6"/>
    <w:rsid w:val="0071601D"/>
    <w:rsid w:val="00721020"/>
    <w:rsid w:val="00731589"/>
    <w:rsid w:val="0080684C"/>
    <w:rsid w:val="00871C75"/>
    <w:rsid w:val="008776DC"/>
    <w:rsid w:val="008D6DCE"/>
    <w:rsid w:val="0094352E"/>
    <w:rsid w:val="00962015"/>
    <w:rsid w:val="009705C8"/>
    <w:rsid w:val="009A47AB"/>
    <w:rsid w:val="00A12E20"/>
    <w:rsid w:val="00AE323C"/>
    <w:rsid w:val="00B16AAF"/>
    <w:rsid w:val="00B22A9E"/>
    <w:rsid w:val="00B24C75"/>
    <w:rsid w:val="00B528BF"/>
    <w:rsid w:val="00C02897"/>
    <w:rsid w:val="00C12613"/>
    <w:rsid w:val="00D45432"/>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8D6DCE"/>
    <w:rPr>
      <w:rFonts w:ascii="Times New Roman" w:eastAsia="Times New Roman" w:hAnsi="Times New Roman" w:cs="Times New Roman"/>
      <w:sz w:val="20"/>
      <w:szCs w:val="20"/>
      <w:lang w:eastAsia="en-US"/>
    </w:rPr>
  </w:style>
  <w:style w:type="character" w:customStyle="1" w:styleId="H1GChar">
    <w:name w:val="_ H_1_G Char"/>
    <w:link w:val="H1G"/>
    <w:rsid w:val="008D6DCE"/>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8D6DCE"/>
    <w:rPr>
      <w:rFonts w:ascii="Times New Roman" w:eastAsia="Times New Roman" w:hAnsi="Times New Roman" w:cs="Times New Roman"/>
      <w:sz w:val="20"/>
      <w:szCs w:val="20"/>
      <w:lang w:eastAsia="en-US"/>
    </w:rPr>
  </w:style>
  <w:style w:type="character" w:customStyle="1" w:styleId="H1GChar">
    <w:name w:val="_ H_1_G Char"/>
    <w:link w:val="H1G"/>
    <w:rsid w:val="008D6DCE"/>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BA794-E19C-4CD1-A960-62229AC6D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Pages>
  <Words>318</Words>
  <Characters>1752</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A/HRC/RES/32/8</vt:lpstr>
    </vt:vector>
  </TitlesOfParts>
  <Company>DCM</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A/HRC/RES/32/8</dc:title>
  <dc:subject/>
  <dc:creator>Morin</dc:creator>
  <cp:keywords/>
  <dc:description/>
  <cp:lastModifiedBy>Morin</cp:lastModifiedBy>
  <cp:revision>2</cp:revision>
  <dcterms:created xsi:type="dcterms:W3CDTF">2016-08-09T11:52:00Z</dcterms:created>
  <dcterms:modified xsi:type="dcterms:W3CDTF">2016-08-09T11:52:00Z</dcterms:modified>
</cp:coreProperties>
</file>