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769A49EA" w14:textId="77777777" w:rsidTr="00E866BF">
        <w:trPr>
          <w:trHeight w:hRule="exact" w:val="851"/>
        </w:trPr>
        <w:tc>
          <w:tcPr>
            <w:tcW w:w="1274" w:type="dxa"/>
            <w:tcBorders>
              <w:bottom w:val="single" w:sz="4" w:space="0" w:color="auto"/>
            </w:tcBorders>
          </w:tcPr>
          <w:p w14:paraId="18F70ADB" w14:textId="77777777" w:rsidR="006B3E27" w:rsidRPr="008F729B" w:rsidRDefault="006B3E27" w:rsidP="00EF0E3B">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586838DE"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315A772A" w14:textId="47541734" w:rsidR="006B3E27" w:rsidRPr="00AD0FE1" w:rsidRDefault="00AD0FE1" w:rsidP="00AD0FE1">
            <w:pPr>
              <w:bidi w:val="0"/>
              <w:jc w:val="left"/>
            </w:pPr>
            <w:r w:rsidRPr="00977A73">
              <w:rPr>
                <w:sz w:val="40"/>
              </w:rPr>
              <w:t>CED</w:t>
            </w:r>
            <w:r w:rsidRPr="00977A73">
              <w:t>/C/GC/</w:t>
            </w:r>
            <w:r w:rsidRPr="006B5BAF">
              <w:t>1</w:t>
            </w:r>
          </w:p>
        </w:tc>
      </w:tr>
      <w:tr w:rsidR="006B3E27" w:rsidRPr="008F729B" w14:paraId="2B3AA0AB" w14:textId="77777777" w:rsidTr="00E866BF">
        <w:trPr>
          <w:trHeight w:hRule="exact" w:val="2835"/>
        </w:trPr>
        <w:tc>
          <w:tcPr>
            <w:tcW w:w="1274" w:type="dxa"/>
            <w:tcBorders>
              <w:top w:val="single" w:sz="4" w:space="0" w:color="auto"/>
              <w:bottom w:val="single" w:sz="12" w:space="0" w:color="auto"/>
            </w:tcBorders>
          </w:tcPr>
          <w:p w14:paraId="18129709" w14:textId="77777777" w:rsidR="006B3E27" w:rsidRPr="008F729B" w:rsidRDefault="0059622A" w:rsidP="008F729B">
            <w:pPr>
              <w:jc w:val="center"/>
              <w:rPr>
                <w:rtl/>
              </w:rPr>
            </w:pPr>
            <w:r w:rsidRPr="008F729B">
              <w:rPr>
                <w:noProof/>
              </w:rPr>
              <w:drawing>
                <wp:inline distT="0" distB="0" distL="0" distR="0" wp14:anchorId="453B3BB5" wp14:editId="0C6E5B0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1C390605" w14:textId="77777777" w:rsidR="006B3E27" w:rsidRPr="006B5BAF" w:rsidRDefault="004E1586" w:rsidP="00E866BF">
            <w:pPr>
              <w:spacing w:before="160" w:after="40" w:line="560" w:lineRule="exact"/>
              <w:ind w:left="57"/>
              <w:jc w:val="left"/>
              <w:rPr>
                <w:b/>
                <w:bCs/>
                <w:sz w:val="44"/>
                <w:szCs w:val="44"/>
                <w:rtl/>
              </w:rPr>
            </w:pPr>
            <w:r w:rsidRPr="006B5BAF">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20AC8D6B" w14:textId="6F28BAA5" w:rsidR="001659E7" w:rsidRPr="001659E7" w:rsidRDefault="001659E7" w:rsidP="001659E7">
            <w:pPr>
              <w:bidi w:val="0"/>
              <w:spacing w:before="240" w:line="240" w:lineRule="exact"/>
              <w:jc w:val="left"/>
              <w:rPr>
                <w:rFonts w:eastAsia="Times New Roman" w:cs="Times New Roman"/>
                <w:lang w:val="en-GB"/>
              </w:rPr>
            </w:pPr>
            <w:r w:rsidRPr="001659E7">
              <w:rPr>
                <w:rFonts w:eastAsia="Times New Roman" w:cs="Times New Roman"/>
                <w:lang w:val="en-GB"/>
              </w:rPr>
              <w:t>Dist</w:t>
            </w:r>
            <w:r w:rsidR="00977A73" w:rsidRPr="001659E7">
              <w:rPr>
                <w:rFonts w:eastAsia="Times New Roman" w:cs="Times New Roman"/>
                <w:lang w:val="en-GB"/>
              </w:rPr>
              <w:t>r.:</w:t>
            </w:r>
            <w:r w:rsidRPr="001659E7">
              <w:rPr>
                <w:rFonts w:eastAsia="Times New Roman" w:cs="Times New Roman"/>
                <w:lang w:val="en-GB"/>
              </w:rPr>
              <w:t xml:space="preserve"> General</w:t>
            </w:r>
          </w:p>
          <w:p w14:paraId="16B9FA72" w14:textId="77777777" w:rsidR="001659E7" w:rsidRPr="001659E7" w:rsidRDefault="001659E7" w:rsidP="001659E7">
            <w:pPr>
              <w:bidi w:val="0"/>
              <w:jc w:val="left"/>
              <w:rPr>
                <w:rFonts w:eastAsia="Times New Roman" w:cs="Times New Roman"/>
                <w:lang w:val="en-GB"/>
              </w:rPr>
            </w:pPr>
            <w:r w:rsidRPr="006B5BAF">
              <w:rPr>
                <w:rFonts w:eastAsia="Times New Roman" w:cs="Times New Roman"/>
                <w:lang w:val="en-GB"/>
              </w:rPr>
              <w:t>26</w:t>
            </w:r>
            <w:r w:rsidRPr="001659E7">
              <w:rPr>
                <w:rFonts w:eastAsia="Times New Roman" w:cs="Times New Roman"/>
                <w:lang w:val="en-GB"/>
              </w:rPr>
              <w:t xml:space="preserve"> October </w:t>
            </w:r>
            <w:r w:rsidRPr="006B5BAF">
              <w:rPr>
                <w:rFonts w:eastAsia="Times New Roman" w:cs="Times New Roman"/>
                <w:lang w:val="en-GB"/>
              </w:rPr>
              <w:t>2023</w:t>
            </w:r>
          </w:p>
          <w:p w14:paraId="77C9A035" w14:textId="09C667F2" w:rsidR="001659E7" w:rsidRPr="001659E7" w:rsidRDefault="001659E7" w:rsidP="001659E7">
            <w:pPr>
              <w:bidi w:val="0"/>
              <w:jc w:val="left"/>
              <w:rPr>
                <w:rFonts w:eastAsia="Times New Roman" w:cs="Times New Roman"/>
                <w:lang w:val="en-GB"/>
              </w:rPr>
            </w:pPr>
            <w:r>
              <w:rPr>
                <w:rFonts w:eastAsia="Times New Roman" w:cs="Times New Roman"/>
                <w:lang w:val="en-GB"/>
              </w:rPr>
              <w:t>Arabic</w:t>
            </w:r>
          </w:p>
          <w:p w14:paraId="52A8A7CF" w14:textId="15FF9F3B" w:rsidR="00AD0FE1" w:rsidRPr="001659E7" w:rsidRDefault="001659E7" w:rsidP="001659E7">
            <w:pPr>
              <w:bidi w:val="0"/>
              <w:spacing w:line="240" w:lineRule="exact"/>
              <w:jc w:val="left"/>
              <w:rPr>
                <w:lang w:val="en-GB"/>
              </w:rPr>
            </w:pPr>
            <w:r w:rsidRPr="001659E7">
              <w:rPr>
                <w:rFonts w:eastAsia="Times New Roman" w:cs="Times New Roman"/>
                <w:lang w:val="en-GB" w:eastAsia="en-US"/>
              </w:rPr>
              <w:t>Origina</w:t>
            </w:r>
            <w:r w:rsidR="00977A73" w:rsidRPr="00977A73">
              <w:rPr>
                <w:rFonts w:eastAsia="Times New Roman" w:cs="Times New Roman"/>
                <w:lang w:val="en-GB" w:eastAsia="en-US"/>
              </w:rPr>
              <w:t xml:space="preserve">l: </w:t>
            </w:r>
            <w:r w:rsidRPr="001659E7">
              <w:rPr>
                <w:rFonts w:eastAsia="Times New Roman" w:cs="Times New Roman"/>
                <w:lang w:val="en-GB" w:eastAsia="en-US"/>
              </w:rPr>
              <w:t>English</w:t>
            </w:r>
          </w:p>
        </w:tc>
      </w:tr>
    </w:tbl>
    <w:p w14:paraId="76321D33" w14:textId="77777777" w:rsidR="001659E7" w:rsidRPr="006B5BAF" w:rsidRDefault="001659E7" w:rsidP="001659E7">
      <w:pPr>
        <w:pStyle w:val="SingleTxtGA"/>
        <w:spacing w:before="120"/>
        <w:ind w:left="0"/>
        <w:rPr>
          <w:b/>
          <w:bCs/>
          <w:sz w:val="26"/>
          <w:szCs w:val="26"/>
        </w:rPr>
      </w:pPr>
      <w:r w:rsidRPr="006B5BAF">
        <w:rPr>
          <w:b/>
          <w:bCs/>
          <w:sz w:val="26"/>
          <w:szCs w:val="26"/>
          <w:rtl/>
        </w:rPr>
        <w:t>اللجنة المعنية بحالات الاختفاء القسري</w:t>
      </w:r>
    </w:p>
    <w:p w14:paraId="7B972A5B" w14:textId="59BB6EBD" w:rsidR="005E0255" w:rsidRPr="006B5BAF" w:rsidRDefault="001659E7" w:rsidP="001659E7">
      <w:pPr>
        <w:pStyle w:val="HChGA"/>
      </w:pPr>
      <w:r w:rsidRPr="006B5BAF">
        <w:rPr>
          <w:rtl/>
        </w:rPr>
        <w:tab/>
      </w:r>
      <w:r w:rsidRPr="006B5BAF">
        <w:rPr>
          <w:rtl/>
        </w:rPr>
        <w:tab/>
        <w:t>التعليق العام رقم 1(202</w:t>
      </w:r>
      <w:r w:rsidR="00977A73" w:rsidRPr="006B5BAF">
        <w:rPr>
          <w:rtl/>
        </w:rPr>
        <w:t xml:space="preserve">3) </w:t>
      </w:r>
      <w:r w:rsidRPr="006B5BAF">
        <w:rPr>
          <w:rtl/>
        </w:rPr>
        <w:t>بشأن الاختفاء القسري في سياق الهجرة</w:t>
      </w:r>
      <w:r w:rsidR="005E0255" w:rsidRPr="006B5BAF">
        <w:rPr>
          <w:rStyle w:val="FootnoteReference"/>
          <w:sz w:val="28"/>
          <w:szCs w:val="28"/>
          <w:vertAlign w:val="baseline"/>
          <w:rtl/>
        </w:rPr>
        <w:footnoteReference w:customMarkFollows="1" w:id="1"/>
        <w:t>*</w:t>
      </w:r>
    </w:p>
    <w:p w14:paraId="7140D693" w14:textId="5C1CC672" w:rsidR="005E0255" w:rsidRPr="006B5BAF" w:rsidRDefault="005E0255" w:rsidP="001659E7">
      <w:pPr>
        <w:pStyle w:val="HChGA"/>
      </w:pPr>
      <w:r w:rsidRPr="006B5BAF">
        <w:rPr>
          <w:rtl/>
        </w:rPr>
        <w:tab/>
        <w:t>أولاً-</w:t>
      </w:r>
      <w:r w:rsidRPr="006B5BAF">
        <w:rPr>
          <w:rtl/>
        </w:rPr>
        <w:tab/>
        <w:t>مقدمة</w:t>
      </w:r>
    </w:p>
    <w:p w14:paraId="5F74A66F" w14:textId="65808892" w:rsidR="005E0255" w:rsidRPr="001659E7" w:rsidRDefault="005E0255" w:rsidP="001659E7">
      <w:pPr>
        <w:pStyle w:val="SingleTxtGA"/>
        <w:rPr>
          <w:lang w:val="en-US"/>
        </w:rPr>
      </w:pPr>
      <w:r w:rsidRPr="006B5BAF">
        <w:rPr>
          <w:rtl/>
          <w:lang w:val="en-US"/>
        </w:rPr>
        <w:t>1</w:t>
      </w:r>
      <w:r w:rsidRPr="001659E7">
        <w:rPr>
          <w:rtl/>
          <w:lang w:val="en-US"/>
        </w:rPr>
        <w:t>-</w:t>
      </w:r>
      <w:r w:rsidRPr="001659E7">
        <w:rPr>
          <w:rtl/>
          <w:lang w:val="en-US"/>
        </w:rPr>
        <w:tab/>
        <w:t>لأغراض هذا التعليق العام، يستخدم مصطلح "المهاجرون" للإشارة إلى الأشخاص الذين ينتقلون بعيد</w:t>
      </w:r>
      <w:r>
        <w:rPr>
          <w:rtl/>
          <w:lang w:val="en-US"/>
        </w:rPr>
        <w:t xml:space="preserve">اً </w:t>
      </w:r>
      <w:r w:rsidRPr="001659E7">
        <w:rPr>
          <w:rtl/>
          <w:lang w:val="en-US"/>
        </w:rPr>
        <w:t xml:space="preserve">عن مكان إقامتهم المعتاد، سواء داخل بلد ما أو عبر الحدود الدولية، بصورة مؤقتة أو دائمة، </w:t>
      </w:r>
      <w:r w:rsidRPr="001802EE">
        <w:rPr>
          <w:spacing w:val="-4"/>
          <w:rtl/>
          <w:lang w:val="en-US"/>
        </w:rPr>
        <w:t xml:space="preserve">ولأسباب </w:t>
      </w:r>
      <w:proofErr w:type="gramStart"/>
      <w:r w:rsidRPr="001802EE">
        <w:rPr>
          <w:spacing w:val="-4"/>
          <w:rtl/>
          <w:lang w:val="en-US"/>
        </w:rPr>
        <w:t>شتى</w:t>
      </w:r>
      <w:r w:rsidRPr="00D80B7D">
        <w:rPr>
          <w:vertAlign w:val="superscript"/>
          <w:rtl/>
          <w:lang w:val="en-US"/>
        </w:rPr>
        <w:t>(</w:t>
      </w:r>
      <w:proofErr w:type="gramEnd"/>
      <w:r w:rsidRPr="006B5BAF">
        <w:rPr>
          <w:rStyle w:val="FootnoteReference"/>
          <w:lang w:val="en-AU"/>
        </w:rPr>
        <w:footnoteReference w:id="2"/>
      </w:r>
      <w:r w:rsidRPr="00D80B7D">
        <w:rPr>
          <w:vertAlign w:val="superscript"/>
          <w:rtl/>
          <w:lang w:val="en-US"/>
        </w:rPr>
        <w:t>)</w:t>
      </w:r>
      <w:r w:rsidRPr="001802EE">
        <w:rPr>
          <w:spacing w:val="-4"/>
          <w:rtl/>
          <w:lang w:val="en-US"/>
        </w:rPr>
        <w:t>، مثل جمع شمل الأسر أو الابتعاد عن النزاعات المسلحة الدولية أو غير الدولية، أو</w:t>
      </w:r>
      <w:r w:rsidRPr="001802EE">
        <w:rPr>
          <w:rFonts w:hint="cs"/>
          <w:spacing w:val="-4"/>
          <w:rtl/>
          <w:lang w:val="en-US"/>
        </w:rPr>
        <w:t> </w:t>
      </w:r>
      <w:r w:rsidRPr="001802EE">
        <w:rPr>
          <w:spacing w:val="-4"/>
          <w:rtl/>
          <w:lang w:val="en-US"/>
        </w:rPr>
        <w:t>الاضطهاد</w:t>
      </w:r>
      <w:r w:rsidRPr="001659E7">
        <w:rPr>
          <w:rtl/>
          <w:lang w:val="en-US"/>
        </w:rPr>
        <w:t xml:space="preserve"> </w:t>
      </w:r>
      <w:r w:rsidRPr="001802EE">
        <w:rPr>
          <w:rtl/>
          <w:lang w:val="en-US"/>
        </w:rPr>
        <w:t>أو التمييز أو الكوارث الطبيعية أو التدهور البيئي أو آثار تغير المناخ أو الأوضاع الاقتصادية الصعبة أو ارتفاع معدلات</w:t>
      </w:r>
      <w:r w:rsidRPr="00F14D01">
        <w:rPr>
          <w:spacing w:val="-2"/>
          <w:rtl/>
          <w:lang w:val="en-US"/>
        </w:rPr>
        <w:t xml:space="preserve"> الجريمة. ولا تزال أعداد المهاجرين في جميع أنحاء العالم </w:t>
      </w:r>
      <w:proofErr w:type="gramStart"/>
      <w:r w:rsidRPr="00F14D01">
        <w:rPr>
          <w:spacing w:val="-2"/>
          <w:rtl/>
          <w:lang w:val="en-US"/>
        </w:rPr>
        <w:t>مرتفعة</w:t>
      </w:r>
      <w:r w:rsidRPr="00D80B7D">
        <w:rPr>
          <w:vertAlign w:val="superscript"/>
          <w:rtl/>
          <w:lang w:val="en-US"/>
        </w:rPr>
        <w:t>(</w:t>
      </w:r>
      <w:proofErr w:type="gramEnd"/>
      <w:r w:rsidRPr="006B5BAF">
        <w:rPr>
          <w:rStyle w:val="FootnoteReference"/>
          <w:spacing w:val="-4"/>
          <w:lang w:val="en-AU"/>
        </w:rPr>
        <w:footnoteReference w:id="3"/>
      </w:r>
      <w:r w:rsidRPr="00D80B7D">
        <w:rPr>
          <w:vertAlign w:val="superscript"/>
          <w:rtl/>
          <w:lang w:val="en-US"/>
        </w:rPr>
        <w:t>)</w:t>
      </w:r>
      <w:r w:rsidRPr="00977A73">
        <w:rPr>
          <w:rtl/>
          <w:lang w:val="en-US"/>
        </w:rPr>
        <w:t xml:space="preserve">. </w:t>
      </w:r>
    </w:p>
    <w:p w14:paraId="1921D2DC" w14:textId="40964262" w:rsidR="005E0255" w:rsidRPr="00CC06E2" w:rsidRDefault="005E0255" w:rsidP="001659E7">
      <w:pPr>
        <w:pStyle w:val="SingleTxtGA"/>
        <w:rPr>
          <w:spacing w:val="-4"/>
          <w:lang w:val="en-US"/>
        </w:rPr>
      </w:pPr>
      <w:r w:rsidRPr="006B5BAF">
        <w:rPr>
          <w:spacing w:val="-4"/>
          <w:rtl/>
          <w:lang w:val="en-US"/>
        </w:rPr>
        <w:t>2</w:t>
      </w:r>
      <w:r w:rsidRPr="00CC06E2">
        <w:rPr>
          <w:spacing w:val="-4"/>
          <w:rtl/>
          <w:lang w:val="en-US"/>
        </w:rPr>
        <w:t>-</w:t>
      </w:r>
      <w:r w:rsidRPr="00CC06E2">
        <w:rPr>
          <w:spacing w:val="-4"/>
          <w:rtl/>
          <w:lang w:val="en-US"/>
        </w:rPr>
        <w:tab/>
        <w:t xml:space="preserve">ويعيش المهاجرون حالة ضعف شديد، قد تنشأ عن خصائصهم الشخصية أو وضعهم الاجتماعي والاقتصادي، أو الظروف التي يسافرون فيها - بما في ذلك وضعهم كأشخاص غير حاملين لوثائق والحواجز </w:t>
      </w:r>
      <w:r w:rsidRPr="006F7F7C">
        <w:rPr>
          <w:rtl/>
          <w:lang w:val="en-US"/>
        </w:rPr>
        <w:t xml:space="preserve">اللغوية - أو المعاملة أو الظروف التي </w:t>
      </w:r>
      <w:proofErr w:type="spellStart"/>
      <w:r w:rsidRPr="006F7F7C">
        <w:rPr>
          <w:rtl/>
          <w:lang w:val="en-US"/>
        </w:rPr>
        <w:t>يواجهونها</w:t>
      </w:r>
      <w:proofErr w:type="spellEnd"/>
      <w:r w:rsidRPr="006F7F7C">
        <w:rPr>
          <w:rtl/>
          <w:lang w:val="en-US"/>
        </w:rPr>
        <w:t xml:space="preserve"> في بلدان المنشأ والعبور والمقصد، بما في ذلك المناطق </w:t>
      </w:r>
      <w:proofErr w:type="gramStart"/>
      <w:r w:rsidRPr="006F7F7C">
        <w:rPr>
          <w:rtl/>
          <w:lang w:val="en-US"/>
        </w:rPr>
        <w:t>الحدودية</w:t>
      </w:r>
      <w:r w:rsidRPr="00D80B7D">
        <w:rPr>
          <w:vertAlign w:val="superscript"/>
          <w:rtl/>
          <w:lang w:val="en-US"/>
        </w:rPr>
        <w:t>(</w:t>
      </w:r>
      <w:proofErr w:type="gramEnd"/>
      <w:r w:rsidRPr="006B5BAF">
        <w:rPr>
          <w:rStyle w:val="FootnoteReference"/>
          <w:spacing w:val="-4"/>
          <w:lang w:val="en-AU"/>
        </w:rPr>
        <w:footnoteReference w:id="4"/>
      </w:r>
      <w:r w:rsidRPr="00D80B7D">
        <w:rPr>
          <w:vertAlign w:val="superscript"/>
          <w:rtl/>
          <w:lang w:val="en-US"/>
        </w:rPr>
        <w:t>)</w:t>
      </w:r>
      <w:r w:rsidRPr="00977A73">
        <w:rPr>
          <w:spacing w:val="-4"/>
          <w:rtl/>
          <w:lang w:val="en-US"/>
        </w:rPr>
        <w:t xml:space="preserve">. </w:t>
      </w:r>
      <w:r w:rsidRPr="00CC06E2">
        <w:rPr>
          <w:spacing w:val="-4"/>
          <w:rtl/>
          <w:lang w:val="en-US"/>
        </w:rPr>
        <w:t xml:space="preserve">ويقع على الجميع واجب احترام حقوق الإنسان والحريات الأساسية العالمية للمهاجرين وحمايتها وإعمالها في جميع </w:t>
      </w:r>
      <w:proofErr w:type="gramStart"/>
      <w:r w:rsidRPr="00CC06E2">
        <w:rPr>
          <w:spacing w:val="-4"/>
          <w:rtl/>
          <w:lang w:val="en-US"/>
        </w:rPr>
        <w:t>الأوقات</w:t>
      </w:r>
      <w:r w:rsidRPr="00D80B7D">
        <w:rPr>
          <w:vertAlign w:val="superscript"/>
          <w:rtl/>
          <w:lang w:val="en-US"/>
        </w:rPr>
        <w:t>(</w:t>
      </w:r>
      <w:proofErr w:type="gramEnd"/>
      <w:r w:rsidRPr="006B5BAF">
        <w:rPr>
          <w:rStyle w:val="FootnoteReference"/>
          <w:spacing w:val="-4"/>
          <w:lang w:val="en-AU"/>
        </w:rPr>
        <w:footnoteReference w:id="5"/>
      </w:r>
      <w:r w:rsidRPr="00D80B7D">
        <w:rPr>
          <w:vertAlign w:val="superscript"/>
          <w:rtl/>
          <w:lang w:val="en-US"/>
        </w:rPr>
        <w:t>)</w:t>
      </w:r>
      <w:r w:rsidRPr="00977A73">
        <w:rPr>
          <w:spacing w:val="-4"/>
          <w:rtl/>
          <w:lang w:val="en-US"/>
        </w:rPr>
        <w:t xml:space="preserve">. </w:t>
      </w:r>
      <w:r w:rsidRPr="00CC06E2">
        <w:rPr>
          <w:spacing w:val="-4"/>
          <w:rtl/>
          <w:lang w:val="en-US"/>
        </w:rPr>
        <w:t xml:space="preserve">وعلى الرغم من أن للدول صلاحية سيادية لإدارة حدودها وتنظيم الوصول إلى أراضيها، يجب عليها أن تفعل ذلك في امتثال كامل لالتزاماتها بموجب القانون </w:t>
      </w:r>
      <w:proofErr w:type="gramStart"/>
      <w:r w:rsidRPr="00CC06E2">
        <w:rPr>
          <w:spacing w:val="-4"/>
          <w:rtl/>
          <w:lang w:val="en-US"/>
        </w:rPr>
        <w:t>الدولي</w:t>
      </w:r>
      <w:r w:rsidRPr="00D80B7D">
        <w:rPr>
          <w:vertAlign w:val="superscript"/>
          <w:rtl/>
          <w:lang w:val="en-US"/>
        </w:rPr>
        <w:t>(</w:t>
      </w:r>
      <w:proofErr w:type="gramEnd"/>
      <w:r w:rsidRPr="006B5BAF">
        <w:rPr>
          <w:rStyle w:val="FootnoteReference"/>
          <w:lang w:val="en-AU"/>
        </w:rPr>
        <w:footnoteReference w:id="6"/>
      </w:r>
      <w:r w:rsidRPr="00D80B7D">
        <w:rPr>
          <w:vertAlign w:val="superscript"/>
          <w:rtl/>
          <w:lang w:val="en-US"/>
        </w:rPr>
        <w:t>)</w:t>
      </w:r>
      <w:r w:rsidRPr="00977A73">
        <w:rPr>
          <w:spacing w:val="-4"/>
          <w:rtl/>
          <w:lang w:val="en-US"/>
        </w:rPr>
        <w:t xml:space="preserve">، </w:t>
      </w:r>
      <w:r w:rsidRPr="00CC06E2">
        <w:rPr>
          <w:spacing w:val="-4"/>
          <w:rtl/>
          <w:lang w:val="en-US"/>
        </w:rPr>
        <w:t>ولا سيما قانون حقوق الإنسان والقانون الدولي الإنساني والقانون الدولي للاجئين وقانون</w:t>
      </w:r>
      <w:r w:rsidRPr="00CC06E2">
        <w:rPr>
          <w:rFonts w:hint="cs"/>
          <w:spacing w:val="-4"/>
          <w:rtl/>
          <w:lang w:val="en-US"/>
        </w:rPr>
        <w:t> </w:t>
      </w:r>
      <w:r w:rsidRPr="00CC06E2">
        <w:rPr>
          <w:spacing w:val="-4"/>
          <w:rtl/>
          <w:lang w:val="en-US"/>
        </w:rPr>
        <w:t>البحار.</w:t>
      </w:r>
      <w:r>
        <w:rPr>
          <w:rFonts w:hint="cs"/>
          <w:spacing w:val="-4"/>
          <w:rtl/>
          <w:lang w:val="en-US"/>
        </w:rPr>
        <w:t xml:space="preserve"> </w:t>
      </w:r>
    </w:p>
    <w:p w14:paraId="6099A6AE" w14:textId="5476EBE1" w:rsidR="005E0255" w:rsidRPr="00977A73" w:rsidRDefault="005E0255" w:rsidP="001659E7">
      <w:pPr>
        <w:pStyle w:val="SingleTxtGA"/>
        <w:rPr>
          <w:lang w:val="en-US"/>
        </w:rPr>
      </w:pPr>
      <w:r w:rsidRPr="006B5BAF">
        <w:rPr>
          <w:rtl/>
          <w:lang w:val="en-US"/>
        </w:rPr>
        <w:lastRenderedPageBreak/>
        <w:t>3</w:t>
      </w:r>
      <w:r w:rsidRPr="001659E7">
        <w:rPr>
          <w:rtl/>
          <w:lang w:val="en-US"/>
        </w:rPr>
        <w:t>-</w:t>
      </w:r>
      <w:r w:rsidRPr="001659E7">
        <w:rPr>
          <w:rtl/>
          <w:lang w:val="en-US"/>
        </w:rPr>
        <w:tab/>
      </w:r>
      <w:r w:rsidRPr="00CE70BF">
        <w:rPr>
          <w:spacing w:val="-2"/>
          <w:rtl/>
          <w:lang w:val="en-US"/>
        </w:rPr>
        <w:t>ويموت آلاف المهاجرين أو يختفون أو يُفقدون كل عام، وهم في حالة ضعف بالفعل وفي مواجهة</w:t>
      </w:r>
      <w:r w:rsidRPr="001659E7">
        <w:rPr>
          <w:rtl/>
          <w:lang w:val="en-US"/>
        </w:rPr>
        <w:t xml:space="preserve"> سياسات الهجرة التقييدية وأساليب إدارة الحدود </w:t>
      </w:r>
      <w:proofErr w:type="gramStart"/>
      <w:r w:rsidRPr="001659E7">
        <w:rPr>
          <w:rtl/>
          <w:lang w:val="en-US"/>
        </w:rPr>
        <w:t>اللاإنسانية</w:t>
      </w:r>
      <w:r w:rsidRPr="00D80B7D">
        <w:rPr>
          <w:vertAlign w:val="superscript"/>
          <w:rtl/>
          <w:lang w:val="en-US"/>
        </w:rPr>
        <w:t>(</w:t>
      </w:r>
      <w:proofErr w:type="gramEnd"/>
      <w:r w:rsidRPr="006B5BAF">
        <w:rPr>
          <w:rStyle w:val="FootnoteReference"/>
          <w:lang w:val="en-AU"/>
        </w:rPr>
        <w:footnoteReference w:id="7"/>
      </w:r>
      <w:r w:rsidRPr="00D80B7D">
        <w:rPr>
          <w:vertAlign w:val="superscript"/>
          <w:rtl/>
          <w:lang w:val="en-US"/>
        </w:rPr>
        <w:t>)</w:t>
      </w:r>
      <w:r w:rsidRPr="00977A73">
        <w:rPr>
          <w:rtl/>
          <w:lang w:val="en-US"/>
        </w:rPr>
        <w:t xml:space="preserve">، </w:t>
      </w:r>
      <w:r w:rsidRPr="001659E7">
        <w:rPr>
          <w:rtl/>
          <w:lang w:val="en-US"/>
        </w:rPr>
        <w:t>مما يؤدي إلى أزمات إنسانية في العديد من مناطق العالم</w:t>
      </w:r>
      <w:r w:rsidRPr="00D80B7D">
        <w:rPr>
          <w:vertAlign w:val="superscript"/>
          <w:rtl/>
          <w:lang w:val="en-US"/>
        </w:rPr>
        <w:t>(</w:t>
      </w:r>
      <w:r w:rsidRPr="006B5BAF">
        <w:rPr>
          <w:rStyle w:val="FootnoteReference"/>
          <w:lang w:val="en-AU"/>
        </w:rPr>
        <w:footnoteReference w:id="8"/>
      </w:r>
      <w:r w:rsidRPr="00D80B7D">
        <w:rPr>
          <w:vertAlign w:val="superscript"/>
          <w:rtl/>
          <w:lang w:val="en-US"/>
        </w:rPr>
        <w:t>)</w:t>
      </w:r>
      <w:r w:rsidRPr="00977A73">
        <w:rPr>
          <w:rtl/>
          <w:lang w:val="en-US"/>
        </w:rPr>
        <w:t xml:space="preserve">. </w:t>
      </w:r>
      <w:r w:rsidRPr="001659E7">
        <w:rPr>
          <w:rtl/>
          <w:lang w:val="en-US"/>
        </w:rPr>
        <w:t xml:space="preserve">وتحظى هذه المسألة بأولوية عالية على الصعيد الدولي. فقد دعت الجمعية العامة، في قرارها </w:t>
      </w:r>
      <w:r w:rsidRPr="006B5BAF">
        <w:rPr>
          <w:rtl/>
          <w:lang w:val="en-US"/>
        </w:rPr>
        <w:t>74</w:t>
      </w:r>
      <w:r w:rsidRPr="001659E7">
        <w:rPr>
          <w:rtl/>
          <w:lang w:val="en-US"/>
        </w:rPr>
        <w:t>/</w:t>
      </w:r>
      <w:r w:rsidRPr="006B5BAF">
        <w:rPr>
          <w:rtl/>
          <w:lang w:val="en-US"/>
        </w:rPr>
        <w:t>148</w:t>
      </w:r>
      <w:r w:rsidRPr="001659E7">
        <w:rPr>
          <w:rtl/>
          <w:lang w:val="en-US"/>
        </w:rPr>
        <w:t xml:space="preserve"> </w:t>
      </w:r>
      <w:r w:rsidRPr="00810603">
        <w:rPr>
          <w:spacing w:val="-4"/>
          <w:rtl/>
          <w:lang w:val="en-US"/>
        </w:rPr>
        <w:t>بشأن حماية المهاجرين، إلى التعاون الدولي لإنقاذ الأرواح ومنع وفيات المهاجرين وإصابتهم وتحديد هوية المهاجرين الذين ماتوا أو فُقدوا. وتشمل أهداف الاتفاق العالمي من أجل الهجرة الآمنة والمنظمة</w:t>
      </w:r>
      <w:r w:rsidRPr="00CE70BF">
        <w:rPr>
          <w:spacing w:val="-2"/>
          <w:rtl/>
          <w:lang w:val="en-US"/>
        </w:rPr>
        <w:t xml:space="preserve"> والنظامية، الذي اعتُمد في عام </w:t>
      </w:r>
      <w:r w:rsidRPr="006B5BAF">
        <w:rPr>
          <w:spacing w:val="-2"/>
          <w:rtl/>
          <w:lang w:val="en-US"/>
        </w:rPr>
        <w:t>2018</w:t>
      </w:r>
      <w:r w:rsidRPr="00CE70BF">
        <w:rPr>
          <w:spacing w:val="-2"/>
          <w:rtl/>
          <w:lang w:val="en-US"/>
        </w:rPr>
        <w:t>، معالجة أوجه الضعف المرتبطة بالهجرة والحد منها،</w:t>
      </w:r>
      <w:r w:rsidRPr="001659E7">
        <w:rPr>
          <w:rtl/>
          <w:lang w:val="en-US"/>
        </w:rPr>
        <w:t xml:space="preserve"> وإنقاذ الأرواح وبذل جهود منسقة بشأن المهاجرين المفقودين، ومكافحة الاتجار بالأشخاص في سياق الهجرة الدولية (الأهداف </w:t>
      </w:r>
      <w:r w:rsidRPr="006B5BAF">
        <w:rPr>
          <w:rtl/>
          <w:lang w:val="en-US"/>
        </w:rPr>
        <w:t>7</w:t>
      </w:r>
      <w:r w:rsidRPr="001659E7">
        <w:rPr>
          <w:rtl/>
          <w:lang w:val="en-US"/>
        </w:rPr>
        <w:t xml:space="preserve"> و</w:t>
      </w:r>
      <w:r w:rsidRPr="006B5BAF">
        <w:rPr>
          <w:rtl/>
          <w:lang w:val="en-US"/>
        </w:rPr>
        <w:t>8</w:t>
      </w:r>
      <w:r w:rsidRPr="001659E7">
        <w:rPr>
          <w:rtl/>
          <w:lang w:val="en-US"/>
        </w:rPr>
        <w:t xml:space="preserve"> و</w:t>
      </w:r>
      <w:r w:rsidRPr="006B5BAF">
        <w:rPr>
          <w:rtl/>
          <w:lang w:val="en-US"/>
        </w:rPr>
        <w:t>10</w:t>
      </w:r>
      <w:r w:rsidRPr="00977A73">
        <w:rPr>
          <w:rtl/>
          <w:lang w:val="en-US"/>
        </w:rPr>
        <w:t>).</w:t>
      </w:r>
    </w:p>
    <w:p w14:paraId="22DB452B" w14:textId="28C2D0AC" w:rsidR="005E0255" w:rsidRPr="001659E7" w:rsidRDefault="005E0255" w:rsidP="006F3437">
      <w:pPr>
        <w:pStyle w:val="SingleTxtGA"/>
        <w:spacing w:line="346" w:lineRule="exact"/>
        <w:rPr>
          <w:lang w:val="en-US"/>
        </w:rPr>
      </w:pPr>
      <w:r w:rsidRPr="006B5BAF">
        <w:rPr>
          <w:rtl/>
          <w:lang w:val="en-US"/>
        </w:rPr>
        <w:t>4</w:t>
      </w:r>
      <w:r w:rsidRPr="001659E7">
        <w:rPr>
          <w:rtl/>
          <w:lang w:val="en-US"/>
        </w:rPr>
        <w:t>-</w:t>
      </w:r>
      <w:r w:rsidRPr="001659E7">
        <w:rPr>
          <w:rtl/>
          <w:lang w:val="en-US"/>
        </w:rPr>
        <w:tab/>
        <w:t xml:space="preserve">والأشخاص المفقودون، حسب المفهوم الذي حددته اللجنة الدولية للصليب الأحمر لأغراض عملياتها، هم الأشخاص الذين لا يعرف أقاربهم مكان وجودهم و/أو الذين أُبلغ عن فقدانهم </w:t>
      </w:r>
      <w:r>
        <w:rPr>
          <w:rtl/>
          <w:lang w:val="en-US"/>
        </w:rPr>
        <w:t xml:space="preserve">وفقاً </w:t>
      </w:r>
      <w:r w:rsidRPr="001659E7">
        <w:rPr>
          <w:rtl/>
          <w:lang w:val="en-US"/>
        </w:rPr>
        <w:t>للتشريعات الوطنية، استناد</w:t>
      </w:r>
      <w:r>
        <w:rPr>
          <w:rtl/>
          <w:lang w:val="en-US"/>
        </w:rPr>
        <w:t xml:space="preserve">اً </w:t>
      </w:r>
      <w:r w:rsidRPr="001659E7">
        <w:rPr>
          <w:rtl/>
          <w:lang w:val="en-US"/>
        </w:rPr>
        <w:t xml:space="preserve">إلى معلومات موثوقة، لأسباب تتعلق بنزاع مسلح دولي أو غير دولي، أو حالة من حالات العنف أو الاضطرابات الداخلية، أو الكوارث الطبيعية أو أي حالة أخرى قد تتطلب تدخل سلطة حكومية </w:t>
      </w:r>
      <w:proofErr w:type="gramStart"/>
      <w:r w:rsidRPr="001659E7">
        <w:rPr>
          <w:rtl/>
          <w:lang w:val="en-US"/>
        </w:rPr>
        <w:t>مختصة</w:t>
      </w:r>
      <w:r w:rsidRPr="00D80B7D">
        <w:rPr>
          <w:vertAlign w:val="superscript"/>
          <w:rtl/>
          <w:lang w:val="en-US"/>
        </w:rPr>
        <w:t>(</w:t>
      </w:r>
      <w:proofErr w:type="gramEnd"/>
      <w:r w:rsidRPr="006B5BAF">
        <w:rPr>
          <w:rStyle w:val="FootnoteReference"/>
          <w:lang w:val="en-AU"/>
        </w:rPr>
        <w:footnoteReference w:id="9"/>
      </w:r>
      <w:r w:rsidRPr="00D80B7D">
        <w:rPr>
          <w:vertAlign w:val="superscript"/>
          <w:rtl/>
          <w:lang w:val="en-US"/>
        </w:rPr>
        <w:t>)</w:t>
      </w:r>
      <w:r w:rsidRPr="001659E7">
        <w:rPr>
          <w:rtl/>
          <w:lang w:val="en-US"/>
        </w:rPr>
        <w:t>.</w:t>
      </w:r>
      <w:r>
        <w:rPr>
          <w:rFonts w:hint="cs"/>
          <w:rtl/>
          <w:lang w:val="en-US"/>
        </w:rPr>
        <w:t xml:space="preserve"> </w:t>
      </w:r>
      <w:r w:rsidRPr="001659E7">
        <w:rPr>
          <w:rtl/>
          <w:lang w:val="en-US"/>
        </w:rPr>
        <w:t xml:space="preserve">وتقوم المنظمة الدولية للهجرة، في إطار مشروعها الخاص بالمهاجرين المفقودين، بجمع بيانات عن المهاجرين الذين لقوا حتفهم على الحدود الخارجية للدول أو في طور الهجرة نحو مقصد دولي، بما في ذلك نتيجة لحوادث النقل أو حطام السفن أو الهجمات العنيفة أو بسبب مضاعفات طبية تحدث أثناء </w:t>
      </w:r>
      <w:proofErr w:type="gramStart"/>
      <w:r w:rsidRPr="001659E7">
        <w:rPr>
          <w:rtl/>
          <w:lang w:val="en-US"/>
        </w:rPr>
        <w:t>رحلاتهم</w:t>
      </w:r>
      <w:r w:rsidRPr="00D80B7D">
        <w:rPr>
          <w:vertAlign w:val="superscript"/>
          <w:rtl/>
          <w:lang w:val="en-US"/>
        </w:rPr>
        <w:t>(</w:t>
      </w:r>
      <w:proofErr w:type="gramEnd"/>
      <w:r w:rsidRPr="006B5BAF">
        <w:rPr>
          <w:rStyle w:val="FootnoteReference"/>
          <w:spacing w:val="-4"/>
          <w:lang w:val="en-AU"/>
        </w:rPr>
        <w:footnoteReference w:id="10"/>
      </w:r>
      <w:r w:rsidRPr="00D80B7D">
        <w:rPr>
          <w:vertAlign w:val="superscript"/>
          <w:rtl/>
          <w:lang w:val="en-US"/>
        </w:rPr>
        <w:t>)</w:t>
      </w:r>
      <w:r w:rsidRPr="00977A73">
        <w:rPr>
          <w:rtl/>
          <w:lang w:val="en-US"/>
        </w:rPr>
        <w:t xml:space="preserve">. </w:t>
      </w:r>
      <w:r w:rsidRPr="00CE70BF">
        <w:rPr>
          <w:spacing w:val="-2"/>
          <w:rtl/>
          <w:lang w:val="en-US"/>
        </w:rPr>
        <w:t xml:space="preserve">وقد يقع بعض المهاجرين المفقودين ضحايا للاختفاء، بما في ذلك الاختفاء القسري. </w:t>
      </w:r>
      <w:r w:rsidRPr="00CE70BF">
        <w:rPr>
          <w:spacing w:val="-4"/>
          <w:rtl/>
          <w:lang w:val="en-US"/>
        </w:rPr>
        <w:t>والعنصر المميز الرئيسي بين اختفاء المهاجر ووقوع المهاجر ضحية للاختفاء هو ارتكاب جريمة ضد مهاجر،</w:t>
      </w:r>
      <w:r w:rsidRPr="001659E7">
        <w:rPr>
          <w:rtl/>
          <w:lang w:val="en-US"/>
        </w:rPr>
        <w:t xml:space="preserve"> على النحو المنصوص عليه في المواد </w:t>
      </w:r>
      <w:r w:rsidRPr="006B5BAF">
        <w:rPr>
          <w:rtl/>
          <w:lang w:val="en-US"/>
        </w:rPr>
        <w:t>2</w:t>
      </w:r>
      <w:r w:rsidRPr="001659E7">
        <w:rPr>
          <w:rtl/>
          <w:lang w:val="en-US"/>
        </w:rPr>
        <w:t xml:space="preserve"> و</w:t>
      </w:r>
      <w:r w:rsidRPr="006B5BAF">
        <w:rPr>
          <w:rtl/>
          <w:lang w:val="en-US"/>
        </w:rPr>
        <w:t>3</w:t>
      </w:r>
      <w:r w:rsidRPr="001659E7">
        <w:rPr>
          <w:rtl/>
          <w:lang w:val="en-US"/>
        </w:rPr>
        <w:t xml:space="preserve"> و</w:t>
      </w:r>
      <w:r w:rsidRPr="006B5BAF">
        <w:rPr>
          <w:rtl/>
          <w:lang w:val="en-US"/>
        </w:rPr>
        <w:t>5</w:t>
      </w:r>
      <w:r w:rsidRPr="001659E7">
        <w:rPr>
          <w:rtl/>
          <w:lang w:val="en-US"/>
        </w:rPr>
        <w:t xml:space="preserve"> من الاتفاقية. </w:t>
      </w:r>
    </w:p>
    <w:p w14:paraId="50F955F1" w14:textId="7227A0B3" w:rsidR="005E0255" w:rsidRPr="0060487A" w:rsidRDefault="005E0255" w:rsidP="006F3437">
      <w:pPr>
        <w:pStyle w:val="SingleTxtGA"/>
        <w:spacing w:line="346" w:lineRule="exact"/>
        <w:rPr>
          <w:spacing w:val="-4"/>
          <w:lang w:val="en-US"/>
        </w:rPr>
      </w:pPr>
      <w:r w:rsidRPr="006B5BAF">
        <w:rPr>
          <w:spacing w:val="-4"/>
          <w:rtl/>
          <w:lang w:val="en-US"/>
        </w:rPr>
        <w:t>5</w:t>
      </w:r>
      <w:r w:rsidRPr="0060487A">
        <w:rPr>
          <w:spacing w:val="-4"/>
          <w:rtl/>
          <w:lang w:val="en-US"/>
        </w:rPr>
        <w:t>-</w:t>
      </w:r>
      <w:r w:rsidRPr="0060487A">
        <w:rPr>
          <w:spacing w:val="-4"/>
          <w:rtl/>
          <w:lang w:val="en-US"/>
        </w:rPr>
        <w:tab/>
        <w:t xml:space="preserve">وتلاحظ اللجنة بقلق بالغ التقارير العديدة التي تتحدث عن حالات وفاة مهاجرين واختفائهم على طول طرق </w:t>
      </w:r>
      <w:proofErr w:type="gramStart"/>
      <w:r w:rsidRPr="0060487A">
        <w:rPr>
          <w:spacing w:val="-4"/>
          <w:rtl/>
          <w:lang w:val="en-US"/>
        </w:rPr>
        <w:t>الهجرة</w:t>
      </w:r>
      <w:r w:rsidRPr="0060487A">
        <w:rPr>
          <w:spacing w:val="-4"/>
          <w:vertAlign w:val="superscript"/>
          <w:rtl/>
          <w:lang w:val="en-US"/>
        </w:rPr>
        <w:t>(</w:t>
      </w:r>
      <w:proofErr w:type="gramEnd"/>
      <w:r w:rsidRPr="006B5BAF">
        <w:rPr>
          <w:rStyle w:val="FootnoteReference"/>
          <w:spacing w:val="-4"/>
          <w:lang w:val="en-AU"/>
        </w:rPr>
        <w:footnoteReference w:id="11"/>
      </w:r>
      <w:r w:rsidRPr="0060487A">
        <w:rPr>
          <w:spacing w:val="-4"/>
          <w:vertAlign w:val="superscript"/>
          <w:rtl/>
          <w:lang w:val="en-US"/>
        </w:rPr>
        <w:t>)</w:t>
      </w:r>
      <w:r w:rsidRPr="0060487A">
        <w:rPr>
          <w:spacing w:val="-4"/>
          <w:rtl/>
          <w:lang w:val="en-US"/>
        </w:rPr>
        <w:t xml:space="preserve">. وقد تناول الفريق العامل المعني بحالات الاختفاء القسري أو غير الطوعي هذه القضية لأول مرة في عام </w:t>
      </w:r>
      <w:r w:rsidRPr="006B5BAF">
        <w:rPr>
          <w:spacing w:val="-4"/>
          <w:rtl/>
          <w:lang w:val="en-US"/>
        </w:rPr>
        <w:t>2017</w:t>
      </w:r>
      <w:r w:rsidRPr="0060487A">
        <w:rPr>
          <w:spacing w:val="-4"/>
          <w:rtl/>
          <w:lang w:val="en-US"/>
        </w:rPr>
        <w:t xml:space="preserve">، في تقريره عن الاختفاء القسري في سياق </w:t>
      </w:r>
      <w:proofErr w:type="gramStart"/>
      <w:r w:rsidRPr="0060487A">
        <w:rPr>
          <w:spacing w:val="-4"/>
          <w:rtl/>
          <w:lang w:val="en-US"/>
        </w:rPr>
        <w:t>الهجرة</w:t>
      </w:r>
      <w:r w:rsidRPr="0060487A">
        <w:rPr>
          <w:spacing w:val="-4"/>
          <w:vertAlign w:val="superscript"/>
          <w:rtl/>
          <w:lang w:val="en-US"/>
        </w:rPr>
        <w:t>(</w:t>
      </w:r>
      <w:proofErr w:type="gramEnd"/>
      <w:r w:rsidRPr="006B5BAF">
        <w:rPr>
          <w:rStyle w:val="FootnoteReference"/>
          <w:spacing w:val="-4"/>
          <w:lang w:val="en-AU"/>
        </w:rPr>
        <w:footnoteReference w:id="12"/>
      </w:r>
      <w:r w:rsidRPr="0060487A">
        <w:rPr>
          <w:spacing w:val="-4"/>
          <w:vertAlign w:val="superscript"/>
          <w:rtl/>
          <w:lang w:val="en-US"/>
        </w:rPr>
        <w:t>)</w:t>
      </w:r>
      <w:r w:rsidRPr="0060487A">
        <w:rPr>
          <w:spacing w:val="-4"/>
          <w:rtl/>
          <w:lang w:val="en-US"/>
        </w:rPr>
        <w:t xml:space="preserve">، ولكن الوضع لم يتحسن منذ ذلك الحين. غير أنه لا يوجد بيانات دقيقة عن عدد ضحايا الاختفاء من بين المهاجرين المفقودين، وإذا توافرت هذه البيانات، عادةً ما تكون غير </w:t>
      </w:r>
      <w:proofErr w:type="gramStart"/>
      <w:r w:rsidRPr="0060487A">
        <w:rPr>
          <w:spacing w:val="-4"/>
          <w:rtl/>
          <w:lang w:val="en-US"/>
        </w:rPr>
        <w:t>دقيقة</w:t>
      </w:r>
      <w:r w:rsidRPr="0060487A">
        <w:rPr>
          <w:spacing w:val="-4"/>
          <w:vertAlign w:val="superscript"/>
          <w:rtl/>
          <w:lang w:val="en-US"/>
        </w:rPr>
        <w:t>(</w:t>
      </w:r>
      <w:proofErr w:type="gramEnd"/>
      <w:r w:rsidRPr="006B5BAF">
        <w:rPr>
          <w:rStyle w:val="FootnoteReference"/>
          <w:spacing w:val="-4"/>
          <w:lang w:val="en-AU"/>
        </w:rPr>
        <w:footnoteReference w:id="13"/>
      </w:r>
      <w:r w:rsidRPr="0060487A">
        <w:rPr>
          <w:spacing w:val="-4"/>
          <w:vertAlign w:val="superscript"/>
          <w:rtl/>
          <w:lang w:val="en-US"/>
        </w:rPr>
        <w:t>)</w:t>
      </w:r>
      <w:r w:rsidRPr="0060487A">
        <w:rPr>
          <w:spacing w:val="-4"/>
          <w:rtl/>
          <w:lang w:val="en-US"/>
        </w:rPr>
        <w:t xml:space="preserve">، ويُعزى هذا الأمر إلى عدم وجود عملية منهجية لجمع البيانات أو لتقاسم </w:t>
      </w:r>
      <w:r w:rsidRPr="00CE70BF">
        <w:rPr>
          <w:rtl/>
          <w:lang w:val="en-US"/>
        </w:rPr>
        <w:t>قواعد البيانات، وعدم كفاية التعاون فيما بين الدول، وغياب الإرادة السياسية، والحواجز (المرتبطة بجملة أمور منها حالة ضعف المهاجرين وأقاربهم) التي تحول دون الإبلاغ عن حالات الاختفاء التي تندرج في إطار</w:t>
      </w:r>
      <w:r w:rsidRPr="0060487A">
        <w:rPr>
          <w:spacing w:val="-4"/>
          <w:rtl/>
          <w:lang w:val="en-US"/>
        </w:rPr>
        <w:t xml:space="preserve"> المادتين </w:t>
      </w:r>
      <w:r w:rsidRPr="006B5BAF">
        <w:rPr>
          <w:spacing w:val="-4"/>
          <w:rtl/>
          <w:lang w:val="en-US"/>
        </w:rPr>
        <w:t>2</w:t>
      </w:r>
      <w:r w:rsidRPr="0060487A">
        <w:rPr>
          <w:spacing w:val="-4"/>
          <w:rtl/>
          <w:lang w:val="en-US"/>
        </w:rPr>
        <w:t xml:space="preserve"> و</w:t>
      </w:r>
      <w:r w:rsidRPr="006B5BAF">
        <w:rPr>
          <w:spacing w:val="-4"/>
          <w:rtl/>
          <w:lang w:val="en-US"/>
        </w:rPr>
        <w:t>3</w:t>
      </w:r>
      <w:r w:rsidRPr="0060487A">
        <w:rPr>
          <w:spacing w:val="-4"/>
          <w:rtl/>
          <w:lang w:val="en-US"/>
        </w:rPr>
        <w:t xml:space="preserve"> من الاتفاقية، وتقاعس السلطات عن إجراء عمليات بحث وتحقيق جدية وفعالة وسريعة. </w:t>
      </w:r>
      <w:r w:rsidRPr="0060487A">
        <w:rPr>
          <w:spacing w:val="-4"/>
          <w:rtl/>
          <w:lang w:val="en-US"/>
        </w:rPr>
        <w:lastRenderedPageBreak/>
        <w:t>ويعيق الافتقار إلى البيانات الدقيقة والمصنفة اعتماد سياسات واستراتيجيات لمنع حالات الاختفاء القسري في صفوف المهاجرين ويزيد من خطر وقوع المهاجرين ضحايا لهذه الجريمة.</w:t>
      </w:r>
    </w:p>
    <w:p w14:paraId="0862D7CB" w14:textId="13778350" w:rsidR="005E0255" w:rsidRPr="001659E7" w:rsidRDefault="005E0255" w:rsidP="00AA1A4B">
      <w:pPr>
        <w:pStyle w:val="SingleTxtGA"/>
        <w:spacing w:line="350" w:lineRule="exact"/>
        <w:rPr>
          <w:lang w:val="en-US"/>
        </w:rPr>
      </w:pPr>
      <w:r w:rsidRPr="006B5BAF">
        <w:rPr>
          <w:rtl/>
          <w:lang w:val="en-US"/>
        </w:rPr>
        <w:t>6</w:t>
      </w:r>
      <w:r w:rsidRPr="001659E7">
        <w:rPr>
          <w:rtl/>
          <w:lang w:val="en-US"/>
        </w:rPr>
        <w:t>-</w:t>
      </w:r>
      <w:r w:rsidRPr="001659E7">
        <w:rPr>
          <w:rtl/>
          <w:lang w:val="en-US"/>
        </w:rPr>
        <w:tab/>
        <w:t xml:space="preserve">وتسهم عوامل مختلفة بشكل مباشر أو غير مباشر في حالات اختفاء المهاجرين (التي تندرج في إطار المادتين </w:t>
      </w:r>
      <w:r w:rsidRPr="006B5BAF">
        <w:rPr>
          <w:rtl/>
          <w:lang w:val="en-US"/>
        </w:rPr>
        <w:t>2</w:t>
      </w:r>
      <w:r w:rsidRPr="001659E7">
        <w:rPr>
          <w:rtl/>
          <w:lang w:val="en-US"/>
        </w:rPr>
        <w:t xml:space="preserve"> و</w:t>
      </w:r>
      <w:r w:rsidRPr="006B5BAF">
        <w:rPr>
          <w:rtl/>
          <w:lang w:val="en-US"/>
        </w:rPr>
        <w:t>3</w:t>
      </w:r>
      <w:r w:rsidRPr="001659E7">
        <w:rPr>
          <w:rtl/>
          <w:lang w:val="en-US"/>
        </w:rPr>
        <w:t xml:space="preserve"> من الاتفاقية</w:t>
      </w:r>
      <w:r w:rsidRPr="00977A73">
        <w:rPr>
          <w:rtl/>
          <w:lang w:val="en-US"/>
        </w:rPr>
        <w:t xml:space="preserve">)، </w:t>
      </w:r>
      <w:r w:rsidRPr="001659E7">
        <w:rPr>
          <w:rtl/>
          <w:lang w:val="en-US"/>
        </w:rPr>
        <w:t>أو في خطر تعرضهم للاختفاء. وتسهم الممارسات المختلفة التي تتبعها بعض الدول ووكلاؤها في سياق تنفيذ سياساتها التقييدية واللاإنسانية المتعلقة بإدارة الحدود إسهام</w:t>
      </w:r>
      <w:r>
        <w:rPr>
          <w:rtl/>
          <w:lang w:val="en-US"/>
        </w:rPr>
        <w:t xml:space="preserve">اً </w:t>
      </w:r>
      <w:r w:rsidRPr="001659E7">
        <w:rPr>
          <w:rtl/>
          <w:lang w:val="en-US"/>
        </w:rPr>
        <w:t>مباشر</w:t>
      </w:r>
      <w:r>
        <w:rPr>
          <w:rtl/>
          <w:lang w:val="en-US"/>
        </w:rPr>
        <w:t xml:space="preserve">اً </w:t>
      </w:r>
      <w:r w:rsidRPr="001659E7">
        <w:rPr>
          <w:rtl/>
          <w:lang w:val="en-US"/>
        </w:rPr>
        <w:t xml:space="preserve">في اختفاء المهاجرين. وتشمل هذه الممارسات احتجاز المهاجرين، و"عمليات الصد" و"عمليات الصد المتسلسلة" في البر أو البحر، والتقصير في عمليات البحث والإنقاذ بصورة </w:t>
      </w:r>
      <w:proofErr w:type="gramStart"/>
      <w:r w:rsidRPr="001659E7">
        <w:rPr>
          <w:rtl/>
          <w:lang w:val="en-US"/>
        </w:rPr>
        <w:t>منهجية</w:t>
      </w:r>
      <w:r w:rsidRPr="00D80B7D">
        <w:rPr>
          <w:vertAlign w:val="superscript"/>
          <w:rtl/>
          <w:lang w:val="en-US"/>
        </w:rPr>
        <w:t>(</w:t>
      </w:r>
      <w:proofErr w:type="gramEnd"/>
      <w:r w:rsidRPr="006B5BAF">
        <w:rPr>
          <w:rStyle w:val="FootnoteReference"/>
          <w:lang w:val="en-AU"/>
        </w:rPr>
        <w:footnoteReference w:id="14"/>
      </w:r>
      <w:r w:rsidRPr="00D80B7D">
        <w:rPr>
          <w:vertAlign w:val="superscript"/>
          <w:rtl/>
          <w:lang w:val="en-US"/>
        </w:rPr>
        <w:t>)</w:t>
      </w:r>
      <w:r w:rsidRPr="00977A73">
        <w:rPr>
          <w:rtl/>
          <w:lang w:val="en-US"/>
        </w:rPr>
        <w:t xml:space="preserve">، </w:t>
      </w:r>
      <w:r w:rsidRPr="001659E7">
        <w:rPr>
          <w:rtl/>
          <w:lang w:val="en-US"/>
        </w:rPr>
        <w:t>والتواطؤ بين موظفي الدولة والجماعات الإجرامية المنظمة الضالعة في الاتجار بالأشخاص</w:t>
      </w:r>
      <w:r w:rsidRPr="00D80B7D">
        <w:rPr>
          <w:vertAlign w:val="superscript"/>
          <w:rtl/>
          <w:lang w:val="en-US"/>
        </w:rPr>
        <w:t>(</w:t>
      </w:r>
      <w:r w:rsidRPr="006B5BAF">
        <w:rPr>
          <w:rStyle w:val="FootnoteReference"/>
          <w:lang w:val="en-AU"/>
        </w:rPr>
        <w:footnoteReference w:id="15"/>
      </w:r>
      <w:r w:rsidRPr="00D80B7D">
        <w:rPr>
          <w:vertAlign w:val="superscript"/>
          <w:rtl/>
          <w:lang w:val="en-US"/>
        </w:rPr>
        <w:t>)</w:t>
      </w:r>
      <w:r w:rsidRPr="00977A73">
        <w:rPr>
          <w:rtl/>
          <w:lang w:val="en-US"/>
        </w:rPr>
        <w:t xml:space="preserve">. </w:t>
      </w:r>
    </w:p>
    <w:p w14:paraId="52FD4709" w14:textId="25490835" w:rsidR="005E0255" w:rsidRPr="001659E7" w:rsidRDefault="005E0255" w:rsidP="00AA1A4B">
      <w:pPr>
        <w:pStyle w:val="SingleTxtGA"/>
        <w:spacing w:line="350" w:lineRule="exact"/>
        <w:rPr>
          <w:lang w:val="en-US"/>
        </w:rPr>
      </w:pPr>
      <w:r w:rsidRPr="006B5BAF">
        <w:rPr>
          <w:rtl/>
          <w:lang w:val="en-US"/>
        </w:rPr>
        <w:t>7</w:t>
      </w:r>
      <w:r w:rsidRPr="001659E7">
        <w:rPr>
          <w:rtl/>
          <w:lang w:val="en-US"/>
        </w:rPr>
        <w:t>-</w:t>
      </w:r>
      <w:r w:rsidRPr="001659E7">
        <w:rPr>
          <w:rtl/>
          <w:lang w:val="en-US"/>
        </w:rPr>
        <w:tab/>
        <w:t>علاوة على ذلك، فإن عوامل أخرى - بما في ذلك سياسات الهجرة وإدارة الحدود المتشددة وذات التوجه الأمني والعسكري المتزايد، والتي غالب</w:t>
      </w:r>
      <w:r>
        <w:rPr>
          <w:rtl/>
          <w:lang w:val="en-US"/>
        </w:rPr>
        <w:t xml:space="preserve">اً </w:t>
      </w:r>
      <w:r w:rsidRPr="001659E7">
        <w:rPr>
          <w:rtl/>
          <w:lang w:val="en-US"/>
        </w:rPr>
        <w:t>ما ترتكز على الردع، إلى جانب المواقف والممارسات التمييزية ضد المهاجرين ومن يساعدونهم والاتجاه العام لتجريمهم، وتفشي ظاهرة إفلات مَن ينتهكون حقوق المهاجرين من العقاب</w:t>
      </w:r>
      <w:r w:rsidRPr="00D80B7D">
        <w:rPr>
          <w:vertAlign w:val="superscript"/>
          <w:rtl/>
          <w:lang w:val="en-US"/>
        </w:rPr>
        <w:t>(</w:t>
      </w:r>
      <w:r w:rsidRPr="006B5BAF">
        <w:rPr>
          <w:rStyle w:val="FootnoteReference"/>
          <w:lang w:val="en-AU"/>
        </w:rPr>
        <w:footnoteReference w:id="16"/>
      </w:r>
      <w:r w:rsidRPr="00D80B7D">
        <w:rPr>
          <w:vertAlign w:val="superscript"/>
          <w:rtl/>
          <w:lang w:val="en-US"/>
        </w:rPr>
        <w:t>)</w:t>
      </w:r>
      <w:r w:rsidRPr="001659E7">
        <w:rPr>
          <w:rtl/>
          <w:lang w:val="en-US"/>
        </w:rPr>
        <w:t xml:space="preserve"> - تسهم بشكل غير مباشر في اختفاء المهاجرين، لأن هذه السياسات والممارسات تجبرهم على اختيار طرق متزايدة الخطورة تعبر بيئات معادية أو مناطق متأثرة بالنزاع المسلح </w:t>
      </w:r>
      <w:r w:rsidRPr="00CE70BF">
        <w:rPr>
          <w:spacing w:val="2"/>
          <w:rtl/>
          <w:lang w:val="en-US"/>
        </w:rPr>
        <w:t>أو حالات أخرى من العنف وتضطرهم إلى اللجوء إلى الشبكات الإجرامية للمهربين أو المتجرين، مما</w:t>
      </w:r>
      <w:r w:rsidRPr="00CE70BF">
        <w:rPr>
          <w:rFonts w:hint="cs"/>
          <w:spacing w:val="2"/>
          <w:rtl/>
          <w:lang w:val="en-US"/>
        </w:rPr>
        <w:t> </w:t>
      </w:r>
      <w:r w:rsidRPr="00CE70BF">
        <w:rPr>
          <w:spacing w:val="2"/>
          <w:rtl/>
          <w:lang w:val="en-US"/>
        </w:rPr>
        <w:t>يعرضهم لانتهاكات حقوق الإنسان والاستغلال، بما في ذلك الوقوع ضحايا للاختفاء القسري.</w:t>
      </w:r>
      <w:r w:rsidRPr="001659E7">
        <w:rPr>
          <w:rtl/>
          <w:lang w:val="en-US"/>
        </w:rPr>
        <w:t xml:space="preserve"> وتؤثر</w:t>
      </w:r>
      <w:r>
        <w:rPr>
          <w:rFonts w:hint="cs"/>
          <w:rtl/>
          <w:lang w:val="en-US"/>
        </w:rPr>
        <w:t> </w:t>
      </w:r>
      <w:r w:rsidRPr="001659E7">
        <w:rPr>
          <w:rtl/>
          <w:lang w:val="en-US"/>
        </w:rPr>
        <w:t xml:space="preserve">هذه الظاهرة على جميع مناطق العالم، دون استثناء. </w:t>
      </w:r>
    </w:p>
    <w:p w14:paraId="63571668" w14:textId="6CD5C7B2" w:rsidR="005E0255" w:rsidRPr="00977A73" w:rsidRDefault="005E0255" w:rsidP="00AA1A4B">
      <w:pPr>
        <w:pStyle w:val="SingleTxtGA"/>
        <w:spacing w:line="350" w:lineRule="exact"/>
        <w:rPr>
          <w:lang w:val="en-US"/>
        </w:rPr>
      </w:pPr>
      <w:r w:rsidRPr="006B5BAF">
        <w:rPr>
          <w:rtl/>
          <w:lang w:val="en-US"/>
        </w:rPr>
        <w:t>8</w:t>
      </w:r>
      <w:r w:rsidRPr="001659E7">
        <w:rPr>
          <w:rtl/>
          <w:lang w:val="en-US"/>
        </w:rPr>
        <w:t>-</w:t>
      </w:r>
      <w:r w:rsidRPr="001659E7">
        <w:rPr>
          <w:rtl/>
          <w:lang w:val="en-US"/>
        </w:rPr>
        <w:tab/>
        <w:t>ومن بين العوامل التي تسهم في الاختفاء القسري للمهاجرين، تثير مسألة التمييز قلق</w:t>
      </w:r>
      <w:r>
        <w:rPr>
          <w:rtl/>
          <w:lang w:val="en-US"/>
        </w:rPr>
        <w:t xml:space="preserve">اً </w:t>
      </w:r>
      <w:proofErr w:type="gramStart"/>
      <w:r w:rsidRPr="001659E7">
        <w:rPr>
          <w:rtl/>
          <w:lang w:val="en-US"/>
        </w:rPr>
        <w:t>خاصا</w:t>
      </w:r>
      <w:r>
        <w:rPr>
          <w:rFonts w:hint="cs"/>
          <w:rtl/>
          <w:lang w:val="en-US"/>
        </w:rPr>
        <w:t>ً</w:t>
      </w:r>
      <w:r w:rsidRPr="00D80B7D">
        <w:rPr>
          <w:vertAlign w:val="superscript"/>
          <w:rtl/>
          <w:lang w:val="en-US"/>
        </w:rPr>
        <w:t>(</w:t>
      </w:r>
      <w:proofErr w:type="gramEnd"/>
      <w:r w:rsidRPr="006B5BAF">
        <w:rPr>
          <w:rStyle w:val="FootnoteReference"/>
          <w:lang w:val="en-AU"/>
        </w:rPr>
        <w:footnoteReference w:id="17"/>
      </w:r>
      <w:r w:rsidRPr="00D80B7D">
        <w:rPr>
          <w:vertAlign w:val="superscript"/>
          <w:rtl/>
          <w:lang w:val="en-US"/>
        </w:rPr>
        <w:t>)</w:t>
      </w:r>
      <w:r w:rsidRPr="00977A73">
        <w:rPr>
          <w:rtl/>
          <w:lang w:val="en-US"/>
        </w:rPr>
        <w:t>:</w:t>
      </w:r>
    </w:p>
    <w:p w14:paraId="7D6B9DF8" w14:textId="3B9AE231" w:rsidR="005E0255" w:rsidRDefault="005E0255" w:rsidP="00AA1A4B">
      <w:pPr>
        <w:pStyle w:val="SingleTxtGA"/>
        <w:spacing w:line="350" w:lineRule="exact"/>
        <w:rPr>
          <w:lang w:val="en-US"/>
        </w:rPr>
      </w:pPr>
      <w:r>
        <w:rPr>
          <w:rtl/>
          <w:lang w:val="en-US"/>
        </w:rPr>
        <w:tab/>
        <w:t>(</w:t>
      </w:r>
      <w:r w:rsidRPr="001659E7">
        <w:rPr>
          <w:rtl/>
          <w:lang w:val="en-US"/>
        </w:rPr>
        <w:t>أ)</w:t>
      </w:r>
      <w:r w:rsidRPr="001659E7">
        <w:rPr>
          <w:rtl/>
          <w:lang w:val="en-US"/>
        </w:rPr>
        <w:tab/>
        <w:t>قد يضطر إلى الهجرة مَن يتعرضون للتمييز الهيكلي أو المباشر في بلدهم الأصلي أو</w:t>
      </w:r>
      <w:r>
        <w:rPr>
          <w:rFonts w:hint="cs"/>
          <w:rtl/>
          <w:lang w:val="en-US"/>
        </w:rPr>
        <w:t> </w:t>
      </w:r>
      <w:r w:rsidRPr="001659E7">
        <w:rPr>
          <w:rtl/>
          <w:lang w:val="en-US"/>
        </w:rPr>
        <w:t>بلد إقامتهم؛</w:t>
      </w:r>
    </w:p>
    <w:p w14:paraId="096BA0DC" w14:textId="48E1EEFE" w:rsidR="005E0255" w:rsidRDefault="005E0255" w:rsidP="00AA1A4B">
      <w:pPr>
        <w:pStyle w:val="SingleTxtGA"/>
        <w:spacing w:line="350" w:lineRule="exact"/>
        <w:rPr>
          <w:lang w:val="en-US"/>
        </w:rPr>
      </w:pPr>
      <w:r>
        <w:rPr>
          <w:rtl/>
          <w:lang w:val="en-US"/>
        </w:rPr>
        <w:tab/>
        <w:t>(</w:t>
      </w:r>
      <w:r w:rsidRPr="001659E7">
        <w:rPr>
          <w:rtl/>
          <w:lang w:val="en-US"/>
        </w:rPr>
        <w:t>ب)</w:t>
      </w:r>
      <w:r w:rsidRPr="001659E7">
        <w:rPr>
          <w:rtl/>
          <w:lang w:val="en-US"/>
        </w:rPr>
        <w:tab/>
        <w:t>قد تتضمن سياسات الهجرة عناصر تمييزية، مثل القيود المفروضة على التأشيرات أو</w:t>
      </w:r>
      <w:r>
        <w:rPr>
          <w:rFonts w:hint="cs"/>
          <w:rtl/>
          <w:lang w:val="en-US"/>
        </w:rPr>
        <w:t> </w:t>
      </w:r>
      <w:r w:rsidRPr="001659E7">
        <w:rPr>
          <w:rtl/>
          <w:lang w:val="en-US"/>
        </w:rPr>
        <w:t>تصاريح الإقامة في حالة الأشخاص القادمين من بلدان أو مناطق معينة أو الأشخاص الحاملين لجنسيات معينة؛</w:t>
      </w:r>
    </w:p>
    <w:p w14:paraId="08BC9BE8" w14:textId="1E9A5E9E" w:rsidR="005E0255" w:rsidRDefault="005E0255" w:rsidP="00AA1A4B">
      <w:pPr>
        <w:pStyle w:val="SingleTxtGA"/>
        <w:spacing w:line="350" w:lineRule="exact"/>
        <w:rPr>
          <w:lang w:val="en-US"/>
        </w:rPr>
      </w:pPr>
      <w:r>
        <w:rPr>
          <w:rtl/>
          <w:lang w:val="en-US"/>
        </w:rPr>
        <w:tab/>
        <w:t>(</w:t>
      </w:r>
      <w:r w:rsidRPr="001659E7">
        <w:rPr>
          <w:rtl/>
          <w:lang w:val="en-US"/>
        </w:rPr>
        <w:t>ج)</w:t>
      </w:r>
      <w:r w:rsidRPr="001659E7">
        <w:rPr>
          <w:rtl/>
          <w:lang w:val="en-US"/>
        </w:rPr>
        <w:tab/>
        <w:t xml:space="preserve">قد تواجه فئات معينة من المهاجرين التمييز أثناء عملية الهجرة بسبب وضع الفرد من </w:t>
      </w:r>
      <w:r w:rsidRPr="00CE70BF">
        <w:rPr>
          <w:spacing w:val="-2"/>
          <w:rtl/>
          <w:lang w:val="en-US"/>
        </w:rPr>
        <w:t>حيث الهجرة أو وضعه الاجتماعي والاقتصادي أو غير ذلك من الخصائص الشخصية، مثل الدين أو</w:t>
      </w:r>
      <w:r w:rsidRPr="00CE70BF">
        <w:rPr>
          <w:rFonts w:hint="cs"/>
          <w:spacing w:val="-2"/>
          <w:rtl/>
          <w:lang w:val="en-US"/>
        </w:rPr>
        <w:t> </w:t>
      </w:r>
      <w:r w:rsidRPr="00CE70BF">
        <w:rPr>
          <w:spacing w:val="-2"/>
          <w:rtl/>
          <w:lang w:val="en-US"/>
        </w:rPr>
        <w:t>العرق</w:t>
      </w:r>
      <w:r w:rsidRPr="001659E7">
        <w:rPr>
          <w:rtl/>
          <w:lang w:val="en-US"/>
        </w:rPr>
        <w:t xml:space="preserve"> </w:t>
      </w:r>
      <w:r w:rsidRPr="00CE70BF">
        <w:rPr>
          <w:spacing w:val="-2"/>
          <w:rtl/>
          <w:lang w:val="en-US"/>
        </w:rPr>
        <w:t>أو اللون أو الأصل الإثني أو القومي أو العمر أو الجنس أو الميل الجنسي أو الهوية الجنسانية، مما يجعلهم</w:t>
      </w:r>
      <w:r w:rsidRPr="001659E7">
        <w:rPr>
          <w:rtl/>
          <w:lang w:val="en-US"/>
        </w:rPr>
        <w:t xml:space="preserve"> أكثر عرضة للوقوع ضحايا الاختفاء </w:t>
      </w:r>
      <w:proofErr w:type="gramStart"/>
      <w:r w:rsidRPr="001659E7">
        <w:rPr>
          <w:rtl/>
          <w:lang w:val="en-US"/>
        </w:rPr>
        <w:t>القسري</w:t>
      </w:r>
      <w:r w:rsidRPr="00D80B7D">
        <w:rPr>
          <w:vertAlign w:val="superscript"/>
          <w:rtl/>
          <w:lang w:val="en-US"/>
        </w:rPr>
        <w:t>(</w:t>
      </w:r>
      <w:proofErr w:type="gramEnd"/>
      <w:r w:rsidRPr="006B5BAF">
        <w:rPr>
          <w:rStyle w:val="FootnoteReference"/>
          <w:lang w:val="en-AU"/>
        </w:rPr>
        <w:footnoteReference w:id="18"/>
      </w:r>
      <w:r w:rsidRPr="00D80B7D">
        <w:rPr>
          <w:vertAlign w:val="superscript"/>
          <w:rtl/>
          <w:lang w:val="en-US"/>
        </w:rPr>
        <w:t>)</w:t>
      </w:r>
      <w:r w:rsidRPr="00977A73">
        <w:rPr>
          <w:rtl/>
          <w:lang w:val="en-US"/>
        </w:rPr>
        <w:t>؛</w:t>
      </w:r>
    </w:p>
    <w:p w14:paraId="109968C7" w14:textId="7E979DFD" w:rsidR="005E0255" w:rsidRPr="001659E7" w:rsidRDefault="005E0255" w:rsidP="00AA1A4B">
      <w:pPr>
        <w:pStyle w:val="SingleTxtGA"/>
        <w:spacing w:line="350" w:lineRule="exact"/>
        <w:rPr>
          <w:lang w:val="en-US"/>
        </w:rPr>
      </w:pPr>
      <w:r>
        <w:rPr>
          <w:rtl/>
          <w:lang w:val="en-US"/>
        </w:rPr>
        <w:lastRenderedPageBreak/>
        <w:tab/>
        <w:t>(</w:t>
      </w:r>
      <w:r w:rsidRPr="001659E7">
        <w:rPr>
          <w:rtl/>
          <w:lang w:val="en-US"/>
        </w:rPr>
        <w:t>د)</w:t>
      </w:r>
      <w:r w:rsidRPr="001659E7">
        <w:rPr>
          <w:rtl/>
          <w:lang w:val="en-US"/>
        </w:rPr>
        <w:tab/>
        <w:t xml:space="preserve">قد يؤثر التمييز </w:t>
      </w:r>
      <w:r>
        <w:rPr>
          <w:rtl/>
          <w:lang w:val="en-US"/>
        </w:rPr>
        <w:t xml:space="preserve">أيضاً </w:t>
      </w:r>
      <w:r w:rsidRPr="001659E7">
        <w:rPr>
          <w:rtl/>
          <w:lang w:val="en-US"/>
        </w:rPr>
        <w:t>على تمتع الضحايا وأقاربهم بحقوقهم فيما يتعلق باللجوء إلى العدالة، بما في ذلك، على سبيل المثال لا الحصر، المشاركة في إجراءات التحقيق والبحث، والاستفادة من المساعدة القانونية، والحصول على المعلومات بلغة يفهمونها، والتمتع بالحماية والدعم، والحضور أثناء إجراءات المحكمة.</w:t>
      </w:r>
    </w:p>
    <w:p w14:paraId="6855624C" w14:textId="06FE8D67" w:rsidR="005E0255" w:rsidRPr="001659E7" w:rsidRDefault="005E0255" w:rsidP="001659E7">
      <w:pPr>
        <w:pStyle w:val="SingleTxtGA"/>
        <w:rPr>
          <w:lang w:val="en-US"/>
        </w:rPr>
      </w:pPr>
      <w:r w:rsidRPr="006B5BAF">
        <w:rPr>
          <w:rtl/>
          <w:lang w:val="en-US"/>
        </w:rPr>
        <w:t>9</w:t>
      </w:r>
      <w:r w:rsidRPr="001659E7">
        <w:rPr>
          <w:rtl/>
          <w:lang w:val="en-US"/>
        </w:rPr>
        <w:t>-</w:t>
      </w:r>
      <w:r w:rsidRPr="001659E7">
        <w:rPr>
          <w:rtl/>
          <w:lang w:val="en-US"/>
        </w:rPr>
        <w:tab/>
        <w:t xml:space="preserve">وتؤكد اللجنة أن مبدأ عدم التمييز هو مبدأ أساسي في الصكوك الدولية لحقوق الإنسان، حيث يُعتبر قاعدةً </w:t>
      </w:r>
      <w:proofErr w:type="gramStart"/>
      <w:r w:rsidRPr="001659E7">
        <w:rPr>
          <w:rtl/>
          <w:lang w:val="en-US"/>
        </w:rPr>
        <w:t>آمرةً</w:t>
      </w:r>
      <w:r w:rsidRPr="00D80B7D">
        <w:rPr>
          <w:vertAlign w:val="superscript"/>
          <w:rtl/>
          <w:lang w:val="en-US"/>
        </w:rPr>
        <w:t>(</w:t>
      </w:r>
      <w:proofErr w:type="gramEnd"/>
      <w:r w:rsidRPr="006B5BAF">
        <w:rPr>
          <w:rStyle w:val="FootnoteReference"/>
          <w:lang w:val="en-AU"/>
        </w:rPr>
        <w:footnoteReference w:id="19"/>
      </w:r>
      <w:r w:rsidRPr="00D80B7D">
        <w:rPr>
          <w:vertAlign w:val="superscript"/>
          <w:rtl/>
          <w:lang w:val="en-US"/>
        </w:rPr>
        <w:t>)</w:t>
      </w:r>
      <w:r w:rsidRPr="00977A73">
        <w:rPr>
          <w:rtl/>
          <w:lang w:val="en-US"/>
        </w:rPr>
        <w:t xml:space="preserve">. </w:t>
      </w:r>
      <w:r w:rsidRPr="001659E7">
        <w:rPr>
          <w:rtl/>
          <w:lang w:val="en-US"/>
        </w:rPr>
        <w:t>ويجب أن تلتزم الدول الأطراف بهذه المبدأ في جميع الأوقات تنفيذ</w:t>
      </w:r>
      <w:r>
        <w:rPr>
          <w:rtl/>
          <w:lang w:val="en-US"/>
        </w:rPr>
        <w:t xml:space="preserve">اً </w:t>
      </w:r>
      <w:r w:rsidRPr="001659E7">
        <w:rPr>
          <w:rtl/>
          <w:lang w:val="en-US"/>
        </w:rPr>
        <w:t xml:space="preserve">لالتزاماتها بموجب الاتفاقية فيما يتعلق بمنع حالات الاختفاء والتصدي لها. بالفعل، وكما هو مبين في المادة </w:t>
      </w:r>
      <w:r w:rsidRPr="006B5BAF">
        <w:rPr>
          <w:rtl/>
          <w:lang w:val="en-US"/>
        </w:rPr>
        <w:t>1</w:t>
      </w:r>
      <w:r w:rsidRPr="001659E7">
        <w:rPr>
          <w:rtl/>
          <w:lang w:val="en-US"/>
        </w:rPr>
        <w:t xml:space="preserve"> من الاتفاقية، لا يجوز تعريض أحد للاختفاء القسري ولا يجوز التذرع بأي ظروف استثنائية كمبرر للاختفاء </w:t>
      </w:r>
      <w:r w:rsidRPr="00CE70BF">
        <w:rPr>
          <w:spacing w:val="-4"/>
          <w:rtl/>
          <w:lang w:val="en-US"/>
        </w:rPr>
        <w:t>القسري. وبناءً على ذلك، تنطبق التزامات الدول الأطراف بموجب الاتفاقية بصرف النظر عن جنسية الضحايا</w:t>
      </w:r>
      <w:r w:rsidRPr="001659E7">
        <w:rPr>
          <w:rtl/>
          <w:lang w:val="en-US"/>
        </w:rPr>
        <w:t xml:space="preserve"> أو أصلهم أو وضعهم من حيث الهجرة.</w:t>
      </w:r>
    </w:p>
    <w:p w14:paraId="2EA8ECCE" w14:textId="199501BA" w:rsidR="005E0255" w:rsidRPr="001659E7" w:rsidRDefault="005E0255" w:rsidP="001659E7">
      <w:pPr>
        <w:pStyle w:val="SingleTxtGA"/>
        <w:rPr>
          <w:lang w:val="en-US"/>
        </w:rPr>
      </w:pPr>
      <w:r w:rsidRPr="006B5BAF">
        <w:rPr>
          <w:rtl/>
          <w:lang w:val="en-US"/>
        </w:rPr>
        <w:t>10</w:t>
      </w:r>
      <w:r w:rsidRPr="001659E7">
        <w:rPr>
          <w:rtl/>
          <w:lang w:val="en-US"/>
        </w:rPr>
        <w:t>-</w:t>
      </w:r>
      <w:r w:rsidRPr="001659E7">
        <w:rPr>
          <w:rtl/>
          <w:lang w:val="en-US"/>
        </w:rPr>
        <w:tab/>
        <w:t>ومع تطور سياقات الاختفاء القسري والأساليب المستخدمة بمرور الوقت، تهدف اللجنة إلى ضمان استجابة سريعة واستباقية للواقع الحالي. وبالنظر إلى التطورات الخطيرة والمقلقة للغاية في حالات الاختفاء القسري في سياق الهجرة، ونظر</w:t>
      </w:r>
      <w:r>
        <w:rPr>
          <w:rtl/>
          <w:lang w:val="en-US"/>
        </w:rPr>
        <w:t xml:space="preserve">اً </w:t>
      </w:r>
      <w:r w:rsidRPr="001659E7">
        <w:rPr>
          <w:rtl/>
          <w:lang w:val="en-US"/>
        </w:rPr>
        <w:t>للطابع الوقائي المتأصل للاتفاقية، قررت اللجنة أن تركز تعليقها العام الأول على مساعدة الدول الأطراف على الوفاء بالتزاماتها ذات الصلة بموجب الاتفاقية فيما يتعلق بمنع هذه الجريمة والتصدي لها. وبذلك تعالج اللجنة جانب</w:t>
      </w:r>
      <w:r>
        <w:rPr>
          <w:rtl/>
          <w:lang w:val="en-US"/>
        </w:rPr>
        <w:t xml:space="preserve">اً </w:t>
      </w:r>
      <w:r w:rsidRPr="001659E7">
        <w:rPr>
          <w:rtl/>
          <w:lang w:val="en-US"/>
        </w:rPr>
        <w:t xml:space="preserve">من الشواغل المستمرة المتعلقة بحقوق الإنسان ومن الأزمة الإنسانية المتواصلة في سياق الهجرة، مستندةً في ذلك إلى الصكوك القانونية وأدوات السياسة العامة العالمية والإقليمية القائمة التي تنطبق على الانتهاكات المتعددة لحقوق الإنسان التي </w:t>
      </w:r>
      <w:proofErr w:type="spellStart"/>
      <w:r w:rsidRPr="001659E7">
        <w:rPr>
          <w:rtl/>
          <w:lang w:val="en-US"/>
        </w:rPr>
        <w:t>يواجهها</w:t>
      </w:r>
      <w:proofErr w:type="spellEnd"/>
      <w:r w:rsidRPr="001659E7">
        <w:rPr>
          <w:rtl/>
          <w:lang w:val="en-US"/>
        </w:rPr>
        <w:t xml:space="preserve"> المهاجرون طوال </w:t>
      </w:r>
      <w:proofErr w:type="gramStart"/>
      <w:r w:rsidRPr="001659E7">
        <w:rPr>
          <w:rtl/>
          <w:lang w:val="en-US"/>
        </w:rPr>
        <w:t>رحلاتهم</w:t>
      </w:r>
      <w:r w:rsidRPr="00D80B7D">
        <w:rPr>
          <w:vertAlign w:val="superscript"/>
          <w:rtl/>
          <w:lang w:val="en-US"/>
        </w:rPr>
        <w:t>(</w:t>
      </w:r>
      <w:proofErr w:type="gramEnd"/>
      <w:r w:rsidRPr="006B5BAF">
        <w:rPr>
          <w:rStyle w:val="FootnoteReference"/>
          <w:lang w:val="en-AU"/>
        </w:rPr>
        <w:footnoteReference w:id="20"/>
      </w:r>
      <w:r w:rsidRPr="00D80B7D">
        <w:rPr>
          <w:vertAlign w:val="superscript"/>
          <w:rtl/>
          <w:lang w:val="en-US"/>
        </w:rPr>
        <w:t>)</w:t>
      </w:r>
      <w:r w:rsidRPr="00977A73">
        <w:rPr>
          <w:rtl/>
          <w:lang w:val="en-US"/>
        </w:rPr>
        <w:t xml:space="preserve">، </w:t>
      </w:r>
      <w:r w:rsidRPr="001659E7">
        <w:rPr>
          <w:rtl/>
          <w:lang w:val="en-US"/>
        </w:rPr>
        <w:t xml:space="preserve">من منظور الالتزامات المنصوص عليها في الاتفاقية. وتعمل اللجنة </w:t>
      </w:r>
      <w:r>
        <w:rPr>
          <w:rtl/>
          <w:lang w:val="en-US"/>
        </w:rPr>
        <w:t xml:space="preserve">أيضاً </w:t>
      </w:r>
      <w:r w:rsidRPr="001659E7">
        <w:rPr>
          <w:rtl/>
          <w:lang w:val="en-US"/>
        </w:rPr>
        <w:t>على تطوير معاييرها في هذا الصدد، بما في ذلك من خلال مبادئها التوجيهية للبحث عن الأشخاص المختفين (</w:t>
      </w:r>
      <w:r w:rsidRPr="006B5BAF">
        <w:rPr>
          <w:rtl/>
          <w:lang w:val="en-US"/>
        </w:rPr>
        <w:t>2019</w:t>
      </w:r>
      <w:r w:rsidRPr="00977A73">
        <w:rPr>
          <w:rtl/>
          <w:lang w:val="en-US"/>
        </w:rPr>
        <w:t xml:space="preserve">) </w:t>
      </w:r>
      <w:r w:rsidRPr="001659E7">
        <w:rPr>
          <w:rtl/>
          <w:lang w:val="en-US"/>
        </w:rPr>
        <w:t>وبيانها بشأن الجهات الفاعلة من غير الدول في سياق الاتفاقية (</w:t>
      </w:r>
      <w:proofErr w:type="gramStart"/>
      <w:r w:rsidRPr="006B5BAF">
        <w:rPr>
          <w:rtl/>
          <w:lang w:val="en-US"/>
        </w:rPr>
        <w:t>2023</w:t>
      </w:r>
      <w:r w:rsidRPr="001659E7">
        <w:rPr>
          <w:rtl/>
          <w:lang w:val="en-US"/>
        </w:rPr>
        <w:t>)</w:t>
      </w:r>
      <w:r w:rsidRPr="00D80B7D">
        <w:rPr>
          <w:vertAlign w:val="superscript"/>
          <w:rtl/>
          <w:lang w:val="en-US"/>
        </w:rPr>
        <w:t>(</w:t>
      </w:r>
      <w:proofErr w:type="gramEnd"/>
      <w:r w:rsidRPr="006B5BAF">
        <w:rPr>
          <w:rStyle w:val="FootnoteReference"/>
          <w:lang w:val="en-AU"/>
        </w:rPr>
        <w:footnoteReference w:id="21"/>
      </w:r>
      <w:r w:rsidRPr="00D80B7D">
        <w:rPr>
          <w:vertAlign w:val="superscript"/>
          <w:rtl/>
          <w:lang w:val="en-US"/>
        </w:rPr>
        <w:t>)</w:t>
      </w:r>
      <w:r w:rsidRPr="00977A73">
        <w:rPr>
          <w:rtl/>
          <w:lang w:val="en-US"/>
        </w:rPr>
        <w:t xml:space="preserve">، </w:t>
      </w:r>
      <w:r w:rsidRPr="001659E7">
        <w:rPr>
          <w:rtl/>
          <w:lang w:val="en-US"/>
        </w:rPr>
        <w:t>وكلاهما يعكس موقف</w:t>
      </w:r>
      <w:r>
        <w:rPr>
          <w:rtl/>
          <w:lang w:val="en-US"/>
        </w:rPr>
        <w:t xml:space="preserve">اً </w:t>
      </w:r>
      <w:r w:rsidRPr="001659E7">
        <w:rPr>
          <w:rtl/>
          <w:lang w:val="en-US"/>
        </w:rPr>
        <w:t>واضح</w:t>
      </w:r>
      <w:r>
        <w:rPr>
          <w:rtl/>
          <w:lang w:val="en-US"/>
        </w:rPr>
        <w:t xml:space="preserve">اً </w:t>
      </w:r>
      <w:r w:rsidRPr="001659E7">
        <w:rPr>
          <w:rtl/>
          <w:lang w:val="en-US"/>
        </w:rPr>
        <w:t>وموثوق</w:t>
      </w:r>
      <w:r>
        <w:rPr>
          <w:rtl/>
          <w:lang w:val="en-US"/>
        </w:rPr>
        <w:t xml:space="preserve">اً </w:t>
      </w:r>
      <w:r w:rsidRPr="001659E7">
        <w:rPr>
          <w:rtl/>
          <w:lang w:val="en-US"/>
        </w:rPr>
        <w:t>وتفسيري</w:t>
      </w:r>
      <w:r>
        <w:rPr>
          <w:rtl/>
          <w:lang w:val="en-US"/>
        </w:rPr>
        <w:t xml:space="preserve">اً </w:t>
      </w:r>
      <w:r w:rsidRPr="001659E7">
        <w:rPr>
          <w:rtl/>
          <w:lang w:val="en-US"/>
        </w:rPr>
        <w:t xml:space="preserve">بشأن كيفية منع الاختفاء القسري في سياق الهجرة والرد عليه. </w:t>
      </w:r>
    </w:p>
    <w:p w14:paraId="21916398" w14:textId="77777777" w:rsidR="005E0255" w:rsidRPr="001659E7" w:rsidRDefault="005E0255" w:rsidP="001659E7">
      <w:pPr>
        <w:pStyle w:val="SingleTxtGA"/>
        <w:rPr>
          <w:lang w:val="en-US"/>
        </w:rPr>
      </w:pPr>
      <w:r w:rsidRPr="006B5BAF">
        <w:rPr>
          <w:rtl/>
          <w:lang w:val="en-US"/>
        </w:rPr>
        <w:t>11</w:t>
      </w:r>
      <w:r w:rsidRPr="001659E7">
        <w:rPr>
          <w:rtl/>
          <w:lang w:val="en-US"/>
        </w:rPr>
        <w:t>-</w:t>
      </w:r>
      <w:r w:rsidRPr="001659E7">
        <w:rPr>
          <w:rtl/>
          <w:lang w:val="en-US"/>
        </w:rPr>
        <w:tab/>
        <w:t>وتستند اللجنة، في هذا التعليق العام، إلى خبرتها في استعراض تقارير الدول الأطراف، والاجتهادات السابقة لهيئات معاهدات حقوق الإنسان، وتوصيات مجلس حقوق الإنسان وإجراءاته الخاصة، وجولتين من المشاورات مع الدول والخبراء وغيرهم من أصحاب المصلحة بشأن المذكرة المفاهيمية ومشروع أولي، والمشاورات الإقليمية المعقودة في أمريكا اللاتينية والكاريبي، وفي آسيا والمحيط الهادئ، وفي أوروبا، وفي أفريقيا، بما في ذلك الشرق الأوسط وشمال أفريقيا.</w:t>
      </w:r>
    </w:p>
    <w:p w14:paraId="61A68001" w14:textId="340D1791" w:rsidR="005E0255" w:rsidRPr="006B5BAF" w:rsidRDefault="005E0255" w:rsidP="001659E7">
      <w:pPr>
        <w:pStyle w:val="HChGA"/>
      </w:pPr>
      <w:r w:rsidRPr="006B5BAF">
        <w:rPr>
          <w:rtl/>
        </w:rPr>
        <w:lastRenderedPageBreak/>
        <w:tab/>
        <w:t>ثانياً-</w:t>
      </w:r>
      <w:r w:rsidRPr="006B5BAF">
        <w:rPr>
          <w:rtl/>
        </w:rPr>
        <w:tab/>
        <w:t>أهداف التعليق العام ونطاقه</w:t>
      </w:r>
    </w:p>
    <w:p w14:paraId="4B8992A2" w14:textId="56E50868" w:rsidR="005E0255" w:rsidRPr="008C21B1" w:rsidRDefault="005E0255" w:rsidP="008C21B1">
      <w:pPr>
        <w:pStyle w:val="SingleTxtGA"/>
        <w:spacing w:line="346" w:lineRule="exact"/>
        <w:rPr>
          <w:spacing w:val="-4"/>
          <w:lang w:val="en-US"/>
        </w:rPr>
      </w:pPr>
      <w:r w:rsidRPr="006B5BAF">
        <w:rPr>
          <w:spacing w:val="-4"/>
          <w:rtl/>
          <w:lang w:val="en-US"/>
        </w:rPr>
        <w:t>12</w:t>
      </w:r>
      <w:r w:rsidRPr="008C21B1">
        <w:rPr>
          <w:spacing w:val="-4"/>
          <w:rtl/>
          <w:lang w:val="en-US"/>
        </w:rPr>
        <w:t>-</w:t>
      </w:r>
      <w:r w:rsidRPr="008C21B1">
        <w:rPr>
          <w:spacing w:val="-4"/>
          <w:rtl/>
          <w:lang w:val="en-US"/>
        </w:rPr>
        <w:tab/>
        <w:t xml:space="preserve">تشعر اللجنة بقلق بالغ إزاء الاتجاه المتزايد للاختفاء القسري في سياق الهجرة. وتناشد الدول الأطراف أن تتخذ تدابير عاجلة لمنع هذه الظاهرة والتصدي لها، مسترشدةً بهذا التعليق العام، لضمان الامتثال الكامل لالتزاماتها القانونية. وتعتزم اللجنة، في هذا التعليق العام، أن توضح أوجه عدم اليقين القانوني المحتملة بموجب الاتفاقية وأن تشجع الدول الأطراف في المستقبل على إبداء مواقف واضحة بشأن مسألة تثير قلقاً عالمياً. </w:t>
      </w:r>
    </w:p>
    <w:p w14:paraId="77CB3CBF" w14:textId="0F5DFDB5" w:rsidR="005E0255" w:rsidRPr="008C21B1" w:rsidRDefault="005E0255" w:rsidP="008C21B1">
      <w:pPr>
        <w:pStyle w:val="SingleTxtGA"/>
        <w:spacing w:line="346" w:lineRule="exact"/>
        <w:rPr>
          <w:spacing w:val="-2"/>
        </w:rPr>
      </w:pPr>
      <w:r w:rsidRPr="006B5BAF">
        <w:rPr>
          <w:spacing w:val="-4"/>
          <w:rtl/>
          <w:lang w:val="en-US"/>
        </w:rPr>
        <w:t>13</w:t>
      </w:r>
      <w:r w:rsidRPr="008C21B1">
        <w:rPr>
          <w:spacing w:val="-4"/>
          <w:rtl/>
          <w:lang w:val="en-US"/>
        </w:rPr>
        <w:t>-</w:t>
      </w:r>
      <w:r w:rsidRPr="008C21B1">
        <w:rPr>
          <w:spacing w:val="-4"/>
          <w:rtl/>
          <w:lang w:val="en-US"/>
        </w:rPr>
        <w:tab/>
        <w:t xml:space="preserve">ونظراً للطابع الوقائي للاتفاقية، يهدف هذا التعليق العام أيضاً إلى مساعدة الدول الأطراف على وضع </w:t>
      </w:r>
      <w:r w:rsidRPr="008C21B1">
        <w:rPr>
          <w:spacing w:val="-2"/>
          <w:rtl/>
        </w:rPr>
        <w:t>وتنفيذ سياسات وطنية لحماية المهاجرين من الوقوع ضحايا للاختفاء القسري ومكافحة الإفلات من</w:t>
      </w:r>
      <w:r w:rsidRPr="008C21B1">
        <w:rPr>
          <w:rFonts w:hint="cs"/>
          <w:spacing w:val="-2"/>
          <w:rtl/>
        </w:rPr>
        <w:t> </w:t>
      </w:r>
      <w:r w:rsidRPr="008C21B1">
        <w:rPr>
          <w:spacing w:val="-2"/>
          <w:rtl/>
        </w:rPr>
        <w:t>العقاب.</w:t>
      </w:r>
    </w:p>
    <w:p w14:paraId="4AE65ACE" w14:textId="1CDAEDEC" w:rsidR="005E0255" w:rsidRPr="001659E7" w:rsidRDefault="005E0255" w:rsidP="008C21B1">
      <w:pPr>
        <w:pStyle w:val="SingleTxtGA"/>
        <w:spacing w:line="346" w:lineRule="exact"/>
        <w:rPr>
          <w:lang w:val="en-US"/>
        </w:rPr>
      </w:pPr>
      <w:r w:rsidRPr="006B5BAF">
        <w:rPr>
          <w:rtl/>
          <w:lang w:val="en-US"/>
        </w:rPr>
        <w:t>14</w:t>
      </w:r>
      <w:r w:rsidRPr="001659E7">
        <w:rPr>
          <w:rtl/>
          <w:lang w:val="en-US"/>
        </w:rPr>
        <w:t>-</w:t>
      </w:r>
      <w:r w:rsidRPr="001659E7">
        <w:rPr>
          <w:rtl/>
          <w:lang w:val="en-US"/>
        </w:rPr>
        <w:tab/>
        <w:t xml:space="preserve">وتسلم اللجنة بحالة الضعف الشديد التي يعيشها المهاجرون أنفسهم، وأقاربهم، وهم </w:t>
      </w:r>
      <w:r>
        <w:rPr>
          <w:rtl/>
          <w:lang w:val="en-US"/>
        </w:rPr>
        <w:t xml:space="preserve">أيضاً </w:t>
      </w:r>
      <w:r w:rsidRPr="001659E7">
        <w:rPr>
          <w:rtl/>
          <w:lang w:val="en-US"/>
        </w:rPr>
        <w:t>من المهاجرين في كثير من الأحيان وغالباً ما يواجهون الحواجز والتمييز عند البحث عن أحبائهم المختفين. ومن ثم يتمثل هدف آخر من الأهداف التي ينشدها التعليق العام في مساعدة الدول في جهودها الرامية إلى ضمان لجوء الضحايا إلى العدالة، بغية المساهمة في الجهود الدولية الرامية إلى تحسين حالة حقوق الإنسان للمهاجرين التي كثير</w:t>
      </w:r>
      <w:r>
        <w:rPr>
          <w:rtl/>
          <w:lang w:val="en-US"/>
        </w:rPr>
        <w:t xml:space="preserve">اً </w:t>
      </w:r>
      <w:r w:rsidRPr="001659E7">
        <w:rPr>
          <w:rtl/>
          <w:lang w:val="en-US"/>
        </w:rPr>
        <w:t>ما تكون متردية.</w:t>
      </w:r>
    </w:p>
    <w:p w14:paraId="02366E93" w14:textId="4D3ABC47" w:rsidR="005E0255" w:rsidRPr="001659E7" w:rsidRDefault="005E0255" w:rsidP="008C21B1">
      <w:pPr>
        <w:pStyle w:val="SingleTxtGA"/>
        <w:spacing w:line="346" w:lineRule="exact"/>
        <w:rPr>
          <w:lang w:val="en-US"/>
        </w:rPr>
      </w:pPr>
      <w:r w:rsidRPr="006B5BAF">
        <w:rPr>
          <w:rtl/>
          <w:lang w:val="en-US"/>
        </w:rPr>
        <w:t>15</w:t>
      </w:r>
      <w:r w:rsidRPr="001659E7">
        <w:rPr>
          <w:rtl/>
          <w:lang w:val="en-US"/>
        </w:rPr>
        <w:t>-</w:t>
      </w:r>
      <w:r w:rsidRPr="001659E7">
        <w:rPr>
          <w:rtl/>
          <w:lang w:val="en-US"/>
        </w:rPr>
        <w:tab/>
      </w:r>
      <w:r w:rsidRPr="00CE70BF">
        <w:rPr>
          <w:spacing w:val="-2"/>
          <w:rtl/>
          <w:lang w:val="en-US"/>
        </w:rPr>
        <w:t>ونظراً لأن الاختفاء القسري في سياق الهجرة غالباً ما يكون ذا طابع عابر للحدود، يهدف التعليق</w:t>
      </w:r>
      <w:r w:rsidRPr="001659E7">
        <w:rPr>
          <w:rtl/>
          <w:lang w:val="en-US"/>
        </w:rPr>
        <w:t xml:space="preserve"> </w:t>
      </w:r>
      <w:r w:rsidRPr="00CE70BF">
        <w:rPr>
          <w:spacing w:val="-2"/>
          <w:rtl/>
          <w:lang w:val="en-US"/>
        </w:rPr>
        <w:t>العام إلى تعزيز التعاون الدولي والإقليمي بشأن منع اختفاء المهاجرين وعمليات البحث والتحقيق ذات الصلة</w:t>
      </w:r>
      <w:r w:rsidRPr="001659E7">
        <w:rPr>
          <w:rtl/>
          <w:lang w:val="en-US"/>
        </w:rPr>
        <w:t xml:space="preserve"> امتثال</w:t>
      </w:r>
      <w:r>
        <w:rPr>
          <w:rtl/>
          <w:lang w:val="en-US"/>
        </w:rPr>
        <w:t xml:space="preserve">اً </w:t>
      </w:r>
      <w:r w:rsidRPr="001659E7">
        <w:rPr>
          <w:rtl/>
          <w:lang w:val="en-US"/>
        </w:rPr>
        <w:t>لالتزامات الدول الأطراف بموجب الاتفاقية.</w:t>
      </w:r>
    </w:p>
    <w:p w14:paraId="7D3CB9CB" w14:textId="48D3992B" w:rsidR="005E0255" w:rsidRPr="006B5BAF" w:rsidRDefault="005E0255" w:rsidP="001659E7">
      <w:pPr>
        <w:pStyle w:val="HChGA"/>
      </w:pPr>
      <w:r w:rsidRPr="006B5BAF">
        <w:rPr>
          <w:rtl/>
        </w:rPr>
        <w:tab/>
        <w:t>ثالثاً-</w:t>
      </w:r>
      <w:r w:rsidRPr="006B5BAF">
        <w:rPr>
          <w:rtl/>
        </w:rPr>
        <w:tab/>
        <w:t xml:space="preserve">آليات الوقاية </w:t>
      </w:r>
    </w:p>
    <w:p w14:paraId="1DB08A06" w14:textId="77777777" w:rsidR="005E0255" w:rsidRPr="006B5BAF" w:rsidRDefault="005E0255" w:rsidP="001659E7">
      <w:pPr>
        <w:pStyle w:val="H1GA"/>
      </w:pPr>
      <w:r w:rsidRPr="006B5BAF">
        <w:rPr>
          <w:rtl/>
        </w:rPr>
        <w:tab/>
        <w:t>ألف-</w:t>
      </w:r>
      <w:r w:rsidRPr="006B5BAF">
        <w:rPr>
          <w:rtl/>
        </w:rPr>
        <w:tab/>
        <w:t>حظر الاحتجاز السري للمهاجرين</w:t>
      </w:r>
    </w:p>
    <w:p w14:paraId="6C251147" w14:textId="50D5A345" w:rsidR="005E0255" w:rsidRPr="00977A73" w:rsidRDefault="005E0255" w:rsidP="008C21B1">
      <w:pPr>
        <w:pStyle w:val="SingleTxtGA"/>
        <w:spacing w:line="346" w:lineRule="exact"/>
        <w:rPr>
          <w:lang w:val="en-US"/>
        </w:rPr>
      </w:pPr>
      <w:r w:rsidRPr="006B5BAF">
        <w:rPr>
          <w:rtl/>
          <w:lang w:val="en-US"/>
        </w:rPr>
        <w:t>16</w:t>
      </w:r>
      <w:r w:rsidRPr="001659E7">
        <w:rPr>
          <w:rtl/>
          <w:lang w:val="en-US"/>
        </w:rPr>
        <w:t>-</w:t>
      </w:r>
      <w:r w:rsidRPr="001659E7">
        <w:rPr>
          <w:rtl/>
          <w:lang w:val="en-US"/>
        </w:rPr>
        <w:tab/>
        <w:t xml:space="preserve">للحيلولة دون وقوع المهاجرين ضحايا للاختفاء القسري في سياق احتجاز </w:t>
      </w:r>
      <w:proofErr w:type="gramStart"/>
      <w:r w:rsidRPr="001659E7">
        <w:rPr>
          <w:rtl/>
          <w:lang w:val="en-US"/>
        </w:rPr>
        <w:t>المهاجرين</w:t>
      </w:r>
      <w:r w:rsidRPr="00D80B7D">
        <w:rPr>
          <w:vertAlign w:val="superscript"/>
          <w:rtl/>
          <w:lang w:val="en-US"/>
        </w:rPr>
        <w:t>(</w:t>
      </w:r>
      <w:proofErr w:type="gramEnd"/>
      <w:r w:rsidRPr="006B5BAF">
        <w:rPr>
          <w:rStyle w:val="FootnoteReference"/>
          <w:lang w:val="en-AU"/>
        </w:rPr>
        <w:footnoteReference w:id="22"/>
      </w:r>
      <w:r w:rsidRPr="00D80B7D">
        <w:rPr>
          <w:vertAlign w:val="superscript"/>
          <w:rtl/>
          <w:lang w:val="en-US"/>
        </w:rPr>
        <w:t>)</w:t>
      </w:r>
      <w:r w:rsidRPr="00977A73">
        <w:rPr>
          <w:rtl/>
          <w:lang w:val="en-US"/>
        </w:rPr>
        <w:t xml:space="preserve">، </w:t>
      </w:r>
      <w:r w:rsidRPr="001659E7">
        <w:rPr>
          <w:rtl/>
          <w:lang w:val="en-US"/>
        </w:rPr>
        <w:t>يجب أن يكونوا قادرين دائم</w:t>
      </w:r>
      <w:r>
        <w:rPr>
          <w:rtl/>
          <w:lang w:val="en-US"/>
        </w:rPr>
        <w:t>اً،</w:t>
      </w:r>
      <w:r w:rsidRPr="001659E7">
        <w:rPr>
          <w:rtl/>
          <w:lang w:val="en-US"/>
        </w:rPr>
        <w:t xml:space="preserve"> منذ بداية احتجازهم وبغض النظر عن مدته، على الاتصال بأقاربهم أو بالسلطات القنصلية أو الممثلين القانونيين أو أي شخص آخر يمكنهم إبلاغه بمصيرهم أو مكان وجودهم</w:t>
      </w:r>
      <w:r w:rsidRPr="00D80B7D">
        <w:rPr>
          <w:vertAlign w:val="superscript"/>
          <w:rtl/>
          <w:lang w:val="en-US"/>
        </w:rPr>
        <w:t>(</w:t>
      </w:r>
      <w:r w:rsidRPr="006B5BAF">
        <w:rPr>
          <w:rStyle w:val="FootnoteReference"/>
          <w:lang w:val="en-AU"/>
        </w:rPr>
        <w:footnoteReference w:id="23"/>
      </w:r>
      <w:r w:rsidRPr="00D80B7D">
        <w:rPr>
          <w:vertAlign w:val="superscript"/>
          <w:rtl/>
          <w:lang w:val="en-US"/>
        </w:rPr>
        <w:t>)</w:t>
      </w:r>
      <w:r w:rsidRPr="00977A73">
        <w:rPr>
          <w:rtl/>
          <w:lang w:val="en-US"/>
        </w:rPr>
        <w:t xml:space="preserve">. </w:t>
      </w:r>
      <w:r w:rsidRPr="001659E7">
        <w:rPr>
          <w:rtl/>
          <w:lang w:val="en-US"/>
        </w:rPr>
        <w:t>وسلب الحرية لأسباب تتعلق بالهجرة ينبغي أن يكون دائم</w:t>
      </w:r>
      <w:r>
        <w:rPr>
          <w:rtl/>
          <w:lang w:val="en-US"/>
        </w:rPr>
        <w:t xml:space="preserve">اً </w:t>
      </w:r>
      <w:r w:rsidRPr="001659E7">
        <w:rPr>
          <w:rtl/>
          <w:lang w:val="en-US"/>
        </w:rPr>
        <w:t xml:space="preserve">تدبير الملاذ الأخير، ولا يجوز سلب المهاجرين حريتهم إلا إذا لم تكن هناك بدائل </w:t>
      </w:r>
      <w:proofErr w:type="gramStart"/>
      <w:r w:rsidRPr="001659E7">
        <w:rPr>
          <w:rtl/>
          <w:lang w:val="en-US"/>
        </w:rPr>
        <w:t>للاحتجاز</w:t>
      </w:r>
      <w:r w:rsidRPr="00D80B7D">
        <w:rPr>
          <w:vertAlign w:val="superscript"/>
          <w:rtl/>
          <w:lang w:val="en-US"/>
        </w:rPr>
        <w:t>(</w:t>
      </w:r>
      <w:proofErr w:type="gramEnd"/>
      <w:r w:rsidRPr="006B5BAF">
        <w:rPr>
          <w:rStyle w:val="FootnoteReference"/>
          <w:lang w:val="en-AU"/>
        </w:rPr>
        <w:footnoteReference w:id="24"/>
      </w:r>
      <w:r w:rsidRPr="00D80B7D">
        <w:rPr>
          <w:vertAlign w:val="superscript"/>
          <w:rtl/>
          <w:lang w:val="en-US"/>
        </w:rPr>
        <w:t>)</w:t>
      </w:r>
      <w:r w:rsidRPr="00977A73">
        <w:rPr>
          <w:rtl/>
          <w:lang w:val="en-US"/>
        </w:rPr>
        <w:t xml:space="preserve">. </w:t>
      </w:r>
      <w:r w:rsidRPr="001659E7">
        <w:rPr>
          <w:rtl/>
          <w:lang w:val="en-US"/>
        </w:rPr>
        <w:t>وعلاوة على ذلك، وبالنظر إلى عدم جواز تقييد الحظر</w:t>
      </w:r>
      <w:r w:rsidR="008C21B1">
        <w:rPr>
          <w:rFonts w:hint="cs"/>
          <w:rtl/>
          <w:lang w:val="en-US"/>
        </w:rPr>
        <w:t> </w:t>
      </w:r>
      <w:r w:rsidRPr="001659E7">
        <w:rPr>
          <w:rtl/>
          <w:lang w:val="en-US"/>
        </w:rPr>
        <w:t xml:space="preserve">على حالات الاختفاء القسري بموجب المادة </w:t>
      </w:r>
      <w:r w:rsidRPr="006B5BAF">
        <w:rPr>
          <w:rtl/>
          <w:lang w:val="en-US"/>
        </w:rPr>
        <w:t>1</w:t>
      </w:r>
      <w:r w:rsidRPr="001659E7">
        <w:rPr>
          <w:rtl/>
          <w:lang w:val="en-US"/>
        </w:rPr>
        <w:t>(</w:t>
      </w:r>
      <w:r w:rsidRPr="006B5BAF">
        <w:rPr>
          <w:rtl/>
          <w:lang w:val="en-US"/>
        </w:rPr>
        <w:t>2</w:t>
      </w:r>
      <w:r w:rsidRPr="00977A73">
        <w:rPr>
          <w:rtl/>
          <w:lang w:val="en-US"/>
        </w:rPr>
        <w:t xml:space="preserve">) </w:t>
      </w:r>
      <w:r w:rsidRPr="001659E7">
        <w:rPr>
          <w:rtl/>
          <w:lang w:val="en-US"/>
        </w:rPr>
        <w:t xml:space="preserve">من الاتفاقية، لا يجوز التذرع بحالات الطوارئ لتبرير أي شكل من أشكال سلب المهاجرين حريتهم يمكن أن يصل إلى حد الاختفاء </w:t>
      </w:r>
      <w:proofErr w:type="gramStart"/>
      <w:r w:rsidRPr="001659E7">
        <w:rPr>
          <w:rtl/>
          <w:lang w:val="en-US"/>
        </w:rPr>
        <w:t>القسري</w:t>
      </w:r>
      <w:r w:rsidRPr="00D80B7D">
        <w:rPr>
          <w:vertAlign w:val="superscript"/>
          <w:rtl/>
          <w:lang w:val="en-US"/>
        </w:rPr>
        <w:t>(</w:t>
      </w:r>
      <w:proofErr w:type="gramEnd"/>
      <w:r w:rsidRPr="006B5BAF">
        <w:rPr>
          <w:rStyle w:val="FootnoteReference"/>
          <w:lang w:val="en-AU"/>
        </w:rPr>
        <w:footnoteReference w:id="25"/>
      </w:r>
      <w:r w:rsidRPr="00D80B7D">
        <w:rPr>
          <w:vertAlign w:val="superscript"/>
          <w:rtl/>
          <w:lang w:val="en-US"/>
        </w:rPr>
        <w:t>)</w:t>
      </w:r>
      <w:r w:rsidRPr="00977A73">
        <w:rPr>
          <w:rtl/>
          <w:lang w:val="en-US"/>
        </w:rPr>
        <w:t xml:space="preserve">. </w:t>
      </w:r>
      <w:r w:rsidR="008C21B1">
        <w:rPr>
          <w:rFonts w:hint="cs"/>
          <w:rtl/>
          <w:lang w:val="en-US"/>
        </w:rPr>
        <w:t xml:space="preserve">            </w:t>
      </w:r>
      <w:r w:rsidRPr="001659E7">
        <w:rPr>
          <w:rtl/>
          <w:lang w:val="en-US"/>
        </w:rPr>
        <w:lastRenderedPageBreak/>
        <w:t>ولا يجوز إطلاقاً سلب الأطفال حريتهم لأسباب تتعلق بوضعهم أو بوضع والديهم من حيث إنهم من المهاجرين أو</w:t>
      </w:r>
      <w:r>
        <w:rPr>
          <w:rFonts w:hint="cs"/>
          <w:rtl/>
          <w:lang w:val="en-US"/>
        </w:rPr>
        <w:t> </w:t>
      </w:r>
      <w:r w:rsidRPr="001659E7">
        <w:rPr>
          <w:rtl/>
          <w:lang w:val="en-US"/>
        </w:rPr>
        <w:t>المقيمين، أو لعدم استيفاء شروط الحصول على إحدى الصفتين، أو لمجرد كونهم غير مصحوبين أو</w:t>
      </w:r>
      <w:r>
        <w:rPr>
          <w:rFonts w:hint="cs"/>
          <w:rtl/>
          <w:lang w:val="en-US"/>
        </w:rPr>
        <w:t> </w:t>
      </w:r>
      <w:r w:rsidRPr="001659E7">
        <w:rPr>
          <w:rtl/>
          <w:lang w:val="en-US"/>
        </w:rPr>
        <w:t xml:space="preserve">منفصلين عن </w:t>
      </w:r>
      <w:proofErr w:type="gramStart"/>
      <w:r w:rsidRPr="001659E7">
        <w:rPr>
          <w:rtl/>
          <w:lang w:val="en-US"/>
        </w:rPr>
        <w:t>ذويهم</w:t>
      </w:r>
      <w:r w:rsidRPr="00D80B7D">
        <w:rPr>
          <w:vertAlign w:val="superscript"/>
          <w:rtl/>
          <w:lang w:val="en-US"/>
        </w:rPr>
        <w:t>(</w:t>
      </w:r>
      <w:proofErr w:type="gramEnd"/>
      <w:r w:rsidRPr="006B5BAF">
        <w:rPr>
          <w:rStyle w:val="FootnoteReference"/>
          <w:lang w:val="en-AU"/>
        </w:rPr>
        <w:footnoteReference w:id="26"/>
      </w:r>
      <w:r w:rsidRPr="00D80B7D">
        <w:rPr>
          <w:vertAlign w:val="superscript"/>
          <w:rtl/>
          <w:lang w:val="en-US"/>
        </w:rPr>
        <w:t>)</w:t>
      </w:r>
      <w:r w:rsidRPr="00977A73">
        <w:rPr>
          <w:rtl/>
          <w:lang w:val="en-US"/>
        </w:rPr>
        <w:t xml:space="preserve">، </w:t>
      </w:r>
      <w:r w:rsidRPr="001659E7">
        <w:rPr>
          <w:rtl/>
          <w:lang w:val="en-US"/>
        </w:rPr>
        <w:t>وينبغي إحالة القصر غير المصحوبين الذين يتم القبض عليهم أثناء الهجرة إلى سلطات حماية الطفل</w:t>
      </w:r>
      <w:r w:rsidRPr="00D80B7D">
        <w:rPr>
          <w:vertAlign w:val="superscript"/>
          <w:rtl/>
          <w:lang w:val="en-US"/>
        </w:rPr>
        <w:t>(</w:t>
      </w:r>
      <w:r w:rsidRPr="006B5BAF">
        <w:rPr>
          <w:rStyle w:val="FootnoteReference"/>
          <w:lang w:val="en-AU"/>
        </w:rPr>
        <w:footnoteReference w:id="27"/>
      </w:r>
      <w:r w:rsidRPr="00D80B7D">
        <w:rPr>
          <w:vertAlign w:val="superscript"/>
          <w:rtl/>
          <w:lang w:val="en-US"/>
        </w:rPr>
        <w:t>)</w:t>
      </w:r>
      <w:r w:rsidRPr="00977A73">
        <w:rPr>
          <w:rtl/>
          <w:lang w:val="en-US"/>
        </w:rPr>
        <w:t xml:space="preserve">. </w:t>
      </w:r>
      <w:r w:rsidRPr="001659E7">
        <w:rPr>
          <w:rtl/>
          <w:lang w:val="en-US"/>
        </w:rPr>
        <w:t xml:space="preserve">ويكتسي حظر الاحتجاز السري بموجب المادة </w:t>
      </w:r>
      <w:r w:rsidRPr="006B5BAF">
        <w:rPr>
          <w:rtl/>
          <w:lang w:val="en-US"/>
        </w:rPr>
        <w:t>17</w:t>
      </w:r>
      <w:r w:rsidRPr="001659E7">
        <w:rPr>
          <w:rtl/>
          <w:lang w:val="en-US"/>
        </w:rPr>
        <w:t xml:space="preserve"> من الاتفاقية أهمية خاصة لمنع حالات الاختفاء، ويمتد ليشمل الحالات التي يُسلب فيها المهاجرون حريتَهم على أيدي جهات فاعلة من غير الدول تعمل بدعم من الدولة أو بإذن منها أو </w:t>
      </w:r>
      <w:proofErr w:type="gramStart"/>
      <w:r w:rsidRPr="001659E7">
        <w:rPr>
          <w:rtl/>
          <w:lang w:val="en-US"/>
        </w:rPr>
        <w:t>بموافقتها</w:t>
      </w:r>
      <w:r w:rsidRPr="00D80B7D">
        <w:rPr>
          <w:vertAlign w:val="superscript"/>
          <w:rtl/>
          <w:lang w:val="en-US"/>
        </w:rPr>
        <w:t>(</w:t>
      </w:r>
      <w:proofErr w:type="gramEnd"/>
      <w:r w:rsidRPr="006B5BAF">
        <w:rPr>
          <w:rStyle w:val="FootnoteReference"/>
          <w:lang w:val="en-AU"/>
        </w:rPr>
        <w:footnoteReference w:id="28"/>
      </w:r>
      <w:r w:rsidRPr="00D80B7D">
        <w:rPr>
          <w:vertAlign w:val="superscript"/>
          <w:rtl/>
          <w:lang w:val="en-US"/>
        </w:rPr>
        <w:t>)</w:t>
      </w:r>
      <w:r w:rsidRPr="00977A73">
        <w:rPr>
          <w:rtl/>
          <w:lang w:val="en-US"/>
        </w:rPr>
        <w:t>.</w:t>
      </w:r>
    </w:p>
    <w:p w14:paraId="3CBB52E1" w14:textId="6AD1742B" w:rsidR="005E0255" w:rsidRDefault="005E0255" w:rsidP="001659E7">
      <w:pPr>
        <w:pStyle w:val="SingleTxtGA"/>
        <w:rPr>
          <w:lang w:val="en-US"/>
        </w:rPr>
      </w:pPr>
      <w:r w:rsidRPr="006B5BAF">
        <w:rPr>
          <w:rtl/>
          <w:lang w:val="en-US"/>
        </w:rPr>
        <w:t>17</w:t>
      </w:r>
      <w:r w:rsidRPr="001659E7">
        <w:rPr>
          <w:rtl/>
          <w:lang w:val="en-US"/>
        </w:rPr>
        <w:t>-</w:t>
      </w:r>
      <w:r w:rsidRPr="001659E7">
        <w:rPr>
          <w:rtl/>
          <w:lang w:val="en-US"/>
        </w:rPr>
        <w:tab/>
        <w:t xml:space="preserve">ويشمل الحظر المطلق، بموجب المادة </w:t>
      </w:r>
      <w:r w:rsidRPr="006B5BAF">
        <w:rPr>
          <w:rtl/>
          <w:lang w:val="en-US"/>
        </w:rPr>
        <w:t>17</w:t>
      </w:r>
      <w:r w:rsidRPr="001659E7">
        <w:rPr>
          <w:rtl/>
          <w:lang w:val="en-US"/>
        </w:rPr>
        <w:t>(</w:t>
      </w:r>
      <w:r w:rsidRPr="006B5BAF">
        <w:rPr>
          <w:rtl/>
          <w:lang w:val="en-US"/>
        </w:rPr>
        <w:t>1</w:t>
      </w:r>
      <w:r w:rsidRPr="00977A73">
        <w:rPr>
          <w:rtl/>
          <w:lang w:val="en-US"/>
        </w:rPr>
        <w:t xml:space="preserve">) </w:t>
      </w:r>
      <w:r w:rsidRPr="001659E7">
        <w:rPr>
          <w:rtl/>
          <w:lang w:val="en-US"/>
        </w:rPr>
        <w:t xml:space="preserve">من الاتفاقية، للاحتجاز السري لأي </w:t>
      </w:r>
      <w:proofErr w:type="gramStart"/>
      <w:r w:rsidRPr="001659E7">
        <w:rPr>
          <w:rtl/>
          <w:lang w:val="en-US"/>
        </w:rPr>
        <w:t>شخص</w:t>
      </w:r>
      <w:r w:rsidRPr="00D80B7D">
        <w:rPr>
          <w:vertAlign w:val="superscript"/>
          <w:rtl/>
          <w:lang w:val="en-US"/>
        </w:rPr>
        <w:t>(</w:t>
      </w:r>
      <w:proofErr w:type="gramEnd"/>
      <w:r w:rsidRPr="006B5BAF">
        <w:rPr>
          <w:rStyle w:val="FootnoteReference"/>
          <w:lang w:val="en-AU"/>
        </w:rPr>
        <w:footnoteReference w:id="29"/>
      </w:r>
      <w:r w:rsidRPr="00D80B7D">
        <w:rPr>
          <w:vertAlign w:val="superscript"/>
          <w:rtl/>
          <w:lang w:val="en-US"/>
        </w:rPr>
        <w:t>)</w:t>
      </w:r>
      <w:r w:rsidRPr="00977A73">
        <w:rPr>
          <w:rtl/>
          <w:lang w:val="en-US"/>
        </w:rPr>
        <w:t xml:space="preserve">، </w:t>
      </w:r>
      <w:r w:rsidRPr="001659E7">
        <w:rPr>
          <w:rtl/>
          <w:lang w:val="en-US"/>
        </w:rPr>
        <w:t>بمن في ذلك المهاجرون، أي شكل من أشكال سلب الحرية، بما في ذلك الاحتجاز مع منع الاتصال والنقل إلى مكان سري</w:t>
      </w:r>
      <w:r w:rsidRPr="00D80B7D">
        <w:rPr>
          <w:vertAlign w:val="superscript"/>
          <w:rtl/>
          <w:lang w:val="en-US"/>
        </w:rPr>
        <w:t>(</w:t>
      </w:r>
      <w:r w:rsidRPr="006B5BAF">
        <w:rPr>
          <w:rStyle w:val="FootnoteReference"/>
          <w:lang w:val="en-AU"/>
        </w:rPr>
        <w:footnoteReference w:id="30"/>
      </w:r>
      <w:r w:rsidRPr="00D80B7D">
        <w:rPr>
          <w:vertAlign w:val="superscript"/>
          <w:rtl/>
          <w:lang w:val="en-US"/>
        </w:rPr>
        <w:t>)</w:t>
      </w:r>
      <w:r w:rsidRPr="00977A73">
        <w:rPr>
          <w:rtl/>
          <w:lang w:val="en-US"/>
        </w:rPr>
        <w:t xml:space="preserve">، </w:t>
      </w:r>
      <w:r w:rsidRPr="001659E7">
        <w:rPr>
          <w:rtl/>
          <w:lang w:val="en-US"/>
        </w:rPr>
        <w:t>بصرف النظر عن مدة الاحتجاز والذريعة المستخدمة لتبريره</w:t>
      </w:r>
      <w:r w:rsidRPr="00D80B7D">
        <w:rPr>
          <w:vertAlign w:val="superscript"/>
          <w:rtl/>
          <w:lang w:val="en-US"/>
        </w:rPr>
        <w:t>(</w:t>
      </w:r>
      <w:r w:rsidRPr="006B5BAF">
        <w:rPr>
          <w:rStyle w:val="FootnoteReference"/>
          <w:lang w:val="en-AU"/>
        </w:rPr>
        <w:footnoteReference w:id="31"/>
      </w:r>
      <w:r w:rsidRPr="00D80B7D">
        <w:rPr>
          <w:vertAlign w:val="superscript"/>
          <w:rtl/>
          <w:lang w:val="en-US"/>
        </w:rPr>
        <w:t>)</w:t>
      </w:r>
      <w:r w:rsidRPr="00977A73">
        <w:rPr>
          <w:rtl/>
          <w:lang w:val="en-US"/>
        </w:rPr>
        <w:t xml:space="preserve">. </w:t>
      </w:r>
      <w:r w:rsidRPr="001659E7">
        <w:rPr>
          <w:rtl/>
          <w:lang w:val="en-US"/>
        </w:rPr>
        <w:t xml:space="preserve">وفي حالة </w:t>
      </w:r>
      <w:r w:rsidRPr="00977A73">
        <w:rPr>
          <w:spacing w:val="-4"/>
          <w:rtl/>
          <w:lang w:val="en-US"/>
        </w:rPr>
        <w:t>سلب المهاجرين حريتهم، يجب أن تكفل الدول الأطراف، بحكم القانون وبحكم الواقع، ومن دون استثناء وبصرف</w:t>
      </w:r>
      <w:r w:rsidRPr="001659E7">
        <w:rPr>
          <w:rtl/>
          <w:lang w:val="en-US"/>
        </w:rPr>
        <w:t xml:space="preserve"> </w:t>
      </w:r>
      <w:r w:rsidRPr="00977A73">
        <w:rPr>
          <w:spacing w:val="-4"/>
          <w:rtl/>
          <w:lang w:val="en-US"/>
        </w:rPr>
        <w:t xml:space="preserve">النظر عن مكان سلب الحرية، جميع الضمانات القانونية الأساسية المنصوص عليها في المادة </w:t>
      </w:r>
      <w:r w:rsidRPr="006B5BAF">
        <w:rPr>
          <w:spacing w:val="-4"/>
          <w:rtl/>
          <w:lang w:val="en-US"/>
        </w:rPr>
        <w:t>17</w:t>
      </w:r>
      <w:r w:rsidRPr="00977A73">
        <w:rPr>
          <w:spacing w:val="-4"/>
          <w:rtl/>
          <w:lang w:val="en-US"/>
        </w:rPr>
        <w:t>(</w:t>
      </w:r>
      <w:r w:rsidRPr="006B5BAF">
        <w:rPr>
          <w:spacing w:val="-4"/>
          <w:rtl/>
          <w:lang w:val="en-US"/>
        </w:rPr>
        <w:t>2</w:t>
      </w:r>
      <w:r w:rsidRPr="00977A73">
        <w:rPr>
          <w:spacing w:val="-4"/>
          <w:rtl/>
          <w:lang w:val="en-US"/>
        </w:rPr>
        <w:t>) من</w:t>
      </w:r>
      <w:r w:rsidRPr="001659E7">
        <w:rPr>
          <w:rtl/>
          <w:lang w:val="en-US"/>
        </w:rPr>
        <w:t xml:space="preserve"> الاتفاقية وغيرها من معاهدات حقوق </w:t>
      </w:r>
      <w:proofErr w:type="gramStart"/>
      <w:r w:rsidRPr="001659E7">
        <w:rPr>
          <w:rtl/>
          <w:lang w:val="en-US"/>
        </w:rPr>
        <w:t>الإنسان</w:t>
      </w:r>
      <w:r w:rsidRPr="00D80B7D">
        <w:rPr>
          <w:vertAlign w:val="superscript"/>
          <w:rtl/>
          <w:lang w:val="en-US"/>
        </w:rPr>
        <w:t>(</w:t>
      </w:r>
      <w:proofErr w:type="gramEnd"/>
      <w:r w:rsidRPr="006B5BAF">
        <w:rPr>
          <w:rStyle w:val="FootnoteReference"/>
          <w:lang w:val="en-AU"/>
        </w:rPr>
        <w:footnoteReference w:id="32"/>
      </w:r>
      <w:r w:rsidRPr="00D80B7D">
        <w:rPr>
          <w:vertAlign w:val="superscript"/>
          <w:rtl/>
          <w:lang w:val="en-US"/>
        </w:rPr>
        <w:t>)</w:t>
      </w:r>
      <w:r w:rsidRPr="00977A73">
        <w:rPr>
          <w:rtl/>
          <w:lang w:val="en-US"/>
        </w:rPr>
        <w:t xml:space="preserve">. </w:t>
      </w:r>
      <w:r w:rsidRPr="001659E7">
        <w:rPr>
          <w:rtl/>
          <w:lang w:val="en-US"/>
        </w:rPr>
        <w:t xml:space="preserve">ويشمل ذلك التدابير التالية: </w:t>
      </w:r>
    </w:p>
    <w:p w14:paraId="2AE784C2" w14:textId="11F31E01" w:rsidR="005E0255" w:rsidRPr="00AA1A4B" w:rsidRDefault="005E0255" w:rsidP="001659E7">
      <w:pPr>
        <w:pStyle w:val="SingleTxtGA"/>
        <w:rPr>
          <w:spacing w:val="-2"/>
          <w:lang w:val="en-US"/>
        </w:rPr>
      </w:pPr>
      <w:r w:rsidRPr="00AA1A4B">
        <w:rPr>
          <w:spacing w:val="-2"/>
          <w:rtl/>
          <w:lang w:val="en-US"/>
        </w:rPr>
        <w:tab/>
        <w:t>(أ)</w:t>
      </w:r>
      <w:r w:rsidRPr="00AA1A4B">
        <w:rPr>
          <w:spacing w:val="-2"/>
          <w:rtl/>
          <w:lang w:val="en-US"/>
        </w:rPr>
        <w:tab/>
        <w:t>تضمين التشريعات أحكام</w:t>
      </w:r>
      <w:r>
        <w:rPr>
          <w:spacing w:val="-2"/>
          <w:rtl/>
          <w:lang w:val="en-US"/>
        </w:rPr>
        <w:t xml:space="preserve">اً </w:t>
      </w:r>
      <w:r w:rsidRPr="00AA1A4B">
        <w:rPr>
          <w:spacing w:val="-2"/>
          <w:rtl/>
          <w:lang w:val="en-US"/>
        </w:rPr>
        <w:t xml:space="preserve">تحدد الشروط التي يجوز في ظلها سلب المهاجرين حريتهم؛ </w:t>
      </w:r>
    </w:p>
    <w:p w14:paraId="532AB97C" w14:textId="77777777" w:rsidR="005E0255" w:rsidRDefault="005E0255" w:rsidP="001659E7">
      <w:pPr>
        <w:pStyle w:val="SingleTxtGA"/>
        <w:rPr>
          <w:lang w:val="en-US"/>
        </w:rPr>
      </w:pPr>
      <w:r>
        <w:rPr>
          <w:rtl/>
          <w:lang w:val="en-US"/>
        </w:rPr>
        <w:tab/>
        <w:t>(</w:t>
      </w:r>
      <w:r w:rsidRPr="001659E7">
        <w:rPr>
          <w:rtl/>
          <w:lang w:val="en-US"/>
        </w:rPr>
        <w:t>ب)</w:t>
      </w:r>
      <w:r w:rsidRPr="001659E7">
        <w:rPr>
          <w:rtl/>
          <w:lang w:val="en-US"/>
        </w:rPr>
        <w:tab/>
        <w:t>تعيين السلطات المؤهلة لإصدار أوامر سلب الحرية؛</w:t>
      </w:r>
    </w:p>
    <w:p w14:paraId="4EA8BC23" w14:textId="50A8AF29" w:rsidR="005E0255" w:rsidRDefault="005E0255" w:rsidP="001659E7">
      <w:pPr>
        <w:pStyle w:val="SingleTxtGA"/>
        <w:rPr>
          <w:lang w:val="en-US"/>
        </w:rPr>
      </w:pPr>
      <w:r>
        <w:rPr>
          <w:rtl/>
          <w:lang w:val="en-US"/>
        </w:rPr>
        <w:tab/>
        <w:t>(</w:t>
      </w:r>
      <w:r w:rsidRPr="001659E7">
        <w:rPr>
          <w:rtl/>
          <w:lang w:val="en-US"/>
        </w:rPr>
        <w:t>ج)</w:t>
      </w:r>
      <w:r w:rsidRPr="001659E7">
        <w:rPr>
          <w:rtl/>
          <w:lang w:val="en-US"/>
        </w:rPr>
        <w:tab/>
        <w:t>التحقق من أن المهاجرين المسلوبة حريتهم لا يودعون إلا في أماكن سلب الحرية المعترف بها رسمي</w:t>
      </w:r>
      <w:r>
        <w:rPr>
          <w:rtl/>
          <w:lang w:val="en-US"/>
        </w:rPr>
        <w:t xml:space="preserve">اً </w:t>
      </w:r>
      <w:r w:rsidRPr="001659E7">
        <w:rPr>
          <w:rtl/>
          <w:lang w:val="en-US"/>
        </w:rPr>
        <w:t>والخاضعة للمراقبة؛</w:t>
      </w:r>
    </w:p>
    <w:p w14:paraId="21B23A61" w14:textId="33A3B13C" w:rsidR="005E0255" w:rsidRDefault="005E0255" w:rsidP="001659E7">
      <w:pPr>
        <w:pStyle w:val="SingleTxtGA"/>
        <w:rPr>
          <w:lang w:val="en-US"/>
        </w:rPr>
      </w:pPr>
      <w:r>
        <w:rPr>
          <w:rtl/>
          <w:lang w:val="en-US"/>
        </w:rPr>
        <w:lastRenderedPageBreak/>
        <w:tab/>
        <w:t>(</w:t>
      </w:r>
      <w:r w:rsidRPr="001659E7">
        <w:rPr>
          <w:rtl/>
          <w:lang w:val="en-US"/>
        </w:rPr>
        <w:t>د)</w:t>
      </w:r>
      <w:r w:rsidRPr="001659E7">
        <w:rPr>
          <w:rtl/>
          <w:lang w:val="en-US"/>
        </w:rPr>
        <w:tab/>
      </w:r>
      <w:r w:rsidRPr="008C21B1">
        <w:rPr>
          <w:spacing w:val="-2"/>
          <w:rtl/>
          <w:lang w:val="en-US"/>
        </w:rPr>
        <w:t xml:space="preserve">ضمان إعلام المهاجرين المسلوبة حريتهم بحقوقهم منذ البداية، وبلغة يفهمونها، وتمكينهم </w:t>
      </w:r>
      <w:r w:rsidRPr="00810603">
        <w:rPr>
          <w:spacing w:val="-4"/>
          <w:rtl/>
          <w:lang w:val="en-US"/>
        </w:rPr>
        <w:t>فعلياً من الاستعانة بمحام، وعند الاقتضاء، بمترجم شفوي محترف، والسماح لهم بالاتصال دون إبطاء بأقاربهم</w:t>
      </w:r>
      <w:r w:rsidRPr="008C21B1">
        <w:rPr>
          <w:spacing w:val="-4"/>
          <w:rtl/>
          <w:lang w:val="en-US"/>
        </w:rPr>
        <w:t xml:space="preserve"> </w:t>
      </w:r>
      <w:r w:rsidRPr="00810603">
        <w:rPr>
          <w:spacing w:val="-6"/>
          <w:rtl/>
          <w:lang w:val="en-US"/>
        </w:rPr>
        <w:t>أو أي شخص يختارونه، وبسلطاتهم القنصلية أو غيرها من السلطات الدبلوماسية، إذا رغبوا في ذلك، بما في ذلك</w:t>
      </w:r>
      <w:r w:rsidRPr="008C21B1">
        <w:rPr>
          <w:spacing w:val="-2"/>
          <w:rtl/>
          <w:lang w:val="en-US"/>
        </w:rPr>
        <w:t xml:space="preserve"> الحق في الزيارة؛</w:t>
      </w:r>
    </w:p>
    <w:p w14:paraId="5F1C8727" w14:textId="137DF201" w:rsidR="005E0255" w:rsidRPr="00977A73" w:rsidRDefault="005E0255" w:rsidP="001659E7">
      <w:pPr>
        <w:pStyle w:val="SingleTxtGA"/>
        <w:rPr>
          <w:lang w:val="en-US"/>
        </w:rPr>
      </w:pPr>
      <w:r>
        <w:rPr>
          <w:rtl/>
          <w:lang w:val="en-US"/>
        </w:rPr>
        <w:tab/>
        <w:t>(</w:t>
      </w:r>
      <w:r w:rsidRPr="001659E7">
        <w:rPr>
          <w:rtl/>
          <w:lang w:val="en-US"/>
        </w:rPr>
        <w:t>هـ)</w:t>
      </w:r>
      <w:r w:rsidRPr="001659E7">
        <w:rPr>
          <w:rtl/>
          <w:lang w:val="en-US"/>
        </w:rPr>
        <w:tab/>
        <w:t>ضمان حق الأشخاص المسلوبة حريتهم، أو أي أشخاص لهم مصلحة مشروعة، دون</w:t>
      </w:r>
      <w:r w:rsidR="00810603">
        <w:rPr>
          <w:rFonts w:hint="cs"/>
          <w:rtl/>
          <w:lang w:val="en-US"/>
        </w:rPr>
        <w:t> </w:t>
      </w:r>
      <w:r w:rsidRPr="001659E7">
        <w:rPr>
          <w:rtl/>
          <w:lang w:val="en-US"/>
        </w:rPr>
        <w:t xml:space="preserve">قيد تحت أي ظرف من الظروف وبصرف النظر عن مكان سلب الحرية أو الوضع من حيث الهجرة، في رفع دعوى أمام محكمة للطعن في مشروعية سلب </w:t>
      </w:r>
      <w:proofErr w:type="gramStart"/>
      <w:r w:rsidRPr="001659E7">
        <w:rPr>
          <w:rtl/>
          <w:lang w:val="en-US"/>
        </w:rPr>
        <w:t>الحرية</w:t>
      </w:r>
      <w:r w:rsidRPr="00D80B7D">
        <w:rPr>
          <w:vertAlign w:val="superscript"/>
          <w:rtl/>
          <w:lang w:val="en-US"/>
        </w:rPr>
        <w:t>(</w:t>
      </w:r>
      <w:proofErr w:type="gramEnd"/>
      <w:r w:rsidRPr="006B5BAF">
        <w:rPr>
          <w:rStyle w:val="FootnoteReference"/>
          <w:lang w:val="en-AU"/>
        </w:rPr>
        <w:footnoteReference w:id="33"/>
      </w:r>
      <w:r w:rsidRPr="00D80B7D">
        <w:rPr>
          <w:vertAlign w:val="superscript"/>
          <w:rtl/>
          <w:lang w:val="en-US"/>
        </w:rPr>
        <w:t>)</w:t>
      </w:r>
      <w:r w:rsidRPr="00977A73">
        <w:rPr>
          <w:rtl/>
          <w:lang w:val="en-US"/>
        </w:rPr>
        <w:t>.</w:t>
      </w:r>
    </w:p>
    <w:p w14:paraId="6829B681" w14:textId="291015BB" w:rsidR="005E0255" w:rsidRPr="001659E7" w:rsidRDefault="005E0255" w:rsidP="001659E7">
      <w:pPr>
        <w:pStyle w:val="SingleTxtGA"/>
        <w:rPr>
          <w:lang w:val="en-US"/>
        </w:rPr>
      </w:pPr>
      <w:r w:rsidRPr="006B5BAF">
        <w:rPr>
          <w:rtl/>
          <w:lang w:val="en-US"/>
        </w:rPr>
        <w:t>18</w:t>
      </w:r>
      <w:r w:rsidRPr="001659E7">
        <w:rPr>
          <w:rtl/>
          <w:lang w:val="en-US"/>
        </w:rPr>
        <w:t>-</w:t>
      </w:r>
      <w:r w:rsidRPr="001659E7">
        <w:rPr>
          <w:rtl/>
          <w:lang w:val="en-US"/>
        </w:rPr>
        <w:tab/>
        <w:t xml:space="preserve">وينبغي </w:t>
      </w:r>
      <w:r>
        <w:rPr>
          <w:rtl/>
          <w:lang w:val="en-US"/>
        </w:rPr>
        <w:t xml:space="preserve">أيضاً </w:t>
      </w:r>
      <w:r w:rsidRPr="001659E7">
        <w:rPr>
          <w:rtl/>
          <w:lang w:val="en-US"/>
        </w:rPr>
        <w:t xml:space="preserve">أن تكفل الدول الأطراف إجراء تحقيق فعال وشامل وفوري ونزيه في ادعاءات الاحتجاز السري، ومقاضاة المسؤولين عنه ذلك ومعاقبتهم </w:t>
      </w:r>
      <w:r>
        <w:rPr>
          <w:rtl/>
          <w:lang w:val="en-US"/>
        </w:rPr>
        <w:t xml:space="preserve">وفقاً </w:t>
      </w:r>
      <w:r w:rsidRPr="001659E7">
        <w:rPr>
          <w:rtl/>
          <w:lang w:val="en-US"/>
        </w:rPr>
        <w:t xml:space="preserve">لخطورة أفعالهم إذا ثبتت </w:t>
      </w:r>
      <w:proofErr w:type="gramStart"/>
      <w:r w:rsidRPr="001659E7">
        <w:rPr>
          <w:rtl/>
          <w:lang w:val="en-US"/>
        </w:rPr>
        <w:t>إدانتهم</w:t>
      </w:r>
      <w:r w:rsidRPr="00D80B7D">
        <w:rPr>
          <w:vertAlign w:val="superscript"/>
          <w:rtl/>
          <w:lang w:val="en-US"/>
        </w:rPr>
        <w:t>(</w:t>
      </w:r>
      <w:proofErr w:type="gramEnd"/>
      <w:r w:rsidRPr="006B5BAF">
        <w:rPr>
          <w:rStyle w:val="FootnoteReference"/>
          <w:lang w:val="en-AU"/>
        </w:rPr>
        <w:footnoteReference w:id="34"/>
      </w:r>
      <w:r w:rsidRPr="00D80B7D">
        <w:rPr>
          <w:vertAlign w:val="superscript"/>
          <w:rtl/>
          <w:lang w:val="en-US"/>
        </w:rPr>
        <w:t>)</w:t>
      </w:r>
      <w:r w:rsidRPr="00977A73">
        <w:rPr>
          <w:rtl/>
          <w:lang w:val="en-US"/>
        </w:rPr>
        <w:t xml:space="preserve">. </w:t>
      </w:r>
    </w:p>
    <w:p w14:paraId="2C21029F" w14:textId="51C56277" w:rsidR="005E0255" w:rsidRPr="00977A73" w:rsidRDefault="005E0255" w:rsidP="001659E7">
      <w:pPr>
        <w:pStyle w:val="SingleTxtGA"/>
        <w:rPr>
          <w:lang w:val="en-US"/>
        </w:rPr>
      </w:pPr>
      <w:r w:rsidRPr="006B5BAF">
        <w:rPr>
          <w:rtl/>
          <w:lang w:val="en-US"/>
        </w:rPr>
        <w:t>19</w:t>
      </w:r>
      <w:r w:rsidRPr="001659E7">
        <w:rPr>
          <w:rtl/>
          <w:lang w:val="en-US"/>
        </w:rPr>
        <w:t>-</w:t>
      </w:r>
      <w:r w:rsidRPr="001659E7">
        <w:rPr>
          <w:rtl/>
          <w:lang w:val="en-US"/>
        </w:rPr>
        <w:tab/>
        <w:t xml:space="preserve">ويجب أن تضمن الدول الأطراف للمهاجرين المسلوبة حريتهم إمكانية الاتصال محلياً بمفوضية </w:t>
      </w:r>
      <w:r w:rsidRPr="008C21B1">
        <w:rPr>
          <w:spacing w:val="-4"/>
          <w:rtl/>
          <w:lang w:val="en-US"/>
        </w:rPr>
        <w:t>الأمم المتحدة السامية لشؤون اللاجئين أو الهيئات الوطنية المعنية باللاجئين أو غيرها من الوكالات المختصة</w:t>
      </w:r>
      <w:r w:rsidRPr="001659E7">
        <w:rPr>
          <w:rtl/>
          <w:lang w:val="en-US"/>
        </w:rPr>
        <w:t xml:space="preserve"> </w:t>
      </w:r>
      <w:r w:rsidRPr="008C21B1">
        <w:rPr>
          <w:spacing w:val="-4"/>
          <w:rtl/>
          <w:lang w:val="en-US"/>
        </w:rPr>
        <w:t>وأن تسمح لهم بتلقي اتصالات من هذه الجهات، وتتيح لهم إمكانية التواصل معها على انفراد. وينبغي تزويدهم</w:t>
      </w:r>
      <w:r w:rsidRPr="001659E7">
        <w:rPr>
          <w:rtl/>
          <w:lang w:val="en-US"/>
        </w:rPr>
        <w:t xml:space="preserve"> بالمعلومات عن إمكانية الاتصال ووسائل </w:t>
      </w:r>
      <w:proofErr w:type="gramStart"/>
      <w:r w:rsidRPr="001659E7">
        <w:rPr>
          <w:rtl/>
          <w:lang w:val="en-US"/>
        </w:rPr>
        <w:t>إجرائه</w:t>
      </w:r>
      <w:r w:rsidRPr="00D80B7D">
        <w:rPr>
          <w:vertAlign w:val="superscript"/>
          <w:rtl/>
          <w:lang w:val="en-US"/>
        </w:rPr>
        <w:t>(</w:t>
      </w:r>
      <w:proofErr w:type="gramEnd"/>
      <w:r w:rsidRPr="006B5BAF">
        <w:rPr>
          <w:rStyle w:val="FootnoteReference"/>
          <w:lang w:val="en-AU"/>
        </w:rPr>
        <w:footnoteReference w:id="35"/>
      </w:r>
      <w:r w:rsidRPr="00D80B7D">
        <w:rPr>
          <w:vertAlign w:val="superscript"/>
          <w:rtl/>
          <w:lang w:val="en-US"/>
        </w:rPr>
        <w:t>)</w:t>
      </w:r>
      <w:r w:rsidRPr="00977A73">
        <w:rPr>
          <w:rtl/>
          <w:lang w:val="en-US"/>
        </w:rPr>
        <w:t>.</w:t>
      </w:r>
    </w:p>
    <w:p w14:paraId="1D59C994" w14:textId="0BD3810E" w:rsidR="005E0255" w:rsidRPr="008C21B1" w:rsidRDefault="005E0255" w:rsidP="001659E7">
      <w:pPr>
        <w:pStyle w:val="SingleTxtGA"/>
        <w:rPr>
          <w:spacing w:val="-4"/>
          <w:lang w:val="en-US"/>
        </w:rPr>
      </w:pPr>
      <w:r w:rsidRPr="006B5BAF">
        <w:rPr>
          <w:rtl/>
          <w:lang w:val="en-US"/>
        </w:rPr>
        <w:t>20</w:t>
      </w:r>
      <w:r w:rsidRPr="001659E7">
        <w:rPr>
          <w:rtl/>
          <w:lang w:val="en-US"/>
        </w:rPr>
        <w:t>-</w:t>
      </w:r>
      <w:r w:rsidRPr="001659E7">
        <w:rPr>
          <w:rtl/>
          <w:lang w:val="en-US"/>
        </w:rPr>
        <w:tab/>
      </w:r>
      <w:r w:rsidRPr="00810603">
        <w:rPr>
          <w:spacing w:val="2"/>
          <w:rtl/>
          <w:lang w:val="en-US"/>
        </w:rPr>
        <w:t xml:space="preserve">ووفقاً للمادة </w:t>
      </w:r>
      <w:r w:rsidRPr="006B5BAF">
        <w:rPr>
          <w:spacing w:val="2"/>
          <w:rtl/>
          <w:lang w:val="en-US"/>
        </w:rPr>
        <w:t>17</w:t>
      </w:r>
      <w:r w:rsidRPr="00810603">
        <w:rPr>
          <w:spacing w:val="2"/>
          <w:rtl/>
          <w:lang w:val="en-US"/>
        </w:rPr>
        <w:t>(</w:t>
      </w:r>
      <w:r w:rsidRPr="006B5BAF">
        <w:rPr>
          <w:spacing w:val="2"/>
          <w:rtl/>
          <w:lang w:val="en-US"/>
        </w:rPr>
        <w:t>3</w:t>
      </w:r>
      <w:r w:rsidRPr="00810603">
        <w:rPr>
          <w:spacing w:val="2"/>
          <w:rtl/>
          <w:lang w:val="en-US"/>
        </w:rPr>
        <w:t>) من الاتفاقية، يجب على الدول الأطراف أن تحتفظ بسجلات ومحاضر</w:t>
      </w:r>
      <w:r w:rsidRPr="001659E7">
        <w:rPr>
          <w:rtl/>
          <w:lang w:val="en-US"/>
        </w:rPr>
        <w:t xml:space="preserve"> رسمية مستكملة لجميع المهاجرين المسلوبة حريتهم والمنقولين والمفرج عنهم، دون استثناء وبصرف النظر عن مكان سلب الحرية أو </w:t>
      </w:r>
      <w:proofErr w:type="gramStart"/>
      <w:r w:rsidRPr="001659E7">
        <w:rPr>
          <w:rtl/>
          <w:lang w:val="en-US"/>
        </w:rPr>
        <w:t>مدته</w:t>
      </w:r>
      <w:r w:rsidRPr="00D80B7D">
        <w:rPr>
          <w:vertAlign w:val="superscript"/>
          <w:rtl/>
          <w:lang w:val="en-US"/>
        </w:rPr>
        <w:t>(</w:t>
      </w:r>
      <w:proofErr w:type="gramEnd"/>
      <w:r w:rsidRPr="006B5BAF">
        <w:rPr>
          <w:rStyle w:val="FootnoteReference"/>
          <w:lang w:val="en-AU"/>
        </w:rPr>
        <w:footnoteReference w:id="36"/>
      </w:r>
      <w:r w:rsidRPr="00D80B7D">
        <w:rPr>
          <w:vertAlign w:val="superscript"/>
          <w:rtl/>
          <w:lang w:val="en-US"/>
        </w:rPr>
        <w:t>)</w:t>
      </w:r>
      <w:r w:rsidRPr="00977A73">
        <w:rPr>
          <w:rtl/>
          <w:lang w:val="en-US"/>
        </w:rPr>
        <w:t xml:space="preserve">. </w:t>
      </w:r>
      <w:r w:rsidRPr="001659E7">
        <w:rPr>
          <w:rtl/>
          <w:lang w:val="en-US"/>
        </w:rPr>
        <w:t xml:space="preserve">ويجب أن تتضمن هذه السجلات والمحاضر، كحد أدنى، المعلومات الواردة في المادة </w:t>
      </w:r>
      <w:r w:rsidRPr="006B5BAF">
        <w:rPr>
          <w:rtl/>
          <w:lang w:val="en-US"/>
        </w:rPr>
        <w:t>17</w:t>
      </w:r>
      <w:r w:rsidRPr="001659E7">
        <w:rPr>
          <w:rtl/>
          <w:lang w:val="en-US"/>
        </w:rPr>
        <w:t>(</w:t>
      </w:r>
      <w:r w:rsidRPr="006B5BAF">
        <w:rPr>
          <w:rtl/>
          <w:lang w:val="en-US"/>
        </w:rPr>
        <w:t>3</w:t>
      </w:r>
      <w:r w:rsidRPr="00977A73">
        <w:rPr>
          <w:rtl/>
          <w:lang w:val="en-US"/>
        </w:rPr>
        <w:t xml:space="preserve">) </w:t>
      </w:r>
      <w:r w:rsidRPr="001659E7">
        <w:rPr>
          <w:rtl/>
          <w:lang w:val="en-US"/>
        </w:rPr>
        <w:t xml:space="preserve">ويجب ملؤها وصيانتها بعناية ودون تأخير. وبالإضافة إلى المعلومات الواردة في المادة </w:t>
      </w:r>
      <w:r w:rsidRPr="006B5BAF">
        <w:rPr>
          <w:rtl/>
          <w:lang w:val="en-US"/>
        </w:rPr>
        <w:t>17</w:t>
      </w:r>
      <w:r w:rsidRPr="001659E7">
        <w:rPr>
          <w:rtl/>
          <w:lang w:val="en-US"/>
        </w:rPr>
        <w:t>(</w:t>
      </w:r>
      <w:r w:rsidRPr="006B5BAF">
        <w:rPr>
          <w:rtl/>
          <w:lang w:val="en-US"/>
        </w:rPr>
        <w:t>3</w:t>
      </w:r>
      <w:r w:rsidRPr="00977A73">
        <w:rPr>
          <w:rtl/>
          <w:lang w:val="en-US"/>
        </w:rPr>
        <w:t xml:space="preserve">)، </w:t>
      </w:r>
      <w:r w:rsidRPr="001659E7">
        <w:rPr>
          <w:rtl/>
          <w:lang w:val="en-US"/>
        </w:rPr>
        <w:t xml:space="preserve">ومع ضمان الاحترام الكامل للمبادئ التي تحكم حماية البيانات الفردية </w:t>
      </w:r>
      <w:r>
        <w:rPr>
          <w:rtl/>
          <w:lang w:val="en-US"/>
        </w:rPr>
        <w:t xml:space="preserve">وفقاً </w:t>
      </w:r>
      <w:r w:rsidRPr="001659E7">
        <w:rPr>
          <w:rtl/>
          <w:lang w:val="en-US"/>
        </w:rPr>
        <w:t xml:space="preserve">للمادة </w:t>
      </w:r>
      <w:r w:rsidRPr="006B5BAF">
        <w:rPr>
          <w:rtl/>
          <w:lang w:val="en-US"/>
        </w:rPr>
        <w:t>19</w:t>
      </w:r>
      <w:r w:rsidRPr="001659E7">
        <w:rPr>
          <w:rtl/>
          <w:lang w:val="en-US"/>
        </w:rPr>
        <w:t>، فإن</w:t>
      </w:r>
      <w:r w:rsidR="00B83256">
        <w:rPr>
          <w:rFonts w:hint="cs"/>
          <w:rtl/>
          <w:lang w:val="en-US"/>
        </w:rPr>
        <w:t> </w:t>
      </w:r>
      <w:r w:rsidRPr="008C21B1">
        <w:rPr>
          <w:spacing w:val="-4"/>
          <w:rtl/>
          <w:lang w:val="en-US"/>
        </w:rPr>
        <w:t xml:space="preserve">الدول الأطراف مدعوة إلى النظر في إدراج صور فوتوغرافية للأشخاص المسلوبة حريتهم، لأن بعض المهاجرين قد لا يحملون وثائق هوية أو قد يستخدمون هوية مزورة. ويجب أن توضَع السجلات والمحاضر فوراً، بناء على الطلب، تحت تصرف أية سلطة قضائية أو أية سلطة أخرى أو مؤسسة مختصة ومؤهلة بموجب تشريعات الدولة الطرف المعنية أو بموجب أي صك قانوني دولي ذي صلة تكون الدولة المعنية طرفاً فيه. </w:t>
      </w:r>
    </w:p>
    <w:p w14:paraId="1896F947" w14:textId="2EE56AC1" w:rsidR="005E0255" w:rsidRPr="001659E7" w:rsidRDefault="005E0255" w:rsidP="001659E7">
      <w:pPr>
        <w:pStyle w:val="SingleTxtGA"/>
        <w:rPr>
          <w:lang w:val="en-US"/>
        </w:rPr>
      </w:pPr>
      <w:r w:rsidRPr="006B5BAF">
        <w:rPr>
          <w:rtl/>
          <w:lang w:val="en-US"/>
        </w:rPr>
        <w:t>21</w:t>
      </w:r>
      <w:r w:rsidRPr="001659E7">
        <w:rPr>
          <w:rtl/>
          <w:lang w:val="en-US"/>
        </w:rPr>
        <w:t>-</w:t>
      </w:r>
      <w:r w:rsidRPr="001659E7">
        <w:rPr>
          <w:rtl/>
          <w:lang w:val="en-US"/>
        </w:rPr>
        <w:tab/>
        <w:t xml:space="preserve">ويجب على الدولة الطرف أن تقدم دون تأخير معلومات عن المهاجرين المسلوبة حريتهم لأي شخص له مصلحة مشروعة، مثل الأقارب أو ممثليهم أو محاميهم. وينبغي أن تشمل هذه المعلومات، كحد أدنى، المعلومات الواردة في المادة </w:t>
      </w:r>
      <w:r w:rsidRPr="006B5BAF">
        <w:rPr>
          <w:rtl/>
          <w:lang w:val="en-US"/>
        </w:rPr>
        <w:t>18</w:t>
      </w:r>
      <w:r w:rsidRPr="001659E7">
        <w:rPr>
          <w:rtl/>
          <w:lang w:val="en-US"/>
        </w:rPr>
        <w:t>(</w:t>
      </w:r>
      <w:r w:rsidRPr="006B5BAF">
        <w:rPr>
          <w:rtl/>
          <w:lang w:val="en-US"/>
        </w:rPr>
        <w:t>1</w:t>
      </w:r>
      <w:r w:rsidRPr="00977A73">
        <w:rPr>
          <w:rtl/>
          <w:lang w:val="en-US"/>
        </w:rPr>
        <w:t xml:space="preserve">) </w:t>
      </w:r>
      <w:r w:rsidRPr="001659E7">
        <w:rPr>
          <w:rtl/>
          <w:lang w:val="en-US"/>
        </w:rPr>
        <w:t xml:space="preserve">من الاتفاقية، ويجب على الدول أن تكفل للأشخاص ممّن لهم مصلحة مشروعة إمكانية حقيقية للوصول </w:t>
      </w:r>
      <w:proofErr w:type="gramStart"/>
      <w:r w:rsidRPr="001659E7">
        <w:rPr>
          <w:rtl/>
          <w:lang w:val="en-US"/>
        </w:rPr>
        <w:t>إليها</w:t>
      </w:r>
      <w:r w:rsidRPr="00D80B7D">
        <w:rPr>
          <w:vertAlign w:val="superscript"/>
          <w:rtl/>
          <w:lang w:val="en-US"/>
        </w:rPr>
        <w:t>(</w:t>
      </w:r>
      <w:proofErr w:type="gramEnd"/>
      <w:r w:rsidRPr="006B5BAF">
        <w:rPr>
          <w:rStyle w:val="FootnoteReference"/>
          <w:lang w:val="en-AU"/>
        </w:rPr>
        <w:footnoteReference w:id="37"/>
      </w:r>
      <w:r w:rsidRPr="00D80B7D">
        <w:rPr>
          <w:vertAlign w:val="superscript"/>
          <w:rtl/>
          <w:lang w:val="en-US"/>
        </w:rPr>
        <w:t>)</w:t>
      </w:r>
      <w:r w:rsidRPr="00977A73">
        <w:rPr>
          <w:rtl/>
          <w:lang w:val="en-US"/>
        </w:rPr>
        <w:t xml:space="preserve">. </w:t>
      </w:r>
      <w:r w:rsidRPr="001659E7">
        <w:rPr>
          <w:rtl/>
          <w:lang w:val="en-US"/>
        </w:rPr>
        <w:t xml:space="preserve">ولا يجوز تقييد حق الأشخاص الذين لهم مصلحة مشروعة في الحصول على المعلومات وتلقيها إلا </w:t>
      </w:r>
      <w:r>
        <w:rPr>
          <w:rtl/>
          <w:lang w:val="en-US"/>
        </w:rPr>
        <w:t xml:space="preserve">وفقاً </w:t>
      </w:r>
      <w:r w:rsidRPr="001659E7">
        <w:rPr>
          <w:rtl/>
          <w:lang w:val="en-US"/>
        </w:rPr>
        <w:t xml:space="preserve">لأحكام المادة </w:t>
      </w:r>
      <w:r w:rsidRPr="006B5BAF">
        <w:rPr>
          <w:rtl/>
          <w:lang w:val="en-US"/>
        </w:rPr>
        <w:t>20</w:t>
      </w:r>
      <w:r w:rsidRPr="001659E7">
        <w:rPr>
          <w:rtl/>
          <w:lang w:val="en-US"/>
        </w:rPr>
        <w:t>(</w:t>
      </w:r>
      <w:proofErr w:type="gramStart"/>
      <w:r w:rsidRPr="006B5BAF">
        <w:rPr>
          <w:rtl/>
          <w:lang w:val="en-US"/>
        </w:rPr>
        <w:t>1</w:t>
      </w:r>
      <w:r w:rsidRPr="001659E7">
        <w:rPr>
          <w:rtl/>
          <w:lang w:val="en-US"/>
        </w:rPr>
        <w:t>)</w:t>
      </w:r>
      <w:r w:rsidRPr="00D80B7D">
        <w:rPr>
          <w:vertAlign w:val="superscript"/>
          <w:rtl/>
          <w:lang w:val="en-US"/>
        </w:rPr>
        <w:t>(</w:t>
      </w:r>
      <w:proofErr w:type="gramEnd"/>
      <w:r w:rsidRPr="006B5BAF">
        <w:rPr>
          <w:rStyle w:val="FootnoteReference"/>
          <w:lang w:val="en-AU"/>
        </w:rPr>
        <w:footnoteReference w:id="38"/>
      </w:r>
      <w:r w:rsidRPr="00D80B7D">
        <w:rPr>
          <w:vertAlign w:val="superscript"/>
          <w:rtl/>
          <w:lang w:val="en-US"/>
        </w:rPr>
        <w:t>)</w:t>
      </w:r>
      <w:r w:rsidRPr="00977A73">
        <w:rPr>
          <w:rtl/>
          <w:lang w:val="en-US"/>
        </w:rPr>
        <w:t xml:space="preserve">. </w:t>
      </w:r>
      <w:r w:rsidRPr="001659E7">
        <w:rPr>
          <w:rtl/>
          <w:lang w:val="en-US"/>
        </w:rPr>
        <w:t xml:space="preserve">وينبغي أن تكفل الدول الأطراف عدم استخدام اللوائح المتعلقة بحماية البيانات أو خصوصيتها أسباباً لحجب </w:t>
      </w:r>
      <w:proofErr w:type="gramStart"/>
      <w:r w:rsidRPr="001659E7">
        <w:rPr>
          <w:rtl/>
          <w:lang w:val="en-US"/>
        </w:rPr>
        <w:t>المعلومات</w:t>
      </w:r>
      <w:r w:rsidRPr="00D80B7D">
        <w:rPr>
          <w:vertAlign w:val="superscript"/>
          <w:rtl/>
          <w:lang w:val="en-US"/>
        </w:rPr>
        <w:t>(</w:t>
      </w:r>
      <w:proofErr w:type="gramEnd"/>
      <w:r w:rsidRPr="006B5BAF">
        <w:rPr>
          <w:rStyle w:val="FootnoteReference"/>
          <w:lang w:val="en-AU"/>
        </w:rPr>
        <w:footnoteReference w:id="39"/>
      </w:r>
      <w:r w:rsidRPr="00D80B7D">
        <w:rPr>
          <w:vertAlign w:val="superscript"/>
          <w:rtl/>
          <w:lang w:val="en-US"/>
        </w:rPr>
        <w:t>)</w:t>
      </w:r>
      <w:r w:rsidRPr="00977A73">
        <w:rPr>
          <w:rtl/>
          <w:lang w:val="en-US"/>
        </w:rPr>
        <w:t xml:space="preserve">. </w:t>
      </w:r>
    </w:p>
    <w:p w14:paraId="7CC3FCB3" w14:textId="7F8F7AE4" w:rsidR="005E0255" w:rsidRPr="00977A73" w:rsidRDefault="005E0255" w:rsidP="008C21B1">
      <w:pPr>
        <w:pStyle w:val="SingleTxtGA"/>
        <w:spacing w:line="340" w:lineRule="exact"/>
        <w:rPr>
          <w:lang w:val="en-US"/>
        </w:rPr>
      </w:pPr>
      <w:r w:rsidRPr="006B5BAF">
        <w:rPr>
          <w:rtl/>
          <w:lang w:val="en-US"/>
        </w:rPr>
        <w:lastRenderedPageBreak/>
        <w:t>22</w:t>
      </w:r>
      <w:r w:rsidRPr="001659E7">
        <w:rPr>
          <w:rtl/>
          <w:lang w:val="en-US"/>
        </w:rPr>
        <w:t>-</w:t>
      </w:r>
      <w:r w:rsidRPr="001659E7">
        <w:rPr>
          <w:rtl/>
          <w:lang w:val="en-US"/>
        </w:rPr>
        <w:tab/>
      </w:r>
      <w:r w:rsidRPr="00183B80">
        <w:rPr>
          <w:spacing w:val="-4"/>
          <w:rtl/>
          <w:lang w:val="en-US"/>
        </w:rPr>
        <w:t xml:space="preserve">وينبغي أيضاً أن تعدّ الدول الأطراف قوائم شاملة بجميع أماكن سلب الحرية وأن تتيحها </w:t>
      </w:r>
      <w:proofErr w:type="gramStart"/>
      <w:r w:rsidRPr="00183B80">
        <w:rPr>
          <w:spacing w:val="-4"/>
          <w:rtl/>
          <w:lang w:val="en-US"/>
        </w:rPr>
        <w:t>للجمهور</w:t>
      </w:r>
      <w:r w:rsidRPr="00D80B7D">
        <w:rPr>
          <w:vertAlign w:val="superscript"/>
          <w:rtl/>
          <w:lang w:val="en-US"/>
        </w:rPr>
        <w:t>(</w:t>
      </w:r>
      <w:proofErr w:type="gramEnd"/>
      <w:r w:rsidRPr="006B5BAF">
        <w:rPr>
          <w:rStyle w:val="FootnoteReference"/>
          <w:lang w:val="en-AU"/>
        </w:rPr>
        <w:footnoteReference w:id="40"/>
      </w:r>
      <w:r w:rsidRPr="00D80B7D">
        <w:rPr>
          <w:vertAlign w:val="superscript"/>
          <w:rtl/>
          <w:lang w:val="en-US"/>
        </w:rPr>
        <w:t>)</w:t>
      </w:r>
      <w:r w:rsidRPr="00977A73">
        <w:rPr>
          <w:rtl/>
          <w:lang w:val="en-US"/>
        </w:rPr>
        <w:t xml:space="preserve">، </w:t>
      </w:r>
      <w:r w:rsidRPr="001659E7">
        <w:rPr>
          <w:rtl/>
          <w:lang w:val="en-US"/>
        </w:rPr>
        <w:t>وأن تكفل لآليات الرصد المستقلة والنزيهة، مثل المؤسسات الوطنية لحقوق الإنسان، والآليات الوقائية الوطنية، ومنظمات المجتمع المدني، والمنظمات الدولية، إمكانية الوصول الكامل إلى أي مكان يُسلب فيه المهاجرون حريتهم، سواء أكانت تديره الدولة الطرف أو جهات خاصة</w:t>
      </w:r>
      <w:r w:rsidRPr="00D80B7D">
        <w:rPr>
          <w:vertAlign w:val="superscript"/>
          <w:rtl/>
          <w:lang w:val="en-US"/>
        </w:rPr>
        <w:t>(</w:t>
      </w:r>
      <w:r w:rsidRPr="006B5BAF">
        <w:rPr>
          <w:rStyle w:val="FootnoteReference"/>
          <w:lang w:val="en-AU"/>
        </w:rPr>
        <w:footnoteReference w:id="41"/>
      </w:r>
      <w:r w:rsidRPr="00D80B7D">
        <w:rPr>
          <w:vertAlign w:val="superscript"/>
          <w:rtl/>
          <w:lang w:val="en-US"/>
        </w:rPr>
        <w:t>)</w:t>
      </w:r>
      <w:r w:rsidRPr="00977A73">
        <w:rPr>
          <w:rtl/>
          <w:lang w:val="en-US"/>
        </w:rPr>
        <w:t xml:space="preserve">. </w:t>
      </w:r>
      <w:r w:rsidRPr="001659E7">
        <w:rPr>
          <w:rtl/>
          <w:lang w:val="en-US"/>
        </w:rPr>
        <w:t xml:space="preserve">ويجب أن يُكفل الوصول إلى مواقع سلب الحرية في القانون، </w:t>
      </w:r>
      <w:r>
        <w:rPr>
          <w:rtl/>
          <w:lang w:val="en-US"/>
        </w:rPr>
        <w:t xml:space="preserve">وفقاً </w:t>
      </w:r>
      <w:r w:rsidRPr="001659E7">
        <w:rPr>
          <w:rtl/>
          <w:lang w:val="en-US"/>
        </w:rPr>
        <w:t xml:space="preserve">للمادة </w:t>
      </w:r>
      <w:r w:rsidRPr="006B5BAF">
        <w:rPr>
          <w:rtl/>
          <w:lang w:val="en-US"/>
        </w:rPr>
        <w:t>17</w:t>
      </w:r>
      <w:r w:rsidRPr="001659E7">
        <w:rPr>
          <w:rtl/>
          <w:lang w:val="en-US"/>
        </w:rPr>
        <w:t>(</w:t>
      </w:r>
      <w:r w:rsidRPr="006B5BAF">
        <w:rPr>
          <w:rtl/>
          <w:lang w:val="en-US"/>
        </w:rPr>
        <w:t>2</w:t>
      </w:r>
      <w:r w:rsidRPr="001659E7">
        <w:rPr>
          <w:rtl/>
          <w:lang w:val="en-US"/>
        </w:rPr>
        <w:t xml:space="preserve">)(ه) من الاتفاقية، وفي الممارسة العملية. ولذلك ينبغي أن تنشئ الدول الأطراف آليات مستقلة ونزيهة للرصد والمساءلة في أماكن سلب </w:t>
      </w:r>
      <w:proofErr w:type="gramStart"/>
      <w:r w:rsidRPr="001659E7">
        <w:rPr>
          <w:rtl/>
          <w:lang w:val="en-US"/>
        </w:rPr>
        <w:t>الحرية</w:t>
      </w:r>
      <w:r w:rsidRPr="00D80B7D">
        <w:rPr>
          <w:vertAlign w:val="superscript"/>
          <w:rtl/>
          <w:lang w:val="en-US"/>
        </w:rPr>
        <w:t>(</w:t>
      </w:r>
      <w:proofErr w:type="gramEnd"/>
      <w:r w:rsidRPr="006B5BAF">
        <w:rPr>
          <w:rStyle w:val="FootnoteReference"/>
          <w:lang w:val="en-AU"/>
        </w:rPr>
        <w:footnoteReference w:id="42"/>
      </w:r>
      <w:r w:rsidRPr="00D80B7D">
        <w:rPr>
          <w:vertAlign w:val="superscript"/>
          <w:rtl/>
          <w:lang w:val="en-US"/>
        </w:rPr>
        <w:t>)</w:t>
      </w:r>
      <w:r w:rsidRPr="00977A73">
        <w:rPr>
          <w:rtl/>
          <w:lang w:val="en-US"/>
        </w:rPr>
        <w:t xml:space="preserve">. </w:t>
      </w:r>
      <w:r w:rsidRPr="001659E7">
        <w:rPr>
          <w:rtl/>
          <w:lang w:val="en-US"/>
        </w:rPr>
        <w:t xml:space="preserve">وعلاوة على ذلك، ينبغي أن تكفل الدول الأطراف للأشخاص المسلوبة حريتهم إمكانية الوصول إلى الآليات المناسبة للإبلاغ عن انتهاك حقوقهم إلى السلطات </w:t>
      </w:r>
      <w:proofErr w:type="gramStart"/>
      <w:r w:rsidRPr="001659E7">
        <w:rPr>
          <w:rtl/>
          <w:lang w:val="en-US"/>
        </w:rPr>
        <w:t>المختصة</w:t>
      </w:r>
      <w:r w:rsidRPr="00D80B7D">
        <w:rPr>
          <w:vertAlign w:val="superscript"/>
          <w:rtl/>
          <w:lang w:val="en-US"/>
        </w:rPr>
        <w:t>(</w:t>
      </w:r>
      <w:proofErr w:type="gramEnd"/>
      <w:r w:rsidRPr="006B5BAF">
        <w:rPr>
          <w:rStyle w:val="FootnoteReference"/>
          <w:lang w:val="en-AU"/>
        </w:rPr>
        <w:footnoteReference w:id="43"/>
      </w:r>
      <w:r w:rsidRPr="00D80B7D">
        <w:rPr>
          <w:vertAlign w:val="superscript"/>
          <w:rtl/>
          <w:lang w:val="en-US"/>
        </w:rPr>
        <w:t>)</w:t>
      </w:r>
      <w:r w:rsidRPr="00977A73">
        <w:rPr>
          <w:rtl/>
          <w:lang w:val="en-US"/>
        </w:rPr>
        <w:t>.</w:t>
      </w:r>
    </w:p>
    <w:p w14:paraId="746A29C7" w14:textId="05C26BBF" w:rsidR="005E0255" w:rsidRPr="006B5BAF" w:rsidRDefault="005E0255" w:rsidP="008C21B1">
      <w:pPr>
        <w:pStyle w:val="H1GA"/>
      </w:pPr>
      <w:r w:rsidRPr="006B5BAF">
        <w:rPr>
          <w:rtl/>
        </w:rPr>
        <w:tab/>
        <w:t>باء-</w:t>
      </w:r>
      <w:r w:rsidRPr="006B5BAF">
        <w:rPr>
          <w:rtl/>
        </w:rPr>
        <w:tab/>
        <w:t>جمع البيانات</w:t>
      </w:r>
    </w:p>
    <w:p w14:paraId="7E7CDB6A" w14:textId="12CFDD20" w:rsidR="005E0255" w:rsidRPr="00B83256" w:rsidRDefault="005E0255" w:rsidP="008C21B1">
      <w:pPr>
        <w:pStyle w:val="SingleTxtGA"/>
        <w:spacing w:line="340" w:lineRule="exact"/>
        <w:rPr>
          <w:lang w:val="en-US"/>
        </w:rPr>
      </w:pPr>
      <w:r w:rsidRPr="006B5BAF">
        <w:rPr>
          <w:spacing w:val="-4"/>
          <w:rtl/>
          <w:lang w:val="en-US"/>
        </w:rPr>
        <w:t>23</w:t>
      </w:r>
      <w:r w:rsidRPr="008C21B1">
        <w:rPr>
          <w:spacing w:val="-4"/>
          <w:rtl/>
          <w:lang w:val="en-US"/>
        </w:rPr>
        <w:t>-</w:t>
      </w:r>
      <w:r w:rsidRPr="008C21B1">
        <w:rPr>
          <w:spacing w:val="-4"/>
          <w:rtl/>
          <w:lang w:val="en-US"/>
        </w:rPr>
        <w:tab/>
        <w:t xml:space="preserve">يُعَد الافتقار </w:t>
      </w:r>
      <w:r w:rsidRPr="00B83256">
        <w:rPr>
          <w:spacing w:val="-3"/>
          <w:rtl/>
          <w:lang w:val="en-US"/>
        </w:rPr>
        <w:t xml:space="preserve">إلى بيانات وإحصاءات موثوقة عن المهاجرين المختفين والمتوفين إحدى العقبات الرئيسية التي تحول دون منع حالات الاختفاء واتخاذ إجراءات الاستجابة </w:t>
      </w:r>
      <w:proofErr w:type="gramStart"/>
      <w:r w:rsidRPr="00B83256">
        <w:rPr>
          <w:spacing w:val="-3"/>
          <w:rtl/>
          <w:lang w:val="en-US"/>
        </w:rPr>
        <w:t>اللازمة</w:t>
      </w:r>
      <w:r w:rsidRPr="00B83256">
        <w:rPr>
          <w:spacing w:val="-3"/>
          <w:vertAlign w:val="superscript"/>
          <w:rtl/>
          <w:lang w:val="en-US"/>
        </w:rPr>
        <w:t>(</w:t>
      </w:r>
      <w:proofErr w:type="gramEnd"/>
      <w:r w:rsidRPr="006B5BAF">
        <w:rPr>
          <w:rStyle w:val="FootnoteReference"/>
          <w:spacing w:val="-3"/>
          <w:lang w:val="en-AU"/>
        </w:rPr>
        <w:footnoteReference w:id="44"/>
      </w:r>
      <w:r w:rsidRPr="00B83256">
        <w:rPr>
          <w:spacing w:val="-3"/>
          <w:vertAlign w:val="superscript"/>
          <w:rtl/>
          <w:lang w:val="en-US"/>
        </w:rPr>
        <w:t>)</w:t>
      </w:r>
      <w:r w:rsidRPr="00B83256">
        <w:rPr>
          <w:spacing w:val="-3"/>
          <w:rtl/>
          <w:lang w:val="en-US"/>
        </w:rPr>
        <w:t xml:space="preserve">. وتشدد اللجنة على أن جمع البيانات المصنفة بصورة منتظمة ومنهجية وإنتاج إحصاءات دقيقة أمران يتسمان بأهمية حاسمة لفهم حجم مشكلة اختفاء المهاجرين ولوضع سياسات فعالة لمنع حالات اختفاء المهاجرين والبحث والتحقيق فيها والمعاقبة عليها والقضاء عليها، مع اتباع نهج تمايزي. وينبغي أن تنشئ الدول الأطراف وتحدّث بانتظام قاعدة بيانات وطنية واحدة للأشخاص المختفين، تتضمن معلومات أساسية عن المهاجرين الذين قد يكونون ضحايا للاختفاء، بما في ذلك ما يلي: السن، والجنس، والهوية الجنسانية، والميل الجنسي، والجنسية، والأصل الإثني، والانتماء الديني؛ ومكان الاختفاء وتاريخه وظروفه، بما في ذلك جميع العناصر المهمة لتحديد ما إذا كانت الحالة تتعلق باختفاء قسري؛ وحالة إجراءات البحث والتحقيق ذات الصلة، وإجراءات استخراج الجثث وتحديد هوية أصحابها </w:t>
      </w:r>
      <w:proofErr w:type="gramStart"/>
      <w:r w:rsidRPr="00B83256">
        <w:rPr>
          <w:spacing w:val="-3"/>
          <w:rtl/>
          <w:lang w:val="en-US"/>
        </w:rPr>
        <w:t>وتسليمها</w:t>
      </w:r>
      <w:r w:rsidRPr="00B83256">
        <w:rPr>
          <w:spacing w:val="-3"/>
          <w:vertAlign w:val="superscript"/>
          <w:rtl/>
          <w:lang w:val="en-US"/>
        </w:rPr>
        <w:t>(</w:t>
      </w:r>
      <w:proofErr w:type="gramEnd"/>
      <w:r w:rsidRPr="006B5BAF">
        <w:rPr>
          <w:rStyle w:val="FootnoteReference"/>
          <w:spacing w:val="-3"/>
          <w:lang w:val="en-AU"/>
        </w:rPr>
        <w:footnoteReference w:id="45"/>
      </w:r>
      <w:r w:rsidRPr="00B83256">
        <w:rPr>
          <w:spacing w:val="-3"/>
          <w:vertAlign w:val="superscript"/>
          <w:rtl/>
          <w:lang w:val="en-US"/>
        </w:rPr>
        <w:t>)</w:t>
      </w:r>
      <w:r w:rsidRPr="00B83256">
        <w:rPr>
          <w:spacing w:val="-3"/>
          <w:rtl/>
          <w:lang w:val="en-US"/>
        </w:rPr>
        <w:t xml:space="preserve">. وينبغي أن تنشئ الدول الأطراف التي هي بلدان منشأ سجلاً لرعاياها الذين اختفوا في </w:t>
      </w:r>
      <w:proofErr w:type="gramStart"/>
      <w:r w:rsidRPr="00B83256">
        <w:rPr>
          <w:spacing w:val="-3"/>
          <w:rtl/>
          <w:lang w:val="en-US"/>
        </w:rPr>
        <w:t>الخارج</w:t>
      </w:r>
      <w:r w:rsidRPr="00B83256">
        <w:rPr>
          <w:spacing w:val="-3"/>
          <w:vertAlign w:val="superscript"/>
          <w:rtl/>
          <w:lang w:val="en-US"/>
        </w:rPr>
        <w:t>(</w:t>
      </w:r>
      <w:proofErr w:type="gramEnd"/>
      <w:r w:rsidRPr="006B5BAF">
        <w:rPr>
          <w:rStyle w:val="FootnoteReference"/>
          <w:spacing w:val="-3"/>
          <w:lang w:val="en-AU"/>
        </w:rPr>
        <w:footnoteReference w:id="46"/>
      </w:r>
      <w:r w:rsidRPr="00B83256">
        <w:rPr>
          <w:spacing w:val="-3"/>
          <w:vertAlign w:val="superscript"/>
          <w:rtl/>
          <w:lang w:val="en-US"/>
        </w:rPr>
        <w:t>)</w:t>
      </w:r>
      <w:r w:rsidRPr="00B83256">
        <w:rPr>
          <w:spacing w:val="-3"/>
          <w:rtl/>
          <w:lang w:val="en-US"/>
        </w:rPr>
        <w:t xml:space="preserve">، وينبغي أن تتحقق الدول الأطراف التي هي بلدان منشأ أو عبور أو مقصد أو عودة من </w:t>
      </w:r>
      <w:r w:rsidRPr="00B83256">
        <w:rPr>
          <w:rtl/>
          <w:lang w:val="en-US"/>
        </w:rPr>
        <w:t>أن إجراءات تسجيل المهاجرين في نقاط المراقبة الحدودية تشمل دراسة كل طلب من الطلبات على حدة بما يكفل البحث بشكل فعال عن أي شخص في حال اختفائه</w:t>
      </w:r>
      <w:r w:rsidRPr="00B83256">
        <w:rPr>
          <w:vertAlign w:val="superscript"/>
          <w:rtl/>
          <w:lang w:val="en-US"/>
        </w:rPr>
        <w:t>(</w:t>
      </w:r>
      <w:r w:rsidRPr="006B5BAF">
        <w:rPr>
          <w:rStyle w:val="FootnoteReference"/>
          <w:lang w:val="en-AU"/>
        </w:rPr>
        <w:footnoteReference w:id="47"/>
      </w:r>
      <w:r w:rsidRPr="00B83256">
        <w:rPr>
          <w:vertAlign w:val="superscript"/>
          <w:rtl/>
          <w:lang w:val="en-US"/>
        </w:rPr>
        <w:t>)</w:t>
      </w:r>
      <w:r w:rsidRPr="00B83256">
        <w:rPr>
          <w:rtl/>
          <w:lang w:val="en-US"/>
        </w:rPr>
        <w:t xml:space="preserve">. ويجب على السلطات المسؤولة عن إدخال البيانات ذات الصلة أن تقوم بذلك بطريقة متسقة وشاملة، فور إبلاغها بحالة </w:t>
      </w:r>
      <w:proofErr w:type="gramStart"/>
      <w:r w:rsidRPr="00B83256">
        <w:rPr>
          <w:rtl/>
          <w:lang w:val="en-US"/>
        </w:rPr>
        <w:t>الاختفاء</w:t>
      </w:r>
      <w:r w:rsidRPr="00B83256">
        <w:rPr>
          <w:vertAlign w:val="superscript"/>
          <w:rtl/>
          <w:lang w:val="en-US"/>
        </w:rPr>
        <w:t>(</w:t>
      </w:r>
      <w:proofErr w:type="gramEnd"/>
      <w:r w:rsidRPr="006B5BAF">
        <w:rPr>
          <w:rStyle w:val="FootnoteReference"/>
          <w:lang w:val="en-AU"/>
        </w:rPr>
        <w:footnoteReference w:id="48"/>
      </w:r>
      <w:r w:rsidRPr="00B83256">
        <w:rPr>
          <w:vertAlign w:val="superscript"/>
          <w:rtl/>
          <w:lang w:val="en-US"/>
        </w:rPr>
        <w:t>)</w:t>
      </w:r>
      <w:r w:rsidRPr="00B83256">
        <w:rPr>
          <w:rtl/>
          <w:lang w:val="en-US"/>
        </w:rPr>
        <w:t xml:space="preserve">. ويجب على الدول الأطراف أن تكفل عدم تقاسم هذه البيانات أو استخدامها لأغراض إنفاذ قوانين </w:t>
      </w:r>
      <w:proofErr w:type="gramStart"/>
      <w:r w:rsidRPr="00B83256">
        <w:rPr>
          <w:rtl/>
          <w:lang w:val="en-US"/>
        </w:rPr>
        <w:t>الهجرة</w:t>
      </w:r>
      <w:r w:rsidRPr="00B83256">
        <w:rPr>
          <w:vertAlign w:val="superscript"/>
          <w:rtl/>
          <w:lang w:val="en-US"/>
        </w:rPr>
        <w:t>(</w:t>
      </w:r>
      <w:proofErr w:type="gramEnd"/>
      <w:r w:rsidRPr="006B5BAF">
        <w:rPr>
          <w:rStyle w:val="FootnoteReference"/>
          <w:lang w:val="en-AU"/>
        </w:rPr>
        <w:footnoteReference w:id="49"/>
      </w:r>
      <w:r w:rsidRPr="00B83256">
        <w:rPr>
          <w:vertAlign w:val="superscript"/>
          <w:rtl/>
          <w:lang w:val="en-US"/>
        </w:rPr>
        <w:t>)</w:t>
      </w:r>
      <w:r w:rsidRPr="00B83256">
        <w:rPr>
          <w:rtl/>
          <w:lang w:val="en-US"/>
        </w:rPr>
        <w:t>.</w:t>
      </w:r>
    </w:p>
    <w:p w14:paraId="0C5A378C" w14:textId="4C4D8861" w:rsidR="005E0255" w:rsidRPr="00977A73" w:rsidRDefault="005E0255" w:rsidP="001659E7">
      <w:pPr>
        <w:pStyle w:val="SingleTxtGA"/>
        <w:rPr>
          <w:lang w:val="en-US"/>
        </w:rPr>
      </w:pPr>
      <w:r w:rsidRPr="006B5BAF">
        <w:rPr>
          <w:rtl/>
          <w:lang w:val="en-US"/>
        </w:rPr>
        <w:lastRenderedPageBreak/>
        <w:t>24</w:t>
      </w:r>
      <w:r w:rsidRPr="001659E7">
        <w:rPr>
          <w:rtl/>
          <w:lang w:val="en-US"/>
        </w:rPr>
        <w:t>-</w:t>
      </w:r>
      <w:r w:rsidRPr="001659E7">
        <w:rPr>
          <w:rtl/>
          <w:lang w:val="en-US"/>
        </w:rPr>
        <w:tab/>
        <w:t xml:space="preserve">وتوصي اللجنة بتوحيد عملية جمع البيانات من أجل تيسير تبادل البيانات بين بلدان المنشأ والعبور والمقصد </w:t>
      </w:r>
      <w:proofErr w:type="gramStart"/>
      <w:r w:rsidRPr="001659E7">
        <w:rPr>
          <w:rtl/>
          <w:lang w:val="en-US"/>
        </w:rPr>
        <w:t>والعودة</w:t>
      </w:r>
      <w:r w:rsidRPr="00D80B7D">
        <w:rPr>
          <w:vertAlign w:val="superscript"/>
          <w:rtl/>
          <w:lang w:val="en-US"/>
        </w:rPr>
        <w:t>(</w:t>
      </w:r>
      <w:proofErr w:type="gramEnd"/>
      <w:r w:rsidRPr="006B5BAF">
        <w:rPr>
          <w:rStyle w:val="FootnoteReference"/>
          <w:lang w:val="en-AU"/>
        </w:rPr>
        <w:footnoteReference w:id="50"/>
      </w:r>
      <w:r w:rsidRPr="00D80B7D">
        <w:rPr>
          <w:vertAlign w:val="superscript"/>
          <w:rtl/>
          <w:lang w:val="en-US"/>
        </w:rPr>
        <w:t>)</w:t>
      </w:r>
      <w:r w:rsidRPr="00977A73">
        <w:rPr>
          <w:rtl/>
          <w:lang w:val="en-US"/>
        </w:rPr>
        <w:t xml:space="preserve">. </w:t>
      </w:r>
      <w:r w:rsidRPr="001659E7">
        <w:rPr>
          <w:rtl/>
          <w:lang w:val="en-US"/>
        </w:rPr>
        <w:t>وعلاوة على ذلك، ينبغي أن تتأكد الدول الأطراف من أن قواعد البيانات المتعلقة بالمهاجرين المختفين والمفقودين مترابطة وقابلة للتشغيل المتبادل على الصعيدين الوطني والدولي من أجل تيسير التحقق من المعلومات. ويجب أن يفي أي تبادل للبيانات الشخصية، سواء على المستوى الوطني أو عبر الحدود أو الولايات القضائية، بالمعايير المقبولة دولي</w:t>
      </w:r>
      <w:r>
        <w:rPr>
          <w:rtl/>
          <w:lang w:val="en-US"/>
        </w:rPr>
        <w:t xml:space="preserve">اً </w:t>
      </w:r>
      <w:r w:rsidRPr="001659E7">
        <w:rPr>
          <w:rtl/>
          <w:lang w:val="en-US"/>
        </w:rPr>
        <w:t xml:space="preserve">بشأن البيانات </w:t>
      </w:r>
      <w:proofErr w:type="gramStart"/>
      <w:r w:rsidRPr="001659E7">
        <w:rPr>
          <w:rtl/>
          <w:lang w:val="en-US"/>
        </w:rPr>
        <w:t>والخصوصية</w:t>
      </w:r>
      <w:r w:rsidRPr="00D80B7D">
        <w:rPr>
          <w:vertAlign w:val="superscript"/>
          <w:rtl/>
          <w:lang w:val="en-US"/>
        </w:rPr>
        <w:t>(</w:t>
      </w:r>
      <w:proofErr w:type="gramEnd"/>
      <w:r w:rsidRPr="006B5BAF">
        <w:rPr>
          <w:rStyle w:val="FootnoteReference"/>
          <w:lang w:val="en-AU"/>
        </w:rPr>
        <w:footnoteReference w:id="51"/>
      </w:r>
      <w:r w:rsidRPr="00D80B7D">
        <w:rPr>
          <w:vertAlign w:val="superscript"/>
          <w:rtl/>
          <w:lang w:val="en-US"/>
        </w:rPr>
        <w:t>)</w:t>
      </w:r>
      <w:r w:rsidRPr="00977A73">
        <w:rPr>
          <w:rtl/>
          <w:lang w:val="en-US"/>
        </w:rPr>
        <w:t xml:space="preserve">. </w:t>
      </w:r>
      <w:r w:rsidRPr="001659E7">
        <w:rPr>
          <w:rtl/>
          <w:lang w:val="en-US"/>
        </w:rPr>
        <w:t xml:space="preserve">وعلاوة على ذلك، ينبغي ألا تُستخدم البيانات الشخصية، ولا سيما البيانات </w:t>
      </w:r>
      <w:proofErr w:type="spellStart"/>
      <w:r w:rsidRPr="001659E7">
        <w:rPr>
          <w:rtl/>
          <w:lang w:val="en-US"/>
        </w:rPr>
        <w:t>البيومترية</w:t>
      </w:r>
      <w:proofErr w:type="spellEnd"/>
      <w:r w:rsidRPr="001659E7">
        <w:rPr>
          <w:rtl/>
          <w:lang w:val="en-US"/>
        </w:rPr>
        <w:t xml:space="preserve">، إلا لأغراض البحث عن المهاجرين المختفين، </w:t>
      </w:r>
      <w:r>
        <w:rPr>
          <w:rtl/>
          <w:lang w:val="en-US"/>
        </w:rPr>
        <w:t xml:space="preserve">وفقاً </w:t>
      </w:r>
      <w:r w:rsidRPr="001659E7">
        <w:rPr>
          <w:rtl/>
          <w:lang w:val="en-US"/>
        </w:rPr>
        <w:t xml:space="preserve">للمادة </w:t>
      </w:r>
      <w:r w:rsidRPr="006B5BAF">
        <w:rPr>
          <w:rtl/>
          <w:lang w:val="en-US"/>
        </w:rPr>
        <w:t>19</w:t>
      </w:r>
      <w:r w:rsidRPr="001659E7">
        <w:rPr>
          <w:rtl/>
          <w:lang w:val="en-US"/>
        </w:rPr>
        <w:t>(</w:t>
      </w:r>
      <w:r w:rsidRPr="006B5BAF">
        <w:rPr>
          <w:rtl/>
          <w:lang w:val="en-US"/>
        </w:rPr>
        <w:t>1</w:t>
      </w:r>
      <w:r w:rsidRPr="00977A73">
        <w:rPr>
          <w:rtl/>
          <w:lang w:val="en-US"/>
        </w:rPr>
        <w:t xml:space="preserve">) </w:t>
      </w:r>
      <w:r w:rsidRPr="001659E7">
        <w:rPr>
          <w:rtl/>
          <w:lang w:val="en-US"/>
        </w:rPr>
        <w:t xml:space="preserve">من الاتفاقية، ولتوفير المعلومات للأشخاص الذين لهم مصلحة مشروعة، </w:t>
      </w:r>
      <w:r>
        <w:rPr>
          <w:rtl/>
          <w:lang w:val="en-US"/>
        </w:rPr>
        <w:t xml:space="preserve">وفقاً </w:t>
      </w:r>
      <w:r w:rsidRPr="001659E7">
        <w:rPr>
          <w:rtl/>
          <w:lang w:val="en-US"/>
        </w:rPr>
        <w:t xml:space="preserve">للمادة </w:t>
      </w:r>
      <w:r w:rsidRPr="006B5BAF">
        <w:rPr>
          <w:rtl/>
          <w:lang w:val="en-US"/>
        </w:rPr>
        <w:t>18</w:t>
      </w:r>
      <w:r w:rsidRPr="00977A73">
        <w:rPr>
          <w:rtl/>
          <w:lang w:val="en-US"/>
        </w:rPr>
        <w:t>.</w:t>
      </w:r>
    </w:p>
    <w:p w14:paraId="6A3F6794" w14:textId="10DFFC42" w:rsidR="005E0255" w:rsidRPr="00977A73" w:rsidRDefault="005E0255" w:rsidP="001659E7">
      <w:pPr>
        <w:pStyle w:val="SingleTxtGA"/>
        <w:rPr>
          <w:lang w:val="en-US"/>
        </w:rPr>
      </w:pPr>
      <w:r w:rsidRPr="006B5BAF">
        <w:rPr>
          <w:rtl/>
          <w:lang w:val="en-US"/>
        </w:rPr>
        <w:t>25</w:t>
      </w:r>
      <w:r w:rsidRPr="001659E7">
        <w:rPr>
          <w:rtl/>
          <w:lang w:val="en-US"/>
        </w:rPr>
        <w:t>-</w:t>
      </w:r>
      <w:r w:rsidRPr="001659E7">
        <w:rPr>
          <w:rtl/>
          <w:lang w:val="en-US"/>
        </w:rPr>
        <w:tab/>
        <w:t xml:space="preserve">ثم إن عدم حفظ السجلات طوال فترة التعامل مع الأشخاص في سياق عمليات عبور الحدود غير النظامية يزيد من خطر وقوعهم ضحايا لانتهاكات حقوق الإنسان، بما في ذلك الاختفاء </w:t>
      </w:r>
      <w:proofErr w:type="gramStart"/>
      <w:r w:rsidRPr="001659E7">
        <w:rPr>
          <w:rtl/>
          <w:lang w:val="en-US"/>
        </w:rPr>
        <w:t>القسري</w:t>
      </w:r>
      <w:r w:rsidRPr="00D80B7D">
        <w:rPr>
          <w:vertAlign w:val="superscript"/>
          <w:rtl/>
          <w:lang w:val="en-US"/>
        </w:rPr>
        <w:t>(</w:t>
      </w:r>
      <w:proofErr w:type="gramEnd"/>
      <w:r w:rsidRPr="006B5BAF">
        <w:rPr>
          <w:rStyle w:val="FootnoteReference"/>
          <w:lang w:val="en-AU"/>
        </w:rPr>
        <w:footnoteReference w:id="52"/>
      </w:r>
      <w:r w:rsidRPr="00D80B7D">
        <w:rPr>
          <w:vertAlign w:val="superscript"/>
          <w:rtl/>
          <w:lang w:val="en-US"/>
        </w:rPr>
        <w:t>)</w:t>
      </w:r>
      <w:r w:rsidRPr="00977A73">
        <w:rPr>
          <w:rtl/>
          <w:lang w:val="en-US"/>
        </w:rPr>
        <w:t xml:space="preserve">، </w:t>
      </w:r>
      <w:r w:rsidRPr="001659E7">
        <w:rPr>
          <w:rtl/>
          <w:lang w:val="en-US"/>
        </w:rPr>
        <w:t>ويجعل أي مساءلة مستحيلة، كما يحول دون إجراء تحريات وتحقيقات فعالة</w:t>
      </w:r>
      <w:r w:rsidRPr="00D80B7D">
        <w:rPr>
          <w:vertAlign w:val="superscript"/>
          <w:rtl/>
          <w:lang w:val="en-US"/>
        </w:rPr>
        <w:t>(</w:t>
      </w:r>
      <w:r w:rsidRPr="006B5BAF">
        <w:rPr>
          <w:rStyle w:val="FootnoteReference"/>
          <w:lang w:val="en-AU"/>
        </w:rPr>
        <w:footnoteReference w:id="53"/>
      </w:r>
      <w:r w:rsidRPr="00D80B7D">
        <w:rPr>
          <w:vertAlign w:val="superscript"/>
          <w:rtl/>
          <w:lang w:val="en-US"/>
        </w:rPr>
        <w:t>)</w:t>
      </w:r>
      <w:r w:rsidRPr="00977A73">
        <w:rPr>
          <w:rtl/>
          <w:lang w:val="en-US"/>
        </w:rPr>
        <w:t xml:space="preserve">. </w:t>
      </w:r>
      <w:r w:rsidRPr="001659E7">
        <w:rPr>
          <w:rtl/>
          <w:lang w:val="en-US"/>
        </w:rPr>
        <w:t>وبناء على ذلك، يجب</w:t>
      </w:r>
      <w:r w:rsidR="006C7E57">
        <w:rPr>
          <w:rFonts w:hint="cs"/>
          <w:rtl/>
          <w:lang w:val="en-US"/>
        </w:rPr>
        <w:t> </w:t>
      </w:r>
      <w:r w:rsidRPr="001659E7">
        <w:rPr>
          <w:rtl/>
          <w:lang w:val="en-US"/>
        </w:rPr>
        <w:t>على الدول الأطراف أن تحتفظ بسجلات عن تعاملها مع الأشخاص في سياق عمليات عبور الحدود</w:t>
      </w:r>
      <w:r w:rsidR="006C7E57">
        <w:rPr>
          <w:rFonts w:hint="cs"/>
          <w:rtl/>
          <w:lang w:val="en-US"/>
        </w:rPr>
        <w:t> </w:t>
      </w:r>
      <w:r w:rsidRPr="001659E7">
        <w:rPr>
          <w:rtl/>
          <w:lang w:val="en-US"/>
        </w:rPr>
        <w:t xml:space="preserve">غير </w:t>
      </w:r>
      <w:proofErr w:type="gramStart"/>
      <w:r w:rsidRPr="001659E7">
        <w:rPr>
          <w:rtl/>
          <w:lang w:val="en-US"/>
        </w:rPr>
        <w:t>النظامية</w:t>
      </w:r>
      <w:r w:rsidRPr="00D80B7D">
        <w:rPr>
          <w:vertAlign w:val="superscript"/>
          <w:rtl/>
          <w:lang w:val="en-US"/>
        </w:rPr>
        <w:t>(</w:t>
      </w:r>
      <w:proofErr w:type="gramEnd"/>
      <w:r w:rsidRPr="006B5BAF">
        <w:rPr>
          <w:rStyle w:val="FootnoteReference"/>
          <w:lang w:val="en-AU"/>
        </w:rPr>
        <w:footnoteReference w:id="54"/>
      </w:r>
      <w:r w:rsidRPr="00D80B7D">
        <w:rPr>
          <w:vertAlign w:val="superscript"/>
          <w:rtl/>
          <w:lang w:val="en-US"/>
        </w:rPr>
        <w:t>)</w:t>
      </w:r>
      <w:r w:rsidRPr="00977A73">
        <w:rPr>
          <w:rtl/>
          <w:lang w:val="en-US"/>
        </w:rPr>
        <w:t xml:space="preserve">، </w:t>
      </w:r>
      <w:r w:rsidRPr="001659E7">
        <w:rPr>
          <w:rtl/>
          <w:lang w:val="en-US"/>
        </w:rPr>
        <w:t>وينبغي أن تحتفظ بلقطات من معدات مراقبة الحدود وإتاحتها للمكلفين بالإشراف على العمليات الحدودية، وكذلك للسلطات المسؤولة عن البحث عن المهاجرين المختفين والتحقيق في حالات اختفائهم</w:t>
      </w:r>
      <w:r w:rsidRPr="00D80B7D">
        <w:rPr>
          <w:vertAlign w:val="superscript"/>
          <w:rtl/>
          <w:lang w:val="en-US"/>
        </w:rPr>
        <w:t>(</w:t>
      </w:r>
      <w:r w:rsidRPr="006B5BAF">
        <w:rPr>
          <w:rStyle w:val="FootnoteReference"/>
          <w:lang w:val="en-AU"/>
        </w:rPr>
        <w:footnoteReference w:id="55"/>
      </w:r>
      <w:r w:rsidRPr="00D80B7D">
        <w:rPr>
          <w:vertAlign w:val="superscript"/>
          <w:rtl/>
          <w:lang w:val="en-US"/>
        </w:rPr>
        <w:t>)</w:t>
      </w:r>
      <w:r w:rsidRPr="00977A73">
        <w:rPr>
          <w:rtl/>
          <w:lang w:val="en-US"/>
        </w:rPr>
        <w:t>.</w:t>
      </w:r>
    </w:p>
    <w:p w14:paraId="440145A0" w14:textId="304385EC" w:rsidR="005E0255" w:rsidRPr="006C7E57" w:rsidRDefault="005E0255" w:rsidP="001659E7">
      <w:pPr>
        <w:pStyle w:val="SingleTxtGA"/>
        <w:rPr>
          <w:spacing w:val="-4"/>
          <w:lang w:val="en-US"/>
        </w:rPr>
      </w:pPr>
      <w:r w:rsidRPr="006B5BAF">
        <w:rPr>
          <w:rtl/>
          <w:lang w:val="en-US"/>
        </w:rPr>
        <w:lastRenderedPageBreak/>
        <w:t>26</w:t>
      </w:r>
      <w:r w:rsidRPr="001659E7">
        <w:rPr>
          <w:rtl/>
          <w:lang w:val="en-US"/>
        </w:rPr>
        <w:t>-</w:t>
      </w:r>
      <w:r w:rsidRPr="001659E7">
        <w:rPr>
          <w:rtl/>
          <w:lang w:val="en-US"/>
        </w:rPr>
        <w:tab/>
      </w:r>
      <w:r w:rsidRPr="00810603">
        <w:rPr>
          <w:rtl/>
          <w:lang w:val="en-US"/>
        </w:rPr>
        <w:t>وبالإضافة إلى جمع البيانات، ينبغي أن تجري الدول الأطراف تحليلات لمختلف السياقات بغية تحديد</w:t>
      </w:r>
      <w:r w:rsidRPr="006C7E57">
        <w:rPr>
          <w:spacing w:val="-4"/>
          <w:rtl/>
          <w:lang w:val="en-US"/>
        </w:rPr>
        <w:t xml:space="preserve"> الأنماط المحتملة في حالات اختفاء المهاجرين وأوجه القصور الهيكلية الأساسية التي تمكّن من ارتكاب هذه الجرائم، وكشف الروابط المحتملة بين السلطات والشبكات الإجرامية الضالعة في الاتجار بالأشخاص وتهريب </w:t>
      </w:r>
      <w:proofErr w:type="gramStart"/>
      <w:r w:rsidRPr="006C7E57">
        <w:rPr>
          <w:spacing w:val="-4"/>
          <w:rtl/>
          <w:lang w:val="en-US"/>
        </w:rPr>
        <w:t>المهاجرين</w:t>
      </w:r>
      <w:r w:rsidRPr="006C7E57">
        <w:rPr>
          <w:spacing w:val="-4"/>
          <w:vertAlign w:val="superscript"/>
          <w:rtl/>
          <w:lang w:val="en-US"/>
        </w:rPr>
        <w:t>(</w:t>
      </w:r>
      <w:proofErr w:type="gramEnd"/>
      <w:r w:rsidRPr="006B5BAF">
        <w:rPr>
          <w:rStyle w:val="FootnoteReference"/>
          <w:spacing w:val="-4"/>
          <w:lang w:val="en-AU"/>
        </w:rPr>
        <w:footnoteReference w:id="56"/>
      </w:r>
      <w:r w:rsidRPr="006C7E57">
        <w:rPr>
          <w:spacing w:val="-4"/>
          <w:vertAlign w:val="superscript"/>
          <w:rtl/>
          <w:lang w:val="en-US"/>
        </w:rPr>
        <w:t>)</w:t>
      </w:r>
      <w:r w:rsidRPr="006C7E57">
        <w:rPr>
          <w:spacing w:val="-4"/>
          <w:rtl/>
          <w:lang w:val="en-US"/>
        </w:rPr>
        <w:t xml:space="preserve">. ولهذا الغرض، توصي اللجنة بجمع بيانات </w:t>
      </w:r>
      <w:proofErr w:type="gramStart"/>
      <w:r w:rsidRPr="006C7E57">
        <w:rPr>
          <w:spacing w:val="-4"/>
          <w:rtl/>
          <w:lang w:val="en-US"/>
        </w:rPr>
        <w:t>نوعية</w:t>
      </w:r>
      <w:r w:rsidRPr="006C7E57">
        <w:rPr>
          <w:spacing w:val="-4"/>
          <w:vertAlign w:val="superscript"/>
          <w:rtl/>
          <w:lang w:val="en-US"/>
        </w:rPr>
        <w:t>(</w:t>
      </w:r>
      <w:proofErr w:type="gramEnd"/>
      <w:r w:rsidRPr="006B5BAF">
        <w:rPr>
          <w:rStyle w:val="FootnoteReference"/>
          <w:spacing w:val="-4"/>
          <w:lang w:val="en-AU"/>
        </w:rPr>
        <w:footnoteReference w:id="57"/>
      </w:r>
      <w:r w:rsidRPr="006C7E57">
        <w:rPr>
          <w:spacing w:val="-4"/>
          <w:vertAlign w:val="superscript"/>
          <w:rtl/>
          <w:lang w:val="en-US"/>
        </w:rPr>
        <w:t>)</w:t>
      </w:r>
      <w:r w:rsidRPr="006C7E57">
        <w:rPr>
          <w:spacing w:val="-4"/>
          <w:rtl/>
          <w:lang w:val="en-US"/>
        </w:rPr>
        <w:t xml:space="preserve">. وبغية استبانة الاتجاهات والأنماط في حالات اختفاء المهاجرين في سياق الاتجار بالأشخاص، ينبغي أن تتعاون الدول الأطراف مع طائفة واسعة من الجهات الفاعلة، بما في ذلك المهنيون المتخصصون في مجال مكافحة الاتجار </w:t>
      </w:r>
      <w:proofErr w:type="gramStart"/>
      <w:r w:rsidRPr="006C7E57">
        <w:rPr>
          <w:spacing w:val="-4"/>
          <w:rtl/>
          <w:lang w:val="en-US"/>
        </w:rPr>
        <w:t>والهجرة</w:t>
      </w:r>
      <w:r w:rsidRPr="006C7E57">
        <w:rPr>
          <w:spacing w:val="-4"/>
          <w:vertAlign w:val="superscript"/>
          <w:rtl/>
          <w:lang w:val="en-US"/>
        </w:rPr>
        <w:t>(</w:t>
      </w:r>
      <w:proofErr w:type="gramEnd"/>
      <w:r w:rsidRPr="006B5BAF">
        <w:rPr>
          <w:rStyle w:val="FootnoteReference"/>
          <w:spacing w:val="-4"/>
          <w:lang w:val="en-AU"/>
        </w:rPr>
        <w:footnoteReference w:id="58"/>
      </w:r>
      <w:r w:rsidRPr="006C7E57">
        <w:rPr>
          <w:spacing w:val="-4"/>
          <w:vertAlign w:val="superscript"/>
          <w:rtl/>
          <w:lang w:val="en-US"/>
        </w:rPr>
        <w:t>)</w:t>
      </w:r>
      <w:r w:rsidRPr="006C7E57">
        <w:rPr>
          <w:spacing w:val="-4"/>
          <w:rtl/>
          <w:lang w:val="en-US"/>
        </w:rPr>
        <w:t xml:space="preserve">. </w:t>
      </w:r>
    </w:p>
    <w:p w14:paraId="7FD8EC9A" w14:textId="77777777" w:rsidR="005E0255" w:rsidRPr="006B5BAF" w:rsidRDefault="005E0255" w:rsidP="001659E7">
      <w:pPr>
        <w:pStyle w:val="H1GA"/>
      </w:pPr>
      <w:r w:rsidRPr="006B5BAF">
        <w:rPr>
          <w:rtl/>
        </w:rPr>
        <w:tab/>
        <w:t>جيم-</w:t>
      </w:r>
      <w:r w:rsidRPr="006B5BAF">
        <w:rPr>
          <w:rtl/>
        </w:rPr>
        <w:tab/>
        <w:t>السياسات وعدم التجريم</w:t>
      </w:r>
    </w:p>
    <w:p w14:paraId="3FF9DC36" w14:textId="5AFB2905" w:rsidR="005E0255" w:rsidRPr="006C7E57" w:rsidRDefault="005E0255" w:rsidP="001659E7">
      <w:pPr>
        <w:pStyle w:val="SingleTxtGA"/>
        <w:rPr>
          <w:spacing w:val="-2"/>
          <w:lang w:val="en-US"/>
        </w:rPr>
      </w:pPr>
      <w:r w:rsidRPr="006B5BAF">
        <w:rPr>
          <w:spacing w:val="-2"/>
          <w:rtl/>
          <w:lang w:val="en-US"/>
        </w:rPr>
        <w:t>27</w:t>
      </w:r>
      <w:r w:rsidRPr="006C7E57">
        <w:rPr>
          <w:spacing w:val="-2"/>
          <w:rtl/>
          <w:lang w:val="en-US"/>
        </w:rPr>
        <w:t>-</w:t>
      </w:r>
      <w:r w:rsidRPr="006C7E57">
        <w:rPr>
          <w:spacing w:val="-2"/>
          <w:rtl/>
          <w:lang w:val="en-US"/>
        </w:rPr>
        <w:tab/>
        <w:t xml:space="preserve">تفتقر السياسات التي تجرم المهاجرين، والهجرة نفسها، إلى الآليات اللازمة التي تمكّن من إجراء تقييم مسبق للمخاطر والظروف المرتبطة بكل حالة على حدة. وبدلاً من ذلك، تركز هذه السياسات على ردع الدخول وتزيد من خطر وقوع المهاجرين ضحايا لانتهاكات حقوق الإنسان، بما في ذلك الاختفاء القسري. وبناء </w:t>
      </w:r>
      <w:r w:rsidRPr="00C55C0E">
        <w:rPr>
          <w:spacing w:val="-4"/>
          <w:rtl/>
          <w:lang w:val="en-US"/>
        </w:rPr>
        <w:t>على ذلك، تحث اللجنة الدول الأطراف على اعتماد سياسات قائمة على الأدلة لتعزيز السبل التي تفضي</w:t>
      </w:r>
      <w:r w:rsidRPr="006C7E57">
        <w:rPr>
          <w:spacing w:val="-2"/>
          <w:rtl/>
          <w:lang w:val="en-US"/>
        </w:rPr>
        <w:t xml:space="preserve"> إلى الهجرة النظامية والآمنة والمنظمة، وفقاً لأهداف الاتفاق العالمي من أجل الهجرة الآمنة والمنظمة والنظامية والالتزامات الواردة فيه. وعلى وجه التحديد، ينبغي أن تعمل الدول الأطراف على تعزيز مسارات الهجرة النظامية، ومعالجة أوجه الضعف في الهجرة والحد منها، وإنقاذ الأرواح، ومكافحة الاتجار بالأشخاص وتهريب المهاجرين، وتدريب سلطات الحدود وتزويدها بالمعدات الكافية، وإيجاد بدائل للاحتجاز، وتيسير المساعدة القنصلية، وعند الاقتضاء، إتاحة الإمكانية للقنصليات المعنية للاطلاع على المعلومات ذات الصلة بالأشخاص المختفين، والقضاء على </w:t>
      </w:r>
      <w:proofErr w:type="gramStart"/>
      <w:r w:rsidRPr="006C7E57">
        <w:rPr>
          <w:spacing w:val="-2"/>
          <w:rtl/>
          <w:lang w:val="en-US"/>
        </w:rPr>
        <w:t>التمييز</w:t>
      </w:r>
      <w:r w:rsidRPr="006C7E57">
        <w:rPr>
          <w:spacing w:val="-2"/>
          <w:vertAlign w:val="superscript"/>
          <w:rtl/>
          <w:lang w:val="en-US"/>
        </w:rPr>
        <w:t>(</w:t>
      </w:r>
      <w:proofErr w:type="gramEnd"/>
      <w:r w:rsidRPr="006B5BAF">
        <w:rPr>
          <w:rStyle w:val="FootnoteReference"/>
          <w:spacing w:val="-2"/>
          <w:lang w:val="en-AU"/>
        </w:rPr>
        <w:footnoteReference w:id="59"/>
      </w:r>
      <w:r w:rsidRPr="006C7E57">
        <w:rPr>
          <w:spacing w:val="-2"/>
          <w:vertAlign w:val="superscript"/>
          <w:rtl/>
          <w:lang w:val="en-US"/>
        </w:rPr>
        <w:t>)</w:t>
      </w:r>
      <w:r w:rsidRPr="006C7E57">
        <w:rPr>
          <w:spacing w:val="-2"/>
          <w:rtl/>
          <w:lang w:val="en-US"/>
        </w:rPr>
        <w:t>. وبالإضافة إلى ذلك، يجب على الدول الأطراف أن تضمن حقوق كل شخص في التماس الحماية القانونية استناداً إلى تقييم المخاطر على أساس كل حالة على حدة واللجوء إلى العدالة من خلال سبل الانتصاف القانونية، بما</w:t>
      </w:r>
      <w:r w:rsidRPr="006C7E57">
        <w:rPr>
          <w:rFonts w:hint="cs"/>
          <w:spacing w:val="-2"/>
          <w:rtl/>
          <w:lang w:val="en-US"/>
        </w:rPr>
        <w:t> </w:t>
      </w:r>
      <w:r w:rsidRPr="006C7E57">
        <w:rPr>
          <w:spacing w:val="-2"/>
          <w:rtl/>
          <w:lang w:val="en-US"/>
        </w:rPr>
        <w:t xml:space="preserve">في ذلك في الحالات التي تشارك فيها القوات العسكرية في مراقبة الحدود. ويجب على الدول الأطراف أن تضع حداً لممارسات الطرد الجماعي والصد </w:t>
      </w:r>
      <w:r w:rsidRPr="00C55C0E">
        <w:rPr>
          <w:spacing w:val="-4"/>
          <w:rtl/>
          <w:lang w:val="en-US"/>
        </w:rPr>
        <w:t>على الحدود أو التقاعس عن العمل بجد لإنقاذ المهاجرين الموجودين في البحر أو في الصحراء أو في الغابات</w:t>
      </w:r>
      <w:r w:rsidRPr="006C7E57">
        <w:rPr>
          <w:spacing w:val="-2"/>
          <w:rtl/>
          <w:lang w:val="en-US"/>
        </w:rPr>
        <w:t xml:space="preserve"> </w:t>
      </w:r>
      <w:r w:rsidRPr="00C55C0E">
        <w:rPr>
          <w:spacing w:val="-4"/>
          <w:rtl/>
          <w:lang w:val="en-US"/>
        </w:rPr>
        <w:t>غير السالكة أو المعرضين لدرجات حرارة قصوى أو الذين يواجهون أوضاعاً أخرى تهدد الحياة، والتحقيق فيها</w:t>
      </w:r>
      <w:r w:rsidRPr="006C7E57">
        <w:rPr>
          <w:spacing w:val="-2"/>
          <w:rtl/>
          <w:lang w:val="en-US"/>
        </w:rPr>
        <w:t xml:space="preserve"> والمعاقبة عليها. </w:t>
      </w:r>
    </w:p>
    <w:p w14:paraId="6F81DEA7" w14:textId="3428A305" w:rsidR="005E0255" w:rsidRPr="001659E7" w:rsidRDefault="005E0255" w:rsidP="001659E7">
      <w:pPr>
        <w:pStyle w:val="SingleTxtGA"/>
        <w:rPr>
          <w:lang w:val="en-US"/>
        </w:rPr>
      </w:pPr>
      <w:r w:rsidRPr="006B5BAF">
        <w:rPr>
          <w:rtl/>
          <w:lang w:val="en-US"/>
        </w:rPr>
        <w:t>28</w:t>
      </w:r>
      <w:r w:rsidRPr="001659E7">
        <w:rPr>
          <w:rtl/>
          <w:lang w:val="en-US"/>
        </w:rPr>
        <w:t>-</w:t>
      </w:r>
      <w:r w:rsidRPr="001659E7">
        <w:rPr>
          <w:rtl/>
          <w:lang w:val="en-US"/>
        </w:rPr>
        <w:tab/>
        <w:t>ونظر</w:t>
      </w:r>
      <w:r>
        <w:rPr>
          <w:rtl/>
          <w:lang w:val="en-US"/>
        </w:rPr>
        <w:t xml:space="preserve">اً </w:t>
      </w:r>
      <w:r w:rsidRPr="001659E7">
        <w:rPr>
          <w:rtl/>
          <w:lang w:val="en-US"/>
        </w:rPr>
        <w:t xml:space="preserve">للدور الذي تؤديه الجهات غير التابعة للدول في عدد كبير من حالات اختفاء </w:t>
      </w:r>
      <w:proofErr w:type="gramStart"/>
      <w:r w:rsidRPr="001659E7">
        <w:rPr>
          <w:rtl/>
          <w:lang w:val="en-US"/>
        </w:rPr>
        <w:t>المهاجرين</w:t>
      </w:r>
      <w:r w:rsidRPr="00D80B7D">
        <w:rPr>
          <w:vertAlign w:val="superscript"/>
          <w:rtl/>
          <w:lang w:val="en-US"/>
        </w:rPr>
        <w:t>(</w:t>
      </w:r>
      <w:proofErr w:type="gramEnd"/>
      <w:r w:rsidRPr="006B5BAF">
        <w:rPr>
          <w:rStyle w:val="FootnoteReference"/>
          <w:lang w:val="en-AU"/>
        </w:rPr>
        <w:footnoteReference w:id="60"/>
      </w:r>
      <w:r w:rsidRPr="00D80B7D">
        <w:rPr>
          <w:vertAlign w:val="superscript"/>
          <w:rtl/>
          <w:lang w:val="en-US"/>
        </w:rPr>
        <w:t>)</w:t>
      </w:r>
      <w:r w:rsidRPr="00977A73">
        <w:rPr>
          <w:rtl/>
          <w:lang w:val="en-US"/>
        </w:rPr>
        <w:t xml:space="preserve">، </w:t>
      </w:r>
      <w:r w:rsidRPr="001659E7">
        <w:rPr>
          <w:rtl/>
          <w:lang w:val="en-US"/>
        </w:rPr>
        <w:t>ينبغي أن تضاعف الدول الأطراف جهودها، بالتعاون مع بلدان المنشأ والعبور والمقصد والعودة، لمكافحة أي شكل من أشكال الاستغلال أو الاتجار بالأشخاص وأن تتصدى للتجاوزات وانتهاكات الحقوق التي تحدث في سياق التهريب والفساد</w:t>
      </w:r>
      <w:r w:rsidRPr="00D80B7D">
        <w:rPr>
          <w:vertAlign w:val="superscript"/>
          <w:rtl/>
          <w:lang w:val="en-US"/>
        </w:rPr>
        <w:t>(</w:t>
      </w:r>
      <w:r w:rsidRPr="006B5BAF">
        <w:rPr>
          <w:rStyle w:val="FootnoteReference"/>
          <w:lang w:val="en-AU"/>
        </w:rPr>
        <w:footnoteReference w:id="61"/>
      </w:r>
      <w:r w:rsidRPr="00D80B7D">
        <w:rPr>
          <w:vertAlign w:val="superscript"/>
          <w:rtl/>
          <w:lang w:val="en-US"/>
        </w:rPr>
        <w:t>)</w:t>
      </w:r>
      <w:r w:rsidRPr="00977A73">
        <w:rPr>
          <w:rtl/>
          <w:lang w:val="en-US"/>
        </w:rPr>
        <w:t xml:space="preserve">. </w:t>
      </w:r>
      <w:r w:rsidRPr="001659E7">
        <w:rPr>
          <w:rtl/>
          <w:lang w:val="en-US"/>
        </w:rPr>
        <w:t xml:space="preserve">وتشجَّع الدول الأطراف على الانضمام إلى الصكوك الدولية لقمع الجريمة المنظمة عبر الوطنية وتنفيذها، مثل بروتوكول منع وقمع ومعاقبة الاتجار </w:t>
      </w:r>
      <w:r w:rsidRPr="006C7E57">
        <w:rPr>
          <w:spacing w:val="-4"/>
          <w:rtl/>
          <w:lang w:val="en-US"/>
        </w:rPr>
        <w:t>بالأشخاص، وبخاصة النساء والأطفال، المكمل لاتفاقية الأمم المتحدة لمكافحة الجريمة المنظمة عبر الوطنية،</w:t>
      </w:r>
      <w:r w:rsidRPr="001659E7">
        <w:rPr>
          <w:rtl/>
          <w:lang w:val="en-US"/>
        </w:rPr>
        <w:t xml:space="preserve"> </w:t>
      </w:r>
      <w:r w:rsidRPr="001659E7">
        <w:rPr>
          <w:rtl/>
          <w:lang w:val="en-US"/>
        </w:rPr>
        <w:lastRenderedPageBreak/>
        <w:t>وبروتوكول</w:t>
      </w:r>
      <w:r w:rsidRPr="00C55C0E">
        <w:rPr>
          <w:spacing w:val="-4"/>
          <w:rtl/>
          <w:lang w:val="en-US"/>
        </w:rPr>
        <w:t xml:space="preserve"> مكافحة تهريب المهاجرين عن طريق البر والبحر والجو، المكمل لاتفاقية الأمم المتحدة لمكافحة </w:t>
      </w:r>
      <w:r w:rsidRPr="006C7E57">
        <w:rPr>
          <w:spacing w:val="-4"/>
          <w:rtl/>
          <w:lang w:val="en-US"/>
        </w:rPr>
        <w:t>الجريمة المنظمة عبر الوطنية، واتفاقية الأمم المتحدة لمكافحة الفساد، وغيرها من الصكوك الدولية</w:t>
      </w:r>
      <w:r w:rsidRPr="001659E7">
        <w:rPr>
          <w:rtl/>
          <w:lang w:val="en-US"/>
        </w:rPr>
        <w:t xml:space="preserve"> والإقليمية ذات الصلة، كجزء من جهودها الرامية إلى منع اختفاء المهاجرين.</w:t>
      </w:r>
    </w:p>
    <w:p w14:paraId="0B0393BA" w14:textId="4567C4FB" w:rsidR="005E0255" w:rsidRPr="00977A73" w:rsidRDefault="005E0255" w:rsidP="001659E7">
      <w:pPr>
        <w:pStyle w:val="SingleTxtGA"/>
        <w:rPr>
          <w:lang w:val="en-US"/>
        </w:rPr>
      </w:pPr>
      <w:r w:rsidRPr="006B5BAF">
        <w:rPr>
          <w:rtl/>
          <w:lang w:val="en-US"/>
        </w:rPr>
        <w:t>29</w:t>
      </w:r>
      <w:r w:rsidRPr="001659E7">
        <w:rPr>
          <w:rtl/>
          <w:lang w:val="en-US"/>
        </w:rPr>
        <w:t>-</w:t>
      </w:r>
      <w:r w:rsidRPr="001659E7">
        <w:rPr>
          <w:rtl/>
          <w:lang w:val="en-US"/>
        </w:rPr>
        <w:tab/>
        <w:t xml:space="preserve">ويجب إيلاء اعتبار خاص لحقوق الأطفال المهاجرين، ولا سيما القصر غير </w:t>
      </w:r>
      <w:proofErr w:type="gramStart"/>
      <w:r w:rsidRPr="001659E7">
        <w:rPr>
          <w:rtl/>
          <w:lang w:val="en-US"/>
        </w:rPr>
        <w:t>المصحوبين</w:t>
      </w:r>
      <w:r w:rsidRPr="00D80B7D">
        <w:rPr>
          <w:vertAlign w:val="superscript"/>
          <w:rtl/>
          <w:lang w:val="en-US"/>
        </w:rPr>
        <w:t>(</w:t>
      </w:r>
      <w:proofErr w:type="gramEnd"/>
      <w:r w:rsidRPr="006B5BAF">
        <w:rPr>
          <w:rStyle w:val="FootnoteReference"/>
          <w:spacing w:val="-2"/>
          <w:lang w:val="en-AU"/>
        </w:rPr>
        <w:footnoteReference w:id="62"/>
      </w:r>
      <w:r w:rsidRPr="00D80B7D">
        <w:rPr>
          <w:vertAlign w:val="superscript"/>
          <w:rtl/>
          <w:lang w:val="en-US"/>
        </w:rPr>
        <w:t>)</w:t>
      </w:r>
      <w:r w:rsidRPr="00977A73">
        <w:rPr>
          <w:rtl/>
          <w:lang w:val="en-US"/>
        </w:rPr>
        <w:t xml:space="preserve">. </w:t>
      </w:r>
      <w:r w:rsidRPr="001659E7">
        <w:rPr>
          <w:rtl/>
          <w:lang w:val="en-US"/>
        </w:rPr>
        <w:t xml:space="preserve">ويشار في هذا الصدد إلى أن فصل الأطفال عن أسرهم يزيد من خطر الاختفاء القسري وينبغي تجنبه، </w:t>
      </w:r>
      <w:r w:rsidRPr="00954ACF">
        <w:rPr>
          <w:spacing w:val="-2"/>
          <w:rtl/>
          <w:lang w:val="en-US"/>
        </w:rPr>
        <w:t>ما</w:t>
      </w:r>
      <w:r w:rsidRPr="00954ACF">
        <w:rPr>
          <w:rFonts w:hint="cs"/>
          <w:spacing w:val="-2"/>
          <w:rtl/>
          <w:lang w:val="en-US"/>
        </w:rPr>
        <w:t> </w:t>
      </w:r>
      <w:r w:rsidRPr="00954ACF">
        <w:rPr>
          <w:spacing w:val="-2"/>
          <w:rtl/>
          <w:lang w:val="en-US"/>
        </w:rPr>
        <w:t xml:space="preserve">لم يتقرر أن ذلك يخدم مصالح الطفل الفضلى وفقاً للمعايير </w:t>
      </w:r>
      <w:proofErr w:type="gramStart"/>
      <w:r w:rsidRPr="00954ACF">
        <w:rPr>
          <w:spacing w:val="-2"/>
          <w:rtl/>
          <w:lang w:val="en-US"/>
        </w:rPr>
        <w:t>الدولية</w:t>
      </w:r>
      <w:r w:rsidRPr="00D80B7D">
        <w:rPr>
          <w:vertAlign w:val="superscript"/>
          <w:rtl/>
          <w:lang w:val="en-US"/>
        </w:rPr>
        <w:t>(</w:t>
      </w:r>
      <w:proofErr w:type="gramEnd"/>
      <w:r w:rsidRPr="006B5BAF">
        <w:rPr>
          <w:rStyle w:val="FootnoteReference"/>
          <w:lang w:val="en-AU"/>
        </w:rPr>
        <w:footnoteReference w:id="63"/>
      </w:r>
      <w:r w:rsidRPr="00D80B7D">
        <w:rPr>
          <w:vertAlign w:val="superscript"/>
          <w:rtl/>
          <w:lang w:val="en-US"/>
        </w:rPr>
        <w:t>)</w:t>
      </w:r>
      <w:r w:rsidRPr="00954ACF">
        <w:rPr>
          <w:spacing w:val="-2"/>
          <w:rtl/>
          <w:lang w:val="en-US"/>
        </w:rPr>
        <w:t>. وينبغي أن تتخذ الدول الأطراف</w:t>
      </w:r>
      <w:r w:rsidRPr="001659E7">
        <w:rPr>
          <w:rtl/>
          <w:lang w:val="en-US"/>
        </w:rPr>
        <w:t xml:space="preserve"> </w:t>
      </w:r>
      <w:r w:rsidRPr="00954ACF">
        <w:rPr>
          <w:spacing w:val="-2"/>
          <w:rtl/>
          <w:lang w:val="en-US"/>
        </w:rPr>
        <w:t>تدابير فعالة لضمان حماية الأطفال المهاجرين غير المصحوبين أو المنفصلين عن ذويهم الذين يقيمون في</w:t>
      </w:r>
      <w:r w:rsidRPr="001659E7">
        <w:rPr>
          <w:rtl/>
          <w:lang w:val="en-US"/>
        </w:rPr>
        <w:t xml:space="preserve"> مراكز الاستقبال أو غيرها من أماكن الإيواء حتى لا يقعوا ضحايا لانتهاكات حقوق الإنسان، بما في ذلك حالات الاختفاء التي تندرج في إطار المادتين </w:t>
      </w:r>
      <w:r w:rsidRPr="006B5BAF">
        <w:rPr>
          <w:rtl/>
          <w:lang w:val="en-US"/>
        </w:rPr>
        <w:t>2</w:t>
      </w:r>
      <w:r w:rsidRPr="001659E7">
        <w:rPr>
          <w:rtl/>
          <w:lang w:val="en-US"/>
        </w:rPr>
        <w:t xml:space="preserve"> و</w:t>
      </w:r>
      <w:r w:rsidRPr="006B5BAF">
        <w:rPr>
          <w:rtl/>
          <w:lang w:val="en-US"/>
        </w:rPr>
        <w:t>3</w:t>
      </w:r>
      <w:r w:rsidRPr="001659E7">
        <w:rPr>
          <w:rtl/>
          <w:lang w:val="en-US"/>
        </w:rPr>
        <w:t xml:space="preserve"> من </w:t>
      </w:r>
      <w:proofErr w:type="gramStart"/>
      <w:r w:rsidRPr="001659E7">
        <w:rPr>
          <w:rtl/>
          <w:lang w:val="en-US"/>
        </w:rPr>
        <w:t>الاتفاقية</w:t>
      </w:r>
      <w:r w:rsidRPr="00D80B7D">
        <w:rPr>
          <w:vertAlign w:val="superscript"/>
          <w:rtl/>
          <w:lang w:val="en-US"/>
        </w:rPr>
        <w:t>(</w:t>
      </w:r>
      <w:proofErr w:type="gramEnd"/>
      <w:r w:rsidRPr="006B5BAF">
        <w:rPr>
          <w:rStyle w:val="FootnoteReference"/>
          <w:lang w:val="en-AU"/>
        </w:rPr>
        <w:footnoteReference w:id="64"/>
      </w:r>
      <w:r w:rsidRPr="00D80B7D">
        <w:rPr>
          <w:vertAlign w:val="superscript"/>
          <w:rtl/>
          <w:lang w:val="en-US"/>
        </w:rPr>
        <w:t>)</w:t>
      </w:r>
      <w:r w:rsidRPr="00977A73">
        <w:rPr>
          <w:rtl/>
          <w:lang w:val="en-US"/>
        </w:rPr>
        <w:t xml:space="preserve">. </w:t>
      </w:r>
      <w:r w:rsidRPr="001659E7">
        <w:rPr>
          <w:rtl/>
          <w:lang w:val="en-US"/>
        </w:rPr>
        <w:t xml:space="preserve">والأطفال الذين يولدون على طرق الهجرة أو في أماكن سلب الحرية معرضون لخطر إضافي يتمثل في الترحيل غير المشروع (المادة </w:t>
      </w:r>
      <w:r w:rsidRPr="006B5BAF">
        <w:rPr>
          <w:rtl/>
          <w:lang w:val="en-US"/>
        </w:rPr>
        <w:t>25</w:t>
      </w:r>
      <w:r w:rsidRPr="00977A73">
        <w:rPr>
          <w:rtl/>
          <w:lang w:val="en-US"/>
        </w:rPr>
        <w:t xml:space="preserve">)، </w:t>
      </w:r>
      <w:r w:rsidRPr="001659E7">
        <w:rPr>
          <w:rtl/>
          <w:lang w:val="en-US"/>
        </w:rPr>
        <w:t xml:space="preserve">ولذلك من الأهمية بمكان ضمان تسجيلهم عند </w:t>
      </w:r>
      <w:proofErr w:type="gramStart"/>
      <w:r w:rsidRPr="001659E7">
        <w:rPr>
          <w:rtl/>
          <w:lang w:val="en-US"/>
        </w:rPr>
        <w:t>الولادة</w:t>
      </w:r>
      <w:r w:rsidRPr="00D80B7D">
        <w:rPr>
          <w:vertAlign w:val="superscript"/>
          <w:rtl/>
          <w:lang w:val="en-US"/>
        </w:rPr>
        <w:t>(</w:t>
      </w:r>
      <w:proofErr w:type="gramEnd"/>
      <w:r w:rsidRPr="006B5BAF">
        <w:rPr>
          <w:rStyle w:val="FootnoteReference"/>
          <w:lang w:val="en-AU"/>
        </w:rPr>
        <w:footnoteReference w:id="65"/>
      </w:r>
      <w:r w:rsidRPr="00D80B7D">
        <w:rPr>
          <w:vertAlign w:val="superscript"/>
          <w:rtl/>
          <w:lang w:val="en-US"/>
        </w:rPr>
        <w:t>)</w:t>
      </w:r>
      <w:r w:rsidRPr="00977A73">
        <w:rPr>
          <w:rtl/>
          <w:lang w:val="en-US"/>
        </w:rPr>
        <w:t xml:space="preserve">. </w:t>
      </w:r>
      <w:r w:rsidRPr="001659E7">
        <w:rPr>
          <w:rtl/>
          <w:lang w:val="en-US"/>
        </w:rPr>
        <w:t xml:space="preserve">ومراعاةً لمصالح الطفل الفضلى، ينبغي أن تمنح الدول الأطراف للأطفال عند المعابر الحدودية الدولية حق الوصول إلى الإقليم، بغض النظر عن الوثائق التي يحملونها أو لا يملكونها، والحق في أن يحالوا إلى السلطات المسؤولة عن تقييم احتياجاتهم من حيث حماية حقوقهم، ما يكفل الضمانات الإجرائية الخاصة </w:t>
      </w:r>
      <w:proofErr w:type="gramStart"/>
      <w:r w:rsidRPr="001659E7">
        <w:rPr>
          <w:rtl/>
          <w:lang w:val="en-US"/>
        </w:rPr>
        <w:t>بهم</w:t>
      </w:r>
      <w:r w:rsidRPr="00D80B7D">
        <w:rPr>
          <w:vertAlign w:val="superscript"/>
          <w:rtl/>
          <w:lang w:val="en-US"/>
        </w:rPr>
        <w:t>(</w:t>
      </w:r>
      <w:proofErr w:type="gramEnd"/>
      <w:r w:rsidRPr="006B5BAF">
        <w:rPr>
          <w:rStyle w:val="FootnoteReference"/>
          <w:lang w:val="en-AU"/>
        </w:rPr>
        <w:footnoteReference w:id="66"/>
      </w:r>
      <w:r w:rsidRPr="00D80B7D">
        <w:rPr>
          <w:vertAlign w:val="superscript"/>
          <w:rtl/>
          <w:lang w:val="en-US"/>
        </w:rPr>
        <w:t>)</w:t>
      </w:r>
      <w:r w:rsidRPr="00977A73">
        <w:rPr>
          <w:rtl/>
          <w:lang w:val="en-US"/>
        </w:rPr>
        <w:t xml:space="preserve">. </w:t>
      </w:r>
      <w:r w:rsidRPr="001659E7">
        <w:rPr>
          <w:rtl/>
          <w:lang w:val="en-US"/>
        </w:rPr>
        <w:t xml:space="preserve">وينبغي إعطاء الأولوية لاحترام </w:t>
      </w:r>
      <w:r w:rsidRPr="00C55C0E">
        <w:rPr>
          <w:spacing w:val="-4"/>
          <w:rtl/>
          <w:lang w:val="en-US"/>
        </w:rPr>
        <w:t>مصالح الطفل الفضلى ولوحدة الأسرة، وذلك مثلاً من خلال تحديد هوية الأطفال المهاجرين على وجه السرعة</w:t>
      </w:r>
      <w:r w:rsidRPr="001659E7">
        <w:rPr>
          <w:rtl/>
          <w:lang w:val="en-US"/>
        </w:rPr>
        <w:t xml:space="preserve"> عند نقاط المراقبة الحدودية أو في ظروف أخرى، وتعيين وصي على الأطفال غير المصحوبين بذويهم، ووضع إجراءات لاتخاذ القرارات المناسبة بشأن المصالح </w:t>
      </w:r>
      <w:proofErr w:type="gramStart"/>
      <w:r w:rsidRPr="001659E7">
        <w:rPr>
          <w:rtl/>
          <w:lang w:val="en-US"/>
        </w:rPr>
        <w:t>الفضلى</w:t>
      </w:r>
      <w:r w:rsidRPr="00D80B7D">
        <w:rPr>
          <w:vertAlign w:val="superscript"/>
          <w:rtl/>
          <w:lang w:val="en-US"/>
        </w:rPr>
        <w:t>(</w:t>
      </w:r>
      <w:proofErr w:type="gramEnd"/>
      <w:r w:rsidRPr="006B5BAF">
        <w:rPr>
          <w:rStyle w:val="FootnoteReference"/>
          <w:lang w:val="en-AU"/>
        </w:rPr>
        <w:footnoteReference w:id="67"/>
      </w:r>
      <w:r w:rsidRPr="00D80B7D">
        <w:rPr>
          <w:vertAlign w:val="superscript"/>
          <w:rtl/>
          <w:lang w:val="en-US"/>
        </w:rPr>
        <w:t>)</w:t>
      </w:r>
      <w:r w:rsidRPr="00977A73">
        <w:rPr>
          <w:rtl/>
          <w:lang w:val="en-US"/>
        </w:rPr>
        <w:t>.</w:t>
      </w:r>
    </w:p>
    <w:p w14:paraId="2AFC6D24" w14:textId="6578D391" w:rsidR="005E0255" w:rsidRPr="006079F4" w:rsidRDefault="005E0255" w:rsidP="001659E7">
      <w:pPr>
        <w:pStyle w:val="SingleTxtGA"/>
        <w:rPr>
          <w:spacing w:val="2"/>
          <w:lang w:val="en-US"/>
        </w:rPr>
      </w:pPr>
      <w:r w:rsidRPr="006B5BAF">
        <w:rPr>
          <w:rtl/>
          <w:lang w:val="en-US"/>
        </w:rPr>
        <w:t>30</w:t>
      </w:r>
      <w:r w:rsidRPr="001659E7">
        <w:rPr>
          <w:rtl/>
          <w:lang w:val="en-US"/>
        </w:rPr>
        <w:t>-</w:t>
      </w:r>
      <w:r w:rsidRPr="001659E7">
        <w:rPr>
          <w:rtl/>
          <w:lang w:val="en-US"/>
        </w:rPr>
        <w:tab/>
      </w:r>
      <w:r w:rsidRPr="00C55C0E">
        <w:rPr>
          <w:spacing w:val="-4"/>
          <w:rtl/>
          <w:lang w:val="en-US"/>
        </w:rPr>
        <w:t xml:space="preserve">ويسهم تجريم الهجرة وتقديم المساعدة للمهاجرين إسهاماً مباشراً في زيادة خطر الاختفاء الذي </w:t>
      </w:r>
      <w:proofErr w:type="spellStart"/>
      <w:r w:rsidRPr="00C55C0E">
        <w:rPr>
          <w:spacing w:val="-4"/>
          <w:rtl/>
          <w:lang w:val="en-US"/>
        </w:rPr>
        <w:t>يواجهه</w:t>
      </w:r>
      <w:proofErr w:type="spellEnd"/>
      <w:r w:rsidRPr="00C55C0E">
        <w:rPr>
          <w:spacing w:val="-4"/>
          <w:rtl/>
          <w:lang w:val="en-US"/>
        </w:rPr>
        <w:t xml:space="preserve"> المهاجرون، لأنه يضعهم في حالة ضعف. وتحث اللجنة الدول الأطراف على تجنب تجريم الهجرة، في القانون والممارسة على السواء، وعلى تهيئة بيئة ملائمة للأشخاص أو المنظمات الذين يقدمون المساعدة الإنسانية أو</w:t>
      </w:r>
      <w:r w:rsidR="00C55C0E">
        <w:rPr>
          <w:rFonts w:hint="cs"/>
          <w:spacing w:val="-4"/>
          <w:rtl/>
          <w:lang w:val="en-US"/>
        </w:rPr>
        <w:t> </w:t>
      </w:r>
      <w:r w:rsidRPr="00C55C0E">
        <w:rPr>
          <w:spacing w:val="-4"/>
          <w:rtl/>
          <w:lang w:val="en-US"/>
        </w:rPr>
        <w:t xml:space="preserve">القانونية </w:t>
      </w:r>
      <w:proofErr w:type="gramStart"/>
      <w:r w:rsidRPr="00C55C0E">
        <w:rPr>
          <w:spacing w:val="-4"/>
          <w:rtl/>
          <w:lang w:val="en-US"/>
        </w:rPr>
        <w:t>للمهاجرين</w:t>
      </w:r>
      <w:r w:rsidRPr="00C55C0E">
        <w:rPr>
          <w:spacing w:val="-4"/>
          <w:vertAlign w:val="superscript"/>
          <w:rtl/>
          <w:lang w:val="en-US"/>
        </w:rPr>
        <w:t>(</w:t>
      </w:r>
      <w:proofErr w:type="gramEnd"/>
      <w:r w:rsidRPr="006B5BAF">
        <w:rPr>
          <w:rStyle w:val="FootnoteReference"/>
          <w:spacing w:val="-4"/>
          <w:lang w:val="en-AU"/>
        </w:rPr>
        <w:footnoteReference w:id="68"/>
      </w:r>
      <w:r w:rsidRPr="00C55C0E">
        <w:rPr>
          <w:spacing w:val="-4"/>
          <w:vertAlign w:val="superscript"/>
          <w:rtl/>
          <w:lang w:val="en-US"/>
        </w:rPr>
        <w:t>)</w:t>
      </w:r>
      <w:r w:rsidRPr="00C55C0E">
        <w:rPr>
          <w:spacing w:val="-4"/>
          <w:rtl/>
          <w:lang w:val="en-US"/>
        </w:rPr>
        <w:t>. ويجب على الدول الأطراف أن تكفل عدم تعرض المدافعين عن حقوق الإنسان</w:t>
      </w:r>
      <w:r w:rsidRPr="001659E7">
        <w:rPr>
          <w:rtl/>
          <w:lang w:val="en-US"/>
        </w:rPr>
        <w:t xml:space="preserve"> </w:t>
      </w:r>
      <w:r w:rsidRPr="001659E7">
        <w:rPr>
          <w:rtl/>
          <w:lang w:val="en-US"/>
        </w:rPr>
        <w:lastRenderedPageBreak/>
        <w:t xml:space="preserve">والجهات الفاعلة في المجتمع المدني والصحفيين وأي شخص يقدم هذه المساعدة للانتقام أو التخويف، وعدم تجريمهم أو مقاضاتهم لمشاركتهم في عمليات البحث والإنقاذ المتعلقة بالمهاجرين، أو في رصد الانتهاكات وتوثيقها، أو في تقديم أي شكل آخر من أشكال المساعدة </w:t>
      </w:r>
      <w:proofErr w:type="gramStart"/>
      <w:r w:rsidRPr="001659E7">
        <w:rPr>
          <w:rtl/>
          <w:lang w:val="en-US"/>
        </w:rPr>
        <w:t>للمهاجرين</w:t>
      </w:r>
      <w:r w:rsidRPr="00D80B7D">
        <w:rPr>
          <w:vertAlign w:val="superscript"/>
          <w:rtl/>
          <w:lang w:val="en-US"/>
        </w:rPr>
        <w:t>(</w:t>
      </w:r>
      <w:proofErr w:type="gramEnd"/>
      <w:r w:rsidRPr="006B5BAF">
        <w:rPr>
          <w:rStyle w:val="FootnoteReference"/>
          <w:lang w:val="en-AU"/>
        </w:rPr>
        <w:footnoteReference w:id="69"/>
      </w:r>
      <w:r w:rsidRPr="00D80B7D">
        <w:rPr>
          <w:vertAlign w:val="superscript"/>
          <w:rtl/>
          <w:lang w:val="en-US"/>
        </w:rPr>
        <w:t>)</w:t>
      </w:r>
      <w:r w:rsidRPr="00977A73">
        <w:rPr>
          <w:rtl/>
          <w:lang w:val="en-US"/>
        </w:rPr>
        <w:t xml:space="preserve">. </w:t>
      </w:r>
      <w:r w:rsidRPr="001659E7">
        <w:rPr>
          <w:rtl/>
          <w:lang w:val="en-US"/>
        </w:rPr>
        <w:t>وتحقيق</w:t>
      </w:r>
      <w:r>
        <w:rPr>
          <w:rtl/>
          <w:lang w:val="en-US"/>
        </w:rPr>
        <w:t xml:space="preserve">اً </w:t>
      </w:r>
      <w:r w:rsidRPr="001659E7">
        <w:rPr>
          <w:rtl/>
          <w:lang w:val="en-US"/>
        </w:rPr>
        <w:t xml:space="preserve">لهذه الغاية، </w:t>
      </w:r>
      <w:r w:rsidRPr="006079F4">
        <w:rPr>
          <w:spacing w:val="2"/>
          <w:rtl/>
          <w:lang w:val="en-US"/>
        </w:rPr>
        <w:t>ينبغي أن تعيد الدول الأطراف النظر في المصطلحات المستخدمة في أنواع معينة من التشريعات، مثل</w:t>
      </w:r>
      <w:r w:rsidR="006079F4" w:rsidRPr="006079F4">
        <w:rPr>
          <w:rFonts w:hint="cs"/>
          <w:spacing w:val="2"/>
          <w:rtl/>
          <w:lang w:val="en-US"/>
        </w:rPr>
        <w:t> </w:t>
      </w:r>
      <w:r w:rsidRPr="006079F4">
        <w:rPr>
          <w:spacing w:val="2"/>
          <w:rtl/>
          <w:lang w:val="en-US"/>
        </w:rPr>
        <w:t xml:space="preserve">التشريعات المتعلقة بمكافحة الاتجار والتهريب </w:t>
      </w:r>
      <w:proofErr w:type="gramStart"/>
      <w:r w:rsidRPr="006079F4">
        <w:rPr>
          <w:spacing w:val="2"/>
          <w:rtl/>
          <w:lang w:val="en-US"/>
        </w:rPr>
        <w:t>والإرهاب</w:t>
      </w:r>
      <w:r w:rsidRPr="006079F4">
        <w:rPr>
          <w:spacing w:val="2"/>
          <w:vertAlign w:val="superscript"/>
          <w:rtl/>
          <w:lang w:val="en-US"/>
        </w:rPr>
        <w:t>(</w:t>
      </w:r>
      <w:proofErr w:type="gramEnd"/>
      <w:r w:rsidRPr="006B5BAF">
        <w:rPr>
          <w:rStyle w:val="FootnoteReference"/>
          <w:spacing w:val="2"/>
          <w:lang w:val="en-AU"/>
        </w:rPr>
        <w:footnoteReference w:id="70"/>
      </w:r>
      <w:r w:rsidRPr="006079F4">
        <w:rPr>
          <w:spacing w:val="2"/>
          <w:vertAlign w:val="superscript"/>
          <w:rtl/>
          <w:lang w:val="en-US"/>
        </w:rPr>
        <w:t>)</w:t>
      </w:r>
      <w:r w:rsidRPr="006079F4">
        <w:rPr>
          <w:spacing w:val="2"/>
          <w:rtl/>
          <w:lang w:val="en-US"/>
        </w:rPr>
        <w:t xml:space="preserve">. </w:t>
      </w:r>
    </w:p>
    <w:p w14:paraId="30F3B9DF" w14:textId="77777777" w:rsidR="005E0255" w:rsidRPr="006B5BAF" w:rsidRDefault="005E0255" w:rsidP="001659E7">
      <w:pPr>
        <w:pStyle w:val="H1GA"/>
      </w:pPr>
      <w:r w:rsidRPr="006B5BAF">
        <w:rPr>
          <w:rtl/>
        </w:rPr>
        <w:tab/>
        <w:t>دال-</w:t>
      </w:r>
      <w:r w:rsidRPr="006B5BAF">
        <w:rPr>
          <w:rtl/>
        </w:rPr>
        <w:tab/>
        <w:t>عدم الإعادة القسرية وحظر عمليات الصّدّ</w:t>
      </w:r>
    </w:p>
    <w:p w14:paraId="05906F46" w14:textId="3380CB7C" w:rsidR="005E0255" w:rsidRPr="00977A73" w:rsidRDefault="005E0255" w:rsidP="001659E7">
      <w:pPr>
        <w:pStyle w:val="SingleTxtGA"/>
        <w:rPr>
          <w:lang w:val="en-US"/>
        </w:rPr>
      </w:pPr>
      <w:r w:rsidRPr="006B5BAF">
        <w:rPr>
          <w:rtl/>
          <w:lang w:val="en-US"/>
        </w:rPr>
        <w:t>31</w:t>
      </w:r>
      <w:r w:rsidRPr="001659E7">
        <w:rPr>
          <w:rtl/>
          <w:lang w:val="en-US"/>
        </w:rPr>
        <w:t>-</w:t>
      </w:r>
      <w:r w:rsidRPr="006079F4">
        <w:rPr>
          <w:spacing w:val="-2"/>
          <w:rtl/>
          <w:lang w:val="en-US"/>
        </w:rPr>
        <w:tab/>
        <w:t xml:space="preserve">تكرس المادة </w:t>
      </w:r>
      <w:r w:rsidRPr="006B5BAF">
        <w:rPr>
          <w:spacing w:val="-2"/>
          <w:rtl/>
          <w:lang w:val="en-US"/>
        </w:rPr>
        <w:t>16</w:t>
      </w:r>
      <w:r w:rsidRPr="006079F4">
        <w:rPr>
          <w:spacing w:val="-2"/>
          <w:rtl/>
          <w:lang w:val="en-US"/>
        </w:rPr>
        <w:t>(</w:t>
      </w:r>
      <w:r w:rsidRPr="006B5BAF">
        <w:rPr>
          <w:spacing w:val="-2"/>
          <w:rtl/>
          <w:lang w:val="en-US"/>
        </w:rPr>
        <w:t>1</w:t>
      </w:r>
      <w:r w:rsidRPr="006079F4">
        <w:rPr>
          <w:spacing w:val="-2"/>
          <w:rtl/>
          <w:lang w:val="en-US"/>
        </w:rPr>
        <w:t xml:space="preserve">) من الاتفاقية مبدأ غير قابل للتقييد، هو مبدأ عدم ردّ أي شخص إلى أي دولة أخرى إذا كانت هناك أسباب وجيهة تدعو إلى الاعتقاد بأن هذا الشخص سيواجه خطر الوقوع ضحية للاختفاء القسري. وينبغي أن تدرج الدول الأطراف هذا المبدأ صراحة في تشريعاتها </w:t>
      </w:r>
      <w:proofErr w:type="gramStart"/>
      <w:r w:rsidRPr="006079F4">
        <w:rPr>
          <w:spacing w:val="-2"/>
          <w:rtl/>
          <w:lang w:val="en-US"/>
        </w:rPr>
        <w:t>الوطنية</w:t>
      </w:r>
      <w:r w:rsidRPr="00D80B7D">
        <w:rPr>
          <w:vertAlign w:val="superscript"/>
          <w:rtl/>
          <w:lang w:val="en-US"/>
        </w:rPr>
        <w:t>(</w:t>
      </w:r>
      <w:proofErr w:type="gramEnd"/>
      <w:r w:rsidRPr="006B5BAF">
        <w:rPr>
          <w:rStyle w:val="FootnoteReference"/>
          <w:lang w:val="en-AU"/>
        </w:rPr>
        <w:footnoteReference w:id="71"/>
      </w:r>
      <w:r w:rsidRPr="00D80B7D">
        <w:rPr>
          <w:vertAlign w:val="superscript"/>
          <w:rtl/>
          <w:lang w:val="en-US"/>
        </w:rPr>
        <w:t>)</w:t>
      </w:r>
      <w:r w:rsidRPr="001659E7">
        <w:rPr>
          <w:rtl/>
          <w:lang w:val="en-US"/>
        </w:rPr>
        <w:t xml:space="preserve"> وأن تمتنع عن تضمين قوانينها استثناءات تهدف إلى الالتفاف على هذا المبدأ</w:t>
      </w:r>
      <w:r w:rsidRPr="00D80B7D">
        <w:rPr>
          <w:vertAlign w:val="superscript"/>
          <w:rtl/>
          <w:lang w:val="en-US"/>
        </w:rPr>
        <w:t>(</w:t>
      </w:r>
      <w:r w:rsidRPr="006B5BAF">
        <w:rPr>
          <w:rStyle w:val="FootnoteReference"/>
          <w:lang w:val="en-AU"/>
        </w:rPr>
        <w:footnoteReference w:id="72"/>
      </w:r>
      <w:r w:rsidRPr="00D80B7D">
        <w:rPr>
          <w:vertAlign w:val="superscript"/>
          <w:rtl/>
          <w:lang w:val="en-US"/>
        </w:rPr>
        <w:t>)</w:t>
      </w:r>
      <w:r w:rsidRPr="00977A73">
        <w:rPr>
          <w:rtl/>
          <w:lang w:val="en-US"/>
        </w:rPr>
        <w:t xml:space="preserve">. </w:t>
      </w:r>
      <w:r w:rsidRPr="001659E7">
        <w:rPr>
          <w:rtl/>
          <w:lang w:val="en-US"/>
        </w:rPr>
        <w:t xml:space="preserve">وينطبق حظر الردّ حيثما تمارس الدولة الطرف ولايتها القضائية أو سيطرة فعلية على الأشخاص المعنيين، بما في ذلك في البحر وعلى متن </w:t>
      </w:r>
      <w:proofErr w:type="gramStart"/>
      <w:r w:rsidRPr="001659E7">
        <w:rPr>
          <w:rtl/>
          <w:lang w:val="en-US"/>
        </w:rPr>
        <w:t>السفن</w:t>
      </w:r>
      <w:r w:rsidRPr="00D80B7D">
        <w:rPr>
          <w:vertAlign w:val="superscript"/>
          <w:rtl/>
          <w:lang w:val="en-US"/>
        </w:rPr>
        <w:t>(</w:t>
      </w:r>
      <w:proofErr w:type="gramEnd"/>
      <w:r w:rsidRPr="006B5BAF">
        <w:rPr>
          <w:rStyle w:val="FootnoteReference"/>
          <w:lang w:val="en-AU"/>
        </w:rPr>
        <w:footnoteReference w:id="73"/>
      </w:r>
      <w:r w:rsidRPr="00D80B7D">
        <w:rPr>
          <w:vertAlign w:val="superscript"/>
          <w:rtl/>
          <w:lang w:val="en-US"/>
        </w:rPr>
        <w:t>)</w:t>
      </w:r>
      <w:r w:rsidRPr="00977A73">
        <w:rPr>
          <w:rtl/>
          <w:lang w:val="en-US"/>
        </w:rPr>
        <w:t xml:space="preserve">. </w:t>
      </w:r>
      <w:r w:rsidRPr="001659E7">
        <w:rPr>
          <w:rtl/>
          <w:lang w:val="en-US"/>
        </w:rPr>
        <w:t xml:space="preserve">وينطبق المبدأ </w:t>
      </w:r>
      <w:r>
        <w:rPr>
          <w:rtl/>
          <w:lang w:val="en-US"/>
        </w:rPr>
        <w:t xml:space="preserve">أيضاً </w:t>
      </w:r>
      <w:r w:rsidRPr="001659E7">
        <w:rPr>
          <w:rtl/>
          <w:lang w:val="en-US"/>
        </w:rPr>
        <w:t xml:space="preserve">كلما قررت الدول الأطراف نقل مهام إدارة الهجرة إلى بلدان </w:t>
      </w:r>
      <w:proofErr w:type="gramStart"/>
      <w:r w:rsidRPr="001659E7">
        <w:rPr>
          <w:rtl/>
          <w:lang w:val="en-US"/>
        </w:rPr>
        <w:t>ثالثة</w:t>
      </w:r>
      <w:r w:rsidRPr="00D80B7D">
        <w:rPr>
          <w:vertAlign w:val="superscript"/>
          <w:rtl/>
          <w:lang w:val="en-US"/>
        </w:rPr>
        <w:t>(</w:t>
      </w:r>
      <w:proofErr w:type="gramEnd"/>
      <w:r w:rsidRPr="006B5BAF">
        <w:rPr>
          <w:rStyle w:val="FootnoteReference"/>
          <w:lang w:val="en-AU"/>
        </w:rPr>
        <w:footnoteReference w:id="74"/>
      </w:r>
      <w:r w:rsidRPr="00D80B7D">
        <w:rPr>
          <w:vertAlign w:val="superscript"/>
          <w:rtl/>
          <w:lang w:val="en-US"/>
        </w:rPr>
        <w:t>)</w:t>
      </w:r>
      <w:r w:rsidRPr="00977A73">
        <w:rPr>
          <w:rtl/>
          <w:lang w:val="en-US"/>
        </w:rPr>
        <w:t>.</w:t>
      </w:r>
    </w:p>
    <w:p w14:paraId="6653ACCC" w14:textId="0522AF8D" w:rsidR="005E0255" w:rsidRPr="00977A73" w:rsidRDefault="005E0255" w:rsidP="006079F4">
      <w:pPr>
        <w:pStyle w:val="SingleTxtGA"/>
        <w:spacing w:line="350" w:lineRule="exact"/>
        <w:rPr>
          <w:lang w:val="en-US"/>
        </w:rPr>
      </w:pPr>
      <w:r w:rsidRPr="006B5BAF">
        <w:rPr>
          <w:rtl/>
          <w:lang w:val="en-US"/>
        </w:rPr>
        <w:t>32</w:t>
      </w:r>
      <w:r w:rsidRPr="001659E7">
        <w:rPr>
          <w:rtl/>
          <w:lang w:val="en-US"/>
        </w:rPr>
        <w:t>-</w:t>
      </w:r>
      <w:r w:rsidRPr="001659E7">
        <w:rPr>
          <w:rtl/>
          <w:lang w:val="en-US"/>
        </w:rPr>
        <w:tab/>
      </w:r>
      <w:r w:rsidRPr="006079F4">
        <w:rPr>
          <w:spacing w:val="-2"/>
          <w:rtl/>
          <w:lang w:val="en-US"/>
        </w:rPr>
        <w:t xml:space="preserve">ويقتضي مبدأ عدم الردّ أن تكفل الدول الأطراف قيام السلطات الإدارية والقضائية المختصة بالنظر في حالة كل شخص على حدة بطريقة نزيهة ومستقلة، وفقاً للمعايير الدولية المتعلقة بالإجراءات القانونية </w:t>
      </w:r>
      <w:proofErr w:type="gramStart"/>
      <w:r w:rsidRPr="006079F4">
        <w:rPr>
          <w:spacing w:val="-2"/>
          <w:rtl/>
          <w:lang w:val="en-US"/>
        </w:rPr>
        <w:t>الواجبة</w:t>
      </w:r>
      <w:r w:rsidRPr="006079F4">
        <w:rPr>
          <w:spacing w:val="-2"/>
          <w:vertAlign w:val="superscript"/>
          <w:rtl/>
          <w:lang w:val="en-US"/>
        </w:rPr>
        <w:t>(</w:t>
      </w:r>
      <w:proofErr w:type="gramEnd"/>
      <w:r w:rsidRPr="006B5BAF">
        <w:rPr>
          <w:rStyle w:val="FootnoteReference"/>
          <w:spacing w:val="-2"/>
          <w:lang w:val="en-AU"/>
        </w:rPr>
        <w:footnoteReference w:id="75"/>
      </w:r>
      <w:r w:rsidRPr="006079F4">
        <w:rPr>
          <w:spacing w:val="-2"/>
          <w:vertAlign w:val="superscript"/>
          <w:rtl/>
          <w:lang w:val="en-US"/>
        </w:rPr>
        <w:t>)</w:t>
      </w:r>
      <w:r w:rsidRPr="006079F4">
        <w:rPr>
          <w:spacing w:val="-2"/>
          <w:rtl/>
          <w:lang w:val="en-US"/>
        </w:rPr>
        <w:t>. وينبغي أن تشمل هذه العملية تقييماً لما إذا كان هناك خطر نقل الشخص إلى بلد ثالث حيث قد</w:t>
      </w:r>
      <w:r w:rsidR="006079F4">
        <w:rPr>
          <w:rFonts w:hint="cs"/>
          <w:spacing w:val="-2"/>
          <w:rtl/>
          <w:lang w:val="en-US"/>
        </w:rPr>
        <w:t> </w:t>
      </w:r>
      <w:r w:rsidRPr="006079F4">
        <w:rPr>
          <w:spacing w:val="-2"/>
          <w:rtl/>
          <w:lang w:val="en-US"/>
        </w:rPr>
        <w:t>يتعرض للاختفاء القسري ("الردّ المتتالي</w:t>
      </w:r>
      <w:proofErr w:type="gramStart"/>
      <w:r w:rsidRPr="006079F4">
        <w:rPr>
          <w:spacing w:val="-2"/>
          <w:rtl/>
          <w:lang w:val="en-US"/>
        </w:rPr>
        <w:t>")</w:t>
      </w:r>
      <w:r w:rsidRPr="006079F4">
        <w:rPr>
          <w:spacing w:val="-2"/>
          <w:vertAlign w:val="superscript"/>
          <w:rtl/>
          <w:lang w:val="en-US"/>
        </w:rPr>
        <w:t>(</w:t>
      </w:r>
      <w:proofErr w:type="gramEnd"/>
      <w:r w:rsidRPr="006B5BAF">
        <w:rPr>
          <w:rStyle w:val="FootnoteReference"/>
          <w:spacing w:val="-2"/>
          <w:lang w:val="en-AU"/>
        </w:rPr>
        <w:footnoteReference w:id="76"/>
      </w:r>
      <w:r w:rsidRPr="006079F4">
        <w:rPr>
          <w:spacing w:val="-2"/>
          <w:vertAlign w:val="superscript"/>
          <w:rtl/>
          <w:lang w:val="en-US"/>
        </w:rPr>
        <w:t>)</w:t>
      </w:r>
      <w:r w:rsidRPr="006079F4">
        <w:rPr>
          <w:spacing w:val="-2"/>
          <w:rtl/>
          <w:lang w:val="en-US"/>
        </w:rPr>
        <w:t xml:space="preserve">. ويجب عدم استخدام قوائم "البلدان الآمنة" بديلاً لتقييم المخاطر على أساس كل </w:t>
      </w:r>
      <w:proofErr w:type="gramStart"/>
      <w:r w:rsidRPr="006079F4">
        <w:rPr>
          <w:spacing w:val="-2"/>
          <w:rtl/>
          <w:lang w:val="en-US"/>
        </w:rPr>
        <w:t>حالة</w:t>
      </w:r>
      <w:r w:rsidRPr="006079F4">
        <w:rPr>
          <w:spacing w:val="-2"/>
          <w:vertAlign w:val="superscript"/>
          <w:rtl/>
          <w:lang w:val="en-US"/>
        </w:rPr>
        <w:t>(</w:t>
      </w:r>
      <w:proofErr w:type="gramEnd"/>
      <w:r w:rsidRPr="006B5BAF">
        <w:rPr>
          <w:rStyle w:val="FootnoteReference"/>
          <w:spacing w:val="-2"/>
          <w:lang w:val="en-AU"/>
        </w:rPr>
        <w:footnoteReference w:id="77"/>
      </w:r>
      <w:r w:rsidRPr="006079F4">
        <w:rPr>
          <w:spacing w:val="-2"/>
          <w:vertAlign w:val="superscript"/>
          <w:rtl/>
          <w:lang w:val="en-US"/>
        </w:rPr>
        <w:t>)</w:t>
      </w:r>
      <w:r w:rsidRPr="006079F4">
        <w:rPr>
          <w:spacing w:val="-2"/>
          <w:rtl/>
          <w:lang w:val="en-US"/>
        </w:rPr>
        <w:t>. وعلاوة على ذلك، يجب أن تُقيَّم أي ضمانات دبلوماسية</w:t>
      </w:r>
      <w:r w:rsidRPr="001659E7">
        <w:rPr>
          <w:rtl/>
          <w:lang w:val="en-US"/>
        </w:rPr>
        <w:t xml:space="preserve"> بعناية </w:t>
      </w:r>
      <w:proofErr w:type="gramStart"/>
      <w:r w:rsidRPr="001659E7">
        <w:rPr>
          <w:rtl/>
          <w:lang w:val="en-US"/>
        </w:rPr>
        <w:t>فائقة</w:t>
      </w:r>
      <w:r w:rsidRPr="00D80B7D">
        <w:rPr>
          <w:vertAlign w:val="superscript"/>
          <w:rtl/>
          <w:lang w:val="en-US"/>
        </w:rPr>
        <w:t>(</w:t>
      </w:r>
      <w:proofErr w:type="gramEnd"/>
      <w:r w:rsidRPr="006B5BAF">
        <w:rPr>
          <w:rStyle w:val="FootnoteReference"/>
          <w:lang w:val="en-AU"/>
        </w:rPr>
        <w:footnoteReference w:id="78"/>
      </w:r>
      <w:r w:rsidRPr="00D80B7D">
        <w:rPr>
          <w:vertAlign w:val="superscript"/>
          <w:rtl/>
          <w:lang w:val="en-US"/>
        </w:rPr>
        <w:t>)</w:t>
      </w:r>
      <w:r w:rsidRPr="00977A73">
        <w:rPr>
          <w:rtl/>
          <w:lang w:val="en-US"/>
        </w:rPr>
        <w:t xml:space="preserve">. </w:t>
      </w:r>
      <w:r w:rsidRPr="006079F4">
        <w:rPr>
          <w:spacing w:val="-2"/>
          <w:rtl/>
          <w:lang w:val="en-US"/>
        </w:rPr>
        <w:lastRenderedPageBreak/>
        <w:t>ويجب إبلاغ المهاجر بأي قرار إعادة يُتخذ بشأنه على إثر هذا التقييم بلغة يفهمها الشخص المعني، وخطّياً</w:t>
      </w:r>
      <w:r w:rsidRPr="001659E7">
        <w:rPr>
          <w:rtl/>
          <w:lang w:val="en-US"/>
        </w:rPr>
        <w:t xml:space="preserve"> </w:t>
      </w:r>
      <w:r w:rsidRPr="006079F4">
        <w:rPr>
          <w:spacing w:val="-4"/>
          <w:rtl/>
          <w:lang w:val="en-US"/>
        </w:rPr>
        <w:t xml:space="preserve">إذا طلب </w:t>
      </w:r>
      <w:proofErr w:type="gramStart"/>
      <w:r w:rsidRPr="006079F4">
        <w:rPr>
          <w:spacing w:val="-4"/>
          <w:rtl/>
          <w:lang w:val="en-US"/>
        </w:rPr>
        <w:t>ذلك</w:t>
      </w:r>
      <w:r w:rsidRPr="006079F4">
        <w:rPr>
          <w:spacing w:val="-4"/>
          <w:vertAlign w:val="superscript"/>
          <w:rtl/>
          <w:lang w:val="en-US"/>
        </w:rPr>
        <w:t>(</w:t>
      </w:r>
      <w:proofErr w:type="gramEnd"/>
      <w:r w:rsidRPr="006B5BAF">
        <w:rPr>
          <w:rStyle w:val="FootnoteReference"/>
          <w:spacing w:val="-4"/>
          <w:lang w:val="en-AU"/>
        </w:rPr>
        <w:footnoteReference w:id="79"/>
      </w:r>
      <w:r w:rsidRPr="006079F4">
        <w:rPr>
          <w:spacing w:val="-4"/>
          <w:vertAlign w:val="superscript"/>
          <w:rtl/>
          <w:lang w:val="en-US"/>
        </w:rPr>
        <w:t>)</w:t>
      </w:r>
      <w:r w:rsidRPr="006079F4">
        <w:rPr>
          <w:spacing w:val="-4"/>
          <w:rtl/>
          <w:lang w:val="en-US"/>
        </w:rPr>
        <w:t>، ويجب أن يكون القرار خاضعاً للاستئناف، مع وقف التنفيذ، أمام سلطة مستقلة ونزيهة</w:t>
      </w:r>
      <w:r w:rsidRPr="006079F4">
        <w:rPr>
          <w:spacing w:val="-4"/>
          <w:vertAlign w:val="superscript"/>
          <w:rtl/>
          <w:lang w:val="en-US"/>
        </w:rPr>
        <w:t>(</w:t>
      </w:r>
      <w:r w:rsidRPr="006B5BAF">
        <w:rPr>
          <w:rStyle w:val="FootnoteReference"/>
          <w:spacing w:val="-4"/>
          <w:lang w:val="en-AU"/>
        </w:rPr>
        <w:footnoteReference w:id="80"/>
      </w:r>
      <w:r w:rsidRPr="006079F4">
        <w:rPr>
          <w:spacing w:val="-4"/>
          <w:vertAlign w:val="superscript"/>
          <w:rtl/>
          <w:lang w:val="en-US"/>
        </w:rPr>
        <w:t>)</w:t>
      </w:r>
      <w:r w:rsidRPr="006079F4">
        <w:rPr>
          <w:spacing w:val="-4"/>
          <w:rtl/>
          <w:lang w:val="en-US"/>
        </w:rPr>
        <w:t>.</w:t>
      </w:r>
    </w:p>
    <w:p w14:paraId="1BC769E2" w14:textId="6AFFBBDD" w:rsidR="005E0255" w:rsidRPr="006079F4" w:rsidRDefault="005E0255" w:rsidP="006079F4">
      <w:pPr>
        <w:pStyle w:val="SingleTxtGA"/>
        <w:spacing w:line="350" w:lineRule="exact"/>
        <w:rPr>
          <w:spacing w:val="-2"/>
          <w:lang w:val="en-US"/>
        </w:rPr>
      </w:pPr>
      <w:r w:rsidRPr="006B5BAF">
        <w:rPr>
          <w:spacing w:val="-2"/>
          <w:rtl/>
          <w:lang w:val="en-US"/>
        </w:rPr>
        <w:t>33</w:t>
      </w:r>
      <w:r w:rsidRPr="006079F4">
        <w:rPr>
          <w:spacing w:val="-2"/>
          <w:rtl/>
          <w:lang w:val="en-US"/>
        </w:rPr>
        <w:t>-</w:t>
      </w:r>
      <w:r w:rsidRPr="006079F4">
        <w:rPr>
          <w:spacing w:val="-2"/>
          <w:rtl/>
          <w:lang w:val="en-US"/>
        </w:rPr>
        <w:tab/>
      </w:r>
      <w:r w:rsidRPr="00810603">
        <w:rPr>
          <w:spacing w:val="-4"/>
          <w:rtl/>
          <w:lang w:val="en-US"/>
        </w:rPr>
        <w:t>وضماناً لاحترام مبدأ عدم الردّ في الممارسة العملية، ينبغي أن تبني الدول الأطراف القدرات المؤسسية</w:t>
      </w:r>
      <w:r w:rsidRPr="006079F4">
        <w:rPr>
          <w:spacing w:val="-2"/>
          <w:rtl/>
          <w:lang w:val="en-US"/>
        </w:rPr>
        <w:t xml:space="preserve"> اللازمة لإجراء تقييمات فردية من خلال تدريب الموظفين على النحو الواجب وتوفير التمويل الكافي، وأن تنظر في إنشاء آليات وطنية مستقلة لرصد </w:t>
      </w:r>
      <w:proofErr w:type="gramStart"/>
      <w:r w:rsidRPr="006079F4">
        <w:rPr>
          <w:spacing w:val="-2"/>
          <w:rtl/>
          <w:lang w:val="en-US"/>
        </w:rPr>
        <w:t>الحدود</w:t>
      </w:r>
      <w:r w:rsidRPr="006079F4">
        <w:rPr>
          <w:spacing w:val="-2"/>
          <w:vertAlign w:val="superscript"/>
          <w:rtl/>
          <w:lang w:val="en-US"/>
        </w:rPr>
        <w:t>(</w:t>
      </w:r>
      <w:proofErr w:type="gramEnd"/>
      <w:r w:rsidRPr="006B5BAF">
        <w:rPr>
          <w:rStyle w:val="FootnoteReference"/>
          <w:spacing w:val="-2"/>
          <w:lang w:val="en-AU"/>
        </w:rPr>
        <w:footnoteReference w:id="81"/>
      </w:r>
      <w:r w:rsidRPr="006079F4">
        <w:rPr>
          <w:spacing w:val="-2"/>
          <w:vertAlign w:val="superscript"/>
          <w:rtl/>
          <w:lang w:val="en-US"/>
        </w:rPr>
        <w:t>)</w:t>
      </w:r>
      <w:r w:rsidRPr="006079F4">
        <w:rPr>
          <w:spacing w:val="-2"/>
          <w:rtl/>
          <w:lang w:val="en-US"/>
        </w:rPr>
        <w:t>. وعلاوة على ذلك، ينبغي أن توفر الدول الأطراف التدريب لموظفي إدارة الحدود والموظفين المعنيين بإجراءات اللجوء أو الإعادة أو الإحالة أو التسليم، ولموظفي إنفاذ القانون، بوجه عام، بشأن مفهوم "الاختفاء القسري" وبشأن تقييم المخاطر ذات</w:t>
      </w:r>
      <w:r w:rsidR="000A1E05" w:rsidRPr="006079F4">
        <w:rPr>
          <w:rFonts w:hint="cs"/>
          <w:spacing w:val="-2"/>
          <w:rtl/>
          <w:lang w:val="en-US"/>
        </w:rPr>
        <w:t> </w:t>
      </w:r>
      <w:proofErr w:type="gramStart"/>
      <w:r w:rsidRPr="006079F4">
        <w:rPr>
          <w:spacing w:val="-2"/>
          <w:rtl/>
          <w:lang w:val="en-US"/>
        </w:rPr>
        <w:t>الصلة</w:t>
      </w:r>
      <w:r w:rsidRPr="006079F4">
        <w:rPr>
          <w:spacing w:val="-2"/>
          <w:vertAlign w:val="superscript"/>
          <w:rtl/>
          <w:lang w:val="en-US"/>
        </w:rPr>
        <w:t>(</w:t>
      </w:r>
      <w:proofErr w:type="gramEnd"/>
      <w:r w:rsidRPr="006B5BAF">
        <w:rPr>
          <w:rStyle w:val="FootnoteReference"/>
          <w:spacing w:val="-2"/>
          <w:lang w:val="en-AU"/>
        </w:rPr>
        <w:footnoteReference w:id="82"/>
      </w:r>
      <w:r w:rsidRPr="006079F4">
        <w:rPr>
          <w:spacing w:val="-2"/>
          <w:vertAlign w:val="superscript"/>
          <w:rtl/>
          <w:lang w:val="en-US"/>
        </w:rPr>
        <w:t>)</w:t>
      </w:r>
      <w:r w:rsidRPr="006079F4">
        <w:rPr>
          <w:spacing w:val="-2"/>
          <w:rtl/>
          <w:lang w:val="en-US"/>
        </w:rPr>
        <w:t xml:space="preserve">. </w:t>
      </w:r>
    </w:p>
    <w:p w14:paraId="26470FF8" w14:textId="74573EA1" w:rsidR="005E0255" w:rsidRPr="00977A73" w:rsidRDefault="005E0255" w:rsidP="006079F4">
      <w:pPr>
        <w:pStyle w:val="SingleTxtGA"/>
        <w:spacing w:line="350" w:lineRule="exact"/>
        <w:rPr>
          <w:lang w:val="en-US"/>
        </w:rPr>
      </w:pPr>
      <w:r w:rsidRPr="006B5BAF">
        <w:rPr>
          <w:rtl/>
          <w:lang w:val="en-US"/>
        </w:rPr>
        <w:t>34</w:t>
      </w:r>
      <w:r w:rsidRPr="001659E7">
        <w:rPr>
          <w:rtl/>
          <w:lang w:val="en-US"/>
        </w:rPr>
        <w:t>-</w:t>
      </w:r>
      <w:r w:rsidRPr="001659E7">
        <w:rPr>
          <w:rtl/>
          <w:lang w:val="en-US"/>
        </w:rPr>
        <w:tab/>
        <w:t xml:space="preserve">وتدعو اللجنة الدول الأطراف إلى تجنب الردّ غير المباشر الذي ينجم عن تهيئة ظروف لا تترك للمهاجرين أي خيار سوى العودة إلى بلد حيث توجد أسباب وجيهة تدعو إلى الاعتقاد بأنهم سيواجهون خطر التعرض للاختفاء القسري أو للنقل إلى بلد آخر قد يواجهون فيه مثل هذا </w:t>
      </w:r>
      <w:proofErr w:type="gramStart"/>
      <w:r w:rsidRPr="001659E7">
        <w:rPr>
          <w:rtl/>
          <w:lang w:val="en-US"/>
        </w:rPr>
        <w:t>الخطر</w:t>
      </w:r>
      <w:r w:rsidRPr="00D80B7D">
        <w:rPr>
          <w:vertAlign w:val="superscript"/>
          <w:rtl/>
          <w:lang w:val="en-US"/>
        </w:rPr>
        <w:t>(</w:t>
      </w:r>
      <w:proofErr w:type="gramEnd"/>
      <w:r w:rsidRPr="006B5BAF">
        <w:rPr>
          <w:rStyle w:val="FootnoteReference"/>
          <w:lang w:val="en-AU"/>
        </w:rPr>
        <w:footnoteReference w:id="83"/>
      </w:r>
      <w:r w:rsidRPr="00D80B7D">
        <w:rPr>
          <w:vertAlign w:val="superscript"/>
          <w:rtl/>
          <w:lang w:val="en-US"/>
        </w:rPr>
        <w:t>)</w:t>
      </w:r>
      <w:r w:rsidRPr="00977A73">
        <w:rPr>
          <w:rtl/>
          <w:lang w:val="en-US"/>
        </w:rPr>
        <w:t>.</w:t>
      </w:r>
    </w:p>
    <w:p w14:paraId="4636A015" w14:textId="63013E0E" w:rsidR="005E0255" w:rsidRPr="001659E7" w:rsidRDefault="005E0255" w:rsidP="006079F4">
      <w:pPr>
        <w:pStyle w:val="SingleTxtGA"/>
        <w:spacing w:line="350" w:lineRule="exact"/>
        <w:rPr>
          <w:lang w:val="en-US"/>
        </w:rPr>
      </w:pPr>
      <w:r w:rsidRPr="006B5BAF">
        <w:rPr>
          <w:rtl/>
          <w:lang w:val="en-US"/>
        </w:rPr>
        <w:t>35</w:t>
      </w:r>
      <w:r w:rsidRPr="001659E7">
        <w:rPr>
          <w:rtl/>
          <w:lang w:val="en-US"/>
        </w:rPr>
        <w:t>-</w:t>
      </w:r>
      <w:r w:rsidRPr="001659E7">
        <w:rPr>
          <w:rtl/>
          <w:lang w:val="en-US"/>
        </w:rPr>
        <w:tab/>
        <w:t>وتشكل عمليات الصدّ، وأي شكل آخر من أشكال الطرد الجماعي لا يسمح بإجراء تقييم لكل حالة على حدة، انتهاك</w:t>
      </w:r>
      <w:r>
        <w:rPr>
          <w:rtl/>
          <w:lang w:val="en-US"/>
        </w:rPr>
        <w:t xml:space="preserve">اً </w:t>
      </w:r>
      <w:r w:rsidRPr="001659E7">
        <w:rPr>
          <w:rtl/>
          <w:lang w:val="en-US"/>
        </w:rPr>
        <w:t>صارخ</w:t>
      </w:r>
      <w:r>
        <w:rPr>
          <w:rtl/>
          <w:lang w:val="en-US"/>
        </w:rPr>
        <w:t xml:space="preserve">اً </w:t>
      </w:r>
      <w:r w:rsidRPr="001659E7">
        <w:rPr>
          <w:rtl/>
          <w:lang w:val="en-US"/>
        </w:rPr>
        <w:t xml:space="preserve">للمادة </w:t>
      </w:r>
      <w:r w:rsidRPr="006B5BAF">
        <w:rPr>
          <w:rtl/>
          <w:lang w:val="en-US"/>
        </w:rPr>
        <w:t>16</w:t>
      </w:r>
      <w:r w:rsidRPr="001659E7">
        <w:rPr>
          <w:rtl/>
          <w:lang w:val="en-US"/>
        </w:rPr>
        <w:t xml:space="preserve"> من </w:t>
      </w:r>
      <w:proofErr w:type="gramStart"/>
      <w:r w:rsidRPr="001659E7">
        <w:rPr>
          <w:rtl/>
          <w:lang w:val="en-US"/>
        </w:rPr>
        <w:t>الاتفاقية</w:t>
      </w:r>
      <w:r w:rsidRPr="00D80B7D">
        <w:rPr>
          <w:vertAlign w:val="superscript"/>
          <w:rtl/>
          <w:lang w:val="en-US"/>
        </w:rPr>
        <w:t>(</w:t>
      </w:r>
      <w:proofErr w:type="gramEnd"/>
      <w:r w:rsidRPr="006B5BAF">
        <w:rPr>
          <w:rStyle w:val="FootnoteReference"/>
          <w:lang w:val="en-AU"/>
        </w:rPr>
        <w:footnoteReference w:id="84"/>
      </w:r>
      <w:r w:rsidRPr="00D80B7D">
        <w:rPr>
          <w:vertAlign w:val="superscript"/>
          <w:rtl/>
          <w:lang w:val="en-US"/>
        </w:rPr>
        <w:t>)</w:t>
      </w:r>
      <w:r w:rsidRPr="00977A73">
        <w:rPr>
          <w:rtl/>
          <w:lang w:val="en-US"/>
        </w:rPr>
        <w:t xml:space="preserve">. </w:t>
      </w:r>
      <w:r w:rsidRPr="001659E7">
        <w:rPr>
          <w:rtl/>
          <w:lang w:val="en-US"/>
        </w:rPr>
        <w:t>وفي غياب تعريف متفق عليه دولياً لمصطلح "عمليات الصّد"، تعتبر اللجنة أن هذا المصطلح يشير إلى تدابير تتخذها الدول، وتشارك فيها أحياناً بلدان ثالثة أو جهات غير تابعة للدول، مما يؤدي إلى إجبار المهاجرين على العودة القسرية بإجراءات موجزة، دون إجراء تقييم فردي لاحتياجاتهم من حيث حماية حقوق الإنسان الخاصة بهم، إلى البلد أو الإقليم، أو</w:t>
      </w:r>
      <w:r>
        <w:rPr>
          <w:rFonts w:hint="cs"/>
          <w:rtl/>
          <w:lang w:val="en-US"/>
        </w:rPr>
        <w:t> </w:t>
      </w:r>
      <w:r w:rsidRPr="001659E7">
        <w:rPr>
          <w:rtl/>
          <w:lang w:val="en-US"/>
        </w:rPr>
        <w:t xml:space="preserve">إلى البحر، سواء أكانت مياهاً إقليمية أم مياهاً دولية، الذي عبروا منه أو حاولوا منه عبور الحدود </w:t>
      </w:r>
      <w:proofErr w:type="gramStart"/>
      <w:r w:rsidRPr="001659E7">
        <w:rPr>
          <w:rtl/>
          <w:lang w:val="en-US"/>
        </w:rPr>
        <w:t>الدولية</w:t>
      </w:r>
      <w:r w:rsidRPr="00D80B7D">
        <w:rPr>
          <w:vertAlign w:val="superscript"/>
          <w:rtl/>
          <w:lang w:val="en-US"/>
        </w:rPr>
        <w:t>(</w:t>
      </w:r>
      <w:proofErr w:type="gramEnd"/>
      <w:r w:rsidRPr="006B5BAF">
        <w:rPr>
          <w:rStyle w:val="FootnoteReference"/>
          <w:lang w:val="en-AU"/>
        </w:rPr>
        <w:footnoteReference w:id="85"/>
      </w:r>
      <w:r w:rsidRPr="00D80B7D">
        <w:rPr>
          <w:vertAlign w:val="superscript"/>
          <w:rtl/>
          <w:lang w:val="en-US"/>
        </w:rPr>
        <w:t>)</w:t>
      </w:r>
      <w:r w:rsidRPr="00977A73">
        <w:rPr>
          <w:rtl/>
          <w:lang w:val="en-US"/>
        </w:rPr>
        <w:t xml:space="preserve">. </w:t>
      </w:r>
      <w:r w:rsidRPr="001659E7">
        <w:rPr>
          <w:rtl/>
          <w:lang w:val="en-US"/>
        </w:rPr>
        <w:t>وترى اللجنة أنه عندما تنطوي عمليات الصدّ على سلب المهاجرين حريتَهم وإخفاء مصيرهم أو</w:t>
      </w:r>
      <w:r>
        <w:rPr>
          <w:rFonts w:hint="cs"/>
          <w:rtl/>
          <w:lang w:val="en-US"/>
        </w:rPr>
        <w:t> </w:t>
      </w:r>
      <w:r w:rsidRPr="001659E7">
        <w:rPr>
          <w:rtl/>
          <w:lang w:val="en-US"/>
        </w:rPr>
        <w:t xml:space="preserve">مكان وجودهم، فإنها تصل إلى حد الاختفاء القسري بالمعنى المقصود في المادة </w:t>
      </w:r>
      <w:r w:rsidRPr="006B5BAF">
        <w:rPr>
          <w:rtl/>
          <w:lang w:val="en-US"/>
        </w:rPr>
        <w:t>2</w:t>
      </w:r>
      <w:r w:rsidRPr="001659E7">
        <w:rPr>
          <w:rtl/>
          <w:lang w:val="en-US"/>
        </w:rPr>
        <w:t xml:space="preserve"> من الاتفاقية، بغض النظر عن مدة سلب الحرية. وقد تشكل </w:t>
      </w:r>
      <w:r>
        <w:rPr>
          <w:rtl/>
          <w:lang w:val="en-US"/>
        </w:rPr>
        <w:t xml:space="preserve">أيضاً </w:t>
      </w:r>
      <w:r w:rsidRPr="001659E7">
        <w:rPr>
          <w:rtl/>
          <w:lang w:val="en-US"/>
        </w:rPr>
        <w:t>انتهاك</w:t>
      </w:r>
      <w:r>
        <w:rPr>
          <w:rtl/>
          <w:lang w:val="en-US"/>
        </w:rPr>
        <w:t xml:space="preserve">اً </w:t>
      </w:r>
      <w:r w:rsidRPr="001659E7">
        <w:rPr>
          <w:rtl/>
          <w:lang w:val="en-US"/>
        </w:rPr>
        <w:t xml:space="preserve">للمادتين </w:t>
      </w:r>
      <w:r w:rsidRPr="006B5BAF">
        <w:rPr>
          <w:rtl/>
          <w:lang w:val="en-US"/>
        </w:rPr>
        <w:t>17</w:t>
      </w:r>
      <w:r w:rsidRPr="001659E7">
        <w:rPr>
          <w:rtl/>
          <w:lang w:val="en-US"/>
        </w:rPr>
        <w:t xml:space="preserve"> و</w:t>
      </w:r>
      <w:r w:rsidRPr="006B5BAF">
        <w:rPr>
          <w:rtl/>
          <w:lang w:val="en-US"/>
        </w:rPr>
        <w:t>18</w:t>
      </w:r>
      <w:r w:rsidRPr="001659E7">
        <w:rPr>
          <w:rtl/>
          <w:lang w:val="en-US"/>
        </w:rPr>
        <w:t xml:space="preserve"> اللتين تحظران الاحتجاز السري وتكفلان الحق في الحصول على معلومات عن الأشخاص المسلوبة حريتهم، ولمواد أخرى من الاتفاقية، تبع</w:t>
      </w:r>
      <w:r>
        <w:rPr>
          <w:rtl/>
          <w:lang w:val="en-US"/>
        </w:rPr>
        <w:t xml:space="preserve">اً </w:t>
      </w:r>
      <w:r w:rsidRPr="001659E7">
        <w:rPr>
          <w:rtl/>
          <w:lang w:val="en-US"/>
        </w:rPr>
        <w:t xml:space="preserve">للظروف. وينطبق الشيء نفسه على الحالات التي تُنفَّذ فيها عمليات الصد من قبل جهات غير تابعة للدول أو منظمات حكومية دولية تعمل بدعم من الدولة الطرف أو بإذن منها أو بقبولها الضمني. بالإضافة إلى ذلك، يمكن أن يؤدي الاستيلاء على ممتلكات الأفراد الشخصية أو وثائق هويتهم أو هواتفهم </w:t>
      </w:r>
      <w:r w:rsidRPr="006C7E57">
        <w:rPr>
          <w:spacing w:val="-2"/>
          <w:rtl/>
          <w:lang w:val="en-US"/>
        </w:rPr>
        <w:t>المحمولة وإتلافها بعد القبض عليهم إلى الاختفاء القسري، نظراً لأن الأفراد يُتركون دون أي وسيلة للاتصال</w:t>
      </w:r>
      <w:r w:rsidRPr="001659E7">
        <w:rPr>
          <w:rtl/>
          <w:lang w:val="en-US"/>
        </w:rPr>
        <w:t xml:space="preserve"> بأقاربهم من أجل الإبلاغ عن مكان وجودهم أو لإثبات </w:t>
      </w:r>
      <w:proofErr w:type="gramStart"/>
      <w:r w:rsidRPr="001659E7">
        <w:rPr>
          <w:rtl/>
          <w:lang w:val="en-US"/>
        </w:rPr>
        <w:t>هويتهم</w:t>
      </w:r>
      <w:r w:rsidRPr="00D80B7D">
        <w:rPr>
          <w:vertAlign w:val="superscript"/>
          <w:rtl/>
          <w:lang w:val="en-US"/>
        </w:rPr>
        <w:t>(</w:t>
      </w:r>
      <w:proofErr w:type="gramEnd"/>
      <w:r w:rsidRPr="006B5BAF">
        <w:rPr>
          <w:rStyle w:val="FootnoteReference"/>
          <w:lang w:val="en-AU"/>
        </w:rPr>
        <w:footnoteReference w:id="86"/>
      </w:r>
      <w:r w:rsidRPr="00D80B7D">
        <w:rPr>
          <w:vertAlign w:val="superscript"/>
          <w:rtl/>
          <w:lang w:val="en-US"/>
        </w:rPr>
        <w:t>)</w:t>
      </w:r>
      <w:r w:rsidRPr="00977A73">
        <w:rPr>
          <w:rtl/>
          <w:lang w:val="en-US"/>
        </w:rPr>
        <w:t xml:space="preserve">. </w:t>
      </w:r>
    </w:p>
    <w:p w14:paraId="786ACC95" w14:textId="3151569C" w:rsidR="005E0255" w:rsidRPr="00977A73" w:rsidRDefault="005E0255" w:rsidP="006079F4">
      <w:pPr>
        <w:pStyle w:val="SingleTxtGA"/>
        <w:spacing w:line="340" w:lineRule="exact"/>
        <w:rPr>
          <w:lang w:val="en-US"/>
        </w:rPr>
      </w:pPr>
      <w:r w:rsidRPr="006B5BAF">
        <w:rPr>
          <w:rtl/>
          <w:lang w:val="en-US"/>
        </w:rPr>
        <w:lastRenderedPageBreak/>
        <w:t>36</w:t>
      </w:r>
      <w:r w:rsidRPr="001659E7">
        <w:rPr>
          <w:rtl/>
          <w:lang w:val="en-US"/>
        </w:rPr>
        <w:t>-</w:t>
      </w:r>
      <w:r w:rsidRPr="001659E7">
        <w:rPr>
          <w:rtl/>
          <w:lang w:val="en-US"/>
        </w:rPr>
        <w:tab/>
        <w:t xml:space="preserve">وعمليات الصدّ، التي تعوق سبل اللجوء إلى الأطر القانونية والضمانات الإجرائية المعمول بها، تضع المهاجرين خارج حماية القانون، وتجعلهم عرضة للخطر، وقد تؤدي إلى انتهاكات لحقوق الإنسان تتعارض مع التزامات الدول بموجب القانون الدولي لحقوق </w:t>
      </w:r>
      <w:proofErr w:type="gramStart"/>
      <w:r w:rsidRPr="001659E7">
        <w:rPr>
          <w:rtl/>
          <w:lang w:val="en-US"/>
        </w:rPr>
        <w:t>الإنسان</w:t>
      </w:r>
      <w:r w:rsidRPr="00D80B7D">
        <w:rPr>
          <w:vertAlign w:val="superscript"/>
          <w:rtl/>
          <w:lang w:val="en-US"/>
        </w:rPr>
        <w:t>(</w:t>
      </w:r>
      <w:proofErr w:type="gramEnd"/>
      <w:r w:rsidRPr="006B5BAF">
        <w:rPr>
          <w:rStyle w:val="FootnoteReference"/>
          <w:lang w:val="en-AU"/>
        </w:rPr>
        <w:footnoteReference w:id="87"/>
      </w:r>
      <w:r w:rsidRPr="00D80B7D">
        <w:rPr>
          <w:vertAlign w:val="superscript"/>
          <w:rtl/>
          <w:lang w:val="en-US"/>
        </w:rPr>
        <w:t>)</w:t>
      </w:r>
      <w:r w:rsidRPr="00977A73">
        <w:rPr>
          <w:rtl/>
          <w:lang w:val="en-US"/>
        </w:rPr>
        <w:t xml:space="preserve">. </w:t>
      </w:r>
      <w:r w:rsidRPr="001659E7">
        <w:rPr>
          <w:rtl/>
          <w:lang w:val="en-US"/>
        </w:rPr>
        <w:t xml:space="preserve">ولا تتعلق هذه الالتزامات بحظر الردّ والطرد الجماعي </w:t>
      </w:r>
      <w:proofErr w:type="gramStart"/>
      <w:r w:rsidRPr="001659E7">
        <w:rPr>
          <w:rtl/>
          <w:lang w:val="en-US"/>
        </w:rPr>
        <w:t>فحسب</w:t>
      </w:r>
      <w:r w:rsidRPr="00D80B7D">
        <w:rPr>
          <w:vertAlign w:val="superscript"/>
          <w:rtl/>
          <w:lang w:val="en-US"/>
        </w:rPr>
        <w:t>(</w:t>
      </w:r>
      <w:proofErr w:type="gramEnd"/>
      <w:r w:rsidRPr="006B5BAF">
        <w:rPr>
          <w:rStyle w:val="FootnoteReference"/>
          <w:lang w:val="en-AU"/>
        </w:rPr>
        <w:footnoteReference w:id="88"/>
      </w:r>
      <w:r w:rsidRPr="00D80B7D">
        <w:rPr>
          <w:vertAlign w:val="superscript"/>
          <w:rtl/>
          <w:lang w:val="en-US"/>
        </w:rPr>
        <w:t>)</w:t>
      </w:r>
      <w:r w:rsidRPr="00977A73">
        <w:rPr>
          <w:rtl/>
          <w:lang w:val="en-US"/>
        </w:rPr>
        <w:t xml:space="preserve">، </w:t>
      </w:r>
      <w:r w:rsidRPr="001659E7">
        <w:rPr>
          <w:rtl/>
          <w:lang w:val="en-US"/>
        </w:rPr>
        <w:t xml:space="preserve">بل تتعلق </w:t>
      </w:r>
      <w:r>
        <w:rPr>
          <w:rtl/>
          <w:lang w:val="en-US"/>
        </w:rPr>
        <w:t xml:space="preserve">أيضاً </w:t>
      </w:r>
      <w:r w:rsidRPr="001659E7">
        <w:rPr>
          <w:rtl/>
          <w:lang w:val="en-US"/>
        </w:rPr>
        <w:t>بحظر التعذيب وغيره من ضروب المعاملة أو العقوبة القاسية أو اللاإنسانية أو المهينة</w:t>
      </w:r>
      <w:r w:rsidRPr="00D80B7D">
        <w:rPr>
          <w:vertAlign w:val="superscript"/>
          <w:rtl/>
          <w:lang w:val="en-US"/>
        </w:rPr>
        <w:t>(</w:t>
      </w:r>
      <w:r w:rsidRPr="006B5BAF">
        <w:rPr>
          <w:rStyle w:val="FootnoteReference"/>
          <w:lang w:val="en-AU"/>
        </w:rPr>
        <w:footnoteReference w:id="89"/>
      </w:r>
      <w:r w:rsidRPr="00D80B7D">
        <w:rPr>
          <w:vertAlign w:val="superscript"/>
          <w:rtl/>
          <w:lang w:val="en-US"/>
        </w:rPr>
        <w:t>)</w:t>
      </w:r>
      <w:r w:rsidRPr="00977A73">
        <w:rPr>
          <w:rtl/>
          <w:lang w:val="en-US"/>
        </w:rPr>
        <w:t xml:space="preserve">، </w:t>
      </w:r>
      <w:r w:rsidRPr="001659E7">
        <w:rPr>
          <w:rtl/>
          <w:lang w:val="en-US"/>
        </w:rPr>
        <w:t>وبالحق في الحرية</w:t>
      </w:r>
      <w:r w:rsidRPr="00D80B7D">
        <w:rPr>
          <w:vertAlign w:val="superscript"/>
          <w:rtl/>
          <w:lang w:val="en-US"/>
        </w:rPr>
        <w:t>(</w:t>
      </w:r>
      <w:r w:rsidRPr="006B5BAF">
        <w:rPr>
          <w:rStyle w:val="FootnoteReference"/>
          <w:lang w:val="en-AU"/>
        </w:rPr>
        <w:footnoteReference w:id="90"/>
      </w:r>
      <w:r w:rsidRPr="00D80B7D">
        <w:rPr>
          <w:vertAlign w:val="superscript"/>
          <w:rtl/>
          <w:lang w:val="en-US"/>
        </w:rPr>
        <w:t>)</w:t>
      </w:r>
      <w:r w:rsidRPr="001659E7">
        <w:rPr>
          <w:rtl/>
          <w:lang w:val="en-US"/>
        </w:rPr>
        <w:t xml:space="preserve"> والحق في الحياة</w:t>
      </w:r>
      <w:r w:rsidRPr="00D80B7D">
        <w:rPr>
          <w:vertAlign w:val="superscript"/>
          <w:rtl/>
          <w:lang w:val="en-US"/>
        </w:rPr>
        <w:t>(</w:t>
      </w:r>
      <w:r w:rsidRPr="006B5BAF">
        <w:rPr>
          <w:rStyle w:val="FootnoteReference"/>
          <w:lang w:val="en-AU"/>
        </w:rPr>
        <w:footnoteReference w:id="91"/>
      </w:r>
      <w:r w:rsidRPr="00D80B7D">
        <w:rPr>
          <w:vertAlign w:val="superscript"/>
          <w:rtl/>
          <w:lang w:val="en-US"/>
        </w:rPr>
        <w:t>)</w:t>
      </w:r>
      <w:r w:rsidRPr="00977A73">
        <w:rPr>
          <w:rtl/>
          <w:lang w:val="en-US"/>
        </w:rPr>
        <w:t xml:space="preserve">. </w:t>
      </w:r>
      <w:r w:rsidRPr="001659E7">
        <w:rPr>
          <w:rtl/>
          <w:lang w:val="en-US"/>
        </w:rPr>
        <w:t>وعمليات الصدّ التي لا</w:t>
      </w:r>
      <w:r>
        <w:rPr>
          <w:rFonts w:hint="cs"/>
          <w:rtl/>
          <w:lang w:val="en-US"/>
        </w:rPr>
        <w:t> </w:t>
      </w:r>
      <w:r w:rsidRPr="001659E7">
        <w:rPr>
          <w:rtl/>
          <w:lang w:val="en-US"/>
        </w:rPr>
        <w:t xml:space="preserve">تنطوي على سلب الحرية تثير </w:t>
      </w:r>
      <w:r>
        <w:rPr>
          <w:rtl/>
          <w:lang w:val="en-US"/>
        </w:rPr>
        <w:t xml:space="preserve">أيضاً </w:t>
      </w:r>
      <w:r w:rsidRPr="001659E7">
        <w:rPr>
          <w:rtl/>
          <w:lang w:val="en-US"/>
        </w:rPr>
        <w:t>شواغل خطيرة لأنها تحرم فعلي</w:t>
      </w:r>
      <w:r>
        <w:rPr>
          <w:rtl/>
          <w:lang w:val="en-US"/>
        </w:rPr>
        <w:t xml:space="preserve">اً </w:t>
      </w:r>
      <w:r w:rsidRPr="001659E7">
        <w:rPr>
          <w:rtl/>
          <w:lang w:val="en-US"/>
        </w:rPr>
        <w:t xml:space="preserve">الأشخاص الذين يخضعون لهذه العمليات من أي حماية بموجب القانون وتسهم في خطر وقوع الأشخاص ضحايا للاختفاء. وتحث اللجنة بقوة الدول الأطراف على الامتناع عن هذه الممارسات، بما في ذلك عمليات الصدّ المتتالية، وعن عمليات الصدّ غير المباشرة الناجمة عن التقاعس المتعمد عن البحث والإنقاذ في البحر أو </w:t>
      </w:r>
      <w:proofErr w:type="gramStart"/>
      <w:r w:rsidRPr="001659E7">
        <w:rPr>
          <w:rtl/>
          <w:lang w:val="en-US"/>
        </w:rPr>
        <w:t>البر</w:t>
      </w:r>
      <w:r w:rsidRPr="00D80B7D">
        <w:rPr>
          <w:vertAlign w:val="superscript"/>
          <w:rtl/>
          <w:lang w:val="en-US"/>
        </w:rPr>
        <w:t>(</w:t>
      </w:r>
      <w:proofErr w:type="gramEnd"/>
      <w:r w:rsidRPr="006B5BAF">
        <w:rPr>
          <w:rStyle w:val="FootnoteReference"/>
          <w:lang w:val="en-AU"/>
        </w:rPr>
        <w:footnoteReference w:id="92"/>
      </w:r>
      <w:r w:rsidRPr="00D80B7D">
        <w:rPr>
          <w:vertAlign w:val="superscript"/>
          <w:rtl/>
          <w:lang w:val="en-US"/>
        </w:rPr>
        <w:t>)</w:t>
      </w:r>
      <w:r w:rsidRPr="00977A73">
        <w:rPr>
          <w:rtl/>
          <w:lang w:val="en-US"/>
        </w:rPr>
        <w:t xml:space="preserve">. </w:t>
      </w:r>
      <w:r w:rsidRPr="001659E7">
        <w:rPr>
          <w:rtl/>
          <w:lang w:val="en-US"/>
        </w:rPr>
        <w:t xml:space="preserve">ولذلك، يجب على الدول الأطراف أن تحجم عن القيام بعمليات صدّ، وأن تحقق بفعالية في أي ادعاءات بارتكاب هذه الممارسات وأن تقاضي المسؤولين وتعاقبهم، وأن تمتنع عن إنكار </w:t>
      </w:r>
      <w:proofErr w:type="gramStart"/>
      <w:r w:rsidRPr="001659E7">
        <w:rPr>
          <w:rtl/>
          <w:lang w:val="en-US"/>
        </w:rPr>
        <w:t>حدوثها</w:t>
      </w:r>
      <w:r w:rsidRPr="00D80B7D">
        <w:rPr>
          <w:vertAlign w:val="superscript"/>
          <w:rtl/>
          <w:lang w:val="en-US"/>
        </w:rPr>
        <w:t>(</w:t>
      </w:r>
      <w:proofErr w:type="gramEnd"/>
      <w:r w:rsidRPr="006B5BAF">
        <w:rPr>
          <w:rStyle w:val="FootnoteReference"/>
          <w:lang w:val="en-AU"/>
        </w:rPr>
        <w:footnoteReference w:id="93"/>
      </w:r>
      <w:r w:rsidRPr="00D80B7D">
        <w:rPr>
          <w:vertAlign w:val="superscript"/>
          <w:rtl/>
          <w:lang w:val="en-US"/>
        </w:rPr>
        <w:t>)</w:t>
      </w:r>
      <w:r w:rsidRPr="00977A73">
        <w:rPr>
          <w:rtl/>
          <w:lang w:val="en-US"/>
        </w:rPr>
        <w:t>.</w:t>
      </w:r>
    </w:p>
    <w:p w14:paraId="22848A85" w14:textId="34376984" w:rsidR="005E0255" w:rsidRPr="006B5BAF" w:rsidRDefault="005E0255" w:rsidP="001659E7">
      <w:pPr>
        <w:pStyle w:val="HChGA"/>
      </w:pPr>
      <w:r w:rsidRPr="006B5BAF">
        <w:rPr>
          <w:rtl/>
        </w:rPr>
        <w:tab/>
        <w:t>رابعاً-</w:t>
      </w:r>
      <w:r w:rsidRPr="006B5BAF">
        <w:rPr>
          <w:rtl/>
        </w:rPr>
        <w:tab/>
        <w:t>الالتزام بالبحث والالتزام بالتحقيق</w:t>
      </w:r>
    </w:p>
    <w:p w14:paraId="51C2E24A" w14:textId="356E0C12" w:rsidR="005E0255" w:rsidRPr="001659E7" w:rsidRDefault="005E0255" w:rsidP="006079F4">
      <w:pPr>
        <w:pStyle w:val="SingleTxtGA"/>
        <w:spacing w:line="340" w:lineRule="exact"/>
        <w:rPr>
          <w:lang w:val="en-US"/>
        </w:rPr>
      </w:pPr>
      <w:r w:rsidRPr="006B5BAF">
        <w:rPr>
          <w:rtl/>
          <w:lang w:val="en-US"/>
        </w:rPr>
        <w:t>37</w:t>
      </w:r>
      <w:r w:rsidRPr="001659E7">
        <w:rPr>
          <w:rtl/>
          <w:lang w:val="en-US"/>
        </w:rPr>
        <w:t>-</w:t>
      </w:r>
      <w:r w:rsidRPr="001659E7">
        <w:rPr>
          <w:rtl/>
          <w:lang w:val="en-US"/>
        </w:rPr>
        <w:tab/>
        <w:t xml:space="preserve">تذكّر اللجنة بأن الالتزام بالبحث عن الأشخاص المختفين، والالتزام بإجراء تحقيقات فعالة في حالات الاختفاء المزعومة، بما فيها الحالات التي تندرج في إطار المادة </w:t>
      </w:r>
      <w:r w:rsidRPr="006B5BAF">
        <w:rPr>
          <w:rtl/>
          <w:lang w:val="en-US"/>
        </w:rPr>
        <w:t>3</w:t>
      </w:r>
      <w:r w:rsidRPr="001659E7">
        <w:rPr>
          <w:rtl/>
          <w:lang w:val="en-US"/>
        </w:rPr>
        <w:t xml:space="preserve"> من الاتفاقية، ومقاضاة الجناة ومعاقبتهم هما التزامان أساسيان لوضع حد لهذه الجريمة البشعة ومنع تكرارها. وفي سياقات الهجرة، كثيراً ما لا يُبلغ عن حالات الاختفاء لأسباب منها العقبات التي تعترض الأقارب الذين يعيشون في بلد آخر، </w:t>
      </w:r>
      <w:r w:rsidRPr="00810603">
        <w:rPr>
          <w:spacing w:val="2"/>
          <w:rtl/>
          <w:lang w:val="en-US"/>
        </w:rPr>
        <w:t>والحواجز اللغوية أو الثقافية أو المعرفية، والخوف في أوساط الأقارب أو الشهود الذين قد يكونون هم</w:t>
      </w:r>
      <w:r w:rsidRPr="001659E7">
        <w:rPr>
          <w:rtl/>
          <w:lang w:val="en-US"/>
        </w:rPr>
        <w:t xml:space="preserve"> أنفسهم مهاجرين غير </w:t>
      </w:r>
      <w:proofErr w:type="gramStart"/>
      <w:r w:rsidRPr="001659E7">
        <w:rPr>
          <w:rtl/>
          <w:lang w:val="en-US"/>
        </w:rPr>
        <w:t>نظاميين</w:t>
      </w:r>
      <w:r w:rsidRPr="00D80B7D">
        <w:rPr>
          <w:vertAlign w:val="superscript"/>
          <w:rtl/>
          <w:lang w:val="en-US"/>
        </w:rPr>
        <w:t>(</w:t>
      </w:r>
      <w:proofErr w:type="gramEnd"/>
      <w:r w:rsidRPr="006B5BAF">
        <w:rPr>
          <w:rStyle w:val="FootnoteReference"/>
          <w:lang w:val="en-AU"/>
        </w:rPr>
        <w:footnoteReference w:id="94"/>
      </w:r>
      <w:r w:rsidRPr="00D80B7D">
        <w:rPr>
          <w:vertAlign w:val="superscript"/>
          <w:rtl/>
          <w:lang w:val="en-US"/>
        </w:rPr>
        <w:t>)</w:t>
      </w:r>
      <w:r w:rsidRPr="00977A73">
        <w:rPr>
          <w:rtl/>
          <w:lang w:val="en-US"/>
        </w:rPr>
        <w:t xml:space="preserve">. </w:t>
      </w:r>
      <w:r w:rsidRPr="001659E7">
        <w:rPr>
          <w:rtl/>
          <w:lang w:val="en-US"/>
        </w:rPr>
        <w:t>وعلى السلطات أن تشرع بحكم وظيفتها في البحث والتحقيق بمجرد حصولها على معلومات أو مؤشرات، بأي وسيلة كانت، مفادها أن شخص</w:t>
      </w:r>
      <w:r>
        <w:rPr>
          <w:rtl/>
          <w:lang w:val="en-US"/>
        </w:rPr>
        <w:t xml:space="preserve">اً </w:t>
      </w:r>
      <w:r w:rsidRPr="001659E7">
        <w:rPr>
          <w:rtl/>
          <w:lang w:val="en-US"/>
        </w:rPr>
        <w:t xml:space="preserve">ما قد تعرض </w:t>
      </w:r>
      <w:proofErr w:type="gramStart"/>
      <w:r w:rsidRPr="001659E7">
        <w:rPr>
          <w:rtl/>
          <w:lang w:val="en-US"/>
        </w:rPr>
        <w:t>للاختفاء</w:t>
      </w:r>
      <w:r w:rsidRPr="00D80B7D">
        <w:rPr>
          <w:vertAlign w:val="superscript"/>
          <w:rtl/>
          <w:lang w:val="en-US"/>
        </w:rPr>
        <w:t>(</w:t>
      </w:r>
      <w:proofErr w:type="gramEnd"/>
      <w:r w:rsidRPr="006B5BAF">
        <w:rPr>
          <w:rStyle w:val="FootnoteReference"/>
          <w:lang w:val="en-AU"/>
        </w:rPr>
        <w:footnoteReference w:id="95"/>
      </w:r>
      <w:r w:rsidRPr="00D80B7D">
        <w:rPr>
          <w:vertAlign w:val="superscript"/>
          <w:rtl/>
          <w:lang w:val="en-US"/>
        </w:rPr>
        <w:t>)</w:t>
      </w:r>
      <w:r w:rsidRPr="00977A73">
        <w:rPr>
          <w:rtl/>
          <w:lang w:val="en-US"/>
        </w:rPr>
        <w:t xml:space="preserve">. </w:t>
      </w:r>
      <w:r w:rsidRPr="001659E7">
        <w:rPr>
          <w:rtl/>
          <w:lang w:val="en-US"/>
        </w:rPr>
        <w:t xml:space="preserve">وينبغي ألا يقع عبء الإثبات على الضحايا أو </w:t>
      </w:r>
      <w:proofErr w:type="gramStart"/>
      <w:r w:rsidRPr="001659E7">
        <w:rPr>
          <w:rtl/>
          <w:lang w:val="en-US"/>
        </w:rPr>
        <w:t>الأقارب</w:t>
      </w:r>
      <w:r w:rsidRPr="00D80B7D">
        <w:rPr>
          <w:vertAlign w:val="superscript"/>
          <w:rtl/>
          <w:lang w:val="en-US"/>
        </w:rPr>
        <w:t>(</w:t>
      </w:r>
      <w:proofErr w:type="gramEnd"/>
      <w:r w:rsidRPr="006B5BAF">
        <w:rPr>
          <w:rStyle w:val="FootnoteReference"/>
          <w:lang w:val="en-AU"/>
        </w:rPr>
        <w:footnoteReference w:id="96"/>
      </w:r>
      <w:r w:rsidRPr="00D80B7D">
        <w:rPr>
          <w:vertAlign w:val="superscript"/>
          <w:rtl/>
          <w:lang w:val="en-US"/>
        </w:rPr>
        <w:t>)</w:t>
      </w:r>
      <w:r w:rsidRPr="00977A73">
        <w:rPr>
          <w:rtl/>
          <w:lang w:val="en-US"/>
        </w:rPr>
        <w:t xml:space="preserve">. </w:t>
      </w:r>
    </w:p>
    <w:p w14:paraId="3C6FFFC8" w14:textId="4954F538" w:rsidR="005E0255" w:rsidRPr="001659E7" w:rsidRDefault="005E0255" w:rsidP="001659E7">
      <w:pPr>
        <w:pStyle w:val="SingleTxtGA"/>
        <w:rPr>
          <w:lang w:val="en-US"/>
        </w:rPr>
      </w:pPr>
      <w:r w:rsidRPr="006B5BAF">
        <w:rPr>
          <w:rtl/>
          <w:lang w:val="en-US"/>
        </w:rPr>
        <w:lastRenderedPageBreak/>
        <w:t>38</w:t>
      </w:r>
      <w:r w:rsidRPr="001659E7">
        <w:rPr>
          <w:rtl/>
          <w:lang w:val="en-US"/>
        </w:rPr>
        <w:t>-</w:t>
      </w:r>
      <w:r w:rsidRPr="001659E7">
        <w:rPr>
          <w:rtl/>
          <w:lang w:val="en-US"/>
        </w:rPr>
        <w:tab/>
        <w:t xml:space="preserve">ويجب أن يُكفل لجميع الأفراد، بصرف النظر عن وضعهم من حيث الهجرة، الحق في الإبلاغ عن حالة اختفاء قسري (المادة </w:t>
      </w:r>
      <w:r w:rsidRPr="006B5BAF">
        <w:rPr>
          <w:rtl/>
          <w:lang w:val="en-US"/>
        </w:rPr>
        <w:t>12</w:t>
      </w:r>
      <w:r w:rsidRPr="001659E7">
        <w:rPr>
          <w:rtl/>
          <w:lang w:val="en-US"/>
        </w:rPr>
        <w:t>(</w:t>
      </w:r>
      <w:r w:rsidRPr="006B5BAF">
        <w:rPr>
          <w:rtl/>
          <w:lang w:val="en-US"/>
        </w:rPr>
        <w:t>1</w:t>
      </w:r>
      <w:r w:rsidRPr="001659E7">
        <w:rPr>
          <w:rtl/>
          <w:lang w:val="en-US"/>
        </w:rPr>
        <w:t>)</w:t>
      </w:r>
      <w:r w:rsidRPr="00977A73">
        <w:rPr>
          <w:rtl/>
          <w:lang w:val="en-US"/>
        </w:rPr>
        <w:t xml:space="preserve">). </w:t>
      </w:r>
      <w:r w:rsidRPr="001659E7">
        <w:rPr>
          <w:rtl/>
          <w:lang w:val="en-US"/>
        </w:rPr>
        <w:t>ومن أجل ممارسة الحق في الإبلاغ بصورة فعالة، ينبغي أن</w:t>
      </w:r>
      <w:r w:rsidR="0062176E">
        <w:rPr>
          <w:rFonts w:hint="cs"/>
          <w:rtl/>
          <w:lang w:val="en-US"/>
        </w:rPr>
        <w:t> </w:t>
      </w:r>
      <w:r w:rsidRPr="001659E7">
        <w:rPr>
          <w:rtl/>
          <w:lang w:val="en-US"/>
        </w:rPr>
        <w:t xml:space="preserve">تسعى الدولة الطرف جاهدة إلى إذكاء الوعي بآليات الإبلاغ القائمة وتوفير مترجمين شفويين محترفين </w:t>
      </w:r>
      <w:r w:rsidRPr="006413D4">
        <w:rPr>
          <w:spacing w:val="-2"/>
          <w:rtl/>
          <w:lang w:val="en-US"/>
        </w:rPr>
        <w:t xml:space="preserve">كلما لزم </w:t>
      </w:r>
      <w:proofErr w:type="gramStart"/>
      <w:r w:rsidRPr="006413D4">
        <w:rPr>
          <w:spacing w:val="-2"/>
          <w:rtl/>
          <w:lang w:val="en-US"/>
        </w:rPr>
        <w:t>الأمر</w:t>
      </w:r>
      <w:r w:rsidRPr="006413D4">
        <w:rPr>
          <w:spacing w:val="-2"/>
          <w:vertAlign w:val="superscript"/>
          <w:rtl/>
          <w:lang w:val="en-US"/>
        </w:rPr>
        <w:t>(</w:t>
      </w:r>
      <w:proofErr w:type="gramEnd"/>
      <w:r w:rsidRPr="006B5BAF">
        <w:rPr>
          <w:rStyle w:val="FootnoteReference"/>
          <w:spacing w:val="-2"/>
          <w:lang w:val="en-AU"/>
        </w:rPr>
        <w:footnoteReference w:id="97"/>
      </w:r>
      <w:r w:rsidRPr="006413D4">
        <w:rPr>
          <w:spacing w:val="-2"/>
          <w:vertAlign w:val="superscript"/>
          <w:rtl/>
          <w:lang w:val="en-US"/>
        </w:rPr>
        <w:t>)</w:t>
      </w:r>
      <w:r w:rsidRPr="006413D4">
        <w:rPr>
          <w:spacing w:val="-2"/>
          <w:rtl/>
          <w:lang w:val="en-US"/>
        </w:rPr>
        <w:t>؛ ويجب أيضاً تهيئة الظروف التي تمكّن الشهود أو الأقارب من الإبلاغ عن حالة الاختفاء</w:t>
      </w:r>
      <w:r w:rsidRPr="001659E7">
        <w:rPr>
          <w:rtl/>
          <w:lang w:val="en-US"/>
        </w:rPr>
        <w:t xml:space="preserve"> من دون خوف من الأعمال الانتقامية، بما في ذلك الترحيل أو سلب الحرية. ولذلك ينبغي أن تنشئ الدول الأطراف آليات عملية يسهل الوصول إليها تمكّن من الإبلاغ عن حالة اختفاء من بلد آخر، وأن تنبه على وجه السرعة السلطات المختصة في البلد الذي وقع فيه الاختفاء </w:t>
      </w:r>
      <w:proofErr w:type="gramStart"/>
      <w:r w:rsidRPr="001659E7">
        <w:rPr>
          <w:rtl/>
          <w:lang w:val="en-US"/>
        </w:rPr>
        <w:t>المزعوم</w:t>
      </w:r>
      <w:r w:rsidRPr="00D80B7D">
        <w:rPr>
          <w:vertAlign w:val="superscript"/>
          <w:rtl/>
          <w:lang w:val="en-US"/>
        </w:rPr>
        <w:t>(</w:t>
      </w:r>
      <w:proofErr w:type="gramEnd"/>
      <w:r w:rsidRPr="006B5BAF">
        <w:rPr>
          <w:rStyle w:val="FootnoteReference"/>
          <w:lang w:val="en-AU"/>
        </w:rPr>
        <w:footnoteReference w:id="98"/>
      </w:r>
      <w:r w:rsidRPr="00D80B7D">
        <w:rPr>
          <w:vertAlign w:val="superscript"/>
          <w:rtl/>
          <w:lang w:val="en-US"/>
        </w:rPr>
        <w:t>)</w:t>
      </w:r>
      <w:r w:rsidRPr="00977A73">
        <w:rPr>
          <w:rtl/>
          <w:lang w:val="en-US"/>
        </w:rPr>
        <w:t xml:space="preserve">. </w:t>
      </w:r>
    </w:p>
    <w:p w14:paraId="378E6B96" w14:textId="6AC40AC5" w:rsidR="005E0255" w:rsidRPr="00977A73" w:rsidRDefault="005E0255" w:rsidP="001659E7">
      <w:pPr>
        <w:pStyle w:val="SingleTxtGA"/>
        <w:rPr>
          <w:lang w:val="en-US"/>
        </w:rPr>
      </w:pPr>
      <w:r w:rsidRPr="006B5BAF">
        <w:rPr>
          <w:rtl/>
          <w:lang w:val="en-US"/>
        </w:rPr>
        <w:t>39</w:t>
      </w:r>
      <w:r w:rsidRPr="001659E7">
        <w:rPr>
          <w:rtl/>
          <w:lang w:val="en-US"/>
        </w:rPr>
        <w:t>-</w:t>
      </w:r>
      <w:r w:rsidRPr="001659E7">
        <w:rPr>
          <w:rtl/>
          <w:lang w:val="en-US"/>
        </w:rPr>
        <w:tab/>
        <w:t xml:space="preserve">وضماناً لفعالية البحث، ينبغي أن تنفذ الدول الأطراف المبادئ التوجيهية للجنة بشأن البحث عن الأشخاص المختفين وغيرها من المعايير </w:t>
      </w:r>
      <w:proofErr w:type="gramStart"/>
      <w:r w:rsidRPr="001659E7">
        <w:rPr>
          <w:rtl/>
          <w:lang w:val="en-US"/>
        </w:rPr>
        <w:t>الدولية</w:t>
      </w:r>
      <w:r w:rsidRPr="00D80B7D">
        <w:rPr>
          <w:vertAlign w:val="superscript"/>
          <w:rtl/>
          <w:lang w:val="en-US"/>
        </w:rPr>
        <w:t>(</w:t>
      </w:r>
      <w:proofErr w:type="gramEnd"/>
      <w:r w:rsidRPr="006B5BAF">
        <w:rPr>
          <w:rStyle w:val="FootnoteReference"/>
          <w:lang w:val="en-AU"/>
        </w:rPr>
        <w:footnoteReference w:id="99"/>
      </w:r>
      <w:r w:rsidRPr="00D80B7D">
        <w:rPr>
          <w:vertAlign w:val="superscript"/>
          <w:rtl/>
          <w:lang w:val="en-US"/>
        </w:rPr>
        <w:t>)</w:t>
      </w:r>
      <w:r w:rsidRPr="00977A73">
        <w:rPr>
          <w:rtl/>
          <w:lang w:val="en-US"/>
        </w:rPr>
        <w:t xml:space="preserve">. </w:t>
      </w:r>
      <w:r w:rsidRPr="001659E7">
        <w:rPr>
          <w:rtl/>
          <w:lang w:val="en-US"/>
        </w:rPr>
        <w:t xml:space="preserve">وينبغي أن يجري البحث على افتراض أن الشخص على قيد الحياة، وفي ظل احترام كرامة الإنسان في كل مرحلة؛ ويجب أن تحكمه سياسة عامة؛ وأن يتبع نهجاً </w:t>
      </w:r>
      <w:proofErr w:type="spellStart"/>
      <w:r w:rsidRPr="001659E7">
        <w:rPr>
          <w:rtl/>
          <w:lang w:val="en-US"/>
        </w:rPr>
        <w:t>تمايزياً</w:t>
      </w:r>
      <w:proofErr w:type="spellEnd"/>
      <w:r w:rsidRPr="001659E7">
        <w:rPr>
          <w:rtl/>
          <w:lang w:val="en-US"/>
        </w:rPr>
        <w:t>؛ ويراعي الحق في المشاركة؛ ويبدأ دون تأخير؛ ويستمر حتى يتم تحديد مصير الشخص المختفي والتعرف على مكان وجوده على وجه اليقين؛ ويستند إلى استراتيجية شاملة؛ ويأخذ في الحسبان حالة الضعف التي يعيشها المهاجرون؛ وأن يكون منظم</w:t>
      </w:r>
      <w:r>
        <w:rPr>
          <w:rtl/>
          <w:lang w:val="en-US"/>
        </w:rPr>
        <w:t xml:space="preserve">اً </w:t>
      </w:r>
      <w:r w:rsidRPr="001659E7">
        <w:rPr>
          <w:rtl/>
          <w:lang w:val="en-US"/>
        </w:rPr>
        <w:t xml:space="preserve">بكفاءة؛ ويستغل المعلومات بطريقة مناسبة؛ ويكون منسقاً؛ ويعزز التحقيق الجنائي؛ وينفَّذ بأمان؛ ويُجرى بطريقة مستقلة ونزيهة ويخضع لبروتوكولات عامة.  ويجب أن تكون التحقيقات في حالات اختفاء المهاجرين شفافة وشاملة ونزيهة ويجب أن تأخذ بنهج تمايزي يراعي أوجه الضعف الهيكلية للمهاجرين والضعف المتعدد الجوانب لفئات معينة من المهاجرين، مثل النساء والأطفال وأعضاء مجتمع الميم الموسّع والأشخاص المنتمين إلى مجموعات إثنية أو عرقية </w:t>
      </w:r>
      <w:proofErr w:type="gramStart"/>
      <w:r w:rsidRPr="001659E7">
        <w:rPr>
          <w:rtl/>
          <w:lang w:val="en-US"/>
        </w:rPr>
        <w:t>معينة</w:t>
      </w:r>
      <w:r w:rsidRPr="00D80B7D">
        <w:rPr>
          <w:vertAlign w:val="superscript"/>
          <w:rtl/>
          <w:lang w:val="en-US"/>
        </w:rPr>
        <w:t>(</w:t>
      </w:r>
      <w:proofErr w:type="gramEnd"/>
      <w:r w:rsidRPr="006B5BAF">
        <w:rPr>
          <w:rStyle w:val="FootnoteReference"/>
          <w:lang w:val="en-AU"/>
        </w:rPr>
        <w:footnoteReference w:id="100"/>
      </w:r>
      <w:r w:rsidRPr="00D80B7D">
        <w:rPr>
          <w:vertAlign w:val="superscript"/>
          <w:rtl/>
          <w:lang w:val="en-US"/>
        </w:rPr>
        <w:t>)</w:t>
      </w:r>
      <w:r w:rsidRPr="00977A73">
        <w:rPr>
          <w:rtl/>
          <w:lang w:val="en-US"/>
        </w:rPr>
        <w:t>.</w:t>
      </w:r>
    </w:p>
    <w:p w14:paraId="3A962917" w14:textId="77CAA81E" w:rsidR="005E0255" w:rsidRPr="001659E7" w:rsidRDefault="005E0255" w:rsidP="001659E7">
      <w:pPr>
        <w:pStyle w:val="SingleTxtGA"/>
        <w:rPr>
          <w:lang w:val="en-US"/>
        </w:rPr>
      </w:pPr>
      <w:r w:rsidRPr="006B5BAF">
        <w:rPr>
          <w:rtl/>
          <w:lang w:val="en-US"/>
        </w:rPr>
        <w:t>40</w:t>
      </w:r>
      <w:r w:rsidRPr="001659E7">
        <w:rPr>
          <w:rtl/>
          <w:lang w:val="en-US"/>
        </w:rPr>
        <w:t>-</w:t>
      </w:r>
      <w:r w:rsidRPr="001659E7">
        <w:rPr>
          <w:rtl/>
          <w:lang w:val="en-US"/>
        </w:rPr>
        <w:tab/>
        <w:t xml:space="preserve">وعند التحقيق في حالات اختفاء المهاجرين، ينبغي أن يكون لدى الدول استراتيجية تحقيق واضحة وشاملة تمكّن من إجراء تحقيقات شاملة ونزيهة وتستند إلى تحليل السياق. وبمجرد التعرف على الجناة، ينبغي مقاضاتهم ومعاقبتهم </w:t>
      </w:r>
      <w:r>
        <w:rPr>
          <w:rtl/>
          <w:lang w:val="en-US"/>
        </w:rPr>
        <w:t xml:space="preserve">وفقاً </w:t>
      </w:r>
      <w:r w:rsidRPr="001659E7">
        <w:rPr>
          <w:rtl/>
          <w:lang w:val="en-US"/>
        </w:rPr>
        <w:t>لخطورة الجريمة، وينبغي اعتبار حالة الضعف التي يعيشها المهاجرون ظرف</w:t>
      </w:r>
      <w:r>
        <w:rPr>
          <w:rtl/>
          <w:lang w:val="en-US"/>
        </w:rPr>
        <w:t xml:space="preserve">اً </w:t>
      </w:r>
      <w:r w:rsidRPr="001659E7">
        <w:rPr>
          <w:rtl/>
          <w:lang w:val="en-US"/>
        </w:rPr>
        <w:t>مشدد</w:t>
      </w:r>
      <w:r>
        <w:rPr>
          <w:rtl/>
          <w:lang w:val="en-US"/>
        </w:rPr>
        <w:t>اً.</w:t>
      </w:r>
      <w:r w:rsidRPr="001659E7">
        <w:rPr>
          <w:rtl/>
          <w:lang w:val="en-US"/>
        </w:rPr>
        <w:t xml:space="preserve"> ويجب على الدول الأطراف التي تطبق نظام التقادم أن تأخذ في الاعتبار أن الاختفاء القسري جريمة مستمرة وأن فترة التقادم في الإجراءات الجنائية تبدأ من اللحظة التي تنتهي فيها جريمة الاختفاء القسري. ويجب </w:t>
      </w:r>
      <w:r>
        <w:rPr>
          <w:rtl/>
          <w:lang w:val="en-US"/>
        </w:rPr>
        <w:t xml:space="preserve">أيضاً </w:t>
      </w:r>
      <w:r w:rsidRPr="001659E7">
        <w:rPr>
          <w:rtl/>
          <w:lang w:val="en-US"/>
        </w:rPr>
        <w:t xml:space="preserve">أن تتخذ الدول الأطراف جميع التدابير اللازمة لإقرار اختصاصها بممارسة ولايتها القضائية على جريمة الاختفاء القسري التي تُرتكب خارج إقليمها، على النحو المنصوص عليه في المادة </w:t>
      </w:r>
      <w:r w:rsidRPr="006B5BAF">
        <w:rPr>
          <w:rtl/>
          <w:lang w:val="en-US"/>
        </w:rPr>
        <w:t>9</w:t>
      </w:r>
      <w:r w:rsidRPr="001659E7">
        <w:rPr>
          <w:rtl/>
          <w:lang w:val="en-US"/>
        </w:rPr>
        <w:t xml:space="preserve"> من الاتفاقية.</w:t>
      </w:r>
    </w:p>
    <w:p w14:paraId="2DB33B9C" w14:textId="14CBB1B8" w:rsidR="005E0255" w:rsidRPr="00780B7C" w:rsidRDefault="005E0255" w:rsidP="00780B7C">
      <w:pPr>
        <w:pStyle w:val="SingleTxtGA"/>
        <w:rPr>
          <w:spacing w:val="2"/>
          <w:lang w:val="en-US"/>
        </w:rPr>
      </w:pPr>
      <w:r w:rsidRPr="006B5BAF">
        <w:rPr>
          <w:spacing w:val="2"/>
          <w:rtl/>
          <w:lang w:val="en-US"/>
        </w:rPr>
        <w:t>41</w:t>
      </w:r>
      <w:r w:rsidRPr="00780B7C">
        <w:rPr>
          <w:spacing w:val="2"/>
          <w:rtl/>
          <w:lang w:val="en-US"/>
        </w:rPr>
        <w:t>-</w:t>
      </w:r>
      <w:r w:rsidRPr="00780B7C">
        <w:rPr>
          <w:spacing w:val="2"/>
          <w:rtl/>
          <w:lang w:val="en-US"/>
        </w:rPr>
        <w:tab/>
      </w:r>
      <w:r w:rsidRPr="006079F4">
        <w:rPr>
          <w:spacing w:val="-2"/>
          <w:rtl/>
          <w:lang w:val="en-US"/>
        </w:rPr>
        <w:t xml:space="preserve">وتيسيراً لأعمال البحث والتحقيق، ينبغي أن تحرص الدول الأطراف على إقامة تعاون وثيق وتنسيق فعال فيما بين المؤسسات على الصعيد الوطني وفيما بين المؤسسات من بلدان المنشأ والعبور والمقصد </w:t>
      </w:r>
      <w:proofErr w:type="gramStart"/>
      <w:r w:rsidRPr="006079F4">
        <w:rPr>
          <w:rtl/>
          <w:lang w:val="en-US"/>
        </w:rPr>
        <w:t>والعودة</w:t>
      </w:r>
      <w:r w:rsidRPr="006079F4">
        <w:rPr>
          <w:vertAlign w:val="superscript"/>
          <w:rtl/>
          <w:lang w:val="en-US"/>
        </w:rPr>
        <w:t>(</w:t>
      </w:r>
      <w:proofErr w:type="gramEnd"/>
      <w:r w:rsidRPr="006B5BAF">
        <w:rPr>
          <w:rStyle w:val="FootnoteReference"/>
          <w:lang w:val="en-AU"/>
        </w:rPr>
        <w:footnoteReference w:id="101"/>
      </w:r>
      <w:r w:rsidRPr="006079F4">
        <w:rPr>
          <w:vertAlign w:val="superscript"/>
          <w:rtl/>
          <w:lang w:val="en-US"/>
        </w:rPr>
        <w:t>)</w:t>
      </w:r>
      <w:r w:rsidRPr="006079F4">
        <w:rPr>
          <w:rtl/>
          <w:lang w:val="en-US"/>
        </w:rPr>
        <w:t xml:space="preserve">. وعلاوة على ذلك، ينبغي أن تسعى الدول الأطراف جاهدة إلى وضع بروتوكولات موحدة للبحث والتحقيق في حالات المهاجرين المختفين عبر </w:t>
      </w:r>
      <w:proofErr w:type="gramStart"/>
      <w:r w:rsidRPr="006079F4">
        <w:rPr>
          <w:rtl/>
          <w:lang w:val="en-US"/>
        </w:rPr>
        <w:t>الدول</w:t>
      </w:r>
      <w:r w:rsidRPr="006079F4">
        <w:rPr>
          <w:vertAlign w:val="superscript"/>
          <w:rtl/>
          <w:lang w:val="en-US"/>
        </w:rPr>
        <w:t>(</w:t>
      </w:r>
      <w:proofErr w:type="gramEnd"/>
      <w:r w:rsidRPr="006B5BAF">
        <w:rPr>
          <w:rStyle w:val="FootnoteReference"/>
          <w:lang w:val="en-AU"/>
        </w:rPr>
        <w:footnoteReference w:id="102"/>
      </w:r>
      <w:r w:rsidRPr="006079F4">
        <w:rPr>
          <w:vertAlign w:val="superscript"/>
          <w:rtl/>
          <w:lang w:val="en-US"/>
        </w:rPr>
        <w:t>)</w:t>
      </w:r>
      <w:r w:rsidRPr="006079F4">
        <w:rPr>
          <w:rtl/>
          <w:lang w:val="en-US"/>
        </w:rPr>
        <w:t xml:space="preserve"> وأن تمكن من تبادل جميع المعلومات ذات الصلة، بما في ذلك السجلات الوطنية للأشخاص المختفين وقواعد بيانات الحمض النووي </w:t>
      </w:r>
      <w:proofErr w:type="spellStart"/>
      <w:r w:rsidRPr="006079F4">
        <w:rPr>
          <w:rtl/>
          <w:lang w:val="en-US"/>
        </w:rPr>
        <w:t>الريبوزي</w:t>
      </w:r>
      <w:proofErr w:type="spellEnd"/>
      <w:r w:rsidRPr="006079F4">
        <w:rPr>
          <w:rtl/>
          <w:lang w:val="en-US"/>
        </w:rPr>
        <w:t xml:space="preserve">، </w:t>
      </w:r>
      <w:r w:rsidRPr="006079F4">
        <w:rPr>
          <w:rtl/>
          <w:lang w:val="en-US"/>
        </w:rPr>
        <w:lastRenderedPageBreak/>
        <w:t>مع الحرص في</w:t>
      </w:r>
      <w:r w:rsidRPr="00780B7C">
        <w:rPr>
          <w:spacing w:val="2"/>
          <w:rtl/>
          <w:lang w:val="en-US"/>
        </w:rPr>
        <w:t xml:space="preserve"> الوقت نفسه على احترام المعايير الدولية المتعلقة بحماية البيانات والخصوصية وعدم </w:t>
      </w:r>
      <w:r w:rsidRPr="006079F4">
        <w:rPr>
          <w:spacing w:val="-4"/>
          <w:rtl/>
          <w:lang w:val="en-US"/>
        </w:rPr>
        <w:t>تعريض المهاجرين لمزيد من المخاطر. ويجب أن تكفل الدول الأطراف حصول جميع المؤسسات المختصة</w:t>
      </w:r>
      <w:r w:rsidRPr="00780B7C">
        <w:rPr>
          <w:rtl/>
          <w:lang w:val="en-US"/>
        </w:rPr>
        <w:t xml:space="preserve"> على التمويل الكافي والتجهيزات اللازمة وتزودها بما يلزم من موظفين مدربين</w:t>
      </w:r>
      <w:r w:rsidRPr="00780B7C">
        <w:rPr>
          <w:spacing w:val="2"/>
          <w:rtl/>
          <w:lang w:val="en-US"/>
        </w:rPr>
        <w:t xml:space="preserve"> تدريباً مناسباً. </w:t>
      </w:r>
    </w:p>
    <w:p w14:paraId="5002AADC" w14:textId="73F71C26" w:rsidR="005E0255" w:rsidRPr="00780B7C" w:rsidRDefault="005E0255" w:rsidP="00780B7C">
      <w:pPr>
        <w:pStyle w:val="SingleTxtGA"/>
        <w:rPr>
          <w:spacing w:val="-4"/>
          <w:lang w:val="en-US"/>
        </w:rPr>
      </w:pPr>
      <w:r w:rsidRPr="006B5BAF">
        <w:rPr>
          <w:spacing w:val="-4"/>
          <w:rtl/>
          <w:lang w:val="en-US"/>
        </w:rPr>
        <w:t>42</w:t>
      </w:r>
      <w:r w:rsidRPr="00780B7C">
        <w:rPr>
          <w:spacing w:val="-4"/>
          <w:rtl/>
          <w:lang w:val="en-US"/>
        </w:rPr>
        <w:t>-</w:t>
      </w:r>
      <w:r w:rsidRPr="00780B7C">
        <w:rPr>
          <w:spacing w:val="-4"/>
          <w:rtl/>
          <w:lang w:val="en-US"/>
        </w:rPr>
        <w:tab/>
        <w:t xml:space="preserve">ويجب أن توفر الدول الأطراف لأقارب المهاجرين المختفين وممثليهم وأي شخص آخر له مصلحة </w:t>
      </w:r>
      <w:r w:rsidRPr="006079F4">
        <w:rPr>
          <w:rtl/>
          <w:lang w:val="en-US"/>
        </w:rPr>
        <w:t>مشروعة، بغض النظر عن مكان إقامتهم، الدعم اللازم لتمكينهم من الحصول على المعلومات دون تأخير والمشاركة</w:t>
      </w:r>
      <w:r w:rsidRPr="00780B7C">
        <w:rPr>
          <w:spacing w:val="-4"/>
          <w:rtl/>
          <w:lang w:val="en-US"/>
        </w:rPr>
        <w:t xml:space="preserve"> في جميع مراحل البحث والتحقيق إذا رغبوا في </w:t>
      </w:r>
      <w:proofErr w:type="gramStart"/>
      <w:r w:rsidRPr="00780B7C">
        <w:rPr>
          <w:spacing w:val="-4"/>
          <w:rtl/>
          <w:lang w:val="en-US"/>
        </w:rPr>
        <w:t>ذلك</w:t>
      </w:r>
      <w:r w:rsidRPr="00780B7C">
        <w:rPr>
          <w:spacing w:val="-4"/>
          <w:vertAlign w:val="superscript"/>
          <w:rtl/>
          <w:lang w:val="en-US"/>
        </w:rPr>
        <w:t>(</w:t>
      </w:r>
      <w:proofErr w:type="gramEnd"/>
      <w:r w:rsidRPr="006B5BAF">
        <w:rPr>
          <w:rStyle w:val="FootnoteReference"/>
          <w:spacing w:val="-4"/>
          <w:lang w:val="en-AU"/>
        </w:rPr>
        <w:footnoteReference w:id="103"/>
      </w:r>
      <w:r w:rsidRPr="00780B7C">
        <w:rPr>
          <w:spacing w:val="-4"/>
          <w:vertAlign w:val="superscript"/>
          <w:rtl/>
          <w:lang w:val="en-US"/>
        </w:rPr>
        <w:t>)</w:t>
      </w:r>
      <w:r w:rsidRPr="00780B7C">
        <w:rPr>
          <w:spacing w:val="-4"/>
          <w:rtl/>
          <w:lang w:val="en-US"/>
        </w:rPr>
        <w:t xml:space="preserve">. وينبغي أن تستخدم الدول الأطراف، في سياق عملية البحث والتحقيق، المعلومات المقدمة من الأقارب ومنظمات المجتمع المدني والمنظمات الدولية والدول الأخرى التي جُمعت من خلال الاستخدام المبتكر لتكنولوجيا المعلومات </w:t>
      </w:r>
      <w:proofErr w:type="gramStart"/>
      <w:r w:rsidRPr="00780B7C">
        <w:rPr>
          <w:spacing w:val="-4"/>
          <w:rtl/>
          <w:lang w:val="en-US"/>
        </w:rPr>
        <w:t>والاتصالات</w:t>
      </w:r>
      <w:r w:rsidRPr="00780B7C">
        <w:rPr>
          <w:spacing w:val="-4"/>
          <w:vertAlign w:val="superscript"/>
          <w:rtl/>
          <w:lang w:val="en-US"/>
        </w:rPr>
        <w:t>(</w:t>
      </w:r>
      <w:proofErr w:type="gramEnd"/>
      <w:r w:rsidRPr="006B5BAF">
        <w:rPr>
          <w:rStyle w:val="FootnoteReference"/>
          <w:spacing w:val="-4"/>
          <w:lang w:val="en-AU"/>
        </w:rPr>
        <w:footnoteReference w:id="104"/>
      </w:r>
      <w:r w:rsidRPr="00780B7C">
        <w:rPr>
          <w:spacing w:val="-4"/>
          <w:vertAlign w:val="superscript"/>
          <w:rtl/>
          <w:lang w:val="en-US"/>
        </w:rPr>
        <w:t>)</w:t>
      </w:r>
      <w:r w:rsidRPr="00780B7C">
        <w:rPr>
          <w:spacing w:val="-4"/>
          <w:rtl/>
          <w:lang w:val="en-US"/>
        </w:rPr>
        <w:t xml:space="preserve">. </w:t>
      </w:r>
    </w:p>
    <w:p w14:paraId="116195F0" w14:textId="29111076" w:rsidR="005E0255" w:rsidRPr="001659E7" w:rsidRDefault="005E0255" w:rsidP="00780B7C">
      <w:pPr>
        <w:pStyle w:val="SingleTxtGA"/>
        <w:rPr>
          <w:lang w:val="en-US"/>
        </w:rPr>
      </w:pPr>
      <w:r w:rsidRPr="006B5BAF">
        <w:rPr>
          <w:rtl/>
          <w:lang w:val="en-US"/>
        </w:rPr>
        <w:t>43</w:t>
      </w:r>
      <w:r w:rsidRPr="001659E7">
        <w:rPr>
          <w:rtl/>
          <w:lang w:val="en-US"/>
        </w:rPr>
        <w:t>-</w:t>
      </w:r>
      <w:r w:rsidRPr="001659E7">
        <w:rPr>
          <w:rtl/>
          <w:lang w:val="en-US"/>
        </w:rPr>
        <w:tab/>
        <w:t>وينبغي أن تتخذ الدول الأطراف جميع التدابير المناسبة للبحث عن رفات المهاجرين الذين يعثر عليهم ميتين على طول طرق الهجرة وتحديد هويتهم وإعادتهم. وتحقيق</w:t>
      </w:r>
      <w:r>
        <w:rPr>
          <w:rtl/>
          <w:lang w:val="en-US"/>
        </w:rPr>
        <w:t xml:space="preserve">اً </w:t>
      </w:r>
      <w:r w:rsidRPr="001659E7">
        <w:rPr>
          <w:rtl/>
          <w:lang w:val="en-US"/>
        </w:rPr>
        <w:t>لهذه الغاية، ينبغي أن تحقق الدول الأطراف في ادعاءات الوفيات على طول طرق الهجرة وفي وجود مقابر جماعية سرية وأن تنشئ سجل</w:t>
      </w:r>
      <w:r>
        <w:rPr>
          <w:rtl/>
          <w:lang w:val="en-US"/>
        </w:rPr>
        <w:t xml:space="preserve">اً </w:t>
      </w:r>
      <w:r w:rsidRPr="001659E7">
        <w:rPr>
          <w:rtl/>
          <w:lang w:val="en-US"/>
        </w:rPr>
        <w:t xml:space="preserve">للرفات التي يعثر عليها. ويجب أن تتم عمليات استخراج الجثث من هذه المواقع </w:t>
      </w:r>
      <w:r>
        <w:rPr>
          <w:rtl/>
          <w:lang w:val="en-US"/>
        </w:rPr>
        <w:t xml:space="preserve">وفقاً </w:t>
      </w:r>
      <w:r w:rsidRPr="001659E7">
        <w:rPr>
          <w:rtl/>
          <w:lang w:val="en-US"/>
        </w:rPr>
        <w:t xml:space="preserve">للمعايير </w:t>
      </w:r>
      <w:proofErr w:type="gramStart"/>
      <w:r w:rsidRPr="001659E7">
        <w:rPr>
          <w:rtl/>
          <w:lang w:val="en-US"/>
        </w:rPr>
        <w:t>الدولية</w:t>
      </w:r>
      <w:r w:rsidRPr="00D80B7D">
        <w:rPr>
          <w:vertAlign w:val="superscript"/>
          <w:rtl/>
          <w:lang w:val="en-US"/>
        </w:rPr>
        <w:t>(</w:t>
      </w:r>
      <w:proofErr w:type="gramEnd"/>
      <w:r w:rsidRPr="006B5BAF">
        <w:rPr>
          <w:rStyle w:val="FootnoteReference"/>
          <w:lang w:val="en-AU"/>
        </w:rPr>
        <w:footnoteReference w:id="105"/>
      </w:r>
      <w:r w:rsidRPr="00D80B7D">
        <w:rPr>
          <w:vertAlign w:val="superscript"/>
          <w:rtl/>
          <w:lang w:val="en-US"/>
        </w:rPr>
        <w:t>)</w:t>
      </w:r>
      <w:r w:rsidRPr="00977A73">
        <w:rPr>
          <w:rtl/>
          <w:lang w:val="en-US"/>
        </w:rPr>
        <w:t xml:space="preserve">. </w:t>
      </w:r>
      <w:r w:rsidRPr="001659E7">
        <w:rPr>
          <w:rtl/>
          <w:lang w:val="en-US"/>
        </w:rPr>
        <w:t xml:space="preserve">وتيسيراً للبحث عن الرفات وتحديد هوية أصحابها، ينبغي أن تنشئ الدول الأطراف قواعد بيانات مركزية للحمض النووي </w:t>
      </w:r>
      <w:proofErr w:type="spellStart"/>
      <w:r w:rsidRPr="001659E7">
        <w:rPr>
          <w:rtl/>
          <w:lang w:val="en-US"/>
        </w:rPr>
        <w:t>الريبوزي</w:t>
      </w:r>
      <w:proofErr w:type="spellEnd"/>
      <w:r w:rsidRPr="001659E7">
        <w:rPr>
          <w:rtl/>
          <w:lang w:val="en-US"/>
        </w:rPr>
        <w:t xml:space="preserve"> تحتوي على البيانات الجينية اللازمة، فضل</w:t>
      </w:r>
      <w:r>
        <w:rPr>
          <w:rtl/>
          <w:lang w:val="en-US"/>
        </w:rPr>
        <w:t xml:space="preserve">اً </w:t>
      </w:r>
      <w:r w:rsidRPr="001659E7">
        <w:rPr>
          <w:rtl/>
          <w:lang w:val="en-US"/>
        </w:rPr>
        <w:t>عن معلومات ما قبل الوفاة وما بعد الوفاة، وينبغي أن تشجع على إبرام اتفاقات ووضع آليات وممارسات مع جميع البلدان المعنية</w:t>
      </w:r>
      <w:r>
        <w:rPr>
          <w:rFonts w:hint="cs"/>
          <w:rtl/>
          <w:lang w:val="en-US"/>
        </w:rPr>
        <w:t xml:space="preserve"> </w:t>
      </w:r>
      <w:r w:rsidRPr="001659E7">
        <w:rPr>
          <w:rtl/>
          <w:lang w:val="en-US"/>
        </w:rPr>
        <w:t>- التي يحتمل أن تكون بلدان المنشأ والعبور والمقصد والعودة</w:t>
      </w:r>
      <w:r w:rsidR="00C92A59">
        <w:rPr>
          <w:rFonts w:hint="cs"/>
          <w:rtl/>
          <w:lang w:val="en-US"/>
        </w:rPr>
        <w:t xml:space="preserve"> </w:t>
      </w:r>
      <w:r w:rsidRPr="001659E7">
        <w:rPr>
          <w:rtl/>
          <w:lang w:val="en-US"/>
        </w:rPr>
        <w:t xml:space="preserve">- لمضاعفة الخيارات المتاحة للتحقق من مطابقة بيانات الحمض النووي </w:t>
      </w:r>
      <w:proofErr w:type="spellStart"/>
      <w:r w:rsidRPr="001659E7">
        <w:rPr>
          <w:rtl/>
          <w:lang w:val="en-US"/>
        </w:rPr>
        <w:t>الريبوزي</w:t>
      </w:r>
      <w:proofErr w:type="spellEnd"/>
      <w:r w:rsidRPr="001659E7">
        <w:rPr>
          <w:rtl/>
          <w:lang w:val="en-US"/>
        </w:rPr>
        <w:t xml:space="preserve"> للرفات البشرية المجهولة </w:t>
      </w:r>
      <w:proofErr w:type="gramStart"/>
      <w:r w:rsidRPr="001659E7">
        <w:rPr>
          <w:rtl/>
          <w:lang w:val="en-US"/>
        </w:rPr>
        <w:t>الهوية</w:t>
      </w:r>
      <w:r w:rsidRPr="00D80B7D">
        <w:rPr>
          <w:vertAlign w:val="superscript"/>
          <w:rtl/>
          <w:lang w:val="en-US"/>
        </w:rPr>
        <w:t>(</w:t>
      </w:r>
      <w:proofErr w:type="gramEnd"/>
      <w:r w:rsidRPr="006B5BAF">
        <w:rPr>
          <w:rStyle w:val="FootnoteReference"/>
          <w:lang w:val="en-AU"/>
        </w:rPr>
        <w:footnoteReference w:id="106"/>
      </w:r>
      <w:r w:rsidRPr="00D80B7D">
        <w:rPr>
          <w:vertAlign w:val="superscript"/>
          <w:rtl/>
          <w:lang w:val="en-US"/>
        </w:rPr>
        <w:t>)</w:t>
      </w:r>
      <w:r w:rsidRPr="00977A73">
        <w:rPr>
          <w:rtl/>
          <w:lang w:val="en-US"/>
        </w:rPr>
        <w:t xml:space="preserve">. </w:t>
      </w:r>
    </w:p>
    <w:p w14:paraId="67C1CDC2" w14:textId="6146A35B" w:rsidR="005E0255" w:rsidRPr="006B5BAF" w:rsidRDefault="005E0255" w:rsidP="00780B7C">
      <w:pPr>
        <w:pStyle w:val="HChGA"/>
      </w:pPr>
      <w:r w:rsidRPr="006B5BAF">
        <w:rPr>
          <w:rtl/>
        </w:rPr>
        <w:tab/>
        <w:t>خامساً-</w:t>
      </w:r>
      <w:r w:rsidRPr="006B5BAF">
        <w:rPr>
          <w:rtl/>
        </w:rPr>
        <w:tab/>
        <w:t>حقوق الضحايا</w:t>
      </w:r>
    </w:p>
    <w:p w14:paraId="7EF2C0BE" w14:textId="7E7CB828" w:rsidR="005E0255" w:rsidRPr="00C92A59" w:rsidRDefault="005E0255" w:rsidP="00780B7C">
      <w:pPr>
        <w:pStyle w:val="SingleTxtGA"/>
        <w:rPr>
          <w:spacing w:val="-2"/>
          <w:lang w:val="en-US"/>
        </w:rPr>
      </w:pPr>
      <w:r w:rsidRPr="006B5BAF">
        <w:rPr>
          <w:spacing w:val="-2"/>
          <w:rtl/>
          <w:lang w:val="en-US"/>
        </w:rPr>
        <w:t>44</w:t>
      </w:r>
      <w:r w:rsidRPr="00C92A59">
        <w:rPr>
          <w:spacing w:val="-2"/>
          <w:rtl/>
          <w:lang w:val="en-US"/>
        </w:rPr>
        <w:t>-</w:t>
      </w:r>
      <w:r w:rsidRPr="00C92A59">
        <w:rPr>
          <w:spacing w:val="-2"/>
          <w:rtl/>
          <w:lang w:val="en-US"/>
        </w:rPr>
        <w:tab/>
        <w:t>يقع على عاتق الدول الأطراف التزام بضمان حصول جميع ضحايا الاختفاء القسري على حقوقهم في معرفة الحقيقة وتحقيق العدالة، والجبر، وضمانات عدم التكرار، بما في ذلك عندما يحدث الاختفاء في</w:t>
      </w:r>
      <w:r w:rsidR="00C92A59">
        <w:rPr>
          <w:rFonts w:hint="cs"/>
          <w:spacing w:val="-2"/>
          <w:rtl/>
          <w:lang w:val="en-US"/>
        </w:rPr>
        <w:t> </w:t>
      </w:r>
      <w:r w:rsidRPr="00C92A59">
        <w:rPr>
          <w:spacing w:val="-2"/>
          <w:rtl/>
          <w:lang w:val="en-US"/>
        </w:rPr>
        <w:t xml:space="preserve">سياق الهجرة. وينبغي فهم جبر الضرر بالمعنى الواسع بحيث يشمل رد الحقوق وإعادة التأهيل والترضية، بما في ذلك رد الاعتبار لكرامة الشخص وسمعته، وضمانات بعدم التكرار. وبالإضافة إلى ذلك، يحق لجميع الضحايا الحصول على تعويض فوري وعادل ومناسب (المادة </w:t>
      </w:r>
      <w:r w:rsidRPr="006B5BAF">
        <w:rPr>
          <w:spacing w:val="-2"/>
          <w:rtl/>
          <w:lang w:val="en-US"/>
        </w:rPr>
        <w:t>24</w:t>
      </w:r>
      <w:r w:rsidRPr="00C92A59">
        <w:rPr>
          <w:spacing w:val="-2"/>
          <w:rtl/>
          <w:lang w:val="en-US"/>
        </w:rPr>
        <w:t>(</w:t>
      </w:r>
      <w:r w:rsidRPr="006B5BAF">
        <w:rPr>
          <w:spacing w:val="-2"/>
          <w:rtl/>
          <w:lang w:val="en-US"/>
        </w:rPr>
        <w:t>2</w:t>
      </w:r>
      <w:r w:rsidRPr="00C92A59">
        <w:rPr>
          <w:spacing w:val="-2"/>
          <w:rtl/>
          <w:lang w:val="en-US"/>
        </w:rPr>
        <w:t>)-(</w:t>
      </w:r>
      <w:r w:rsidRPr="006B5BAF">
        <w:rPr>
          <w:spacing w:val="-2"/>
          <w:rtl/>
          <w:lang w:val="en-US"/>
        </w:rPr>
        <w:t>5</w:t>
      </w:r>
      <w:proofErr w:type="gramStart"/>
      <w:r w:rsidRPr="00C92A59">
        <w:rPr>
          <w:spacing w:val="-2"/>
          <w:rtl/>
          <w:lang w:val="en-US"/>
        </w:rPr>
        <w:t>))</w:t>
      </w:r>
      <w:r w:rsidRPr="00C92A59">
        <w:rPr>
          <w:spacing w:val="-2"/>
          <w:vertAlign w:val="superscript"/>
          <w:rtl/>
          <w:lang w:val="en-US"/>
        </w:rPr>
        <w:t>(</w:t>
      </w:r>
      <w:proofErr w:type="gramEnd"/>
      <w:r w:rsidRPr="006B5BAF">
        <w:rPr>
          <w:rStyle w:val="FootnoteReference"/>
          <w:spacing w:val="-2"/>
          <w:lang w:val="en-AU"/>
        </w:rPr>
        <w:footnoteReference w:id="107"/>
      </w:r>
      <w:r w:rsidRPr="00C92A59">
        <w:rPr>
          <w:spacing w:val="-2"/>
          <w:vertAlign w:val="superscript"/>
          <w:rtl/>
          <w:lang w:val="en-US"/>
        </w:rPr>
        <w:t>)</w:t>
      </w:r>
      <w:r w:rsidRPr="00C92A59">
        <w:rPr>
          <w:spacing w:val="-2"/>
          <w:rtl/>
          <w:lang w:val="en-US"/>
        </w:rPr>
        <w:t>.</w:t>
      </w:r>
    </w:p>
    <w:p w14:paraId="35E38C4A" w14:textId="7D0251AC" w:rsidR="005E0255" w:rsidRPr="001659E7" w:rsidRDefault="005E0255" w:rsidP="00780B7C">
      <w:pPr>
        <w:pStyle w:val="SingleTxtGA"/>
        <w:spacing w:line="340" w:lineRule="exact"/>
        <w:rPr>
          <w:lang w:val="en-US"/>
        </w:rPr>
      </w:pPr>
      <w:r w:rsidRPr="006B5BAF">
        <w:rPr>
          <w:rtl/>
          <w:lang w:val="en-US"/>
        </w:rPr>
        <w:t>45</w:t>
      </w:r>
      <w:r w:rsidRPr="001659E7">
        <w:rPr>
          <w:rtl/>
          <w:lang w:val="en-US"/>
        </w:rPr>
        <w:t>-</w:t>
      </w:r>
      <w:r w:rsidRPr="001659E7">
        <w:rPr>
          <w:rtl/>
          <w:lang w:val="en-US"/>
        </w:rPr>
        <w:tab/>
        <w:t xml:space="preserve">وفي سياق توفير التعويض والجبر، يجب أن تراعي الدول الأطراف الاحتياجات المحددة للضحايا، آخذة في الاعتبار، في جملة أمور، نوع جنسهم، وميولهم الجنسية، وهويتهم الجنسانية، وسنهم، وجنسيتهم، وأصلهم الإثني، ووضعهم الاجتماعي، ووضعهم من حيث الإعاقة، ووضعهم من حيث الهجرة، </w:t>
      </w:r>
      <w:r w:rsidRPr="001659E7">
        <w:rPr>
          <w:rtl/>
          <w:lang w:val="en-US"/>
        </w:rPr>
        <w:lastRenderedPageBreak/>
        <w:t>وغير ذلك من خصائص الشخص أو أقاربه. ويجب أن تكفل الحق في التعويض والجبر لمن هم مرتبطون بأي شكل من أشكال القران المماثل للزواج، بما يشمل الأشكال التي لا يعترف بها قانون الدولة الطرف أو</w:t>
      </w:r>
      <w:r>
        <w:rPr>
          <w:rFonts w:hint="cs"/>
          <w:rtl/>
          <w:lang w:val="en-US"/>
        </w:rPr>
        <w:t> </w:t>
      </w:r>
      <w:r w:rsidRPr="001659E7">
        <w:rPr>
          <w:rtl/>
          <w:lang w:val="en-US"/>
        </w:rPr>
        <w:t>البلد الذي يوجد فيه الأقارب.</w:t>
      </w:r>
    </w:p>
    <w:p w14:paraId="0C15C364" w14:textId="18B8C2B9" w:rsidR="005E0255" w:rsidRPr="00977A73" w:rsidRDefault="005E0255" w:rsidP="00780B7C">
      <w:pPr>
        <w:pStyle w:val="SingleTxtGA"/>
        <w:spacing w:line="340" w:lineRule="exact"/>
        <w:rPr>
          <w:lang w:val="en-US"/>
        </w:rPr>
      </w:pPr>
      <w:r w:rsidRPr="006B5BAF">
        <w:rPr>
          <w:rtl/>
          <w:lang w:val="en-US"/>
        </w:rPr>
        <w:t>46</w:t>
      </w:r>
      <w:r w:rsidRPr="001659E7">
        <w:rPr>
          <w:rtl/>
          <w:lang w:val="en-US"/>
        </w:rPr>
        <w:t>-</w:t>
      </w:r>
      <w:r w:rsidRPr="001659E7">
        <w:rPr>
          <w:rtl/>
          <w:lang w:val="en-US"/>
        </w:rPr>
        <w:tab/>
        <w:t xml:space="preserve">وينبغي إيلاء اهتمام خاص لتقديم الدعم النفسي والاجتماعي واللوجستي اللازم لأقارب الأشخاص المختفين. وينبغي أن تتاح للأقارب إمكانية الحصول بشكل فعلي وسريع على التأشيرات الإنسانية وتصاريح الإقامة المؤقتة، وينبغي اتخاذ تدابير أخرى لتيسير مشاركتهم في عمليات البحث والتحقيق وحصولهم على المعلومات المتعلقة </w:t>
      </w:r>
      <w:proofErr w:type="gramStart"/>
      <w:r w:rsidRPr="001659E7">
        <w:rPr>
          <w:rtl/>
          <w:lang w:val="en-US"/>
        </w:rPr>
        <w:t>بأحبائهم</w:t>
      </w:r>
      <w:r w:rsidRPr="00D80B7D">
        <w:rPr>
          <w:vertAlign w:val="superscript"/>
          <w:rtl/>
          <w:lang w:val="en-US"/>
        </w:rPr>
        <w:t>(</w:t>
      </w:r>
      <w:proofErr w:type="gramEnd"/>
      <w:r w:rsidRPr="006B5BAF">
        <w:rPr>
          <w:rStyle w:val="FootnoteReference"/>
          <w:lang w:val="en-AU"/>
        </w:rPr>
        <w:footnoteReference w:id="108"/>
      </w:r>
      <w:r w:rsidRPr="00D80B7D">
        <w:rPr>
          <w:vertAlign w:val="superscript"/>
          <w:rtl/>
          <w:lang w:val="en-US"/>
        </w:rPr>
        <w:t>)</w:t>
      </w:r>
      <w:r w:rsidRPr="00977A73">
        <w:rPr>
          <w:rtl/>
          <w:lang w:val="en-US"/>
        </w:rPr>
        <w:t xml:space="preserve">. </w:t>
      </w:r>
      <w:r w:rsidRPr="001659E7">
        <w:rPr>
          <w:rtl/>
          <w:lang w:val="en-US"/>
        </w:rPr>
        <w:t xml:space="preserve">وينبغي أن تكفل الدول الأطراف عدم ترحيل أو طرد المهاجرين المختفين الذين يعثر عليهم أحياء وأقاربهم بسبب وضعهم كمهاجرين غير نظاميين قبل صدور القرار النهائي في الإجراءات الجنائية، بالنظر إلى أن هذا الإجراء قد يلغي إمكانية اللجوء إلى العدالة. ويجب أن تكفل الدول الاطراف حق الأقارب في المشاركة أو التمثيل في المحاكمة وفي عمليات البحث والتحقيق. ويجب أن تحافظ سلطات الدولة على قنوات فعالة للتواصل مع الأقارب، بما في ذلك من خلال استخدام التكنولوجيات الجديدة أو، عند الاقتضاء، التمثيل الدبلوماسي </w:t>
      </w:r>
      <w:proofErr w:type="gramStart"/>
      <w:r w:rsidRPr="001659E7">
        <w:rPr>
          <w:rtl/>
          <w:lang w:val="en-US"/>
        </w:rPr>
        <w:t>والقنصلي</w:t>
      </w:r>
      <w:r w:rsidRPr="00D80B7D">
        <w:rPr>
          <w:vertAlign w:val="superscript"/>
          <w:rtl/>
          <w:lang w:val="en-US"/>
        </w:rPr>
        <w:t>(</w:t>
      </w:r>
      <w:proofErr w:type="gramEnd"/>
      <w:r w:rsidRPr="006B5BAF">
        <w:rPr>
          <w:rStyle w:val="FootnoteReference"/>
          <w:lang w:val="en-AU"/>
        </w:rPr>
        <w:footnoteReference w:id="109"/>
      </w:r>
      <w:r w:rsidRPr="00D80B7D">
        <w:rPr>
          <w:vertAlign w:val="superscript"/>
          <w:rtl/>
          <w:lang w:val="en-US"/>
        </w:rPr>
        <w:t>)</w:t>
      </w:r>
      <w:r w:rsidRPr="00977A73">
        <w:rPr>
          <w:rtl/>
          <w:lang w:val="en-US"/>
        </w:rPr>
        <w:t>.</w:t>
      </w:r>
    </w:p>
    <w:p w14:paraId="425488D2" w14:textId="1B90DDED" w:rsidR="005E0255" w:rsidRPr="006079F4" w:rsidRDefault="005E0255" w:rsidP="00780B7C">
      <w:pPr>
        <w:pStyle w:val="SingleTxtGA"/>
        <w:spacing w:line="340" w:lineRule="exact"/>
        <w:rPr>
          <w:spacing w:val="-2"/>
          <w:lang w:val="en-US"/>
        </w:rPr>
      </w:pPr>
      <w:r w:rsidRPr="006B5BAF">
        <w:rPr>
          <w:spacing w:val="-4"/>
          <w:rtl/>
          <w:lang w:val="en-US"/>
        </w:rPr>
        <w:t>47</w:t>
      </w:r>
      <w:r w:rsidRPr="00780B7C">
        <w:rPr>
          <w:spacing w:val="-4"/>
          <w:rtl/>
          <w:lang w:val="en-US"/>
        </w:rPr>
        <w:t>-</w:t>
      </w:r>
      <w:r w:rsidRPr="00780B7C">
        <w:rPr>
          <w:spacing w:val="-4"/>
          <w:rtl/>
          <w:lang w:val="en-US"/>
        </w:rPr>
        <w:tab/>
      </w:r>
      <w:r w:rsidRPr="006079F4">
        <w:rPr>
          <w:spacing w:val="-2"/>
          <w:rtl/>
          <w:lang w:val="en-US"/>
        </w:rPr>
        <w:t xml:space="preserve">وينبغي أن تلغي الدول الأطراف أو تبسّط الإجراءات الإدارية القائمة للمهاجرين ضحايا الاختفاء القسري الذين يعثر عليهم أحياء وأقارب الأشخاص المختفين قسراً كيما يتسنى لهم الاستفادة من خدمات دعم الضحايا المناسبة قبل الإجراءات وأثناءها وبعدها بوقت مناسب. وتحقيقاً لذلك، يتسم إنشاء صناديق طوارئ تهدف إلى تغطية النفقات الاقتصادية المباشرة للأقارب المرتبطة بعملية البحث بأهمية أساسية، وكذلك التدريب المستمر لموظفي الخدمة المدنية في المؤسسات العامة، بما في ذلك السلطات القنصلية، بشأن القضايا المرتبطة بالمقاربة النفسية - الاجتماعية، والمنظورات المتعددة الجوانب والمشتركة بين الثقافات والجنسانية، وسياق الهجرة القسرية، من أجل ضمان معاملة الأقارب بطريقة تحفظ كرامتهم وتجنبهم معاودة الوقوع ضحايا. وينبغي أن يشمل التدريب أيضاً تلبية الاحتياجات المحددة للمهاجرين الذين اختفوا نتيجة للاتجار </w:t>
      </w:r>
      <w:proofErr w:type="gramStart"/>
      <w:r w:rsidRPr="006079F4">
        <w:rPr>
          <w:spacing w:val="-2"/>
          <w:rtl/>
          <w:lang w:val="en-US"/>
        </w:rPr>
        <w:t>بالأشخاص</w:t>
      </w:r>
      <w:r w:rsidRPr="006079F4">
        <w:rPr>
          <w:spacing w:val="-2"/>
          <w:vertAlign w:val="superscript"/>
          <w:rtl/>
          <w:lang w:val="en-US"/>
        </w:rPr>
        <w:t>(</w:t>
      </w:r>
      <w:proofErr w:type="gramEnd"/>
      <w:r w:rsidRPr="006B5BAF">
        <w:rPr>
          <w:rStyle w:val="FootnoteReference"/>
          <w:spacing w:val="-2"/>
          <w:lang w:val="en-AU"/>
        </w:rPr>
        <w:footnoteReference w:id="110"/>
      </w:r>
      <w:r w:rsidRPr="006079F4">
        <w:rPr>
          <w:spacing w:val="-2"/>
          <w:vertAlign w:val="superscript"/>
          <w:rtl/>
          <w:lang w:val="en-US"/>
        </w:rPr>
        <w:t>)</w:t>
      </w:r>
      <w:r w:rsidRPr="006079F4">
        <w:rPr>
          <w:spacing w:val="-2"/>
          <w:rtl/>
          <w:lang w:val="en-US"/>
        </w:rPr>
        <w:t xml:space="preserve"> أو التبني غير القانوني</w:t>
      </w:r>
      <w:r w:rsidRPr="006079F4">
        <w:rPr>
          <w:spacing w:val="-2"/>
          <w:vertAlign w:val="superscript"/>
          <w:rtl/>
          <w:lang w:val="en-US"/>
        </w:rPr>
        <w:t>(</w:t>
      </w:r>
      <w:r w:rsidRPr="006B5BAF">
        <w:rPr>
          <w:rStyle w:val="FootnoteReference"/>
          <w:spacing w:val="-2"/>
          <w:lang w:val="en-AU"/>
        </w:rPr>
        <w:footnoteReference w:id="111"/>
      </w:r>
      <w:r w:rsidRPr="006079F4">
        <w:rPr>
          <w:spacing w:val="-2"/>
          <w:vertAlign w:val="superscript"/>
          <w:rtl/>
          <w:lang w:val="en-US"/>
        </w:rPr>
        <w:t>)</w:t>
      </w:r>
      <w:r w:rsidRPr="006079F4">
        <w:rPr>
          <w:spacing w:val="-2"/>
          <w:rtl/>
          <w:lang w:val="en-US"/>
        </w:rPr>
        <w:t xml:space="preserve">. وينبغي أيضاً أن يكون لدى هيئات الدولة نظام رعاية متخصص لتزويد الأقارب بالدعم الاجتماعي والنفسي والمشورة القانونية والرعاية الطبية بلغة </w:t>
      </w:r>
      <w:proofErr w:type="gramStart"/>
      <w:r w:rsidRPr="006079F4">
        <w:rPr>
          <w:spacing w:val="-2"/>
          <w:rtl/>
          <w:lang w:val="en-US"/>
        </w:rPr>
        <w:t>يفهمونها</w:t>
      </w:r>
      <w:r w:rsidRPr="006079F4">
        <w:rPr>
          <w:spacing w:val="-2"/>
          <w:vertAlign w:val="superscript"/>
          <w:rtl/>
          <w:lang w:val="en-US"/>
        </w:rPr>
        <w:t>(</w:t>
      </w:r>
      <w:proofErr w:type="gramEnd"/>
      <w:r w:rsidRPr="006B5BAF">
        <w:rPr>
          <w:rStyle w:val="FootnoteReference"/>
          <w:spacing w:val="-2"/>
          <w:lang w:val="en-AU"/>
        </w:rPr>
        <w:footnoteReference w:id="112"/>
      </w:r>
      <w:r w:rsidRPr="006079F4">
        <w:rPr>
          <w:spacing w:val="-2"/>
          <w:vertAlign w:val="superscript"/>
          <w:rtl/>
          <w:lang w:val="en-US"/>
        </w:rPr>
        <w:t>)</w:t>
      </w:r>
      <w:r w:rsidRPr="006079F4">
        <w:rPr>
          <w:spacing w:val="-2"/>
          <w:rtl/>
          <w:lang w:val="en-US"/>
        </w:rPr>
        <w:t xml:space="preserve">. </w:t>
      </w:r>
    </w:p>
    <w:p w14:paraId="18C877E6" w14:textId="40790F09" w:rsidR="005E0255" w:rsidRPr="00977A73" w:rsidRDefault="005E0255" w:rsidP="001659E7">
      <w:pPr>
        <w:pStyle w:val="SingleTxtGA"/>
        <w:rPr>
          <w:lang w:val="en-US"/>
        </w:rPr>
      </w:pPr>
      <w:r w:rsidRPr="006B5BAF">
        <w:rPr>
          <w:rtl/>
          <w:lang w:val="en-US"/>
        </w:rPr>
        <w:t>48</w:t>
      </w:r>
      <w:r w:rsidRPr="001659E7">
        <w:rPr>
          <w:rtl/>
          <w:lang w:val="en-US"/>
        </w:rPr>
        <w:t>-</w:t>
      </w:r>
      <w:r w:rsidRPr="001659E7">
        <w:rPr>
          <w:rtl/>
          <w:lang w:val="en-US"/>
        </w:rPr>
        <w:tab/>
      </w:r>
      <w:r w:rsidRPr="006079F4">
        <w:rPr>
          <w:spacing w:val="-4"/>
          <w:rtl/>
          <w:lang w:val="en-US"/>
        </w:rPr>
        <w:t>وينبغي أن تستخدم الدول الأطراف آليات التعاون فيما بين الدول لضمان استمرارية تمتع الضحايا</w:t>
      </w:r>
      <w:r w:rsidRPr="001659E7">
        <w:rPr>
          <w:rtl/>
          <w:lang w:val="en-US"/>
        </w:rPr>
        <w:t xml:space="preserve"> بحقوقهم أثناء هجرتهم من دولة طرف إلى أخرى، ولكن </w:t>
      </w:r>
      <w:r>
        <w:rPr>
          <w:rtl/>
          <w:lang w:val="en-US"/>
        </w:rPr>
        <w:t xml:space="preserve">أيضاً </w:t>
      </w:r>
      <w:r w:rsidRPr="001659E7">
        <w:rPr>
          <w:rtl/>
          <w:lang w:val="en-US"/>
        </w:rPr>
        <w:t xml:space="preserve">بعد وصولهم إلى بلد المقصد أو عودتهم إلى بلدهم </w:t>
      </w:r>
      <w:proofErr w:type="gramStart"/>
      <w:r w:rsidRPr="001659E7">
        <w:rPr>
          <w:rtl/>
          <w:lang w:val="en-US"/>
        </w:rPr>
        <w:t>الأصلي</w:t>
      </w:r>
      <w:r w:rsidRPr="00D80B7D">
        <w:rPr>
          <w:vertAlign w:val="superscript"/>
          <w:rtl/>
          <w:lang w:val="en-US"/>
        </w:rPr>
        <w:t>(</w:t>
      </w:r>
      <w:proofErr w:type="gramEnd"/>
      <w:r w:rsidRPr="006B5BAF">
        <w:rPr>
          <w:rStyle w:val="FootnoteReference"/>
          <w:lang w:val="en-AU"/>
        </w:rPr>
        <w:footnoteReference w:id="113"/>
      </w:r>
      <w:r w:rsidRPr="00D80B7D">
        <w:rPr>
          <w:vertAlign w:val="superscript"/>
          <w:rtl/>
          <w:lang w:val="en-US"/>
        </w:rPr>
        <w:t>)</w:t>
      </w:r>
      <w:r w:rsidRPr="00977A73">
        <w:rPr>
          <w:rtl/>
          <w:lang w:val="en-US"/>
        </w:rPr>
        <w:t xml:space="preserve">. </w:t>
      </w:r>
      <w:r w:rsidRPr="001659E7">
        <w:rPr>
          <w:rtl/>
          <w:lang w:val="en-US"/>
        </w:rPr>
        <w:t xml:space="preserve">وينبغي ألا تقتصر أدوات التعاون على البحث، بل ينبغي أن تشمل جميع العمليات التي يفضي إليها التحقيق، بما في ذلك تحديد أماكن الأشخاص المختفين وإنهاء إجراء سلب حريتهم واستخراج الرفات وتحديد هوية أصحابها وإعادتها، وضمان إعادتها إلى الوطن عند </w:t>
      </w:r>
      <w:proofErr w:type="gramStart"/>
      <w:r w:rsidRPr="001659E7">
        <w:rPr>
          <w:rtl/>
          <w:lang w:val="en-US"/>
        </w:rPr>
        <w:t>الضرورة</w:t>
      </w:r>
      <w:r w:rsidRPr="00D80B7D">
        <w:rPr>
          <w:vertAlign w:val="superscript"/>
          <w:rtl/>
          <w:lang w:val="en-US"/>
        </w:rPr>
        <w:t>(</w:t>
      </w:r>
      <w:proofErr w:type="gramEnd"/>
      <w:r w:rsidRPr="006B5BAF">
        <w:rPr>
          <w:rStyle w:val="FootnoteReference"/>
          <w:lang w:val="en-AU"/>
        </w:rPr>
        <w:footnoteReference w:id="114"/>
      </w:r>
      <w:r w:rsidRPr="00D80B7D">
        <w:rPr>
          <w:vertAlign w:val="superscript"/>
          <w:rtl/>
          <w:lang w:val="en-US"/>
        </w:rPr>
        <w:t>)</w:t>
      </w:r>
      <w:r w:rsidRPr="00977A73">
        <w:rPr>
          <w:rtl/>
          <w:lang w:val="en-US"/>
        </w:rPr>
        <w:t xml:space="preserve">. </w:t>
      </w:r>
      <w:r w:rsidRPr="001659E7">
        <w:rPr>
          <w:rtl/>
          <w:lang w:val="en-US"/>
        </w:rPr>
        <w:lastRenderedPageBreak/>
        <w:t xml:space="preserve">ويجب أن تتم عملية إعادة الجثث إلى الوطن في الوقت المناسب ودون أن يتحمل الأقارب أي تكلفة، </w:t>
      </w:r>
      <w:r w:rsidRPr="006079F4">
        <w:rPr>
          <w:spacing w:val="-2"/>
          <w:rtl/>
          <w:lang w:val="en-US"/>
        </w:rPr>
        <w:t xml:space="preserve">ويجب أن تتبع بروتوكولات صارمة فيما يتعلق بالإخطار من أجل تجنب إعادة </w:t>
      </w:r>
      <w:proofErr w:type="gramStart"/>
      <w:r w:rsidRPr="006079F4">
        <w:rPr>
          <w:spacing w:val="-2"/>
          <w:rtl/>
          <w:lang w:val="en-US"/>
        </w:rPr>
        <w:t>الإيذاء</w:t>
      </w:r>
      <w:r w:rsidRPr="006079F4">
        <w:rPr>
          <w:spacing w:val="-2"/>
          <w:vertAlign w:val="superscript"/>
          <w:rtl/>
          <w:lang w:val="en-US"/>
        </w:rPr>
        <w:t>(</w:t>
      </w:r>
      <w:proofErr w:type="gramEnd"/>
      <w:r w:rsidRPr="006B5BAF">
        <w:rPr>
          <w:rStyle w:val="FootnoteReference"/>
          <w:spacing w:val="-2"/>
          <w:lang w:val="en-AU"/>
        </w:rPr>
        <w:footnoteReference w:id="115"/>
      </w:r>
      <w:r w:rsidRPr="006079F4">
        <w:rPr>
          <w:spacing w:val="-2"/>
          <w:vertAlign w:val="superscript"/>
          <w:rtl/>
          <w:lang w:val="en-US"/>
        </w:rPr>
        <w:t>)</w:t>
      </w:r>
      <w:r w:rsidRPr="006079F4">
        <w:rPr>
          <w:spacing w:val="-2"/>
          <w:rtl/>
          <w:lang w:val="en-US"/>
        </w:rPr>
        <w:t>. وينبغي أن تؤدي</w:t>
      </w:r>
      <w:r w:rsidRPr="001659E7">
        <w:rPr>
          <w:rtl/>
          <w:lang w:val="en-US"/>
        </w:rPr>
        <w:t xml:space="preserve"> مكاتب القنصلية أو السفارات دور</w:t>
      </w:r>
      <w:r>
        <w:rPr>
          <w:rtl/>
          <w:lang w:val="en-US"/>
        </w:rPr>
        <w:t xml:space="preserve">اً </w:t>
      </w:r>
      <w:r w:rsidRPr="001659E7">
        <w:rPr>
          <w:rtl/>
          <w:lang w:val="en-US"/>
        </w:rPr>
        <w:t>حاسم</w:t>
      </w:r>
      <w:r>
        <w:rPr>
          <w:rtl/>
          <w:lang w:val="en-US"/>
        </w:rPr>
        <w:t xml:space="preserve">اً </w:t>
      </w:r>
      <w:r w:rsidRPr="001659E7">
        <w:rPr>
          <w:rtl/>
          <w:lang w:val="en-US"/>
        </w:rPr>
        <w:t xml:space="preserve">في تسهيل التواصل مع الأقارب المقيمين في الخارج، كلما طُلب منها ذلك. وينبغي إنشاء قنوات اتصال فعالة بين السلطات القنصلية في البلد الذي اختفى فيه الشخص وجميع السلطات الوطنية في ذلك البلد التي قد يكون في إمكانها تقديم معلومات عن الشخص المختفي، بما في ذلك سلطات النيابة العامة، وأماكن سلب الحرية، والملاجئ، والبعثات القنصلية الأخرى، والمستشفيات، ومجتمعات المهاجرين في </w:t>
      </w:r>
      <w:proofErr w:type="gramStart"/>
      <w:r w:rsidRPr="001659E7">
        <w:rPr>
          <w:rtl/>
          <w:lang w:val="en-US"/>
        </w:rPr>
        <w:t>الخارج</w:t>
      </w:r>
      <w:r w:rsidRPr="00D80B7D">
        <w:rPr>
          <w:vertAlign w:val="superscript"/>
          <w:rtl/>
          <w:lang w:val="en-US"/>
        </w:rPr>
        <w:t>(</w:t>
      </w:r>
      <w:proofErr w:type="gramEnd"/>
      <w:r w:rsidRPr="006B5BAF">
        <w:rPr>
          <w:rStyle w:val="FootnoteReference"/>
          <w:lang w:val="en-AU"/>
        </w:rPr>
        <w:footnoteReference w:id="116"/>
      </w:r>
      <w:r w:rsidRPr="00D80B7D">
        <w:rPr>
          <w:vertAlign w:val="superscript"/>
          <w:rtl/>
          <w:lang w:val="en-US"/>
        </w:rPr>
        <w:t>)</w:t>
      </w:r>
      <w:r w:rsidRPr="00977A73">
        <w:rPr>
          <w:rtl/>
          <w:lang w:val="en-US"/>
        </w:rPr>
        <w:t>.</w:t>
      </w:r>
    </w:p>
    <w:p w14:paraId="00D3F00C" w14:textId="5DAC6820" w:rsidR="005E0255" w:rsidRPr="001659E7" w:rsidRDefault="005E0255" w:rsidP="001659E7">
      <w:pPr>
        <w:pStyle w:val="SingleTxtGA"/>
        <w:rPr>
          <w:lang w:val="en-US"/>
        </w:rPr>
      </w:pPr>
      <w:r w:rsidRPr="006B5BAF">
        <w:rPr>
          <w:rtl/>
          <w:lang w:val="en-US"/>
        </w:rPr>
        <w:t>49</w:t>
      </w:r>
      <w:r w:rsidRPr="001659E7">
        <w:rPr>
          <w:rtl/>
          <w:lang w:val="en-US"/>
        </w:rPr>
        <w:t>-</w:t>
      </w:r>
      <w:r w:rsidRPr="001659E7">
        <w:rPr>
          <w:rtl/>
          <w:lang w:val="en-US"/>
        </w:rPr>
        <w:tab/>
        <w:t xml:space="preserve">وبالنظر إلى حالة الضعف الشديد لأقارب الأشخاص المختفين، يجب أن تضع الدول الأطراف </w:t>
      </w:r>
      <w:r w:rsidRPr="006079F4">
        <w:rPr>
          <w:spacing w:val="-4"/>
          <w:rtl/>
          <w:lang w:val="en-US"/>
        </w:rPr>
        <w:t>حداً لأي ممارسات ضارة تقيّد أو تعوق حقهم في تكوين منظمات ورابطات تركز على محاولة تحديد الملابسات</w:t>
      </w:r>
      <w:r w:rsidRPr="001659E7">
        <w:rPr>
          <w:rtl/>
          <w:lang w:val="en-US"/>
        </w:rPr>
        <w:t xml:space="preserve"> المحيطة بحالات الاختفاء القسري ومصير الأشخاص المختفين في سياق الهجرة، ومساعدة المهاجرين ضحايا الاختفاء القسري. </w:t>
      </w:r>
    </w:p>
    <w:p w14:paraId="5DACAC16" w14:textId="0B41B3D6" w:rsidR="005E0255" w:rsidRPr="006B5BAF" w:rsidRDefault="005E0255" w:rsidP="001659E7">
      <w:pPr>
        <w:pStyle w:val="HChGA"/>
      </w:pPr>
      <w:r w:rsidRPr="006B5BAF">
        <w:rPr>
          <w:rtl/>
        </w:rPr>
        <w:tab/>
        <w:t>سادساً-</w:t>
      </w:r>
      <w:r w:rsidRPr="006B5BAF">
        <w:rPr>
          <w:rtl/>
        </w:rPr>
        <w:tab/>
        <w:t>التدريب والتعاون</w:t>
      </w:r>
    </w:p>
    <w:p w14:paraId="4452BCE2" w14:textId="4D6ED3BD" w:rsidR="005E0255" w:rsidRPr="001659E7" w:rsidRDefault="005E0255" w:rsidP="001659E7">
      <w:pPr>
        <w:pStyle w:val="SingleTxtGA"/>
        <w:rPr>
          <w:lang w:val="en-US"/>
        </w:rPr>
      </w:pPr>
      <w:r w:rsidRPr="006B5BAF">
        <w:rPr>
          <w:rtl/>
          <w:lang w:val="en-US"/>
        </w:rPr>
        <w:t>50</w:t>
      </w:r>
      <w:r w:rsidRPr="001659E7">
        <w:rPr>
          <w:rtl/>
          <w:lang w:val="en-US"/>
        </w:rPr>
        <w:t>-</w:t>
      </w:r>
      <w:r w:rsidRPr="001659E7">
        <w:rPr>
          <w:rtl/>
          <w:lang w:val="en-US"/>
        </w:rPr>
        <w:tab/>
        <w:t>ينبغي أن تتحقق الدول الأطراف من أن البرامج التي تنفذها امتثال</w:t>
      </w:r>
      <w:r>
        <w:rPr>
          <w:rtl/>
          <w:lang w:val="en-US"/>
        </w:rPr>
        <w:t xml:space="preserve">اً </w:t>
      </w:r>
      <w:r w:rsidRPr="001659E7">
        <w:rPr>
          <w:rtl/>
          <w:lang w:val="en-US"/>
        </w:rPr>
        <w:t xml:space="preserve">للمادة </w:t>
      </w:r>
      <w:r w:rsidRPr="006B5BAF">
        <w:rPr>
          <w:rtl/>
          <w:lang w:val="en-US"/>
        </w:rPr>
        <w:t>23</w:t>
      </w:r>
      <w:r w:rsidRPr="001659E7">
        <w:rPr>
          <w:rtl/>
          <w:lang w:val="en-US"/>
        </w:rPr>
        <w:t xml:space="preserve"> من الاتفاقية تتضمن عناصر محددة تتعلق بمنع حالات الاختفاء القسري في سياق الهجرة والتحقيق فيها ومقاضاة مرتكبيها والمعاقبة عليها. وفي هذا السياق، ينبغي إيلاء اهتمام خاص لمفهوميْ الاختفاء القسري وعدم </w:t>
      </w:r>
      <w:proofErr w:type="gramStart"/>
      <w:r w:rsidRPr="001659E7">
        <w:rPr>
          <w:rtl/>
          <w:lang w:val="en-US"/>
        </w:rPr>
        <w:t>التمييز</w:t>
      </w:r>
      <w:r w:rsidRPr="00D80B7D">
        <w:rPr>
          <w:vertAlign w:val="superscript"/>
          <w:rtl/>
          <w:lang w:val="en-US"/>
        </w:rPr>
        <w:t>(</w:t>
      </w:r>
      <w:proofErr w:type="gramEnd"/>
      <w:r w:rsidRPr="006B5BAF">
        <w:rPr>
          <w:rStyle w:val="FootnoteReference"/>
          <w:lang w:val="en-AU"/>
        </w:rPr>
        <w:footnoteReference w:id="117"/>
      </w:r>
      <w:r w:rsidRPr="00D80B7D">
        <w:rPr>
          <w:vertAlign w:val="superscript"/>
          <w:rtl/>
          <w:lang w:val="en-US"/>
        </w:rPr>
        <w:t>)</w:t>
      </w:r>
      <w:r w:rsidRPr="00977A73">
        <w:rPr>
          <w:rtl/>
          <w:lang w:val="en-US"/>
        </w:rPr>
        <w:t xml:space="preserve">، </w:t>
      </w:r>
      <w:r w:rsidRPr="006079F4">
        <w:rPr>
          <w:spacing w:val="-4"/>
          <w:rtl/>
          <w:lang w:val="en-US"/>
        </w:rPr>
        <w:t>ولحالة الضعف الشديد التي يعيشها المهاجرون وأقاربهم واحتياجاتهم، ولآليات التعاون الدولي.</w:t>
      </w:r>
      <w:r w:rsidRPr="001659E7">
        <w:rPr>
          <w:rtl/>
          <w:lang w:val="en-US"/>
        </w:rPr>
        <w:t xml:space="preserve"> وينبغي توفير هذا التدريب لموظفي إنفاذ القانون والعاملين في سلك الأمن المدني أو العسكري، والموظفين الطبيين وموظفي الطب الشرعي، والموظفين العموميين، بمن فيهم موظفو الحدود وغيرهم من الموظفين الذين يشاركون في تدابير مراقبة الحدود واعتقال المهاجرين أو سلب حريتهم وسواهم من الأشخاص الذين يمكن أن يتدخلوا في حراسة أو معاملة المهاجرين المسلوبة حريتهم.</w:t>
      </w:r>
    </w:p>
    <w:p w14:paraId="3524F6D4" w14:textId="1C61F1CC" w:rsidR="005E0255" w:rsidRPr="001659E7" w:rsidRDefault="005E0255" w:rsidP="001659E7">
      <w:pPr>
        <w:pStyle w:val="SingleTxtGA"/>
        <w:rPr>
          <w:lang w:val="en-US"/>
        </w:rPr>
      </w:pPr>
      <w:r w:rsidRPr="006B5BAF">
        <w:rPr>
          <w:rtl/>
          <w:lang w:val="en-US"/>
        </w:rPr>
        <w:t>51</w:t>
      </w:r>
      <w:r w:rsidRPr="001659E7">
        <w:rPr>
          <w:rtl/>
          <w:lang w:val="en-US"/>
        </w:rPr>
        <w:t>-</w:t>
      </w:r>
      <w:r w:rsidRPr="001659E7">
        <w:rPr>
          <w:rtl/>
          <w:lang w:val="en-US"/>
        </w:rPr>
        <w:tab/>
        <w:t>ونظراً للطابع عبر الوطني لعمليات الهجرة في كثير من الأحيان، يتسم التعاون والمساعدة القضائية المتبادلة فيما بين الدول الأطراف بأهمية حاسمة إذا أريد لها أن تمتثل امتثال</w:t>
      </w:r>
      <w:r>
        <w:rPr>
          <w:rtl/>
          <w:lang w:val="en-US"/>
        </w:rPr>
        <w:t xml:space="preserve">اً </w:t>
      </w:r>
      <w:r w:rsidRPr="001659E7">
        <w:rPr>
          <w:rtl/>
          <w:lang w:val="en-US"/>
        </w:rPr>
        <w:t>تام</w:t>
      </w:r>
      <w:r>
        <w:rPr>
          <w:rtl/>
          <w:lang w:val="en-US"/>
        </w:rPr>
        <w:t xml:space="preserve">اً </w:t>
      </w:r>
      <w:r w:rsidRPr="001659E7">
        <w:rPr>
          <w:rtl/>
          <w:lang w:val="en-US"/>
        </w:rPr>
        <w:t xml:space="preserve">لالتزاماتها بموجب الاتفاقية بمنع حالات الاختفاء والتحقيق فيها، والبحث عن الأشخاص المختفين، وضمان حقوق الضحايا. وتيسيراً للتعاون والمساعدة، ينبغي أن تعتمد الدول الأطراف وتنفذ اتفاقات تعاون ثنائية ومتعددة الأطراف، وأن تعزز القدرات المؤسسية القائمة أو تنشئ سلطات مختصة وأن تنهض بقدراتها حسب الاقتضاء لضمان تنسيق جهود البحث والتحقيق على نحو فعال، بما في ذلك التبادل السريع والآمن </w:t>
      </w:r>
      <w:r w:rsidRPr="001659E7">
        <w:rPr>
          <w:rtl/>
          <w:lang w:val="en-US"/>
        </w:rPr>
        <w:lastRenderedPageBreak/>
        <w:t xml:space="preserve">للمعلومات والوثائق التي قد تساعد على تحديد أماكن الأشخاص المختفين أثناء </w:t>
      </w:r>
      <w:proofErr w:type="gramStart"/>
      <w:r w:rsidRPr="001659E7">
        <w:rPr>
          <w:rtl/>
          <w:lang w:val="en-US"/>
        </w:rPr>
        <w:t>الهجرة</w:t>
      </w:r>
      <w:r w:rsidRPr="00D80B7D">
        <w:rPr>
          <w:vertAlign w:val="superscript"/>
          <w:rtl/>
          <w:lang w:val="en-US"/>
        </w:rPr>
        <w:t>(</w:t>
      </w:r>
      <w:proofErr w:type="gramEnd"/>
      <w:r w:rsidRPr="006B5BAF">
        <w:rPr>
          <w:rStyle w:val="FootnoteReference"/>
          <w:lang w:val="en-AU"/>
        </w:rPr>
        <w:footnoteReference w:id="118"/>
      </w:r>
      <w:r w:rsidRPr="00D80B7D">
        <w:rPr>
          <w:vertAlign w:val="superscript"/>
          <w:rtl/>
          <w:lang w:val="en-US"/>
        </w:rPr>
        <w:t>)</w:t>
      </w:r>
      <w:r w:rsidRPr="00977A73">
        <w:rPr>
          <w:rtl/>
          <w:lang w:val="en-US"/>
        </w:rPr>
        <w:t xml:space="preserve">. </w:t>
      </w:r>
      <w:r w:rsidRPr="001659E7">
        <w:rPr>
          <w:rtl/>
          <w:lang w:val="en-US"/>
        </w:rPr>
        <w:t xml:space="preserve">وينبغي أن تخضع هذه الاتفاقات لاستعراض منتظم وأن تُستكمل لكي تراعي متطلبات الظروف الراهنة. </w:t>
      </w:r>
    </w:p>
    <w:p w14:paraId="661DFCDA" w14:textId="50852EC0" w:rsidR="005E0255" w:rsidRPr="001659E7" w:rsidRDefault="005E0255" w:rsidP="006079F4">
      <w:pPr>
        <w:pStyle w:val="SingleTxtGA"/>
        <w:spacing w:line="346" w:lineRule="exact"/>
        <w:rPr>
          <w:lang w:val="en-US"/>
        </w:rPr>
      </w:pPr>
      <w:r w:rsidRPr="006B5BAF">
        <w:rPr>
          <w:rtl/>
          <w:lang w:val="en-US"/>
        </w:rPr>
        <w:t>52</w:t>
      </w:r>
      <w:r w:rsidRPr="001659E7">
        <w:rPr>
          <w:rtl/>
          <w:lang w:val="en-US"/>
        </w:rPr>
        <w:t>-</w:t>
      </w:r>
      <w:r w:rsidRPr="001659E7">
        <w:rPr>
          <w:rtl/>
          <w:lang w:val="en-US"/>
        </w:rPr>
        <w:tab/>
        <w:t xml:space="preserve">وتدعو اللجنة دول المنشأ والعبور والمقصد والعودة إلى إنشاء آليات عبر وطنية وإقليمية أو دون إقليمية للبحث عن المهاجرين المختفين بغية زيادة تيسير تبادل المعلومات وتمكين الضحايا وأقاربهم من اللجوء إلى العدالة. وتيسيراً لتبادل المعلومات عبر الحدود، توصي اللجنة بإنشاء آليات إخطار وتعيين جهات اتصال وطنية مسؤولة عن تبادل المعلومات والتواصل مع النظراء </w:t>
      </w:r>
      <w:proofErr w:type="gramStart"/>
      <w:r w:rsidRPr="001659E7">
        <w:rPr>
          <w:rtl/>
          <w:lang w:val="en-US"/>
        </w:rPr>
        <w:t>والأقارب</w:t>
      </w:r>
      <w:r w:rsidRPr="00D80B7D">
        <w:rPr>
          <w:vertAlign w:val="superscript"/>
          <w:rtl/>
          <w:lang w:val="en-US"/>
        </w:rPr>
        <w:t>(</w:t>
      </w:r>
      <w:proofErr w:type="gramEnd"/>
      <w:r w:rsidRPr="006B5BAF">
        <w:rPr>
          <w:rStyle w:val="FootnoteReference"/>
          <w:lang w:val="en-AU"/>
        </w:rPr>
        <w:footnoteReference w:id="119"/>
      </w:r>
      <w:r w:rsidRPr="00D80B7D">
        <w:rPr>
          <w:vertAlign w:val="superscript"/>
          <w:rtl/>
          <w:lang w:val="en-US"/>
        </w:rPr>
        <w:t>)</w:t>
      </w:r>
      <w:r w:rsidRPr="00977A73">
        <w:rPr>
          <w:rtl/>
          <w:lang w:val="en-US"/>
        </w:rPr>
        <w:t xml:space="preserve">. </w:t>
      </w:r>
      <w:r w:rsidRPr="001659E7">
        <w:rPr>
          <w:rtl/>
          <w:lang w:val="en-US"/>
        </w:rPr>
        <w:t xml:space="preserve">وعند إنشاء آليات تبادل المعلومات هذه، ينبغي أن تأخذ الدول الأطراف في الاعتبار الآليات والبروتوكولات والمبادئ التوجيهية </w:t>
      </w:r>
      <w:proofErr w:type="gramStart"/>
      <w:r w:rsidRPr="001659E7">
        <w:rPr>
          <w:rtl/>
          <w:lang w:val="en-US"/>
        </w:rPr>
        <w:t>القائمة</w:t>
      </w:r>
      <w:r w:rsidRPr="00D80B7D">
        <w:rPr>
          <w:vertAlign w:val="superscript"/>
          <w:rtl/>
          <w:lang w:val="en-US"/>
        </w:rPr>
        <w:t>(</w:t>
      </w:r>
      <w:proofErr w:type="gramEnd"/>
      <w:r w:rsidRPr="006B5BAF">
        <w:rPr>
          <w:rStyle w:val="FootnoteReference"/>
          <w:lang w:val="en-AU"/>
        </w:rPr>
        <w:footnoteReference w:id="120"/>
      </w:r>
      <w:r w:rsidRPr="00D80B7D">
        <w:rPr>
          <w:vertAlign w:val="superscript"/>
          <w:rtl/>
          <w:lang w:val="en-US"/>
        </w:rPr>
        <w:t>)</w:t>
      </w:r>
      <w:r w:rsidRPr="00977A73">
        <w:rPr>
          <w:rtl/>
          <w:lang w:val="en-US"/>
        </w:rPr>
        <w:t>.</w:t>
      </w:r>
    </w:p>
    <w:p w14:paraId="277A2F3B" w14:textId="3112AC48" w:rsidR="005E0255" w:rsidRPr="001659E7" w:rsidRDefault="005E0255" w:rsidP="006079F4">
      <w:pPr>
        <w:pStyle w:val="SingleTxtGA"/>
        <w:spacing w:line="346" w:lineRule="exact"/>
        <w:rPr>
          <w:lang w:val="en-US"/>
        </w:rPr>
      </w:pPr>
      <w:r w:rsidRPr="006B5BAF">
        <w:rPr>
          <w:rtl/>
          <w:lang w:val="en-US"/>
        </w:rPr>
        <w:t>53</w:t>
      </w:r>
      <w:r w:rsidRPr="001659E7">
        <w:rPr>
          <w:rtl/>
          <w:lang w:val="en-US"/>
        </w:rPr>
        <w:t>-</w:t>
      </w:r>
      <w:r w:rsidRPr="001659E7">
        <w:rPr>
          <w:rtl/>
          <w:lang w:val="en-US"/>
        </w:rPr>
        <w:tab/>
        <w:t>ونظر</w:t>
      </w:r>
      <w:r>
        <w:rPr>
          <w:rtl/>
          <w:lang w:val="en-US"/>
        </w:rPr>
        <w:t xml:space="preserve">اً </w:t>
      </w:r>
      <w:r w:rsidRPr="001659E7">
        <w:rPr>
          <w:rtl/>
          <w:lang w:val="en-US"/>
        </w:rPr>
        <w:t xml:space="preserve">لما تتسم به الهجرة من طابع عبر وطني في كثير من الأحيان، وتركيز المواد </w:t>
      </w:r>
      <w:r w:rsidRPr="006B5BAF">
        <w:rPr>
          <w:rtl/>
          <w:lang w:val="en-US"/>
        </w:rPr>
        <w:t>15</w:t>
      </w:r>
      <w:r w:rsidRPr="001659E7">
        <w:rPr>
          <w:rtl/>
          <w:lang w:val="en-US"/>
        </w:rPr>
        <w:t xml:space="preserve"> و</w:t>
      </w:r>
      <w:r w:rsidRPr="006B5BAF">
        <w:rPr>
          <w:rtl/>
          <w:lang w:val="en-US"/>
        </w:rPr>
        <w:t>24</w:t>
      </w:r>
      <w:r w:rsidRPr="001659E7">
        <w:rPr>
          <w:rtl/>
          <w:lang w:val="en-US"/>
        </w:rPr>
        <w:t xml:space="preserve"> و</w:t>
      </w:r>
      <w:r w:rsidRPr="006B5BAF">
        <w:rPr>
          <w:rtl/>
          <w:lang w:val="en-US"/>
        </w:rPr>
        <w:t>25</w:t>
      </w:r>
      <w:r w:rsidRPr="001659E7">
        <w:rPr>
          <w:rtl/>
          <w:lang w:val="en-US"/>
        </w:rPr>
        <w:t>(</w:t>
      </w:r>
      <w:r w:rsidRPr="006B5BAF">
        <w:rPr>
          <w:rtl/>
          <w:lang w:val="en-US"/>
        </w:rPr>
        <w:t>2</w:t>
      </w:r>
      <w:r w:rsidRPr="00977A73">
        <w:rPr>
          <w:rtl/>
          <w:lang w:val="en-US"/>
        </w:rPr>
        <w:t xml:space="preserve">) </w:t>
      </w:r>
      <w:r w:rsidRPr="001659E7">
        <w:rPr>
          <w:rtl/>
          <w:lang w:val="en-US"/>
        </w:rPr>
        <w:t>و(</w:t>
      </w:r>
      <w:r w:rsidRPr="006B5BAF">
        <w:rPr>
          <w:rtl/>
          <w:lang w:val="en-US"/>
        </w:rPr>
        <w:t>3</w:t>
      </w:r>
      <w:r w:rsidRPr="00977A73">
        <w:rPr>
          <w:rtl/>
          <w:lang w:val="en-US"/>
        </w:rPr>
        <w:t xml:space="preserve">) </w:t>
      </w:r>
      <w:r w:rsidRPr="001659E7">
        <w:rPr>
          <w:rtl/>
          <w:lang w:val="en-US"/>
        </w:rPr>
        <w:t xml:space="preserve">من الاتفاقية على مساعدة الضحايا، ينبغي أن تتخذ الدول الأطراف جميع التدابير اللازمة لضمان المساعدة المتبادلة بين جميع الدول، ولا سيما في سياق البحث عن المعلومات الواردة في سجلات </w:t>
      </w:r>
      <w:r w:rsidRPr="005A18D0">
        <w:rPr>
          <w:spacing w:val="-2"/>
          <w:rtl/>
          <w:lang w:val="en-US"/>
        </w:rPr>
        <w:t xml:space="preserve">الدول الأخرى وقواعد بياناتها وجمعها، على الرغم من وضع كل دولة من حيث التصديق على </w:t>
      </w:r>
      <w:proofErr w:type="gramStart"/>
      <w:r w:rsidRPr="005A18D0">
        <w:rPr>
          <w:spacing w:val="-2"/>
          <w:rtl/>
          <w:lang w:val="en-US"/>
        </w:rPr>
        <w:t>الاتفاقية</w:t>
      </w:r>
      <w:r w:rsidRPr="00D80B7D">
        <w:rPr>
          <w:vertAlign w:val="superscript"/>
          <w:rtl/>
          <w:lang w:val="en-US"/>
        </w:rPr>
        <w:t>(</w:t>
      </w:r>
      <w:proofErr w:type="gramEnd"/>
      <w:r w:rsidRPr="006B5BAF">
        <w:rPr>
          <w:rStyle w:val="FootnoteReference"/>
          <w:lang w:val="en-AU"/>
        </w:rPr>
        <w:footnoteReference w:id="121"/>
      </w:r>
      <w:r w:rsidRPr="00D80B7D">
        <w:rPr>
          <w:vertAlign w:val="superscript"/>
          <w:rtl/>
          <w:lang w:val="en-US"/>
        </w:rPr>
        <w:t>)</w:t>
      </w:r>
      <w:r w:rsidRPr="00977A73">
        <w:rPr>
          <w:rtl/>
          <w:lang w:val="en-US"/>
        </w:rPr>
        <w:t xml:space="preserve">. </w:t>
      </w:r>
      <w:r w:rsidRPr="005A18D0">
        <w:rPr>
          <w:spacing w:val="-2"/>
          <w:rtl/>
          <w:lang w:val="en-US"/>
        </w:rPr>
        <w:t>وبالإضافة إلى ذلك، ينبغي أن تلتمس الدول الأطراف وتقدم المساعدة في جمع البيانات ذات الصلة باختفاء</w:t>
      </w:r>
      <w:r w:rsidRPr="001659E7">
        <w:rPr>
          <w:rtl/>
          <w:lang w:val="en-US"/>
        </w:rPr>
        <w:t xml:space="preserve"> </w:t>
      </w:r>
      <w:r w:rsidRPr="005A18D0">
        <w:rPr>
          <w:spacing w:val="-2"/>
          <w:rtl/>
          <w:lang w:val="en-US"/>
        </w:rPr>
        <w:t>المهاجرين وبالجهود التي تبذلها الأمم المتحدة والآليات الإقليمية والمنظمات الدولية ذات الخبرة الخاصة في هذا</w:t>
      </w:r>
      <w:r w:rsidRPr="001659E7">
        <w:rPr>
          <w:rtl/>
          <w:lang w:val="en-US"/>
        </w:rPr>
        <w:t xml:space="preserve"> المجال لحماية حقوق الإنسان للمهاجرين. </w:t>
      </w:r>
    </w:p>
    <w:p w14:paraId="1572C3D3" w14:textId="6940CE28" w:rsidR="001659E7" w:rsidRPr="006663FB" w:rsidRDefault="005E0255" w:rsidP="006079F4">
      <w:pPr>
        <w:pStyle w:val="SingleTxtGA"/>
        <w:spacing w:line="346" w:lineRule="exact"/>
        <w:rPr>
          <w:spacing w:val="2"/>
          <w:lang w:val="en-US"/>
        </w:rPr>
      </w:pPr>
      <w:r w:rsidRPr="006B5BAF">
        <w:rPr>
          <w:rtl/>
          <w:lang w:val="en-US"/>
        </w:rPr>
        <w:t>54</w:t>
      </w:r>
      <w:r w:rsidRPr="001659E7">
        <w:rPr>
          <w:rtl/>
          <w:lang w:val="en-US"/>
        </w:rPr>
        <w:t>-</w:t>
      </w:r>
      <w:r w:rsidRPr="001659E7">
        <w:rPr>
          <w:rtl/>
          <w:lang w:val="en-US"/>
        </w:rPr>
        <w:tab/>
        <w:t xml:space="preserve">وفي بعض المناطق، أنشئت آليات متخصصة لتيسير الاتصال عبر الوطني بين الضحايا </w:t>
      </w:r>
      <w:r w:rsidRPr="006663FB">
        <w:rPr>
          <w:spacing w:val="2"/>
          <w:rtl/>
          <w:lang w:val="en-US"/>
        </w:rPr>
        <w:t>أو</w:t>
      </w:r>
      <w:r w:rsidR="00151926" w:rsidRPr="006663FB">
        <w:rPr>
          <w:rFonts w:hint="cs"/>
          <w:spacing w:val="2"/>
          <w:rtl/>
          <w:lang w:val="en-US"/>
        </w:rPr>
        <w:t> </w:t>
      </w:r>
      <w:r w:rsidRPr="006663FB">
        <w:rPr>
          <w:spacing w:val="2"/>
          <w:rtl/>
          <w:lang w:val="en-US"/>
        </w:rPr>
        <w:t xml:space="preserve">الأقارب وسلطات الدولة التي يُعتقد أن الاختفاء قد حدث </w:t>
      </w:r>
      <w:proofErr w:type="gramStart"/>
      <w:r w:rsidRPr="006663FB">
        <w:rPr>
          <w:spacing w:val="2"/>
          <w:rtl/>
          <w:lang w:val="en-US"/>
        </w:rPr>
        <w:t>فيها</w:t>
      </w:r>
      <w:r w:rsidRPr="006663FB">
        <w:rPr>
          <w:spacing w:val="2"/>
          <w:vertAlign w:val="superscript"/>
          <w:rtl/>
          <w:lang w:val="en-US"/>
        </w:rPr>
        <w:t>(</w:t>
      </w:r>
      <w:proofErr w:type="gramEnd"/>
      <w:r w:rsidRPr="006B5BAF">
        <w:rPr>
          <w:rStyle w:val="FootnoteReference"/>
          <w:spacing w:val="2"/>
          <w:lang w:val="en-AU"/>
        </w:rPr>
        <w:footnoteReference w:id="122"/>
      </w:r>
      <w:r w:rsidRPr="006663FB">
        <w:rPr>
          <w:spacing w:val="2"/>
          <w:vertAlign w:val="superscript"/>
          <w:rtl/>
          <w:lang w:val="en-US"/>
        </w:rPr>
        <w:t>)</w:t>
      </w:r>
      <w:r w:rsidR="001659E7" w:rsidRPr="006663FB">
        <w:rPr>
          <w:spacing w:val="2"/>
          <w:rtl/>
          <w:lang w:val="en-US"/>
        </w:rPr>
        <w:t>. وتشجع اللجنة الدول الأطراف على تبادل الممارسات الجيدة والدروس المستفادة، فيما بينها ومع الدول غير الموقعة، فيما يتعلق بمنع اختفاء المهاجرين والبحث عن المختفين والتحقيق في حالات الاختفاء ومساءلة الجناة.</w:t>
      </w:r>
    </w:p>
    <w:p w14:paraId="6ECF43E0" w14:textId="048E7197" w:rsidR="001659E7" w:rsidRPr="001659E7" w:rsidRDefault="001659E7" w:rsidP="006079F4">
      <w:pPr>
        <w:pStyle w:val="SingleTxtGA"/>
        <w:spacing w:line="346" w:lineRule="exact"/>
        <w:rPr>
          <w:lang w:val="en-US"/>
        </w:rPr>
      </w:pPr>
      <w:r w:rsidRPr="006B5BAF">
        <w:rPr>
          <w:rtl/>
          <w:lang w:val="en-US"/>
        </w:rPr>
        <w:t>55</w:t>
      </w:r>
      <w:r w:rsidRPr="001659E7">
        <w:rPr>
          <w:rtl/>
          <w:lang w:val="en-US"/>
        </w:rPr>
        <w:t>-</w:t>
      </w:r>
      <w:r w:rsidRPr="001659E7">
        <w:rPr>
          <w:rtl/>
          <w:lang w:val="en-US"/>
        </w:rPr>
        <w:tab/>
      </w:r>
      <w:r w:rsidRPr="00151926">
        <w:rPr>
          <w:spacing w:val="-4"/>
          <w:rtl/>
          <w:lang w:val="en-US"/>
        </w:rPr>
        <w:t>وينبغي ترجمة هذا التعليق العام إلى جميع اللغات الوطنية ونشره على نطاق واسع على أصحاب</w:t>
      </w:r>
      <w:r w:rsidRPr="001659E7">
        <w:rPr>
          <w:rtl/>
          <w:lang w:val="en-US"/>
        </w:rPr>
        <w:t xml:space="preserve"> المصلحة الدوليين والإقليميين والوطنيين، وبخاصة بين جميع فروع الحكومة، وقوات الأمن، وسلطات وموظفي الهجرة والحدود، والموظفين الطبيين، والمهنيين العاملين في مجال الرعاية الاجتماعية، وعلى</w:t>
      </w:r>
      <w:r w:rsidR="006079F4">
        <w:rPr>
          <w:rFonts w:hint="cs"/>
          <w:rtl/>
          <w:lang w:val="en-US"/>
        </w:rPr>
        <w:t> </w:t>
      </w:r>
      <w:r w:rsidRPr="001659E7">
        <w:rPr>
          <w:rtl/>
          <w:lang w:val="en-US"/>
        </w:rPr>
        <w:t xml:space="preserve">المنظمات التي تمثل أقارب المهاجرين المختفين، وسائر الجهات الفاعلة في المجتمع المدني، والأوساط الأكاديمية، ووسائط الإعلام. </w:t>
      </w:r>
    </w:p>
    <w:p w14:paraId="206BDA7E" w14:textId="03509DA9" w:rsidR="001659E7" w:rsidRPr="006B5BAF" w:rsidRDefault="001659E7" w:rsidP="001659E7">
      <w:pPr>
        <w:pStyle w:val="HChGA"/>
      </w:pPr>
      <w:r w:rsidRPr="006B5BAF">
        <w:rPr>
          <w:rtl/>
        </w:rPr>
        <w:lastRenderedPageBreak/>
        <w:tab/>
        <w:t>سابعاً-</w:t>
      </w:r>
      <w:r w:rsidRPr="006B5BAF">
        <w:rPr>
          <w:rtl/>
        </w:rPr>
        <w:tab/>
        <w:t>التصديق</w:t>
      </w:r>
    </w:p>
    <w:p w14:paraId="4FBD9057" w14:textId="7E292C82" w:rsidR="00D900DC" w:rsidRPr="00977A73" w:rsidRDefault="001659E7" w:rsidP="00151926">
      <w:pPr>
        <w:pStyle w:val="SingleTxtGA"/>
        <w:rPr>
          <w:lang w:val="en-US"/>
        </w:rPr>
      </w:pPr>
      <w:r w:rsidRPr="006B5BAF">
        <w:rPr>
          <w:rtl/>
          <w:lang w:val="en-US"/>
        </w:rPr>
        <w:t>56</w:t>
      </w:r>
      <w:r w:rsidRPr="001659E7">
        <w:rPr>
          <w:rtl/>
          <w:lang w:val="en-US"/>
        </w:rPr>
        <w:t>-</w:t>
      </w:r>
      <w:r w:rsidRPr="001659E7">
        <w:rPr>
          <w:rtl/>
          <w:lang w:val="en-US"/>
        </w:rPr>
        <w:tab/>
      </w:r>
      <w:r w:rsidRPr="006079F4">
        <w:rPr>
          <w:spacing w:val="-5"/>
          <w:rtl/>
          <w:lang w:val="en-US"/>
        </w:rPr>
        <w:t>تشجع اللجنة جميع الدول التي لم تصدق بعدُ على الاتفاقية على أن تفعل ذلك وأن تعترف باختصاص</w:t>
      </w:r>
      <w:r w:rsidRPr="001659E7">
        <w:rPr>
          <w:rtl/>
          <w:lang w:val="en-US"/>
        </w:rPr>
        <w:t xml:space="preserve"> اللجنة بموجب المادتين </w:t>
      </w:r>
      <w:r w:rsidRPr="006B5BAF">
        <w:rPr>
          <w:rtl/>
          <w:lang w:val="en-US"/>
        </w:rPr>
        <w:t>31</w:t>
      </w:r>
      <w:r w:rsidRPr="001659E7">
        <w:rPr>
          <w:rtl/>
          <w:lang w:val="en-US"/>
        </w:rPr>
        <w:t xml:space="preserve"> و</w:t>
      </w:r>
      <w:r w:rsidRPr="006B5BAF">
        <w:rPr>
          <w:rtl/>
          <w:lang w:val="en-US"/>
        </w:rPr>
        <w:t>3</w:t>
      </w:r>
      <w:r w:rsidR="00977A73" w:rsidRPr="006B5BAF">
        <w:rPr>
          <w:rtl/>
          <w:lang w:val="en-US"/>
        </w:rPr>
        <w:t>2</w:t>
      </w:r>
      <w:r w:rsidR="00977A73" w:rsidRPr="00977A73">
        <w:rPr>
          <w:rtl/>
          <w:lang w:val="en-US"/>
        </w:rPr>
        <w:t>.</w:t>
      </w:r>
      <w:r w:rsidR="00D900DC">
        <w:rPr>
          <w:rFonts w:hint="cs"/>
          <w:rtl/>
          <w:lang w:val="en-US"/>
        </w:rPr>
        <w:t xml:space="preserve"> </w:t>
      </w:r>
    </w:p>
    <w:p w14:paraId="64AEE25B" w14:textId="6621C1DE" w:rsidR="001659E7" w:rsidRPr="001659E7" w:rsidRDefault="001659E7" w:rsidP="001659E7">
      <w:pPr>
        <w:pStyle w:val="SingleTxtGA"/>
        <w:jc w:val="center"/>
        <w:rPr>
          <w:u w:val="single"/>
        </w:rPr>
      </w:pPr>
      <w:r>
        <w:rPr>
          <w:u w:val="single"/>
          <w:rtl/>
        </w:rPr>
        <w:tab/>
      </w:r>
      <w:r>
        <w:rPr>
          <w:u w:val="single"/>
          <w:rtl/>
        </w:rPr>
        <w:tab/>
      </w:r>
      <w:r>
        <w:rPr>
          <w:u w:val="single"/>
          <w:rtl/>
        </w:rPr>
        <w:tab/>
      </w:r>
    </w:p>
    <w:sectPr w:rsidR="001659E7" w:rsidRPr="001659E7" w:rsidSect="00AD0FE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ED85C" w14:textId="77777777" w:rsidR="007D22D8" w:rsidRPr="002901D9" w:rsidRDefault="007D22D8" w:rsidP="00DF5E71">
      <w:pPr>
        <w:spacing w:after="60" w:line="240" w:lineRule="auto"/>
        <w:ind w:left="57"/>
        <w:rPr>
          <w:i/>
          <w:iCs/>
        </w:rPr>
      </w:pPr>
      <w:r>
        <w:rPr>
          <w:rFonts w:hint="cs"/>
          <w:i/>
          <w:iCs/>
          <w:rtl/>
        </w:rPr>
        <w:t>الحواشي</w:t>
      </w:r>
    </w:p>
  </w:endnote>
  <w:endnote w:type="continuationSeparator" w:id="0">
    <w:p w14:paraId="5080C912" w14:textId="77777777" w:rsidR="007D22D8" w:rsidRDefault="007D22D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93987" w14:textId="45DDC82D" w:rsidR="00EF0E3B" w:rsidRPr="00EF0E3B" w:rsidRDefault="00EF0E3B" w:rsidP="00EF0E3B">
    <w:pPr>
      <w:pStyle w:val="Footer"/>
      <w:tabs>
        <w:tab w:val="right" w:pos="9638"/>
      </w:tabs>
      <w:rPr>
        <w:b/>
        <w:sz w:val="18"/>
        <w:lang w:val="en-US"/>
      </w:rPr>
    </w:pPr>
    <w:r>
      <w:rPr>
        <w:lang w:val="en-US"/>
      </w:rPr>
      <w:t>GE.23-19531</w:t>
    </w:r>
    <w:r>
      <w:rPr>
        <w:lang w:val="en-US"/>
      </w:rPr>
      <w:tab/>
    </w:r>
    <w:r w:rsidRPr="00EF0E3B">
      <w:rPr>
        <w:b/>
        <w:sz w:val="18"/>
        <w:lang w:val="en-US"/>
      </w:rPr>
      <w:fldChar w:fldCharType="begin"/>
    </w:r>
    <w:r w:rsidRPr="00EF0E3B">
      <w:rPr>
        <w:b/>
        <w:sz w:val="18"/>
        <w:lang w:val="en-US"/>
      </w:rPr>
      <w:instrText xml:space="preserve"> PAGE  \* MERGEFORMAT </w:instrText>
    </w:r>
    <w:r w:rsidRPr="00EF0E3B">
      <w:rPr>
        <w:b/>
        <w:sz w:val="18"/>
        <w:lang w:val="en-US"/>
      </w:rPr>
      <w:fldChar w:fldCharType="separate"/>
    </w:r>
    <w:r w:rsidRPr="00EF0E3B">
      <w:rPr>
        <w:b/>
        <w:noProof/>
        <w:sz w:val="18"/>
        <w:lang w:val="en-US"/>
      </w:rPr>
      <w:t>2</w:t>
    </w:r>
    <w:r w:rsidRPr="00EF0E3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3BB9B" w14:textId="344F77AB" w:rsidR="006959B0" w:rsidRPr="00EF0E3B" w:rsidRDefault="00EF0E3B" w:rsidP="00EF0E3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GE.23-19531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AB350" w14:textId="3EE51B24" w:rsidR="00AB4F93" w:rsidRPr="00EF0E3B" w:rsidRDefault="00EF0E3B" w:rsidP="00EF0E3B">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786AA3DF" wp14:editId="3A6BE66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23-19531 (A)</w:t>
    </w:r>
    <w:r>
      <w:rPr>
        <w:noProof/>
        <w:sz w:val="20"/>
        <w:lang w:val="en-US"/>
      </w:rPr>
      <w:drawing>
        <wp:anchor distT="0" distB="0" distL="114300" distR="114300" simplePos="0" relativeHeight="251660288" behindDoc="0" locked="0" layoutInCell="1" allowOverlap="1" wp14:anchorId="0A8D564F" wp14:editId="383AF32A">
          <wp:simplePos x="0" y="0"/>
          <wp:positionH relativeFrom="margin">
            <wp:posOffset>0</wp:posOffset>
          </wp:positionH>
          <wp:positionV relativeFrom="margin">
            <wp:posOffset>8891905</wp:posOffset>
          </wp:positionV>
          <wp:extent cx="561975" cy="561975"/>
          <wp:effectExtent l="0" t="0" r="9525" b="9525"/>
          <wp:wrapNone/>
          <wp:docPr id="120418400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18400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31E11" w14:textId="77777777" w:rsidR="007D22D8" w:rsidRPr="002804D6" w:rsidRDefault="007D22D8"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F17EE20" w14:textId="77777777" w:rsidR="007D22D8" w:rsidRDefault="007D22D8" w:rsidP="00656392">
      <w:pPr>
        <w:spacing w:line="240" w:lineRule="auto"/>
      </w:pPr>
      <w:r>
        <w:continuationSeparator/>
      </w:r>
    </w:p>
  </w:footnote>
  <w:footnote w:id="1">
    <w:p w14:paraId="3CD1ECBF" w14:textId="77777777" w:rsidR="005E0255" w:rsidRPr="001659E7" w:rsidRDefault="005E0255" w:rsidP="006441E6">
      <w:pPr>
        <w:pStyle w:val="FootnoteText1"/>
        <w:rPr>
          <w:rtl/>
        </w:rPr>
      </w:pPr>
      <w:r>
        <w:rPr>
          <w:rtl/>
        </w:rPr>
        <w:t>*</w:t>
      </w:r>
      <w:r>
        <w:rPr>
          <w:rtl/>
        </w:rPr>
        <w:tab/>
      </w:r>
      <w:r w:rsidRPr="001659E7">
        <w:rPr>
          <w:rtl/>
        </w:rPr>
        <w:t>اعتمدته اللجنة في دورتها الخامسة والعشرين (</w:t>
      </w:r>
      <w:r w:rsidRPr="006B5BAF">
        <w:rPr>
          <w:rtl/>
        </w:rPr>
        <w:t>11</w:t>
      </w:r>
      <w:r w:rsidRPr="001659E7">
        <w:rPr>
          <w:rtl/>
        </w:rPr>
        <w:t>-</w:t>
      </w:r>
      <w:r w:rsidRPr="006B5BAF">
        <w:rPr>
          <w:rtl/>
        </w:rPr>
        <w:t>29</w:t>
      </w:r>
      <w:r w:rsidRPr="001659E7">
        <w:rPr>
          <w:rtl/>
        </w:rPr>
        <w:t xml:space="preserve"> أيلول/سبتمبر </w:t>
      </w:r>
      <w:r w:rsidRPr="006B5BAF">
        <w:rPr>
          <w:rtl/>
        </w:rPr>
        <w:t>2023</w:t>
      </w:r>
      <w:r w:rsidRPr="001659E7">
        <w:rPr>
          <w:rtl/>
        </w:rPr>
        <w:t>).</w:t>
      </w:r>
    </w:p>
  </w:footnote>
  <w:footnote w:id="2">
    <w:p w14:paraId="12686AA2" w14:textId="77777777" w:rsidR="005E0255" w:rsidRPr="001659E7" w:rsidRDefault="005E0255" w:rsidP="00ED6BDB">
      <w:pPr>
        <w:pStyle w:val="FootnoteText1"/>
        <w:textDirection w:val="tbRlV"/>
      </w:pPr>
      <w:r>
        <w:rPr>
          <w:rtl/>
        </w:rPr>
        <w:t>(</w:t>
      </w:r>
      <w:r w:rsidRPr="006B5BAF">
        <w:rPr>
          <w:lang w:val="en-AU"/>
        </w:rPr>
        <w:footnoteRef/>
      </w:r>
      <w:r>
        <w:rPr>
          <w:rtl/>
        </w:rPr>
        <w:t>)</w:t>
      </w:r>
      <w:r>
        <w:rPr>
          <w:rtl/>
        </w:rPr>
        <w:tab/>
        <w:t>المنظمة الدولية للهجرة، "تعريف المهاجر حسب</w:t>
      </w:r>
      <w:r w:rsidRPr="00E510C1">
        <w:rPr>
          <w:rtl/>
        </w:rPr>
        <w:t xml:space="preserve"> </w:t>
      </w:r>
      <w:r>
        <w:rPr>
          <w:rtl/>
        </w:rPr>
        <w:t>المنظمة الدولية</w:t>
      </w:r>
      <w:r w:rsidRPr="006C218D">
        <w:rPr>
          <w:rtl/>
        </w:rPr>
        <w:t xml:space="preserve"> </w:t>
      </w:r>
      <w:r>
        <w:rPr>
          <w:rtl/>
        </w:rPr>
        <w:t>للهجرة</w:t>
      </w:r>
      <w:r w:rsidRPr="001659E7">
        <w:rPr>
          <w:rtl/>
        </w:rPr>
        <w:t>".</w:t>
      </w:r>
    </w:p>
  </w:footnote>
  <w:footnote w:id="3">
    <w:p w14:paraId="0F042EA5" w14:textId="77777777" w:rsidR="005E0255" w:rsidRPr="001659E7" w:rsidRDefault="005E0255" w:rsidP="00083E22">
      <w:pPr>
        <w:pStyle w:val="FootnoteText1"/>
        <w:ind w:left="1282" w:hanging="602"/>
        <w:jc w:val="left"/>
        <w:textDirection w:val="tbRlV"/>
      </w:pPr>
      <w:r>
        <w:rPr>
          <w:rtl/>
        </w:rPr>
        <w:t>(</w:t>
      </w:r>
      <w:r w:rsidRPr="006B5BAF">
        <w:rPr>
          <w:lang w:val="en-AU"/>
        </w:rPr>
        <w:footnoteRef/>
      </w:r>
      <w:r>
        <w:rPr>
          <w:rtl/>
        </w:rPr>
        <w:t>)</w:t>
      </w:r>
      <w:r>
        <w:rPr>
          <w:rtl/>
        </w:rPr>
        <w:tab/>
      </w:r>
      <w:hyperlink r:id="rId1" w:history="1">
        <w:r w:rsidRPr="00977A73">
          <w:rPr>
            <w:rStyle w:val="Hyperlink"/>
          </w:rPr>
          <w:t>A/</w:t>
        </w:r>
        <w:r w:rsidRPr="006B5BAF">
          <w:rPr>
            <w:rStyle w:val="Hyperlink"/>
          </w:rPr>
          <w:t>76</w:t>
        </w:r>
        <w:r w:rsidRPr="00977A73">
          <w:rPr>
            <w:rStyle w:val="Hyperlink"/>
          </w:rPr>
          <w:t>/</w:t>
        </w:r>
        <w:r w:rsidRPr="006B5BAF">
          <w:rPr>
            <w:rStyle w:val="Hyperlink"/>
          </w:rPr>
          <w:t>642</w:t>
        </w:r>
      </w:hyperlink>
      <w:r>
        <w:rPr>
          <w:rtl/>
        </w:rPr>
        <w:t xml:space="preserve">، الفقرة </w:t>
      </w:r>
      <w:r w:rsidRPr="006B5BAF">
        <w:rPr>
          <w:rtl/>
        </w:rPr>
        <w:t>11</w:t>
      </w:r>
      <w:r w:rsidRPr="00977A73">
        <w:rPr>
          <w:rtl/>
        </w:rPr>
        <w:t xml:space="preserve">. </w:t>
      </w:r>
      <w:r>
        <w:rPr>
          <w:rtl/>
        </w:rPr>
        <w:t xml:space="preserve">انظر أيضاً </w:t>
      </w:r>
      <w:r>
        <w:t xml:space="preserve">IOM, Global Migration Data Analysis Centre, “International migrant </w:t>
      </w:r>
      <w:proofErr w:type="gramStart"/>
      <w:r>
        <w:t>stocks”,</w:t>
      </w:r>
      <w:proofErr w:type="gramEnd"/>
      <w:r>
        <w:t xml:space="preserve"> Migration Data Portal</w:t>
      </w:r>
      <w:r w:rsidRPr="00977A73">
        <w:rPr>
          <w:rtl/>
        </w:rPr>
        <w:t xml:space="preserve">. </w:t>
      </w:r>
      <w:r>
        <w:rPr>
          <w:rtl/>
        </w:rPr>
        <w:t>متاح على الرابط التالي</w:t>
      </w:r>
      <w:r>
        <w:rPr>
          <w:rFonts w:hint="cs"/>
          <w:rtl/>
        </w:rPr>
        <w:t xml:space="preserve">: </w:t>
      </w:r>
      <w:r>
        <w:rPr>
          <w:rtl/>
        </w:rPr>
        <w:br/>
      </w:r>
      <w:hyperlink r:id="rId2" w:history="1">
        <w:r w:rsidRPr="007D75C8">
          <w:rPr>
            <w:rStyle w:val="Hyperlink"/>
          </w:rPr>
          <w:t>https://www.migrationdataportal.org/themes/international-migrant-stocks</w:t>
        </w:r>
      </w:hyperlink>
      <w:r w:rsidRPr="00977A73">
        <w:rPr>
          <w:rtl/>
        </w:rPr>
        <w:t xml:space="preserve">. </w:t>
      </w:r>
    </w:p>
  </w:footnote>
  <w:footnote w:id="4">
    <w:p w14:paraId="5F45D57C" w14:textId="77777777" w:rsidR="005E0255" w:rsidRPr="00CC06E2" w:rsidRDefault="005E0255" w:rsidP="00151FF7">
      <w:pPr>
        <w:pStyle w:val="FootnoteText1"/>
        <w:textDirection w:val="tbRlV"/>
        <w:rPr>
          <w:spacing w:val="-4"/>
        </w:rPr>
      </w:pPr>
      <w:r>
        <w:rPr>
          <w:rtl/>
        </w:rPr>
        <w:t>(</w:t>
      </w:r>
      <w:r w:rsidRPr="006B5BAF">
        <w:rPr>
          <w:lang w:val="en-AU"/>
        </w:rPr>
        <w:footnoteRef/>
      </w:r>
      <w:r>
        <w:rPr>
          <w:rtl/>
        </w:rPr>
        <w:t>)</w:t>
      </w:r>
      <w:r>
        <w:rPr>
          <w:rtl/>
        </w:rPr>
        <w:tab/>
      </w:r>
      <w:r w:rsidRPr="00CC06E2">
        <w:rPr>
          <w:spacing w:val="-4"/>
          <w:rtl/>
        </w:rPr>
        <w:t xml:space="preserve">الاتفاق العالمي من أجل الهجرة الآمنة والمنظمة والنظامية، الهدف </w:t>
      </w:r>
      <w:r w:rsidRPr="006B5BAF">
        <w:rPr>
          <w:spacing w:val="-4"/>
          <w:rtl/>
        </w:rPr>
        <w:t>7</w:t>
      </w:r>
      <w:r w:rsidRPr="00977A73">
        <w:rPr>
          <w:spacing w:val="-4"/>
          <w:rtl/>
        </w:rPr>
        <w:t xml:space="preserve">. </w:t>
      </w:r>
      <w:r w:rsidRPr="00CC06E2">
        <w:rPr>
          <w:spacing w:val="-4"/>
          <w:rtl/>
        </w:rPr>
        <w:t xml:space="preserve">انظر </w:t>
      </w:r>
      <w:r>
        <w:rPr>
          <w:spacing w:val="-4"/>
          <w:rtl/>
        </w:rPr>
        <w:t xml:space="preserve">أيضاً </w:t>
      </w:r>
      <w:r w:rsidRPr="00CC06E2">
        <w:rPr>
          <w:spacing w:val="-4"/>
          <w:rtl/>
        </w:rPr>
        <w:t>المبادئ التوجيهية للبحث عن الأشخاص المختفين (</w:t>
      </w:r>
      <w:hyperlink r:id="rId3" w:history="1">
        <w:r w:rsidRPr="00977A73">
          <w:rPr>
            <w:rStyle w:val="Hyperlink"/>
          </w:rPr>
          <w:t>CED/C/</w:t>
        </w:r>
        <w:r w:rsidRPr="006B5BAF">
          <w:rPr>
            <w:rStyle w:val="Hyperlink"/>
          </w:rPr>
          <w:t>7</w:t>
        </w:r>
      </w:hyperlink>
      <w:r w:rsidRPr="00CC06E2">
        <w:rPr>
          <w:spacing w:val="-4"/>
          <w:rtl/>
        </w:rPr>
        <w:t>، المرفق</w:t>
      </w:r>
      <w:r w:rsidRPr="00977A73">
        <w:rPr>
          <w:spacing w:val="-4"/>
          <w:rtl/>
        </w:rPr>
        <w:t xml:space="preserve">)، </w:t>
      </w:r>
      <w:r w:rsidRPr="00CC06E2">
        <w:rPr>
          <w:spacing w:val="-4"/>
          <w:rtl/>
        </w:rPr>
        <w:t xml:space="preserve">المبدأ </w:t>
      </w:r>
      <w:r w:rsidRPr="006B5BAF">
        <w:rPr>
          <w:spacing w:val="-4"/>
          <w:rtl/>
        </w:rPr>
        <w:t>9</w:t>
      </w:r>
      <w:r w:rsidRPr="00CC06E2">
        <w:rPr>
          <w:spacing w:val="-4"/>
          <w:rtl/>
        </w:rPr>
        <w:t>؛ و</w:t>
      </w:r>
      <w:r w:rsidRPr="00183B80">
        <w:rPr>
          <w:rFonts w:eastAsiaTheme="minorEastAsia"/>
        </w:rPr>
        <w:t xml:space="preserve"> </w:t>
      </w:r>
      <w:r w:rsidRPr="00A260F4">
        <w:rPr>
          <w:rFonts w:eastAsiaTheme="minorEastAsia"/>
        </w:rPr>
        <w:t>African Commission on Human and Peoples’ Rights, Guidelines on the Protection</w:t>
      </w:r>
      <w:r w:rsidRPr="006B5BAF">
        <w:rPr>
          <w:i/>
          <w:iCs/>
        </w:rPr>
        <w:t xml:space="preserve"> of All Persons from Enforced Disappearances in Africa</w:t>
      </w:r>
      <w:r>
        <w:t xml:space="preserve"> (</w:t>
      </w:r>
      <w:proofErr w:type="gramStart"/>
      <w:r w:rsidRPr="006B5BAF">
        <w:t>2022</w:t>
      </w:r>
      <w:r>
        <w:t>)</w:t>
      </w:r>
      <w:r w:rsidRPr="007354CB">
        <w:t>,</w:t>
      </w:r>
      <w:proofErr w:type="gramEnd"/>
      <w:r w:rsidRPr="007354CB">
        <w:t xml:space="preserve"> para</w:t>
      </w:r>
      <w:r>
        <w:t>.</w:t>
      </w:r>
      <w:r w:rsidRPr="007354CB">
        <w:t xml:space="preserve"> </w:t>
      </w:r>
      <w:r w:rsidRPr="006B5BAF">
        <w:t>1</w:t>
      </w:r>
      <w:r w:rsidRPr="007354CB">
        <w:t>.</w:t>
      </w:r>
      <w:r w:rsidRPr="006B5BAF">
        <w:t>3</w:t>
      </w:r>
      <w:r w:rsidRPr="007354CB">
        <w:t>.</w:t>
      </w:r>
      <w:r w:rsidRPr="006B5BAF">
        <w:t>2</w:t>
      </w:r>
      <w:r w:rsidRPr="00CC06E2">
        <w:rPr>
          <w:spacing w:val="-4"/>
          <w:rtl/>
        </w:rPr>
        <w:t>.</w:t>
      </w:r>
    </w:p>
  </w:footnote>
  <w:footnote w:id="5">
    <w:p w14:paraId="3CA79953" w14:textId="77777777" w:rsidR="005E0255" w:rsidRPr="001659E7" w:rsidRDefault="005E0255" w:rsidP="009E34F5">
      <w:pPr>
        <w:pStyle w:val="FootnoteText1"/>
        <w:textDirection w:val="tbRlV"/>
      </w:pPr>
      <w:r>
        <w:rPr>
          <w:rtl/>
        </w:rPr>
        <w:t>(</w:t>
      </w:r>
      <w:r w:rsidRPr="006B5BAF">
        <w:rPr>
          <w:lang w:val="en-AU"/>
        </w:rPr>
        <w:footnoteRef/>
      </w:r>
      <w:r>
        <w:rPr>
          <w:rtl/>
        </w:rPr>
        <w:t>)</w:t>
      </w:r>
      <w:r>
        <w:rPr>
          <w:rtl/>
        </w:rPr>
        <w:tab/>
        <w:t xml:space="preserve">الاتفاق العالمي من أجل الهجرة الآمنة والمنظمة والنظامية، الفقرة </w:t>
      </w:r>
      <w:r w:rsidRPr="006B5BAF">
        <w:rPr>
          <w:rtl/>
        </w:rPr>
        <w:t>4</w:t>
      </w:r>
      <w:r>
        <w:rPr>
          <w:rtl/>
        </w:rPr>
        <w:t>.</w:t>
      </w:r>
    </w:p>
  </w:footnote>
  <w:footnote w:id="6">
    <w:p w14:paraId="5F7D90ED" w14:textId="77777777" w:rsidR="005E0255" w:rsidRPr="001659E7" w:rsidRDefault="005E0255" w:rsidP="00AB3E37">
      <w:pPr>
        <w:pStyle w:val="FootnoteText1"/>
        <w:textDirection w:val="tbRlV"/>
      </w:pPr>
      <w:r>
        <w:rPr>
          <w:rtl/>
        </w:rPr>
        <w:t>(</w:t>
      </w:r>
      <w:r w:rsidRPr="006B5BAF">
        <w:rPr>
          <w:lang w:val="en-AU"/>
        </w:rPr>
        <w:footnoteRef/>
      </w:r>
      <w:r>
        <w:rPr>
          <w:rtl/>
        </w:rPr>
        <w:t>)</w:t>
      </w:r>
      <w:r>
        <w:rPr>
          <w:rtl/>
        </w:rPr>
        <w:tab/>
        <w:t xml:space="preserve">اللجنة المعنية بالقضاء على التمييز ضد المرأة، التوصية العامة رقم </w:t>
      </w:r>
      <w:r w:rsidRPr="006B5BAF">
        <w:rPr>
          <w:rtl/>
        </w:rPr>
        <w:t>38</w:t>
      </w:r>
      <w:r w:rsidRPr="001659E7">
        <w:rPr>
          <w:rtl/>
        </w:rPr>
        <w:t>(</w:t>
      </w:r>
      <w:r w:rsidRPr="006B5BAF">
        <w:rPr>
          <w:rtl/>
        </w:rPr>
        <w:t>2020</w:t>
      </w:r>
      <w:r w:rsidRPr="00977A73">
        <w:rPr>
          <w:rtl/>
        </w:rPr>
        <w:t xml:space="preserve">) </w:t>
      </w:r>
      <w:r>
        <w:rPr>
          <w:rtl/>
        </w:rPr>
        <w:t xml:space="preserve">بشأن الاتجار بالنساء والفتيات في سياق الهجرة العالمية، الفقرة </w:t>
      </w:r>
      <w:r w:rsidRPr="006B5BAF">
        <w:rPr>
          <w:rtl/>
        </w:rPr>
        <w:t>23</w:t>
      </w:r>
      <w:r w:rsidRPr="00977A73">
        <w:rPr>
          <w:rtl/>
        </w:rPr>
        <w:t xml:space="preserve">. </w:t>
      </w:r>
    </w:p>
  </w:footnote>
  <w:footnote w:id="7">
    <w:p w14:paraId="56C2CFE0" w14:textId="77777777" w:rsidR="005E0255" w:rsidRPr="001659E7" w:rsidRDefault="005E0255" w:rsidP="00C235D8">
      <w:pPr>
        <w:pStyle w:val="FootnoteText1"/>
        <w:textDirection w:val="tbRlV"/>
      </w:pPr>
      <w:r>
        <w:rPr>
          <w:rtl/>
        </w:rPr>
        <w:t>(</w:t>
      </w:r>
      <w:r w:rsidRPr="006B5BAF">
        <w:rPr>
          <w:lang w:val="en-AU"/>
        </w:rPr>
        <w:footnoteRef/>
      </w:r>
      <w:r>
        <w:rPr>
          <w:rtl/>
        </w:rPr>
        <w:t>)</w:t>
      </w:r>
      <w:r>
        <w:rPr>
          <w:rtl/>
        </w:rPr>
        <w:tab/>
      </w:r>
      <w:hyperlink r:id="rId4" w:history="1">
        <w:r w:rsidRPr="0060487A">
          <w:rPr>
            <w:rStyle w:val="Hyperlink"/>
            <w:spacing w:val="-4"/>
          </w:rPr>
          <w:t>A/HRC/</w:t>
        </w:r>
        <w:r w:rsidRPr="006B5BAF">
          <w:rPr>
            <w:rStyle w:val="Hyperlink"/>
            <w:spacing w:val="-4"/>
          </w:rPr>
          <w:t>50</w:t>
        </w:r>
        <w:r w:rsidRPr="0060487A">
          <w:rPr>
            <w:rStyle w:val="Hyperlink"/>
            <w:spacing w:val="-4"/>
          </w:rPr>
          <w:t>/</w:t>
        </w:r>
        <w:r w:rsidRPr="006B5BAF">
          <w:rPr>
            <w:rStyle w:val="Hyperlink"/>
            <w:spacing w:val="-4"/>
          </w:rPr>
          <w:t>31</w:t>
        </w:r>
      </w:hyperlink>
      <w:r w:rsidRPr="0060487A">
        <w:rPr>
          <w:spacing w:val="-4"/>
          <w:rtl/>
        </w:rPr>
        <w:t xml:space="preserve">، الفقرة </w:t>
      </w:r>
      <w:r w:rsidRPr="006B5BAF">
        <w:rPr>
          <w:spacing w:val="-4"/>
          <w:rtl/>
        </w:rPr>
        <w:t>24</w:t>
      </w:r>
      <w:r w:rsidRPr="0060487A">
        <w:rPr>
          <w:spacing w:val="-4"/>
          <w:rtl/>
        </w:rPr>
        <w:t xml:space="preserve">. انظر أيضاً </w:t>
      </w:r>
      <w:hyperlink r:id="rId5" w:history="1">
        <w:r w:rsidRPr="0060487A">
          <w:rPr>
            <w:rStyle w:val="Hyperlink"/>
            <w:spacing w:val="-4"/>
          </w:rPr>
          <w:t>CED/C/GRC/CO/</w:t>
        </w:r>
        <w:r w:rsidRPr="006B5BAF">
          <w:rPr>
            <w:rStyle w:val="Hyperlink"/>
            <w:spacing w:val="-4"/>
          </w:rPr>
          <w:t>1</w:t>
        </w:r>
      </w:hyperlink>
      <w:r w:rsidRPr="0060487A">
        <w:rPr>
          <w:spacing w:val="-4"/>
          <w:rtl/>
        </w:rPr>
        <w:t xml:space="preserve">، الفقرة </w:t>
      </w:r>
      <w:r w:rsidRPr="006B5BAF">
        <w:rPr>
          <w:spacing w:val="-4"/>
          <w:rtl/>
        </w:rPr>
        <w:t>28</w:t>
      </w:r>
      <w:r w:rsidRPr="0060487A">
        <w:rPr>
          <w:spacing w:val="-4"/>
          <w:rtl/>
        </w:rPr>
        <w:t>؛ و(</w:t>
      </w:r>
      <w:hyperlink r:id="rId6" w:history="1">
        <w:r w:rsidRPr="0060487A">
          <w:rPr>
            <w:rStyle w:val="Hyperlink"/>
            <w:spacing w:val="-4"/>
          </w:rPr>
          <w:t>CED/C/MEX/VR/</w:t>
        </w:r>
        <w:r w:rsidRPr="006B5BAF">
          <w:rPr>
            <w:rStyle w:val="Hyperlink"/>
            <w:spacing w:val="-4"/>
          </w:rPr>
          <w:t>1</w:t>
        </w:r>
      </w:hyperlink>
      <w:r w:rsidRPr="0060487A">
        <w:rPr>
          <w:spacing w:val="-4"/>
        </w:rPr>
        <w:t xml:space="preserve"> (Findings</w:t>
      </w:r>
      <w:r w:rsidRPr="0060487A">
        <w:rPr>
          <w:spacing w:val="-4"/>
          <w:rtl/>
        </w:rPr>
        <w:t xml:space="preserve">، الفقرة </w:t>
      </w:r>
      <w:r w:rsidRPr="006B5BAF">
        <w:rPr>
          <w:spacing w:val="-4"/>
          <w:rtl/>
        </w:rPr>
        <w:t>20</w:t>
      </w:r>
      <w:r w:rsidRPr="0060487A">
        <w:rPr>
          <w:spacing w:val="-4"/>
          <w:rtl/>
        </w:rPr>
        <w:t>؛</w:t>
      </w:r>
      <w:r>
        <w:rPr>
          <w:rtl/>
        </w:rPr>
        <w:t xml:space="preserve"> و</w:t>
      </w:r>
      <w:hyperlink r:id="rId7" w:history="1">
        <w:r w:rsidRPr="00977A73">
          <w:rPr>
            <w:rStyle w:val="Hyperlink"/>
          </w:rPr>
          <w:t>CED/C/MEX/VR/</w:t>
        </w:r>
        <w:r w:rsidRPr="006B5BAF">
          <w:rPr>
            <w:rStyle w:val="Hyperlink"/>
          </w:rPr>
          <w:t>1</w:t>
        </w:r>
      </w:hyperlink>
      <w:r w:rsidRPr="001659E7">
        <w:t xml:space="preserve"> (Recommendations</w:t>
      </w:r>
      <w:r w:rsidRPr="00977A73">
        <w:t>)</w:t>
      </w:r>
      <w:r w:rsidRPr="00977A73">
        <w:rPr>
          <w:rtl/>
        </w:rPr>
        <w:t xml:space="preserve">، </w:t>
      </w:r>
      <w:r>
        <w:rPr>
          <w:rtl/>
        </w:rPr>
        <w:t xml:space="preserve">الفقرات </w:t>
      </w:r>
      <w:r w:rsidRPr="006B5BAF">
        <w:rPr>
          <w:rtl/>
        </w:rPr>
        <w:t>39</w:t>
      </w:r>
      <w:r w:rsidRPr="001659E7">
        <w:rPr>
          <w:rtl/>
        </w:rPr>
        <w:t>-</w:t>
      </w:r>
      <w:r w:rsidRPr="006B5BAF">
        <w:rPr>
          <w:rtl/>
        </w:rPr>
        <w:t>42</w:t>
      </w:r>
      <w:r>
        <w:rPr>
          <w:rtl/>
        </w:rPr>
        <w:t>.</w:t>
      </w:r>
    </w:p>
  </w:footnote>
  <w:footnote w:id="8">
    <w:p w14:paraId="5F03177F" w14:textId="77777777" w:rsidR="005E0255" w:rsidRPr="001659E7" w:rsidRDefault="005E0255" w:rsidP="00031607">
      <w:pPr>
        <w:pStyle w:val="FootnoteText1"/>
        <w:textDirection w:val="tbRlV"/>
      </w:pPr>
      <w:r>
        <w:rPr>
          <w:rtl/>
        </w:rPr>
        <w:t>(</w:t>
      </w:r>
      <w:r w:rsidRPr="006B5BAF">
        <w:rPr>
          <w:lang w:val="en-AU"/>
        </w:rPr>
        <w:footnoteRef/>
      </w:r>
      <w:r>
        <w:rPr>
          <w:rtl/>
        </w:rPr>
        <w:t>)</w:t>
      </w:r>
      <w:r>
        <w:rPr>
          <w:rtl/>
        </w:rPr>
        <w:tab/>
      </w:r>
      <w:hyperlink r:id="rId8" w:history="1">
        <w:r w:rsidRPr="00977A73">
          <w:rPr>
            <w:rStyle w:val="Hyperlink"/>
          </w:rPr>
          <w:t>A/</w:t>
        </w:r>
        <w:r w:rsidRPr="006B5BAF">
          <w:rPr>
            <w:rStyle w:val="Hyperlink"/>
          </w:rPr>
          <w:t>72</w:t>
        </w:r>
        <w:r w:rsidRPr="00977A73">
          <w:rPr>
            <w:rStyle w:val="Hyperlink"/>
          </w:rPr>
          <w:t>/</w:t>
        </w:r>
        <w:r w:rsidRPr="006B5BAF">
          <w:rPr>
            <w:rStyle w:val="Hyperlink"/>
          </w:rPr>
          <w:t>335</w:t>
        </w:r>
      </w:hyperlink>
      <w:r>
        <w:rPr>
          <w:rtl/>
        </w:rPr>
        <w:t xml:space="preserve">، الفقرة </w:t>
      </w:r>
      <w:r w:rsidRPr="006B5BAF">
        <w:rPr>
          <w:rtl/>
        </w:rPr>
        <w:t>1</w:t>
      </w:r>
      <w:r w:rsidRPr="00977A73">
        <w:rPr>
          <w:rtl/>
        </w:rPr>
        <w:t xml:space="preserve">. </w:t>
      </w:r>
    </w:p>
  </w:footnote>
  <w:footnote w:id="9">
    <w:p w14:paraId="4E6136EE" w14:textId="77777777" w:rsidR="005E0255" w:rsidRPr="001659E7" w:rsidRDefault="005E0255" w:rsidP="00DD729A">
      <w:pPr>
        <w:pStyle w:val="FootnoteText1"/>
        <w:textDirection w:val="tbRlV"/>
      </w:pPr>
      <w:r>
        <w:rPr>
          <w:rtl/>
        </w:rPr>
        <w:t>(</w:t>
      </w:r>
      <w:r w:rsidRPr="006B5BAF">
        <w:rPr>
          <w:lang w:val="en-AU"/>
        </w:rPr>
        <w:footnoteRef/>
      </w:r>
      <w:r>
        <w:rPr>
          <w:rtl/>
        </w:rPr>
        <w:t>)</w:t>
      </w:r>
      <w:r>
        <w:rPr>
          <w:rtl/>
        </w:rPr>
        <w:tab/>
      </w:r>
      <w:r w:rsidRPr="001502FA">
        <w:t>ICRC, Guiding Principles/Model Law on the Missing</w:t>
      </w:r>
      <w:r>
        <w:t>:</w:t>
      </w:r>
      <w:r w:rsidRPr="001502FA">
        <w:t xml:space="preserve"> Principles for Legislating the Situation of Persons Missing as a </w:t>
      </w:r>
      <w:r>
        <w:t>R</w:t>
      </w:r>
      <w:r w:rsidRPr="001502FA">
        <w:t>esult of Armed Conflict or International Violence</w:t>
      </w:r>
      <w:r>
        <w:t xml:space="preserve"> –</w:t>
      </w:r>
      <w:r w:rsidRPr="001502FA">
        <w:t xml:space="preserve"> Measures to </w:t>
      </w:r>
      <w:r>
        <w:t>P</w:t>
      </w:r>
      <w:r w:rsidRPr="001502FA">
        <w:t xml:space="preserve">revent </w:t>
      </w:r>
      <w:r>
        <w:t>P</w:t>
      </w:r>
      <w:r w:rsidRPr="001502FA">
        <w:t xml:space="preserve">ersons from </w:t>
      </w:r>
      <w:r>
        <w:t>G</w:t>
      </w:r>
      <w:r w:rsidRPr="001502FA">
        <w:t xml:space="preserve">oing </w:t>
      </w:r>
      <w:r>
        <w:t>M</w:t>
      </w:r>
      <w:r w:rsidRPr="001502FA">
        <w:t xml:space="preserve">issing and to </w:t>
      </w:r>
      <w:r>
        <w:t>P</w:t>
      </w:r>
      <w:r w:rsidRPr="001502FA">
        <w:t xml:space="preserve">rotect the </w:t>
      </w:r>
      <w:r>
        <w:t>R</w:t>
      </w:r>
      <w:r w:rsidRPr="001502FA">
        <w:t xml:space="preserve">ights and </w:t>
      </w:r>
      <w:r>
        <w:t>I</w:t>
      </w:r>
      <w:r w:rsidRPr="001502FA">
        <w:t xml:space="preserve">nterests of the </w:t>
      </w:r>
      <w:r>
        <w:t>M</w:t>
      </w:r>
      <w:r w:rsidRPr="001502FA">
        <w:t xml:space="preserve">issing and </w:t>
      </w:r>
      <w:r>
        <w:t>T</w:t>
      </w:r>
      <w:r w:rsidRPr="001502FA">
        <w:t xml:space="preserve">heir </w:t>
      </w:r>
      <w:r>
        <w:t>F</w:t>
      </w:r>
      <w:r w:rsidRPr="001502FA">
        <w:t>amilies</w:t>
      </w:r>
      <w:r>
        <w:t xml:space="preserve"> (Geneva, </w:t>
      </w:r>
      <w:proofErr w:type="gramStart"/>
      <w:r w:rsidRPr="006B5BAF">
        <w:t>2009</w:t>
      </w:r>
      <w:r>
        <w:t>)</w:t>
      </w:r>
      <w:r w:rsidRPr="001502FA">
        <w:t>,</w:t>
      </w:r>
      <w:proofErr w:type="gramEnd"/>
      <w:r w:rsidRPr="001502FA">
        <w:t xml:space="preserve"> art</w:t>
      </w:r>
      <w:r>
        <w:t>.</w:t>
      </w:r>
      <w:r w:rsidRPr="001502FA">
        <w:t xml:space="preserve"> </w:t>
      </w:r>
      <w:r w:rsidRPr="006B5BAF">
        <w:t>2</w:t>
      </w:r>
      <w:r w:rsidRPr="001502FA">
        <w:t xml:space="preserve"> </w:t>
      </w:r>
      <w:r>
        <w:t>(</w:t>
      </w:r>
      <w:r w:rsidRPr="006B5BAF">
        <w:t>1</w:t>
      </w:r>
      <w:r>
        <w:t>)</w:t>
      </w:r>
      <w:r>
        <w:rPr>
          <w:rtl/>
        </w:rPr>
        <w:t>.</w:t>
      </w:r>
    </w:p>
  </w:footnote>
  <w:footnote w:id="10">
    <w:p w14:paraId="54CC1AF8" w14:textId="77777777" w:rsidR="005E0255" w:rsidRPr="001659E7" w:rsidRDefault="005E0255" w:rsidP="003B30FE">
      <w:pPr>
        <w:pStyle w:val="FootnoteText1"/>
        <w:textDirection w:val="tbRlV"/>
      </w:pPr>
      <w:r>
        <w:rPr>
          <w:rtl/>
        </w:rPr>
        <w:t>(</w:t>
      </w:r>
      <w:r w:rsidRPr="006B5BAF">
        <w:rPr>
          <w:lang w:val="en-AU"/>
        </w:rPr>
        <w:footnoteRef/>
      </w:r>
      <w:r>
        <w:rPr>
          <w:rtl/>
        </w:rPr>
        <w:t>)</w:t>
      </w:r>
      <w:r>
        <w:rPr>
          <w:rtl/>
        </w:rPr>
        <w:tab/>
        <w:t xml:space="preserve">تشمل بيانات المشروع أيضاً الجثث التي عثر عليها عند المعابر الحدودية والتي تصنف على أنها جثث مهاجرين استناداً إلى ممتلكاتهم و/أو خصائص الوفاة. </w:t>
      </w:r>
    </w:p>
  </w:footnote>
  <w:footnote w:id="11">
    <w:p w14:paraId="1906AC42" w14:textId="77777777" w:rsidR="005E0255" w:rsidRPr="001659E7" w:rsidRDefault="005E0255" w:rsidP="00285A7F">
      <w:pPr>
        <w:pStyle w:val="FootnoteText1"/>
        <w:textDirection w:val="tbRlV"/>
      </w:pPr>
      <w:r>
        <w:rPr>
          <w:rtl/>
        </w:rPr>
        <w:t>(</w:t>
      </w:r>
      <w:r w:rsidRPr="006B5BAF">
        <w:rPr>
          <w:lang w:val="en-AU"/>
        </w:rPr>
        <w:footnoteRef/>
      </w:r>
      <w:r>
        <w:rPr>
          <w:rtl/>
        </w:rPr>
        <w:t>)</w:t>
      </w:r>
      <w:r>
        <w:rPr>
          <w:rtl/>
        </w:rPr>
        <w:tab/>
      </w:r>
      <w:hyperlink r:id="rId9" w:history="1">
        <w:r w:rsidRPr="00977A73">
          <w:rPr>
            <w:rStyle w:val="Hyperlink"/>
          </w:rPr>
          <w:t>A/</w:t>
        </w:r>
        <w:r w:rsidRPr="006B5BAF">
          <w:rPr>
            <w:rStyle w:val="Hyperlink"/>
          </w:rPr>
          <w:t>76</w:t>
        </w:r>
        <w:r w:rsidRPr="00977A73">
          <w:rPr>
            <w:rStyle w:val="Hyperlink"/>
          </w:rPr>
          <w:t>/</w:t>
        </w:r>
        <w:r w:rsidRPr="006B5BAF">
          <w:rPr>
            <w:rStyle w:val="Hyperlink"/>
          </w:rPr>
          <w:t>642</w:t>
        </w:r>
      </w:hyperlink>
      <w:r>
        <w:rPr>
          <w:rtl/>
        </w:rPr>
        <w:t xml:space="preserve">، الفقرة </w:t>
      </w:r>
      <w:r w:rsidRPr="006B5BAF">
        <w:rPr>
          <w:rtl/>
        </w:rPr>
        <w:t>74</w:t>
      </w:r>
      <w:r w:rsidRPr="00977A73">
        <w:rPr>
          <w:rtl/>
        </w:rPr>
        <w:t xml:space="preserve">. </w:t>
      </w:r>
      <w:r>
        <w:rPr>
          <w:rtl/>
        </w:rPr>
        <w:t xml:space="preserve">الأنشطة الحالية الخاصة بتسجيل البيانات تقوم بها أساساً منظمات غير حكومية ومنظمات دولية. وفقاً لمشروع المهاجرين المفقودين التابع للمنظمة الدولية للهجرة، فُقد أكثر من </w:t>
      </w:r>
      <w:r w:rsidRPr="006B5BAF">
        <w:rPr>
          <w:rtl/>
        </w:rPr>
        <w:t>000</w:t>
      </w:r>
      <w:r w:rsidRPr="001659E7">
        <w:rPr>
          <w:rtl/>
        </w:rPr>
        <w:t xml:space="preserve"> </w:t>
      </w:r>
      <w:r w:rsidRPr="006B5BAF">
        <w:rPr>
          <w:rtl/>
        </w:rPr>
        <w:t>50</w:t>
      </w:r>
      <w:r>
        <w:rPr>
          <w:rtl/>
        </w:rPr>
        <w:t xml:space="preserve"> مهاجر منذ عام </w:t>
      </w:r>
      <w:r w:rsidRPr="006B5BAF">
        <w:rPr>
          <w:rtl/>
        </w:rPr>
        <w:t>2014</w:t>
      </w:r>
      <w:r w:rsidRPr="00977A73">
        <w:rPr>
          <w:rtl/>
        </w:rPr>
        <w:t xml:space="preserve">. </w:t>
      </w:r>
      <w:r>
        <w:rPr>
          <w:rtl/>
        </w:rPr>
        <w:t>انظر أيضاً</w:t>
      </w:r>
      <w:r>
        <w:rPr>
          <w:rFonts w:hint="cs"/>
          <w:rtl/>
        </w:rPr>
        <w:t xml:space="preserve"> </w:t>
      </w:r>
      <w:r>
        <w:t xml:space="preserve">Julia </w:t>
      </w:r>
      <w:r w:rsidRPr="00C02062">
        <w:t xml:space="preserve">Black, </w:t>
      </w:r>
      <w:r w:rsidRPr="006B5BAF">
        <w:rPr>
          <w:i/>
          <w:iCs/>
        </w:rPr>
        <w:t>Global Migration Indicators 2021</w:t>
      </w:r>
      <w:r w:rsidRPr="006B5BAF">
        <w:rPr>
          <w:rFonts w:cstheme="minorHAnsi"/>
          <w:i/>
          <w:iCs/>
        </w:rPr>
        <w:t>: Insights from the Global Migration Data Portal</w:t>
      </w:r>
      <w:r>
        <w:rPr>
          <w:rFonts w:cstheme="minorHAnsi"/>
        </w:rPr>
        <w:t xml:space="preserve"> (Geneva, IOM, </w:t>
      </w:r>
      <w:proofErr w:type="gramStart"/>
      <w:r w:rsidRPr="006B5BAF">
        <w:rPr>
          <w:rFonts w:cstheme="minorHAnsi"/>
        </w:rPr>
        <w:t>2021</w:t>
      </w:r>
      <w:r>
        <w:rPr>
          <w:rFonts w:cstheme="minorHAnsi"/>
        </w:rPr>
        <w:t>)</w:t>
      </w:r>
      <w:r w:rsidRPr="00C02062">
        <w:t>,</w:t>
      </w:r>
      <w:proofErr w:type="gramEnd"/>
      <w:r w:rsidRPr="00C02062">
        <w:t xml:space="preserve"> pp. </w:t>
      </w:r>
      <w:r w:rsidRPr="006B5BAF">
        <w:t>38</w:t>
      </w:r>
      <w:r>
        <w:t xml:space="preserve"> and </w:t>
      </w:r>
      <w:r w:rsidRPr="006B5BAF">
        <w:t>39</w:t>
      </w:r>
      <w:r>
        <w:rPr>
          <w:rtl/>
        </w:rPr>
        <w:t>.</w:t>
      </w:r>
    </w:p>
  </w:footnote>
  <w:footnote w:id="12">
    <w:p w14:paraId="4F8EDFE4" w14:textId="77777777" w:rsidR="005E0255" w:rsidRPr="001659E7" w:rsidRDefault="005E0255" w:rsidP="00183DF0">
      <w:pPr>
        <w:pStyle w:val="FootnoteText1"/>
        <w:textDirection w:val="tbRlV"/>
      </w:pPr>
      <w:r>
        <w:rPr>
          <w:rtl/>
        </w:rPr>
        <w:t>(</w:t>
      </w:r>
      <w:r w:rsidRPr="006B5BAF">
        <w:rPr>
          <w:lang w:val="en-AU"/>
        </w:rPr>
        <w:footnoteRef/>
      </w:r>
      <w:r>
        <w:rPr>
          <w:rtl/>
        </w:rPr>
        <w:t>)</w:t>
      </w:r>
      <w:r>
        <w:rPr>
          <w:rtl/>
        </w:rPr>
        <w:tab/>
      </w:r>
      <w:hyperlink r:id="rId10" w:history="1">
        <w:r w:rsidRPr="00977A73">
          <w:rPr>
            <w:rStyle w:val="Hyperlink"/>
          </w:rPr>
          <w:t>A/HRC/</w:t>
        </w:r>
        <w:r w:rsidRPr="006B5BAF">
          <w:rPr>
            <w:rStyle w:val="Hyperlink"/>
          </w:rPr>
          <w:t>36</w:t>
        </w:r>
        <w:r w:rsidRPr="00977A73">
          <w:rPr>
            <w:rStyle w:val="Hyperlink"/>
          </w:rPr>
          <w:t>/</w:t>
        </w:r>
        <w:r w:rsidRPr="006B5BAF">
          <w:rPr>
            <w:rStyle w:val="Hyperlink"/>
          </w:rPr>
          <w:t>39</w:t>
        </w:r>
        <w:r w:rsidRPr="00977A73">
          <w:rPr>
            <w:rStyle w:val="Hyperlink"/>
          </w:rPr>
          <w:t>/Add.</w:t>
        </w:r>
        <w:r w:rsidRPr="006B5BAF">
          <w:rPr>
            <w:rStyle w:val="Hyperlink"/>
          </w:rPr>
          <w:t>2</w:t>
        </w:r>
        <w:r w:rsidRPr="00977A73">
          <w:rPr>
            <w:rStyle w:val="Hyperlink"/>
            <w:rtl/>
          </w:rPr>
          <w:t>.</w:t>
        </w:r>
      </w:hyperlink>
    </w:p>
  </w:footnote>
  <w:footnote w:id="13">
    <w:p w14:paraId="754CED75" w14:textId="77777777" w:rsidR="005E0255" w:rsidRPr="001659E7" w:rsidRDefault="005E0255" w:rsidP="005347C1">
      <w:pPr>
        <w:pStyle w:val="FootnoteText1"/>
        <w:textDirection w:val="tbRlV"/>
      </w:pPr>
      <w:r>
        <w:rPr>
          <w:rtl/>
        </w:rPr>
        <w:t>(</w:t>
      </w:r>
      <w:r w:rsidRPr="006B5BAF">
        <w:rPr>
          <w:lang w:val="en-AU"/>
        </w:rPr>
        <w:footnoteRef/>
      </w:r>
      <w:r>
        <w:rPr>
          <w:rtl/>
        </w:rPr>
        <w:t>)</w:t>
      </w:r>
      <w:r>
        <w:rPr>
          <w:rtl/>
        </w:rPr>
        <w:tab/>
      </w:r>
      <w:hyperlink r:id="rId11" w:history="1">
        <w:r w:rsidRPr="00977A73">
          <w:rPr>
            <w:rStyle w:val="Hyperlink"/>
          </w:rPr>
          <w:t>A/</w:t>
        </w:r>
        <w:r w:rsidRPr="006B5BAF">
          <w:rPr>
            <w:rStyle w:val="Hyperlink"/>
          </w:rPr>
          <w:t>72</w:t>
        </w:r>
        <w:r w:rsidRPr="00977A73">
          <w:rPr>
            <w:rStyle w:val="Hyperlink"/>
          </w:rPr>
          <w:t>/</w:t>
        </w:r>
        <w:r w:rsidRPr="006B5BAF">
          <w:rPr>
            <w:rStyle w:val="Hyperlink"/>
          </w:rPr>
          <w:t>335</w:t>
        </w:r>
      </w:hyperlink>
      <w:r>
        <w:rPr>
          <w:rtl/>
        </w:rPr>
        <w:t xml:space="preserve">، الفقرة </w:t>
      </w:r>
      <w:r w:rsidRPr="006B5BAF">
        <w:rPr>
          <w:rtl/>
        </w:rPr>
        <w:t>2</w:t>
      </w:r>
      <w:r>
        <w:rPr>
          <w:rtl/>
        </w:rPr>
        <w:t>؛ و</w:t>
      </w:r>
      <w:hyperlink r:id="rId12" w:history="1">
        <w:r w:rsidRPr="00977A73">
          <w:rPr>
            <w:rStyle w:val="Hyperlink"/>
          </w:rPr>
          <w:t>A/HRC/</w:t>
        </w:r>
        <w:r w:rsidRPr="006B5BAF">
          <w:rPr>
            <w:rStyle w:val="Hyperlink"/>
          </w:rPr>
          <w:t>36</w:t>
        </w:r>
        <w:r w:rsidRPr="00977A73">
          <w:rPr>
            <w:rStyle w:val="Hyperlink"/>
          </w:rPr>
          <w:t>/</w:t>
        </w:r>
        <w:r w:rsidRPr="006B5BAF">
          <w:rPr>
            <w:rStyle w:val="Hyperlink"/>
          </w:rPr>
          <w:t>39</w:t>
        </w:r>
        <w:r w:rsidRPr="00977A73">
          <w:rPr>
            <w:rStyle w:val="Hyperlink"/>
          </w:rPr>
          <w:t>/Add.</w:t>
        </w:r>
        <w:r w:rsidRPr="006B5BAF">
          <w:rPr>
            <w:rStyle w:val="Hyperlink"/>
          </w:rPr>
          <w:t>2</w:t>
        </w:r>
      </w:hyperlink>
      <w:r>
        <w:rPr>
          <w:rtl/>
        </w:rPr>
        <w:t xml:space="preserve">، الفقرة </w:t>
      </w:r>
      <w:r w:rsidRPr="006B5BAF">
        <w:rPr>
          <w:rtl/>
        </w:rPr>
        <w:t>56</w:t>
      </w:r>
      <w:r>
        <w:rPr>
          <w:rtl/>
        </w:rPr>
        <w:t>.</w:t>
      </w:r>
    </w:p>
  </w:footnote>
  <w:footnote w:id="14">
    <w:p w14:paraId="24339570" w14:textId="232C8CCC" w:rsidR="005E0255" w:rsidRPr="001659E7" w:rsidRDefault="005E0255" w:rsidP="001E0920">
      <w:pPr>
        <w:pStyle w:val="FootnoteText1"/>
        <w:textDirection w:val="tbRlV"/>
      </w:pPr>
      <w:r>
        <w:rPr>
          <w:rtl/>
        </w:rPr>
        <w:t>(</w:t>
      </w:r>
      <w:r w:rsidRPr="006B5BAF">
        <w:rPr>
          <w:lang w:val="en-AU"/>
        </w:rPr>
        <w:footnoteRef/>
      </w:r>
      <w:r>
        <w:rPr>
          <w:rtl/>
        </w:rPr>
        <w:t>)</w:t>
      </w:r>
      <w:r>
        <w:rPr>
          <w:rtl/>
        </w:rPr>
        <w:tab/>
      </w:r>
      <w:r>
        <w:t>Office of the United Nations High Commissioner for Human Rights (OHCHR</w:t>
      </w:r>
      <w:proofErr w:type="gramStart"/>
      <w:r>
        <w:t>)</w:t>
      </w:r>
      <w:r w:rsidRPr="007354CB">
        <w:t>,</w:t>
      </w:r>
      <w:proofErr w:type="gramEnd"/>
      <w:r w:rsidRPr="007354CB">
        <w:t xml:space="preserve"> “</w:t>
      </w:r>
      <w:r>
        <w:t>‘</w:t>
      </w:r>
      <w:r w:rsidRPr="007354CB">
        <w:t xml:space="preserve">Lethal </w:t>
      </w:r>
      <w:r>
        <w:t>d</w:t>
      </w:r>
      <w:r w:rsidRPr="007354CB">
        <w:t>isregard</w:t>
      </w:r>
      <w:r>
        <w:t>’</w:t>
      </w:r>
      <w:r w:rsidRPr="007354CB">
        <w:t xml:space="preserve">: </w:t>
      </w:r>
      <w:r>
        <w:t>s</w:t>
      </w:r>
      <w:r w:rsidRPr="007354CB">
        <w:t xml:space="preserve">earch and rescue and the protection of migrants in the central Mediterranean Sea” </w:t>
      </w:r>
      <w:r>
        <w:t xml:space="preserve">(Geneva, </w:t>
      </w:r>
      <w:r w:rsidRPr="006B5BAF">
        <w:t>2021</w:t>
      </w:r>
      <w:r>
        <w:t>)</w:t>
      </w:r>
      <w:r>
        <w:rPr>
          <w:rFonts w:hint="cs"/>
          <w:rtl/>
        </w:rPr>
        <w:t>؛ و</w:t>
      </w:r>
      <w:r w:rsidRPr="00183B80">
        <w:t xml:space="preserve"> </w:t>
      </w:r>
      <w:r w:rsidRPr="007354CB">
        <w:t xml:space="preserve">Noemi </w:t>
      </w:r>
      <w:proofErr w:type="spellStart"/>
      <w:r w:rsidRPr="007354CB">
        <w:t>Magugliani</w:t>
      </w:r>
      <w:proofErr w:type="spellEnd"/>
      <w:r w:rsidRPr="007354CB">
        <w:t xml:space="preserve"> and Jean-Pierre Gauci</w:t>
      </w:r>
      <w:r>
        <w:t>,</w:t>
      </w:r>
      <w:r w:rsidRPr="007354CB">
        <w:t xml:space="preserve"> </w:t>
      </w:r>
      <w:r>
        <w:t>“</w:t>
      </w:r>
      <w:r w:rsidRPr="007354CB">
        <w:t xml:space="preserve">Migrant </w:t>
      </w:r>
      <w:r>
        <w:t>c</w:t>
      </w:r>
      <w:r w:rsidRPr="007354CB">
        <w:t xml:space="preserve">rossings in the Channel: </w:t>
      </w:r>
      <w:r>
        <w:t>n</w:t>
      </w:r>
      <w:r w:rsidRPr="007354CB">
        <w:t>on-</w:t>
      </w:r>
      <w:r>
        <w:t>a</w:t>
      </w:r>
      <w:r w:rsidRPr="007354CB">
        <w:t xml:space="preserve">ssistance, </w:t>
      </w:r>
      <w:proofErr w:type="spellStart"/>
      <w:r>
        <w:t>s</w:t>
      </w:r>
      <w:r w:rsidRPr="007354CB">
        <w:t>ecuritisation</w:t>
      </w:r>
      <w:proofErr w:type="spellEnd"/>
      <w:r w:rsidRPr="007354CB">
        <w:t xml:space="preserve">, and </w:t>
      </w:r>
      <w:r>
        <w:t>a</w:t>
      </w:r>
      <w:r w:rsidRPr="007354CB">
        <w:t xml:space="preserve">ccountability </w:t>
      </w:r>
      <w:r>
        <w:t>u</w:t>
      </w:r>
      <w:r w:rsidRPr="007354CB">
        <w:t xml:space="preserve">nder </w:t>
      </w:r>
      <w:r>
        <w:t>i</w:t>
      </w:r>
      <w:r w:rsidRPr="007354CB">
        <w:t xml:space="preserve">nternational </w:t>
      </w:r>
      <w:r>
        <w:t>l</w:t>
      </w:r>
      <w:r w:rsidRPr="007354CB">
        <w:t>aw</w:t>
      </w:r>
      <w:r>
        <w:t>”</w:t>
      </w:r>
      <w:r w:rsidRPr="007354CB">
        <w:t xml:space="preserve">, </w:t>
      </w:r>
      <w:proofErr w:type="spellStart"/>
      <w:r w:rsidRPr="0066546F">
        <w:t>Opinio</w:t>
      </w:r>
      <w:proofErr w:type="spellEnd"/>
      <w:r w:rsidRPr="0066546F">
        <w:t xml:space="preserve"> Juris,</w:t>
      </w:r>
      <w:r w:rsidRPr="007354CB">
        <w:t xml:space="preserve"> </w:t>
      </w:r>
      <w:r w:rsidRPr="006B5BAF">
        <w:t>21</w:t>
      </w:r>
      <w:r w:rsidRPr="007354CB">
        <w:t xml:space="preserve"> December</w:t>
      </w:r>
      <w:r>
        <w:t xml:space="preserve"> </w:t>
      </w:r>
      <w:r w:rsidRPr="006B5BAF">
        <w:t>2021</w:t>
      </w:r>
      <w:r w:rsidRPr="00977A73">
        <w:rPr>
          <w:rtl/>
        </w:rPr>
        <w:t>.</w:t>
      </w:r>
    </w:p>
  </w:footnote>
  <w:footnote w:id="15">
    <w:p w14:paraId="6AF558B2" w14:textId="7F2226D4" w:rsidR="005E0255" w:rsidRPr="001659E7" w:rsidRDefault="005E0255" w:rsidP="00685F07">
      <w:pPr>
        <w:pStyle w:val="FootnoteText1"/>
        <w:textDirection w:val="tbRlV"/>
      </w:pPr>
      <w:r>
        <w:rPr>
          <w:rtl/>
        </w:rPr>
        <w:t>(</w:t>
      </w:r>
      <w:r w:rsidRPr="006B5BAF">
        <w:rPr>
          <w:lang w:val="en-AU"/>
        </w:rPr>
        <w:footnoteRef/>
      </w:r>
      <w:r>
        <w:rPr>
          <w:rtl/>
        </w:rPr>
        <w:t>)</w:t>
      </w:r>
      <w:r>
        <w:rPr>
          <w:rtl/>
        </w:rPr>
        <w:tab/>
      </w:r>
      <w:hyperlink r:id="rId13" w:history="1">
        <w:r w:rsidRPr="00977A73">
          <w:rPr>
            <w:rStyle w:val="Hyperlink"/>
          </w:rPr>
          <w:t>A/HRC/</w:t>
        </w:r>
        <w:r w:rsidRPr="006B5BAF">
          <w:rPr>
            <w:rStyle w:val="Hyperlink"/>
          </w:rPr>
          <w:t>36</w:t>
        </w:r>
        <w:r w:rsidRPr="00977A73">
          <w:rPr>
            <w:rStyle w:val="Hyperlink"/>
          </w:rPr>
          <w:t>/</w:t>
        </w:r>
        <w:r w:rsidRPr="006B5BAF">
          <w:rPr>
            <w:rStyle w:val="Hyperlink"/>
          </w:rPr>
          <w:t>39</w:t>
        </w:r>
        <w:r w:rsidRPr="00977A73">
          <w:rPr>
            <w:rStyle w:val="Hyperlink"/>
          </w:rPr>
          <w:t>/Add.</w:t>
        </w:r>
        <w:r w:rsidRPr="006B5BAF">
          <w:rPr>
            <w:rStyle w:val="Hyperlink"/>
          </w:rPr>
          <w:t>2</w:t>
        </w:r>
      </w:hyperlink>
      <w:r>
        <w:rPr>
          <w:rtl/>
        </w:rPr>
        <w:t xml:space="preserve">، الفقرات </w:t>
      </w:r>
      <w:r w:rsidRPr="006B5BAF">
        <w:rPr>
          <w:rtl/>
        </w:rPr>
        <w:t>34</w:t>
      </w:r>
      <w:r w:rsidRPr="001659E7">
        <w:rPr>
          <w:rtl/>
        </w:rPr>
        <w:t>-</w:t>
      </w:r>
      <w:r w:rsidRPr="006B5BAF">
        <w:rPr>
          <w:rtl/>
        </w:rPr>
        <w:t>43</w:t>
      </w:r>
      <w:r w:rsidRPr="00977A73">
        <w:rPr>
          <w:rtl/>
        </w:rPr>
        <w:t xml:space="preserve">. </w:t>
      </w:r>
      <w:r>
        <w:rPr>
          <w:rtl/>
        </w:rPr>
        <w:t>انظر أيضاً</w:t>
      </w:r>
      <w:r>
        <w:rPr>
          <w:rFonts w:hint="cs"/>
          <w:rtl/>
        </w:rPr>
        <w:t xml:space="preserve"> </w:t>
      </w:r>
      <w:r w:rsidRPr="007354CB">
        <w:t xml:space="preserve">Human Rights Commission of Malaysia and Fortify Rights, </w:t>
      </w:r>
      <w:r w:rsidRPr="006B5BAF">
        <w:rPr>
          <w:i/>
          <w:iCs/>
        </w:rPr>
        <w:t xml:space="preserve">“Sold like Fish”: Crimes against Humanity, Mass Graves, and Human Trafficking from Myanmar and Bangladesh to Malaysia from 2012 to 2015 </w:t>
      </w:r>
      <w:r>
        <w:t>(</w:t>
      </w:r>
      <w:r w:rsidRPr="006B5BAF">
        <w:t>2019</w:t>
      </w:r>
      <w:r w:rsidRPr="007F1171">
        <w:t>)</w:t>
      </w:r>
      <w:r w:rsidRPr="00977A73">
        <w:rPr>
          <w:rtl/>
        </w:rPr>
        <w:t>.</w:t>
      </w:r>
    </w:p>
  </w:footnote>
  <w:footnote w:id="16">
    <w:p w14:paraId="7DCCB1D1" w14:textId="77777777" w:rsidR="005E0255" w:rsidRPr="001659E7" w:rsidRDefault="005E0255" w:rsidP="006D4464">
      <w:pPr>
        <w:pStyle w:val="FootnoteText1"/>
        <w:textDirection w:val="tbRlV"/>
      </w:pPr>
      <w:r>
        <w:rPr>
          <w:rtl/>
        </w:rPr>
        <w:t>(</w:t>
      </w:r>
      <w:r w:rsidRPr="006B5BAF">
        <w:rPr>
          <w:lang w:val="en-AU"/>
        </w:rPr>
        <w:footnoteRef/>
      </w:r>
      <w:r>
        <w:rPr>
          <w:rtl/>
        </w:rPr>
        <w:t>)</w:t>
      </w:r>
      <w:r>
        <w:rPr>
          <w:rtl/>
        </w:rPr>
        <w:tab/>
      </w:r>
      <w:hyperlink r:id="rId14" w:history="1">
        <w:r w:rsidRPr="00977A73">
          <w:rPr>
            <w:rStyle w:val="Hyperlink"/>
          </w:rPr>
          <w:t>A/HRC/</w:t>
        </w:r>
        <w:r w:rsidRPr="006B5BAF">
          <w:rPr>
            <w:rStyle w:val="Hyperlink"/>
          </w:rPr>
          <w:t>36</w:t>
        </w:r>
        <w:r w:rsidRPr="00977A73">
          <w:rPr>
            <w:rStyle w:val="Hyperlink"/>
          </w:rPr>
          <w:t>/</w:t>
        </w:r>
        <w:r w:rsidRPr="006B5BAF">
          <w:rPr>
            <w:rStyle w:val="Hyperlink"/>
          </w:rPr>
          <w:t>39</w:t>
        </w:r>
        <w:r w:rsidRPr="00977A73">
          <w:rPr>
            <w:rStyle w:val="Hyperlink"/>
          </w:rPr>
          <w:t>/Add.</w:t>
        </w:r>
        <w:r w:rsidRPr="006B5BAF">
          <w:rPr>
            <w:rStyle w:val="Hyperlink"/>
          </w:rPr>
          <w:t>2</w:t>
        </w:r>
      </w:hyperlink>
      <w:r>
        <w:rPr>
          <w:rtl/>
        </w:rPr>
        <w:t xml:space="preserve">، الفقرتان </w:t>
      </w:r>
      <w:r w:rsidRPr="006B5BAF">
        <w:rPr>
          <w:rtl/>
        </w:rPr>
        <w:t>50</w:t>
      </w:r>
      <w:r>
        <w:rPr>
          <w:rtl/>
        </w:rPr>
        <w:t xml:space="preserve"> و</w:t>
      </w:r>
      <w:r w:rsidRPr="006B5BAF">
        <w:rPr>
          <w:rtl/>
        </w:rPr>
        <w:t>51</w:t>
      </w:r>
      <w:r>
        <w:rPr>
          <w:rtl/>
        </w:rPr>
        <w:t>.</w:t>
      </w:r>
    </w:p>
  </w:footnote>
  <w:footnote w:id="17">
    <w:p w14:paraId="605AE92E" w14:textId="77777777" w:rsidR="005E0255" w:rsidRPr="001659E7" w:rsidRDefault="005E0255" w:rsidP="000C2655">
      <w:pPr>
        <w:pStyle w:val="FootnoteText1"/>
        <w:textDirection w:val="tbRlV"/>
      </w:pPr>
      <w:r>
        <w:rPr>
          <w:rtl/>
        </w:rPr>
        <w:t>(</w:t>
      </w:r>
      <w:r w:rsidRPr="006B5BAF">
        <w:rPr>
          <w:lang w:val="en-AU"/>
        </w:rPr>
        <w:footnoteRef/>
      </w:r>
      <w:r>
        <w:rPr>
          <w:rtl/>
        </w:rPr>
        <w:t>)</w:t>
      </w:r>
      <w:r>
        <w:rPr>
          <w:rtl/>
        </w:rPr>
        <w:tab/>
      </w:r>
      <w:hyperlink r:id="rId15" w:history="1">
        <w:r w:rsidRPr="00977A73">
          <w:rPr>
            <w:rStyle w:val="Hyperlink"/>
          </w:rPr>
          <w:t>CED/C/BRA/CO/</w:t>
        </w:r>
        <w:r w:rsidRPr="006B5BAF">
          <w:rPr>
            <w:rStyle w:val="Hyperlink"/>
          </w:rPr>
          <w:t>1</w:t>
        </w:r>
      </w:hyperlink>
      <w:r>
        <w:rPr>
          <w:rtl/>
        </w:rPr>
        <w:t xml:space="preserve">، الفقرة </w:t>
      </w:r>
      <w:r w:rsidRPr="006B5BAF">
        <w:rPr>
          <w:rtl/>
        </w:rPr>
        <w:t>23</w:t>
      </w:r>
      <w:r w:rsidRPr="001659E7">
        <w:rPr>
          <w:rtl/>
        </w:rPr>
        <w:t>(</w:t>
      </w:r>
      <w:r>
        <w:rPr>
          <w:rtl/>
        </w:rPr>
        <w:t>ج</w:t>
      </w:r>
      <w:r w:rsidRPr="00977A73">
        <w:rPr>
          <w:rtl/>
        </w:rPr>
        <w:t xml:space="preserve">)؛ </w:t>
      </w:r>
      <w:r>
        <w:rPr>
          <w:rtl/>
        </w:rPr>
        <w:t>و</w:t>
      </w:r>
      <w:hyperlink r:id="rId16" w:history="1">
        <w:r w:rsidRPr="00977A73">
          <w:rPr>
            <w:rStyle w:val="Hyperlink"/>
          </w:rPr>
          <w:t>CED/C/MEX/VR/</w:t>
        </w:r>
        <w:r w:rsidRPr="006B5BAF">
          <w:rPr>
            <w:rStyle w:val="Hyperlink"/>
          </w:rPr>
          <w:t>1</w:t>
        </w:r>
      </w:hyperlink>
      <w:r w:rsidRPr="001659E7">
        <w:t xml:space="preserve"> (Recommendations</w:t>
      </w:r>
      <w:r w:rsidRPr="00977A73">
        <w:t>)</w:t>
      </w:r>
      <w:r w:rsidRPr="00977A73">
        <w:rPr>
          <w:rtl/>
        </w:rPr>
        <w:t xml:space="preserve">، </w:t>
      </w:r>
      <w:r>
        <w:rPr>
          <w:rtl/>
        </w:rPr>
        <w:t xml:space="preserve">الفقرة </w:t>
      </w:r>
      <w:r w:rsidRPr="006B5BAF">
        <w:rPr>
          <w:rtl/>
        </w:rPr>
        <w:t>37</w:t>
      </w:r>
      <w:r>
        <w:rPr>
          <w:rtl/>
        </w:rPr>
        <w:t>.</w:t>
      </w:r>
    </w:p>
  </w:footnote>
  <w:footnote w:id="18">
    <w:p w14:paraId="5E8ABCBD" w14:textId="5C38801C" w:rsidR="005E0255" w:rsidRPr="001659E7" w:rsidRDefault="005E0255" w:rsidP="00793456">
      <w:pPr>
        <w:pStyle w:val="FootnoteText1"/>
        <w:textDirection w:val="tbRlV"/>
      </w:pPr>
      <w:r>
        <w:rPr>
          <w:rtl/>
        </w:rPr>
        <w:t>(</w:t>
      </w:r>
      <w:r w:rsidRPr="006B5BAF">
        <w:rPr>
          <w:lang w:val="en-AU"/>
        </w:rPr>
        <w:footnoteRef/>
      </w:r>
      <w:r>
        <w:rPr>
          <w:rtl/>
        </w:rPr>
        <w:t>)</w:t>
      </w:r>
      <w:r>
        <w:rPr>
          <w:rtl/>
        </w:rPr>
        <w:tab/>
      </w:r>
      <w:r w:rsidRPr="001502FA">
        <w:t xml:space="preserve">Border Violence Monitoring Network, “EU </w:t>
      </w:r>
      <w:r>
        <w:t>m</w:t>
      </w:r>
      <w:r w:rsidRPr="001502FA">
        <w:t>ember States</w:t>
      </w:r>
      <w:r>
        <w:t>’</w:t>
      </w:r>
      <w:r w:rsidRPr="001502FA">
        <w:t xml:space="preserve"> use of new technologies in enforced disappearances</w:t>
      </w:r>
      <w:r>
        <w:t>:</w:t>
      </w:r>
      <w:r w:rsidRPr="001502FA">
        <w:t xml:space="preserve"> </w:t>
      </w:r>
      <w:r>
        <w:t>i</w:t>
      </w:r>
      <w:r w:rsidRPr="001502FA">
        <w:t xml:space="preserve">nput for the thematic study by </w:t>
      </w:r>
      <w:r>
        <w:t xml:space="preserve">the UN Working Group in Enforced or Involuntary Disappearances </w:t>
      </w:r>
      <w:r w:rsidRPr="001502FA">
        <w:t xml:space="preserve">on </w:t>
      </w:r>
      <w:r>
        <w:t>‘</w:t>
      </w:r>
      <w:r w:rsidRPr="001502FA">
        <w:t>new technologies and enforced disappearances</w:t>
      </w:r>
      <w:r>
        <w:t>’” (</w:t>
      </w:r>
      <w:r w:rsidRPr="006B5BAF">
        <w:t>2023</w:t>
      </w:r>
      <w:r>
        <w:t>)</w:t>
      </w:r>
      <w:hyperlink w:history="1"/>
      <w:r w:rsidRPr="00A260F4">
        <w:t xml:space="preserve">, para. </w:t>
      </w:r>
      <w:r w:rsidRPr="006B5BAF">
        <w:t>9</w:t>
      </w:r>
      <w:r w:rsidRPr="00977A73">
        <w:rPr>
          <w:rtl/>
        </w:rPr>
        <w:t>.</w:t>
      </w:r>
    </w:p>
  </w:footnote>
  <w:footnote w:id="19">
    <w:p w14:paraId="6E83657B" w14:textId="77777777" w:rsidR="005E0255" w:rsidRPr="001659E7" w:rsidRDefault="005E0255" w:rsidP="00531CA3">
      <w:pPr>
        <w:pStyle w:val="FootnoteText1"/>
        <w:textDirection w:val="tbRlV"/>
      </w:pPr>
      <w:r>
        <w:rPr>
          <w:rtl/>
        </w:rPr>
        <w:t>(</w:t>
      </w:r>
      <w:r w:rsidRPr="006B5BAF">
        <w:rPr>
          <w:lang w:val="en-AU"/>
        </w:rPr>
        <w:footnoteRef/>
      </w:r>
      <w:r>
        <w:rPr>
          <w:rtl/>
        </w:rPr>
        <w:t>)</w:t>
      </w:r>
      <w:r>
        <w:rPr>
          <w:rtl/>
        </w:rPr>
        <w:tab/>
      </w:r>
      <w:r w:rsidRPr="00183B80">
        <w:rPr>
          <w:spacing w:val="-2"/>
          <w:rtl/>
        </w:rPr>
        <w:t xml:space="preserve">اللجنة المعنية بحماية حقوق جميع العمال المهاجرين وأفراد أسرهم، التعليق العام رقم </w:t>
      </w:r>
      <w:r w:rsidRPr="006B5BAF">
        <w:rPr>
          <w:spacing w:val="-2"/>
          <w:rtl/>
        </w:rPr>
        <w:t>5</w:t>
      </w:r>
      <w:r w:rsidRPr="00183B80">
        <w:rPr>
          <w:spacing w:val="-2"/>
          <w:rtl/>
        </w:rPr>
        <w:t>(</w:t>
      </w:r>
      <w:r w:rsidRPr="006B5BAF">
        <w:rPr>
          <w:spacing w:val="-2"/>
          <w:rtl/>
        </w:rPr>
        <w:t>2021</w:t>
      </w:r>
      <w:r w:rsidRPr="00183B80">
        <w:rPr>
          <w:spacing w:val="-2"/>
          <w:rtl/>
        </w:rPr>
        <w:t>) بشأن حقوق المهاجرين في الحرية</w:t>
      </w:r>
      <w:r>
        <w:rPr>
          <w:rtl/>
        </w:rPr>
        <w:t xml:space="preserve"> وعدم التعرض للاحتجاز التعسفي وعلاقتها بحقوق الإنسان الأخرى، الفقرة </w:t>
      </w:r>
      <w:r w:rsidRPr="006B5BAF">
        <w:rPr>
          <w:rtl/>
        </w:rPr>
        <w:t>32</w:t>
      </w:r>
      <w:r>
        <w:rPr>
          <w:rtl/>
        </w:rPr>
        <w:t>.</w:t>
      </w:r>
    </w:p>
  </w:footnote>
  <w:footnote w:id="20">
    <w:p w14:paraId="16868493" w14:textId="77777777" w:rsidR="005E0255" w:rsidRPr="001659E7" w:rsidRDefault="005E0255" w:rsidP="00A02AD9">
      <w:pPr>
        <w:pStyle w:val="FootnoteText1"/>
      </w:pPr>
      <w:r>
        <w:rPr>
          <w:rtl/>
        </w:rPr>
        <w:t>(</w:t>
      </w:r>
      <w:r w:rsidRPr="006B5BAF">
        <w:rPr>
          <w:lang w:val="en-AU"/>
        </w:rPr>
        <w:footnoteRef/>
      </w:r>
      <w:r>
        <w:rPr>
          <w:rtl/>
        </w:rPr>
        <w:t>)</w:t>
      </w:r>
      <w:r>
        <w:rPr>
          <w:rtl/>
        </w:rPr>
        <w:tab/>
        <w:t xml:space="preserve">يتضمن الاتفاق العالمي من أجل الهجرة الآمنة والمنظمة والنظامية عدة أهداف ذات صلة مباشرة بالتزامات الدول الأطراف بمنع اختفاء المهاجرين والتصدي له، وترتبط ارتباطاً مباشراً بخطر الاختفاء أثناء عملية الهجرة. وينبغي استخدام الأهداف التالية دليلاً لوضع سياسات واستراتيجيات وقائية: الهدف </w:t>
      </w:r>
      <w:r w:rsidRPr="006B5BAF">
        <w:rPr>
          <w:rtl/>
        </w:rPr>
        <w:t>5</w:t>
      </w:r>
      <w:r w:rsidRPr="001659E7">
        <w:rPr>
          <w:rtl/>
        </w:rPr>
        <w:t xml:space="preserve"> (</w:t>
      </w:r>
      <w:r>
        <w:rPr>
          <w:rtl/>
        </w:rPr>
        <w:t>تعزيز توافر مسارات الهجرة النظامية ومرونتها</w:t>
      </w:r>
      <w:r w:rsidRPr="00977A73">
        <w:rPr>
          <w:rtl/>
        </w:rPr>
        <w:t xml:space="preserve">)، </w:t>
      </w:r>
      <w:r>
        <w:rPr>
          <w:rtl/>
        </w:rPr>
        <w:t xml:space="preserve">والهدف </w:t>
      </w:r>
      <w:r w:rsidRPr="006B5BAF">
        <w:rPr>
          <w:rtl/>
        </w:rPr>
        <w:t>7</w:t>
      </w:r>
      <w:r w:rsidRPr="001659E7">
        <w:rPr>
          <w:rtl/>
        </w:rPr>
        <w:t xml:space="preserve"> (</w:t>
      </w:r>
      <w:r>
        <w:rPr>
          <w:rtl/>
        </w:rPr>
        <w:t>معالجة أوجه الضعف في الهجرة والحد منها</w:t>
      </w:r>
      <w:r w:rsidRPr="00977A73">
        <w:rPr>
          <w:rtl/>
        </w:rPr>
        <w:t xml:space="preserve">)، </w:t>
      </w:r>
      <w:r>
        <w:rPr>
          <w:rtl/>
        </w:rPr>
        <w:t xml:space="preserve">والهدف </w:t>
      </w:r>
      <w:r w:rsidRPr="006B5BAF">
        <w:rPr>
          <w:rtl/>
        </w:rPr>
        <w:t>8</w:t>
      </w:r>
      <w:r w:rsidRPr="001659E7">
        <w:rPr>
          <w:rtl/>
        </w:rPr>
        <w:t xml:space="preserve"> (</w:t>
      </w:r>
      <w:r>
        <w:rPr>
          <w:rtl/>
        </w:rPr>
        <w:t>إنقاذ الأرواح وبذل جهود دولية منسقة بشأن المهاجرين المفقودين</w:t>
      </w:r>
      <w:r w:rsidRPr="00977A73">
        <w:rPr>
          <w:rtl/>
        </w:rPr>
        <w:t xml:space="preserve">)، </w:t>
      </w:r>
      <w:r>
        <w:rPr>
          <w:rtl/>
        </w:rPr>
        <w:t xml:space="preserve">والهدف </w:t>
      </w:r>
      <w:r w:rsidRPr="006B5BAF">
        <w:rPr>
          <w:rtl/>
        </w:rPr>
        <w:t>9</w:t>
      </w:r>
      <w:r w:rsidRPr="001659E7">
        <w:rPr>
          <w:rtl/>
        </w:rPr>
        <w:t xml:space="preserve"> (</w:t>
      </w:r>
      <w:r>
        <w:rPr>
          <w:rtl/>
        </w:rPr>
        <w:t>تعزيز التصدي عبر الوطني لتهريب المهاجرين</w:t>
      </w:r>
      <w:r w:rsidRPr="00977A73">
        <w:rPr>
          <w:rtl/>
        </w:rPr>
        <w:t xml:space="preserve">)، </w:t>
      </w:r>
      <w:r>
        <w:rPr>
          <w:rtl/>
        </w:rPr>
        <w:t xml:space="preserve">والهدف </w:t>
      </w:r>
      <w:r w:rsidRPr="006B5BAF">
        <w:rPr>
          <w:rtl/>
        </w:rPr>
        <w:t>10</w:t>
      </w:r>
      <w:r w:rsidRPr="001659E7">
        <w:rPr>
          <w:rtl/>
        </w:rPr>
        <w:t xml:space="preserve"> (</w:t>
      </w:r>
      <w:r>
        <w:rPr>
          <w:rtl/>
        </w:rPr>
        <w:t>منع الاتجار بالأشخاص</w:t>
      </w:r>
      <w:r w:rsidRPr="001411D0">
        <w:rPr>
          <w:rtl/>
        </w:rPr>
        <w:t xml:space="preserve"> </w:t>
      </w:r>
      <w:r>
        <w:rPr>
          <w:rtl/>
        </w:rPr>
        <w:t>في سياق الهجرة الدولية ومكافحته والقضاء عليه</w:t>
      </w:r>
      <w:r w:rsidRPr="001659E7">
        <w:rPr>
          <w:rtl/>
        </w:rPr>
        <w:t>)</w:t>
      </w:r>
      <w:r>
        <w:rPr>
          <w:rtl/>
        </w:rPr>
        <w:t xml:space="preserve"> والهدف </w:t>
      </w:r>
      <w:r w:rsidRPr="006B5BAF">
        <w:rPr>
          <w:rtl/>
        </w:rPr>
        <w:t>13</w:t>
      </w:r>
      <w:r w:rsidRPr="001659E7">
        <w:rPr>
          <w:rtl/>
        </w:rPr>
        <w:t xml:space="preserve"> (</w:t>
      </w:r>
      <w:r>
        <w:rPr>
          <w:rtl/>
        </w:rPr>
        <w:t>عدم اللجوء إلى احتجاز المهاجرين إلا كملاذ أخير والعمل على إيجاد بدائل</w:t>
      </w:r>
      <w:r w:rsidRPr="00977A73">
        <w:rPr>
          <w:rtl/>
        </w:rPr>
        <w:t xml:space="preserve">). </w:t>
      </w:r>
      <w:r>
        <w:rPr>
          <w:rtl/>
        </w:rPr>
        <w:t xml:space="preserve">انظر أيضاً البيان المشترك بشأن التبني غير القانوني على الصعيد الدولي </w:t>
      </w:r>
      <w:r w:rsidRPr="001659E7">
        <w:rPr>
          <w:rtl/>
        </w:rPr>
        <w:t>(</w:t>
      </w:r>
      <w:hyperlink r:id="rId17" w:history="1">
        <w:r w:rsidRPr="00977A73">
          <w:rPr>
            <w:rStyle w:val="Hyperlink"/>
          </w:rPr>
          <w:t>CED/C/</w:t>
        </w:r>
        <w:r w:rsidRPr="006B5BAF">
          <w:rPr>
            <w:rStyle w:val="Hyperlink"/>
          </w:rPr>
          <w:t>9</w:t>
        </w:r>
      </w:hyperlink>
      <w:r w:rsidRPr="00977A73">
        <w:rPr>
          <w:rtl/>
        </w:rPr>
        <w:t xml:space="preserve">)؛ </w:t>
      </w:r>
      <w:r>
        <w:rPr>
          <w:rtl/>
        </w:rPr>
        <w:t>و</w:t>
      </w:r>
      <w:r w:rsidRPr="00183B80">
        <w:t xml:space="preserve"> </w:t>
      </w:r>
      <w:r w:rsidRPr="00B4435F">
        <w:t>African Commission on Human and Peoples’ Rights,</w:t>
      </w:r>
      <w:r w:rsidRPr="006B5BAF">
        <w:rPr>
          <w:i/>
          <w:iCs/>
        </w:rPr>
        <w:t xml:space="preserve"> Guidelines on the Protection of All Persons from Enforced Disappearances in Africa</w:t>
      </w:r>
      <w:r>
        <w:rPr>
          <w:rtl/>
        </w:rPr>
        <w:t xml:space="preserve"> ؛ ومبادئ البلدان الأمريكية المتعلقة بحقوق الإنسان لجميع المهاجرين واللاجئين وعديمي الجنسية وضحايا الاتجار بالأشخاص؛ و</w:t>
      </w:r>
      <w:r w:rsidRPr="00183B80">
        <w:t xml:space="preserve"> </w:t>
      </w:r>
      <w:r w:rsidRPr="00B4435F">
        <w:t xml:space="preserve">ICRC, “Declaration for the Dignified Treatment of all Missing and Deceased Persons and their Families as a Consequence of Migrant Journeys (the </w:t>
      </w:r>
      <w:proofErr w:type="spellStart"/>
      <w:r w:rsidRPr="00B4435F">
        <w:t>Mytilini</w:t>
      </w:r>
      <w:proofErr w:type="spellEnd"/>
      <w:r w:rsidRPr="00B4435F">
        <w:t xml:space="preserve"> Declaration)</w:t>
      </w:r>
      <w:r w:rsidRPr="00A260F4">
        <w:t>”</w:t>
      </w:r>
      <w:r>
        <w:rPr>
          <w:rtl/>
        </w:rPr>
        <w:t>.</w:t>
      </w:r>
    </w:p>
  </w:footnote>
  <w:footnote w:id="21">
    <w:p w14:paraId="2D41D746" w14:textId="77777777" w:rsidR="005E0255" w:rsidRPr="001659E7" w:rsidRDefault="005E0255" w:rsidP="002A5FFA">
      <w:pPr>
        <w:pStyle w:val="FootnoteText1"/>
      </w:pPr>
      <w:r>
        <w:rPr>
          <w:rtl/>
        </w:rPr>
        <w:t>(</w:t>
      </w:r>
      <w:r w:rsidRPr="006B5BAF">
        <w:rPr>
          <w:lang w:val="en-AU"/>
        </w:rPr>
        <w:footnoteRef/>
      </w:r>
      <w:r>
        <w:rPr>
          <w:rtl/>
        </w:rPr>
        <w:t>)</w:t>
      </w:r>
      <w:r>
        <w:rPr>
          <w:rtl/>
        </w:rPr>
        <w:tab/>
      </w:r>
      <w:hyperlink r:id="rId18" w:history="1">
        <w:r w:rsidRPr="00977A73">
          <w:rPr>
            <w:rStyle w:val="Hyperlink"/>
          </w:rPr>
          <w:t>CED/C/</w:t>
        </w:r>
        <w:r w:rsidRPr="006B5BAF">
          <w:rPr>
            <w:rStyle w:val="Hyperlink"/>
          </w:rPr>
          <w:t>10</w:t>
        </w:r>
      </w:hyperlink>
      <w:r w:rsidRPr="00977A73">
        <w:rPr>
          <w:rtl/>
        </w:rPr>
        <w:t xml:space="preserve">. </w:t>
      </w:r>
    </w:p>
  </w:footnote>
  <w:footnote w:id="22">
    <w:p w14:paraId="4FEE2E43" w14:textId="5A5AAE02" w:rsidR="005E0255" w:rsidRPr="001659E7" w:rsidRDefault="005E0255" w:rsidP="008C21B1">
      <w:pPr>
        <w:pStyle w:val="FootnoteText1"/>
        <w:spacing w:line="260" w:lineRule="exact"/>
      </w:pPr>
      <w:r>
        <w:rPr>
          <w:rtl/>
        </w:rPr>
        <w:t>(</w:t>
      </w:r>
      <w:r w:rsidRPr="006B5BAF">
        <w:rPr>
          <w:lang w:val="en-AU"/>
        </w:rPr>
        <w:footnoteRef/>
      </w:r>
      <w:r>
        <w:rPr>
          <w:rtl/>
        </w:rPr>
        <w:t>)</w:t>
      </w:r>
      <w:r>
        <w:rPr>
          <w:rtl/>
        </w:rPr>
        <w:tab/>
        <w:t>يفهم من "احتجاز المهاجرين" أنه يشمل أي شكل من أشكال سلب الحرية يتصل بوضع الشخص من حيث الهجرة، وهو يشمل وضع الشخص من حيث إنه مهاجر أو مقيم، أو عدم استيفائه شروط الحصول على إحدى الصفتين، سواء أتعلق الأمر بدخول أو بقاء غير نظامي أم لا. ويشير احتجاز المهاجر إلى أي حالة يُسلَب فيها شخص حريتَه لأسباب تتعلق بوضعه من حيث الهجرة، بصرف النظر عن المصطلح المستخدم أو السبب المقدم لتنفيذ إجراء سلب الحرية، أو اسم المرفق أو المكان الذي يُحتجز فيه الشخص وهو مسلوب الحرية. وبناء على ذلك، يشمل احتجاز المهاجرين إيداعَ المهاجرين السجون، ومراكز الشرطة، ومراكز</w:t>
      </w:r>
      <w:r w:rsidR="00CE70BF">
        <w:rPr>
          <w:rFonts w:hint="cs"/>
          <w:rtl/>
        </w:rPr>
        <w:t> </w:t>
      </w:r>
      <w:r>
        <w:rPr>
          <w:rtl/>
        </w:rPr>
        <w:t>احتجاز المهاجرين، ومرافق الاستقبال المغلقة، ومرافق الرعاية الصحية، وأي أماكن مغلقة أخرى مثل المناطق الدولية أو</w:t>
      </w:r>
      <w:r w:rsidR="00CE70BF">
        <w:rPr>
          <w:rFonts w:hint="cs"/>
          <w:rtl/>
        </w:rPr>
        <w:t> </w:t>
      </w:r>
      <w:r>
        <w:rPr>
          <w:rtl/>
        </w:rPr>
        <w:t>مناطق العبور في الموانئ الجوية والبرية والبحرية. وتفهم اللجنة أن "الأسباب المتصلة بالوضع من حيث الهجرة" تعني وضع الشخص من حيث إنه مهاجر أو مقيم، أو عدم استيفائه شروط الحصول على إحدى الصفتين، فيما يتعلق بدخوله [بلداً ما] أو</w:t>
      </w:r>
      <w:r w:rsidR="00CE70BF">
        <w:rPr>
          <w:rFonts w:hint="cs"/>
          <w:rtl/>
        </w:rPr>
        <w:t> </w:t>
      </w:r>
      <w:r>
        <w:rPr>
          <w:rtl/>
        </w:rPr>
        <w:t xml:space="preserve">إقامته فيه أو خروجه منه بطريقة غير نظامية (التعليق العام رقم </w:t>
      </w:r>
      <w:r w:rsidRPr="006B5BAF">
        <w:rPr>
          <w:rtl/>
        </w:rPr>
        <w:t>5</w:t>
      </w:r>
      <w:r w:rsidRPr="001659E7">
        <w:rPr>
          <w:rtl/>
        </w:rPr>
        <w:t>(</w:t>
      </w:r>
      <w:r w:rsidRPr="006B5BAF">
        <w:rPr>
          <w:rtl/>
        </w:rPr>
        <w:t>2021</w:t>
      </w:r>
      <w:r w:rsidRPr="00977A73">
        <w:rPr>
          <w:rtl/>
        </w:rPr>
        <w:t xml:space="preserve">)، </w:t>
      </w:r>
      <w:r>
        <w:rPr>
          <w:rtl/>
        </w:rPr>
        <w:t xml:space="preserve">الفقرة </w:t>
      </w:r>
      <w:r w:rsidRPr="006B5BAF">
        <w:rPr>
          <w:rtl/>
        </w:rPr>
        <w:t>14</w:t>
      </w:r>
      <w:r w:rsidRPr="00977A73">
        <w:rPr>
          <w:rtl/>
        </w:rPr>
        <w:t xml:space="preserve">). </w:t>
      </w:r>
    </w:p>
  </w:footnote>
  <w:footnote w:id="23">
    <w:p w14:paraId="5498644E" w14:textId="77777777" w:rsidR="005E0255" w:rsidRPr="001659E7" w:rsidRDefault="005E0255" w:rsidP="008C21B1">
      <w:pPr>
        <w:pStyle w:val="FootnoteText1"/>
        <w:spacing w:line="260" w:lineRule="exact"/>
      </w:pPr>
      <w:r>
        <w:rPr>
          <w:rtl/>
        </w:rPr>
        <w:t>(</w:t>
      </w:r>
      <w:r w:rsidRPr="006B5BAF">
        <w:rPr>
          <w:lang w:val="en-AU"/>
        </w:rPr>
        <w:footnoteRef/>
      </w:r>
      <w:r>
        <w:rPr>
          <w:rtl/>
        </w:rPr>
        <w:t>)</w:t>
      </w:r>
      <w:r>
        <w:rPr>
          <w:rtl/>
        </w:rPr>
        <w:tab/>
      </w:r>
      <w:hyperlink r:id="rId19" w:history="1">
        <w:r w:rsidRPr="00977A73">
          <w:rPr>
            <w:rStyle w:val="Hyperlink"/>
          </w:rPr>
          <w:t>CED/C/MEX/VR/</w:t>
        </w:r>
        <w:r w:rsidRPr="006B5BAF">
          <w:rPr>
            <w:rStyle w:val="Hyperlink"/>
          </w:rPr>
          <w:t>1</w:t>
        </w:r>
      </w:hyperlink>
      <w:r w:rsidRPr="00A260F4">
        <w:rPr>
          <w:rtl/>
        </w:rPr>
        <w:t xml:space="preserve"> </w:t>
      </w:r>
      <w:r w:rsidRPr="00A260F4">
        <w:t>(Findings</w:t>
      </w:r>
      <w:r w:rsidRPr="00977A73">
        <w:t>)</w:t>
      </w:r>
      <w:r w:rsidRPr="00977A73">
        <w:rPr>
          <w:rtl/>
        </w:rPr>
        <w:t xml:space="preserve">، </w:t>
      </w:r>
      <w:r>
        <w:rPr>
          <w:rtl/>
        </w:rPr>
        <w:t xml:space="preserve">الفقرة </w:t>
      </w:r>
      <w:r w:rsidRPr="006B5BAF">
        <w:rPr>
          <w:rtl/>
        </w:rPr>
        <w:t>18</w:t>
      </w:r>
      <w:r>
        <w:rPr>
          <w:rtl/>
        </w:rPr>
        <w:t>.</w:t>
      </w:r>
    </w:p>
  </w:footnote>
  <w:footnote w:id="24">
    <w:p w14:paraId="7F3D8767" w14:textId="77777777" w:rsidR="005E0255" w:rsidRPr="001659E7" w:rsidRDefault="005E0255" w:rsidP="008C21B1">
      <w:pPr>
        <w:pStyle w:val="FootnoteText1"/>
        <w:spacing w:line="260" w:lineRule="exact"/>
      </w:pPr>
      <w:r>
        <w:rPr>
          <w:rtl/>
        </w:rPr>
        <w:t>(</w:t>
      </w:r>
      <w:r w:rsidRPr="006B5BAF">
        <w:rPr>
          <w:lang w:val="en-AU"/>
        </w:rPr>
        <w:footnoteRef/>
      </w:r>
      <w:r>
        <w:rPr>
          <w:rtl/>
        </w:rPr>
        <w:t>)</w:t>
      </w:r>
      <w:r>
        <w:rPr>
          <w:rtl/>
        </w:rPr>
        <w:tab/>
      </w:r>
      <w:r w:rsidRPr="00EA6608">
        <w:rPr>
          <w:spacing w:val="-4"/>
          <w:rtl/>
        </w:rPr>
        <w:t xml:space="preserve">اللجنة المعنية بحماية حقوق جميع العمال المهاجرين وأفراد أسرهم، التعليق العام رقم </w:t>
      </w:r>
      <w:r w:rsidRPr="006B5BAF">
        <w:rPr>
          <w:spacing w:val="-4"/>
          <w:rtl/>
        </w:rPr>
        <w:t>5</w:t>
      </w:r>
      <w:r w:rsidRPr="00EA6608">
        <w:rPr>
          <w:spacing w:val="-4"/>
          <w:rtl/>
        </w:rPr>
        <w:t>(</w:t>
      </w:r>
      <w:r w:rsidRPr="006B5BAF">
        <w:rPr>
          <w:spacing w:val="-4"/>
          <w:rtl/>
        </w:rPr>
        <w:t>2021</w:t>
      </w:r>
      <w:r w:rsidRPr="00EA6608">
        <w:rPr>
          <w:spacing w:val="-4"/>
          <w:rtl/>
        </w:rPr>
        <w:t xml:space="preserve">)، الفقرة </w:t>
      </w:r>
      <w:r w:rsidRPr="006B5BAF">
        <w:rPr>
          <w:spacing w:val="-4"/>
          <w:rtl/>
        </w:rPr>
        <w:t>38</w:t>
      </w:r>
      <w:r w:rsidRPr="00EA6608">
        <w:rPr>
          <w:spacing w:val="-4"/>
          <w:rtl/>
        </w:rPr>
        <w:t>؛ و</w:t>
      </w:r>
      <w:hyperlink r:id="rId20" w:history="1">
        <w:r w:rsidRPr="00EA6608">
          <w:rPr>
            <w:rStyle w:val="Hyperlink"/>
            <w:spacing w:val="-4"/>
          </w:rPr>
          <w:t>A/HRC/</w:t>
        </w:r>
        <w:r w:rsidRPr="006B5BAF">
          <w:rPr>
            <w:rStyle w:val="Hyperlink"/>
            <w:spacing w:val="-4"/>
          </w:rPr>
          <w:t>36</w:t>
        </w:r>
        <w:r w:rsidRPr="00EA6608">
          <w:rPr>
            <w:rStyle w:val="Hyperlink"/>
            <w:spacing w:val="-4"/>
          </w:rPr>
          <w:t>/</w:t>
        </w:r>
        <w:r w:rsidRPr="006B5BAF">
          <w:rPr>
            <w:rStyle w:val="Hyperlink"/>
            <w:spacing w:val="-4"/>
          </w:rPr>
          <w:t>39</w:t>
        </w:r>
        <w:r w:rsidRPr="00EA6608">
          <w:rPr>
            <w:rStyle w:val="Hyperlink"/>
            <w:spacing w:val="-4"/>
          </w:rPr>
          <w:t>/Add.</w:t>
        </w:r>
        <w:r w:rsidRPr="006B5BAF">
          <w:rPr>
            <w:rStyle w:val="Hyperlink"/>
            <w:spacing w:val="-4"/>
          </w:rPr>
          <w:t>2</w:t>
        </w:r>
      </w:hyperlink>
      <w:r w:rsidRPr="00EA6608">
        <w:rPr>
          <w:spacing w:val="-4"/>
          <w:rtl/>
        </w:rPr>
        <w:t>،</w:t>
      </w:r>
      <w:r>
        <w:rPr>
          <w:rtl/>
        </w:rPr>
        <w:t xml:space="preserve"> الفقرة </w:t>
      </w:r>
      <w:r w:rsidRPr="006B5BAF">
        <w:rPr>
          <w:rtl/>
        </w:rPr>
        <w:t>22</w:t>
      </w:r>
      <w:r w:rsidRPr="00977A73">
        <w:rPr>
          <w:rtl/>
        </w:rPr>
        <w:t xml:space="preserve">. </w:t>
      </w:r>
    </w:p>
  </w:footnote>
  <w:footnote w:id="25">
    <w:p w14:paraId="418B484C" w14:textId="77777777" w:rsidR="005E0255" w:rsidRPr="001659E7" w:rsidRDefault="005E0255" w:rsidP="008C21B1">
      <w:pPr>
        <w:pStyle w:val="FootnoteText1"/>
        <w:spacing w:line="260" w:lineRule="exact"/>
      </w:pPr>
      <w:r>
        <w:rPr>
          <w:rtl/>
        </w:rPr>
        <w:t>(</w:t>
      </w:r>
      <w:r w:rsidRPr="006B5BAF">
        <w:rPr>
          <w:lang w:val="en-AU"/>
        </w:rPr>
        <w:footnoteRef/>
      </w:r>
      <w:r>
        <w:rPr>
          <w:rtl/>
        </w:rPr>
        <w:t>)</w:t>
      </w:r>
      <w:r>
        <w:rPr>
          <w:rtl/>
        </w:rPr>
        <w:tab/>
        <w:t>المبادئ التوجيهية الرئيسية بشأن الاختفاء القسري في سياق جائحة كوفيد-</w:t>
      </w:r>
      <w:r w:rsidRPr="006B5BAF">
        <w:rPr>
          <w:rtl/>
        </w:rPr>
        <w:t>19</w:t>
      </w:r>
      <w:r>
        <w:rPr>
          <w:rtl/>
        </w:rPr>
        <w:t xml:space="preserve">، الصادرة عن اللجنة بالاشتراك مع الفريق العامل المعني بحالات الاختفاء القسري أو غير الطوعي، الفقرتان </w:t>
      </w:r>
      <w:r w:rsidRPr="006B5BAF">
        <w:rPr>
          <w:rtl/>
        </w:rPr>
        <w:t>23</w:t>
      </w:r>
      <w:r>
        <w:rPr>
          <w:rtl/>
        </w:rPr>
        <w:t xml:space="preserve"> و</w:t>
      </w:r>
      <w:r w:rsidRPr="006B5BAF">
        <w:rPr>
          <w:rtl/>
        </w:rPr>
        <w:t>24</w:t>
      </w:r>
      <w:r w:rsidRPr="00977A73">
        <w:rPr>
          <w:rtl/>
        </w:rPr>
        <w:t xml:space="preserve">. </w:t>
      </w:r>
    </w:p>
  </w:footnote>
  <w:footnote w:id="26">
    <w:p w14:paraId="526F4225" w14:textId="77777777" w:rsidR="005E0255" w:rsidRPr="001659E7" w:rsidRDefault="005E0255" w:rsidP="00A03916">
      <w:pPr>
        <w:pStyle w:val="FootnoteText1"/>
      </w:pPr>
      <w:r>
        <w:rPr>
          <w:rtl/>
        </w:rPr>
        <w:t>(</w:t>
      </w:r>
      <w:r w:rsidRPr="006B5BAF">
        <w:rPr>
          <w:lang w:val="en-AU"/>
        </w:rPr>
        <w:footnoteRef/>
      </w:r>
      <w:r>
        <w:rPr>
          <w:rtl/>
        </w:rPr>
        <w:t>)</w:t>
      </w:r>
      <w:r>
        <w:rPr>
          <w:rtl/>
        </w:rPr>
        <w:tab/>
        <w:t xml:space="preserve">لجنة حقوق الطفل، التعليق العام رقم </w:t>
      </w:r>
      <w:r w:rsidRPr="006B5BAF">
        <w:rPr>
          <w:rtl/>
        </w:rPr>
        <w:t>6</w:t>
      </w:r>
      <w:r w:rsidRPr="001659E7">
        <w:rPr>
          <w:rtl/>
        </w:rPr>
        <w:t>(</w:t>
      </w:r>
      <w:r w:rsidRPr="006B5BAF">
        <w:rPr>
          <w:rtl/>
        </w:rPr>
        <w:t>2005</w:t>
      </w:r>
      <w:r w:rsidRPr="00977A73">
        <w:rPr>
          <w:rtl/>
        </w:rPr>
        <w:t xml:space="preserve">) </w:t>
      </w:r>
      <w:r>
        <w:rPr>
          <w:rtl/>
        </w:rPr>
        <w:t xml:space="preserve">بشأن معاملة الأطفال غير المصحوبين والمنفصلين عن ذويهم خارج بلدهم الأصلي، الفقرة </w:t>
      </w:r>
      <w:r w:rsidRPr="006B5BAF">
        <w:rPr>
          <w:rtl/>
        </w:rPr>
        <w:t>61</w:t>
      </w:r>
      <w:r>
        <w:rPr>
          <w:rtl/>
        </w:rPr>
        <w:t xml:space="preserve">؛ والتعليق العام المشترك رقم </w:t>
      </w:r>
      <w:r w:rsidRPr="006B5BAF">
        <w:rPr>
          <w:rtl/>
        </w:rPr>
        <w:t>4</w:t>
      </w:r>
      <w:r>
        <w:rPr>
          <w:rtl/>
        </w:rPr>
        <w:t xml:space="preserve"> للجنة المعنية بحماية حقوق جميع العمال المهاجرين وأفراد أسرهم ورقم </w:t>
      </w:r>
      <w:r w:rsidRPr="006B5BAF">
        <w:rPr>
          <w:rtl/>
        </w:rPr>
        <w:t>23</w:t>
      </w:r>
      <w:r>
        <w:rPr>
          <w:rtl/>
        </w:rPr>
        <w:t xml:space="preserve"> للجنة حقوق الطفل </w:t>
      </w:r>
      <w:r w:rsidRPr="001659E7">
        <w:rPr>
          <w:rtl/>
        </w:rPr>
        <w:t>(</w:t>
      </w:r>
      <w:r w:rsidRPr="006B5BAF">
        <w:rPr>
          <w:rtl/>
        </w:rPr>
        <w:t>2017</w:t>
      </w:r>
      <w:r w:rsidRPr="00977A73">
        <w:rPr>
          <w:rtl/>
        </w:rPr>
        <w:t xml:space="preserve">) </w:t>
      </w:r>
      <w:r>
        <w:rPr>
          <w:rtl/>
        </w:rPr>
        <w:t xml:space="preserve">بشأن التزامات الدول في مجال حقوق الإنسان الخاصة بالطفل في سياق الهجرة الدولية في بلدان المنشأ والعبور والمقصد والعودة، الفقرتان </w:t>
      </w:r>
      <w:r w:rsidRPr="006B5BAF">
        <w:rPr>
          <w:rtl/>
        </w:rPr>
        <w:t>5</w:t>
      </w:r>
      <w:r>
        <w:rPr>
          <w:rtl/>
        </w:rPr>
        <w:t xml:space="preserve"> و</w:t>
      </w:r>
      <w:r w:rsidRPr="006B5BAF">
        <w:rPr>
          <w:rtl/>
        </w:rPr>
        <w:t>8</w:t>
      </w:r>
      <w:r>
        <w:rPr>
          <w:rtl/>
        </w:rPr>
        <w:t xml:space="preserve">؛ واللجنة المعنية بحماية حقوق جميع العمال المهاجرين وأفراد أسرهم، التعليق العام رقم </w:t>
      </w:r>
      <w:r w:rsidRPr="006B5BAF">
        <w:rPr>
          <w:rtl/>
        </w:rPr>
        <w:t>5</w:t>
      </w:r>
      <w:r w:rsidRPr="001659E7">
        <w:rPr>
          <w:rtl/>
        </w:rPr>
        <w:t>(</w:t>
      </w:r>
      <w:r w:rsidRPr="006B5BAF">
        <w:rPr>
          <w:rtl/>
        </w:rPr>
        <w:t>2021</w:t>
      </w:r>
      <w:r w:rsidRPr="00977A73">
        <w:rPr>
          <w:rtl/>
        </w:rPr>
        <w:t xml:space="preserve">)، </w:t>
      </w:r>
      <w:r>
        <w:rPr>
          <w:rtl/>
        </w:rPr>
        <w:t xml:space="preserve">الفقرات </w:t>
      </w:r>
      <w:r w:rsidRPr="006B5BAF">
        <w:rPr>
          <w:rtl/>
        </w:rPr>
        <w:t>39</w:t>
      </w:r>
      <w:r w:rsidRPr="001659E7">
        <w:rPr>
          <w:rtl/>
        </w:rPr>
        <w:t>-</w:t>
      </w:r>
      <w:r w:rsidRPr="006B5BAF">
        <w:rPr>
          <w:rtl/>
        </w:rPr>
        <w:t>44</w:t>
      </w:r>
      <w:r>
        <w:rPr>
          <w:rtl/>
        </w:rPr>
        <w:t>؛ و</w:t>
      </w:r>
      <w:hyperlink r:id="rId21" w:history="1">
        <w:r w:rsidRPr="00977A73">
          <w:rPr>
            <w:rStyle w:val="Hyperlink"/>
          </w:rPr>
          <w:t>A/</w:t>
        </w:r>
        <w:r w:rsidRPr="006B5BAF">
          <w:rPr>
            <w:rStyle w:val="Hyperlink"/>
          </w:rPr>
          <w:t>75</w:t>
        </w:r>
        <w:r w:rsidRPr="00977A73">
          <w:rPr>
            <w:rStyle w:val="Hyperlink"/>
          </w:rPr>
          <w:t>/</w:t>
        </w:r>
        <w:r w:rsidRPr="006B5BAF">
          <w:rPr>
            <w:rStyle w:val="Hyperlink"/>
          </w:rPr>
          <w:t>183</w:t>
        </w:r>
      </w:hyperlink>
      <w:r w:rsidRPr="00977A73">
        <w:rPr>
          <w:rtl/>
        </w:rPr>
        <w:t xml:space="preserve">. </w:t>
      </w:r>
    </w:p>
  </w:footnote>
  <w:footnote w:id="27">
    <w:p w14:paraId="4756ED02" w14:textId="77777777" w:rsidR="005E0255" w:rsidRPr="001659E7" w:rsidRDefault="005E0255" w:rsidP="00CB6C67">
      <w:pPr>
        <w:pStyle w:val="FootnoteText1"/>
      </w:pPr>
      <w:r>
        <w:rPr>
          <w:rtl/>
        </w:rPr>
        <w:t>(</w:t>
      </w:r>
      <w:r w:rsidRPr="006B5BAF">
        <w:rPr>
          <w:lang w:val="en-AU"/>
        </w:rPr>
        <w:footnoteRef/>
      </w:r>
      <w:r>
        <w:rPr>
          <w:rtl/>
        </w:rPr>
        <w:t>)</w:t>
      </w:r>
      <w:r>
        <w:rPr>
          <w:rtl/>
        </w:rPr>
        <w:tab/>
        <w:t xml:space="preserve">اللجنة المعنية بحماية حقوق جميع العمال المهاجرين وأفراد أسرهم، التعليق العام رقم </w:t>
      </w:r>
      <w:r w:rsidRPr="006B5BAF">
        <w:rPr>
          <w:rtl/>
        </w:rPr>
        <w:t>5</w:t>
      </w:r>
      <w:r w:rsidRPr="001659E7">
        <w:rPr>
          <w:rtl/>
        </w:rPr>
        <w:t>(</w:t>
      </w:r>
      <w:r w:rsidRPr="006B5BAF">
        <w:rPr>
          <w:rtl/>
        </w:rPr>
        <w:t>2021</w:t>
      </w:r>
      <w:r w:rsidRPr="00977A73">
        <w:rPr>
          <w:rtl/>
        </w:rPr>
        <w:t xml:space="preserve">)، </w:t>
      </w:r>
      <w:r>
        <w:rPr>
          <w:rtl/>
        </w:rPr>
        <w:t xml:space="preserve">الفقرة </w:t>
      </w:r>
      <w:r w:rsidRPr="006B5BAF">
        <w:rPr>
          <w:rtl/>
        </w:rPr>
        <w:t>44</w:t>
      </w:r>
      <w:r>
        <w:rPr>
          <w:rtl/>
        </w:rPr>
        <w:t xml:space="preserve">؛ ولجنة حقوق الطفل، التعليق العام رقم </w:t>
      </w:r>
      <w:r w:rsidRPr="006B5BAF">
        <w:rPr>
          <w:rtl/>
        </w:rPr>
        <w:t>6</w:t>
      </w:r>
      <w:r w:rsidRPr="001659E7">
        <w:rPr>
          <w:rtl/>
        </w:rPr>
        <w:t>(</w:t>
      </w:r>
      <w:r w:rsidRPr="006B5BAF">
        <w:rPr>
          <w:rtl/>
        </w:rPr>
        <w:t>2005</w:t>
      </w:r>
      <w:r w:rsidRPr="00977A73">
        <w:rPr>
          <w:rtl/>
        </w:rPr>
        <w:t xml:space="preserve">)، </w:t>
      </w:r>
      <w:r>
        <w:rPr>
          <w:rtl/>
        </w:rPr>
        <w:t xml:space="preserve">الفقرات </w:t>
      </w:r>
      <w:r w:rsidRPr="006B5BAF">
        <w:rPr>
          <w:rtl/>
        </w:rPr>
        <w:t>40</w:t>
      </w:r>
      <w:r>
        <w:rPr>
          <w:rtl/>
        </w:rPr>
        <w:t xml:space="preserve"> ومن </w:t>
      </w:r>
      <w:r w:rsidRPr="006B5BAF">
        <w:rPr>
          <w:rtl/>
        </w:rPr>
        <w:t>61</w:t>
      </w:r>
      <w:r>
        <w:rPr>
          <w:rtl/>
        </w:rPr>
        <w:t xml:space="preserve"> إلى </w:t>
      </w:r>
      <w:r w:rsidRPr="006B5BAF">
        <w:rPr>
          <w:rtl/>
        </w:rPr>
        <w:t>63</w:t>
      </w:r>
      <w:r>
        <w:rPr>
          <w:rtl/>
        </w:rPr>
        <w:t xml:space="preserve">؛ والتعليق العام المشترك رقم </w:t>
      </w:r>
      <w:r w:rsidRPr="006B5BAF">
        <w:rPr>
          <w:rtl/>
        </w:rPr>
        <w:t>3</w:t>
      </w:r>
      <w:r>
        <w:rPr>
          <w:rtl/>
        </w:rPr>
        <w:t xml:space="preserve"> للجنة المعنية بحماية حقوق جميع العمال المهاجرين وأفراد أسرهم ورقم </w:t>
      </w:r>
      <w:r w:rsidRPr="006B5BAF">
        <w:rPr>
          <w:rtl/>
        </w:rPr>
        <w:t>22</w:t>
      </w:r>
      <w:r>
        <w:rPr>
          <w:rtl/>
        </w:rPr>
        <w:t xml:space="preserve"> للجنة حقوق الطفل </w:t>
      </w:r>
      <w:r w:rsidRPr="001659E7">
        <w:rPr>
          <w:rtl/>
        </w:rPr>
        <w:t>(</w:t>
      </w:r>
      <w:r w:rsidRPr="006B5BAF">
        <w:rPr>
          <w:rtl/>
        </w:rPr>
        <w:t>2017</w:t>
      </w:r>
      <w:r w:rsidRPr="00977A73">
        <w:rPr>
          <w:rtl/>
        </w:rPr>
        <w:t xml:space="preserve">) </w:t>
      </w:r>
      <w:r>
        <w:rPr>
          <w:rtl/>
        </w:rPr>
        <w:t xml:space="preserve">بشأن المبادئ العامة المتعلقة بحقوق الإنسان الخاصة بالطفل في سياق الهجرة الدولية، الفقرة </w:t>
      </w:r>
      <w:r w:rsidRPr="006B5BAF">
        <w:rPr>
          <w:rtl/>
        </w:rPr>
        <w:t>32</w:t>
      </w:r>
      <w:r>
        <w:rPr>
          <w:rtl/>
        </w:rPr>
        <w:t xml:space="preserve">؛ والتعليق العام المشترك رقم </w:t>
      </w:r>
      <w:r w:rsidRPr="006B5BAF">
        <w:rPr>
          <w:rtl/>
        </w:rPr>
        <w:t>4</w:t>
      </w:r>
      <w:r>
        <w:rPr>
          <w:rtl/>
        </w:rPr>
        <w:t xml:space="preserve"> للجنة المعنية بحماية حقوق جميع العمال المهاجرين وأفراد أسرهم ورقم </w:t>
      </w:r>
      <w:r w:rsidRPr="006B5BAF">
        <w:rPr>
          <w:rtl/>
        </w:rPr>
        <w:t>23</w:t>
      </w:r>
      <w:r>
        <w:rPr>
          <w:rtl/>
        </w:rPr>
        <w:t xml:space="preserve"> للجنة حقوق الطفل </w:t>
      </w:r>
      <w:r w:rsidRPr="001659E7">
        <w:rPr>
          <w:rtl/>
        </w:rPr>
        <w:t>(</w:t>
      </w:r>
      <w:r w:rsidRPr="006B5BAF">
        <w:rPr>
          <w:rtl/>
        </w:rPr>
        <w:t>2017</w:t>
      </w:r>
      <w:r w:rsidRPr="00977A73">
        <w:rPr>
          <w:rtl/>
        </w:rPr>
        <w:t xml:space="preserve">)، </w:t>
      </w:r>
      <w:r>
        <w:rPr>
          <w:rtl/>
        </w:rPr>
        <w:t xml:space="preserve">الفقرتان </w:t>
      </w:r>
      <w:r w:rsidRPr="006B5BAF">
        <w:rPr>
          <w:rtl/>
        </w:rPr>
        <w:t>12</w:t>
      </w:r>
      <w:r>
        <w:rPr>
          <w:rtl/>
        </w:rPr>
        <w:t xml:space="preserve"> و</w:t>
      </w:r>
      <w:r w:rsidRPr="006B5BAF">
        <w:rPr>
          <w:rtl/>
        </w:rPr>
        <w:t>13</w:t>
      </w:r>
      <w:r>
        <w:rPr>
          <w:rtl/>
        </w:rPr>
        <w:t>.</w:t>
      </w:r>
    </w:p>
  </w:footnote>
  <w:footnote w:id="28">
    <w:p w14:paraId="3A5C1C46" w14:textId="77777777" w:rsidR="005E0255" w:rsidRPr="001659E7" w:rsidRDefault="005E0255" w:rsidP="00133E9D">
      <w:pPr>
        <w:pStyle w:val="FootnoteText1"/>
      </w:pPr>
      <w:r>
        <w:rPr>
          <w:rtl/>
        </w:rPr>
        <w:t>(</w:t>
      </w:r>
      <w:r w:rsidRPr="006B5BAF">
        <w:rPr>
          <w:lang w:val="en-AU"/>
        </w:rPr>
        <w:footnoteRef/>
      </w:r>
      <w:r>
        <w:rPr>
          <w:rtl/>
        </w:rPr>
        <w:t>)</w:t>
      </w:r>
      <w:r>
        <w:rPr>
          <w:rtl/>
        </w:rPr>
        <w:tab/>
      </w:r>
      <w:hyperlink r:id="rId22" w:history="1">
        <w:r w:rsidRPr="00977A73">
          <w:rPr>
            <w:rStyle w:val="Hyperlink"/>
          </w:rPr>
          <w:t>CED/C/</w:t>
        </w:r>
        <w:r w:rsidRPr="006B5BAF">
          <w:rPr>
            <w:rStyle w:val="Hyperlink"/>
          </w:rPr>
          <w:t>10</w:t>
        </w:r>
      </w:hyperlink>
      <w:r>
        <w:rPr>
          <w:rtl/>
        </w:rPr>
        <w:t xml:space="preserve">، الفقرات </w:t>
      </w:r>
      <w:r w:rsidRPr="006B5BAF">
        <w:rPr>
          <w:rtl/>
        </w:rPr>
        <w:t>2</w:t>
      </w:r>
      <w:r w:rsidRPr="001659E7">
        <w:rPr>
          <w:rtl/>
        </w:rPr>
        <w:t>-</w:t>
      </w:r>
      <w:r w:rsidRPr="006B5BAF">
        <w:rPr>
          <w:rtl/>
        </w:rPr>
        <w:t>8</w:t>
      </w:r>
      <w:r>
        <w:rPr>
          <w:rtl/>
        </w:rPr>
        <w:t>؛ و</w:t>
      </w:r>
      <w:hyperlink r:id="rId23" w:history="1">
        <w:r w:rsidRPr="00977A73">
          <w:rPr>
            <w:rStyle w:val="Hyperlink"/>
          </w:rPr>
          <w:t>A/HRC/</w:t>
        </w:r>
        <w:r w:rsidRPr="006B5BAF">
          <w:rPr>
            <w:rStyle w:val="Hyperlink"/>
          </w:rPr>
          <w:t>13</w:t>
        </w:r>
        <w:r w:rsidRPr="00977A73">
          <w:rPr>
            <w:rStyle w:val="Hyperlink"/>
          </w:rPr>
          <w:t>/</w:t>
        </w:r>
        <w:r w:rsidRPr="006B5BAF">
          <w:rPr>
            <w:rStyle w:val="Hyperlink"/>
          </w:rPr>
          <w:t>42</w:t>
        </w:r>
      </w:hyperlink>
      <w:r>
        <w:rPr>
          <w:rtl/>
        </w:rPr>
        <w:t>؛ و</w:t>
      </w:r>
      <w:hyperlink r:id="rId24" w:history="1">
        <w:r w:rsidRPr="00977A73">
          <w:rPr>
            <w:rStyle w:val="Hyperlink"/>
          </w:rPr>
          <w:t>A/HRC/</w:t>
        </w:r>
        <w:r w:rsidRPr="006B5BAF">
          <w:rPr>
            <w:rStyle w:val="Hyperlink"/>
          </w:rPr>
          <w:t>36</w:t>
        </w:r>
        <w:r w:rsidRPr="00977A73">
          <w:rPr>
            <w:rStyle w:val="Hyperlink"/>
          </w:rPr>
          <w:t>/</w:t>
        </w:r>
        <w:r w:rsidRPr="006B5BAF">
          <w:rPr>
            <w:rStyle w:val="Hyperlink"/>
          </w:rPr>
          <w:t>39</w:t>
        </w:r>
        <w:r w:rsidRPr="00977A73">
          <w:rPr>
            <w:rStyle w:val="Hyperlink"/>
          </w:rPr>
          <w:t>/Add.</w:t>
        </w:r>
        <w:r w:rsidRPr="006B5BAF">
          <w:rPr>
            <w:rStyle w:val="Hyperlink"/>
          </w:rPr>
          <w:t>2</w:t>
        </w:r>
      </w:hyperlink>
      <w:r>
        <w:rPr>
          <w:rtl/>
        </w:rPr>
        <w:t xml:space="preserve">، الفقرات </w:t>
      </w:r>
      <w:r w:rsidRPr="006B5BAF">
        <w:rPr>
          <w:rtl/>
        </w:rPr>
        <w:t>21</w:t>
      </w:r>
      <w:r w:rsidRPr="001659E7">
        <w:rPr>
          <w:rtl/>
        </w:rPr>
        <w:t>-</w:t>
      </w:r>
      <w:r w:rsidRPr="006B5BAF">
        <w:rPr>
          <w:rtl/>
        </w:rPr>
        <w:t>24</w:t>
      </w:r>
      <w:r>
        <w:rPr>
          <w:rtl/>
        </w:rPr>
        <w:t xml:space="preserve">؛ واللجنة المعنية بحقوق الإنسان، التعليق العام رقم </w:t>
      </w:r>
      <w:r w:rsidRPr="006B5BAF">
        <w:rPr>
          <w:rtl/>
        </w:rPr>
        <w:t>36</w:t>
      </w:r>
      <w:r w:rsidRPr="001659E7">
        <w:rPr>
          <w:rtl/>
        </w:rPr>
        <w:t>(</w:t>
      </w:r>
      <w:r w:rsidRPr="006B5BAF">
        <w:rPr>
          <w:rtl/>
        </w:rPr>
        <w:t>2018</w:t>
      </w:r>
      <w:r w:rsidRPr="00977A73">
        <w:rPr>
          <w:rtl/>
        </w:rPr>
        <w:t xml:space="preserve">) </w:t>
      </w:r>
      <w:r>
        <w:rPr>
          <w:rtl/>
        </w:rPr>
        <w:t xml:space="preserve">بشأن الحق في الحياة، الفقرتان </w:t>
      </w:r>
      <w:r w:rsidRPr="006B5BAF">
        <w:rPr>
          <w:rtl/>
        </w:rPr>
        <w:t>57</w:t>
      </w:r>
      <w:r>
        <w:rPr>
          <w:rtl/>
        </w:rPr>
        <w:t xml:space="preserve"> و</w:t>
      </w:r>
      <w:r w:rsidRPr="006B5BAF">
        <w:rPr>
          <w:rtl/>
        </w:rPr>
        <w:t>58</w:t>
      </w:r>
      <w:r>
        <w:rPr>
          <w:rtl/>
        </w:rPr>
        <w:t xml:space="preserve">؛ واللجنة المعنية بحماية حقوق جميع العمال المهاجرين وأفراد أسرهم، التعليق العام رقم </w:t>
      </w:r>
      <w:r w:rsidRPr="006B5BAF">
        <w:rPr>
          <w:rtl/>
        </w:rPr>
        <w:t>5</w:t>
      </w:r>
      <w:r w:rsidRPr="001659E7">
        <w:rPr>
          <w:rtl/>
        </w:rPr>
        <w:t>(</w:t>
      </w:r>
      <w:r w:rsidRPr="006B5BAF">
        <w:rPr>
          <w:rtl/>
        </w:rPr>
        <w:t>2021</w:t>
      </w:r>
      <w:r w:rsidRPr="00977A73">
        <w:rPr>
          <w:rtl/>
        </w:rPr>
        <w:t xml:space="preserve">)، </w:t>
      </w:r>
      <w:r>
        <w:rPr>
          <w:rtl/>
        </w:rPr>
        <w:t xml:space="preserve">الفقرة </w:t>
      </w:r>
      <w:r w:rsidRPr="006B5BAF">
        <w:rPr>
          <w:rtl/>
        </w:rPr>
        <w:t>17</w:t>
      </w:r>
      <w:r>
        <w:rPr>
          <w:rtl/>
        </w:rPr>
        <w:t xml:space="preserve">؛ ولجنة البلدان الأمريكية لحقوق الإنسان، </w:t>
      </w:r>
      <w:r w:rsidRPr="001659E7">
        <w:rPr>
          <w:rtl/>
        </w:rPr>
        <w:t>حقوق الإنسان الخاصة بالمهاجرين وغيرهم من الأشخاص في سياق التنقل البشري في المكسيك</w:t>
      </w:r>
      <w:r>
        <w:rPr>
          <w:rtl/>
        </w:rPr>
        <w:t xml:space="preserve"> </w:t>
      </w:r>
      <w:r w:rsidRPr="001659E7">
        <w:rPr>
          <w:rtl/>
        </w:rPr>
        <w:t>(</w:t>
      </w:r>
      <w:r w:rsidRPr="006B5BAF">
        <w:rPr>
          <w:rtl/>
        </w:rPr>
        <w:t>2013</w:t>
      </w:r>
      <w:r w:rsidRPr="00977A73">
        <w:rPr>
          <w:rtl/>
        </w:rPr>
        <w:t xml:space="preserve">)، </w:t>
      </w:r>
      <w:r>
        <w:rPr>
          <w:rtl/>
        </w:rPr>
        <w:t xml:space="preserve">الفقرات </w:t>
      </w:r>
      <w:r w:rsidRPr="006B5BAF">
        <w:rPr>
          <w:rtl/>
        </w:rPr>
        <w:t>175</w:t>
      </w:r>
      <w:r w:rsidRPr="001659E7">
        <w:rPr>
          <w:rtl/>
        </w:rPr>
        <w:t>-</w:t>
      </w:r>
      <w:r w:rsidRPr="006B5BAF">
        <w:rPr>
          <w:rtl/>
        </w:rPr>
        <w:t>240</w:t>
      </w:r>
      <w:r w:rsidRPr="00977A73">
        <w:rPr>
          <w:rtl/>
        </w:rPr>
        <w:t xml:space="preserve">. </w:t>
      </w:r>
    </w:p>
  </w:footnote>
  <w:footnote w:id="29">
    <w:p w14:paraId="795ECD0F" w14:textId="77777777" w:rsidR="005E0255" w:rsidRPr="001659E7" w:rsidRDefault="005E0255" w:rsidP="00A83334">
      <w:pPr>
        <w:pStyle w:val="FootnoteText1"/>
        <w:textDirection w:val="tbRlV"/>
        <w:rPr>
          <w:rtl/>
        </w:rPr>
      </w:pPr>
      <w:r>
        <w:rPr>
          <w:rtl/>
        </w:rPr>
        <w:t>(</w:t>
      </w:r>
      <w:r w:rsidRPr="006B5BAF">
        <w:rPr>
          <w:lang w:val="en-AU"/>
        </w:rPr>
        <w:footnoteRef/>
      </w:r>
      <w:r>
        <w:rPr>
          <w:rtl/>
        </w:rPr>
        <w:t>)</w:t>
      </w:r>
      <w:r>
        <w:rPr>
          <w:rtl/>
        </w:rPr>
        <w:tab/>
      </w:r>
      <w:hyperlink r:id="rId25" w:history="1">
        <w:r w:rsidRPr="00977A73">
          <w:rPr>
            <w:rStyle w:val="Hyperlink"/>
          </w:rPr>
          <w:t>E/CN.</w:t>
        </w:r>
        <w:r w:rsidRPr="006B5BAF">
          <w:rPr>
            <w:rStyle w:val="Hyperlink"/>
          </w:rPr>
          <w:t>4</w:t>
        </w:r>
        <w:r w:rsidRPr="00977A73">
          <w:rPr>
            <w:rStyle w:val="Hyperlink"/>
          </w:rPr>
          <w:t>/</w:t>
        </w:r>
        <w:r w:rsidRPr="006B5BAF">
          <w:rPr>
            <w:rStyle w:val="Hyperlink"/>
          </w:rPr>
          <w:t>2003</w:t>
        </w:r>
        <w:r w:rsidRPr="00977A73">
          <w:rPr>
            <w:rStyle w:val="Hyperlink"/>
          </w:rPr>
          <w:t>/</w:t>
        </w:r>
        <w:r w:rsidRPr="006B5BAF">
          <w:rPr>
            <w:rStyle w:val="Hyperlink"/>
          </w:rPr>
          <w:t>71</w:t>
        </w:r>
      </w:hyperlink>
      <w:r>
        <w:rPr>
          <w:rtl/>
        </w:rPr>
        <w:t xml:space="preserve">، الفقرة </w:t>
      </w:r>
      <w:r w:rsidRPr="006B5BAF">
        <w:rPr>
          <w:rtl/>
        </w:rPr>
        <w:t>67</w:t>
      </w:r>
      <w:r w:rsidRPr="00977A73">
        <w:rPr>
          <w:rtl/>
        </w:rPr>
        <w:t xml:space="preserve">. </w:t>
      </w:r>
    </w:p>
  </w:footnote>
  <w:footnote w:id="30">
    <w:p w14:paraId="184790F9" w14:textId="77777777" w:rsidR="005E0255" w:rsidRPr="001659E7" w:rsidRDefault="005E0255" w:rsidP="00DB5F80">
      <w:pPr>
        <w:pStyle w:val="FootnoteText1"/>
        <w:textDirection w:val="tbRlV"/>
      </w:pPr>
      <w:r>
        <w:rPr>
          <w:rtl/>
        </w:rPr>
        <w:t>(</w:t>
      </w:r>
      <w:r w:rsidRPr="006B5BAF">
        <w:rPr>
          <w:lang w:val="en-AU"/>
        </w:rPr>
        <w:footnoteRef/>
      </w:r>
      <w:r>
        <w:rPr>
          <w:rtl/>
        </w:rPr>
        <w:t>)</w:t>
      </w:r>
      <w:r>
        <w:rPr>
          <w:rtl/>
        </w:rPr>
        <w:tab/>
        <w:t xml:space="preserve">اللجنة المعنية بحماية حقوق جميع العمال المهاجرين وأفراد أسرهم، التعليق العام رقم </w:t>
      </w:r>
      <w:r w:rsidRPr="006B5BAF">
        <w:rPr>
          <w:rtl/>
        </w:rPr>
        <w:t>5</w:t>
      </w:r>
      <w:r w:rsidRPr="001659E7">
        <w:rPr>
          <w:rtl/>
        </w:rPr>
        <w:t>(</w:t>
      </w:r>
      <w:r w:rsidRPr="006B5BAF">
        <w:rPr>
          <w:rtl/>
        </w:rPr>
        <w:t>2021</w:t>
      </w:r>
      <w:r w:rsidRPr="00977A73">
        <w:rPr>
          <w:rtl/>
        </w:rPr>
        <w:t xml:space="preserve">)، </w:t>
      </w:r>
      <w:r>
        <w:rPr>
          <w:rtl/>
        </w:rPr>
        <w:t xml:space="preserve">الفقرتان </w:t>
      </w:r>
      <w:r w:rsidRPr="006B5BAF">
        <w:rPr>
          <w:rtl/>
        </w:rPr>
        <w:t>12</w:t>
      </w:r>
      <w:r>
        <w:rPr>
          <w:rtl/>
        </w:rPr>
        <w:t xml:space="preserve"> و</w:t>
      </w:r>
      <w:r w:rsidRPr="006B5BAF">
        <w:rPr>
          <w:rtl/>
        </w:rPr>
        <w:t>13</w:t>
      </w:r>
      <w:r>
        <w:rPr>
          <w:rtl/>
        </w:rPr>
        <w:t xml:space="preserve">؛ والتعليق العام المشترك رقم </w:t>
      </w:r>
      <w:r w:rsidRPr="006B5BAF">
        <w:rPr>
          <w:rtl/>
        </w:rPr>
        <w:t>4</w:t>
      </w:r>
      <w:r>
        <w:rPr>
          <w:rtl/>
        </w:rPr>
        <w:t xml:space="preserve"> للجنة المعنية بحماية حقوق جميع العمال المهاجرين وأفراد أسرهم ورقم </w:t>
      </w:r>
      <w:r w:rsidRPr="006B5BAF">
        <w:rPr>
          <w:rtl/>
        </w:rPr>
        <w:t>23</w:t>
      </w:r>
      <w:r>
        <w:rPr>
          <w:rtl/>
        </w:rPr>
        <w:t xml:space="preserve"> للجنة حقوق الطفل </w:t>
      </w:r>
      <w:r w:rsidRPr="001659E7">
        <w:rPr>
          <w:rtl/>
        </w:rPr>
        <w:t>(</w:t>
      </w:r>
      <w:r w:rsidRPr="006B5BAF">
        <w:rPr>
          <w:rtl/>
        </w:rPr>
        <w:t>2017</w:t>
      </w:r>
      <w:r w:rsidRPr="00977A73">
        <w:rPr>
          <w:rtl/>
        </w:rPr>
        <w:t xml:space="preserve">)، </w:t>
      </w:r>
      <w:r>
        <w:rPr>
          <w:rtl/>
        </w:rPr>
        <w:t xml:space="preserve">الفقرة </w:t>
      </w:r>
      <w:r w:rsidRPr="006B5BAF">
        <w:rPr>
          <w:rtl/>
        </w:rPr>
        <w:t>6</w:t>
      </w:r>
      <w:r w:rsidRPr="00977A73">
        <w:rPr>
          <w:rtl/>
        </w:rPr>
        <w:t xml:space="preserve">. </w:t>
      </w:r>
    </w:p>
  </w:footnote>
  <w:footnote w:id="31">
    <w:p w14:paraId="39AD43A2" w14:textId="77777777" w:rsidR="005E0255" w:rsidRPr="001659E7" w:rsidRDefault="005E0255" w:rsidP="000112F1">
      <w:pPr>
        <w:pStyle w:val="FootnoteText1"/>
        <w:textDirection w:val="tbRlV"/>
      </w:pPr>
      <w:r>
        <w:rPr>
          <w:rtl/>
        </w:rPr>
        <w:t>(</w:t>
      </w:r>
      <w:r w:rsidRPr="006B5BAF">
        <w:rPr>
          <w:lang w:val="en-AU"/>
        </w:rPr>
        <w:footnoteRef/>
      </w:r>
      <w:r>
        <w:rPr>
          <w:rtl/>
        </w:rPr>
        <w:t>)</w:t>
      </w:r>
      <w:r>
        <w:rPr>
          <w:rtl/>
        </w:rPr>
        <w:tab/>
      </w:r>
      <w:proofErr w:type="spellStart"/>
      <w:r w:rsidRPr="006B5BAF">
        <w:rPr>
          <w:i/>
          <w:iCs/>
          <w:rtl/>
        </w:rPr>
        <w:t>إيروستا</w:t>
      </w:r>
      <w:proofErr w:type="spellEnd"/>
      <w:r w:rsidRPr="006B5BAF">
        <w:rPr>
          <w:i/>
          <w:iCs/>
          <w:rtl/>
        </w:rPr>
        <w:t xml:space="preserve"> </w:t>
      </w:r>
      <w:proofErr w:type="spellStart"/>
      <w:r w:rsidRPr="006B5BAF">
        <w:rPr>
          <w:i/>
          <w:iCs/>
          <w:rtl/>
        </w:rPr>
        <w:t>وإيروستا</w:t>
      </w:r>
      <w:proofErr w:type="spellEnd"/>
      <w:r w:rsidRPr="006B5BAF">
        <w:rPr>
          <w:i/>
          <w:iCs/>
          <w:rtl/>
        </w:rPr>
        <w:t xml:space="preserve"> ضد الأرجنتين</w:t>
      </w:r>
      <w:r>
        <w:rPr>
          <w:rtl/>
        </w:rPr>
        <w:t xml:space="preserve"> </w:t>
      </w:r>
      <w:r w:rsidRPr="001659E7">
        <w:rPr>
          <w:rtl/>
        </w:rPr>
        <w:t>(</w:t>
      </w:r>
      <w:hyperlink r:id="rId26" w:history="1">
        <w:r w:rsidRPr="00977A73">
          <w:rPr>
            <w:rStyle w:val="Hyperlink"/>
          </w:rPr>
          <w:t>CED/C/</w:t>
        </w:r>
        <w:r w:rsidRPr="006B5BAF">
          <w:rPr>
            <w:rStyle w:val="Hyperlink"/>
          </w:rPr>
          <w:t>10</w:t>
        </w:r>
        <w:r w:rsidRPr="00977A73">
          <w:rPr>
            <w:rStyle w:val="Hyperlink"/>
          </w:rPr>
          <w:t>/D/</w:t>
        </w:r>
        <w:r w:rsidRPr="006B5BAF">
          <w:rPr>
            <w:rStyle w:val="Hyperlink"/>
          </w:rPr>
          <w:t>1</w:t>
        </w:r>
        <w:r w:rsidRPr="00977A73">
          <w:rPr>
            <w:rStyle w:val="Hyperlink"/>
          </w:rPr>
          <w:t>/</w:t>
        </w:r>
        <w:r w:rsidRPr="006B5BAF">
          <w:rPr>
            <w:rStyle w:val="Hyperlink"/>
          </w:rPr>
          <w:t>2013</w:t>
        </w:r>
      </w:hyperlink>
      <w:r w:rsidRPr="00977A73">
        <w:rPr>
          <w:rtl/>
        </w:rPr>
        <w:t xml:space="preserve">)، </w:t>
      </w:r>
      <w:r>
        <w:rPr>
          <w:rtl/>
        </w:rPr>
        <w:t xml:space="preserve">الفقرة </w:t>
      </w:r>
      <w:r w:rsidRPr="006B5BAF">
        <w:rPr>
          <w:rtl/>
        </w:rPr>
        <w:t>10</w:t>
      </w:r>
      <w:r w:rsidRPr="001659E7">
        <w:rPr>
          <w:rtl/>
        </w:rPr>
        <w:t>-</w:t>
      </w:r>
      <w:r w:rsidRPr="006B5BAF">
        <w:rPr>
          <w:rtl/>
        </w:rPr>
        <w:t>3</w:t>
      </w:r>
      <w:r>
        <w:rPr>
          <w:rFonts w:hint="cs"/>
          <w:rtl/>
        </w:rPr>
        <w:t>.</w:t>
      </w:r>
    </w:p>
  </w:footnote>
  <w:footnote w:id="32">
    <w:p w14:paraId="00628AF7" w14:textId="77777777" w:rsidR="005E0255" w:rsidRPr="001659E7" w:rsidRDefault="005E0255" w:rsidP="0063384E">
      <w:pPr>
        <w:pStyle w:val="FootnoteText1"/>
        <w:textDirection w:val="tbRlV"/>
      </w:pPr>
      <w:r>
        <w:rPr>
          <w:rtl/>
        </w:rPr>
        <w:t>(</w:t>
      </w:r>
      <w:r w:rsidRPr="006B5BAF">
        <w:rPr>
          <w:lang w:val="en-AU"/>
        </w:rPr>
        <w:footnoteRef/>
      </w:r>
      <w:r>
        <w:rPr>
          <w:rtl/>
        </w:rPr>
        <w:t>)</w:t>
      </w:r>
      <w:r>
        <w:rPr>
          <w:rtl/>
        </w:rPr>
        <w:tab/>
      </w:r>
      <w:r w:rsidRPr="00183B80">
        <w:rPr>
          <w:spacing w:val="-4"/>
          <w:rtl/>
        </w:rPr>
        <w:t>على سبيل المثال، العهد الدولي الخاص بالحقوق المدنية والسياسية، والاتفاقية الدولية لحماية حقوق جميع العمال المهاجرين وأفراد</w:t>
      </w:r>
      <w:r>
        <w:rPr>
          <w:rtl/>
        </w:rPr>
        <w:t xml:space="preserve"> أسرهم، </w:t>
      </w:r>
      <w:r w:rsidRPr="00810603">
        <w:rPr>
          <w:spacing w:val="2"/>
          <w:rtl/>
        </w:rPr>
        <w:t xml:space="preserve">واتفاقية حقوق الطفل، واتفاقية مناهضة التعذيب وغيره من ضروب </w:t>
      </w:r>
      <w:proofErr w:type="gramStart"/>
      <w:r w:rsidRPr="00810603">
        <w:rPr>
          <w:spacing w:val="2"/>
          <w:rtl/>
        </w:rPr>
        <w:t>المعاملة</w:t>
      </w:r>
      <w:proofErr w:type="gramEnd"/>
      <w:r w:rsidRPr="00810603">
        <w:rPr>
          <w:spacing w:val="2"/>
          <w:rtl/>
        </w:rPr>
        <w:t xml:space="preserve"> أو العقوبة القاسية أو اللاإنسانية أو المهينة</w:t>
      </w:r>
      <w:r>
        <w:rPr>
          <w:rtl/>
        </w:rPr>
        <w:t xml:space="preserve"> (انظر</w:t>
      </w:r>
      <w:r>
        <w:rPr>
          <w:rFonts w:hint="cs"/>
          <w:rtl/>
        </w:rPr>
        <w:t> </w:t>
      </w:r>
      <w:r w:rsidRPr="00EA6608">
        <w:rPr>
          <w:spacing w:val="-2"/>
          <w:rtl/>
        </w:rPr>
        <w:t xml:space="preserve">اللجنة المعنية بحماية حقوق جميع العمال المهاجرين وأفراد أسرهم، التعليق العام رقم </w:t>
      </w:r>
      <w:r w:rsidRPr="006B5BAF">
        <w:rPr>
          <w:spacing w:val="-2"/>
          <w:rtl/>
        </w:rPr>
        <w:t>2</w:t>
      </w:r>
      <w:r w:rsidRPr="00EA6608">
        <w:rPr>
          <w:spacing w:val="-2"/>
          <w:rtl/>
        </w:rPr>
        <w:t>(</w:t>
      </w:r>
      <w:r w:rsidRPr="006B5BAF">
        <w:rPr>
          <w:spacing w:val="-2"/>
          <w:rtl/>
        </w:rPr>
        <w:t>2013</w:t>
      </w:r>
      <w:r w:rsidRPr="00EA6608">
        <w:rPr>
          <w:spacing w:val="-2"/>
          <w:rtl/>
        </w:rPr>
        <w:t>) بشأن حقوق العمال المهاجرين</w:t>
      </w:r>
      <w:r>
        <w:rPr>
          <w:rtl/>
        </w:rPr>
        <w:t xml:space="preserve"> </w:t>
      </w:r>
      <w:r w:rsidRPr="00EA6608">
        <w:rPr>
          <w:spacing w:val="2"/>
          <w:rtl/>
        </w:rPr>
        <w:t xml:space="preserve">الذين هم في وضع غير نظامي وأفراد أسرهم، الفقرات </w:t>
      </w:r>
      <w:r w:rsidRPr="006B5BAF">
        <w:rPr>
          <w:spacing w:val="2"/>
          <w:rtl/>
        </w:rPr>
        <w:t>27</w:t>
      </w:r>
      <w:r w:rsidRPr="00EA6608">
        <w:rPr>
          <w:spacing w:val="2"/>
          <w:rtl/>
        </w:rPr>
        <w:t>-</w:t>
      </w:r>
      <w:r w:rsidRPr="006B5BAF">
        <w:rPr>
          <w:spacing w:val="2"/>
          <w:rtl/>
        </w:rPr>
        <w:t>33</w:t>
      </w:r>
      <w:r w:rsidRPr="00EA6608">
        <w:rPr>
          <w:spacing w:val="2"/>
          <w:rtl/>
        </w:rPr>
        <w:t xml:space="preserve">، والتعليق العام رقم </w:t>
      </w:r>
      <w:r w:rsidRPr="006B5BAF">
        <w:rPr>
          <w:spacing w:val="2"/>
          <w:rtl/>
        </w:rPr>
        <w:t>5</w:t>
      </w:r>
      <w:r w:rsidRPr="00EA6608">
        <w:rPr>
          <w:spacing w:val="2"/>
          <w:rtl/>
        </w:rPr>
        <w:t>(</w:t>
      </w:r>
      <w:r w:rsidRPr="006B5BAF">
        <w:rPr>
          <w:spacing w:val="2"/>
          <w:rtl/>
        </w:rPr>
        <w:t>2021</w:t>
      </w:r>
      <w:r w:rsidRPr="00EA6608">
        <w:rPr>
          <w:spacing w:val="2"/>
          <w:rtl/>
        </w:rPr>
        <w:t xml:space="preserve">)، الفقرات </w:t>
      </w:r>
      <w:r w:rsidRPr="006B5BAF">
        <w:rPr>
          <w:spacing w:val="2"/>
          <w:rtl/>
        </w:rPr>
        <w:t>53</w:t>
      </w:r>
      <w:r w:rsidRPr="00EA6608">
        <w:rPr>
          <w:spacing w:val="2"/>
          <w:rtl/>
        </w:rPr>
        <w:t xml:space="preserve"> و</w:t>
      </w:r>
      <w:r w:rsidRPr="006B5BAF">
        <w:rPr>
          <w:spacing w:val="2"/>
          <w:rtl/>
        </w:rPr>
        <w:t>58</w:t>
      </w:r>
      <w:r w:rsidRPr="00EA6608">
        <w:rPr>
          <w:spacing w:val="2"/>
          <w:rtl/>
        </w:rPr>
        <w:t xml:space="preserve"> و</w:t>
      </w:r>
      <w:r w:rsidRPr="006B5BAF">
        <w:rPr>
          <w:spacing w:val="2"/>
          <w:rtl/>
        </w:rPr>
        <w:t>65</w:t>
      </w:r>
      <w:r w:rsidRPr="00EA6608">
        <w:rPr>
          <w:spacing w:val="2"/>
          <w:rtl/>
        </w:rPr>
        <w:t>-</w:t>
      </w:r>
      <w:r w:rsidRPr="006B5BAF">
        <w:rPr>
          <w:spacing w:val="2"/>
          <w:rtl/>
        </w:rPr>
        <w:t>67</w:t>
      </w:r>
      <w:r w:rsidRPr="00EA6608">
        <w:rPr>
          <w:spacing w:val="2"/>
          <w:rtl/>
        </w:rPr>
        <w:t>.</w:t>
      </w:r>
      <w:r w:rsidRPr="00977A73">
        <w:rPr>
          <w:rtl/>
        </w:rPr>
        <w:t xml:space="preserve"> </w:t>
      </w:r>
      <w:r>
        <w:rPr>
          <w:rtl/>
        </w:rPr>
        <w:t xml:space="preserve">انظر أيضاً </w:t>
      </w:r>
      <w:hyperlink r:id="rId27" w:history="1">
        <w:r w:rsidRPr="00977A73">
          <w:rPr>
            <w:rStyle w:val="Hyperlink"/>
          </w:rPr>
          <w:t>CED/C/GRC/CO/</w:t>
        </w:r>
        <w:r w:rsidRPr="006B5BAF">
          <w:rPr>
            <w:rStyle w:val="Hyperlink"/>
          </w:rPr>
          <w:t>1</w:t>
        </w:r>
      </w:hyperlink>
      <w:r>
        <w:rPr>
          <w:rtl/>
        </w:rPr>
        <w:t xml:space="preserve">، الفقرة </w:t>
      </w:r>
      <w:r w:rsidRPr="006B5BAF">
        <w:rPr>
          <w:rtl/>
        </w:rPr>
        <w:t>31</w:t>
      </w:r>
      <w:r w:rsidRPr="001659E7">
        <w:rPr>
          <w:rtl/>
        </w:rPr>
        <w:t>(</w:t>
      </w:r>
      <w:r>
        <w:rPr>
          <w:rtl/>
        </w:rPr>
        <w:t>ج</w:t>
      </w:r>
      <w:r w:rsidRPr="001659E7">
        <w:rPr>
          <w:rtl/>
        </w:rPr>
        <w:t>)</w:t>
      </w:r>
      <w:r>
        <w:rPr>
          <w:rtl/>
        </w:rPr>
        <w:t xml:space="preserve"> و(د</w:t>
      </w:r>
      <w:r w:rsidRPr="00977A73">
        <w:rPr>
          <w:rtl/>
        </w:rPr>
        <w:t xml:space="preserve">)؛ </w:t>
      </w:r>
      <w:r>
        <w:rPr>
          <w:rtl/>
        </w:rPr>
        <w:t>و</w:t>
      </w:r>
      <w:hyperlink r:id="rId28" w:history="1">
        <w:r w:rsidRPr="00977A73">
          <w:rPr>
            <w:rStyle w:val="Hyperlink"/>
          </w:rPr>
          <w:t>CED/C/FRA/CO/</w:t>
        </w:r>
        <w:r w:rsidRPr="006B5BAF">
          <w:rPr>
            <w:rStyle w:val="Hyperlink"/>
          </w:rPr>
          <w:t>1</w:t>
        </w:r>
      </w:hyperlink>
      <w:r>
        <w:rPr>
          <w:rtl/>
        </w:rPr>
        <w:t xml:space="preserve">، الفقرتان </w:t>
      </w:r>
      <w:r w:rsidRPr="006B5BAF">
        <w:rPr>
          <w:rtl/>
        </w:rPr>
        <w:t>30</w:t>
      </w:r>
      <w:r>
        <w:rPr>
          <w:rtl/>
        </w:rPr>
        <w:t xml:space="preserve"> و</w:t>
      </w:r>
      <w:r w:rsidRPr="006B5BAF">
        <w:rPr>
          <w:rtl/>
        </w:rPr>
        <w:t>31</w:t>
      </w:r>
      <w:r>
        <w:rPr>
          <w:rtl/>
        </w:rPr>
        <w:t>؛ و</w:t>
      </w:r>
      <w:hyperlink r:id="rId29" w:history="1">
        <w:r w:rsidRPr="00977A73">
          <w:rPr>
            <w:rStyle w:val="Hyperlink"/>
          </w:rPr>
          <w:t>A/HRC/</w:t>
        </w:r>
        <w:r w:rsidRPr="006B5BAF">
          <w:rPr>
            <w:rStyle w:val="Hyperlink"/>
          </w:rPr>
          <w:t>37</w:t>
        </w:r>
        <w:r w:rsidRPr="00977A73">
          <w:rPr>
            <w:rStyle w:val="Hyperlink"/>
          </w:rPr>
          <w:t>/</w:t>
        </w:r>
        <w:r w:rsidRPr="006B5BAF">
          <w:rPr>
            <w:rStyle w:val="Hyperlink"/>
          </w:rPr>
          <w:t>50</w:t>
        </w:r>
      </w:hyperlink>
      <w:r>
        <w:rPr>
          <w:rtl/>
        </w:rPr>
        <w:t xml:space="preserve">، الفقرتان </w:t>
      </w:r>
      <w:r w:rsidRPr="006B5BAF">
        <w:rPr>
          <w:rtl/>
        </w:rPr>
        <w:t>73</w:t>
      </w:r>
      <w:r>
        <w:rPr>
          <w:rtl/>
        </w:rPr>
        <w:t xml:space="preserve"> و</w:t>
      </w:r>
      <w:r w:rsidRPr="006B5BAF">
        <w:rPr>
          <w:rtl/>
        </w:rPr>
        <w:t>74</w:t>
      </w:r>
      <w:r>
        <w:rPr>
          <w:rtl/>
        </w:rPr>
        <w:t>.</w:t>
      </w:r>
    </w:p>
  </w:footnote>
  <w:footnote w:id="33">
    <w:p w14:paraId="061B5B9E" w14:textId="77777777" w:rsidR="005E0255" w:rsidRPr="001659E7" w:rsidRDefault="005E0255" w:rsidP="00250E88">
      <w:pPr>
        <w:pStyle w:val="FootnoteText1"/>
        <w:textDirection w:val="tbRlV"/>
      </w:pPr>
      <w:r>
        <w:rPr>
          <w:rtl/>
        </w:rPr>
        <w:t>(</w:t>
      </w:r>
      <w:r w:rsidRPr="006B5BAF">
        <w:rPr>
          <w:lang w:val="en-AU"/>
        </w:rPr>
        <w:footnoteRef/>
      </w:r>
      <w:r>
        <w:rPr>
          <w:rtl/>
        </w:rPr>
        <w:t>)</w:t>
      </w:r>
      <w:r>
        <w:rPr>
          <w:rtl/>
        </w:rPr>
        <w:tab/>
      </w:r>
      <w:hyperlink r:id="rId30" w:history="1">
        <w:r w:rsidRPr="00977A73">
          <w:rPr>
            <w:rStyle w:val="Hyperlink"/>
          </w:rPr>
          <w:t>CED/C/GRC/CO/</w:t>
        </w:r>
        <w:r w:rsidRPr="006B5BAF">
          <w:rPr>
            <w:rStyle w:val="Hyperlink"/>
          </w:rPr>
          <w:t>1</w:t>
        </w:r>
      </w:hyperlink>
      <w:r>
        <w:rPr>
          <w:rtl/>
        </w:rPr>
        <w:t xml:space="preserve">، الفقرة </w:t>
      </w:r>
      <w:r w:rsidRPr="006B5BAF">
        <w:rPr>
          <w:rtl/>
        </w:rPr>
        <w:t>31</w:t>
      </w:r>
      <w:r w:rsidRPr="001659E7">
        <w:rPr>
          <w:rtl/>
        </w:rPr>
        <w:t>(</w:t>
      </w:r>
      <w:r>
        <w:rPr>
          <w:rtl/>
        </w:rPr>
        <w:t>د</w:t>
      </w:r>
      <w:r w:rsidRPr="001659E7">
        <w:rPr>
          <w:rtl/>
        </w:rPr>
        <w:t>)</w:t>
      </w:r>
      <w:r>
        <w:rPr>
          <w:rtl/>
        </w:rPr>
        <w:t>.</w:t>
      </w:r>
    </w:p>
  </w:footnote>
  <w:footnote w:id="34">
    <w:p w14:paraId="691E7F92" w14:textId="77777777" w:rsidR="005E0255" w:rsidRPr="001659E7" w:rsidRDefault="005E0255" w:rsidP="005A13D8">
      <w:pPr>
        <w:pStyle w:val="FootnoteText1"/>
        <w:textDirection w:val="tbRlV"/>
      </w:pPr>
      <w:r>
        <w:rPr>
          <w:rtl/>
        </w:rPr>
        <w:t>(</w:t>
      </w:r>
      <w:r w:rsidRPr="006B5BAF">
        <w:rPr>
          <w:lang w:val="en-AU"/>
        </w:rPr>
        <w:footnoteRef/>
      </w:r>
      <w:r>
        <w:rPr>
          <w:rtl/>
        </w:rPr>
        <w:t>)</w:t>
      </w:r>
      <w:r>
        <w:rPr>
          <w:rtl/>
        </w:rPr>
        <w:tab/>
        <w:t xml:space="preserve">المرجع نفسه، الفقرة </w:t>
      </w:r>
      <w:r w:rsidRPr="006B5BAF">
        <w:rPr>
          <w:rtl/>
        </w:rPr>
        <w:t>31</w:t>
      </w:r>
      <w:r w:rsidRPr="001659E7">
        <w:rPr>
          <w:rtl/>
        </w:rPr>
        <w:t>(</w:t>
      </w:r>
      <w:r>
        <w:rPr>
          <w:rtl/>
        </w:rPr>
        <w:t>أ</w:t>
      </w:r>
      <w:r w:rsidRPr="001659E7">
        <w:rPr>
          <w:rtl/>
        </w:rPr>
        <w:t>)</w:t>
      </w:r>
      <w:r>
        <w:rPr>
          <w:rtl/>
        </w:rPr>
        <w:t>.</w:t>
      </w:r>
    </w:p>
  </w:footnote>
  <w:footnote w:id="35">
    <w:p w14:paraId="1C5F5E34" w14:textId="77777777" w:rsidR="005E0255" w:rsidRPr="001659E7" w:rsidRDefault="005E0255" w:rsidP="00F32B9D">
      <w:pPr>
        <w:pStyle w:val="FootnoteText1"/>
        <w:textDirection w:val="tbRlV"/>
      </w:pPr>
      <w:r>
        <w:rPr>
          <w:rtl/>
        </w:rPr>
        <w:t>(</w:t>
      </w:r>
      <w:r w:rsidRPr="006B5BAF">
        <w:rPr>
          <w:lang w:val="en-AU"/>
        </w:rPr>
        <w:footnoteRef/>
      </w:r>
      <w:r>
        <w:rPr>
          <w:rtl/>
        </w:rPr>
        <w:t>)</w:t>
      </w:r>
      <w:r>
        <w:rPr>
          <w:rtl/>
        </w:rPr>
        <w:tab/>
        <w:t xml:space="preserve">مفوضية الأمم المتحدة السامية لشؤون اللاجئين، المبادئ التوجيهية ذات الصلة بالمعايير والقواعد المنطبقة فيما يتعلق باحتجاز ملتمسي اللجوء وبدائل الاحتجاز (جنيف، </w:t>
      </w:r>
      <w:r w:rsidRPr="006B5BAF">
        <w:rPr>
          <w:rtl/>
        </w:rPr>
        <w:t>2012</w:t>
      </w:r>
      <w:r w:rsidRPr="00977A73">
        <w:rPr>
          <w:rtl/>
        </w:rPr>
        <w:t xml:space="preserve">)، </w:t>
      </w:r>
      <w:r>
        <w:rPr>
          <w:rtl/>
        </w:rPr>
        <w:t xml:space="preserve">الفقرة </w:t>
      </w:r>
      <w:r w:rsidRPr="006B5BAF">
        <w:rPr>
          <w:rtl/>
        </w:rPr>
        <w:t>47</w:t>
      </w:r>
      <w:r w:rsidRPr="001659E7">
        <w:rPr>
          <w:rtl/>
        </w:rPr>
        <w:t>(</w:t>
      </w:r>
      <w:r w:rsidRPr="001659E7">
        <w:t>vii</w:t>
      </w:r>
      <w:r w:rsidRPr="00977A73">
        <w:rPr>
          <w:rtl/>
        </w:rPr>
        <w:t xml:space="preserve">). </w:t>
      </w:r>
    </w:p>
  </w:footnote>
  <w:footnote w:id="36">
    <w:p w14:paraId="041628B2" w14:textId="77777777" w:rsidR="005E0255" w:rsidRPr="001659E7" w:rsidRDefault="005E0255" w:rsidP="003A6953">
      <w:pPr>
        <w:pStyle w:val="FootnoteText1"/>
        <w:textDirection w:val="tbRlV"/>
      </w:pPr>
      <w:r>
        <w:rPr>
          <w:rtl/>
        </w:rPr>
        <w:t>(</w:t>
      </w:r>
      <w:r w:rsidRPr="006B5BAF">
        <w:rPr>
          <w:lang w:val="en-AU"/>
        </w:rPr>
        <w:footnoteRef/>
      </w:r>
      <w:r>
        <w:rPr>
          <w:rtl/>
        </w:rPr>
        <w:t>)</w:t>
      </w:r>
      <w:r>
        <w:rPr>
          <w:rtl/>
        </w:rPr>
        <w:tab/>
      </w:r>
      <w:hyperlink r:id="rId31" w:history="1">
        <w:r w:rsidRPr="00183B80">
          <w:rPr>
            <w:rStyle w:val="Hyperlink"/>
            <w:spacing w:val="-6"/>
          </w:rPr>
          <w:t>CED/C/MEX/VR/</w:t>
        </w:r>
        <w:r w:rsidRPr="006B5BAF">
          <w:rPr>
            <w:rStyle w:val="Hyperlink"/>
            <w:spacing w:val="-6"/>
          </w:rPr>
          <w:t>1</w:t>
        </w:r>
      </w:hyperlink>
      <w:r w:rsidRPr="00183B80">
        <w:rPr>
          <w:spacing w:val="-6"/>
        </w:rPr>
        <w:t xml:space="preserve"> (Recommendations)</w:t>
      </w:r>
      <w:r w:rsidRPr="00183B80">
        <w:rPr>
          <w:spacing w:val="-6"/>
          <w:rtl/>
        </w:rPr>
        <w:t xml:space="preserve">، الفقرة </w:t>
      </w:r>
      <w:r w:rsidRPr="006B5BAF">
        <w:rPr>
          <w:spacing w:val="-6"/>
          <w:rtl/>
        </w:rPr>
        <w:t>111</w:t>
      </w:r>
      <w:r w:rsidRPr="00183B80">
        <w:rPr>
          <w:spacing w:val="-6"/>
          <w:rtl/>
        </w:rPr>
        <w:t>؛ و</w:t>
      </w:r>
      <w:hyperlink r:id="rId32" w:history="1">
        <w:r w:rsidRPr="00183B80">
          <w:rPr>
            <w:rStyle w:val="Hyperlink"/>
            <w:spacing w:val="-6"/>
          </w:rPr>
          <w:t>CED/C/ITA/CO/</w:t>
        </w:r>
        <w:r w:rsidRPr="006B5BAF">
          <w:rPr>
            <w:rStyle w:val="Hyperlink"/>
            <w:spacing w:val="-6"/>
          </w:rPr>
          <w:t>1</w:t>
        </w:r>
      </w:hyperlink>
      <w:r w:rsidRPr="00183B80">
        <w:rPr>
          <w:spacing w:val="-6"/>
          <w:rtl/>
        </w:rPr>
        <w:t xml:space="preserve">، الفقرتان </w:t>
      </w:r>
      <w:r w:rsidRPr="006B5BAF">
        <w:rPr>
          <w:spacing w:val="-6"/>
          <w:rtl/>
        </w:rPr>
        <w:t>28</w:t>
      </w:r>
      <w:r w:rsidRPr="00183B80">
        <w:rPr>
          <w:spacing w:val="-6"/>
          <w:rtl/>
        </w:rPr>
        <w:t xml:space="preserve"> و</w:t>
      </w:r>
      <w:r w:rsidRPr="006B5BAF">
        <w:rPr>
          <w:spacing w:val="-6"/>
          <w:rtl/>
        </w:rPr>
        <w:t>29</w:t>
      </w:r>
      <w:r w:rsidRPr="00183B80">
        <w:rPr>
          <w:spacing w:val="-6"/>
          <w:rtl/>
        </w:rPr>
        <w:t>؛ و</w:t>
      </w:r>
      <w:hyperlink r:id="rId33" w:history="1">
        <w:r w:rsidRPr="00183B80">
          <w:rPr>
            <w:rStyle w:val="Hyperlink"/>
            <w:spacing w:val="-6"/>
          </w:rPr>
          <w:t>CED/C/JPN/CO/</w:t>
        </w:r>
        <w:r w:rsidRPr="006B5BAF">
          <w:rPr>
            <w:rStyle w:val="Hyperlink"/>
            <w:spacing w:val="-6"/>
          </w:rPr>
          <w:t>1</w:t>
        </w:r>
      </w:hyperlink>
      <w:r w:rsidRPr="00183B80">
        <w:rPr>
          <w:spacing w:val="-6"/>
          <w:rtl/>
        </w:rPr>
        <w:t xml:space="preserve">، </w:t>
      </w:r>
      <w:r>
        <w:rPr>
          <w:rtl/>
        </w:rPr>
        <w:t xml:space="preserve">الفقرتان </w:t>
      </w:r>
      <w:r w:rsidRPr="006B5BAF">
        <w:rPr>
          <w:rtl/>
        </w:rPr>
        <w:t>35</w:t>
      </w:r>
      <w:r>
        <w:rPr>
          <w:rtl/>
        </w:rPr>
        <w:t xml:space="preserve"> و</w:t>
      </w:r>
      <w:r w:rsidRPr="006B5BAF">
        <w:rPr>
          <w:rtl/>
        </w:rPr>
        <w:t>36</w:t>
      </w:r>
      <w:r>
        <w:rPr>
          <w:rtl/>
        </w:rPr>
        <w:t>؛ و</w:t>
      </w:r>
      <w:hyperlink r:id="rId34" w:history="1">
        <w:r w:rsidRPr="00977A73">
          <w:rPr>
            <w:rStyle w:val="Hyperlink"/>
          </w:rPr>
          <w:t>A/HRC/</w:t>
        </w:r>
        <w:r w:rsidRPr="006B5BAF">
          <w:rPr>
            <w:rStyle w:val="Hyperlink"/>
          </w:rPr>
          <w:t>36</w:t>
        </w:r>
        <w:r w:rsidRPr="00977A73">
          <w:rPr>
            <w:rStyle w:val="Hyperlink"/>
          </w:rPr>
          <w:t>/</w:t>
        </w:r>
        <w:r w:rsidRPr="006B5BAF">
          <w:rPr>
            <w:rStyle w:val="Hyperlink"/>
          </w:rPr>
          <w:t>39</w:t>
        </w:r>
        <w:r w:rsidRPr="00977A73">
          <w:rPr>
            <w:rStyle w:val="Hyperlink"/>
          </w:rPr>
          <w:t>/Add.</w:t>
        </w:r>
        <w:r w:rsidRPr="006B5BAF">
          <w:rPr>
            <w:rStyle w:val="Hyperlink"/>
          </w:rPr>
          <w:t>2</w:t>
        </w:r>
      </w:hyperlink>
      <w:r>
        <w:rPr>
          <w:rtl/>
        </w:rPr>
        <w:t xml:space="preserve">، الفقرات </w:t>
      </w:r>
      <w:r w:rsidRPr="006B5BAF">
        <w:rPr>
          <w:rtl/>
        </w:rPr>
        <w:t>23</w:t>
      </w:r>
      <w:r>
        <w:rPr>
          <w:rtl/>
        </w:rPr>
        <w:t xml:space="preserve"> و</w:t>
      </w:r>
      <w:r w:rsidRPr="006B5BAF">
        <w:rPr>
          <w:rtl/>
        </w:rPr>
        <w:t>24</w:t>
      </w:r>
      <w:r>
        <w:rPr>
          <w:rtl/>
        </w:rPr>
        <w:t xml:space="preserve"> و</w:t>
      </w:r>
      <w:r w:rsidRPr="006B5BAF">
        <w:rPr>
          <w:rtl/>
        </w:rPr>
        <w:t>62</w:t>
      </w:r>
      <w:r>
        <w:rPr>
          <w:rtl/>
        </w:rPr>
        <w:t>؛ و</w:t>
      </w:r>
      <w:hyperlink r:id="rId35" w:history="1">
        <w:r w:rsidRPr="00977A73">
          <w:rPr>
            <w:rStyle w:val="Hyperlink"/>
          </w:rPr>
          <w:t>E/CN.</w:t>
        </w:r>
        <w:r w:rsidRPr="006B5BAF">
          <w:rPr>
            <w:rStyle w:val="Hyperlink"/>
          </w:rPr>
          <w:t>4</w:t>
        </w:r>
        <w:r w:rsidRPr="00977A73">
          <w:rPr>
            <w:rStyle w:val="Hyperlink"/>
          </w:rPr>
          <w:t>/</w:t>
        </w:r>
        <w:r w:rsidRPr="006B5BAF">
          <w:rPr>
            <w:rStyle w:val="Hyperlink"/>
          </w:rPr>
          <w:t>1997</w:t>
        </w:r>
        <w:r w:rsidRPr="00977A73">
          <w:rPr>
            <w:rStyle w:val="Hyperlink"/>
          </w:rPr>
          <w:t>/</w:t>
        </w:r>
        <w:r w:rsidRPr="006B5BAF">
          <w:rPr>
            <w:rStyle w:val="Hyperlink"/>
          </w:rPr>
          <w:t>34</w:t>
        </w:r>
      </w:hyperlink>
      <w:r>
        <w:rPr>
          <w:rtl/>
        </w:rPr>
        <w:t xml:space="preserve">، الفقرات </w:t>
      </w:r>
      <w:r w:rsidRPr="006B5BAF">
        <w:rPr>
          <w:rtl/>
        </w:rPr>
        <w:t>22</w:t>
      </w:r>
      <w:r w:rsidRPr="001659E7">
        <w:rPr>
          <w:rtl/>
        </w:rPr>
        <w:t>-</w:t>
      </w:r>
      <w:r w:rsidRPr="006B5BAF">
        <w:rPr>
          <w:rtl/>
        </w:rPr>
        <w:t>30</w:t>
      </w:r>
      <w:r>
        <w:rPr>
          <w:rtl/>
        </w:rPr>
        <w:t>.</w:t>
      </w:r>
    </w:p>
  </w:footnote>
  <w:footnote w:id="37">
    <w:p w14:paraId="7CA689C6" w14:textId="77777777" w:rsidR="005E0255" w:rsidRPr="001659E7" w:rsidRDefault="005E0255" w:rsidP="00571ABB">
      <w:pPr>
        <w:pStyle w:val="FootnoteText1"/>
        <w:textDirection w:val="tbRlV"/>
      </w:pPr>
      <w:r>
        <w:rPr>
          <w:rtl/>
        </w:rPr>
        <w:t>(</w:t>
      </w:r>
      <w:r w:rsidRPr="006B5BAF">
        <w:rPr>
          <w:lang w:val="en-AU"/>
        </w:rPr>
        <w:footnoteRef/>
      </w:r>
      <w:r>
        <w:rPr>
          <w:rtl/>
        </w:rPr>
        <w:t>)</w:t>
      </w:r>
      <w:r>
        <w:rPr>
          <w:rtl/>
        </w:rPr>
        <w:tab/>
      </w:r>
      <w:hyperlink r:id="rId36" w:history="1">
        <w:r w:rsidRPr="00977A73">
          <w:rPr>
            <w:rStyle w:val="Hyperlink"/>
          </w:rPr>
          <w:t>CED/C/NLD/CO/</w:t>
        </w:r>
        <w:r w:rsidRPr="006B5BAF">
          <w:rPr>
            <w:rStyle w:val="Hyperlink"/>
          </w:rPr>
          <w:t>1</w:t>
        </w:r>
      </w:hyperlink>
      <w:r>
        <w:rPr>
          <w:rtl/>
        </w:rPr>
        <w:t xml:space="preserve">، الفقرة </w:t>
      </w:r>
      <w:r w:rsidRPr="006B5BAF">
        <w:rPr>
          <w:rtl/>
        </w:rPr>
        <w:t>29</w:t>
      </w:r>
      <w:r>
        <w:rPr>
          <w:rtl/>
        </w:rPr>
        <w:t>.</w:t>
      </w:r>
    </w:p>
  </w:footnote>
  <w:footnote w:id="38">
    <w:p w14:paraId="4A0B7E57" w14:textId="77777777" w:rsidR="005E0255" w:rsidRPr="001659E7" w:rsidRDefault="005E0255" w:rsidP="006D0C84">
      <w:pPr>
        <w:pStyle w:val="FootnoteText1"/>
        <w:textDirection w:val="tbRlV"/>
      </w:pPr>
      <w:r>
        <w:rPr>
          <w:rtl/>
        </w:rPr>
        <w:t>(</w:t>
      </w:r>
      <w:r w:rsidRPr="006B5BAF">
        <w:rPr>
          <w:lang w:val="en-AU"/>
        </w:rPr>
        <w:footnoteRef/>
      </w:r>
      <w:r>
        <w:rPr>
          <w:rtl/>
        </w:rPr>
        <w:t>)</w:t>
      </w:r>
      <w:r>
        <w:rPr>
          <w:rtl/>
        </w:rPr>
        <w:tab/>
      </w:r>
      <w:proofErr w:type="spellStart"/>
      <w:r w:rsidRPr="006B5BAF">
        <w:rPr>
          <w:i/>
          <w:iCs/>
          <w:rtl/>
        </w:rPr>
        <w:t>إيروستا</w:t>
      </w:r>
      <w:proofErr w:type="spellEnd"/>
      <w:r w:rsidRPr="006B5BAF">
        <w:rPr>
          <w:i/>
          <w:iCs/>
          <w:rtl/>
        </w:rPr>
        <w:t xml:space="preserve"> </w:t>
      </w:r>
      <w:proofErr w:type="spellStart"/>
      <w:r w:rsidRPr="006B5BAF">
        <w:rPr>
          <w:i/>
          <w:iCs/>
          <w:rtl/>
        </w:rPr>
        <w:t>وإيروستا</w:t>
      </w:r>
      <w:proofErr w:type="spellEnd"/>
      <w:r w:rsidRPr="006B5BAF">
        <w:rPr>
          <w:i/>
          <w:iCs/>
          <w:rtl/>
        </w:rPr>
        <w:t xml:space="preserve"> ضد الأرجنتين</w:t>
      </w:r>
      <w:r>
        <w:rPr>
          <w:rtl/>
        </w:rPr>
        <w:t xml:space="preserve">، الفقرتان </w:t>
      </w:r>
      <w:r w:rsidRPr="006B5BAF">
        <w:rPr>
          <w:rtl/>
        </w:rPr>
        <w:t>10</w:t>
      </w:r>
      <w:r w:rsidRPr="001659E7">
        <w:rPr>
          <w:rtl/>
        </w:rPr>
        <w:t>-</w:t>
      </w:r>
      <w:r w:rsidRPr="006B5BAF">
        <w:rPr>
          <w:rtl/>
        </w:rPr>
        <w:t>5</w:t>
      </w:r>
      <w:r>
        <w:rPr>
          <w:rtl/>
        </w:rPr>
        <w:t xml:space="preserve"> و</w:t>
      </w:r>
      <w:r w:rsidRPr="006B5BAF">
        <w:rPr>
          <w:rtl/>
        </w:rPr>
        <w:t>10</w:t>
      </w:r>
      <w:r w:rsidRPr="001659E7">
        <w:rPr>
          <w:rtl/>
        </w:rPr>
        <w:t>-</w:t>
      </w:r>
      <w:r w:rsidRPr="006B5BAF">
        <w:rPr>
          <w:rtl/>
        </w:rPr>
        <w:t>6</w:t>
      </w:r>
      <w:r>
        <w:rPr>
          <w:rtl/>
        </w:rPr>
        <w:t>.</w:t>
      </w:r>
    </w:p>
  </w:footnote>
  <w:footnote w:id="39">
    <w:p w14:paraId="2AD001B9" w14:textId="77777777" w:rsidR="005E0255" w:rsidRPr="001659E7" w:rsidRDefault="005E0255" w:rsidP="00E74455">
      <w:pPr>
        <w:pStyle w:val="FootnoteText1"/>
        <w:textDirection w:val="tbRlV"/>
      </w:pPr>
      <w:r>
        <w:rPr>
          <w:rtl/>
        </w:rPr>
        <w:t>(</w:t>
      </w:r>
      <w:r w:rsidRPr="006B5BAF">
        <w:rPr>
          <w:lang w:val="en-AU"/>
        </w:rPr>
        <w:footnoteRef/>
      </w:r>
      <w:r>
        <w:rPr>
          <w:rtl/>
        </w:rPr>
        <w:t>)</w:t>
      </w:r>
      <w:r>
        <w:rPr>
          <w:rtl/>
        </w:rPr>
        <w:tab/>
      </w:r>
      <w:hyperlink r:id="rId37" w:history="1">
        <w:r w:rsidRPr="00977A73">
          <w:rPr>
            <w:rStyle w:val="Hyperlink"/>
          </w:rPr>
          <w:t>CED/C/NLD/CO/</w:t>
        </w:r>
        <w:r w:rsidRPr="006B5BAF">
          <w:rPr>
            <w:rStyle w:val="Hyperlink"/>
          </w:rPr>
          <w:t>1</w:t>
        </w:r>
      </w:hyperlink>
      <w:r>
        <w:rPr>
          <w:rtl/>
        </w:rPr>
        <w:t xml:space="preserve">، الفقرتان </w:t>
      </w:r>
      <w:r w:rsidRPr="006B5BAF">
        <w:rPr>
          <w:rtl/>
        </w:rPr>
        <w:t>28</w:t>
      </w:r>
      <w:r>
        <w:rPr>
          <w:rtl/>
        </w:rPr>
        <w:t xml:space="preserve"> و</w:t>
      </w:r>
      <w:r w:rsidRPr="006B5BAF">
        <w:rPr>
          <w:rtl/>
        </w:rPr>
        <w:t>29</w:t>
      </w:r>
      <w:r>
        <w:rPr>
          <w:rtl/>
        </w:rPr>
        <w:t>.</w:t>
      </w:r>
    </w:p>
  </w:footnote>
  <w:footnote w:id="40">
    <w:p w14:paraId="24EE8FF0" w14:textId="77777777" w:rsidR="005E0255" w:rsidRPr="001659E7" w:rsidRDefault="005E0255" w:rsidP="008C21B1">
      <w:pPr>
        <w:pStyle w:val="FootnoteText1"/>
        <w:spacing w:line="260" w:lineRule="exact"/>
        <w:textDirection w:val="tbRlV"/>
      </w:pPr>
      <w:r>
        <w:rPr>
          <w:rtl/>
        </w:rPr>
        <w:t>(</w:t>
      </w:r>
      <w:r w:rsidRPr="006B5BAF">
        <w:rPr>
          <w:lang w:val="en-AU"/>
        </w:rPr>
        <w:footnoteRef/>
      </w:r>
      <w:r>
        <w:rPr>
          <w:rtl/>
        </w:rPr>
        <w:t>)</w:t>
      </w:r>
      <w:r>
        <w:rPr>
          <w:rtl/>
        </w:rPr>
        <w:tab/>
      </w:r>
      <w:hyperlink r:id="rId38" w:history="1">
        <w:r w:rsidRPr="00977A73">
          <w:rPr>
            <w:rStyle w:val="Hyperlink"/>
          </w:rPr>
          <w:t>CED/C/ITA/CO/</w:t>
        </w:r>
        <w:r w:rsidRPr="006B5BAF">
          <w:rPr>
            <w:rStyle w:val="Hyperlink"/>
          </w:rPr>
          <w:t>1</w:t>
        </w:r>
      </w:hyperlink>
      <w:r>
        <w:rPr>
          <w:rtl/>
        </w:rPr>
        <w:t xml:space="preserve">، الفقرة </w:t>
      </w:r>
      <w:r w:rsidRPr="006B5BAF">
        <w:rPr>
          <w:rtl/>
        </w:rPr>
        <w:t>29</w:t>
      </w:r>
      <w:r>
        <w:rPr>
          <w:rtl/>
        </w:rPr>
        <w:t>.</w:t>
      </w:r>
    </w:p>
  </w:footnote>
  <w:footnote w:id="41">
    <w:p w14:paraId="5B38ED34" w14:textId="77777777" w:rsidR="005E0255" w:rsidRPr="001659E7" w:rsidRDefault="005E0255" w:rsidP="008C21B1">
      <w:pPr>
        <w:pStyle w:val="FootnoteText1"/>
        <w:spacing w:line="260" w:lineRule="exact"/>
        <w:textDirection w:val="tbRlV"/>
      </w:pPr>
      <w:r>
        <w:rPr>
          <w:rtl/>
        </w:rPr>
        <w:t>(</w:t>
      </w:r>
      <w:r w:rsidRPr="006B5BAF">
        <w:rPr>
          <w:lang w:val="en-AU"/>
        </w:rPr>
        <w:footnoteRef/>
      </w:r>
      <w:r>
        <w:rPr>
          <w:rtl/>
        </w:rPr>
        <w:t>)</w:t>
      </w:r>
      <w:r>
        <w:rPr>
          <w:rtl/>
        </w:rPr>
        <w:tab/>
      </w:r>
      <w:hyperlink r:id="rId39" w:history="1">
        <w:r w:rsidRPr="00977A73">
          <w:rPr>
            <w:rStyle w:val="Hyperlink"/>
          </w:rPr>
          <w:t>A/HRC/</w:t>
        </w:r>
        <w:r w:rsidRPr="006B5BAF">
          <w:rPr>
            <w:rStyle w:val="Hyperlink"/>
          </w:rPr>
          <w:t>36</w:t>
        </w:r>
        <w:r w:rsidRPr="00977A73">
          <w:rPr>
            <w:rStyle w:val="Hyperlink"/>
          </w:rPr>
          <w:t>/</w:t>
        </w:r>
        <w:r w:rsidRPr="006B5BAF">
          <w:rPr>
            <w:rStyle w:val="Hyperlink"/>
          </w:rPr>
          <w:t>39</w:t>
        </w:r>
        <w:r w:rsidRPr="00977A73">
          <w:rPr>
            <w:rStyle w:val="Hyperlink"/>
          </w:rPr>
          <w:t>/Add.</w:t>
        </w:r>
        <w:r w:rsidRPr="006B5BAF">
          <w:rPr>
            <w:rStyle w:val="Hyperlink"/>
          </w:rPr>
          <w:t>2</w:t>
        </w:r>
      </w:hyperlink>
      <w:r>
        <w:rPr>
          <w:rtl/>
        </w:rPr>
        <w:t xml:space="preserve">، الفقرة </w:t>
      </w:r>
      <w:r w:rsidRPr="006B5BAF">
        <w:rPr>
          <w:rtl/>
        </w:rPr>
        <w:t>88</w:t>
      </w:r>
      <w:r w:rsidRPr="001659E7">
        <w:rPr>
          <w:rtl/>
        </w:rPr>
        <w:t>(</w:t>
      </w:r>
      <w:r>
        <w:rPr>
          <w:rtl/>
        </w:rPr>
        <w:t>د</w:t>
      </w:r>
      <w:r w:rsidRPr="00977A73">
        <w:rPr>
          <w:rtl/>
        </w:rPr>
        <w:t xml:space="preserve">)؛ </w:t>
      </w:r>
      <w:r>
        <w:rPr>
          <w:rtl/>
        </w:rPr>
        <w:t>واللجنة المعنية بحماية حقوق جميع العمال المهاجرين وأفراد أسرهم، التعليق العام رقم</w:t>
      </w:r>
      <w:r>
        <w:rPr>
          <w:rFonts w:hint="cs"/>
          <w:rtl/>
        </w:rPr>
        <w:t> </w:t>
      </w:r>
      <w:r w:rsidRPr="006B5BAF">
        <w:rPr>
          <w:rtl/>
        </w:rPr>
        <w:t>5</w:t>
      </w:r>
      <w:r w:rsidRPr="001659E7">
        <w:rPr>
          <w:rtl/>
        </w:rPr>
        <w:t>(</w:t>
      </w:r>
      <w:r w:rsidRPr="006B5BAF">
        <w:rPr>
          <w:rtl/>
        </w:rPr>
        <w:t>2021</w:t>
      </w:r>
      <w:r w:rsidRPr="00977A73">
        <w:rPr>
          <w:rtl/>
        </w:rPr>
        <w:t xml:space="preserve">)، </w:t>
      </w:r>
      <w:r>
        <w:rPr>
          <w:rtl/>
        </w:rPr>
        <w:t xml:space="preserve">الفقرات </w:t>
      </w:r>
      <w:r w:rsidRPr="006B5BAF">
        <w:rPr>
          <w:rtl/>
        </w:rPr>
        <w:t>84</w:t>
      </w:r>
      <w:r w:rsidRPr="001659E7">
        <w:rPr>
          <w:rtl/>
        </w:rPr>
        <w:t>-</w:t>
      </w:r>
      <w:r w:rsidRPr="006B5BAF">
        <w:rPr>
          <w:rtl/>
        </w:rPr>
        <w:t>89</w:t>
      </w:r>
      <w:r w:rsidRPr="00977A73">
        <w:rPr>
          <w:rtl/>
        </w:rPr>
        <w:t xml:space="preserve">. </w:t>
      </w:r>
      <w:r>
        <w:rPr>
          <w:rtl/>
        </w:rPr>
        <w:t xml:space="preserve">انظر أيضاً اللجنة المعنية بحماية حقوق جميع العمال المهاجرين وأفراد أسرهم، التعليق العام رقم </w:t>
      </w:r>
      <w:r w:rsidRPr="006B5BAF">
        <w:rPr>
          <w:rtl/>
        </w:rPr>
        <w:t>2</w:t>
      </w:r>
      <w:r w:rsidRPr="001659E7">
        <w:rPr>
          <w:rtl/>
        </w:rPr>
        <w:t>(</w:t>
      </w:r>
      <w:r w:rsidRPr="006B5BAF">
        <w:rPr>
          <w:rtl/>
        </w:rPr>
        <w:t>2013</w:t>
      </w:r>
      <w:r w:rsidRPr="00977A73">
        <w:rPr>
          <w:rtl/>
        </w:rPr>
        <w:t xml:space="preserve">)، </w:t>
      </w:r>
      <w:r>
        <w:rPr>
          <w:rtl/>
        </w:rPr>
        <w:t xml:space="preserve">الفقرتان </w:t>
      </w:r>
      <w:r w:rsidRPr="006B5BAF">
        <w:rPr>
          <w:rtl/>
        </w:rPr>
        <w:t>39</w:t>
      </w:r>
      <w:r>
        <w:rPr>
          <w:rtl/>
        </w:rPr>
        <w:t xml:space="preserve"> و</w:t>
      </w:r>
      <w:r w:rsidRPr="006B5BAF">
        <w:rPr>
          <w:rtl/>
        </w:rPr>
        <w:t>48</w:t>
      </w:r>
      <w:r w:rsidRPr="001659E7">
        <w:rPr>
          <w:rtl/>
        </w:rPr>
        <w:t>؛ و</w:t>
      </w:r>
      <w:hyperlink r:id="rId40" w:history="1">
        <w:r w:rsidRPr="00977A73">
          <w:rPr>
            <w:rStyle w:val="Hyperlink"/>
          </w:rPr>
          <w:t>A/HRC/</w:t>
        </w:r>
        <w:r w:rsidRPr="006B5BAF">
          <w:rPr>
            <w:rStyle w:val="Hyperlink"/>
          </w:rPr>
          <w:t>37</w:t>
        </w:r>
        <w:r w:rsidRPr="00977A73">
          <w:rPr>
            <w:rStyle w:val="Hyperlink"/>
          </w:rPr>
          <w:t>/</w:t>
        </w:r>
        <w:r w:rsidRPr="006B5BAF">
          <w:rPr>
            <w:rStyle w:val="Hyperlink"/>
          </w:rPr>
          <w:t>50</w:t>
        </w:r>
      </w:hyperlink>
      <w:r>
        <w:rPr>
          <w:rtl/>
        </w:rPr>
        <w:t xml:space="preserve">، الفقرة </w:t>
      </w:r>
      <w:r w:rsidRPr="006B5BAF">
        <w:rPr>
          <w:rtl/>
        </w:rPr>
        <w:t>73</w:t>
      </w:r>
      <w:r>
        <w:rPr>
          <w:rtl/>
        </w:rPr>
        <w:t xml:space="preserve">؛ </w:t>
      </w:r>
      <w:proofErr w:type="gramStart"/>
      <w:r>
        <w:rPr>
          <w:rtl/>
        </w:rPr>
        <w:t>و</w:t>
      </w:r>
      <w:r w:rsidRPr="00183B80">
        <w:t xml:space="preserve"> </w:t>
      </w:r>
      <w:r w:rsidRPr="008A4838">
        <w:t>Association</w:t>
      </w:r>
      <w:proofErr w:type="gramEnd"/>
      <w:r w:rsidRPr="008A4838">
        <w:t xml:space="preserve"> for the Prevention of Torture, International Detention Coalition and UNHCR, </w:t>
      </w:r>
      <w:r w:rsidRPr="006B5BAF">
        <w:rPr>
          <w:i/>
          <w:iCs/>
        </w:rPr>
        <w:t xml:space="preserve">Monitoring Immigration Detention: Practical Manual </w:t>
      </w:r>
      <w:r w:rsidRPr="008A4838">
        <w:t xml:space="preserve">(Geneva, Association for the Prevention of Torture and UNHCR, </w:t>
      </w:r>
      <w:r w:rsidRPr="006B5BAF">
        <w:t>2014</w:t>
      </w:r>
      <w:r w:rsidRPr="008A4838">
        <w:t>)</w:t>
      </w:r>
      <w:r w:rsidRPr="00977A73">
        <w:rPr>
          <w:rtl/>
        </w:rPr>
        <w:t xml:space="preserve">. </w:t>
      </w:r>
    </w:p>
  </w:footnote>
  <w:footnote w:id="42">
    <w:p w14:paraId="794B2901" w14:textId="77777777" w:rsidR="005E0255" w:rsidRPr="001659E7" w:rsidRDefault="005E0255" w:rsidP="008C21B1">
      <w:pPr>
        <w:pStyle w:val="FootnoteText1"/>
        <w:spacing w:line="260" w:lineRule="exact"/>
        <w:textDirection w:val="tbRlV"/>
      </w:pPr>
      <w:r>
        <w:rPr>
          <w:rtl/>
        </w:rPr>
        <w:t>(</w:t>
      </w:r>
      <w:r w:rsidRPr="006B5BAF">
        <w:rPr>
          <w:lang w:val="en-AU"/>
        </w:rPr>
        <w:footnoteRef/>
      </w:r>
      <w:r>
        <w:rPr>
          <w:rtl/>
        </w:rPr>
        <w:t>)</w:t>
      </w:r>
      <w:r>
        <w:rPr>
          <w:rtl/>
        </w:rPr>
        <w:tab/>
        <w:t xml:space="preserve">اللجنة المعنية بحماية حقوق جميع العمال المهاجرين وأفراد أسرهم، التعليق العام رقم </w:t>
      </w:r>
      <w:r w:rsidRPr="006B5BAF">
        <w:rPr>
          <w:rtl/>
        </w:rPr>
        <w:t>5</w:t>
      </w:r>
      <w:r w:rsidRPr="001659E7">
        <w:rPr>
          <w:rtl/>
        </w:rPr>
        <w:t>(</w:t>
      </w:r>
      <w:r w:rsidRPr="006B5BAF">
        <w:rPr>
          <w:rtl/>
        </w:rPr>
        <w:t>2021</w:t>
      </w:r>
      <w:r w:rsidRPr="00977A73">
        <w:rPr>
          <w:rtl/>
        </w:rPr>
        <w:t xml:space="preserve">)، </w:t>
      </w:r>
      <w:r>
        <w:rPr>
          <w:rtl/>
        </w:rPr>
        <w:t xml:space="preserve">الفقرة </w:t>
      </w:r>
      <w:r w:rsidRPr="006B5BAF">
        <w:rPr>
          <w:rtl/>
        </w:rPr>
        <w:t>89</w:t>
      </w:r>
      <w:r>
        <w:rPr>
          <w:rtl/>
        </w:rPr>
        <w:t>.</w:t>
      </w:r>
    </w:p>
  </w:footnote>
  <w:footnote w:id="43">
    <w:p w14:paraId="3E6A84AC" w14:textId="77777777" w:rsidR="005E0255" w:rsidRPr="001659E7" w:rsidRDefault="005E0255" w:rsidP="008C21B1">
      <w:pPr>
        <w:pStyle w:val="FootnoteText1"/>
        <w:spacing w:line="260" w:lineRule="exact"/>
        <w:textDirection w:val="tbRlV"/>
      </w:pPr>
      <w:r>
        <w:rPr>
          <w:rtl/>
        </w:rPr>
        <w:t>(</w:t>
      </w:r>
      <w:r w:rsidRPr="006B5BAF">
        <w:rPr>
          <w:lang w:val="en-AU"/>
        </w:rPr>
        <w:footnoteRef/>
      </w:r>
      <w:r>
        <w:rPr>
          <w:rtl/>
        </w:rPr>
        <w:t>)</w:t>
      </w:r>
      <w:r>
        <w:rPr>
          <w:rtl/>
        </w:rPr>
        <w:tab/>
      </w:r>
      <w:hyperlink r:id="rId41" w:history="1">
        <w:r w:rsidRPr="00977A73">
          <w:rPr>
            <w:rStyle w:val="Hyperlink"/>
          </w:rPr>
          <w:t>CED/C/GRC/CO/</w:t>
        </w:r>
        <w:r w:rsidRPr="006B5BAF">
          <w:rPr>
            <w:rStyle w:val="Hyperlink"/>
          </w:rPr>
          <w:t>1</w:t>
        </w:r>
      </w:hyperlink>
      <w:r>
        <w:rPr>
          <w:rtl/>
        </w:rPr>
        <w:t xml:space="preserve">، الفقرة </w:t>
      </w:r>
      <w:r w:rsidRPr="006B5BAF">
        <w:rPr>
          <w:rtl/>
        </w:rPr>
        <w:t>31</w:t>
      </w:r>
      <w:r w:rsidRPr="001659E7">
        <w:rPr>
          <w:rtl/>
        </w:rPr>
        <w:t>(</w:t>
      </w:r>
      <w:r>
        <w:rPr>
          <w:rtl/>
        </w:rPr>
        <w:t>ه</w:t>
      </w:r>
      <w:r w:rsidRPr="001659E7">
        <w:rPr>
          <w:rtl/>
        </w:rPr>
        <w:t>)</w:t>
      </w:r>
      <w:r>
        <w:rPr>
          <w:rtl/>
        </w:rPr>
        <w:t>.</w:t>
      </w:r>
    </w:p>
  </w:footnote>
  <w:footnote w:id="44">
    <w:p w14:paraId="7BEC9796" w14:textId="77777777" w:rsidR="005E0255" w:rsidRPr="008C21B1" w:rsidRDefault="005E0255" w:rsidP="008C21B1">
      <w:pPr>
        <w:pStyle w:val="FootnoteText1"/>
        <w:spacing w:line="260" w:lineRule="exact"/>
        <w:textDirection w:val="tbRlV"/>
        <w:rPr>
          <w:spacing w:val="-4"/>
        </w:rPr>
      </w:pPr>
      <w:r w:rsidRPr="008C21B1">
        <w:rPr>
          <w:spacing w:val="-4"/>
          <w:rtl/>
        </w:rPr>
        <w:t>(</w:t>
      </w:r>
      <w:r w:rsidRPr="006B5BAF">
        <w:rPr>
          <w:spacing w:val="-4"/>
          <w:lang w:val="en-AU"/>
        </w:rPr>
        <w:footnoteRef/>
      </w:r>
      <w:r w:rsidRPr="008C21B1">
        <w:rPr>
          <w:spacing w:val="-4"/>
          <w:rtl/>
        </w:rPr>
        <w:t>)</w:t>
      </w:r>
      <w:r w:rsidRPr="00810603">
        <w:rPr>
          <w:spacing w:val="-2"/>
          <w:rtl/>
        </w:rPr>
        <w:tab/>
      </w:r>
      <w:hyperlink r:id="rId42" w:history="1">
        <w:r w:rsidRPr="00810603">
          <w:rPr>
            <w:rStyle w:val="Hyperlink"/>
            <w:spacing w:val="-2"/>
          </w:rPr>
          <w:t>A/HRC/</w:t>
        </w:r>
        <w:r w:rsidRPr="006B5BAF">
          <w:rPr>
            <w:rStyle w:val="Hyperlink"/>
            <w:spacing w:val="-2"/>
          </w:rPr>
          <w:t>36</w:t>
        </w:r>
        <w:r w:rsidRPr="00810603">
          <w:rPr>
            <w:rStyle w:val="Hyperlink"/>
            <w:spacing w:val="-2"/>
          </w:rPr>
          <w:t>/</w:t>
        </w:r>
        <w:r w:rsidRPr="006B5BAF">
          <w:rPr>
            <w:rStyle w:val="Hyperlink"/>
            <w:spacing w:val="-2"/>
          </w:rPr>
          <w:t>39</w:t>
        </w:r>
        <w:r w:rsidRPr="00810603">
          <w:rPr>
            <w:rStyle w:val="Hyperlink"/>
            <w:spacing w:val="-2"/>
          </w:rPr>
          <w:t>/Add.</w:t>
        </w:r>
        <w:r w:rsidRPr="006B5BAF">
          <w:rPr>
            <w:rStyle w:val="Hyperlink"/>
            <w:spacing w:val="-2"/>
          </w:rPr>
          <w:t>2</w:t>
        </w:r>
      </w:hyperlink>
      <w:r w:rsidRPr="00810603">
        <w:rPr>
          <w:spacing w:val="-2"/>
          <w:rtl/>
        </w:rPr>
        <w:t xml:space="preserve">، الفقرة </w:t>
      </w:r>
      <w:r w:rsidRPr="006B5BAF">
        <w:rPr>
          <w:spacing w:val="-2"/>
          <w:rtl/>
        </w:rPr>
        <w:t>56</w:t>
      </w:r>
      <w:r w:rsidRPr="00810603">
        <w:rPr>
          <w:spacing w:val="-2"/>
          <w:rtl/>
        </w:rPr>
        <w:t>؛ ومفوضية الأمم المتحدة السامية لحقوق الإنسان والمجموعة العالمية المعنية بالهجرة، مبادئ</w:t>
      </w:r>
      <w:r w:rsidRPr="008C21B1">
        <w:rPr>
          <w:spacing w:val="-4"/>
          <w:rtl/>
        </w:rPr>
        <w:t xml:space="preserve"> </w:t>
      </w:r>
      <w:r w:rsidRPr="008C21B1">
        <w:rPr>
          <w:spacing w:val="-5"/>
          <w:rtl/>
        </w:rPr>
        <w:t xml:space="preserve">وخطوط توجيهية مدعومة بتوجيهات عملية بشأن حماية حقوق الإنسان للمهاجرين في الأوضاع الهشة (جنيف، </w:t>
      </w:r>
      <w:r w:rsidRPr="006B5BAF">
        <w:rPr>
          <w:spacing w:val="-5"/>
          <w:rtl/>
        </w:rPr>
        <w:t>2018</w:t>
      </w:r>
      <w:r w:rsidRPr="008C21B1">
        <w:rPr>
          <w:spacing w:val="-5"/>
          <w:rtl/>
        </w:rPr>
        <w:t xml:space="preserve">)، الفقرتان </w:t>
      </w:r>
      <w:r w:rsidRPr="006B5BAF">
        <w:rPr>
          <w:spacing w:val="-5"/>
          <w:rtl/>
        </w:rPr>
        <w:t>60</w:t>
      </w:r>
      <w:r w:rsidRPr="008C21B1">
        <w:rPr>
          <w:spacing w:val="-5"/>
          <w:rtl/>
        </w:rPr>
        <w:t xml:space="preserve"> و</w:t>
      </w:r>
      <w:r w:rsidRPr="006B5BAF">
        <w:rPr>
          <w:spacing w:val="-5"/>
          <w:rtl/>
        </w:rPr>
        <w:t>61</w:t>
      </w:r>
      <w:r w:rsidRPr="008C21B1">
        <w:rPr>
          <w:spacing w:val="-5"/>
          <w:rtl/>
        </w:rPr>
        <w:t>.</w:t>
      </w:r>
    </w:p>
  </w:footnote>
  <w:footnote w:id="45">
    <w:p w14:paraId="3F08E03E" w14:textId="77777777" w:rsidR="005E0255" w:rsidRPr="001659E7" w:rsidRDefault="005E0255" w:rsidP="008C21B1">
      <w:pPr>
        <w:pStyle w:val="FootnoteText1"/>
        <w:spacing w:line="260" w:lineRule="exact"/>
        <w:textDirection w:val="tbRlV"/>
      </w:pPr>
      <w:r>
        <w:rPr>
          <w:rtl/>
        </w:rPr>
        <w:t>(</w:t>
      </w:r>
      <w:r w:rsidRPr="006B5BAF">
        <w:rPr>
          <w:lang w:val="en-AU"/>
        </w:rPr>
        <w:footnoteRef/>
      </w:r>
      <w:r>
        <w:rPr>
          <w:rtl/>
        </w:rPr>
        <w:t>)</w:t>
      </w:r>
      <w:r>
        <w:rPr>
          <w:rtl/>
        </w:rPr>
        <w:tab/>
      </w:r>
      <w:hyperlink r:id="rId43" w:history="1">
        <w:r w:rsidRPr="00977A73">
          <w:rPr>
            <w:rStyle w:val="Hyperlink"/>
          </w:rPr>
          <w:t>CED/C/COL/OAI/</w:t>
        </w:r>
        <w:r w:rsidRPr="006B5BAF">
          <w:rPr>
            <w:rStyle w:val="Hyperlink"/>
          </w:rPr>
          <w:t>1</w:t>
        </w:r>
      </w:hyperlink>
      <w:r>
        <w:rPr>
          <w:rtl/>
        </w:rPr>
        <w:t xml:space="preserve">، الفقرة </w:t>
      </w:r>
      <w:r w:rsidRPr="006B5BAF">
        <w:rPr>
          <w:rtl/>
        </w:rPr>
        <w:t>17</w:t>
      </w:r>
      <w:r>
        <w:rPr>
          <w:rtl/>
        </w:rPr>
        <w:t>؛ و</w:t>
      </w:r>
      <w:hyperlink r:id="rId44" w:history="1">
        <w:r w:rsidRPr="00977A73">
          <w:rPr>
            <w:rStyle w:val="Hyperlink"/>
          </w:rPr>
          <w:t>CED/C/IRQ/OAI/</w:t>
        </w:r>
        <w:r w:rsidRPr="006B5BAF">
          <w:rPr>
            <w:rStyle w:val="Hyperlink"/>
          </w:rPr>
          <w:t>1</w:t>
        </w:r>
      </w:hyperlink>
      <w:r>
        <w:rPr>
          <w:rtl/>
        </w:rPr>
        <w:t xml:space="preserve">، الفقرة </w:t>
      </w:r>
      <w:r w:rsidRPr="006B5BAF">
        <w:rPr>
          <w:rtl/>
        </w:rPr>
        <w:t>5</w:t>
      </w:r>
      <w:r>
        <w:rPr>
          <w:rtl/>
        </w:rPr>
        <w:t>؛ و</w:t>
      </w:r>
      <w:hyperlink r:id="rId45" w:history="1">
        <w:r w:rsidRPr="00977A73">
          <w:rPr>
            <w:rStyle w:val="Hyperlink"/>
          </w:rPr>
          <w:t>CED/C/BRA/CO/</w:t>
        </w:r>
        <w:r w:rsidRPr="006B5BAF">
          <w:rPr>
            <w:rStyle w:val="Hyperlink"/>
          </w:rPr>
          <w:t>1</w:t>
        </w:r>
      </w:hyperlink>
      <w:r>
        <w:rPr>
          <w:rtl/>
        </w:rPr>
        <w:t xml:space="preserve">، الفقرة </w:t>
      </w:r>
      <w:r w:rsidRPr="006B5BAF">
        <w:rPr>
          <w:rtl/>
        </w:rPr>
        <w:t>13</w:t>
      </w:r>
      <w:r>
        <w:rPr>
          <w:rtl/>
        </w:rPr>
        <w:t>؛ و</w:t>
      </w:r>
      <w:hyperlink r:id="rId46" w:history="1">
        <w:r w:rsidRPr="00977A73">
          <w:rPr>
            <w:rStyle w:val="Hyperlink"/>
          </w:rPr>
          <w:t>CED/C/NER/CO/</w:t>
        </w:r>
        <w:r w:rsidRPr="006B5BAF">
          <w:rPr>
            <w:rStyle w:val="Hyperlink"/>
          </w:rPr>
          <w:t>1</w:t>
        </w:r>
      </w:hyperlink>
      <w:r>
        <w:rPr>
          <w:rtl/>
        </w:rPr>
        <w:t xml:space="preserve">، الفقرة </w:t>
      </w:r>
      <w:r w:rsidRPr="006B5BAF">
        <w:rPr>
          <w:rtl/>
        </w:rPr>
        <w:t>15</w:t>
      </w:r>
      <w:r>
        <w:rPr>
          <w:rtl/>
        </w:rPr>
        <w:t>.</w:t>
      </w:r>
    </w:p>
  </w:footnote>
  <w:footnote w:id="46">
    <w:p w14:paraId="28C4B37C" w14:textId="77777777" w:rsidR="005E0255" w:rsidRPr="001659E7" w:rsidRDefault="005E0255" w:rsidP="008C21B1">
      <w:pPr>
        <w:pStyle w:val="FootnoteText1"/>
        <w:spacing w:line="260" w:lineRule="exact"/>
        <w:textDirection w:val="tbRlV"/>
      </w:pPr>
      <w:r>
        <w:rPr>
          <w:rtl/>
        </w:rPr>
        <w:t>(</w:t>
      </w:r>
      <w:r w:rsidRPr="006B5BAF">
        <w:rPr>
          <w:lang w:val="en-AU"/>
        </w:rPr>
        <w:footnoteRef/>
      </w:r>
      <w:r>
        <w:rPr>
          <w:rtl/>
        </w:rPr>
        <w:t>)</w:t>
      </w:r>
      <w:r>
        <w:rPr>
          <w:rtl/>
        </w:rPr>
        <w:tab/>
      </w:r>
      <w:hyperlink r:id="rId47" w:history="1">
        <w:r w:rsidRPr="00977A73">
          <w:rPr>
            <w:rStyle w:val="Hyperlink"/>
          </w:rPr>
          <w:t>CED/C/HND/CO/</w:t>
        </w:r>
        <w:r w:rsidRPr="006B5BAF">
          <w:rPr>
            <w:rStyle w:val="Hyperlink"/>
          </w:rPr>
          <w:t>1</w:t>
        </w:r>
      </w:hyperlink>
      <w:r>
        <w:rPr>
          <w:rtl/>
        </w:rPr>
        <w:t xml:space="preserve">، الفقرة </w:t>
      </w:r>
      <w:r w:rsidRPr="006B5BAF">
        <w:rPr>
          <w:rtl/>
        </w:rPr>
        <w:t>29</w:t>
      </w:r>
      <w:r>
        <w:rPr>
          <w:rtl/>
        </w:rPr>
        <w:t>.</w:t>
      </w:r>
    </w:p>
  </w:footnote>
  <w:footnote w:id="47">
    <w:p w14:paraId="17F4D880" w14:textId="77777777" w:rsidR="005E0255" w:rsidRPr="001659E7" w:rsidRDefault="005E0255" w:rsidP="008C21B1">
      <w:pPr>
        <w:pStyle w:val="FootnoteText1"/>
        <w:spacing w:line="260" w:lineRule="exact"/>
        <w:textDirection w:val="tbRlV"/>
      </w:pPr>
      <w:r>
        <w:rPr>
          <w:rtl/>
        </w:rPr>
        <w:t>(</w:t>
      </w:r>
      <w:r w:rsidRPr="006B5BAF">
        <w:rPr>
          <w:lang w:val="en-AU"/>
        </w:rPr>
        <w:footnoteRef/>
      </w:r>
      <w:r>
        <w:rPr>
          <w:rtl/>
        </w:rPr>
        <w:t>)</w:t>
      </w:r>
      <w:r>
        <w:rPr>
          <w:rtl/>
        </w:rPr>
        <w:tab/>
        <w:t xml:space="preserve">المبادئ التوجيهية للبحث عن الأشخاص المختفين، المبدأ </w:t>
      </w:r>
      <w:r w:rsidRPr="006B5BAF">
        <w:rPr>
          <w:rtl/>
        </w:rPr>
        <w:t>9</w:t>
      </w:r>
      <w:r w:rsidRPr="001659E7">
        <w:rPr>
          <w:rtl/>
        </w:rPr>
        <w:t>(</w:t>
      </w:r>
      <w:r w:rsidRPr="006B5BAF">
        <w:rPr>
          <w:rtl/>
        </w:rPr>
        <w:t>3</w:t>
      </w:r>
      <w:r w:rsidRPr="00977A73">
        <w:rPr>
          <w:rtl/>
        </w:rPr>
        <w:t xml:space="preserve">)؛ </w:t>
      </w:r>
      <w:r>
        <w:rPr>
          <w:rtl/>
        </w:rPr>
        <w:t>و</w:t>
      </w:r>
      <w:hyperlink r:id="rId48" w:history="1">
        <w:r w:rsidRPr="00977A73">
          <w:rPr>
            <w:rStyle w:val="Hyperlink"/>
          </w:rPr>
          <w:t>CED/C/</w:t>
        </w:r>
        <w:r w:rsidRPr="006B5BAF">
          <w:rPr>
            <w:rStyle w:val="Hyperlink"/>
          </w:rPr>
          <w:t>19</w:t>
        </w:r>
        <w:r w:rsidRPr="00977A73">
          <w:rPr>
            <w:rStyle w:val="Hyperlink"/>
          </w:rPr>
          <w:t>/</w:t>
        </w:r>
        <w:r w:rsidRPr="006B5BAF">
          <w:rPr>
            <w:rStyle w:val="Hyperlink"/>
          </w:rPr>
          <w:t>2</w:t>
        </w:r>
      </w:hyperlink>
      <w:r>
        <w:rPr>
          <w:rtl/>
        </w:rPr>
        <w:t xml:space="preserve">، الفقرة </w:t>
      </w:r>
      <w:r w:rsidRPr="006B5BAF">
        <w:rPr>
          <w:rtl/>
        </w:rPr>
        <w:t>14</w:t>
      </w:r>
      <w:r>
        <w:rPr>
          <w:rtl/>
        </w:rPr>
        <w:t>.</w:t>
      </w:r>
    </w:p>
  </w:footnote>
  <w:footnote w:id="48">
    <w:p w14:paraId="3B86ADEA" w14:textId="77777777" w:rsidR="005E0255" w:rsidRPr="001659E7" w:rsidRDefault="005E0255" w:rsidP="008C21B1">
      <w:pPr>
        <w:pStyle w:val="FootnoteText1"/>
        <w:spacing w:line="260" w:lineRule="exact"/>
        <w:textDirection w:val="tbRlV"/>
      </w:pPr>
      <w:r>
        <w:rPr>
          <w:rtl/>
        </w:rPr>
        <w:t>(</w:t>
      </w:r>
      <w:r w:rsidRPr="006B5BAF">
        <w:rPr>
          <w:lang w:val="en-AU"/>
        </w:rPr>
        <w:footnoteRef/>
      </w:r>
      <w:r>
        <w:rPr>
          <w:rtl/>
        </w:rPr>
        <w:t>)</w:t>
      </w:r>
      <w:r>
        <w:rPr>
          <w:rtl/>
        </w:rPr>
        <w:tab/>
      </w:r>
      <w:hyperlink r:id="rId49" w:history="1">
        <w:r w:rsidRPr="00977A73">
          <w:rPr>
            <w:rStyle w:val="Hyperlink"/>
          </w:rPr>
          <w:t>CED/C/MEX/CO/</w:t>
        </w:r>
        <w:r w:rsidRPr="006B5BAF">
          <w:rPr>
            <w:rStyle w:val="Hyperlink"/>
          </w:rPr>
          <w:t>1</w:t>
        </w:r>
      </w:hyperlink>
      <w:r>
        <w:rPr>
          <w:rtl/>
        </w:rPr>
        <w:t xml:space="preserve">، الفقرة </w:t>
      </w:r>
      <w:r w:rsidRPr="006B5BAF">
        <w:rPr>
          <w:rtl/>
        </w:rPr>
        <w:t>18</w:t>
      </w:r>
      <w:r>
        <w:rPr>
          <w:rtl/>
        </w:rPr>
        <w:t>.</w:t>
      </w:r>
    </w:p>
  </w:footnote>
  <w:footnote w:id="49">
    <w:p w14:paraId="4B62BF69" w14:textId="77777777" w:rsidR="005E0255" w:rsidRPr="001659E7" w:rsidRDefault="005E0255" w:rsidP="008C21B1">
      <w:pPr>
        <w:pStyle w:val="FootnoteText1"/>
        <w:spacing w:line="260" w:lineRule="exact"/>
        <w:textDirection w:val="tbRlV"/>
      </w:pPr>
      <w:r>
        <w:rPr>
          <w:rtl/>
        </w:rPr>
        <w:t>(</w:t>
      </w:r>
      <w:r w:rsidRPr="006B5BAF">
        <w:rPr>
          <w:lang w:val="en-AU"/>
        </w:rPr>
        <w:footnoteRef/>
      </w:r>
      <w:r>
        <w:rPr>
          <w:rtl/>
        </w:rPr>
        <w:t>)</w:t>
      </w:r>
      <w:r>
        <w:rPr>
          <w:rtl/>
        </w:rPr>
        <w:tab/>
      </w:r>
      <w:r w:rsidRPr="00687EF5">
        <w:rPr>
          <w:spacing w:val="-4"/>
          <w:rtl/>
        </w:rPr>
        <w:t xml:space="preserve">التعليق العام المشترك رقم </w:t>
      </w:r>
      <w:r w:rsidRPr="006B5BAF">
        <w:rPr>
          <w:spacing w:val="-4"/>
          <w:rtl/>
        </w:rPr>
        <w:t>3</w:t>
      </w:r>
      <w:r w:rsidRPr="00687EF5">
        <w:rPr>
          <w:spacing w:val="-4"/>
          <w:rtl/>
        </w:rPr>
        <w:t xml:space="preserve"> للجنة المعنية بحماية حقوق جميع العمال المهاجرين وأفراد أُسرهم، ورقم </w:t>
      </w:r>
      <w:r w:rsidRPr="006B5BAF">
        <w:rPr>
          <w:spacing w:val="-4"/>
          <w:rtl/>
        </w:rPr>
        <w:t>22</w:t>
      </w:r>
      <w:r w:rsidRPr="00687EF5">
        <w:rPr>
          <w:spacing w:val="-4"/>
          <w:rtl/>
        </w:rPr>
        <w:t xml:space="preserve"> للجنة حقوق الطفل (</w:t>
      </w:r>
      <w:r w:rsidRPr="006B5BAF">
        <w:rPr>
          <w:spacing w:val="-4"/>
          <w:rtl/>
        </w:rPr>
        <w:t>2017</w:t>
      </w:r>
      <w:r w:rsidRPr="00687EF5">
        <w:rPr>
          <w:spacing w:val="-4"/>
          <w:rtl/>
        </w:rPr>
        <w:t>)،</w:t>
      </w:r>
      <w:r w:rsidRPr="00977A73">
        <w:rPr>
          <w:rtl/>
        </w:rPr>
        <w:t xml:space="preserve"> </w:t>
      </w:r>
      <w:r>
        <w:rPr>
          <w:rtl/>
        </w:rPr>
        <w:t xml:space="preserve">الفقرة </w:t>
      </w:r>
      <w:r w:rsidRPr="006B5BAF">
        <w:rPr>
          <w:rtl/>
        </w:rPr>
        <w:t>17</w:t>
      </w:r>
      <w:r>
        <w:rPr>
          <w:rtl/>
        </w:rPr>
        <w:t>.</w:t>
      </w:r>
    </w:p>
  </w:footnote>
  <w:footnote w:id="50">
    <w:p w14:paraId="12DAB165" w14:textId="77777777" w:rsidR="005E0255" w:rsidRPr="001659E7" w:rsidRDefault="005E0255" w:rsidP="00A443CF">
      <w:pPr>
        <w:pStyle w:val="FootnoteText1"/>
        <w:textDirection w:val="tbRlV"/>
      </w:pPr>
      <w:r>
        <w:rPr>
          <w:rtl/>
        </w:rPr>
        <w:t>(</w:t>
      </w:r>
      <w:r w:rsidRPr="006B5BAF">
        <w:rPr>
          <w:lang w:val="en-AU"/>
        </w:rPr>
        <w:footnoteRef/>
      </w:r>
      <w:r>
        <w:rPr>
          <w:rtl/>
        </w:rPr>
        <w:t>)</w:t>
      </w:r>
      <w:r>
        <w:rPr>
          <w:rtl/>
        </w:rPr>
        <w:tab/>
        <w:t>انظر</w:t>
      </w:r>
      <w:r>
        <w:rPr>
          <w:rFonts w:hint="cs"/>
          <w:rtl/>
        </w:rPr>
        <w:t xml:space="preserve"> </w:t>
      </w:r>
      <w:r w:rsidRPr="00091585">
        <w:t>ICRC,</w:t>
      </w:r>
      <w:r w:rsidRPr="007354CB">
        <w:t xml:space="preserve"> </w:t>
      </w:r>
      <w:r>
        <w:t>“</w:t>
      </w:r>
      <w:r w:rsidRPr="0066546F">
        <w:t>Core dataset for the search for missing migrants</w:t>
      </w:r>
      <w:r>
        <w:t xml:space="preserve">” (Geneva, </w:t>
      </w:r>
      <w:r w:rsidRPr="006B5BAF">
        <w:t>2021</w:t>
      </w:r>
      <w:r>
        <w:t>)</w:t>
      </w:r>
      <w:r w:rsidRPr="00977A73">
        <w:rPr>
          <w:rtl/>
        </w:rPr>
        <w:t xml:space="preserve">. </w:t>
      </w:r>
      <w:r>
        <w:rPr>
          <w:rtl/>
        </w:rPr>
        <w:t xml:space="preserve">انظر أيضاً الاتفاق العالمي من أجل الهجرة الآمنة والمنظمة والنظامية، الهدف </w:t>
      </w:r>
      <w:r w:rsidRPr="006B5BAF">
        <w:rPr>
          <w:rtl/>
        </w:rPr>
        <w:t>8</w:t>
      </w:r>
      <w:r>
        <w:rPr>
          <w:rtl/>
        </w:rPr>
        <w:t>.</w:t>
      </w:r>
    </w:p>
  </w:footnote>
  <w:footnote w:id="51">
    <w:p w14:paraId="5575D93D" w14:textId="77777777" w:rsidR="005E0255" w:rsidRPr="001659E7" w:rsidRDefault="005E0255" w:rsidP="003E24BB">
      <w:pPr>
        <w:pStyle w:val="FootnoteText1"/>
        <w:textDirection w:val="tbRlV"/>
      </w:pPr>
      <w:r>
        <w:rPr>
          <w:rtl/>
        </w:rPr>
        <w:t>(</w:t>
      </w:r>
      <w:r w:rsidRPr="006B5BAF">
        <w:rPr>
          <w:lang w:val="en-AU"/>
        </w:rPr>
        <w:footnoteRef/>
      </w:r>
      <w:r>
        <w:rPr>
          <w:rtl/>
        </w:rPr>
        <w:t>)</w:t>
      </w:r>
      <w:r>
        <w:rPr>
          <w:rtl/>
        </w:rPr>
        <w:tab/>
      </w:r>
      <w:r w:rsidRPr="000E3017">
        <w:t>ICRC</w:t>
      </w:r>
      <w:r>
        <w:t>,</w:t>
      </w:r>
      <w:r w:rsidRPr="007354CB">
        <w:t xml:space="preserve"> </w:t>
      </w:r>
      <w:r>
        <w:t>“</w:t>
      </w:r>
      <w:r w:rsidRPr="0066546F">
        <w:t xml:space="preserve">Guidelines on </w:t>
      </w:r>
      <w:r>
        <w:t>c</w:t>
      </w:r>
      <w:r w:rsidRPr="0066546F">
        <w:t xml:space="preserve">oordination and </w:t>
      </w:r>
      <w:r>
        <w:t>i</w:t>
      </w:r>
      <w:r w:rsidRPr="0066546F">
        <w:t>nformation-</w:t>
      </w:r>
      <w:r>
        <w:t>e</w:t>
      </w:r>
      <w:r w:rsidRPr="0066546F">
        <w:t xml:space="preserve">xchange </w:t>
      </w:r>
      <w:r>
        <w:t>m</w:t>
      </w:r>
      <w:r w:rsidRPr="0066546F">
        <w:t xml:space="preserve">echanisms for the </w:t>
      </w:r>
      <w:r>
        <w:t>s</w:t>
      </w:r>
      <w:r w:rsidRPr="0066546F">
        <w:t xml:space="preserve">earch for </w:t>
      </w:r>
      <w:r>
        <w:t>m</w:t>
      </w:r>
      <w:r w:rsidRPr="0066546F">
        <w:t xml:space="preserve">issing </w:t>
      </w:r>
      <w:r>
        <w:t>m</w:t>
      </w:r>
      <w:r w:rsidRPr="0066546F">
        <w:t>igrants</w:t>
      </w:r>
      <w:r>
        <w:t xml:space="preserve">” (Geneva, </w:t>
      </w:r>
      <w:proofErr w:type="gramStart"/>
      <w:r w:rsidRPr="006B5BAF">
        <w:t>2021</w:t>
      </w:r>
      <w:r>
        <w:t>)</w:t>
      </w:r>
      <w:r w:rsidRPr="000E3017">
        <w:t>,</w:t>
      </w:r>
      <w:proofErr w:type="gramEnd"/>
      <w:r w:rsidRPr="007354CB">
        <w:t xml:space="preserve"> p.</w:t>
      </w:r>
      <w:r>
        <w:t xml:space="preserve"> </w:t>
      </w:r>
      <w:r w:rsidRPr="006B5BAF">
        <w:t>18</w:t>
      </w:r>
      <w:r w:rsidRPr="001659E7">
        <w:rPr>
          <w:rtl/>
        </w:rPr>
        <w:t xml:space="preserve"> (</w:t>
      </w:r>
      <w:r>
        <w:rPr>
          <w:rtl/>
        </w:rPr>
        <w:t>مبادئ توجيهية بشأن آليات تنسيق وتبادل المعلومات للبحث عن المهاجرين المفقودين</w:t>
      </w:r>
      <w:r w:rsidRPr="00977A73">
        <w:rPr>
          <w:rtl/>
        </w:rPr>
        <w:t xml:space="preserve">). </w:t>
      </w:r>
      <w:r>
        <w:rPr>
          <w:rtl/>
        </w:rPr>
        <w:t xml:space="preserve">انظر أيضاً </w:t>
      </w:r>
      <w:hyperlink r:id="rId50" w:history="1">
        <w:r w:rsidRPr="00977A73">
          <w:rPr>
            <w:rStyle w:val="Hyperlink"/>
          </w:rPr>
          <w:t>A/</w:t>
        </w:r>
        <w:r w:rsidRPr="006B5BAF">
          <w:rPr>
            <w:rStyle w:val="Hyperlink"/>
          </w:rPr>
          <w:t>77</w:t>
        </w:r>
        <w:r w:rsidRPr="00977A73">
          <w:rPr>
            <w:rStyle w:val="Hyperlink"/>
          </w:rPr>
          <w:t>/</w:t>
        </w:r>
        <w:r w:rsidRPr="006B5BAF">
          <w:rPr>
            <w:rStyle w:val="Hyperlink"/>
          </w:rPr>
          <w:t>196</w:t>
        </w:r>
      </w:hyperlink>
      <w:r>
        <w:rPr>
          <w:rtl/>
        </w:rPr>
        <w:t xml:space="preserve">؛ </w:t>
      </w:r>
      <w:proofErr w:type="gramStart"/>
      <w:r>
        <w:rPr>
          <w:rtl/>
        </w:rPr>
        <w:t>و</w:t>
      </w:r>
      <w:r w:rsidRPr="00687EF5">
        <w:t xml:space="preserve"> </w:t>
      </w:r>
      <w:r w:rsidRPr="00B744BC">
        <w:t>Christopher</w:t>
      </w:r>
      <w:proofErr w:type="gramEnd"/>
      <w:r w:rsidRPr="00B744BC">
        <w:t xml:space="preserve"> Kuner </w:t>
      </w:r>
      <w:r>
        <w:t>a</w:t>
      </w:r>
      <w:r w:rsidRPr="00B744BC">
        <w:t>nd Massimo Marelli</w:t>
      </w:r>
      <w:r>
        <w:t>,</w:t>
      </w:r>
      <w:r w:rsidRPr="007354CB">
        <w:t xml:space="preserve"> </w:t>
      </w:r>
      <w:r>
        <w:t>eds.,</w:t>
      </w:r>
      <w:r w:rsidRPr="007354CB">
        <w:t xml:space="preserve"> </w:t>
      </w:r>
      <w:r w:rsidRPr="006B5BAF">
        <w:rPr>
          <w:i/>
          <w:iCs/>
        </w:rPr>
        <w:t>Handbook on Data Protection in Humanitarian Action</w:t>
      </w:r>
      <w:r w:rsidRPr="007354CB">
        <w:t>,</w:t>
      </w:r>
      <w:r>
        <w:t xml:space="preserve"> </w:t>
      </w:r>
      <w:r w:rsidRPr="006B5BAF">
        <w:t>2</w:t>
      </w:r>
      <w:r>
        <w:t>nd ed.</w:t>
      </w:r>
      <w:r w:rsidRPr="007354CB">
        <w:t xml:space="preserve"> </w:t>
      </w:r>
      <w:r>
        <w:t xml:space="preserve">(Geneva, ICRC, </w:t>
      </w:r>
      <w:r w:rsidRPr="006B5BAF">
        <w:t>2020</w:t>
      </w:r>
      <w:r>
        <w:t>)</w:t>
      </w:r>
      <w:r w:rsidRPr="00977A73">
        <w:rPr>
          <w:rtl/>
        </w:rPr>
        <w:t xml:space="preserve">. </w:t>
      </w:r>
    </w:p>
  </w:footnote>
  <w:footnote w:id="52">
    <w:p w14:paraId="5A25A97B" w14:textId="77777777" w:rsidR="005E0255" w:rsidRPr="001659E7" w:rsidRDefault="005E0255" w:rsidP="0097260B">
      <w:pPr>
        <w:pStyle w:val="FootnoteText1"/>
        <w:textDirection w:val="tbRlV"/>
      </w:pPr>
      <w:r>
        <w:rPr>
          <w:rtl/>
        </w:rPr>
        <w:t>(</w:t>
      </w:r>
      <w:r w:rsidRPr="006B5BAF">
        <w:rPr>
          <w:lang w:val="en-AU"/>
        </w:rPr>
        <w:footnoteRef/>
      </w:r>
      <w:r>
        <w:rPr>
          <w:rtl/>
        </w:rPr>
        <w:t>)</w:t>
      </w:r>
      <w:r>
        <w:rPr>
          <w:rtl/>
        </w:rPr>
        <w:tab/>
      </w:r>
      <w:hyperlink r:id="rId51" w:history="1">
        <w:r w:rsidRPr="00977A73">
          <w:rPr>
            <w:rStyle w:val="Hyperlink"/>
          </w:rPr>
          <w:t>A/HRC/</w:t>
        </w:r>
        <w:r w:rsidRPr="006B5BAF">
          <w:rPr>
            <w:rStyle w:val="Hyperlink"/>
          </w:rPr>
          <w:t>36</w:t>
        </w:r>
        <w:r w:rsidRPr="00977A73">
          <w:rPr>
            <w:rStyle w:val="Hyperlink"/>
          </w:rPr>
          <w:t>/</w:t>
        </w:r>
        <w:r w:rsidRPr="006B5BAF">
          <w:rPr>
            <w:rStyle w:val="Hyperlink"/>
          </w:rPr>
          <w:t>39</w:t>
        </w:r>
        <w:r w:rsidRPr="00977A73">
          <w:rPr>
            <w:rStyle w:val="Hyperlink"/>
          </w:rPr>
          <w:t>/Add.</w:t>
        </w:r>
        <w:r w:rsidRPr="006B5BAF">
          <w:rPr>
            <w:rStyle w:val="Hyperlink"/>
          </w:rPr>
          <w:t>2</w:t>
        </w:r>
      </w:hyperlink>
      <w:r>
        <w:rPr>
          <w:rtl/>
        </w:rPr>
        <w:t xml:space="preserve">، الفقرتان </w:t>
      </w:r>
      <w:r w:rsidRPr="006B5BAF">
        <w:rPr>
          <w:rtl/>
        </w:rPr>
        <w:t>54</w:t>
      </w:r>
      <w:r>
        <w:rPr>
          <w:rtl/>
        </w:rPr>
        <w:t xml:space="preserve"> و</w:t>
      </w:r>
      <w:r w:rsidRPr="006B5BAF">
        <w:rPr>
          <w:rtl/>
        </w:rPr>
        <w:t>88</w:t>
      </w:r>
      <w:r>
        <w:rPr>
          <w:rtl/>
        </w:rPr>
        <w:t>؛ و</w:t>
      </w:r>
      <w:hyperlink r:id="rId52" w:history="1">
        <w:r w:rsidRPr="00977A73">
          <w:rPr>
            <w:rStyle w:val="Hyperlink"/>
          </w:rPr>
          <w:t>CED/C/GRC/CO/</w:t>
        </w:r>
        <w:r w:rsidRPr="006B5BAF">
          <w:rPr>
            <w:rStyle w:val="Hyperlink"/>
          </w:rPr>
          <w:t>1</w:t>
        </w:r>
      </w:hyperlink>
      <w:r>
        <w:rPr>
          <w:rtl/>
        </w:rPr>
        <w:t xml:space="preserve">، الفقرة </w:t>
      </w:r>
      <w:r w:rsidRPr="006B5BAF">
        <w:rPr>
          <w:rtl/>
        </w:rPr>
        <w:t>30</w:t>
      </w:r>
      <w:r w:rsidRPr="00977A73">
        <w:rPr>
          <w:rtl/>
        </w:rPr>
        <w:t xml:space="preserve">. </w:t>
      </w:r>
      <w:r>
        <w:rPr>
          <w:rtl/>
        </w:rPr>
        <w:t>و</w:t>
      </w:r>
      <w:hyperlink r:id="rId53" w:history="1">
        <w:r w:rsidRPr="00977A73">
          <w:rPr>
            <w:rStyle w:val="Hyperlink"/>
          </w:rPr>
          <w:t>CED/C/MEX/VR/</w:t>
        </w:r>
        <w:r w:rsidRPr="006B5BAF">
          <w:rPr>
            <w:rStyle w:val="Hyperlink"/>
          </w:rPr>
          <w:t>1</w:t>
        </w:r>
      </w:hyperlink>
      <w:r w:rsidRPr="001659E7">
        <w:t xml:space="preserve"> (Findings</w:t>
      </w:r>
      <w:r w:rsidRPr="00977A73">
        <w:t>)</w:t>
      </w:r>
      <w:r w:rsidRPr="00977A73">
        <w:rPr>
          <w:rtl/>
        </w:rPr>
        <w:t xml:space="preserve">، </w:t>
      </w:r>
      <w:r>
        <w:rPr>
          <w:rtl/>
        </w:rPr>
        <w:t xml:space="preserve">الفقرات </w:t>
      </w:r>
      <w:r w:rsidRPr="006B5BAF">
        <w:rPr>
          <w:rtl/>
        </w:rPr>
        <w:t>18</w:t>
      </w:r>
      <w:r w:rsidRPr="001659E7">
        <w:rPr>
          <w:rtl/>
        </w:rPr>
        <w:t>-</w:t>
      </w:r>
      <w:r w:rsidRPr="006B5BAF">
        <w:rPr>
          <w:rtl/>
        </w:rPr>
        <w:t>20</w:t>
      </w:r>
      <w:r>
        <w:rPr>
          <w:rtl/>
        </w:rPr>
        <w:t>؛ و</w:t>
      </w:r>
      <w:r w:rsidRPr="00687EF5">
        <w:t xml:space="preserve"> </w:t>
      </w:r>
      <w:r>
        <w:t xml:space="preserve">European </w:t>
      </w:r>
      <w:r w:rsidRPr="007354CB">
        <w:t xml:space="preserve">Committee </w:t>
      </w:r>
      <w:r>
        <w:t>for</w:t>
      </w:r>
      <w:r w:rsidRPr="007354CB">
        <w:t xml:space="preserve"> the Prevention of Torture </w:t>
      </w:r>
      <w:r>
        <w:t>and Inhuman or Degrading Treatment or Punishment</w:t>
      </w:r>
      <w:r w:rsidRPr="007354CB">
        <w:t xml:space="preserve">, </w:t>
      </w:r>
      <w:r>
        <w:rPr>
          <w:rFonts w:cstheme="minorHAnsi"/>
        </w:rPr>
        <w:t>“</w:t>
      </w:r>
      <w:r w:rsidRPr="006B5BAF">
        <w:rPr>
          <w:rFonts w:cstheme="minorHAnsi"/>
        </w:rPr>
        <w:t>12</w:t>
      </w:r>
      <w:r>
        <w:rPr>
          <w:rFonts w:cstheme="minorHAnsi"/>
        </w:rPr>
        <w:t xml:space="preserve">th </w:t>
      </w:r>
      <w:r w:rsidRPr="00CA05A5">
        <w:t xml:space="preserve">General Report on the CPT’s </w:t>
      </w:r>
      <w:proofErr w:type="gramStart"/>
      <w:r w:rsidRPr="00CA05A5">
        <w:t>activities”,</w:t>
      </w:r>
      <w:proofErr w:type="gramEnd"/>
      <w:r>
        <w:t xml:space="preserve"> </w:t>
      </w:r>
      <w:r w:rsidRPr="006B5BAF">
        <w:t>3</w:t>
      </w:r>
      <w:r>
        <w:t xml:space="preserve"> September</w:t>
      </w:r>
      <w:r w:rsidRPr="00CA05A5">
        <w:t xml:space="preserve"> </w:t>
      </w:r>
      <w:r w:rsidRPr="006B5BAF">
        <w:t>2002</w:t>
      </w:r>
      <w:r w:rsidRPr="00CA05A5">
        <w:t>, paras.</w:t>
      </w:r>
      <w:r>
        <w:t> </w:t>
      </w:r>
      <w:r w:rsidRPr="006B5BAF">
        <w:t>32</w:t>
      </w:r>
      <w:r w:rsidRPr="00CA05A5">
        <w:t>–</w:t>
      </w:r>
      <w:r w:rsidRPr="006B5BAF">
        <w:t>50</w:t>
      </w:r>
      <w:r w:rsidRPr="00687EF5">
        <w:rPr>
          <w:rFonts w:hint="cs"/>
          <w:spacing w:val="-2"/>
          <w:rtl/>
        </w:rPr>
        <w:t xml:space="preserve"> </w:t>
      </w:r>
      <w:r w:rsidRPr="00687EF5">
        <w:rPr>
          <w:spacing w:val="-2"/>
          <w:rtl/>
        </w:rPr>
        <w:t>(اللجنة الأوروبية لمنع التعذيب والمعاملة أو العقوبة اللاإنسانية أو المهينة، التقرير العام الثاني عشر عن</w:t>
      </w:r>
      <w:r>
        <w:rPr>
          <w:rtl/>
        </w:rPr>
        <w:t xml:space="preserve"> أنشطة لجنة منع </w:t>
      </w:r>
      <w:proofErr w:type="gramStart"/>
      <w:r>
        <w:rPr>
          <w:rtl/>
        </w:rPr>
        <w:t>التعذيب</w:t>
      </w:r>
      <w:r w:rsidRPr="00977A73">
        <w:rPr>
          <w:rtl/>
        </w:rPr>
        <w:t>)؛</w:t>
      </w:r>
      <w:proofErr w:type="gramEnd"/>
      <w:r w:rsidRPr="00977A73">
        <w:rPr>
          <w:rtl/>
        </w:rPr>
        <w:t xml:space="preserve"> </w:t>
      </w:r>
      <w:r>
        <w:rPr>
          <w:rtl/>
        </w:rPr>
        <w:t xml:space="preserve">وتقرير إلى حكومة اليونان عن الزيارة إلى اليونان في الفترة من </w:t>
      </w:r>
      <w:r w:rsidRPr="006B5BAF">
        <w:rPr>
          <w:rtl/>
        </w:rPr>
        <w:t>17</w:t>
      </w:r>
      <w:r>
        <w:rPr>
          <w:rtl/>
        </w:rPr>
        <w:t xml:space="preserve"> إلى </w:t>
      </w:r>
      <w:r w:rsidRPr="006B5BAF">
        <w:rPr>
          <w:rtl/>
        </w:rPr>
        <w:t>29</w:t>
      </w:r>
      <w:r>
        <w:rPr>
          <w:rtl/>
        </w:rPr>
        <w:t xml:space="preserve"> أيلول/سبتمبر </w:t>
      </w:r>
      <w:r w:rsidRPr="006B5BAF">
        <w:rPr>
          <w:rtl/>
        </w:rPr>
        <w:t>2009</w:t>
      </w:r>
      <w:r>
        <w:rPr>
          <w:rtl/>
        </w:rPr>
        <w:t>، و</w:t>
      </w:r>
      <w:r w:rsidRPr="006B5BAF">
        <w:rPr>
          <w:rtl/>
        </w:rPr>
        <w:t>17</w:t>
      </w:r>
      <w:r>
        <w:rPr>
          <w:rtl/>
        </w:rPr>
        <w:t xml:space="preserve"> تشرين الثاني/نوفمبر </w:t>
      </w:r>
      <w:r w:rsidRPr="006B5BAF">
        <w:rPr>
          <w:rtl/>
        </w:rPr>
        <w:t>2010</w:t>
      </w:r>
      <w:r>
        <w:rPr>
          <w:rtl/>
        </w:rPr>
        <w:t xml:space="preserve">، الفقرتان </w:t>
      </w:r>
      <w:r w:rsidRPr="006B5BAF">
        <w:rPr>
          <w:rtl/>
        </w:rPr>
        <w:t>39</w:t>
      </w:r>
      <w:r>
        <w:rPr>
          <w:rtl/>
        </w:rPr>
        <w:t xml:space="preserve"> و</w:t>
      </w:r>
      <w:r w:rsidRPr="006B5BAF">
        <w:rPr>
          <w:rtl/>
        </w:rPr>
        <w:t>40</w:t>
      </w:r>
      <w:r w:rsidRPr="00977A73">
        <w:rPr>
          <w:rtl/>
        </w:rPr>
        <w:t xml:space="preserve">. </w:t>
      </w:r>
    </w:p>
  </w:footnote>
  <w:footnote w:id="53">
    <w:p w14:paraId="0FD0BC79" w14:textId="77777777" w:rsidR="005E0255" w:rsidRPr="001659E7" w:rsidRDefault="005E0255" w:rsidP="00957E62">
      <w:pPr>
        <w:pStyle w:val="FootnoteText1"/>
        <w:textDirection w:val="tbRlV"/>
      </w:pPr>
      <w:r>
        <w:rPr>
          <w:rtl/>
        </w:rPr>
        <w:t>(</w:t>
      </w:r>
      <w:r w:rsidRPr="006B5BAF">
        <w:rPr>
          <w:lang w:val="en-AU"/>
        </w:rPr>
        <w:footnoteRef/>
      </w:r>
      <w:r>
        <w:rPr>
          <w:rtl/>
        </w:rPr>
        <w:t>)</w:t>
      </w:r>
      <w:r>
        <w:rPr>
          <w:rtl/>
        </w:rPr>
        <w:tab/>
      </w:r>
      <w:r w:rsidRPr="00BE1E1F">
        <w:t xml:space="preserve">European </w:t>
      </w:r>
      <w:r w:rsidRPr="00CA05A5">
        <w:t>Committee for the Prevention of Torture and Inhuman or Degrading Treatment o</w:t>
      </w:r>
      <w:r>
        <w:t>r</w:t>
      </w:r>
      <w:r w:rsidRPr="00CA05A5">
        <w:t xml:space="preserve"> Punishment, report to the Government of Croatia </w:t>
      </w:r>
      <w:r>
        <w:t xml:space="preserve">on the visit to Croatia from </w:t>
      </w:r>
      <w:r w:rsidRPr="006B5BAF">
        <w:t>10</w:t>
      </w:r>
      <w:r>
        <w:t xml:space="preserve"> to </w:t>
      </w:r>
      <w:r w:rsidRPr="006B5BAF">
        <w:t>14</w:t>
      </w:r>
      <w:r>
        <w:t xml:space="preserve"> August </w:t>
      </w:r>
      <w:r w:rsidRPr="006B5BAF">
        <w:t>2020</w:t>
      </w:r>
      <w:r>
        <w:t xml:space="preserve">, </w:t>
      </w:r>
      <w:r w:rsidRPr="006B5BAF">
        <w:t>3</w:t>
      </w:r>
      <w:r>
        <w:t xml:space="preserve"> December </w:t>
      </w:r>
      <w:r w:rsidRPr="006B5BAF">
        <w:t>2021</w:t>
      </w:r>
      <w:r w:rsidRPr="00CA05A5">
        <w:t xml:space="preserve">, para. </w:t>
      </w:r>
      <w:r w:rsidRPr="006B5BAF">
        <w:t>22</w:t>
      </w:r>
      <w:r w:rsidRPr="001659E7">
        <w:rPr>
          <w:rtl/>
        </w:rPr>
        <w:t xml:space="preserve"> (</w:t>
      </w:r>
      <w:r>
        <w:rPr>
          <w:rtl/>
        </w:rPr>
        <w:t xml:space="preserve">اللجنة الأوروبية لمنع التعذيب والمعاملة أو العقوبة اللاإنسانية أو المهينة، تقرير إلى حكومة كرواتيا عن الزيارة إلى كرواتيا في الفترة من </w:t>
      </w:r>
      <w:r w:rsidRPr="006B5BAF">
        <w:rPr>
          <w:rtl/>
        </w:rPr>
        <w:t>10</w:t>
      </w:r>
      <w:r>
        <w:rPr>
          <w:rtl/>
        </w:rPr>
        <w:t xml:space="preserve"> إلى </w:t>
      </w:r>
      <w:r w:rsidRPr="006B5BAF">
        <w:rPr>
          <w:rtl/>
        </w:rPr>
        <w:t>14</w:t>
      </w:r>
      <w:r>
        <w:rPr>
          <w:rtl/>
        </w:rPr>
        <w:t xml:space="preserve"> آب/أغسطس </w:t>
      </w:r>
      <w:r w:rsidRPr="006B5BAF">
        <w:rPr>
          <w:rtl/>
        </w:rPr>
        <w:t>2020</w:t>
      </w:r>
      <w:r>
        <w:rPr>
          <w:rtl/>
        </w:rPr>
        <w:t>، و</w:t>
      </w:r>
      <w:r w:rsidRPr="006B5BAF">
        <w:rPr>
          <w:rtl/>
        </w:rPr>
        <w:t>3</w:t>
      </w:r>
      <w:r>
        <w:rPr>
          <w:rtl/>
        </w:rPr>
        <w:t xml:space="preserve"> كانون الأول/ديسمبر </w:t>
      </w:r>
      <w:r w:rsidRPr="006B5BAF">
        <w:rPr>
          <w:rtl/>
        </w:rPr>
        <w:t>2021</w:t>
      </w:r>
      <w:r>
        <w:rPr>
          <w:rtl/>
        </w:rPr>
        <w:t xml:space="preserve">، الفقرة </w:t>
      </w:r>
      <w:r w:rsidRPr="006B5BAF">
        <w:rPr>
          <w:rtl/>
        </w:rPr>
        <w:t>22</w:t>
      </w:r>
      <w:r w:rsidRPr="00977A73">
        <w:rPr>
          <w:rtl/>
        </w:rPr>
        <w:t xml:space="preserve">). </w:t>
      </w:r>
      <w:r w:rsidRPr="00810603">
        <w:rPr>
          <w:spacing w:val="4"/>
          <w:rtl/>
        </w:rPr>
        <w:t xml:space="preserve">للاطلاع على مزيد من المعلومات عن الحاجة إلى حفظ السجلات واستعراضها، انظر الوثيقة </w:t>
      </w:r>
      <w:hyperlink r:id="rId54" w:history="1">
        <w:r w:rsidRPr="00810603">
          <w:rPr>
            <w:rStyle w:val="Hyperlink"/>
            <w:spacing w:val="4"/>
          </w:rPr>
          <w:t>CED/C/GRC/CO/</w:t>
        </w:r>
        <w:r w:rsidRPr="006B5BAF">
          <w:rPr>
            <w:rStyle w:val="Hyperlink"/>
            <w:spacing w:val="4"/>
          </w:rPr>
          <w:t>1</w:t>
        </w:r>
      </w:hyperlink>
      <w:r>
        <w:rPr>
          <w:rtl/>
        </w:rPr>
        <w:t>، الفقرة</w:t>
      </w:r>
      <w:r>
        <w:rPr>
          <w:rFonts w:hint="cs"/>
          <w:rtl/>
        </w:rPr>
        <w:t> </w:t>
      </w:r>
      <w:r w:rsidRPr="006B5BAF">
        <w:rPr>
          <w:rtl/>
        </w:rPr>
        <w:t>31</w:t>
      </w:r>
      <w:r w:rsidRPr="001659E7">
        <w:rPr>
          <w:rtl/>
        </w:rPr>
        <w:t>(</w:t>
      </w:r>
      <w:r>
        <w:rPr>
          <w:rtl/>
        </w:rPr>
        <w:t>و</w:t>
      </w:r>
      <w:r w:rsidRPr="001659E7">
        <w:rPr>
          <w:rtl/>
        </w:rPr>
        <w:t>)</w:t>
      </w:r>
      <w:r>
        <w:rPr>
          <w:rtl/>
        </w:rPr>
        <w:t xml:space="preserve"> و(ز</w:t>
      </w:r>
      <w:r w:rsidRPr="00977A73">
        <w:rPr>
          <w:rtl/>
        </w:rPr>
        <w:t xml:space="preserve">)؛ </w:t>
      </w:r>
      <w:r>
        <w:rPr>
          <w:rtl/>
        </w:rPr>
        <w:t>و</w:t>
      </w:r>
      <w:hyperlink r:id="rId55" w:history="1">
        <w:r w:rsidRPr="00977A73">
          <w:rPr>
            <w:rStyle w:val="Hyperlink"/>
          </w:rPr>
          <w:t>CED/C/MEX/CO/</w:t>
        </w:r>
        <w:r w:rsidRPr="006B5BAF">
          <w:rPr>
            <w:rStyle w:val="Hyperlink"/>
          </w:rPr>
          <w:t>1</w:t>
        </w:r>
      </w:hyperlink>
      <w:r>
        <w:rPr>
          <w:rtl/>
        </w:rPr>
        <w:t xml:space="preserve">، الفقرتان </w:t>
      </w:r>
      <w:r w:rsidRPr="006B5BAF">
        <w:rPr>
          <w:rtl/>
        </w:rPr>
        <w:t>34</w:t>
      </w:r>
      <w:r>
        <w:rPr>
          <w:rtl/>
        </w:rPr>
        <w:t xml:space="preserve"> و</w:t>
      </w:r>
      <w:r w:rsidRPr="006B5BAF">
        <w:rPr>
          <w:rtl/>
        </w:rPr>
        <w:t>35</w:t>
      </w:r>
      <w:r>
        <w:rPr>
          <w:rtl/>
        </w:rPr>
        <w:t>؛ و</w:t>
      </w:r>
      <w:hyperlink r:id="rId56" w:history="1">
        <w:r w:rsidRPr="00977A73">
          <w:rPr>
            <w:rStyle w:val="Hyperlink"/>
          </w:rPr>
          <w:t>CED/C/MEX/VR/</w:t>
        </w:r>
        <w:r w:rsidRPr="006B5BAF">
          <w:rPr>
            <w:rStyle w:val="Hyperlink"/>
          </w:rPr>
          <w:t>1</w:t>
        </w:r>
      </w:hyperlink>
      <w:r w:rsidRPr="001659E7">
        <w:t xml:space="preserve"> (Recommendations</w:t>
      </w:r>
      <w:r w:rsidRPr="00977A73">
        <w:t>)</w:t>
      </w:r>
      <w:r w:rsidRPr="00977A73">
        <w:rPr>
          <w:rtl/>
        </w:rPr>
        <w:t xml:space="preserve">، </w:t>
      </w:r>
      <w:r>
        <w:rPr>
          <w:rtl/>
        </w:rPr>
        <w:t xml:space="preserve">الفقرات </w:t>
      </w:r>
      <w:r w:rsidRPr="006B5BAF">
        <w:rPr>
          <w:rtl/>
        </w:rPr>
        <w:t>105</w:t>
      </w:r>
      <w:r w:rsidRPr="001659E7">
        <w:rPr>
          <w:rtl/>
        </w:rPr>
        <w:t>-</w:t>
      </w:r>
      <w:r w:rsidRPr="006B5BAF">
        <w:rPr>
          <w:rtl/>
        </w:rPr>
        <w:t>107</w:t>
      </w:r>
      <w:r w:rsidRPr="00977A73">
        <w:rPr>
          <w:rtl/>
        </w:rPr>
        <w:t xml:space="preserve">. </w:t>
      </w:r>
    </w:p>
  </w:footnote>
  <w:footnote w:id="54">
    <w:p w14:paraId="28BD5F36" w14:textId="77777777" w:rsidR="005E0255" w:rsidRPr="001659E7" w:rsidRDefault="005E0255" w:rsidP="002B24DB">
      <w:pPr>
        <w:pStyle w:val="FootnoteText1"/>
        <w:textDirection w:val="tbRlV"/>
      </w:pPr>
      <w:r>
        <w:rPr>
          <w:rtl/>
        </w:rPr>
        <w:t>(</w:t>
      </w:r>
      <w:r w:rsidRPr="006B5BAF">
        <w:rPr>
          <w:lang w:val="en-AU"/>
        </w:rPr>
        <w:footnoteRef/>
      </w:r>
      <w:r>
        <w:rPr>
          <w:rtl/>
        </w:rPr>
        <w:t>)</w:t>
      </w:r>
      <w:r>
        <w:rPr>
          <w:rtl/>
        </w:rPr>
        <w:tab/>
      </w:r>
      <w:r w:rsidRPr="00810603">
        <w:rPr>
          <w:spacing w:val="-2"/>
          <w:rtl/>
        </w:rPr>
        <w:t>اللجنة الأوروبية لمنع التعذيب والمعاملة أو العقوبة اللاإنسانية أو المهينة، تقرير إلى حكومة اليونان عن الزيارة إلى اليونان في الفترة</w:t>
      </w:r>
      <w:r>
        <w:rPr>
          <w:rtl/>
        </w:rPr>
        <w:t xml:space="preserve"> من </w:t>
      </w:r>
      <w:r w:rsidRPr="006B5BAF">
        <w:rPr>
          <w:rtl/>
        </w:rPr>
        <w:t>13</w:t>
      </w:r>
      <w:r>
        <w:rPr>
          <w:rtl/>
        </w:rPr>
        <w:t xml:space="preserve"> إلى </w:t>
      </w:r>
      <w:r w:rsidRPr="006B5BAF">
        <w:rPr>
          <w:rtl/>
        </w:rPr>
        <w:t>17</w:t>
      </w:r>
      <w:r>
        <w:rPr>
          <w:rtl/>
        </w:rPr>
        <w:t xml:space="preserve"> آذار/مارس </w:t>
      </w:r>
      <w:r w:rsidRPr="006B5BAF">
        <w:rPr>
          <w:rtl/>
        </w:rPr>
        <w:t>2020</w:t>
      </w:r>
      <w:r>
        <w:rPr>
          <w:rtl/>
        </w:rPr>
        <w:t>، و</w:t>
      </w:r>
      <w:r w:rsidRPr="006B5BAF">
        <w:rPr>
          <w:rtl/>
        </w:rPr>
        <w:t>19</w:t>
      </w:r>
      <w:r>
        <w:rPr>
          <w:rtl/>
        </w:rPr>
        <w:t xml:space="preserve"> تشرين الثاني/نوفمبر </w:t>
      </w:r>
      <w:r w:rsidRPr="006B5BAF">
        <w:rPr>
          <w:rtl/>
        </w:rPr>
        <w:t>2020</w:t>
      </w:r>
      <w:r>
        <w:rPr>
          <w:rtl/>
        </w:rPr>
        <w:t xml:space="preserve">، الفقرة </w:t>
      </w:r>
      <w:r w:rsidRPr="006B5BAF">
        <w:rPr>
          <w:rtl/>
        </w:rPr>
        <w:t>57</w:t>
      </w:r>
      <w:r>
        <w:rPr>
          <w:rtl/>
        </w:rPr>
        <w:t xml:space="preserve">؛ وتقرير إلى حكومة كرواتيا عن الزيارة إلى كرواتيا في الفترة من </w:t>
      </w:r>
      <w:r w:rsidRPr="006B5BAF">
        <w:rPr>
          <w:rtl/>
        </w:rPr>
        <w:t>10</w:t>
      </w:r>
      <w:r>
        <w:rPr>
          <w:rtl/>
        </w:rPr>
        <w:t xml:space="preserve"> إلى </w:t>
      </w:r>
      <w:r w:rsidRPr="006B5BAF">
        <w:rPr>
          <w:rtl/>
        </w:rPr>
        <w:t>14</w:t>
      </w:r>
      <w:r>
        <w:rPr>
          <w:rtl/>
        </w:rPr>
        <w:t xml:space="preserve"> آب/أغسطس </w:t>
      </w:r>
      <w:r w:rsidRPr="006B5BAF">
        <w:rPr>
          <w:rtl/>
        </w:rPr>
        <w:t>2020</w:t>
      </w:r>
      <w:r>
        <w:rPr>
          <w:rtl/>
        </w:rPr>
        <w:t xml:space="preserve">، الفقرتان </w:t>
      </w:r>
      <w:r w:rsidRPr="006B5BAF">
        <w:rPr>
          <w:rtl/>
        </w:rPr>
        <w:t>14</w:t>
      </w:r>
      <w:r>
        <w:rPr>
          <w:rtl/>
        </w:rPr>
        <w:t xml:space="preserve"> و</w:t>
      </w:r>
      <w:r w:rsidRPr="006B5BAF">
        <w:rPr>
          <w:rtl/>
        </w:rPr>
        <w:t>22</w:t>
      </w:r>
      <w:r>
        <w:rPr>
          <w:rtl/>
        </w:rPr>
        <w:t>.</w:t>
      </w:r>
    </w:p>
  </w:footnote>
  <w:footnote w:id="55">
    <w:p w14:paraId="602BE0D6" w14:textId="77777777" w:rsidR="005E0255" w:rsidRPr="001659E7" w:rsidRDefault="005E0255" w:rsidP="00534176">
      <w:pPr>
        <w:pStyle w:val="FootnoteText1"/>
        <w:textDirection w:val="tbRlV"/>
      </w:pPr>
      <w:r>
        <w:rPr>
          <w:rtl/>
        </w:rPr>
        <w:t>(</w:t>
      </w:r>
      <w:r w:rsidRPr="006B5BAF">
        <w:rPr>
          <w:lang w:val="en-AU"/>
        </w:rPr>
        <w:footnoteRef/>
      </w:r>
      <w:r>
        <w:rPr>
          <w:rtl/>
        </w:rPr>
        <w:t>)</w:t>
      </w:r>
      <w:r>
        <w:rPr>
          <w:rtl/>
        </w:rPr>
        <w:tab/>
      </w:r>
      <w:r w:rsidRPr="00810603">
        <w:rPr>
          <w:spacing w:val="-2"/>
          <w:rtl/>
        </w:rPr>
        <w:t>اللجنة الأوروبية لمنع التعذيب والمعاملة أو العقوبة اللاإنسانية أو المهينة، تقرير إلى حكومة كرواتيا عن الزيارة إلى كرواتيا في الفترة</w:t>
      </w:r>
      <w:r>
        <w:rPr>
          <w:rtl/>
        </w:rPr>
        <w:t xml:space="preserve"> من </w:t>
      </w:r>
      <w:r w:rsidRPr="006B5BAF">
        <w:rPr>
          <w:rtl/>
        </w:rPr>
        <w:t>10</w:t>
      </w:r>
      <w:r>
        <w:rPr>
          <w:rtl/>
        </w:rPr>
        <w:t xml:space="preserve"> إلى </w:t>
      </w:r>
      <w:r w:rsidRPr="006B5BAF">
        <w:rPr>
          <w:rtl/>
        </w:rPr>
        <w:t>14</w:t>
      </w:r>
      <w:r>
        <w:rPr>
          <w:rtl/>
        </w:rPr>
        <w:t xml:space="preserve"> آب/أغسطس </w:t>
      </w:r>
      <w:r w:rsidRPr="006B5BAF">
        <w:rPr>
          <w:rtl/>
        </w:rPr>
        <w:t>2020</w:t>
      </w:r>
      <w:r>
        <w:rPr>
          <w:rtl/>
        </w:rPr>
        <w:t xml:space="preserve">، الفقرات </w:t>
      </w:r>
      <w:r w:rsidRPr="006B5BAF">
        <w:rPr>
          <w:rtl/>
        </w:rPr>
        <w:t>5</w:t>
      </w:r>
      <w:r>
        <w:rPr>
          <w:rtl/>
        </w:rPr>
        <w:t xml:space="preserve"> و</w:t>
      </w:r>
      <w:r w:rsidRPr="006B5BAF">
        <w:rPr>
          <w:rtl/>
        </w:rPr>
        <w:t>9</w:t>
      </w:r>
      <w:r>
        <w:rPr>
          <w:rtl/>
        </w:rPr>
        <w:t xml:space="preserve"> و</w:t>
      </w:r>
      <w:r w:rsidRPr="006B5BAF">
        <w:rPr>
          <w:rtl/>
        </w:rPr>
        <w:t>22</w:t>
      </w:r>
      <w:r w:rsidRPr="00977A73">
        <w:rPr>
          <w:rtl/>
        </w:rPr>
        <w:t xml:space="preserve">. </w:t>
      </w:r>
      <w:r>
        <w:rPr>
          <w:rtl/>
        </w:rPr>
        <w:t>للاطلاع على المزيد من المعلومات عن استخدام التكنولوجيا أداةً لتوثيق حالات الاختفاء القسري، انظر</w:t>
      </w:r>
      <w:r>
        <w:rPr>
          <w:rFonts w:hint="cs"/>
          <w:rtl/>
        </w:rPr>
        <w:t xml:space="preserve"> </w:t>
      </w:r>
      <w:r w:rsidRPr="00E87254">
        <w:t xml:space="preserve">Border Violence Monitoring Network, “EU Member States’ use of new </w:t>
      </w:r>
      <w:proofErr w:type="gramStart"/>
      <w:r w:rsidRPr="00E87254">
        <w:t>technologies”,</w:t>
      </w:r>
      <w:proofErr w:type="gramEnd"/>
      <w:r>
        <w:t xml:space="preserve"> </w:t>
      </w:r>
      <w:r w:rsidRPr="00E87254">
        <w:t xml:space="preserve">paras. </w:t>
      </w:r>
      <w:r w:rsidRPr="006B5BAF">
        <w:t>16</w:t>
      </w:r>
      <w:r w:rsidRPr="00E87254">
        <w:t>–</w:t>
      </w:r>
      <w:r w:rsidRPr="006B5BAF">
        <w:t>28</w:t>
      </w:r>
      <w:r w:rsidRPr="00977A73">
        <w:rPr>
          <w:rtl/>
        </w:rPr>
        <w:t xml:space="preserve">. </w:t>
      </w:r>
    </w:p>
  </w:footnote>
  <w:footnote w:id="56">
    <w:p w14:paraId="65B67DD2" w14:textId="77777777" w:rsidR="005E0255" w:rsidRPr="001659E7" w:rsidRDefault="005E0255" w:rsidP="00A956BB">
      <w:pPr>
        <w:pStyle w:val="FootnoteText1"/>
        <w:textDirection w:val="tbRlV"/>
      </w:pPr>
      <w:r>
        <w:rPr>
          <w:rtl/>
        </w:rPr>
        <w:t>(</w:t>
      </w:r>
      <w:r w:rsidRPr="006B5BAF">
        <w:rPr>
          <w:lang w:val="en-AU"/>
        </w:rPr>
        <w:footnoteRef/>
      </w:r>
      <w:r>
        <w:rPr>
          <w:rtl/>
        </w:rPr>
        <w:t>)</w:t>
      </w:r>
      <w:r>
        <w:rPr>
          <w:rtl/>
        </w:rPr>
        <w:tab/>
      </w:r>
      <w:hyperlink r:id="rId57" w:history="1">
        <w:r w:rsidRPr="00977A73">
          <w:rPr>
            <w:rStyle w:val="Hyperlink"/>
          </w:rPr>
          <w:t>CED/C/MEX/VR/</w:t>
        </w:r>
        <w:r w:rsidRPr="006B5BAF">
          <w:rPr>
            <w:rStyle w:val="Hyperlink"/>
          </w:rPr>
          <w:t>1</w:t>
        </w:r>
      </w:hyperlink>
      <w:r w:rsidRPr="001659E7">
        <w:t xml:space="preserve"> (Recommendations</w:t>
      </w:r>
      <w:r w:rsidRPr="00977A73">
        <w:t>)</w:t>
      </w:r>
      <w:r w:rsidRPr="00977A73">
        <w:rPr>
          <w:rtl/>
        </w:rPr>
        <w:t xml:space="preserve">، </w:t>
      </w:r>
      <w:r>
        <w:rPr>
          <w:rtl/>
        </w:rPr>
        <w:t xml:space="preserve">الفقرتان </w:t>
      </w:r>
      <w:r w:rsidRPr="006B5BAF">
        <w:rPr>
          <w:rtl/>
        </w:rPr>
        <w:t>16</w:t>
      </w:r>
      <w:r>
        <w:rPr>
          <w:rtl/>
        </w:rPr>
        <w:t xml:space="preserve"> و</w:t>
      </w:r>
      <w:r w:rsidRPr="006B5BAF">
        <w:rPr>
          <w:rtl/>
        </w:rPr>
        <w:t>17</w:t>
      </w:r>
      <w:r>
        <w:rPr>
          <w:rtl/>
        </w:rPr>
        <w:t>.</w:t>
      </w:r>
    </w:p>
  </w:footnote>
  <w:footnote w:id="57">
    <w:p w14:paraId="1E3A46DD" w14:textId="77777777" w:rsidR="005E0255" w:rsidRPr="001659E7" w:rsidRDefault="005E0255" w:rsidP="008667C1">
      <w:pPr>
        <w:pStyle w:val="FootnoteText1"/>
        <w:textDirection w:val="tbRlV"/>
      </w:pPr>
      <w:r>
        <w:rPr>
          <w:rtl/>
        </w:rPr>
        <w:t>(</w:t>
      </w:r>
      <w:r w:rsidRPr="006B5BAF">
        <w:rPr>
          <w:lang w:val="en-AU"/>
        </w:rPr>
        <w:footnoteRef/>
      </w:r>
      <w:r>
        <w:rPr>
          <w:rtl/>
        </w:rPr>
        <w:t>)</w:t>
      </w:r>
      <w:r>
        <w:rPr>
          <w:rtl/>
        </w:rPr>
        <w:tab/>
        <w:t xml:space="preserve">انظر أيضاً لجنة حقوق الطفل، التعليق العام رقم </w:t>
      </w:r>
      <w:r w:rsidRPr="006B5BAF">
        <w:rPr>
          <w:rtl/>
        </w:rPr>
        <w:t>6</w:t>
      </w:r>
      <w:r w:rsidRPr="001659E7">
        <w:rPr>
          <w:rtl/>
        </w:rPr>
        <w:t>(</w:t>
      </w:r>
      <w:r w:rsidRPr="006B5BAF">
        <w:rPr>
          <w:rtl/>
        </w:rPr>
        <w:t>2005</w:t>
      </w:r>
      <w:r w:rsidRPr="00977A73">
        <w:rPr>
          <w:rtl/>
        </w:rPr>
        <w:t xml:space="preserve">)، </w:t>
      </w:r>
      <w:r>
        <w:rPr>
          <w:rtl/>
        </w:rPr>
        <w:t xml:space="preserve">الفقرة </w:t>
      </w:r>
      <w:r w:rsidRPr="006B5BAF">
        <w:rPr>
          <w:rtl/>
        </w:rPr>
        <w:t>100</w:t>
      </w:r>
      <w:r>
        <w:rPr>
          <w:rtl/>
        </w:rPr>
        <w:t>.</w:t>
      </w:r>
    </w:p>
  </w:footnote>
  <w:footnote w:id="58">
    <w:p w14:paraId="297572C5" w14:textId="77777777" w:rsidR="005E0255" w:rsidRPr="001659E7" w:rsidRDefault="005E0255" w:rsidP="00612EB7">
      <w:pPr>
        <w:pStyle w:val="FootnoteText1"/>
        <w:textDirection w:val="tbRlV"/>
      </w:pPr>
      <w:r>
        <w:rPr>
          <w:rtl/>
        </w:rPr>
        <w:t>(</w:t>
      </w:r>
      <w:r w:rsidRPr="006B5BAF">
        <w:rPr>
          <w:lang w:val="en-AU"/>
        </w:rPr>
        <w:footnoteRef/>
      </w:r>
      <w:r>
        <w:rPr>
          <w:rtl/>
        </w:rPr>
        <w:t>)</w:t>
      </w:r>
      <w:r>
        <w:rPr>
          <w:rtl/>
        </w:rPr>
        <w:tab/>
        <w:t xml:space="preserve">اللجنة المعنية بالقضاء على التمييز ضد المرأة، التوصية العامة رقم </w:t>
      </w:r>
      <w:r w:rsidRPr="006B5BAF">
        <w:rPr>
          <w:rtl/>
        </w:rPr>
        <w:t>38</w:t>
      </w:r>
      <w:r w:rsidRPr="001659E7">
        <w:rPr>
          <w:rtl/>
        </w:rPr>
        <w:t>(</w:t>
      </w:r>
      <w:r w:rsidRPr="006B5BAF">
        <w:rPr>
          <w:rtl/>
        </w:rPr>
        <w:t>2020</w:t>
      </w:r>
      <w:r w:rsidRPr="00977A73">
        <w:rPr>
          <w:rtl/>
        </w:rPr>
        <w:t xml:space="preserve">)، </w:t>
      </w:r>
      <w:r>
        <w:rPr>
          <w:rtl/>
        </w:rPr>
        <w:t xml:space="preserve">الفقرة </w:t>
      </w:r>
      <w:r w:rsidRPr="006B5BAF">
        <w:rPr>
          <w:rtl/>
        </w:rPr>
        <w:t>109</w:t>
      </w:r>
      <w:r>
        <w:rPr>
          <w:rtl/>
        </w:rPr>
        <w:t>.</w:t>
      </w:r>
    </w:p>
  </w:footnote>
  <w:footnote w:id="59">
    <w:p w14:paraId="70617D3B" w14:textId="77777777" w:rsidR="005E0255" w:rsidRPr="001659E7" w:rsidRDefault="005E0255" w:rsidP="000401EB">
      <w:pPr>
        <w:pStyle w:val="FootnoteText1"/>
        <w:textDirection w:val="tbRlV"/>
      </w:pPr>
      <w:r>
        <w:rPr>
          <w:rtl/>
        </w:rPr>
        <w:t>(</w:t>
      </w:r>
      <w:r w:rsidRPr="006B5BAF">
        <w:rPr>
          <w:lang w:val="en-AU"/>
        </w:rPr>
        <w:footnoteRef/>
      </w:r>
      <w:r>
        <w:rPr>
          <w:rtl/>
        </w:rPr>
        <w:t>)</w:t>
      </w:r>
      <w:r>
        <w:rPr>
          <w:rtl/>
        </w:rPr>
        <w:tab/>
        <w:t xml:space="preserve">الاتفاق العالمي من أجل الهجرة الآمنة والمنظمة والنظامية، الأهداف </w:t>
      </w:r>
      <w:r w:rsidRPr="006B5BAF">
        <w:rPr>
          <w:rtl/>
        </w:rPr>
        <w:t>5</w:t>
      </w:r>
      <w:r>
        <w:rPr>
          <w:rtl/>
        </w:rPr>
        <w:t xml:space="preserve"> و</w:t>
      </w:r>
      <w:r w:rsidRPr="006B5BAF">
        <w:rPr>
          <w:rtl/>
        </w:rPr>
        <w:t>7</w:t>
      </w:r>
      <w:r w:rsidRPr="001659E7">
        <w:rPr>
          <w:rtl/>
        </w:rPr>
        <w:t>-</w:t>
      </w:r>
      <w:r w:rsidRPr="006B5BAF">
        <w:rPr>
          <w:rtl/>
        </w:rPr>
        <w:t>11</w:t>
      </w:r>
      <w:r>
        <w:rPr>
          <w:rtl/>
        </w:rPr>
        <w:t xml:space="preserve"> و</w:t>
      </w:r>
      <w:r w:rsidRPr="006B5BAF">
        <w:rPr>
          <w:rtl/>
        </w:rPr>
        <w:t>13</w:t>
      </w:r>
      <w:r>
        <w:rPr>
          <w:rtl/>
        </w:rPr>
        <w:t xml:space="preserve"> و</w:t>
      </w:r>
      <w:r w:rsidRPr="006B5BAF">
        <w:rPr>
          <w:rtl/>
        </w:rPr>
        <w:t>14</w:t>
      </w:r>
      <w:r>
        <w:rPr>
          <w:rtl/>
        </w:rPr>
        <w:t xml:space="preserve"> و</w:t>
      </w:r>
      <w:r w:rsidRPr="006B5BAF">
        <w:rPr>
          <w:rtl/>
        </w:rPr>
        <w:t>17</w:t>
      </w:r>
      <w:r w:rsidRPr="00977A73">
        <w:rPr>
          <w:rtl/>
        </w:rPr>
        <w:t xml:space="preserve">. </w:t>
      </w:r>
      <w:r>
        <w:rPr>
          <w:rtl/>
        </w:rPr>
        <w:t xml:space="preserve">انظر أيضاً اللجنة المعنية بالقضاء على التمييز ضد المرأة، التوصية العامة رقم </w:t>
      </w:r>
      <w:r w:rsidRPr="006B5BAF">
        <w:rPr>
          <w:rtl/>
        </w:rPr>
        <w:t>38</w:t>
      </w:r>
      <w:r w:rsidRPr="001659E7">
        <w:rPr>
          <w:rtl/>
        </w:rPr>
        <w:t>(</w:t>
      </w:r>
      <w:r w:rsidRPr="006B5BAF">
        <w:rPr>
          <w:rtl/>
        </w:rPr>
        <w:t>2020</w:t>
      </w:r>
      <w:r w:rsidRPr="00977A73">
        <w:rPr>
          <w:rtl/>
        </w:rPr>
        <w:t xml:space="preserve">)، </w:t>
      </w:r>
      <w:r>
        <w:rPr>
          <w:rtl/>
        </w:rPr>
        <w:t xml:space="preserve">الفقرات </w:t>
      </w:r>
      <w:r w:rsidRPr="006B5BAF">
        <w:rPr>
          <w:rtl/>
        </w:rPr>
        <w:t>56</w:t>
      </w:r>
      <w:r w:rsidRPr="001659E7">
        <w:rPr>
          <w:rtl/>
        </w:rPr>
        <w:t>-</w:t>
      </w:r>
      <w:r w:rsidRPr="006B5BAF">
        <w:rPr>
          <w:rtl/>
        </w:rPr>
        <w:t>60</w:t>
      </w:r>
      <w:r>
        <w:rPr>
          <w:rtl/>
        </w:rPr>
        <w:t>.</w:t>
      </w:r>
    </w:p>
  </w:footnote>
  <w:footnote w:id="60">
    <w:p w14:paraId="05C4841F" w14:textId="77777777" w:rsidR="005E0255" w:rsidRPr="001659E7" w:rsidRDefault="005E0255" w:rsidP="00D87A1A">
      <w:pPr>
        <w:pStyle w:val="FootnoteText1"/>
        <w:textDirection w:val="tbRlV"/>
      </w:pPr>
      <w:r>
        <w:rPr>
          <w:rtl/>
        </w:rPr>
        <w:t>(</w:t>
      </w:r>
      <w:r w:rsidRPr="006B5BAF">
        <w:rPr>
          <w:lang w:val="en-AU"/>
        </w:rPr>
        <w:footnoteRef/>
      </w:r>
      <w:r>
        <w:rPr>
          <w:rtl/>
        </w:rPr>
        <w:t>)</w:t>
      </w:r>
      <w:r>
        <w:rPr>
          <w:rtl/>
        </w:rPr>
        <w:tab/>
      </w:r>
      <w:hyperlink r:id="rId58" w:history="1">
        <w:r w:rsidRPr="00977A73">
          <w:rPr>
            <w:rStyle w:val="Hyperlink"/>
          </w:rPr>
          <w:t>A/HRC/</w:t>
        </w:r>
        <w:r w:rsidRPr="006B5BAF">
          <w:rPr>
            <w:rStyle w:val="Hyperlink"/>
          </w:rPr>
          <w:t>36</w:t>
        </w:r>
        <w:r w:rsidRPr="00977A73">
          <w:rPr>
            <w:rStyle w:val="Hyperlink"/>
          </w:rPr>
          <w:t>/</w:t>
        </w:r>
        <w:r w:rsidRPr="006B5BAF">
          <w:rPr>
            <w:rStyle w:val="Hyperlink"/>
          </w:rPr>
          <w:t>39</w:t>
        </w:r>
        <w:r w:rsidRPr="00977A73">
          <w:rPr>
            <w:rStyle w:val="Hyperlink"/>
          </w:rPr>
          <w:t>/Add.</w:t>
        </w:r>
        <w:r w:rsidRPr="006B5BAF">
          <w:rPr>
            <w:rStyle w:val="Hyperlink"/>
          </w:rPr>
          <w:t>2</w:t>
        </w:r>
      </w:hyperlink>
      <w:r>
        <w:rPr>
          <w:rtl/>
        </w:rPr>
        <w:t xml:space="preserve">؛ الفقرة </w:t>
      </w:r>
      <w:r w:rsidRPr="006B5BAF">
        <w:rPr>
          <w:rtl/>
        </w:rPr>
        <w:t>35</w:t>
      </w:r>
      <w:r>
        <w:rPr>
          <w:rtl/>
        </w:rPr>
        <w:t xml:space="preserve">؛ </w:t>
      </w:r>
      <w:proofErr w:type="gramStart"/>
      <w:r>
        <w:rPr>
          <w:rtl/>
        </w:rPr>
        <w:t>و</w:t>
      </w:r>
      <w:r w:rsidRPr="00687EF5">
        <w:t xml:space="preserve"> </w:t>
      </w:r>
      <w:r w:rsidRPr="00C43701">
        <w:t>Human</w:t>
      </w:r>
      <w:proofErr w:type="gramEnd"/>
      <w:r w:rsidRPr="00C43701">
        <w:t xml:space="preserve"> Rights Commission of Malaysia and Fortify Rights, </w:t>
      </w:r>
      <w:r w:rsidRPr="006B5BAF">
        <w:rPr>
          <w:i/>
          <w:iCs/>
        </w:rPr>
        <w:t>“Sold like Fish</w:t>
      </w:r>
      <w:r w:rsidRPr="006B5BAF">
        <w:rPr>
          <w:i/>
          <w:iCs/>
          <w:rtl/>
        </w:rPr>
        <w:t>”</w:t>
      </w:r>
      <w:r w:rsidRPr="001659E7">
        <w:rPr>
          <w:rtl/>
        </w:rPr>
        <w:t>.</w:t>
      </w:r>
      <w:r>
        <w:rPr>
          <w:rtl/>
        </w:rPr>
        <w:t xml:space="preserve"> </w:t>
      </w:r>
    </w:p>
  </w:footnote>
  <w:footnote w:id="61">
    <w:p w14:paraId="1602CDD0" w14:textId="77777777" w:rsidR="005E0255" w:rsidRPr="001659E7" w:rsidRDefault="005E0255" w:rsidP="0051664A">
      <w:pPr>
        <w:pStyle w:val="FootnoteText1"/>
        <w:textDirection w:val="tbRlV"/>
      </w:pPr>
      <w:r>
        <w:rPr>
          <w:rtl/>
        </w:rPr>
        <w:t>(</w:t>
      </w:r>
      <w:r w:rsidRPr="006B5BAF">
        <w:rPr>
          <w:lang w:val="en-AU"/>
        </w:rPr>
        <w:footnoteRef/>
      </w:r>
      <w:r>
        <w:rPr>
          <w:rtl/>
        </w:rPr>
        <w:t>)</w:t>
      </w:r>
      <w:r>
        <w:rPr>
          <w:rtl/>
        </w:rPr>
        <w:tab/>
      </w:r>
      <w:hyperlink r:id="rId59" w:history="1">
        <w:r w:rsidRPr="00977A73">
          <w:rPr>
            <w:rStyle w:val="Hyperlink"/>
          </w:rPr>
          <w:t>A/HRC/</w:t>
        </w:r>
        <w:r w:rsidRPr="006B5BAF">
          <w:rPr>
            <w:rStyle w:val="Hyperlink"/>
          </w:rPr>
          <w:t>40</w:t>
        </w:r>
        <w:r w:rsidRPr="00977A73">
          <w:rPr>
            <w:rStyle w:val="Hyperlink"/>
          </w:rPr>
          <w:t>/</w:t>
        </w:r>
        <w:r w:rsidRPr="006B5BAF">
          <w:rPr>
            <w:rStyle w:val="Hyperlink"/>
          </w:rPr>
          <w:t>59</w:t>
        </w:r>
      </w:hyperlink>
      <w:r>
        <w:rPr>
          <w:rtl/>
        </w:rPr>
        <w:t>؛ و</w:t>
      </w:r>
      <w:hyperlink r:id="rId60" w:history="1">
        <w:r w:rsidRPr="00977A73">
          <w:rPr>
            <w:rStyle w:val="Hyperlink"/>
          </w:rPr>
          <w:t>CED/C/GAB/CO/</w:t>
        </w:r>
        <w:r w:rsidRPr="006B5BAF">
          <w:rPr>
            <w:rStyle w:val="Hyperlink"/>
          </w:rPr>
          <w:t>1</w:t>
        </w:r>
      </w:hyperlink>
      <w:r>
        <w:rPr>
          <w:rtl/>
        </w:rPr>
        <w:t xml:space="preserve">، الفقرة </w:t>
      </w:r>
      <w:r w:rsidRPr="006B5BAF">
        <w:rPr>
          <w:rtl/>
        </w:rPr>
        <w:t>20</w:t>
      </w:r>
      <w:r w:rsidRPr="00977A73">
        <w:rPr>
          <w:rtl/>
        </w:rPr>
        <w:t xml:space="preserve">. </w:t>
      </w:r>
    </w:p>
  </w:footnote>
  <w:footnote w:id="62">
    <w:p w14:paraId="24FA7E18" w14:textId="77777777" w:rsidR="005E0255" w:rsidRPr="001659E7" w:rsidRDefault="005E0255" w:rsidP="005D3225">
      <w:pPr>
        <w:pStyle w:val="FootnoteText1"/>
        <w:textDirection w:val="tbRlV"/>
      </w:pPr>
      <w:r>
        <w:rPr>
          <w:rtl/>
        </w:rPr>
        <w:t>(</w:t>
      </w:r>
      <w:r w:rsidRPr="006B5BAF">
        <w:rPr>
          <w:lang w:val="en-AU"/>
        </w:rPr>
        <w:footnoteRef/>
      </w:r>
      <w:r>
        <w:rPr>
          <w:rtl/>
        </w:rPr>
        <w:t>)</w:t>
      </w:r>
      <w:r>
        <w:rPr>
          <w:rtl/>
        </w:rPr>
        <w:tab/>
      </w:r>
      <w:hyperlink r:id="rId61" w:history="1">
        <w:r w:rsidRPr="00977A73">
          <w:rPr>
            <w:rStyle w:val="Hyperlink"/>
          </w:rPr>
          <w:t>CED/C/MEX/CO/</w:t>
        </w:r>
        <w:r w:rsidRPr="006B5BAF">
          <w:rPr>
            <w:rStyle w:val="Hyperlink"/>
          </w:rPr>
          <w:t>1</w:t>
        </w:r>
      </w:hyperlink>
      <w:r>
        <w:rPr>
          <w:rtl/>
        </w:rPr>
        <w:t xml:space="preserve">، الفقرة </w:t>
      </w:r>
      <w:r w:rsidRPr="006B5BAF">
        <w:rPr>
          <w:rtl/>
        </w:rPr>
        <w:t>23</w:t>
      </w:r>
      <w:r w:rsidRPr="00977A73">
        <w:rPr>
          <w:rtl/>
        </w:rPr>
        <w:t xml:space="preserve">. </w:t>
      </w:r>
      <w:r>
        <w:rPr>
          <w:rtl/>
        </w:rPr>
        <w:t xml:space="preserve">انظر أيضاً لجنة حقوق الطفل، التعليق العام رقم </w:t>
      </w:r>
      <w:r w:rsidRPr="006B5BAF">
        <w:rPr>
          <w:rtl/>
        </w:rPr>
        <w:t>6</w:t>
      </w:r>
      <w:r w:rsidRPr="001659E7">
        <w:rPr>
          <w:rtl/>
        </w:rPr>
        <w:t>(</w:t>
      </w:r>
      <w:r w:rsidRPr="006B5BAF">
        <w:rPr>
          <w:rtl/>
        </w:rPr>
        <w:t>2005</w:t>
      </w:r>
      <w:r w:rsidRPr="00977A73">
        <w:rPr>
          <w:rtl/>
        </w:rPr>
        <w:t xml:space="preserve">)؛ </w:t>
      </w:r>
      <w:r>
        <w:rPr>
          <w:rtl/>
        </w:rPr>
        <w:t>والتعليق العام المشترك رقم</w:t>
      </w:r>
      <w:r>
        <w:rPr>
          <w:rFonts w:hint="cs"/>
          <w:rtl/>
        </w:rPr>
        <w:t> </w:t>
      </w:r>
      <w:r w:rsidRPr="006B5BAF">
        <w:rPr>
          <w:rtl/>
        </w:rPr>
        <w:t>3</w:t>
      </w:r>
      <w:r>
        <w:rPr>
          <w:rtl/>
        </w:rPr>
        <w:t xml:space="preserve"> للجنة المعنية بحماية حقوق جميع العمال المهاجرين وأفراد أسرهم ورقم </w:t>
      </w:r>
      <w:r w:rsidRPr="006B5BAF">
        <w:rPr>
          <w:rtl/>
        </w:rPr>
        <w:t>22</w:t>
      </w:r>
      <w:r>
        <w:rPr>
          <w:rtl/>
        </w:rPr>
        <w:t xml:space="preserve"> للجنة حقوق الطفل </w:t>
      </w:r>
      <w:r w:rsidRPr="001659E7">
        <w:rPr>
          <w:rtl/>
        </w:rPr>
        <w:t>(</w:t>
      </w:r>
      <w:r w:rsidRPr="006B5BAF">
        <w:rPr>
          <w:rtl/>
        </w:rPr>
        <w:t>2017</w:t>
      </w:r>
      <w:r w:rsidRPr="00977A73">
        <w:rPr>
          <w:rtl/>
        </w:rPr>
        <w:t xml:space="preserve">)؛ </w:t>
      </w:r>
      <w:r>
        <w:rPr>
          <w:rtl/>
        </w:rPr>
        <w:t xml:space="preserve">والتعليق العام المشترك رقم </w:t>
      </w:r>
      <w:r w:rsidRPr="006B5BAF">
        <w:rPr>
          <w:rtl/>
        </w:rPr>
        <w:t>4</w:t>
      </w:r>
      <w:r>
        <w:rPr>
          <w:rtl/>
        </w:rPr>
        <w:t xml:space="preserve"> للجنة المعنية بحماية حقوق جميع العمال المهاجرين وأفراد أسرهم ورقم </w:t>
      </w:r>
      <w:r w:rsidRPr="006B5BAF">
        <w:rPr>
          <w:rtl/>
        </w:rPr>
        <w:t>23</w:t>
      </w:r>
      <w:r>
        <w:rPr>
          <w:rtl/>
        </w:rPr>
        <w:t xml:space="preserve"> للجنة حقوق الطفل </w:t>
      </w:r>
      <w:r w:rsidRPr="001659E7">
        <w:rPr>
          <w:rtl/>
        </w:rPr>
        <w:t>(</w:t>
      </w:r>
      <w:r w:rsidRPr="006B5BAF">
        <w:rPr>
          <w:rtl/>
        </w:rPr>
        <w:t>2017</w:t>
      </w:r>
      <w:r w:rsidRPr="00977A73">
        <w:rPr>
          <w:rtl/>
        </w:rPr>
        <w:t xml:space="preserve">). </w:t>
      </w:r>
    </w:p>
  </w:footnote>
  <w:footnote w:id="63">
    <w:p w14:paraId="73C6F667" w14:textId="77777777" w:rsidR="005E0255" w:rsidRPr="001659E7" w:rsidRDefault="005E0255" w:rsidP="00A11572">
      <w:pPr>
        <w:pStyle w:val="FootnoteText1"/>
        <w:textDirection w:val="tbRlV"/>
      </w:pPr>
      <w:r>
        <w:rPr>
          <w:rtl/>
        </w:rPr>
        <w:t>(</w:t>
      </w:r>
      <w:r w:rsidRPr="006B5BAF">
        <w:rPr>
          <w:lang w:val="en-AU"/>
        </w:rPr>
        <w:footnoteRef/>
      </w:r>
      <w:r>
        <w:rPr>
          <w:rtl/>
        </w:rPr>
        <w:t>)</w:t>
      </w:r>
      <w:r>
        <w:rPr>
          <w:rtl/>
        </w:rPr>
        <w:tab/>
        <w:t xml:space="preserve">اتفاقية حقوق الطفل، المادة </w:t>
      </w:r>
      <w:r w:rsidRPr="006B5BAF">
        <w:rPr>
          <w:rtl/>
        </w:rPr>
        <w:t>9</w:t>
      </w:r>
      <w:r>
        <w:rPr>
          <w:rtl/>
        </w:rPr>
        <w:t xml:space="preserve">؛ ولجنة حقوق الطفل، التعليق العام رقم </w:t>
      </w:r>
      <w:r w:rsidRPr="006B5BAF">
        <w:rPr>
          <w:rtl/>
        </w:rPr>
        <w:t>14</w:t>
      </w:r>
      <w:r w:rsidRPr="001659E7">
        <w:rPr>
          <w:rtl/>
        </w:rPr>
        <w:t>(</w:t>
      </w:r>
      <w:r w:rsidRPr="006B5BAF">
        <w:rPr>
          <w:rtl/>
        </w:rPr>
        <w:t>2013</w:t>
      </w:r>
      <w:r w:rsidRPr="00977A73">
        <w:rPr>
          <w:rtl/>
        </w:rPr>
        <w:t xml:space="preserve">)؛ </w:t>
      </w:r>
      <w:r>
        <w:rPr>
          <w:rtl/>
        </w:rPr>
        <w:t xml:space="preserve">والتعليق العام المشترك رقم </w:t>
      </w:r>
      <w:r w:rsidRPr="006B5BAF">
        <w:rPr>
          <w:rtl/>
        </w:rPr>
        <w:t>3</w:t>
      </w:r>
      <w:r>
        <w:rPr>
          <w:rtl/>
        </w:rPr>
        <w:t xml:space="preserve"> للجنة المعنية بحماية حقوق جميع العمال المهاجرين وأفراد أسرهم ورقم </w:t>
      </w:r>
      <w:r w:rsidRPr="006B5BAF">
        <w:rPr>
          <w:rtl/>
        </w:rPr>
        <w:t>22</w:t>
      </w:r>
      <w:r>
        <w:rPr>
          <w:rtl/>
        </w:rPr>
        <w:t xml:space="preserve"> للجنة حقوق الطفل </w:t>
      </w:r>
      <w:r w:rsidRPr="001659E7">
        <w:rPr>
          <w:rtl/>
        </w:rPr>
        <w:t>(</w:t>
      </w:r>
      <w:r w:rsidRPr="006B5BAF">
        <w:rPr>
          <w:rtl/>
        </w:rPr>
        <w:t>2017</w:t>
      </w:r>
      <w:r w:rsidRPr="00977A73">
        <w:rPr>
          <w:rtl/>
        </w:rPr>
        <w:t xml:space="preserve">)، </w:t>
      </w:r>
      <w:r>
        <w:rPr>
          <w:rtl/>
        </w:rPr>
        <w:t xml:space="preserve">الفقرتان </w:t>
      </w:r>
      <w:r w:rsidRPr="006B5BAF">
        <w:rPr>
          <w:rtl/>
        </w:rPr>
        <w:t>31</w:t>
      </w:r>
      <w:r>
        <w:rPr>
          <w:rtl/>
        </w:rPr>
        <w:t xml:space="preserve"> و</w:t>
      </w:r>
      <w:r w:rsidRPr="006B5BAF">
        <w:rPr>
          <w:rtl/>
        </w:rPr>
        <w:t>32</w:t>
      </w:r>
      <w:r>
        <w:rPr>
          <w:rtl/>
        </w:rPr>
        <w:t xml:space="preserve">؛ والتعليق العام المشترك رقم </w:t>
      </w:r>
      <w:r w:rsidRPr="006B5BAF">
        <w:rPr>
          <w:rtl/>
        </w:rPr>
        <w:t>4</w:t>
      </w:r>
      <w:r>
        <w:rPr>
          <w:rtl/>
        </w:rPr>
        <w:t xml:space="preserve"> للجنة المعنية بحماية حقوق جميع العمال المهاجرين وأفراد أُسرهم ورقم </w:t>
      </w:r>
      <w:r w:rsidRPr="006B5BAF">
        <w:rPr>
          <w:rtl/>
        </w:rPr>
        <w:t>23</w:t>
      </w:r>
      <w:r>
        <w:rPr>
          <w:rtl/>
        </w:rPr>
        <w:t xml:space="preserve"> للجنة حقوق الطفل </w:t>
      </w:r>
      <w:r w:rsidRPr="001659E7">
        <w:rPr>
          <w:rtl/>
        </w:rPr>
        <w:t>(</w:t>
      </w:r>
      <w:r w:rsidRPr="006B5BAF">
        <w:rPr>
          <w:rtl/>
        </w:rPr>
        <w:t>2017</w:t>
      </w:r>
      <w:r w:rsidRPr="00977A73">
        <w:rPr>
          <w:rtl/>
        </w:rPr>
        <w:t xml:space="preserve">)، </w:t>
      </w:r>
      <w:r>
        <w:rPr>
          <w:rtl/>
        </w:rPr>
        <w:t xml:space="preserve">الفقرات </w:t>
      </w:r>
      <w:r w:rsidRPr="006B5BAF">
        <w:rPr>
          <w:rtl/>
        </w:rPr>
        <w:t>27</w:t>
      </w:r>
      <w:r w:rsidRPr="001659E7">
        <w:rPr>
          <w:rtl/>
        </w:rPr>
        <w:t>-</w:t>
      </w:r>
      <w:r w:rsidRPr="006B5BAF">
        <w:rPr>
          <w:rtl/>
        </w:rPr>
        <w:t>31</w:t>
      </w:r>
      <w:r w:rsidRPr="001659E7">
        <w:rPr>
          <w:rtl/>
        </w:rPr>
        <w:t>؛</w:t>
      </w:r>
      <w:r>
        <w:rPr>
          <w:rtl/>
        </w:rPr>
        <w:t xml:space="preserve"> </w:t>
      </w:r>
      <w:r>
        <w:rPr>
          <w:rFonts w:hint="cs"/>
          <w:rtl/>
        </w:rPr>
        <w:t>و</w:t>
      </w:r>
      <w:r w:rsidRPr="00687EF5">
        <w:t xml:space="preserve"> </w:t>
      </w:r>
      <w:r w:rsidRPr="00BA0046">
        <w:t>OHCHR</w:t>
      </w:r>
      <w:r>
        <w:t>,</w:t>
      </w:r>
      <w:r w:rsidRPr="007354CB">
        <w:t xml:space="preserve"> </w:t>
      </w:r>
      <w:r>
        <w:t>“</w:t>
      </w:r>
      <w:r w:rsidRPr="007354CB">
        <w:t>Recommended principles to guide actions concerning children on the move and other children affected by migration</w:t>
      </w:r>
      <w:r>
        <w:t>”</w:t>
      </w:r>
      <w:r w:rsidRPr="007354CB">
        <w:t xml:space="preserve">, </w:t>
      </w:r>
      <w:r>
        <w:t xml:space="preserve">June </w:t>
      </w:r>
      <w:r w:rsidRPr="006B5BAF">
        <w:t>2016</w:t>
      </w:r>
      <w:r>
        <w:t xml:space="preserve">, principle </w:t>
      </w:r>
      <w:r w:rsidRPr="006B5BAF">
        <w:t>5</w:t>
      </w:r>
      <w:r w:rsidRPr="001659E7">
        <w:rPr>
          <w:rtl/>
        </w:rPr>
        <w:t xml:space="preserve"> (</w:t>
      </w:r>
      <w:r>
        <w:rPr>
          <w:rtl/>
        </w:rPr>
        <w:t xml:space="preserve">المفوضية السامية لحقوق الإنسان، </w:t>
      </w:r>
      <w:r w:rsidRPr="00687EF5">
        <w:rPr>
          <w:spacing w:val="-2"/>
          <w:rtl/>
        </w:rPr>
        <w:t xml:space="preserve">"المبادئ الموصى بها لتوجيه الإجراءات المتعلقة بالأطفال المتنقلين وغيرهم من الأطفال المتأثرين بالهجرة"، حزيران/يونيه </w:t>
      </w:r>
      <w:r w:rsidRPr="006B5BAF">
        <w:rPr>
          <w:spacing w:val="-2"/>
          <w:rtl/>
        </w:rPr>
        <w:t>2016</w:t>
      </w:r>
      <w:r w:rsidRPr="00687EF5">
        <w:rPr>
          <w:spacing w:val="-2"/>
          <w:rtl/>
        </w:rPr>
        <w:t xml:space="preserve">، المبدأ </w:t>
      </w:r>
      <w:r w:rsidRPr="006B5BAF">
        <w:rPr>
          <w:spacing w:val="-2"/>
          <w:rtl/>
        </w:rPr>
        <w:t>5</w:t>
      </w:r>
      <w:r w:rsidRPr="00687EF5">
        <w:rPr>
          <w:spacing w:val="-2"/>
          <w:rtl/>
        </w:rPr>
        <w:t xml:space="preserve">). </w:t>
      </w:r>
    </w:p>
  </w:footnote>
  <w:footnote w:id="64">
    <w:p w14:paraId="2F7C3CDE" w14:textId="77777777" w:rsidR="005E0255" w:rsidRPr="001659E7" w:rsidRDefault="005E0255" w:rsidP="00AE3843">
      <w:pPr>
        <w:pStyle w:val="FootnoteText1"/>
        <w:textDirection w:val="tbRlV"/>
      </w:pPr>
      <w:r>
        <w:rPr>
          <w:rtl/>
        </w:rPr>
        <w:t>(</w:t>
      </w:r>
      <w:r w:rsidRPr="006B5BAF">
        <w:rPr>
          <w:lang w:val="en-AU"/>
        </w:rPr>
        <w:footnoteRef/>
      </w:r>
      <w:r>
        <w:rPr>
          <w:rtl/>
        </w:rPr>
        <w:t>)</w:t>
      </w:r>
      <w:r>
        <w:rPr>
          <w:rtl/>
        </w:rPr>
        <w:tab/>
        <w:t xml:space="preserve">اتفاقية حقوق الطفل، المادة </w:t>
      </w:r>
      <w:r w:rsidRPr="006B5BAF">
        <w:rPr>
          <w:rtl/>
        </w:rPr>
        <w:t>20</w:t>
      </w:r>
      <w:r>
        <w:rPr>
          <w:rtl/>
        </w:rPr>
        <w:t xml:space="preserve">؛ ولجنة حقوق الطفل، التعليق العام رقم </w:t>
      </w:r>
      <w:r w:rsidRPr="006B5BAF">
        <w:rPr>
          <w:rtl/>
        </w:rPr>
        <w:t>6</w:t>
      </w:r>
      <w:r w:rsidRPr="001659E7">
        <w:rPr>
          <w:rtl/>
        </w:rPr>
        <w:t>(</w:t>
      </w:r>
      <w:r w:rsidRPr="006B5BAF">
        <w:rPr>
          <w:rtl/>
        </w:rPr>
        <w:t>2005</w:t>
      </w:r>
      <w:r w:rsidRPr="00977A73">
        <w:rPr>
          <w:rtl/>
        </w:rPr>
        <w:t xml:space="preserve">)، </w:t>
      </w:r>
      <w:r>
        <w:rPr>
          <w:rtl/>
        </w:rPr>
        <w:t xml:space="preserve">الفقرات </w:t>
      </w:r>
      <w:r w:rsidRPr="006B5BAF">
        <w:rPr>
          <w:rtl/>
        </w:rPr>
        <w:t>50</w:t>
      </w:r>
      <w:r w:rsidRPr="001659E7">
        <w:rPr>
          <w:rtl/>
        </w:rPr>
        <w:t>-</w:t>
      </w:r>
      <w:r w:rsidRPr="006B5BAF">
        <w:rPr>
          <w:rtl/>
        </w:rPr>
        <w:t>53</w:t>
      </w:r>
      <w:r w:rsidRPr="001659E7">
        <w:rPr>
          <w:rtl/>
        </w:rPr>
        <w:t xml:space="preserve">؛ </w:t>
      </w:r>
      <w:r>
        <w:rPr>
          <w:rtl/>
        </w:rPr>
        <w:t xml:space="preserve">والتعليق العام المشترك </w:t>
      </w:r>
      <w:r w:rsidRPr="00B07324">
        <w:rPr>
          <w:spacing w:val="-2"/>
          <w:rtl/>
        </w:rPr>
        <w:t>رقم</w:t>
      </w:r>
      <w:r w:rsidRPr="00B07324">
        <w:rPr>
          <w:rFonts w:hint="cs"/>
          <w:spacing w:val="-2"/>
          <w:rtl/>
        </w:rPr>
        <w:t> </w:t>
      </w:r>
      <w:r w:rsidRPr="006B5BAF">
        <w:rPr>
          <w:spacing w:val="-2"/>
          <w:rtl/>
        </w:rPr>
        <w:t>4</w:t>
      </w:r>
      <w:r w:rsidRPr="00B07324">
        <w:rPr>
          <w:spacing w:val="-2"/>
          <w:rtl/>
        </w:rPr>
        <w:t xml:space="preserve"> للجنة المعنية بحماية حقوق جميع العمال المهاجرين وأفراد أُسرهم ورقم </w:t>
      </w:r>
      <w:r w:rsidRPr="006B5BAF">
        <w:rPr>
          <w:spacing w:val="-2"/>
          <w:rtl/>
        </w:rPr>
        <w:t>23</w:t>
      </w:r>
      <w:r w:rsidRPr="00B07324">
        <w:rPr>
          <w:spacing w:val="-2"/>
          <w:rtl/>
        </w:rPr>
        <w:t xml:space="preserve"> للجنة حقوق الطفل (</w:t>
      </w:r>
      <w:r w:rsidRPr="006B5BAF">
        <w:rPr>
          <w:spacing w:val="-2"/>
          <w:rtl/>
        </w:rPr>
        <w:t>2017</w:t>
      </w:r>
      <w:r w:rsidRPr="00B07324">
        <w:rPr>
          <w:spacing w:val="-2"/>
          <w:rtl/>
        </w:rPr>
        <w:t xml:space="preserve">)، الفقرتان </w:t>
      </w:r>
      <w:r w:rsidRPr="006B5BAF">
        <w:rPr>
          <w:spacing w:val="-2"/>
          <w:rtl/>
        </w:rPr>
        <w:t>43</w:t>
      </w:r>
      <w:r w:rsidRPr="00B07324">
        <w:rPr>
          <w:spacing w:val="-2"/>
          <w:rtl/>
        </w:rPr>
        <w:t xml:space="preserve"> و</w:t>
      </w:r>
      <w:r w:rsidRPr="006B5BAF">
        <w:rPr>
          <w:spacing w:val="-2"/>
          <w:rtl/>
        </w:rPr>
        <w:t>44</w:t>
      </w:r>
      <w:r w:rsidRPr="00B07324">
        <w:rPr>
          <w:spacing w:val="-2"/>
          <w:rtl/>
        </w:rPr>
        <w:t>؛</w:t>
      </w:r>
      <w:r>
        <w:rPr>
          <w:rtl/>
        </w:rPr>
        <w:t xml:space="preserve"> و</w:t>
      </w:r>
      <w:hyperlink r:id="rId62" w:history="1">
        <w:r w:rsidRPr="00977A73">
          <w:rPr>
            <w:rStyle w:val="Hyperlink"/>
          </w:rPr>
          <w:t>CED/C/GRC/CO/</w:t>
        </w:r>
        <w:r w:rsidRPr="006B5BAF">
          <w:rPr>
            <w:rStyle w:val="Hyperlink"/>
          </w:rPr>
          <w:t>1</w:t>
        </w:r>
      </w:hyperlink>
      <w:r>
        <w:rPr>
          <w:rtl/>
        </w:rPr>
        <w:t xml:space="preserve">، الفقرة </w:t>
      </w:r>
      <w:r w:rsidRPr="006B5BAF">
        <w:rPr>
          <w:rtl/>
        </w:rPr>
        <w:t>27</w:t>
      </w:r>
      <w:r w:rsidRPr="001659E7">
        <w:rPr>
          <w:rtl/>
        </w:rPr>
        <w:t>(</w:t>
      </w:r>
      <w:r>
        <w:rPr>
          <w:rtl/>
        </w:rPr>
        <w:t>ب</w:t>
      </w:r>
      <w:r w:rsidRPr="001659E7">
        <w:rPr>
          <w:rtl/>
        </w:rPr>
        <w:t>)</w:t>
      </w:r>
      <w:r>
        <w:rPr>
          <w:rtl/>
        </w:rPr>
        <w:t>.</w:t>
      </w:r>
    </w:p>
  </w:footnote>
  <w:footnote w:id="65">
    <w:p w14:paraId="595EA56A" w14:textId="77777777" w:rsidR="005E0255" w:rsidRPr="001659E7" w:rsidRDefault="005E0255" w:rsidP="00F6316F">
      <w:pPr>
        <w:pStyle w:val="FootnoteText1"/>
        <w:textDirection w:val="tbRlV"/>
      </w:pPr>
      <w:r>
        <w:rPr>
          <w:rtl/>
        </w:rPr>
        <w:t>(</w:t>
      </w:r>
      <w:r w:rsidRPr="006B5BAF">
        <w:rPr>
          <w:lang w:val="en-AU"/>
        </w:rPr>
        <w:footnoteRef/>
      </w:r>
      <w:r>
        <w:rPr>
          <w:rtl/>
        </w:rPr>
        <w:t>)</w:t>
      </w:r>
      <w:r>
        <w:rPr>
          <w:rtl/>
        </w:rPr>
        <w:tab/>
      </w:r>
      <w:r w:rsidRPr="00687EF5">
        <w:rPr>
          <w:spacing w:val="-2"/>
          <w:rtl/>
        </w:rPr>
        <w:t xml:space="preserve">التعليق العام المشترك رقم </w:t>
      </w:r>
      <w:r w:rsidRPr="006B5BAF">
        <w:rPr>
          <w:spacing w:val="-2"/>
          <w:rtl/>
        </w:rPr>
        <w:t>4</w:t>
      </w:r>
      <w:r w:rsidRPr="00687EF5">
        <w:rPr>
          <w:spacing w:val="-2"/>
          <w:rtl/>
        </w:rPr>
        <w:t xml:space="preserve"> للجنة المعنية بحماية حقوق جميع العمال المهاجرين وأفراد أُسرهم ورقم </w:t>
      </w:r>
      <w:r w:rsidRPr="006B5BAF">
        <w:rPr>
          <w:spacing w:val="-2"/>
          <w:rtl/>
        </w:rPr>
        <w:t>23</w:t>
      </w:r>
      <w:r w:rsidRPr="00687EF5">
        <w:rPr>
          <w:spacing w:val="-2"/>
          <w:rtl/>
        </w:rPr>
        <w:t xml:space="preserve"> للجنة حقوق الطفل (</w:t>
      </w:r>
      <w:r w:rsidRPr="006B5BAF">
        <w:rPr>
          <w:spacing w:val="-2"/>
          <w:rtl/>
        </w:rPr>
        <w:t>2017</w:t>
      </w:r>
      <w:r w:rsidRPr="00687EF5">
        <w:rPr>
          <w:spacing w:val="-2"/>
          <w:rtl/>
        </w:rPr>
        <w:t>)،</w:t>
      </w:r>
      <w:r w:rsidRPr="00977A73">
        <w:rPr>
          <w:rtl/>
        </w:rPr>
        <w:t xml:space="preserve"> </w:t>
      </w:r>
      <w:r>
        <w:rPr>
          <w:rtl/>
        </w:rPr>
        <w:t xml:space="preserve">الفقرات </w:t>
      </w:r>
      <w:r w:rsidRPr="006B5BAF">
        <w:rPr>
          <w:rtl/>
        </w:rPr>
        <w:t>20</w:t>
      </w:r>
      <w:r w:rsidRPr="001659E7">
        <w:rPr>
          <w:rtl/>
        </w:rPr>
        <w:t>-</w:t>
      </w:r>
      <w:r w:rsidRPr="006B5BAF">
        <w:rPr>
          <w:rtl/>
        </w:rPr>
        <w:t>22</w:t>
      </w:r>
      <w:r w:rsidRPr="00977A73">
        <w:rPr>
          <w:rtl/>
        </w:rPr>
        <w:t xml:space="preserve">. </w:t>
      </w:r>
      <w:r>
        <w:rPr>
          <w:rtl/>
        </w:rPr>
        <w:t xml:space="preserve">انظر أيضاً </w:t>
      </w:r>
      <w:hyperlink r:id="rId63" w:history="1">
        <w:r w:rsidRPr="00977A73">
          <w:rPr>
            <w:rStyle w:val="Hyperlink"/>
          </w:rPr>
          <w:t>CED/C/ITA/CO/</w:t>
        </w:r>
        <w:r w:rsidRPr="006B5BAF">
          <w:rPr>
            <w:rStyle w:val="Hyperlink"/>
          </w:rPr>
          <w:t>1</w:t>
        </w:r>
      </w:hyperlink>
      <w:r>
        <w:rPr>
          <w:rtl/>
        </w:rPr>
        <w:t xml:space="preserve">، الفقرتان </w:t>
      </w:r>
      <w:r w:rsidRPr="006B5BAF">
        <w:rPr>
          <w:rtl/>
        </w:rPr>
        <w:t>34</w:t>
      </w:r>
      <w:r>
        <w:rPr>
          <w:rtl/>
        </w:rPr>
        <w:t xml:space="preserve"> و</w:t>
      </w:r>
      <w:r w:rsidRPr="006B5BAF">
        <w:rPr>
          <w:rtl/>
        </w:rPr>
        <w:t>35</w:t>
      </w:r>
      <w:r>
        <w:rPr>
          <w:rtl/>
        </w:rPr>
        <w:t>؛ و</w:t>
      </w:r>
      <w:hyperlink r:id="rId64" w:history="1">
        <w:r w:rsidRPr="00977A73">
          <w:rPr>
            <w:rStyle w:val="Hyperlink"/>
          </w:rPr>
          <w:t>CED/C/NLD/CO/</w:t>
        </w:r>
        <w:r w:rsidRPr="006B5BAF">
          <w:rPr>
            <w:rStyle w:val="Hyperlink"/>
          </w:rPr>
          <w:t>1</w:t>
        </w:r>
      </w:hyperlink>
      <w:r>
        <w:rPr>
          <w:rtl/>
        </w:rPr>
        <w:t xml:space="preserve">، الفقرات </w:t>
      </w:r>
      <w:r w:rsidRPr="006B5BAF">
        <w:rPr>
          <w:rtl/>
        </w:rPr>
        <w:t>32</w:t>
      </w:r>
      <w:r w:rsidRPr="001659E7">
        <w:rPr>
          <w:rtl/>
        </w:rPr>
        <w:t>-</w:t>
      </w:r>
      <w:r w:rsidRPr="006B5BAF">
        <w:rPr>
          <w:rtl/>
        </w:rPr>
        <w:t>39</w:t>
      </w:r>
      <w:r>
        <w:rPr>
          <w:rtl/>
        </w:rPr>
        <w:t>.</w:t>
      </w:r>
    </w:p>
  </w:footnote>
  <w:footnote w:id="66">
    <w:p w14:paraId="2E721A69" w14:textId="77777777" w:rsidR="005E0255" w:rsidRPr="001659E7" w:rsidRDefault="005E0255" w:rsidP="00C067E7">
      <w:pPr>
        <w:pStyle w:val="FootnoteText1"/>
        <w:textDirection w:val="tbRlV"/>
      </w:pPr>
      <w:r>
        <w:rPr>
          <w:rtl/>
        </w:rPr>
        <w:t>(</w:t>
      </w:r>
      <w:r w:rsidRPr="006B5BAF">
        <w:rPr>
          <w:lang w:val="en-AU"/>
        </w:rPr>
        <w:footnoteRef/>
      </w:r>
      <w:r>
        <w:rPr>
          <w:rtl/>
        </w:rPr>
        <w:t>)</w:t>
      </w:r>
      <w:r>
        <w:rPr>
          <w:rtl/>
        </w:rPr>
        <w:tab/>
      </w:r>
      <w:r w:rsidRPr="00687EF5">
        <w:rPr>
          <w:spacing w:val="-2"/>
          <w:rtl/>
        </w:rPr>
        <w:t xml:space="preserve">التعليق العام المشترك رقم </w:t>
      </w:r>
      <w:r w:rsidRPr="006B5BAF">
        <w:rPr>
          <w:spacing w:val="-2"/>
          <w:rtl/>
        </w:rPr>
        <w:t>4</w:t>
      </w:r>
      <w:r w:rsidRPr="00687EF5">
        <w:rPr>
          <w:spacing w:val="-2"/>
          <w:rtl/>
        </w:rPr>
        <w:t xml:space="preserve"> للجنة المعنية بحماية حقوق جميع العمال المهاجرين وأفراد أُسرهم ورقم </w:t>
      </w:r>
      <w:r w:rsidRPr="006B5BAF">
        <w:rPr>
          <w:spacing w:val="-2"/>
          <w:rtl/>
        </w:rPr>
        <w:t>23</w:t>
      </w:r>
      <w:r w:rsidRPr="00687EF5">
        <w:rPr>
          <w:spacing w:val="-2"/>
          <w:rtl/>
        </w:rPr>
        <w:t xml:space="preserve"> للجنة حقوق الطفل (</w:t>
      </w:r>
      <w:r w:rsidRPr="006B5BAF">
        <w:rPr>
          <w:spacing w:val="-2"/>
          <w:rtl/>
        </w:rPr>
        <w:t>2017</w:t>
      </w:r>
      <w:r w:rsidRPr="00687EF5">
        <w:rPr>
          <w:spacing w:val="-2"/>
          <w:rtl/>
        </w:rPr>
        <w:t xml:space="preserve">)، </w:t>
      </w:r>
      <w:r>
        <w:rPr>
          <w:rtl/>
        </w:rPr>
        <w:t xml:space="preserve">الفقرة </w:t>
      </w:r>
      <w:r w:rsidRPr="006B5BAF">
        <w:rPr>
          <w:rtl/>
        </w:rPr>
        <w:t>17</w:t>
      </w:r>
      <w:r w:rsidRPr="001659E7">
        <w:rPr>
          <w:rtl/>
        </w:rPr>
        <w:t>(</w:t>
      </w:r>
      <w:r>
        <w:rPr>
          <w:rtl/>
        </w:rPr>
        <w:t>أ</w:t>
      </w:r>
      <w:r w:rsidRPr="00977A73">
        <w:rPr>
          <w:rtl/>
        </w:rPr>
        <w:t xml:space="preserve">). </w:t>
      </w:r>
    </w:p>
  </w:footnote>
  <w:footnote w:id="67">
    <w:p w14:paraId="38FC97EB" w14:textId="77777777" w:rsidR="005E0255" w:rsidRPr="001659E7" w:rsidRDefault="005E0255" w:rsidP="00C72A88">
      <w:pPr>
        <w:pStyle w:val="FootnoteText1"/>
        <w:textDirection w:val="tbRlV"/>
      </w:pPr>
      <w:r>
        <w:rPr>
          <w:rtl/>
        </w:rPr>
        <w:t>(</w:t>
      </w:r>
      <w:r w:rsidRPr="006B5BAF">
        <w:rPr>
          <w:lang w:val="en-AU"/>
        </w:rPr>
        <w:footnoteRef/>
      </w:r>
      <w:r>
        <w:rPr>
          <w:rtl/>
        </w:rPr>
        <w:t>)</w:t>
      </w:r>
      <w:r w:rsidRPr="00B07324">
        <w:rPr>
          <w:spacing w:val="-2"/>
          <w:rtl/>
        </w:rPr>
        <w:tab/>
        <w:t xml:space="preserve">لجنة حقوق الطفل، التعليق العام رقم </w:t>
      </w:r>
      <w:r w:rsidRPr="006B5BAF">
        <w:rPr>
          <w:spacing w:val="-2"/>
          <w:rtl/>
        </w:rPr>
        <w:t>6</w:t>
      </w:r>
      <w:r w:rsidRPr="00B07324">
        <w:rPr>
          <w:spacing w:val="-2"/>
          <w:rtl/>
        </w:rPr>
        <w:t>(</w:t>
      </w:r>
      <w:r w:rsidRPr="006B5BAF">
        <w:rPr>
          <w:spacing w:val="-2"/>
          <w:rtl/>
        </w:rPr>
        <w:t>2005</w:t>
      </w:r>
      <w:r w:rsidRPr="00B07324">
        <w:rPr>
          <w:spacing w:val="-2"/>
          <w:rtl/>
        </w:rPr>
        <w:t xml:space="preserve">)، الفقرات </w:t>
      </w:r>
      <w:r w:rsidRPr="006B5BAF">
        <w:rPr>
          <w:spacing w:val="-2"/>
          <w:rtl/>
        </w:rPr>
        <w:t>19</w:t>
      </w:r>
      <w:r w:rsidRPr="00B07324">
        <w:rPr>
          <w:spacing w:val="-2"/>
          <w:rtl/>
        </w:rPr>
        <w:t>-</w:t>
      </w:r>
      <w:r w:rsidRPr="006B5BAF">
        <w:rPr>
          <w:spacing w:val="-2"/>
          <w:rtl/>
        </w:rPr>
        <w:t>22</w:t>
      </w:r>
      <w:r w:rsidRPr="00B07324">
        <w:rPr>
          <w:spacing w:val="-2"/>
          <w:rtl/>
        </w:rPr>
        <w:t xml:space="preserve"> و</w:t>
      </w:r>
      <w:r w:rsidRPr="006B5BAF">
        <w:rPr>
          <w:spacing w:val="-2"/>
          <w:rtl/>
        </w:rPr>
        <w:t>81</w:t>
      </w:r>
      <w:r w:rsidRPr="00B07324">
        <w:rPr>
          <w:spacing w:val="-2"/>
          <w:rtl/>
        </w:rPr>
        <w:t xml:space="preserve">- </w:t>
      </w:r>
      <w:r w:rsidRPr="006B5BAF">
        <w:rPr>
          <w:spacing w:val="-2"/>
          <w:rtl/>
        </w:rPr>
        <w:t>83</w:t>
      </w:r>
      <w:r w:rsidRPr="00B07324">
        <w:rPr>
          <w:spacing w:val="-2"/>
          <w:rtl/>
        </w:rPr>
        <w:t xml:space="preserve">؛ والتعليق العام المشترك رقم </w:t>
      </w:r>
      <w:r w:rsidRPr="006B5BAF">
        <w:rPr>
          <w:spacing w:val="-2"/>
          <w:rtl/>
        </w:rPr>
        <w:t>3</w:t>
      </w:r>
      <w:r w:rsidRPr="00B07324">
        <w:rPr>
          <w:spacing w:val="-2"/>
          <w:rtl/>
        </w:rPr>
        <w:t xml:space="preserve"> للجنة المعنية بحماية</w:t>
      </w:r>
      <w:r>
        <w:rPr>
          <w:rtl/>
        </w:rPr>
        <w:t xml:space="preserve"> حقوق جميع العمال المهاجرين وأفراد أسرهم ورقم </w:t>
      </w:r>
      <w:r w:rsidRPr="006B5BAF">
        <w:rPr>
          <w:rtl/>
        </w:rPr>
        <w:t>22</w:t>
      </w:r>
      <w:r w:rsidRPr="001659E7">
        <w:rPr>
          <w:rtl/>
        </w:rPr>
        <w:t xml:space="preserve"> </w:t>
      </w:r>
      <w:r>
        <w:rPr>
          <w:rtl/>
        </w:rPr>
        <w:t>للجنة حقوق الطفل</w:t>
      </w:r>
      <w:r>
        <w:rPr>
          <w:rFonts w:hint="cs"/>
          <w:rtl/>
        </w:rPr>
        <w:t xml:space="preserve"> </w:t>
      </w:r>
      <w:r w:rsidRPr="001659E7">
        <w:rPr>
          <w:rtl/>
        </w:rPr>
        <w:t>(</w:t>
      </w:r>
      <w:r w:rsidRPr="006B5BAF">
        <w:rPr>
          <w:rtl/>
        </w:rPr>
        <w:t>2017</w:t>
      </w:r>
      <w:r w:rsidRPr="00977A73">
        <w:rPr>
          <w:rtl/>
        </w:rPr>
        <w:t xml:space="preserve">)، </w:t>
      </w:r>
      <w:r>
        <w:rPr>
          <w:rtl/>
        </w:rPr>
        <w:t xml:space="preserve">الفقرات </w:t>
      </w:r>
      <w:r w:rsidRPr="006B5BAF">
        <w:rPr>
          <w:rtl/>
        </w:rPr>
        <w:t>27</w:t>
      </w:r>
      <w:r w:rsidRPr="001659E7">
        <w:rPr>
          <w:rtl/>
        </w:rPr>
        <w:t>-</w:t>
      </w:r>
      <w:r w:rsidRPr="006B5BAF">
        <w:rPr>
          <w:rtl/>
        </w:rPr>
        <w:t>33</w:t>
      </w:r>
      <w:r>
        <w:rPr>
          <w:rtl/>
        </w:rPr>
        <w:t xml:space="preserve">؛ والتعليق العام المشترك رقم </w:t>
      </w:r>
      <w:r w:rsidRPr="006B5BAF">
        <w:rPr>
          <w:rtl/>
        </w:rPr>
        <w:t>4</w:t>
      </w:r>
      <w:r>
        <w:rPr>
          <w:rtl/>
        </w:rPr>
        <w:t xml:space="preserve"> للجنة المعنية بحماية حقوق جميع العمال المهاجرين وأفراد أُسرهم ورقم </w:t>
      </w:r>
      <w:r w:rsidRPr="006B5BAF">
        <w:rPr>
          <w:rtl/>
        </w:rPr>
        <w:t>23</w:t>
      </w:r>
      <w:r>
        <w:rPr>
          <w:rtl/>
        </w:rPr>
        <w:t xml:space="preserve"> للجنة حقوق الطفل </w:t>
      </w:r>
      <w:r w:rsidRPr="001659E7">
        <w:rPr>
          <w:rtl/>
        </w:rPr>
        <w:t>(</w:t>
      </w:r>
      <w:r w:rsidRPr="006B5BAF">
        <w:rPr>
          <w:rtl/>
        </w:rPr>
        <w:t>2017</w:t>
      </w:r>
      <w:r w:rsidRPr="00977A73">
        <w:rPr>
          <w:rtl/>
        </w:rPr>
        <w:t xml:space="preserve">)، </w:t>
      </w:r>
      <w:r>
        <w:rPr>
          <w:rtl/>
        </w:rPr>
        <w:t xml:space="preserve">الفقرات </w:t>
      </w:r>
      <w:r w:rsidRPr="006B5BAF">
        <w:rPr>
          <w:rtl/>
        </w:rPr>
        <w:t>27</w:t>
      </w:r>
      <w:r w:rsidRPr="001659E7">
        <w:rPr>
          <w:rtl/>
        </w:rPr>
        <w:t>-</w:t>
      </w:r>
      <w:r w:rsidRPr="006B5BAF">
        <w:rPr>
          <w:rtl/>
        </w:rPr>
        <w:t>38</w:t>
      </w:r>
      <w:r>
        <w:rPr>
          <w:rtl/>
        </w:rPr>
        <w:t>.</w:t>
      </w:r>
    </w:p>
  </w:footnote>
  <w:footnote w:id="68">
    <w:p w14:paraId="60803416" w14:textId="77777777" w:rsidR="005E0255" w:rsidRPr="001659E7" w:rsidRDefault="005E0255" w:rsidP="00830588">
      <w:pPr>
        <w:pStyle w:val="FootnoteText1"/>
        <w:textDirection w:val="tbRlV"/>
      </w:pPr>
      <w:r>
        <w:rPr>
          <w:rtl/>
        </w:rPr>
        <w:t>(</w:t>
      </w:r>
      <w:r w:rsidRPr="006B5BAF">
        <w:rPr>
          <w:lang w:val="en-AU"/>
        </w:rPr>
        <w:footnoteRef/>
      </w:r>
      <w:r>
        <w:rPr>
          <w:rtl/>
        </w:rPr>
        <w:t>)</w:t>
      </w:r>
      <w:r>
        <w:rPr>
          <w:rtl/>
        </w:rPr>
        <w:tab/>
      </w:r>
      <w:hyperlink r:id="rId65" w:history="1">
        <w:r w:rsidRPr="00977A73">
          <w:rPr>
            <w:rStyle w:val="Hyperlink"/>
          </w:rPr>
          <w:t>CED/C/HND/CO/</w:t>
        </w:r>
        <w:r w:rsidRPr="006B5BAF">
          <w:rPr>
            <w:rStyle w:val="Hyperlink"/>
          </w:rPr>
          <w:t>1</w:t>
        </w:r>
      </w:hyperlink>
      <w:r>
        <w:rPr>
          <w:rtl/>
        </w:rPr>
        <w:t xml:space="preserve">، الفقرة </w:t>
      </w:r>
      <w:r w:rsidRPr="006B5BAF">
        <w:rPr>
          <w:rtl/>
        </w:rPr>
        <w:t>27</w:t>
      </w:r>
      <w:r w:rsidRPr="00977A73">
        <w:rPr>
          <w:rtl/>
        </w:rPr>
        <w:t xml:space="preserve">. </w:t>
      </w:r>
    </w:p>
  </w:footnote>
  <w:footnote w:id="69">
    <w:p w14:paraId="5059C1C3" w14:textId="77777777" w:rsidR="005E0255" w:rsidRPr="001659E7" w:rsidRDefault="005E0255" w:rsidP="00A066DF">
      <w:pPr>
        <w:pStyle w:val="FootnoteText1"/>
        <w:textDirection w:val="tbRlV"/>
      </w:pPr>
      <w:r>
        <w:rPr>
          <w:rtl/>
        </w:rPr>
        <w:t>(</w:t>
      </w:r>
      <w:r w:rsidRPr="006B5BAF">
        <w:rPr>
          <w:lang w:val="en-AU"/>
        </w:rPr>
        <w:footnoteRef/>
      </w:r>
      <w:r>
        <w:rPr>
          <w:rtl/>
        </w:rPr>
        <w:t>)</w:t>
      </w:r>
      <w:r>
        <w:rPr>
          <w:rtl/>
        </w:rPr>
        <w:tab/>
      </w:r>
      <w:hyperlink r:id="rId66" w:history="1">
        <w:r w:rsidRPr="00977A73">
          <w:rPr>
            <w:rStyle w:val="Hyperlink"/>
          </w:rPr>
          <w:t>CED/C/GRC/CO/</w:t>
        </w:r>
        <w:r w:rsidRPr="006B5BAF">
          <w:rPr>
            <w:rStyle w:val="Hyperlink"/>
          </w:rPr>
          <w:t>1</w:t>
        </w:r>
      </w:hyperlink>
      <w:r>
        <w:rPr>
          <w:rtl/>
        </w:rPr>
        <w:t xml:space="preserve">، الفقرة </w:t>
      </w:r>
      <w:r w:rsidRPr="006B5BAF">
        <w:rPr>
          <w:rtl/>
        </w:rPr>
        <w:t>25</w:t>
      </w:r>
      <w:r w:rsidRPr="001659E7">
        <w:rPr>
          <w:rtl/>
        </w:rPr>
        <w:t>(</w:t>
      </w:r>
      <w:r>
        <w:rPr>
          <w:rtl/>
        </w:rPr>
        <w:t>ب</w:t>
      </w:r>
      <w:r w:rsidRPr="00977A73">
        <w:rPr>
          <w:rtl/>
        </w:rPr>
        <w:t xml:space="preserve">). </w:t>
      </w:r>
      <w:r>
        <w:rPr>
          <w:rtl/>
        </w:rPr>
        <w:t xml:space="preserve">انظر أيضاً </w:t>
      </w:r>
      <w:r w:rsidRPr="00171003">
        <w:rPr>
          <w:rFonts w:cstheme="minorHAnsi"/>
        </w:rPr>
        <w:t>OHCHR, “‘Lethal disregard</w:t>
      </w:r>
      <w:proofErr w:type="gramStart"/>
      <w:r w:rsidRPr="00171003">
        <w:rPr>
          <w:rFonts w:cstheme="minorHAnsi"/>
        </w:rPr>
        <w:t>’”,</w:t>
      </w:r>
      <w:proofErr w:type="gramEnd"/>
      <w:r w:rsidRPr="00171003">
        <w:rPr>
          <w:rFonts w:cstheme="minorHAnsi"/>
        </w:rPr>
        <w:t xml:space="preserve"> p. </w:t>
      </w:r>
      <w:r w:rsidRPr="006B5BAF">
        <w:rPr>
          <w:rFonts w:cstheme="minorHAnsi"/>
        </w:rPr>
        <w:t>28</w:t>
      </w:r>
      <w:r w:rsidRPr="00977A73">
        <w:rPr>
          <w:rtl/>
        </w:rPr>
        <w:t xml:space="preserve">. </w:t>
      </w:r>
    </w:p>
  </w:footnote>
  <w:footnote w:id="70">
    <w:p w14:paraId="0E07BFE4" w14:textId="77777777" w:rsidR="005E0255" w:rsidRPr="001659E7" w:rsidRDefault="005E0255" w:rsidP="00B86DC0">
      <w:pPr>
        <w:pStyle w:val="FootnoteText1"/>
        <w:textDirection w:val="tbRlV"/>
      </w:pPr>
      <w:r w:rsidRPr="00687EF5">
        <w:rPr>
          <w:spacing w:val="-5"/>
          <w:rtl/>
        </w:rPr>
        <w:t>(</w:t>
      </w:r>
      <w:r w:rsidRPr="006B5BAF">
        <w:rPr>
          <w:spacing w:val="-5"/>
          <w:lang w:val="en-AU"/>
        </w:rPr>
        <w:footnoteRef/>
      </w:r>
      <w:r w:rsidRPr="00687EF5">
        <w:rPr>
          <w:spacing w:val="-5"/>
          <w:rtl/>
        </w:rPr>
        <w:t>)</w:t>
      </w:r>
      <w:r w:rsidRPr="00687EF5">
        <w:rPr>
          <w:spacing w:val="-5"/>
          <w:rtl/>
        </w:rPr>
        <w:tab/>
      </w:r>
      <w:hyperlink r:id="rId67" w:history="1">
        <w:r w:rsidRPr="00687EF5">
          <w:rPr>
            <w:rStyle w:val="Hyperlink"/>
            <w:spacing w:val="-5"/>
          </w:rPr>
          <w:t>A/</w:t>
        </w:r>
        <w:r w:rsidRPr="006B5BAF">
          <w:rPr>
            <w:rStyle w:val="Hyperlink"/>
            <w:spacing w:val="-5"/>
          </w:rPr>
          <w:t>73</w:t>
        </w:r>
        <w:r w:rsidRPr="00687EF5">
          <w:rPr>
            <w:rStyle w:val="Hyperlink"/>
            <w:spacing w:val="-5"/>
          </w:rPr>
          <w:t>/</w:t>
        </w:r>
        <w:r w:rsidRPr="006B5BAF">
          <w:rPr>
            <w:rStyle w:val="Hyperlink"/>
            <w:spacing w:val="-5"/>
          </w:rPr>
          <w:t>314</w:t>
        </w:r>
      </w:hyperlink>
      <w:r w:rsidRPr="00687EF5">
        <w:rPr>
          <w:spacing w:val="-5"/>
          <w:rtl/>
        </w:rPr>
        <w:t xml:space="preserve">، الفقرات </w:t>
      </w:r>
      <w:r w:rsidRPr="006B5BAF">
        <w:rPr>
          <w:spacing w:val="-5"/>
          <w:rtl/>
        </w:rPr>
        <w:t>58</w:t>
      </w:r>
      <w:r w:rsidRPr="00687EF5">
        <w:rPr>
          <w:spacing w:val="-5"/>
          <w:rtl/>
        </w:rPr>
        <w:t>-</w:t>
      </w:r>
      <w:r w:rsidRPr="006B5BAF">
        <w:rPr>
          <w:spacing w:val="-5"/>
          <w:rtl/>
        </w:rPr>
        <w:t>75</w:t>
      </w:r>
      <w:r w:rsidRPr="00687EF5">
        <w:rPr>
          <w:spacing w:val="-5"/>
          <w:rtl/>
        </w:rPr>
        <w:t xml:space="preserve">؛ </w:t>
      </w:r>
      <w:proofErr w:type="gramStart"/>
      <w:r w:rsidRPr="00687EF5">
        <w:rPr>
          <w:spacing w:val="-5"/>
          <w:rtl/>
        </w:rPr>
        <w:t>و</w:t>
      </w:r>
      <w:r w:rsidRPr="00687EF5">
        <w:rPr>
          <w:spacing w:val="-5"/>
        </w:rPr>
        <w:t xml:space="preserve"> Martha</w:t>
      </w:r>
      <w:proofErr w:type="gramEnd"/>
      <w:r w:rsidRPr="00687EF5">
        <w:rPr>
          <w:spacing w:val="-5"/>
        </w:rPr>
        <w:t xml:space="preserve"> </w:t>
      </w:r>
      <w:proofErr w:type="spellStart"/>
      <w:r w:rsidRPr="00687EF5">
        <w:rPr>
          <w:spacing w:val="-5"/>
        </w:rPr>
        <w:t>Gionco</w:t>
      </w:r>
      <w:proofErr w:type="spellEnd"/>
      <w:r w:rsidRPr="00687EF5">
        <w:rPr>
          <w:spacing w:val="-5"/>
        </w:rPr>
        <w:t xml:space="preserve"> and Jyothi Kanics, </w:t>
      </w:r>
      <w:r w:rsidRPr="006B5BAF">
        <w:rPr>
          <w:i/>
          <w:iCs/>
          <w:spacing w:val="-5"/>
        </w:rPr>
        <w:t xml:space="preserve">Resilience and Resistance: The </w:t>
      </w:r>
      <w:proofErr w:type="spellStart"/>
      <w:r w:rsidRPr="006B5BAF">
        <w:rPr>
          <w:i/>
          <w:iCs/>
          <w:spacing w:val="-5"/>
        </w:rPr>
        <w:t>Criminalisation</w:t>
      </w:r>
      <w:proofErr w:type="spellEnd"/>
      <w:r w:rsidRPr="006B5BAF">
        <w:rPr>
          <w:i/>
          <w:iCs/>
          <w:spacing w:val="-5"/>
        </w:rPr>
        <w:t xml:space="preserve"> of Solidarity across Europe</w:t>
      </w:r>
      <w:r w:rsidRPr="00687EF5">
        <w:rPr>
          <w:spacing w:val="-5"/>
        </w:rPr>
        <w:t xml:space="preserve"> (Brussels, The Greens/EFA in the European Parliament, </w:t>
      </w:r>
      <w:r w:rsidRPr="006B5BAF">
        <w:rPr>
          <w:spacing w:val="-5"/>
        </w:rPr>
        <w:t>2022</w:t>
      </w:r>
      <w:r w:rsidRPr="00687EF5">
        <w:rPr>
          <w:spacing w:val="-5"/>
        </w:rPr>
        <w:t>)</w:t>
      </w:r>
      <w:r w:rsidRPr="00977A73">
        <w:rPr>
          <w:rtl/>
        </w:rPr>
        <w:t xml:space="preserve">. </w:t>
      </w:r>
    </w:p>
  </w:footnote>
  <w:footnote w:id="71">
    <w:p w14:paraId="4F4F80D7" w14:textId="77777777" w:rsidR="005E0255" w:rsidRPr="001659E7" w:rsidRDefault="005E0255" w:rsidP="00B52A52">
      <w:pPr>
        <w:pStyle w:val="FootnoteText1"/>
      </w:pPr>
      <w:r>
        <w:rPr>
          <w:rtl/>
        </w:rPr>
        <w:t>(</w:t>
      </w:r>
      <w:r w:rsidRPr="006B5BAF">
        <w:rPr>
          <w:lang w:val="en-AU"/>
        </w:rPr>
        <w:footnoteRef/>
      </w:r>
      <w:r>
        <w:rPr>
          <w:rtl/>
        </w:rPr>
        <w:t>)</w:t>
      </w:r>
      <w:r>
        <w:rPr>
          <w:rtl/>
        </w:rPr>
        <w:tab/>
      </w:r>
      <w:hyperlink r:id="rId68" w:history="1">
        <w:r w:rsidRPr="00977A73">
          <w:rPr>
            <w:rStyle w:val="Hyperlink"/>
          </w:rPr>
          <w:t>A/AC.</w:t>
        </w:r>
        <w:r w:rsidRPr="006B5BAF">
          <w:rPr>
            <w:rStyle w:val="Hyperlink"/>
          </w:rPr>
          <w:t>96</w:t>
        </w:r>
        <w:r w:rsidRPr="00977A73">
          <w:rPr>
            <w:rStyle w:val="Hyperlink"/>
          </w:rPr>
          <w:t>/</w:t>
        </w:r>
        <w:r w:rsidRPr="006B5BAF">
          <w:rPr>
            <w:rStyle w:val="Hyperlink"/>
          </w:rPr>
          <w:t>951</w:t>
        </w:r>
      </w:hyperlink>
      <w:r>
        <w:rPr>
          <w:rtl/>
        </w:rPr>
        <w:t xml:space="preserve">، الفقرة </w:t>
      </w:r>
      <w:r w:rsidRPr="006B5BAF">
        <w:rPr>
          <w:rtl/>
        </w:rPr>
        <w:t>16</w:t>
      </w:r>
      <w:r>
        <w:rPr>
          <w:rtl/>
        </w:rPr>
        <w:t>؛ و</w:t>
      </w:r>
      <w:hyperlink r:id="rId69" w:history="1">
        <w:r w:rsidRPr="00977A73">
          <w:rPr>
            <w:rStyle w:val="Hyperlink"/>
          </w:rPr>
          <w:t>CED/C/NER/CO/</w:t>
        </w:r>
        <w:r w:rsidRPr="006B5BAF">
          <w:rPr>
            <w:rStyle w:val="Hyperlink"/>
          </w:rPr>
          <w:t>1</w:t>
        </w:r>
      </w:hyperlink>
      <w:r>
        <w:rPr>
          <w:rtl/>
        </w:rPr>
        <w:t xml:space="preserve">، الفقرة </w:t>
      </w:r>
      <w:r w:rsidRPr="006B5BAF">
        <w:rPr>
          <w:rtl/>
        </w:rPr>
        <w:t>27</w:t>
      </w:r>
      <w:r w:rsidRPr="001659E7">
        <w:rPr>
          <w:rtl/>
        </w:rPr>
        <w:t>(</w:t>
      </w:r>
      <w:r>
        <w:rPr>
          <w:rtl/>
        </w:rPr>
        <w:t>أ</w:t>
      </w:r>
      <w:r w:rsidRPr="00977A73">
        <w:rPr>
          <w:rtl/>
        </w:rPr>
        <w:t xml:space="preserve">)؛ </w:t>
      </w:r>
      <w:r>
        <w:rPr>
          <w:rtl/>
        </w:rPr>
        <w:t>و</w:t>
      </w:r>
      <w:hyperlink r:id="rId70" w:history="1">
        <w:r w:rsidRPr="00977A73">
          <w:rPr>
            <w:rStyle w:val="Hyperlink"/>
          </w:rPr>
          <w:t>CED/C/MNG/CO/</w:t>
        </w:r>
        <w:r w:rsidRPr="006B5BAF">
          <w:rPr>
            <w:rStyle w:val="Hyperlink"/>
          </w:rPr>
          <w:t>1</w:t>
        </w:r>
      </w:hyperlink>
      <w:r>
        <w:rPr>
          <w:rtl/>
        </w:rPr>
        <w:t xml:space="preserve">، الفقرتان </w:t>
      </w:r>
      <w:r w:rsidRPr="006B5BAF">
        <w:rPr>
          <w:rtl/>
        </w:rPr>
        <w:t>30</w:t>
      </w:r>
      <w:r>
        <w:rPr>
          <w:rtl/>
        </w:rPr>
        <w:t xml:space="preserve"> و</w:t>
      </w:r>
      <w:r w:rsidRPr="006B5BAF">
        <w:rPr>
          <w:rtl/>
        </w:rPr>
        <w:t>31</w:t>
      </w:r>
      <w:r>
        <w:rPr>
          <w:rtl/>
        </w:rPr>
        <w:t>؛ و</w:t>
      </w:r>
      <w:hyperlink r:id="rId71" w:history="1">
        <w:r w:rsidRPr="00977A73">
          <w:rPr>
            <w:rStyle w:val="Hyperlink"/>
          </w:rPr>
          <w:t>CED/C/SVK/CO/</w:t>
        </w:r>
        <w:r w:rsidRPr="006B5BAF">
          <w:rPr>
            <w:rStyle w:val="Hyperlink"/>
          </w:rPr>
          <w:t>1</w:t>
        </w:r>
      </w:hyperlink>
      <w:r>
        <w:rPr>
          <w:rtl/>
        </w:rPr>
        <w:t xml:space="preserve">، الفقرتان </w:t>
      </w:r>
      <w:r w:rsidRPr="006B5BAF">
        <w:rPr>
          <w:rtl/>
        </w:rPr>
        <w:t>14</w:t>
      </w:r>
      <w:r>
        <w:rPr>
          <w:rtl/>
        </w:rPr>
        <w:t xml:space="preserve"> و</w:t>
      </w:r>
      <w:r w:rsidRPr="006B5BAF">
        <w:rPr>
          <w:rtl/>
        </w:rPr>
        <w:t>15</w:t>
      </w:r>
      <w:r>
        <w:rPr>
          <w:rtl/>
        </w:rPr>
        <w:t>؛ و</w:t>
      </w:r>
      <w:hyperlink r:id="rId72" w:history="1">
        <w:r w:rsidRPr="00977A73">
          <w:rPr>
            <w:rStyle w:val="Hyperlink"/>
          </w:rPr>
          <w:t>CED/C/PER/CO/</w:t>
        </w:r>
        <w:r w:rsidRPr="006B5BAF">
          <w:rPr>
            <w:rStyle w:val="Hyperlink"/>
          </w:rPr>
          <w:t>1</w:t>
        </w:r>
      </w:hyperlink>
      <w:r>
        <w:rPr>
          <w:rtl/>
        </w:rPr>
        <w:t xml:space="preserve">، الفقرتان </w:t>
      </w:r>
      <w:r w:rsidRPr="006B5BAF">
        <w:rPr>
          <w:rtl/>
        </w:rPr>
        <w:t>22</w:t>
      </w:r>
      <w:r>
        <w:rPr>
          <w:rtl/>
        </w:rPr>
        <w:t xml:space="preserve"> و</w:t>
      </w:r>
      <w:r w:rsidRPr="006B5BAF">
        <w:rPr>
          <w:rtl/>
        </w:rPr>
        <w:t>23</w:t>
      </w:r>
      <w:r>
        <w:rPr>
          <w:rtl/>
        </w:rPr>
        <w:t>؛ و</w:t>
      </w:r>
      <w:hyperlink r:id="rId73" w:history="1">
        <w:r w:rsidRPr="00977A73">
          <w:rPr>
            <w:rStyle w:val="Hyperlink"/>
          </w:rPr>
          <w:t>CED/C/AUT/CO/</w:t>
        </w:r>
        <w:r w:rsidRPr="006B5BAF">
          <w:rPr>
            <w:rStyle w:val="Hyperlink"/>
          </w:rPr>
          <w:t>1</w:t>
        </w:r>
      </w:hyperlink>
      <w:r>
        <w:rPr>
          <w:rtl/>
        </w:rPr>
        <w:t xml:space="preserve">، الفقرتان </w:t>
      </w:r>
      <w:r w:rsidRPr="006B5BAF">
        <w:rPr>
          <w:rtl/>
        </w:rPr>
        <w:t>20</w:t>
      </w:r>
      <w:r>
        <w:rPr>
          <w:rtl/>
        </w:rPr>
        <w:t xml:space="preserve"> و</w:t>
      </w:r>
      <w:r w:rsidRPr="006B5BAF">
        <w:rPr>
          <w:rtl/>
        </w:rPr>
        <w:t>21</w:t>
      </w:r>
      <w:r>
        <w:rPr>
          <w:rtl/>
        </w:rPr>
        <w:t>؛ و</w:t>
      </w:r>
      <w:hyperlink r:id="rId74" w:history="1">
        <w:r w:rsidRPr="00977A73">
          <w:rPr>
            <w:rStyle w:val="Hyperlink"/>
          </w:rPr>
          <w:t>CED/C/GAB/CO/</w:t>
        </w:r>
        <w:r w:rsidRPr="006B5BAF">
          <w:rPr>
            <w:rStyle w:val="Hyperlink"/>
          </w:rPr>
          <w:t>1</w:t>
        </w:r>
      </w:hyperlink>
      <w:r>
        <w:rPr>
          <w:rtl/>
        </w:rPr>
        <w:t xml:space="preserve">، الفقرتان </w:t>
      </w:r>
      <w:r w:rsidRPr="006B5BAF">
        <w:rPr>
          <w:rtl/>
        </w:rPr>
        <w:t>30</w:t>
      </w:r>
      <w:r>
        <w:rPr>
          <w:rtl/>
        </w:rPr>
        <w:t xml:space="preserve"> و</w:t>
      </w:r>
      <w:r w:rsidRPr="006B5BAF">
        <w:rPr>
          <w:rtl/>
        </w:rPr>
        <w:t>31</w:t>
      </w:r>
      <w:r>
        <w:rPr>
          <w:rtl/>
        </w:rPr>
        <w:t>؛ و</w:t>
      </w:r>
      <w:r w:rsidRPr="00687EF5">
        <w:rPr>
          <w:rFonts w:cstheme="minorHAnsi"/>
        </w:rPr>
        <w:t xml:space="preserve"> </w:t>
      </w:r>
      <w:r w:rsidRPr="007354CB">
        <w:rPr>
          <w:rFonts w:cstheme="minorHAnsi"/>
        </w:rPr>
        <w:t xml:space="preserve">European Court of Human Rights, </w:t>
      </w:r>
      <w:r w:rsidRPr="006B5BAF">
        <w:rPr>
          <w:rFonts w:cstheme="minorHAnsi"/>
          <w:i/>
          <w:iCs/>
        </w:rPr>
        <w:t>Hirsi Jamaa and others v. Italy</w:t>
      </w:r>
      <w:r w:rsidRPr="007354CB">
        <w:rPr>
          <w:rFonts w:cstheme="minorHAnsi"/>
        </w:rPr>
        <w:t xml:space="preserve">, Application </w:t>
      </w:r>
      <w:r>
        <w:rPr>
          <w:rFonts w:cstheme="minorHAnsi"/>
        </w:rPr>
        <w:t>N</w:t>
      </w:r>
      <w:r w:rsidRPr="007354CB">
        <w:rPr>
          <w:rFonts w:cstheme="minorHAnsi"/>
        </w:rPr>
        <w:t xml:space="preserve">o. </w:t>
      </w:r>
      <w:r w:rsidRPr="006B5BAF">
        <w:rPr>
          <w:rFonts w:cstheme="minorHAnsi"/>
        </w:rPr>
        <w:t>27765</w:t>
      </w:r>
      <w:r w:rsidRPr="007354CB">
        <w:rPr>
          <w:rFonts w:cstheme="minorHAnsi"/>
        </w:rPr>
        <w:t>/</w:t>
      </w:r>
      <w:r w:rsidRPr="006B5BAF">
        <w:rPr>
          <w:rFonts w:cstheme="minorHAnsi"/>
        </w:rPr>
        <w:t>09</w:t>
      </w:r>
      <w:r>
        <w:rPr>
          <w:rFonts w:cstheme="minorHAnsi"/>
        </w:rPr>
        <w:t>,</w:t>
      </w:r>
      <w:r w:rsidRPr="007354CB">
        <w:rPr>
          <w:rFonts w:cstheme="minorHAnsi"/>
        </w:rPr>
        <w:t xml:space="preserve"> </w:t>
      </w:r>
      <w:r>
        <w:rPr>
          <w:rFonts w:cstheme="minorHAnsi"/>
        </w:rPr>
        <w:t xml:space="preserve">Judgment, </w:t>
      </w:r>
      <w:r w:rsidRPr="006B5BAF">
        <w:rPr>
          <w:rFonts w:cstheme="minorHAnsi"/>
        </w:rPr>
        <w:t>23</w:t>
      </w:r>
      <w:r w:rsidRPr="007354CB">
        <w:rPr>
          <w:rFonts w:cstheme="minorHAnsi"/>
        </w:rPr>
        <w:t xml:space="preserve"> February </w:t>
      </w:r>
      <w:r w:rsidRPr="006B5BAF">
        <w:rPr>
          <w:rFonts w:cstheme="minorHAnsi"/>
        </w:rPr>
        <w:t>2012</w:t>
      </w:r>
      <w:r w:rsidRPr="007354CB">
        <w:rPr>
          <w:rFonts w:cstheme="minorHAnsi"/>
        </w:rPr>
        <w:t>, para</w:t>
      </w:r>
      <w:r>
        <w:rPr>
          <w:rFonts w:cstheme="minorHAnsi"/>
        </w:rPr>
        <w:t>.</w:t>
      </w:r>
      <w:r w:rsidRPr="007354CB">
        <w:rPr>
          <w:rFonts w:cstheme="minorHAnsi"/>
        </w:rPr>
        <w:t xml:space="preserve"> </w:t>
      </w:r>
      <w:r w:rsidRPr="006B5BAF">
        <w:rPr>
          <w:rFonts w:cstheme="minorHAnsi"/>
        </w:rPr>
        <w:t>23</w:t>
      </w:r>
      <w:r>
        <w:rPr>
          <w:rtl/>
        </w:rPr>
        <w:t>.</w:t>
      </w:r>
    </w:p>
  </w:footnote>
  <w:footnote w:id="72">
    <w:p w14:paraId="789E516E" w14:textId="77777777" w:rsidR="005E0255" w:rsidRPr="001659E7" w:rsidRDefault="005E0255" w:rsidP="00CB256B">
      <w:pPr>
        <w:pStyle w:val="FootnoteText1"/>
      </w:pPr>
      <w:r>
        <w:rPr>
          <w:rtl/>
        </w:rPr>
        <w:t>(</w:t>
      </w:r>
      <w:r w:rsidRPr="006B5BAF">
        <w:rPr>
          <w:lang w:val="en-AU"/>
        </w:rPr>
        <w:footnoteRef/>
      </w:r>
      <w:r>
        <w:rPr>
          <w:rtl/>
        </w:rPr>
        <w:t>)</w:t>
      </w:r>
      <w:r>
        <w:rPr>
          <w:rtl/>
        </w:rPr>
        <w:tab/>
      </w:r>
      <w:hyperlink r:id="rId75" w:history="1">
        <w:r w:rsidRPr="00977A73">
          <w:rPr>
            <w:rStyle w:val="Hyperlink"/>
          </w:rPr>
          <w:t>A/HRC/</w:t>
        </w:r>
        <w:r w:rsidRPr="006B5BAF">
          <w:rPr>
            <w:rStyle w:val="Hyperlink"/>
          </w:rPr>
          <w:t>50</w:t>
        </w:r>
        <w:r w:rsidRPr="00977A73">
          <w:rPr>
            <w:rStyle w:val="Hyperlink"/>
          </w:rPr>
          <w:t>/</w:t>
        </w:r>
        <w:r w:rsidRPr="006B5BAF">
          <w:rPr>
            <w:rStyle w:val="Hyperlink"/>
          </w:rPr>
          <w:t>31</w:t>
        </w:r>
      </w:hyperlink>
      <w:r>
        <w:rPr>
          <w:rtl/>
        </w:rPr>
        <w:t xml:space="preserve">، الفقرة </w:t>
      </w:r>
      <w:r w:rsidRPr="006B5BAF">
        <w:rPr>
          <w:rtl/>
        </w:rPr>
        <w:t>27</w:t>
      </w:r>
      <w:r>
        <w:rPr>
          <w:rtl/>
        </w:rPr>
        <w:t>.</w:t>
      </w:r>
    </w:p>
  </w:footnote>
  <w:footnote w:id="73">
    <w:p w14:paraId="46619894" w14:textId="77777777" w:rsidR="005E0255" w:rsidRPr="001659E7" w:rsidRDefault="005E0255" w:rsidP="00441434">
      <w:pPr>
        <w:pStyle w:val="FootnoteText1"/>
      </w:pPr>
      <w:r>
        <w:rPr>
          <w:rtl/>
        </w:rPr>
        <w:t>(</w:t>
      </w:r>
      <w:r w:rsidRPr="006B5BAF">
        <w:rPr>
          <w:lang w:val="en-AU"/>
        </w:rPr>
        <w:footnoteRef/>
      </w:r>
      <w:r>
        <w:rPr>
          <w:rtl/>
        </w:rPr>
        <w:t>)</w:t>
      </w:r>
      <w:r>
        <w:rPr>
          <w:rtl/>
        </w:rPr>
        <w:tab/>
        <w:t xml:space="preserve">اللجنة المعنية بحماية حقوق جميع العمال المهاجرين وأفراد أسرهم، التعليق العام رقم </w:t>
      </w:r>
      <w:r w:rsidRPr="006B5BAF">
        <w:rPr>
          <w:rtl/>
        </w:rPr>
        <w:t>2</w:t>
      </w:r>
      <w:r w:rsidRPr="001659E7">
        <w:rPr>
          <w:rtl/>
        </w:rPr>
        <w:t>(</w:t>
      </w:r>
      <w:r w:rsidRPr="006B5BAF">
        <w:rPr>
          <w:rtl/>
        </w:rPr>
        <w:t>2013</w:t>
      </w:r>
      <w:r w:rsidRPr="00977A73">
        <w:rPr>
          <w:rtl/>
        </w:rPr>
        <w:t xml:space="preserve">)، </w:t>
      </w:r>
      <w:r>
        <w:rPr>
          <w:rtl/>
        </w:rPr>
        <w:t xml:space="preserve">الفقرة </w:t>
      </w:r>
      <w:r w:rsidRPr="006B5BAF">
        <w:rPr>
          <w:rtl/>
        </w:rPr>
        <w:t>51</w:t>
      </w:r>
      <w:r w:rsidRPr="001659E7">
        <w:rPr>
          <w:rtl/>
        </w:rPr>
        <w:t xml:space="preserve">؛ </w:t>
      </w:r>
      <w:r>
        <w:rPr>
          <w:rtl/>
        </w:rPr>
        <w:t xml:space="preserve">واللجنة المعنية بحقوق الإنسان، التعليق العام رقم </w:t>
      </w:r>
      <w:r w:rsidRPr="006B5BAF">
        <w:rPr>
          <w:rtl/>
        </w:rPr>
        <w:t>31</w:t>
      </w:r>
      <w:r w:rsidRPr="001659E7">
        <w:rPr>
          <w:rtl/>
        </w:rPr>
        <w:t>(</w:t>
      </w:r>
      <w:r w:rsidRPr="006B5BAF">
        <w:rPr>
          <w:rtl/>
        </w:rPr>
        <w:t>2004</w:t>
      </w:r>
      <w:r w:rsidRPr="00977A73">
        <w:rPr>
          <w:rtl/>
        </w:rPr>
        <w:t xml:space="preserve">) </w:t>
      </w:r>
      <w:r>
        <w:rPr>
          <w:rtl/>
        </w:rPr>
        <w:t xml:space="preserve">بشأن طبيعة الالتزام القانوني العام المفروض على الدول الأطراف في العهد الدولي الخاص بالحقوق المدنية والسياسية، الفقرة </w:t>
      </w:r>
      <w:r w:rsidRPr="006B5BAF">
        <w:rPr>
          <w:rtl/>
        </w:rPr>
        <w:t>10</w:t>
      </w:r>
      <w:r>
        <w:rPr>
          <w:rtl/>
        </w:rPr>
        <w:t xml:space="preserve">؛ </w:t>
      </w:r>
      <w:proofErr w:type="gramStart"/>
      <w:r>
        <w:rPr>
          <w:rtl/>
        </w:rPr>
        <w:t>و</w:t>
      </w:r>
      <w:r w:rsidRPr="00687EF5">
        <w:t xml:space="preserve"> </w:t>
      </w:r>
      <w:r w:rsidRPr="00C46ABE">
        <w:t>European</w:t>
      </w:r>
      <w:proofErr w:type="gramEnd"/>
      <w:r w:rsidRPr="00C46ABE">
        <w:t xml:space="preserve"> Court of Human Rights, </w:t>
      </w:r>
      <w:r w:rsidRPr="006B5BAF">
        <w:rPr>
          <w:i/>
          <w:iCs/>
        </w:rPr>
        <w:t>Hirsi Jamaa and others v. Italy</w:t>
      </w:r>
      <w:r w:rsidRPr="00C46ABE">
        <w:t xml:space="preserve">, paras. </w:t>
      </w:r>
      <w:r w:rsidRPr="006B5BAF">
        <w:t>76</w:t>
      </w:r>
      <w:r w:rsidRPr="00162A85">
        <w:t>–</w:t>
      </w:r>
      <w:r w:rsidRPr="006B5BAF">
        <w:t>82</w:t>
      </w:r>
      <w:r>
        <w:rPr>
          <w:rtl/>
        </w:rPr>
        <w:t>.</w:t>
      </w:r>
    </w:p>
  </w:footnote>
  <w:footnote w:id="74">
    <w:p w14:paraId="6F0B2B69" w14:textId="77777777" w:rsidR="005E0255" w:rsidRPr="00B07324" w:rsidRDefault="005E0255" w:rsidP="003B0136">
      <w:pPr>
        <w:pStyle w:val="FootnoteText1"/>
        <w:rPr>
          <w:spacing w:val="-4"/>
        </w:rPr>
      </w:pPr>
      <w:r w:rsidRPr="00687EF5">
        <w:rPr>
          <w:spacing w:val="-4"/>
          <w:rtl/>
        </w:rPr>
        <w:t>(</w:t>
      </w:r>
      <w:r w:rsidRPr="006B5BAF">
        <w:rPr>
          <w:spacing w:val="-4"/>
          <w:lang w:val="en-AU"/>
        </w:rPr>
        <w:footnoteRef/>
      </w:r>
      <w:r w:rsidRPr="00687EF5">
        <w:rPr>
          <w:spacing w:val="-4"/>
          <w:rtl/>
        </w:rPr>
        <w:t>)</w:t>
      </w:r>
      <w:r w:rsidRPr="00687EF5">
        <w:rPr>
          <w:spacing w:val="-4"/>
          <w:rtl/>
        </w:rPr>
        <w:tab/>
      </w:r>
      <w:hyperlink r:id="rId76" w:history="1">
        <w:r w:rsidRPr="00687EF5">
          <w:rPr>
            <w:rStyle w:val="Hyperlink"/>
            <w:spacing w:val="-4"/>
          </w:rPr>
          <w:t>A/HRC/</w:t>
        </w:r>
        <w:r w:rsidRPr="006B5BAF">
          <w:rPr>
            <w:rStyle w:val="Hyperlink"/>
            <w:spacing w:val="-4"/>
          </w:rPr>
          <w:t>37</w:t>
        </w:r>
        <w:r w:rsidRPr="00687EF5">
          <w:rPr>
            <w:rStyle w:val="Hyperlink"/>
            <w:spacing w:val="-4"/>
          </w:rPr>
          <w:t>/</w:t>
        </w:r>
        <w:r w:rsidRPr="006B5BAF">
          <w:rPr>
            <w:rStyle w:val="Hyperlink"/>
            <w:spacing w:val="-4"/>
          </w:rPr>
          <w:t>50</w:t>
        </w:r>
      </w:hyperlink>
      <w:r w:rsidRPr="00687EF5">
        <w:rPr>
          <w:spacing w:val="-4"/>
          <w:rtl/>
        </w:rPr>
        <w:t xml:space="preserve">، الفقرة </w:t>
      </w:r>
      <w:r w:rsidRPr="006B5BAF">
        <w:rPr>
          <w:spacing w:val="-4"/>
          <w:rtl/>
        </w:rPr>
        <w:t>57</w:t>
      </w:r>
      <w:r w:rsidRPr="00687EF5">
        <w:rPr>
          <w:spacing w:val="-4"/>
          <w:rtl/>
        </w:rPr>
        <w:t xml:space="preserve">؛ </w:t>
      </w:r>
      <w:proofErr w:type="gramStart"/>
      <w:r w:rsidRPr="00687EF5">
        <w:rPr>
          <w:spacing w:val="-4"/>
          <w:rtl/>
        </w:rPr>
        <w:t>و</w:t>
      </w:r>
      <w:r w:rsidRPr="00687EF5">
        <w:rPr>
          <w:spacing w:val="-4"/>
        </w:rPr>
        <w:t xml:space="preserve"> European</w:t>
      </w:r>
      <w:proofErr w:type="gramEnd"/>
      <w:r w:rsidRPr="00687EF5">
        <w:rPr>
          <w:spacing w:val="-4"/>
        </w:rPr>
        <w:t xml:space="preserve"> Court of Human Rights, </w:t>
      </w:r>
      <w:r w:rsidRPr="006B5BAF">
        <w:rPr>
          <w:i/>
          <w:iCs/>
          <w:spacing w:val="-4"/>
        </w:rPr>
        <w:t>Hirsi Jamaa and others v.</w:t>
      </w:r>
      <w:r w:rsidRPr="00687EF5">
        <w:rPr>
          <w:spacing w:val="-4"/>
        </w:rPr>
        <w:t xml:space="preserve"> </w:t>
      </w:r>
      <w:r w:rsidRPr="006B5BAF">
        <w:rPr>
          <w:i/>
          <w:iCs/>
          <w:spacing w:val="-4"/>
        </w:rPr>
        <w:t>Italy</w:t>
      </w:r>
      <w:r w:rsidRPr="00687EF5">
        <w:rPr>
          <w:spacing w:val="-4"/>
        </w:rPr>
        <w:t>, para. </w:t>
      </w:r>
      <w:r w:rsidRPr="006B5BAF">
        <w:rPr>
          <w:spacing w:val="-4"/>
        </w:rPr>
        <w:t>129</w:t>
      </w:r>
      <w:r w:rsidRPr="00B07324">
        <w:rPr>
          <w:spacing w:val="-4"/>
          <w:rtl/>
        </w:rPr>
        <w:t>.</w:t>
      </w:r>
    </w:p>
  </w:footnote>
  <w:footnote w:id="75">
    <w:p w14:paraId="2FE9FD73" w14:textId="77777777" w:rsidR="005E0255" w:rsidRPr="001659E7" w:rsidRDefault="005E0255" w:rsidP="00455AC2">
      <w:pPr>
        <w:pStyle w:val="FootnoteText1"/>
      </w:pPr>
      <w:r>
        <w:rPr>
          <w:rtl/>
        </w:rPr>
        <w:t>(</w:t>
      </w:r>
      <w:r w:rsidRPr="006B5BAF">
        <w:rPr>
          <w:lang w:val="en-AU"/>
        </w:rPr>
        <w:footnoteRef/>
      </w:r>
      <w:r>
        <w:rPr>
          <w:rtl/>
        </w:rPr>
        <w:t>)</w:t>
      </w:r>
      <w:r>
        <w:rPr>
          <w:rtl/>
        </w:rPr>
        <w:tab/>
        <w:t>انظر</w:t>
      </w:r>
      <w:r w:rsidRPr="001659E7">
        <w:rPr>
          <w:rtl/>
        </w:rPr>
        <w:t xml:space="preserve"> </w:t>
      </w:r>
      <w:r w:rsidRPr="006B5BAF">
        <w:rPr>
          <w:i/>
          <w:iCs/>
          <w:rtl/>
        </w:rPr>
        <w:t>إ. ل. آ. ضد فرنسا</w:t>
      </w:r>
      <w:r>
        <w:rPr>
          <w:rtl/>
        </w:rPr>
        <w:t xml:space="preserve"> </w:t>
      </w:r>
      <w:r w:rsidRPr="001659E7">
        <w:rPr>
          <w:rtl/>
        </w:rPr>
        <w:t>(</w:t>
      </w:r>
      <w:hyperlink r:id="rId77" w:history="1">
        <w:r w:rsidRPr="00977A73">
          <w:rPr>
            <w:rStyle w:val="Hyperlink"/>
          </w:rPr>
          <w:t>CED/C/</w:t>
        </w:r>
        <w:r w:rsidRPr="006B5BAF">
          <w:rPr>
            <w:rStyle w:val="Hyperlink"/>
          </w:rPr>
          <w:t>19</w:t>
        </w:r>
        <w:r w:rsidRPr="00977A73">
          <w:rPr>
            <w:rStyle w:val="Hyperlink"/>
          </w:rPr>
          <w:t>/D/</w:t>
        </w:r>
        <w:r w:rsidRPr="006B5BAF">
          <w:rPr>
            <w:rStyle w:val="Hyperlink"/>
          </w:rPr>
          <w:t>3</w:t>
        </w:r>
        <w:r w:rsidRPr="00977A73">
          <w:rPr>
            <w:rStyle w:val="Hyperlink"/>
          </w:rPr>
          <w:t>/</w:t>
        </w:r>
        <w:r w:rsidRPr="006B5BAF">
          <w:rPr>
            <w:rStyle w:val="Hyperlink"/>
          </w:rPr>
          <w:t>2019</w:t>
        </w:r>
      </w:hyperlink>
      <w:r w:rsidRPr="00977A73">
        <w:rPr>
          <w:rtl/>
        </w:rPr>
        <w:t xml:space="preserve">)؛ </w:t>
      </w:r>
      <w:r>
        <w:rPr>
          <w:rtl/>
        </w:rPr>
        <w:t>و</w:t>
      </w:r>
      <w:hyperlink r:id="rId78" w:history="1">
        <w:r w:rsidRPr="00977A73">
          <w:rPr>
            <w:rStyle w:val="Hyperlink"/>
          </w:rPr>
          <w:t>CED/C/NER/CO/</w:t>
        </w:r>
        <w:r w:rsidRPr="006B5BAF">
          <w:rPr>
            <w:rStyle w:val="Hyperlink"/>
          </w:rPr>
          <w:t>1</w:t>
        </w:r>
      </w:hyperlink>
      <w:r>
        <w:rPr>
          <w:rtl/>
        </w:rPr>
        <w:t xml:space="preserve">، الفقرة </w:t>
      </w:r>
      <w:r w:rsidRPr="006B5BAF">
        <w:rPr>
          <w:rtl/>
        </w:rPr>
        <w:t>27</w:t>
      </w:r>
      <w:r w:rsidRPr="001659E7">
        <w:rPr>
          <w:rtl/>
        </w:rPr>
        <w:t>(</w:t>
      </w:r>
      <w:r>
        <w:rPr>
          <w:rtl/>
        </w:rPr>
        <w:t>ب</w:t>
      </w:r>
      <w:r w:rsidRPr="00977A73">
        <w:rPr>
          <w:rtl/>
        </w:rPr>
        <w:t xml:space="preserve">)؛ </w:t>
      </w:r>
      <w:r>
        <w:rPr>
          <w:rtl/>
        </w:rPr>
        <w:t>و</w:t>
      </w:r>
      <w:hyperlink r:id="rId79" w:history="1">
        <w:r w:rsidRPr="00977A73">
          <w:rPr>
            <w:rStyle w:val="Hyperlink"/>
          </w:rPr>
          <w:t>CED/C/CHE/CO/</w:t>
        </w:r>
        <w:r w:rsidRPr="006B5BAF">
          <w:rPr>
            <w:rStyle w:val="Hyperlink"/>
          </w:rPr>
          <w:t>1</w:t>
        </w:r>
      </w:hyperlink>
      <w:r>
        <w:rPr>
          <w:rtl/>
        </w:rPr>
        <w:t xml:space="preserve">، الفقرتان </w:t>
      </w:r>
      <w:r w:rsidRPr="006B5BAF">
        <w:rPr>
          <w:rtl/>
        </w:rPr>
        <w:t>23</w:t>
      </w:r>
      <w:r>
        <w:rPr>
          <w:rtl/>
        </w:rPr>
        <w:t xml:space="preserve"> و</w:t>
      </w:r>
      <w:r w:rsidRPr="006B5BAF">
        <w:rPr>
          <w:rtl/>
        </w:rPr>
        <w:t>24</w:t>
      </w:r>
      <w:r>
        <w:rPr>
          <w:rtl/>
        </w:rPr>
        <w:t>؛ و</w:t>
      </w:r>
      <w:hyperlink r:id="rId80" w:history="1">
        <w:r w:rsidRPr="00977A73">
          <w:rPr>
            <w:rStyle w:val="Hyperlink"/>
          </w:rPr>
          <w:t>CED/C/ITA/CO/</w:t>
        </w:r>
        <w:r w:rsidRPr="006B5BAF">
          <w:rPr>
            <w:rStyle w:val="Hyperlink"/>
          </w:rPr>
          <w:t>1</w:t>
        </w:r>
      </w:hyperlink>
      <w:r>
        <w:rPr>
          <w:rtl/>
        </w:rPr>
        <w:t xml:space="preserve">، الفقرتان </w:t>
      </w:r>
      <w:r w:rsidRPr="006B5BAF">
        <w:rPr>
          <w:rtl/>
        </w:rPr>
        <w:t>26</w:t>
      </w:r>
      <w:r>
        <w:rPr>
          <w:rtl/>
        </w:rPr>
        <w:t xml:space="preserve"> و</w:t>
      </w:r>
      <w:r w:rsidRPr="006B5BAF">
        <w:rPr>
          <w:rtl/>
        </w:rPr>
        <w:t>27</w:t>
      </w:r>
      <w:r>
        <w:rPr>
          <w:rtl/>
        </w:rPr>
        <w:t>؛ و</w:t>
      </w:r>
      <w:hyperlink r:id="rId81" w:history="1">
        <w:r w:rsidRPr="00977A73">
          <w:rPr>
            <w:rStyle w:val="Hyperlink"/>
          </w:rPr>
          <w:t>CED/C/PER/CO/</w:t>
        </w:r>
        <w:r w:rsidRPr="006B5BAF">
          <w:rPr>
            <w:rStyle w:val="Hyperlink"/>
          </w:rPr>
          <w:t>1</w:t>
        </w:r>
      </w:hyperlink>
      <w:r>
        <w:rPr>
          <w:rtl/>
        </w:rPr>
        <w:t xml:space="preserve">، الفقرتان </w:t>
      </w:r>
      <w:r w:rsidRPr="006B5BAF">
        <w:rPr>
          <w:rtl/>
        </w:rPr>
        <w:t>22</w:t>
      </w:r>
      <w:r>
        <w:rPr>
          <w:rtl/>
        </w:rPr>
        <w:t xml:space="preserve"> و</w:t>
      </w:r>
      <w:r w:rsidRPr="006B5BAF">
        <w:rPr>
          <w:rtl/>
        </w:rPr>
        <w:t>23</w:t>
      </w:r>
      <w:r>
        <w:rPr>
          <w:rtl/>
        </w:rPr>
        <w:t>؛ و</w:t>
      </w:r>
      <w:hyperlink r:id="rId82" w:history="1">
        <w:r w:rsidRPr="00977A73">
          <w:rPr>
            <w:rStyle w:val="Hyperlink"/>
          </w:rPr>
          <w:t>CED/C/AUT/CO/</w:t>
        </w:r>
        <w:r w:rsidRPr="006B5BAF">
          <w:rPr>
            <w:rStyle w:val="Hyperlink"/>
          </w:rPr>
          <w:t>1</w:t>
        </w:r>
      </w:hyperlink>
      <w:r>
        <w:rPr>
          <w:rtl/>
        </w:rPr>
        <w:t xml:space="preserve">، الفقرتان </w:t>
      </w:r>
      <w:r w:rsidRPr="006B5BAF">
        <w:rPr>
          <w:rtl/>
        </w:rPr>
        <w:t>20</w:t>
      </w:r>
      <w:r>
        <w:rPr>
          <w:rtl/>
        </w:rPr>
        <w:t xml:space="preserve"> و</w:t>
      </w:r>
      <w:r w:rsidRPr="006B5BAF">
        <w:rPr>
          <w:rtl/>
        </w:rPr>
        <w:t>21</w:t>
      </w:r>
      <w:r>
        <w:rPr>
          <w:rtl/>
        </w:rPr>
        <w:t>؛ و</w:t>
      </w:r>
      <w:hyperlink r:id="rId83" w:history="1">
        <w:r w:rsidRPr="00977A73">
          <w:rPr>
            <w:rStyle w:val="Hyperlink"/>
          </w:rPr>
          <w:t>CED/C/GAB/CO/</w:t>
        </w:r>
        <w:r w:rsidRPr="006B5BAF">
          <w:rPr>
            <w:rStyle w:val="Hyperlink"/>
          </w:rPr>
          <w:t>1</w:t>
        </w:r>
      </w:hyperlink>
      <w:r>
        <w:rPr>
          <w:rtl/>
        </w:rPr>
        <w:t xml:space="preserve">، الفقرتان </w:t>
      </w:r>
      <w:r w:rsidRPr="006B5BAF">
        <w:rPr>
          <w:rtl/>
        </w:rPr>
        <w:t>30</w:t>
      </w:r>
      <w:r>
        <w:rPr>
          <w:rtl/>
        </w:rPr>
        <w:t xml:space="preserve"> و</w:t>
      </w:r>
      <w:r w:rsidRPr="006B5BAF">
        <w:rPr>
          <w:rtl/>
        </w:rPr>
        <w:t>31</w:t>
      </w:r>
      <w:r>
        <w:rPr>
          <w:rtl/>
        </w:rPr>
        <w:t>؛ و</w:t>
      </w:r>
      <w:r w:rsidRPr="00687EF5">
        <w:rPr>
          <w:rFonts w:cstheme="minorHAnsi"/>
        </w:rPr>
        <w:t xml:space="preserve"> </w:t>
      </w:r>
      <w:r w:rsidRPr="007354CB">
        <w:rPr>
          <w:rFonts w:cstheme="minorHAnsi"/>
        </w:rPr>
        <w:t xml:space="preserve">European Court of Human Rights, </w:t>
      </w:r>
      <w:r w:rsidRPr="006B5BAF">
        <w:rPr>
          <w:rFonts w:cstheme="minorHAnsi"/>
          <w:i/>
          <w:iCs/>
        </w:rPr>
        <w:t>K.I. v. France</w:t>
      </w:r>
      <w:r w:rsidRPr="007354CB">
        <w:rPr>
          <w:rFonts w:cstheme="minorHAnsi"/>
        </w:rPr>
        <w:t xml:space="preserve">, Application </w:t>
      </w:r>
      <w:r>
        <w:rPr>
          <w:rFonts w:cstheme="minorHAnsi"/>
        </w:rPr>
        <w:t>N</w:t>
      </w:r>
      <w:r w:rsidRPr="007354CB">
        <w:rPr>
          <w:rFonts w:cstheme="minorHAnsi"/>
        </w:rPr>
        <w:t xml:space="preserve">o. </w:t>
      </w:r>
      <w:r w:rsidRPr="006B5BAF">
        <w:rPr>
          <w:rFonts w:cstheme="minorHAnsi"/>
        </w:rPr>
        <w:t>5560</w:t>
      </w:r>
      <w:r w:rsidRPr="007354CB">
        <w:rPr>
          <w:rFonts w:cstheme="minorHAnsi"/>
        </w:rPr>
        <w:t>/</w:t>
      </w:r>
      <w:r w:rsidRPr="006B5BAF">
        <w:rPr>
          <w:rFonts w:cstheme="minorHAnsi"/>
        </w:rPr>
        <w:t>19</w:t>
      </w:r>
      <w:r>
        <w:rPr>
          <w:rFonts w:cstheme="minorHAnsi"/>
        </w:rPr>
        <w:t>, Judgment,</w:t>
      </w:r>
      <w:r w:rsidRPr="007354CB">
        <w:rPr>
          <w:rFonts w:cstheme="minorHAnsi"/>
        </w:rPr>
        <w:t xml:space="preserve"> </w:t>
      </w:r>
      <w:r w:rsidRPr="006B5BAF">
        <w:rPr>
          <w:rFonts w:cstheme="minorHAnsi"/>
        </w:rPr>
        <w:t>15</w:t>
      </w:r>
      <w:r w:rsidRPr="007354CB">
        <w:rPr>
          <w:rFonts w:cstheme="minorHAnsi"/>
        </w:rPr>
        <w:t xml:space="preserve"> April </w:t>
      </w:r>
      <w:r w:rsidRPr="006B5BAF">
        <w:rPr>
          <w:rFonts w:cstheme="minorHAnsi"/>
        </w:rPr>
        <w:t>2021</w:t>
      </w:r>
      <w:r>
        <w:rPr>
          <w:rtl/>
        </w:rPr>
        <w:t>.</w:t>
      </w:r>
    </w:p>
  </w:footnote>
  <w:footnote w:id="76">
    <w:p w14:paraId="11A8DAE6" w14:textId="77777777" w:rsidR="005E0255" w:rsidRPr="001659E7" w:rsidRDefault="005E0255" w:rsidP="003C75EF">
      <w:pPr>
        <w:pStyle w:val="FootnoteText1"/>
      </w:pPr>
      <w:r>
        <w:rPr>
          <w:rtl/>
        </w:rPr>
        <w:t>(</w:t>
      </w:r>
      <w:r w:rsidRPr="006B5BAF">
        <w:rPr>
          <w:lang w:val="en-AU"/>
        </w:rPr>
        <w:footnoteRef/>
      </w:r>
      <w:r>
        <w:rPr>
          <w:rtl/>
        </w:rPr>
        <w:t>)</w:t>
      </w:r>
      <w:r>
        <w:rPr>
          <w:rtl/>
        </w:rPr>
        <w:tab/>
      </w:r>
      <w:hyperlink r:id="rId84" w:history="1">
        <w:r w:rsidRPr="00977A73">
          <w:rPr>
            <w:rStyle w:val="Hyperlink"/>
          </w:rPr>
          <w:t>CED/C/GRC/CO/</w:t>
        </w:r>
        <w:r w:rsidRPr="006B5BAF">
          <w:rPr>
            <w:rStyle w:val="Hyperlink"/>
          </w:rPr>
          <w:t>1</w:t>
        </w:r>
      </w:hyperlink>
      <w:r>
        <w:rPr>
          <w:rtl/>
        </w:rPr>
        <w:t xml:space="preserve">، الفقرة </w:t>
      </w:r>
      <w:r w:rsidRPr="006B5BAF">
        <w:rPr>
          <w:rtl/>
        </w:rPr>
        <w:t>29</w:t>
      </w:r>
      <w:r w:rsidRPr="001659E7">
        <w:rPr>
          <w:rtl/>
        </w:rPr>
        <w:t>(</w:t>
      </w:r>
      <w:r>
        <w:rPr>
          <w:rtl/>
        </w:rPr>
        <w:t>د</w:t>
      </w:r>
      <w:r w:rsidRPr="00977A73">
        <w:rPr>
          <w:rtl/>
        </w:rPr>
        <w:t xml:space="preserve">)؛ </w:t>
      </w:r>
      <w:r>
        <w:rPr>
          <w:rtl/>
        </w:rPr>
        <w:t>و</w:t>
      </w:r>
      <w:hyperlink r:id="rId85" w:history="1">
        <w:r w:rsidRPr="00977A73">
          <w:rPr>
            <w:rStyle w:val="Hyperlink"/>
          </w:rPr>
          <w:t>CED/C/CHE/CO/</w:t>
        </w:r>
        <w:r w:rsidRPr="006B5BAF">
          <w:rPr>
            <w:rStyle w:val="Hyperlink"/>
          </w:rPr>
          <w:t>1</w:t>
        </w:r>
      </w:hyperlink>
      <w:r>
        <w:rPr>
          <w:rtl/>
        </w:rPr>
        <w:t xml:space="preserve">، الفقرتان </w:t>
      </w:r>
      <w:r w:rsidRPr="006B5BAF">
        <w:rPr>
          <w:rtl/>
        </w:rPr>
        <w:t>23</w:t>
      </w:r>
      <w:r>
        <w:rPr>
          <w:rtl/>
        </w:rPr>
        <w:t xml:space="preserve"> و</w:t>
      </w:r>
      <w:r w:rsidRPr="006B5BAF">
        <w:rPr>
          <w:rtl/>
        </w:rPr>
        <w:t>24</w:t>
      </w:r>
      <w:r>
        <w:rPr>
          <w:rtl/>
        </w:rPr>
        <w:t xml:space="preserve">؛ </w:t>
      </w:r>
      <w:proofErr w:type="gramStart"/>
      <w:r>
        <w:rPr>
          <w:rtl/>
        </w:rPr>
        <w:t>و</w:t>
      </w:r>
      <w:r w:rsidRPr="002A237E">
        <w:rPr>
          <w:rFonts w:cstheme="minorHAnsi"/>
        </w:rPr>
        <w:t xml:space="preserve"> </w:t>
      </w:r>
      <w:r w:rsidRPr="007354CB">
        <w:rPr>
          <w:rFonts w:cstheme="minorHAnsi"/>
        </w:rPr>
        <w:t>European</w:t>
      </w:r>
      <w:proofErr w:type="gramEnd"/>
      <w:r w:rsidRPr="007354CB">
        <w:rPr>
          <w:rFonts w:cstheme="minorHAnsi"/>
        </w:rPr>
        <w:t xml:space="preserve"> Court of Human Rights, </w:t>
      </w:r>
      <w:r w:rsidRPr="006B5BAF">
        <w:rPr>
          <w:rFonts w:cstheme="minorHAnsi"/>
          <w:i/>
          <w:iCs/>
        </w:rPr>
        <w:t>M.A. and others v. Bulgaria</w:t>
      </w:r>
      <w:r w:rsidRPr="007354CB">
        <w:rPr>
          <w:rFonts w:cstheme="minorHAnsi"/>
        </w:rPr>
        <w:t xml:space="preserve">, Application </w:t>
      </w:r>
      <w:r>
        <w:rPr>
          <w:rFonts w:cstheme="minorHAnsi"/>
        </w:rPr>
        <w:t>N</w:t>
      </w:r>
      <w:r w:rsidRPr="007354CB">
        <w:rPr>
          <w:rFonts w:cstheme="minorHAnsi"/>
        </w:rPr>
        <w:t xml:space="preserve">o. </w:t>
      </w:r>
      <w:r w:rsidRPr="006B5BAF">
        <w:rPr>
          <w:rFonts w:cstheme="minorHAnsi"/>
        </w:rPr>
        <w:t>5115</w:t>
      </w:r>
      <w:r w:rsidRPr="007354CB">
        <w:rPr>
          <w:rFonts w:cstheme="minorHAnsi"/>
        </w:rPr>
        <w:t>/</w:t>
      </w:r>
      <w:r w:rsidRPr="006B5BAF">
        <w:rPr>
          <w:rFonts w:cstheme="minorHAnsi"/>
        </w:rPr>
        <w:t>18</w:t>
      </w:r>
      <w:r>
        <w:rPr>
          <w:rFonts w:cstheme="minorHAnsi"/>
        </w:rPr>
        <w:t>, Judgment,</w:t>
      </w:r>
      <w:r w:rsidRPr="007354CB">
        <w:rPr>
          <w:rFonts w:cstheme="minorHAnsi"/>
        </w:rPr>
        <w:t xml:space="preserve"> </w:t>
      </w:r>
      <w:r w:rsidRPr="006B5BAF">
        <w:rPr>
          <w:rFonts w:cstheme="minorHAnsi"/>
        </w:rPr>
        <w:t>20</w:t>
      </w:r>
      <w:r w:rsidRPr="007354CB">
        <w:rPr>
          <w:rFonts w:cstheme="minorHAnsi"/>
        </w:rPr>
        <w:t xml:space="preserve"> February </w:t>
      </w:r>
      <w:r w:rsidRPr="006B5BAF">
        <w:rPr>
          <w:rFonts w:cstheme="minorHAnsi"/>
        </w:rPr>
        <w:t>2020</w:t>
      </w:r>
      <w:r w:rsidRPr="007354CB">
        <w:rPr>
          <w:rFonts w:cstheme="minorHAnsi"/>
        </w:rPr>
        <w:t>, paras</w:t>
      </w:r>
      <w:r>
        <w:rPr>
          <w:rFonts w:cstheme="minorHAnsi"/>
        </w:rPr>
        <w:t>.</w:t>
      </w:r>
      <w:r w:rsidRPr="007354CB">
        <w:rPr>
          <w:rFonts w:cstheme="minorHAnsi"/>
        </w:rPr>
        <w:t xml:space="preserve"> </w:t>
      </w:r>
      <w:r w:rsidRPr="006B5BAF">
        <w:rPr>
          <w:rFonts w:cstheme="minorHAnsi"/>
        </w:rPr>
        <w:t>79</w:t>
      </w:r>
      <w:r>
        <w:rPr>
          <w:rFonts w:cstheme="minorHAnsi"/>
        </w:rPr>
        <w:t>–</w:t>
      </w:r>
      <w:r w:rsidRPr="006B5BAF">
        <w:rPr>
          <w:rFonts w:cstheme="minorHAnsi"/>
        </w:rPr>
        <w:t>84</w:t>
      </w:r>
      <w:r w:rsidRPr="00977A73">
        <w:rPr>
          <w:rtl/>
        </w:rPr>
        <w:t xml:space="preserve">. </w:t>
      </w:r>
      <w:r>
        <w:rPr>
          <w:rtl/>
        </w:rPr>
        <w:t xml:space="preserve">للاطلاع على أمثلة على الردّ المتتالي، انظر </w:t>
      </w:r>
      <w:hyperlink r:id="rId86" w:history="1">
        <w:r w:rsidRPr="00977A73">
          <w:rPr>
            <w:rStyle w:val="Hyperlink"/>
          </w:rPr>
          <w:t>A/HRC/</w:t>
        </w:r>
        <w:r w:rsidRPr="006B5BAF">
          <w:rPr>
            <w:rStyle w:val="Hyperlink"/>
          </w:rPr>
          <w:t>47</w:t>
        </w:r>
        <w:r w:rsidRPr="00977A73">
          <w:rPr>
            <w:rStyle w:val="Hyperlink"/>
          </w:rPr>
          <w:t>/</w:t>
        </w:r>
        <w:r w:rsidRPr="006B5BAF">
          <w:rPr>
            <w:rStyle w:val="Hyperlink"/>
          </w:rPr>
          <w:t>30</w:t>
        </w:r>
      </w:hyperlink>
      <w:r>
        <w:rPr>
          <w:rtl/>
        </w:rPr>
        <w:t xml:space="preserve">، الفقرات </w:t>
      </w:r>
      <w:r w:rsidRPr="006B5BAF">
        <w:rPr>
          <w:rtl/>
        </w:rPr>
        <w:t>56</w:t>
      </w:r>
      <w:r w:rsidRPr="001659E7">
        <w:rPr>
          <w:rtl/>
        </w:rPr>
        <w:t>-</w:t>
      </w:r>
      <w:r w:rsidRPr="006B5BAF">
        <w:rPr>
          <w:rtl/>
        </w:rPr>
        <w:t>66</w:t>
      </w:r>
      <w:r w:rsidRPr="00977A73">
        <w:rPr>
          <w:rtl/>
        </w:rPr>
        <w:t xml:space="preserve">. </w:t>
      </w:r>
    </w:p>
  </w:footnote>
  <w:footnote w:id="77">
    <w:p w14:paraId="23F11664" w14:textId="77777777" w:rsidR="005E0255" w:rsidRPr="001659E7" w:rsidRDefault="005E0255" w:rsidP="004B7BC0">
      <w:pPr>
        <w:pStyle w:val="FootnoteText1"/>
      </w:pPr>
      <w:r>
        <w:rPr>
          <w:rtl/>
        </w:rPr>
        <w:t>(</w:t>
      </w:r>
      <w:r w:rsidRPr="006B5BAF">
        <w:rPr>
          <w:lang w:val="en-AU"/>
        </w:rPr>
        <w:footnoteRef/>
      </w:r>
      <w:r>
        <w:rPr>
          <w:rtl/>
        </w:rPr>
        <w:t>)</w:t>
      </w:r>
      <w:r>
        <w:rPr>
          <w:rtl/>
        </w:rPr>
        <w:tab/>
      </w:r>
      <w:hyperlink r:id="rId87" w:history="1">
        <w:r w:rsidRPr="00977A73">
          <w:rPr>
            <w:rStyle w:val="Hyperlink"/>
          </w:rPr>
          <w:t>CED/C/GRC/CO/</w:t>
        </w:r>
        <w:r w:rsidRPr="006B5BAF">
          <w:rPr>
            <w:rStyle w:val="Hyperlink"/>
          </w:rPr>
          <w:t>1</w:t>
        </w:r>
      </w:hyperlink>
      <w:r>
        <w:rPr>
          <w:rtl/>
        </w:rPr>
        <w:t xml:space="preserve">، الفقرة </w:t>
      </w:r>
      <w:r w:rsidRPr="006B5BAF">
        <w:rPr>
          <w:rtl/>
        </w:rPr>
        <w:t>29</w:t>
      </w:r>
      <w:r w:rsidRPr="001659E7">
        <w:rPr>
          <w:rtl/>
        </w:rPr>
        <w:t>(</w:t>
      </w:r>
      <w:r>
        <w:rPr>
          <w:rtl/>
        </w:rPr>
        <w:t>د</w:t>
      </w:r>
      <w:r w:rsidRPr="001659E7">
        <w:rPr>
          <w:rtl/>
        </w:rPr>
        <w:t>)</w:t>
      </w:r>
      <w:r>
        <w:rPr>
          <w:rtl/>
        </w:rPr>
        <w:t>.</w:t>
      </w:r>
    </w:p>
  </w:footnote>
  <w:footnote w:id="78">
    <w:p w14:paraId="7D92EE8D" w14:textId="77777777" w:rsidR="005E0255" w:rsidRPr="001659E7" w:rsidRDefault="005E0255" w:rsidP="00F93E29">
      <w:pPr>
        <w:pStyle w:val="FootnoteText1"/>
      </w:pPr>
      <w:r>
        <w:rPr>
          <w:rtl/>
        </w:rPr>
        <w:t>(</w:t>
      </w:r>
      <w:r w:rsidRPr="006B5BAF">
        <w:rPr>
          <w:lang w:val="en-AU"/>
        </w:rPr>
        <w:footnoteRef/>
      </w:r>
      <w:r>
        <w:rPr>
          <w:rtl/>
        </w:rPr>
        <w:t>)</w:t>
      </w:r>
      <w:r>
        <w:rPr>
          <w:rtl/>
        </w:rPr>
        <w:tab/>
        <w:t xml:space="preserve">لجنة مناهضة التعذيب، التعليق العام رقم </w:t>
      </w:r>
      <w:r w:rsidRPr="006B5BAF">
        <w:rPr>
          <w:rtl/>
        </w:rPr>
        <w:t>4</w:t>
      </w:r>
      <w:r w:rsidRPr="001659E7">
        <w:rPr>
          <w:rtl/>
        </w:rPr>
        <w:t>(</w:t>
      </w:r>
      <w:r w:rsidRPr="006B5BAF">
        <w:rPr>
          <w:rtl/>
        </w:rPr>
        <w:t>2017</w:t>
      </w:r>
      <w:r w:rsidRPr="00977A73">
        <w:rPr>
          <w:rtl/>
        </w:rPr>
        <w:t xml:space="preserve">) </w:t>
      </w:r>
      <w:r>
        <w:rPr>
          <w:rtl/>
        </w:rPr>
        <w:t xml:space="preserve">بشأن تنفيذ المادة </w:t>
      </w:r>
      <w:r w:rsidRPr="006B5BAF">
        <w:rPr>
          <w:rtl/>
        </w:rPr>
        <w:t>3</w:t>
      </w:r>
      <w:r>
        <w:rPr>
          <w:rtl/>
        </w:rPr>
        <w:t xml:space="preserve"> من الاتفاقية في سياق المادة </w:t>
      </w:r>
      <w:r w:rsidRPr="006B5BAF">
        <w:rPr>
          <w:rtl/>
        </w:rPr>
        <w:t>22</w:t>
      </w:r>
      <w:r>
        <w:rPr>
          <w:rtl/>
        </w:rPr>
        <w:t xml:space="preserve">، الفقرتان </w:t>
      </w:r>
      <w:r w:rsidRPr="006B5BAF">
        <w:rPr>
          <w:rtl/>
        </w:rPr>
        <w:t>19</w:t>
      </w:r>
      <w:r>
        <w:rPr>
          <w:rtl/>
        </w:rPr>
        <w:t xml:space="preserve"> و</w:t>
      </w:r>
      <w:r w:rsidRPr="006B5BAF">
        <w:rPr>
          <w:rtl/>
        </w:rPr>
        <w:t>20</w:t>
      </w:r>
      <w:r>
        <w:rPr>
          <w:rtl/>
        </w:rPr>
        <w:t>؛ و</w:t>
      </w:r>
      <w:hyperlink r:id="rId88" w:history="1">
        <w:r w:rsidRPr="00977A73">
          <w:rPr>
            <w:rStyle w:val="Hyperlink"/>
          </w:rPr>
          <w:t>CED/C/PAN/CO/</w:t>
        </w:r>
        <w:r w:rsidRPr="006B5BAF">
          <w:rPr>
            <w:rStyle w:val="Hyperlink"/>
          </w:rPr>
          <w:t>1</w:t>
        </w:r>
      </w:hyperlink>
      <w:r>
        <w:rPr>
          <w:rtl/>
        </w:rPr>
        <w:t xml:space="preserve">، الفقرتان </w:t>
      </w:r>
      <w:r w:rsidRPr="006B5BAF">
        <w:rPr>
          <w:rtl/>
        </w:rPr>
        <w:t>22</w:t>
      </w:r>
      <w:r>
        <w:rPr>
          <w:rtl/>
        </w:rPr>
        <w:t xml:space="preserve"> و</w:t>
      </w:r>
      <w:r w:rsidRPr="006B5BAF">
        <w:rPr>
          <w:rtl/>
        </w:rPr>
        <w:t>23</w:t>
      </w:r>
      <w:r>
        <w:rPr>
          <w:rtl/>
        </w:rPr>
        <w:t>؛ و</w:t>
      </w:r>
      <w:hyperlink r:id="rId89" w:history="1">
        <w:r w:rsidRPr="00977A73">
          <w:rPr>
            <w:rStyle w:val="Hyperlink"/>
          </w:rPr>
          <w:t>CED/C/KAZ/CO/</w:t>
        </w:r>
        <w:r w:rsidRPr="006B5BAF">
          <w:rPr>
            <w:rStyle w:val="Hyperlink"/>
          </w:rPr>
          <w:t>1</w:t>
        </w:r>
      </w:hyperlink>
      <w:r>
        <w:rPr>
          <w:rtl/>
        </w:rPr>
        <w:t xml:space="preserve">، الفقرتان </w:t>
      </w:r>
      <w:r w:rsidRPr="006B5BAF">
        <w:rPr>
          <w:rtl/>
        </w:rPr>
        <w:t>17</w:t>
      </w:r>
      <w:r>
        <w:rPr>
          <w:rtl/>
        </w:rPr>
        <w:t xml:space="preserve"> و</w:t>
      </w:r>
      <w:r w:rsidRPr="006B5BAF">
        <w:rPr>
          <w:rtl/>
        </w:rPr>
        <w:t>18</w:t>
      </w:r>
      <w:r>
        <w:rPr>
          <w:rtl/>
        </w:rPr>
        <w:t>.</w:t>
      </w:r>
    </w:p>
  </w:footnote>
  <w:footnote w:id="79">
    <w:p w14:paraId="3BDCA3C6" w14:textId="77777777" w:rsidR="005E0255" w:rsidRPr="001659E7" w:rsidRDefault="005E0255" w:rsidP="00927E2B">
      <w:pPr>
        <w:pStyle w:val="FootnoteText1"/>
      </w:pPr>
      <w:r>
        <w:rPr>
          <w:rtl/>
        </w:rPr>
        <w:t>(</w:t>
      </w:r>
      <w:r w:rsidRPr="006B5BAF">
        <w:rPr>
          <w:lang w:val="en-AU"/>
        </w:rPr>
        <w:footnoteRef/>
      </w:r>
      <w:r>
        <w:rPr>
          <w:rtl/>
        </w:rPr>
        <w:t>)</w:t>
      </w:r>
      <w:r>
        <w:rPr>
          <w:rtl/>
        </w:rPr>
        <w:tab/>
        <w:t xml:space="preserve">اللجنة المعنية بحماية حقوق جميع العمال المهاجرين وأفراد أسرهم، التعليق العام رقم </w:t>
      </w:r>
      <w:r w:rsidRPr="006B5BAF">
        <w:rPr>
          <w:rtl/>
        </w:rPr>
        <w:t>2</w:t>
      </w:r>
      <w:r w:rsidRPr="001659E7">
        <w:rPr>
          <w:rtl/>
        </w:rPr>
        <w:t>(</w:t>
      </w:r>
      <w:r w:rsidRPr="006B5BAF">
        <w:rPr>
          <w:rtl/>
        </w:rPr>
        <w:t>2013</w:t>
      </w:r>
      <w:r w:rsidRPr="00977A73">
        <w:rPr>
          <w:rtl/>
        </w:rPr>
        <w:t xml:space="preserve">)، </w:t>
      </w:r>
      <w:r>
        <w:rPr>
          <w:rtl/>
        </w:rPr>
        <w:t xml:space="preserve">الفقرة </w:t>
      </w:r>
      <w:r w:rsidRPr="006B5BAF">
        <w:rPr>
          <w:rtl/>
        </w:rPr>
        <w:t>52</w:t>
      </w:r>
      <w:r>
        <w:rPr>
          <w:rtl/>
        </w:rPr>
        <w:t>.</w:t>
      </w:r>
    </w:p>
  </w:footnote>
  <w:footnote w:id="80">
    <w:p w14:paraId="5A26A817" w14:textId="77777777" w:rsidR="005E0255" w:rsidRPr="006C7E57" w:rsidRDefault="005E0255" w:rsidP="001867B2">
      <w:pPr>
        <w:pStyle w:val="FootnoteText1"/>
        <w:rPr>
          <w:spacing w:val="-4"/>
        </w:rPr>
      </w:pPr>
      <w:r w:rsidRPr="006C7E57">
        <w:rPr>
          <w:spacing w:val="-4"/>
          <w:rtl/>
        </w:rPr>
        <w:t>(</w:t>
      </w:r>
      <w:r w:rsidRPr="006B5BAF">
        <w:rPr>
          <w:spacing w:val="-4"/>
          <w:lang w:val="en-AU"/>
        </w:rPr>
        <w:footnoteRef/>
      </w:r>
      <w:r w:rsidRPr="006C7E57">
        <w:rPr>
          <w:spacing w:val="-4"/>
          <w:rtl/>
        </w:rPr>
        <w:t>)</w:t>
      </w:r>
      <w:r w:rsidRPr="006C7E57">
        <w:rPr>
          <w:spacing w:val="-4"/>
          <w:rtl/>
        </w:rPr>
        <w:tab/>
        <w:t xml:space="preserve">للجنة المعنية بحماية حقوق جميع العمال المهاجرين وأفراد أسرهم، التعليق العام رقم </w:t>
      </w:r>
      <w:r w:rsidRPr="006B5BAF">
        <w:rPr>
          <w:spacing w:val="-4"/>
          <w:rtl/>
        </w:rPr>
        <w:t>5</w:t>
      </w:r>
      <w:r w:rsidRPr="006C7E57">
        <w:rPr>
          <w:spacing w:val="-4"/>
          <w:rtl/>
        </w:rPr>
        <w:t>(</w:t>
      </w:r>
      <w:r w:rsidRPr="006B5BAF">
        <w:rPr>
          <w:spacing w:val="-4"/>
          <w:rtl/>
        </w:rPr>
        <w:t>2021</w:t>
      </w:r>
      <w:r w:rsidRPr="006C7E57">
        <w:rPr>
          <w:spacing w:val="-4"/>
          <w:rtl/>
        </w:rPr>
        <w:t xml:space="preserve">)، الفقرة </w:t>
      </w:r>
      <w:r w:rsidRPr="006B5BAF">
        <w:rPr>
          <w:spacing w:val="-4"/>
          <w:rtl/>
        </w:rPr>
        <w:t>64</w:t>
      </w:r>
      <w:r w:rsidRPr="006C7E57">
        <w:rPr>
          <w:spacing w:val="-4"/>
          <w:rtl/>
        </w:rPr>
        <w:t>؛ و</w:t>
      </w:r>
      <w:hyperlink r:id="rId90" w:history="1">
        <w:r w:rsidRPr="006C7E57">
          <w:rPr>
            <w:rStyle w:val="Hyperlink"/>
            <w:spacing w:val="-4"/>
          </w:rPr>
          <w:t>CED/C/NER/CO/</w:t>
        </w:r>
        <w:r w:rsidRPr="006B5BAF">
          <w:rPr>
            <w:rStyle w:val="Hyperlink"/>
            <w:spacing w:val="-4"/>
          </w:rPr>
          <w:t>1</w:t>
        </w:r>
      </w:hyperlink>
      <w:r w:rsidRPr="006C7E57">
        <w:rPr>
          <w:spacing w:val="-4"/>
          <w:rtl/>
        </w:rPr>
        <w:t xml:space="preserve">، الفقرة </w:t>
      </w:r>
      <w:r w:rsidRPr="006B5BAF">
        <w:rPr>
          <w:spacing w:val="-4"/>
          <w:rtl/>
        </w:rPr>
        <w:t>27</w:t>
      </w:r>
      <w:r w:rsidRPr="006C7E57">
        <w:rPr>
          <w:spacing w:val="-4"/>
          <w:rtl/>
        </w:rPr>
        <w:t>(ج)؛ و</w:t>
      </w:r>
      <w:hyperlink r:id="rId91" w:history="1">
        <w:r w:rsidRPr="006C7E57">
          <w:rPr>
            <w:rStyle w:val="Hyperlink"/>
            <w:spacing w:val="-4"/>
          </w:rPr>
          <w:t>CED/C/FRA/CO/</w:t>
        </w:r>
        <w:r w:rsidRPr="006B5BAF">
          <w:rPr>
            <w:rStyle w:val="Hyperlink"/>
            <w:spacing w:val="-4"/>
          </w:rPr>
          <w:t>1</w:t>
        </w:r>
      </w:hyperlink>
      <w:r w:rsidRPr="006C7E57">
        <w:rPr>
          <w:spacing w:val="-4"/>
          <w:rtl/>
        </w:rPr>
        <w:t xml:space="preserve">، الفقرة </w:t>
      </w:r>
      <w:r w:rsidRPr="006B5BAF">
        <w:rPr>
          <w:spacing w:val="-4"/>
          <w:rtl/>
        </w:rPr>
        <w:t>27</w:t>
      </w:r>
      <w:r w:rsidRPr="006C7E57">
        <w:rPr>
          <w:spacing w:val="-4"/>
          <w:rtl/>
        </w:rPr>
        <w:t>؛ و</w:t>
      </w:r>
      <w:hyperlink r:id="rId92" w:history="1">
        <w:r w:rsidRPr="006C7E57">
          <w:rPr>
            <w:rStyle w:val="Hyperlink"/>
            <w:spacing w:val="-4"/>
          </w:rPr>
          <w:t>CED/C/MNG/CO/</w:t>
        </w:r>
        <w:r w:rsidRPr="006B5BAF">
          <w:rPr>
            <w:rStyle w:val="Hyperlink"/>
            <w:spacing w:val="-4"/>
          </w:rPr>
          <w:t>1</w:t>
        </w:r>
      </w:hyperlink>
      <w:r w:rsidRPr="006C7E57">
        <w:rPr>
          <w:spacing w:val="-4"/>
          <w:rtl/>
        </w:rPr>
        <w:t xml:space="preserve">، الفقرتان </w:t>
      </w:r>
      <w:r w:rsidRPr="006B5BAF">
        <w:rPr>
          <w:spacing w:val="-4"/>
          <w:rtl/>
        </w:rPr>
        <w:t>30</w:t>
      </w:r>
      <w:r w:rsidRPr="006C7E57">
        <w:rPr>
          <w:spacing w:val="-4"/>
          <w:rtl/>
        </w:rPr>
        <w:t xml:space="preserve"> و</w:t>
      </w:r>
      <w:r w:rsidRPr="006B5BAF">
        <w:rPr>
          <w:spacing w:val="-4"/>
          <w:rtl/>
        </w:rPr>
        <w:t>31</w:t>
      </w:r>
      <w:r w:rsidRPr="006C7E57">
        <w:rPr>
          <w:spacing w:val="-4"/>
          <w:rtl/>
        </w:rPr>
        <w:t>؛ و</w:t>
      </w:r>
      <w:hyperlink r:id="rId93" w:history="1">
        <w:r w:rsidRPr="006C7E57">
          <w:rPr>
            <w:rStyle w:val="Hyperlink"/>
            <w:spacing w:val="-4"/>
          </w:rPr>
          <w:t>CED/C/SVK/CO/</w:t>
        </w:r>
        <w:r w:rsidRPr="006B5BAF">
          <w:rPr>
            <w:rStyle w:val="Hyperlink"/>
            <w:spacing w:val="-4"/>
          </w:rPr>
          <w:t>1</w:t>
        </w:r>
      </w:hyperlink>
      <w:r w:rsidRPr="006C7E57">
        <w:rPr>
          <w:spacing w:val="-4"/>
          <w:rtl/>
        </w:rPr>
        <w:t xml:space="preserve">، الفقرتان </w:t>
      </w:r>
      <w:r w:rsidRPr="006B5BAF">
        <w:rPr>
          <w:spacing w:val="-4"/>
          <w:rtl/>
        </w:rPr>
        <w:t>14</w:t>
      </w:r>
      <w:r w:rsidRPr="006C7E57">
        <w:rPr>
          <w:spacing w:val="-4"/>
          <w:rtl/>
        </w:rPr>
        <w:t xml:space="preserve"> و</w:t>
      </w:r>
      <w:r w:rsidRPr="006B5BAF">
        <w:rPr>
          <w:spacing w:val="-4"/>
          <w:rtl/>
        </w:rPr>
        <w:t>15</w:t>
      </w:r>
      <w:r w:rsidRPr="006C7E57">
        <w:rPr>
          <w:spacing w:val="-4"/>
          <w:rtl/>
        </w:rPr>
        <w:t>؛ و</w:t>
      </w:r>
      <w:hyperlink r:id="rId94" w:history="1">
        <w:r w:rsidRPr="006C7E57">
          <w:rPr>
            <w:rStyle w:val="Hyperlink"/>
            <w:spacing w:val="-4"/>
          </w:rPr>
          <w:t>CED/C/PER/CO/</w:t>
        </w:r>
        <w:r w:rsidRPr="006B5BAF">
          <w:rPr>
            <w:rStyle w:val="Hyperlink"/>
            <w:spacing w:val="-4"/>
          </w:rPr>
          <w:t>1</w:t>
        </w:r>
      </w:hyperlink>
      <w:r w:rsidRPr="006C7E57">
        <w:rPr>
          <w:spacing w:val="-4"/>
          <w:rtl/>
        </w:rPr>
        <w:t xml:space="preserve">، الفقرتان </w:t>
      </w:r>
      <w:r w:rsidRPr="006B5BAF">
        <w:rPr>
          <w:spacing w:val="-4"/>
          <w:rtl/>
        </w:rPr>
        <w:t>22</w:t>
      </w:r>
      <w:r w:rsidRPr="006C7E57">
        <w:rPr>
          <w:spacing w:val="-4"/>
          <w:rtl/>
        </w:rPr>
        <w:t xml:space="preserve"> و</w:t>
      </w:r>
      <w:r w:rsidRPr="006B5BAF">
        <w:rPr>
          <w:spacing w:val="-4"/>
          <w:rtl/>
        </w:rPr>
        <w:t>23</w:t>
      </w:r>
      <w:r w:rsidRPr="006C7E57">
        <w:rPr>
          <w:spacing w:val="-4"/>
          <w:rtl/>
        </w:rPr>
        <w:t>؛ و</w:t>
      </w:r>
      <w:hyperlink r:id="rId95" w:history="1">
        <w:r w:rsidRPr="006C7E57">
          <w:rPr>
            <w:rStyle w:val="Hyperlink"/>
            <w:spacing w:val="-4"/>
          </w:rPr>
          <w:t>CED/C/GRC/CO/</w:t>
        </w:r>
        <w:r w:rsidRPr="006B5BAF">
          <w:rPr>
            <w:rStyle w:val="Hyperlink"/>
            <w:spacing w:val="-4"/>
          </w:rPr>
          <w:t>1</w:t>
        </w:r>
      </w:hyperlink>
      <w:r w:rsidRPr="006C7E57">
        <w:rPr>
          <w:spacing w:val="-4"/>
          <w:rtl/>
        </w:rPr>
        <w:t xml:space="preserve">، الفقرة </w:t>
      </w:r>
      <w:r w:rsidRPr="006B5BAF">
        <w:rPr>
          <w:spacing w:val="-4"/>
          <w:rtl/>
        </w:rPr>
        <w:t>29</w:t>
      </w:r>
      <w:r w:rsidRPr="006C7E57">
        <w:rPr>
          <w:spacing w:val="-4"/>
          <w:rtl/>
        </w:rPr>
        <w:t xml:space="preserve">(ج). </w:t>
      </w:r>
    </w:p>
  </w:footnote>
  <w:footnote w:id="81">
    <w:p w14:paraId="680AA9BA" w14:textId="77777777" w:rsidR="005E0255" w:rsidRPr="001659E7" w:rsidRDefault="005E0255" w:rsidP="000422E9">
      <w:pPr>
        <w:pStyle w:val="FootnoteText1"/>
      </w:pPr>
      <w:r>
        <w:rPr>
          <w:rtl/>
        </w:rPr>
        <w:t>(</w:t>
      </w:r>
      <w:r w:rsidRPr="006B5BAF">
        <w:rPr>
          <w:lang w:val="en-AU"/>
        </w:rPr>
        <w:footnoteRef/>
      </w:r>
      <w:r>
        <w:rPr>
          <w:rtl/>
        </w:rPr>
        <w:t>)</w:t>
      </w:r>
      <w:r>
        <w:rPr>
          <w:rtl/>
        </w:rPr>
        <w:tab/>
        <w:t>انظر المبادئ والخطوط التوجيهية الموصى بها فيما يتعلق بحقوق الإنسان على الحدود الدولية؛ و</w:t>
      </w:r>
      <w:hyperlink r:id="rId96" w:history="1">
        <w:r w:rsidRPr="00977A73">
          <w:rPr>
            <w:rStyle w:val="Hyperlink"/>
          </w:rPr>
          <w:t>A/HRC/</w:t>
        </w:r>
        <w:r w:rsidRPr="006B5BAF">
          <w:rPr>
            <w:rStyle w:val="Hyperlink"/>
          </w:rPr>
          <w:t>47</w:t>
        </w:r>
        <w:r w:rsidRPr="00977A73">
          <w:rPr>
            <w:rStyle w:val="Hyperlink"/>
          </w:rPr>
          <w:t>/</w:t>
        </w:r>
        <w:r w:rsidRPr="006B5BAF">
          <w:rPr>
            <w:rStyle w:val="Hyperlink"/>
          </w:rPr>
          <w:t>30</w:t>
        </w:r>
      </w:hyperlink>
      <w:r>
        <w:rPr>
          <w:rtl/>
        </w:rPr>
        <w:t>؛ و</w:t>
      </w:r>
      <w:hyperlink r:id="rId97" w:history="1">
        <w:r w:rsidRPr="00977A73">
          <w:rPr>
            <w:rStyle w:val="Hyperlink"/>
          </w:rPr>
          <w:t>A/HRC/</w:t>
        </w:r>
        <w:r w:rsidRPr="006B5BAF">
          <w:rPr>
            <w:rStyle w:val="Hyperlink"/>
          </w:rPr>
          <w:t>50</w:t>
        </w:r>
        <w:r w:rsidRPr="00977A73">
          <w:rPr>
            <w:rStyle w:val="Hyperlink"/>
          </w:rPr>
          <w:t>/</w:t>
        </w:r>
        <w:r w:rsidRPr="006B5BAF">
          <w:rPr>
            <w:rStyle w:val="Hyperlink"/>
          </w:rPr>
          <w:t>31</w:t>
        </w:r>
      </w:hyperlink>
      <w:r>
        <w:rPr>
          <w:rtl/>
        </w:rPr>
        <w:t>؛ و</w:t>
      </w:r>
      <w:hyperlink r:id="rId98" w:history="1">
        <w:r w:rsidRPr="00977A73">
          <w:rPr>
            <w:rStyle w:val="Hyperlink"/>
          </w:rPr>
          <w:t>CRC/C/GRC/CO/</w:t>
        </w:r>
        <w:r w:rsidRPr="006B5BAF">
          <w:rPr>
            <w:rStyle w:val="Hyperlink"/>
          </w:rPr>
          <w:t>4</w:t>
        </w:r>
        <w:r w:rsidRPr="00977A73">
          <w:rPr>
            <w:rStyle w:val="Hyperlink"/>
          </w:rPr>
          <w:t>-</w:t>
        </w:r>
        <w:r w:rsidRPr="006B5BAF">
          <w:rPr>
            <w:rStyle w:val="Hyperlink"/>
          </w:rPr>
          <w:t>6</w:t>
        </w:r>
        <w:r w:rsidRPr="00977A73">
          <w:rPr>
            <w:rStyle w:val="Hyperlink"/>
            <w:rtl/>
          </w:rPr>
          <w:t>.</w:t>
        </w:r>
      </w:hyperlink>
    </w:p>
  </w:footnote>
  <w:footnote w:id="82">
    <w:p w14:paraId="570CDDFE" w14:textId="77777777" w:rsidR="005E0255" w:rsidRPr="001659E7" w:rsidRDefault="005E0255" w:rsidP="00E31942">
      <w:pPr>
        <w:pStyle w:val="FootnoteText1"/>
      </w:pPr>
      <w:r>
        <w:rPr>
          <w:rtl/>
        </w:rPr>
        <w:t>(</w:t>
      </w:r>
      <w:r w:rsidRPr="006B5BAF">
        <w:rPr>
          <w:lang w:val="en-AU"/>
        </w:rPr>
        <w:footnoteRef/>
      </w:r>
      <w:r>
        <w:rPr>
          <w:rtl/>
        </w:rPr>
        <w:t>)</w:t>
      </w:r>
      <w:r>
        <w:rPr>
          <w:rtl/>
        </w:rPr>
        <w:tab/>
      </w:r>
      <w:hyperlink r:id="rId99" w:history="1">
        <w:r w:rsidRPr="00977A73">
          <w:rPr>
            <w:rStyle w:val="Hyperlink"/>
          </w:rPr>
          <w:t>A/HRC/</w:t>
        </w:r>
        <w:r w:rsidRPr="006B5BAF">
          <w:rPr>
            <w:rStyle w:val="Hyperlink"/>
          </w:rPr>
          <w:t>37</w:t>
        </w:r>
        <w:r w:rsidRPr="00977A73">
          <w:rPr>
            <w:rStyle w:val="Hyperlink"/>
          </w:rPr>
          <w:t>/</w:t>
        </w:r>
        <w:r w:rsidRPr="006B5BAF">
          <w:rPr>
            <w:rStyle w:val="Hyperlink"/>
          </w:rPr>
          <w:t>50</w:t>
        </w:r>
      </w:hyperlink>
      <w:r>
        <w:rPr>
          <w:rtl/>
        </w:rPr>
        <w:t xml:space="preserve">، الفقرة </w:t>
      </w:r>
      <w:r w:rsidRPr="006B5BAF">
        <w:rPr>
          <w:rtl/>
        </w:rPr>
        <w:t>77</w:t>
      </w:r>
      <w:r>
        <w:rPr>
          <w:rtl/>
        </w:rPr>
        <w:t>؛ و</w:t>
      </w:r>
      <w:hyperlink r:id="rId100" w:history="1">
        <w:r w:rsidRPr="00977A73">
          <w:rPr>
            <w:rStyle w:val="Hyperlink"/>
          </w:rPr>
          <w:t>CED/C/GRC/CO/</w:t>
        </w:r>
        <w:r w:rsidRPr="006B5BAF">
          <w:rPr>
            <w:rStyle w:val="Hyperlink"/>
          </w:rPr>
          <w:t>1</w:t>
        </w:r>
      </w:hyperlink>
      <w:r>
        <w:rPr>
          <w:rtl/>
        </w:rPr>
        <w:t xml:space="preserve">، الفقرة </w:t>
      </w:r>
      <w:r w:rsidRPr="006B5BAF">
        <w:rPr>
          <w:rtl/>
        </w:rPr>
        <w:t>29</w:t>
      </w:r>
      <w:r w:rsidRPr="001659E7">
        <w:rPr>
          <w:rtl/>
        </w:rPr>
        <w:t>(</w:t>
      </w:r>
      <w:r>
        <w:rPr>
          <w:rtl/>
        </w:rPr>
        <w:t>ه</w:t>
      </w:r>
      <w:r w:rsidRPr="001659E7">
        <w:rPr>
          <w:rtl/>
        </w:rPr>
        <w:t>)</w:t>
      </w:r>
      <w:r>
        <w:rPr>
          <w:rtl/>
        </w:rPr>
        <w:t>.</w:t>
      </w:r>
    </w:p>
  </w:footnote>
  <w:footnote w:id="83">
    <w:p w14:paraId="520A9502" w14:textId="77777777" w:rsidR="005E0255" w:rsidRPr="001659E7" w:rsidRDefault="005E0255" w:rsidP="0098372C">
      <w:pPr>
        <w:pStyle w:val="FootnoteText1"/>
      </w:pPr>
      <w:r>
        <w:rPr>
          <w:rtl/>
        </w:rPr>
        <w:t>(</w:t>
      </w:r>
      <w:r w:rsidRPr="006B5BAF">
        <w:rPr>
          <w:lang w:val="en-AU"/>
        </w:rPr>
        <w:footnoteRef/>
      </w:r>
      <w:r>
        <w:rPr>
          <w:rtl/>
        </w:rPr>
        <w:t>)</w:t>
      </w:r>
      <w:r>
        <w:rPr>
          <w:rtl/>
        </w:rPr>
        <w:tab/>
      </w:r>
      <w:hyperlink r:id="rId101" w:history="1">
        <w:r w:rsidRPr="00977A73">
          <w:rPr>
            <w:rStyle w:val="Hyperlink"/>
          </w:rPr>
          <w:t>A/HRC/</w:t>
        </w:r>
        <w:r w:rsidRPr="006B5BAF">
          <w:rPr>
            <w:rStyle w:val="Hyperlink"/>
          </w:rPr>
          <w:t>37</w:t>
        </w:r>
        <w:r w:rsidRPr="00977A73">
          <w:rPr>
            <w:rStyle w:val="Hyperlink"/>
          </w:rPr>
          <w:t>/</w:t>
        </w:r>
        <w:r w:rsidRPr="006B5BAF">
          <w:rPr>
            <w:rStyle w:val="Hyperlink"/>
          </w:rPr>
          <w:t>50</w:t>
        </w:r>
      </w:hyperlink>
      <w:r>
        <w:rPr>
          <w:rtl/>
        </w:rPr>
        <w:t xml:space="preserve">، الفقرة </w:t>
      </w:r>
      <w:r w:rsidRPr="006B5BAF">
        <w:rPr>
          <w:rtl/>
        </w:rPr>
        <w:t>43</w:t>
      </w:r>
      <w:r w:rsidRPr="00977A73">
        <w:rPr>
          <w:rtl/>
        </w:rPr>
        <w:t xml:space="preserve">. </w:t>
      </w:r>
    </w:p>
  </w:footnote>
  <w:footnote w:id="84">
    <w:p w14:paraId="08D21959" w14:textId="77777777" w:rsidR="005E0255" w:rsidRPr="001659E7" w:rsidRDefault="005E0255" w:rsidP="00A476BD">
      <w:pPr>
        <w:pStyle w:val="FootnoteText1"/>
      </w:pPr>
      <w:r>
        <w:rPr>
          <w:rtl/>
        </w:rPr>
        <w:t>(</w:t>
      </w:r>
      <w:r w:rsidRPr="006B5BAF">
        <w:rPr>
          <w:lang w:val="en-AU"/>
        </w:rPr>
        <w:footnoteRef/>
      </w:r>
      <w:r>
        <w:rPr>
          <w:rtl/>
        </w:rPr>
        <w:t>)</w:t>
      </w:r>
      <w:r>
        <w:rPr>
          <w:rtl/>
        </w:rPr>
        <w:tab/>
      </w:r>
      <w:hyperlink r:id="rId102" w:history="1">
        <w:r w:rsidRPr="00977A73">
          <w:rPr>
            <w:rStyle w:val="Hyperlink"/>
          </w:rPr>
          <w:t>CED/C/CRI/CO/</w:t>
        </w:r>
        <w:r w:rsidRPr="006B5BAF">
          <w:rPr>
            <w:rStyle w:val="Hyperlink"/>
          </w:rPr>
          <w:t>1</w:t>
        </w:r>
      </w:hyperlink>
      <w:r>
        <w:rPr>
          <w:rtl/>
        </w:rPr>
        <w:t xml:space="preserve">، الفقرتان </w:t>
      </w:r>
      <w:r w:rsidRPr="006B5BAF">
        <w:rPr>
          <w:rtl/>
        </w:rPr>
        <w:t>28</w:t>
      </w:r>
      <w:r>
        <w:rPr>
          <w:rtl/>
        </w:rPr>
        <w:t xml:space="preserve"> و</w:t>
      </w:r>
      <w:r w:rsidRPr="006B5BAF">
        <w:rPr>
          <w:rtl/>
        </w:rPr>
        <w:t>29</w:t>
      </w:r>
      <w:r>
        <w:rPr>
          <w:rtl/>
        </w:rPr>
        <w:t>.</w:t>
      </w:r>
    </w:p>
  </w:footnote>
  <w:footnote w:id="85">
    <w:p w14:paraId="5E109FB1" w14:textId="77777777" w:rsidR="005E0255" w:rsidRPr="001659E7" w:rsidRDefault="005E0255" w:rsidP="00A37CEB">
      <w:pPr>
        <w:pStyle w:val="FootnoteText1"/>
      </w:pPr>
      <w:r>
        <w:rPr>
          <w:rtl/>
        </w:rPr>
        <w:t>(</w:t>
      </w:r>
      <w:r w:rsidRPr="006B5BAF">
        <w:rPr>
          <w:lang w:val="en-AU"/>
        </w:rPr>
        <w:footnoteRef/>
      </w:r>
      <w:r>
        <w:rPr>
          <w:rtl/>
        </w:rPr>
        <w:t>)</w:t>
      </w:r>
      <w:r>
        <w:rPr>
          <w:rtl/>
        </w:rPr>
        <w:tab/>
      </w:r>
      <w:hyperlink r:id="rId103" w:history="1">
        <w:r w:rsidRPr="00977A73">
          <w:rPr>
            <w:rStyle w:val="Hyperlink"/>
          </w:rPr>
          <w:t>A/HRC/</w:t>
        </w:r>
        <w:r w:rsidRPr="006B5BAF">
          <w:rPr>
            <w:rStyle w:val="Hyperlink"/>
          </w:rPr>
          <w:t>47</w:t>
        </w:r>
        <w:r w:rsidRPr="00977A73">
          <w:rPr>
            <w:rStyle w:val="Hyperlink"/>
          </w:rPr>
          <w:t>/</w:t>
        </w:r>
        <w:r w:rsidRPr="006B5BAF">
          <w:rPr>
            <w:rStyle w:val="Hyperlink"/>
          </w:rPr>
          <w:t>30</w:t>
        </w:r>
      </w:hyperlink>
      <w:r>
        <w:rPr>
          <w:rtl/>
        </w:rPr>
        <w:t xml:space="preserve">، الفقرة </w:t>
      </w:r>
      <w:r w:rsidRPr="006B5BAF">
        <w:rPr>
          <w:rtl/>
        </w:rPr>
        <w:t>34</w:t>
      </w:r>
      <w:r w:rsidRPr="00977A73">
        <w:rPr>
          <w:rtl/>
        </w:rPr>
        <w:t xml:space="preserve">. </w:t>
      </w:r>
      <w:r>
        <w:rPr>
          <w:rtl/>
        </w:rPr>
        <w:t>انظر أيضاً</w:t>
      </w:r>
      <w:r>
        <w:rPr>
          <w:rFonts w:hint="cs"/>
          <w:rtl/>
        </w:rPr>
        <w:t xml:space="preserve"> </w:t>
      </w:r>
      <w:r w:rsidRPr="007354CB">
        <w:t xml:space="preserve">Council of Europe, </w:t>
      </w:r>
      <w:r w:rsidRPr="0066546F">
        <w:t xml:space="preserve">Pushed </w:t>
      </w:r>
      <w:r>
        <w:t>B</w:t>
      </w:r>
      <w:r w:rsidRPr="0066546F">
        <w:t>eyond the Limit</w:t>
      </w:r>
      <w:r>
        <w:t>s</w:t>
      </w:r>
      <w:r w:rsidRPr="0066546F">
        <w:t>: Four Areas for Urgent Action to End Human Rights Violations at Europe’s Borders – Recommendation by the Council of Europe Commissioner for Human Rights</w:t>
      </w:r>
      <w:r w:rsidRPr="007354CB">
        <w:t xml:space="preserve"> </w:t>
      </w:r>
      <w:r>
        <w:t>(Strasbourg,</w:t>
      </w:r>
      <w:r w:rsidRPr="007354CB">
        <w:t xml:space="preserve"> </w:t>
      </w:r>
      <w:proofErr w:type="gramStart"/>
      <w:r w:rsidRPr="006B5BAF">
        <w:t>2022</w:t>
      </w:r>
      <w:r>
        <w:t>)</w:t>
      </w:r>
      <w:r w:rsidRPr="007354CB">
        <w:t>,</w:t>
      </w:r>
      <w:proofErr w:type="gramEnd"/>
      <w:r w:rsidRPr="007354CB">
        <w:t xml:space="preserve"> p</w:t>
      </w:r>
      <w:r>
        <w:t>.</w:t>
      </w:r>
      <w:r w:rsidRPr="007354CB">
        <w:t xml:space="preserve"> </w:t>
      </w:r>
      <w:r w:rsidRPr="006B5BAF">
        <w:t>16</w:t>
      </w:r>
      <w:r>
        <w:rPr>
          <w:rtl/>
        </w:rPr>
        <w:t>.</w:t>
      </w:r>
    </w:p>
  </w:footnote>
  <w:footnote w:id="86">
    <w:p w14:paraId="41B67900" w14:textId="77777777" w:rsidR="005E0255" w:rsidRPr="001659E7" w:rsidRDefault="005E0255" w:rsidP="00DF7A67">
      <w:pPr>
        <w:pStyle w:val="FootnoteText1"/>
      </w:pPr>
      <w:r>
        <w:rPr>
          <w:rtl/>
        </w:rPr>
        <w:t>(</w:t>
      </w:r>
      <w:r w:rsidRPr="006B5BAF">
        <w:rPr>
          <w:lang w:val="en-AU"/>
        </w:rPr>
        <w:footnoteRef/>
      </w:r>
      <w:r>
        <w:rPr>
          <w:rtl/>
        </w:rPr>
        <w:t>)</w:t>
      </w:r>
      <w:r>
        <w:rPr>
          <w:rtl/>
        </w:rPr>
        <w:tab/>
      </w:r>
      <w:hyperlink r:id="rId104" w:history="1">
        <w:r w:rsidRPr="00977A73">
          <w:rPr>
            <w:rStyle w:val="Hyperlink"/>
          </w:rPr>
          <w:t>CED/C/GRC/CO/</w:t>
        </w:r>
        <w:r w:rsidRPr="006B5BAF">
          <w:rPr>
            <w:rStyle w:val="Hyperlink"/>
          </w:rPr>
          <w:t>1</w:t>
        </w:r>
      </w:hyperlink>
      <w:r>
        <w:rPr>
          <w:rtl/>
        </w:rPr>
        <w:t xml:space="preserve">، الفقرة </w:t>
      </w:r>
      <w:r w:rsidRPr="006B5BAF">
        <w:rPr>
          <w:rtl/>
        </w:rPr>
        <w:t>28</w:t>
      </w:r>
      <w:r w:rsidRPr="001659E7">
        <w:rPr>
          <w:rtl/>
        </w:rPr>
        <w:t>(</w:t>
      </w:r>
      <w:r>
        <w:rPr>
          <w:rtl/>
        </w:rPr>
        <w:t>أ</w:t>
      </w:r>
      <w:r w:rsidRPr="00977A73">
        <w:rPr>
          <w:rtl/>
        </w:rPr>
        <w:t xml:space="preserve">)؛ </w:t>
      </w:r>
      <w:r>
        <w:rPr>
          <w:rtl/>
        </w:rPr>
        <w:t>و</w:t>
      </w:r>
      <w:hyperlink r:id="rId105" w:history="1">
        <w:r w:rsidRPr="00977A73">
          <w:rPr>
            <w:rStyle w:val="Hyperlink"/>
          </w:rPr>
          <w:t>CED/C/MEX/VR/</w:t>
        </w:r>
        <w:r w:rsidRPr="006B5BAF">
          <w:rPr>
            <w:rStyle w:val="Hyperlink"/>
          </w:rPr>
          <w:t>1</w:t>
        </w:r>
      </w:hyperlink>
      <w:r w:rsidRPr="00A260F4">
        <w:rPr>
          <w:rtl/>
        </w:rPr>
        <w:t xml:space="preserve"> </w:t>
      </w:r>
      <w:r w:rsidRPr="00A260F4">
        <w:t>(Findings</w:t>
      </w:r>
      <w:r w:rsidRPr="00977A73">
        <w:rPr>
          <w:rtl/>
        </w:rPr>
        <w:t xml:space="preserve">)، </w:t>
      </w:r>
      <w:r>
        <w:rPr>
          <w:rtl/>
        </w:rPr>
        <w:t xml:space="preserve">الفقرتان </w:t>
      </w:r>
      <w:r w:rsidRPr="006B5BAF">
        <w:rPr>
          <w:rtl/>
        </w:rPr>
        <w:t>19</w:t>
      </w:r>
      <w:r>
        <w:rPr>
          <w:rtl/>
        </w:rPr>
        <w:t xml:space="preserve"> و</w:t>
      </w:r>
      <w:r w:rsidRPr="006B5BAF">
        <w:rPr>
          <w:rtl/>
        </w:rPr>
        <w:t>20</w:t>
      </w:r>
      <w:r>
        <w:rPr>
          <w:rtl/>
        </w:rPr>
        <w:t xml:space="preserve">؛ واللجنة الأوروبية لمنع التعذيب والمعاملة أو العقوبة اللاإنسانية أو المهينة، تقرير إلى حكومة اليونان عن الزيارة إلى اليونان في الفترة من </w:t>
      </w:r>
      <w:r w:rsidRPr="006B5BAF">
        <w:rPr>
          <w:rtl/>
        </w:rPr>
        <w:t>13</w:t>
      </w:r>
      <w:r>
        <w:rPr>
          <w:rtl/>
        </w:rPr>
        <w:t xml:space="preserve"> إلى </w:t>
      </w:r>
      <w:r w:rsidRPr="006B5BAF">
        <w:rPr>
          <w:rtl/>
        </w:rPr>
        <w:t>17</w:t>
      </w:r>
      <w:r>
        <w:rPr>
          <w:rtl/>
        </w:rPr>
        <w:t xml:space="preserve"> آذار/مارس </w:t>
      </w:r>
      <w:r w:rsidRPr="006B5BAF">
        <w:rPr>
          <w:rtl/>
        </w:rPr>
        <w:t>2020</w:t>
      </w:r>
      <w:r>
        <w:rPr>
          <w:rtl/>
        </w:rPr>
        <w:t xml:space="preserve">، الفقرة </w:t>
      </w:r>
      <w:r w:rsidRPr="006B5BAF">
        <w:rPr>
          <w:rtl/>
        </w:rPr>
        <w:t>56</w:t>
      </w:r>
      <w:r>
        <w:rPr>
          <w:rtl/>
        </w:rPr>
        <w:t>.</w:t>
      </w:r>
    </w:p>
  </w:footnote>
  <w:footnote w:id="87">
    <w:p w14:paraId="46A65D8E" w14:textId="77777777" w:rsidR="005E0255" w:rsidRPr="001659E7" w:rsidRDefault="005E0255" w:rsidP="00144E74">
      <w:pPr>
        <w:pStyle w:val="FootnoteText1"/>
      </w:pPr>
      <w:r>
        <w:rPr>
          <w:rtl/>
        </w:rPr>
        <w:t>(</w:t>
      </w:r>
      <w:r w:rsidRPr="006B5BAF">
        <w:rPr>
          <w:lang w:val="en-AU"/>
        </w:rPr>
        <w:footnoteRef/>
      </w:r>
      <w:r>
        <w:rPr>
          <w:rtl/>
        </w:rPr>
        <w:t>)</w:t>
      </w:r>
      <w:r>
        <w:rPr>
          <w:rtl/>
        </w:rPr>
        <w:tab/>
        <w:t xml:space="preserve">المادة </w:t>
      </w:r>
      <w:r w:rsidRPr="006B5BAF">
        <w:rPr>
          <w:rtl/>
        </w:rPr>
        <w:t>4</w:t>
      </w:r>
      <w:r>
        <w:rPr>
          <w:rtl/>
        </w:rPr>
        <w:t xml:space="preserve"> من البروتوكول رقم </w:t>
      </w:r>
      <w:r w:rsidRPr="006B5BAF">
        <w:rPr>
          <w:rtl/>
        </w:rPr>
        <w:t>4</w:t>
      </w:r>
      <w:r>
        <w:rPr>
          <w:rtl/>
        </w:rPr>
        <w:t xml:space="preserve"> لاتفاقية حماية حقوق الإنسان والحريات الأساسية (الاتفاقية الأوروبية لحقوق الإنسان</w:t>
      </w:r>
      <w:r w:rsidRPr="00977A73">
        <w:rPr>
          <w:rtl/>
        </w:rPr>
        <w:t xml:space="preserve">)، </w:t>
      </w:r>
      <w:r>
        <w:rPr>
          <w:rtl/>
        </w:rPr>
        <w:t>التي تكفل حقوقاً وحريات معينة غير تلك المدرجة بالفعل في الاتفاقية وفي البروتوكول الأول الملحق بها بصيغته المعدلة بالبروتوكول رقم</w:t>
      </w:r>
      <w:r>
        <w:rPr>
          <w:rFonts w:hint="cs"/>
          <w:rtl/>
        </w:rPr>
        <w:t> </w:t>
      </w:r>
      <w:r w:rsidRPr="006B5BAF">
        <w:rPr>
          <w:rtl/>
        </w:rPr>
        <w:t>11</w:t>
      </w:r>
      <w:r>
        <w:rPr>
          <w:rtl/>
        </w:rPr>
        <w:t xml:space="preserve">؛ والمادة </w:t>
      </w:r>
      <w:r w:rsidRPr="006B5BAF">
        <w:rPr>
          <w:rtl/>
        </w:rPr>
        <w:t>22</w:t>
      </w:r>
      <w:r w:rsidRPr="001659E7">
        <w:rPr>
          <w:rtl/>
        </w:rPr>
        <w:t>(</w:t>
      </w:r>
      <w:r w:rsidRPr="006B5BAF">
        <w:rPr>
          <w:rtl/>
        </w:rPr>
        <w:t>9</w:t>
      </w:r>
      <w:r w:rsidRPr="00977A73">
        <w:rPr>
          <w:rtl/>
        </w:rPr>
        <w:t xml:space="preserve">) </w:t>
      </w:r>
      <w:r>
        <w:rPr>
          <w:rtl/>
        </w:rPr>
        <w:t xml:space="preserve">من الاتفاقية الأمريكية لحقوق الإنسان؛ والمادة </w:t>
      </w:r>
      <w:r w:rsidRPr="006B5BAF">
        <w:rPr>
          <w:rtl/>
        </w:rPr>
        <w:t>12</w:t>
      </w:r>
      <w:r w:rsidRPr="001659E7">
        <w:rPr>
          <w:rtl/>
        </w:rPr>
        <w:t>(</w:t>
      </w:r>
      <w:r w:rsidRPr="006B5BAF">
        <w:rPr>
          <w:rtl/>
        </w:rPr>
        <w:t>5</w:t>
      </w:r>
      <w:r w:rsidRPr="00977A73">
        <w:rPr>
          <w:rtl/>
        </w:rPr>
        <w:t xml:space="preserve">) </w:t>
      </w:r>
      <w:r>
        <w:rPr>
          <w:rtl/>
        </w:rPr>
        <w:t xml:space="preserve">من الميثاق الأفريقي لحقوق الإنســان والشــعوب؛ والمادة </w:t>
      </w:r>
      <w:r w:rsidRPr="006B5BAF">
        <w:rPr>
          <w:rtl/>
        </w:rPr>
        <w:t>26</w:t>
      </w:r>
      <w:r w:rsidRPr="001659E7">
        <w:rPr>
          <w:rtl/>
        </w:rPr>
        <w:t>(</w:t>
      </w:r>
      <w:r w:rsidRPr="006B5BAF">
        <w:rPr>
          <w:rtl/>
        </w:rPr>
        <w:t>2</w:t>
      </w:r>
      <w:r w:rsidRPr="00977A73">
        <w:rPr>
          <w:rtl/>
        </w:rPr>
        <w:t xml:space="preserve">) </w:t>
      </w:r>
      <w:r>
        <w:rPr>
          <w:rtl/>
        </w:rPr>
        <w:t>من الميثاق العربي لحقوق الإنسان.</w:t>
      </w:r>
    </w:p>
  </w:footnote>
  <w:footnote w:id="88">
    <w:p w14:paraId="7BBEFAE2" w14:textId="77777777" w:rsidR="005E0255" w:rsidRPr="001659E7" w:rsidRDefault="005E0255" w:rsidP="00D543C8">
      <w:pPr>
        <w:pStyle w:val="FootnoteText1"/>
      </w:pPr>
      <w:r>
        <w:rPr>
          <w:rtl/>
        </w:rPr>
        <w:t>(</w:t>
      </w:r>
      <w:r w:rsidRPr="006B5BAF">
        <w:rPr>
          <w:lang w:val="en-AU"/>
        </w:rPr>
        <w:footnoteRef/>
      </w:r>
      <w:r>
        <w:rPr>
          <w:rtl/>
        </w:rPr>
        <w:t>)</w:t>
      </w:r>
      <w:r>
        <w:rPr>
          <w:rtl/>
        </w:rPr>
        <w:tab/>
      </w:r>
      <w:r w:rsidRPr="00BE1E1F">
        <w:rPr>
          <w:rFonts w:cstheme="minorHAnsi"/>
        </w:rPr>
        <w:t>European Court of Human Rights</w:t>
      </w:r>
      <w:r>
        <w:rPr>
          <w:rFonts w:cstheme="minorHAnsi"/>
        </w:rPr>
        <w:t>,</w:t>
      </w:r>
      <w:r w:rsidRPr="00BE1E1F">
        <w:rPr>
          <w:rFonts w:cstheme="minorHAnsi"/>
        </w:rPr>
        <w:t xml:space="preserve"> </w:t>
      </w:r>
      <w:r w:rsidRPr="006B5BAF">
        <w:rPr>
          <w:rFonts w:cstheme="minorHAnsi"/>
          <w:i/>
          <w:iCs/>
        </w:rPr>
        <w:t>Hirsi Jamaa and others v.</w:t>
      </w:r>
      <w:r w:rsidRPr="00BE1E1F">
        <w:rPr>
          <w:rFonts w:cstheme="minorHAnsi"/>
        </w:rPr>
        <w:t xml:space="preserve"> </w:t>
      </w:r>
      <w:r w:rsidRPr="006B5BAF">
        <w:rPr>
          <w:rFonts w:cstheme="minorHAnsi"/>
          <w:i/>
          <w:iCs/>
        </w:rPr>
        <w:t>Italy</w:t>
      </w:r>
      <w:r w:rsidRPr="00BE1E1F">
        <w:rPr>
          <w:rFonts w:cstheme="minorHAnsi"/>
        </w:rPr>
        <w:t xml:space="preserve">, paras. </w:t>
      </w:r>
      <w:r w:rsidRPr="006B5BAF">
        <w:rPr>
          <w:rFonts w:cstheme="minorHAnsi"/>
        </w:rPr>
        <w:t>185</w:t>
      </w:r>
      <w:r>
        <w:rPr>
          <w:rFonts w:cstheme="minorHAnsi"/>
        </w:rPr>
        <w:t xml:space="preserve"> and </w:t>
      </w:r>
      <w:r w:rsidRPr="006B5BAF">
        <w:rPr>
          <w:rFonts w:cstheme="minorHAnsi"/>
        </w:rPr>
        <w:t>186</w:t>
      </w:r>
      <w:r w:rsidRPr="00BE1E1F">
        <w:rPr>
          <w:rFonts w:cstheme="minorHAnsi"/>
        </w:rPr>
        <w:t xml:space="preserve">; </w:t>
      </w:r>
      <w:r w:rsidRPr="006B5BAF">
        <w:rPr>
          <w:rFonts w:cstheme="minorHAnsi"/>
          <w:i/>
          <w:iCs/>
        </w:rPr>
        <w:t>N.D. and N.T. v. Spain</w:t>
      </w:r>
      <w:r w:rsidRPr="00BE1E1F">
        <w:rPr>
          <w:rFonts w:cstheme="minorHAnsi"/>
        </w:rPr>
        <w:t xml:space="preserve">, </w:t>
      </w:r>
      <w:r w:rsidRPr="00626DE0">
        <w:t>Applications No.</w:t>
      </w:r>
      <w:r>
        <w:t xml:space="preserve"> </w:t>
      </w:r>
      <w:hyperlink r:id="rId106" w:anchor="{%22appno%22:[%228675/15%22]}" w:tgtFrame="_blank" w:history="1">
        <w:r w:rsidRPr="006B5BAF">
          <w:t>8675</w:t>
        </w:r>
        <w:r w:rsidRPr="00626DE0">
          <w:t>/</w:t>
        </w:r>
        <w:r w:rsidRPr="006B5BAF">
          <w:t>15</w:t>
        </w:r>
      </w:hyperlink>
      <w:r>
        <w:t xml:space="preserve"> </w:t>
      </w:r>
      <w:r w:rsidRPr="00626DE0">
        <w:t>and</w:t>
      </w:r>
      <w:r>
        <w:t xml:space="preserve"> </w:t>
      </w:r>
      <w:r w:rsidRPr="00626DE0">
        <w:t xml:space="preserve">No. </w:t>
      </w:r>
      <w:hyperlink r:id="rId107" w:anchor="{%22appno%22:[%228697/15%22]}" w:tgtFrame="_blank" w:history="1">
        <w:r w:rsidRPr="006B5BAF">
          <w:t>8697</w:t>
        </w:r>
        <w:r w:rsidRPr="00626DE0">
          <w:t>/</w:t>
        </w:r>
        <w:r w:rsidRPr="006B5BAF">
          <w:t>15</w:t>
        </w:r>
      </w:hyperlink>
      <w:r w:rsidRPr="00626DE0">
        <w:t>, Judgment</w:t>
      </w:r>
      <w:r w:rsidRPr="00BE1E1F">
        <w:rPr>
          <w:rFonts w:cstheme="minorHAnsi"/>
        </w:rPr>
        <w:t xml:space="preserve">, </w:t>
      </w:r>
      <w:r w:rsidRPr="006B5BAF">
        <w:rPr>
          <w:rFonts w:cstheme="minorHAnsi"/>
        </w:rPr>
        <w:t>13</w:t>
      </w:r>
      <w:r w:rsidRPr="00BE1E1F">
        <w:rPr>
          <w:rFonts w:cstheme="minorHAnsi"/>
        </w:rPr>
        <w:t xml:space="preserve"> February </w:t>
      </w:r>
      <w:r w:rsidRPr="006B5BAF">
        <w:rPr>
          <w:rFonts w:cstheme="minorHAnsi"/>
        </w:rPr>
        <w:t>2020</w:t>
      </w:r>
      <w:r w:rsidRPr="00BE1E1F">
        <w:rPr>
          <w:rFonts w:cstheme="minorHAnsi"/>
        </w:rPr>
        <w:t xml:space="preserve">; and </w:t>
      </w:r>
      <w:r w:rsidRPr="006B5BAF">
        <w:rPr>
          <w:rFonts w:cstheme="minorHAnsi"/>
          <w:i/>
          <w:iCs/>
        </w:rPr>
        <w:t>Shahzad v. Hungary</w:t>
      </w:r>
      <w:r w:rsidRPr="00BE1E1F">
        <w:rPr>
          <w:rFonts w:cstheme="minorHAnsi"/>
        </w:rPr>
        <w:t xml:space="preserve">, Application No. </w:t>
      </w:r>
      <w:r w:rsidRPr="006B5BAF">
        <w:rPr>
          <w:rFonts w:cstheme="minorHAnsi"/>
        </w:rPr>
        <w:t>12625</w:t>
      </w:r>
      <w:r w:rsidRPr="00BE1E1F">
        <w:rPr>
          <w:rFonts w:cstheme="minorHAnsi"/>
        </w:rPr>
        <w:t>/</w:t>
      </w:r>
      <w:r w:rsidRPr="006B5BAF">
        <w:rPr>
          <w:rFonts w:cstheme="minorHAnsi"/>
        </w:rPr>
        <w:t>17</w:t>
      </w:r>
      <w:r w:rsidRPr="00BE1E1F">
        <w:rPr>
          <w:rFonts w:cstheme="minorHAnsi"/>
        </w:rPr>
        <w:t xml:space="preserve">, Judgment, </w:t>
      </w:r>
      <w:r w:rsidRPr="006B5BAF">
        <w:rPr>
          <w:rFonts w:cstheme="minorHAnsi"/>
        </w:rPr>
        <w:t>8</w:t>
      </w:r>
      <w:r w:rsidRPr="00BE1E1F">
        <w:rPr>
          <w:rFonts w:cstheme="minorHAnsi"/>
        </w:rPr>
        <w:t xml:space="preserve"> July </w:t>
      </w:r>
      <w:r w:rsidRPr="006B5BAF">
        <w:rPr>
          <w:rFonts w:cstheme="minorHAnsi"/>
        </w:rPr>
        <w:t>2021</w:t>
      </w:r>
      <w:r>
        <w:rPr>
          <w:rtl/>
        </w:rPr>
        <w:t>.</w:t>
      </w:r>
    </w:p>
  </w:footnote>
  <w:footnote w:id="89">
    <w:p w14:paraId="06984265" w14:textId="77777777" w:rsidR="005E0255" w:rsidRPr="001659E7" w:rsidRDefault="005E0255" w:rsidP="00693C5E">
      <w:pPr>
        <w:pStyle w:val="FootnoteText1"/>
      </w:pPr>
      <w:r>
        <w:rPr>
          <w:rtl/>
        </w:rPr>
        <w:t>(</w:t>
      </w:r>
      <w:r w:rsidRPr="006B5BAF">
        <w:rPr>
          <w:lang w:val="en-AU"/>
        </w:rPr>
        <w:footnoteRef/>
      </w:r>
      <w:r>
        <w:rPr>
          <w:rtl/>
        </w:rPr>
        <w:t>)</w:t>
      </w:r>
      <w:r>
        <w:rPr>
          <w:rtl/>
        </w:rPr>
        <w:tab/>
      </w:r>
      <w:hyperlink r:id="rId108" w:history="1">
        <w:r w:rsidRPr="00977A73">
          <w:rPr>
            <w:rStyle w:val="Hyperlink"/>
          </w:rPr>
          <w:t>A/HRC/</w:t>
        </w:r>
        <w:r w:rsidRPr="006B5BAF">
          <w:rPr>
            <w:rStyle w:val="Hyperlink"/>
          </w:rPr>
          <w:t>37</w:t>
        </w:r>
        <w:r w:rsidRPr="00977A73">
          <w:rPr>
            <w:rStyle w:val="Hyperlink"/>
          </w:rPr>
          <w:t>/</w:t>
        </w:r>
        <w:r w:rsidRPr="006B5BAF">
          <w:rPr>
            <w:rStyle w:val="Hyperlink"/>
          </w:rPr>
          <w:t>50</w:t>
        </w:r>
      </w:hyperlink>
      <w:r>
        <w:rPr>
          <w:rtl/>
        </w:rPr>
        <w:t xml:space="preserve">، الفقرتان </w:t>
      </w:r>
      <w:r w:rsidRPr="006B5BAF">
        <w:rPr>
          <w:rtl/>
        </w:rPr>
        <w:t>52</w:t>
      </w:r>
      <w:r>
        <w:rPr>
          <w:rtl/>
        </w:rPr>
        <w:t xml:space="preserve"> و</w:t>
      </w:r>
      <w:r w:rsidRPr="006B5BAF">
        <w:rPr>
          <w:rtl/>
        </w:rPr>
        <w:t>53</w:t>
      </w:r>
      <w:r>
        <w:rPr>
          <w:rtl/>
        </w:rPr>
        <w:t xml:space="preserve">؛ </w:t>
      </w:r>
      <w:proofErr w:type="gramStart"/>
      <w:r>
        <w:rPr>
          <w:rtl/>
        </w:rPr>
        <w:t>و</w:t>
      </w:r>
      <w:r w:rsidRPr="002A237E">
        <w:rPr>
          <w:rFonts w:cstheme="minorHAnsi"/>
        </w:rPr>
        <w:t xml:space="preserve"> </w:t>
      </w:r>
      <w:r w:rsidRPr="00BE1E1F">
        <w:rPr>
          <w:rFonts w:cstheme="minorHAnsi"/>
        </w:rPr>
        <w:t>European</w:t>
      </w:r>
      <w:proofErr w:type="gramEnd"/>
      <w:r w:rsidRPr="00BE1E1F">
        <w:rPr>
          <w:rFonts w:cstheme="minorHAnsi"/>
        </w:rPr>
        <w:t xml:space="preserve"> Court of Human Rights</w:t>
      </w:r>
      <w:r w:rsidRPr="00BE1E1F">
        <w:t xml:space="preserve">, </w:t>
      </w:r>
      <w:r w:rsidRPr="006B5BAF">
        <w:rPr>
          <w:i/>
          <w:iCs/>
        </w:rPr>
        <w:t>Hirsi Jamaa and others v. Italy</w:t>
      </w:r>
      <w:r w:rsidRPr="00977A73">
        <w:rPr>
          <w:rtl/>
        </w:rPr>
        <w:t xml:space="preserve">. </w:t>
      </w:r>
    </w:p>
  </w:footnote>
  <w:footnote w:id="90">
    <w:p w14:paraId="4C28E3F2" w14:textId="77777777" w:rsidR="005E0255" w:rsidRPr="001659E7" w:rsidRDefault="005E0255" w:rsidP="00213916">
      <w:pPr>
        <w:pStyle w:val="FootnoteText1"/>
      </w:pPr>
      <w:r>
        <w:rPr>
          <w:rtl/>
        </w:rPr>
        <w:t>(</w:t>
      </w:r>
      <w:r w:rsidRPr="006B5BAF">
        <w:rPr>
          <w:lang w:val="en-AU"/>
        </w:rPr>
        <w:footnoteRef/>
      </w:r>
      <w:r>
        <w:rPr>
          <w:rtl/>
        </w:rPr>
        <w:t>)</w:t>
      </w:r>
      <w:r>
        <w:rPr>
          <w:rtl/>
        </w:rPr>
        <w:tab/>
      </w:r>
      <w:r w:rsidRPr="00BE1E1F">
        <w:t xml:space="preserve">Inter-American Commission on Human Rights, </w:t>
      </w:r>
      <w:r w:rsidRPr="006B5BAF">
        <w:rPr>
          <w:i/>
          <w:iCs/>
        </w:rPr>
        <w:t>Haitian Centre for Human Rights and others v. United States of America</w:t>
      </w:r>
      <w:r w:rsidRPr="0066546F">
        <w:t>,</w:t>
      </w:r>
      <w:r w:rsidRPr="00BE1E1F">
        <w:t xml:space="preserve"> Case No. </w:t>
      </w:r>
      <w:r w:rsidRPr="006B5BAF">
        <w:t>10</w:t>
      </w:r>
      <w:r w:rsidRPr="00BE1E1F">
        <w:t>.</w:t>
      </w:r>
      <w:r w:rsidRPr="006B5BAF">
        <w:t>675</w:t>
      </w:r>
      <w:r w:rsidRPr="00BE1E1F">
        <w:t xml:space="preserve">, Decision on the Merits, </w:t>
      </w:r>
      <w:r w:rsidRPr="006B5BAF">
        <w:t>13</w:t>
      </w:r>
      <w:r w:rsidRPr="00BE1E1F">
        <w:t xml:space="preserve"> March </w:t>
      </w:r>
      <w:r w:rsidRPr="006B5BAF">
        <w:t>1997</w:t>
      </w:r>
      <w:r w:rsidRPr="00BE1E1F">
        <w:t xml:space="preserve">, para. </w:t>
      </w:r>
      <w:r w:rsidRPr="006B5BAF">
        <w:t>169</w:t>
      </w:r>
      <w:r>
        <w:rPr>
          <w:rtl/>
        </w:rPr>
        <w:t>.</w:t>
      </w:r>
    </w:p>
  </w:footnote>
  <w:footnote w:id="91">
    <w:p w14:paraId="4848DFD5" w14:textId="77777777" w:rsidR="005E0255" w:rsidRPr="001659E7" w:rsidRDefault="005E0255" w:rsidP="00566488">
      <w:pPr>
        <w:pStyle w:val="FootnoteText1"/>
      </w:pPr>
      <w:r>
        <w:rPr>
          <w:rtl/>
        </w:rPr>
        <w:t>(</w:t>
      </w:r>
      <w:r w:rsidRPr="006B5BAF">
        <w:rPr>
          <w:lang w:val="en-AU"/>
        </w:rPr>
        <w:footnoteRef/>
      </w:r>
      <w:r>
        <w:rPr>
          <w:rtl/>
        </w:rPr>
        <w:t>)</w:t>
      </w:r>
      <w:r>
        <w:rPr>
          <w:rtl/>
        </w:rPr>
        <w:tab/>
      </w:r>
      <w:r w:rsidRPr="00BE1E1F">
        <w:rPr>
          <w:rFonts w:cstheme="minorHAnsi"/>
        </w:rPr>
        <w:t>European Court of Human Rights</w:t>
      </w:r>
      <w:r w:rsidRPr="00BE1E1F">
        <w:t xml:space="preserve">, </w:t>
      </w:r>
      <w:r w:rsidRPr="006B5BAF">
        <w:rPr>
          <w:i/>
          <w:iCs/>
        </w:rPr>
        <w:t>Safi and others v. Greece</w:t>
      </w:r>
      <w:r w:rsidRPr="00BE1E1F">
        <w:t xml:space="preserve">, Application No. </w:t>
      </w:r>
      <w:r w:rsidRPr="006B5BAF">
        <w:t>5418</w:t>
      </w:r>
      <w:r w:rsidRPr="00BE1E1F">
        <w:t>/</w:t>
      </w:r>
      <w:r w:rsidRPr="006B5BAF">
        <w:t>15</w:t>
      </w:r>
      <w:r w:rsidRPr="00BE1E1F">
        <w:t xml:space="preserve">, Judgment, </w:t>
      </w:r>
      <w:r w:rsidRPr="006B5BAF">
        <w:t>7</w:t>
      </w:r>
      <w:r>
        <w:t> </w:t>
      </w:r>
      <w:r w:rsidRPr="00BE1E1F">
        <w:t xml:space="preserve">July </w:t>
      </w:r>
      <w:r w:rsidRPr="006B5BAF">
        <w:t>2022</w:t>
      </w:r>
      <w:r>
        <w:rPr>
          <w:rtl/>
        </w:rPr>
        <w:t>.</w:t>
      </w:r>
    </w:p>
  </w:footnote>
  <w:footnote w:id="92">
    <w:p w14:paraId="090838A7" w14:textId="77777777" w:rsidR="005E0255" w:rsidRPr="001659E7" w:rsidRDefault="005E0255" w:rsidP="007D117A">
      <w:pPr>
        <w:pStyle w:val="FootnoteText1"/>
      </w:pPr>
      <w:r>
        <w:rPr>
          <w:rtl/>
        </w:rPr>
        <w:t>(</w:t>
      </w:r>
      <w:r w:rsidRPr="006B5BAF">
        <w:rPr>
          <w:lang w:val="en-AU"/>
        </w:rPr>
        <w:footnoteRef/>
      </w:r>
      <w:r>
        <w:rPr>
          <w:rtl/>
        </w:rPr>
        <w:t>)</w:t>
      </w:r>
      <w:r>
        <w:rPr>
          <w:rtl/>
        </w:rPr>
        <w:tab/>
      </w:r>
      <w:hyperlink r:id="rId109" w:history="1">
        <w:r w:rsidRPr="00977A73">
          <w:rPr>
            <w:rStyle w:val="Hyperlink"/>
          </w:rPr>
          <w:t>A/HRC/</w:t>
        </w:r>
        <w:r w:rsidRPr="006B5BAF">
          <w:rPr>
            <w:rStyle w:val="Hyperlink"/>
          </w:rPr>
          <w:t>47</w:t>
        </w:r>
        <w:r w:rsidRPr="00977A73">
          <w:rPr>
            <w:rStyle w:val="Hyperlink"/>
          </w:rPr>
          <w:t>/</w:t>
        </w:r>
        <w:r w:rsidRPr="006B5BAF">
          <w:rPr>
            <w:rStyle w:val="Hyperlink"/>
          </w:rPr>
          <w:t>30</w:t>
        </w:r>
      </w:hyperlink>
      <w:r>
        <w:rPr>
          <w:rtl/>
        </w:rPr>
        <w:t xml:space="preserve">، الفقرات </w:t>
      </w:r>
      <w:r w:rsidRPr="006B5BAF">
        <w:rPr>
          <w:rtl/>
        </w:rPr>
        <w:t>72</w:t>
      </w:r>
      <w:r w:rsidRPr="001659E7">
        <w:rPr>
          <w:rtl/>
        </w:rPr>
        <w:t>-</w:t>
      </w:r>
      <w:r w:rsidRPr="006B5BAF">
        <w:rPr>
          <w:rtl/>
        </w:rPr>
        <w:t>75</w:t>
      </w:r>
      <w:r w:rsidRPr="00977A73">
        <w:rPr>
          <w:rtl/>
        </w:rPr>
        <w:t xml:space="preserve">. </w:t>
      </w:r>
      <w:r>
        <w:rPr>
          <w:rtl/>
        </w:rPr>
        <w:t>انظر أيضاً</w:t>
      </w:r>
      <w:r>
        <w:rPr>
          <w:rFonts w:hint="cs"/>
          <w:rtl/>
        </w:rPr>
        <w:t xml:space="preserve"> </w:t>
      </w:r>
      <w:r w:rsidRPr="00BE1E1F">
        <w:rPr>
          <w:rFonts w:cstheme="minorHAnsi"/>
        </w:rPr>
        <w:t xml:space="preserve">OHCHR, “‘Lethal </w:t>
      </w:r>
      <w:r w:rsidRPr="00626DE0">
        <w:t>disregard’”</w:t>
      </w:r>
      <w:r>
        <w:rPr>
          <w:rtl/>
        </w:rPr>
        <w:t xml:space="preserve">؛ واللجنة المعنية بحقوق الإنسان، </w:t>
      </w:r>
      <w:r w:rsidRPr="006B5BAF">
        <w:rPr>
          <w:i/>
          <w:iCs/>
          <w:rtl/>
        </w:rPr>
        <w:t>أ.</w:t>
      </w:r>
      <w:r w:rsidRPr="006B5BAF">
        <w:rPr>
          <w:rFonts w:hint="cs"/>
          <w:i/>
          <w:iCs/>
          <w:rtl/>
        </w:rPr>
        <w:t> </w:t>
      </w:r>
      <w:r w:rsidRPr="006B5BAF">
        <w:rPr>
          <w:i/>
          <w:iCs/>
          <w:rtl/>
        </w:rPr>
        <w:t>س. وآخرون ضد إيطاليا</w:t>
      </w:r>
      <w:r w:rsidRPr="001659E7">
        <w:rPr>
          <w:rtl/>
        </w:rPr>
        <w:t xml:space="preserve"> (</w:t>
      </w:r>
      <w:hyperlink r:id="rId110" w:history="1">
        <w:r w:rsidRPr="00977A73">
          <w:rPr>
            <w:rStyle w:val="Hyperlink"/>
          </w:rPr>
          <w:t>CCPR/C/</w:t>
        </w:r>
        <w:r w:rsidRPr="006B5BAF">
          <w:rPr>
            <w:rStyle w:val="Hyperlink"/>
          </w:rPr>
          <w:t>130</w:t>
        </w:r>
        <w:r w:rsidRPr="00977A73">
          <w:rPr>
            <w:rStyle w:val="Hyperlink"/>
          </w:rPr>
          <w:t>/D/</w:t>
        </w:r>
        <w:r w:rsidRPr="006B5BAF">
          <w:rPr>
            <w:rStyle w:val="Hyperlink"/>
          </w:rPr>
          <w:t>3042</w:t>
        </w:r>
        <w:r w:rsidRPr="00977A73">
          <w:rPr>
            <w:rStyle w:val="Hyperlink"/>
          </w:rPr>
          <w:t>/</w:t>
        </w:r>
        <w:r w:rsidRPr="006B5BAF">
          <w:rPr>
            <w:rStyle w:val="Hyperlink"/>
          </w:rPr>
          <w:t>2017</w:t>
        </w:r>
        <w:r w:rsidRPr="00977A73">
          <w:rPr>
            <w:rStyle w:val="Hyperlink"/>
            <w:rtl/>
          </w:rPr>
          <w:t>).</w:t>
        </w:r>
      </w:hyperlink>
    </w:p>
  </w:footnote>
  <w:footnote w:id="93">
    <w:p w14:paraId="1874628F" w14:textId="77777777" w:rsidR="005E0255" w:rsidRPr="001659E7" w:rsidRDefault="005E0255" w:rsidP="00896B6C">
      <w:pPr>
        <w:pStyle w:val="FootnoteText1"/>
      </w:pPr>
      <w:r>
        <w:rPr>
          <w:rtl/>
        </w:rPr>
        <w:t>(</w:t>
      </w:r>
      <w:r w:rsidRPr="006B5BAF">
        <w:rPr>
          <w:lang w:val="en-AU"/>
        </w:rPr>
        <w:footnoteRef/>
      </w:r>
      <w:r>
        <w:rPr>
          <w:rtl/>
        </w:rPr>
        <w:t>)</w:t>
      </w:r>
      <w:r>
        <w:rPr>
          <w:rtl/>
        </w:rPr>
        <w:tab/>
      </w:r>
      <w:hyperlink r:id="rId111" w:history="1">
        <w:r w:rsidRPr="00977A73">
          <w:rPr>
            <w:rStyle w:val="Hyperlink"/>
          </w:rPr>
          <w:t>CED/C/GRC/CO/</w:t>
        </w:r>
        <w:r w:rsidRPr="006B5BAF">
          <w:rPr>
            <w:rStyle w:val="Hyperlink"/>
          </w:rPr>
          <w:t>1</w:t>
        </w:r>
      </w:hyperlink>
      <w:r>
        <w:rPr>
          <w:rtl/>
        </w:rPr>
        <w:t xml:space="preserve">، الفقرة </w:t>
      </w:r>
      <w:r w:rsidRPr="006B5BAF">
        <w:rPr>
          <w:rtl/>
        </w:rPr>
        <w:t>29</w:t>
      </w:r>
      <w:r w:rsidRPr="001659E7">
        <w:rPr>
          <w:rtl/>
        </w:rPr>
        <w:t>(</w:t>
      </w:r>
      <w:r>
        <w:rPr>
          <w:rtl/>
        </w:rPr>
        <w:t>أ</w:t>
      </w:r>
      <w:r w:rsidRPr="00977A73">
        <w:rPr>
          <w:rtl/>
        </w:rPr>
        <w:t xml:space="preserve">). </w:t>
      </w:r>
    </w:p>
  </w:footnote>
  <w:footnote w:id="94">
    <w:p w14:paraId="328A6D15" w14:textId="77777777" w:rsidR="005E0255" w:rsidRPr="001659E7" w:rsidRDefault="005E0255" w:rsidP="008B2302">
      <w:pPr>
        <w:pStyle w:val="FootnoteText1"/>
      </w:pPr>
      <w:r>
        <w:rPr>
          <w:rtl/>
        </w:rPr>
        <w:t>(</w:t>
      </w:r>
      <w:r w:rsidRPr="006B5BAF">
        <w:rPr>
          <w:lang w:val="en-AU"/>
        </w:rPr>
        <w:footnoteRef/>
      </w:r>
      <w:r>
        <w:rPr>
          <w:rtl/>
        </w:rPr>
        <w:t>)</w:t>
      </w:r>
      <w:r>
        <w:rPr>
          <w:rtl/>
        </w:rPr>
        <w:tab/>
      </w:r>
      <w:hyperlink r:id="rId112" w:history="1">
        <w:r w:rsidRPr="00977A73">
          <w:rPr>
            <w:rStyle w:val="Hyperlink"/>
          </w:rPr>
          <w:t>CED/C/MEX/VR/</w:t>
        </w:r>
        <w:r w:rsidRPr="006B5BAF">
          <w:rPr>
            <w:rStyle w:val="Hyperlink"/>
          </w:rPr>
          <w:t>1</w:t>
        </w:r>
      </w:hyperlink>
      <w:r w:rsidRPr="00A260F4">
        <w:rPr>
          <w:rtl/>
        </w:rPr>
        <w:t xml:space="preserve"> </w:t>
      </w:r>
      <w:r w:rsidRPr="00A260F4">
        <w:t>(Recommendations</w:t>
      </w:r>
      <w:r w:rsidRPr="00977A73">
        <w:t>)</w:t>
      </w:r>
      <w:r w:rsidRPr="00977A73">
        <w:rPr>
          <w:rtl/>
        </w:rPr>
        <w:t xml:space="preserve">، </w:t>
      </w:r>
      <w:r>
        <w:rPr>
          <w:rtl/>
        </w:rPr>
        <w:t xml:space="preserve">الفقرة </w:t>
      </w:r>
      <w:r w:rsidRPr="006B5BAF">
        <w:rPr>
          <w:rtl/>
        </w:rPr>
        <w:t>36</w:t>
      </w:r>
      <w:r>
        <w:rPr>
          <w:rtl/>
        </w:rPr>
        <w:t>.</w:t>
      </w:r>
    </w:p>
  </w:footnote>
  <w:footnote w:id="95">
    <w:p w14:paraId="64CDA2E9" w14:textId="77777777" w:rsidR="005E0255" w:rsidRPr="001659E7" w:rsidRDefault="005E0255" w:rsidP="000A6E51">
      <w:pPr>
        <w:pStyle w:val="FootnoteText1"/>
      </w:pPr>
      <w:r>
        <w:rPr>
          <w:rtl/>
        </w:rPr>
        <w:t>(</w:t>
      </w:r>
      <w:r w:rsidRPr="006B5BAF">
        <w:rPr>
          <w:lang w:val="en-AU"/>
        </w:rPr>
        <w:footnoteRef/>
      </w:r>
      <w:r>
        <w:rPr>
          <w:rtl/>
        </w:rPr>
        <w:t>)</w:t>
      </w:r>
      <w:r>
        <w:rPr>
          <w:rtl/>
        </w:rPr>
        <w:tab/>
      </w:r>
      <w:r w:rsidRPr="006079F4">
        <w:rPr>
          <w:spacing w:val="-2"/>
          <w:rtl/>
        </w:rPr>
        <w:t xml:space="preserve">المبادئ التوجيهية للبحث عن الأشخاص المختفين، المبدآن </w:t>
      </w:r>
      <w:r w:rsidRPr="006B5BAF">
        <w:rPr>
          <w:spacing w:val="-2"/>
          <w:rtl/>
        </w:rPr>
        <w:t>6</w:t>
      </w:r>
      <w:r w:rsidRPr="006079F4">
        <w:rPr>
          <w:spacing w:val="-2"/>
          <w:rtl/>
        </w:rPr>
        <w:t xml:space="preserve"> و</w:t>
      </w:r>
      <w:r w:rsidRPr="006B5BAF">
        <w:rPr>
          <w:spacing w:val="-2"/>
          <w:rtl/>
        </w:rPr>
        <w:t>9</w:t>
      </w:r>
      <w:r w:rsidRPr="006079F4">
        <w:rPr>
          <w:spacing w:val="-2"/>
          <w:rtl/>
        </w:rPr>
        <w:t>؛ و</w:t>
      </w:r>
      <w:hyperlink r:id="rId113" w:history="1">
        <w:r w:rsidRPr="006079F4">
          <w:rPr>
            <w:rStyle w:val="Hyperlink"/>
            <w:spacing w:val="-2"/>
          </w:rPr>
          <w:t>A/HRC/</w:t>
        </w:r>
        <w:r w:rsidRPr="006B5BAF">
          <w:rPr>
            <w:rStyle w:val="Hyperlink"/>
            <w:spacing w:val="-2"/>
          </w:rPr>
          <w:t>36</w:t>
        </w:r>
        <w:r w:rsidRPr="006079F4">
          <w:rPr>
            <w:rStyle w:val="Hyperlink"/>
            <w:spacing w:val="-2"/>
          </w:rPr>
          <w:t>/</w:t>
        </w:r>
        <w:r w:rsidRPr="006B5BAF">
          <w:rPr>
            <w:rStyle w:val="Hyperlink"/>
            <w:spacing w:val="-2"/>
          </w:rPr>
          <w:t>39</w:t>
        </w:r>
        <w:r w:rsidRPr="006079F4">
          <w:rPr>
            <w:rStyle w:val="Hyperlink"/>
            <w:spacing w:val="-2"/>
          </w:rPr>
          <w:t>/Add.</w:t>
        </w:r>
        <w:r w:rsidRPr="006B5BAF">
          <w:rPr>
            <w:rStyle w:val="Hyperlink"/>
            <w:spacing w:val="-2"/>
          </w:rPr>
          <w:t>2</w:t>
        </w:r>
      </w:hyperlink>
      <w:r w:rsidRPr="006079F4">
        <w:rPr>
          <w:spacing w:val="-2"/>
          <w:rtl/>
        </w:rPr>
        <w:t xml:space="preserve">، الفقرتان </w:t>
      </w:r>
      <w:r w:rsidRPr="006B5BAF">
        <w:rPr>
          <w:spacing w:val="-2"/>
          <w:rtl/>
        </w:rPr>
        <w:t>67</w:t>
      </w:r>
      <w:r w:rsidRPr="006079F4">
        <w:rPr>
          <w:spacing w:val="-2"/>
          <w:rtl/>
        </w:rPr>
        <w:t xml:space="preserve"> و</w:t>
      </w:r>
      <w:r w:rsidRPr="006B5BAF">
        <w:rPr>
          <w:spacing w:val="-2"/>
          <w:rtl/>
        </w:rPr>
        <w:t>70</w:t>
      </w:r>
      <w:r w:rsidRPr="006079F4">
        <w:rPr>
          <w:spacing w:val="-2"/>
          <w:rtl/>
        </w:rPr>
        <w:t>؛ واللجنة المعنية</w:t>
      </w:r>
      <w:r>
        <w:rPr>
          <w:rtl/>
        </w:rPr>
        <w:t xml:space="preserve"> بحقوق الإنسان، التعليق العام رقم </w:t>
      </w:r>
      <w:r w:rsidRPr="006B5BAF">
        <w:rPr>
          <w:rtl/>
        </w:rPr>
        <w:t>36</w:t>
      </w:r>
      <w:r w:rsidRPr="001659E7">
        <w:rPr>
          <w:rtl/>
        </w:rPr>
        <w:t>(</w:t>
      </w:r>
      <w:r w:rsidRPr="006B5BAF">
        <w:rPr>
          <w:rtl/>
        </w:rPr>
        <w:t>2018</w:t>
      </w:r>
      <w:r w:rsidRPr="00977A73">
        <w:rPr>
          <w:rtl/>
        </w:rPr>
        <w:t xml:space="preserve">)، </w:t>
      </w:r>
      <w:r>
        <w:rPr>
          <w:rtl/>
        </w:rPr>
        <w:t xml:space="preserve">الفقرة </w:t>
      </w:r>
      <w:r w:rsidRPr="006B5BAF">
        <w:rPr>
          <w:rtl/>
        </w:rPr>
        <w:t>58</w:t>
      </w:r>
      <w:r>
        <w:rPr>
          <w:rtl/>
        </w:rPr>
        <w:t>؛ و</w:t>
      </w:r>
      <w:hyperlink r:id="rId114" w:history="1">
        <w:r w:rsidRPr="00977A73">
          <w:rPr>
            <w:rStyle w:val="Hyperlink"/>
          </w:rPr>
          <w:t>CED/C/ITA/CO/</w:t>
        </w:r>
        <w:r w:rsidRPr="006B5BAF">
          <w:rPr>
            <w:rStyle w:val="Hyperlink"/>
          </w:rPr>
          <w:t>1</w:t>
        </w:r>
      </w:hyperlink>
      <w:r>
        <w:rPr>
          <w:rtl/>
        </w:rPr>
        <w:t xml:space="preserve">، الفقرة </w:t>
      </w:r>
      <w:r w:rsidRPr="006B5BAF">
        <w:rPr>
          <w:rtl/>
        </w:rPr>
        <w:t>23</w:t>
      </w:r>
      <w:r>
        <w:rPr>
          <w:rtl/>
        </w:rPr>
        <w:t>.</w:t>
      </w:r>
    </w:p>
  </w:footnote>
  <w:footnote w:id="96">
    <w:p w14:paraId="59D1D917" w14:textId="77777777" w:rsidR="005E0255" w:rsidRPr="001659E7" w:rsidRDefault="005E0255" w:rsidP="00A9386B">
      <w:pPr>
        <w:pStyle w:val="FootnoteText1"/>
      </w:pPr>
      <w:r>
        <w:rPr>
          <w:rtl/>
        </w:rPr>
        <w:t>(</w:t>
      </w:r>
      <w:r w:rsidRPr="006B5BAF">
        <w:rPr>
          <w:lang w:val="en-AU"/>
        </w:rPr>
        <w:footnoteRef/>
      </w:r>
      <w:r>
        <w:rPr>
          <w:rtl/>
        </w:rPr>
        <w:t>)</w:t>
      </w:r>
      <w:r>
        <w:rPr>
          <w:rtl/>
        </w:rPr>
        <w:tab/>
      </w:r>
      <w:r w:rsidRPr="008619AE">
        <w:t>Inter-American Court of Human Rights</w:t>
      </w:r>
      <w:r w:rsidRPr="007354CB">
        <w:t xml:space="preserve">, </w:t>
      </w:r>
      <w:r w:rsidRPr="006B5BAF">
        <w:rPr>
          <w:i/>
          <w:iCs/>
        </w:rPr>
        <w:t>Gómez Palomino v. Peru</w:t>
      </w:r>
      <w:r>
        <w:t>,</w:t>
      </w:r>
      <w:r w:rsidRPr="007354CB">
        <w:t xml:space="preserve"> </w:t>
      </w:r>
      <w:r>
        <w:t xml:space="preserve">Judgment on </w:t>
      </w:r>
      <w:r w:rsidRPr="007354CB">
        <w:t xml:space="preserve">Merits, Reparations and Costs, </w:t>
      </w:r>
      <w:r w:rsidRPr="006B5BAF">
        <w:t>22</w:t>
      </w:r>
      <w:r>
        <w:t xml:space="preserve"> November </w:t>
      </w:r>
      <w:r w:rsidRPr="006B5BAF">
        <w:t>2005</w:t>
      </w:r>
      <w:r w:rsidRPr="007354CB">
        <w:t>, para</w:t>
      </w:r>
      <w:r>
        <w:t>.</w:t>
      </w:r>
      <w:r w:rsidRPr="007354CB">
        <w:t xml:space="preserve"> </w:t>
      </w:r>
      <w:r w:rsidRPr="006B5BAF">
        <w:t>106</w:t>
      </w:r>
      <w:r>
        <w:rPr>
          <w:rtl/>
        </w:rPr>
        <w:t>.</w:t>
      </w:r>
    </w:p>
  </w:footnote>
  <w:footnote w:id="97">
    <w:p w14:paraId="4DE6A703" w14:textId="77777777" w:rsidR="005E0255" w:rsidRPr="001659E7" w:rsidRDefault="005E0255" w:rsidP="00F1422F">
      <w:pPr>
        <w:pStyle w:val="FootnoteText1"/>
      </w:pPr>
      <w:r>
        <w:rPr>
          <w:rtl/>
        </w:rPr>
        <w:t>(</w:t>
      </w:r>
      <w:r w:rsidRPr="006B5BAF">
        <w:rPr>
          <w:lang w:val="en-AU"/>
        </w:rPr>
        <w:footnoteRef/>
      </w:r>
      <w:r>
        <w:rPr>
          <w:rtl/>
        </w:rPr>
        <w:t>)</w:t>
      </w:r>
      <w:r>
        <w:rPr>
          <w:rtl/>
        </w:rPr>
        <w:tab/>
      </w:r>
      <w:hyperlink r:id="rId115" w:history="1">
        <w:r w:rsidRPr="00977A73">
          <w:rPr>
            <w:rStyle w:val="Hyperlink"/>
          </w:rPr>
          <w:t>CED/C/MEX/VR/</w:t>
        </w:r>
        <w:r w:rsidRPr="006B5BAF">
          <w:rPr>
            <w:rStyle w:val="Hyperlink"/>
          </w:rPr>
          <w:t>1</w:t>
        </w:r>
      </w:hyperlink>
      <w:r w:rsidRPr="00A260F4">
        <w:rPr>
          <w:rtl/>
        </w:rPr>
        <w:t xml:space="preserve"> </w:t>
      </w:r>
      <w:r w:rsidRPr="00A260F4">
        <w:t>(Recommendations</w:t>
      </w:r>
      <w:r w:rsidRPr="00977A73">
        <w:t>)</w:t>
      </w:r>
      <w:r w:rsidRPr="00977A73">
        <w:rPr>
          <w:rtl/>
        </w:rPr>
        <w:t xml:space="preserve">، </w:t>
      </w:r>
      <w:r>
        <w:rPr>
          <w:rtl/>
        </w:rPr>
        <w:t xml:space="preserve">الفقرة </w:t>
      </w:r>
      <w:r w:rsidRPr="006B5BAF">
        <w:rPr>
          <w:rtl/>
        </w:rPr>
        <w:t>52</w:t>
      </w:r>
      <w:r>
        <w:rPr>
          <w:rtl/>
        </w:rPr>
        <w:t>.</w:t>
      </w:r>
    </w:p>
  </w:footnote>
  <w:footnote w:id="98">
    <w:p w14:paraId="3DA83421" w14:textId="77777777" w:rsidR="005E0255" w:rsidRPr="001659E7" w:rsidRDefault="005E0255" w:rsidP="00685F82">
      <w:pPr>
        <w:pStyle w:val="FootnoteText1"/>
      </w:pPr>
      <w:r>
        <w:rPr>
          <w:rtl/>
        </w:rPr>
        <w:t>(</w:t>
      </w:r>
      <w:r w:rsidRPr="006B5BAF">
        <w:rPr>
          <w:lang w:val="en-AU"/>
        </w:rPr>
        <w:footnoteRef/>
      </w:r>
      <w:r>
        <w:rPr>
          <w:rtl/>
        </w:rPr>
        <w:t>)</w:t>
      </w:r>
      <w:r>
        <w:rPr>
          <w:rtl/>
        </w:rPr>
        <w:tab/>
        <w:t xml:space="preserve">المبادئ التوجيهية للبحث عن الأشخاص المختفين، المبدآن </w:t>
      </w:r>
      <w:r w:rsidRPr="006B5BAF">
        <w:rPr>
          <w:rtl/>
        </w:rPr>
        <w:t>5</w:t>
      </w:r>
      <w:r>
        <w:rPr>
          <w:rtl/>
        </w:rPr>
        <w:t xml:space="preserve"> و</w:t>
      </w:r>
      <w:r w:rsidRPr="006B5BAF">
        <w:rPr>
          <w:rtl/>
        </w:rPr>
        <w:t>9</w:t>
      </w:r>
      <w:r>
        <w:rPr>
          <w:rtl/>
        </w:rPr>
        <w:t>؛ و</w:t>
      </w:r>
      <w:hyperlink r:id="rId116" w:history="1">
        <w:r w:rsidRPr="00977A73">
          <w:rPr>
            <w:rStyle w:val="Hyperlink"/>
          </w:rPr>
          <w:t>A/HRC/</w:t>
        </w:r>
        <w:r w:rsidRPr="006B5BAF">
          <w:rPr>
            <w:rStyle w:val="Hyperlink"/>
          </w:rPr>
          <w:t>36</w:t>
        </w:r>
        <w:r w:rsidRPr="00977A73">
          <w:rPr>
            <w:rStyle w:val="Hyperlink"/>
          </w:rPr>
          <w:t>/</w:t>
        </w:r>
        <w:r w:rsidRPr="006B5BAF">
          <w:rPr>
            <w:rStyle w:val="Hyperlink"/>
          </w:rPr>
          <w:t>39</w:t>
        </w:r>
        <w:r w:rsidRPr="00977A73">
          <w:rPr>
            <w:rStyle w:val="Hyperlink"/>
          </w:rPr>
          <w:t>/Add.</w:t>
        </w:r>
        <w:r w:rsidRPr="006B5BAF">
          <w:rPr>
            <w:rStyle w:val="Hyperlink"/>
          </w:rPr>
          <w:t>2</w:t>
        </w:r>
      </w:hyperlink>
      <w:r>
        <w:rPr>
          <w:rtl/>
        </w:rPr>
        <w:t xml:space="preserve">، الفقرات </w:t>
      </w:r>
      <w:r w:rsidRPr="006B5BAF">
        <w:rPr>
          <w:rtl/>
        </w:rPr>
        <w:t>51</w:t>
      </w:r>
      <w:r>
        <w:rPr>
          <w:rtl/>
        </w:rPr>
        <w:t xml:space="preserve"> و</w:t>
      </w:r>
      <w:r w:rsidRPr="006B5BAF">
        <w:rPr>
          <w:rtl/>
        </w:rPr>
        <w:t>54</w:t>
      </w:r>
      <w:r>
        <w:rPr>
          <w:rtl/>
        </w:rPr>
        <w:t xml:space="preserve"> و</w:t>
      </w:r>
      <w:r w:rsidRPr="006B5BAF">
        <w:rPr>
          <w:rtl/>
        </w:rPr>
        <w:t>67</w:t>
      </w:r>
      <w:r w:rsidRPr="001659E7">
        <w:rPr>
          <w:rtl/>
        </w:rPr>
        <w:t>-</w:t>
      </w:r>
      <w:r w:rsidRPr="006B5BAF">
        <w:rPr>
          <w:rtl/>
        </w:rPr>
        <w:t>69</w:t>
      </w:r>
      <w:r>
        <w:rPr>
          <w:rtl/>
        </w:rPr>
        <w:t xml:space="preserve"> و</w:t>
      </w:r>
      <w:r w:rsidRPr="006B5BAF">
        <w:rPr>
          <w:rtl/>
        </w:rPr>
        <w:t>77</w:t>
      </w:r>
      <w:r>
        <w:rPr>
          <w:rtl/>
        </w:rPr>
        <w:t xml:space="preserve"> و</w:t>
      </w:r>
      <w:r w:rsidRPr="006B5BAF">
        <w:rPr>
          <w:rtl/>
        </w:rPr>
        <w:t>78</w:t>
      </w:r>
      <w:r>
        <w:rPr>
          <w:rtl/>
        </w:rPr>
        <w:t xml:space="preserve">؛ واللجنة المعنية بحقوق الإنسان، التعليق العام رقم </w:t>
      </w:r>
      <w:r w:rsidRPr="006B5BAF">
        <w:rPr>
          <w:rtl/>
        </w:rPr>
        <w:t>36</w:t>
      </w:r>
      <w:r w:rsidRPr="001659E7">
        <w:rPr>
          <w:rtl/>
        </w:rPr>
        <w:t>(</w:t>
      </w:r>
      <w:r w:rsidRPr="006B5BAF">
        <w:rPr>
          <w:rtl/>
        </w:rPr>
        <w:t>2018</w:t>
      </w:r>
      <w:r w:rsidRPr="00977A73">
        <w:rPr>
          <w:rtl/>
        </w:rPr>
        <w:t xml:space="preserve">)، </w:t>
      </w:r>
      <w:r>
        <w:rPr>
          <w:rtl/>
        </w:rPr>
        <w:t xml:space="preserve">الفقرة </w:t>
      </w:r>
      <w:r w:rsidRPr="006B5BAF">
        <w:rPr>
          <w:rtl/>
        </w:rPr>
        <w:t>58</w:t>
      </w:r>
      <w:r>
        <w:rPr>
          <w:rtl/>
        </w:rPr>
        <w:t>.</w:t>
      </w:r>
    </w:p>
  </w:footnote>
  <w:footnote w:id="99">
    <w:p w14:paraId="140ADABC" w14:textId="77777777" w:rsidR="005E0255" w:rsidRPr="001659E7" w:rsidRDefault="005E0255" w:rsidP="00D768EB">
      <w:pPr>
        <w:pStyle w:val="FootnoteText1"/>
      </w:pPr>
      <w:r>
        <w:rPr>
          <w:rtl/>
        </w:rPr>
        <w:t>(</w:t>
      </w:r>
      <w:r w:rsidRPr="006B5BAF">
        <w:rPr>
          <w:lang w:val="en-AU"/>
        </w:rPr>
        <w:footnoteRef/>
      </w:r>
      <w:r>
        <w:rPr>
          <w:rtl/>
        </w:rPr>
        <w:t>)</w:t>
      </w:r>
      <w:r>
        <w:rPr>
          <w:rtl/>
        </w:rPr>
        <w:tab/>
        <w:t>على سبيل المثال، بروتوكول مينيسوتا المتعلق بالتحقيق في حالات الوفاة التي يُحتمل أن تكون غير مشروعة.</w:t>
      </w:r>
    </w:p>
  </w:footnote>
  <w:footnote w:id="100">
    <w:p w14:paraId="7DDE24FE" w14:textId="77777777" w:rsidR="005E0255" w:rsidRPr="001659E7" w:rsidRDefault="005E0255" w:rsidP="00D01B68">
      <w:pPr>
        <w:pStyle w:val="FootnoteText1"/>
      </w:pPr>
      <w:r>
        <w:rPr>
          <w:rtl/>
        </w:rPr>
        <w:t>(</w:t>
      </w:r>
      <w:r w:rsidRPr="006B5BAF">
        <w:rPr>
          <w:lang w:val="en-AU"/>
        </w:rPr>
        <w:footnoteRef/>
      </w:r>
      <w:r>
        <w:rPr>
          <w:rtl/>
        </w:rPr>
        <w:t>)</w:t>
      </w:r>
      <w:r>
        <w:rPr>
          <w:rtl/>
        </w:rPr>
        <w:tab/>
      </w:r>
      <w:hyperlink r:id="rId117" w:history="1">
        <w:r w:rsidRPr="00977A73">
          <w:rPr>
            <w:rStyle w:val="Hyperlink"/>
          </w:rPr>
          <w:t>A/HRC/</w:t>
        </w:r>
        <w:r w:rsidRPr="006B5BAF">
          <w:rPr>
            <w:rStyle w:val="Hyperlink"/>
          </w:rPr>
          <w:t>45</w:t>
        </w:r>
        <w:r w:rsidRPr="00977A73">
          <w:rPr>
            <w:rStyle w:val="Hyperlink"/>
          </w:rPr>
          <w:t>/</w:t>
        </w:r>
        <w:r w:rsidRPr="006B5BAF">
          <w:rPr>
            <w:rStyle w:val="Hyperlink"/>
          </w:rPr>
          <w:t>13</w:t>
        </w:r>
        <w:r w:rsidRPr="00977A73">
          <w:rPr>
            <w:rStyle w:val="Hyperlink"/>
          </w:rPr>
          <w:t>/Add.</w:t>
        </w:r>
        <w:r w:rsidRPr="006B5BAF">
          <w:rPr>
            <w:rStyle w:val="Hyperlink"/>
          </w:rPr>
          <w:t>3</w:t>
        </w:r>
      </w:hyperlink>
      <w:r>
        <w:rPr>
          <w:rtl/>
        </w:rPr>
        <w:t xml:space="preserve">، الفقرات </w:t>
      </w:r>
      <w:r w:rsidRPr="006B5BAF">
        <w:rPr>
          <w:rtl/>
        </w:rPr>
        <w:t>87</w:t>
      </w:r>
      <w:r w:rsidRPr="001659E7">
        <w:rPr>
          <w:rtl/>
        </w:rPr>
        <w:t>-</w:t>
      </w:r>
      <w:r w:rsidRPr="006B5BAF">
        <w:rPr>
          <w:rtl/>
        </w:rPr>
        <w:t>89</w:t>
      </w:r>
      <w:r>
        <w:rPr>
          <w:rtl/>
        </w:rPr>
        <w:t>.</w:t>
      </w:r>
    </w:p>
  </w:footnote>
  <w:footnote w:id="101">
    <w:p w14:paraId="427B9345" w14:textId="77777777" w:rsidR="005E0255" w:rsidRPr="001659E7" w:rsidRDefault="005E0255" w:rsidP="00780B7C">
      <w:pPr>
        <w:pStyle w:val="FootnoteText1"/>
      </w:pPr>
      <w:r>
        <w:rPr>
          <w:rtl/>
        </w:rPr>
        <w:t>(</w:t>
      </w:r>
      <w:r w:rsidRPr="006B5BAF">
        <w:rPr>
          <w:lang w:val="en-AU"/>
        </w:rPr>
        <w:footnoteRef/>
      </w:r>
      <w:r>
        <w:rPr>
          <w:rtl/>
        </w:rPr>
        <w:t>)</w:t>
      </w:r>
      <w:r>
        <w:rPr>
          <w:rtl/>
        </w:rPr>
        <w:tab/>
      </w:r>
      <w:hyperlink r:id="rId118" w:history="1">
        <w:r w:rsidRPr="00977A73">
          <w:rPr>
            <w:rStyle w:val="Hyperlink"/>
          </w:rPr>
          <w:t>CED/C/GRC/CO/</w:t>
        </w:r>
        <w:r w:rsidRPr="006B5BAF">
          <w:rPr>
            <w:rStyle w:val="Hyperlink"/>
          </w:rPr>
          <w:t>1</w:t>
        </w:r>
      </w:hyperlink>
      <w:r>
        <w:rPr>
          <w:rtl/>
        </w:rPr>
        <w:t xml:space="preserve">، الفقرة </w:t>
      </w:r>
      <w:r w:rsidRPr="006B5BAF">
        <w:rPr>
          <w:rtl/>
        </w:rPr>
        <w:t>27</w:t>
      </w:r>
      <w:r w:rsidRPr="001659E7">
        <w:rPr>
          <w:rtl/>
        </w:rPr>
        <w:t>(</w:t>
      </w:r>
      <w:r>
        <w:rPr>
          <w:rtl/>
        </w:rPr>
        <w:t>ج</w:t>
      </w:r>
      <w:r w:rsidRPr="001659E7">
        <w:rPr>
          <w:rtl/>
        </w:rPr>
        <w:t>)</w:t>
      </w:r>
      <w:r>
        <w:rPr>
          <w:rtl/>
        </w:rPr>
        <w:t>.</w:t>
      </w:r>
    </w:p>
  </w:footnote>
  <w:footnote w:id="102">
    <w:p w14:paraId="656D8A8D" w14:textId="77777777" w:rsidR="005E0255" w:rsidRPr="001659E7" w:rsidRDefault="005E0255" w:rsidP="00780B7C">
      <w:pPr>
        <w:pStyle w:val="FootnoteText1"/>
      </w:pPr>
      <w:r>
        <w:rPr>
          <w:rtl/>
        </w:rPr>
        <w:t>(</w:t>
      </w:r>
      <w:r w:rsidRPr="006B5BAF">
        <w:rPr>
          <w:lang w:val="en-AU"/>
        </w:rPr>
        <w:footnoteRef/>
      </w:r>
      <w:r>
        <w:rPr>
          <w:rtl/>
        </w:rPr>
        <w:t>)</w:t>
      </w:r>
      <w:r>
        <w:rPr>
          <w:rtl/>
        </w:rPr>
        <w:tab/>
        <w:t>انظر، على سبيل المثال،</w:t>
      </w:r>
      <w:r>
        <w:rPr>
          <w:rFonts w:hint="cs"/>
          <w:rtl/>
        </w:rPr>
        <w:t xml:space="preserve"> </w:t>
      </w:r>
      <w:r w:rsidRPr="00055C7C">
        <w:t>ICRC, “</w:t>
      </w:r>
      <w:r w:rsidRPr="0066546F">
        <w:t xml:space="preserve">Core </w:t>
      </w:r>
      <w:r w:rsidRPr="00055C7C">
        <w:t>d</w:t>
      </w:r>
      <w:r w:rsidRPr="0066546F">
        <w:t xml:space="preserve">ataset for the </w:t>
      </w:r>
      <w:r w:rsidRPr="00055C7C">
        <w:t>s</w:t>
      </w:r>
      <w:r w:rsidRPr="0066546F">
        <w:t xml:space="preserve">earch for </w:t>
      </w:r>
      <w:r w:rsidRPr="00055C7C">
        <w:t>m</w:t>
      </w:r>
      <w:r w:rsidRPr="0066546F">
        <w:t xml:space="preserve">issing </w:t>
      </w:r>
      <w:r w:rsidRPr="00055C7C">
        <w:t>m</w:t>
      </w:r>
      <w:r w:rsidRPr="0066546F">
        <w:t>igrants</w:t>
      </w:r>
      <w:r w:rsidRPr="00055C7C">
        <w:t>”</w:t>
      </w:r>
      <w:r w:rsidRPr="001659E7">
        <w:rPr>
          <w:rtl/>
        </w:rPr>
        <w:t>.</w:t>
      </w:r>
      <w:r>
        <w:rPr>
          <w:rtl/>
        </w:rPr>
        <w:t xml:space="preserve"> </w:t>
      </w:r>
    </w:p>
  </w:footnote>
  <w:footnote w:id="103">
    <w:p w14:paraId="16370354" w14:textId="77777777" w:rsidR="005E0255" w:rsidRPr="001659E7" w:rsidRDefault="005E0255" w:rsidP="00780B7C">
      <w:pPr>
        <w:pStyle w:val="FootnoteText1"/>
      </w:pPr>
      <w:r>
        <w:rPr>
          <w:rtl/>
        </w:rPr>
        <w:t>(</w:t>
      </w:r>
      <w:r w:rsidRPr="006B5BAF">
        <w:rPr>
          <w:lang w:val="en-AU"/>
        </w:rPr>
        <w:footnoteRef/>
      </w:r>
      <w:r>
        <w:rPr>
          <w:rtl/>
        </w:rPr>
        <w:t>)</w:t>
      </w:r>
      <w:r>
        <w:rPr>
          <w:rtl/>
        </w:rPr>
        <w:tab/>
      </w:r>
      <w:hyperlink r:id="rId119" w:history="1">
        <w:r w:rsidRPr="00977A73">
          <w:rPr>
            <w:rStyle w:val="Hyperlink"/>
          </w:rPr>
          <w:t>CED/C/GRC/CO/</w:t>
        </w:r>
        <w:r w:rsidRPr="006B5BAF">
          <w:rPr>
            <w:rStyle w:val="Hyperlink"/>
          </w:rPr>
          <w:t>1</w:t>
        </w:r>
      </w:hyperlink>
      <w:r>
        <w:rPr>
          <w:rtl/>
        </w:rPr>
        <w:t xml:space="preserve">، الفقرة </w:t>
      </w:r>
      <w:r w:rsidRPr="006B5BAF">
        <w:rPr>
          <w:rtl/>
        </w:rPr>
        <w:t>27</w:t>
      </w:r>
      <w:r w:rsidRPr="001659E7">
        <w:rPr>
          <w:rtl/>
        </w:rPr>
        <w:t>(</w:t>
      </w:r>
      <w:r>
        <w:rPr>
          <w:rtl/>
        </w:rPr>
        <w:t>ه</w:t>
      </w:r>
      <w:r w:rsidRPr="00977A73">
        <w:rPr>
          <w:rtl/>
        </w:rPr>
        <w:t xml:space="preserve">)؛ </w:t>
      </w:r>
      <w:r>
        <w:rPr>
          <w:rtl/>
        </w:rPr>
        <w:t>و</w:t>
      </w:r>
      <w:hyperlink r:id="rId120" w:history="1">
        <w:r w:rsidRPr="00977A73">
          <w:rPr>
            <w:rStyle w:val="Hyperlink"/>
          </w:rPr>
          <w:t>CED/C/HND/CO/</w:t>
        </w:r>
        <w:r w:rsidRPr="006B5BAF">
          <w:rPr>
            <w:rStyle w:val="Hyperlink"/>
          </w:rPr>
          <w:t>1</w:t>
        </w:r>
      </w:hyperlink>
      <w:r>
        <w:rPr>
          <w:rtl/>
        </w:rPr>
        <w:t xml:space="preserve">، الفقرة </w:t>
      </w:r>
      <w:r w:rsidRPr="006B5BAF">
        <w:rPr>
          <w:rtl/>
        </w:rPr>
        <w:t>25</w:t>
      </w:r>
      <w:r w:rsidRPr="001659E7">
        <w:rPr>
          <w:rtl/>
        </w:rPr>
        <w:t>(</w:t>
      </w:r>
      <w:r>
        <w:rPr>
          <w:rtl/>
        </w:rPr>
        <w:t>ج</w:t>
      </w:r>
      <w:r w:rsidRPr="001659E7">
        <w:rPr>
          <w:rtl/>
        </w:rPr>
        <w:t>)</w:t>
      </w:r>
      <w:r>
        <w:rPr>
          <w:rtl/>
        </w:rPr>
        <w:t>.</w:t>
      </w:r>
    </w:p>
  </w:footnote>
  <w:footnote w:id="104">
    <w:p w14:paraId="69FFC1D5" w14:textId="77777777" w:rsidR="005E0255" w:rsidRPr="001659E7" w:rsidRDefault="005E0255" w:rsidP="00780B7C">
      <w:pPr>
        <w:pStyle w:val="FootnoteText1"/>
      </w:pPr>
      <w:r w:rsidRPr="002A237E">
        <w:rPr>
          <w:spacing w:val="-2"/>
          <w:rtl/>
        </w:rPr>
        <w:t>(</w:t>
      </w:r>
      <w:r w:rsidRPr="006B5BAF">
        <w:rPr>
          <w:spacing w:val="-2"/>
          <w:lang w:val="en-AU"/>
        </w:rPr>
        <w:footnoteRef/>
      </w:r>
      <w:r w:rsidRPr="002A237E">
        <w:rPr>
          <w:spacing w:val="-2"/>
          <w:rtl/>
        </w:rPr>
        <w:t>)</w:t>
      </w:r>
      <w:r w:rsidRPr="002A237E">
        <w:rPr>
          <w:spacing w:val="-2"/>
          <w:rtl/>
        </w:rPr>
        <w:tab/>
      </w:r>
      <w:r w:rsidRPr="002A237E">
        <w:rPr>
          <w:spacing w:val="-2"/>
        </w:rPr>
        <w:t xml:space="preserve">Border Violence Monitoring Network, “EU Member States’ use of new </w:t>
      </w:r>
      <w:proofErr w:type="gramStart"/>
      <w:r w:rsidRPr="002A237E">
        <w:rPr>
          <w:spacing w:val="-2"/>
        </w:rPr>
        <w:t>technologies”,</w:t>
      </w:r>
      <w:proofErr w:type="gramEnd"/>
      <w:r w:rsidRPr="002A237E">
        <w:rPr>
          <w:spacing w:val="-2"/>
        </w:rPr>
        <w:t xml:space="preserve"> paras. </w:t>
      </w:r>
      <w:r w:rsidRPr="006B5BAF">
        <w:rPr>
          <w:spacing w:val="-2"/>
        </w:rPr>
        <w:t>16</w:t>
      </w:r>
      <w:r w:rsidRPr="002A237E">
        <w:rPr>
          <w:spacing w:val="-2"/>
        </w:rPr>
        <w:t>–</w:t>
      </w:r>
      <w:r w:rsidRPr="006B5BAF">
        <w:rPr>
          <w:spacing w:val="-2"/>
        </w:rPr>
        <w:t>28</w:t>
      </w:r>
      <w:r>
        <w:rPr>
          <w:rtl/>
        </w:rPr>
        <w:t>.</w:t>
      </w:r>
    </w:p>
  </w:footnote>
  <w:footnote w:id="105">
    <w:p w14:paraId="141918FF" w14:textId="1699E5C9" w:rsidR="005E0255" w:rsidRPr="001659E7" w:rsidRDefault="005E0255" w:rsidP="00780B7C">
      <w:pPr>
        <w:pStyle w:val="FootnoteText1"/>
      </w:pPr>
      <w:r>
        <w:rPr>
          <w:rtl/>
        </w:rPr>
        <w:t>(</w:t>
      </w:r>
      <w:r w:rsidRPr="006B5BAF">
        <w:rPr>
          <w:lang w:val="en-AU"/>
        </w:rPr>
        <w:footnoteRef/>
      </w:r>
      <w:r>
        <w:rPr>
          <w:rtl/>
        </w:rPr>
        <w:t>)</w:t>
      </w:r>
      <w:r>
        <w:rPr>
          <w:rtl/>
        </w:rPr>
        <w:tab/>
      </w:r>
      <w:hyperlink r:id="rId121" w:history="1">
        <w:r w:rsidRPr="00977A73">
          <w:rPr>
            <w:rStyle w:val="Hyperlink"/>
          </w:rPr>
          <w:t>A/HRC/</w:t>
        </w:r>
        <w:r w:rsidRPr="006B5BAF">
          <w:rPr>
            <w:rStyle w:val="Hyperlink"/>
          </w:rPr>
          <w:t>36</w:t>
        </w:r>
        <w:r w:rsidRPr="00977A73">
          <w:rPr>
            <w:rStyle w:val="Hyperlink"/>
          </w:rPr>
          <w:t>/</w:t>
        </w:r>
        <w:r w:rsidRPr="006B5BAF">
          <w:rPr>
            <w:rStyle w:val="Hyperlink"/>
          </w:rPr>
          <w:t>39</w:t>
        </w:r>
        <w:r w:rsidRPr="00977A73">
          <w:rPr>
            <w:rStyle w:val="Hyperlink"/>
          </w:rPr>
          <w:t>/Add.</w:t>
        </w:r>
        <w:r w:rsidRPr="006B5BAF">
          <w:rPr>
            <w:rStyle w:val="Hyperlink"/>
          </w:rPr>
          <w:t>2</w:t>
        </w:r>
      </w:hyperlink>
      <w:r>
        <w:rPr>
          <w:rtl/>
        </w:rPr>
        <w:t xml:space="preserve">، الفقرة </w:t>
      </w:r>
      <w:r w:rsidRPr="006B5BAF">
        <w:rPr>
          <w:rtl/>
        </w:rPr>
        <w:t>69</w:t>
      </w:r>
      <w:r>
        <w:rPr>
          <w:rtl/>
        </w:rPr>
        <w:t xml:space="preserve">؛ </w:t>
      </w:r>
      <w:proofErr w:type="gramStart"/>
      <w:r>
        <w:rPr>
          <w:rtl/>
        </w:rPr>
        <w:t>و</w:t>
      </w:r>
      <w:r>
        <w:rPr>
          <w:rFonts w:hint="cs"/>
          <w:rtl/>
        </w:rPr>
        <w:t xml:space="preserve"> </w:t>
      </w:r>
      <w:r>
        <w:t>Melanie</w:t>
      </w:r>
      <w:proofErr w:type="gramEnd"/>
      <w:r>
        <w:t xml:space="preserve"> </w:t>
      </w:r>
      <w:r w:rsidRPr="007354CB">
        <w:t xml:space="preserve">Klinkner and </w:t>
      </w:r>
      <w:r>
        <w:t xml:space="preserve">Ellie </w:t>
      </w:r>
      <w:r w:rsidRPr="007354CB">
        <w:t xml:space="preserve">Smith, </w:t>
      </w:r>
      <w:r w:rsidRPr="006B5BAF">
        <w:rPr>
          <w:i/>
          <w:iCs/>
        </w:rPr>
        <w:t>The Bournemouth Protocol on Mass Grave Protection and Investigation</w:t>
      </w:r>
      <w:r w:rsidRPr="007354CB">
        <w:t xml:space="preserve"> </w:t>
      </w:r>
      <w:r>
        <w:t xml:space="preserve">(Bournemouth, </w:t>
      </w:r>
      <w:r w:rsidRPr="007354CB">
        <w:t xml:space="preserve">Bournemouth University, </w:t>
      </w:r>
      <w:r w:rsidRPr="006B5BAF">
        <w:t>2020</w:t>
      </w:r>
      <w:r>
        <w:t>)</w:t>
      </w:r>
      <w:r w:rsidRPr="00977A73">
        <w:rPr>
          <w:rtl/>
        </w:rPr>
        <w:t xml:space="preserve">؛ </w:t>
      </w:r>
      <w:r>
        <w:rPr>
          <w:rtl/>
        </w:rPr>
        <w:t>واللجنة الدولية لشؤون المفقودين، "معايير التحقيق"</w:t>
      </w:r>
      <w:r w:rsidR="00C92A59">
        <w:rPr>
          <w:rFonts w:hint="cs"/>
          <w:rtl/>
        </w:rPr>
        <w:t>.</w:t>
      </w:r>
    </w:p>
  </w:footnote>
  <w:footnote w:id="106">
    <w:p w14:paraId="433169F7" w14:textId="77777777" w:rsidR="005E0255" w:rsidRPr="001659E7" w:rsidRDefault="005E0255" w:rsidP="00780B7C">
      <w:pPr>
        <w:pStyle w:val="FootnoteText1"/>
      </w:pPr>
      <w:r>
        <w:rPr>
          <w:rtl/>
        </w:rPr>
        <w:t>(</w:t>
      </w:r>
      <w:r w:rsidRPr="006B5BAF">
        <w:rPr>
          <w:lang w:val="en-AU"/>
        </w:rPr>
        <w:footnoteRef/>
      </w:r>
      <w:r>
        <w:rPr>
          <w:rtl/>
        </w:rPr>
        <w:t>)</w:t>
      </w:r>
      <w:r>
        <w:rPr>
          <w:rtl/>
        </w:rPr>
        <w:tab/>
      </w:r>
      <w:hyperlink r:id="rId122" w:history="1">
        <w:r w:rsidRPr="00977A73">
          <w:rPr>
            <w:rStyle w:val="Hyperlink"/>
          </w:rPr>
          <w:t>CED/C/GRC/CO/</w:t>
        </w:r>
        <w:r w:rsidRPr="006B5BAF">
          <w:rPr>
            <w:rStyle w:val="Hyperlink"/>
          </w:rPr>
          <w:t>1</w:t>
        </w:r>
      </w:hyperlink>
      <w:r>
        <w:rPr>
          <w:rtl/>
        </w:rPr>
        <w:t xml:space="preserve">، الفقرة </w:t>
      </w:r>
      <w:r w:rsidRPr="006B5BAF">
        <w:rPr>
          <w:rtl/>
        </w:rPr>
        <w:t>27</w:t>
      </w:r>
      <w:r w:rsidRPr="001659E7">
        <w:rPr>
          <w:rtl/>
        </w:rPr>
        <w:t>(</w:t>
      </w:r>
      <w:r>
        <w:rPr>
          <w:rtl/>
        </w:rPr>
        <w:t>د</w:t>
      </w:r>
      <w:r w:rsidRPr="00977A73">
        <w:rPr>
          <w:rtl/>
        </w:rPr>
        <w:t xml:space="preserve">). </w:t>
      </w:r>
      <w:r>
        <w:rPr>
          <w:rtl/>
        </w:rPr>
        <w:t xml:space="preserve">انظر أيضاً </w:t>
      </w:r>
      <w:r w:rsidRPr="007354CB">
        <w:rPr>
          <w:rFonts w:eastAsiaTheme="minorEastAsia"/>
        </w:rPr>
        <w:t>International Commission on Missing Persons</w:t>
      </w:r>
      <w:r>
        <w:rPr>
          <w:rFonts w:eastAsiaTheme="minorEastAsia"/>
        </w:rPr>
        <w:t>,</w:t>
      </w:r>
      <w:r>
        <w:t xml:space="preserve"> </w:t>
      </w:r>
      <w:r w:rsidRPr="006B5BAF">
        <w:rPr>
          <w:i/>
          <w:iCs/>
        </w:rPr>
        <w:t>The Missing: An Agenda for the Future – Conference Report</w:t>
      </w:r>
      <w:r>
        <w:t xml:space="preserve"> (The Hague, </w:t>
      </w:r>
      <w:r w:rsidRPr="006B5BAF">
        <w:t>2014</w:t>
      </w:r>
      <w:r>
        <w:t>)</w:t>
      </w:r>
      <w:r>
        <w:rPr>
          <w:rFonts w:hint="cs"/>
          <w:rtl/>
        </w:rPr>
        <w:t xml:space="preserve"> </w:t>
      </w:r>
      <w:r w:rsidRPr="001659E7">
        <w:rPr>
          <w:rtl/>
        </w:rPr>
        <w:t>(</w:t>
      </w:r>
      <w:r>
        <w:rPr>
          <w:rtl/>
        </w:rPr>
        <w:t xml:space="preserve">اللجنة الدولية المعنية لشؤون المفقودين، </w:t>
      </w:r>
      <w:r w:rsidRPr="001659E7">
        <w:rPr>
          <w:rtl/>
        </w:rPr>
        <w:t>المفقودون: جدول أعمال للمستقبل</w:t>
      </w:r>
      <w:r>
        <w:rPr>
          <w:rtl/>
        </w:rPr>
        <w:t xml:space="preserve"> - </w:t>
      </w:r>
      <w:r w:rsidRPr="001659E7">
        <w:rPr>
          <w:rtl/>
        </w:rPr>
        <w:t>تقرير المؤتمر</w:t>
      </w:r>
      <w:r>
        <w:rPr>
          <w:rtl/>
        </w:rPr>
        <w:t xml:space="preserve"> (لاهاي، </w:t>
      </w:r>
      <w:r w:rsidRPr="006B5BAF">
        <w:rPr>
          <w:rtl/>
        </w:rPr>
        <w:t>2014</w:t>
      </w:r>
      <w:r w:rsidRPr="00977A73">
        <w:rPr>
          <w:rtl/>
        </w:rPr>
        <w:t xml:space="preserve">). </w:t>
      </w:r>
    </w:p>
  </w:footnote>
  <w:footnote w:id="107">
    <w:p w14:paraId="6B534BBA" w14:textId="77777777" w:rsidR="005E0255" w:rsidRPr="001659E7" w:rsidRDefault="005E0255" w:rsidP="00780B7C">
      <w:pPr>
        <w:pStyle w:val="FootnoteText1"/>
        <w:textDirection w:val="tbRlV"/>
      </w:pPr>
      <w:r>
        <w:rPr>
          <w:rtl/>
        </w:rPr>
        <w:t>(</w:t>
      </w:r>
      <w:r w:rsidRPr="006B5BAF">
        <w:rPr>
          <w:lang w:val="en-AU"/>
        </w:rPr>
        <w:footnoteRef/>
      </w:r>
      <w:r>
        <w:rPr>
          <w:rtl/>
        </w:rPr>
        <w:t>)</w:t>
      </w:r>
      <w:r>
        <w:rPr>
          <w:rtl/>
        </w:rPr>
        <w:tab/>
      </w:r>
      <w:r w:rsidRPr="002A237E">
        <w:rPr>
          <w:spacing w:val="-4"/>
          <w:rtl/>
        </w:rPr>
        <w:t xml:space="preserve">انظر أيضاً الإعلان المتعلق بحماية جميع الأشخاص من الاختفاء القسري، المادة </w:t>
      </w:r>
      <w:r w:rsidRPr="006B5BAF">
        <w:rPr>
          <w:spacing w:val="-4"/>
          <w:rtl/>
        </w:rPr>
        <w:t>19</w:t>
      </w:r>
      <w:r w:rsidRPr="002A237E">
        <w:rPr>
          <w:spacing w:val="-4"/>
          <w:rtl/>
        </w:rPr>
        <w:t>؛ و</w:t>
      </w:r>
      <w:hyperlink r:id="rId123" w:history="1">
        <w:r w:rsidRPr="002A237E">
          <w:rPr>
            <w:rStyle w:val="Hyperlink"/>
            <w:spacing w:val="-4"/>
          </w:rPr>
          <w:t>E/CN.</w:t>
        </w:r>
        <w:r w:rsidRPr="006B5BAF">
          <w:rPr>
            <w:rStyle w:val="Hyperlink"/>
            <w:spacing w:val="-4"/>
          </w:rPr>
          <w:t>4</w:t>
        </w:r>
        <w:r w:rsidRPr="002A237E">
          <w:rPr>
            <w:rStyle w:val="Hyperlink"/>
            <w:spacing w:val="-4"/>
          </w:rPr>
          <w:t>/</w:t>
        </w:r>
        <w:r w:rsidRPr="006B5BAF">
          <w:rPr>
            <w:rStyle w:val="Hyperlink"/>
            <w:spacing w:val="-4"/>
          </w:rPr>
          <w:t>1998</w:t>
        </w:r>
        <w:r w:rsidRPr="002A237E">
          <w:rPr>
            <w:rStyle w:val="Hyperlink"/>
            <w:spacing w:val="-4"/>
          </w:rPr>
          <w:t>/</w:t>
        </w:r>
        <w:r w:rsidRPr="006B5BAF">
          <w:rPr>
            <w:rStyle w:val="Hyperlink"/>
            <w:spacing w:val="-4"/>
          </w:rPr>
          <w:t>43</w:t>
        </w:r>
      </w:hyperlink>
      <w:r w:rsidRPr="002A237E">
        <w:rPr>
          <w:spacing w:val="-4"/>
          <w:rtl/>
        </w:rPr>
        <w:t xml:space="preserve">، الفقرات </w:t>
      </w:r>
      <w:r w:rsidRPr="006B5BAF">
        <w:rPr>
          <w:spacing w:val="-4"/>
          <w:rtl/>
        </w:rPr>
        <w:t>68</w:t>
      </w:r>
      <w:r w:rsidRPr="002A237E">
        <w:rPr>
          <w:spacing w:val="-4"/>
          <w:rtl/>
        </w:rPr>
        <w:t>-</w:t>
      </w:r>
      <w:r w:rsidRPr="006B5BAF">
        <w:rPr>
          <w:spacing w:val="-4"/>
          <w:rtl/>
        </w:rPr>
        <w:t>75</w:t>
      </w:r>
      <w:r w:rsidRPr="002A237E">
        <w:rPr>
          <w:spacing w:val="-4"/>
          <w:rtl/>
        </w:rPr>
        <w:t xml:space="preserve">؛ </w:t>
      </w:r>
      <w:r>
        <w:rPr>
          <w:rtl/>
        </w:rPr>
        <w:t>و</w:t>
      </w:r>
      <w:hyperlink r:id="rId124" w:history="1">
        <w:r w:rsidRPr="00977A73">
          <w:rPr>
            <w:rStyle w:val="Hyperlink"/>
          </w:rPr>
          <w:t>CED/C/JPN/CO/</w:t>
        </w:r>
        <w:r w:rsidRPr="006B5BAF">
          <w:rPr>
            <w:rStyle w:val="Hyperlink"/>
          </w:rPr>
          <w:t>1</w:t>
        </w:r>
      </w:hyperlink>
      <w:r>
        <w:rPr>
          <w:rtl/>
        </w:rPr>
        <w:t xml:space="preserve">، الفقرات </w:t>
      </w:r>
      <w:r w:rsidRPr="006B5BAF">
        <w:rPr>
          <w:rtl/>
        </w:rPr>
        <w:t>25</w:t>
      </w:r>
      <w:r>
        <w:rPr>
          <w:rtl/>
        </w:rPr>
        <w:t xml:space="preserve"> و</w:t>
      </w:r>
      <w:r w:rsidRPr="006B5BAF">
        <w:rPr>
          <w:rtl/>
        </w:rPr>
        <w:t>26</w:t>
      </w:r>
      <w:r>
        <w:rPr>
          <w:rtl/>
        </w:rPr>
        <w:t xml:space="preserve"> و</w:t>
      </w:r>
      <w:r w:rsidRPr="006B5BAF">
        <w:rPr>
          <w:rtl/>
        </w:rPr>
        <w:t>40</w:t>
      </w:r>
      <w:r>
        <w:rPr>
          <w:rtl/>
        </w:rPr>
        <w:t>؛ و</w:t>
      </w:r>
      <w:hyperlink r:id="rId125" w:history="1">
        <w:r w:rsidRPr="00977A73">
          <w:rPr>
            <w:rStyle w:val="Hyperlink"/>
          </w:rPr>
          <w:t>CCPR/C/MEX/CO/</w:t>
        </w:r>
        <w:r w:rsidRPr="006B5BAF">
          <w:rPr>
            <w:rStyle w:val="Hyperlink"/>
          </w:rPr>
          <w:t>5</w:t>
        </w:r>
      </w:hyperlink>
      <w:r>
        <w:rPr>
          <w:rtl/>
        </w:rPr>
        <w:t xml:space="preserve">، الفقرة </w:t>
      </w:r>
      <w:r w:rsidRPr="006B5BAF">
        <w:rPr>
          <w:rtl/>
        </w:rPr>
        <w:t>12</w:t>
      </w:r>
      <w:r>
        <w:rPr>
          <w:rtl/>
        </w:rPr>
        <w:t>؛ و</w:t>
      </w:r>
      <w:hyperlink r:id="rId126" w:history="1">
        <w:r w:rsidRPr="00977A73">
          <w:rPr>
            <w:rStyle w:val="Hyperlink"/>
          </w:rPr>
          <w:t>CCPR/C/MEX/CO/</w:t>
        </w:r>
        <w:r w:rsidRPr="006B5BAF">
          <w:rPr>
            <w:rStyle w:val="Hyperlink"/>
          </w:rPr>
          <w:t>6</w:t>
        </w:r>
      </w:hyperlink>
      <w:r>
        <w:rPr>
          <w:rtl/>
        </w:rPr>
        <w:t xml:space="preserve">، الفقرتان </w:t>
      </w:r>
      <w:r w:rsidRPr="006B5BAF">
        <w:rPr>
          <w:rtl/>
        </w:rPr>
        <w:t>29</w:t>
      </w:r>
      <w:r>
        <w:rPr>
          <w:rtl/>
        </w:rPr>
        <w:t xml:space="preserve"> و</w:t>
      </w:r>
      <w:r w:rsidRPr="006B5BAF">
        <w:rPr>
          <w:rtl/>
        </w:rPr>
        <w:t>33</w:t>
      </w:r>
      <w:r>
        <w:rPr>
          <w:rtl/>
        </w:rPr>
        <w:t>.</w:t>
      </w:r>
    </w:p>
  </w:footnote>
  <w:footnote w:id="108">
    <w:p w14:paraId="38EC3BBC" w14:textId="77777777" w:rsidR="005E0255" w:rsidRPr="001659E7" w:rsidRDefault="005E0255" w:rsidP="00835B4F">
      <w:pPr>
        <w:pStyle w:val="FootnoteText1"/>
        <w:textDirection w:val="tbRlV"/>
      </w:pPr>
      <w:r>
        <w:rPr>
          <w:rtl/>
        </w:rPr>
        <w:t>(</w:t>
      </w:r>
      <w:r w:rsidRPr="006B5BAF">
        <w:rPr>
          <w:lang w:val="en-AU"/>
        </w:rPr>
        <w:footnoteRef/>
      </w:r>
      <w:r>
        <w:rPr>
          <w:rtl/>
        </w:rPr>
        <w:t>)</w:t>
      </w:r>
      <w:r>
        <w:rPr>
          <w:rtl/>
        </w:rPr>
        <w:tab/>
      </w:r>
      <w:hyperlink r:id="rId127" w:history="1">
        <w:r w:rsidRPr="00977A73">
          <w:rPr>
            <w:rStyle w:val="Hyperlink"/>
          </w:rPr>
          <w:t>CED/C/MEX/VR/</w:t>
        </w:r>
        <w:r w:rsidRPr="006B5BAF">
          <w:rPr>
            <w:rStyle w:val="Hyperlink"/>
          </w:rPr>
          <w:t>1</w:t>
        </w:r>
      </w:hyperlink>
      <w:r w:rsidRPr="001659E7">
        <w:t xml:space="preserve"> (Recommendations</w:t>
      </w:r>
      <w:r w:rsidRPr="00977A73">
        <w:t>)</w:t>
      </w:r>
      <w:r w:rsidRPr="00977A73">
        <w:rPr>
          <w:rtl/>
        </w:rPr>
        <w:t xml:space="preserve">، </w:t>
      </w:r>
      <w:r>
        <w:rPr>
          <w:rtl/>
        </w:rPr>
        <w:t xml:space="preserve">الفقرة </w:t>
      </w:r>
      <w:r w:rsidRPr="006B5BAF">
        <w:rPr>
          <w:rtl/>
        </w:rPr>
        <w:t>47</w:t>
      </w:r>
      <w:r>
        <w:rPr>
          <w:rtl/>
        </w:rPr>
        <w:t>.</w:t>
      </w:r>
    </w:p>
  </w:footnote>
  <w:footnote w:id="109">
    <w:p w14:paraId="03130076" w14:textId="77777777" w:rsidR="005E0255" w:rsidRPr="001659E7" w:rsidRDefault="005E0255" w:rsidP="00B03D2C">
      <w:pPr>
        <w:pStyle w:val="FootnoteText1"/>
        <w:textDirection w:val="tbRlV"/>
      </w:pPr>
      <w:r>
        <w:rPr>
          <w:rtl/>
        </w:rPr>
        <w:t>(</w:t>
      </w:r>
      <w:r w:rsidRPr="006B5BAF">
        <w:rPr>
          <w:lang w:val="en-AU"/>
        </w:rPr>
        <w:footnoteRef/>
      </w:r>
      <w:r>
        <w:rPr>
          <w:rtl/>
        </w:rPr>
        <w:t>)</w:t>
      </w:r>
      <w:r>
        <w:rPr>
          <w:rtl/>
        </w:rPr>
        <w:tab/>
      </w:r>
      <w:hyperlink r:id="rId128" w:history="1">
        <w:r w:rsidRPr="00977A73">
          <w:rPr>
            <w:rStyle w:val="Hyperlink"/>
          </w:rPr>
          <w:t>CED/C/HND/CO/</w:t>
        </w:r>
        <w:r w:rsidRPr="006B5BAF">
          <w:rPr>
            <w:rStyle w:val="Hyperlink"/>
          </w:rPr>
          <w:t>1</w:t>
        </w:r>
      </w:hyperlink>
      <w:r>
        <w:rPr>
          <w:rtl/>
        </w:rPr>
        <w:t xml:space="preserve">، الفقرة </w:t>
      </w:r>
      <w:r w:rsidRPr="006B5BAF">
        <w:rPr>
          <w:rtl/>
        </w:rPr>
        <w:t>29</w:t>
      </w:r>
      <w:r>
        <w:rPr>
          <w:rtl/>
        </w:rPr>
        <w:t>؛ و</w:t>
      </w:r>
      <w:hyperlink r:id="rId129" w:history="1">
        <w:r w:rsidRPr="00977A73">
          <w:rPr>
            <w:rStyle w:val="Hyperlink"/>
          </w:rPr>
          <w:t>CED/C/PAN/CO/</w:t>
        </w:r>
        <w:r w:rsidRPr="006B5BAF">
          <w:rPr>
            <w:rStyle w:val="Hyperlink"/>
          </w:rPr>
          <w:t>1</w:t>
        </w:r>
      </w:hyperlink>
      <w:r>
        <w:rPr>
          <w:rtl/>
        </w:rPr>
        <w:t xml:space="preserve">، الفقرة </w:t>
      </w:r>
      <w:r w:rsidRPr="006B5BAF">
        <w:rPr>
          <w:rtl/>
        </w:rPr>
        <w:t>13</w:t>
      </w:r>
      <w:r>
        <w:rPr>
          <w:rtl/>
        </w:rPr>
        <w:t>؛ و</w:t>
      </w:r>
      <w:hyperlink r:id="rId130" w:history="1">
        <w:r w:rsidRPr="00977A73">
          <w:rPr>
            <w:rStyle w:val="Hyperlink"/>
          </w:rPr>
          <w:t>CED/C/</w:t>
        </w:r>
        <w:r w:rsidRPr="006B5BAF">
          <w:rPr>
            <w:rStyle w:val="Hyperlink"/>
          </w:rPr>
          <w:t>15</w:t>
        </w:r>
        <w:r w:rsidRPr="00977A73">
          <w:rPr>
            <w:rStyle w:val="Hyperlink"/>
          </w:rPr>
          <w:t>/</w:t>
        </w:r>
        <w:r w:rsidRPr="006B5BAF">
          <w:rPr>
            <w:rStyle w:val="Hyperlink"/>
          </w:rPr>
          <w:t>3</w:t>
        </w:r>
      </w:hyperlink>
      <w:r>
        <w:rPr>
          <w:rtl/>
        </w:rPr>
        <w:t xml:space="preserve">، الفقرة </w:t>
      </w:r>
      <w:r w:rsidRPr="006B5BAF">
        <w:rPr>
          <w:rtl/>
        </w:rPr>
        <w:t>12</w:t>
      </w:r>
      <w:r w:rsidRPr="00977A73">
        <w:rPr>
          <w:rtl/>
        </w:rPr>
        <w:t xml:space="preserve">. </w:t>
      </w:r>
      <w:r>
        <w:rPr>
          <w:rtl/>
        </w:rPr>
        <w:t xml:space="preserve">انظر أيضاً </w:t>
      </w:r>
      <w:hyperlink r:id="rId131" w:history="1">
        <w:r w:rsidRPr="00977A73">
          <w:rPr>
            <w:rStyle w:val="Hyperlink"/>
          </w:rPr>
          <w:t>A/HRC/</w:t>
        </w:r>
        <w:r w:rsidRPr="006B5BAF">
          <w:rPr>
            <w:rStyle w:val="Hyperlink"/>
          </w:rPr>
          <w:t>54</w:t>
        </w:r>
        <w:r w:rsidRPr="00977A73">
          <w:rPr>
            <w:rStyle w:val="Hyperlink"/>
          </w:rPr>
          <w:t>/</w:t>
        </w:r>
        <w:r w:rsidRPr="006B5BAF">
          <w:rPr>
            <w:rStyle w:val="Hyperlink"/>
          </w:rPr>
          <w:t>22</w:t>
        </w:r>
        <w:r w:rsidRPr="00977A73">
          <w:rPr>
            <w:rStyle w:val="Hyperlink"/>
          </w:rPr>
          <w:t>/Add.</w:t>
        </w:r>
        <w:r w:rsidRPr="006B5BAF">
          <w:rPr>
            <w:rStyle w:val="Hyperlink"/>
          </w:rPr>
          <w:t>5</w:t>
        </w:r>
      </w:hyperlink>
      <w:r w:rsidRPr="00977A73">
        <w:rPr>
          <w:rtl/>
        </w:rPr>
        <w:t xml:space="preserve">. </w:t>
      </w:r>
    </w:p>
  </w:footnote>
  <w:footnote w:id="110">
    <w:p w14:paraId="46648308" w14:textId="77777777" w:rsidR="005E0255" w:rsidRPr="001659E7" w:rsidRDefault="005E0255" w:rsidP="007A6CAB">
      <w:pPr>
        <w:pStyle w:val="FootnoteText1"/>
        <w:textDirection w:val="tbRlV"/>
      </w:pPr>
      <w:r>
        <w:rPr>
          <w:rtl/>
        </w:rPr>
        <w:t>(</w:t>
      </w:r>
      <w:r w:rsidRPr="006B5BAF">
        <w:rPr>
          <w:lang w:val="en-AU"/>
        </w:rPr>
        <w:footnoteRef/>
      </w:r>
      <w:r>
        <w:rPr>
          <w:rtl/>
        </w:rPr>
        <w:t>)</w:t>
      </w:r>
      <w:r>
        <w:rPr>
          <w:rtl/>
        </w:rPr>
        <w:tab/>
      </w:r>
      <w:hyperlink r:id="rId132" w:history="1">
        <w:r w:rsidRPr="00977A73">
          <w:rPr>
            <w:rStyle w:val="Hyperlink"/>
          </w:rPr>
          <w:t>CED/C/GAB/CO/</w:t>
        </w:r>
        <w:r w:rsidRPr="006B5BAF">
          <w:rPr>
            <w:rStyle w:val="Hyperlink"/>
          </w:rPr>
          <w:t>1</w:t>
        </w:r>
      </w:hyperlink>
      <w:r>
        <w:rPr>
          <w:rtl/>
        </w:rPr>
        <w:t xml:space="preserve">، الفقرة </w:t>
      </w:r>
      <w:r w:rsidRPr="006B5BAF">
        <w:rPr>
          <w:rtl/>
        </w:rPr>
        <w:t>19</w:t>
      </w:r>
      <w:r w:rsidRPr="00977A73">
        <w:rPr>
          <w:rtl/>
        </w:rPr>
        <w:t xml:space="preserve">. </w:t>
      </w:r>
      <w:r>
        <w:rPr>
          <w:rtl/>
        </w:rPr>
        <w:t xml:space="preserve">انظر أيضاً بروتوكول منع وقمع ومعاقبة الاتجار بالأشخاص، وبخاصة النساء والأطفال، المكمل لاتفاقية الأمم المتحدة لمكافحة الجريمة المنظمة عبر الوطنية؛ واللجنة المعنية بالقضاء على التمييز ضد المرأة، التوصية العامة رقم </w:t>
      </w:r>
      <w:r w:rsidRPr="006B5BAF">
        <w:rPr>
          <w:rtl/>
        </w:rPr>
        <w:t>38</w:t>
      </w:r>
      <w:r w:rsidRPr="001659E7">
        <w:rPr>
          <w:rtl/>
        </w:rPr>
        <w:t>(</w:t>
      </w:r>
      <w:r w:rsidRPr="006B5BAF">
        <w:rPr>
          <w:rtl/>
        </w:rPr>
        <w:t>2020</w:t>
      </w:r>
      <w:r w:rsidRPr="00977A73">
        <w:rPr>
          <w:rtl/>
        </w:rPr>
        <w:t xml:space="preserve">). </w:t>
      </w:r>
    </w:p>
  </w:footnote>
  <w:footnote w:id="111">
    <w:p w14:paraId="0B54DF9D" w14:textId="77777777" w:rsidR="005E0255" w:rsidRPr="001659E7" w:rsidRDefault="005E0255" w:rsidP="00B07A06">
      <w:pPr>
        <w:pStyle w:val="FootnoteText1"/>
        <w:textDirection w:val="tbRlV"/>
      </w:pPr>
      <w:r>
        <w:rPr>
          <w:rtl/>
        </w:rPr>
        <w:t>(</w:t>
      </w:r>
      <w:r w:rsidRPr="006B5BAF">
        <w:rPr>
          <w:lang w:val="en-AU"/>
        </w:rPr>
        <w:footnoteRef/>
      </w:r>
      <w:r>
        <w:rPr>
          <w:rtl/>
        </w:rPr>
        <w:t>)</w:t>
      </w:r>
      <w:r>
        <w:rPr>
          <w:rtl/>
        </w:rPr>
        <w:tab/>
        <w:t xml:space="preserve">انظر </w:t>
      </w:r>
      <w:hyperlink r:id="rId133" w:history="1">
        <w:r w:rsidRPr="00977A73">
          <w:rPr>
            <w:rStyle w:val="Hyperlink"/>
          </w:rPr>
          <w:t>CED/C/</w:t>
        </w:r>
        <w:r w:rsidRPr="006B5BAF">
          <w:rPr>
            <w:rStyle w:val="Hyperlink"/>
          </w:rPr>
          <w:t>9</w:t>
        </w:r>
        <w:r w:rsidRPr="00977A73">
          <w:rPr>
            <w:rStyle w:val="Hyperlink"/>
            <w:rtl/>
          </w:rPr>
          <w:t>.</w:t>
        </w:r>
      </w:hyperlink>
    </w:p>
  </w:footnote>
  <w:footnote w:id="112">
    <w:p w14:paraId="1F9E83F3" w14:textId="77777777" w:rsidR="005E0255" w:rsidRPr="005E0255" w:rsidRDefault="005E0255" w:rsidP="00857EDD">
      <w:pPr>
        <w:pStyle w:val="FootnoteText1"/>
        <w:textDirection w:val="tbRlV"/>
      </w:pPr>
      <w:r>
        <w:rPr>
          <w:rtl/>
        </w:rPr>
        <w:t>(</w:t>
      </w:r>
      <w:r w:rsidRPr="006B5BAF">
        <w:rPr>
          <w:lang w:val="en-AU"/>
        </w:rPr>
        <w:footnoteRef/>
      </w:r>
      <w:r>
        <w:rPr>
          <w:rtl/>
        </w:rPr>
        <w:t>)</w:t>
      </w:r>
      <w:r>
        <w:rPr>
          <w:rtl/>
        </w:rPr>
        <w:tab/>
      </w:r>
      <w:proofErr w:type="spellStart"/>
      <w:r w:rsidRPr="005E0255">
        <w:t>Equipo</w:t>
      </w:r>
      <w:proofErr w:type="spellEnd"/>
      <w:r w:rsidRPr="005E0255">
        <w:t xml:space="preserve"> de </w:t>
      </w:r>
      <w:proofErr w:type="spellStart"/>
      <w:r w:rsidRPr="005E0255">
        <w:t>Estudios</w:t>
      </w:r>
      <w:proofErr w:type="spellEnd"/>
      <w:r w:rsidRPr="005E0255">
        <w:t xml:space="preserve"> </w:t>
      </w:r>
      <w:proofErr w:type="spellStart"/>
      <w:r w:rsidRPr="005E0255">
        <w:t>Comunitarios</w:t>
      </w:r>
      <w:proofErr w:type="spellEnd"/>
      <w:r w:rsidRPr="005E0255">
        <w:t xml:space="preserve"> y </w:t>
      </w:r>
      <w:proofErr w:type="spellStart"/>
      <w:r w:rsidRPr="005E0255">
        <w:t>Acción</w:t>
      </w:r>
      <w:proofErr w:type="spellEnd"/>
      <w:r w:rsidRPr="005E0255">
        <w:t xml:space="preserve"> </w:t>
      </w:r>
      <w:proofErr w:type="spellStart"/>
      <w:r w:rsidRPr="005E0255">
        <w:t>Psicosocial</w:t>
      </w:r>
      <w:proofErr w:type="spellEnd"/>
      <w:r w:rsidRPr="005E0255">
        <w:t xml:space="preserve">, Normas </w:t>
      </w:r>
      <w:proofErr w:type="spellStart"/>
      <w:r w:rsidRPr="005E0255">
        <w:t>Mínimas</w:t>
      </w:r>
      <w:proofErr w:type="spellEnd"/>
      <w:r w:rsidRPr="005E0255">
        <w:t xml:space="preserve"> </w:t>
      </w:r>
      <w:proofErr w:type="spellStart"/>
      <w:r w:rsidRPr="005E0255">
        <w:t>desde</w:t>
      </w:r>
      <w:proofErr w:type="spellEnd"/>
      <w:r w:rsidRPr="005E0255">
        <w:t xml:space="preserve"> la </w:t>
      </w:r>
      <w:proofErr w:type="spellStart"/>
      <w:r w:rsidRPr="005E0255">
        <w:t>Perspectiva</w:t>
      </w:r>
      <w:proofErr w:type="spellEnd"/>
      <w:r w:rsidRPr="005E0255">
        <w:t xml:space="preserve"> </w:t>
      </w:r>
      <w:proofErr w:type="spellStart"/>
      <w:r w:rsidRPr="005E0255">
        <w:t>Psicosocial</w:t>
      </w:r>
      <w:proofErr w:type="spellEnd"/>
      <w:r w:rsidRPr="005E0255">
        <w:t xml:space="preserve"> para </w:t>
      </w:r>
      <w:proofErr w:type="spellStart"/>
      <w:r w:rsidRPr="005E0255">
        <w:t>los</w:t>
      </w:r>
      <w:proofErr w:type="spellEnd"/>
      <w:r w:rsidRPr="005E0255">
        <w:t xml:space="preserve"> </w:t>
      </w:r>
      <w:proofErr w:type="spellStart"/>
      <w:r w:rsidRPr="005E0255">
        <w:t>Procesos</w:t>
      </w:r>
      <w:proofErr w:type="spellEnd"/>
      <w:r w:rsidRPr="005E0255">
        <w:t xml:space="preserve"> de Búsqueda de Personas </w:t>
      </w:r>
      <w:proofErr w:type="spellStart"/>
      <w:r w:rsidRPr="005E0255">
        <w:t>Migrantes</w:t>
      </w:r>
      <w:proofErr w:type="spellEnd"/>
      <w:r w:rsidRPr="005E0255">
        <w:t xml:space="preserve"> </w:t>
      </w:r>
      <w:proofErr w:type="spellStart"/>
      <w:r w:rsidRPr="005E0255">
        <w:t>Desaparecidas</w:t>
      </w:r>
      <w:proofErr w:type="spellEnd"/>
      <w:r w:rsidRPr="005E0255">
        <w:t xml:space="preserve">: Mesa de </w:t>
      </w:r>
      <w:proofErr w:type="spellStart"/>
      <w:r w:rsidRPr="005E0255">
        <w:t>Discusión</w:t>
      </w:r>
      <w:proofErr w:type="spellEnd"/>
      <w:r w:rsidRPr="005E0255">
        <w:t xml:space="preserve"> </w:t>
      </w:r>
      <w:proofErr w:type="spellStart"/>
      <w:r w:rsidRPr="005E0255">
        <w:t>en</w:t>
      </w:r>
      <w:proofErr w:type="spellEnd"/>
      <w:r w:rsidRPr="005E0255">
        <w:t xml:space="preserve"> </w:t>
      </w:r>
      <w:proofErr w:type="spellStart"/>
      <w:r w:rsidRPr="005E0255">
        <w:t>Centroamérica</w:t>
      </w:r>
      <w:proofErr w:type="spellEnd"/>
      <w:r w:rsidRPr="005E0255">
        <w:t xml:space="preserve"> y México </w:t>
      </w:r>
      <w:r w:rsidRPr="006B5BAF">
        <w:t>2016</w:t>
      </w:r>
      <w:r w:rsidRPr="005E0255">
        <w:t>–</w:t>
      </w:r>
      <w:r w:rsidRPr="006B5BAF">
        <w:t>2019</w:t>
      </w:r>
      <w:r w:rsidRPr="005E0255">
        <w:t xml:space="preserve"> (Guatemala City, </w:t>
      </w:r>
      <w:proofErr w:type="gramStart"/>
      <w:r w:rsidRPr="006B5BAF">
        <w:t>2019</w:t>
      </w:r>
      <w:r w:rsidRPr="005E0255">
        <w:t>),</w:t>
      </w:r>
      <w:proofErr w:type="gramEnd"/>
      <w:r w:rsidRPr="005E0255">
        <w:t xml:space="preserve"> p. </w:t>
      </w:r>
      <w:r w:rsidRPr="006B5BAF">
        <w:t>20</w:t>
      </w:r>
      <w:r w:rsidRPr="00977A73">
        <w:rPr>
          <w:rtl/>
        </w:rPr>
        <w:t xml:space="preserve">. </w:t>
      </w:r>
    </w:p>
  </w:footnote>
  <w:footnote w:id="113">
    <w:p w14:paraId="660A4405" w14:textId="77777777" w:rsidR="005E0255" w:rsidRPr="00AD62AC" w:rsidRDefault="005E0255" w:rsidP="00F015CD">
      <w:pPr>
        <w:pStyle w:val="FootnoteText1"/>
        <w:textDirection w:val="tbRlV"/>
        <w:rPr>
          <w:spacing w:val="-2"/>
        </w:rPr>
      </w:pPr>
      <w:r w:rsidRPr="00AD62AC">
        <w:rPr>
          <w:spacing w:val="-2"/>
          <w:rtl/>
        </w:rPr>
        <w:t>(</w:t>
      </w:r>
      <w:r w:rsidRPr="006B5BAF">
        <w:rPr>
          <w:spacing w:val="-2"/>
          <w:lang w:val="en-AU"/>
        </w:rPr>
        <w:footnoteRef/>
      </w:r>
      <w:r w:rsidRPr="00AD62AC">
        <w:rPr>
          <w:spacing w:val="-2"/>
          <w:rtl/>
        </w:rPr>
        <w:t>)</w:t>
      </w:r>
      <w:r w:rsidRPr="00AD62AC">
        <w:rPr>
          <w:spacing w:val="-2"/>
          <w:rtl/>
        </w:rPr>
        <w:tab/>
      </w:r>
      <w:hyperlink r:id="rId134" w:history="1">
        <w:r w:rsidRPr="00AD62AC">
          <w:rPr>
            <w:rStyle w:val="Hyperlink"/>
            <w:spacing w:val="-2"/>
          </w:rPr>
          <w:t>A/</w:t>
        </w:r>
        <w:r w:rsidRPr="006B5BAF">
          <w:rPr>
            <w:rStyle w:val="Hyperlink"/>
            <w:spacing w:val="-2"/>
          </w:rPr>
          <w:t>73</w:t>
        </w:r>
        <w:r w:rsidRPr="00AD62AC">
          <w:rPr>
            <w:rStyle w:val="Hyperlink"/>
            <w:spacing w:val="-2"/>
          </w:rPr>
          <w:t>/</w:t>
        </w:r>
        <w:r w:rsidRPr="006B5BAF">
          <w:rPr>
            <w:rStyle w:val="Hyperlink"/>
            <w:spacing w:val="-2"/>
          </w:rPr>
          <w:t>178</w:t>
        </w:r>
        <w:r w:rsidRPr="00AD62AC">
          <w:rPr>
            <w:rStyle w:val="Hyperlink"/>
            <w:spacing w:val="-2"/>
          </w:rPr>
          <w:t>/Rev.</w:t>
        </w:r>
        <w:r w:rsidRPr="006B5BAF">
          <w:rPr>
            <w:rStyle w:val="Hyperlink"/>
            <w:spacing w:val="-2"/>
          </w:rPr>
          <w:t>1</w:t>
        </w:r>
      </w:hyperlink>
      <w:r w:rsidRPr="00AD62AC">
        <w:rPr>
          <w:spacing w:val="-2"/>
          <w:rtl/>
        </w:rPr>
        <w:t xml:space="preserve">، الفقرة </w:t>
      </w:r>
      <w:r w:rsidRPr="006B5BAF">
        <w:rPr>
          <w:spacing w:val="-2"/>
          <w:rtl/>
        </w:rPr>
        <w:t>51</w:t>
      </w:r>
      <w:r w:rsidRPr="00AD62AC">
        <w:rPr>
          <w:spacing w:val="-2"/>
          <w:rtl/>
        </w:rPr>
        <w:t>؛ و</w:t>
      </w:r>
      <w:hyperlink r:id="rId135" w:history="1">
        <w:r w:rsidRPr="00AD62AC">
          <w:rPr>
            <w:rStyle w:val="Hyperlink"/>
            <w:spacing w:val="-2"/>
          </w:rPr>
          <w:t>CED/C/MEX/CO/</w:t>
        </w:r>
        <w:r w:rsidRPr="006B5BAF">
          <w:rPr>
            <w:rStyle w:val="Hyperlink"/>
            <w:spacing w:val="-2"/>
          </w:rPr>
          <w:t>1</w:t>
        </w:r>
      </w:hyperlink>
      <w:r w:rsidRPr="00AD62AC">
        <w:rPr>
          <w:spacing w:val="-2"/>
          <w:rtl/>
        </w:rPr>
        <w:t xml:space="preserve">، الفقرتان </w:t>
      </w:r>
      <w:r w:rsidRPr="006B5BAF">
        <w:rPr>
          <w:spacing w:val="-2"/>
          <w:rtl/>
        </w:rPr>
        <w:t>23</w:t>
      </w:r>
      <w:r w:rsidRPr="00AD62AC">
        <w:rPr>
          <w:spacing w:val="-2"/>
          <w:rtl/>
        </w:rPr>
        <w:t xml:space="preserve"> و</w:t>
      </w:r>
      <w:r w:rsidRPr="006B5BAF">
        <w:rPr>
          <w:spacing w:val="-2"/>
          <w:rtl/>
        </w:rPr>
        <w:t>24</w:t>
      </w:r>
      <w:r w:rsidRPr="00AD62AC">
        <w:rPr>
          <w:spacing w:val="-2"/>
          <w:rtl/>
        </w:rPr>
        <w:t>؛ و</w:t>
      </w:r>
      <w:hyperlink r:id="rId136" w:history="1">
        <w:r w:rsidRPr="00AD62AC">
          <w:rPr>
            <w:rStyle w:val="Hyperlink"/>
            <w:spacing w:val="-2"/>
          </w:rPr>
          <w:t>CED/C/HND/CO/</w:t>
        </w:r>
        <w:r w:rsidRPr="006B5BAF">
          <w:rPr>
            <w:rStyle w:val="Hyperlink"/>
            <w:spacing w:val="-2"/>
          </w:rPr>
          <w:t>1</w:t>
        </w:r>
      </w:hyperlink>
      <w:r w:rsidRPr="00AD62AC">
        <w:rPr>
          <w:spacing w:val="-2"/>
          <w:rtl/>
        </w:rPr>
        <w:t xml:space="preserve">، الفقرتان </w:t>
      </w:r>
      <w:r w:rsidRPr="006B5BAF">
        <w:rPr>
          <w:spacing w:val="-2"/>
          <w:rtl/>
        </w:rPr>
        <w:t>28</w:t>
      </w:r>
      <w:r w:rsidRPr="00AD62AC">
        <w:rPr>
          <w:spacing w:val="-2"/>
          <w:rtl/>
        </w:rPr>
        <w:t xml:space="preserve"> و</w:t>
      </w:r>
      <w:r w:rsidRPr="006B5BAF">
        <w:rPr>
          <w:spacing w:val="-2"/>
          <w:rtl/>
        </w:rPr>
        <w:t>29</w:t>
      </w:r>
      <w:r w:rsidRPr="00AD62AC">
        <w:rPr>
          <w:spacing w:val="-2"/>
          <w:rtl/>
        </w:rPr>
        <w:t>.</w:t>
      </w:r>
    </w:p>
  </w:footnote>
  <w:footnote w:id="114">
    <w:p w14:paraId="5818AAFF" w14:textId="77777777" w:rsidR="005E0255" w:rsidRPr="006079F4" w:rsidRDefault="005E0255" w:rsidP="00E03540">
      <w:pPr>
        <w:pStyle w:val="FootnoteText1"/>
        <w:textDirection w:val="tbRlV"/>
        <w:rPr>
          <w:spacing w:val="2"/>
        </w:rPr>
      </w:pPr>
      <w:r w:rsidRPr="006079F4">
        <w:rPr>
          <w:spacing w:val="2"/>
          <w:rtl/>
        </w:rPr>
        <w:t>(</w:t>
      </w:r>
      <w:r w:rsidRPr="006B5BAF">
        <w:rPr>
          <w:spacing w:val="2"/>
          <w:lang w:val="en-AU"/>
        </w:rPr>
        <w:footnoteRef/>
      </w:r>
      <w:r w:rsidRPr="006079F4">
        <w:rPr>
          <w:spacing w:val="2"/>
          <w:rtl/>
        </w:rPr>
        <w:t>)</w:t>
      </w:r>
      <w:r w:rsidRPr="006079F4">
        <w:rPr>
          <w:spacing w:val="2"/>
          <w:rtl/>
        </w:rPr>
        <w:tab/>
        <w:t xml:space="preserve">انظر المادتين </w:t>
      </w:r>
      <w:r w:rsidRPr="006B5BAF">
        <w:rPr>
          <w:spacing w:val="2"/>
          <w:rtl/>
        </w:rPr>
        <w:t>14</w:t>
      </w:r>
      <w:r w:rsidRPr="006079F4">
        <w:rPr>
          <w:spacing w:val="2"/>
          <w:rtl/>
        </w:rPr>
        <w:t xml:space="preserve"> و</w:t>
      </w:r>
      <w:r w:rsidRPr="006B5BAF">
        <w:rPr>
          <w:spacing w:val="2"/>
          <w:rtl/>
        </w:rPr>
        <w:t>15</w:t>
      </w:r>
      <w:r w:rsidRPr="006079F4">
        <w:rPr>
          <w:spacing w:val="2"/>
          <w:rtl/>
        </w:rPr>
        <w:t xml:space="preserve"> من الاتفاقية. انظر أيضاً </w:t>
      </w:r>
      <w:hyperlink r:id="rId137" w:history="1">
        <w:r w:rsidRPr="006079F4">
          <w:rPr>
            <w:rStyle w:val="Hyperlink"/>
            <w:spacing w:val="2"/>
          </w:rPr>
          <w:t>CED/C/</w:t>
        </w:r>
        <w:r w:rsidRPr="006B5BAF">
          <w:rPr>
            <w:rStyle w:val="Hyperlink"/>
            <w:spacing w:val="2"/>
          </w:rPr>
          <w:t>19</w:t>
        </w:r>
        <w:r w:rsidRPr="006079F4">
          <w:rPr>
            <w:rStyle w:val="Hyperlink"/>
            <w:spacing w:val="2"/>
          </w:rPr>
          <w:t>/</w:t>
        </w:r>
        <w:r w:rsidRPr="006B5BAF">
          <w:rPr>
            <w:rStyle w:val="Hyperlink"/>
            <w:spacing w:val="2"/>
          </w:rPr>
          <w:t>2</w:t>
        </w:r>
      </w:hyperlink>
      <w:r w:rsidRPr="006079F4">
        <w:rPr>
          <w:spacing w:val="2"/>
          <w:rtl/>
        </w:rPr>
        <w:t xml:space="preserve">، الفقرة </w:t>
      </w:r>
      <w:r w:rsidRPr="006B5BAF">
        <w:rPr>
          <w:spacing w:val="2"/>
          <w:rtl/>
        </w:rPr>
        <w:t>14</w:t>
      </w:r>
      <w:r w:rsidRPr="006079F4">
        <w:rPr>
          <w:spacing w:val="2"/>
          <w:rtl/>
        </w:rPr>
        <w:t>؛ و</w:t>
      </w:r>
      <w:hyperlink r:id="rId138" w:history="1">
        <w:r w:rsidRPr="006079F4">
          <w:rPr>
            <w:rStyle w:val="Hyperlink"/>
            <w:spacing w:val="2"/>
          </w:rPr>
          <w:t>CED/C/AUT/CO/</w:t>
        </w:r>
        <w:r w:rsidRPr="006B5BAF">
          <w:rPr>
            <w:rStyle w:val="Hyperlink"/>
            <w:spacing w:val="2"/>
          </w:rPr>
          <w:t>1</w:t>
        </w:r>
      </w:hyperlink>
      <w:r w:rsidRPr="006079F4">
        <w:rPr>
          <w:spacing w:val="2"/>
          <w:rtl/>
        </w:rPr>
        <w:t xml:space="preserve">، الفقرة </w:t>
      </w:r>
      <w:r w:rsidRPr="006B5BAF">
        <w:rPr>
          <w:spacing w:val="2"/>
          <w:rtl/>
        </w:rPr>
        <w:t>17</w:t>
      </w:r>
      <w:r w:rsidRPr="006079F4">
        <w:rPr>
          <w:spacing w:val="2"/>
          <w:rtl/>
        </w:rPr>
        <w:t>؛ و</w:t>
      </w:r>
      <w:hyperlink r:id="rId139" w:history="1">
        <w:r w:rsidRPr="006079F4">
          <w:rPr>
            <w:rStyle w:val="Hyperlink"/>
            <w:spacing w:val="2"/>
          </w:rPr>
          <w:t>CED/C/JPN/CO/</w:t>
        </w:r>
        <w:r w:rsidRPr="006B5BAF">
          <w:rPr>
            <w:rStyle w:val="Hyperlink"/>
            <w:spacing w:val="2"/>
          </w:rPr>
          <w:t>1</w:t>
        </w:r>
      </w:hyperlink>
      <w:r w:rsidRPr="006079F4">
        <w:rPr>
          <w:spacing w:val="2"/>
          <w:rtl/>
        </w:rPr>
        <w:t xml:space="preserve">، الفقرتان </w:t>
      </w:r>
      <w:r w:rsidRPr="006B5BAF">
        <w:rPr>
          <w:spacing w:val="2"/>
          <w:rtl/>
        </w:rPr>
        <w:t>27</w:t>
      </w:r>
      <w:r w:rsidRPr="006079F4">
        <w:rPr>
          <w:spacing w:val="2"/>
          <w:rtl/>
        </w:rPr>
        <w:t xml:space="preserve"> و</w:t>
      </w:r>
      <w:r w:rsidRPr="006B5BAF">
        <w:rPr>
          <w:spacing w:val="2"/>
          <w:rtl/>
        </w:rPr>
        <w:t>28</w:t>
      </w:r>
      <w:r w:rsidRPr="006079F4">
        <w:rPr>
          <w:spacing w:val="2"/>
          <w:rtl/>
        </w:rPr>
        <w:t>.</w:t>
      </w:r>
    </w:p>
  </w:footnote>
  <w:footnote w:id="115">
    <w:p w14:paraId="18FA1425" w14:textId="77777777" w:rsidR="005E0255" w:rsidRPr="001659E7" w:rsidRDefault="005E0255" w:rsidP="008D342E">
      <w:pPr>
        <w:pStyle w:val="FootnoteText1"/>
        <w:textDirection w:val="tbRlV"/>
      </w:pPr>
      <w:r>
        <w:rPr>
          <w:rtl/>
        </w:rPr>
        <w:t>(</w:t>
      </w:r>
      <w:r w:rsidRPr="006B5BAF">
        <w:rPr>
          <w:lang w:val="en-AU"/>
        </w:rPr>
        <w:footnoteRef/>
      </w:r>
      <w:r>
        <w:rPr>
          <w:rtl/>
        </w:rPr>
        <w:t>)</w:t>
      </w:r>
      <w:r>
        <w:rPr>
          <w:rtl/>
        </w:rPr>
        <w:tab/>
        <w:t xml:space="preserve">المبادئ التوجيهية للبحث عن الأشخاص المختفين، المبدأ </w:t>
      </w:r>
      <w:r w:rsidRPr="006B5BAF">
        <w:rPr>
          <w:rtl/>
        </w:rPr>
        <w:t>2</w:t>
      </w:r>
      <w:r w:rsidRPr="001659E7">
        <w:rPr>
          <w:rtl/>
        </w:rPr>
        <w:t>(</w:t>
      </w:r>
      <w:r w:rsidRPr="006B5BAF">
        <w:rPr>
          <w:rtl/>
        </w:rPr>
        <w:t>4</w:t>
      </w:r>
      <w:r w:rsidRPr="001659E7">
        <w:rPr>
          <w:rtl/>
        </w:rPr>
        <w:t>)</w:t>
      </w:r>
      <w:r>
        <w:rPr>
          <w:rtl/>
        </w:rPr>
        <w:t>.</w:t>
      </w:r>
    </w:p>
  </w:footnote>
  <w:footnote w:id="116">
    <w:p w14:paraId="7F42952C" w14:textId="41901BBE" w:rsidR="005E0255" w:rsidRPr="001659E7" w:rsidRDefault="005E0255" w:rsidP="000D6EA5">
      <w:pPr>
        <w:pStyle w:val="FootnoteText1"/>
        <w:textDirection w:val="tbRlV"/>
      </w:pPr>
      <w:r>
        <w:rPr>
          <w:rtl/>
        </w:rPr>
        <w:t>(</w:t>
      </w:r>
      <w:r w:rsidRPr="006B5BAF">
        <w:rPr>
          <w:lang w:val="en-AU"/>
        </w:rPr>
        <w:footnoteRef/>
      </w:r>
      <w:r>
        <w:rPr>
          <w:rtl/>
        </w:rPr>
        <w:t>)</w:t>
      </w:r>
      <w:r>
        <w:rPr>
          <w:rtl/>
        </w:rPr>
        <w:tab/>
        <w:t xml:space="preserve">المؤتمر الإقليمي حول الهجرة، "توصيات بشأن التنسيق الإقليمي وآليات تبادل المعلومات في البحث عن الأشخاص المفقودين في سياق الهجرة" </w:t>
      </w:r>
      <w:r w:rsidRPr="001659E7">
        <w:rPr>
          <w:rtl/>
        </w:rPr>
        <w:t>(</w:t>
      </w:r>
      <w:r w:rsidRPr="006B5BAF">
        <w:rPr>
          <w:rtl/>
        </w:rPr>
        <w:t>2022</w:t>
      </w:r>
      <w:r w:rsidRPr="00977A73">
        <w:rPr>
          <w:rtl/>
        </w:rPr>
        <w:t xml:space="preserve">)، </w:t>
      </w:r>
      <w:r>
        <w:rPr>
          <w:rtl/>
        </w:rPr>
        <w:t xml:space="preserve">ص. </w:t>
      </w:r>
      <w:r w:rsidRPr="006B5BAF">
        <w:rPr>
          <w:rtl/>
        </w:rPr>
        <w:t>18</w:t>
      </w:r>
      <w:r w:rsidRPr="00977A73">
        <w:rPr>
          <w:rtl/>
        </w:rPr>
        <w:t xml:space="preserve">: </w:t>
      </w:r>
      <w:r w:rsidRPr="001659E7">
        <w:rPr>
          <w:rtl/>
        </w:rPr>
        <w:t>"</w:t>
      </w:r>
      <w:r>
        <w:rPr>
          <w:rtl/>
        </w:rPr>
        <w:t xml:space="preserve">البعثات القنصلية، شأنها شأن السلطات المعنية التابعة للبلد الذي اختفى فيه الشخص، </w:t>
      </w:r>
      <w:r w:rsidRPr="006079F4">
        <w:rPr>
          <w:spacing w:val="2"/>
          <w:rtl/>
        </w:rPr>
        <w:t xml:space="preserve">مسؤولة عن إجراء بحث عن الشخص المبلغ عن فقدانه. وتحقيقاً لهذه الغاية، ينبغي أن تنشئ شبكة للاتصال الفوري مع </w:t>
      </w:r>
      <w:r w:rsidRPr="006079F4">
        <w:rPr>
          <w:spacing w:val="-2"/>
          <w:rtl/>
        </w:rPr>
        <w:t>سلطات</w:t>
      </w:r>
      <w:r w:rsidR="006079F4" w:rsidRPr="006079F4">
        <w:rPr>
          <w:rFonts w:hint="cs"/>
          <w:spacing w:val="-2"/>
          <w:rtl/>
        </w:rPr>
        <w:t> </w:t>
      </w:r>
      <w:r w:rsidRPr="006079F4">
        <w:rPr>
          <w:spacing w:val="-2"/>
          <w:rtl/>
        </w:rPr>
        <w:t>النيابة العامة، ومراكز الاحتجاز، والملاجئ، والبعثات القنصلية الأخرى، والمستشفيات، ومجتمعات المهاجرين في الخارج،</w:t>
      </w:r>
      <w:r w:rsidRPr="006079F4">
        <w:rPr>
          <w:spacing w:val="2"/>
          <w:rtl/>
        </w:rPr>
        <w:t xml:space="preserve"> وما</w:t>
      </w:r>
      <w:r w:rsidRPr="006079F4">
        <w:rPr>
          <w:rFonts w:hint="cs"/>
          <w:spacing w:val="2"/>
          <w:rtl/>
        </w:rPr>
        <w:t> </w:t>
      </w:r>
      <w:r w:rsidRPr="006079F4">
        <w:rPr>
          <w:spacing w:val="2"/>
          <w:rtl/>
        </w:rPr>
        <w:t>إلى ذلك من أجل تفعيل البحث. بالإضافة إلى ذلك، من المهم الاستمرار في اتخاذ إجراءات استباقية تتمثل في البقاء على اتصال بالجهات المذكورة أعلاه للتمكن من تحديد الحالات التي لم يُبلغ عنها في مكاتبها القنصلية". متاح على الرابط</w:t>
      </w:r>
      <w:r>
        <w:rPr>
          <w:rFonts w:hint="cs"/>
          <w:rtl/>
        </w:rPr>
        <w:t xml:space="preserve"> </w:t>
      </w:r>
      <w:hyperlink r:id="rId140" w:history="1">
        <w:r w:rsidRPr="002A237E">
          <w:rPr>
            <w:rStyle w:val="Hyperlink"/>
          </w:rPr>
          <w:t>https://temas.crmsv.org/sites/default/files/Documentos%</w:t>
        </w:r>
        <w:r w:rsidRPr="006B5BAF">
          <w:rPr>
            <w:rStyle w:val="Hyperlink"/>
          </w:rPr>
          <w:t>20</w:t>
        </w:r>
        <w:r w:rsidRPr="002A237E">
          <w:rPr>
            <w:rStyle w:val="Hyperlink"/>
          </w:rPr>
          <w:t>Files/chld</w:t>
        </w:r>
        <w:r w:rsidRPr="006B5BAF">
          <w:rPr>
            <w:rStyle w:val="Hyperlink"/>
          </w:rPr>
          <w:t>8</w:t>
        </w:r>
        <w:r w:rsidRPr="002A237E">
          <w:rPr>
            <w:rStyle w:val="Hyperlink"/>
          </w:rPr>
          <w:t>_recomendaciones_</w:t>
        </w:r>
        <w:r w:rsidRPr="002A237E">
          <w:rPr>
            <w:rStyle w:val="Hyperlink"/>
          </w:rPr>
          <w:br/>
          <w:t>busqueda_de_personas_desaparecidas_en_el_contexto_migratorio_eng_</w:t>
        </w:r>
        <w:r w:rsidRPr="006B5BAF">
          <w:rPr>
            <w:rStyle w:val="Hyperlink"/>
          </w:rPr>
          <w:t>0</w:t>
        </w:r>
        <w:r w:rsidRPr="002A237E">
          <w:rPr>
            <w:rStyle w:val="Hyperlink"/>
          </w:rPr>
          <w:t>.pdf</w:t>
        </w:r>
      </w:hyperlink>
      <w:r>
        <w:rPr>
          <w:rtl/>
        </w:rPr>
        <w:t>.</w:t>
      </w:r>
    </w:p>
  </w:footnote>
  <w:footnote w:id="117">
    <w:p w14:paraId="2FBDE87B" w14:textId="77777777" w:rsidR="005E0255" w:rsidRPr="001659E7" w:rsidRDefault="005E0255" w:rsidP="005B34B4">
      <w:pPr>
        <w:pStyle w:val="FootnoteText1"/>
        <w:textDirection w:val="tbRlV"/>
      </w:pPr>
      <w:r>
        <w:rPr>
          <w:rtl/>
        </w:rPr>
        <w:t>(</w:t>
      </w:r>
      <w:r w:rsidRPr="006B5BAF">
        <w:rPr>
          <w:lang w:val="en-AU"/>
        </w:rPr>
        <w:footnoteRef/>
      </w:r>
      <w:r>
        <w:rPr>
          <w:rtl/>
        </w:rPr>
        <w:t>)</w:t>
      </w:r>
      <w:r>
        <w:rPr>
          <w:rtl/>
        </w:rPr>
        <w:tab/>
      </w:r>
      <w:hyperlink r:id="rId141" w:history="1">
        <w:r w:rsidRPr="00977A73">
          <w:rPr>
            <w:rStyle w:val="Hyperlink"/>
          </w:rPr>
          <w:t>CED/C/MEX/VR/</w:t>
        </w:r>
        <w:r w:rsidRPr="006B5BAF">
          <w:rPr>
            <w:rStyle w:val="Hyperlink"/>
          </w:rPr>
          <w:t>1</w:t>
        </w:r>
      </w:hyperlink>
      <w:r w:rsidRPr="001659E7">
        <w:t xml:space="preserve"> (Recommendations</w:t>
      </w:r>
      <w:r w:rsidRPr="00977A73">
        <w:t>)</w:t>
      </w:r>
      <w:r w:rsidRPr="00977A73">
        <w:rPr>
          <w:rtl/>
        </w:rPr>
        <w:t xml:space="preserve">، </w:t>
      </w:r>
      <w:r>
        <w:rPr>
          <w:rtl/>
        </w:rPr>
        <w:t xml:space="preserve">الفقرة </w:t>
      </w:r>
      <w:r w:rsidRPr="006B5BAF">
        <w:rPr>
          <w:rtl/>
        </w:rPr>
        <w:t>52</w:t>
      </w:r>
      <w:r>
        <w:rPr>
          <w:rtl/>
        </w:rPr>
        <w:t>.</w:t>
      </w:r>
    </w:p>
  </w:footnote>
  <w:footnote w:id="118">
    <w:p w14:paraId="7485EB62" w14:textId="77777777" w:rsidR="005E0255" w:rsidRPr="001659E7" w:rsidRDefault="005E0255" w:rsidP="006079F4">
      <w:pPr>
        <w:pStyle w:val="FootnoteText1"/>
        <w:spacing w:line="260" w:lineRule="exact"/>
        <w:textDirection w:val="tbRlV"/>
      </w:pPr>
      <w:r>
        <w:rPr>
          <w:rtl/>
        </w:rPr>
        <w:t>(</w:t>
      </w:r>
      <w:r w:rsidRPr="006B5BAF">
        <w:rPr>
          <w:lang w:val="en-AU"/>
        </w:rPr>
        <w:footnoteRef/>
      </w:r>
      <w:r>
        <w:rPr>
          <w:rtl/>
        </w:rPr>
        <w:t>)</w:t>
      </w:r>
      <w:r>
        <w:rPr>
          <w:rtl/>
        </w:rPr>
        <w:tab/>
      </w:r>
      <w:r w:rsidRPr="00AD62AC">
        <w:rPr>
          <w:spacing w:val="-2"/>
          <w:rtl/>
        </w:rPr>
        <w:t xml:space="preserve">المبادئ التوجيهية للبحث عن الأشخاص المختفين، المبادئ </w:t>
      </w:r>
      <w:r w:rsidRPr="006B5BAF">
        <w:rPr>
          <w:spacing w:val="-2"/>
          <w:rtl/>
        </w:rPr>
        <w:t>9</w:t>
      </w:r>
      <w:r w:rsidRPr="00AD62AC">
        <w:rPr>
          <w:spacing w:val="-2"/>
          <w:rtl/>
        </w:rPr>
        <w:t>(</w:t>
      </w:r>
      <w:r w:rsidRPr="006B5BAF">
        <w:rPr>
          <w:spacing w:val="-2"/>
          <w:rtl/>
        </w:rPr>
        <w:t>3</w:t>
      </w:r>
      <w:r w:rsidRPr="00AD62AC">
        <w:rPr>
          <w:spacing w:val="-2"/>
          <w:rtl/>
        </w:rPr>
        <w:t>) و(</w:t>
      </w:r>
      <w:r w:rsidRPr="006B5BAF">
        <w:rPr>
          <w:spacing w:val="-2"/>
          <w:rtl/>
        </w:rPr>
        <w:t>4</w:t>
      </w:r>
      <w:r w:rsidRPr="00AD62AC">
        <w:rPr>
          <w:spacing w:val="-2"/>
          <w:rtl/>
        </w:rPr>
        <w:t>) و</w:t>
      </w:r>
      <w:r w:rsidRPr="006B5BAF">
        <w:rPr>
          <w:spacing w:val="-2"/>
          <w:rtl/>
        </w:rPr>
        <w:t>11</w:t>
      </w:r>
      <w:r w:rsidRPr="00AD62AC">
        <w:rPr>
          <w:spacing w:val="-2"/>
          <w:rtl/>
        </w:rPr>
        <w:t xml:space="preserve"> و</w:t>
      </w:r>
      <w:r w:rsidRPr="006B5BAF">
        <w:rPr>
          <w:spacing w:val="-2"/>
          <w:rtl/>
        </w:rPr>
        <w:t>12</w:t>
      </w:r>
      <w:r w:rsidRPr="00AD62AC">
        <w:rPr>
          <w:spacing w:val="-2"/>
          <w:rtl/>
        </w:rPr>
        <w:t>؛ و</w:t>
      </w:r>
      <w:hyperlink r:id="rId142" w:history="1">
        <w:r w:rsidRPr="00AD62AC">
          <w:rPr>
            <w:rStyle w:val="Hyperlink"/>
            <w:spacing w:val="-2"/>
          </w:rPr>
          <w:t>CED/C/MNE/CO/</w:t>
        </w:r>
        <w:r w:rsidRPr="006B5BAF">
          <w:rPr>
            <w:rStyle w:val="Hyperlink"/>
            <w:spacing w:val="-2"/>
          </w:rPr>
          <w:t>1</w:t>
        </w:r>
      </w:hyperlink>
      <w:r w:rsidRPr="00AD62AC">
        <w:rPr>
          <w:spacing w:val="-2"/>
          <w:rtl/>
        </w:rPr>
        <w:t xml:space="preserve">، الفقرات </w:t>
      </w:r>
      <w:r w:rsidRPr="006B5BAF">
        <w:rPr>
          <w:spacing w:val="-2"/>
          <w:rtl/>
        </w:rPr>
        <w:t>12</w:t>
      </w:r>
      <w:r w:rsidRPr="00AD62AC">
        <w:rPr>
          <w:spacing w:val="-2"/>
          <w:rtl/>
        </w:rPr>
        <w:t>-</w:t>
      </w:r>
      <w:r w:rsidRPr="006B5BAF">
        <w:rPr>
          <w:spacing w:val="-2"/>
          <w:rtl/>
        </w:rPr>
        <w:t>15</w:t>
      </w:r>
      <w:r w:rsidRPr="00AD62AC">
        <w:rPr>
          <w:spacing w:val="-2"/>
          <w:rtl/>
        </w:rPr>
        <w:t>؛</w:t>
      </w:r>
      <w:r>
        <w:rPr>
          <w:rtl/>
        </w:rPr>
        <w:t xml:space="preserve"> و</w:t>
      </w:r>
      <w:hyperlink r:id="rId143" w:history="1">
        <w:r w:rsidRPr="00977A73">
          <w:rPr>
            <w:rStyle w:val="Hyperlink"/>
          </w:rPr>
          <w:t>CED/C/ITA/CO/</w:t>
        </w:r>
        <w:r w:rsidRPr="006B5BAF">
          <w:rPr>
            <w:rStyle w:val="Hyperlink"/>
          </w:rPr>
          <w:t>1</w:t>
        </w:r>
      </w:hyperlink>
      <w:r>
        <w:rPr>
          <w:rtl/>
        </w:rPr>
        <w:t xml:space="preserve">، الفقرتان </w:t>
      </w:r>
      <w:r w:rsidRPr="006B5BAF">
        <w:rPr>
          <w:rtl/>
        </w:rPr>
        <w:t>24</w:t>
      </w:r>
      <w:r>
        <w:rPr>
          <w:rtl/>
        </w:rPr>
        <w:t xml:space="preserve"> و</w:t>
      </w:r>
      <w:r w:rsidRPr="006B5BAF">
        <w:rPr>
          <w:rtl/>
        </w:rPr>
        <w:t>25</w:t>
      </w:r>
      <w:r>
        <w:rPr>
          <w:rtl/>
        </w:rPr>
        <w:t>.</w:t>
      </w:r>
    </w:p>
  </w:footnote>
  <w:footnote w:id="119">
    <w:p w14:paraId="3E035F56" w14:textId="21B1BB3A" w:rsidR="005E0255" w:rsidRPr="001659E7" w:rsidRDefault="005E0255" w:rsidP="006079F4">
      <w:pPr>
        <w:pStyle w:val="FootnoteText1"/>
        <w:spacing w:line="260" w:lineRule="exact"/>
        <w:textDirection w:val="tbRlV"/>
      </w:pPr>
      <w:r>
        <w:rPr>
          <w:rtl/>
        </w:rPr>
        <w:t>(</w:t>
      </w:r>
      <w:r w:rsidRPr="006B5BAF">
        <w:rPr>
          <w:lang w:val="en-AU"/>
        </w:rPr>
        <w:footnoteRef/>
      </w:r>
      <w:r>
        <w:rPr>
          <w:rtl/>
        </w:rPr>
        <w:t>)</w:t>
      </w:r>
      <w:r>
        <w:rPr>
          <w:rtl/>
        </w:rPr>
        <w:tab/>
        <w:t xml:space="preserve">الاتفاق العالمي من أجل الهجرة الآمنة والمنظمة والنظامية، الهدف </w:t>
      </w:r>
      <w:r w:rsidRPr="006B5BAF">
        <w:rPr>
          <w:rtl/>
        </w:rPr>
        <w:t>8</w:t>
      </w:r>
      <w:r w:rsidRPr="001659E7">
        <w:rPr>
          <w:rtl/>
        </w:rPr>
        <w:t>(</w:t>
      </w:r>
      <w:r>
        <w:rPr>
          <w:rtl/>
        </w:rPr>
        <w:t>د</w:t>
      </w:r>
      <w:r w:rsidRPr="00977A73">
        <w:rPr>
          <w:rtl/>
        </w:rPr>
        <w:t xml:space="preserve">). </w:t>
      </w:r>
      <w:r>
        <w:rPr>
          <w:rtl/>
        </w:rPr>
        <w:t>انظر أيضاً</w:t>
      </w:r>
      <w:r w:rsidRPr="00A57D34">
        <w:t>ICRC, “</w:t>
      </w:r>
      <w:r w:rsidRPr="0066546F">
        <w:t>Guidelines on coordination and information-exchange mechanisms for the search for missing migrants”</w:t>
      </w:r>
      <w:r>
        <w:rPr>
          <w:rFonts w:hint="cs"/>
          <w:rtl/>
        </w:rPr>
        <w:t xml:space="preserve"> </w:t>
      </w:r>
      <w:r w:rsidRPr="001659E7">
        <w:rPr>
          <w:rtl/>
        </w:rPr>
        <w:t>(</w:t>
      </w:r>
      <w:r>
        <w:rPr>
          <w:rtl/>
        </w:rPr>
        <w:t>اللجنة</w:t>
      </w:r>
      <w:r>
        <w:rPr>
          <w:rFonts w:hint="cs"/>
          <w:rtl/>
        </w:rPr>
        <w:t> </w:t>
      </w:r>
      <w:r>
        <w:rPr>
          <w:rtl/>
        </w:rPr>
        <w:t>الدولية للصليب الأحمر، "المبادئ التوجيهية بشأن آليات تنسيق وتبادل المعلومات للبحث عن المهاجرين المفقودين"</w:t>
      </w:r>
      <w:r w:rsidRPr="00977A73">
        <w:rPr>
          <w:rtl/>
        </w:rPr>
        <w:t xml:space="preserve">). </w:t>
      </w:r>
    </w:p>
  </w:footnote>
  <w:footnote w:id="120">
    <w:p w14:paraId="2DF8108E" w14:textId="77777777" w:rsidR="005E0255" w:rsidRPr="003D44C9" w:rsidRDefault="005E0255" w:rsidP="006079F4">
      <w:pPr>
        <w:pStyle w:val="FootnoteText1"/>
        <w:spacing w:line="260" w:lineRule="exact"/>
        <w:textDirection w:val="tbRlV"/>
      </w:pPr>
      <w:r>
        <w:rPr>
          <w:rtl/>
        </w:rPr>
        <w:t>(</w:t>
      </w:r>
      <w:r w:rsidRPr="006B5BAF">
        <w:rPr>
          <w:lang w:val="en-AU"/>
        </w:rPr>
        <w:footnoteRef/>
      </w:r>
      <w:r>
        <w:rPr>
          <w:rtl/>
        </w:rPr>
        <w:t>)</w:t>
      </w:r>
      <w:r>
        <w:rPr>
          <w:rtl/>
        </w:rPr>
        <w:tab/>
      </w:r>
      <w:r w:rsidRPr="003D44C9">
        <w:rPr>
          <w:spacing w:val="-2"/>
          <w:rtl/>
        </w:rPr>
        <w:t xml:space="preserve">اللجنة الدولية للصليب الأحمر، "المبادئ التوجيهية بشأن آليات تنسيق وتبادل المعلومات للبحث عن المهاجرين المفقودين"؛ والمؤتمر الإقليمي المعني بالهجرة، "توصيات بشأن التنسيق الإقليمي والآليات الإقليمية لتبادل المعلومات في البحث عن الأشخاص المفقودين في سياق الهجرة". تهدف التوصيات الأخيرة إلى دعم الدول الأعضاء في المؤتمر الإقليمي المعني بالهجرة من أجل الاستفادة على النحو الأمثل من الآليات القائمة لتبادل المعلومات كوسيلة لتيسير البحث عن المهاجرين المختفين. وهي تشمل مجموعة من المعايير </w:t>
      </w:r>
      <w:r w:rsidRPr="003D44C9">
        <w:rPr>
          <w:rtl/>
        </w:rPr>
        <w:t xml:space="preserve">لتبادل المعلومات وتوحيد العمليات، بما في ذلك معايير تتعلق بجمع البيانات من أقارب الأشخاص المختفين، وتوثيق الطب الشرعي للأشخاص المتوفين مجهولي الهوية، وقواعد البيانات الوطنية، وحماية البيانات (الصفحات </w:t>
      </w:r>
      <w:r w:rsidRPr="006B5BAF">
        <w:rPr>
          <w:rtl/>
        </w:rPr>
        <w:t>8</w:t>
      </w:r>
      <w:r w:rsidRPr="003D44C9">
        <w:rPr>
          <w:rtl/>
        </w:rPr>
        <w:t>-</w:t>
      </w:r>
      <w:r w:rsidRPr="006B5BAF">
        <w:rPr>
          <w:rtl/>
        </w:rPr>
        <w:t>10</w:t>
      </w:r>
      <w:r w:rsidRPr="003D44C9">
        <w:rPr>
          <w:rtl/>
        </w:rPr>
        <w:t xml:space="preserve">). وتتعلق توصيات محددة بآليات تبادل المعلومات القائمة في المنطقة (المكسيك، والولايات المتحدة الأمريكية، وأمريكا الوسطى، الصفحات </w:t>
      </w:r>
      <w:r w:rsidRPr="006B5BAF">
        <w:rPr>
          <w:rtl/>
        </w:rPr>
        <w:t>11</w:t>
      </w:r>
      <w:r w:rsidRPr="003D44C9">
        <w:rPr>
          <w:rtl/>
        </w:rPr>
        <w:t>-</w:t>
      </w:r>
      <w:r w:rsidRPr="006B5BAF">
        <w:rPr>
          <w:rtl/>
        </w:rPr>
        <w:t>17</w:t>
      </w:r>
      <w:r w:rsidRPr="003D44C9">
        <w:rPr>
          <w:rtl/>
        </w:rPr>
        <w:t>) وبدور السلطات القنصلية ووزارات الشؤون الخارجية في البحث عن المهاجرين المختفين.</w:t>
      </w:r>
    </w:p>
  </w:footnote>
  <w:footnote w:id="121">
    <w:p w14:paraId="346821DF" w14:textId="77777777" w:rsidR="005E0255" w:rsidRPr="001659E7" w:rsidRDefault="005E0255" w:rsidP="006079F4">
      <w:pPr>
        <w:pStyle w:val="FootnoteText1"/>
        <w:spacing w:line="260" w:lineRule="exact"/>
        <w:textDirection w:val="tbRlV"/>
      </w:pPr>
      <w:r>
        <w:rPr>
          <w:rtl/>
        </w:rPr>
        <w:t>(</w:t>
      </w:r>
      <w:r w:rsidRPr="006B5BAF">
        <w:rPr>
          <w:lang w:val="en-AU"/>
        </w:rPr>
        <w:footnoteRef/>
      </w:r>
      <w:r>
        <w:rPr>
          <w:rtl/>
        </w:rPr>
        <w:t>)</w:t>
      </w:r>
      <w:r>
        <w:rPr>
          <w:rtl/>
        </w:rPr>
        <w:tab/>
        <w:t xml:space="preserve">الفريق العامل المعني بحالات الاختفاء القسري أو غير الطوعي </w:t>
      </w:r>
      <w:r w:rsidRPr="001659E7">
        <w:rPr>
          <w:rtl/>
        </w:rPr>
        <w:t>(</w:t>
      </w:r>
      <w:r w:rsidRPr="006B5BAF">
        <w:rPr>
          <w:rtl/>
        </w:rPr>
        <w:t>2010</w:t>
      </w:r>
      <w:r w:rsidRPr="00977A73">
        <w:rPr>
          <w:rtl/>
        </w:rPr>
        <w:t xml:space="preserve">)، </w:t>
      </w:r>
      <w:r>
        <w:rPr>
          <w:rtl/>
        </w:rPr>
        <w:t xml:space="preserve">الفقرة </w:t>
      </w:r>
      <w:r w:rsidRPr="006B5BAF">
        <w:rPr>
          <w:rtl/>
        </w:rPr>
        <w:t>9</w:t>
      </w:r>
      <w:r>
        <w:rPr>
          <w:rtl/>
        </w:rPr>
        <w:t xml:space="preserve">؛ والمجموعة المستوفاة من المبادئ المتعلقة بحماية حقوق الإنسان وتعزيزها من خلال اتخاذ إجراءات لمكافحة الإفلات من العقاب، المبدآن </w:t>
      </w:r>
      <w:r w:rsidRPr="006B5BAF">
        <w:rPr>
          <w:rtl/>
        </w:rPr>
        <w:t>16</w:t>
      </w:r>
      <w:r>
        <w:rPr>
          <w:rtl/>
        </w:rPr>
        <w:t xml:space="preserve"> و</w:t>
      </w:r>
      <w:r w:rsidRPr="006B5BAF">
        <w:rPr>
          <w:rtl/>
        </w:rPr>
        <w:t>17</w:t>
      </w:r>
      <w:r>
        <w:rPr>
          <w:rtl/>
        </w:rPr>
        <w:t xml:space="preserve">؛ والمبادئ التوجيهية للبحث عن الأشخاص المختفين، المبدآن </w:t>
      </w:r>
      <w:r w:rsidRPr="006B5BAF">
        <w:rPr>
          <w:rtl/>
        </w:rPr>
        <w:t>11</w:t>
      </w:r>
      <w:r>
        <w:rPr>
          <w:rtl/>
        </w:rPr>
        <w:t xml:space="preserve"> و</w:t>
      </w:r>
      <w:r w:rsidRPr="006B5BAF">
        <w:rPr>
          <w:rtl/>
        </w:rPr>
        <w:t>12</w:t>
      </w:r>
      <w:r>
        <w:rPr>
          <w:rtl/>
        </w:rPr>
        <w:t>؛ و</w:t>
      </w:r>
      <w:hyperlink r:id="rId144" w:history="1">
        <w:r w:rsidRPr="00977A73">
          <w:rPr>
            <w:rStyle w:val="Hyperlink"/>
          </w:rPr>
          <w:t>CED/C/GAB/CO/</w:t>
        </w:r>
        <w:r w:rsidRPr="006B5BAF">
          <w:rPr>
            <w:rStyle w:val="Hyperlink"/>
          </w:rPr>
          <w:t>1</w:t>
        </w:r>
      </w:hyperlink>
      <w:r>
        <w:rPr>
          <w:rtl/>
        </w:rPr>
        <w:t xml:space="preserve">، الفقرتان </w:t>
      </w:r>
      <w:r w:rsidRPr="006B5BAF">
        <w:rPr>
          <w:rtl/>
        </w:rPr>
        <w:t>19</w:t>
      </w:r>
      <w:r>
        <w:rPr>
          <w:rtl/>
        </w:rPr>
        <w:t xml:space="preserve"> و</w:t>
      </w:r>
      <w:r w:rsidRPr="006B5BAF">
        <w:rPr>
          <w:rtl/>
        </w:rPr>
        <w:t>20</w:t>
      </w:r>
      <w:r>
        <w:rPr>
          <w:rtl/>
        </w:rPr>
        <w:t>.</w:t>
      </w:r>
    </w:p>
  </w:footnote>
  <w:footnote w:id="122">
    <w:p w14:paraId="2CCDCC57" w14:textId="77777777" w:rsidR="005E0255" w:rsidRPr="001659E7" w:rsidRDefault="005E0255" w:rsidP="006079F4">
      <w:pPr>
        <w:pStyle w:val="FootnoteText1"/>
        <w:spacing w:line="260" w:lineRule="exact"/>
        <w:textDirection w:val="tbRlV"/>
      </w:pPr>
      <w:r>
        <w:rPr>
          <w:rtl/>
        </w:rPr>
        <w:t>(</w:t>
      </w:r>
      <w:r w:rsidRPr="006B5BAF">
        <w:rPr>
          <w:lang w:val="en-AU"/>
        </w:rPr>
        <w:footnoteRef/>
      </w:r>
      <w:r>
        <w:rPr>
          <w:rtl/>
        </w:rPr>
        <w:t>)</w:t>
      </w:r>
      <w:r>
        <w:rPr>
          <w:rtl/>
        </w:rPr>
        <w:tab/>
        <w:t xml:space="preserve">على سبيل المثال، </w:t>
      </w:r>
      <w:proofErr w:type="spellStart"/>
      <w:r w:rsidRPr="00A260F4">
        <w:t>Mecanismo</w:t>
      </w:r>
      <w:proofErr w:type="spellEnd"/>
      <w:r w:rsidRPr="00A260F4">
        <w:t xml:space="preserve"> de </w:t>
      </w:r>
      <w:proofErr w:type="spellStart"/>
      <w:r w:rsidRPr="00A260F4">
        <w:t>Apoyo</w:t>
      </w:r>
      <w:proofErr w:type="spellEnd"/>
      <w:r w:rsidRPr="00A260F4">
        <w:t xml:space="preserve"> Exterior</w:t>
      </w:r>
      <w:r>
        <w:rPr>
          <w:rtl/>
        </w:rPr>
        <w:t xml:space="preserve">، وهي آلية الدعم المكسيكي في الخارج في مجالي البحث والتحقيق، بين المكسيك ودول أمريكا الوسطى.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18698" w14:textId="7D975B8C" w:rsidR="00EF0E3B" w:rsidRPr="00EF0E3B" w:rsidRDefault="00EF0E3B" w:rsidP="00EF0E3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723AC">
      <w:t>CED/C/GC/1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7EAA7" w14:textId="3F72A7C9" w:rsidR="00EF0E3B" w:rsidRPr="00EF0E3B" w:rsidRDefault="00EF0E3B" w:rsidP="00EF0E3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723AC">
      <w:t>CED/C/GC/1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50704324">
    <w:abstractNumId w:val="15"/>
  </w:num>
  <w:num w:numId="2" w16cid:durableId="544146488">
    <w:abstractNumId w:val="12"/>
  </w:num>
  <w:num w:numId="3" w16cid:durableId="7759034">
    <w:abstractNumId w:val="2"/>
  </w:num>
  <w:num w:numId="4" w16cid:durableId="612371845">
    <w:abstractNumId w:val="11"/>
  </w:num>
  <w:num w:numId="5" w16cid:durableId="254442475">
    <w:abstractNumId w:val="8"/>
  </w:num>
  <w:num w:numId="6" w16cid:durableId="1347707391">
    <w:abstractNumId w:val="5"/>
  </w:num>
  <w:num w:numId="7" w16cid:durableId="761873606">
    <w:abstractNumId w:val="17"/>
  </w:num>
  <w:num w:numId="8" w16cid:durableId="387991954">
    <w:abstractNumId w:val="2"/>
  </w:num>
  <w:num w:numId="9" w16cid:durableId="2145268880">
    <w:abstractNumId w:val="11"/>
  </w:num>
  <w:num w:numId="10" w16cid:durableId="46300603">
    <w:abstractNumId w:val="5"/>
  </w:num>
  <w:num w:numId="11" w16cid:durableId="2007434282">
    <w:abstractNumId w:val="17"/>
  </w:num>
  <w:num w:numId="12" w16cid:durableId="436826296">
    <w:abstractNumId w:val="4"/>
  </w:num>
  <w:num w:numId="13" w16cid:durableId="1636180179">
    <w:abstractNumId w:val="3"/>
  </w:num>
  <w:num w:numId="14" w16cid:durableId="1911577073">
    <w:abstractNumId w:val="16"/>
  </w:num>
  <w:num w:numId="15" w16cid:durableId="824510309">
    <w:abstractNumId w:val="13"/>
  </w:num>
  <w:num w:numId="16" w16cid:durableId="1785035539">
    <w:abstractNumId w:val="1"/>
  </w:num>
  <w:num w:numId="17" w16cid:durableId="2060130653">
    <w:abstractNumId w:val="14"/>
  </w:num>
  <w:num w:numId="18" w16cid:durableId="1614508909">
    <w:abstractNumId w:val="0"/>
  </w:num>
  <w:num w:numId="19" w16cid:durableId="346174113">
    <w:abstractNumId w:val="9"/>
  </w:num>
  <w:num w:numId="20" w16cid:durableId="192060126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7308069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7806223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9850410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89295899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12936287">
    <w:abstractNumId w:val="7"/>
  </w:num>
  <w:num w:numId="26" w16cid:durableId="86725893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4559465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3EC"/>
    <w:rsid w:val="00001E1B"/>
    <w:rsid w:val="000076D5"/>
    <w:rsid w:val="000112F1"/>
    <w:rsid w:val="00022045"/>
    <w:rsid w:val="00023BD1"/>
    <w:rsid w:val="00027F2D"/>
    <w:rsid w:val="00031607"/>
    <w:rsid w:val="000401EB"/>
    <w:rsid w:val="000422E9"/>
    <w:rsid w:val="00043663"/>
    <w:rsid w:val="00044675"/>
    <w:rsid w:val="000505CF"/>
    <w:rsid w:val="00083E22"/>
    <w:rsid w:val="000A1B1A"/>
    <w:rsid w:val="000A1E05"/>
    <w:rsid w:val="000A23DE"/>
    <w:rsid w:val="000A6E51"/>
    <w:rsid w:val="000C2655"/>
    <w:rsid w:val="000D296C"/>
    <w:rsid w:val="000D6EA5"/>
    <w:rsid w:val="000D701C"/>
    <w:rsid w:val="000E2A71"/>
    <w:rsid w:val="000F4E15"/>
    <w:rsid w:val="0010772C"/>
    <w:rsid w:val="00133E9D"/>
    <w:rsid w:val="00144E74"/>
    <w:rsid w:val="00151926"/>
    <w:rsid w:val="00151FF7"/>
    <w:rsid w:val="00160263"/>
    <w:rsid w:val="001639BA"/>
    <w:rsid w:val="001659E7"/>
    <w:rsid w:val="00176DB4"/>
    <w:rsid w:val="001802EE"/>
    <w:rsid w:val="00181F96"/>
    <w:rsid w:val="00183B80"/>
    <w:rsid w:val="00183DF0"/>
    <w:rsid w:val="001867B2"/>
    <w:rsid w:val="001A1371"/>
    <w:rsid w:val="001A5338"/>
    <w:rsid w:val="001B346A"/>
    <w:rsid w:val="001E0920"/>
    <w:rsid w:val="001E1CAD"/>
    <w:rsid w:val="001E290D"/>
    <w:rsid w:val="00213916"/>
    <w:rsid w:val="002144FA"/>
    <w:rsid w:val="0021768C"/>
    <w:rsid w:val="0022579C"/>
    <w:rsid w:val="0023469A"/>
    <w:rsid w:val="002361A6"/>
    <w:rsid w:val="00243C8A"/>
    <w:rsid w:val="002456E8"/>
    <w:rsid w:val="00250E88"/>
    <w:rsid w:val="00267A0E"/>
    <w:rsid w:val="002804D6"/>
    <w:rsid w:val="00285A7F"/>
    <w:rsid w:val="002901D9"/>
    <w:rsid w:val="002976C2"/>
    <w:rsid w:val="002A237E"/>
    <w:rsid w:val="002A5FFA"/>
    <w:rsid w:val="002B24DB"/>
    <w:rsid w:val="002C11AF"/>
    <w:rsid w:val="003107E6"/>
    <w:rsid w:val="00317B22"/>
    <w:rsid w:val="003260FF"/>
    <w:rsid w:val="00343D95"/>
    <w:rsid w:val="00347336"/>
    <w:rsid w:val="00374341"/>
    <w:rsid w:val="00393F98"/>
    <w:rsid w:val="00397C0A"/>
    <w:rsid w:val="003A6953"/>
    <w:rsid w:val="003B0136"/>
    <w:rsid w:val="003B30FE"/>
    <w:rsid w:val="003C75EF"/>
    <w:rsid w:val="003D1062"/>
    <w:rsid w:val="003D44C9"/>
    <w:rsid w:val="003E24BB"/>
    <w:rsid w:val="00420D7B"/>
    <w:rsid w:val="00441434"/>
    <w:rsid w:val="00441B28"/>
    <w:rsid w:val="00442DA2"/>
    <w:rsid w:val="00450B21"/>
    <w:rsid w:val="00453B63"/>
    <w:rsid w:val="00455780"/>
    <w:rsid w:val="00455AC2"/>
    <w:rsid w:val="0047076C"/>
    <w:rsid w:val="004A52AC"/>
    <w:rsid w:val="004B0A1C"/>
    <w:rsid w:val="004B420F"/>
    <w:rsid w:val="004B7BC0"/>
    <w:rsid w:val="004D298E"/>
    <w:rsid w:val="004E1586"/>
    <w:rsid w:val="004E220A"/>
    <w:rsid w:val="0051664A"/>
    <w:rsid w:val="005175DF"/>
    <w:rsid w:val="00530D9F"/>
    <w:rsid w:val="00531CA3"/>
    <w:rsid w:val="00534020"/>
    <w:rsid w:val="00534176"/>
    <w:rsid w:val="005347C1"/>
    <w:rsid w:val="0054472E"/>
    <w:rsid w:val="00554383"/>
    <w:rsid w:val="005662A9"/>
    <w:rsid w:val="00566488"/>
    <w:rsid w:val="00571ABB"/>
    <w:rsid w:val="005827D4"/>
    <w:rsid w:val="0059622A"/>
    <w:rsid w:val="005A13D8"/>
    <w:rsid w:val="005A18D0"/>
    <w:rsid w:val="005B34B4"/>
    <w:rsid w:val="005C5878"/>
    <w:rsid w:val="005C7CEA"/>
    <w:rsid w:val="005D3225"/>
    <w:rsid w:val="005D3C0B"/>
    <w:rsid w:val="005E0255"/>
    <w:rsid w:val="005E5217"/>
    <w:rsid w:val="005E67F5"/>
    <w:rsid w:val="005F0FA4"/>
    <w:rsid w:val="005F2681"/>
    <w:rsid w:val="005F30EE"/>
    <w:rsid w:val="0060473A"/>
    <w:rsid w:val="0060487A"/>
    <w:rsid w:val="006079F4"/>
    <w:rsid w:val="00612EB7"/>
    <w:rsid w:val="0062176E"/>
    <w:rsid w:val="00622130"/>
    <w:rsid w:val="0063384E"/>
    <w:rsid w:val="006413D4"/>
    <w:rsid w:val="006441E6"/>
    <w:rsid w:val="00656392"/>
    <w:rsid w:val="006663FB"/>
    <w:rsid w:val="006743D3"/>
    <w:rsid w:val="00685F07"/>
    <w:rsid w:val="00685F82"/>
    <w:rsid w:val="0068781D"/>
    <w:rsid w:val="00687EF5"/>
    <w:rsid w:val="00693C5E"/>
    <w:rsid w:val="006959B0"/>
    <w:rsid w:val="006A69CA"/>
    <w:rsid w:val="006B3E27"/>
    <w:rsid w:val="006B5BAF"/>
    <w:rsid w:val="006B6507"/>
    <w:rsid w:val="006C104C"/>
    <w:rsid w:val="006C7E57"/>
    <w:rsid w:val="006D0C84"/>
    <w:rsid w:val="006D39EA"/>
    <w:rsid w:val="006D4464"/>
    <w:rsid w:val="006D698E"/>
    <w:rsid w:val="006F3437"/>
    <w:rsid w:val="006F7F7C"/>
    <w:rsid w:val="0070556C"/>
    <w:rsid w:val="0071222A"/>
    <w:rsid w:val="00732AC2"/>
    <w:rsid w:val="00733704"/>
    <w:rsid w:val="00774AF4"/>
    <w:rsid w:val="0078071A"/>
    <w:rsid w:val="00780B7C"/>
    <w:rsid w:val="00793456"/>
    <w:rsid w:val="007A6CAB"/>
    <w:rsid w:val="007B718D"/>
    <w:rsid w:val="007D117A"/>
    <w:rsid w:val="007D22D8"/>
    <w:rsid w:val="007F55ED"/>
    <w:rsid w:val="00807312"/>
    <w:rsid w:val="00810603"/>
    <w:rsid w:val="008134A2"/>
    <w:rsid w:val="00820B45"/>
    <w:rsid w:val="00830588"/>
    <w:rsid w:val="008313E3"/>
    <w:rsid w:val="00835B4F"/>
    <w:rsid w:val="0083791C"/>
    <w:rsid w:val="00852A9A"/>
    <w:rsid w:val="00857EDD"/>
    <w:rsid w:val="008667C1"/>
    <w:rsid w:val="008723AC"/>
    <w:rsid w:val="00896B6C"/>
    <w:rsid w:val="008A5B9E"/>
    <w:rsid w:val="008B2302"/>
    <w:rsid w:val="008C21B1"/>
    <w:rsid w:val="008C2897"/>
    <w:rsid w:val="008C6E7E"/>
    <w:rsid w:val="008D342E"/>
    <w:rsid w:val="008D6989"/>
    <w:rsid w:val="008F49E1"/>
    <w:rsid w:val="008F729B"/>
    <w:rsid w:val="0090370F"/>
    <w:rsid w:val="009152C5"/>
    <w:rsid w:val="009269D2"/>
    <w:rsid w:val="00927E2B"/>
    <w:rsid w:val="009305F0"/>
    <w:rsid w:val="00942135"/>
    <w:rsid w:val="009521B0"/>
    <w:rsid w:val="00954ACF"/>
    <w:rsid w:val="00956D6B"/>
    <w:rsid w:val="00957E62"/>
    <w:rsid w:val="0097260B"/>
    <w:rsid w:val="00977A73"/>
    <w:rsid w:val="00980103"/>
    <w:rsid w:val="0098372C"/>
    <w:rsid w:val="00987935"/>
    <w:rsid w:val="00994130"/>
    <w:rsid w:val="009A7E9F"/>
    <w:rsid w:val="009B546E"/>
    <w:rsid w:val="009C2BBC"/>
    <w:rsid w:val="009C60BC"/>
    <w:rsid w:val="009E34F5"/>
    <w:rsid w:val="009E4A3B"/>
    <w:rsid w:val="009E5018"/>
    <w:rsid w:val="009F515B"/>
    <w:rsid w:val="00A02AD9"/>
    <w:rsid w:val="00A03916"/>
    <w:rsid w:val="00A066DF"/>
    <w:rsid w:val="00A11572"/>
    <w:rsid w:val="00A12B37"/>
    <w:rsid w:val="00A20FF4"/>
    <w:rsid w:val="00A37CEB"/>
    <w:rsid w:val="00A4027E"/>
    <w:rsid w:val="00A443CF"/>
    <w:rsid w:val="00A476BD"/>
    <w:rsid w:val="00A763EC"/>
    <w:rsid w:val="00A83334"/>
    <w:rsid w:val="00A863F3"/>
    <w:rsid w:val="00A9386B"/>
    <w:rsid w:val="00A956BB"/>
    <w:rsid w:val="00AA1A4B"/>
    <w:rsid w:val="00AB3E37"/>
    <w:rsid w:val="00AB4F93"/>
    <w:rsid w:val="00AB6758"/>
    <w:rsid w:val="00AD0FE1"/>
    <w:rsid w:val="00AD62AC"/>
    <w:rsid w:val="00AE3843"/>
    <w:rsid w:val="00AF2D6E"/>
    <w:rsid w:val="00B03D2C"/>
    <w:rsid w:val="00B07324"/>
    <w:rsid w:val="00B07A06"/>
    <w:rsid w:val="00B13614"/>
    <w:rsid w:val="00B13763"/>
    <w:rsid w:val="00B27391"/>
    <w:rsid w:val="00B33568"/>
    <w:rsid w:val="00B40C02"/>
    <w:rsid w:val="00B477A4"/>
    <w:rsid w:val="00B52A52"/>
    <w:rsid w:val="00B54045"/>
    <w:rsid w:val="00B62784"/>
    <w:rsid w:val="00B63F77"/>
    <w:rsid w:val="00B65387"/>
    <w:rsid w:val="00B83256"/>
    <w:rsid w:val="00B86DC0"/>
    <w:rsid w:val="00BB449E"/>
    <w:rsid w:val="00BD2E35"/>
    <w:rsid w:val="00C05EA5"/>
    <w:rsid w:val="00C067E7"/>
    <w:rsid w:val="00C235D8"/>
    <w:rsid w:val="00C35319"/>
    <w:rsid w:val="00C438D7"/>
    <w:rsid w:val="00C522D8"/>
    <w:rsid w:val="00C55C0E"/>
    <w:rsid w:val="00C72A88"/>
    <w:rsid w:val="00C81B50"/>
    <w:rsid w:val="00C873CB"/>
    <w:rsid w:val="00C92253"/>
    <w:rsid w:val="00C92A59"/>
    <w:rsid w:val="00CB256B"/>
    <w:rsid w:val="00CB28F9"/>
    <w:rsid w:val="00CB6C67"/>
    <w:rsid w:val="00CC06E2"/>
    <w:rsid w:val="00CC276B"/>
    <w:rsid w:val="00CD1801"/>
    <w:rsid w:val="00CE70BF"/>
    <w:rsid w:val="00CF5542"/>
    <w:rsid w:val="00CF7E4E"/>
    <w:rsid w:val="00D01B68"/>
    <w:rsid w:val="00D10EF1"/>
    <w:rsid w:val="00D42810"/>
    <w:rsid w:val="00D543C8"/>
    <w:rsid w:val="00D63365"/>
    <w:rsid w:val="00D768EB"/>
    <w:rsid w:val="00D80B7D"/>
    <w:rsid w:val="00D87A1A"/>
    <w:rsid w:val="00D900DC"/>
    <w:rsid w:val="00D914A7"/>
    <w:rsid w:val="00DB5F80"/>
    <w:rsid w:val="00DD13C3"/>
    <w:rsid w:val="00DD596E"/>
    <w:rsid w:val="00DD621E"/>
    <w:rsid w:val="00DD729A"/>
    <w:rsid w:val="00DF0575"/>
    <w:rsid w:val="00DF31B3"/>
    <w:rsid w:val="00DF42EE"/>
    <w:rsid w:val="00DF5E71"/>
    <w:rsid w:val="00DF7A67"/>
    <w:rsid w:val="00E03540"/>
    <w:rsid w:val="00E31942"/>
    <w:rsid w:val="00E623B8"/>
    <w:rsid w:val="00E70E04"/>
    <w:rsid w:val="00E74455"/>
    <w:rsid w:val="00E76499"/>
    <w:rsid w:val="00E866BF"/>
    <w:rsid w:val="00EA6608"/>
    <w:rsid w:val="00EB6F59"/>
    <w:rsid w:val="00EC05A7"/>
    <w:rsid w:val="00EC4B6B"/>
    <w:rsid w:val="00ED6BDB"/>
    <w:rsid w:val="00EE2A27"/>
    <w:rsid w:val="00EF0E3B"/>
    <w:rsid w:val="00EF1EE5"/>
    <w:rsid w:val="00F015CD"/>
    <w:rsid w:val="00F1422F"/>
    <w:rsid w:val="00F14D01"/>
    <w:rsid w:val="00F14DF6"/>
    <w:rsid w:val="00F156CA"/>
    <w:rsid w:val="00F32B9D"/>
    <w:rsid w:val="00F37639"/>
    <w:rsid w:val="00F52C23"/>
    <w:rsid w:val="00F6316F"/>
    <w:rsid w:val="00F6781A"/>
    <w:rsid w:val="00F763B4"/>
    <w:rsid w:val="00F900C3"/>
    <w:rsid w:val="00F93E29"/>
    <w:rsid w:val="00FB3502"/>
    <w:rsid w:val="00FD3946"/>
    <w:rsid w:val="00FE5255"/>
    <w:rsid w:val="00FE565A"/>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A23807"/>
  <w15:docId w15:val="{54BB8728-9D5E-4AA3-A4CB-0D74BC022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character" w:styleId="EndnoteReference">
    <w:name w:val="endnote reference"/>
    <w:aliases w:val="1_G"/>
    <w:basedOn w:val="DefaultParagraphFont"/>
    <w:unhideWhenUsed/>
    <w:qFormat/>
    <w:rsid w:val="001659E7"/>
    <w:rPr>
      <w:vertAlign w:val="superscript"/>
    </w:rPr>
  </w:style>
  <w:style w:type="paragraph" w:styleId="FootnoteText">
    <w:name w:val="footnote text"/>
    <w:basedOn w:val="Normal"/>
    <w:link w:val="FootnoteTextChar"/>
    <w:semiHidden/>
    <w:unhideWhenUsed/>
    <w:qFormat/>
    <w:rsid w:val="001659E7"/>
    <w:pPr>
      <w:spacing w:line="240" w:lineRule="auto"/>
    </w:pPr>
    <w:rPr>
      <w:szCs w:val="20"/>
    </w:rPr>
  </w:style>
  <w:style w:type="character" w:customStyle="1" w:styleId="FootnoteTextChar">
    <w:name w:val="Footnote Text Char"/>
    <w:basedOn w:val="DefaultParagraphFont"/>
    <w:link w:val="FootnoteText"/>
    <w:semiHidden/>
    <w:rsid w:val="001659E7"/>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1659E7"/>
    <w:rPr>
      <w:vertAlign w:val="superscript"/>
    </w:rPr>
  </w:style>
  <w:style w:type="character" w:styleId="UnresolvedMention">
    <w:name w:val="Unresolved Mention"/>
    <w:basedOn w:val="DefaultParagraphFont"/>
    <w:uiPriority w:val="99"/>
    <w:semiHidden/>
    <w:unhideWhenUsed/>
    <w:rsid w:val="00977A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undocs.org/ar/CED/C/10/D/1/2013" TargetMode="External"/><Relationship Id="rId117" Type="http://schemas.openxmlformats.org/officeDocument/2006/relationships/hyperlink" Target="https://undocs.org/ar/A/HRC/45/13/Add.3" TargetMode="External"/><Relationship Id="rId21" Type="http://schemas.openxmlformats.org/officeDocument/2006/relationships/hyperlink" Target="https://undocs.org/ar/A/75/183" TargetMode="External"/><Relationship Id="rId42" Type="http://schemas.openxmlformats.org/officeDocument/2006/relationships/hyperlink" Target="https://undocs.org/ar/A/HRC/36/39/Add.2" TargetMode="External"/><Relationship Id="rId47" Type="http://schemas.openxmlformats.org/officeDocument/2006/relationships/hyperlink" Target="https://undocs.org/ar/CED/C/HND/CO/1" TargetMode="External"/><Relationship Id="rId63" Type="http://schemas.openxmlformats.org/officeDocument/2006/relationships/hyperlink" Target="https://undocs.org/ar/CED/C/ITA/CO/1" TargetMode="External"/><Relationship Id="rId68" Type="http://schemas.openxmlformats.org/officeDocument/2006/relationships/hyperlink" Target="https://undocs.org/ar/A/AC.96/951" TargetMode="External"/><Relationship Id="rId84" Type="http://schemas.openxmlformats.org/officeDocument/2006/relationships/hyperlink" Target="https://undocs.org/ar/CED/C/GRC/CO/1" TargetMode="External"/><Relationship Id="rId89" Type="http://schemas.openxmlformats.org/officeDocument/2006/relationships/hyperlink" Target="https://undocs.org/ar/CED/C/KAZ/CO/1" TargetMode="External"/><Relationship Id="rId112" Type="http://schemas.openxmlformats.org/officeDocument/2006/relationships/hyperlink" Target="http://undocs.org/en/CED/C/MEX/VR/1" TargetMode="External"/><Relationship Id="rId133" Type="http://schemas.openxmlformats.org/officeDocument/2006/relationships/hyperlink" Target="https://undocs.org/ar/CED/C/9." TargetMode="External"/><Relationship Id="rId138" Type="http://schemas.openxmlformats.org/officeDocument/2006/relationships/hyperlink" Target="https://undocs.org/ar/CED/C/AUT/CO/1" TargetMode="External"/><Relationship Id="rId16" Type="http://schemas.openxmlformats.org/officeDocument/2006/relationships/hyperlink" Target="https://undocs.org/ar/CED/C/MEX/VR/1" TargetMode="External"/><Relationship Id="rId107" Type="http://schemas.openxmlformats.org/officeDocument/2006/relationships/hyperlink" Target="https://hudoc.echr.coe.int/eng" TargetMode="External"/><Relationship Id="rId11" Type="http://schemas.openxmlformats.org/officeDocument/2006/relationships/hyperlink" Target="https://undocs.org/ar/A/72/335" TargetMode="External"/><Relationship Id="rId32" Type="http://schemas.openxmlformats.org/officeDocument/2006/relationships/hyperlink" Target="https://undocs.org/ar/CED/C/ITA/CO/1" TargetMode="External"/><Relationship Id="rId37" Type="http://schemas.openxmlformats.org/officeDocument/2006/relationships/hyperlink" Target="https://undocs.org/ar/CED/C/NLD/CO/1" TargetMode="External"/><Relationship Id="rId53" Type="http://schemas.openxmlformats.org/officeDocument/2006/relationships/hyperlink" Target="https://undocs.org/ar/CED/C/MEX/VR/1" TargetMode="External"/><Relationship Id="rId58" Type="http://schemas.openxmlformats.org/officeDocument/2006/relationships/hyperlink" Target="https://undocs.org/ar/A/HRC/36/39/Add.2" TargetMode="External"/><Relationship Id="rId74" Type="http://schemas.openxmlformats.org/officeDocument/2006/relationships/hyperlink" Target="https://undocs.org/ar/CED/C/GAB/CO/1" TargetMode="External"/><Relationship Id="rId79" Type="http://schemas.openxmlformats.org/officeDocument/2006/relationships/hyperlink" Target="https://undocs.org/ar/CED/C/CHE/CO/1" TargetMode="External"/><Relationship Id="rId102" Type="http://schemas.openxmlformats.org/officeDocument/2006/relationships/hyperlink" Target="https://undocs.org/ar/CED/C/CRI/CO/1" TargetMode="External"/><Relationship Id="rId123" Type="http://schemas.openxmlformats.org/officeDocument/2006/relationships/hyperlink" Target="https://undocs.org/ar/E/CN.4/1998/43" TargetMode="External"/><Relationship Id="rId128" Type="http://schemas.openxmlformats.org/officeDocument/2006/relationships/hyperlink" Target="https://undocs.org/ar/CED/C/HND/CO/1" TargetMode="External"/><Relationship Id="rId144" Type="http://schemas.openxmlformats.org/officeDocument/2006/relationships/hyperlink" Target="https://undocs.org/ar/CED/C/GAB/CO/1" TargetMode="External"/><Relationship Id="rId5" Type="http://schemas.openxmlformats.org/officeDocument/2006/relationships/hyperlink" Target="https://undocs.org/ar/CED/C/GRC/CO/1" TargetMode="External"/><Relationship Id="rId90" Type="http://schemas.openxmlformats.org/officeDocument/2006/relationships/hyperlink" Target="https://undocs.org/ar/CED/C/NER/CO/1" TargetMode="External"/><Relationship Id="rId95" Type="http://schemas.openxmlformats.org/officeDocument/2006/relationships/hyperlink" Target="https://undocs.org/ar/CED/C/GRC/CO/1" TargetMode="External"/><Relationship Id="rId22" Type="http://schemas.openxmlformats.org/officeDocument/2006/relationships/hyperlink" Target="https://undocs.org/ar/CED/C/10" TargetMode="External"/><Relationship Id="rId27" Type="http://schemas.openxmlformats.org/officeDocument/2006/relationships/hyperlink" Target="https://undocs.org/ar/CED/C/GRC/CO/1" TargetMode="External"/><Relationship Id="rId43" Type="http://schemas.openxmlformats.org/officeDocument/2006/relationships/hyperlink" Target="https://undocs.org/ar/CED/C/COL/OAI/1" TargetMode="External"/><Relationship Id="rId48" Type="http://schemas.openxmlformats.org/officeDocument/2006/relationships/hyperlink" Target="https://undocs.org/ar/CED/C/19/2" TargetMode="External"/><Relationship Id="rId64" Type="http://schemas.openxmlformats.org/officeDocument/2006/relationships/hyperlink" Target="https://undocs.org/ar/CED/C/NLD/CO/1" TargetMode="External"/><Relationship Id="rId69" Type="http://schemas.openxmlformats.org/officeDocument/2006/relationships/hyperlink" Target="https://undocs.org/ar/CED/C/NER/CO/1" TargetMode="External"/><Relationship Id="rId113" Type="http://schemas.openxmlformats.org/officeDocument/2006/relationships/hyperlink" Target="https://undocs.org/ar/A/HRC/36/39/Add.2" TargetMode="External"/><Relationship Id="rId118" Type="http://schemas.openxmlformats.org/officeDocument/2006/relationships/hyperlink" Target="https://undocs.org/ar/CED/C/GRC/CO/1" TargetMode="External"/><Relationship Id="rId134" Type="http://schemas.openxmlformats.org/officeDocument/2006/relationships/hyperlink" Target="https://undocs.org/ar/A/73/178/Rev.1" TargetMode="External"/><Relationship Id="rId139" Type="http://schemas.openxmlformats.org/officeDocument/2006/relationships/hyperlink" Target="https://undocs.org/ar/CED/C/JPN/CO/1" TargetMode="External"/><Relationship Id="rId8" Type="http://schemas.openxmlformats.org/officeDocument/2006/relationships/hyperlink" Target="https://undocs.org/ar/A/72/335" TargetMode="External"/><Relationship Id="rId51" Type="http://schemas.openxmlformats.org/officeDocument/2006/relationships/hyperlink" Target="https://undocs.org/ar/A/HRC/36/39/Add.2" TargetMode="External"/><Relationship Id="rId72" Type="http://schemas.openxmlformats.org/officeDocument/2006/relationships/hyperlink" Target="https://undocs.org/ar/CED/C/PER/CO/1" TargetMode="External"/><Relationship Id="rId80" Type="http://schemas.openxmlformats.org/officeDocument/2006/relationships/hyperlink" Target="https://undocs.org/ar/CED/C/ITA/CO/1" TargetMode="External"/><Relationship Id="rId85" Type="http://schemas.openxmlformats.org/officeDocument/2006/relationships/hyperlink" Target="https://undocs.org/ar/CED/C/CHE/CO/1" TargetMode="External"/><Relationship Id="rId93" Type="http://schemas.openxmlformats.org/officeDocument/2006/relationships/hyperlink" Target="https://undocs.org/ar/CED/C/SVK/CO/1" TargetMode="External"/><Relationship Id="rId98" Type="http://schemas.openxmlformats.org/officeDocument/2006/relationships/hyperlink" Target="https://undocs.org/ar/CRC/C/GRC/CO/4-6." TargetMode="External"/><Relationship Id="rId121" Type="http://schemas.openxmlformats.org/officeDocument/2006/relationships/hyperlink" Target="https://undocs.org/ar/A/HRC/36/39/Add.2" TargetMode="External"/><Relationship Id="rId142" Type="http://schemas.openxmlformats.org/officeDocument/2006/relationships/hyperlink" Target="https://undocs.org/ar/CED/C/MNE/CO/1" TargetMode="External"/><Relationship Id="rId3" Type="http://schemas.openxmlformats.org/officeDocument/2006/relationships/hyperlink" Target="https://undocs.org/ar/CED/C/7" TargetMode="External"/><Relationship Id="rId12" Type="http://schemas.openxmlformats.org/officeDocument/2006/relationships/hyperlink" Target="https://undocs.org/ar/A/HRC/36/39/Add.2" TargetMode="External"/><Relationship Id="rId17" Type="http://schemas.openxmlformats.org/officeDocument/2006/relationships/hyperlink" Target="https://undocs.org/ar/CED/C/9" TargetMode="External"/><Relationship Id="rId25" Type="http://schemas.openxmlformats.org/officeDocument/2006/relationships/hyperlink" Target="https://undocs.org/ar/E/CN.4/2003/71" TargetMode="External"/><Relationship Id="rId33" Type="http://schemas.openxmlformats.org/officeDocument/2006/relationships/hyperlink" Target="https://undocs.org/ar/CED/C/JPN/CO/1" TargetMode="External"/><Relationship Id="rId38" Type="http://schemas.openxmlformats.org/officeDocument/2006/relationships/hyperlink" Target="https://undocs.org/ar/CED/C/ITA/CO/1" TargetMode="External"/><Relationship Id="rId46" Type="http://schemas.openxmlformats.org/officeDocument/2006/relationships/hyperlink" Target="https://undocs.org/ar/CED/C/NER/CO/1" TargetMode="External"/><Relationship Id="rId59" Type="http://schemas.openxmlformats.org/officeDocument/2006/relationships/hyperlink" Target="https://undocs.org/ar/A/HRC/40/59" TargetMode="External"/><Relationship Id="rId67" Type="http://schemas.openxmlformats.org/officeDocument/2006/relationships/hyperlink" Target="https://undocs.org/ar/A/73/314" TargetMode="External"/><Relationship Id="rId103" Type="http://schemas.openxmlformats.org/officeDocument/2006/relationships/hyperlink" Target="https://undocs.org/ar/A/HRC/47/30" TargetMode="External"/><Relationship Id="rId108" Type="http://schemas.openxmlformats.org/officeDocument/2006/relationships/hyperlink" Target="https://undocs.org/ar/A/HRC/37/50" TargetMode="External"/><Relationship Id="rId116" Type="http://schemas.openxmlformats.org/officeDocument/2006/relationships/hyperlink" Target="https://undocs.org/ar/A/HRC/36/39/Add.2" TargetMode="External"/><Relationship Id="rId124" Type="http://schemas.openxmlformats.org/officeDocument/2006/relationships/hyperlink" Target="https://undocs.org/ar/CED/C/JPN/CO/1" TargetMode="External"/><Relationship Id="rId129" Type="http://schemas.openxmlformats.org/officeDocument/2006/relationships/hyperlink" Target="https://undocs.org/ar/CED/C/PAN/CO/1" TargetMode="External"/><Relationship Id="rId137" Type="http://schemas.openxmlformats.org/officeDocument/2006/relationships/hyperlink" Target="https://undocs.org/ar/CED/C/19/2" TargetMode="External"/><Relationship Id="rId20" Type="http://schemas.openxmlformats.org/officeDocument/2006/relationships/hyperlink" Target="https://undocs.org/ar/A/HRC/36/39/Add.2" TargetMode="External"/><Relationship Id="rId41" Type="http://schemas.openxmlformats.org/officeDocument/2006/relationships/hyperlink" Target="https://undocs.org/ar/CED/C/GRC/CO/1" TargetMode="External"/><Relationship Id="rId54" Type="http://schemas.openxmlformats.org/officeDocument/2006/relationships/hyperlink" Target="https://undocs.org/ar/CED/C/GRC/CO/1" TargetMode="External"/><Relationship Id="rId62" Type="http://schemas.openxmlformats.org/officeDocument/2006/relationships/hyperlink" Target="https://undocs.org/ar/CED/C/GRC/CO/1" TargetMode="External"/><Relationship Id="rId70" Type="http://schemas.openxmlformats.org/officeDocument/2006/relationships/hyperlink" Target="https://undocs.org/ar/CED/C/MNG/CO/1" TargetMode="External"/><Relationship Id="rId75" Type="http://schemas.openxmlformats.org/officeDocument/2006/relationships/hyperlink" Target="https://undocs.org/ar/A/HRC/50/31" TargetMode="External"/><Relationship Id="rId83" Type="http://schemas.openxmlformats.org/officeDocument/2006/relationships/hyperlink" Target="https://undocs.org/ar/CED/C/GAB/CO/1" TargetMode="External"/><Relationship Id="rId88" Type="http://schemas.openxmlformats.org/officeDocument/2006/relationships/hyperlink" Target="https://undocs.org/ar/CED/C/PAN/CO/1" TargetMode="External"/><Relationship Id="rId91" Type="http://schemas.openxmlformats.org/officeDocument/2006/relationships/hyperlink" Target="https://undocs.org/ar/CED/C/FRA/CO/1" TargetMode="External"/><Relationship Id="rId96" Type="http://schemas.openxmlformats.org/officeDocument/2006/relationships/hyperlink" Target="https://undocs.org/ar/A/HRC/47/30" TargetMode="External"/><Relationship Id="rId111" Type="http://schemas.openxmlformats.org/officeDocument/2006/relationships/hyperlink" Target="https://undocs.org/ar/CED/C/GRC/CO/1" TargetMode="External"/><Relationship Id="rId132" Type="http://schemas.openxmlformats.org/officeDocument/2006/relationships/hyperlink" Target="https://undocs.org/ar/CED/C/GAB/CO/1" TargetMode="External"/><Relationship Id="rId140" Type="http://schemas.openxmlformats.org/officeDocument/2006/relationships/hyperlink" Target="https://temas.crmsv.org/sites/default/files/Documentos%20Files/chld8_recomendaciones_" TargetMode="External"/><Relationship Id="rId1" Type="http://schemas.openxmlformats.org/officeDocument/2006/relationships/hyperlink" Target="https://undocs.org/ar/A/76/642" TargetMode="External"/><Relationship Id="rId6" Type="http://schemas.openxmlformats.org/officeDocument/2006/relationships/hyperlink" Target="https://undocs.org/ar/CED/C/MEX/VR/1" TargetMode="External"/><Relationship Id="rId15" Type="http://schemas.openxmlformats.org/officeDocument/2006/relationships/hyperlink" Target="https://undocs.org/ar/CED/C/BRA/CO/1" TargetMode="External"/><Relationship Id="rId23" Type="http://schemas.openxmlformats.org/officeDocument/2006/relationships/hyperlink" Target="https://undocs.org/ar/A/HRC/13/42" TargetMode="External"/><Relationship Id="rId28" Type="http://schemas.openxmlformats.org/officeDocument/2006/relationships/hyperlink" Target="https://undocs.org/ar/CED/C/FRA/CO/1" TargetMode="External"/><Relationship Id="rId36" Type="http://schemas.openxmlformats.org/officeDocument/2006/relationships/hyperlink" Target="https://undocs.org/ar/CED/C/NLD/CO/1" TargetMode="External"/><Relationship Id="rId49" Type="http://schemas.openxmlformats.org/officeDocument/2006/relationships/hyperlink" Target="https://undocs.org/ar/CED/C/MEX/CO/1" TargetMode="External"/><Relationship Id="rId57" Type="http://schemas.openxmlformats.org/officeDocument/2006/relationships/hyperlink" Target="https://undocs.org/ar/CED/C/MEX/VR/1" TargetMode="External"/><Relationship Id="rId106" Type="http://schemas.openxmlformats.org/officeDocument/2006/relationships/hyperlink" Target="https://hudoc.echr.coe.int/eng" TargetMode="External"/><Relationship Id="rId114" Type="http://schemas.openxmlformats.org/officeDocument/2006/relationships/hyperlink" Target="https://undocs.org/ar/CED/C/ITA/CO/1" TargetMode="External"/><Relationship Id="rId119" Type="http://schemas.openxmlformats.org/officeDocument/2006/relationships/hyperlink" Target="https://undocs.org/ar/CED/C/GRC/CO/1" TargetMode="External"/><Relationship Id="rId127" Type="http://schemas.openxmlformats.org/officeDocument/2006/relationships/hyperlink" Target="https://undocs.org/ar/CED/C/MEX/VR/1" TargetMode="External"/><Relationship Id="rId10" Type="http://schemas.openxmlformats.org/officeDocument/2006/relationships/hyperlink" Target="https://undocs.org/ar/A/HRC/36/39/Add.2." TargetMode="External"/><Relationship Id="rId31" Type="http://schemas.openxmlformats.org/officeDocument/2006/relationships/hyperlink" Target="https://undocs.org/ar/CED/C/MEX/VR/1" TargetMode="External"/><Relationship Id="rId44" Type="http://schemas.openxmlformats.org/officeDocument/2006/relationships/hyperlink" Target="https://undocs.org/ar/CED/C/IRQ/OAI/1" TargetMode="External"/><Relationship Id="rId52" Type="http://schemas.openxmlformats.org/officeDocument/2006/relationships/hyperlink" Target="https://undocs.org/ar/CED/C/GRC/CO/1" TargetMode="External"/><Relationship Id="rId60" Type="http://schemas.openxmlformats.org/officeDocument/2006/relationships/hyperlink" Target="https://undocs.org/ar/CED/C/GAB/CO/1" TargetMode="External"/><Relationship Id="rId65" Type="http://schemas.openxmlformats.org/officeDocument/2006/relationships/hyperlink" Target="https://undocs.org/ar/CED/C/HND/CO/1" TargetMode="External"/><Relationship Id="rId73" Type="http://schemas.openxmlformats.org/officeDocument/2006/relationships/hyperlink" Target="https://undocs.org/ar/CED/C/AUT/CO/1" TargetMode="External"/><Relationship Id="rId78" Type="http://schemas.openxmlformats.org/officeDocument/2006/relationships/hyperlink" Target="https://undocs.org/ar/CED/C/NER/CO/1" TargetMode="External"/><Relationship Id="rId81" Type="http://schemas.openxmlformats.org/officeDocument/2006/relationships/hyperlink" Target="https://undocs.org/ar/CED/C/PER/CO/1" TargetMode="External"/><Relationship Id="rId86" Type="http://schemas.openxmlformats.org/officeDocument/2006/relationships/hyperlink" Target="https://undocs.org/ar/A/HRC/47/30" TargetMode="External"/><Relationship Id="rId94" Type="http://schemas.openxmlformats.org/officeDocument/2006/relationships/hyperlink" Target="https://undocs.org/ar/CED/C/PER/CO/1" TargetMode="External"/><Relationship Id="rId99" Type="http://schemas.openxmlformats.org/officeDocument/2006/relationships/hyperlink" Target="https://undocs.org/ar/A/HRC/37/50" TargetMode="External"/><Relationship Id="rId101" Type="http://schemas.openxmlformats.org/officeDocument/2006/relationships/hyperlink" Target="https://undocs.org/ar/A/HRC/37/50" TargetMode="External"/><Relationship Id="rId122" Type="http://schemas.openxmlformats.org/officeDocument/2006/relationships/hyperlink" Target="https://undocs.org/ar/CED/C/GRC/CO/1" TargetMode="External"/><Relationship Id="rId130" Type="http://schemas.openxmlformats.org/officeDocument/2006/relationships/hyperlink" Target="https://undocs.org/ar/CED/C/15/3" TargetMode="External"/><Relationship Id="rId135" Type="http://schemas.openxmlformats.org/officeDocument/2006/relationships/hyperlink" Target="https://undocs.org/ar/CED/C/MEX/CO/1" TargetMode="External"/><Relationship Id="rId143" Type="http://schemas.openxmlformats.org/officeDocument/2006/relationships/hyperlink" Target="https://undocs.org/ar/CED/C/ITA/CO/1" TargetMode="External"/><Relationship Id="rId4" Type="http://schemas.openxmlformats.org/officeDocument/2006/relationships/hyperlink" Target="https://undocs.org/ar/A/HRC/50/31" TargetMode="External"/><Relationship Id="rId9" Type="http://schemas.openxmlformats.org/officeDocument/2006/relationships/hyperlink" Target="https://undocs.org/ar/A/76/642" TargetMode="External"/><Relationship Id="rId13" Type="http://schemas.openxmlformats.org/officeDocument/2006/relationships/hyperlink" Target="https://undocs.org/ar/A/HRC/36/39/Add.2" TargetMode="External"/><Relationship Id="rId18" Type="http://schemas.openxmlformats.org/officeDocument/2006/relationships/hyperlink" Target="https://undocs.org/ar/CED/C/10" TargetMode="External"/><Relationship Id="rId39" Type="http://schemas.openxmlformats.org/officeDocument/2006/relationships/hyperlink" Target="https://undocs.org/ar/A/HRC/36/39/Add.2" TargetMode="External"/><Relationship Id="rId109" Type="http://schemas.openxmlformats.org/officeDocument/2006/relationships/hyperlink" Target="https://undocs.org/ar/A/HRC/47/30" TargetMode="External"/><Relationship Id="rId34" Type="http://schemas.openxmlformats.org/officeDocument/2006/relationships/hyperlink" Target="https://undocs.org/ar/A/HRC/36/39/Add.2" TargetMode="External"/><Relationship Id="rId50" Type="http://schemas.openxmlformats.org/officeDocument/2006/relationships/hyperlink" Target="https://undocs.org/ar/A/77/196" TargetMode="External"/><Relationship Id="rId55" Type="http://schemas.openxmlformats.org/officeDocument/2006/relationships/hyperlink" Target="https://undocs.org/ar/CED/C/MEX/CO/1" TargetMode="External"/><Relationship Id="rId76" Type="http://schemas.openxmlformats.org/officeDocument/2006/relationships/hyperlink" Target="https://undocs.org/ar/A/HRC/37/50" TargetMode="External"/><Relationship Id="rId97" Type="http://schemas.openxmlformats.org/officeDocument/2006/relationships/hyperlink" Target="https://undocs.org/ar/A/HRC/50/31" TargetMode="External"/><Relationship Id="rId104" Type="http://schemas.openxmlformats.org/officeDocument/2006/relationships/hyperlink" Target="https://undocs.org/ar/CED/C/GRC/CO/1" TargetMode="External"/><Relationship Id="rId120" Type="http://schemas.openxmlformats.org/officeDocument/2006/relationships/hyperlink" Target="https://undocs.org/ar/CED/C/HND/CO/1" TargetMode="External"/><Relationship Id="rId125" Type="http://schemas.openxmlformats.org/officeDocument/2006/relationships/hyperlink" Target="https://undocs.org/ar/CCPR/C/MEX/CO/5" TargetMode="External"/><Relationship Id="rId141" Type="http://schemas.openxmlformats.org/officeDocument/2006/relationships/hyperlink" Target="https://undocs.org/ar/CED/C/MEX/VR/1" TargetMode="External"/><Relationship Id="rId7" Type="http://schemas.openxmlformats.org/officeDocument/2006/relationships/hyperlink" Target="https://undocs.org/ar/CED/C/MEX/VR/1" TargetMode="External"/><Relationship Id="rId71" Type="http://schemas.openxmlformats.org/officeDocument/2006/relationships/hyperlink" Target="https://undocs.org/ar/CED/C/SVK/CO/1" TargetMode="External"/><Relationship Id="rId92" Type="http://schemas.openxmlformats.org/officeDocument/2006/relationships/hyperlink" Target="https://undocs.org/ar/CED/C/MNG/CO/1" TargetMode="External"/><Relationship Id="rId2" Type="http://schemas.openxmlformats.org/officeDocument/2006/relationships/hyperlink" Target="https://www.migrationdataportal.org/themes/international-migrant-stocks" TargetMode="External"/><Relationship Id="rId29" Type="http://schemas.openxmlformats.org/officeDocument/2006/relationships/hyperlink" Target="https://undocs.org/ar/A/HRC/37/50" TargetMode="External"/><Relationship Id="rId24" Type="http://schemas.openxmlformats.org/officeDocument/2006/relationships/hyperlink" Target="https://undocs.org/ar/A/HRC/36/39/Add.2" TargetMode="External"/><Relationship Id="rId40" Type="http://schemas.openxmlformats.org/officeDocument/2006/relationships/hyperlink" Target="https://undocs.org/ar/A/HRC/37/50" TargetMode="External"/><Relationship Id="rId45" Type="http://schemas.openxmlformats.org/officeDocument/2006/relationships/hyperlink" Target="https://undocs.org/ar/CED/C/BRA/CO/1" TargetMode="External"/><Relationship Id="rId66" Type="http://schemas.openxmlformats.org/officeDocument/2006/relationships/hyperlink" Target="https://undocs.org/ar/CED/C/GRC/CO/1" TargetMode="External"/><Relationship Id="rId87" Type="http://schemas.openxmlformats.org/officeDocument/2006/relationships/hyperlink" Target="https://undocs.org/ar/CED/C/GRC/CO/1" TargetMode="External"/><Relationship Id="rId110" Type="http://schemas.openxmlformats.org/officeDocument/2006/relationships/hyperlink" Target="https://undocs.org/ar/CCPR/C/130/D/3042/2017)." TargetMode="External"/><Relationship Id="rId115" Type="http://schemas.openxmlformats.org/officeDocument/2006/relationships/hyperlink" Target="http://undocs.org/en/CED/C/MEX/VR/1" TargetMode="External"/><Relationship Id="rId131" Type="http://schemas.openxmlformats.org/officeDocument/2006/relationships/hyperlink" Target="https://undocs.org/ar/A/HRC/54/22/Add.5" TargetMode="External"/><Relationship Id="rId136" Type="http://schemas.openxmlformats.org/officeDocument/2006/relationships/hyperlink" Target="https://undocs.org/ar/CED/C/HND/CO/1" TargetMode="External"/><Relationship Id="rId61" Type="http://schemas.openxmlformats.org/officeDocument/2006/relationships/hyperlink" Target="https://undocs.org/ar/CED/C/MEX/CO/1" TargetMode="External"/><Relationship Id="rId82" Type="http://schemas.openxmlformats.org/officeDocument/2006/relationships/hyperlink" Target="https://undocs.org/ar/CED/C/AUT/CO/1" TargetMode="External"/><Relationship Id="rId19" Type="http://schemas.openxmlformats.org/officeDocument/2006/relationships/hyperlink" Target="http://undocs.org/en/CED/C/MEX/VR/1" TargetMode="External"/><Relationship Id="rId14" Type="http://schemas.openxmlformats.org/officeDocument/2006/relationships/hyperlink" Target="https://undocs.org/ar/A/HRC/36/39/Add.2" TargetMode="External"/><Relationship Id="rId30" Type="http://schemas.openxmlformats.org/officeDocument/2006/relationships/hyperlink" Target="https://undocs.org/ar/CED/C/GRC/CO/1" TargetMode="External"/><Relationship Id="rId35" Type="http://schemas.openxmlformats.org/officeDocument/2006/relationships/hyperlink" Target="https://undocs.org/ar/E/CN.4/1997/34" TargetMode="External"/><Relationship Id="rId56" Type="http://schemas.openxmlformats.org/officeDocument/2006/relationships/hyperlink" Target="https://undocs.org/ar/CED/C/MEX/VR/1" TargetMode="External"/><Relationship Id="rId77" Type="http://schemas.openxmlformats.org/officeDocument/2006/relationships/hyperlink" Target="https://undocs.org/ar/CED/C/19/D/3/2019" TargetMode="External"/><Relationship Id="rId100" Type="http://schemas.openxmlformats.org/officeDocument/2006/relationships/hyperlink" Target="https://undocs.org/ar/CED/C/GRC/CO/1" TargetMode="External"/><Relationship Id="rId105" Type="http://schemas.openxmlformats.org/officeDocument/2006/relationships/hyperlink" Target="http://undocs.org/en/CED/C/MEX/VR/1" TargetMode="External"/><Relationship Id="rId126" Type="http://schemas.openxmlformats.org/officeDocument/2006/relationships/hyperlink" Target="https://undocs.org/ar/CCPR/C/MEX/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20</Pages>
  <Words>5834</Words>
  <Characters>33255</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CED/C/GC/1</vt:lpstr>
    </vt:vector>
  </TitlesOfParts>
  <Company>DCM</Company>
  <LinksUpToDate>false</LinksUpToDate>
  <CharactersWithSpaces>39011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CED/C/GC/1</dc:title>
  <dc:subject>GE.2319531(A)</dc:subject>
  <dc:creator>Gamal MAHMOUD -</dc:creator>
  <cp:keywords>GE.(A)</cp:keywords>
  <dc:description>Arabic</dc:description>
  <cp:lastModifiedBy>Gamal Mohamed Abdelhamid Mahmoud</cp:lastModifiedBy>
  <cp:revision>2</cp:revision>
  <cp:lastPrinted>2023-11-14T16:36:00Z</cp:lastPrinted>
  <dcterms:created xsi:type="dcterms:W3CDTF">2023-11-14T16:36:00Z</dcterms:created>
  <dcterms:modified xsi:type="dcterms:W3CDTF">2023-11-14T16:36:00Z</dcterms:modified>
</cp:coreProperties>
</file>