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4536"/>
        <w:gridCol w:w="864"/>
        <w:gridCol w:w="2396"/>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gridSpan w:val="2"/>
            <w:tcBorders>
              <w:top w:val="nil"/>
              <w:left w:val="nil"/>
              <w:bottom w:val="single" w:sz="8" w:space="0" w:color="auto"/>
              <w:right w:val="nil"/>
            </w:tcBorders>
            <w:vAlign w:val="bottom"/>
          </w:tcPr>
          <w:p w:rsidR="00000000" w:rsidRDefault="00000000">
            <w:pPr>
              <w:pStyle w:val="1R1"/>
              <w:jc w:val="right"/>
              <w:rPr>
                <w:rFonts w:ascii="Univers" w:hAnsi="Univers"/>
                <w:b w:val="0"/>
                <w:spacing w:val="0"/>
                <w:sz w:val="72"/>
              </w:rPr>
            </w:pPr>
            <w:r>
              <w:t>A</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62619957" r:id="rId8"/>
              </w:object>
            </w:r>
          </w:p>
        </w:tc>
        <w:tc>
          <w:tcPr>
            <w:tcW w:w="5400" w:type="dxa"/>
            <w:gridSpan w:val="2"/>
            <w:tcBorders>
              <w:top w:val="single" w:sz="8" w:space="0" w:color="auto"/>
              <w:left w:val="nil"/>
              <w:bottom w:val="single" w:sz="24" w:space="0" w:color="auto"/>
              <w:right w:val="nil"/>
            </w:tcBorders>
          </w:tcPr>
          <w:p w:rsidR="00000000" w:rsidRDefault="00000000">
            <w:pPr>
              <w:pStyle w:val="1m1"/>
              <w:spacing w:before="440"/>
            </w:pPr>
            <w:r>
              <w:rPr>
                <w:rFonts w:hint="eastAsia"/>
                <w:spacing w:val="200"/>
              </w:rPr>
              <w:t>大</w:t>
            </w:r>
            <w:r>
              <w:rPr>
                <w:rFonts w:hint="eastAsia"/>
              </w:rPr>
              <w:t>会</w:t>
            </w:r>
          </w:p>
        </w:tc>
        <w:tc>
          <w:tcPr>
            <w:tcW w:w="2396" w:type="dxa"/>
            <w:tcBorders>
              <w:top w:val="single" w:sz="8" w:space="0" w:color="auto"/>
              <w:left w:val="nil"/>
              <w:bottom w:val="single" w:sz="24" w:space="0" w:color="auto"/>
              <w:right w:val="nil"/>
            </w:tcBorders>
          </w:tcPr>
          <w:p w:rsidR="00000000" w:rsidRDefault="00000000">
            <w:pPr>
              <w:pStyle w:val="Header"/>
              <w:spacing w:after="0"/>
              <w:rPr>
                <w:lang w:eastAsia="zh-CN"/>
              </w:rPr>
            </w:pPr>
          </w:p>
          <w:p w:rsidR="00000000" w:rsidRDefault="00000000">
            <w:pPr>
              <w:pStyle w:val="Header"/>
              <w:spacing w:after="0"/>
            </w:pPr>
            <w:r>
              <w:t>Distr.</w:t>
            </w:r>
          </w:p>
          <w:p w:rsidR="00000000" w:rsidRDefault="00000000">
            <w:pPr>
              <w:pStyle w:val="Header"/>
              <w:spacing w:after="0"/>
            </w:pPr>
            <w:r>
              <w:t>GENERAL</w:t>
            </w:r>
          </w:p>
          <w:p w:rsidR="00000000" w:rsidRDefault="00000000">
            <w:pPr>
              <w:pStyle w:val="Header"/>
              <w:spacing w:after="0"/>
            </w:pPr>
          </w:p>
          <w:p w:rsidR="00000000" w:rsidRDefault="00000000">
            <w:pPr>
              <w:pStyle w:val="Header"/>
              <w:spacing w:after="0"/>
            </w:pPr>
            <w:r>
              <w:t>A/HRC/4/23/Add.2</w:t>
            </w:r>
          </w:p>
          <w:p w:rsidR="00000000" w:rsidRDefault="00000000">
            <w:pPr>
              <w:pStyle w:val="Header"/>
              <w:spacing w:after="0"/>
            </w:pPr>
            <w:r>
              <w:t>25 April 2007</w:t>
            </w:r>
          </w:p>
          <w:p w:rsidR="00000000" w:rsidRDefault="00000000">
            <w:pPr>
              <w:pStyle w:val="Header"/>
              <w:spacing w:after="0"/>
            </w:pPr>
          </w:p>
          <w:p w:rsidR="00000000" w:rsidRDefault="00000000">
            <w:pPr>
              <w:pStyle w:val="Header"/>
              <w:spacing w:after="0"/>
            </w:pPr>
            <w:r>
              <w:t>CHINESE</w:t>
            </w:r>
          </w:p>
          <w:p w:rsidR="00000000" w:rsidRDefault="00000000">
            <w:pPr>
              <w:pStyle w:val="Header"/>
              <w:tabs>
                <w:tab w:val="left" w:pos="993"/>
              </w:tabs>
              <w:spacing w:after="0"/>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gridSpan w:val="2"/>
            <w:tcBorders>
              <w:top w:val="single" w:sz="24" w:space="0" w:color="auto"/>
              <w:left w:val="nil"/>
              <w:bottom w:val="nil"/>
              <w:right w:val="nil"/>
            </w:tcBorders>
            <w:noWrap/>
          </w:tcPr>
          <w:p w:rsidR="00000000" w:rsidRDefault="00000000">
            <w:pPr>
              <w:rPr>
                <w:sz w:val="16"/>
              </w:rPr>
            </w:pPr>
          </w:p>
        </w:tc>
      </w:tr>
    </w:tbl>
    <w:p w:rsidR="00000000" w:rsidRDefault="00000000">
      <w:pPr>
        <w:pStyle w:val="a"/>
        <w:adjustRightInd w:val="0"/>
        <w:snapToGrid w:val="0"/>
        <w:rPr>
          <w:rFonts w:hint="eastAsia"/>
        </w:rPr>
      </w:pPr>
      <w:r>
        <w:rPr>
          <w:rFonts w:hint="eastAsia"/>
        </w:rPr>
        <w:t>人权理事会</w:t>
      </w:r>
    </w:p>
    <w:p w:rsidR="00000000" w:rsidRDefault="00000000">
      <w:pPr>
        <w:pStyle w:val="a"/>
        <w:adjustRightInd w:val="0"/>
        <w:snapToGrid w:val="0"/>
      </w:pPr>
      <w:r>
        <w:rPr>
          <w:rFonts w:hint="eastAsia"/>
        </w:rPr>
        <w:t>第四届会议</w:t>
      </w:r>
      <w:r>
        <w:t>*</w:t>
      </w:r>
    </w:p>
    <w:p w:rsidR="00000000" w:rsidRDefault="00000000">
      <w:pPr>
        <w:pStyle w:val="a"/>
        <w:adjustRightInd w:val="0"/>
        <w:snapToGrid w:val="0"/>
        <w:rPr>
          <w:rFonts w:hint="eastAsia"/>
        </w:rPr>
      </w:pPr>
      <w:r>
        <w:rPr>
          <w:rFonts w:hint="eastAsia"/>
        </w:rPr>
        <w:t>议程项目</w:t>
      </w:r>
      <w:r>
        <w:rPr>
          <w:rFonts w:hint="eastAsia"/>
        </w:rPr>
        <w:t>2</w:t>
      </w:r>
    </w:p>
    <w:p w:rsidR="00000000" w:rsidRDefault="00000000">
      <w:pPr>
        <w:pStyle w:val="1"/>
        <w:adjustRightInd w:val="0"/>
        <w:snapToGrid w:val="0"/>
        <w:rPr>
          <w:rFonts w:ascii="Time New Roman" w:eastAsia="SimHei" w:hAnsi="Time New Roman" w:hint="eastAsia"/>
        </w:rPr>
      </w:pPr>
      <w:r>
        <w:rPr>
          <w:rFonts w:ascii="Time New Roman" w:eastAsia="SimHei" w:hAnsi="Time New Roman" w:hint="eastAsia"/>
        </w:rPr>
        <w:t>大会</w:t>
      </w:r>
      <w:r>
        <w:rPr>
          <w:rFonts w:ascii="Time New Roman" w:eastAsia="SimHei" w:hAnsi="Time New Roman" w:hint="eastAsia"/>
          <w:b/>
        </w:rPr>
        <w:t>2006</w:t>
      </w:r>
      <w:r>
        <w:rPr>
          <w:rFonts w:ascii="Time New Roman" w:eastAsia="SimHei" w:hAnsi="Time New Roman" w:hint="eastAsia"/>
        </w:rPr>
        <w:t>年</w:t>
      </w:r>
      <w:r>
        <w:rPr>
          <w:rFonts w:ascii="Time New Roman" w:eastAsia="SimHei" w:hAnsi="Time New Roman" w:hint="eastAsia"/>
          <w:b/>
        </w:rPr>
        <w:t>3</w:t>
      </w:r>
      <w:r>
        <w:rPr>
          <w:rFonts w:ascii="Time New Roman" w:eastAsia="SimHei" w:hAnsi="Time New Roman" w:hint="eastAsia"/>
        </w:rPr>
        <w:t>月</w:t>
      </w:r>
      <w:r>
        <w:rPr>
          <w:rFonts w:ascii="Time New Roman" w:eastAsia="SimHei" w:hAnsi="Time New Roman" w:hint="eastAsia"/>
          <w:b/>
        </w:rPr>
        <w:t>15</w:t>
      </w:r>
      <w:r>
        <w:rPr>
          <w:rFonts w:ascii="Time New Roman" w:eastAsia="SimHei" w:hAnsi="Time New Roman" w:hint="eastAsia"/>
        </w:rPr>
        <w:t>日题为“人权理事会”的</w:t>
      </w:r>
      <w:r>
        <w:rPr>
          <w:rFonts w:ascii="Time New Roman" w:eastAsia="SimHei" w:hAnsi="Time New Roman"/>
        </w:rPr>
        <w:br/>
      </w:r>
      <w:r>
        <w:rPr>
          <w:rFonts w:ascii="Time New Roman" w:eastAsia="SimHei" w:hAnsi="Time New Roman" w:hint="eastAsia"/>
        </w:rPr>
        <w:t>第</w:t>
      </w:r>
      <w:r>
        <w:rPr>
          <w:rFonts w:ascii="Time New Roman" w:eastAsia="SimHei" w:hAnsi="Time New Roman" w:hint="eastAsia"/>
          <w:b/>
        </w:rPr>
        <w:t>60</w:t>
      </w:r>
      <w:r>
        <w:rPr>
          <w:rFonts w:ascii="Time New Roman" w:eastAsia="SimHei" w:hAnsi="Time New Roman" w:hint="eastAsia"/>
        </w:rPr>
        <w:t>/</w:t>
      </w:r>
      <w:r>
        <w:rPr>
          <w:rFonts w:ascii="Time New Roman" w:eastAsia="SimHei" w:hAnsi="Time New Roman" w:hint="eastAsia"/>
          <w:b/>
        </w:rPr>
        <w:t>251</w:t>
      </w:r>
      <w:r>
        <w:rPr>
          <w:rFonts w:ascii="Time New Roman" w:eastAsia="SimHei" w:hAnsi="Time New Roman" w:hint="eastAsia"/>
        </w:rPr>
        <w:t>号决议的执行情况</w:t>
      </w:r>
    </w:p>
    <w:p w:rsidR="00000000" w:rsidRDefault="00000000">
      <w:pPr>
        <w:pStyle w:val="3"/>
        <w:adjustRightInd w:val="0"/>
        <w:snapToGrid w:val="0"/>
        <w:rPr>
          <w:rFonts w:ascii="Time New Roman" w:eastAsia="SimHei" w:hAnsi="Time New Roman" w:hint="eastAsia"/>
          <w:u w:val="none"/>
        </w:rPr>
      </w:pPr>
      <w:r>
        <w:rPr>
          <w:rFonts w:ascii="Time New Roman" w:eastAsia="SimHei" w:hAnsi="Time New Roman" w:hint="eastAsia"/>
          <w:u w:val="none"/>
        </w:rPr>
        <w:t>贩运人口、尤其是妇女和儿童行为受害者的人权问题</w:t>
      </w:r>
      <w:r>
        <w:rPr>
          <w:rFonts w:ascii="Time New Roman" w:eastAsia="SimHei" w:hAnsi="Time New Roman"/>
          <w:u w:val="none"/>
        </w:rPr>
        <w:br/>
      </w:r>
      <w:r>
        <w:rPr>
          <w:rFonts w:ascii="Time New Roman" w:eastAsia="SimHei" w:hAnsi="Time New Roman" w:hint="eastAsia"/>
          <w:u w:val="none"/>
        </w:rPr>
        <w:t>特别报告员西格马·胡达女士的报告</w:t>
      </w:r>
    </w:p>
    <w:p w:rsidR="00000000" w:rsidRDefault="00000000">
      <w:pPr>
        <w:pStyle w:val="a"/>
        <w:adjustRightInd w:val="0"/>
        <w:snapToGrid w:val="0"/>
        <w:rPr>
          <w:rFonts w:ascii="Time New Roman" w:eastAsia="SimHei" w:hAnsi="Time New Roman"/>
        </w:rPr>
      </w:pPr>
    </w:p>
    <w:p w:rsidR="00000000" w:rsidRDefault="00000000">
      <w:pPr>
        <w:pStyle w:val="3"/>
        <w:adjustRightInd w:val="0"/>
        <w:snapToGrid w:val="0"/>
        <w:spacing w:before="0"/>
        <w:rPr>
          <w:rFonts w:ascii="Time New Roman" w:eastAsia="SimHei" w:hAnsi="Time New Roman"/>
          <w:u w:val="none"/>
        </w:rPr>
      </w:pPr>
      <w:r>
        <w:rPr>
          <w:rFonts w:ascii="Time New Roman" w:eastAsia="SimHei" w:hAnsi="Time New Roman" w:hint="eastAsia"/>
          <w:u w:val="none"/>
        </w:rPr>
        <w:t>增</w:t>
      </w:r>
      <w:r>
        <w:rPr>
          <w:rFonts w:ascii="Time New Roman" w:eastAsia="SimHei" w:hAnsi="Time New Roman"/>
          <w:u w:val="none"/>
        </w:rPr>
        <w:t xml:space="preserve">    </w:t>
      </w:r>
      <w:r>
        <w:rPr>
          <w:rFonts w:ascii="Time New Roman" w:eastAsia="SimHei" w:hAnsi="Time New Roman" w:hint="eastAsia"/>
          <w:u w:val="none"/>
        </w:rPr>
        <w:t>编</w:t>
      </w:r>
    </w:p>
    <w:p w:rsidR="00000000" w:rsidRDefault="00000000">
      <w:pPr>
        <w:pStyle w:val="a"/>
        <w:adjustRightInd w:val="0"/>
        <w:snapToGrid w:val="0"/>
        <w:jc w:val="center"/>
        <w:rPr>
          <w:rFonts w:ascii="Time New Roman" w:eastAsia="SimHei" w:hAnsi="Time New Roman"/>
        </w:rPr>
      </w:pPr>
      <w:r>
        <w:rPr>
          <w:rFonts w:ascii="Time New Roman" w:eastAsia="SimHei" w:hAnsi="Time New Roman" w:hint="eastAsia"/>
        </w:rPr>
        <w:t>对巴林、阿曼和卡塔尔的访问</w:t>
      </w:r>
      <w:r>
        <w:rPr>
          <w:rFonts w:ascii="Time New Roman" w:eastAsia="SimHei" w:hAnsi="Time New Roman"/>
        </w:rPr>
        <w:t xml:space="preserve"> </w:t>
      </w:r>
      <w:r>
        <w:rPr>
          <w:rStyle w:val="FootnoteReference"/>
          <w:rFonts w:ascii="Time New Roman" w:eastAsia="SimHei" w:hAnsi="Time New Roman"/>
          <w:b w:val="0"/>
          <w:vertAlign w:val="baseline"/>
        </w:rPr>
        <w:footnoteReference w:customMarkFollows="1" w:id="2"/>
        <w:sym w:font="Symbol" w:char="F02A"/>
      </w:r>
      <w:r>
        <w:rPr>
          <w:rStyle w:val="FootnoteReference"/>
          <w:rFonts w:ascii="Time New Roman" w:eastAsia="SimHei" w:hAnsi="Time New Roman"/>
          <w:b w:val="0"/>
          <w:vertAlign w:val="baseline"/>
        </w:rPr>
        <w:footnoteReference w:customMarkFollows="1" w:id="3"/>
        <w:sym w:font="Symbol" w:char="F02A"/>
      </w:r>
      <w:r>
        <w:rPr>
          <w:rStyle w:val="FootnoteReference"/>
          <w:rFonts w:ascii="Time New Roman" w:eastAsia="SimHei" w:hAnsi="Time New Roman" w:hint="eastAsia"/>
          <w:b w:val="0"/>
        </w:rPr>
        <w:t></w:t>
      </w:r>
    </w:p>
    <w:p w:rsidR="00000000" w:rsidRDefault="00000000">
      <w:pPr>
        <w:pStyle w:val="a"/>
        <w:adjustRightInd w:val="0"/>
        <w:snapToGrid w:val="0"/>
      </w:pPr>
    </w:p>
    <w:p w:rsidR="00000000" w:rsidRDefault="00000000">
      <w:pPr>
        <w:pStyle w:val="a"/>
        <w:adjustRightInd w:val="0"/>
        <w:snapToGrid w:val="0"/>
      </w:pPr>
    </w:p>
    <w:p w:rsidR="00000000" w:rsidRDefault="00000000">
      <w:pPr>
        <w:pStyle w:val="a"/>
        <w:adjustRightInd w:val="0"/>
        <w:snapToGrid w:val="0"/>
      </w:pPr>
      <w:bookmarkStart w:id="2" w:name="_Toc152055313"/>
      <w:bookmarkStart w:id="3" w:name="_Toc154066313"/>
    </w:p>
    <w:p w:rsidR="00000000" w:rsidRDefault="00000000">
      <w:pPr>
        <w:pStyle w:val="1"/>
        <w:adjustRightInd w:val="0"/>
        <w:snapToGrid w:val="0"/>
      </w:pPr>
      <w:r>
        <w:br w:type="page"/>
      </w:r>
      <w:bookmarkEnd w:id="2"/>
      <w:bookmarkEnd w:id="3"/>
      <w:r>
        <w:rPr>
          <w:rFonts w:hint="eastAsia"/>
        </w:rPr>
        <w:t>内</w:t>
      </w:r>
      <w:r>
        <w:t xml:space="preserve"> </w:t>
      </w:r>
      <w:r>
        <w:rPr>
          <w:rFonts w:hint="eastAsia"/>
        </w:rPr>
        <w:t>容</w:t>
      </w:r>
      <w:r>
        <w:t xml:space="preserve"> </w:t>
      </w:r>
      <w:r>
        <w:rPr>
          <w:rFonts w:hint="eastAsia"/>
        </w:rPr>
        <w:t>提</w:t>
      </w:r>
      <w:r>
        <w:t xml:space="preserve"> </w:t>
      </w:r>
      <w:r>
        <w:rPr>
          <w:rFonts w:hint="eastAsia"/>
        </w:rPr>
        <w:t>要</w:t>
      </w:r>
    </w:p>
    <w:p w:rsidR="00000000" w:rsidRDefault="00000000">
      <w:pPr>
        <w:pStyle w:val="a"/>
        <w:adjustRightInd w:val="0"/>
        <w:snapToGrid w:val="0"/>
      </w:pPr>
      <w:r>
        <w:rPr>
          <w:rFonts w:hint="eastAsia"/>
        </w:rPr>
        <w:tab/>
      </w:r>
      <w:r>
        <w:rPr>
          <w:rFonts w:hint="eastAsia"/>
        </w:rPr>
        <w:t>贩运人口、尤其是妇女和儿童行为受害者的人权问题特别报告员西格马·胡达于</w:t>
      </w:r>
      <w:r>
        <w:rPr>
          <w:rFonts w:hint="eastAsia"/>
        </w:rPr>
        <w:t>2006</w:t>
      </w:r>
      <w:r>
        <w:rPr>
          <w:rFonts w:hint="eastAsia"/>
        </w:rPr>
        <w:t>年</w:t>
      </w:r>
      <w:r>
        <w:rPr>
          <w:rFonts w:hint="eastAsia"/>
        </w:rPr>
        <w:t>10</w:t>
      </w:r>
      <w:r>
        <w:rPr>
          <w:rFonts w:hint="eastAsia"/>
        </w:rPr>
        <w:t>月</w:t>
      </w:r>
      <w:r>
        <w:rPr>
          <w:rFonts w:hint="eastAsia"/>
        </w:rPr>
        <w:t>29</w:t>
      </w:r>
      <w:r>
        <w:rPr>
          <w:rFonts w:hint="eastAsia"/>
        </w:rPr>
        <w:t>日至</w:t>
      </w:r>
      <w:r>
        <w:rPr>
          <w:rFonts w:hint="eastAsia"/>
        </w:rPr>
        <w:t>11</w:t>
      </w:r>
      <w:r>
        <w:rPr>
          <w:rFonts w:hint="eastAsia"/>
        </w:rPr>
        <w:t>月</w:t>
      </w:r>
      <w:r>
        <w:rPr>
          <w:rFonts w:hint="eastAsia"/>
        </w:rPr>
        <w:t>1</w:t>
      </w:r>
      <w:r>
        <w:rPr>
          <w:rFonts w:hint="eastAsia"/>
        </w:rPr>
        <w:t>日访问巴林王国，</w:t>
      </w:r>
      <w:r>
        <w:rPr>
          <w:rFonts w:hint="eastAsia"/>
        </w:rPr>
        <w:t>2006</w:t>
      </w:r>
      <w:r>
        <w:rPr>
          <w:rFonts w:hint="eastAsia"/>
        </w:rPr>
        <w:t>年</w:t>
      </w:r>
      <w:r>
        <w:rPr>
          <w:rFonts w:hint="eastAsia"/>
        </w:rPr>
        <w:t>11</w:t>
      </w:r>
      <w:r>
        <w:rPr>
          <w:rFonts w:hint="eastAsia"/>
        </w:rPr>
        <w:t>月</w:t>
      </w:r>
      <w:r>
        <w:rPr>
          <w:rFonts w:hint="eastAsia"/>
        </w:rPr>
        <w:t>2</w:t>
      </w:r>
      <w:r>
        <w:rPr>
          <w:rFonts w:hint="eastAsia"/>
        </w:rPr>
        <w:t>日至</w:t>
      </w:r>
      <w:r>
        <w:rPr>
          <w:rFonts w:hint="eastAsia"/>
        </w:rPr>
        <w:t>7</w:t>
      </w:r>
      <w:r>
        <w:rPr>
          <w:rFonts w:hint="eastAsia"/>
        </w:rPr>
        <w:t>日访问阿曼苏丹国，</w:t>
      </w:r>
      <w:r>
        <w:rPr>
          <w:rFonts w:hint="eastAsia"/>
        </w:rPr>
        <w:t>2006</w:t>
      </w:r>
      <w:r>
        <w:rPr>
          <w:rFonts w:hint="eastAsia"/>
        </w:rPr>
        <w:t>年</w:t>
      </w:r>
      <w:r>
        <w:rPr>
          <w:rFonts w:hint="eastAsia"/>
        </w:rPr>
        <w:t>11</w:t>
      </w:r>
      <w:r>
        <w:rPr>
          <w:rFonts w:hint="eastAsia"/>
        </w:rPr>
        <w:t>月</w:t>
      </w:r>
      <w:r>
        <w:rPr>
          <w:rFonts w:hint="eastAsia"/>
        </w:rPr>
        <w:t>8</w:t>
      </w:r>
      <w:r>
        <w:rPr>
          <w:rFonts w:hint="eastAsia"/>
        </w:rPr>
        <w:t>日至</w:t>
      </w:r>
      <w:r>
        <w:rPr>
          <w:rFonts w:hint="eastAsia"/>
        </w:rPr>
        <w:t>12</w:t>
      </w:r>
      <w:r>
        <w:rPr>
          <w:rFonts w:hint="eastAsia"/>
        </w:rPr>
        <w:t>日访问卡塔尔国。本报告载有出访调查的主要结果。报告还载有向这些国家分别提出的一些建议，特别是预防和打击贩运活动以及加强保护被贩运人员的人权等建议。</w:t>
      </w:r>
    </w:p>
    <w:p w:rsidR="00000000" w:rsidRDefault="00000000">
      <w:pPr>
        <w:pStyle w:val="a"/>
        <w:adjustRightInd w:val="0"/>
        <w:snapToGrid w:val="0"/>
      </w:pPr>
      <w:r>
        <w:tab/>
      </w:r>
      <w:r>
        <w:rPr>
          <w:rFonts w:hint="eastAsia"/>
        </w:rPr>
        <w:t>特别报告员发现，巴林、阿曼和卡塔尔是贩运移民工人的目的地，有些情况下还是中转站，主要目的是迫使他们到骆驼养殖场之类的地方劳动，或加以性剥削。</w:t>
      </w:r>
    </w:p>
    <w:p w:rsidR="00000000" w:rsidRDefault="00000000">
      <w:pPr>
        <w:pStyle w:val="a"/>
        <w:adjustRightInd w:val="0"/>
        <w:snapToGrid w:val="0"/>
      </w:pPr>
      <w:r>
        <w:rPr>
          <w:rFonts w:hint="eastAsia"/>
        </w:rPr>
        <w:tab/>
      </w:r>
      <w:r>
        <w:rPr>
          <w:rFonts w:hint="eastAsia"/>
        </w:rPr>
        <w:t>特别报告员的报告突出介绍了两个令人关切的问题。其一涉及赞助制度以及这种做法造成的不公正情形，使外国移民工人依附于赞助人。她着力说明，在这种制度造成的力量不平衡的情况下，外国移民工人的弱势地位加剧，因此扩大了贩运活动的需求。其二关系到外来佣工，尤其是这三个国家不将他们列为保护对象，从而使他们处于这样一种境地，他们的工作条件按规定成为户主与他们之间的私人问题。</w:t>
      </w:r>
    </w:p>
    <w:p w:rsidR="00000000" w:rsidRDefault="00000000">
      <w:pPr>
        <w:pStyle w:val="a"/>
        <w:adjustRightInd w:val="0"/>
        <w:snapToGrid w:val="0"/>
        <w:rPr>
          <w:sz w:val="28"/>
        </w:rPr>
      </w:pPr>
      <w:r>
        <w:rPr>
          <w:rFonts w:hint="eastAsia"/>
        </w:rPr>
        <w:tab/>
      </w:r>
      <w:r>
        <w:rPr>
          <w:rFonts w:hint="eastAsia"/>
        </w:rPr>
        <w:t>目前已不同程度制定了或正在制订一些措施，也存在一般说来是强有力的保护所有工人的法律框架。尽管如此，还是需要再接再厉，加强外国移民工人的地位，密切监测现有法律的实施情况，确保一切涉嫌贩运人口活动的人受到调查和起诉，法院的判决得到执行，并提高一般公众和公务员必须具备的觉悟和认识，尤其是在涉及人口贩运和移民工人权利问题上的认识。</w:t>
      </w:r>
    </w:p>
    <w:p w:rsidR="00000000" w:rsidRDefault="00000000">
      <w:pPr>
        <w:pStyle w:val="a"/>
        <w:adjustRightInd w:val="0"/>
        <w:snapToGrid w:val="0"/>
        <w:rPr>
          <w:rFonts w:hint="eastAsia"/>
        </w:rPr>
      </w:pPr>
      <w:r>
        <w:rPr>
          <w:rFonts w:hint="eastAsia"/>
        </w:rPr>
        <w:tab/>
      </w:r>
      <w:r>
        <w:rPr>
          <w:rFonts w:hint="eastAsia"/>
        </w:rPr>
        <w:t>特别报告员建议：加强对佣工的法律保护，制定新办法取代赞助制度，加强输送国和接受国之间的合作机制，加强发挥民间社会打击人口贩运、增进和保护被贩运人权利的作用。</w:t>
      </w:r>
    </w:p>
    <w:p w:rsidR="00000000" w:rsidRDefault="00000000">
      <w:pPr>
        <w:rPr>
          <w:lang w:eastAsia="zh-CN"/>
        </w:rPr>
      </w:pPr>
    </w:p>
    <w:p w:rsidR="00000000" w:rsidRDefault="00000000">
      <w:pPr>
        <w:rPr>
          <w:lang w:eastAsia="zh-CN"/>
        </w:rPr>
      </w:pPr>
    </w:p>
    <w:p w:rsidR="00000000" w:rsidRDefault="00000000">
      <w:pPr>
        <w:rPr>
          <w:lang w:eastAsia="zh-CN"/>
        </w:rPr>
        <w:sectPr w:rsidR="00000000">
          <w:headerReference w:type="even" r:id="rId9"/>
          <w:headerReference w:type="default" r:id="rId10"/>
          <w:footerReference w:type="first" r:id="rId11"/>
          <w:endnotePr>
            <w:numFmt w:val="decimal"/>
          </w:endnotePr>
          <w:pgSz w:w="11907" w:h="16840" w:code="9"/>
          <w:pgMar w:top="1984" w:right="850" w:bottom="1984" w:left="1701" w:header="794" w:footer="1587" w:gutter="0"/>
          <w:cols w:space="720"/>
          <w:titlePg/>
          <w:docGrid w:linePitch="326"/>
        </w:sectPr>
      </w:pPr>
    </w:p>
    <w:p w:rsidR="00000000" w:rsidRDefault="00000000">
      <w:pPr>
        <w:jc w:val="center"/>
      </w:pPr>
      <w:r>
        <w:t>Annex</w:t>
      </w:r>
    </w:p>
    <w:p w:rsidR="00000000" w:rsidRDefault="00000000">
      <w:pPr>
        <w:pStyle w:val="Heading1"/>
        <w:ind w:left="851"/>
        <w:jc w:val="left"/>
        <w:rPr>
          <w:rFonts w:ascii="Times New Roman Bold" w:hAnsi="Times New Roman Bold"/>
          <w:color w:val="000000"/>
        </w:rPr>
      </w:pPr>
      <w:r>
        <w:t xml:space="preserve">Report of the Special Rapporteur on trafficking in </w:t>
      </w:r>
      <w:r>
        <w:br/>
        <w:t xml:space="preserve">persons, especially women and </w:t>
      </w:r>
      <w:r>
        <w:rPr>
          <w:bCs/>
        </w:rPr>
        <w:t>children,</w:t>
      </w:r>
      <w:r>
        <w:t xml:space="preserve"> Sigma Huda</w:t>
      </w:r>
      <w:r>
        <w:br/>
      </w:r>
      <w:r>
        <w:rPr>
          <w:rFonts w:ascii="Times New Roman Bold" w:hAnsi="Times New Roman Bold"/>
          <w:color w:val="000000"/>
        </w:rPr>
        <w:t xml:space="preserve">ON HER Mission to Bahrain, Oman and Qatar </w:t>
      </w:r>
      <w:r>
        <w:rPr>
          <w:rFonts w:ascii="Times New Roman Bold" w:hAnsi="Times New Roman Bold"/>
          <w:color w:val="000000"/>
        </w:rPr>
        <w:br/>
        <w:t>(29 October-1 November, 2-7 November, 8-12 November 2006)</w:t>
      </w:r>
    </w:p>
    <w:p w:rsidR="00000000" w:rsidRDefault="00000000">
      <w:pPr>
        <w:jc w:val="center"/>
      </w:pPr>
      <w:r>
        <w:rPr>
          <w:b/>
        </w:rPr>
        <w:t>CONTENTS</w:t>
      </w:r>
    </w:p>
    <w:p w:rsidR="00000000" w:rsidRDefault="00000000">
      <w:pPr>
        <w:jc w:val="right"/>
      </w:pPr>
      <w:r>
        <w:rPr>
          <w:i/>
        </w:rPr>
        <w:t>Paragraphs    Page</w:t>
      </w:r>
    </w:p>
    <w:p w:rsidR="00000000" w:rsidRDefault="00000000">
      <w:pPr>
        <w:pStyle w:val="Header"/>
        <w:tabs>
          <w:tab w:val="clear" w:pos="4320"/>
          <w:tab w:val="clear" w:pos="8640"/>
          <w:tab w:val="right" w:pos="360"/>
          <w:tab w:val="left" w:pos="567"/>
          <w:tab w:val="left" w:pos="960"/>
          <w:tab w:val="left" w:pos="1320"/>
          <w:tab w:val="left" w:leader="dot" w:pos="7257"/>
          <w:tab w:val="decimal" w:pos="7852"/>
          <w:tab w:val="left" w:pos="7880"/>
          <w:tab w:val="right" w:pos="9298"/>
        </w:tabs>
      </w:pPr>
      <w:r>
        <w:t>Introduction</w:t>
      </w:r>
      <w:r>
        <w:tab/>
      </w:r>
      <w:r>
        <w:tab/>
      </w:r>
      <w:r>
        <w:tab/>
        <w:t>1 - 4</w:t>
      </w:r>
      <w:r>
        <w:tab/>
        <w:t>5</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w:t>
      </w:r>
      <w:r>
        <w:tab/>
        <w:t>CONTEXT</w:t>
      </w:r>
      <w:r>
        <w:tab/>
      </w:r>
      <w:r>
        <w:tab/>
        <w:t>5 - 10</w:t>
      </w:r>
      <w:r>
        <w:tab/>
        <w:t>5</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II.</w:t>
      </w:r>
      <w:r>
        <w:tab/>
        <w:t xml:space="preserve">LEGAL AND INSTITUTIONAL FRAMEWORK </w:t>
      </w:r>
      <w:r>
        <w:tab/>
      </w:r>
      <w:r>
        <w:tab/>
        <w:t>11 - 51</w:t>
      </w:r>
      <w:r>
        <w:tab/>
        <w:t>7</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A.</w:t>
      </w:r>
      <w:r>
        <w:tab/>
        <w:t xml:space="preserve">Prevention, protection and punishment </w:t>
      </w:r>
      <w:r>
        <w:tab/>
      </w:r>
      <w:r>
        <w:tab/>
        <w:t>12 - 51</w:t>
      </w:r>
      <w:r>
        <w:tab/>
        <w:t>7</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1.</w:t>
      </w:r>
      <w:r>
        <w:tab/>
        <w:t xml:space="preserve">Bahrain </w:t>
      </w:r>
      <w:r>
        <w:tab/>
      </w:r>
      <w:r>
        <w:tab/>
        <w:t>14 - 26</w:t>
      </w:r>
      <w:r>
        <w:tab/>
        <w:t>8</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2.</w:t>
      </w:r>
      <w:r>
        <w:tab/>
        <w:t xml:space="preserve">Oman </w:t>
      </w:r>
      <w:r>
        <w:tab/>
      </w:r>
      <w:r>
        <w:tab/>
        <w:t>27 - 39</w:t>
      </w:r>
      <w:r>
        <w:tab/>
        <w:t>11</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3.</w:t>
      </w:r>
      <w:r>
        <w:tab/>
        <w:t xml:space="preserve">Qatar </w:t>
      </w:r>
      <w:r>
        <w:tab/>
      </w:r>
      <w:r>
        <w:tab/>
        <w:t>40 - 51</w:t>
      </w:r>
      <w:r>
        <w:tab/>
        <w:t>13</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III.</w:t>
      </w:r>
      <w:r>
        <w:tab/>
        <w:t xml:space="preserve">MANIFESTATIONS OF TRAFFICKING </w:t>
      </w:r>
      <w:r>
        <w:tab/>
      </w:r>
      <w:r>
        <w:tab/>
        <w:t>52 - 88</w:t>
      </w:r>
      <w:r>
        <w:tab/>
        <w:t>16</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A.</w:t>
      </w:r>
      <w:r>
        <w:tab/>
        <w:t xml:space="preserve">Recruitment, transportation, transfer, harbouring or </w:t>
      </w:r>
      <w:r>
        <w:br/>
      </w:r>
      <w:r>
        <w:tab/>
      </w:r>
      <w:r>
        <w:tab/>
      </w:r>
      <w:r>
        <w:tab/>
        <w:t xml:space="preserve">receipt of persons and “deceit” </w:t>
      </w:r>
      <w:r>
        <w:tab/>
      </w:r>
      <w:r>
        <w:tab/>
        <w:t>53 - 59</w:t>
      </w:r>
      <w:r>
        <w:tab/>
        <w:t>17</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B.</w:t>
      </w:r>
      <w:r>
        <w:tab/>
        <w:t xml:space="preserve">Sponsorship system and revictimization </w:t>
      </w:r>
      <w:r>
        <w:tab/>
      </w:r>
      <w:r>
        <w:tab/>
        <w:t>60 - 68</w:t>
      </w:r>
      <w:r>
        <w:tab/>
        <w:t>18</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C.</w:t>
      </w:r>
      <w:r>
        <w:tab/>
        <w:t xml:space="preserve">Exploitation - vulnerable groups </w:t>
      </w:r>
      <w:r>
        <w:tab/>
      </w:r>
      <w:r>
        <w:tab/>
        <w:t>69 - 81</w:t>
      </w:r>
      <w:r>
        <w:tab/>
        <w:t>21</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1.</w:t>
      </w:r>
      <w:r>
        <w:tab/>
        <w:t xml:space="preserve">Female domestic workers </w:t>
      </w:r>
      <w:r>
        <w:tab/>
      </w:r>
      <w:r>
        <w:tab/>
        <w:t>70 - 75</w:t>
      </w:r>
      <w:r>
        <w:tab/>
        <w:t>21</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2.</w:t>
      </w:r>
      <w:r>
        <w:tab/>
        <w:t xml:space="preserve">Women in the sex industry </w:t>
      </w:r>
      <w:r>
        <w:tab/>
      </w:r>
      <w:r>
        <w:tab/>
        <w:t>76 - 78</w:t>
      </w:r>
      <w:r>
        <w:tab/>
        <w:t>23</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3.</w:t>
      </w:r>
      <w:r>
        <w:tab/>
        <w:t xml:space="preserve">Child camel jockeys and children in other occupations </w:t>
      </w:r>
      <w:r>
        <w:tab/>
      </w:r>
      <w:r>
        <w:tab/>
        <w:t>79 - 80</w:t>
      </w:r>
      <w:r>
        <w:tab/>
        <w:t>23</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4.</w:t>
      </w:r>
      <w:r>
        <w:tab/>
        <w:t xml:space="preserve">Other workers </w:t>
      </w:r>
      <w:r>
        <w:tab/>
      </w:r>
      <w:r>
        <w:tab/>
      </w:r>
      <w:r>
        <w:tab/>
        <w:t>81</w:t>
      </w:r>
      <w:r>
        <w:tab/>
        <w:t>24</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D.</w:t>
      </w:r>
      <w:r>
        <w:tab/>
        <w:t xml:space="preserve">Alternative measures </w:t>
      </w:r>
      <w:r>
        <w:tab/>
      </w:r>
      <w:r>
        <w:tab/>
        <w:t>82 - 88</w:t>
      </w:r>
      <w:r>
        <w:tab/>
        <w:t>24</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1.</w:t>
      </w:r>
      <w:r>
        <w:tab/>
        <w:t xml:space="preserve">Sending countries </w:t>
      </w:r>
      <w:r>
        <w:tab/>
      </w:r>
      <w:r>
        <w:tab/>
        <w:t>83 - 86</w:t>
      </w:r>
      <w:r>
        <w:tab/>
        <w:t>24</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2.</w:t>
      </w:r>
      <w:r>
        <w:tab/>
        <w:t xml:space="preserve">Civil society </w:t>
      </w:r>
      <w:r>
        <w:tab/>
      </w:r>
      <w:r>
        <w:tab/>
        <w:t>87 - 88</w:t>
      </w:r>
      <w:r>
        <w:tab/>
        <w:t>25</w:t>
      </w:r>
    </w:p>
    <w:p w:rsidR="00000000" w:rsidRDefault="00000000">
      <w:pPr>
        <w:jc w:val="center"/>
      </w:pPr>
      <w:r>
        <w:br w:type="page"/>
      </w:r>
      <w:r>
        <w:rPr>
          <w:b/>
        </w:rPr>
        <w:t>CONTENTS (</w:t>
      </w:r>
      <w:r>
        <w:rPr>
          <w:b/>
          <w:i/>
          <w:iCs/>
        </w:rPr>
        <w:t>continued</w:t>
      </w:r>
      <w:r>
        <w:rPr>
          <w:b/>
        </w:rPr>
        <w:t>)</w:t>
      </w:r>
    </w:p>
    <w:p w:rsidR="00000000" w:rsidRDefault="00000000">
      <w:pPr>
        <w:jc w:val="right"/>
      </w:pPr>
      <w:r>
        <w:rPr>
          <w:i/>
        </w:rPr>
        <w:t>Paragraphs     Page</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IV.</w:t>
      </w:r>
      <w:r>
        <w:tab/>
        <w:t xml:space="preserve">CONCLUSIONS </w:t>
      </w:r>
      <w:r>
        <w:tab/>
      </w:r>
      <w:r>
        <w:tab/>
        <w:t>89 - 94</w:t>
      </w:r>
      <w:r>
        <w:tab/>
        <w:t>25</w:t>
      </w:r>
    </w:p>
    <w:p w:rsidR="00000000" w:rsidRDefault="00000000">
      <w:pPr>
        <w:tabs>
          <w:tab w:val="right" w:pos="360"/>
          <w:tab w:val="left" w:pos="567"/>
          <w:tab w:val="left" w:pos="1134"/>
          <w:tab w:val="left" w:pos="1680"/>
          <w:tab w:val="left" w:leader="dot" w:pos="7257"/>
          <w:tab w:val="decimal" w:pos="7852"/>
          <w:tab w:val="left" w:pos="7880"/>
          <w:tab w:val="right" w:pos="9298"/>
        </w:tabs>
      </w:pPr>
      <w:r>
        <w:tab/>
        <w:t>V.</w:t>
      </w:r>
      <w:r>
        <w:tab/>
        <w:t xml:space="preserve">RECOMMENDATIONS </w:t>
      </w:r>
      <w:r>
        <w:tab/>
      </w:r>
      <w:r>
        <w:tab/>
      </w:r>
      <w:r>
        <w:tab/>
        <w:t>95</w:t>
      </w:r>
      <w:r>
        <w:tab/>
        <w:t>26</w:t>
      </w:r>
    </w:p>
    <w:p w:rsidR="00000000" w:rsidRDefault="00000000">
      <w:pPr>
        <w:tabs>
          <w:tab w:val="right" w:pos="360"/>
          <w:tab w:val="left" w:pos="567"/>
          <w:tab w:val="left" w:pos="1134"/>
          <w:tab w:val="left" w:pos="1680"/>
          <w:tab w:val="left" w:leader="dot" w:pos="7257"/>
          <w:tab w:val="center" w:pos="8040"/>
          <w:tab w:val="right" w:pos="9298"/>
        </w:tabs>
      </w:pPr>
      <w:r>
        <w:tab/>
      </w:r>
      <w:r>
        <w:tab/>
        <w:t>A.</w:t>
      </w:r>
      <w:r>
        <w:tab/>
        <w:t xml:space="preserve">Prevention </w:t>
      </w:r>
      <w:r>
        <w:tab/>
      </w:r>
      <w:r>
        <w:tab/>
        <w:t>(a) - (l)</w:t>
      </w:r>
      <w:r>
        <w:tab/>
        <w:t>26</w:t>
      </w:r>
    </w:p>
    <w:p w:rsidR="00000000" w:rsidRDefault="00000000">
      <w:pPr>
        <w:tabs>
          <w:tab w:val="right" w:pos="360"/>
          <w:tab w:val="left" w:pos="567"/>
          <w:tab w:val="left" w:pos="1134"/>
          <w:tab w:val="left" w:pos="1680"/>
          <w:tab w:val="left" w:leader="dot" w:pos="7257"/>
          <w:tab w:val="center" w:pos="8040"/>
          <w:tab w:val="right" w:pos="9298"/>
        </w:tabs>
      </w:pPr>
      <w:r>
        <w:tab/>
      </w:r>
      <w:r>
        <w:tab/>
        <w:t>B.</w:t>
      </w:r>
      <w:r>
        <w:tab/>
        <w:t xml:space="preserve">Protection </w:t>
      </w:r>
      <w:r>
        <w:tab/>
      </w:r>
      <w:r>
        <w:tab/>
        <w:t>(m) - (y)</w:t>
      </w:r>
      <w:r>
        <w:tab/>
        <w:t>28</w:t>
      </w:r>
    </w:p>
    <w:p w:rsidR="00000000" w:rsidRDefault="00000000">
      <w:pPr>
        <w:tabs>
          <w:tab w:val="right" w:pos="360"/>
          <w:tab w:val="left" w:pos="567"/>
          <w:tab w:val="left" w:pos="1134"/>
          <w:tab w:val="left" w:pos="1680"/>
          <w:tab w:val="left" w:leader="dot" w:pos="7257"/>
          <w:tab w:val="center" w:pos="8040"/>
          <w:tab w:val="right" w:pos="9298"/>
        </w:tabs>
      </w:pPr>
      <w:r>
        <w:tab/>
      </w:r>
      <w:r>
        <w:tab/>
        <w:t>C.</w:t>
      </w:r>
      <w:r>
        <w:tab/>
        <w:t xml:space="preserve">Punishment </w:t>
      </w:r>
      <w:r>
        <w:tab/>
      </w:r>
      <w:r>
        <w:tab/>
        <w:t xml:space="preserve"> (z) - (dd)</w:t>
      </w:r>
      <w:r>
        <w:tab/>
        <w:t>29</w:t>
      </w:r>
    </w:p>
    <w:p w:rsidR="00000000" w:rsidRDefault="00000000">
      <w:pPr>
        <w:pStyle w:val="Heading2"/>
      </w:pPr>
      <w:bookmarkStart w:id="4" w:name="_Toc154066314"/>
      <w:r>
        <w:br w:type="page"/>
        <w:t>Introduction</w:t>
      </w:r>
      <w:bookmarkEnd w:id="4"/>
    </w:p>
    <w:p w:rsidR="00000000" w:rsidRDefault="00000000">
      <w:pPr>
        <w:rPr>
          <w:color w:val="000000"/>
        </w:rPr>
      </w:pPr>
      <w:r>
        <w:rPr>
          <w:color w:val="000000"/>
        </w:rPr>
        <w:t>1.</w:t>
      </w:r>
      <w:r>
        <w:rPr>
          <w:color w:val="000000"/>
        </w:rPr>
        <w:tab/>
        <w:t>The Special Rapporteur on trafficking in persons, especially women and children,</w:t>
      </w:r>
      <w:r>
        <w:t xml:space="preserve"> Sigma Huda,</w:t>
      </w:r>
      <w:r>
        <w:rPr>
          <w:color w:val="000000"/>
        </w:rPr>
        <w:t xml:space="preserve"> undertook a visit to the Kingdom of Bahrain from 29 October 2006 to 1 November 2006, the Sultanate of Oman from 2 to 7 November 2006 and the State of Qatar from 8 to 12 November 2006.</w:t>
      </w:r>
    </w:p>
    <w:p w:rsidR="00000000" w:rsidRDefault="00000000">
      <w:pPr>
        <w:rPr>
          <w:color w:val="000000"/>
        </w:rPr>
      </w:pPr>
      <w:r>
        <w:rPr>
          <w:color w:val="000000"/>
        </w:rPr>
        <w:t>2.</w:t>
      </w:r>
      <w:r>
        <w:rPr>
          <w:color w:val="000000"/>
        </w:rPr>
        <w:tab/>
        <w:t xml:space="preserve">The Special Rapporteur thanks the respective Governments for their hospitality and collaboration in facilitating meetings with officials from various branches of Government as well as visits to State facilities, including deportation centres and labour camps. She particularly welcomes the openness with which the authorities discussed issues concerning trafficking in persons. She regrets that due to the timing of the visit prior to the parliamentary elections in Bahrain, she was unable to meet with members of the </w:t>
      </w:r>
      <w:r>
        <w:rPr>
          <w:i/>
          <w:color w:val="000000"/>
        </w:rPr>
        <w:t>Shura</w:t>
      </w:r>
      <w:r>
        <w:rPr>
          <w:color w:val="000000"/>
        </w:rPr>
        <w:t xml:space="preserve"> Council, and that in Oman, meetings with officials from the Ministry of Justice and with members of the judiciary were not arranged.</w:t>
      </w:r>
    </w:p>
    <w:p w:rsidR="00000000" w:rsidRDefault="00000000">
      <w:pPr>
        <w:rPr>
          <w:color w:val="000000"/>
        </w:rPr>
      </w:pPr>
      <w:r>
        <w:rPr>
          <w:color w:val="000000"/>
        </w:rPr>
        <w:t>3.</w:t>
      </w:r>
      <w:r>
        <w:rPr>
          <w:color w:val="000000"/>
        </w:rPr>
        <w:tab/>
        <w:t>The Special Rapporteur also met with senior diplomats of foreign embassies, United Nations representatives, members of the civil society and trafficked persons. She thanks everyone wholeheartedly for their willingness to share their expertise and experiences with her. She particularly thanks the United Nations Development Programme in Bahrain,</w:t>
      </w:r>
      <w:r>
        <w:t xml:space="preserve"> the United Nations Children’s Fund</w:t>
      </w:r>
      <w:r>
        <w:rPr>
          <w:color w:val="000000"/>
        </w:rPr>
        <w:t xml:space="preserve"> in Oman and </w:t>
      </w:r>
      <w:r>
        <w:t>the United Nations Educational, Scientific and Cultural Organization</w:t>
      </w:r>
      <w:r>
        <w:rPr>
          <w:color w:val="000000"/>
        </w:rPr>
        <w:t xml:space="preserve"> in Qatar for their hard work in carrying out the necessary preparations and coordination before and during her visit.</w:t>
      </w:r>
    </w:p>
    <w:p w:rsidR="00000000" w:rsidRDefault="00000000">
      <w:pPr>
        <w:rPr>
          <w:sz w:val="28"/>
          <w:szCs w:val="28"/>
        </w:rPr>
      </w:pPr>
      <w:r>
        <w:t>4.</w:t>
      </w:r>
      <w:r>
        <w:tab/>
        <w:t>The Special Rapporteur chose to visit Bahrain, Oman and Qatar following reports describing these countries not only as major receiving countries for foreign migrant workers, but also as destination, and in some cases, transit countries for human trafficking. She was further motivated to carry out such visits on account of the Governments’ recognition of the existence of trafficking within their territories and their willingness to undertake the necessary measures to combat it. She is confident that this visit is but a positive prologue to a constructive dialogue with the respective Governments on ways to address gaps and to reinforce the already existing, but not sufficient, measures.</w:t>
      </w:r>
    </w:p>
    <w:p w:rsidR="00000000" w:rsidRDefault="00000000">
      <w:pPr>
        <w:pStyle w:val="Heading1"/>
      </w:pPr>
      <w:bookmarkStart w:id="5" w:name="_Toc154066315"/>
      <w:r>
        <w:rPr>
          <w:color w:val="000000"/>
        </w:rPr>
        <w:t xml:space="preserve">I.  </w:t>
      </w:r>
      <w:r>
        <w:t>CONTEXT</w:t>
      </w:r>
      <w:bookmarkEnd w:id="5"/>
    </w:p>
    <w:p w:rsidR="00000000" w:rsidRDefault="00000000">
      <w:r>
        <w:t>5.</w:t>
      </w:r>
      <w:r>
        <w:tab/>
        <w:t>Bahrain, Oman and Qatar attract a large foreign workforce due to an increasing demand for labour in certain types of employment, mainly domestic work, entertainment and construction. Thus in</w:t>
      </w:r>
      <w:r>
        <w:rPr>
          <w:color w:val="000000"/>
        </w:rPr>
        <w:t xml:space="preserve"> </w:t>
      </w:r>
      <w:r>
        <w:t>2004, foreign migrant workers made up 38 per cent of the total workforce in Bahrain;</w:t>
      </w:r>
      <w:r>
        <w:rPr>
          <w:rStyle w:val="FootnoteReference"/>
        </w:rPr>
        <w:footnoteReference w:id="4"/>
      </w:r>
      <w:r>
        <w:t xml:space="preserve"> in Oman, foreign workers amount to approximately half a million, that is, around 20 per cent of the total population.</w:t>
      </w:r>
      <w:r>
        <w:rPr>
          <w:rStyle w:val="FootnoteReference"/>
        </w:rPr>
        <w:footnoteReference w:id="5"/>
      </w:r>
      <w:r>
        <w:t xml:space="preserve"> In Qatar, there are approximately 500,000 expatriates, making up </w:t>
      </w:r>
      <w:r>
        <w:rPr>
          <w:color w:val="000000"/>
        </w:rPr>
        <w:br w:type="page"/>
        <w:t xml:space="preserve">for </w:t>
      </w:r>
      <w:r>
        <w:t>70 per cent of the total population. The main sending countries include Bangladesh, Belarus, China, Egypt, Ethiopia, India, Indonesia, Jordan, Myanmar, Nepal, North Korea, Pakistan, the Philippines, the Republic of Moldova, the Russian Federation, South Africa, Sri Lanka, the Syrian Arab Republic, Thailand, Ukraine, the United Kingdom and Viet Nam.</w:t>
      </w:r>
    </w:p>
    <w:p w:rsidR="00000000" w:rsidRDefault="00000000">
      <w:r>
        <w:t>6.</w:t>
      </w:r>
      <w:r>
        <w:tab/>
        <w:t>Often, the attraction to leave home lies in the hope that the receiving countries will provide foreign workers with an opportunity to attain a better life and the means to support their families back home. Such migration flows also relieve pressures of unemployment in the sending countries and constitute a vital source of remittent income. It is therefore in the interest of both sending and receiving countries to provide safeguards to ensure that these movements can be undertaken in conditions conducive to the protection of the rights and freedoms of</w:t>
      </w:r>
      <w:r>
        <w:rPr>
          <w:color w:val="000000"/>
        </w:rPr>
        <w:t xml:space="preserve"> </w:t>
      </w:r>
      <w:r>
        <w:t>migrants.</w:t>
      </w:r>
    </w:p>
    <w:p w:rsidR="00000000" w:rsidRDefault="00000000">
      <w:r>
        <w:t>7.</w:t>
      </w:r>
      <w:r>
        <w:tab/>
        <w:t>The Special Rapporteur wishes to emphasize, in fact, that many migrant workers do find in the receiving States what they had looked for a place which provides them with good working conditions, as well as with the possibility to live well and to have their rights and freedoms properly respected. Despite the positive returns that such migration brings to the countries concerned and to the migrants themselves, they however sometimes come at a painful and horrific price for some of the parties involved. The Special Rapporteur was informed of numerous cases of foreign migrant workers who were deceived into leaving their countries with false promises as to</w:t>
      </w:r>
      <w:r>
        <w:rPr>
          <w:color w:val="000000"/>
        </w:rPr>
        <w:t xml:space="preserve"> </w:t>
      </w:r>
      <w:r>
        <w:t>the kind of employment and conditions to expect in the receiving country and to being further subjected to abuse and exploitation once there.</w:t>
      </w:r>
    </w:p>
    <w:p w:rsidR="00000000" w:rsidRDefault="00000000">
      <w:r>
        <w:t>8.</w:t>
      </w:r>
      <w:r>
        <w:tab/>
        <w:t xml:space="preserve">Article 3 of the United Nations </w:t>
      </w:r>
      <w:r>
        <w:rPr>
          <w:color w:val="000000"/>
        </w:rPr>
        <w:t xml:space="preserve">Protocol to Prevent, Suppress and Punish Trafficking in Persons, especially Women and Children, </w:t>
      </w:r>
      <w:r>
        <w:rPr>
          <w:bCs/>
          <w:iCs/>
        </w:rPr>
        <w:t>supplementing the Convention against Transnational Organized Crime adopted in Palermo, Italy in 2000 (</w:t>
      </w:r>
      <w:r>
        <w:t>Palermo Protocol) provides that “trafficking in persons shall mean the</w:t>
      </w:r>
      <w:r>
        <w:rPr>
          <w:iCs/>
        </w:rPr>
        <w:t xml:space="preserve"> recruitment</w:t>
      </w:r>
      <w:r>
        <w:t xml:space="preserve">, transportation, transfer, harbouring or receipt of persons, by means of the threat or use of force or other forms of coercion, of abduction, of fraud, </w:t>
      </w:r>
      <w:r>
        <w:rPr>
          <w:iCs/>
        </w:rPr>
        <w:t>of deception</w:t>
      </w:r>
      <w:r>
        <w:t xml:space="preserve">, of the abuse of power or of a position of vulnerability or of the giving or receiving of payments or benefits to achieve the consent of a person having control over another person, for the purpose of </w:t>
      </w:r>
      <w:r>
        <w:rPr>
          <w:iCs/>
        </w:rPr>
        <w:t>exploitation</w:t>
      </w:r>
      <w:r>
        <w:t>. Exploitation shall include, at a minimum, the exploitation of the prostitution of others or other forms of sexual exploitation, forced labour or services, slavery or practices similar to slavery, servitude or the removal of organs”.</w:t>
      </w:r>
    </w:p>
    <w:p w:rsidR="00000000" w:rsidRDefault="00000000">
      <w:r>
        <w:t>9.</w:t>
      </w:r>
      <w:r>
        <w:tab/>
        <w:t>On this basis, the situation reported to the Special Rapporteur and personally witnessed by her in Bahrain, Oman and Qatar, cannot be</w:t>
      </w:r>
      <w:r>
        <w:rPr>
          <w:color w:val="000000"/>
        </w:rPr>
        <w:t xml:space="preserve"> </w:t>
      </w:r>
      <w:r>
        <w:t>addressed merely as one of human rights of migrants, but also as one of trafficking in persons, since the required elements for trafficking in persons - recruitment, deceit and exploitation - are present when these migrant workers, as described below, find themselves in situations of abuse and exploitation after having been recruited for employment and deceived in the process.</w:t>
      </w:r>
      <w:r>
        <w:rPr>
          <w:rStyle w:val="FootnoteReference"/>
        </w:rPr>
        <w:footnoteReference w:id="6"/>
      </w:r>
    </w:p>
    <w:p w:rsidR="00000000" w:rsidRDefault="00000000">
      <w:r>
        <w:br w:type="page"/>
        <w:t>10.</w:t>
      </w:r>
      <w:r>
        <w:tab/>
        <w:t>The Special Rapporteur will first describe the legal and institutional framework</w:t>
      </w:r>
      <w:r>
        <w:rPr>
          <w:color w:val="000000"/>
        </w:rPr>
        <w:t xml:space="preserve"> </w:t>
      </w:r>
      <w:r>
        <w:t>existing in Bahrain, Oman and Qatar to combat trafficking in persons and to provide for the protection of the human rights of trafficked persons, and will then relate how and why, despite the existence of such measures, foreign migrant workers who, in most cases, enter Bahrain, Oman and Qatar in full legality, still end up being victims of trafficking.</w:t>
      </w:r>
    </w:p>
    <w:p w:rsidR="00000000" w:rsidRDefault="00000000">
      <w:pPr>
        <w:pStyle w:val="Heading2"/>
      </w:pPr>
      <w:bookmarkStart w:id="6" w:name="_Toc154066316"/>
      <w:r>
        <w:t>II.  LEGAL AND INSTITUTIONAL FRAMEWORK</w:t>
      </w:r>
      <w:bookmarkEnd w:id="6"/>
    </w:p>
    <w:p w:rsidR="00000000" w:rsidRDefault="00000000">
      <w:r>
        <w:rPr>
          <w:color w:val="000000"/>
        </w:rPr>
        <w:t>11.</w:t>
      </w:r>
      <w:r>
        <w:rPr>
          <w:color w:val="000000"/>
        </w:rPr>
        <w:tab/>
        <w:t xml:space="preserve">States have an obligation to act with due diligence to </w:t>
      </w:r>
      <w:r>
        <w:rPr>
          <w:bCs/>
          <w:iCs/>
        </w:rPr>
        <w:t>prevent, investigate and punish human trafficking, and to provide a human rights framework for trafficked persons.</w:t>
      </w:r>
      <w:r>
        <w:rPr>
          <w:color w:val="000000"/>
        </w:rPr>
        <w:t xml:space="preserve"> An extensive delineation of these obligations is provided for in,</w:t>
      </w:r>
      <w:r>
        <w:rPr>
          <w:iCs/>
          <w:color w:val="000000"/>
        </w:rPr>
        <w:t xml:space="preserve"> </w:t>
      </w:r>
      <w:r>
        <w:rPr>
          <w:color w:val="000000"/>
        </w:rPr>
        <w:t>inter alia</w:t>
      </w:r>
      <w:r>
        <w:rPr>
          <w:i/>
          <w:color w:val="000000"/>
        </w:rPr>
        <w:t>,</w:t>
      </w:r>
      <w:r>
        <w:rPr>
          <w:iCs/>
          <w:color w:val="000000"/>
        </w:rPr>
        <w:t xml:space="preserve"> </w:t>
      </w:r>
      <w:r>
        <w:rPr>
          <w:color w:val="000000"/>
        </w:rPr>
        <w:t xml:space="preserve">articles 5, 6 and 9 of the Palermo Protocol as well as in the Office of the High Commissioner for Human Rights Recommended Principles and Guidelines on Human Rights and Human Trafficking (E/2002/68/Add.1). </w:t>
      </w:r>
      <w:r>
        <w:rPr>
          <w:bCs/>
          <w:iCs/>
        </w:rPr>
        <w:t>Strong legislation, in particular comprehensive human rights and labour laws, together with effective implementing and monitoring mechanisms, are intrinsic tools in curbing abuse and exploitation of migrant workers and therefore of combating the demand that fosters human trafficking.</w:t>
      </w:r>
    </w:p>
    <w:p w:rsidR="00000000" w:rsidRDefault="00000000">
      <w:pPr>
        <w:pStyle w:val="Heading2"/>
      </w:pPr>
      <w:bookmarkStart w:id="7" w:name="_Toc154066317"/>
      <w:r>
        <w:t>A.  Prevention, protection and punishment</w:t>
      </w:r>
      <w:bookmarkEnd w:id="7"/>
    </w:p>
    <w:p w:rsidR="00000000" w:rsidRDefault="00000000">
      <w:r>
        <w:rPr>
          <w:color w:val="000000"/>
        </w:rPr>
        <w:t>12.</w:t>
      </w:r>
      <w:r>
        <w:rPr>
          <w:color w:val="000000"/>
        </w:rPr>
        <w:tab/>
        <w:t>The ratification of the core international human rights instruments is thus a necessary tool.</w:t>
      </w:r>
      <w:r>
        <w:rPr>
          <w:rStyle w:val="FootnoteReference"/>
          <w:color w:val="000000"/>
        </w:rPr>
        <w:footnoteReference w:id="7"/>
      </w:r>
      <w:r>
        <w:rPr>
          <w:color w:val="000000"/>
        </w:rPr>
        <w:t xml:space="preserve"> Bahrain, Oman and Qatar should therefore take the necessary steps to ratify the remaining relevant international conventions, in particular the </w:t>
      </w:r>
      <w:r>
        <w:t>International Convention on the Protection of the Rights of All Migrant Workers and Members of Their Families,</w:t>
      </w:r>
      <w:r>
        <w:rPr>
          <w:rStyle w:val="FootnoteReference"/>
          <w:color w:val="000000"/>
        </w:rPr>
        <w:footnoteReference w:id="8"/>
      </w:r>
      <w:r>
        <w:rPr>
          <w:color w:val="000000"/>
        </w:rPr>
        <w:t xml:space="preserve"> </w:t>
      </w:r>
      <w:r>
        <w:t xml:space="preserve">as well as relevant </w:t>
      </w:r>
      <w:r>
        <w:rPr>
          <w:color w:val="000000"/>
        </w:rPr>
        <w:t>International Labour Organization (ILO) Conventions.</w:t>
      </w:r>
      <w:r>
        <w:rPr>
          <w:rStyle w:val="FootnoteReference"/>
          <w:color w:val="000000"/>
        </w:rPr>
        <w:footnoteReference w:id="9"/>
      </w:r>
      <w:r>
        <w:rPr>
          <w:color w:val="000000"/>
        </w:rPr>
        <w:t xml:space="preserve"> </w:t>
      </w:r>
      <w:r>
        <w:rPr>
          <w:bCs/>
          <w:iCs/>
        </w:rPr>
        <w:t>The Special Rapporteur notes with interest that the constitutions of the three countries provide a list of entrenched human rights and freedoms. She further welcomes the initiative of the members of the Gulf Cooperation Council (GCC), including Bahrain, Oman and Qatar, in drafting guiding principles to be used to combat trafficking in the region.</w:t>
      </w:r>
    </w:p>
    <w:p w:rsidR="00000000" w:rsidRDefault="00000000">
      <w:r>
        <w:rPr>
          <w:color w:val="000000"/>
        </w:rPr>
        <w:t>13.</w:t>
      </w:r>
      <w:r>
        <w:rPr>
          <w:color w:val="000000"/>
        </w:rPr>
        <w:tab/>
        <w:t>The Special Rapporteur further commends Bahrain and Oman for having ratified the Palermo Protocol and strongly encourages</w:t>
      </w:r>
      <w:r>
        <w:rPr>
          <w:bCs/>
          <w:iCs/>
        </w:rPr>
        <w:t xml:space="preserve"> Qatar to follow suit.</w:t>
      </w:r>
    </w:p>
    <w:p w:rsidR="00000000" w:rsidRDefault="00000000">
      <w:pPr>
        <w:pStyle w:val="Heading2"/>
      </w:pPr>
      <w:bookmarkStart w:id="8" w:name="_Toc154066318"/>
      <w:r>
        <w:t>1.  Bahrain</w:t>
      </w:r>
      <w:bookmarkEnd w:id="8"/>
    </w:p>
    <w:p w:rsidR="00000000" w:rsidRDefault="00000000">
      <w:pPr>
        <w:pStyle w:val="Heading3"/>
      </w:pPr>
      <w:r>
        <w:t>Prevention</w:t>
      </w:r>
    </w:p>
    <w:p w:rsidR="00000000" w:rsidRDefault="00000000">
      <w:r>
        <w:t>14.</w:t>
      </w:r>
      <w:r>
        <w:tab/>
        <w:t>Bahrain’s Labour Code of 1976 contains various provisions protecting against abuse and exploitation of foreign workers, with the exclusion, as explained below, of domestic workers.</w:t>
      </w:r>
    </w:p>
    <w:p w:rsidR="00000000" w:rsidRDefault="00000000">
      <w:r>
        <w:t>15.</w:t>
      </w:r>
      <w:r>
        <w:tab/>
        <w:t>The Labour Code requires employment to be regulated by a written contract, which must specify the conditions and the kind of employment to be undertaken such as wages, hours of work, leave, etc. Employers are, moreover, prohibited from making workers perform tasks which differ fundamentally from those initially agreed upon, especially when such tasks are done intentionally to offend the worker, and wages must be paid directly to the employee. Charging the worker for</w:t>
      </w:r>
      <w:r>
        <w:rPr>
          <w:color w:val="000000"/>
        </w:rPr>
        <w:t xml:space="preserve"> </w:t>
      </w:r>
      <w:r>
        <w:t>employment is prohibited and it is, moreover, illegal for sponsors to take possession of the workers’ passports. Furthermore, under certain circumstances, the worker has the right to receive compensation when the employer terminates his/her contract; this right is not prejudiced when it is the employee who decides to terminate the contract, under certain conditions. In addition, unless a contract is free of the use of coercion, undue influence, fraud, misrepresentation and mistakes, it may be declared null under the Contract Law of 1969. Finally, f</w:t>
      </w:r>
      <w:r>
        <w:rPr>
          <w:rFonts w:eastAsia="SimSun"/>
          <w:lang w:eastAsia="zh-CN"/>
        </w:rPr>
        <w:t xml:space="preserve">or any employment disputes, the Ministry of Labour will first attempt an amicable solution, and only if this fails, the case is referred to the courts. In this case, and contrary to the situation of domestic workers, foreign workers are exempted from paying court fees, and </w:t>
      </w:r>
      <w:r>
        <w:t>court proceedings are to be dealt with urgently. Before resorting to any such options, workers have the right, since September 2002, to address any employment issues through trade unions.</w:t>
      </w:r>
    </w:p>
    <w:p w:rsidR="00000000" w:rsidRDefault="00000000">
      <w:r>
        <w:br w:type="page"/>
        <w:t>16.</w:t>
      </w:r>
      <w:r>
        <w:tab/>
        <w:t>The Labour Code specifies 14 as the minimum age of employment and applies certain conditions for minors between the age of 14 and 16 obliging employers to carry out mandatory medical examinations before and periodically during employment. Immigration laws further prohibit the entry of minors (under 18 years of age), unless accompanied by a parent or a grandparent. According to article 3 of the Palermo Protocol, this provision does not necessarily protect children from being trafficked unless verification of whether any means were used to obtain the parents’ or guardian’s consent, is carried out. In view of reports concerning the falsification of children’s age on identity documents, the Special Rapporteur received with interest information to the effect that the Aliens Act (Immigration and Residence) of 1965 makes it a crime to alter, forge, falsify or possess any certificate or document issued or drafted under this act, such as certificates, passports, visas, residence permits, or other documents.</w:t>
      </w:r>
    </w:p>
    <w:p w:rsidR="00000000" w:rsidRDefault="00000000">
      <w:r>
        <w:t>17.</w:t>
      </w:r>
      <w:r>
        <w:tab/>
        <w:t>The situation of women brought to Bahrain as entertainers, for a renewable three-month period, is regulated specifically by Ministry of Information Decision No. 3/1991. It is forbidden for these workers to appear in indecent clothes at work and to accept invitations from clients. Employers are further prohibited to force the women to perform in establishments other than those designated in the licence. The employer is bound to provide the entertainers with appropriate housing.</w:t>
      </w:r>
    </w:p>
    <w:p w:rsidR="00000000" w:rsidRDefault="00000000">
      <w:r>
        <w:t>18.</w:t>
      </w:r>
      <w:r>
        <w:tab/>
        <w:t xml:space="preserve">The possibility of monitoring the compliance of the above is envisaged by the Subsidiary Legislation No. 23 which gives the labour inspectors extensive rights to enter work premises, including night premises, and to examine documentation and working conditions of the workers. The Special Rapporteur was informed that there are 278 labour camps registered with the Ministry for Labour, but that other non-registered labour camps exist and are not subject to such inspections. She welcomes information to the effect that spot checks at entertainment venues are carried out, and that pimps, for example, have been arrested. Inspections of private business premises are also carried out, and this has led to the closing of </w:t>
      </w:r>
      <w:r>
        <w:rPr>
          <w:bCs/>
        </w:rPr>
        <w:t>65 recruiting agencies and 18 hotels in 2006. She was not, however, provided with specific information on the reasons and basis for these closures.</w:t>
      </w:r>
    </w:p>
    <w:p w:rsidR="00000000" w:rsidRDefault="00000000">
      <w:pPr>
        <w:rPr>
          <w:color w:val="000000"/>
        </w:rPr>
      </w:pPr>
      <w:r>
        <w:rPr>
          <w:color w:val="000000"/>
        </w:rPr>
        <w:t>19.</w:t>
      </w:r>
      <w:r>
        <w:rPr>
          <w:color w:val="000000"/>
        </w:rPr>
        <w:tab/>
        <w:t xml:space="preserve">The Special Rapporteur received with interest information concerning the establishment in 2002 of an Inter-Ministerial Anti-Trafficking Task Force with a mandate </w:t>
      </w:r>
      <w:r>
        <w:rPr>
          <w:iCs/>
          <w:color w:val="000000"/>
        </w:rPr>
        <w:t>inter alia</w:t>
      </w:r>
      <w:r>
        <w:rPr>
          <w:color w:val="000000"/>
        </w:rPr>
        <w:t xml:space="preserve">, to develop a national plan of action against trafficking in persons. Measures foreseen in that include the publication and </w:t>
      </w:r>
      <w:r>
        <w:rPr>
          <w:bCs/>
        </w:rPr>
        <w:t>distribution at the airport and at seaports</w:t>
      </w:r>
      <w:r>
        <w:rPr>
          <w:color w:val="000000"/>
        </w:rPr>
        <w:t xml:space="preserve"> of </w:t>
      </w:r>
      <w:r>
        <w:rPr>
          <w:bCs/>
        </w:rPr>
        <w:t xml:space="preserve">information brochures in a number of Asian languages, providing brief information on the labour rights of foreign workers. </w:t>
      </w:r>
      <w:r>
        <w:t xml:space="preserve">In addition, the Foreign Workers Manual lists all acts that are prohibited, including the signing of informal and fictitious contracts, forcing workers to engage in illegal activities as well as sexual assaults against employees. Another activity was the </w:t>
      </w:r>
      <w:r>
        <w:rPr>
          <w:bCs/>
        </w:rPr>
        <w:t>training of judges and public prosecutors on trafficking in persons. The Special Rapporteur was encouraged by the positive initiative of the Minister of Labour to hold regular meetings with foreign embassies to discuss matters including working conditions of foreign migrant workers. I</w:t>
      </w:r>
      <w:r>
        <w:rPr>
          <w:color w:val="000000"/>
        </w:rPr>
        <w:t>n 2004, the Task Force launched a campaign to sensitize employers on the Labour Law, and has also announced plans to tighten control on the issuing of visas.</w:t>
      </w:r>
      <w:r>
        <w:rPr>
          <w:rStyle w:val="FootnoteReference"/>
          <w:color w:val="000000"/>
        </w:rPr>
        <w:footnoteReference w:id="10"/>
      </w:r>
    </w:p>
    <w:p w:rsidR="00000000" w:rsidRDefault="00000000">
      <w:pPr>
        <w:pStyle w:val="Heading3"/>
      </w:pPr>
      <w:r>
        <w:t>Protection</w:t>
      </w:r>
    </w:p>
    <w:p w:rsidR="00000000" w:rsidRDefault="00000000">
      <w:r>
        <w:rPr>
          <w:bCs/>
        </w:rPr>
        <w:t>20.</w:t>
      </w:r>
      <w:r>
        <w:rPr>
          <w:bCs/>
        </w:rPr>
        <w:tab/>
        <w:t xml:space="preserve">There are currently two shelters for domestic female workers run by the Embassy of the Philippines and the Migrant Workers Protection Society, a local non-governmental organization (NGO). The Special Rapporteur also visited the site being prepared for a State-run shelter for victims of abuse. She encourages the Government to open the shelter as soon as possible so that victims of abuse, including trafficked persons, would be able to find protection and assistance there. Moreover, she encourages the authorities to put in place a system of identification of trafficked persons in detention and deportation centres, so that, once identified, they may be transferred to the shelters to receive proper support and assistance. Meanwhile, </w:t>
      </w:r>
      <w:r>
        <w:t>she received with interest information that detainees may exercise the right to appoint lawyers and make phone calls. Embassies are also, in principle, allowed to visit their nationals. The Special Rapporteur is concerned however, that authorizations for such visits are reportedly difficult and long to obtain and that authorities do not systematically inform embassies when one of their nationals is being detained.</w:t>
      </w:r>
    </w:p>
    <w:p w:rsidR="00000000" w:rsidRDefault="00000000">
      <w:pPr>
        <w:rPr>
          <w:bCs/>
        </w:rPr>
      </w:pPr>
      <w:r>
        <w:rPr>
          <w:bCs/>
        </w:rPr>
        <w:t>21.</w:t>
      </w:r>
      <w:r>
        <w:rPr>
          <w:bCs/>
        </w:rPr>
        <w:tab/>
        <w:t xml:space="preserve">Other protection measures include the publication of labour rights </w:t>
      </w:r>
      <w:r>
        <w:rPr>
          <w:color w:val="000000"/>
        </w:rPr>
        <w:t xml:space="preserve">brochures that list important phone numbers including those of the different foreign embassies and official bodies. </w:t>
      </w:r>
      <w:r>
        <w:rPr>
          <w:bCs/>
        </w:rPr>
        <w:t>The Bahrain Ministry of Labour has also established a hotline for labour complaints and advertised its launch in English and Arabic in daily newspapers.</w:t>
      </w:r>
    </w:p>
    <w:p w:rsidR="00000000" w:rsidRDefault="00000000">
      <w:r>
        <w:rPr>
          <w:bCs/>
        </w:rPr>
        <w:t>22.</w:t>
      </w:r>
      <w:r>
        <w:rPr>
          <w:bCs/>
        </w:rPr>
        <w:tab/>
        <w:t>Moreover, with a view to encouraging abused and exploited workers to make formal complaints to the authorities, the Government is currently discussing the establishment of a witness protection programme that would allow victims to give their testimony through video conference and have their faces covered. Currently, interpretation services during court proceedings are possible, but not in all languages.</w:t>
      </w:r>
    </w:p>
    <w:p w:rsidR="00000000" w:rsidRDefault="00000000">
      <w:pPr>
        <w:pStyle w:val="Heading3"/>
      </w:pPr>
      <w:r>
        <w:t>Punishment</w:t>
      </w:r>
    </w:p>
    <w:p w:rsidR="00000000" w:rsidRDefault="00000000">
      <w:r>
        <w:rPr>
          <w:color w:val="000000"/>
        </w:rPr>
        <w:t>23.</w:t>
      </w:r>
      <w:r>
        <w:rPr>
          <w:color w:val="000000"/>
        </w:rPr>
        <w:tab/>
        <w:t>Trafficking in persons is not a crime under Bahrain’s Penal Code. However, Bahrain is currently in the process of drafting anti-trafficking legislation in order to integrate the Palermo Protocol. The Special Rapporteur learned with interest that the definition of trafficking in the draft law reflects the definition contained in the Palermo Protocol. Other interesting elements of the draft reportedly include the right of allegedly trafficked persons to remain in Bahrain pending legal disputes, the establishment of a fund for trafficked persons and the prohibition of criminal proceedings from being brought against them for illegal work they were being forced to carry out. She regrets that local NGOs and other members of the local civil society were not consulted in the drafting of this law.</w:t>
      </w:r>
    </w:p>
    <w:p w:rsidR="00000000" w:rsidRDefault="00000000">
      <w:r>
        <w:t>24.</w:t>
      </w:r>
      <w:r>
        <w:tab/>
        <w:t>Until this draft is made law, Bahrain relies on various articles of its Penal Code to punish acts related to trafficking. Concerning trafficking for sexual exploitation, the Penal Code prohibits assisting or using coercion, threat, or deceit to force a person to commit prostitution as well as pimping or establishing or operating a brothel or an establishment for prostitution purposes. C</w:t>
      </w:r>
      <w:r>
        <w:rPr>
          <w:bCs/>
        </w:rPr>
        <w:t xml:space="preserve">hild pornography, prostitution, child labour, and abduction are also crimes. The Criminal Code further penalizes </w:t>
      </w:r>
      <w:r>
        <w:t>the withholding of workers’ salaries, the withholding of their passports and other travel documents, forced labour and slavery as well as employing individuals, transporting them, and keeping them against their will.</w:t>
      </w:r>
    </w:p>
    <w:p w:rsidR="00000000" w:rsidRDefault="00000000">
      <w:r>
        <w:t>25.</w:t>
      </w:r>
      <w:r>
        <w:tab/>
        <w:t>The Special Rapporteur notes with interest information that the authorities were generally responsive to requests from foreign embassies to investigate foreign workers’ complaints regarding unpaid wages and mistreatment.</w:t>
      </w:r>
      <w:r>
        <w:rPr>
          <w:rStyle w:val="FootnoteReference"/>
        </w:rPr>
        <w:footnoteReference w:id="11"/>
      </w:r>
      <w:r>
        <w:t xml:space="preserve"> She regrets, however, that labour complaints of migrant workers in the private sector were given less immediate attention than complaints concerning the public sector.</w:t>
      </w:r>
    </w:p>
    <w:p w:rsidR="00000000" w:rsidRDefault="00000000">
      <w:r>
        <w:t>26.</w:t>
      </w:r>
      <w:r>
        <w:tab/>
        <w:t>Despite the fact that the Special Rapporteur was provided with some information on investigations and prosecutions of a number of trafficking-related cases such as</w:t>
      </w:r>
      <w:r>
        <w:rPr>
          <w:color w:val="000000"/>
        </w:rPr>
        <w:t xml:space="preserve"> </w:t>
      </w:r>
      <w:r>
        <w:t>deprivation of liberty and illegal confinement of foreign workers, assault, accusations of theft, non-payment of wages and forced prostitution, she is concerned that the number of cases</w:t>
      </w:r>
      <w:r>
        <w:rPr>
          <w:color w:val="000000"/>
        </w:rPr>
        <w:t xml:space="preserve"> </w:t>
      </w:r>
      <w:r>
        <w:t>cited appear to be nonetheless insufficient and non-representative of the extent of the problem of trafficking in Bahrain a</w:t>
      </w:r>
      <w:bookmarkStart w:id="9" w:name="_Toc154066319"/>
      <w:r>
        <w:t>s was reported to her.</w:t>
      </w:r>
    </w:p>
    <w:p w:rsidR="00000000" w:rsidRDefault="00000000">
      <w:pPr>
        <w:pStyle w:val="Heading2"/>
        <w:rPr>
          <w:bCs/>
        </w:rPr>
      </w:pPr>
      <w:r>
        <w:t>2.  Oman</w:t>
      </w:r>
      <w:bookmarkEnd w:id="9"/>
    </w:p>
    <w:p w:rsidR="00000000" w:rsidRDefault="00000000">
      <w:pPr>
        <w:pStyle w:val="Heading3"/>
      </w:pPr>
      <w:r>
        <w:t>Prevention</w:t>
      </w:r>
    </w:p>
    <w:p w:rsidR="00000000" w:rsidRDefault="00000000">
      <w:r>
        <w:t>27.</w:t>
      </w:r>
      <w:r>
        <w:tab/>
        <w:t>Oman’s recently amended Labour Law of 2003 also provides a substantive legal framework for the protection of foreign workers’ employment, again with the exception of domestic workers.</w:t>
      </w:r>
    </w:p>
    <w:p w:rsidR="00000000" w:rsidRDefault="00000000">
      <w:r>
        <w:t>28.</w:t>
      </w:r>
      <w:r>
        <w:tab/>
        <w:t xml:space="preserve">In addition to the requirements of a written contract providing details of the kind of employment, wages, hours of work, leave, etc., the Labour Law prohibits employers charging employees any fees, forcing them to engage in work which is fundamentally different to that agreed upon, and taking away their passports. The Special Rapporteur received with interest information to the effect that when workers did file complaints against their employers on confiscation of passports, they were largely successful in recovering their identity documents. Employees are moreover entitled to terminate their contracts if they can prove that their employer has assaulted them. This law further exempts workers from paying any court fees relating to a dispute arising from their employment. Before resorting to formal procedures, workers may raise employment concerns with worker representative committees. </w:t>
      </w:r>
      <w:r>
        <w:rPr>
          <w:bCs/>
        </w:rPr>
        <w:t xml:space="preserve">Decree No. 74/2006 to the Labour Law removed a </w:t>
      </w:r>
      <w:r>
        <w:t>previous prohibition of strikes.</w:t>
      </w:r>
    </w:p>
    <w:p w:rsidR="00000000" w:rsidRDefault="00000000">
      <w:r>
        <w:t>29.</w:t>
      </w:r>
      <w:r>
        <w:tab/>
        <w:t>The minimum age for employment for foreign workers is 21. The minimum age for camel jockeys was raised to 15</w:t>
      </w:r>
      <w:r>
        <w:rPr>
          <w:rStyle w:val="FootnoteReference"/>
        </w:rPr>
        <w:footnoteReference w:id="12"/>
      </w:r>
      <w:r>
        <w:t xml:space="preserve"> and all camel jockeys must personally register with the Omani Camel Racing Federation and submit a passport, photographs, and a birth certificate proving that they are at least 15 years old.</w:t>
      </w:r>
    </w:p>
    <w:p w:rsidR="00000000" w:rsidRDefault="00000000">
      <w:r>
        <w:t>30.</w:t>
      </w:r>
      <w:r>
        <w:tab/>
        <w:t xml:space="preserve">Compliance of contracts and generally the provisions of the Labour Law is stipulated by article 8 of the Labour Law, which provides certain officials with the right to act in the capacity </w:t>
      </w:r>
      <w:r>
        <w:br w:type="page"/>
        <w:t>of judiciary officers in enforcing its provisions, its regulations and executive decisions by inspecting places of work, as well as books and registers. In view of reports of non-compliance with the contracts and labour law provisions, the Special Rapporteur welcomes information from the Ministry of Labour that inspections of worksites will be increased.</w:t>
      </w:r>
    </w:p>
    <w:p w:rsidR="00000000" w:rsidRDefault="00000000">
      <w:r>
        <w:t>31.</w:t>
      </w:r>
      <w:r>
        <w:tab/>
        <w:t>Oman does not have a national action plan to combat trafficking in persons nor does it have a coordinating mechanism to oversee anti-trafficking efforts. Measures taken to combat trafficking and protect the human rights of trafficked persons are therefore dispersed, non</w:t>
      </w:r>
      <w:r>
        <w:noBreakHyphen/>
        <w:t xml:space="preserve">comprehensive, and are mainly carried out in connection with trafficking-related matters only and not for trafficking matters </w:t>
      </w:r>
      <w:r>
        <w:rPr>
          <w:iCs/>
        </w:rPr>
        <w:t>per se.</w:t>
      </w:r>
      <w:r>
        <w:t xml:space="preserve"> The Special Rapporteur further notes that the authorities do not follow a common policy on trafficking and do not share a common understanding of its concept, which was particularly evident when some authorities recognized the existence of trafficking while others denied it entirely.</w:t>
      </w:r>
    </w:p>
    <w:p w:rsidR="00000000" w:rsidRDefault="00000000">
      <w:r>
        <w:t>32.</w:t>
      </w:r>
      <w:r>
        <w:tab/>
        <w:t>Examples of some measures that are being undertaken include awareness-raising programmes on labour standards and workers’ rights disseminated, according to the Ministry of Manpower, in news programmes on television and in newspapers in Arabic. Copies of the texts of labour laws are distributed in Arabic and English at the airport in Oman. Moreover, in the absence of an adequate screening procedure to identify trafficked persons among detainees awaiting deportation, the Special Rapporteur welcomes the information that Oman has requested international assistance to develop such a comprehensive screening programme.</w:t>
      </w:r>
      <w:r>
        <w:rPr>
          <w:rStyle w:val="FootnoteReference"/>
        </w:rPr>
        <w:footnoteReference w:id="13"/>
      </w:r>
      <w:r>
        <w:t xml:space="preserve"> The Special Rapporteur hopes that the nearly adopted women’s national strategy and the establishment of a national plan of action for children will pay particular attention to the human rights of trafficked women and children.</w:t>
      </w:r>
    </w:p>
    <w:p w:rsidR="00000000" w:rsidRDefault="00000000">
      <w:r>
        <w:t>33.</w:t>
      </w:r>
      <w:r>
        <w:tab/>
        <w:t>Furthermore, in view of the risk illegal migration and human trafficking posed by Oman’s 1,400 km-long borders, the Government has allocated resources to improve its control over both the maritime and the land borders, and in 2005, Oman military and police took special actions to patrol the borders and prevent illegal entry into the country. Special visa regimes for certain countries whose nationals are believed to come to Oman or are made to come to work in the sex industry have also been established.</w:t>
      </w:r>
      <w:r>
        <w:rPr>
          <w:rStyle w:val="FootnoteReference"/>
        </w:rPr>
        <w:footnoteReference w:id="14"/>
      </w:r>
    </w:p>
    <w:p w:rsidR="00000000" w:rsidRDefault="00000000">
      <w:pPr>
        <w:pStyle w:val="Heading3"/>
      </w:pPr>
      <w:r>
        <w:t>Protection</w:t>
      </w:r>
    </w:p>
    <w:p w:rsidR="00000000" w:rsidRDefault="00000000">
      <w:r>
        <w:t>34.</w:t>
      </w:r>
      <w:r>
        <w:tab/>
        <w:t>Oman does not run a shelter for victims of abuse and exploitation, nor is there a system to distinguish illegal immigrants from trafficked persons and to provide them with the assistance required under the Palermo Protocol. Foreign embassies are allowed to visit their nationals in detention centres and they, together with charitable organizations, provide trafficked persons with assistance. However this assistance is not</w:t>
      </w:r>
      <w:r>
        <w:rPr>
          <w:color w:val="000000"/>
        </w:rPr>
        <w:t xml:space="preserve"> </w:t>
      </w:r>
      <w:r>
        <w:t>systematic, and there is no</w:t>
      </w:r>
      <w:r>
        <w:rPr>
          <w:color w:val="000000"/>
        </w:rPr>
        <w:t xml:space="preserve"> </w:t>
      </w:r>
      <w:r>
        <w:t>referral system. Despite the lack of express measures to provide for the protection of trafficked persons, the Special Rapporteur was pleased to note information that authorities take complaints of abuse and exploitation of foreign workers seriously.</w:t>
      </w:r>
    </w:p>
    <w:p w:rsidR="00000000" w:rsidRDefault="00000000">
      <w:r>
        <w:t>35.</w:t>
      </w:r>
      <w:r>
        <w:tab/>
        <w:t>The Special Rapporteur reiterates the concerns expressed by the Committee on the Rights of the Child regarding the lack of research and data on the prevalence of national and cross</w:t>
      </w:r>
      <w:r>
        <w:noBreakHyphen/>
        <w:t>border trafficking, child prostitution and child pornography.</w:t>
      </w:r>
      <w:r>
        <w:rPr>
          <w:rStyle w:val="FootnoteReference"/>
        </w:rPr>
        <w:footnoteReference w:id="15"/>
      </w:r>
      <w:r>
        <w:t xml:space="preserve"> Concern was also expressed about the lack of a comprehensive procedure to identify potential child victims of trafficking and the absence of adequate recovery and reintegration services for these victims.</w:t>
      </w:r>
    </w:p>
    <w:p w:rsidR="00000000" w:rsidRDefault="00000000">
      <w:pPr>
        <w:rPr>
          <w:b/>
          <w:bCs/>
        </w:rPr>
      </w:pPr>
      <w:r>
        <w:t>36.</w:t>
      </w:r>
      <w:r>
        <w:tab/>
        <w:t>The Special Rapporteur welcomes the establishment of a task force to monitor the situation of children in camel racing. Meetings were held with race organizers and parties interested or involved in racing activities. She concurs with the Committee on the Rights of the Child in stressing the importance of measures to ensure that the prohibition of the use of child camel jockeys is effectively implemented and recommends that regular unannounced inspections in camel races are carried out to ensure that no children are used as jockeys.</w:t>
      </w:r>
      <w:r>
        <w:rPr>
          <w:rStyle w:val="FootnoteReference"/>
        </w:rPr>
        <w:footnoteReference w:id="16"/>
      </w:r>
    </w:p>
    <w:p w:rsidR="00000000" w:rsidRDefault="00000000">
      <w:pPr>
        <w:pStyle w:val="Heading3"/>
      </w:pPr>
      <w:r>
        <w:t>Punishment</w:t>
      </w:r>
    </w:p>
    <w:p w:rsidR="00000000" w:rsidRDefault="00000000">
      <w:r>
        <w:rPr>
          <w:color w:val="000000"/>
        </w:rPr>
        <w:t>37.</w:t>
      </w:r>
      <w:r>
        <w:rPr>
          <w:color w:val="000000"/>
        </w:rPr>
        <w:tab/>
        <w:t xml:space="preserve">Trafficking is not yet considered a criminal offence in Omani legislation. </w:t>
      </w:r>
      <w:r>
        <w:t>An Inter</w:t>
      </w:r>
      <w:r>
        <w:noBreakHyphen/>
        <w:t>Governmental Technical Committee, has, however, been set up with a mandate to review existing legislation and recommend whether there is a need for a separate law to be drafted to incorporate the Palermo Protocol. The Special Rapporteur regrets that civil society was not</w:t>
      </w:r>
      <w:r>
        <w:rPr>
          <w:color w:val="000000"/>
        </w:rPr>
        <w:t xml:space="preserve"> </w:t>
      </w:r>
      <w:r>
        <w:t>invited to participate in this Committee.</w:t>
      </w:r>
    </w:p>
    <w:p w:rsidR="00000000" w:rsidRDefault="00000000">
      <w:r>
        <w:t>38.</w:t>
      </w:r>
      <w:r>
        <w:tab/>
        <w:t>Pending such incorporation, Oman may still prosecute trafficking crimes under the Penal Code. The Criminal Code for example penalizes abduction with an aggravating element if</w:t>
      </w:r>
      <w:r>
        <w:rPr>
          <w:color w:val="000000"/>
        </w:rPr>
        <w:t xml:space="preserve"> </w:t>
      </w:r>
      <w:r>
        <w:t xml:space="preserve">the victim is forced </w:t>
      </w:r>
      <w:r>
        <w:rPr>
          <w:iCs/>
        </w:rPr>
        <w:t>into</w:t>
      </w:r>
      <w:r>
        <w:t xml:space="preserve"> prostitution. Moreover, slavery and the slave trade are also criminal offences, as is child prostitution, manufacturing, acquiring or distribution of pornographic materials, and bondage. </w:t>
      </w:r>
      <w:r>
        <w:rPr>
          <w:bCs/>
        </w:rPr>
        <w:t>Decree No. 74/2006 to the Labour Law prohibits all forms of compulsory labour.</w:t>
      </w:r>
    </w:p>
    <w:p w:rsidR="00000000" w:rsidRDefault="00000000">
      <w:r>
        <w:t>39.</w:t>
      </w:r>
      <w:r>
        <w:tab/>
        <w:t>The Special Rapporteur regrets that information received shows very little effort made to detect, investigate and prosecute cases of trafficking in persons. In 2005, for example, despite reports of trafficked persons in Oman, no investigations or prosecutions were initiated against suspected traffickers, either by the Public Prosecutor or by the Ministry of Manpower, which has a mandate to investigate reports of labour abuse.</w:t>
      </w:r>
      <w:r>
        <w:rPr>
          <w:rStyle w:val="FootnoteReference"/>
        </w:rPr>
        <w:footnoteReference w:id="17"/>
      </w:r>
    </w:p>
    <w:p w:rsidR="00000000" w:rsidRDefault="00000000">
      <w:pPr>
        <w:pStyle w:val="Heading2"/>
        <w:rPr>
          <w:bCs/>
        </w:rPr>
      </w:pPr>
      <w:bookmarkStart w:id="10" w:name="_Toc154066320"/>
      <w:r>
        <w:t>3.  Qatar</w:t>
      </w:r>
      <w:bookmarkEnd w:id="10"/>
    </w:p>
    <w:p w:rsidR="00000000" w:rsidRDefault="00000000">
      <w:pPr>
        <w:pStyle w:val="Heading3"/>
      </w:pPr>
      <w:r>
        <w:t>Prevention</w:t>
      </w:r>
    </w:p>
    <w:p w:rsidR="00000000" w:rsidRDefault="00000000">
      <w:pPr>
        <w:rPr>
          <w:b/>
          <w:bCs/>
        </w:rPr>
      </w:pPr>
      <w:r>
        <w:rPr>
          <w:bCs/>
        </w:rPr>
        <w:t>40.</w:t>
      </w:r>
      <w:r>
        <w:rPr>
          <w:bCs/>
        </w:rPr>
        <w:tab/>
        <w:t>The Qatar Labour Law of 2004 provides that the mandatory written contract for workers, excluding domestic workers, must specify, inter alia</w:t>
      </w:r>
      <w:r>
        <w:rPr>
          <w:bCs/>
          <w:i/>
          <w:iCs/>
        </w:rPr>
        <w:t xml:space="preserve">, </w:t>
      </w:r>
      <w:r>
        <w:rPr>
          <w:bCs/>
        </w:rPr>
        <w:t xml:space="preserve">the duration of contract, type of work, the </w:t>
      </w:r>
      <w:r>
        <w:rPr>
          <w:bCs/>
        </w:rPr>
        <w:br w:type="page"/>
        <w:t xml:space="preserve">provision of food and lodging, payment of overtime, etc. </w:t>
      </w:r>
      <w:r>
        <w:t>Furthermore, D</w:t>
      </w:r>
      <w:r>
        <w:rPr>
          <w:bCs/>
        </w:rPr>
        <w:t xml:space="preserve">ecision No. 11 of 2005 of the Ministry of Civil Service Affairs and Housing regulates maximum working hours and overtime. The Labour Law also provides that the contract </w:t>
      </w:r>
      <w:r>
        <w:t>must be signed by the Ministry and by the relevant foreign embassy, which is a positive element in monitoring that contracts do not have terms conducive to exploitative working conditions.</w:t>
      </w:r>
      <w:r>
        <w:rPr>
          <w:bCs/>
        </w:rPr>
        <w:t xml:space="preserve"> </w:t>
      </w:r>
      <w:r>
        <w:t xml:space="preserve">Moreover, </w:t>
      </w:r>
      <w:r>
        <w:rPr>
          <w:bCs/>
        </w:rPr>
        <w:t xml:space="preserve">Decision No. 8 of 2005 of the Ministry makes it difficult for employers to step out of line with their workers as it requires </w:t>
      </w:r>
      <w:r>
        <w:t>employers to deposit 25,000 Qatari Riyals to the Ministry for the duration of the foreign workers’ licenses in order to guarantee that employees are provided with all their entitlements. Moreover, the Qatari Labour Department maintains a black list of companies that have violated labour laws or abused their workers. Finally, d</w:t>
      </w:r>
      <w:r>
        <w:rPr>
          <w:bCs/>
        </w:rPr>
        <w:t>ecision No. 12 of 2005 requires employers outside the cities to take their employees to health services at their expense.</w:t>
      </w:r>
    </w:p>
    <w:p w:rsidR="00000000" w:rsidRDefault="00000000">
      <w:r>
        <w:t>41.</w:t>
      </w:r>
      <w:r>
        <w:tab/>
        <w:t xml:space="preserve">Monitoring of compliance with these provisions is foreseen in Part 15 of the Labour Law, which provides work inspectors with extensive powers to </w:t>
      </w:r>
      <w:r>
        <w:rPr>
          <w:spacing w:val="1"/>
        </w:rPr>
        <w:t xml:space="preserve">enter places of work during working hours, day </w:t>
      </w:r>
      <w:r>
        <w:rPr>
          <w:spacing w:val="-1"/>
        </w:rPr>
        <w:t>and night, without prior notification, to inspect registers, books, files or any other documents related to the workers, with a view to ensuring</w:t>
      </w:r>
      <w:r>
        <w:rPr>
          <w:spacing w:val="6"/>
        </w:rPr>
        <w:t xml:space="preserve"> compliance with the law</w:t>
      </w:r>
      <w:r>
        <w:rPr>
          <w:spacing w:val="-1"/>
        </w:rPr>
        <w:t xml:space="preserve">. Workers are further protected by their legal right </w:t>
      </w:r>
      <w:r>
        <w:t>to go on strike and to form trade unions and workers’ associations. The Special Rapporteur regrets the information that implementation of the latter in the private sector was difficult because of the conditions of the law, requiring a minimum membership of 100 Qatari nationals.</w:t>
      </w:r>
    </w:p>
    <w:p w:rsidR="00000000" w:rsidRDefault="00000000">
      <w:r>
        <w:t>42.</w:t>
      </w:r>
      <w:r>
        <w:tab/>
        <w:t xml:space="preserve">The Special Rapporteur particularly welcomes the enactment of </w:t>
      </w:r>
      <w:r>
        <w:rPr>
          <w:bCs/>
        </w:rPr>
        <w:t>Law No. 22 of 2005 on Children and Camel Races, which prohibits the recruitment, employment, training and participation of children below 18 in camel racing.</w:t>
      </w:r>
      <w:r>
        <w:t xml:space="preserve"> Violation of this law is</w:t>
      </w:r>
      <w:r>
        <w:rPr>
          <w:color w:val="000000"/>
        </w:rPr>
        <w:t xml:space="preserve"> </w:t>
      </w:r>
      <w:r>
        <w:t>punished with 3 to 10 years’ imprisonment and a fine of 50,000 to 200,000 Riyals. It further vests the Labour Directorate with a quasi-judicial role in investigating and bringing to justice individuals who are in violation of this legislation. Moreover, an Inter-Governmental Committee was established to follow up on</w:t>
      </w:r>
      <w:r>
        <w:rPr>
          <w:color w:val="000000"/>
        </w:rPr>
        <w:t xml:space="preserve"> </w:t>
      </w:r>
      <w:r>
        <w:t xml:space="preserve">the implementation of this law. The Committee carries out visits to camel racing courses and makes reports on these visits. </w:t>
      </w:r>
      <w:r>
        <w:rPr>
          <w:bCs/>
        </w:rPr>
        <w:t>The Special Rapporteur nevertheless remains concerned about reports that despite repatriation of a large number of children, some were retained as farm workers living in difficult conditions. She would therefore appreciate receiving information on the status of all the concerned children.</w:t>
      </w:r>
    </w:p>
    <w:p w:rsidR="00000000" w:rsidRDefault="00000000">
      <w:r>
        <w:t>43.</w:t>
      </w:r>
      <w:r>
        <w:tab/>
        <w:t>The Special Rapporteur commends the Government for the establishment in 2003 of a National Plan to address trafficking and the pursuant establishment of a National Coordinator on Trafficking, who</w:t>
      </w:r>
      <w:r>
        <w:rPr>
          <w:color w:val="000000"/>
        </w:rPr>
        <w:t xml:space="preserve"> </w:t>
      </w:r>
      <w:r>
        <w:t>reports directly to the Supreme Council for Family Affairs and collaborates with focal points in a number of other Government institutions, including the Attorney-General’s office, the Ministry of Justice and the Ministry of Interior. The National Coordinator disseminates information, including the Qatar Labour Guide in five languages at the airport, foreign embassies, health centres and at the Ministry of Labour, organizes awareness-raising programmes on human rights and trafficking, holds social and recreational activities for trafficked persons, including special ones with recruiting agencies, and provides assistance for reintegration in the home countries or in the labour market. Plans are also under way for the National Coordinator to hold regular meetings with foreign embassies to discuss the various concerns on human trafficking. Trainings for judges, lawyers and the police were also organized, and the Directorate of Labour held meetings with businessmen and recruiting agencies to inform them of their obligations under the labour law.</w:t>
      </w:r>
    </w:p>
    <w:p w:rsidR="00000000" w:rsidRDefault="00000000">
      <w:r>
        <w:t>44.</w:t>
      </w:r>
      <w:r>
        <w:tab/>
        <w:t>Of additional value is the establishment of the Human Rights Unit in the Ministry of Interior, which has also been involved in efforts to combat trafficking, as well as National Human Rights Committee of Qatar, pursuant to which many positive steps have been taken to strengthen the human rights aspects of human trafficking. The Committee also has a mandate to receive individual human rights complaints. The Special Rapporteur was also encouraged to learn about the establishment of the Qatari Foundation for the Protection of</w:t>
      </w:r>
      <w:r>
        <w:rPr>
          <w:color w:val="000000"/>
        </w:rPr>
        <w:t xml:space="preserve"> </w:t>
      </w:r>
      <w:r>
        <w:t>Women and Children, which is also carrying out important work for the protection of the human rights of women and children, including foreign workers. In particular, this foundation runs three hotlines, and employs social workers, legal advisers, 42 liaison officers and 19 volunteer lawyers to defend women. The Special Rapporteur was also pleased to note that public officials attended international conferences on human trafficking and she had the pleasure of discussing with a member of its delegation at a conference in Belarus in November 2006.</w:t>
      </w:r>
    </w:p>
    <w:p w:rsidR="00000000" w:rsidRDefault="00000000">
      <w:pPr>
        <w:pStyle w:val="Heading3"/>
      </w:pPr>
      <w:r>
        <w:t>Protection</w:t>
      </w:r>
    </w:p>
    <w:p w:rsidR="00000000" w:rsidRDefault="00000000">
      <w:r>
        <w:t>45.</w:t>
      </w:r>
      <w:r>
        <w:tab/>
        <w:t>The Special Rapporteur visited Qatar’s House for Lodging and Human Care, which was established in 2005 for victims of abuse. At this shelter, victims are provided with social, legal, medical and psychological assistance, and cases are sometimes referred to the police, the courts and</w:t>
      </w:r>
      <w:r>
        <w:rPr>
          <w:color w:val="000000"/>
        </w:rPr>
        <w:t xml:space="preserve"> </w:t>
      </w:r>
      <w:r>
        <w:t>the Director of the Human Rights Unit in the Ministry of Interior. The shelter also assists victims’ repatriation if so wished. She regrets that no system for identifying trafficked persons is in place.</w:t>
      </w:r>
    </w:p>
    <w:p w:rsidR="00000000" w:rsidRDefault="00000000">
      <w:r>
        <w:t>46.</w:t>
      </w:r>
      <w:r>
        <w:tab/>
        <w:t>The Special Rapporteur was concerned that large numbers of foreign workers are detained for prolonged periods in deportation centres pending the resolution of civil and labour disputes with their sponsors. In view of this information, the Special Rapporteur welcomes information that the Ministry of Interior, upon the recommendation of the National Human Rights Committee, set up a committee together with the Human Rights Department of the Ministry, with a mandate to minimize the number of persons held at the deportation centre by considering their particular situation, and to either release them or proceed with their repatriation. The committee will further cooperate with the general prosecutor’s office and the courts in order to accelerate adjudication on disputes.</w:t>
      </w:r>
      <w:r>
        <w:rPr>
          <w:rStyle w:val="FootnoteReference"/>
        </w:rPr>
        <w:footnoteReference w:id="18"/>
      </w:r>
      <w:r>
        <w:t xml:space="preserve"> A women’s committee was also specifically established to monitor the situation of women in detention. The Special Rapporteur encourages the Government to transfer any identified trafficked persons to the shelter to receive the necessary support and assistance.</w:t>
      </w:r>
    </w:p>
    <w:p w:rsidR="00000000" w:rsidRDefault="00000000">
      <w:r>
        <w:t>47.</w:t>
      </w:r>
      <w:r>
        <w:tab/>
        <w:t>Finally, the Special Rapporteur received with interest information about the Qatar Charity Foundation and its work in Sudan following the repatriation of 212 child camel jockeys to Sudan pursuant to the legal ban. The foundation follows up on the repatriation and rehabilitation of these children in Sudan, where it has opened schools and set up reintegration programmes.</w:t>
      </w:r>
    </w:p>
    <w:p w:rsidR="00000000" w:rsidRDefault="00000000">
      <w:pPr>
        <w:rPr>
          <w:b/>
          <w:bCs/>
        </w:rPr>
      </w:pPr>
      <w:r>
        <w:rPr>
          <w:bCs/>
        </w:rPr>
        <w:t>48.</w:t>
      </w:r>
      <w:r>
        <w:rPr>
          <w:bCs/>
        </w:rPr>
        <w:tab/>
        <w:t>The Special Rapporteur was informed that c</w:t>
      </w:r>
      <w:r>
        <w:t>ourt proceedings provide interpretation assistance in some but not all foreign languages</w:t>
      </w:r>
      <w:r>
        <w:rPr>
          <w:bCs/>
        </w:rPr>
        <w:t xml:space="preserve">. </w:t>
      </w:r>
      <w:r>
        <w:t>The detailed labour guide for foreigners also contains a list of emergency numbers.</w:t>
      </w:r>
    </w:p>
    <w:p w:rsidR="00000000" w:rsidRDefault="00000000">
      <w:pPr>
        <w:pStyle w:val="Heading3"/>
      </w:pPr>
      <w:r>
        <w:t>Punishment</w:t>
      </w:r>
    </w:p>
    <w:p w:rsidR="00000000" w:rsidRDefault="00000000">
      <w:r>
        <w:t>49.</w:t>
      </w:r>
      <w:r>
        <w:tab/>
        <w:t>Discussions are under way to ratify the Palermo Protocol. In the meantime, a specific anti</w:t>
      </w:r>
      <w:r>
        <w:noBreakHyphen/>
        <w:t>trafficking law is being drafted.</w:t>
      </w:r>
      <w:r>
        <w:rPr>
          <w:color w:val="000000"/>
        </w:rPr>
        <w:t xml:space="preserve"> </w:t>
      </w:r>
      <w:r>
        <w:t>Law No. 14/2004 (Penal Code) already specifically punishes human trafficking and applies universal jurisdiction to investigate and prosecute it. Prostitution and forcing others into prostitution and other forms of sexual exploitation is a crime.</w:t>
      </w:r>
      <w:r>
        <w:rPr>
          <w:rStyle w:val="FootnoteReference"/>
        </w:rPr>
        <w:footnoteReference w:id="19"/>
      </w:r>
      <w:r>
        <w:t xml:space="preserve"> Living off someone else’s prostitution is considered as an aggravating factor. Abduction or detaining someone against their will as well as slavery and slavery-like practices are also prohibited. The exploitation or forcing another to work without pay is punishable with imprisonment of not more than six months and with a fine not exceeding 3,000 Riyals. The punishment is increased if the victim is less than 16 years of age. Moreover, Law 22/2005 bans the use of children in camel races.</w:t>
      </w:r>
    </w:p>
    <w:p w:rsidR="00000000" w:rsidRDefault="00000000">
      <w:r>
        <w:t>50.</w:t>
      </w:r>
      <w:r>
        <w:tab/>
        <w:t xml:space="preserve">The Special Rapporteur received with interest information that when workers file formal complaints against their employers, investigations are carried out and the necessary legal proceedings are initiated when appropriate. If domestic workers file complaints, the authorities allow the sponsor one week to respond to the complainant, after which such a sponsor is blacklisted. She was moreover informed about one case where the sponsor, who was found to have tortured his domestic worker, was sentenced to five years’ imprisonment </w:t>
      </w:r>
      <w:r>
        <w:rPr>
          <w:bCs/>
        </w:rPr>
        <w:t>and the family of the victim received a monetary compensation</w:t>
      </w:r>
      <w:r>
        <w:t xml:space="preserve"> and the</w:t>
      </w:r>
      <w:r>
        <w:rPr>
          <w:color w:val="000000"/>
        </w:rPr>
        <w:t xml:space="preserve"> </w:t>
      </w:r>
      <w:r>
        <w:t>Government paid for the worker’s medical rehabilitation. The Special Rapporteur was further informed that two cases of abuse of foreign domestic workers by their sponsors took place in 2004, none in 2005 and eight cases of non</w:t>
      </w:r>
      <w:r>
        <w:noBreakHyphen/>
        <w:t>payment of salary were prosecuted in 2006, including the conviction of a sponsor to five years’ imprisonment for charges of assaulting a domestic worker.</w:t>
      </w:r>
    </w:p>
    <w:p w:rsidR="00000000" w:rsidRDefault="00000000">
      <w:r>
        <w:t>51.</w:t>
      </w:r>
      <w:r>
        <w:tab/>
        <w:t xml:space="preserve">Despite this information and the relevant provisions on trafficking in the Criminal Code, the Special Rapporteur regrets information that </w:t>
      </w:r>
      <w:r>
        <w:rPr>
          <w:bCs/>
        </w:rPr>
        <w:t>although sponsors against whom complaints of sexual exploitation are made may be prosecuted, blacklisted and also have their licenses revoked, there remains a problem with the enforcement of decisions. Ultimately, t</w:t>
      </w:r>
      <w:r>
        <w:t>he concern is that very few cases of human trafficking are being investigated and prosecuted despite reports describing that many foreign workers are suffering abuse and exploitation.</w:t>
      </w:r>
    </w:p>
    <w:p w:rsidR="00000000" w:rsidRDefault="00000000">
      <w:pPr>
        <w:pStyle w:val="Heading1"/>
      </w:pPr>
      <w:bookmarkStart w:id="11" w:name="_Toc154066321"/>
      <w:r>
        <w:t>III.  MANIFESTATIONS OF TRAFFICKING</w:t>
      </w:r>
      <w:bookmarkEnd w:id="11"/>
    </w:p>
    <w:p w:rsidR="00000000" w:rsidRDefault="00000000">
      <w:r>
        <w:rPr>
          <w:color w:val="000000"/>
        </w:rPr>
        <w:t>52.</w:t>
      </w:r>
      <w:r>
        <w:rPr>
          <w:color w:val="000000"/>
        </w:rPr>
        <w:tab/>
        <w:t>Despite the legal and institutional framework described above, trafficking in persons exists in Bahrain, Oman and Qatar. In this section, the Special Rapporteur examines the process involved from the moment that the migrants contact a recruiting agency in the sending country to the moment they are in employment in the receiving country, and the elements which give rise to human trafficking in this context.</w:t>
      </w:r>
    </w:p>
    <w:p w:rsidR="00000000" w:rsidRDefault="00000000">
      <w:pPr>
        <w:pStyle w:val="Heading2"/>
        <w:ind w:left="2098" w:hanging="397"/>
        <w:jc w:val="left"/>
      </w:pPr>
      <w:bookmarkStart w:id="12" w:name="_Toc154066322"/>
      <w:r>
        <w:t xml:space="preserve">A.  Recruitment, transportation, transfer, harbouring </w:t>
      </w:r>
      <w:r>
        <w:br/>
        <w:t>or receipt of persons and “deceit</w:t>
      </w:r>
      <w:bookmarkEnd w:id="12"/>
      <w:r>
        <w:t>”</w:t>
      </w:r>
    </w:p>
    <w:p w:rsidR="00000000" w:rsidRDefault="00000000">
      <w:r>
        <w:t>53.</w:t>
      </w:r>
      <w:r>
        <w:tab/>
        <w:t xml:space="preserve">The recruitment process of foreign migrant workers is where the concerns begin. The way recruitment agencies function is monitored in the Bahrain Labour Law, and reflected in Oman’s Royal Decree 35/2003, (para. 2), and in Qatar’s </w:t>
      </w:r>
      <w:r>
        <w:rPr>
          <w:bCs/>
        </w:rPr>
        <w:t xml:space="preserve">Act No. 14 of 1992, which provide that </w:t>
      </w:r>
      <w:r>
        <w:t xml:space="preserve">all recruiting agencies must be registered and have a licence to operate, and that employers may, in principle, only enter into contracts with recruiting agencies that have such a licence. Qatar’s </w:t>
      </w:r>
      <w:r>
        <w:rPr>
          <w:bCs/>
        </w:rPr>
        <w:t xml:space="preserve">Act No. 14 moreover subjects </w:t>
      </w:r>
      <w:r>
        <w:t>recruiting agencies to official control. According to this Act, not only are those a</w:t>
      </w:r>
      <w:r>
        <w:rPr>
          <w:bCs/>
        </w:rPr>
        <w:t>gencies prohibited from carrying out activities other than obtaining foreign workers for employment for third parties, but it also subjects them to official inspections, including of the documentation and premises used. Failure to respect these provisions is punishable with imprisonment not exceeding one month and to a fine of not less than 1,000 and not more than 6,000 Qatari riyals. Agencies may also be closed or have their licences suspended. Despite these and similar provisions providing for a legal framework to ensure that recruitment is carried out fairly and in full respect of the rights of foreign migrant workers, the Special Rapporteur was nevertheless informed that in several cases, the process of recruitment is what initiates the whole cycle of abuse and vulnerability of workers. It is moreover at this stage that the deception takes place.</w:t>
      </w:r>
    </w:p>
    <w:p w:rsidR="00000000" w:rsidRDefault="00000000">
      <w:r>
        <w:t>54.</w:t>
      </w:r>
      <w:r>
        <w:tab/>
        <w:t xml:space="preserve">Lured by the prospect of well-paid work and a better life, migrant workers are willing to pay the hefty fees often charged by agencies in the sending and receiving countries to find work in the receiving States. In Oman for example recruiting agencies have been reported to charge workers a fee of around US$ 1,176 to initiate their process of employment in addition to the fee they would have already paid to the recruiting agency in their home country. In Qatar, </w:t>
      </w:r>
      <w:r>
        <w:rPr>
          <w:bCs/>
        </w:rPr>
        <w:t>Act No. 14 specifically forbids these agencies from charging migrants a fee for their placement and travel costs and specifies that the agency commission must be paid by the employer only.</w:t>
      </w:r>
    </w:p>
    <w:p w:rsidR="00000000" w:rsidRDefault="00000000">
      <w:r>
        <w:t>55.</w:t>
      </w:r>
      <w:r>
        <w:tab/>
        <w:t>Recruiting agencies in the sending States collaborate with recruiting agencies in the receiving States to find such employment. Once employers are interested in recruiting the workers, the recruiting agencies in the receiving States will arrange for the purchase of one-way tickets and process all applications and required documentation, including entry visas, residence and employment permits, at the expense of the employers who, once the contract is signed, become the workers’ sponsors and fully responsible for the residence of the workers in the receiving States. In some instances, no employer is identified, but the workers may still be sent to the receiving States with the assurance that the recruiting agencies will make the necessary arrangements until the workers are placed with an employer.</w:t>
      </w:r>
    </w:p>
    <w:p w:rsidR="00000000" w:rsidRDefault="00000000">
      <w:r>
        <w:t>56.</w:t>
      </w:r>
      <w:r>
        <w:tab/>
        <w:t>In some cases, the workers sign a first contract or are given information in the sending State of the kind of work and contract to expect. Once in the receiving country, however, migrants are given a second contract, either only in Arabic which they do not necessarily understand, or in some cases a translated copy is provided which does not necessarily correspond to the one signed in the sending State or with the conditions initially agreed upon. Article 20 of the Oman Labour Law further aggravates the situation by allowing for a possible scenario where a worker may be employed without being given a written contract. On the other hand, according to article 22, if the worker cannot understand Arabic, the contract must be authenticated by the relevant authority.</w:t>
      </w:r>
    </w:p>
    <w:p w:rsidR="00000000" w:rsidRDefault="00000000">
      <w:r>
        <w:t>57.</w:t>
      </w:r>
      <w:r>
        <w:tab/>
        <w:t>At the stage when the contract is presented to the workers, the migrants no longer really have the choice to refuse the offer, for various reasons they either depend on the sponsor to provide them with a return ticket and an exit visa, their passport might already have been confiscated by the agency or the sponsor, and in most cases they are already highly indebted to both recruiting agencies, or just simply do not have enough money to pay for their return home. They therefore prefer to accept to work for the money offered, even though it might be much less than what they were promised and that it might concern conditions different from</w:t>
      </w:r>
      <w:r>
        <w:rPr>
          <w:color w:val="000000"/>
        </w:rPr>
        <w:t xml:space="preserve"> </w:t>
      </w:r>
      <w:r>
        <w:t>those originally agreed upon. For all these reasons, they are often unwilling to report any deception, coercion or abusive treatment involved in the recruitment process.</w:t>
      </w:r>
    </w:p>
    <w:p w:rsidR="00000000" w:rsidRDefault="00000000">
      <w:r>
        <w:t>58.</w:t>
      </w:r>
      <w:r>
        <w:tab/>
        <w:t>Recruitment agencies have also been reported to physically, verbally and even sexually abuse migrant workers as a tactic to gain power over them and make them accept the employment and the conditions offered. Similar abuse is also reported in cases when the workers temporarily stay in lodging arranged for by the agencies or in the agencies’ premises, often in degrading and humiliating conditions, awaiting placement in employment. The whole process increases the vulnerability and helplessness of the migrants, forcing them to accept what is offered out of fear, inter alia</w:t>
      </w:r>
      <w:r>
        <w:rPr>
          <w:i/>
          <w:iCs/>
        </w:rPr>
        <w:t>,</w:t>
      </w:r>
      <w:r>
        <w:t xml:space="preserve"> of further retaliation.</w:t>
      </w:r>
    </w:p>
    <w:p w:rsidR="00000000" w:rsidRDefault="00000000">
      <w:r>
        <w:t>59.</w:t>
      </w:r>
      <w:r>
        <w:tab/>
        <w:t>Once a medical examination confirms that a worker is fit for employment, the residence permit is confirmed. The contract is then signed and the agencies’ responsibilities end there, without any obligation to follow up on the welfare of the worker during employment, unless either employer or employee decide to terminate the contract during the initial probationary period. The agencies are then expected to provide the worker with an alternative employment, which is not always the case. It will then depend on the sponsor’s goodwill as to how the workers are treated.</w:t>
      </w:r>
    </w:p>
    <w:p w:rsidR="00000000" w:rsidRDefault="00000000">
      <w:pPr>
        <w:pStyle w:val="Heading2"/>
      </w:pPr>
      <w:bookmarkStart w:id="13" w:name="_Toc154066323"/>
      <w:r>
        <w:t>B.  Sponsorship system and revictimization</w:t>
      </w:r>
      <w:bookmarkEnd w:id="13"/>
    </w:p>
    <w:p w:rsidR="00000000" w:rsidRDefault="00000000">
      <w:r>
        <w:t>60.</w:t>
      </w:r>
      <w:r>
        <w:tab/>
        <w:t xml:space="preserve">It is the sponsors who provide foreign workers with residence and work permits; it is the sponsors who may also decide to terminate such permits in accordance with the relevant laws. The vulnerability of foreign migrant workers is, in this way, further aggravated as they are placed in a position of extreme weakness </w:t>
      </w:r>
      <w:r>
        <w:rPr>
          <w:iCs/>
        </w:rPr>
        <w:t>vis-à-vis</w:t>
      </w:r>
      <w:r>
        <w:t xml:space="preserve"> their sponsors on whom they depend entirely for their employment and the continued legality of their residence. An example of the abusive conditions of work which may result because of the sponsorship system concerns the Najmah area in Alharaj, Qatar, where, according to information received, it is not uncommon that foreign workers have to pay their sponsor a sum of around 200 to 300 Qatari riyals a month to ensure that the sponsor does not cancel their permit to stay and work in Qatar.</w:t>
      </w:r>
      <w:r>
        <w:rPr>
          <w:rStyle w:val="FootnoteReference"/>
        </w:rPr>
        <w:footnoteReference w:id="20"/>
      </w:r>
      <w:r>
        <w:t xml:space="preserve"> This dependence adds to their reluctance to report deceptive recruitment and abusive working conditions. It has been reported that such working conditions, depending on the behaviour of the individual sponsor, as well as the fact that the monitoring of compliance with the law is not always systematic, lead to slavery-like conditions.</w:t>
      </w:r>
    </w:p>
    <w:p w:rsidR="00000000" w:rsidRDefault="00000000">
      <w:r>
        <w:br w:type="page"/>
        <w:t>61.</w:t>
      </w:r>
      <w:r>
        <w:tab/>
        <w:t>With this system, an employee cannot leave an abusive sponsor for another employer. The Qatari Labour Law and its recent amendments that did not abolish the sponsorship system, as well as Bahrain’s article 5 of the Ministerial Order No. 21 of 2001 and Oman’s article 24 of the Executive Regulation of Law No. 16 of 1995, provide that foreign workers may only change employer and therefore sponsor if their sponsor agrees, and under certain conditions. The fact that approval is needed from the very person the worker wishes to be released from, possibly due to abusive and exploitative conditions, is clearly problematic. Moreover, domestic workers in Bahrain for example, do not even have such a right, unless it is within the probationary period. There again, reports indicate that recruiting agents are unwilling to find alternative employment for them and subject the workers to further abuse to force them to stay with their initial employers. The Qatari Director for Human Rights informed the Special Rapporteur that according to subparagraph 2, paragraph 1, article 19 of the Alien Entry and Residence Act, the Minister for Internal Affairs may transfer sponsorship of a foreign worker to another employer, if he considers that the interests of the country warrant such a step. According to the said Director, The National Committee for Human Rights and the Human Rights Department of the Ministry of the Interior did take action in many cases in the implementation of this article.</w:t>
      </w:r>
    </w:p>
    <w:p w:rsidR="00000000" w:rsidRDefault="00000000">
      <w:r>
        <w:t>62.</w:t>
      </w:r>
      <w:r>
        <w:tab/>
        <w:t xml:space="preserve">In Bahrain, another element of the sponsorship system that adds to the unequal distribution of power between employers and migrant workers and therefore to their susceptibility to abuse and exploitation, is the right given to the sponsors to </w:t>
      </w:r>
      <w:r>
        <w:rPr>
          <w:rFonts w:eastAsia="SimSun"/>
          <w:lang w:eastAsia="zh-CN"/>
        </w:rPr>
        <w:t>blacklist workers who have run away from them. In this case, once deported, if they wish to return to Bahrain, appropriate certificates from the police and/or the Directorate of Immigration and Passports must be submitted to the concerned authorities at the Ministry of Labour and Social Affairs to obtain a work permit. They must also obtain a no o</w:t>
      </w:r>
      <w:r>
        <w:t xml:space="preserve">bjection letter </w:t>
      </w:r>
      <w:r>
        <w:rPr>
          <w:rFonts w:eastAsia="SimSun"/>
          <w:lang w:eastAsia="zh-CN"/>
        </w:rPr>
        <w:t>from their previous employer, or wait for six months.</w:t>
      </w:r>
      <w:r>
        <w:rPr>
          <w:rStyle w:val="FootnoteReference"/>
          <w:rFonts w:eastAsia="SimSun"/>
          <w:lang w:eastAsia="zh-CN"/>
        </w:rPr>
        <w:footnoteReference w:id="21"/>
      </w:r>
      <w:r>
        <w:rPr>
          <w:rFonts w:eastAsia="SimSun"/>
          <w:lang w:eastAsia="zh-CN"/>
        </w:rPr>
        <w:t xml:space="preserve"> Knowledge of such conditions and how any disaccord with their employer can affect their present employment or any hope of a better employment with another employer in the future forces the workers to endure their difficult working conditions until the termination of their contract, when they can hope to at least obtain payment for their work and a return ticket home. Similarly, i</w:t>
      </w:r>
      <w:r>
        <w:t>n Oman, article 20 of the Labour Law provides that if the employer may prove that the employee has not satisfied the conditions provided for in the contract, the employer may return the employee back to the place from which he/she was brought.</w:t>
      </w:r>
      <w:r>
        <w:rPr>
          <w:color w:val="1E3C3C"/>
        </w:rPr>
        <w:t xml:space="preserve"> </w:t>
      </w:r>
      <w:r>
        <w:t>Qatar, on the other hand, has provided an improvement to this system, whereby according to Law No. 2 of 1981, foreign workers whose contracts are terminated, again with the exception of domestic workers, are not obliged to leave Qatar.</w:t>
      </w:r>
    </w:p>
    <w:p w:rsidR="00000000" w:rsidRDefault="00000000">
      <w:r>
        <w:t>63.</w:t>
      </w:r>
      <w:r>
        <w:tab/>
        <w:t>The Special Rapporteur also learned during her visit that in all three countries</w:t>
      </w:r>
      <w:r>
        <w:rPr>
          <w:color w:val="000000"/>
        </w:rPr>
        <w:t xml:space="preserve"> </w:t>
      </w:r>
      <w:r>
        <w:t xml:space="preserve">there are distortions of the sponsorship system, which further enhance the workers’ vulnerability to exploitation. According to the so-called “free visa” system or “casual labour” system, companies are created with the main objective of hiring foreigners and exploiting their work. These supposed sponsors obtain work permits and visas for workers. Once these workers are in the </w:t>
      </w:r>
      <w:r>
        <w:br w:type="page"/>
        <w:t>country, the sponsors charge commissions to the workers for facilitating their entry, and then leave it to them to find work. The employment relationship in these cases is purely fictitious. Subsequently, the workers’ employment with their real employers is not protected by law, as they are not declared. In addition, if these workers are found working for a different sponsor than the one with whom they are legally tied, they are subject to arrest and deportation.</w:t>
      </w:r>
    </w:p>
    <w:p w:rsidR="00000000" w:rsidRDefault="00000000">
      <w:pPr>
        <w:rPr>
          <w:i/>
          <w:iCs/>
        </w:rPr>
      </w:pPr>
      <w:r>
        <w:t>64.</w:t>
      </w:r>
      <w:r>
        <w:tab/>
        <w:t>The Special Rapporteur strongly believes that this system is a main factor in fostering the demand for trafficking in Bahrain, Oman and Qatar, since it increases the possibility of migrant workers being abused and exploited for little money, despite the existence of legal protection and mechanisms to monitor working conditions. Because of this system, migrant workers are often reluctant to make formal complaints against their employers, in the fear, for example, of losing their permits and being sent home. In view of these concerns, the Special Rapporteur was interested to hear that the Bahrain Labour Law of 1976 is in the process of being amended with a view to abolishing the sponsorship system. The penalties for abuse of the sponsorship system have already been raised, and the Economic Development Board is currently discussing law reforms that would make it easier for employees to change employers. No such plans were made known to the Special Rapporteur concerning Oman and Qatar.</w:t>
      </w:r>
    </w:p>
    <w:p w:rsidR="00000000" w:rsidRDefault="00000000">
      <w:r>
        <w:t>65.</w:t>
      </w:r>
      <w:r>
        <w:tab/>
        <w:t>The Special Rapporteur was further informed that migrant workers fall victim to human rights violations at the hands of the authorities. One of the main reasons for this is that in all three countries, there is no system in place to differentiate and identify trafficked persons from illegal migrants. If migrant workers are found without legal papers - because these have been confiscated by the sponsor, or because sponsors do not promptly renew workers’ residence and work permits -</w:t>
      </w:r>
      <w:r>
        <w:rPr>
          <w:color w:val="000000"/>
        </w:rPr>
        <w:t xml:space="preserve"> </w:t>
      </w:r>
      <w:r>
        <w:t>they will most likely be sent to a detention centre and have criminal proceedings initiated against them. They are treated as illegal immigrants and no effort is made to identify them as trafficked persons who should accordingly be provided with assistance. An example of this took place in Oman in 2006, when authorities arrested a number of persons alleged to be illegal immigrants, without screening them to identify who amongst them were in reality trafficked persons. Similarly, if they are found working as</w:t>
      </w:r>
      <w:r>
        <w:rPr>
          <w:color w:val="000000"/>
        </w:rPr>
        <w:t xml:space="preserve"> </w:t>
      </w:r>
      <w:r>
        <w:t>prostitutes, which is illegal in all three countries, criminal proceedings are immediately initiated against them and they are detained pending imminent deportation. Again, no attempt is made at identifying them as trafficked persons. Runaway domestic servants face the same fate.</w:t>
      </w:r>
    </w:p>
    <w:p w:rsidR="00000000" w:rsidRDefault="00000000">
      <w:r>
        <w:t>66.</w:t>
      </w:r>
      <w:r>
        <w:tab/>
        <w:t>Mandatory health examinations as a precondition for obtaining a residence and work permit further reduces the chances that trafficked persons are identified as such, since positive testing for certain diseases lead to their automatic deportation. Moreover, deportation</w:t>
      </w:r>
      <w:r>
        <w:rPr>
          <w:color w:val="000000"/>
        </w:rPr>
        <w:t xml:space="preserve"> </w:t>
      </w:r>
      <w:r>
        <w:t>based on such tests violates their right to confidentiality. In Bahrain, however, if the disease may be treated then the worker is allowed to stay.</w:t>
      </w:r>
    </w:p>
    <w:p w:rsidR="00000000" w:rsidRDefault="00000000">
      <w:r>
        <w:t>67.</w:t>
      </w:r>
      <w:r>
        <w:tab/>
        <w:t>Other complaints generally concern the difficulties encountered by migrant workers in accessing the justice system and other official protection mechanisms, such as excessively long court proceedings, lack of interpretation assistance, difficult access to a lawyer, and not always being able to contact their respective embassies for assistance when in detention.</w:t>
      </w:r>
    </w:p>
    <w:p w:rsidR="00000000" w:rsidRDefault="00000000">
      <w:pPr>
        <w:rPr>
          <w:i/>
          <w:iCs/>
          <w:szCs w:val="24"/>
        </w:rPr>
      </w:pPr>
      <w:r>
        <w:br w:type="page"/>
        <w:t>68.</w:t>
      </w:r>
      <w:r>
        <w:tab/>
        <w:t>Discrimination has also been identified as a further element that fosters demand for certain forms of trafficking, making it more difficult for foreign workers to make a formal complaint against their employers for non-payment of wages or for sexual assault for example.</w:t>
      </w:r>
      <w:r>
        <w:rPr>
          <w:rStyle w:val="FootnoteReference"/>
        </w:rPr>
        <w:footnoteReference w:id="22"/>
      </w:r>
      <w:r>
        <w:t xml:space="preserve"> Foreign migrant workers are often seen by authorities and the general population as inferior citizens. Ingrained attitudes of discrimination and xenophobia against them, therefore, add to their revictimization. The Special Rapporteur was informed that migrants are subjected to humiliating and degrading treatment as well as physical and verbal abuse by authorities in police stations and detention centres, for no reason other than that of being migrants. Reports further describe how women are subjected to more violence both because of their status as women and because of their status as migrant workers.</w:t>
      </w:r>
      <w:r>
        <w:rPr>
          <w:rStyle w:val="FootnoteReference"/>
        </w:rPr>
        <w:footnoteReference w:id="23"/>
      </w:r>
      <w:bookmarkStart w:id="14" w:name="_Toc154066324"/>
    </w:p>
    <w:p w:rsidR="00000000" w:rsidRDefault="00000000">
      <w:pPr>
        <w:pStyle w:val="Heading2"/>
      </w:pPr>
      <w:r>
        <w:t>C.  Exploitation - vulnerable groups</w:t>
      </w:r>
      <w:bookmarkEnd w:id="14"/>
    </w:p>
    <w:p w:rsidR="00000000" w:rsidRDefault="00000000">
      <w:r>
        <w:t>69.</w:t>
      </w:r>
      <w:r>
        <w:tab/>
        <w:t xml:space="preserve">The main groups vulnerable to abuse and exploitation are domestic workers - mainly women and girls; other workers - mainly men, including minors, in the construction industry and in farm work; and children in the camel race industry in Oman and </w:t>
      </w:r>
      <w:bookmarkStart w:id="15" w:name="_Toc154066325"/>
      <w:r>
        <w:t>Qatar.</w:t>
      </w:r>
    </w:p>
    <w:p w:rsidR="00000000" w:rsidRDefault="00000000">
      <w:pPr>
        <w:pStyle w:val="Heading2"/>
      </w:pPr>
      <w:r>
        <w:t>1.  Female domestic workers</w:t>
      </w:r>
      <w:bookmarkEnd w:id="15"/>
    </w:p>
    <w:p w:rsidR="00000000" w:rsidRDefault="00000000">
      <w:r>
        <w:t>70.</w:t>
      </w:r>
      <w:r>
        <w:tab/>
        <w:t>Details of exploitation and abuse of domestic workers were repeatedly corroborated during the Special Rapporteur’s visit. Such treatment includes excessive working hours of up to 18 hours a day; being on call at night to tend to babies, for example; no leave; no payment for overtime; very little food and drink or merely leftovers; being locked up and otherwise having very restricted freedom of movement; no right to make phone calls and to have contact with the outside world; humiliating treatment such as unfair punishments; poor living conditions such as inadequate sleeping quarters not respecting the worker’s intimacy; non-payment and reduction of wages as a form of punishment; denial of access to health services; confiscation of passports and other identity documents; and physical, psychological and verbal abuse, including of a sexual nature.</w:t>
      </w:r>
    </w:p>
    <w:p w:rsidR="00000000" w:rsidRDefault="00000000">
      <w:r>
        <w:t>71.</w:t>
      </w:r>
      <w:r>
        <w:tab/>
        <w:t>This group, whose plight is hidden behind the guarded walls of their employers’ homes, is undoubtedly the category most susceptible to abuse and exploitation because over and above the debilitating effects of the sponsorship system and other reasons for revictimization, their vulnerability is exacerbated by the weak legal framework surrounding their working conditions, which reduces the official capacity to provide for their protection. This is because in Bahrain, Oman and Qatar, domestic workers are excluded from the purview of the labour laws and must rely solely on the provisions of the private contracts they sign with their employers for protection.</w:t>
      </w:r>
    </w:p>
    <w:p w:rsidR="00000000" w:rsidRDefault="00000000">
      <w:r>
        <w:br w:type="page"/>
        <w:t>72.</w:t>
      </w:r>
      <w:r>
        <w:tab/>
        <w:t xml:space="preserve">According to the relevant laws in the three countries, contracts must contain information, </w:t>
      </w:r>
      <w:r>
        <w:rPr>
          <w:iCs/>
        </w:rPr>
        <w:t>inter alia,</w:t>
      </w:r>
      <w:r>
        <w:t xml:space="preserve"> concerning the duration of the contract and amount to be paid in wages. Contracts must allow for an initial probationary period during which both worker and employer may terminate the contract; it must also provide for leave. The contract must also place an obligation on the employer to cover medical services, provide food and housing, as well as a return ticket at the end of the contract. The contract must be written in Arabic and a translation may also be made in a language understood by the worker. </w:t>
      </w:r>
      <w:r>
        <w:rPr>
          <w:bCs/>
        </w:rPr>
        <w:t xml:space="preserve">In Qatar, the contract must provide an additional clause giving </w:t>
      </w:r>
      <w:r>
        <w:t xml:space="preserve">the employee the right to terminate the contract without providing one month’s notice, as is generally required, in the event that the worker can prove that he/she has been harassed by the employer or that the employer has broken essential obligations stipulated by law. Any dispute regarding the employment of domestic workers will be mainly regulated by civil law. In Oman, </w:t>
      </w:r>
      <w:r>
        <w:rPr>
          <w:bCs/>
        </w:rPr>
        <w:t>the competent authority will first attempt to arrive at an amicable solution, before referring the case to court if this does not succeed. A</w:t>
      </w:r>
      <w:r>
        <w:t>rticle 3 of the Bahrain Labour Law of 1976 which regulates the authorization by the Ministry for Labour and Social Affairs for work permits, their duration, renewal procedures, prescribed fees, cases for suspending and renewal of permits, withdrawal of permits before expiry date and cases of exemption from the conditions of obtaining such permits, exceptionally also applies to domestic servants.</w:t>
      </w:r>
    </w:p>
    <w:p w:rsidR="00000000" w:rsidRDefault="00000000">
      <w:r>
        <w:t>73.</w:t>
      </w:r>
      <w:r>
        <w:tab/>
        <w:t>The contract does, therefore, provide a minimum framework of protection. There is, however, no system in place to monitor whether the terms of the contract are being respected. In fact, r</w:t>
      </w:r>
      <w:r>
        <w:rPr>
          <w:bCs/>
        </w:rPr>
        <w:t>eports indicate that contracts are often not respected by the employers, but that abuse goes unnoticed as it happens behind closed doors. A</w:t>
      </w:r>
      <w:r>
        <w:t>uthorities are reluctant to interfere in the contractual relationship between domestic workers and their employers as this relationship is viewed as a private family affair; any interference would be seen as impinging on the family’s right to privacy. This lack of protection, however, impinges on the rights and freedoms of the workers.</w:t>
      </w:r>
    </w:p>
    <w:p w:rsidR="00000000" w:rsidRDefault="00000000">
      <w:pPr>
        <w:rPr>
          <w:bCs/>
        </w:rPr>
      </w:pPr>
      <w:r>
        <w:t>74.</w:t>
      </w:r>
      <w:r>
        <w:tab/>
        <w:t xml:space="preserve">Therefore, because they are often already in a vulnerable position because of the sponsorship system, these workers are </w:t>
      </w:r>
      <w:r>
        <w:rPr>
          <w:bCs/>
        </w:rPr>
        <w:t xml:space="preserve">scared </w:t>
      </w:r>
      <w:r>
        <w:t>in many cases</w:t>
      </w:r>
      <w:r>
        <w:rPr>
          <w:bCs/>
        </w:rPr>
        <w:t xml:space="preserve"> to make a formal complaint against their employers. They are furthermore incapable of doing so because they most likely do not have the money to pay for a lawyer or the court fees. Moreover, they know that should they run away, they might risk being detained and deported, and hence neither receive their wages, nor be provided with a return ticket home. </w:t>
      </w:r>
      <w:r>
        <w:t>They often therefore choose to stay with their employers despite the conditions, or else find other employment illegally or turn to illegal means, including prostitution, as a means of survival.</w:t>
      </w:r>
      <w:r>
        <w:rPr>
          <w:rStyle w:val="FootnoteReference"/>
        </w:rPr>
        <w:footnoteReference w:id="24"/>
      </w:r>
    </w:p>
    <w:p w:rsidR="00000000" w:rsidRDefault="00000000">
      <w:r>
        <w:t>75.</w:t>
      </w:r>
      <w:r>
        <w:tab/>
        <w:t>In view of these concerns, the Special Rapporteur welcomes the information that amendments to the Bahrain Labour Law of 1976 will include the category of domestic servants within its purview of protection. Similarly, she welcomes the fact that the Qatar National Coordinator on Trafficking is currently analysing the situation with a view to introducing a law specificall</w:t>
      </w:r>
      <w:bookmarkStart w:id="16" w:name="_Toc154066326"/>
      <w:r>
        <w:t>y concerning domestic workers.</w:t>
      </w:r>
    </w:p>
    <w:p w:rsidR="00000000" w:rsidRDefault="00000000">
      <w:pPr>
        <w:pStyle w:val="Heading2"/>
      </w:pPr>
      <w:r>
        <w:t>2.  Women in the sex industry</w:t>
      </w:r>
      <w:bookmarkEnd w:id="16"/>
    </w:p>
    <w:p w:rsidR="00000000" w:rsidRDefault="00000000">
      <w:r>
        <w:rPr>
          <w:bCs/>
        </w:rPr>
        <w:t>76.</w:t>
      </w:r>
      <w:r>
        <w:rPr>
          <w:bCs/>
        </w:rPr>
        <w:tab/>
        <w:t>The Special Rapporteur was informed that Bahrain, Oman and Qatar are also destination countries for trafficking in women, who are brought into these countries with entertainment or “artist/band” visas or in tourist groups, and promised work as waitresses or entertainers in bars and restaurants, for example, and then forced into prostitution. In some cases, women are brought in with normal working visas to work as domestic workers, and are then forced</w:t>
      </w:r>
      <w:r>
        <w:rPr>
          <w:bCs/>
          <w:iCs/>
        </w:rPr>
        <w:t xml:space="preserve"> into</w:t>
      </w:r>
      <w:r>
        <w:rPr>
          <w:bCs/>
          <w:i/>
          <w:color w:val="FF0000"/>
        </w:rPr>
        <w:t xml:space="preserve"> </w:t>
      </w:r>
      <w:r>
        <w:rPr>
          <w:bCs/>
        </w:rPr>
        <w:t xml:space="preserve">prostitution and other forms of sexual exploitation. In Oman and Qatar, the Special Rapporteur was also informed of some cases of women forced or deceived into marriage for purposes of trafficking for sexual exploitation. </w:t>
      </w:r>
      <w:r>
        <w:t>For example, young Indian Muslim women were tricked into temporary marriages and then sold as servants or forced into prostitution in Qatar.</w:t>
      </w:r>
    </w:p>
    <w:p w:rsidR="00000000" w:rsidRDefault="00000000">
      <w:pPr>
        <w:rPr>
          <w:bCs/>
        </w:rPr>
      </w:pPr>
      <w:r>
        <w:rPr>
          <w:bCs/>
        </w:rPr>
        <w:t>77.</w:t>
      </w:r>
      <w:r>
        <w:rPr>
          <w:bCs/>
        </w:rPr>
        <w:tab/>
        <w:t>In Bahrain, l</w:t>
      </w:r>
      <w:r>
        <w:t xml:space="preserve">egislation to establish measures to combat sexual exploitation of women is currently under discussion. In Oman, with a view to better monitoring the entrance of foreigners into the country, pursuant to reports of abuses of tourist visas, the Law on Residency of Aliens has banned tourist visas, and all foreigners entering Oman must now register with the authorities within seven days of their arrival. Moreover, hotels must provide the relevant authorities with daily reports with the names of all foreigners residing in their establishments. Furthermore, </w:t>
      </w:r>
      <w:r>
        <w:rPr>
          <w:bCs/>
        </w:rPr>
        <w:t>Oman has established s</w:t>
      </w:r>
      <w:r>
        <w:t>pecial visa regimes applicable to certain countries to thwart the international sex trade.</w:t>
      </w:r>
    </w:p>
    <w:p w:rsidR="00000000" w:rsidRDefault="00000000">
      <w:r>
        <w:t>78.</w:t>
      </w:r>
      <w:r>
        <w:tab/>
        <w:t>Pending the adoption of legislation and other measures to address the vulnerability of these workers in the same way as that of other categories of foreign workers, sex workers are often subjected to various forms of abuse and exploitation at the hands of their sponsors. The Special Rapporteur was informed that the passports and other legal documents of these women are systematically confiscated. Their freedom of movement is also severely restricted and when allowed to leave work or housing premises, they are often accompanied. Moreover, apart from the inhuman and degrading treatment they are made to undergo when forced into prostitution, these women also suffer physical, psychological and verbal abuse at the hands of their sponsors. The Special Rapporteur also received reports indicating that the women are frequently moved from one place to another, or in some cases from one Gulf country to another. In Qatar, it is reported that many of the women who have been forced into prostitution were brought in through Saudi Arab</w:t>
      </w:r>
      <w:bookmarkStart w:id="17" w:name="_Toc154066327"/>
      <w:r>
        <w:t>ia or the United Arab Emirates.</w:t>
      </w:r>
    </w:p>
    <w:p w:rsidR="00000000" w:rsidRDefault="00000000">
      <w:pPr>
        <w:pStyle w:val="Heading2"/>
      </w:pPr>
      <w:r>
        <w:t>3.  Child camel jockeys and children in other occupations</w:t>
      </w:r>
      <w:bookmarkEnd w:id="17"/>
    </w:p>
    <w:p w:rsidR="00000000" w:rsidRDefault="00000000">
      <w:r>
        <w:t>79.</w:t>
      </w:r>
      <w:r>
        <w:tab/>
        <w:t>Having reportedly been a major destination country for trafficking of children for the purposes of being used as camel jockeys, the Special Rapporteur strongly welcomes the legislative ban on camel jockeys recently passed in Qatar. She personally attended a camel race in Doha and watched how robots are now being used instead of children in camel racing. In Oman, she welcomes the prohibition of using camel jockeys under the age of 15, and takes note of the fact that Oman does not rely on foreign children to be used as camel jockeys. The Special Rapporteur was informed that camel racing is not practised in Bahrain.</w:t>
      </w:r>
    </w:p>
    <w:p w:rsidR="00000000" w:rsidRDefault="00000000">
      <w:r>
        <w:br w:type="page"/>
        <w:t>80.</w:t>
      </w:r>
      <w:r>
        <w:tab/>
        <w:t>The Special Rapporteur was moreover informed that cases of trafficked children are found in all categories of vulnerable groups as defined in this report. This is reportedly facilitated by the falsification of children’s documents in order to obtain their visas and work permits. She also received specific information of cases of trafficked children in the informal sector, in agriculture, and in Oman also in fishing. Moreover, she received information on how legislation preventing the hiring of housemaids below a certain age is regularly fl</w:t>
      </w:r>
      <w:bookmarkStart w:id="18" w:name="_Toc154066328"/>
      <w:r>
        <w:t>outed in these three countries.</w:t>
      </w:r>
    </w:p>
    <w:p w:rsidR="00000000" w:rsidRDefault="00000000">
      <w:pPr>
        <w:pStyle w:val="Heading2"/>
      </w:pPr>
      <w:r>
        <w:t>4.  Other workers</w:t>
      </w:r>
      <w:bookmarkEnd w:id="18"/>
    </w:p>
    <w:p w:rsidR="00000000" w:rsidRDefault="00000000">
      <w:pPr>
        <w:rPr>
          <w:i/>
          <w:iCs/>
          <w:szCs w:val="24"/>
        </w:rPr>
      </w:pPr>
      <w:r>
        <w:t>81.</w:t>
      </w:r>
      <w:r>
        <w:tab/>
        <w:t>Information concerning men and women working in the private sector, particularly in factories, construction, farms and other industries, includes</w:t>
      </w:r>
      <w:r>
        <w:rPr>
          <w:bCs/>
        </w:rPr>
        <w:t xml:space="preserve"> </w:t>
      </w:r>
      <w:r>
        <w:t>confiscation of identity documents, excessive working hours, dangerous working conditions, difficult living conditions not respecting minimum standards of safety and sanitation, no midday breaks or weekly rest and annual leave, limited freedom of movement, non-payment of wages or reduction in wages as a punishment. The workers are sometimes made to pay for their own medical services for example, and complained of lack of access to health services. Furthermore, despite the existence of a legal framework which is stronger than that existing for domestic workers, those migrant workers are victims of abuse and exploitation, mainly again as a result of the vulnerable status engendered by the sponsorship system and a lack of strict and regular monitoring mechanisms of employment regulati</w:t>
      </w:r>
      <w:bookmarkStart w:id="19" w:name="_Toc154066329"/>
      <w:r>
        <w:t>ons and conditions.</w:t>
      </w:r>
    </w:p>
    <w:p w:rsidR="00000000" w:rsidRDefault="00000000">
      <w:pPr>
        <w:pStyle w:val="Heading2"/>
      </w:pPr>
      <w:r>
        <w:t>D.  Alternative measures</w:t>
      </w:r>
      <w:bookmarkEnd w:id="19"/>
    </w:p>
    <w:p w:rsidR="00000000" w:rsidRDefault="00000000">
      <w:r>
        <w:t>82.</w:t>
      </w:r>
      <w:r>
        <w:tab/>
        <w:t>Discussions with the various embassies of the major sending countries and members of the civil society confirmed the existence of trafficking in persons in the three countries and the need for certain legal amendments, including a more robust monitoring of the implementation and enforcement of relevant laws and measures.</w:t>
      </w:r>
    </w:p>
    <w:p w:rsidR="00000000" w:rsidRDefault="00000000">
      <w:pPr>
        <w:pStyle w:val="Heading2"/>
      </w:pPr>
      <w:r>
        <w:t>1.  Sending countries</w:t>
      </w:r>
    </w:p>
    <w:p w:rsidR="00000000" w:rsidRDefault="00000000">
      <w:r>
        <w:t>83.</w:t>
      </w:r>
      <w:r>
        <w:tab/>
        <w:t>Foreign embassies, with varying degrees, attempt to fill in the host Governments’ preventive and protective lacunae through the establishment of various mechanisms of their own. These range from educational and awareness-raising campaigns both in their territories before their citizens migrate as well as</w:t>
      </w:r>
      <w:r>
        <w:rPr>
          <w:bCs/>
        </w:rPr>
        <w:t xml:space="preserve"> </w:t>
      </w:r>
      <w:r>
        <w:t>in the receiving countries (e.g. Bangladesh and Pakistan), inspections of worksites (e.g. Bangladesh, Egypt, and the Philippines), vetting of labour contracts (e.g. Bangladesh, Egypt, and Pakistan), setting minimum wages for their citizens (e.g. India, Indonesia, and</w:t>
      </w:r>
      <w:r>
        <w:rPr>
          <w:bCs/>
        </w:rPr>
        <w:t xml:space="preserve"> </w:t>
      </w:r>
      <w:r>
        <w:t>the Philippines), blacklisting recruiting agencies in receiving countries (e.g. India, and</w:t>
      </w:r>
      <w:r>
        <w:rPr>
          <w:bCs/>
        </w:rPr>
        <w:t xml:space="preserve"> </w:t>
      </w:r>
      <w:r>
        <w:t>the Philippines), advocating ratification of international instruments (e.g. Bangladesh), negotiating and mediating with sponsors and authorities (e.g. Bangladesh, Indonesia, Sri Lanka and the Philippines), visiting detention centres (e.g. Bangladesh, Egypt, India, Nepal, and Pakistan), providing medical, psychological, legal and financial assistance (e.g. Bangladesh and Egypt), and establishing shelters for victims of abuse and exploitation (e.g. Bangladesh, India, Indonesia, Sri Lanka and the Philippines).</w:t>
      </w:r>
    </w:p>
    <w:p w:rsidR="00000000" w:rsidRDefault="00000000">
      <w:r>
        <w:t>84.</w:t>
      </w:r>
      <w:r>
        <w:tab/>
        <w:t xml:space="preserve">Some countries have also imposed bans on women, or women of a certain age, from travelling to the receiving countries pursuant to numerous cases and reports of abuse and </w:t>
      </w:r>
      <w:r>
        <w:br w:type="page"/>
        <w:t>exploitation, particularly of a sexual nature (e.g. Bangladesh, India and Pakistan). The Special Rapporteur is concerned about these bans as they violate women’s freedom of movement, and ultimately force women to migrate illegally, thus rendering them more vulnerable to abuse and exploitation, which in turn fosters the demand for trafficking.</w:t>
      </w:r>
    </w:p>
    <w:p w:rsidR="00000000" w:rsidRDefault="00000000">
      <w:r>
        <w:t>85.</w:t>
      </w:r>
      <w:r>
        <w:tab/>
        <w:t>The Special Rapporteur is concerned that some countries whose nationals have migrated in large numbers do not have a fully-fledged consular presence in the receiving country (e.g. Sri Lanka only has an honorary consul in Bahrain; Ethiopia has no presence at all in Bahrain and Qatar, and Indonesia is not represented in Oman).</w:t>
      </w:r>
    </w:p>
    <w:p w:rsidR="00000000" w:rsidRDefault="00000000">
      <w:r>
        <w:t>86.</w:t>
      </w:r>
      <w:r>
        <w:tab/>
        <w:t>Whilst commending and encouraging the sending countries for their activities, the Special Rapporteur wishes to reiterate her support for comprehensive bilateral agreements between sending and receiving countries. Bilateral agreements are desirable for the ends they augur but also for the process they trigger in reassessing and discussing the problems at hand by both parties. Bilateral agreements may play a significant role in, for example, expressing clear commitments to monitor the work of recruiting agencies in the home and host country as well as informing migrant workers about their rights. She therefore welcomes information that Oman, for example, is currently in the process of finalizing a bilateral agreement with India.</w:t>
      </w:r>
    </w:p>
    <w:p w:rsidR="00000000" w:rsidRDefault="00000000">
      <w:pPr>
        <w:pStyle w:val="Heading2"/>
      </w:pPr>
      <w:bookmarkStart w:id="20" w:name="_Toc154066330"/>
      <w:r>
        <w:t>2.  Civil society</w:t>
      </w:r>
      <w:bookmarkEnd w:id="20"/>
    </w:p>
    <w:p w:rsidR="00000000" w:rsidRDefault="00000000">
      <w:r>
        <w:rPr>
          <w:bCs/>
        </w:rPr>
        <w:t>87.</w:t>
      </w:r>
      <w:r>
        <w:rPr>
          <w:bCs/>
        </w:rPr>
        <w:tab/>
        <w:t>The Special Rapporteur commends the work of all members of civil society she met with in Bahrain, Oman and Qatar. She particularly encourages the Migrants Workers Protection Society, an NGO in Bahrain, for its extremely important work in running a shelter for domestic abused female workers. Since April 2005, this shelter has assisted women from Bangladesh, Eritrea, Ethiopia, India, Indonesia, and Sri Lanka.</w:t>
      </w:r>
    </w:p>
    <w:p w:rsidR="00000000" w:rsidRDefault="00000000">
      <w:pPr>
        <w:rPr>
          <w:szCs w:val="24"/>
        </w:rPr>
      </w:pPr>
      <w:r>
        <w:t>88.</w:t>
      </w:r>
      <w:r>
        <w:tab/>
        <w:t>The Special Rapporteur stresses that civil society has a fundamental role in assisting the authorities in their efforts towards combating human trafficking and promoting and protecting the right of trafficked persons. It may also play a significant role in putting the necessary pressure on authorities</w:t>
      </w:r>
      <w:r>
        <w:rPr>
          <w:bCs/>
        </w:rPr>
        <w:t xml:space="preserve"> </w:t>
      </w:r>
      <w:r>
        <w:t>to fulfil their international obligations to act with due diligence in this regard. She therefore encourages</w:t>
      </w:r>
      <w:r>
        <w:rPr>
          <w:bCs/>
        </w:rPr>
        <w:t xml:space="preserve"> </w:t>
      </w:r>
      <w:r>
        <w:t>the Governments of Bahrain, Oman and Qatar</w:t>
      </w:r>
      <w:r>
        <w:rPr>
          <w:bCs/>
        </w:rPr>
        <w:t xml:space="preserve"> </w:t>
      </w:r>
      <w:r>
        <w:t>to foster</w:t>
      </w:r>
      <w:r>
        <w:rPr>
          <w:bCs/>
        </w:rPr>
        <w:t xml:space="preserve"> </w:t>
      </w:r>
      <w:r>
        <w:t>an environment conducive to an active civil society, and to this end invites the respective Governments to support initiatives taken by the civil society in combating trafficking in persons by, inter alia, entering into consultations with the organizations concerned as relevant.</w:t>
      </w:r>
      <w:bookmarkStart w:id="21" w:name="_Toc154066331"/>
    </w:p>
    <w:p w:rsidR="00000000" w:rsidRDefault="00000000">
      <w:pPr>
        <w:pStyle w:val="Heading1"/>
      </w:pPr>
      <w:r>
        <w:t>IV.  CONCLUSIONS</w:t>
      </w:r>
      <w:bookmarkEnd w:id="21"/>
    </w:p>
    <w:p w:rsidR="00000000" w:rsidRDefault="00000000">
      <w:pPr>
        <w:rPr>
          <w:b/>
          <w:bCs/>
        </w:rPr>
      </w:pPr>
      <w:r>
        <w:t>89.</w:t>
      </w:r>
      <w:r>
        <w:tab/>
      </w:r>
      <w:r>
        <w:rPr>
          <w:b/>
          <w:bCs/>
        </w:rPr>
        <w:t>Bahrain, Oman and Qatar have, with varying degrees of commitment, recognized the existence of trafficking in persons within their borders. Various laws and measures to combat trafficking in persons and to provide for the protection of foreign migrant workers are in place and more are in the process of being elaborated. The respective Governments are, however, still falling short of fulfilling their international obligations to act with due diligence to prevent trafficking, prosecuting and punishing traffickers and to provide trafficked persons with the appropriate remedies and assistance.</w:t>
      </w:r>
    </w:p>
    <w:p w:rsidR="00000000" w:rsidRDefault="00000000">
      <w:pPr>
        <w:rPr>
          <w:b/>
          <w:bCs/>
        </w:rPr>
      </w:pPr>
      <w:r>
        <w:rPr>
          <w:b/>
          <w:bCs/>
        </w:rPr>
        <w:br w:type="page"/>
      </w:r>
      <w:r>
        <w:t>90.</w:t>
      </w:r>
      <w:r>
        <w:tab/>
      </w:r>
      <w:r>
        <w:rPr>
          <w:b/>
          <w:bCs/>
        </w:rPr>
        <w:t>Bahrain, Oman and Qatar are countries of destination for trafficking in persons for forced labour and sexual exploitation. The main victims are women and girls recruited as domestic workers and entertainers. Other workers, in particular men in the construction industry and in farm work, are also affected by this phenomenon albeit to a lesser extent. Recent legislation in Oman and Qatar concerning child camel jockeys has been effective in addressing the exploitation of children for this purpose. Close monitoring to completely bring an end to the trafficking of children for this purpose is nevertheless imperative.</w:t>
      </w:r>
    </w:p>
    <w:p w:rsidR="00000000" w:rsidRDefault="00000000">
      <w:pPr>
        <w:rPr>
          <w:b/>
          <w:bCs/>
        </w:rPr>
      </w:pPr>
      <w:r>
        <w:t>91.</w:t>
      </w:r>
      <w:r>
        <w:tab/>
      </w:r>
      <w:r>
        <w:rPr>
          <w:b/>
          <w:bCs/>
        </w:rPr>
        <w:t>The Special Rapporteur is particularly concerned with the sponsorship system and the climate of abuse and exploitation that this arrangement frequently engenders for migrant workers. Of further concern is the non-applicability of the respective Labour Codes and related laws to domestic workers. Access to justice for foreign migrant workers is inadequate since, for example, legal proceedings are extraordinarily lengthy and workers often have limited access to counsel and interpretation assistance.</w:t>
      </w:r>
    </w:p>
    <w:p w:rsidR="00000000" w:rsidRDefault="00000000">
      <w:pPr>
        <w:rPr>
          <w:b/>
          <w:bCs/>
        </w:rPr>
      </w:pPr>
      <w:r>
        <w:t>92.</w:t>
      </w:r>
      <w:r>
        <w:tab/>
      </w:r>
      <w:r>
        <w:rPr>
          <w:b/>
          <w:bCs/>
        </w:rPr>
        <w:t>More efforts are needed to clarify the concept of trafficking in persons to public officials with a view to ensuring that the current legislation is enforced. Sensitization of the</w:t>
      </w:r>
      <w:r>
        <w:rPr>
          <w:rFonts w:eastAsia="SimSun"/>
          <w:b/>
          <w:bCs/>
          <w:lang w:eastAsia="zh-CN"/>
        </w:rPr>
        <w:t xml:space="preserve"> general public is also essential in order to eradicate discriminatory attitudes and practices towards migrant workers</w:t>
      </w:r>
      <w:r>
        <w:rPr>
          <w:b/>
          <w:bCs/>
        </w:rPr>
        <w:t>.</w:t>
      </w:r>
    </w:p>
    <w:p w:rsidR="00000000" w:rsidRDefault="00000000">
      <w:pPr>
        <w:rPr>
          <w:b/>
          <w:bCs/>
        </w:rPr>
      </w:pPr>
      <w:r>
        <w:t>93.</w:t>
      </w:r>
      <w:r>
        <w:tab/>
      </w:r>
      <w:r>
        <w:rPr>
          <w:b/>
          <w:bCs/>
        </w:rPr>
        <w:t xml:space="preserve">The Special Rapporteur supports the adoption of the </w:t>
      </w:r>
      <w:r>
        <w:rPr>
          <w:b/>
          <w:bCs/>
          <w:iCs/>
        </w:rPr>
        <w:t xml:space="preserve">Gulf Cooperation Council </w:t>
      </w:r>
      <w:r>
        <w:rPr>
          <w:b/>
          <w:bCs/>
        </w:rPr>
        <w:t>Guiding Principles on combating trafficking and the stronger regional cooperation on trafficking in persons that this will encourage.</w:t>
      </w:r>
    </w:p>
    <w:p w:rsidR="00000000" w:rsidRDefault="00000000">
      <w:r>
        <w:t>94.</w:t>
      </w:r>
      <w:r>
        <w:tab/>
      </w:r>
      <w:r>
        <w:rPr>
          <w:b/>
          <w:bCs/>
        </w:rPr>
        <w:t>Finally, it is imperative that anti-trafficking and labour laws are respected and implemented and that decisions regarding violations of these laws are enforced.</w:t>
      </w:r>
    </w:p>
    <w:p w:rsidR="00000000" w:rsidRDefault="00000000">
      <w:pPr>
        <w:pStyle w:val="Heading1"/>
      </w:pPr>
      <w:bookmarkStart w:id="22" w:name="_Toc154066332"/>
      <w:r>
        <w:t>V.  RECOMMENDATIONS</w:t>
      </w:r>
      <w:bookmarkEnd w:id="22"/>
    </w:p>
    <w:p w:rsidR="00000000" w:rsidRDefault="00000000">
      <w:r>
        <w:t>95.</w:t>
      </w:r>
      <w:r>
        <w:tab/>
      </w:r>
      <w:r>
        <w:rPr>
          <w:b/>
          <w:bCs/>
        </w:rPr>
        <w:t>The Special Rapporteur recommends that:</w:t>
      </w:r>
    </w:p>
    <w:p w:rsidR="00000000" w:rsidRDefault="00000000">
      <w:pPr>
        <w:pStyle w:val="Heading2"/>
      </w:pPr>
      <w:r>
        <w:t>A.  Prevention</w:t>
      </w:r>
    </w:p>
    <w:p w:rsidR="00000000" w:rsidRDefault="00000000">
      <w:pPr>
        <w:rPr>
          <w:b/>
          <w:bCs/>
        </w:rPr>
      </w:pPr>
      <w:r>
        <w:rPr>
          <w:b/>
          <w:bCs/>
        </w:rPr>
        <w:tab/>
        <w:t>(a)</w:t>
      </w:r>
      <w:r>
        <w:rPr>
          <w:b/>
          <w:bCs/>
        </w:rPr>
        <w:tab/>
        <w:t>The International Convention on the Protection of the Rights of All Migrant Workers and Members of Their Families</w:t>
      </w:r>
      <w:r>
        <w:t xml:space="preserve"> </w:t>
      </w:r>
      <w:r>
        <w:rPr>
          <w:b/>
          <w:bCs/>
        </w:rPr>
        <w:t>and relevant ILO Conventions including Convention No. 97 (1949) on Migration for Employment, and No. 143 (1975) concerning Migrations in Abusive Conditions and the Promotion of Equality of Opportunity and Treatment of Migrant Workers be ratified. Qatar should seriously consider ratifying the Palermo Protocol;</w:t>
      </w:r>
    </w:p>
    <w:p w:rsidR="00000000" w:rsidRDefault="00000000">
      <w:pPr>
        <w:pStyle w:val="BodyText"/>
      </w:pPr>
      <w:r>
        <w:tab/>
        <w:t>(b)</w:t>
      </w:r>
      <w:r>
        <w:tab/>
        <w:t>Domestic legislation be meticulously brought in line with the Palermo Protocol and all elements in the trafficking definition be thoroughly reflected;</w:t>
      </w:r>
    </w:p>
    <w:p w:rsidR="00000000" w:rsidRDefault="00000000">
      <w:pPr>
        <w:rPr>
          <w:b/>
          <w:bCs/>
        </w:rPr>
      </w:pPr>
      <w:r>
        <w:rPr>
          <w:b/>
          <w:bCs/>
        </w:rPr>
        <w:tab/>
        <w:t>(c)</w:t>
      </w:r>
      <w:r>
        <w:rPr>
          <w:b/>
          <w:bCs/>
        </w:rPr>
        <w:tab/>
        <w:t>Labour laws be amended with a view to making them also applicable to domestic workers;</w:t>
      </w:r>
    </w:p>
    <w:p w:rsidR="00000000" w:rsidRDefault="00000000">
      <w:pPr>
        <w:rPr>
          <w:b/>
          <w:bCs/>
        </w:rPr>
      </w:pPr>
      <w:r>
        <w:rPr>
          <w:b/>
          <w:bCs/>
        </w:rPr>
        <w:br w:type="page"/>
      </w:r>
      <w:r>
        <w:rPr>
          <w:b/>
          <w:bCs/>
        </w:rPr>
        <w:tab/>
        <w:t>(d)</w:t>
      </w:r>
      <w:r>
        <w:rPr>
          <w:b/>
          <w:bCs/>
        </w:rPr>
        <w:tab/>
        <w:t>The sponsorship system be abolished and migrant workers allowed to more easily change their employers;</w:t>
      </w:r>
    </w:p>
    <w:p w:rsidR="00000000" w:rsidRDefault="00000000">
      <w:pPr>
        <w:rPr>
          <w:b/>
          <w:bCs/>
        </w:rPr>
      </w:pPr>
      <w:r>
        <w:rPr>
          <w:b/>
          <w:bCs/>
        </w:rPr>
        <w:tab/>
        <w:t>(e)</w:t>
      </w:r>
      <w:r>
        <w:rPr>
          <w:b/>
          <w:bCs/>
        </w:rPr>
        <w:tab/>
        <w:t>The relevant authorities inspect, in the presence of employers and workers, all migrant workers’ contracts, including domestic workers and women who are brought in as entertainers, with a view to ensuring that conditions therein are not conducive to abuse and to ascertain that workers understand and willingly accept the conditions of their contracts. A translated copy of the contract in a language the worker understands should be obligatory;</w:t>
      </w:r>
    </w:p>
    <w:p w:rsidR="00000000" w:rsidRDefault="00000000">
      <w:pPr>
        <w:rPr>
          <w:b/>
          <w:bCs/>
        </w:rPr>
      </w:pPr>
      <w:r>
        <w:rPr>
          <w:b/>
          <w:bCs/>
        </w:rPr>
        <w:tab/>
        <w:t>(f)</w:t>
      </w:r>
      <w:r>
        <w:rPr>
          <w:b/>
          <w:bCs/>
        </w:rPr>
        <w:tab/>
        <w:t>Governments seek to establish bilateral and multilateral agreements and cooperation programmes with countries of origin and transit to prevent trafficking of persons, especially women and children,</w:t>
      </w:r>
      <w:r>
        <w:rPr>
          <w:b/>
        </w:rPr>
        <w:t xml:space="preserve"> and cooperate on investigations, convictions and extradition of criminals.</w:t>
      </w:r>
      <w:r>
        <w:rPr>
          <w:b/>
          <w:bCs/>
        </w:rPr>
        <w:t xml:space="preserve"> In this framework of cooperation, the Governments could hold regular meetings with foreign embassies to review developments and share information;</w:t>
      </w:r>
    </w:p>
    <w:p w:rsidR="00000000" w:rsidRDefault="00000000">
      <w:pPr>
        <w:rPr>
          <w:b/>
          <w:bCs/>
        </w:rPr>
      </w:pPr>
      <w:r>
        <w:rPr>
          <w:b/>
          <w:bCs/>
        </w:rPr>
        <w:tab/>
        <w:t>(g)</w:t>
      </w:r>
      <w:r>
        <w:rPr>
          <w:b/>
          <w:bCs/>
        </w:rPr>
        <w:tab/>
        <w:t>Governments seek the assistance and collaborate with specialized agencies including the Office of the United Nations High Commissioner for Human Rights,</w:t>
      </w:r>
      <w:r>
        <w:t xml:space="preserve"> </w:t>
      </w:r>
      <w:r>
        <w:rPr>
          <w:b/>
          <w:bCs/>
        </w:rPr>
        <w:t>the United Nations Children’s Fund, t</w:t>
      </w:r>
      <w:r>
        <w:t>h</w:t>
      </w:r>
      <w:r>
        <w:rPr>
          <w:b/>
          <w:bCs/>
        </w:rPr>
        <w:t>e International Organization for Migration and the International Labour Organization to obtain their expert advice on matters relevant to addressing the phenomenon of trafficking in persons, particularly on the human rights aspects of trafficked persons;</w:t>
      </w:r>
    </w:p>
    <w:p w:rsidR="00000000" w:rsidRDefault="00000000">
      <w:pPr>
        <w:pStyle w:val="BodyText"/>
      </w:pPr>
      <w:r>
        <w:tab/>
        <w:t>(h)</w:t>
      </w:r>
      <w:r>
        <w:tab/>
        <w:t>Whilst commending Bahrain for its progress in this area, Governments respect their international obligations in creating an enabling environment in which civil society may operate to contribute to the fight against trafficking and the promotion and protection of the human rights of trafficked persons;</w:t>
      </w:r>
    </w:p>
    <w:p w:rsidR="00000000" w:rsidRDefault="00000000">
      <w:pPr>
        <w:rPr>
          <w:b/>
          <w:bCs/>
        </w:rPr>
      </w:pPr>
      <w:r>
        <w:rPr>
          <w:b/>
          <w:bCs/>
        </w:rPr>
        <w:tab/>
        <w:t>(i)</w:t>
      </w:r>
      <w:r>
        <w:rPr>
          <w:b/>
          <w:bCs/>
        </w:rPr>
        <w:tab/>
        <w:t>All migrant workers receive an orientation session in the sending and receiving countries to inform them about their rights and obligations as employees and residents in the receiving countries, with special attention to the traditions and cultures of the host society;</w:t>
      </w:r>
    </w:p>
    <w:p w:rsidR="00000000" w:rsidRDefault="00000000">
      <w:pPr>
        <w:rPr>
          <w:b/>
          <w:bCs/>
        </w:rPr>
      </w:pPr>
      <w:r>
        <w:rPr>
          <w:b/>
          <w:bCs/>
        </w:rPr>
        <w:tab/>
        <w:t>(j)</w:t>
      </w:r>
      <w:r>
        <w:rPr>
          <w:b/>
          <w:bCs/>
        </w:rPr>
        <w:tab/>
        <w:t>Recruitment agencies be properly monitored in both sending and receiving countries. Registration of these agencies could be made mandatory and regular and unannounced official on-site inspections be carried out;</w:t>
      </w:r>
    </w:p>
    <w:p w:rsidR="00000000" w:rsidRDefault="00000000">
      <w:pPr>
        <w:rPr>
          <w:b/>
          <w:bCs/>
        </w:rPr>
      </w:pPr>
      <w:r>
        <w:rPr>
          <w:b/>
          <w:bCs/>
        </w:rPr>
        <w:tab/>
        <w:t>(k)</w:t>
      </w:r>
      <w:r>
        <w:rPr>
          <w:b/>
          <w:bCs/>
        </w:rPr>
        <w:tab/>
        <w:t>Relevant public officials and recruiting agencies be given training on the nature and existence of trafficking in persons, labour laws and the rights and freedoms of foreign migrant workers;</w:t>
      </w:r>
    </w:p>
    <w:p w:rsidR="00000000" w:rsidRDefault="00000000">
      <w:pPr>
        <w:rPr>
          <w:b/>
          <w:bCs/>
        </w:rPr>
      </w:pPr>
      <w:r>
        <w:rPr>
          <w:b/>
          <w:bCs/>
        </w:rPr>
        <w:tab/>
        <w:t>(l)</w:t>
      </w:r>
      <w:r>
        <w:rPr>
          <w:b/>
          <w:bCs/>
        </w:rPr>
        <w:tab/>
        <w:t>Oman adopt a national plan of action and establish an independent national coordinating mechanism to coordinate inter-governmental discussions and enact measures to combat trafficking in persons and provide for the protection of trafficked persons. Civil society, international organizations and the international community should be consulted in this process.</w:t>
      </w:r>
    </w:p>
    <w:p w:rsidR="00000000" w:rsidRDefault="00000000">
      <w:pPr>
        <w:pStyle w:val="Heading2"/>
      </w:pPr>
      <w:bookmarkStart w:id="23" w:name="_Toc154066334"/>
      <w:r>
        <w:t>B.  Protection</w:t>
      </w:r>
      <w:bookmarkEnd w:id="23"/>
    </w:p>
    <w:p w:rsidR="00000000" w:rsidRDefault="00000000">
      <w:pPr>
        <w:rPr>
          <w:b/>
          <w:bCs/>
        </w:rPr>
      </w:pPr>
      <w:r>
        <w:rPr>
          <w:b/>
          <w:bCs/>
        </w:rPr>
        <w:tab/>
        <w:t>(m)</w:t>
      </w:r>
      <w:r>
        <w:rPr>
          <w:b/>
          <w:bCs/>
        </w:rPr>
        <w:tab/>
        <w:t>Screening and identification procedures of trafficked persons in detention centres be systematic. Alternative arrangements, other than deportation or detention centres, should be considered to safely house identified trafficked persons;</w:t>
      </w:r>
    </w:p>
    <w:p w:rsidR="00000000" w:rsidRDefault="00000000">
      <w:pPr>
        <w:pStyle w:val="BodyText"/>
      </w:pPr>
      <w:r>
        <w:tab/>
        <w:t>(n)</w:t>
      </w:r>
      <w:r>
        <w:tab/>
        <w:t>Foreign workers be guaranteed the right to an accessible and fair system of justice. Court fees, if at all, should be reasonable, proceedings should be dealt with urgently, interpretation services and legal aid provided and special attention be given to the needs of women and children. Working permits of migrant workers should not be suspended pending legal disputes and the right to find alternative employment during such proceedings should be allowed. The necessary protection of witnesses and trafficked persons, including the right to confidentiality, should be respected;</w:t>
      </w:r>
    </w:p>
    <w:p w:rsidR="00000000" w:rsidRDefault="00000000">
      <w:pPr>
        <w:rPr>
          <w:b/>
          <w:bCs/>
        </w:rPr>
      </w:pPr>
      <w:r>
        <w:rPr>
          <w:b/>
          <w:bCs/>
        </w:rPr>
        <w:tab/>
        <w:t>(o)</w:t>
      </w:r>
      <w:r>
        <w:rPr>
          <w:b/>
          <w:bCs/>
        </w:rPr>
        <w:tab/>
        <w:t>A comprehensive human rights framework providing for the promotion and protection of the human rights of trafficked persons be established and implemented with a view, inter alia, to encouraging trafficked persons to make formal complaints against their traffickers. The Governments should ensure that trafficked persons are provided with the necessary protection and assistance, including appropriate housing, legal assistance, medical, psychological and material assistance, the right to compensation for damages suffered, safe repatriation or social reintegration as desirable. States should respect their obligations of non-refoulement. Such protection and assistance should not be conditional to their acceptance to testify against the alleged traffickers;</w:t>
      </w:r>
    </w:p>
    <w:p w:rsidR="00000000" w:rsidRDefault="00000000">
      <w:pPr>
        <w:rPr>
          <w:rFonts w:cs="AKIDXT+Bembo"/>
          <w:b/>
          <w:bCs/>
        </w:rPr>
      </w:pPr>
      <w:r>
        <w:rPr>
          <w:rFonts w:cs="AKIDXT+Bembo"/>
          <w:b/>
          <w:bCs/>
        </w:rPr>
        <w:tab/>
        <w:t>(p)</w:t>
      </w:r>
      <w:r>
        <w:rPr>
          <w:rFonts w:cs="AKIDXT+Bembo"/>
          <w:b/>
          <w:bCs/>
        </w:rPr>
        <w:tab/>
        <w:t xml:space="preserve">Given that the right to privacy is restricted by mandatory HIV/AIDS testing, </w:t>
      </w:r>
      <w:r>
        <w:rPr>
          <w:b/>
          <w:bCs/>
        </w:rPr>
        <w:t>public health, criminal and anti-discrimination legislation should prohibit mandatory HIV/AIDS-testing of targeted groups, including migrant workers. When tests are carried out, confidentiality of results must be ensured;</w:t>
      </w:r>
    </w:p>
    <w:p w:rsidR="00000000" w:rsidRDefault="00000000">
      <w:pPr>
        <w:rPr>
          <w:b/>
          <w:bCs/>
        </w:rPr>
      </w:pPr>
      <w:r>
        <w:rPr>
          <w:b/>
          <w:bCs/>
        </w:rPr>
        <w:tab/>
        <w:t>(q)</w:t>
      </w:r>
      <w:r>
        <w:rPr>
          <w:b/>
          <w:bCs/>
        </w:rPr>
        <w:tab/>
        <w:t>Authorities ensure that embassies are systematically informed when their nationals are being detained, and visits by the relevant consular officials be facilitated. Sending countries should ensure that their embassies in the receiving States have the necessary resources to carry out such visits, follow up on the cases and provide any necessary assistance;</w:t>
      </w:r>
    </w:p>
    <w:p w:rsidR="00000000" w:rsidRDefault="00000000">
      <w:pPr>
        <w:rPr>
          <w:b/>
        </w:rPr>
      </w:pPr>
      <w:r>
        <w:rPr>
          <w:b/>
        </w:rPr>
        <w:tab/>
        <w:t>(r)</w:t>
      </w:r>
      <w:r>
        <w:rPr>
          <w:b/>
        </w:rPr>
        <w:tab/>
        <w:t>Mechanisms to monitor the working conditions and compliance of employment contracts of domestic workers in the households of their employers be established. Unannounced house visits and confidential interviews with domestic workers, including at the end of their probationary period, should be carried out;</w:t>
      </w:r>
    </w:p>
    <w:p w:rsidR="00000000" w:rsidRDefault="00000000">
      <w:pPr>
        <w:pStyle w:val="BodyText"/>
      </w:pPr>
      <w:r>
        <w:tab/>
        <w:t>(s)</w:t>
      </w:r>
      <w:r>
        <w:tab/>
        <w:t>Mechanisms to monitor the working conditions of migrant workers whose employment is regulated by the Labour Codes, as well as inspection of labour sites, including venues where foreign workers are employed at night, be more systematically and strictly applied. Non-registered labour camps should be shut down or made to register;</w:t>
      </w:r>
    </w:p>
    <w:p w:rsidR="00000000" w:rsidRDefault="00000000">
      <w:pPr>
        <w:rPr>
          <w:b/>
          <w:bCs/>
        </w:rPr>
      </w:pPr>
      <w:r>
        <w:rPr>
          <w:b/>
          <w:bCs/>
        </w:rPr>
        <w:tab/>
        <w:t>(t)</w:t>
      </w:r>
      <w:r>
        <w:rPr>
          <w:b/>
          <w:bCs/>
        </w:rPr>
        <w:tab/>
        <w:t>Special attention be paid to addressing the particular needs of women and children in the provision of protective measures. Such measures should not infringe on other rights and freedoms, including freedom of movement;</w:t>
      </w:r>
    </w:p>
    <w:p w:rsidR="00000000" w:rsidRDefault="00000000">
      <w:pPr>
        <w:rPr>
          <w:b/>
          <w:bCs/>
        </w:rPr>
      </w:pPr>
      <w:r>
        <w:rPr>
          <w:b/>
          <w:bCs/>
        </w:rPr>
        <w:tab/>
        <w:t>(u)</w:t>
      </w:r>
      <w:r>
        <w:rPr>
          <w:b/>
          <w:bCs/>
        </w:rPr>
        <w:tab/>
        <w:t>Migrant workers in detention centres be informed of the reasons of their arrest in a language they understand, be provided with legal assistance if requested, be allowed to make a local or international phone call and have access to their embassies;</w:t>
      </w:r>
    </w:p>
    <w:p w:rsidR="00000000" w:rsidRDefault="00000000">
      <w:pPr>
        <w:rPr>
          <w:b/>
          <w:bCs/>
        </w:rPr>
      </w:pPr>
      <w:r>
        <w:rPr>
          <w:b/>
          <w:bCs/>
        </w:rPr>
        <w:tab/>
        <w:t>(v)</w:t>
      </w:r>
      <w:r>
        <w:rPr>
          <w:b/>
          <w:bCs/>
        </w:rPr>
        <w:tab/>
        <w:t>Governments be extremely vigilant in ensuring that parents and guardians accompanying minors have not received payments or benefits to give their consent to allow minors under their care to be exploited. The best interest of the child should always guide the handling of such cases;</w:t>
      </w:r>
    </w:p>
    <w:p w:rsidR="00000000" w:rsidRDefault="00000000">
      <w:pPr>
        <w:rPr>
          <w:b/>
          <w:bCs/>
        </w:rPr>
      </w:pPr>
      <w:r>
        <w:rPr>
          <w:b/>
          <w:bCs/>
        </w:rPr>
        <w:tab/>
        <w:t>(w)</w:t>
      </w:r>
      <w:r>
        <w:rPr>
          <w:b/>
          <w:bCs/>
        </w:rPr>
        <w:tab/>
        <w:t>Special attention be paid to detecting minors crossing borders and passing as adults with falsified documents. In such cases, necessary steps should be taken to provide the minors concerned with the necessary protection and assistance, including safe repatriation or social reintegration if repatriation is not in the interest of the minor;</w:t>
      </w:r>
    </w:p>
    <w:p w:rsidR="00000000" w:rsidRDefault="00000000">
      <w:pPr>
        <w:rPr>
          <w:b/>
          <w:bCs/>
        </w:rPr>
      </w:pPr>
      <w:r>
        <w:rPr>
          <w:b/>
          <w:bCs/>
        </w:rPr>
        <w:tab/>
        <w:t>(x)</w:t>
      </w:r>
      <w:r>
        <w:rPr>
          <w:b/>
          <w:bCs/>
        </w:rPr>
        <w:tab/>
        <w:t>Bahrain no longer postpone the opening of the shelter identified for this purpose and</w:t>
      </w:r>
      <w:r>
        <w:rPr>
          <w:b/>
        </w:rPr>
        <w:t xml:space="preserve"> encourages the Government to review the plans communicated to her to limit the migrant women’s movement for their own protection. Alternative measures, such as being accompanied by social workers when leaving the shelter, could be envisaged. </w:t>
      </w:r>
      <w:r>
        <w:rPr>
          <w:b/>
          <w:bCs/>
        </w:rPr>
        <w:t>Oman should seriously consider establishing a shelter to provide trafficked persons with a place of refuge where they can obtain the necessary protection and assistance;</w:t>
      </w:r>
    </w:p>
    <w:p w:rsidR="00000000" w:rsidRDefault="00000000">
      <w:pPr>
        <w:pStyle w:val="BodyText"/>
      </w:pPr>
      <w:r>
        <w:tab/>
        <w:t>(y)</w:t>
      </w:r>
      <w:r>
        <w:tab/>
        <w:t>Current discussions in Oman on camel racing will result in raising the minimum age to 18. Moreover, in line with the recommendations of the Committee on the Rights of the Child, the Special Rapporteur calls on the Governments of Oman and Qatar to carry out unannounced inspections at camel races and breeding farms to ensure the proper implementation of the relevant laws.</w:t>
      </w:r>
    </w:p>
    <w:p w:rsidR="00000000" w:rsidRDefault="00000000">
      <w:pPr>
        <w:pStyle w:val="Heading2"/>
      </w:pPr>
      <w:bookmarkStart w:id="24" w:name="_Toc154066335"/>
      <w:r>
        <w:t>C.  Punishment</w:t>
      </w:r>
      <w:bookmarkEnd w:id="24"/>
    </w:p>
    <w:p w:rsidR="00000000" w:rsidRDefault="00000000">
      <w:pPr>
        <w:rPr>
          <w:b/>
          <w:bCs/>
        </w:rPr>
      </w:pPr>
      <w:r>
        <w:rPr>
          <w:b/>
          <w:bCs/>
        </w:rPr>
        <w:tab/>
        <w:t>(z)</w:t>
      </w:r>
      <w:r>
        <w:rPr>
          <w:b/>
          <w:bCs/>
        </w:rPr>
        <w:tab/>
        <w:t>The Governments fulfil their international obligations in acting with due diligence to prevent, investigate and punish trafficking in persons in accordance with the provisions delineated in the Palermo Protocol;</w:t>
      </w:r>
    </w:p>
    <w:p w:rsidR="00000000" w:rsidRDefault="00000000">
      <w:pPr>
        <w:rPr>
          <w:b/>
          <w:bCs/>
        </w:rPr>
      </w:pPr>
      <w:r>
        <w:rPr>
          <w:b/>
          <w:bCs/>
        </w:rPr>
        <w:tab/>
        <w:t>(aa)</w:t>
      </w:r>
      <w:r>
        <w:rPr>
          <w:b/>
          <w:bCs/>
        </w:rPr>
        <w:tab/>
        <w:t>The Governments compile comprehensive statistics on investigations and prosecutions of trafficking-related offences disaggregated by the type of offence, gender and age of victim;</w:t>
      </w:r>
    </w:p>
    <w:p w:rsidR="00000000" w:rsidRDefault="00000000">
      <w:pPr>
        <w:rPr>
          <w:b/>
          <w:bCs/>
        </w:rPr>
      </w:pPr>
      <w:r>
        <w:rPr>
          <w:b/>
          <w:bCs/>
        </w:rPr>
        <w:tab/>
        <w:t>(bb)</w:t>
      </w:r>
      <w:r>
        <w:rPr>
          <w:b/>
          <w:bCs/>
        </w:rPr>
        <w:tab/>
        <w:t>In harmonizing national legislation with the Palermo Protocol, Bahrain and Oman ensure that all elements of trafficking in persons are defined as crimes;</w:t>
      </w:r>
    </w:p>
    <w:p w:rsidR="00000000" w:rsidRDefault="00000000">
      <w:pPr>
        <w:rPr>
          <w:b/>
          <w:bCs/>
        </w:rPr>
      </w:pPr>
      <w:r>
        <w:rPr>
          <w:b/>
          <w:bCs/>
        </w:rPr>
        <w:tab/>
        <w:t>(cc)</w:t>
      </w:r>
      <w:r>
        <w:rPr>
          <w:b/>
          <w:bCs/>
        </w:rPr>
        <w:tab/>
        <w:t>The Governments ensure that court decisions and penalties be promptly and strictly enforced. Decisions and sentences concerning human trafficking should be made public;</w:t>
      </w:r>
    </w:p>
    <w:p w:rsidR="00000000" w:rsidRDefault="00000000">
      <w:pPr>
        <w:rPr>
          <w:b/>
          <w:bCs/>
        </w:rPr>
      </w:pPr>
      <w:r>
        <w:rPr>
          <w:b/>
          <w:bCs/>
        </w:rPr>
        <w:tab/>
        <w:t>(dd)</w:t>
      </w:r>
      <w:r>
        <w:rPr>
          <w:b/>
          <w:bCs/>
        </w:rPr>
        <w:tab/>
        <w:t>The Governments enter into extradition agreements with neighbouring countries, including countries of origin and transit, to coordinate their efforts in combating human trafficking.</w:t>
      </w:r>
    </w:p>
    <w:p w:rsidR="00000000" w:rsidRDefault="00000000">
      <w:pPr>
        <w:jc w:val="center"/>
        <w:rPr>
          <w:b/>
          <w:bCs/>
        </w:rPr>
      </w:pPr>
      <w:r>
        <w:t>-----</w:t>
      </w:r>
    </w:p>
    <w:sectPr w:rsidR="00000000">
      <w:headerReference w:type="even" r:id="rId12"/>
      <w:headerReference w:type="default" r:id="rId13"/>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Univers">
    <w:altName w:val="Arial"/>
    <w:panose1 w:val="00000000000000000000"/>
    <w:charset w:val="00"/>
    <w:family w:val="swiss"/>
    <w:notTrueType/>
    <w:pitch w:val="variable"/>
    <w:sig w:usb0="00000003" w:usb1="00000000" w:usb2="00000000" w:usb3="00000000" w:csb0="00000001" w:csb1="00000000"/>
  </w:font>
  <w:font w:name="KaiTi_GB2312">
    <w:panose1 w:val="02010609060101010101"/>
    <w:charset w:val="86"/>
    <w:family w:val="modern"/>
    <w:pitch w:val="fixed"/>
    <w:sig w:usb0="00000001" w:usb1="080E0000" w:usb2="00000010" w:usb3="00000000" w:csb0="00040000" w:csb1="00000000"/>
  </w:font>
  <w:font w:name="Times New Roman Bold">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KIDXT+Bembo">
    <w:altName w:val="Bemb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07-12474 (C)</w:t>
          </w:r>
        </w:p>
      </w:tc>
      <w:tc>
        <w:tcPr>
          <w:tcW w:w="1050" w:type="dxa"/>
        </w:tcPr>
        <w:p w:rsidR="00000000" w:rsidRDefault="00000000">
          <w:pPr>
            <w:pStyle w:val="Footer"/>
          </w:pPr>
          <w:r>
            <w:t>030507</w:t>
          </w:r>
        </w:p>
      </w:tc>
      <w:tc>
        <w:tcPr>
          <w:tcW w:w="6061" w:type="dxa"/>
        </w:tcPr>
        <w:p w:rsidR="00000000" w:rsidRDefault="00000000">
          <w:pPr>
            <w:pStyle w:val="Footer"/>
          </w:pPr>
          <w:r>
            <w:t>070507</w:t>
          </w:r>
        </w:p>
      </w:tc>
    </w:tr>
  </w:tb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0"/>
        <w:rPr>
          <w:lang w:eastAsia="zh-CN"/>
        </w:rPr>
      </w:pPr>
    </w:p>
  </w:footnote>
  <w:footnote w:id="3">
    <w:p w:rsidR="00000000" w:rsidRDefault="00000000">
      <w:pPr>
        <w:spacing w:after="0" w:line="288" w:lineRule="auto"/>
        <w:ind w:left="522" w:hanging="522"/>
        <w:rPr>
          <w:rFonts w:eastAsia="KaiTi_GB2312" w:hint="eastAsia"/>
          <w:lang w:eastAsia="zh-CN"/>
        </w:rPr>
      </w:pPr>
      <w:r>
        <w:rPr>
          <w:rStyle w:val="FootnoteReference"/>
          <w:rFonts w:eastAsia="KaiTi_GB2312"/>
          <w:b w:val="0"/>
          <w:bCs/>
          <w:vertAlign w:val="baseline"/>
        </w:rPr>
        <w:sym w:font="Symbol" w:char="F02A"/>
      </w:r>
      <w:r>
        <w:rPr>
          <w:rStyle w:val="FootnoteReference"/>
          <w:rFonts w:eastAsia="KaiTi_GB2312" w:hint="eastAsia"/>
          <w:lang w:eastAsia="zh-CN"/>
        </w:rPr>
        <w:t></w:t>
      </w:r>
      <w:r>
        <w:rPr>
          <w:rFonts w:eastAsia="KaiTi_GB2312"/>
          <w:lang w:eastAsia="zh-CN"/>
        </w:rPr>
        <w:t xml:space="preserve">    </w:t>
      </w:r>
      <w:r>
        <w:rPr>
          <w:rFonts w:eastAsia="KaiTi_GB2312" w:hint="eastAsia"/>
          <w:lang w:eastAsia="zh-CN"/>
        </w:rPr>
        <w:t>本文件标有人权理事会第四届会议的文号，现排定由理事会第五届会议加以审议。</w:t>
      </w:r>
    </w:p>
    <w:p w:rsidR="00000000" w:rsidRDefault="00000000">
      <w:pPr>
        <w:spacing w:after="0" w:line="288" w:lineRule="auto"/>
        <w:ind w:left="522" w:hanging="522"/>
        <w:rPr>
          <w:sz w:val="20"/>
          <w:lang w:eastAsia="zh-CN"/>
        </w:rPr>
      </w:pPr>
      <w:r>
        <w:rPr>
          <w:lang w:eastAsia="zh-CN"/>
        </w:rPr>
        <w:t xml:space="preserve">**    </w:t>
      </w:r>
      <w:r>
        <w:rPr>
          <w:rFonts w:eastAsia="KaiTi_GB2312" w:hint="eastAsia"/>
          <w:lang w:eastAsia="zh-CN"/>
        </w:rPr>
        <w:t>本文件的内容提要以所有正式语文分发。报告本身附于内容提要之后，以提交文本的语文和阿拉伯文分发。</w:t>
      </w:r>
    </w:p>
    <w:p w:rsidR="00000000" w:rsidRDefault="00000000">
      <w:pPr>
        <w:pStyle w:val="FootnoteText"/>
        <w:spacing w:after="0"/>
        <w:rPr>
          <w:lang w:eastAsia="zh-CN"/>
        </w:rPr>
      </w:pPr>
    </w:p>
  </w:footnote>
  <w:footnote w:id="4">
    <w:p w:rsidR="00000000" w:rsidRDefault="00000000">
      <w:r>
        <w:rPr>
          <w:rStyle w:val="FootnoteReference"/>
        </w:rPr>
        <w:footnoteRef/>
      </w:r>
      <w:r>
        <w:t xml:space="preserve">  Gender and Migration in Arab States: The Case of Domestic Workers, ILO, June 2004.</w:t>
      </w:r>
    </w:p>
  </w:footnote>
  <w:footnote w:id="5">
    <w:p w:rsidR="00000000" w:rsidRDefault="00000000">
      <w:r>
        <w:rPr>
          <w:rStyle w:val="FootnoteReference"/>
        </w:rPr>
        <w:footnoteRef/>
      </w:r>
      <w:r>
        <w:t xml:space="preserve">  Arab versus Asian migrant workers in the GCC countries, </w:t>
      </w:r>
      <w:r>
        <w:rPr>
          <w:rFonts w:eastAsia="SimSun"/>
          <w:lang w:eastAsia="zh-CN"/>
        </w:rPr>
        <w:t>Expert Group Meeting on International Migration and Development in the Arab region: Challenges and Opportunities, Beirut, 15-17</w:t>
      </w:r>
      <w:r>
        <w:rPr>
          <w:rFonts w:ascii="Verdana" w:hAnsi="Verdana" w:cs="Arial"/>
          <w:szCs w:val="21"/>
        </w:rPr>
        <w:t xml:space="preserve"> </w:t>
      </w:r>
      <w:r>
        <w:rPr>
          <w:rFonts w:eastAsia="SimSun"/>
          <w:lang w:eastAsia="zh-CN"/>
        </w:rPr>
        <w:t>May 2006 (</w:t>
      </w:r>
      <w:r>
        <w:t>UN/POP/EGM/2006/02).</w:t>
      </w:r>
    </w:p>
  </w:footnote>
  <w:footnote w:id="6">
    <w:p w:rsidR="00000000" w:rsidRDefault="00000000">
      <w:r>
        <w:rPr>
          <w:rStyle w:val="FootnoteReference"/>
        </w:rPr>
        <w:footnoteRef/>
      </w:r>
      <w:r>
        <w:t xml:space="preserve">  For links between trafficking in persons and the human rights of migrants, see, for example, E/CN.4/2002/94, paras. 32-40; A758/275, paras. </w:t>
      </w:r>
      <w:r>
        <w:rPr>
          <w:lang w:val="fr-FR"/>
        </w:rPr>
        <w:t xml:space="preserve">10-24; E/CN.4/2005/85, paras. </w:t>
      </w:r>
      <w:r>
        <w:t>43 and 44.</w:t>
      </w:r>
    </w:p>
  </w:footnote>
  <w:footnote w:id="7">
    <w:p w:rsidR="00000000" w:rsidRDefault="00000000">
      <w:r>
        <w:rPr>
          <w:rStyle w:val="FootnoteReference"/>
        </w:rPr>
        <w:footnoteRef/>
      </w:r>
      <w:r>
        <w:t xml:space="preserve">  The relevant rights include, </w:t>
      </w:r>
      <w:r>
        <w:rPr>
          <w:iCs/>
        </w:rPr>
        <w:t>inter alia</w:t>
      </w:r>
      <w:r>
        <w:t>, the entitlement of everyone to all the rights and freedoms as delineated in the</w:t>
      </w:r>
      <w:r>
        <w:rPr>
          <w:rFonts w:ascii="Verdana" w:hAnsi="Verdana"/>
        </w:rPr>
        <w:t xml:space="preserve"> </w:t>
      </w:r>
      <w:r>
        <w:t xml:space="preserve">International Covenant on Civil and Political Rights (ICCPR) and the International Covenant on Economic, Social and Cultural Rights (ICESCR), without distinction of any kind, such as race, colour, sex, language, religion, political or other opinion, </w:t>
      </w:r>
      <w:r>
        <w:rPr>
          <w:iCs/>
        </w:rPr>
        <w:t>national</w:t>
      </w:r>
      <w:r>
        <w:rPr>
          <w:i/>
          <w:iCs/>
        </w:rPr>
        <w:t xml:space="preserve"> </w:t>
      </w:r>
      <w:r>
        <w:t xml:space="preserve">or social </w:t>
      </w:r>
      <w:r>
        <w:rPr>
          <w:iCs/>
        </w:rPr>
        <w:t>origin</w:t>
      </w:r>
      <w:r>
        <w:t xml:space="preserve">, property, birth </w:t>
      </w:r>
      <w:r>
        <w:rPr>
          <w:iCs/>
        </w:rPr>
        <w:t>or</w:t>
      </w:r>
      <w:r>
        <w:rPr>
          <w:i/>
          <w:iCs/>
        </w:rPr>
        <w:t xml:space="preserve"> </w:t>
      </w:r>
      <w:r>
        <w:rPr>
          <w:iCs/>
        </w:rPr>
        <w:t>other</w:t>
      </w:r>
      <w:r>
        <w:rPr>
          <w:i/>
          <w:iCs/>
        </w:rPr>
        <w:t xml:space="preserve"> </w:t>
      </w:r>
      <w:r>
        <w:rPr>
          <w:iCs/>
        </w:rPr>
        <w:t xml:space="preserve">status; </w:t>
      </w:r>
      <w:r>
        <w:t>the right of everyone to the enjoyment of just and favourable conditions of work which ensure remuneration which provides as a minimum fair wages and equal remuneration for work of equal value without distinction of any kind; the right to safe and healthy working conditions, rest, leisure and reasonable limitation of working hours and periodic holidays with pay, as well as remuneration for public holidays; and the right for no one other than a public official duly authorized by law, to confiscate, destroy or attempt to destroy identity documents, documents authorizing entry to or stay, residence or establishment in the national territory, or work permits.</w:t>
      </w:r>
    </w:p>
  </w:footnote>
  <w:footnote w:id="8">
    <w:p w:rsidR="00000000" w:rsidRDefault="00000000">
      <w:r>
        <w:rPr>
          <w:rStyle w:val="FootnoteReference"/>
        </w:rPr>
        <w:footnoteRef/>
      </w:r>
      <w:r>
        <w:t xml:space="preserve">  </w:t>
      </w:r>
      <w:r>
        <w:rPr>
          <w:color w:val="000000"/>
        </w:rPr>
        <w:t>Bahrain and Oman have ratified</w:t>
      </w:r>
      <w:r>
        <w:t xml:space="preserve"> the Convention on the Elimination of Discrimination against Women </w:t>
      </w:r>
      <w:r>
        <w:rPr>
          <w:color w:val="000000"/>
        </w:rPr>
        <w:t>(</w:t>
      </w:r>
      <w:r>
        <w:t>CEDAW). They, as well as Qatar, have also ratified the Convention on the Rights of the Child and its two Optional Protocols, as well as the Convention on the Elimination of Racial Discrimination. Bahrain and Qatar have further ratified the Convention against Torture and Other Cruel, Inhuman or Degrading Treatment or Punishment; and Bahrain has acceded to the ICCPR. Qatar is also in the process of acceding to CEDAW and steps are being taken to study closer the ICCPR with a view to also acceding to that Convention.</w:t>
      </w:r>
    </w:p>
  </w:footnote>
  <w:footnote w:id="9">
    <w:p w:rsidR="00000000" w:rsidRDefault="00000000">
      <w:pPr>
        <w:rPr>
          <w:lang w:val="en-US"/>
        </w:rPr>
      </w:pPr>
      <w:r>
        <w:rPr>
          <w:rStyle w:val="FootnoteReference"/>
        </w:rPr>
        <w:footnoteRef/>
      </w:r>
      <w:r>
        <w:t xml:space="preserve">  Bahrain, Oman and Qatar have ratified the Forced Labour Convention, 1930 (No. 29), the Labour Inspection Convention, 1947 (No. 81), and the Discrimination (Employment and Occupation) Convention, 1958 (No. 111). Bahrain has further ratified the Weekly Rest (Industry) Convention, 1921 (No. 14), the Night Work (Women) Convention (Revised), 1948 (No. 89), and the Vocational Rehabilitation and Employment (Disabled Persons) Convention, 1983 (No. 159). Bahrain and Oman have ratified the Abolition of Forced Labour Convention, 1957 (No. 105). Qatar and Oman have further ratified the Minimum Age Convention, 1973 (No. 138). The Worst Forms of Child Labour Convention, 1999 (No. 182) has been ratified by all three countries.</w:t>
      </w:r>
    </w:p>
  </w:footnote>
  <w:footnote w:id="10">
    <w:p w:rsidR="00000000" w:rsidRDefault="00000000">
      <w:r>
        <w:rPr>
          <w:rStyle w:val="FootnoteReference"/>
        </w:rPr>
        <w:footnoteRef/>
      </w:r>
      <w:r>
        <w:t xml:space="preserve">  Trafficking In Persons Report, Department of State, United States of America, June 2005, p. 63.</w:t>
      </w:r>
    </w:p>
  </w:footnote>
  <w:footnote w:id="11">
    <w:p w:rsidR="00000000" w:rsidRDefault="00000000">
      <w:pPr>
        <w:rPr>
          <w:szCs w:val="22"/>
        </w:rPr>
      </w:pPr>
      <w:r>
        <w:rPr>
          <w:rStyle w:val="FootnoteReference"/>
        </w:rPr>
        <w:footnoteRef/>
      </w:r>
      <w:r>
        <w:t xml:space="preserve">  See also, Country Reports on Human Rights Practices, Bureau of Democracy, Human Rights, and Labour, United States Department of State, 2005.</w:t>
      </w:r>
    </w:p>
  </w:footnote>
  <w:footnote w:id="12">
    <w:p w:rsidR="00000000" w:rsidRDefault="00000000">
      <w:r>
        <w:rPr>
          <w:rStyle w:val="FootnoteReference"/>
        </w:rPr>
        <w:footnoteRef/>
      </w:r>
      <w:r>
        <w:t xml:space="preserve">  Discussions are reportedly under way to raise the minimum age to 18.</w:t>
      </w:r>
    </w:p>
  </w:footnote>
  <w:footnote w:id="13">
    <w:p w:rsidR="00000000" w:rsidRDefault="00000000">
      <w:r>
        <w:rPr>
          <w:rStyle w:val="FootnoteReference"/>
        </w:rPr>
        <w:footnoteRef/>
      </w:r>
      <w:r>
        <w:t xml:space="preserve">  Trafficking In Persons Report, Department of State, United States of America, June 2006.</w:t>
      </w:r>
    </w:p>
  </w:footnote>
  <w:footnote w:id="14">
    <w:p w:rsidR="00000000" w:rsidRDefault="00000000">
      <w:r>
        <w:rPr>
          <w:rStyle w:val="FootnoteReference"/>
        </w:rPr>
        <w:footnoteRef/>
      </w:r>
      <w:r>
        <w:t xml:space="preserve">  Ibid.</w:t>
      </w:r>
    </w:p>
  </w:footnote>
  <w:footnote w:id="15">
    <w:p w:rsidR="00000000" w:rsidRDefault="00000000">
      <w:r>
        <w:rPr>
          <w:rStyle w:val="FootnoteReference"/>
        </w:rPr>
        <w:footnoteRef/>
      </w:r>
      <w:r>
        <w:t xml:space="preserve">  See CRC/C/OMN/CO/2, para. 65.</w:t>
      </w:r>
    </w:p>
  </w:footnote>
  <w:footnote w:id="16">
    <w:p w:rsidR="00000000" w:rsidRDefault="00000000">
      <w:r>
        <w:rPr>
          <w:rStyle w:val="FootnoteReference"/>
        </w:rPr>
        <w:footnoteRef/>
      </w:r>
      <w:r>
        <w:t xml:space="preserve">  Ibid., para. 62.</w:t>
      </w:r>
    </w:p>
  </w:footnote>
  <w:footnote w:id="17">
    <w:p w:rsidR="00000000" w:rsidRDefault="00000000">
      <w:r>
        <w:rPr>
          <w:rStyle w:val="FootnoteReference"/>
        </w:rPr>
        <w:footnoteRef/>
      </w:r>
      <w:r>
        <w:t xml:space="preserve">  See footnote 10 above.</w:t>
      </w:r>
    </w:p>
  </w:footnote>
  <w:footnote w:id="18">
    <w:p w:rsidR="00000000" w:rsidRDefault="00000000">
      <w:r>
        <w:rPr>
          <w:rStyle w:val="FootnoteReference"/>
        </w:rPr>
        <w:footnoteRef/>
      </w:r>
      <w:r>
        <w:t xml:space="preserve">  </w:t>
      </w:r>
      <w:r>
        <w:rPr>
          <w:rFonts w:eastAsia="SimSun"/>
          <w:lang w:eastAsia="zh-CN"/>
        </w:rPr>
        <w:t>Annual Report on Human Rights and Activities of the Committee</w:t>
      </w:r>
      <w:r>
        <w:t>, National Human Rights Committee of Qatar, 2005, para. 31.</w:t>
      </w:r>
    </w:p>
  </w:footnote>
  <w:footnote w:id="19">
    <w:p w:rsidR="00000000" w:rsidRDefault="00000000">
      <w:r>
        <w:rPr>
          <w:rStyle w:val="FootnoteReference"/>
        </w:rPr>
        <w:footnoteRef/>
      </w:r>
      <w:r>
        <w:t xml:space="preserve">  Efforts of Qatar in Combating Trafficking in Persons, National Office to Combat Trafficking in Persons, Supreme Council of Family Affairs, October 2006, p. 4.</w:t>
      </w:r>
    </w:p>
  </w:footnote>
  <w:footnote w:id="20">
    <w:p w:rsidR="00000000" w:rsidRDefault="00000000">
      <w:r>
        <w:rPr>
          <w:rStyle w:val="FootnoteReference"/>
        </w:rPr>
        <w:footnoteRef/>
      </w:r>
      <w:r>
        <w:t xml:space="preserve">  </w:t>
      </w:r>
      <w:r>
        <w:rPr>
          <w:rFonts w:eastAsia="SimSun"/>
          <w:lang w:eastAsia="zh-CN"/>
        </w:rPr>
        <w:t>Annual Report on Human Rights … (see footnote 15 above),</w:t>
      </w:r>
      <w:r>
        <w:t xml:space="preserve"> p. 54.</w:t>
      </w:r>
    </w:p>
  </w:footnote>
  <w:footnote w:id="21">
    <w:p w:rsidR="00000000" w:rsidRDefault="00000000">
      <w:pPr>
        <w:rPr>
          <w:lang w:val="en-US"/>
        </w:rPr>
      </w:pPr>
      <w:r>
        <w:rPr>
          <w:rStyle w:val="FootnoteReference"/>
        </w:rPr>
        <w:footnoteRef/>
      </w:r>
      <w:r>
        <w:t xml:space="preserve">  Gender and Migration in Arab States … (see footnote 1 above), p. 29.</w:t>
      </w:r>
    </w:p>
  </w:footnote>
  <w:footnote w:id="22">
    <w:p w:rsidR="00000000" w:rsidRDefault="00000000">
      <w:r>
        <w:rPr>
          <w:rStyle w:val="FootnoteReference"/>
        </w:rPr>
        <w:footnoteRef/>
      </w:r>
      <w:r>
        <w:rPr>
          <w:lang w:val="es-ES_tradnl"/>
        </w:rPr>
        <w:t xml:space="preserve">  CERD/C/BHR/CO/7, paras. </w:t>
      </w:r>
      <w:r>
        <w:t>14 and 15.</w:t>
      </w:r>
    </w:p>
  </w:footnote>
  <w:footnote w:id="23">
    <w:p w:rsidR="00000000" w:rsidRDefault="00000000">
      <w:r>
        <w:rPr>
          <w:rStyle w:val="FootnoteReference"/>
        </w:rPr>
        <w:footnoteRef/>
      </w:r>
      <w:r>
        <w:t xml:space="preserve">  See also </w:t>
      </w:r>
      <w:r>
        <w:rPr>
          <w:lang w:val="en-US"/>
        </w:rPr>
        <w:t xml:space="preserve">Gulf Cooperation Council (GCC) countries: Women deserve dignity and respect, </w:t>
      </w:r>
      <w:r>
        <w:t xml:space="preserve">Amnesty International, </w:t>
      </w:r>
      <w:r>
        <w:rPr>
          <w:lang w:val="en-US"/>
        </w:rPr>
        <w:t>May 2005, p. 3.</w:t>
      </w:r>
    </w:p>
  </w:footnote>
  <w:footnote w:id="24">
    <w:p w:rsidR="00000000" w:rsidRDefault="00000000">
      <w:r>
        <w:rPr>
          <w:rStyle w:val="FootnoteReference"/>
        </w:rPr>
        <w:footnoteRef/>
      </w:r>
      <w:r>
        <w:t xml:space="preserve">  </w:t>
      </w:r>
      <w:r>
        <w:rPr>
          <w:rFonts w:eastAsia="SimSun"/>
          <w:lang w:eastAsia="zh-CN"/>
        </w:rPr>
        <w:t>Annual Report on Human Rights … (see footnote 15 above)</w:t>
      </w:r>
      <w:r>
        <w:t>, p.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A/HRC/4/23/Add.2</w:t>
    </w:r>
  </w:p>
  <w:p w:rsidR="00000000" w:rsidRDefault="00000000">
    <w:pPr>
      <w:pStyle w:val="Header"/>
      <w:spacing w:after="0"/>
    </w:pPr>
    <w:r>
      <w:t xml:space="preserve">page </w:t>
    </w:r>
    <w:fldSimple w:instr=" PAGE  \* MERGEFORMAT ">
      <w:r>
        <w:rPr>
          <w:noProof/>
        </w:rPr>
        <w:t>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spacing w:after="0"/>
    </w:pPr>
    <w:r>
      <w:tab/>
      <w:t>A/HRC/4/23/Add.2</w:t>
    </w:r>
  </w:p>
  <w:p w:rsidR="00000000" w:rsidRDefault="00000000">
    <w:pPr>
      <w:pStyle w:val="Header"/>
      <w:tabs>
        <w:tab w:val="clear" w:pos="4320"/>
        <w:tab w:val="clear" w:pos="8640"/>
        <w:tab w:val="left" w:pos="6803"/>
      </w:tabs>
      <w:spacing w:after="0"/>
    </w:pPr>
    <w:r>
      <w:tab/>
      <w:t xml:space="preserve">page </w:t>
    </w:r>
    <w:fldSimple w:instr=" PAGE  \* MERGEFORMAT ">
      <w:r>
        <w:rPr>
          <w:noProof/>
        </w:rPr>
        <w:t>3</w:t>
      </w:r>
    </w:fldSimple>
  </w:p>
  <w:p w:rsidR="00000000" w:rsidRDefault="00000000">
    <w:pPr>
      <w:pStyle w:val="Header"/>
      <w:tabs>
        <w:tab w:val="clear" w:pos="4320"/>
        <w:tab w:val="clear" w:pos="8640"/>
        <w:tab w:val="left" w:pos="6803"/>
      </w:tabs>
      <w:spacing w:after="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A/HRC/4/23/Add.2</w:t>
    </w:r>
  </w:p>
  <w:p w:rsidR="00000000" w:rsidRDefault="00000000">
    <w:pPr>
      <w:pStyle w:val="Header"/>
      <w:spacing w:after="0"/>
    </w:pPr>
    <w:r>
      <w:t xml:space="preserve">page </w:t>
    </w:r>
    <w:fldSimple w:instr=" PAGE  \* MERGEFORMAT ">
      <w:r>
        <w:rPr>
          <w:noProof/>
        </w:rPr>
        <w:t>28</w:t>
      </w:r>
    </w:fldSimple>
  </w:p>
  <w:p w:rsidR="00000000" w:rsidRDefault="00000000">
    <w:pPr>
      <w:pStyle w:val="Header"/>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320"/>
      </w:tabs>
      <w:spacing w:after="0"/>
    </w:pPr>
    <w:r>
      <w:tab/>
      <w:t>A/HRC/4/23/Add.2</w:t>
    </w:r>
  </w:p>
  <w:p w:rsidR="00000000" w:rsidRDefault="00000000">
    <w:pPr>
      <w:pStyle w:val="Header"/>
      <w:tabs>
        <w:tab w:val="clear" w:pos="4320"/>
        <w:tab w:val="clear" w:pos="8640"/>
        <w:tab w:val="left" w:pos="7320"/>
      </w:tabs>
      <w:spacing w:after="0"/>
    </w:pPr>
    <w:r>
      <w:tab/>
      <w:t xml:space="preserve">page </w:t>
    </w:r>
    <w:fldSimple w:instr=" PAGE  \* MERGEFORMAT ">
      <w:r>
        <w:rPr>
          <w:noProof/>
        </w:rPr>
        <w:t>29</w:t>
      </w:r>
    </w:fldSimple>
  </w:p>
  <w:p w:rsidR="00000000" w:rsidRDefault="00000000">
    <w:pPr>
      <w:pStyle w:val="Header"/>
      <w:tabs>
        <w:tab w:val="clear" w:pos="4320"/>
        <w:tab w:val="clear" w:pos="8640"/>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D8FD702"/>
    <w:multiLevelType w:val="hybridMultilevel"/>
    <w:tmpl w:val="9716AEE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C4A44AC0"/>
    <w:lvl w:ilvl="0">
      <w:start w:val="1"/>
      <w:numFmt w:val="decimal"/>
      <w:lvlText w:val="%1."/>
      <w:lvlJc w:val="left"/>
      <w:pPr>
        <w:tabs>
          <w:tab w:val="num" w:pos="1492"/>
        </w:tabs>
        <w:ind w:left="1492" w:hanging="360"/>
      </w:pPr>
    </w:lvl>
  </w:abstractNum>
  <w:abstractNum w:abstractNumId="2">
    <w:nsid w:val="FFFFFF7D"/>
    <w:multiLevelType w:val="singleLevel"/>
    <w:tmpl w:val="46520F3C"/>
    <w:lvl w:ilvl="0">
      <w:start w:val="1"/>
      <w:numFmt w:val="decimal"/>
      <w:lvlText w:val="%1."/>
      <w:lvlJc w:val="left"/>
      <w:pPr>
        <w:tabs>
          <w:tab w:val="num" w:pos="1209"/>
        </w:tabs>
        <w:ind w:left="1209" w:hanging="360"/>
      </w:pPr>
    </w:lvl>
  </w:abstractNum>
  <w:abstractNum w:abstractNumId="3">
    <w:nsid w:val="FFFFFF7E"/>
    <w:multiLevelType w:val="singleLevel"/>
    <w:tmpl w:val="0682F7B2"/>
    <w:lvl w:ilvl="0">
      <w:start w:val="1"/>
      <w:numFmt w:val="decimal"/>
      <w:lvlText w:val="%1."/>
      <w:lvlJc w:val="left"/>
      <w:pPr>
        <w:tabs>
          <w:tab w:val="num" w:pos="926"/>
        </w:tabs>
        <w:ind w:left="926" w:hanging="360"/>
      </w:pPr>
    </w:lvl>
  </w:abstractNum>
  <w:abstractNum w:abstractNumId="4">
    <w:nsid w:val="FFFFFF7F"/>
    <w:multiLevelType w:val="singleLevel"/>
    <w:tmpl w:val="0C14AD3A"/>
    <w:lvl w:ilvl="0">
      <w:start w:val="1"/>
      <w:numFmt w:val="decimal"/>
      <w:lvlText w:val="%1."/>
      <w:lvlJc w:val="left"/>
      <w:pPr>
        <w:tabs>
          <w:tab w:val="num" w:pos="643"/>
        </w:tabs>
        <w:ind w:left="643" w:hanging="360"/>
      </w:pPr>
    </w:lvl>
  </w:abstractNum>
  <w:abstractNum w:abstractNumId="5">
    <w:nsid w:val="FFFFFF80"/>
    <w:multiLevelType w:val="singleLevel"/>
    <w:tmpl w:val="4C76B38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13EC9CE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B727AB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9F00329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4D6ED80A"/>
    <w:lvl w:ilvl="0">
      <w:start w:val="1"/>
      <w:numFmt w:val="decimal"/>
      <w:lvlText w:val="%1."/>
      <w:lvlJc w:val="left"/>
      <w:pPr>
        <w:tabs>
          <w:tab w:val="num" w:pos="360"/>
        </w:tabs>
        <w:ind w:left="360" w:hanging="360"/>
      </w:pPr>
    </w:lvl>
  </w:abstractNum>
  <w:abstractNum w:abstractNumId="10">
    <w:nsid w:val="FFFFFF89"/>
    <w:multiLevelType w:val="singleLevel"/>
    <w:tmpl w:val="90744628"/>
    <w:lvl w:ilvl="0">
      <w:start w:val="1"/>
      <w:numFmt w:val="bullet"/>
      <w:lvlText w:val=""/>
      <w:lvlJc w:val="left"/>
      <w:pPr>
        <w:tabs>
          <w:tab w:val="num" w:pos="360"/>
        </w:tabs>
        <w:ind w:left="360" w:hanging="360"/>
      </w:pPr>
      <w:rPr>
        <w:rFonts w:ascii="Symbol" w:hAnsi="Symbol" w:hint="default"/>
      </w:rPr>
    </w:lvl>
  </w:abstractNum>
  <w:abstractNum w:abstractNumId="11">
    <w:nsid w:val="05263582"/>
    <w:multiLevelType w:val="hybridMultilevel"/>
    <w:tmpl w:val="0C160172"/>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54D1A55"/>
    <w:multiLevelType w:val="hybridMultilevel"/>
    <w:tmpl w:val="87F8DEB8"/>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3">
    <w:nsid w:val="0717220F"/>
    <w:multiLevelType w:val="hybridMultilevel"/>
    <w:tmpl w:val="B79EC752"/>
    <w:lvl w:ilvl="0" w:tplc="A81E2A50">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CA253E2"/>
    <w:multiLevelType w:val="multilevel"/>
    <w:tmpl w:val="BE7E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2728EA"/>
    <w:multiLevelType w:val="hybridMultilevel"/>
    <w:tmpl w:val="3D28A03C"/>
    <w:lvl w:ilvl="0" w:tplc="0409000F">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19">
    <w:nsid w:val="33772C01"/>
    <w:multiLevelType w:val="hybridMultilevel"/>
    <w:tmpl w:val="95DA737A"/>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27444"/>
    <w:multiLevelType w:val="hybridMultilevel"/>
    <w:tmpl w:val="1C9E2F20"/>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4EFE3C3B"/>
    <w:multiLevelType w:val="hybridMultilevel"/>
    <w:tmpl w:val="D94609E2"/>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4FCE4637"/>
    <w:multiLevelType w:val="multilevel"/>
    <w:tmpl w:val="4B1E51FA"/>
    <w:lvl w:ilvl="0">
      <w:start w:val="5"/>
      <w:numFmt w:val="decimal"/>
      <w:lvlText w:val="%1."/>
      <w:lvlJc w:val="left"/>
      <w:pPr>
        <w:tabs>
          <w:tab w:val="num" w:pos="720"/>
        </w:tabs>
        <w:ind w:left="720" w:hanging="360"/>
      </w:pPr>
      <w:rPr>
        <w:rFonts w:hint="default"/>
        <w:b w:val="0"/>
        <w:i w:val="0"/>
        <w:color w:val="000000"/>
      </w:rPr>
    </w:lvl>
    <w:lvl w:ilvl="1">
      <w:start w:val="1"/>
      <w:numFmt w:val="lowerLetter"/>
      <w:lvlText w:val="%2."/>
      <w:lvlJc w:val="left"/>
      <w:pPr>
        <w:tabs>
          <w:tab w:val="num" w:pos="1440"/>
        </w:tabs>
        <w:ind w:left="1440" w:hanging="360"/>
      </w:pPr>
    </w:lvl>
    <w:lvl w:ilvl="2">
      <w:start w:val="3"/>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1D0558F"/>
    <w:multiLevelType w:val="hybridMultilevel"/>
    <w:tmpl w:val="F47E1B1A"/>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5BB46263"/>
    <w:multiLevelType w:val="hybridMultilevel"/>
    <w:tmpl w:val="67243984"/>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5E5249FE"/>
    <w:multiLevelType w:val="hybridMultilevel"/>
    <w:tmpl w:val="D42C2184"/>
    <w:lvl w:ilvl="0" w:tplc="0409000F">
      <w:start w:val="1"/>
      <w:numFmt w:val="decimal"/>
      <w:lvlText w:val="%1."/>
      <w:lvlJc w:val="left"/>
      <w:pPr>
        <w:tabs>
          <w:tab w:val="num" w:pos="1440"/>
        </w:tabs>
        <w:ind w:left="1440" w:hanging="360"/>
      </w:pPr>
      <w:rPr>
        <w:rFonts w:hint="default"/>
      </w:rPr>
    </w:lvl>
    <w:lvl w:ilvl="1" w:tplc="05B2CB16">
      <w:start w:val="3"/>
      <w:numFmt w:val="upperRoman"/>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63715E9"/>
    <w:multiLevelType w:val="hybridMultilevel"/>
    <w:tmpl w:val="BBC4DABE"/>
    <w:lvl w:ilvl="0" w:tplc="040C000F">
      <w:start w:val="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68303675"/>
    <w:multiLevelType w:val="hybridMultilevel"/>
    <w:tmpl w:val="C4406932"/>
    <w:lvl w:ilvl="0" w:tplc="FDC4FFD2">
      <w:start w:val="5"/>
      <w:numFmt w:val="decimal"/>
      <w:lvlText w:val="%1."/>
      <w:lvlJc w:val="left"/>
      <w:pPr>
        <w:tabs>
          <w:tab w:val="num" w:pos="432"/>
        </w:tabs>
        <w:ind w:left="0" w:firstLine="0"/>
      </w:pPr>
      <w:rPr>
        <w:rFonts w:hint="default"/>
        <w:b w:val="0"/>
        <w:i w:val="0"/>
        <w:color w:val="000000"/>
      </w:rPr>
    </w:lvl>
    <w:lvl w:ilvl="1" w:tplc="040C0019">
      <w:start w:val="1"/>
      <w:numFmt w:val="lowerLetter"/>
      <w:lvlText w:val="%2."/>
      <w:lvlJc w:val="left"/>
      <w:pPr>
        <w:tabs>
          <w:tab w:val="num" w:pos="1440"/>
        </w:tabs>
        <w:ind w:left="1440" w:hanging="360"/>
      </w:pPr>
    </w:lvl>
    <w:lvl w:ilvl="2" w:tplc="8DB4DF02">
      <w:start w:val="3"/>
      <w:numFmt w:val="upperRoman"/>
      <w:lvlText w:val="%3."/>
      <w:lvlJc w:val="left"/>
      <w:pPr>
        <w:tabs>
          <w:tab w:val="num" w:pos="2700"/>
        </w:tabs>
        <w:ind w:left="2700" w:hanging="720"/>
      </w:pPr>
      <w:rPr>
        <w:rFonts w:hint="default"/>
      </w:rPr>
    </w:lvl>
    <w:lvl w:ilvl="3" w:tplc="0E80C634">
      <w:numFmt w:val="bullet"/>
      <w:lvlText w:val="-"/>
      <w:lvlJc w:val="left"/>
      <w:pPr>
        <w:tabs>
          <w:tab w:val="num" w:pos="3225"/>
        </w:tabs>
        <w:ind w:left="3225" w:hanging="705"/>
      </w:pPr>
      <w:rPr>
        <w:rFonts w:ascii="Times New Roman" w:eastAsia="Times New Roman" w:hAnsi="Times New Roman" w:cs="Times New Roman" w:hint="default"/>
        <w:color w:val="000000"/>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6861282C"/>
    <w:multiLevelType w:val="singleLevel"/>
    <w:tmpl w:val="C262CA62"/>
    <w:lvl w:ilvl="0">
      <w:start w:val="1"/>
      <w:numFmt w:val="bullet"/>
      <w:lvlText w:val="-"/>
      <w:lvlJc w:val="left"/>
      <w:pPr>
        <w:tabs>
          <w:tab w:val="num" w:pos="1440"/>
        </w:tabs>
        <w:ind w:left="1440" w:hanging="360"/>
      </w:pPr>
      <w:rPr>
        <w:rFonts w:hint="default"/>
        <w:color w:val="auto"/>
      </w:rPr>
    </w:lvl>
  </w:abstractNum>
  <w:abstractNum w:abstractNumId="35">
    <w:nsid w:val="6C8742EB"/>
    <w:multiLevelType w:val="hybridMultilevel"/>
    <w:tmpl w:val="D166E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EF877B0"/>
    <w:multiLevelType w:val="hybridMultilevel"/>
    <w:tmpl w:val="6130022C"/>
    <w:lvl w:ilvl="0" w:tplc="E990FF62">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461929"/>
    <w:multiLevelType w:val="hybridMultilevel"/>
    <w:tmpl w:val="E72E4BBE"/>
    <w:lvl w:ilvl="0" w:tplc="FE0E13F4">
      <w:start w:val="1"/>
      <w:numFmt w:val="upperRoman"/>
      <w:lvlText w:val="%1."/>
      <w:lvlJc w:val="left"/>
      <w:pPr>
        <w:tabs>
          <w:tab w:val="num" w:pos="1080"/>
        </w:tabs>
        <w:ind w:left="1080" w:hanging="720"/>
      </w:pPr>
      <w:rPr>
        <w:rFonts w:hint="default"/>
      </w:rPr>
    </w:lvl>
    <w:lvl w:ilvl="1" w:tplc="2028E630">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4"/>
  </w:num>
  <w:num w:numId="6">
    <w:abstractNumId w:val="20"/>
  </w:num>
  <w:num w:numId="7">
    <w:abstractNumId w:val="23"/>
  </w:num>
  <w:num w:numId="8">
    <w:abstractNumId w:val="38"/>
  </w:num>
  <w:num w:numId="9">
    <w:abstractNumId w:val="25"/>
  </w:num>
  <w:num w:numId="10">
    <w:abstractNumId w:val="40"/>
  </w:num>
  <w:num w:numId="11">
    <w:abstractNumId w:val="23"/>
  </w:num>
  <w:num w:numId="12">
    <w:abstractNumId w:val="24"/>
  </w:num>
  <w:num w:numId="13">
    <w:abstractNumId w:val="24"/>
  </w:num>
  <w:num w:numId="14">
    <w:abstractNumId w:val="31"/>
  </w:num>
  <w:num w:numId="15">
    <w:abstractNumId w:val="22"/>
  </w:num>
  <w:num w:numId="16">
    <w:abstractNumId w:val="22"/>
  </w:num>
  <w:num w:numId="17">
    <w:abstractNumId w:val="39"/>
  </w:num>
  <w:num w:numId="18">
    <w:abstractNumId w:val="18"/>
  </w:num>
  <w:num w:numId="19">
    <w:abstractNumId w:val="2"/>
  </w:num>
  <w:num w:numId="20">
    <w:abstractNumId w:val="1"/>
  </w:num>
  <w:num w:numId="21">
    <w:abstractNumId w:val="39"/>
  </w:num>
  <w:num w:numId="22">
    <w:abstractNumId w:val="18"/>
  </w:num>
  <w:num w:numId="23">
    <w:abstractNumId w:val="16"/>
  </w:num>
  <w:num w:numId="24">
    <w:abstractNumId w:val="39"/>
  </w:num>
  <w:num w:numId="25">
    <w:abstractNumId w:val="18"/>
  </w:num>
  <w:num w:numId="26">
    <w:abstractNumId w:val="10"/>
  </w:num>
  <w:num w:numId="27">
    <w:abstractNumId w:val="37"/>
  </w:num>
  <w:num w:numId="28">
    <w:abstractNumId w:val="17"/>
  </w:num>
  <w:num w:numId="29">
    <w:abstractNumId w:val="30"/>
  </w:num>
  <w:num w:numId="30">
    <w:abstractNumId w:val="21"/>
  </w:num>
  <w:num w:numId="31">
    <w:abstractNumId w:val="29"/>
  </w:num>
  <w:num w:numId="32">
    <w:abstractNumId w:val="32"/>
  </w:num>
  <w:num w:numId="33">
    <w:abstractNumId w:val="33"/>
  </w:num>
  <w:num w:numId="34">
    <w:abstractNumId w:val="15"/>
  </w:num>
  <w:num w:numId="35">
    <w:abstractNumId w:val="34"/>
  </w:num>
  <w:num w:numId="36">
    <w:abstractNumId w:val="36"/>
  </w:num>
  <w:num w:numId="37">
    <w:abstractNumId w:val="0"/>
  </w:num>
  <w:num w:numId="38">
    <w:abstractNumId w:val="13"/>
  </w:num>
  <w:num w:numId="39">
    <w:abstractNumId w:val="35"/>
  </w:num>
  <w:num w:numId="40">
    <w:abstractNumId w:val="9"/>
  </w:num>
  <w:num w:numId="41">
    <w:abstractNumId w:val="4"/>
  </w:num>
  <w:num w:numId="42">
    <w:abstractNumId w:val="3"/>
  </w:num>
  <w:num w:numId="43">
    <w:abstractNumId w:val="8"/>
  </w:num>
  <w:num w:numId="44">
    <w:abstractNumId w:val="7"/>
  </w:num>
  <w:num w:numId="45">
    <w:abstractNumId w:val="6"/>
  </w:num>
  <w:num w:numId="46">
    <w:abstractNumId w:val="5"/>
  </w:num>
  <w:num w:numId="47">
    <w:abstractNumId w:val="28"/>
  </w:num>
  <w:num w:numId="48">
    <w:abstractNumId w:val="11"/>
  </w:num>
  <w:num w:numId="49">
    <w:abstractNumId w:val="26"/>
  </w:num>
  <w:num w:numId="50">
    <w:abstractNumId w:val="19"/>
  </w:num>
  <w:num w:numId="51">
    <w:abstractNumId w:val="12"/>
  </w:num>
  <w:num w:numId="5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中文页眉"/>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b/>
      <w:bCs/>
    </w:rPr>
  </w:style>
  <w:style w:type="paragraph" w:customStyle="1" w:styleId="3">
    <w:name w:val="题3"/>
    <w:basedOn w:val="Normal"/>
    <w:next w:val="Normal"/>
    <w:pPr>
      <w:keepNext/>
      <w:keepLines/>
      <w:widowControl w:val="0"/>
      <w:spacing w:before="300" w:line="288" w:lineRule="auto"/>
      <w:jc w:val="center"/>
      <w:outlineLvl w:val="2"/>
    </w:pPr>
    <w:rPr>
      <w:rFonts w:eastAsia="SimSun"/>
      <w:spacing w:val="10"/>
      <w:u w:val="single"/>
      <w:lang w:val="en-US" w:eastAsia="zh-CN"/>
    </w:rPr>
  </w:style>
  <w:style w:type="paragraph" w:customStyle="1" w:styleId="1">
    <w:name w:val="题1"/>
    <w:basedOn w:val="Normal"/>
    <w:next w:val="Normal"/>
    <w:pPr>
      <w:keepNext/>
      <w:keepLines/>
      <w:widowControl w:val="0"/>
      <w:spacing w:before="320" w:line="288" w:lineRule="auto"/>
      <w:jc w:val="center"/>
      <w:outlineLvl w:val="0"/>
    </w:pPr>
    <w:rPr>
      <w:rFonts w:eastAsia="SimSun"/>
      <w:spacing w:val="10"/>
      <w:sz w:val="28"/>
      <w:lang w:val="en-US" w:eastAsia="zh-CN"/>
    </w:rPr>
  </w:style>
  <w:style w:type="paragraph" w:customStyle="1" w:styleId="a">
    <w:name w:val="文"/>
    <w:pPr>
      <w:tabs>
        <w:tab w:val="left" w:pos="510"/>
        <w:tab w:val="left" w:pos="1021"/>
        <w:tab w:val="left" w:pos="1531"/>
      </w:tabs>
      <w:spacing w:line="336" w:lineRule="auto"/>
      <w:jc w:val="both"/>
    </w:pPr>
    <w:rPr>
      <w:rFonts w:eastAsia="SimSun"/>
      <w:spacing w:val="10"/>
      <w:sz w:val="24"/>
      <w:lang w:eastAsia="zh-CN"/>
    </w:rPr>
  </w:style>
  <w:style w:type="paragraph" w:customStyle="1" w:styleId="1L">
    <w:name w:val="页眉1L"/>
    <w:basedOn w:val="Normal"/>
    <w:autoRedefine/>
    <w:pPr>
      <w:framePr w:w="1542" w:h="627" w:hSpace="180" w:wrap="around" w:vAnchor="page" w:hAnchor="page" w:x="1469" w:y="1390"/>
      <w:overflowPunct w:val="0"/>
      <w:adjustRightInd w:val="0"/>
      <w:snapToGrid w:val="0"/>
      <w:spacing w:after="0"/>
      <w:jc w:val="both"/>
    </w:pPr>
    <w:rPr>
      <w:rFonts w:ascii="SimHei" w:eastAsia="SimHei"/>
      <w:snapToGrid w:val="0"/>
      <w:spacing w:val="60"/>
      <w:sz w:val="32"/>
      <w:lang w:val="en-US" w:eastAsia="zh-CN"/>
    </w:rPr>
  </w:style>
  <w:style w:type="paragraph" w:customStyle="1" w:styleId="1R1">
    <w:name w:val="页眉1R1"/>
    <w:basedOn w:val="Normal"/>
    <w:pPr>
      <w:suppressAutoHyphens/>
      <w:overflowPunct w:val="0"/>
      <w:adjustRightInd w:val="0"/>
      <w:snapToGrid w:val="0"/>
      <w:spacing w:after="0"/>
      <w:jc w:val="both"/>
    </w:pPr>
    <w:rPr>
      <w:rFonts w:ascii="Univers (WN)" w:eastAsia="SimSun" w:hAnsi="Univers (WN)"/>
      <w:b/>
      <w:snapToGrid w:val="0"/>
      <w:spacing w:val="10"/>
      <w:sz w:val="60"/>
      <w:lang w:val="en-US" w:eastAsia="zh-CN"/>
    </w:rPr>
  </w:style>
  <w:style w:type="paragraph" w:customStyle="1" w:styleId="1m1">
    <w:name w:val="页眉1m1"/>
    <w:basedOn w:val="Normal"/>
    <w:pPr>
      <w:suppressAutoHyphens/>
      <w:overflowPunct w:val="0"/>
      <w:adjustRightInd w:val="0"/>
      <w:snapToGrid w:val="0"/>
      <w:spacing w:after="0" w:line="360" w:lineRule="auto"/>
      <w:jc w:val="both"/>
    </w:pPr>
    <w:rPr>
      <w:rFonts w:ascii="SimHei" w:eastAsia="SimHei"/>
      <w:snapToGrid w:val="0"/>
      <w:spacing w:val="40"/>
      <w:sz w:val="40"/>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29</Pages>
  <Words>11335</Words>
  <Characters>64610</Characters>
  <Application>Microsoft Office Outlook</Application>
  <DocSecurity>4</DocSecurity>
  <Lines>538</Lines>
  <Paragraphs>129</Paragraphs>
  <ScaleCrop>false</ScaleCrop>
  <HeadingPairs>
    <vt:vector size="4" baseType="variant">
      <vt:variant>
        <vt:lpstr>题目</vt:lpstr>
      </vt:variant>
      <vt:variant>
        <vt:i4>1</vt:i4>
      </vt:variant>
      <vt:variant>
        <vt:lpstr>标题</vt:lpstr>
      </vt:variant>
      <vt:variant>
        <vt:i4>37</vt:i4>
      </vt:variant>
    </vt:vector>
  </HeadingPairs>
  <TitlesOfParts>
    <vt:vector size="38" baseType="lpstr">
      <vt:lpstr>0712475</vt:lpstr>
      <vt:lpstr>大会2006年3月15日题为“人权理事会”的 第60/251号决议的执行情况</vt:lpstr>
      <vt:lpstr>        贩运人口、尤其是妇女和儿童行为受害者的人权问题 特别报告员西格马 胡达女士的报告</vt:lpstr>
      <vt:lpstr>        增    编</vt:lpstr>
      <vt:lpstr>内 容 提 要</vt:lpstr>
      <vt:lpstr>Report of the Special Rapporteur on trafficking in  persons, especially women an</vt:lpstr>
      <vt:lpstr>    Introduction</vt:lpstr>
      <vt:lpstr>I.  CONTEXT</vt:lpstr>
      <vt:lpstr>    II.  LEGAL AND INSTITUTIONAL FRAMEWORK</vt:lpstr>
      <vt:lpstr>    A.  Prevention, protection and punishment</vt:lpstr>
      <vt:lpstr>    1.  Bahrain</vt:lpstr>
      <vt:lpstr>        Prevention</vt:lpstr>
      <vt:lpstr>        Protection</vt:lpstr>
      <vt:lpstr>        Punishment</vt:lpstr>
      <vt:lpstr>    2.  Oman</vt:lpstr>
      <vt:lpstr>        Prevention</vt:lpstr>
      <vt:lpstr>        Protection</vt:lpstr>
      <vt:lpstr>        Punishment</vt:lpstr>
      <vt:lpstr>    3.  Qatar</vt:lpstr>
      <vt:lpstr>        Prevention</vt:lpstr>
      <vt:lpstr>        Protection</vt:lpstr>
      <vt:lpstr>        Punishment</vt:lpstr>
      <vt:lpstr>III.  MANIFESTATIONS OF TRAFFICKING</vt:lpstr>
      <vt:lpstr>    A.  Recruitment, transportation, transfer, harbouring  or receipt of persons and</vt:lpstr>
      <vt:lpstr>    B.  Sponsorship system and revictimization</vt:lpstr>
      <vt:lpstr>    C.  Exploitation - vulnerable groups</vt:lpstr>
      <vt:lpstr>    1.  Female domestic workers</vt:lpstr>
      <vt:lpstr>    2.  Women in the sex industry</vt:lpstr>
      <vt:lpstr>    3.  Child camel jockeys and children in other occupations</vt:lpstr>
      <vt:lpstr>    4.  Other workers</vt:lpstr>
      <vt:lpstr>    D.  Alternative measures</vt:lpstr>
      <vt:lpstr>    1.  Sending countries</vt:lpstr>
      <vt:lpstr>    2.  Civil society</vt:lpstr>
      <vt:lpstr>IV.  CONCLUSIONS</vt:lpstr>
      <vt:lpstr>V.  RECOMMENDATIONS</vt:lpstr>
      <vt:lpstr>    A.  Prevention</vt:lpstr>
      <vt:lpstr>    B.  Protection</vt:lpstr>
      <vt:lpstr>    C.  Punishment</vt:lpstr>
    </vt:vector>
  </TitlesOfParts>
  <Company>ONU</Company>
  <LinksUpToDate>false</LinksUpToDate>
  <CharactersWithSpaces>79345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0712475</dc:title>
  <dc:subject/>
  <dc:creator>Murray</dc:creator>
  <cp:keywords>A/HRC/4/23/Add.2</cp:keywords>
  <dc:description>Final</dc:description>
  <cp:lastModifiedBy>TIAN</cp:lastModifiedBy>
  <cp:revision>2</cp:revision>
  <cp:lastPrinted>2007-05-07T13:31:00Z</cp:lastPrinted>
  <dcterms:created xsi:type="dcterms:W3CDTF">2007-05-07T13:49:00Z</dcterms:created>
  <dcterms:modified xsi:type="dcterms:W3CDTF">2007-05-07T13:49:00Z</dcterms:modified>
</cp:coreProperties>
</file>