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CE3AC62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5FD127C" w14:textId="77777777" w:rsidR="002D5AAC" w:rsidRDefault="002D5AAC" w:rsidP="00AA4BA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8BAF1D7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6DCBA4B" w14:textId="2D6800FC" w:rsidR="002D5AAC" w:rsidRDefault="00AA4BAE" w:rsidP="00AA4BAE">
            <w:pPr>
              <w:jc w:val="right"/>
            </w:pPr>
            <w:r w:rsidRPr="00AA4BAE">
              <w:rPr>
                <w:sz w:val="40"/>
              </w:rPr>
              <w:t>CMW</w:t>
            </w:r>
            <w:r>
              <w:t>/C/HND/CO/2</w:t>
            </w:r>
          </w:p>
        </w:tc>
      </w:tr>
      <w:tr w:rsidR="002D5AAC" w:rsidRPr="00147392" w14:paraId="609E37E5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558FCF9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F6F7231" wp14:editId="617C8ED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1EDC056" w14:textId="77777777" w:rsidR="002D5AAC" w:rsidRPr="00033EE1" w:rsidRDefault="00734ACB" w:rsidP="003855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43E8A17" w14:textId="77777777" w:rsidR="002D5AAC" w:rsidRPr="00AA4BAE" w:rsidRDefault="00AA4BAE" w:rsidP="007A2AE0">
            <w:pPr>
              <w:spacing w:before="240"/>
              <w:rPr>
                <w:lang w:val="en-US"/>
              </w:rPr>
            </w:pPr>
            <w:r w:rsidRPr="00AA4BAE">
              <w:rPr>
                <w:lang w:val="en-US"/>
              </w:rPr>
              <w:t>Distr.: General</w:t>
            </w:r>
          </w:p>
          <w:p w14:paraId="2C0CDCC2" w14:textId="77777777" w:rsidR="00AA4BAE" w:rsidRPr="00AA4BAE" w:rsidRDefault="00AA4BAE" w:rsidP="00AA4BAE">
            <w:pPr>
              <w:spacing w:line="240" w:lineRule="exact"/>
              <w:rPr>
                <w:lang w:val="en-US"/>
              </w:rPr>
            </w:pPr>
            <w:r w:rsidRPr="00AA4BAE">
              <w:rPr>
                <w:lang w:val="en-US"/>
              </w:rPr>
              <w:t>21 January 2026</w:t>
            </w:r>
          </w:p>
          <w:p w14:paraId="680D26FD" w14:textId="77777777" w:rsidR="00AA4BAE" w:rsidRPr="00AA4BAE" w:rsidRDefault="00AA4BAE" w:rsidP="00AA4BAE">
            <w:pPr>
              <w:spacing w:line="240" w:lineRule="exact"/>
              <w:rPr>
                <w:lang w:val="en-US"/>
              </w:rPr>
            </w:pPr>
            <w:r w:rsidRPr="00AA4BAE">
              <w:rPr>
                <w:lang w:val="en-US"/>
              </w:rPr>
              <w:t>Russian</w:t>
            </w:r>
          </w:p>
          <w:p w14:paraId="28F881F4" w14:textId="4782BDB2" w:rsidR="00AA4BAE" w:rsidRPr="00AA4BAE" w:rsidRDefault="00AA4BAE" w:rsidP="00AA4BAE">
            <w:pPr>
              <w:spacing w:line="240" w:lineRule="exact"/>
              <w:rPr>
                <w:lang w:val="en-US"/>
              </w:rPr>
            </w:pPr>
            <w:r w:rsidRPr="00AA4BAE">
              <w:rPr>
                <w:lang w:val="en-US"/>
              </w:rPr>
              <w:t>Original: Spanish</w:t>
            </w:r>
          </w:p>
        </w:tc>
      </w:tr>
    </w:tbl>
    <w:p w14:paraId="12C90231" w14:textId="15E5CA18" w:rsidR="00AA4BAE" w:rsidRPr="00AA4BAE" w:rsidRDefault="00AA4BAE" w:rsidP="00AA4BAE">
      <w:pPr>
        <w:spacing w:before="120"/>
        <w:rPr>
          <w:b/>
          <w:bCs/>
          <w:sz w:val="24"/>
          <w:szCs w:val="24"/>
        </w:rPr>
      </w:pPr>
      <w:r w:rsidRPr="00AA4BAE">
        <w:rPr>
          <w:b/>
          <w:bCs/>
          <w:sz w:val="24"/>
          <w:szCs w:val="24"/>
        </w:rPr>
        <w:t xml:space="preserve">Комитет по защите прав всех </w:t>
      </w:r>
      <w:r w:rsidRPr="00165D3B">
        <w:rPr>
          <w:b/>
          <w:bCs/>
          <w:sz w:val="24"/>
          <w:szCs w:val="24"/>
        </w:rPr>
        <w:br/>
      </w:r>
      <w:r w:rsidRPr="00AA4BAE">
        <w:rPr>
          <w:b/>
          <w:bCs/>
          <w:sz w:val="24"/>
          <w:szCs w:val="24"/>
        </w:rPr>
        <w:t>трудящихся-мигрантов и членов их семей</w:t>
      </w:r>
    </w:p>
    <w:p w14:paraId="4465C3EE" w14:textId="77777777" w:rsidR="00AA4BAE" w:rsidRPr="00DC4794" w:rsidRDefault="00AA4BAE" w:rsidP="00AA4BAE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Гондураса</w:t>
      </w:r>
      <w:r w:rsidRPr="00AA4BAE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0F1A48CC" w14:textId="05ECECA7" w:rsidR="00AA4BAE" w:rsidRPr="00DC4794" w:rsidRDefault="00AA4BAE" w:rsidP="00AA4BAE">
      <w:pPr>
        <w:pStyle w:val="SingleTxtG"/>
      </w:pPr>
      <w:r>
        <w:t>1.</w:t>
      </w:r>
      <w:r>
        <w:tab/>
        <w:t>Комитет рассмотрел второй периодический доклад Гондураса</w:t>
      </w:r>
      <w:r w:rsidRPr="00DB04E4">
        <w:rPr>
          <w:sz w:val="18"/>
          <w:szCs w:val="18"/>
          <w:vertAlign w:val="superscript"/>
        </w:rPr>
        <w:footnoteReference w:id="2"/>
      </w:r>
      <w:r>
        <w:t xml:space="preserve"> на своих 619-м и 620-м заседаниях</w:t>
      </w:r>
      <w:r w:rsidRPr="00DB04E4">
        <w:rPr>
          <w:sz w:val="18"/>
          <w:szCs w:val="18"/>
          <w:vertAlign w:val="superscript"/>
        </w:rPr>
        <w:footnoteReference w:id="3"/>
      </w:r>
      <w:r w:rsidR="00165D3B" w:rsidRPr="00165D3B">
        <w:t>,</w:t>
      </w:r>
      <w:r>
        <w:t xml:space="preserve"> состоявшихся 8 декабря 2025 года. На своем 626-м заседании, состоявшемся 11 декабря 2025 года, он принял настоящие заключительные замечания.</w:t>
      </w:r>
    </w:p>
    <w:p w14:paraId="7E676A96" w14:textId="585D2F01" w:rsidR="00AA4BAE" w:rsidRPr="00DC4794" w:rsidRDefault="00AA4BAE" w:rsidP="00AA4BAE">
      <w:pPr>
        <w:pStyle w:val="H1G"/>
      </w:pPr>
      <w:r w:rsidRPr="00165D3B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6070EA56" w14:textId="159D8984" w:rsidR="00AA4BAE" w:rsidRPr="00DC4794" w:rsidRDefault="00AA4BAE" w:rsidP="00AA4BAE">
      <w:pPr>
        <w:pStyle w:val="SingleTxtG"/>
      </w:pPr>
      <w:r>
        <w:t>2.</w:t>
      </w:r>
      <w:r>
        <w:tab/>
        <w:t>Комитет приветствует представление второго периодического доклада, который Гондурас должен был представить в 2021 году в соответствии со статьей 73 Конвенции, а также ответы государства-участника</w:t>
      </w:r>
      <w:r w:rsidRPr="00DB04E4">
        <w:rPr>
          <w:sz w:val="18"/>
          <w:szCs w:val="18"/>
          <w:vertAlign w:val="superscript"/>
        </w:rPr>
        <w:footnoteReference w:id="4"/>
      </w:r>
      <w:r>
        <w:t xml:space="preserve"> на перечень вопросов, касающихся его второго периодического доклада</w:t>
      </w:r>
      <w:r w:rsidRPr="00DB04E4">
        <w:rPr>
          <w:sz w:val="18"/>
          <w:szCs w:val="18"/>
          <w:vertAlign w:val="superscript"/>
        </w:rPr>
        <w:footnoteReference w:id="5"/>
      </w:r>
      <w:r w:rsidR="00165D3B" w:rsidRPr="00165D3B">
        <w:t>.</w:t>
      </w:r>
      <w:r>
        <w:t xml:space="preserve"> Комитет также выражает признательность за информацию, представленную в ходе диалога делегацией во главе с заместителем министра иностранных дел по консульским и миграционным вопросам. В состав делегации также входили представители Министерства прав человека, Министерства иностранных дел и международного сотрудничества, Национального института миграции и Постоянного представительства Гондураса при Организации Объединенных Наций и других международных организациях в Женеве.</w:t>
      </w:r>
    </w:p>
    <w:p w14:paraId="66DACA2B" w14:textId="77777777" w:rsidR="00AA4BAE" w:rsidRPr="00DC4794" w:rsidRDefault="00AA4BAE" w:rsidP="00AA4BAE">
      <w:pPr>
        <w:pStyle w:val="SingleTxtG"/>
      </w:pPr>
      <w:r>
        <w:t>3.</w:t>
      </w:r>
      <w:r>
        <w:tab/>
        <w:t>Комитет высоко оценивает откровенный и конструктивный диалог с делегацией высокого уровня. Он также высоко ценит всеобъемлющую информацию, полученную от представителей государства-участника, и конструктивное взаимодействие в ходе диалога, позволившее совместно проанализировать и обсудить различные вопросы. Комитет признателен за представление ответов и дополнительной информации в течение 24 часов после проведения диалога.</w:t>
      </w:r>
    </w:p>
    <w:p w14:paraId="728AC728" w14:textId="12642162" w:rsidR="00AA4BAE" w:rsidRPr="00DC4794" w:rsidRDefault="00AA4BAE" w:rsidP="00AA4BAE">
      <w:pPr>
        <w:pStyle w:val="SingleTxtG"/>
      </w:pPr>
      <w:r>
        <w:t>4.</w:t>
      </w:r>
      <w:r>
        <w:tab/>
        <w:t xml:space="preserve">Комитет признает, что государство-участник является страной происхождения, транзита, назначения и возвращения трудящихся-мигрантов и членов их семей. </w:t>
      </w:r>
      <w:r w:rsidR="00165D3B" w:rsidRPr="00147392">
        <w:br/>
      </w:r>
      <w:r>
        <w:t xml:space="preserve">Он также отмечает, что в государстве-участнике имеется значительное число трудящихся-мигрантов и членов их семей, которые перемещаются с севера на юг и с юга на север, находятся в уязвимом положении и нуждаются в продовольствии, временном жилище и воде, равно как и в международной защите. Среди лиц, следующих транзитом, можно встретить детей, семьи с детьми младшего возраста, а также кормящих и беременных женщин. Кроме того, Комитет отмечает проблемы, с которыми сталкивается государство-участник в связи с продолжающимся внутренним перемещением населения, вызванным структурными причинами, такими как насилие. Комитет также признает, что с начала 2025 года в стране наблюдается значительный </w:t>
      </w:r>
      <w:r>
        <w:lastRenderedPageBreak/>
        <w:t>рост числа гондурасских мигрантов и членов их семей, депортированных из третьих стран, особенно из Соединенных Штатов Америки. Комитет отмечает миграционные амнистии, проведенные в период 2022</w:t>
      </w:r>
      <w:r w:rsidR="00165D3B" w:rsidRPr="00165D3B">
        <w:t>–</w:t>
      </w:r>
      <w:r>
        <w:t>2024 годов государством-участником с целью освобождения следующих транзитом трудящихся-мигрантов от административного наказания за въезд в страну через несанкционированные пограничные пункты, а также усилия по выделению бюджетных средств для решения вопросов, связанных с депортацией трудящихся-мигрантов и членов их семей, в том числе посредством предоставления консульской помощи, медицинской поддержки, юридической помощи и услуг по защите.</w:t>
      </w:r>
    </w:p>
    <w:p w14:paraId="51074D2E" w14:textId="09E11D9F" w:rsidR="00AA4BAE" w:rsidRPr="00DC4794" w:rsidRDefault="00AA4BAE" w:rsidP="00AA4BAE">
      <w:pPr>
        <w:pStyle w:val="H1G"/>
      </w:pPr>
      <w:r w:rsidRPr="00165D3B"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2028BD19" w14:textId="77777777" w:rsidR="00AA4BAE" w:rsidRPr="00DC4794" w:rsidRDefault="00AA4BAE" w:rsidP="00AA4BAE">
      <w:pPr>
        <w:pStyle w:val="SingleTxtG"/>
      </w:pPr>
      <w:r>
        <w:t>5.</w:t>
      </w:r>
      <w:r>
        <w:tab/>
        <w:t>Комитет с удовлетворением отмечает усилия и действия государства-участника по поощрению и защите прав трудящихся-мигрантов и членов их семей. В частности, Комитет приветствует:</w:t>
      </w:r>
    </w:p>
    <w:p w14:paraId="55EB2453" w14:textId="1C3A1197" w:rsidR="00AA4BAE" w:rsidRPr="00DC4794" w:rsidRDefault="00AA4BAE" w:rsidP="00AA4BAE">
      <w:pPr>
        <w:pStyle w:val="SingleTxtG"/>
      </w:pPr>
      <w:r w:rsidRPr="00165D3B">
        <w:tab/>
      </w:r>
      <w:r>
        <w:t>a)</w:t>
      </w:r>
      <w:r>
        <w:tab/>
        <w:t xml:space="preserve">подписание 13 мая 2024 года Многостороннего соглашения иберо-американских государств о социальном обеспечении; </w:t>
      </w:r>
    </w:p>
    <w:p w14:paraId="38DD5F7E" w14:textId="7AC18380" w:rsidR="00AA4BAE" w:rsidRPr="00DC4794" w:rsidRDefault="00AA4BAE" w:rsidP="00AA4BAE">
      <w:pPr>
        <w:pStyle w:val="SingleTxtG"/>
      </w:pPr>
      <w:r w:rsidRPr="00165D3B">
        <w:tab/>
      </w:r>
      <w:r>
        <w:t>b)</w:t>
      </w:r>
      <w:r>
        <w:tab/>
        <w:t>присоединение в 2022 году к Лос-Анджелесской декларации о миграции и защите.</w:t>
      </w:r>
    </w:p>
    <w:p w14:paraId="1FA5285C" w14:textId="77777777" w:rsidR="00AA4BAE" w:rsidRPr="00DC4794" w:rsidRDefault="00AA4BAE" w:rsidP="00AA4BAE">
      <w:pPr>
        <w:pStyle w:val="SingleTxtG"/>
      </w:pPr>
      <w:r>
        <w:t>6.</w:t>
      </w:r>
      <w:r>
        <w:tab/>
        <w:t>Комитет признает, что государство-участник находится в процессе создания нормативной базы на основе национального законодательства и двусторонних и многосторонних соглашений о сотрудничестве. Комитет приветствует принятие следующих законодательных и нормативных мер:</w:t>
      </w:r>
    </w:p>
    <w:p w14:paraId="1E0A251F" w14:textId="6CDEC7CC" w:rsidR="00AA4BAE" w:rsidRPr="00DC4794" w:rsidRDefault="00AA4BAE" w:rsidP="00AA4BAE">
      <w:pPr>
        <w:pStyle w:val="SingleTxtG"/>
      </w:pPr>
      <w:r w:rsidRPr="00165D3B">
        <w:tab/>
      </w:r>
      <w:r>
        <w:t>a)</w:t>
      </w:r>
      <w:r>
        <w:tab/>
        <w:t>поправку к Закону о защите гондурасских мигрантов и членов их семей (Законодательный декрет № 54–2024 от 15 мая 2024 года) в части бюджетных ассигнований, выделяемых Фонду солидарности с гондурасскими мигрантами;</w:t>
      </w:r>
    </w:p>
    <w:p w14:paraId="063EC59F" w14:textId="26616733" w:rsidR="00AA4BAE" w:rsidRPr="00DC4794" w:rsidRDefault="00AA4BAE" w:rsidP="00AA4BAE">
      <w:pPr>
        <w:pStyle w:val="SingleTxtG"/>
      </w:pPr>
      <w:r w:rsidRPr="00165D3B">
        <w:tab/>
      </w:r>
      <w:r>
        <w:t>b)</w:t>
      </w:r>
      <w:r>
        <w:tab/>
        <w:t xml:space="preserve">Закон о предупреждении внутреннего перемещения и защите и поддержке внутренне перемещенных лиц (Законодательный декрет № 154–2022 от </w:t>
      </w:r>
      <w:r w:rsidR="00165D3B" w:rsidRPr="00147392">
        <w:br/>
      </w:r>
      <w:r>
        <w:t>21 декабря 2022 года), который применяется к возвращающимся лицам, нуждающимся в защите в случаях, когда причина выезда из страны связана с актами насилия;</w:t>
      </w:r>
    </w:p>
    <w:p w14:paraId="31301072" w14:textId="5DB62016" w:rsidR="00AA4BAE" w:rsidRPr="00DC4794" w:rsidRDefault="00AA4BAE" w:rsidP="00AA4BAE">
      <w:pPr>
        <w:pStyle w:val="SingleTxtG"/>
      </w:pPr>
      <w:r w:rsidRPr="00165D3B">
        <w:tab/>
      </w:r>
      <w:r>
        <w:t>c)</w:t>
      </w:r>
      <w:r>
        <w:tab/>
        <w:t>Закон о Национальной системе баз данных ДНК (Законодательный декрет № 57–2023 от 9 августа 2023 года), имеющий особое значение для поиска лиц;</w:t>
      </w:r>
    </w:p>
    <w:p w14:paraId="1BF3BB49" w14:textId="2EF9C78E" w:rsidR="00AA4BAE" w:rsidRPr="00DC4794" w:rsidRDefault="00AA4BAE" w:rsidP="00AA4BAE">
      <w:pPr>
        <w:pStyle w:val="SingleTxtG"/>
      </w:pPr>
      <w:r w:rsidRPr="00165D3B">
        <w:tab/>
      </w:r>
      <w:r>
        <w:t>d)</w:t>
      </w:r>
      <w:r>
        <w:tab/>
        <w:t>поправку к Уголовному кодексу (Законодательный декрет № 93–2021 от 7 октября 2021 года), которая квалифицирует в качестве уголовного преступления торговлю людьми в целях, в частности, рабского, подневольного и принудительного труда или услуг и насильственного перемещения;</w:t>
      </w:r>
    </w:p>
    <w:p w14:paraId="70649923" w14:textId="3F696B14" w:rsidR="00AA4BAE" w:rsidRPr="00DC4794" w:rsidRDefault="00AA4BAE" w:rsidP="00AA4BAE">
      <w:pPr>
        <w:pStyle w:val="SingleTxtG"/>
      </w:pPr>
      <w:r w:rsidRPr="00165D3B">
        <w:tab/>
      </w:r>
      <w:r>
        <w:t>e)</w:t>
      </w:r>
      <w:r>
        <w:tab/>
        <w:t>Специальный закон об ускорении экономического роста и социальной защите от последствий коронавирусной инфекции (COVID-19) (Законодательный декрет № 31–2020 от 13 марта 2020 года);</w:t>
      </w:r>
    </w:p>
    <w:p w14:paraId="5E53C7B4" w14:textId="01C0C4A8" w:rsidR="00AA4BAE" w:rsidRPr="00DC4794" w:rsidRDefault="00AA4BAE" w:rsidP="00AA4BAE">
      <w:pPr>
        <w:pStyle w:val="SingleTxtG"/>
      </w:pPr>
      <w:r w:rsidRPr="00165D3B">
        <w:tab/>
      </w:r>
      <w:r>
        <w:t>f)</w:t>
      </w:r>
      <w:r>
        <w:tab/>
        <w:t xml:space="preserve">Закон о трудовой инспекции (Законодательный декрет № 178–2016 от </w:t>
      </w:r>
      <w:r w:rsidR="00165D3B" w:rsidRPr="00147392">
        <w:br/>
      </w:r>
      <w:r>
        <w:t>23 января 2017 года) и подзаконные акты к нему (Законодательный декрет № 168–2019 от 5 июля 2019 года);</w:t>
      </w:r>
    </w:p>
    <w:p w14:paraId="4F21251F" w14:textId="4A3DA599" w:rsidR="00AA4BAE" w:rsidRPr="00DC4794" w:rsidRDefault="00AA4BAE" w:rsidP="00AA4BAE">
      <w:pPr>
        <w:pStyle w:val="SingleTxtG"/>
      </w:pPr>
      <w:r w:rsidRPr="00165D3B">
        <w:tab/>
      </w:r>
      <w:r>
        <w:t>g)</w:t>
      </w:r>
      <w:r>
        <w:tab/>
        <w:t>распоряжение министерства № 374–2025 от 29 июля 2025 года об утверждении руководящих принципов признания статуса резидента за лицами, которые беспрерывно проживали в стране, работают в стране, проживают в стране или обосновывают свое ходатайство гуманитарными соображениями, общественными интересами или семейными связями или родством;</w:t>
      </w:r>
    </w:p>
    <w:p w14:paraId="459A0335" w14:textId="5B450C30" w:rsidR="00AA4BAE" w:rsidRPr="00DC4794" w:rsidRDefault="00AA4BAE" w:rsidP="00AA4BAE">
      <w:pPr>
        <w:pStyle w:val="SingleTxtG"/>
      </w:pPr>
      <w:r w:rsidRPr="00165D3B">
        <w:tab/>
      </w:r>
      <w:r>
        <w:t>h)</w:t>
      </w:r>
      <w:r>
        <w:tab/>
        <w:t xml:space="preserve">Постановление о введении особого режима для разрешения въезда в страну без визы, в том числе по гуманитарным соображениям и причинам, связанным с трудовой деятельностью (Постановление правительства № 77–2023 от 9 марта </w:t>
      </w:r>
      <w:r w:rsidR="00165D3B" w:rsidRPr="00147392">
        <w:br/>
      </w:r>
      <w:r>
        <w:t>2023 года);</w:t>
      </w:r>
    </w:p>
    <w:p w14:paraId="4079E624" w14:textId="02F17F43" w:rsidR="00AA4BAE" w:rsidRPr="00DC4794" w:rsidRDefault="00AA4BAE" w:rsidP="00AA4BAE">
      <w:pPr>
        <w:pStyle w:val="SingleTxtG"/>
      </w:pPr>
      <w:r w:rsidRPr="00165D3B">
        <w:lastRenderedPageBreak/>
        <w:tab/>
      </w:r>
      <w:r>
        <w:t>i)</w:t>
      </w:r>
      <w:r>
        <w:tab/>
        <w:t xml:space="preserve">Постановление о порядке применения Закона о защите гондурасских мигрантов и членов их семей (Постановление правительства № 01-SG-2020 от </w:t>
      </w:r>
      <w:r w:rsidR="00165D3B" w:rsidRPr="00147392">
        <w:br/>
      </w:r>
      <w:r>
        <w:t>23 января 2020 года);</w:t>
      </w:r>
    </w:p>
    <w:p w14:paraId="1F7EBD69" w14:textId="457AAD99" w:rsidR="00AA4BAE" w:rsidRPr="00DC4794" w:rsidRDefault="00AA4BAE" w:rsidP="00AA4BAE">
      <w:pPr>
        <w:pStyle w:val="SingleTxtG"/>
      </w:pPr>
      <w:r w:rsidRPr="00165D3B">
        <w:tab/>
      </w:r>
      <w:r>
        <w:t>j)</w:t>
      </w:r>
      <w:r>
        <w:tab/>
        <w:t>Постановление об охране труда несовершеннолетних (Постановление правительства STSS-578–2020 от 30 октября 2020 года).</w:t>
      </w:r>
    </w:p>
    <w:p w14:paraId="5C351FD0" w14:textId="77777777" w:rsidR="00AA4BAE" w:rsidRPr="00DC4794" w:rsidRDefault="00AA4BAE" w:rsidP="00AA4BAE">
      <w:pPr>
        <w:pStyle w:val="SingleTxtG"/>
        <w:keepNext/>
        <w:keepLines/>
      </w:pPr>
      <w:r>
        <w:t>7.</w:t>
      </w:r>
      <w:r>
        <w:tab/>
        <w:t>Комитет также приветствует следующие институциональные и политические меры:</w:t>
      </w:r>
    </w:p>
    <w:p w14:paraId="7D125104" w14:textId="4EEE0C4C" w:rsidR="00AA4BAE" w:rsidRPr="00DC4794" w:rsidRDefault="00AA4BAE" w:rsidP="00AA4BAE">
      <w:pPr>
        <w:pStyle w:val="SingleTxtG"/>
      </w:pPr>
      <w:r w:rsidRPr="00165D3B">
        <w:tab/>
      </w:r>
      <w:r>
        <w:t>a)</w:t>
      </w:r>
      <w:r>
        <w:tab/>
        <w:t xml:space="preserve">принятие на основании Исполнительного указа PCM-08-2025 от </w:t>
      </w:r>
      <w:r w:rsidR="00165D3B" w:rsidRPr="00165D3B">
        <w:br/>
      </w:r>
      <w:r>
        <w:t>7 февраля 2025 года Национальной чрезвычайной стратегии по защите гондурасских мигрантов, которая предусматривает меры по защите гондурасских мигрантов с неурегулированным статусом, следующих транзитом или возвращающихся из Соединенных Штатов Америки, включая предоставление юридической и социальной помощ</w:t>
      </w:r>
      <w:r w:rsidR="00165D3B">
        <w:t>и</w:t>
      </w:r>
      <w:r>
        <w:t>, например по линии такой программы, как «Сестра, брат, возвращайся домой» (статья 7), в рамках которой мигрантам, вынужденно или добровольно вернувшимся из-за границы, предоставляется материальная помощь;</w:t>
      </w:r>
    </w:p>
    <w:p w14:paraId="42BAFA38" w14:textId="1D5AB151" w:rsidR="00AA4BAE" w:rsidRPr="00DC4794" w:rsidRDefault="00AA4BAE" w:rsidP="00AA4BAE">
      <w:pPr>
        <w:pStyle w:val="SingleTxtG"/>
      </w:pPr>
      <w:r w:rsidRPr="00165D3B">
        <w:tab/>
      </w:r>
      <w:r>
        <w:t>b)</w:t>
      </w:r>
      <w:r>
        <w:tab/>
        <w:t xml:space="preserve">принятие в июне 2024 года Национального плана реинтеграции </w:t>
      </w:r>
      <w:r w:rsidR="00165D3B">
        <w:br/>
      </w:r>
      <w:r>
        <w:t>(2024–2025 годы), который предусматривает меры по реинтеграции возвращающихся мигрантов и оказанию им помощи;</w:t>
      </w:r>
    </w:p>
    <w:p w14:paraId="1A1E0240" w14:textId="0D9860E8" w:rsidR="00AA4BAE" w:rsidRPr="00DC4794" w:rsidRDefault="00AA4BAE" w:rsidP="00AA4BAE">
      <w:pPr>
        <w:pStyle w:val="SingleTxtG"/>
      </w:pPr>
      <w:r w:rsidRPr="00165D3B">
        <w:tab/>
      </w:r>
      <w:r>
        <w:t>c)</w:t>
      </w:r>
      <w:r>
        <w:tab/>
        <w:t>создание Совета по управлению миграцией (Исполнительный указ PCM 21–2024</w:t>
      </w:r>
      <w:r w:rsidR="00165D3B">
        <w:t xml:space="preserve"> </w:t>
      </w:r>
      <w:r>
        <w:t>от 6 августа 2024 года) для координации национальной повестки дня в области миграции, в рамках которой основное внимание уделяется женщинам, молодежи и лицам из числа ЛГБТИК+, а также воссоединению несопровождаемых детей и подростков со своими семьями;</w:t>
      </w:r>
    </w:p>
    <w:p w14:paraId="0C4904CE" w14:textId="76F39D6A" w:rsidR="00AA4BAE" w:rsidRPr="00DC4794" w:rsidRDefault="00AA4BAE" w:rsidP="00AA4BAE">
      <w:pPr>
        <w:pStyle w:val="SingleTxtG"/>
      </w:pPr>
      <w:r w:rsidRPr="00165D3B">
        <w:tab/>
      </w:r>
      <w:r>
        <w:t>d)</w:t>
      </w:r>
      <w:r>
        <w:tab/>
        <w:t>создание Национальным конгрессом в 2022 году Специальной комиссии по вопросам миграции, которая стремится привлечь организации гражданского общества к участию в решении вопросов миграции;</w:t>
      </w:r>
    </w:p>
    <w:p w14:paraId="684A051C" w14:textId="7C1D5431" w:rsidR="00AA4BAE" w:rsidRPr="00DC4794" w:rsidRDefault="00AA4BAE" w:rsidP="00AA4BAE">
      <w:pPr>
        <w:pStyle w:val="SingleTxtG"/>
      </w:pPr>
      <w:r w:rsidRPr="00165D3B">
        <w:tab/>
      </w:r>
      <w:r>
        <w:t>e)</w:t>
      </w:r>
      <w:r>
        <w:tab/>
        <w:t>создание Комплексной системы защиты прав детей и подростков в Гондурасе (Исполнительный указ PCM 27-2014 от 6 июня 2014 года), муниципальных советов по защите прав детей и подростков (2019 год) и принятие Национальной политики в отношении детей и подростков (на 2024</w:t>
      </w:r>
      <w:r w:rsidR="00165D3B">
        <w:t>–</w:t>
      </w:r>
      <w:r>
        <w:t>2033 годы), которые предусматривают осуществление деятельности по многочисленным направлениям для защиты детей в контексте миграции;</w:t>
      </w:r>
    </w:p>
    <w:p w14:paraId="7AB2FECD" w14:textId="1E7BD83B" w:rsidR="00AA4BAE" w:rsidRPr="00DC4794" w:rsidRDefault="00AA4BAE" w:rsidP="00AA4BAE">
      <w:pPr>
        <w:pStyle w:val="SingleTxtG"/>
      </w:pPr>
      <w:r w:rsidRPr="00165D3B">
        <w:tab/>
      </w:r>
      <w:r>
        <w:t>f)</w:t>
      </w:r>
      <w:r>
        <w:tab/>
        <w:t>принятие в апреле 2017 года Национальной политики в области занятости (на 2017–2028 годы), которая предусматривает меры по содействию доступу к работе для трудящихся-мигрантов;</w:t>
      </w:r>
    </w:p>
    <w:p w14:paraId="3FE5F370" w14:textId="33A73D69" w:rsidR="00AA4BAE" w:rsidRPr="00DC4794" w:rsidRDefault="00AA4BAE" w:rsidP="00AA4BAE">
      <w:pPr>
        <w:pStyle w:val="SingleTxtG"/>
      </w:pPr>
      <w:r w:rsidRPr="00165D3B">
        <w:tab/>
      </w:r>
      <w:r>
        <w:t>g)</w:t>
      </w:r>
      <w:r>
        <w:tab/>
        <w:t>утверждение Дорожной карты по ликвидации всех форм детского труда на 2021–2025</w:t>
      </w:r>
      <w:r w:rsidR="00165D3B">
        <w:t xml:space="preserve"> </w:t>
      </w:r>
      <w:r>
        <w:t>годы (Постановление STSS-177-2021 от 1 июня 2021 года) и Протокола об охвате детей, занятых детским трудом, государственными социальными программами (Постановление STSS-389-2019 от 30 июля 2019 года);</w:t>
      </w:r>
    </w:p>
    <w:p w14:paraId="73B8D7FE" w14:textId="143BAAC6" w:rsidR="00AA4BAE" w:rsidRPr="00DC4794" w:rsidRDefault="00AA4BAE" w:rsidP="00AA4BAE">
      <w:pPr>
        <w:pStyle w:val="SingleTxtG"/>
      </w:pPr>
      <w:r w:rsidRPr="00165D3B">
        <w:tab/>
      </w:r>
      <w:r>
        <w:t>h)</w:t>
      </w:r>
      <w:r>
        <w:tab/>
        <w:t>расширение в период 2017</w:t>
      </w:r>
      <w:r w:rsidR="00165D3B">
        <w:t>–</w:t>
      </w:r>
      <w:r>
        <w:t xml:space="preserve">2021 годов консульской сети в таких странах назначения, как Соединенные Штаты Америки и Мексика; создание с 2024 года </w:t>
      </w:r>
      <w:r w:rsidR="00165D3B">
        <w:br/>
      </w:r>
      <w:r>
        <w:t>17 мобильных консульств в Соединенных Штатах Америки и принятие руководств по поиску пропавших без вести мигрантов; оказание помощи задержанным мигрантам; специализированная защита детей и подростков, а также их возвращение, репатриация и реинтеграция.</w:t>
      </w:r>
    </w:p>
    <w:p w14:paraId="15430FFB" w14:textId="77777777" w:rsidR="00AA4BAE" w:rsidRPr="00DC4794" w:rsidRDefault="00AA4BAE" w:rsidP="00AA4BAE">
      <w:pPr>
        <w:pStyle w:val="SingleTxtG"/>
      </w:pPr>
      <w:r>
        <w:t>8.</w:t>
      </w:r>
      <w:r>
        <w:tab/>
        <w:t>Комитет с удовлетворением отмечает, что государство-участник проголосовало за Глобальный договор о безопасной, упорядоченной и легальной миграции, одобренный Генеральной Ассамблеей в ее резолюции 73/195, и что оно входит в число стран, движущихся в авангарде реализации Глобального договора. Комитет рекомендует государству-участнику и впредь прилагать усилия по осуществлению Договора в соответствии со своими международными обязательствами, вытекающими из Конвенции и других международных договоров по правам человека.</w:t>
      </w:r>
    </w:p>
    <w:p w14:paraId="48C8C874" w14:textId="501326BA" w:rsidR="00AA4BAE" w:rsidRPr="00DC4794" w:rsidRDefault="00AA4BAE" w:rsidP="00AA4BAE">
      <w:pPr>
        <w:pStyle w:val="H1G"/>
      </w:pPr>
      <w:r w:rsidRPr="00165D3B">
        <w:rPr>
          <w:bCs/>
        </w:rPr>
        <w:lastRenderedPageBreak/>
        <w:tab/>
      </w:r>
      <w:r>
        <w:rPr>
          <w:bCs/>
        </w:rPr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="00165D3B">
        <w:rPr>
          <w:bCs/>
        </w:rPr>
        <w:br/>
      </w:r>
      <w:r>
        <w:rPr>
          <w:bCs/>
        </w:rPr>
        <w:t>и рекомендации</w:t>
      </w:r>
    </w:p>
    <w:p w14:paraId="59BEF3CA" w14:textId="2C838E35" w:rsidR="00AA4BAE" w:rsidRPr="00DC4794" w:rsidRDefault="00AA4BAE" w:rsidP="00AA4BAE">
      <w:pPr>
        <w:pStyle w:val="H23G"/>
      </w:pPr>
      <w:r w:rsidRPr="00165D3B">
        <w:rPr>
          <w:bCs/>
        </w:rPr>
        <w:tab/>
      </w:r>
      <w:r>
        <w:rPr>
          <w:bCs/>
        </w:rPr>
        <w:t>1.</w:t>
      </w:r>
      <w:r>
        <w:tab/>
      </w:r>
      <w:r>
        <w:rPr>
          <w:bCs/>
        </w:rPr>
        <w:t>Общие меры по осуществлению (статьи 73 и 84)</w:t>
      </w:r>
    </w:p>
    <w:p w14:paraId="0D9B6A92" w14:textId="77777777" w:rsidR="00AA4BAE" w:rsidRPr="00DC4794" w:rsidRDefault="00AA4BAE" w:rsidP="00AA4BAE">
      <w:pPr>
        <w:pStyle w:val="H23G"/>
        <w:rPr>
          <w:i/>
        </w:rPr>
      </w:pPr>
      <w:r>
        <w:tab/>
      </w:r>
      <w:r>
        <w:tab/>
      </w:r>
      <w:r>
        <w:rPr>
          <w:bCs/>
        </w:rPr>
        <w:t>Законодательство и его применение</w:t>
      </w:r>
      <w:r>
        <w:t xml:space="preserve"> </w:t>
      </w:r>
      <w:bookmarkStart w:id="0" w:name="_Hlk219391864"/>
      <w:bookmarkEnd w:id="0"/>
    </w:p>
    <w:p w14:paraId="1E5422E1" w14:textId="09C17B46" w:rsidR="00AA4BAE" w:rsidRPr="00DC4794" w:rsidRDefault="00AA4BAE" w:rsidP="00AA4BAE">
      <w:pPr>
        <w:pStyle w:val="SingleTxtG"/>
      </w:pPr>
      <w:r>
        <w:t>9.</w:t>
      </w:r>
      <w:r>
        <w:tab/>
        <w:t xml:space="preserve">Комитет принимает к сведению принятие законодательных мер и секторальных и демографических стратегий, которые позволили государству-участнику реагировать на такие ситуации, как увеличение потока трудящихся-мигрантов и членов их семей, следующих транзитом или возвращающихся на родину. Однако Комитет вновь выражает обеспокоенность в связи с незавершением процессов пересмотра Закона о защите гондурасских мигрантов и членов их семей (Законодательный декрет № 106-2013) и подзаконных актов к нему (Постановление правительства № 01-SG-2020 от </w:t>
      </w:r>
      <w:r w:rsidR="00165D3B">
        <w:br/>
      </w:r>
      <w:r>
        <w:t>23 января 2020 года) и внесения в них поправок с целью их приведения в полное соответствие с Конвенцией и другими договорами по правам человека, действующими в государстве-участнике. Кроме того, он выражает сожаление по поводу задержек с принятием законодательства, направленного на защиту детей, в том числе в контексте миграции, а также комплексной, устойчивой и гуманной государственной миграционной политики Гондураса, ее стратегических рамок и плана действий и мониторинга, которые разрабатываются с 2020 года.</w:t>
      </w:r>
    </w:p>
    <w:p w14:paraId="1CCAE24A" w14:textId="77777777" w:rsidR="00AA4BAE" w:rsidRPr="00DC4794" w:rsidRDefault="00AA4BAE" w:rsidP="00AA4BAE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DB04E4">
        <w:rPr>
          <w:sz w:val="18"/>
          <w:szCs w:val="18"/>
          <w:vertAlign w:val="superscript"/>
        </w:rPr>
        <w:footnoteReference w:id="6"/>
      </w:r>
      <w:r>
        <w:rPr>
          <w:b/>
          <w:bCs/>
        </w:rPr>
        <w:t xml:space="preserve"> и рекомендует государству-участнику:</w:t>
      </w:r>
    </w:p>
    <w:p w14:paraId="2E57EE7A" w14:textId="27756720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в кратчайшие сроки представить Национальному конгрессу проекты поправок к Закону о защите гондурасских мигрантов и членов их семей и содействовать их обсуждению и возможному утверждению, с тем чтобы создать нормативную базу, соответствующую Конвенции и другим договорам по правам человека, действующим в государстве-участнике, рекомендациям, сформулированным в настоящих заключительных замечаниях, и всем стандартам, разработанным Комитетом;</w:t>
      </w:r>
    </w:p>
    <w:p w14:paraId="7E647DA2" w14:textId="5E01FC9B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ускорить подготовку и представление в Национальном конгрессе законопроекта о защите детей и подростков, включающего положения о защите прав всех детей в контексте миграции, независимо от их миграционного статуса или статуса их родителей;</w:t>
      </w:r>
    </w:p>
    <w:p w14:paraId="70349C58" w14:textId="0D44B92D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принять необходимые меры для утверждения и эффективного осуществления комплексной, устойчивой и гуманной государственной миграционной политики Гондураса, а также ее стратегических рамок и плана действий и мониторинга, обеспечив соответствие ее целей положениям Конвенции и других применимых договоров по правам человека.</w:t>
      </w:r>
    </w:p>
    <w:p w14:paraId="2D5EDCC6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Статьи 76 и 77</w:t>
      </w:r>
    </w:p>
    <w:p w14:paraId="2B4854B3" w14:textId="77777777" w:rsidR="00AA4BAE" w:rsidRPr="00DC4794" w:rsidRDefault="00AA4BAE" w:rsidP="00AA4BAE">
      <w:pPr>
        <w:pStyle w:val="SingleTxtG"/>
      </w:pPr>
      <w:r>
        <w:t>11.</w:t>
      </w:r>
      <w:r>
        <w:tab/>
        <w:t>Комитет с обеспокоенностью отмечает, что государство-участник еще не сделало предусмотренных статьями 76 и 77 Конвенции заявлений о признании компетенции Комитета получать сообщения от государств-участников и отдельных лиц.</w:t>
      </w:r>
    </w:p>
    <w:p w14:paraId="10E6166B" w14:textId="5EA2EDC4" w:rsidR="00AA4BAE" w:rsidRPr="00DC4794" w:rsidRDefault="00AA4BAE" w:rsidP="00AA4BAE">
      <w:pPr>
        <w:pStyle w:val="SingleTxtG"/>
      </w:pPr>
      <w:r>
        <w:t>12.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DB04E4">
        <w:rPr>
          <w:sz w:val="18"/>
          <w:szCs w:val="18"/>
          <w:vertAlign w:val="superscript"/>
        </w:rPr>
        <w:footnoteReference w:id="7"/>
      </w:r>
      <w:r>
        <w:rPr>
          <w:b/>
          <w:bCs/>
        </w:rPr>
        <w:t xml:space="preserve"> и настоятельно призывает государство-участник сделать заявления, предусмотренные </w:t>
      </w:r>
      <w:r w:rsidR="00165D3B">
        <w:rPr>
          <w:b/>
          <w:bCs/>
        </w:rPr>
        <w:br/>
      </w:r>
      <w:r>
        <w:rPr>
          <w:b/>
          <w:bCs/>
        </w:rPr>
        <w:t>статьями 76 и 77 Конвенции.</w:t>
      </w:r>
    </w:p>
    <w:p w14:paraId="65F6D3F8" w14:textId="77777777" w:rsidR="00AA4BAE" w:rsidRPr="00DC4794" w:rsidRDefault="00AA4BAE" w:rsidP="00165D3B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Ратификация соответствующих договоров</w:t>
      </w:r>
    </w:p>
    <w:p w14:paraId="492ECDC6" w14:textId="77777777" w:rsidR="00AA4BAE" w:rsidRPr="00DC4794" w:rsidRDefault="00AA4BAE" w:rsidP="00AA4BAE">
      <w:pPr>
        <w:pStyle w:val="SingleTxtG"/>
      </w:pPr>
      <w:r>
        <w:t>13.</w:t>
      </w:r>
      <w:r>
        <w:tab/>
        <w:t>Комитет с обеспокоенностью отмечает, что:</w:t>
      </w:r>
    </w:p>
    <w:p w14:paraId="2399085D" w14:textId="052A8032" w:rsidR="00AA4BAE" w:rsidRPr="00DC4794" w:rsidRDefault="00AA4BAE" w:rsidP="00AA4BAE">
      <w:pPr>
        <w:pStyle w:val="SingleTxtG"/>
      </w:pPr>
      <w:r w:rsidRPr="00165D3B">
        <w:tab/>
      </w:r>
      <w:r>
        <w:t>a)</w:t>
      </w:r>
      <w:r>
        <w:tab/>
        <w:t>государство-участник еще не ратифицировало конвенции № 97, 143, 155, 181, 187, 189 и 190 Международной организации труда (МОТ), которые обеспечивают дополнительную систему защиты трудящихся-мигрантов, согласующуюся с Конвенцией;</w:t>
      </w:r>
    </w:p>
    <w:p w14:paraId="40E28CAF" w14:textId="2080B849" w:rsidR="00AA4BAE" w:rsidRPr="00DC4794" w:rsidRDefault="00AA4BAE" w:rsidP="00AA4BAE">
      <w:pPr>
        <w:pStyle w:val="SingleTxtG"/>
      </w:pPr>
      <w:r w:rsidRPr="00165D3B">
        <w:tab/>
      </w:r>
      <w:r>
        <w:t>b)</w:t>
      </w:r>
      <w:r>
        <w:tab/>
        <w:t>несколько факультативных протоколов к основным договорам по правам человека все еще ожидают ратификации.</w:t>
      </w:r>
    </w:p>
    <w:p w14:paraId="4E3BF88E" w14:textId="77777777" w:rsidR="00AA4BAE" w:rsidRPr="00DC4794" w:rsidRDefault="00AA4BAE" w:rsidP="00AA4BAE">
      <w:pPr>
        <w:pStyle w:val="SingleTxtG"/>
      </w:pPr>
      <w:r>
        <w:t>14.</w:t>
      </w:r>
      <w:r>
        <w:tab/>
      </w:r>
      <w:r>
        <w:rPr>
          <w:b/>
          <w:bCs/>
        </w:rPr>
        <w:t>Комитет обращает особое внимание на рекомендации, сформулированные Рабочей группой по универсальному периодическому обзору Совета по правам человека в ноябре 2025 года в ходе рассмотрения доклада Гондураса в рамках четвертого цикла универсального периодического обзора по государству-участнику</w:t>
      </w:r>
      <w:r w:rsidRPr="00DB04E4">
        <w:rPr>
          <w:sz w:val="18"/>
          <w:szCs w:val="18"/>
          <w:vertAlign w:val="superscript"/>
        </w:rPr>
        <w:footnoteReference w:id="8"/>
      </w:r>
      <w:r>
        <w:t xml:space="preserve">, </w:t>
      </w:r>
      <w:r>
        <w:rPr>
          <w:b/>
          <w:bCs/>
        </w:rPr>
        <w:t>и рекомендует государству-участнику:</w:t>
      </w:r>
    </w:p>
    <w:p w14:paraId="6DBB3766" w14:textId="113A6F18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ратифицировать как можно скорее следующие конвенции МОТ или присоединиться к ним: Конвенцию (пересмотренную) 1949 года о работниках-мигрантах (№</w:t>
      </w:r>
      <w:r w:rsidR="00147392">
        <w:rPr>
          <w:b/>
          <w:bCs/>
        </w:rPr>
        <w:t> </w:t>
      </w:r>
      <w:r>
        <w:rPr>
          <w:b/>
          <w:bCs/>
        </w:rPr>
        <w:t>97);</w:t>
      </w:r>
      <w:r>
        <w:t xml:space="preserve"> </w:t>
      </w:r>
      <w:r>
        <w:rPr>
          <w:b/>
          <w:bCs/>
        </w:rPr>
        <w:t>Конвенцию 1975 года о трудящихся-мигрантах (дополнительные положения) (№ 143);</w:t>
      </w:r>
      <w:r>
        <w:t xml:space="preserve"> </w:t>
      </w:r>
      <w:r>
        <w:rPr>
          <w:b/>
          <w:bCs/>
        </w:rPr>
        <w:t>Конвенцию 1981 года о безопасности и гигиене труда (№ 155);</w:t>
      </w:r>
      <w:r>
        <w:t xml:space="preserve"> </w:t>
      </w:r>
      <w:r>
        <w:rPr>
          <w:b/>
          <w:bCs/>
        </w:rPr>
        <w:t xml:space="preserve">Конвенцию 1997 года о частных агентствах занятости </w:t>
      </w:r>
      <w:r w:rsidR="00165D3B">
        <w:rPr>
          <w:b/>
          <w:bCs/>
        </w:rPr>
        <w:br/>
      </w:r>
      <w:r>
        <w:rPr>
          <w:b/>
          <w:bCs/>
        </w:rPr>
        <w:t>(№ 181);</w:t>
      </w:r>
      <w:r>
        <w:t xml:space="preserve"> </w:t>
      </w:r>
      <w:r>
        <w:rPr>
          <w:b/>
          <w:bCs/>
        </w:rPr>
        <w:t>Конвенцию 2006 года об основах, содействующих безопасности и гигиене труда (№ 187);</w:t>
      </w:r>
      <w:r>
        <w:t xml:space="preserve"> </w:t>
      </w:r>
      <w:r>
        <w:rPr>
          <w:b/>
          <w:bCs/>
        </w:rPr>
        <w:t xml:space="preserve">Конвенцию 2011 года о достойном труде домашних работников </w:t>
      </w:r>
      <w:r w:rsidR="00165D3B">
        <w:rPr>
          <w:b/>
          <w:bCs/>
        </w:rPr>
        <w:br/>
      </w:r>
      <w:r>
        <w:rPr>
          <w:b/>
          <w:bCs/>
        </w:rPr>
        <w:t>(№ 189) и Конвенцию 2019 года об искоренении насилия и домогательств (№ 190), проведя при этом консультации со структурами всех социальных секторов, включая профсоюзные организации, организации, занимающиеся защитой прав трудящихся-мигрантов, женские и молодежные организации, и обеспечив участие их всех в процессе ратификации;</w:t>
      </w:r>
    </w:p>
    <w:p w14:paraId="42493FC3" w14:textId="5F6354F7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принять в консультации с частным сектором и трудящимися законодательство и планы действий, необходимые для осуществления конвенций МОТ, участником которых оно является;</w:t>
      </w:r>
    </w:p>
    <w:p w14:paraId="0F1FF17C" w14:textId="00BF6AF1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ратифицировать как можно скорее международные договоры по правам человека, участником которых оно еще не является, включая Факультативный протокол к Конвенции о правах ребенка, касающийся процедуры сообщений, и Факультативный протокол к Конвенции о ликвидации всех форм дискриминации в отношении женщин.</w:t>
      </w:r>
    </w:p>
    <w:p w14:paraId="577FED20" w14:textId="77777777" w:rsidR="00AA4BAE" w:rsidRPr="00DC4794" w:rsidRDefault="00AA4BAE" w:rsidP="00AA4BAE">
      <w:pPr>
        <w:pStyle w:val="H23G"/>
        <w:rPr>
          <w:bCs/>
          <w:i/>
          <w:iCs/>
        </w:rPr>
      </w:pPr>
      <w:r>
        <w:tab/>
      </w:r>
      <w:r>
        <w:tab/>
      </w:r>
      <w:r>
        <w:rPr>
          <w:bCs/>
        </w:rPr>
        <w:t>Сбор данных</w:t>
      </w:r>
    </w:p>
    <w:p w14:paraId="61B8BE9D" w14:textId="77777777" w:rsidR="00AA4BAE" w:rsidRPr="00DC4794" w:rsidRDefault="00AA4BAE" w:rsidP="00AA4BAE">
      <w:pPr>
        <w:pStyle w:val="SingleTxtG"/>
      </w:pPr>
      <w:r>
        <w:t>15.</w:t>
      </w:r>
      <w:r>
        <w:tab/>
        <w:t>Комитет отмечает усилия по подготовке первого миграционного профиля государства-участника и развитию сотрудничества с международными организациями, а также по проведению опросов на муниципальном уровне и сбору данных о потребностях мигрантов, следующих транзитом через государство-участник. Тем не менее Комитет с обеспокоенностью отмечает:</w:t>
      </w:r>
    </w:p>
    <w:p w14:paraId="07756CA6" w14:textId="4A763F8B" w:rsidR="00AA4BAE" w:rsidRPr="00DC4794" w:rsidRDefault="00AA4BAE" w:rsidP="00AA4BAE">
      <w:pPr>
        <w:pStyle w:val="SingleTxtG"/>
      </w:pPr>
      <w:r w:rsidRPr="00165D3B">
        <w:tab/>
      </w:r>
      <w:r>
        <w:t>a)</w:t>
      </w:r>
      <w:r>
        <w:tab/>
        <w:t>по-прежнему недостаточный объем дезагрегированных данных о положении трудящихся-мигрантов, включая трудящихся-мигрантов, не имеющих документов, просителей убежища и беженцев;</w:t>
      </w:r>
    </w:p>
    <w:p w14:paraId="3ED5C717" w14:textId="4B3F220B" w:rsidR="00AA4BAE" w:rsidRPr="00DC4794" w:rsidRDefault="00AA4BAE" w:rsidP="00AA4BAE">
      <w:pPr>
        <w:pStyle w:val="SingleTxtG"/>
      </w:pPr>
      <w:r w:rsidRPr="00165D3B">
        <w:tab/>
      </w:r>
      <w:r>
        <w:t>b)</w:t>
      </w:r>
      <w:r>
        <w:tab/>
        <w:t xml:space="preserve">занижение сведений о мигрантах в официальной статистике миграции, согласно которой на территории государства-участника находится лишь </w:t>
      </w:r>
      <w:r w:rsidR="00521B7E">
        <w:br/>
      </w:r>
      <w:r>
        <w:t>37</w:t>
      </w:r>
      <w:r w:rsidR="00521B7E">
        <w:t> </w:t>
      </w:r>
      <w:r>
        <w:t>912 трудящихся-мигрантов;</w:t>
      </w:r>
    </w:p>
    <w:p w14:paraId="2A438C55" w14:textId="3DBD6843" w:rsidR="00AA4BAE" w:rsidRPr="00DC4794" w:rsidRDefault="00AA4BAE" w:rsidP="00AA4BAE">
      <w:pPr>
        <w:pStyle w:val="SingleTxtG"/>
      </w:pPr>
      <w:r w:rsidRPr="00165D3B">
        <w:tab/>
      </w:r>
      <w:r>
        <w:t>c)</w:t>
      </w:r>
      <w:r>
        <w:tab/>
        <w:t>наличие ограниченной качественной информации о положении мигрантов в государстве-участнике и его граждан в третьих странах, включая отсутствие информации о причинах миграции, а также о лицах из числа коренных народов и гондурасцах африканского происхождения, которые подверглись внутреннему перемещению или находятся в ситуации вынужденной миграции.</w:t>
      </w:r>
    </w:p>
    <w:p w14:paraId="7C6B5D96" w14:textId="77777777" w:rsidR="00AA4BAE" w:rsidRPr="00DC4794" w:rsidRDefault="00AA4BAE" w:rsidP="00AA4BAE">
      <w:pPr>
        <w:pStyle w:val="SingleTxtG"/>
        <w:rPr>
          <w:b/>
          <w:bCs/>
        </w:rPr>
      </w:pPr>
      <w:r>
        <w:lastRenderedPageBreak/>
        <w:t>16.</w:t>
      </w:r>
      <w:r>
        <w:tab/>
      </w:r>
      <w:r>
        <w:rPr>
          <w:b/>
          <w:bCs/>
        </w:rPr>
        <w:t>Комитет подтверждает свои предыдущие рекомендации</w:t>
      </w:r>
      <w:r w:rsidRPr="00DB04E4">
        <w:rPr>
          <w:sz w:val="18"/>
          <w:szCs w:val="18"/>
          <w:vertAlign w:val="superscript"/>
        </w:rPr>
        <w:footnoteReference w:id="9"/>
      </w:r>
      <w:r>
        <w:rPr>
          <w:b/>
          <w:bCs/>
        </w:rPr>
        <w:t xml:space="preserve"> и в соответствии с задачей 17.18 Целей в области устойчивого развития рекомендует государству-участнику:</w:t>
      </w:r>
    </w:p>
    <w:p w14:paraId="3DF232FC" w14:textId="2655AA3C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обеспечить, чтобы в программу следующей национальной переписи населения были включены вопросы и показатели, касающиеся численности и положения трудящихся-мигрантов и членов их семей, с учетом таких факторов, как миграционный статус, инвалидность, возраст, гражданство, гендерная идентичность, сексуальная ориентация и этническое происхождение;</w:t>
      </w:r>
    </w:p>
    <w:p w14:paraId="0F9AD22E" w14:textId="3F7075BF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организовать с помощью статистических систем, имеющихся в государстве-участнике, сбор статистических данных о трудящихся-мигрантах и членах их семей и обеспечить, чтобы собранные статистические данные учитывались при разработке и осуществлении законодательства и государственной политики в области миграции и в таких секторах, как занятость, образование, здравоохранение, доступ к правосудию, политика гендерного равенства и всестороннего развития детей;</w:t>
      </w:r>
    </w:p>
    <w:p w14:paraId="417DE004" w14:textId="5861F1D5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обеспечить регулярный сбор качественных и количественных статистических данных Наблюдательным центром Гондураса по консульским услугам и вопросам миграции, в том числе о лицах, вернувшихся из третьих стран, и поощрять участие организаций гражданского общества в процессе принятия качественных критериев сбора данных;</w:t>
      </w:r>
    </w:p>
    <w:p w14:paraId="1507C0DD" w14:textId="4087633A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провести исследования в целях изучения положения трудящихся-мигрантов и их семей, трудящихся-мигрантов, следующих транзитом, и граждан, работающих за рубежом, и членов их семей, в том числе тех, кто не имеет урегулированного статуса, а также получения информации о числе граждан Гондураса, которые добровольно или вынужденно покидают страну или перемещаются внутри страны, включая лиц из числа коренных народов и гондурасцев африканского происхождения.</w:t>
      </w:r>
    </w:p>
    <w:p w14:paraId="657E95BB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444310A8" w14:textId="2594D14E" w:rsidR="00AA4BAE" w:rsidRPr="00DC4794" w:rsidRDefault="00AA4BAE" w:rsidP="00AA4BAE">
      <w:pPr>
        <w:pStyle w:val="SingleTxtG"/>
      </w:pPr>
      <w:r>
        <w:t>17.</w:t>
      </w:r>
      <w:r>
        <w:tab/>
        <w:t>Комитет отмечает повторную аккредитацию Управления Национального уполномоченного по правам человека со статусом «А» Глобальным альянсом национальных правозащитных учреждений, а также работу Управления по вопросам мобильности населения и его региональных и департаментских отделений. Однако Комитет с обеспокоенностью отмечает, что доля Управления Национального уполномоченного по правам человека (0,3</w:t>
      </w:r>
      <w:r w:rsidR="00521B7E">
        <w:t> </w:t>
      </w:r>
      <w:r>
        <w:t>%) в расходной части национального бюджета по-прежнему является минимальной и, согласно прогнозам, будет еще больше сокращена в 2026 году. Он также обеспокоен существующими ограничениями в отношении юридического представительства детей и взрослых в рамках административных процессов, связанных с их миграционным статусом, а также при задержании и депортации, равно как и в отношении предоставления юридических консультаций в части механизмов возмещения ущерба жертвам нарушений прав человека в государстве-участнике или за его пределами.</w:t>
      </w:r>
    </w:p>
    <w:p w14:paraId="5BE2E22F" w14:textId="77777777" w:rsidR="00AA4BAE" w:rsidRPr="00DC4794" w:rsidRDefault="00AA4BAE" w:rsidP="00AA4BAE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DB04E4">
        <w:rPr>
          <w:sz w:val="18"/>
          <w:szCs w:val="18"/>
          <w:vertAlign w:val="superscript"/>
        </w:rPr>
        <w:footnoteReference w:id="10"/>
      </w:r>
      <w:r>
        <w:rPr>
          <w:b/>
          <w:bCs/>
        </w:rPr>
        <w:t xml:space="preserve"> и рекомендует государству-участнику:</w:t>
      </w:r>
    </w:p>
    <w:p w14:paraId="2A0C0728" w14:textId="24F682A9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увеличивать на устойчивой основе ассигнования, выделяемые из бюджета Управлению Национального уполномоченного по правам человека, и обеспечивать, чтобы он мог независимо выполнять свои полномочия на национальном, региональном и департаментском уровнях, располагая для этого достаточными людскими и техническими ресурсами;</w:t>
      </w:r>
    </w:p>
    <w:p w14:paraId="2A7B5A75" w14:textId="1FFF5807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 xml:space="preserve">обеспечить, чтобы Управление Национального уполномоченного по правам человека располагало полномочиями вмешиваться в процесс принятия административных решений по вопросам миграции и определения статуса </w:t>
      </w:r>
      <w:r>
        <w:rPr>
          <w:b/>
          <w:bCs/>
        </w:rPr>
        <w:lastRenderedPageBreak/>
        <w:t>беженца в целях контроля за соблюдением процессуальных гарантий и предотвращения нарушений прав человека при задержании, принятии решений о миграционном статусе и депортации.</w:t>
      </w:r>
      <w:r>
        <w:t xml:space="preserve"> </w:t>
      </w:r>
      <w:r>
        <w:rPr>
          <w:b/>
          <w:bCs/>
        </w:rPr>
        <w:t>Государству-участнику следует обеспечить, чтобы Управление Национального уполномоченного по правам человека могло оказывать юридическую помощь прямым или косвенным жертвам в рамках процессов в национальных органах или за рубежом.</w:t>
      </w:r>
    </w:p>
    <w:p w14:paraId="5949F492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Участие гражданского общества</w:t>
      </w:r>
    </w:p>
    <w:p w14:paraId="05387C7B" w14:textId="77777777" w:rsidR="00AA4BAE" w:rsidRPr="00DC4794" w:rsidRDefault="00AA4BAE" w:rsidP="00AA4BAE">
      <w:pPr>
        <w:pStyle w:val="SingleTxtG"/>
      </w:pPr>
      <w:r>
        <w:t>19.</w:t>
      </w:r>
      <w:r>
        <w:tab/>
        <w:t>Комитет выражает обеспокоенность в связи с полученной информацией о неучастии Управления Национального уполномоченного по правам человека и гражданского общества в процессах обсуждения законодательства, касающегося трудящихся-мигрантов и членов их семей, включая возвратившихся лиц, а также в разработке документов государственной политики в области насильственных исчезновений, таких как Протокол о поиске пропавших без вести лиц.</w:t>
      </w:r>
    </w:p>
    <w:p w14:paraId="630C1C53" w14:textId="77777777" w:rsidR="00AA4BAE" w:rsidRPr="00DC4794" w:rsidRDefault="00AA4BAE" w:rsidP="00AA4BAE">
      <w:pPr>
        <w:pStyle w:val="SingleTxtG"/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укрепить механизмы консультаций и обеспечить эффективное участие Управления Национального уполномоченного по правам человека и гражданского общества в законодательных процессах и процессах разработки государственной политики, связанных с правами трудящихся-мигрантов и членов их семей, а также в других процессах, которые могут затрагивать их права, в том числе расширить их участие в периодически проводимом Национальном форуме по вопросам миграции, уделять должное внимание предложениям, поступающим в ходе консультаций с общественностью, и проводить консультации с использованием цифровых средств для обеспечения участия в них как можно более широкого круга сторон.</w:t>
      </w:r>
    </w:p>
    <w:p w14:paraId="62A78B58" w14:textId="21E0B4B9" w:rsidR="00AA4BAE" w:rsidRPr="00DC4794" w:rsidRDefault="00AA4BAE" w:rsidP="00AA4BAE">
      <w:pPr>
        <w:pStyle w:val="H23G"/>
      </w:pPr>
      <w:r w:rsidRPr="00165D3B">
        <w:rPr>
          <w:bCs/>
        </w:rPr>
        <w:tab/>
      </w:r>
      <w:r>
        <w:rPr>
          <w:bCs/>
        </w:rPr>
        <w:t>2.</w:t>
      </w:r>
      <w:r>
        <w:tab/>
      </w:r>
      <w:r>
        <w:rPr>
          <w:bCs/>
        </w:rPr>
        <w:t>Общие принципы (статьи 7 и 83)</w:t>
      </w:r>
    </w:p>
    <w:p w14:paraId="50999E16" w14:textId="77777777" w:rsidR="00AA4BAE" w:rsidRPr="00DC4794" w:rsidRDefault="00AA4BAE" w:rsidP="00AA4BAE">
      <w:pPr>
        <w:pStyle w:val="H23G"/>
        <w:rPr>
          <w:i/>
        </w:rPr>
      </w:pPr>
      <w:r>
        <w:tab/>
      </w:r>
      <w:r>
        <w:tab/>
      </w:r>
      <w:r>
        <w:rPr>
          <w:bCs/>
        </w:rPr>
        <w:t>Недискриминация</w:t>
      </w:r>
    </w:p>
    <w:p w14:paraId="30529A25" w14:textId="77777777" w:rsidR="00AA4BAE" w:rsidRPr="00DC4794" w:rsidRDefault="00AA4BAE" w:rsidP="00AA4BAE">
      <w:pPr>
        <w:pStyle w:val="SingleTxtG"/>
        <w:spacing w:after="130"/>
      </w:pPr>
      <w:r>
        <w:t>21.</w:t>
      </w:r>
      <w:r>
        <w:tab/>
        <w:t>Комитет отмечает, что в Уголовном кодексе дискриминация по различным признакам квалифицируется в качестве преступления. Вместе с тем Комитет выражает обеспокоенность по поводу:</w:t>
      </w:r>
    </w:p>
    <w:p w14:paraId="6BF04359" w14:textId="4481EF2E" w:rsidR="00AA4BAE" w:rsidRPr="00DC4794" w:rsidRDefault="00AA4BAE" w:rsidP="00AA4BAE">
      <w:pPr>
        <w:pStyle w:val="SingleTxtG"/>
        <w:spacing w:after="130"/>
      </w:pPr>
      <w:r w:rsidRPr="00165D3B">
        <w:tab/>
      </w:r>
      <w:r>
        <w:t>a)</w:t>
      </w:r>
      <w:r>
        <w:tab/>
        <w:t>отсутствия закона, который бы обеспечивал реализацию права на равенство и недискриминацию и предусматривал применение комплексного подхода, в том числе учет множественной и перекрестной дискриминации по признаку миграционного статуса в сочетании с такими факторами, как возраст, пол, инвалидность, социально-экономическое положение, гендерная идентичность, сексуальная ориентация и этническое происхождение;</w:t>
      </w:r>
    </w:p>
    <w:p w14:paraId="7B54993A" w14:textId="47C1869C" w:rsidR="00AA4BAE" w:rsidRPr="00DC4794" w:rsidRDefault="00AA4BAE" w:rsidP="00AA4BAE">
      <w:pPr>
        <w:pStyle w:val="SingleTxtG"/>
        <w:spacing w:after="130"/>
      </w:pPr>
      <w:r w:rsidRPr="00165D3B">
        <w:tab/>
      </w:r>
      <w:r>
        <w:t>b)</w:t>
      </w:r>
      <w:r>
        <w:tab/>
        <w:t>перекрестной дискриминации, которая увеличивает риск того, что трудящиеся женщины-мигранты и члены их семей столкнутся с гендерным насилием и другими формами дискриминации и маргинализации в процессе миграции, подачи ходатайства о предоставлении убежища, проживания в стране назначения и возвращения;</w:t>
      </w:r>
    </w:p>
    <w:p w14:paraId="7787357C" w14:textId="6655F2C6" w:rsidR="00AA4BAE" w:rsidRPr="00DC4794" w:rsidRDefault="00AA4BAE" w:rsidP="00AA4BAE">
      <w:pPr>
        <w:pStyle w:val="SingleTxtG"/>
        <w:spacing w:after="130"/>
      </w:pPr>
      <w:r w:rsidRPr="00165D3B">
        <w:tab/>
      </w:r>
      <w:r>
        <w:t>c)</w:t>
      </w:r>
      <w:r>
        <w:tab/>
        <w:t>сохраняющейся дискриминации в отношении инвалидов, которые сталкиваются с ограничениями на въезд и проживание в стране, а также отсутствия в законодательстве положений, предусматривающих принятие мер с целью обеспечение доступности для мигрантов-инвалидов.</w:t>
      </w:r>
    </w:p>
    <w:p w14:paraId="191BDA26" w14:textId="77777777" w:rsidR="00AA4BAE" w:rsidRPr="00DC4794" w:rsidRDefault="00AA4BAE" w:rsidP="00AA4BAE">
      <w:pPr>
        <w:pStyle w:val="SingleTxtG"/>
        <w:spacing w:after="130"/>
        <w:rPr>
          <w:b/>
          <w:bCs/>
        </w:rPr>
      </w:pPr>
      <w:r>
        <w:t>22.</w:t>
      </w:r>
      <w:r>
        <w:tab/>
      </w:r>
      <w:r>
        <w:rPr>
          <w:b/>
          <w:bCs/>
        </w:rPr>
        <w:t>С учетом совместно разработанных общих рекомендаций № 38 и № 39 (2025) Комитета по ликвидации расовой дискриминации и замечаний общего порядка № 7 и № 8 (2025) Комитета относительно искоренения ксенофобии в отношении мигрантов и других лиц, воспринимаемых в качестве таковых, Комитет рекомендует государству-участнику:</w:t>
      </w:r>
    </w:p>
    <w:p w14:paraId="5C8CA045" w14:textId="0A4F898C" w:rsidR="00AA4BAE" w:rsidRPr="00DC4794" w:rsidRDefault="00AA4BAE" w:rsidP="00AA4BAE">
      <w:pPr>
        <w:pStyle w:val="SingleTxtG"/>
        <w:spacing w:after="130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 xml:space="preserve">принять комплексную государственную политику, включая соответствующее законодательство, для борьбы с проявлениями ксенофобии и множественной и перекрестной дискриминацией, от которой страдают мигранты </w:t>
      </w:r>
      <w:r>
        <w:rPr>
          <w:b/>
          <w:bCs/>
        </w:rPr>
        <w:lastRenderedPageBreak/>
        <w:t>и члены их семей как в государстве-участнике, так и в странах назначения гондурасских трудящихся-мигрантов и членов их семей;</w:t>
      </w:r>
    </w:p>
    <w:p w14:paraId="19ED6750" w14:textId="285C7DC0" w:rsidR="00AA4BAE" w:rsidRPr="00DC4794" w:rsidRDefault="00AA4BAE" w:rsidP="00AA4BAE">
      <w:pPr>
        <w:pStyle w:val="SingleTxtG"/>
        <w:spacing w:after="130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разработать механизмы межсекторальной координации, в том числе участия гражданского общества и организаций лиц, подвергающихся расовой дискриминации, в целях эффективного осуществления политики в области предотвращения и искоренения ксенофобии и расизма, и, в частности, их воздействия на права мигрантов и членов их семей;</w:t>
      </w:r>
    </w:p>
    <w:p w14:paraId="43A11F49" w14:textId="7F5109EF" w:rsidR="00AA4BAE" w:rsidRPr="00DC4794" w:rsidRDefault="00AA4BAE" w:rsidP="00AA4BAE">
      <w:pPr>
        <w:pStyle w:val="SingleTxtG"/>
        <w:spacing w:after="130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разработать и осуществлять внешнюю политику, включая протоколы консульской защиты, в целях предотвращения ксенофобии в отношении гондурасских трудящихся-мигрантов и членов их семей со стороны властей и частных лиц в странах назначения, а также облегчения доступа жертв ксенофобии и дискриминации к правосудию и возмещению ущерба;</w:t>
      </w:r>
    </w:p>
    <w:p w14:paraId="173A0857" w14:textId="62F71833" w:rsidR="00AA4BAE" w:rsidRPr="00DC4794" w:rsidRDefault="00AA4BAE" w:rsidP="00AA4BAE">
      <w:pPr>
        <w:pStyle w:val="SingleTxtG"/>
        <w:spacing w:after="130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принять надлежащие меры для выполнения сформулированных Комитетом по ликвидации дискриминации в отношении женщин рекомендаций в отношении женщин из числа мигрантов, беженцев, репатриантов и перемещенных лиц</w:t>
      </w:r>
      <w:r w:rsidRPr="00DB04E4">
        <w:rPr>
          <w:sz w:val="18"/>
          <w:szCs w:val="18"/>
          <w:vertAlign w:val="superscript"/>
        </w:rPr>
        <w:footnoteReference w:id="11"/>
      </w:r>
      <w:r>
        <w:rPr>
          <w:b/>
          <w:bCs/>
        </w:rPr>
        <w:t xml:space="preserve"> посредством осуществления стратегий неотложной и долгосрочной помощи для обеспечения защиты их прав, включая экономические, социальные и культурные права;</w:t>
      </w:r>
    </w:p>
    <w:p w14:paraId="285EBCC3" w14:textId="3C683877" w:rsidR="00AA4BAE" w:rsidRPr="00DC4794" w:rsidRDefault="00AA4BAE" w:rsidP="00AA4BAE">
      <w:pPr>
        <w:pStyle w:val="SingleTxtG"/>
        <w:spacing w:after="130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e)</w:t>
      </w:r>
      <w:r>
        <w:tab/>
      </w:r>
      <w:r>
        <w:rPr>
          <w:b/>
          <w:bCs/>
        </w:rPr>
        <w:t>внести изменения в положения законодательства, ограничивающие въезд трудящихся-мигрантов и членов их семей на основании инвалидности и других факторов, запрещенных принципом недискриминации.</w:t>
      </w:r>
    </w:p>
    <w:p w14:paraId="557C3F6F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Доступ к правосудию</w:t>
      </w:r>
      <w:bookmarkStart w:id="1" w:name="_Hlk184222902"/>
    </w:p>
    <w:p w14:paraId="1A9A60D0" w14:textId="77777777" w:rsidR="00AA4BAE" w:rsidRPr="00DC4794" w:rsidRDefault="00AA4BAE" w:rsidP="00AA4BAE">
      <w:pPr>
        <w:pStyle w:val="SingleTxtG"/>
      </w:pPr>
      <w:r>
        <w:t>23.</w:t>
      </w:r>
      <w:r>
        <w:tab/>
        <w:t>Комитет принимает к сведению представленную информацию о возможности подачи трудящимися-мигрантами жалоб в Главное управление инспекции труда. Вместе с тем Комитет вновь выражает обеспокоенность по поводу:</w:t>
      </w:r>
    </w:p>
    <w:p w14:paraId="2F80DD16" w14:textId="054B0234" w:rsidR="00AA4BAE" w:rsidRPr="00DC4794" w:rsidRDefault="00AA4BAE" w:rsidP="00AA4BAE">
      <w:pPr>
        <w:pStyle w:val="SingleTxtG"/>
      </w:pPr>
      <w:r w:rsidRPr="00165D3B">
        <w:tab/>
      </w:r>
      <w:r>
        <w:t>a)</w:t>
      </w:r>
      <w:r>
        <w:tab/>
        <w:t>ограниченных возможностей механизмов доступа к правосудию и возмещения ущерба, которыми могут воспользоваться трудящиеся-мигранты и их семьи, в том числе с неурегулированным статусом, в случаях дискриминации и в вопросах, не относящихся к сфере труда, таких как задержание и депортация, а также дискреционных полномочий Национального института миграции передавать дела для расследования в прокуратуру;</w:t>
      </w:r>
      <w:bookmarkEnd w:id="1"/>
    </w:p>
    <w:p w14:paraId="7DAE6071" w14:textId="29A0379E" w:rsidR="00AA4BAE" w:rsidRPr="00DC4794" w:rsidRDefault="00AA4BAE" w:rsidP="00AA4BAE">
      <w:pPr>
        <w:pStyle w:val="SingleTxtG"/>
      </w:pPr>
      <w:r w:rsidRPr="00165D3B">
        <w:tab/>
      </w:r>
      <w:r>
        <w:t>b)</w:t>
      </w:r>
      <w:r>
        <w:tab/>
        <w:t>отсутствия защиты у женщин-мигрантов, работающих в качестве домашней прислуги, ввиду невозможности подавать жалобы из-за страха мести и несуществования механизмов надзора и инспекции домашнего труда в государстве-участнике;</w:t>
      </w:r>
    </w:p>
    <w:p w14:paraId="25B6CBE2" w14:textId="0282811E" w:rsidR="00AA4BAE" w:rsidRPr="00DC4794" w:rsidRDefault="00AA4BAE" w:rsidP="00AA4BAE">
      <w:pPr>
        <w:pStyle w:val="SingleTxtG"/>
      </w:pPr>
      <w:r w:rsidRPr="00165D3B">
        <w:tab/>
      </w:r>
      <w:r>
        <w:t>c)</w:t>
      </w:r>
      <w:r>
        <w:tab/>
        <w:t>отсутствия дезагрегированных данных о жалобах, рассматриваемых в таких инстанциях, как Управление Национального уполномоченного по правам человека и другие органы власти, а также механизм Главного управления инспекции труда Министерства труда и социального обеспечения, и о жалобах, поданных в судебные органы в связи с нарушениями трудовых прав трудящихся-мигрантов, а также всеми видами преступлений против мигрантов, следующих транзитом или проживающих в государстве-участнике, или гондурасских мигрантов в странах транзита и назначения.</w:t>
      </w:r>
    </w:p>
    <w:p w14:paraId="70B86841" w14:textId="6154E7EE" w:rsidR="00AA4BAE" w:rsidRPr="00DC4794" w:rsidRDefault="00AA4BAE" w:rsidP="00AA4BAE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напоминает о своих предыдущих рекомендациях</w:t>
      </w:r>
      <w:r w:rsidRPr="00DB04E4">
        <w:rPr>
          <w:sz w:val="18"/>
          <w:szCs w:val="18"/>
          <w:vertAlign w:val="superscript"/>
        </w:rPr>
        <w:footnoteReference w:id="12"/>
      </w:r>
      <w:r>
        <w:rPr>
          <w:b/>
          <w:bCs/>
        </w:rPr>
        <w:t xml:space="preserve"> и наставлениях, изложенных в заключительных замечаниях Комитета по насильственным исчезновениям в отношении расследования преступления насильственного исчезновения</w:t>
      </w:r>
      <w:r w:rsidRPr="00DB04E4">
        <w:rPr>
          <w:sz w:val="18"/>
          <w:szCs w:val="18"/>
          <w:vertAlign w:val="superscript"/>
        </w:rPr>
        <w:footnoteReference w:id="13"/>
      </w:r>
      <w:r w:rsidR="00521B7E">
        <w:rPr>
          <w:b/>
          <w:bCs/>
        </w:rPr>
        <w:t>,</w:t>
      </w:r>
      <w:r>
        <w:rPr>
          <w:b/>
          <w:bCs/>
        </w:rPr>
        <w:t xml:space="preserve"> и рекомендует государству-участнику:</w:t>
      </w:r>
    </w:p>
    <w:p w14:paraId="6D846691" w14:textId="63A011C5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 xml:space="preserve">предоставить трудящимся-мигрантам и их семьям, независимо от их миграционного статуса, право напрямую обращаться в судебные органы, в том </w:t>
      </w:r>
      <w:r>
        <w:rPr>
          <w:b/>
          <w:bCs/>
        </w:rPr>
        <w:lastRenderedPageBreak/>
        <w:t>числе в прокуратуру, в целях защиты от дискриминации, в том числе в сферах, не связанных с трудом, и осуществления прав, которыми они обладают в соответствии с Конвенцией;</w:t>
      </w:r>
    </w:p>
    <w:p w14:paraId="0B5FCAAE" w14:textId="0ED6A36A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создать обеспечивающий конфиденциальность механизм подачи жалоб для женщин-мигрантов, работающих в качестве домашней прислуги, а также механизм реагирования, предусматривающий проведение оперативных расследований, принятие мер защиты и предоставление возмещения домашним работницам;</w:t>
      </w:r>
    </w:p>
    <w:p w14:paraId="74EF2E61" w14:textId="5B47D2C0" w:rsidR="00AA4BAE" w:rsidRPr="00DC4794" w:rsidRDefault="00AA4BAE" w:rsidP="00AA4BAE">
      <w:pPr>
        <w:pStyle w:val="SingleTxtG"/>
      </w:pPr>
      <w:r w:rsidRPr="00165D3B">
        <w:rPr>
          <w:b/>
          <w:bCs/>
        </w:rPr>
        <w:tab/>
      </w:r>
      <w:r w:rsidRPr="00AA4BAE">
        <w:rPr>
          <w:b/>
          <w:bCs/>
        </w:rPr>
        <w:t>c)</w:t>
      </w:r>
      <w:r w:rsidRPr="00AA4BAE">
        <w:rPr>
          <w:b/>
          <w:bCs/>
        </w:rPr>
        <w:tab/>
      </w:r>
      <w:r>
        <w:rPr>
          <w:b/>
          <w:bCs/>
        </w:rPr>
        <w:t>осуществлять сбор надлежащим образом дезагрегированных статистических данных о количестве жалоб, поступивших в Управление Национального уполномоченного по правам человека и другие органы власти от трудящихся-мигрантов и членов их семей, а также о судебных разбирательствах по этим жалобам, равно как и сбор данных о жалобах, расследованиях и приговорах в связи с преступлениями, совершенными против трудящихся-мигрантов и членов их семей в государстве-участнике или в странах транзита и назначения.</w:t>
      </w:r>
    </w:p>
    <w:p w14:paraId="16D32FC9" w14:textId="6D6D0742" w:rsidR="00AA4BAE" w:rsidRPr="00DC4794" w:rsidRDefault="00AA4BAE" w:rsidP="00AA4BAE">
      <w:pPr>
        <w:pStyle w:val="H23G"/>
      </w:pPr>
      <w:r w:rsidRPr="00165D3B">
        <w:rPr>
          <w:bCs/>
        </w:rPr>
        <w:tab/>
      </w:r>
      <w:r>
        <w:rPr>
          <w:bCs/>
        </w:rPr>
        <w:t>3.</w:t>
      </w:r>
      <w:r>
        <w:tab/>
      </w:r>
      <w:r>
        <w:rPr>
          <w:bCs/>
        </w:rPr>
        <w:t>Права человека всех трудящихся-мигрантов и членов их семей (статьи 8–35)</w:t>
      </w:r>
    </w:p>
    <w:p w14:paraId="3EDCDEE7" w14:textId="77777777" w:rsidR="00AA4BAE" w:rsidRPr="00DC4794" w:rsidRDefault="00AA4BAE" w:rsidP="00AA4BAE">
      <w:pPr>
        <w:pStyle w:val="H23G"/>
        <w:rPr>
          <w:i/>
        </w:rPr>
      </w:pPr>
      <w:r>
        <w:tab/>
      </w:r>
      <w:r>
        <w:tab/>
      </w:r>
      <w:r>
        <w:rPr>
          <w:bCs/>
        </w:rPr>
        <w:t>Пограничный контроль и транзитные мигранты</w:t>
      </w:r>
    </w:p>
    <w:p w14:paraId="3A601631" w14:textId="77777777" w:rsidR="00AA4BAE" w:rsidRPr="00DC4794" w:rsidRDefault="00AA4BAE" w:rsidP="00AA4BAE">
      <w:pPr>
        <w:pStyle w:val="SingleTxtG"/>
      </w:pPr>
      <w:bookmarkStart w:id="2" w:name="_Hlk183781762"/>
      <w:r>
        <w:t>25.</w:t>
      </w:r>
      <w:r>
        <w:tab/>
        <w:t>Комитет принимает к сведению меры, принятые по управлению миграцией на границах и в контексте добровольного или принудительного возвращения лиц из третьих стран. Он также отмечает развитие центров помощи возвращающимся в Гондурас мигрантам в городах Белен, Омоа и Сан-Педро-Сула и создание Комиссии по делам беженцев, отвечающей за рассмотрение ходатайств о предоставлении убежища и защиту мигрантов, следующих транзитом. Тем не менее Комитет с обеспокоенностью отмечает:</w:t>
      </w:r>
    </w:p>
    <w:p w14:paraId="13401A37" w14:textId="0ABC6451" w:rsidR="00AA4BAE" w:rsidRPr="00DC4794" w:rsidRDefault="00AA4BAE" w:rsidP="00AA4BAE">
      <w:pPr>
        <w:pStyle w:val="SingleTxtG"/>
      </w:pPr>
      <w:r w:rsidRPr="00165D3B">
        <w:tab/>
      </w:r>
      <w:r>
        <w:t>a)</w:t>
      </w:r>
      <w:r>
        <w:tab/>
        <w:t>заключение двусторонних соглашений, положения которых не включают права и гарантии, предусмотренные Конвенцией и другими договорами по правам человека, действующими в государстве-участнике;</w:t>
      </w:r>
    </w:p>
    <w:p w14:paraId="1D3A5D3D" w14:textId="78613C48" w:rsidR="00AA4BAE" w:rsidRPr="00DC4794" w:rsidRDefault="00AA4BAE" w:rsidP="00AA4BAE">
      <w:pPr>
        <w:pStyle w:val="SingleTxtG"/>
      </w:pPr>
      <w:r w:rsidRPr="00165D3B">
        <w:tab/>
      </w:r>
      <w:r>
        <w:t>b)</w:t>
      </w:r>
      <w:r>
        <w:tab/>
        <w:t>сообщения о жестоком обращении с трудящимися, следующими транзитом, а также о стигматизации, дискриминации и экономической эксплуатации, которым они подвергаются в приграничных районах;</w:t>
      </w:r>
    </w:p>
    <w:p w14:paraId="6317BBE8" w14:textId="45529396" w:rsidR="00AA4BAE" w:rsidRPr="00DC4794" w:rsidRDefault="00AA4BAE" w:rsidP="00AA4BAE">
      <w:pPr>
        <w:pStyle w:val="SingleTxtG"/>
      </w:pPr>
      <w:r w:rsidRPr="00165D3B">
        <w:tab/>
      </w:r>
      <w:r>
        <w:t>c)</w:t>
      </w:r>
      <w:r>
        <w:tab/>
        <w:t>ограниченный доступ трудящихся-мигрантов, которые не имеют документов, следуют транзитом или приехали в страну на временные работы, и членов их семей к гуманитарной помощи и социальным программам в приграничных районах.</w:t>
      </w:r>
    </w:p>
    <w:p w14:paraId="2090AFD0" w14:textId="77777777" w:rsidR="00AA4BAE" w:rsidRPr="00DC4794" w:rsidRDefault="00AA4BAE" w:rsidP="00AA4BAE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В соответствии с Рекомендуемыми принципами и руководящими положениями по правам человека на международных границах, подготовленными Управлением Верховного комиссара Организации Объединенных Наций по правам человека, Комитет рекомендует государству-участнику:</w:t>
      </w:r>
    </w:p>
    <w:p w14:paraId="69B5940E" w14:textId="0BF4BE08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обеспечить, чтобы его политика и практика в области управления границами и миграционного контроля, включая двусторонние соглашения, соответствовали Конвенции и другим договорам по правам человека;</w:t>
      </w:r>
    </w:p>
    <w:p w14:paraId="75FDC096" w14:textId="472AF8E5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принять процедуры проведения расследований по жалобам о жестоком обращении со стороны должностных лиц в приграничных районах и применять дисциплинарные меры наказания к должностным лицам, нарушающим права трудящихся, следующих транзитом, независимо от их статуса;</w:t>
      </w:r>
    </w:p>
    <w:p w14:paraId="22D24317" w14:textId="569B47AD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разработать постоянные программы, а также гибкие и доступные процедуры для трудящихся-мигрантов, с тем чтобы облегчить урегулирование их статуса, доступ к гуманитарной помощи и социальным программам и в целом дать им возможность осуществлять свои права во время пребывания в стране или транзита.</w:t>
      </w:r>
    </w:p>
    <w:p w14:paraId="776481EC" w14:textId="77777777" w:rsidR="00AA4BAE" w:rsidRPr="00DC4794" w:rsidRDefault="00AA4BAE" w:rsidP="00AA4BAE">
      <w:pPr>
        <w:pStyle w:val="H23G"/>
      </w:pPr>
      <w:r>
        <w:lastRenderedPageBreak/>
        <w:tab/>
      </w:r>
      <w:r>
        <w:tab/>
      </w:r>
      <w:r>
        <w:rPr>
          <w:bCs/>
        </w:rPr>
        <w:t>Право на жизнь, личную неприкосновенность и репатриацию</w:t>
      </w:r>
    </w:p>
    <w:p w14:paraId="65D94041" w14:textId="25E027FA" w:rsidR="00AA4BAE" w:rsidRPr="00DC4794" w:rsidRDefault="00AA4BAE" w:rsidP="00AA4BAE">
      <w:pPr>
        <w:pStyle w:val="SingleTxtG"/>
      </w:pPr>
      <w:r>
        <w:t>27.</w:t>
      </w:r>
      <w:r>
        <w:tab/>
        <w:t>Комитет принимает к сведению информацию о мерах, принятых государством-участником в ответ на рекомендации Комитета</w:t>
      </w:r>
      <w:r w:rsidRPr="00DB04E4">
        <w:rPr>
          <w:sz w:val="18"/>
          <w:szCs w:val="18"/>
          <w:vertAlign w:val="superscript"/>
        </w:rPr>
        <w:footnoteReference w:id="14"/>
      </w:r>
      <w:r w:rsidR="00521B7E">
        <w:t>,</w:t>
      </w:r>
      <w:r>
        <w:t xml:space="preserve"> касающиеся механизмов борьбы с торговлей людьми, насилием и исчезновениями, таких как Комиссия по делам пропавших мигрантов, Протокол поиска пропавших без вести гондурасских мигрантов и региональные соглашения об обмене информацией о насильственных исчезновениях, сборе данных и поиске лиц, местонахождение которых неизвестно или которые пропали без вести. Вместе с тем Комитет вновь выражает обеспокоенность по поводу:</w:t>
      </w:r>
    </w:p>
    <w:p w14:paraId="5A82F1D3" w14:textId="1E199390" w:rsidR="00AA4BAE" w:rsidRPr="00DC4794" w:rsidRDefault="00AA4BAE" w:rsidP="00AA4BAE">
      <w:pPr>
        <w:pStyle w:val="SingleTxtG"/>
      </w:pPr>
      <w:r w:rsidRPr="00165D3B">
        <w:tab/>
      </w:r>
      <w:r>
        <w:t>a)</w:t>
      </w:r>
      <w:r>
        <w:tab/>
        <w:t>высокого уровня гендерного насилия и особенно показателя случаев фемицида в государстве-участнике, который составляет 5,1 на 100 000 жителей, что в сочетании с высоким уровнем безнаказанности за эти преступления и отсутствием защиты их жертв является одной из структурных причин миграции. Он также обеспокоен многочисленными формами насилия, включая гендерное насилие, вымогательство, похищения, убийства и другие преступления, от которых страдают мигранты, включая детей, при транзите через государство-участник и в процессе миграции, в частности на территории Мексики;</w:t>
      </w:r>
    </w:p>
    <w:p w14:paraId="6C84214A" w14:textId="4621EF80" w:rsidR="00AA4BAE" w:rsidRPr="00DC4794" w:rsidRDefault="00AA4BAE" w:rsidP="00AA4BAE">
      <w:pPr>
        <w:pStyle w:val="SingleTxtG"/>
      </w:pPr>
      <w:r w:rsidRPr="00165D3B">
        <w:tab/>
      </w:r>
      <w:r>
        <w:t>b)</w:t>
      </w:r>
      <w:r>
        <w:tab/>
        <w:t>сохраняющегося риска насильственного исчезновения трудящихся-мигрантов (814 случаев исчезновения гондурасских мигрантов по состоянию на февраль 2025 года), небольшого числа расследований этого преступления и небольшого числа лиц, чьи останки были идентифицированы, недостаточных действий государства в области идентификации, препятствий, с которыми сталкиваются родственники пропавших без вести лиц при подаче официальных заявлений, участии в расследованиях в рамках Механизма внешней поддержки в вопросах поиска и расследования, созданного Мексикой, а также того, что их участие не предусмотрено Протоколом поиска пропавших без вести гондурасских мигрантов;</w:t>
      </w:r>
    </w:p>
    <w:p w14:paraId="23FDF478" w14:textId="1EEDCD2E" w:rsidR="00AA4BAE" w:rsidRPr="00DC4794" w:rsidRDefault="00AA4BAE" w:rsidP="00AA4BAE">
      <w:pPr>
        <w:pStyle w:val="SingleTxtG"/>
      </w:pPr>
      <w:r w:rsidRPr="00165D3B">
        <w:tab/>
      </w:r>
      <w:r>
        <w:t>c)</w:t>
      </w:r>
      <w:r>
        <w:tab/>
        <w:t>занижения сведений о количестве случаев исчезновения и отсутствия единого реестра информации о пропавших без вести мигрантах, а также отсутствия информации о доступе к механизмам возмещения для детей пропавших без вести мигрантов и о государственных средствах, выделяемых комитетам родственников пропавших мигрантов.</w:t>
      </w:r>
    </w:p>
    <w:p w14:paraId="60985850" w14:textId="77777777" w:rsidR="00AA4BAE" w:rsidRPr="00DC4794" w:rsidRDefault="00AA4BAE" w:rsidP="00AA4BAE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4F80E228" w14:textId="23E522B9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разработать комплексную стратегию предотвращения насилия, включая гендерное насилие, предусматривающую создание механизмов раннего предупреждения и выявления рисков, эффективных каналов доступа к правосудию и возмещению ущерба, протоколов своевременной и комплексной защиты жертв, а также тщательного расследования и конфиденциального рассмотрения жалоб.</w:t>
      </w:r>
      <w:r>
        <w:t xml:space="preserve"> </w:t>
      </w:r>
      <w:r>
        <w:rPr>
          <w:b/>
          <w:bCs/>
        </w:rPr>
        <w:t>Принять конкретные меры по предотвращению насилия, в частности гендерного насилия и насилия со стороны банд, в отношении возвращающихся мигрантов;</w:t>
      </w:r>
    </w:p>
    <w:p w14:paraId="1E71045B" w14:textId="630202BA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принять национальную политику, направленную на предотвращение и расследование исчезновений мигрантов, а также наказание за них, обеспечение эффективного поиска, идентификации, участия семей и доступа к правосудию на основе транснационального, гуманитарного и правозащитного подхода, выявление структурных причин и активизацию информационно-просветительских кампаний среди общин происхождения мигрантов и среди мигрантов, следующих транзитом, и информирование о механизмах защиты в зонах транзита;</w:t>
      </w:r>
    </w:p>
    <w:p w14:paraId="70C0D925" w14:textId="5F2F8DB5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обеспечить применение Протоколом поиска пропавших без вести гондурасских мигрантов, исходя из принципа презумпции жизни и при активном участии семей жертв;</w:t>
      </w:r>
    </w:p>
    <w:p w14:paraId="31574239" w14:textId="3E5C476C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lastRenderedPageBreak/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обеспечить полноценное функционирование Механизма внешней поддержки в вопросах поиска и расследования в соответствии с предыдущей рекомендацией</w:t>
      </w:r>
      <w:r w:rsidRPr="00DB04E4">
        <w:rPr>
          <w:sz w:val="18"/>
          <w:szCs w:val="18"/>
          <w:vertAlign w:val="superscript"/>
        </w:rPr>
        <w:footnoteReference w:id="15"/>
      </w:r>
      <w:r>
        <w:rPr>
          <w:b/>
          <w:bCs/>
        </w:rPr>
        <w:t>;</w:t>
      </w:r>
    </w:p>
    <w:p w14:paraId="7B946031" w14:textId="752CDEEF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e)</w:t>
      </w:r>
      <w:r>
        <w:tab/>
      </w:r>
      <w:r>
        <w:rPr>
          <w:b/>
          <w:bCs/>
        </w:rPr>
        <w:t>выделить людские, технические и финансовые ресурсы для поиска, обнаружения, возвращения, идентификации и реституции, а также укрепления потенциала судебно-медицинской экспертизы;</w:t>
      </w:r>
    </w:p>
    <w:p w14:paraId="063B2FB1" w14:textId="55717BD2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f)</w:t>
      </w:r>
      <w:r>
        <w:tab/>
      </w:r>
      <w:r>
        <w:rPr>
          <w:b/>
          <w:bCs/>
        </w:rPr>
        <w:t>обеспечить единообразие в регистрации, чтобы можно было проводить расследования по делам пропавших без вести мигрантов, и заключить соглашения с другими странами происхождения и транзита мигрантов, находящихся в государстве-участнике, которые позволят проводить расследования и идентифицировать граждан этих стран, подверженных риску исчезновения;</w:t>
      </w:r>
    </w:p>
    <w:p w14:paraId="27A13E64" w14:textId="7DA81102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g)</w:t>
      </w:r>
      <w:r>
        <w:tab/>
      </w:r>
      <w:r>
        <w:rPr>
          <w:b/>
          <w:bCs/>
        </w:rPr>
        <w:t>создать механизмы для защиты детей пропавших без вести мигрантов, предусматривающие, в частности, защиту от угроз их жизни и личной неприкосновенности, а также предоставление на постоянной основе информации о ходе поисковых работ с учетом их пола и возраста, и обеспечить им финансовую и психосоциальную поддержку, а также воссоединение с семьей и доступ к оперативным механизмам приема жалоб и доступа к правосудию и возмещению ущерба, в том числе к тем, которые предусмотрены созданным Мексикой Механизмом внешней поддержки в вопросах поиска и расследования.</w:t>
      </w:r>
    </w:p>
    <w:bookmarkEnd w:id="2"/>
    <w:p w14:paraId="6FE358CB" w14:textId="77777777" w:rsidR="00AA4BAE" w:rsidRPr="00DC4794" w:rsidRDefault="00AA4BAE" w:rsidP="00AA4BAE">
      <w:pPr>
        <w:pStyle w:val="H23G"/>
        <w:rPr>
          <w:i/>
        </w:rPr>
      </w:pPr>
      <w:r>
        <w:tab/>
      </w:r>
      <w:r>
        <w:tab/>
      </w:r>
      <w:r>
        <w:rPr>
          <w:bCs/>
        </w:rPr>
        <w:t>Задержание, высылка и консульская помощь</w:t>
      </w:r>
    </w:p>
    <w:p w14:paraId="7FD2551C" w14:textId="77777777" w:rsidR="00AA4BAE" w:rsidRPr="00DC4794" w:rsidRDefault="00AA4BAE" w:rsidP="00AA4BAE">
      <w:pPr>
        <w:pStyle w:val="SingleTxtG"/>
      </w:pPr>
      <w:r>
        <w:t>29.</w:t>
      </w:r>
      <w:r>
        <w:tab/>
        <w:t>Комитет отмечает меры, принятые государством-участником в связи с последствиями, которые имели для прав гондурасских трудящихся-мигрантов и членов их семей меры, принятые с начала 2025 года правительством Соединенных Штатов Америки, включая сопровождение затронутых граждан Гондураса в рамках судебных разбирательств в судах Соединенных Штатов. Комитет с особой обеспокоенностью отмечает:</w:t>
      </w:r>
    </w:p>
    <w:p w14:paraId="43180CA1" w14:textId="33A1853E" w:rsidR="00AA4BAE" w:rsidRPr="00DC4794" w:rsidRDefault="00AA4BAE" w:rsidP="00AA4BAE">
      <w:pPr>
        <w:pStyle w:val="SingleTxtG"/>
      </w:pPr>
      <w:r w:rsidRPr="00165D3B">
        <w:tab/>
      </w:r>
      <w:r>
        <w:t>a)</w:t>
      </w:r>
      <w:r>
        <w:tab/>
        <w:t>необходимость усиления мер внешней политики и консульской защиты в случаях произвольного ареста, задержания и депортации трудящихся-мигрантов и членов их семей из Соединенных Штатов Америки, которые нарушают права на свободу и семейную жизнь, права детей, право на защиту от высылки, запрет жестокого обращения, расизма и ксенофобии, а также, среди прочего, основные гарантии надлежащего судебного разбирательства;</w:t>
      </w:r>
    </w:p>
    <w:p w14:paraId="0CA96744" w14:textId="56817DC1" w:rsidR="00AA4BAE" w:rsidRPr="00DC4794" w:rsidRDefault="00AA4BAE" w:rsidP="00AA4BAE">
      <w:pPr>
        <w:pStyle w:val="SingleTxtG"/>
      </w:pPr>
      <w:r w:rsidRPr="00165D3B">
        <w:tab/>
      </w:r>
      <w:r>
        <w:t>b)</w:t>
      </w:r>
      <w:r>
        <w:tab/>
        <w:t>ограниченность информации и риски нарушения прав и гарантий, включая право на убежище и принцип невыдворения трудящихся-мигрантов из третьих стран в Гондурас, в рамках политики Соединенных Штатов Америки по экстернализации миграционного контроля посредством реализации соглашения о сотрудничестве между двумя странами, заключенного в середине 2025 года;</w:t>
      </w:r>
      <w:bookmarkStart w:id="3" w:name="_Hlk219381846"/>
      <w:bookmarkEnd w:id="3"/>
    </w:p>
    <w:p w14:paraId="59EB48F5" w14:textId="40C233F9" w:rsidR="00AA4BAE" w:rsidRPr="00DC4794" w:rsidRDefault="00AA4BAE" w:rsidP="00AA4BAE">
      <w:pPr>
        <w:pStyle w:val="SingleTxtG"/>
      </w:pPr>
      <w:r w:rsidRPr="00165D3B">
        <w:tab/>
      </w:r>
      <w:r>
        <w:t>c)</w:t>
      </w:r>
      <w:r>
        <w:tab/>
        <w:t>прекращение с сентября 2025 года действия статуса временной защиты, который имели в Соединенных Штатах Америки граждане Гондураса, и серьезные последствия этой меры для прав гондурасских трудящихся-мигрантов и членов их семей.</w:t>
      </w:r>
    </w:p>
    <w:p w14:paraId="325AD41E" w14:textId="77777777" w:rsidR="00AA4BAE" w:rsidRPr="00DC4794" w:rsidRDefault="00AA4BAE" w:rsidP="00AA4BAE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1885910" w14:textId="7550AFA5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усилить все аспекты внешней политики в области двусторонней и региональной дипломатии, а также консульской защиты, с целью защиты и обеспечения прав гондурасских трудящихся-мигрантов и членов их семей в странах назначения, особенно в Соединенных Штатах Америки.</w:t>
      </w:r>
      <w:r>
        <w:t xml:space="preserve"> </w:t>
      </w:r>
      <w:r>
        <w:rPr>
          <w:b/>
          <w:bCs/>
        </w:rPr>
        <w:t xml:space="preserve">В частности, укрепить и увеличить кадровые, технические и финансовые ресурсы своей консульской службы для предоставления лицам, которые были задержаны и подлежат депортации, консульской защиты, включая юридическую помощь, </w:t>
      </w:r>
      <w:r>
        <w:rPr>
          <w:b/>
          <w:bCs/>
        </w:rPr>
        <w:lastRenderedPageBreak/>
        <w:t>доступной информации о процессуальных гарантиях, их периодического посещения и оказания им всесторонней помощи;</w:t>
      </w:r>
    </w:p>
    <w:p w14:paraId="46CDB6AB" w14:textId="336F4521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усилить инициативы, направленные на предоставление юридической помощи и обеспечение представительства в судах, такие как соглашения с юридическими фирмами и специализированными организациями, с тем чтобы гондурасские трудящиеся-мигранты и члены их семей могли отстаивать свои права в рамках процедур задержания и депортации, включая защиту от произвольного задержания и депортации, а также инициативы, направленные на обеспечение права детей на всестороннее развитие и семейную жизнь, и усилить защиту лиц, которым грозит депортация в связи с прекращением действия статуса временной защиты;</w:t>
      </w:r>
    </w:p>
    <w:p w14:paraId="5CE5A1A0" w14:textId="4EBBC3F3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принять соответствующие законодательные и оперативные меры с тем, чтобы задержанные и депортированные трудящиеся-мигранты и члены их семей могли подавать иски через механизмы транснационального правосудия, рассчитывать на надлежащую защиту их прав и иметь доступ к возмещению ущерба, причиненного в результате нарушения их прав в ходе таких процедур.</w:t>
      </w:r>
      <w:r>
        <w:t xml:space="preserve"> </w:t>
      </w:r>
      <w:r>
        <w:rPr>
          <w:b/>
          <w:bCs/>
        </w:rPr>
        <w:t>Кроме того, эти меры должны позволять затронутым лицам требовать принятия мер по защите их права на жизнь и личную неприкосновенность, а также права на доступ к средствам правовой защиты и других прав, включая право на воссоединение семьи в соответствующей стране, исходя из наилучших интересов ребенка;</w:t>
      </w:r>
    </w:p>
    <w:p w14:paraId="7076595A" w14:textId="14592DA0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принять все необходимые меры для обеспечения соблюдения прав и гарантий, предусмотренных Конвенцией и другими применимыми договорами, включая право на убежище и защиту от депортации, в рамках заключения и осуществления двусторонних и многосторонних соглашений, в частности в связи с соглашением о сотрудничестве, подписанным с Соединенными Штатами Америки, которое предусматривает возвращение граждан третьих стран, подавших ходатайства о предоставлении убежища.</w:t>
      </w:r>
    </w:p>
    <w:p w14:paraId="074ED6EC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</w:t>
      </w:r>
    </w:p>
    <w:p w14:paraId="7697CDB5" w14:textId="77777777" w:rsidR="00AA4BAE" w:rsidRPr="00DC4794" w:rsidRDefault="00AA4BAE" w:rsidP="00AA4BAE">
      <w:pPr>
        <w:pStyle w:val="SingleTxtG"/>
      </w:pPr>
      <w:r>
        <w:t>31.</w:t>
      </w:r>
      <w:r>
        <w:tab/>
        <w:t>Комитет с обеспокоенностью отмечает трудности, с которыми сталкиваются трудящиеся-мигранты и члены их семей, вернувшиеся в страну, при осуществлении прав, приобретенных за счет взносов в систему социального обеспечения Соединенных Штатов Америки, а также отсутствие мер со стороны государства-участника для облегчения их доступа к этим пособиям. Он также обеспокоен тем, что в законодательстве государства-участника отсутствуют положения, позволяющие трудящимся-мигрантам с неурегулированным статусом стать участниками гондурасской системы социального обеспечения и пенсионного страхования.</w:t>
      </w:r>
    </w:p>
    <w:p w14:paraId="38BB9EE0" w14:textId="77777777" w:rsidR="00AA4BAE" w:rsidRPr="00DC4794" w:rsidRDefault="00AA4BAE" w:rsidP="00AA4BAE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меры, включая предоставление юридической помощи и информации, заключение двусторонних и других соглашений, чтобы облегчить для гондурасских трудящихся-мигрантов и членов их семей, вернувшихся в страну, доступ к соответствующим административным процедурам для эффективного осуществления своих прав на социальное обеспечение, приобретенных за счет взносов в эту систему во время пребывания в Соединенных Штатах Америки.</w:t>
      </w:r>
      <w:r>
        <w:t xml:space="preserve"> </w:t>
      </w:r>
      <w:r>
        <w:rPr>
          <w:b/>
          <w:bCs/>
        </w:rPr>
        <w:t>Кроме того, он рекомендует государству-участнику внести необходимые коррективы в свое законодательство и предусмотреть системы социальной защиты, которые бы позволили трудящимся стать членами гондурасских пенсионных фондов.</w:t>
      </w:r>
    </w:p>
    <w:p w14:paraId="10CAD69D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Право на здоровье</w:t>
      </w:r>
    </w:p>
    <w:p w14:paraId="5097F357" w14:textId="5E654CAC" w:rsidR="00AA4BAE" w:rsidRPr="00DC4794" w:rsidRDefault="00AA4BAE" w:rsidP="00AA4BAE">
      <w:pPr>
        <w:pStyle w:val="SingleTxtG"/>
      </w:pPr>
      <w:r>
        <w:t>33.</w:t>
      </w:r>
      <w:r>
        <w:tab/>
        <w:t xml:space="preserve">Комитет принимает к сведению некоторые меры, принятые в отношении охраны психического здоровья репатриантов, а также подготовку новых нормативных положений в области психического здоровья. Однако он выражает обеспокоенность в связи с отсутствием достаточных мер по оказанию комплексной психосоциальной помощи возвращающимся мигрантам, включая несопровождаемых детей, которые в </w:t>
      </w:r>
      <w:r>
        <w:lastRenderedPageBreak/>
        <w:t>ряде случаев возвращаются с травмами, полученными в результате миграционного процесса, например из-за рисков, связанных с транзитом, и обращения, которому они подверглись в ходе процедур ареста, задержания и депортации. Иногда такие травмы приводят к психосоциальной инвалидности. Комитет обеспокоен поступившими сведениями о случаях, когда люди на основании психиатрических диагнозов направляются в психиатрические учреждения, где они содержатся в условиях антисанитарии, переполненности, отсутствия базовых услуг и подвергаются жестокому обращению.</w:t>
      </w:r>
    </w:p>
    <w:p w14:paraId="705F342F" w14:textId="77777777" w:rsidR="00AA4BAE" w:rsidRPr="00DC4794" w:rsidRDefault="00AA4BAE" w:rsidP="00AA4BAE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F61D847" w14:textId="3C381FA1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принять как можно скорее законодательные, процедурные и оперативные меры, необходимые для приведения законодательства и политики в области психического здоровья в соответствие с положениями всех договоров по правам человека, действующих в государстве-участнике, в частности Конвенции о правах инвалидов, и его замечаниями общего порядка;</w:t>
      </w:r>
    </w:p>
    <w:p w14:paraId="37B2D02B" w14:textId="5022286C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принять эффективные программы и меры для обеспечения трудящимся-мигрантам и членам их семей, возвращающихся в страну с психосоциальными нарушениями, доступа к комплексным услугам в области психического здоровья на уровне общин;</w:t>
      </w:r>
    </w:p>
    <w:p w14:paraId="61E8DA2F" w14:textId="49759545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избегать перевода в психиатрические учреждения и, в случае необходимости, предотвращать и расследовать любые случаи жестокого обращения или нарушения других прав мигрантов в психиатрических учреждениях государства-участника, а также гондурасских мигрантов в аналогичных учреждениях в других государствах.</w:t>
      </w:r>
      <w:r>
        <w:t xml:space="preserve"> </w:t>
      </w:r>
      <w:r>
        <w:rPr>
          <w:b/>
          <w:bCs/>
        </w:rPr>
        <w:t>Принять меры, в том числе законодательного характера, для реализации комплексной политики в области психического здоровья, основанной на правозащитном подходе, содействовать деинституционализации инвалидов в государстве-участнике, исходя из прав, предусмотренных Конвенцией о правах инвалидов и другими применимыми договорами, и предоставлять лицам с психосоциальной инвалидностью поддержку, необходимую им для самостоятельной жизни в обществе.</w:t>
      </w:r>
      <w:r>
        <w:t xml:space="preserve"> </w:t>
      </w:r>
      <w:r>
        <w:rPr>
          <w:b/>
          <w:bCs/>
        </w:rPr>
        <w:t>Кроме того, оказывать психосоциальную помощь гондурасским трудящимся-мигрантам за рубежом и содействовать тому, чтобы обращение с ними со стороны властей соответствующих государств соответствовало положениям применимых международных договоров.</w:t>
      </w:r>
    </w:p>
    <w:p w14:paraId="3D0731BD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</w:p>
    <w:p w14:paraId="580BF261" w14:textId="77777777" w:rsidR="00AA4BAE" w:rsidRPr="00DC4794" w:rsidRDefault="00AA4BAE" w:rsidP="00AA4BAE">
      <w:pPr>
        <w:pStyle w:val="SingleTxtG"/>
      </w:pPr>
      <w:r>
        <w:t>35.</w:t>
      </w:r>
      <w:r>
        <w:tab/>
        <w:t>Комитет выражает обеспокоенность по поводу некоторых препятствий на пути получения детьми мигрантов без документов доступа к образованию, поскольку некоторые учебные заведения и школы требуют предъявления свидетельств о рождении или национальных удостоверений личности детей, а также в связи с отсутствием надлежащих мер по обеспечению двуязычного образования и доступа к информации для детей, не говорящих по-испански, и стигматизирующим отношением в школах, которое вызывает у детей эмоциональные последствия, в том числе низкую самооценку.</w:t>
      </w:r>
    </w:p>
    <w:p w14:paraId="5D5E6175" w14:textId="6F3B44CA" w:rsidR="00AA4BAE" w:rsidRPr="00DC4794" w:rsidRDefault="00AA4BAE" w:rsidP="00AA4BAE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предотвращать и искоренять любую практику, которая лишает детей с неурегулированным миграционным статусом доступа к образованию или ограничивает его, путем принятия руководящих принципов в области образования, позволяющих регистрировать, зачислять и удерживать детей-мигрантов в системе образования.</w:t>
      </w:r>
      <w:r>
        <w:t xml:space="preserve"> </w:t>
      </w:r>
      <w:r>
        <w:rPr>
          <w:b/>
          <w:bCs/>
        </w:rPr>
        <w:t>Кроме того, он рекомендует принять меры для обеспечения языковой интеграции детей мигрантов, не говорящих по-испански, в систему образования, например путем организации специализированных курсов и сопровождения их интеграции в систему образования параллельно с обычными занятиями.</w:t>
      </w:r>
      <w:r>
        <w:t xml:space="preserve"> </w:t>
      </w:r>
      <w:r>
        <w:rPr>
          <w:b/>
          <w:bCs/>
        </w:rPr>
        <w:t xml:space="preserve">Комитет также рекомендует принять рекомендации по вопросам образовательной политики, социальной интеграции и предотвращения ксенофобии, содержащиеся в совместно разработанных общей рекомендации № 39 (2025) Комитета по ликвидации расовой дискриминации и его замечании общего порядка № 8 (2025) </w:t>
      </w:r>
      <w:r>
        <w:rPr>
          <w:b/>
          <w:bCs/>
        </w:rPr>
        <w:lastRenderedPageBreak/>
        <w:t>относительно тематических руководящих принципов по искоренению ксенофобии в отношении мигрантов и других лиц, воспринимаемых в качестве таковых.</w:t>
      </w:r>
    </w:p>
    <w:p w14:paraId="08CDA6C4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Дети в условиях миграции</w:t>
      </w:r>
    </w:p>
    <w:p w14:paraId="548357D6" w14:textId="77777777" w:rsidR="00AA4BAE" w:rsidRPr="00DC4794" w:rsidRDefault="00AA4BAE" w:rsidP="00AA4BAE">
      <w:pPr>
        <w:pStyle w:val="SingleTxtG"/>
      </w:pPr>
      <w:r>
        <w:t>37.</w:t>
      </w:r>
      <w:r>
        <w:tab/>
        <w:t>Комитет принимает к сведению создание в 2023 году Секретариата по делам детей, подростков и семьи, а также Национального протокола о комплексной помощи и защите детей в условиях миграции, а также подписание двустороннего протокола между Гватемалой и Гондурасом о защите и помощи несопровождаемым детям и подросткам-мигрантам. Вместе с тем Комитет выражает обеспокоенность по поводу:</w:t>
      </w:r>
    </w:p>
    <w:p w14:paraId="4DCD9425" w14:textId="3EEC5055" w:rsidR="00AA4BAE" w:rsidRPr="00DC4794" w:rsidRDefault="00AA4BAE" w:rsidP="00AA4BAE">
      <w:pPr>
        <w:pStyle w:val="SingleTxtG"/>
      </w:pPr>
      <w:r w:rsidRPr="00165D3B">
        <w:tab/>
      </w:r>
      <w:r>
        <w:t>a)</w:t>
      </w:r>
      <w:r>
        <w:tab/>
        <w:t>отсутствия дезагрегированных статистических данных и оценок, касающихся положения детей и подростков-мигрантов, включая несопровождаемых детей из числа просителей убежища, беженцев и репатриантов;</w:t>
      </w:r>
    </w:p>
    <w:p w14:paraId="62B91C64" w14:textId="0AD2A5AC" w:rsidR="00AA4BAE" w:rsidRPr="00DC4794" w:rsidRDefault="00AA4BAE" w:rsidP="00AA4BAE">
      <w:pPr>
        <w:pStyle w:val="SingleTxtG"/>
      </w:pPr>
      <w:r w:rsidRPr="00165D3B">
        <w:tab/>
      </w:r>
      <w:r>
        <w:t>b)</w:t>
      </w:r>
      <w:r>
        <w:tab/>
        <w:t>сохраняющегося риска насилия в отношении детей и подростков в условиях миграции, в том числе следующих транзитом через государство-участник и другие страны миграционного коридора, а также в ходе процедур задержания и депортации гондурасских детей-мигрантов из Мексики и Соединенных Штатов Америки;</w:t>
      </w:r>
    </w:p>
    <w:p w14:paraId="72831712" w14:textId="547D2DC5" w:rsidR="00AA4BAE" w:rsidRPr="00DC4794" w:rsidRDefault="00AA4BAE" w:rsidP="00AA4BAE">
      <w:pPr>
        <w:pStyle w:val="SingleTxtG"/>
      </w:pPr>
      <w:r w:rsidRPr="00165D3B">
        <w:tab/>
      </w:r>
      <w:r>
        <w:t>c)</w:t>
      </w:r>
      <w:r>
        <w:tab/>
        <w:t>ограниченной информации о результатах мер по обеспечению основанной на правозащитном подходе эффективной и устойчивой реинтеграции возвратившихся детей и подростков, а также о положении детей, являющихся гражданами как Гондураса, так и Соединенных Штатов Америки, которые были разлучены со своими семьями в результате депортации из Соединенных Штатов Америки и чье воссоединение с семьями до сих пор не состоялось;</w:t>
      </w:r>
    </w:p>
    <w:p w14:paraId="2A18F936" w14:textId="09C4B90C" w:rsidR="00AA4BAE" w:rsidRPr="00DC4794" w:rsidRDefault="00AA4BAE" w:rsidP="00AA4BAE">
      <w:pPr>
        <w:pStyle w:val="SingleTxtG"/>
      </w:pPr>
      <w:r w:rsidRPr="00165D3B">
        <w:tab/>
      </w:r>
      <w:r>
        <w:t>d)</w:t>
      </w:r>
      <w:r>
        <w:tab/>
        <w:t>отсутствия информации о положении и поддержке, которую могут получить дети</w:t>
      </w:r>
      <w:r w:rsidR="00147392">
        <w:t>,</w:t>
      </w:r>
      <w:r>
        <w:t xml:space="preserve"> — имеющие гражданство Соединенных Штатов Америки или двойное гражданство — прибывающие в Гондурас вместе со своими родителями после их депортации из Соединенных Штатов Америки.</w:t>
      </w:r>
    </w:p>
    <w:p w14:paraId="1B1D6735" w14:textId="0639BB2B" w:rsidR="00AA4BAE" w:rsidRPr="00DC4794" w:rsidRDefault="00AA4BAE" w:rsidP="00AA4BAE">
      <w:pPr>
        <w:pStyle w:val="SingleTxtG"/>
        <w:rPr>
          <w:b/>
        </w:rPr>
      </w:pPr>
      <w:r>
        <w:t>38.</w:t>
      </w:r>
      <w:r>
        <w:tab/>
      </w:r>
      <w:r>
        <w:rPr>
          <w:b/>
          <w:bCs/>
        </w:rPr>
        <w:t>Комитет напоминает о рекомендациях, вынесенных Комитетом по правам ребенка</w:t>
      </w:r>
      <w:r w:rsidRPr="00DB04E4">
        <w:rPr>
          <w:sz w:val="18"/>
          <w:szCs w:val="18"/>
          <w:vertAlign w:val="superscript"/>
        </w:rPr>
        <w:footnoteReference w:id="16"/>
      </w:r>
      <w:r w:rsidR="007443B4">
        <w:rPr>
          <w:b/>
          <w:bCs/>
        </w:rPr>
        <w:t>,</w:t>
      </w:r>
      <w:r>
        <w:rPr>
          <w:b/>
          <w:bCs/>
        </w:rPr>
        <w:t xml:space="preserve"> своих предыдущих рекомендациях</w:t>
      </w:r>
      <w:r w:rsidRPr="00DB04E4">
        <w:rPr>
          <w:sz w:val="18"/>
          <w:szCs w:val="18"/>
          <w:vertAlign w:val="superscript"/>
        </w:rPr>
        <w:footnoteReference w:id="17"/>
      </w:r>
      <w:r>
        <w:rPr>
          <w:b/>
          <w:bCs/>
        </w:rPr>
        <w:t xml:space="preserve"> и рекомендациях, содержащихся в совместных замечаниях общего порядка № 3 и № 4 (2017) Комитета и № 22 </w:t>
      </w:r>
      <w:r w:rsidR="007443B4">
        <w:rPr>
          <w:b/>
          <w:bCs/>
        </w:rPr>
        <w:br/>
      </w:r>
      <w:r>
        <w:rPr>
          <w:b/>
          <w:bCs/>
        </w:rPr>
        <w:t>и № 23 (2017) Комитета по правам ребенка, и рекомендует государству-участнику:</w:t>
      </w:r>
    </w:p>
    <w:p w14:paraId="520D26E2" w14:textId="16BD63B9" w:rsidR="00AA4BAE" w:rsidRPr="00DC4794" w:rsidRDefault="00AA4BAE" w:rsidP="00AA4BAE">
      <w:pPr>
        <w:pStyle w:val="SingleTxtG"/>
        <w:rPr>
          <w:b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укрепить меры по защите прав всех детей в контексте миграции, включая бюджетные и оперативные меры, направленные на наращивание потенциала Секретариата по делам детей, подростков и семьи и всех органов системы охраны детства, обеспечив, чтобы наилучшие интересы ребенка были основным критерием, определяющим политику и практику, в том числе миграционных органов;</w:t>
      </w:r>
    </w:p>
    <w:p w14:paraId="5D9982A4" w14:textId="7AA77823" w:rsidR="00AA4BAE" w:rsidRPr="00DC4794" w:rsidRDefault="00AA4BAE" w:rsidP="00AA4BAE">
      <w:pPr>
        <w:pStyle w:val="SingleTxtG"/>
        <w:rPr>
          <w:b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создать основанную на правозащитном подходе систему сбора качественных и количественных данных обо всех категориях детей и подростков в условиях миграции, обеспечив документирование случаев нарушения прав детей, а также действенные механизмы для предотвращения таких нарушений, определения соответствующих обязанностей и принятия мер по эффективному и своевременному возмещению ущерба;</w:t>
      </w:r>
    </w:p>
    <w:p w14:paraId="6535C5E9" w14:textId="05B8BEF2" w:rsidR="00AA4BAE" w:rsidRPr="00DC4794" w:rsidRDefault="00AA4BAE" w:rsidP="00AA4BAE">
      <w:pPr>
        <w:pStyle w:val="SingleTxtG"/>
        <w:rPr>
          <w:b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 xml:space="preserve">принять комплексную стратегию по предотвращению насилия и защите от него всех детей и подростков в условиях миграции, предусматривающую оказание долгосрочной психосоциальной и социально-экономической поддержки и обеспечение доступа к правосудию и возмещению за причиненный ущерб, а также гарантирующую, что дети будут должным образом услышаны и будут участвовать в этих процедурах в соответствии с их возрастом </w:t>
      </w:r>
      <w:r>
        <w:rPr>
          <w:b/>
          <w:bCs/>
        </w:rPr>
        <w:lastRenderedPageBreak/>
        <w:t>и зрелостью и в соответствии с принципом постепенного обретения самостоятельности;</w:t>
      </w:r>
    </w:p>
    <w:p w14:paraId="5AF670E8" w14:textId="5F8FF131" w:rsidR="00AA4BAE" w:rsidRPr="00DC4794" w:rsidRDefault="00AA4BAE" w:rsidP="00AA4BAE">
      <w:pPr>
        <w:pStyle w:val="SingleTxtG"/>
        <w:rPr>
          <w:b/>
        </w:rPr>
      </w:pPr>
      <w:r w:rsidRPr="00165D3B"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проводить с участием гражданского общества периодические оценки воздействия и результативности планов по реинтеграции и интеграции детей</w:t>
      </w:r>
      <w:r w:rsidR="00165D3B">
        <w:rPr>
          <w:b/>
          <w:bCs/>
        </w:rPr>
        <w:t xml:space="preserve"> </w:t>
      </w:r>
      <w:r>
        <w:rPr>
          <w:b/>
          <w:bCs/>
        </w:rPr>
        <w:t>и подростков-мигрантов, независимо от их миграционного статуса, с учетом таких аспектов, как интеграция в систему образования, жизнь общины и культурную жизнь, а также безопасное возвращение в семьи происхождения, и обеспечивать, чтобы результаты таких оценок влияли на процессы принятия решений и программы правительства и международного сотрудничества в этой области;</w:t>
      </w:r>
    </w:p>
    <w:p w14:paraId="3B565863" w14:textId="62F44D3E" w:rsidR="00AA4BAE" w:rsidRPr="00DC4794" w:rsidRDefault="00AA4BAE" w:rsidP="00AA4BAE">
      <w:pPr>
        <w:pStyle w:val="SingleTxtG"/>
        <w:rPr>
          <w:b/>
        </w:rPr>
      </w:pPr>
      <w:r w:rsidRPr="00165D3B">
        <w:rPr>
          <w:b/>
          <w:bCs/>
        </w:rPr>
        <w:tab/>
      </w:r>
      <w:r>
        <w:rPr>
          <w:b/>
          <w:bCs/>
        </w:rPr>
        <w:t>e)</w:t>
      </w:r>
      <w:r>
        <w:tab/>
      </w:r>
      <w:r>
        <w:rPr>
          <w:b/>
          <w:bCs/>
        </w:rPr>
        <w:t>принять руководящие принципы и меры по интеграции прибывающих в государство-участник детей, которые имеют гражданство Соединенных Штатов Америки или двойное гражданство, путем, в частности, обеспечения им доступа к системе образования и их социальной интеграции, а также оказания психосоциальной поддержки, которая позволит им адаптироваться к социокультурной среде и будет соответствовать их возрасту, полу и гендерной принадлежности.</w:t>
      </w:r>
    </w:p>
    <w:p w14:paraId="7A899B36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Перевод мигрантами заработанных средств и сбережений по окончании пребывания в стране</w:t>
      </w:r>
    </w:p>
    <w:p w14:paraId="0C14713D" w14:textId="5DA9C0EB" w:rsidR="00AA4BAE" w:rsidRPr="00DC4794" w:rsidRDefault="00AA4BAE" w:rsidP="00AA4BAE">
      <w:pPr>
        <w:pStyle w:val="SingleTxtG"/>
      </w:pPr>
      <w:r>
        <w:t>39.</w:t>
      </w:r>
      <w:r>
        <w:tab/>
        <w:t xml:space="preserve">Комитет отмечает устойчивый рост объема денежных переводов гондурасских трудящихся-мигрантов и, в частности, их макроэкономический эффект </w:t>
      </w:r>
      <w:r w:rsidR="00067FF4" w:rsidRPr="00067FF4">
        <w:t>—</w:t>
      </w:r>
      <w:r>
        <w:t xml:space="preserve"> в последние годы доля денежных переводов в валовом внутреннем продукте страны составляла примерно 25</w:t>
      </w:r>
      <w:r w:rsidR="00067FF4" w:rsidRPr="00067FF4">
        <w:t xml:space="preserve"> </w:t>
      </w:r>
      <w:r>
        <w:t>%. Однако он сожалеет, что бюджетные и иные меры по укреплению защиты прав гондурасских трудящихся-мигрантов в странах транзита и назначения не соразмерны этому существенному вкладу.</w:t>
      </w:r>
      <w:bookmarkStart w:id="4" w:name="_Hlk216184393"/>
    </w:p>
    <w:bookmarkEnd w:id="4"/>
    <w:p w14:paraId="0748E623" w14:textId="77777777" w:rsidR="00AA4BAE" w:rsidRPr="00DC4794" w:rsidRDefault="00AA4BAE" w:rsidP="00AA4BAE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2B1904E" w14:textId="51442F32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принять все необходимые меры, в том числе в части бюджета, для решительного укрепления политики и практики оказания помощи и защиты прав всех гондурасских трудящихся-мигрантов и членов их семей в странах транзита и назначения;</w:t>
      </w:r>
    </w:p>
    <w:p w14:paraId="40F9ADAB" w14:textId="3FD36BAE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с учетом предыдущей рекомендации</w:t>
      </w:r>
      <w:r w:rsidRPr="00DB04E4">
        <w:rPr>
          <w:sz w:val="18"/>
          <w:szCs w:val="18"/>
          <w:vertAlign w:val="superscript"/>
        </w:rPr>
        <w:footnoteReference w:id="18"/>
      </w:r>
      <w:r>
        <w:rPr>
          <w:b/>
          <w:bCs/>
        </w:rPr>
        <w:t xml:space="preserve"> обозначить способы продуктивного использования денежных переводов получающими семьями путем распространения информации о соответствующих программах, а также регулирования и обеспечения функционирования создаваемых для этой цели фондов.</w:t>
      </w:r>
    </w:p>
    <w:p w14:paraId="45884ED7" w14:textId="2CD6B5DF" w:rsidR="00AA4BAE" w:rsidRPr="00DC4794" w:rsidRDefault="00AA4BAE" w:rsidP="00AA4BAE">
      <w:pPr>
        <w:pStyle w:val="H23G"/>
      </w:pPr>
      <w:r w:rsidRPr="00165D3B">
        <w:rPr>
          <w:bCs/>
        </w:rPr>
        <w:tab/>
      </w:r>
      <w:r>
        <w:rPr>
          <w:bCs/>
        </w:rPr>
        <w:t>4.</w:t>
      </w:r>
      <w:r>
        <w:tab/>
      </w:r>
      <w:r>
        <w:rPr>
          <w:bCs/>
        </w:rPr>
        <w:t>Другие права трудящихся-мигрантов и членов их семей, имеющих документы или урегулированный статус (статьи 35–56)</w:t>
      </w:r>
    </w:p>
    <w:p w14:paraId="19456028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Свобода передвижения и право выбора места жительства</w:t>
      </w:r>
    </w:p>
    <w:p w14:paraId="15868E0A" w14:textId="545AE059" w:rsidR="00AA4BAE" w:rsidRPr="00DC4794" w:rsidRDefault="00AA4BAE" w:rsidP="00AA4BAE">
      <w:pPr>
        <w:pStyle w:val="SingleTxtG"/>
      </w:pPr>
      <w:r>
        <w:t>41.</w:t>
      </w:r>
      <w:r>
        <w:tab/>
        <w:t>Комитет приветствует принятие Закона о предупреждении внутреннего перемещения и защите и поддержке внутренне перемещенных лиц, применимого к возвращающимся лицам, которые нуждаются в защите. Тем не менее Комитет обеспокоен продолжающимся внутренним перемещением населения, которое в непропорционально большой степени затрагивает женщин, и его многочисленными причинами, включая гендерное насилие и другие формы насилия и эксплуатации, осуществление государственных мегапроектов или проектов транснациональных компаний на исконных территориях коренных народов, деятельность банд и других незаконных групп, а также стихийные бедствия и чрезвычайные ситуации, которые во многих случаях приводят к миграции в другие страны.</w:t>
      </w:r>
    </w:p>
    <w:p w14:paraId="6603CF40" w14:textId="77777777" w:rsidR="00AA4BAE" w:rsidRPr="00DC4794" w:rsidRDefault="00AA4BAE" w:rsidP="00067FF4">
      <w:pPr>
        <w:pStyle w:val="SingleTxtG"/>
        <w:pageBreakBefore/>
        <w:rPr>
          <w:b/>
          <w:bCs/>
        </w:rPr>
      </w:pPr>
      <w:r>
        <w:lastRenderedPageBreak/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B32BE3D" w14:textId="440C06AD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обеспечить принятие в приоритетном порядке стратегии по предотвращению и решению проблемы вынужденного перемещения населения, учитывающей различные последствия для женщин, коренных народов и гондурасцев африканского происхождения, детей, инвалидов и возвратившихся мигрантов.</w:t>
      </w:r>
      <w:r>
        <w:t xml:space="preserve"> </w:t>
      </w:r>
      <w:r>
        <w:rPr>
          <w:b/>
          <w:bCs/>
        </w:rPr>
        <w:t>В частности, государство-участник следует принять и реализовать надлежащие меры, направленные на предотвращение вынужденного внутреннего перемещения, приводящего к международной миграции, в координации с политикой, направленной на предотвращение всех форм насилия, и, среди прочего, с политикой, направленной на обеспечение прав трудящихся-мигрантов и членов их семей, вернувшихся в страну, детей, женщин, коренных народов, инвалидов и афро-гондурасцев, доступ к правосудию, борьбу с безнаказанностью и коррупцией, эффективную и устойчивую защиту жертв, а также доступ к механизмам возмещения ущерба и восстановления прав;</w:t>
      </w:r>
    </w:p>
    <w:p w14:paraId="24B90AE5" w14:textId="1C68EC72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утвердить положения, обеспечивающие выполнение Закона о предупреждении внутреннего перемещения и защите и поддержке внутренне перемещенных лиц, а также протоколы действий по защите женщин, и выделить из бюджета ассигнования на обеспечение защиты в приютах временного пребывания;</w:t>
      </w:r>
    </w:p>
    <w:p w14:paraId="69E3B9C6" w14:textId="0043A3D7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принять конкретные меры по искоренению любой практики насильственного выселения общин коренных народов с их исконных земель, в том числе путем обеспечения их права на владение этими землями, с целью предотвращения возможных процессов вынужденной международной миграции;</w:t>
      </w:r>
    </w:p>
    <w:p w14:paraId="605ABED0" w14:textId="3DF11B17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уменьшить воздействие изменения климата на миграцию путем укрепления жизнестойкости уязвимых общин, используя инклюзивный подход.</w:t>
      </w:r>
    </w:p>
    <w:p w14:paraId="14572242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Право избирать и быть избранным в государстве происхождения</w:t>
      </w:r>
    </w:p>
    <w:p w14:paraId="6DC9F8A5" w14:textId="2F781468" w:rsidR="00AA4BAE" w:rsidRPr="00DC4794" w:rsidRDefault="00AA4BAE" w:rsidP="00AA4BAE">
      <w:pPr>
        <w:pStyle w:val="SingleTxtG"/>
      </w:pPr>
      <w:r>
        <w:t>43.</w:t>
      </w:r>
      <w:r>
        <w:tab/>
        <w:t xml:space="preserve">Комитет принимает к сведению законодательные меры, обеспечивающие признание принципа паритета в контексте избирательного процесса. Однако он выражает обеспокоенность в связи с ограничениями права голоса, которые </w:t>
      </w:r>
      <w:r w:rsidR="00067FF4" w:rsidRPr="00147392">
        <w:br/>
      </w:r>
      <w:r>
        <w:t>по-прежнему существуют для трудящихся-мигрантов в третьих странах, таких как Испания, в силу решения Национального избирательного совета, который дискриминационным образом признал право голоса только для гондурасских трудящихся-мигрантов, проживающих в Соединенных Штатах Америки.</w:t>
      </w:r>
    </w:p>
    <w:p w14:paraId="7854B465" w14:textId="77777777" w:rsidR="00AA4BAE" w:rsidRPr="00DC4794" w:rsidRDefault="00AA4BAE" w:rsidP="00AA4BAE">
      <w:pPr>
        <w:pStyle w:val="SingleTxtG"/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признания и обеспечения эффективного осуществления права голоса всех гондурасских трудящихся-мигрантов и членов их семей, проживающих за рубежом, во всех избирательных процессах, предусмотренных действующим законодательством, без различия по месту жительства.</w:t>
      </w:r>
    </w:p>
    <w:p w14:paraId="64997A9B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Воссоединение семьи</w:t>
      </w:r>
    </w:p>
    <w:p w14:paraId="6F016625" w14:textId="77777777" w:rsidR="00AA4BAE" w:rsidRPr="00DC4794" w:rsidRDefault="00AA4BAE" w:rsidP="00AA4BAE">
      <w:pPr>
        <w:pStyle w:val="SingleTxtG"/>
      </w:pPr>
      <w:r>
        <w:t>45.</w:t>
      </w:r>
      <w:r>
        <w:tab/>
        <w:t>Комитет принимает к сведению информацию о временных и/или постоянных видах на жительство, выдаваемых лицам венесуэльского происхождения и других национальностей на основании, в частности, вступления в брак и семейных связей, а также о соглашениях о сотрудничестве, заключенных с Соединенными Штатами Америки с целью облегчения процессов воссоединения семей через посольство Гондураса в этой стране. Однако Комитет выражает обеспокоенность в связи с отсутствием доступных правовых и оперативных положений, гарантирующих право на воссоединение семьи по гуманитарным соображениям для пар, состоящих в гражданском браке, и других родственников. Он также обеспокоен отсутствием информации о механизмах, позволяющих воссоединять семьи трудящихся-мигрантов гаитянского происхождения.</w:t>
      </w:r>
    </w:p>
    <w:p w14:paraId="23B8917B" w14:textId="77777777" w:rsidR="00AA4BAE" w:rsidRPr="00DC4794" w:rsidRDefault="00AA4BAE" w:rsidP="00AA4BAE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AB1CEDB" w14:textId="65A90CBC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принять необходимые меры, в том числе законодательного и политического характера, для обеспечения защиты единства семей трудящихся-</w:t>
      </w:r>
      <w:r>
        <w:rPr>
          <w:b/>
          <w:bCs/>
        </w:rPr>
        <w:lastRenderedPageBreak/>
        <w:t>мигрантов и содействия воссоединению трудящихся-мигрантов с членами их семей в соответствии с положениями Конвенции, стандартами Комитета и положениями других применимых договоров по правам человека;</w:t>
      </w:r>
    </w:p>
    <w:p w14:paraId="1259AA16" w14:textId="215A662F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обеспечить, чтобы трудящиеся гаитянского происхождения имели доступ к службам поддержки в контексте миграции и, в случае поступления соответствующего запроса, право на воссоединение с семьей без дискриминации по признакам языка, религии, принадлежности к народам африканского происхождения, социально-экономического положения и других факторов;</w:t>
      </w:r>
    </w:p>
    <w:p w14:paraId="14DED1A8" w14:textId="08CA9800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активизировать деятельность посольства и консульских представительств в Соединенных Штатах Америки с целью содействия осуществлению права гондурасских граждан на воссоединение с членами их семей, проживающими в этой стране, и приложить усилия для предотвращения того, чтобы такое воссоединение осуществлялось нелегальными и небезопасными способами.</w:t>
      </w:r>
    </w:p>
    <w:p w14:paraId="431DCE55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Приграничные и сезонные трудящиеся</w:t>
      </w:r>
    </w:p>
    <w:p w14:paraId="69816479" w14:textId="77777777" w:rsidR="00AA4BAE" w:rsidRPr="00DC4794" w:rsidRDefault="00AA4BAE" w:rsidP="00AA4BAE">
      <w:pPr>
        <w:pStyle w:val="SingleTxtG"/>
      </w:pPr>
      <w:r>
        <w:t>47.</w:t>
      </w:r>
      <w:r>
        <w:tab/>
        <w:t>Комитет обеспокоен тяжелым положением, в котором находятся приграничные и сезонные трудящиеся в государстве-участнике, в том числе чрезмерной продолжительностью рабочего дня, низкой заработной платой, отсутствием доступа к элементарным санитарным условиям, надлежащему жилищу и социальному обеспечению. Кроме того, он обеспокоен ненадлежащими механизмами найма, которые препятствуют формализации трудовых отношений и признанию прав трудящихся, а также случаями насилия в отношении трудящихся и их эксплуатации, от чего особенно страдают молодые люди, работающие в сельском хозяйстве и других секторах.</w:t>
      </w:r>
    </w:p>
    <w:p w14:paraId="23F86EBE" w14:textId="77777777" w:rsidR="00AA4BAE" w:rsidRPr="00DC4794" w:rsidRDefault="00AA4BAE" w:rsidP="00AA4BAE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CBD4160" w14:textId="5F35F152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признать в своем трудовом и миграционном законодательстве категорию приграничных работников, что будет способствовать обеспечению их защиты в качестве трудящихся-мигрантов, и укрепить инфраструктуру и институциональное присутствие структур, отвечающих за вопросы регулирования и охраны труда;</w:t>
      </w:r>
    </w:p>
    <w:p w14:paraId="5381A4E4" w14:textId="3377AEE8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провести всеобъемлющий обзор своей политики с целью обеспечения того, чтобы трудящиеся-мигранты без каких-либо различий имели доступ к здравоохранению, образованию и социальной помощи, уделяя особое внимание тем из них, кто не имеет урегулированного статуса или следует транзитом через государство-участник, особенно в приграничных регионах и сельских районах.</w:t>
      </w:r>
    </w:p>
    <w:p w14:paraId="2F9F8E54" w14:textId="117DC523" w:rsidR="00AA4BAE" w:rsidRPr="00DC4794" w:rsidRDefault="00AA4BAE" w:rsidP="00AA4BAE">
      <w:pPr>
        <w:pStyle w:val="H23G"/>
      </w:pPr>
      <w:r w:rsidRPr="00165D3B">
        <w:rPr>
          <w:bCs/>
        </w:rPr>
        <w:tab/>
      </w:r>
      <w:r>
        <w:rPr>
          <w:bCs/>
        </w:rPr>
        <w:t>5.</w:t>
      </w:r>
      <w:r>
        <w:tab/>
      </w:r>
      <w:r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64–71)</w:t>
      </w:r>
    </w:p>
    <w:p w14:paraId="1723FBA5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Женщины-мигранты</w:t>
      </w:r>
    </w:p>
    <w:p w14:paraId="5A799539" w14:textId="77777777" w:rsidR="00AA4BAE" w:rsidRPr="00DC4794" w:rsidRDefault="00AA4BAE" w:rsidP="00AA4BAE">
      <w:pPr>
        <w:pStyle w:val="SingleTxtG"/>
      </w:pPr>
      <w:r>
        <w:t>49.</w:t>
      </w:r>
      <w:r>
        <w:tab/>
        <w:t>Комитет с обеспокоенностью отмечает, что женщины-мигранты, работающие в качестве домашней прислуги в государстве-участнике и таких странах назначения, как Испания, сталкиваются с серьезным риском дискриминации в части получения достойной работы, особенно те из них, кто не имеет урегулированного статуса, что обусловлено отсутствием надлежащего законодательства в области домашнего труда. В частности, он обеспокоен случаями домогательств и трудовой эксплуатации в странах назначения, о которых не сообщается из-за страха мести и угроз депортации в случае подачи жалоб на насилии со стороны работодателей. Комитет также обеспокоен дискриминацией женщин-мигрантов и представителей ЛГБТИК+ сообщества в части доступа к услугам здравоохранения, которая обусловлена стигматизацией и предвзятым отношением со стороны поставщиков медицинских услуг.</w:t>
      </w:r>
    </w:p>
    <w:p w14:paraId="055E92F6" w14:textId="77777777" w:rsidR="00AA4BAE" w:rsidRPr="00DC4794" w:rsidRDefault="00AA4BAE" w:rsidP="00AA4BAE">
      <w:pPr>
        <w:pStyle w:val="SingleTxtG"/>
        <w:rPr>
          <w:b/>
          <w:bCs/>
        </w:rPr>
      </w:pPr>
      <w:r>
        <w:lastRenderedPageBreak/>
        <w:t>50.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838A662" w14:textId="210094CD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начать в срочном порядке процесс ратификации Конвенции МОТ 2011 года о достойном труде домашних работников (№ 189) и гармонизировать свое законодательство таким образом, чтобы оно обеспечивало признание домашнего труда и его охрану;</w:t>
      </w:r>
    </w:p>
    <w:p w14:paraId="5053CE39" w14:textId="2E594215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 xml:space="preserve"> </w:t>
      </w:r>
      <w:r>
        <w:tab/>
      </w:r>
      <w:r>
        <w:rPr>
          <w:b/>
          <w:bCs/>
        </w:rPr>
        <w:t>вменить в обязанности инспекторов труда осуществление надзора за условиями труда женщин-мигрантов, работающих в качестве домашней прислуги, в том числе с неурегулированным статусом, в соответствии с замечанием общего порядка № 1 (2011) Комитета;</w:t>
      </w:r>
    </w:p>
    <w:p w14:paraId="3A1B4BA1" w14:textId="3148EFA7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распространять среди трудящихся женщин-мигрантов информацию о международной защите трудящихся, работающих в качестве домашней прислуги, и создать каналы для конфиденциальной связи и подачи жалоб, которые позволят им сообщать о случаях домогательства, жестокого обращения и нарушения трудовых прав в Гондурасе и странах назначения и получать надлежащую защиту и компенсацию;</w:t>
      </w:r>
    </w:p>
    <w:p w14:paraId="4431410C" w14:textId="561EB335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принять руководящие принципы функционирования сектора здравоохранения с целью предотвращения стигматизации женщин и представителей ЛГБТИК+, а также отказа им в предоставлении медицинских услуг, принимая при этом во внимание пересечение таких факторов, как их пол, гендерная принадлежность и миграционный статус.</w:t>
      </w:r>
    </w:p>
    <w:p w14:paraId="30992FDE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Возвращение и реинтеграция</w:t>
      </w:r>
    </w:p>
    <w:p w14:paraId="7FCE2E90" w14:textId="2CB39EF1" w:rsidR="00AA4BAE" w:rsidRPr="00DC4794" w:rsidRDefault="00AA4BAE" w:rsidP="00AA4BAE">
      <w:pPr>
        <w:pStyle w:val="SingleTxtG"/>
      </w:pPr>
      <w:r>
        <w:t>51.</w:t>
      </w:r>
      <w:r>
        <w:tab/>
        <w:t>Комитет принимает к сведению информацию о принятии Национального плана реинтеграции (2024–2025 годы) и участии организаций гражданского общества в его разработке, а также в консультативном процессе по регулированию функционирования Фонда по оказанию помощи насильственно перемещенным лицам и их защите, и о материальной помощи, доступной для реинтеграции возвращающихся лиц. Тем не менее Комитет выражает обеспокоенность по поводу разрыва между числом репатриантов и результатами в области трудоустройства, отсутствия информации о разумных приспособлениях и поддержке, оказываемой в части трудоустройства репатриантов с инвалидностью, а также отсутствия дифференцированных мер в отношении отдельных групп населения, таких как женщины, пожилые люди и дети. Он также обеспокоен положением граждан третьих стран, которые возвращаются из Гондураса в свои страны происхождения без получения надлежащей информации и принятия мер защиты в связи с условиями такого возвращения.</w:t>
      </w:r>
    </w:p>
    <w:p w14:paraId="23DD3F21" w14:textId="77777777" w:rsidR="00AA4BAE" w:rsidRPr="00DC4794" w:rsidRDefault="00AA4BAE" w:rsidP="00AA4BAE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в соответствии со статьей 67 Конвенции и задачей 10.7 Целей в области устойчивого развития:</w:t>
      </w:r>
    </w:p>
    <w:p w14:paraId="79CB8F5B" w14:textId="72CDD46A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принять долгосрочные стратегии по вопросам возвращения и реинтеграции, а также соответствующие планы по их реализации с участием гражданского общества и предпринимательского сектора, и обеспечить оказание психосоциальной, образовательной и экономической поддержки в контексте возвращения.</w:t>
      </w:r>
      <w:r>
        <w:t xml:space="preserve"> </w:t>
      </w:r>
      <w:r>
        <w:rPr>
          <w:b/>
          <w:bCs/>
        </w:rPr>
        <w:t>В этой связи государству-участнику следует:</w:t>
      </w:r>
    </w:p>
    <w:p w14:paraId="11478302" w14:textId="77777777" w:rsidR="00AA4BAE" w:rsidRPr="00DC4794" w:rsidRDefault="00AA4BAE" w:rsidP="00AA4BAE">
      <w:pPr>
        <w:pStyle w:val="SingleTxtG"/>
        <w:ind w:left="1701"/>
        <w:rPr>
          <w:b/>
          <w:bCs/>
        </w:rPr>
      </w:pPr>
      <w:r>
        <w:rPr>
          <w:b/>
          <w:bCs/>
        </w:rPr>
        <w:t>i)</w:t>
      </w:r>
      <w:r>
        <w:tab/>
      </w:r>
      <w:r>
        <w:rPr>
          <w:b/>
          <w:bCs/>
        </w:rPr>
        <w:t>проводить периодический мониторинг результатов реализации политики по вопросам реинтеграции;</w:t>
      </w:r>
    </w:p>
    <w:p w14:paraId="7F799B65" w14:textId="77777777" w:rsidR="00AA4BAE" w:rsidRPr="00DC4794" w:rsidRDefault="00AA4BAE" w:rsidP="00AA4BAE">
      <w:pPr>
        <w:pStyle w:val="SingleTxtG"/>
        <w:ind w:left="1701"/>
        <w:rPr>
          <w:b/>
          <w:bCs/>
        </w:rPr>
      </w:pPr>
      <w:r>
        <w:rPr>
          <w:b/>
          <w:bCs/>
        </w:rPr>
        <w:t>ii)</w:t>
      </w:r>
      <w:r>
        <w:tab/>
      </w:r>
      <w:r>
        <w:rPr>
          <w:b/>
          <w:bCs/>
        </w:rPr>
        <w:t>обеспечить надлежащий переход от оказания экстренной помощи через центры помощи возвращающимся в Гондурас мигрантам к устойчивому и безопасному возвращению;</w:t>
      </w:r>
    </w:p>
    <w:p w14:paraId="774B7051" w14:textId="77777777" w:rsidR="00AA4BAE" w:rsidRPr="00DC4794" w:rsidRDefault="00AA4BAE" w:rsidP="00AA4BAE">
      <w:pPr>
        <w:pStyle w:val="SingleTxtG"/>
        <w:ind w:left="1701"/>
        <w:rPr>
          <w:b/>
          <w:bCs/>
        </w:rPr>
      </w:pPr>
      <w:r>
        <w:rPr>
          <w:b/>
          <w:bCs/>
        </w:rPr>
        <w:t>iii)</w:t>
      </w:r>
      <w:r>
        <w:tab/>
      </w:r>
      <w:r>
        <w:rPr>
          <w:b/>
          <w:bCs/>
        </w:rPr>
        <w:t>принять меры для предотвращения новых высылок в рамках процесса реадмиссии и возвращения репатриантов в соответствии с надлежащей правовой процедурой;</w:t>
      </w:r>
    </w:p>
    <w:p w14:paraId="2420D2BB" w14:textId="77777777" w:rsidR="00AA4BAE" w:rsidRPr="00DC4794" w:rsidRDefault="00AA4BAE" w:rsidP="00AA4BAE">
      <w:pPr>
        <w:pStyle w:val="SingleTxtG"/>
        <w:ind w:left="1701"/>
        <w:rPr>
          <w:b/>
          <w:bCs/>
        </w:rPr>
      </w:pPr>
      <w:r>
        <w:rPr>
          <w:b/>
          <w:bCs/>
        </w:rPr>
        <w:t>iv)</w:t>
      </w:r>
      <w:r>
        <w:tab/>
      </w:r>
      <w:r>
        <w:rPr>
          <w:b/>
          <w:bCs/>
        </w:rPr>
        <w:t>обеспечить максимальный географический охват программ реинтеграции с уделением особого внимания сельским районам;</w:t>
      </w:r>
    </w:p>
    <w:p w14:paraId="1A411ACA" w14:textId="77777777" w:rsidR="00AA4BAE" w:rsidRPr="00DC4794" w:rsidRDefault="00AA4BAE" w:rsidP="00AA4BAE">
      <w:pPr>
        <w:pStyle w:val="SingleTxtG"/>
        <w:ind w:left="1701"/>
        <w:rPr>
          <w:b/>
          <w:bCs/>
        </w:rPr>
      </w:pPr>
      <w:r>
        <w:rPr>
          <w:b/>
          <w:bCs/>
        </w:rPr>
        <w:lastRenderedPageBreak/>
        <w:t>v)</w:t>
      </w:r>
      <w:r>
        <w:tab/>
      </w:r>
      <w:r>
        <w:rPr>
          <w:b/>
          <w:bCs/>
        </w:rPr>
        <w:t>включить в свои цели расширение доступа к занятости в формальном секторе, усилить надзор за агентствами по трудоустройству для предотвращения случаев торговли людьми;</w:t>
      </w:r>
    </w:p>
    <w:p w14:paraId="4EAD7C77" w14:textId="77777777" w:rsidR="00AA4BAE" w:rsidRPr="00DC4794" w:rsidRDefault="00AA4BAE" w:rsidP="00AA4BAE">
      <w:pPr>
        <w:pStyle w:val="SingleTxtG"/>
        <w:ind w:left="1701"/>
        <w:rPr>
          <w:b/>
          <w:bCs/>
        </w:rPr>
      </w:pPr>
      <w:r>
        <w:rPr>
          <w:b/>
          <w:bCs/>
        </w:rPr>
        <w:t>vi)</w:t>
      </w:r>
      <w:r>
        <w:tab/>
      </w:r>
      <w:r>
        <w:rPr>
          <w:b/>
          <w:bCs/>
        </w:rPr>
        <w:t>осуществлять на основе правозащитного подхода долгосрочный мониторинг процесса социальной реассимиляции и устойчивой реинтеграции репатриантов;</w:t>
      </w:r>
    </w:p>
    <w:p w14:paraId="708CCD33" w14:textId="5D5AD061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принять конкретные меры для содействия реинтеграции женщин из числа репатриантов посредством развития предпринимательства, организации подготовки для целей трудоустройства и сохранения их экономической самостоятельности, в том числе путем предоставления им доступа к гибким и долгосрочным кредитам и возможности воспользоваться программами жилищного строительства и профессионального обучения в нетрадиционных секторах, включая информационные и коммуникационные технологии, научные исследования и инженерное дело;</w:t>
      </w:r>
    </w:p>
    <w:p w14:paraId="64A913EA" w14:textId="7FF90C66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создать на уровне общин системы индивидуальной поддержки в целях обеспечения реинтеграции перемещенных лиц и репатриантов с инвалидностью в Гондурасе или на их родных территориях и принять меры по предотвращению институционализации, в том числе институционализации детей в контексте возвращения;</w:t>
      </w:r>
    </w:p>
    <w:p w14:paraId="456DD18C" w14:textId="105DAC3B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содействовать разработке на уровне общин политики и систем ухода и поддержки, в том числе для репатриантов и их семей, обеспечивающих признание оплачиваемого труда тех, кто осуществляет уход и оказывает поддержку на дому и в государственных учреждениях, а также прав тех, кто нуждается в уходе и поддержке;</w:t>
      </w:r>
    </w:p>
    <w:p w14:paraId="210CC406" w14:textId="74A4FA9E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e)</w:t>
      </w:r>
      <w:r>
        <w:tab/>
      </w:r>
      <w:r>
        <w:rPr>
          <w:b/>
          <w:bCs/>
        </w:rPr>
        <w:t>предоставлять трудящимся-мигрантам и членам их семей доступную информацию на понятном для них языке о процессуальных гарантиях, связанных с возвращением в страны происхождения.</w:t>
      </w:r>
    </w:p>
    <w:p w14:paraId="01C8DDB2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14:paraId="11ED9C08" w14:textId="77777777" w:rsidR="00AA4BAE" w:rsidRPr="00DC4794" w:rsidRDefault="00AA4BAE" w:rsidP="00AA4BAE">
      <w:pPr>
        <w:pStyle w:val="SingleTxtG"/>
      </w:pPr>
      <w:r>
        <w:t>53.</w:t>
      </w:r>
      <w:r>
        <w:tab/>
        <w:t>Комитет принимает к сведению информацию о принятии Закона о приютах для женщин, ставших жертвами насилия или переживших насилие в Гондурасе (Законодательный декрет № 28-2024), реформах в области уголовного права, расширяющих перечень деяний, которые могут представлять собой преступление торговли людьми, а также проекты по оказанию помощи жертвам торговли людьми, включая увеличение бюджета на оказание помощи прямым и косвенным жертвам торговли людьми. Вместе с тем Комитет выражает обеспокоенность по поводу:</w:t>
      </w:r>
    </w:p>
    <w:p w14:paraId="63879262" w14:textId="782F7F86" w:rsidR="00AA4BAE" w:rsidRPr="00DC4794" w:rsidRDefault="00AA4BAE" w:rsidP="00AA4BAE">
      <w:pPr>
        <w:pStyle w:val="SingleTxtG"/>
      </w:pPr>
      <w:r w:rsidRPr="00165D3B">
        <w:tab/>
      </w:r>
      <w:r>
        <w:t>a)</w:t>
      </w:r>
      <w:r>
        <w:tab/>
        <w:t>высокого риска подвергнуться сексуальной эксплуатации и стать жертвами торговли людьми, с которым сталкиваются в государстве-участнике дети, а также последствий, которые возникают, когда они являются косвенными жертвами торговли людьми;</w:t>
      </w:r>
    </w:p>
    <w:p w14:paraId="6307A246" w14:textId="513C28E5" w:rsidR="00AA4BAE" w:rsidRPr="00DC4794" w:rsidRDefault="00AA4BAE" w:rsidP="00AA4BAE">
      <w:pPr>
        <w:pStyle w:val="SingleTxtG"/>
      </w:pPr>
      <w:r w:rsidRPr="00165D3B">
        <w:tab/>
      </w:r>
      <w:r>
        <w:t>b)</w:t>
      </w:r>
      <w:r>
        <w:tab/>
        <w:t>отсутствия эффективного надзора за агентствами по трудоустройству, которые работают без официальной регистрации или с просроченным разрешением и продолжают практику трудовой эксплуатации;</w:t>
      </w:r>
    </w:p>
    <w:p w14:paraId="36E94E1E" w14:textId="0BF9C4B8" w:rsidR="00AA4BAE" w:rsidRPr="00DC4794" w:rsidRDefault="00AA4BAE" w:rsidP="00AA4BAE">
      <w:pPr>
        <w:pStyle w:val="SingleTxtG"/>
      </w:pPr>
      <w:r w:rsidRPr="00165D3B">
        <w:tab/>
      </w:r>
      <w:r>
        <w:t>c)</w:t>
      </w:r>
      <w:r>
        <w:tab/>
        <w:t>существующих ограничений в части доступа к механизмам возмещения ущерба, причиненного жертвам торговли людьми.</w:t>
      </w:r>
    </w:p>
    <w:p w14:paraId="2F66A3F3" w14:textId="77777777" w:rsidR="00AA4BAE" w:rsidRPr="00DC4794" w:rsidRDefault="00AA4BAE" w:rsidP="00AA4BAE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напоминает о своих предыдущих рекомендациях</w:t>
      </w:r>
      <w:r w:rsidRPr="00DB04E4">
        <w:rPr>
          <w:sz w:val="18"/>
          <w:szCs w:val="18"/>
          <w:vertAlign w:val="superscript"/>
        </w:rPr>
        <w:footnoteReference w:id="19"/>
      </w:r>
      <w:r>
        <w:rPr>
          <w:b/>
          <w:bCs/>
        </w:rPr>
        <w:t xml:space="preserve"> и рекомендует государству-участнику:</w:t>
      </w:r>
    </w:p>
    <w:p w14:paraId="0FAC6CF5" w14:textId="07FC6D10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 xml:space="preserve">периодически обновлять стратегию по предотвращению торговли людьми и эксплуатации, включая в нее конкретные руководящие принципы для предотвращения рисков торговли детьми и подростками, а также гарантировать устойчивое увеличение ресурсов, выделяемых Фонду помощи жертвам торговли </w:t>
      </w:r>
      <w:r>
        <w:rPr>
          <w:b/>
          <w:bCs/>
        </w:rPr>
        <w:lastRenderedPageBreak/>
        <w:t>людьми, что позволит расширить сеть приютов и специализированных центров защиты для жертв эксплуатации и торговли людьми;</w:t>
      </w:r>
    </w:p>
    <w:p w14:paraId="64DCB803" w14:textId="79F0A459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обеспечить контроль и надзор за всеми агентствами по трудоустройству и распорядиться о закрытии тех из них, которые имеют отношение к трудовой эксплуатации, в том числе тех, которые работают в туристических зонах;</w:t>
      </w:r>
    </w:p>
    <w:p w14:paraId="028C3019" w14:textId="1FDDEA9D" w:rsidR="00AA4BAE" w:rsidRPr="00DC4794" w:rsidRDefault="00AA4BAE" w:rsidP="00AA4BAE">
      <w:pPr>
        <w:pStyle w:val="SingleTxtG"/>
        <w:rPr>
          <w:b/>
          <w:bCs/>
        </w:rPr>
      </w:pPr>
      <w:r w:rsidRPr="00165D3B">
        <w:rPr>
          <w:b/>
          <w:bCs/>
        </w:rP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обеспечить, чтобы жертвы торговли людьми могли посредством административных и судебных действий требовать восстановления нарушенных прав, включая психосоциальную поддержку, для преодоления ущерба, причиненного торговлей людьми и другими формами эксплуатации.</w:t>
      </w:r>
    </w:p>
    <w:p w14:paraId="571DDCDD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со странами транзита и назначения</w:t>
      </w:r>
    </w:p>
    <w:p w14:paraId="2FAEE374" w14:textId="77777777" w:rsidR="00AA4BAE" w:rsidRPr="00DC4794" w:rsidRDefault="00AA4BAE" w:rsidP="00AA4BAE">
      <w:pPr>
        <w:pStyle w:val="SingleTxtG"/>
      </w:pPr>
      <w:r>
        <w:t>55.</w:t>
      </w:r>
      <w:r>
        <w:tab/>
        <w:t>Комитет обеспокоен наличием ограниченной информации о положении гондурасских трудящихся-мигрантах и членов их семей в таких странах региона, как Коста-Рика, Панама и Сальвадор, в том числе о двусторонних и региональных соглашениях с этими странами. Комитет также обеспокоен условиями труда, включая случаи эксплуатации и другие злоупотребления, с которыми сталкиваются мигранты-медики кубинского происхождения, работающие в государстве-участнике в рамках соглашения о сотрудничестве с Кубой (медицинские бригады).</w:t>
      </w:r>
    </w:p>
    <w:p w14:paraId="6358A976" w14:textId="77777777" w:rsidR="00AA4BAE" w:rsidRPr="00DC4794" w:rsidRDefault="00AA4BAE" w:rsidP="00AA4BAE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содействовать реализации всеобъемлющей стратегии регионального и двустороннего сотрудничества, направленной на улучшение условий труда и осуществление предусмотренных Конвенцией других прав гондурасских трудящихся-мигрантах и членов их семей в Коста-Рике, Панаме и Сальвадоре, в том числе на обеспечение защиты от эксплуатации, занятости в неформальном секторе, произвольного задержания и выдворения, а также на облегчение доступа к программам и другим способам урегулирования статуса, существующим в каждой стране.</w:t>
      </w:r>
      <w:r>
        <w:t xml:space="preserve"> </w:t>
      </w:r>
      <w:r>
        <w:rPr>
          <w:b/>
          <w:bCs/>
        </w:rPr>
        <w:t>Кроме того, он рекомендует государству-участнику собирать и распространять информацию о положении гондурасских трудящихся-мигрантах и членов их семей в регионе Центральной Америки и Карибского бассейна.</w:t>
      </w:r>
      <w:r>
        <w:t xml:space="preserve"> </w:t>
      </w:r>
      <w:r>
        <w:rPr>
          <w:b/>
          <w:bCs/>
        </w:rPr>
        <w:t>Комитет рекомендует государству-участнику принять все необходимые меры для обеспечения того, чтобы все права, признанные в Конвенции, включая права на равное обращение на рабочем месте, защиту от эксплуатации и доступ к правосудию в случае нарушения этих и других прав, были эффективно защищены и в полной мере гарантированы для всех трудящихся-мигрантов в государстве-участнике, включая тех, кто прибыл в страну в рамках двусторонних соглашений о сотрудничестве.</w:t>
      </w:r>
    </w:p>
    <w:p w14:paraId="5B6A0947" w14:textId="77777777" w:rsidR="00AA4BAE" w:rsidRPr="00DC4794" w:rsidRDefault="00AA4BAE" w:rsidP="00AA4BAE">
      <w:pPr>
        <w:pStyle w:val="H23G"/>
        <w:rPr>
          <w:bCs/>
        </w:rPr>
      </w:pPr>
      <w:r>
        <w:tab/>
      </w:r>
      <w:r>
        <w:tab/>
      </w:r>
      <w:r>
        <w:rPr>
          <w:bCs/>
        </w:rPr>
        <w:t>Меры по решению проблем трудящихся-мигрантов с неурегулированным статусом</w:t>
      </w:r>
    </w:p>
    <w:p w14:paraId="0DF2DAD6" w14:textId="77777777" w:rsidR="00AA4BAE" w:rsidRPr="00DC4794" w:rsidRDefault="00AA4BAE" w:rsidP="00AA4BAE">
      <w:pPr>
        <w:pStyle w:val="SingleTxtG"/>
      </w:pPr>
      <w:r>
        <w:t>57.</w:t>
      </w:r>
      <w:r>
        <w:tab/>
        <w:t>Комитет, принимая к сведению некоторые временные меры, с обеспокоенностью отмечает отсутствие политики в области урегулирования статуса трудящихся-мигрантов и членов их семей в государстве-участнике, а также гондурасских мигрантов в других странах.</w:t>
      </w:r>
    </w:p>
    <w:p w14:paraId="38C208C0" w14:textId="77777777" w:rsidR="00AA4BAE" w:rsidRPr="00DC4794" w:rsidRDefault="00AA4BAE" w:rsidP="00AA4BAE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6D692C2" w14:textId="1F7E3B50" w:rsidR="00AA4BAE" w:rsidRPr="00DC4794" w:rsidRDefault="00AA4BAE" w:rsidP="00AA4BAE">
      <w:pPr>
        <w:pStyle w:val="SingleTxtG"/>
        <w:rPr>
          <w:b/>
        </w:rPr>
      </w:pPr>
      <w:r w:rsidRPr="00165D3B">
        <w:rPr>
          <w:b/>
          <w:bCs/>
        </w:rP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принять комплексную политику, гарантирующую доступную и недорогую процедуру урегулирования статуса для трудящихся-мигрантов и членов их семей, включая несопровождаемых детей и подростков, которые этого статуса не имеют;</w:t>
      </w:r>
    </w:p>
    <w:p w14:paraId="70C8CA41" w14:textId="064DF36A" w:rsidR="00AA4BAE" w:rsidRPr="00DC4794" w:rsidRDefault="00B6035D" w:rsidP="00B6035D">
      <w:pPr>
        <w:pStyle w:val="SingleTxtG"/>
        <w:rPr>
          <w:b/>
        </w:rPr>
      </w:pPr>
      <w:r w:rsidRPr="00147392">
        <w:rPr>
          <w:b/>
          <w:bCs/>
        </w:rPr>
        <w:tab/>
      </w:r>
      <w:r w:rsidR="00AA4BAE">
        <w:rPr>
          <w:b/>
          <w:bCs/>
        </w:rPr>
        <w:t>b)</w:t>
      </w:r>
      <w:r w:rsidR="00AA4BAE">
        <w:tab/>
      </w:r>
      <w:r w:rsidR="00AA4BAE">
        <w:rPr>
          <w:b/>
          <w:bCs/>
        </w:rPr>
        <w:t>принять меры по укреплению консультативной помощи, направленной на облегчение доступа трудящихся-мигрантов и членов их семей, являющихся гражданами Гондураса и находящихся за пределами страны, к механизмам урегулирования статуса, существующим в стране их проживания.</w:t>
      </w:r>
    </w:p>
    <w:p w14:paraId="62041F24" w14:textId="38DBE518" w:rsidR="00AA4BAE" w:rsidRPr="00DC4794" w:rsidRDefault="00AA4BAE" w:rsidP="00AA4BAE">
      <w:pPr>
        <w:pStyle w:val="H23G"/>
      </w:pPr>
      <w:r w:rsidRPr="00165D3B">
        <w:rPr>
          <w:bCs/>
        </w:rPr>
        <w:lastRenderedPageBreak/>
        <w:tab/>
      </w:r>
      <w:r>
        <w:rPr>
          <w:bCs/>
        </w:rPr>
        <w:t>6.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532B87E9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4809DBB2" w14:textId="77777777" w:rsidR="00AA4BAE" w:rsidRPr="00DC4794" w:rsidRDefault="00AA4BAE" w:rsidP="00AA4BAE">
      <w:pPr>
        <w:pStyle w:val="SingleTxtG"/>
      </w:pPr>
      <w:r>
        <w:t>59.</w:t>
      </w:r>
      <w:r>
        <w:tab/>
      </w:r>
      <w:r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официальных языках государства-участника среди соответствующих государственных учреждений, в том числе среди министерств, законодательных и судебных органов, компетентных местных органов власти, а также неправительственных организаций и других субъектов гражданского общества.</w:t>
      </w:r>
    </w:p>
    <w:p w14:paraId="3D3E24A4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Техническая помощь</w:t>
      </w:r>
    </w:p>
    <w:p w14:paraId="14106D6A" w14:textId="77777777" w:rsidR="00AA4BAE" w:rsidRPr="00DC4794" w:rsidRDefault="00AA4BAE" w:rsidP="00AA4BAE">
      <w:pPr>
        <w:pStyle w:val="SingleTxtG"/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и впредь обращаться за международной и межправительственной технической помощью для выполнения рекомендаций, содержащихся в настоящих заключительных замечаниях, в соответствии с Повесткой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</w:p>
    <w:p w14:paraId="55423A12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заключительными замечаниями</w:t>
      </w:r>
    </w:p>
    <w:p w14:paraId="68BAB814" w14:textId="07F0296A" w:rsidR="00AA4BAE" w:rsidRPr="00DC4794" w:rsidRDefault="00AA4BAE" w:rsidP="00AA4BAE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 xml:space="preserve">Комитет просит государство-участник представить в течение двух лет </w:t>
      </w:r>
      <w:r w:rsidR="00B6035D" w:rsidRPr="00147392">
        <w:rPr>
          <w:b/>
          <w:bCs/>
        </w:rPr>
        <w:br/>
      </w:r>
      <w:r>
        <w:rPr>
          <w:b/>
          <w:bCs/>
        </w:rPr>
        <w:t>(т.</w:t>
      </w:r>
      <w:r w:rsidR="00147392">
        <w:rPr>
          <w:b/>
          <w:bCs/>
        </w:rPr>
        <w:t> </w:t>
      </w:r>
      <w:r>
        <w:rPr>
          <w:b/>
          <w:bCs/>
        </w:rPr>
        <w:t xml:space="preserve">е. к 1 января 2028 года) письменную информацию о выполнении рекомендаций, содержащихся в пунктах 10 (законодательство и его применение), 28 (право на жизнь, личную неприкосновенность и репатриацию), </w:t>
      </w:r>
      <w:r w:rsidR="00B6035D" w:rsidRPr="00147392">
        <w:rPr>
          <w:b/>
          <w:bCs/>
        </w:rPr>
        <w:br/>
      </w:r>
      <w:r>
        <w:rPr>
          <w:b/>
          <w:bCs/>
        </w:rPr>
        <w:t>30 (задержание, высылка и консульская помощь) и 34 (право на здоровье) выше.</w:t>
      </w:r>
    </w:p>
    <w:p w14:paraId="5E34B48D" w14:textId="77777777" w:rsidR="00AA4BAE" w:rsidRPr="00DC4794" w:rsidRDefault="00AA4BAE" w:rsidP="00AA4BAE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26FF6489" w14:textId="77777777" w:rsidR="00AA4BAE" w:rsidRPr="00DC4794" w:rsidRDefault="00AA4BAE" w:rsidP="00AA4BAE">
      <w:pPr>
        <w:pStyle w:val="SingleTxtG"/>
      </w:pPr>
      <w:r>
        <w:t>62.</w:t>
      </w:r>
      <w:r>
        <w:tab/>
      </w:r>
      <w:r>
        <w:rPr>
          <w:b/>
          <w:bCs/>
        </w:rPr>
        <w:t>Третий периодический доклад государства-участника должен быть представлен к 1 января 2031 года.</w:t>
      </w:r>
      <w:r>
        <w:t xml:space="preserve"> </w:t>
      </w:r>
      <w:r>
        <w:rPr>
          <w:b/>
          <w:bCs/>
        </w:rPr>
        <w:t>Комитет утвердит перечень вопросов, предваряющий представление докладов в соответствии с упрощенной процедурой представления докладов, на одной из своих сессий, предшествующих этой дате, если только государство-участник не сделает явного выбора в пользу традиционной процедуры представления докладов.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представления докладов согласно международным договорам</w:t>
      </w:r>
      <w:r w:rsidRPr="00DB04E4">
        <w:rPr>
          <w:sz w:val="18"/>
          <w:szCs w:val="18"/>
          <w:vertAlign w:val="superscript"/>
        </w:rPr>
        <w:footnoteReference w:id="20"/>
      </w:r>
      <w:r>
        <w:rPr>
          <w:b/>
          <w:bCs/>
        </w:rPr>
        <w:t>.</w:t>
      </w:r>
    </w:p>
    <w:p w14:paraId="51F974CB" w14:textId="77777777" w:rsidR="00165D3B" w:rsidRDefault="00AA4BAE" w:rsidP="00AA4BAE">
      <w:pPr>
        <w:pStyle w:val="SingleTxtG"/>
        <w:spacing w:before="240" w:after="0"/>
        <w:jc w:val="center"/>
        <w:rPr>
          <w:u w:val="single"/>
        </w:rPr>
      </w:pPr>
      <w:r w:rsidRPr="00DC4794">
        <w:rPr>
          <w:u w:val="single"/>
        </w:rPr>
        <w:tab/>
      </w:r>
      <w:r w:rsidRPr="00DC4794">
        <w:rPr>
          <w:u w:val="single"/>
        </w:rPr>
        <w:tab/>
      </w:r>
      <w:r w:rsidRPr="00DC4794">
        <w:rPr>
          <w:u w:val="single"/>
        </w:rPr>
        <w:tab/>
      </w:r>
    </w:p>
    <w:p w14:paraId="487F111E" w14:textId="5C37565F" w:rsidR="00381C24" w:rsidRPr="00AA4BAE" w:rsidRDefault="00381C24" w:rsidP="0093403D"/>
    <w:sectPr w:rsidR="00381C24" w:rsidRPr="00AA4BAE" w:rsidSect="00AA4BA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23C18" w14:textId="77777777" w:rsidR="0000780E" w:rsidRPr="00A312BC" w:rsidRDefault="0000780E" w:rsidP="00A312BC"/>
  </w:endnote>
  <w:endnote w:type="continuationSeparator" w:id="0">
    <w:p w14:paraId="3383146C" w14:textId="77777777" w:rsidR="0000780E" w:rsidRPr="00A312BC" w:rsidRDefault="0000780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01CC4" w14:textId="04F84402" w:rsidR="00AA4BAE" w:rsidRPr="00AA4BAE" w:rsidRDefault="00AA4BAE">
    <w:pPr>
      <w:pStyle w:val="a8"/>
    </w:pPr>
    <w:r w:rsidRPr="00AA4BAE">
      <w:rPr>
        <w:b/>
        <w:sz w:val="18"/>
      </w:rPr>
      <w:fldChar w:fldCharType="begin"/>
    </w:r>
    <w:r w:rsidRPr="00AA4BAE">
      <w:rPr>
        <w:b/>
        <w:sz w:val="18"/>
      </w:rPr>
      <w:instrText xml:space="preserve"> PAGE  \* MERGEFORMAT </w:instrText>
    </w:r>
    <w:r w:rsidRPr="00AA4BAE">
      <w:rPr>
        <w:b/>
        <w:sz w:val="18"/>
      </w:rPr>
      <w:fldChar w:fldCharType="separate"/>
    </w:r>
    <w:r w:rsidRPr="00AA4BAE">
      <w:rPr>
        <w:b/>
        <w:noProof/>
        <w:sz w:val="18"/>
      </w:rPr>
      <w:t>2</w:t>
    </w:r>
    <w:r w:rsidRPr="00AA4BAE">
      <w:rPr>
        <w:b/>
        <w:sz w:val="18"/>
      </w:rPr>
      <w:fldChar w:fldCharType="end"/>
    </w:r>
    <w:r>
      <w:rPr>
        <w:b/>
        <w:sz w:val="18"/>
      </w:rPr>
      <w:tab/>
    </w:r>
    <w:r>
      <w:t>GE.26-00300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412AF" w14:textId="044EA167" w:rsidR="00AA4BAE" w:rsidRPr="00AA4BAE" w:rsidRDefault="00AA4BAE" w:rsidP="00AA4BAE">
    <w:pPr>
      <w:pStyle w:val="a8"/>
      <w:tabs>
        <w:tab w:val="clear" w:pos="9639"/>
        <w:tab w:val="right" w:pos="9638"/>
      </w:tabs>
      <w:rPr>
        <w:b/>
        <w:sz w:val="18"/>
      </w:rPr>
    </w:pPr>
    <w:r>
      <w:t>GE.26-00300</w:t>
    </w:r>
    <w:r>
      <w:tab/>
    </w:r>
    <w:r w:rsidRPr="00AA4BAE">
      <w:rPr>
        <w:b/>
        <w:sz w:val="18"/>
      </w:rPr>
      <w:fldChar w:fldCharType="begin"/>
    </w:r>
    <w:r w:rsidRPr="00AA4BAE">
      <w:rPr>
        <w:b/>
        <w:sz w:val="18"/>
      </w:rPr>
      <w:instrText xml:space="preserve"> PAGE  \* MERGEFORMAT </w:instrText>
    </w:r>
    <w:r w:rsidRPr="00AA4BAE">
      <w:rPr>
        <w:b/>
        <w:sz w:val="18"/>
      </w:rPr>
      <w:fldChar w:fldCharType="separate"/>
    </w:r>
    <w:r w:rsidRPr="00AA4BAE">
      <w:rPr>
        <w:b/>
        <w:noProof/>
        <w:sz w:val="18"/>
      </w:rPr>
      <w:t>3</w:t>
    </w:r>
    <w:r w:rsidRPr="00AA4BA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8D75C" w14:textId="5CB8EAED" w:rsidR="00042B72" w:rsidRPr="00AA4BAE" w:rsidRDefault="00AA4BAE" w:rsidP="00AA4BA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A7828C0" wp14:editId="6A2A365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26-00300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F6176E7" wp14:editId="5582D0F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18022</w:t>
    </w:r>
    <w:r w:rsidR="00147392">
      <w:t>6</w:t>
    </w:r>
    <w:r>
      <w:rPr>
        <w:lang w:val="en-US"/>
      </w:rPr>
      <w:t xml:space="preserve">  230226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61957" w14:textId="77777777" w:rsidR="0000780E" w:rsidRPr="001075E9" w:rsidRDefault="0000780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2BE967D" w14:textId="77777777" w:rsidR="0000780E" w:rsidRDefault="0000780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C893275" w14:textId="77777777" w:rsidR="00AA4BAE" w:rsidRPr="00DC4794" w:rsidRDefault="00AA4BAE" w:rsidP="00AA4BAE">
      <w:pPr>
        <w:pStyle w:val="ad"/>
        <w:rPr>
          <w:sz w:val="20"/>
        </w:rPr>
      </w:pPr>
      <w:r>
        <w:tab/>
        <w:t>*</w:t>
      </w:r>
      <w:r>
        <w:tab/>
        <w:t>Приняты Комитетом на его сорок первой сессии (1–11 декабря 2025 года).</w:t>
      </w:r>
    </w:p>
  </w:footnote>
  <w:footnote w:id="2">
    <w:p w14:paraId="266175B7" w14:textId="4F92ECF5" w:rsidR="00AA4BAE" w:rsidRPr="00DC4794" w:rsidRDefault="00AA4BAE" w:rsidP="00AA4BAE">
      <w:pPr>
        <w:pStyle w:val="ad"/>
        <w:rPr>
          <w:szCs w:val="18"/>
        </w:rPr>
      </w:pPr>
      <w:r>
        <w:tab/>
      </w:r>
      <w:r w:rsidRPr="00DB04E4">
        <w:rPr>
          <w:rStyle w:val="aa"/>
        </w:rPr>
        <w:footnoteRef/>
      </w:r>
      <w:r>
        <w:tab/>
      </w:r>
      <w:hyperlink r:id="rId1" w:history="1">
        <w:r w:rsidRPr="00AA4BAE">
          <w:rPr>
            <w:rStyle w:val="af1"/>
          </w:rPr>
          <w:t>CMW/C/HND/2</w:t>
        </w:r>
      </w:hyperlink>
      <w:r>
        <w:t>.</w:t>
      </w:r>
      <w:hyperlink r:id="rId2" w:history="1"/>
    </w:p>
  </w:footnote>
  <w:footnote w:id="3">
    <w:p w14:paraId="03EDC4B3" w14:textId="2A164270" w:rsidR="00AA4BAE" w:rsidRPr="00AA4BAE" w:rsidRDefault="00AA4BAE" w:rsidP="00AA4BAE">
      <w:pPr>
        <w:pStyle w:val="ad"/>
        <w:rPr>
          <w:szCs w:val="18"/>
          <w:lang w:val="de-CH"/>
        </w:rPr>
      </w:pPr>
      <w:r>
        <w:tab/>
      </w:r>
      <w:r w:rsidRPr="00DB04E4">
        <w:rPr>
          <w:rStyle w:val="aa"/>
        </w:rPr>
        <w:footnoteRef/>
      </w:r>
      <w:r>
        <w:tab/>
        <w:t xml:space="preserve">См. </w:t>
      </w:r>
      <w:r w:rsidRPr="00165D3B">
        <w:rPr>
          <w:lang w:val="de-CH"/>
        </w:rPr>
        <w:t>CMW/C/SR.619</w:t>
      </w:r>
      <w:r w:rsidRPr="00AA4BAE">
        <w:rPr>
          <w:lang w:val="de-CH"/>
        </w:rPr>
        <w:t xml:space="preserve"> </w:t>
      </w:r>
      <w:r>
        <w:t>и</w:t>
      </w:r>
      <w:r w:rsidRPr="00AA4BAE">
        <w:rPr>
          <w:lang w:val="de-CH"/>
        </w:rPr>
        <w:t xml:space="preserve"> </w:t>
      </w:r>
      <w:r w:rsidRPr="00165D3B">
        <w:rPr>
          <w:lang w:val="de-CH"/>
        </w:rPr>
        <w:t>CMW/C/SR.620</w:t>
      </w:r>
      <w:r w:rsidRPr="00AA4BAE">
        <w:rPr>
          <w:lang w:val="de-CH"/>
        </w:rPr>
        <w:t>.</w:t>
      </w:r>
    </w:p>
  </w:footnote>
  <w:footnote w:id="4">
    <w:p w14:paraId="539FCAFD" w14:textId="6E9A5C2C" w:rsidR="00AA4BAE" w:rsidRPr="00AA4BAE" w:rsidRDefault="00AA4BAE" w:rsidP="00AA4BAE">
      <w:pPr>
        <w:pStyle w:val="ad"/>
        <w:rPr>
          <w:lang w:val="de-CH"/>
        </w:rPr>
      </w:pPr>
      <w:r w:rsidRPr="00AA4BAE">
        <w:rPr>
          <w:lang w:val="de-CH"/>
        </w:rPr>
        <w:tab/>
      </w:r>
      <w:r w:rsidRPr="00DB04E4">
        <w:rPr>
          <w:rStyle w:val="aa"/>
        </w:rPr>
        <w:footnoteRef/>
      </w:r>
      <w:r w:rsidRPr="00AA4BAE">
        <w:rPr>
          <w:lang w:val="de-CH"/>
        </w:rPr>
        <w:tab/>
      </w:r>
      <w:hyperlink r:id="rId3" w:history="1">
        <w:r w:rsidRPr="00AA4BAE">
          <w:rPr>
            <w:rStyle w:val="af1"/>
            <w:lang w:val="de-CH"/>
          </w:rPr>
          <w:t>CMW/C/HND/RQ/2</w:t>
        </w:r>
      </w:hyperlink>
      <w:r w:rsidRPr="00AA4BAE">
        <w:rPr>
          <w:lang w:val="de-CH"/>
        </w:rPr>
        <w:t>.</w:t>
      </w:r>
      <w:hyperlink r:id="rId4" w:history="1"/>
    </w:p>
  </w:footnote>
  <w:footnote w:id="5">
    <w:p w14:paraId="343B1C16" w14:textId="101A76AD" w:rsidR="00AA4BAE" w:rsidRPr="00AA4BAE" w:rsidRDefault="00AA4BAE" w:rsidP="00AA4BAE">
      <w:pPr>
        <w:pStyle w:val="ad"/>
        <w:rPr>
          <w:lang w:val="de-CH"/>
        </w:rPr>
      </w:pPr>
      <w:r w:rsidRPr="00AA4BAE">
        <w:rPr>
          <w:lang w:val="de-CH"/>
        </w:rPr>
        <w:tab/>
      </w:r>
      <w:r w:rsidRPr="00DB04E4">
        <w:rPr>
          <w:rStyle w:val="aa"/>
        </w:rPr>
        <w:footnoteRef/>
      </w:r>
      <w:r w:rsidRPr="00AA4BAE">
        <w:rPr>
          <w:lang w:val="de-CH"/>
        </w:rPr>
        <w:tab/>
      </w:r>
      <w:hyperlink r:id="rId5" w:history="1">
        <w:r w:rsidRPr="00AA4BAE">
          <w:rPr>
            <w:rStyle w:val="af1"/>
            <w:lang w:val="de-CH"/>
          </w:rPr>
          <w:t>CMW/C/HND/Q/2</w:t>
        </w:r>
      </w:hyperlink>
      <w:r w:rsidRPr="00AA4BAE">
        <w:rPr>
          <w:lang w:val="de-CH"/>
        </w:rPr>
        <w:t>.</w:t>
      </w:r>
      <w:hyperlink r:id="rId6" w:history="1"/>
    </w:p>
  </w:footnote>
  <w:footnote w:id="6">
    <w:p w14:paraId="5AB1391B" w14:textId="3E02B4D9" w:rsidR="00AA4BAE" w:rsidRPr="00EA6B37" w:rsidRDefault="00AA4BAE" w:rsidP="00AA4BAE">
      <w:pPr>
        <w:pStyle w:val="ad"/>
        <w:rPr>
          <w:lang w:val="en-US"/>
        </w:rPr>
      </w:pPr>
      <w:r w:rsidRPr="00AA4BAE">
        <w:rPr>
          <w:lang w:val="de-CH"/>
        </w:rPr>
        <w:tab/>
      </w:r>
      <w:r w:rsidRPr="00DB04E4">
        <w:rPr>
          <w:rStyle w:val="aa"/>
        </w:rPr>
        <w:footnoteRef/>
      </w:r>
      <w:r w:rsidRPr="00EA6B37">
        <w:rPr>
          <w:lang w:val="en-US"/>
        </w:rPr>
        <w:tab/>
      </w:r>
      <w:hyperlink r:id="rId7" w:history="1">
        <w:r w:rsidRPr="00AA4BAE">
          <w:rPr>
            <w:rStyle w:val="af1"/>
            <w:lang w:val="en-US"/>
          </w:rPr>
          <w:t>CMW/C/HND/CO/1</w:t>
        </w:r>
      </w:hyperlink>
      <w:r w:rsidRPr="00EA6B37">
        <w:rPr>
          <w:lang w:val="en-US"/>
        </w:rPr>
        <w:t xml:space="preserve">, </w:t>
      </w:r>
      <w:r>
        <w:t>п</w:t>
      </w:r>
      <w:r w:rsidRPr="00EA6B37">
        <w:rPr>
          <w:lang w:val="en-US"/>
        </w:rPr>
        <w:t>. 11.</w:t>
      </w:r>
      <w:hyperlink r:id="rId8" w:history="1"/>
    </w:p>
  </w:footnote>
  <w:footnote w:id="7">
    <w:p w14:paraId="5BE894BA" w14:textId="77777777" w:rsidR="00AA4BAE" w:rsidRPr="00DC4794" w:rsidRDefault="00AA4BAE" w:rsidP="00AA4BAE">
      <w:pPr>
        <w:pStyle w:val="ad"/>
      </w:pPr>
      <w:r w:rsidRPr="00EA6B37">
        <w:rPr>
          <w:lang w:val="en-US"/>
        </w:rPr>
        <w:tab/>
      </w:r>
      <w:r w:rsidRPr="00DB04E4">
        <w:rPr>
          <w:rStyle w:val="aa"/>
        </w:rPr>
        <w:footnoteRef/>
      </w:r>
      <w:r>
        <w:tab/>
        <w:t>Там же, п. 13.</w:t>
      </w:r>
    </w:p>
  </w:footnote>
  <w:footnote w:id="8">
    <w:p w14:paraId="049E8E32" w14:textId="3A9775EE" w:rsidR="00AA4BAE" w:rsidRPr="00165D3B" w:rsidRDefault="00AA4BAE" w:rsidP="00AA4BAE">
      <w:pPr>
        <w:pStyle w:val="ad"/>
      </w:pPr>
      <w:r w:rsidRPr="008C74EB">
        <w:tab/>
      </w:r>
      <w:r w:rsidRPr="00DB04E4">
        <w:rPr>
          <w:rStyle w:val="aa"/>
        </w:rPr>
        <w:footnoteRef/>
      </w:r>
      <w:r>
        <w:tab/>
        <w:t xml:space="preserve">См. </w:t>
      </w:r>
      <w:hyperlink r:id="rId9" w:history="1">
        <w:r w:rsidRPr="00AA4BAE">
          <w:rPr>
            <w:rStyle w:val="af1"/>
            <w:lang w:val="en-US"/>
          </w:rPr>
          <w:t>A</w:t>
        </w:r>
        <w:r w:rsidRPr="00165D3B">
          <w:rPr>
            <w:rStyle w:val="af1"/>
          </w:rPr>
          <w:t>/</w:t>
        </w:r>
        <w:r w:rsidRPr="00AA4BAE">
          <w:rPr>
            <w:rStyle w:val="af1"/>
            <w:lang w:val="en-US"/>
          </w:rPr>
          <w:t>HRC</w:t>
        </w:r>
        <w:r w:rsidRPr="00165D3B">
          <w:rPr>
            <w:rStyle w:val="af1"/>
          </w:rPr>
          <w:t>/61/12</w:t>
        </w:r>
      </w:hyperlink>
      <w:r w:rsidRPr="00165D3B">
        <w:t>.</w:t>
      </w:r>
    </w:p>
  </w:footnote>
  <w:footnote w:id="9">
    <w:p w14:paraId="51C1D9D9" w14:textId="59F4DB66" w:rsidR="00AA4BAE" w:rsidRPr="00EA6B37" w:rsidRDefault="00AA4BAE" w:rsidP="00AA4BAE">
      <w:pPr>
        <w:pStyle w:val="ad"/>
        <w:rPr>
          <w:lang w:val="en-US"/>
        </w:rPr>
      </w:pPr>
      <w:r w:rsidRPr="00165D3B">
        <w:tab/>
      </w:r>
      <w:r w:rsidRPr="00DB04E4">
        <w:rPr>
          <w:rStyle w:val="aa"/>
        </w:rPr>
        <w:footnoteRef/>
      </w:r>
      <w:r w:rsidRPr="00EA6B37">
        <w:rPr>
          <w:lang w:val="en-US"/>
        </w:rPr>
        <w:tab/>
      </w:r>
      <w:hyperlink r:id="rId10" w:history="1">
        <w:r w:rsidRPr="00AA4BAE">
          <w:rPr>
            <w:rStyle w:val="af1"/>
            <w:lang w:val="en-US"/>
          </w:rPr>
          <w:t>CMW/C/HND/CO/1</w:t>
        </w:r>
      </w:hyperlink>
      <w:r w:rsidRPr="00EA6B37">
        <w:rPr>
          <w:lang w:val="en-US"/>
        </w:rPr>
        <w:t xml:space="preserve">, </w:t>
      </w:r>
      <w:r>
        <w:t>п</w:t>
      </w:r>
      <w:r w:rsidRPr="00EA6B37">
        <w:rPr>
          <w:lang w:val="en-US"/>
        </w:rPr>
        <w:t>. 19.</w:t>
      </w:r>
      <w:hyperlink r:id="rId11" w:history="1"/>
    </w:p>
  </w:footnote>
  <w:footnote w:id="10">
    <w:p w14:paraId="14CF30D4" w14:textId="77777777" w:rsidR="00AA4BAE" w:rsidRPr="008C74EB" w:rsidRDefault="00AA4BAE" w:rsidP="00AA4BAE">
      <w:pPr>
        <w:pStyle w:val="ad"/>
      </w:pPr>
      <w:r w:rsidRPr="00EA6B37">
        <w:rPr>
          <w:lang w:val="en-US"/>
        </w:rPr>
        <w:tab/>
      </w:r>
      <w:r w:rsidRPr="00DB04E4">
        <w:rPr>
          <w:rStyle w:val="aa"/>
        </w:rPr>
        <w:footnoteRef/>
      </w:r>
      <w:r>
        <w:tab/>
        <w:t>Там же, п. 21.</w:t>
      </w:r>
    </w:p>
  </w:footnote>
  <w:footnote w:id="11">
    <w:p w14:paraId="6B90E411" w14:textId="4FB24943" w:rsidR="00AA4BAE" w:rsidRPr="00AA4BAE" w:rsidRDefault="00AA4BAE" w:rsidP="00AA4BAE">
      <w:pPr>
        <w:pStyle w:val="ad"/>
        <w:rPr>
          <w:lang w:val="en-US"/>
        </w:rPr>
      </w:pPr>
      <w:r w:rsidRPr="008C74EB">
        <w:tab/>
      </w:r>
      <w:r w:rsidRPr="00DB04E4">
        <w:rPr>
          <w:rStyle w:val="aa"/>
        </w:rPr>
        <w:footnoteRef/>
      </w:r>
      <w:r w:rsidRPr="00AA4BAE">
        <w:rPr>
          <w:lang w:val="en-US"/>
        </w:rPr>
        <w:tab/>
      </w:r>
      <w:hyperlink r:id="rId12" w:history="1">
        <w:r w:rsidRPr="00AA4BAE">
          <w:rPr>
            <w:rStyle w:val="af1"/>
            <w:lang w:val="en-US"/>
          </w:rPr>
          <w:t>CEDAW/C/HND/CO/9</w:t>
        </w:r>
      </w:hyperlink>
      <w:r w:rsidRPr="00AA4BAE">
        <w:rPr>
          <w:lang w:val="en-US"/>
        </w:rPr>
        <w:t xml:space="preserve">, </w:t>
      </w:r>
      <w:r>
        <w:t>пп</w:t>
      </w:r>
      <w:r w:rsidRPr="00AA4BAE">
        <w:rPr>
          <w:lang w:val="en-US"/>
        </w:rPr>
        <w:t xml:space="preserve">. 13 </w:t>
      </w:r>
      <w:r>
        <w:t>и</w:t>
      </w:r>
      <w:r w:rsidRPr="00AA4BAE">
        <w:rPr>
          <w:lang w:val="en-US"/>
        </w:rPr>
        <w:t xml:space="preserve"> 47.</w:t>
      </w:r>
      <w:hyperlink r:id="rId13" w:history="1"/>
    </w:p>
  </w:footnote>
  <w:footnote w:id="12">
    <w:p w14:paraId="308A6314" w14:textId="16EFCD07" w:rsidR="00AA4BAE" w:rsidRPr="00EA6B37" w:rsidRDefault="00AA4BAE" w:rsidP="00AA4BAE">
      <w:pPr>
        <w:pStyle w:val="ad"/>
        <w:rPr>
          <w:lang w:val="en-US"/>
        </w:rPr>
      </w:pPr>
      <w:r w:rsidRPr="00AA4BAE">
        <w:rPr>
          <w:lang w:val="en-US"/>
        </w:rPr>
        <w:tab/>
      </w:r>
      <w:r w:rsidRPr="00DB04E4">
        <w:rPr>
          <w:rStyle w:val="aa"/>
        </w:rPr>
        <w:footnoteRef/>
      </w:r>
      <w:r w:rsidRPr="00EA6B37">
        <w:rPr>
          <w:lang w:val="en-US"/>
        </w:rPr>
        <w:tab/>
      </w:r>
      <w:hyperlink r:id="rId14" w:history="1">
        <w:r w:rsidRPr="00AA4BAE">
          <w:rPr>
            <w:rStyle w:val="af1"/>
            <w:lang w:val="en-US"/>
          </w:rPr>
          <w:t>CMW/C/HND/CO/1</w:t>
        </w:r>
      </w:hyperlink>
      <w:r w:rsidRPr="00EA6B37">
        <w:rPr>
          <w:lang w:val="en-US"/>
        </w:rPr>
        <w:t xml:space="preserve">, </w:t>
      </w:r>
      <w:r>
        <w:t>п</w:t>
      </w:r>
      <w:r w:rsidRPr="00EA6B37">
        <w:rPr>
          <w:lang w:val="en-US"/>
        </w:rPr>
        <w:t>. 29.</w:t>
      </w:r>
      <w:hyperlink r:id="rId15" w:history="1"/>
    </w:p>
  </w:footnote>
  <w:footnote w:id="13">
    <w:p w14:paraId="4807B654" w14:textId="5021DA38" w:rsidR="00AA4BAE" w:rsidRPr="00EA6B37" w:rsidRDefault="00AA4BAE" w:rsidP="00AA4BAE">
      <w:pPr>
        <w:pStyle w:val="ad"/>
        <w:rPr>
          <w:lang w:val="en-US"/>
        </w:rPr>
      </w:pPr>
      <w:r w:rsidRPr="00EA6B37">
        <w:rPr>
          <w:lang w:val="en-US"/>
        </w:rPr>
        <w:tab/>
      </w:r>
      <w:r w:rsidRPr="00DB04E4">
        <w:rPr>
          <w:rStyle w:val="aa"/>
        </w:rPr>
        <w:footnoteRef/>
      </w:r>
      <w:r w:rsidRPr="00EA6B37">
        <w:rPr>
          <w:lang w:val="en-US"/>
        </w:rPr>
        <w:tab/>
      </w:r>
      <w:hyperlink r:id="rId16" w:history="1">
        <w:r w:rsidRPr="00AA4BAE">
          <w:rPr>
            <w:rStyle w:val="af1"/>
            <w:lang w:val="en-US"/>
          </w:rPr>
          <w:t>CED/C/HND/CO/1</w:t>
        </w:r>
      </w:hyperlink>
      <w:r w:rsidRPr="00EA6B37">
        <w:rPr>
          <w:lang w:val="en-US"/>
        </w:rPr>
        <w:t xml:space="preserve">, </w:t>
      </w:r>
      <w:r>
        <w:t>п</w:t>
      </w:r>
      <w:r w:rsidRPr="00EA6B37">
        <w:rPr>
          <w:lang w:val="en-US"/>
        </w:rPr>
        <w:t>. 25.</w:t>
      </w:r>
      <w:hyperlink r:id="rId17" w:history="1"/>
    </w:p>
  </w:footnote>
  <w:footnote w:id="14">
    <w:p w14:paraId="6AEA99F7" w14:textId="37DCC1FB" w:rsidR="00AA4BAE" w:rsidRPr="00EA6B37" w:rsidRDefault="00AA4BAE" w:rsidP="00AA4BAE">
      <w:pPr>
        <w:pStyle w:val="ad"/>
        <w:rPr>
          <w:lang w:val="en-US"/>
        </w:rPr>
      </w:pPr>
      <w:r w:rsidRPr="00EA6B37">
        <w:rPr>
          <w:lang w:val="en-US"/>
        </w:rPr>
        <w:tab/>
      </w:r>
      <w:r w:rsidRPr="00DB04E4">
        <w:rPr>
          <w:rStyle w:val="aa"/>
        </w:rPr>
        <w:footnoteRef/>
      </w:r>
      <w:r w:rsidRPr="00EA6B37">
        <w:rPr>
          <w:lang w:val="en-US"/>
        </w:rPr>
        <w:tab/>
      </w:r>
      <w:r>
        <w:t>См</w:t>
      </w:r>
      <w:r w:rsidRPr="00EA6B37">
        <w:rPr>
          <w:lang w:val="en-US"/>
        </w:rPr>
        <w:t xml:space="preserve">. </w:t>
      </w:r>
      <w:hyperlink r:id="rId18" w:history="1">
        <w:r w:rsidRPr="00AA4BAE">
          <w:rPr>
            <w:rStyle w:val="af1"/>
            <w:lang w:val="en-US"/>
          </w:rPr>
          <w:t>CMW/C/HND/CO/1/Add.1</w:t>
        </w:r>
      </w:hyperlink>
      <w:r w:rsidRPr="00EA6B37">
        <w:rPr>
          <w:lang w:val="en-US"/>
        </w:rPr>
        <w:t xml:space="preserve">. </w:t>
      </w:r>
      <w:hyperlink r:id="rId19" w:history="1"/>
    </w:p>
  </w:footnote>
  <w:footnote w:id="15">
    <w:p w14:paraId="452196AF" w14:textId="6765D20C" w:rsidR="00AA4BAE" w:rsidRPr="00EA6B37" w:rsidRDefault="00AA4BAE" w:rsidP="00AA4BAE">
      <w:pPr>
        <w:pStyle w:val="ad"/>
        <w:rPr>
          <w:lang w:val="en-US"/>
        </w:rPr>
      </w:pPr>
      <w:r w:rsidRPr="00EA6B37">
        <w:rPr>
          <w:lang w:val="en-US"/>
        </w:rPr>
        <w:tab/>
      </w:r>
      <w:r w:rsidRPr="00DB04E4">
        <w:rPr>
          <w:rStyle w:val="aa"/>
        </w:rPr>
        <w:footnoteRef/>
      </w:r>
      <w:r w:rsidRPr="00EA6B37">
        <w:rPr>
          <w:lang w:val="en-US"/>
        </w:rPr>
        <w:tab/>
      </w:r>
      <w:hyperlink r:id="rId20" w:history="1">
        <w:r w:rsidRPr="00AA4BAE">
          <w:rPr>
            <w:rStyle w:val="af1"/>
            <w:lang w:val="en-US"/>
          </w:rPr>
          <w:t>CMW/C/HND/CO/1</w:t>
        </w:r>
      </w:hyperlink>
      <w:r w:rsidRPr="00EA6B37">
        <w:rPr>
          <w:lang w:val="en-US"/>
        </w:rPr>
        <w:t xml:space="preserve">, </w:t>
      </w:r>
      <w:r>
        <w:t>п</w:t>
      </w:r>
      <w:r w:rsidRPr="00EA6B37">
        <w:rPr>
          <w:lang w:val="en-US"/>
        </w:rPr>
        <w:t xml:space="preserve">. 33. </w:t>
      </w:r>
      <w:hyperlink r:id="rId21" w:history="1"/>
    </w:p>
  </w:footnote>
  <w:footnote w:id="16">
    <w:p w14:paraId="349E9E74" w14:textId="184D392A" w:rsidR="00AA4BAE" w:rsidRPr="00EA6B37" w:rsidRDefault="00AA4BAE" w:rsidP="00AA4BAE">
      <w:pPr>
        <w:pStyle w:val="ad"/>
        <w:rPr>
          <w:lang w:val="en-US"/>
        </w:rPr>
      </w:pPr>
      <w:r w:rsidRPr="00EA6B37">
        <w:rPr>
          <w:lang w:val="en-US"/>
        </w:rPr>
        <w:tab/>
      </w:r>
      <w:r w:rsidRPr="00DB04E4">
        <w:rPr>
          <w:rStyle w:val="aa"/>
        </w:rPr>
        <w:footnoteRef/>
      </w:r>
      <w:r w:rsidRPr="00EA6B37">
        <w:rPr>
          <w:lang w:val="en-US"/>
        </w:rPr>
        <w:tab/>
      </w:r>
      <w:hyperlink r:id="rId22" w:history="1">
        <w:r w:rsidRPr="00AA4BAE">
          <w:rPr>
            <w:rStyle w:val="af1"/>
            <w:lang w:val="en-US"/>
          </w:rPr>
          <w:t>CRC/C/HND/CO/6-7</w:t>
        </w:r>
      </w:hyperlink>
      <w:r w:rsidRPr="00EA6B37">
        <w:rPr>
          <w:lang w:val="en-US"/>
        </w:rPr>
        <w:t xml:space="preserve">, </w:t>
      </w:r>
      <w:r>
        <w:t>п</w:t>
      </w:r>
      <w:r w:rsidRPr="00EA6B37">
        <w:rPr>
          <w:lang w:val="en-US"/>
        </w:rPr>
        <w:t>. 44.</w:t>
      </w:r>
      <w:hyperlink r:id="rId23" w:history="1"/>
    </w:p>
  </w:footnote>
  <w:footnote w:id="17">
    <w:p w14:paraId="44318AAD" w14:textId="3847F4DD" w:rsidR="00AA4BAE" w:rsidRPr="00EA6B37" w:rsidRDefault="00AA4BAE" w:rsidP="00AA4BAE">
      <w:pPr>
        <w:pStyle w:val="ad"/>
        <w:rPr>
          <w:lang w:val="en-US"/>
        </w:rPr>
      </w:pPr>
      <w:r w:rsidRPr="00EA6B37">
        <w:rPr>
          <w:lang w:val="en-US"/>
        </w:rPr>
        <w:tab/>
      </w:r>
      <w:r w:rsidRPr="00DB04E4">
        <w:rPr>
          <w:rStyle w:val="aa"/>
        </w:rPr>
        <w:footnoteRef/>
      </w:r>
      <w:r w:rsidRPr="00EA6B37">
        <w:rPr>
          <w:lang w:val="en-US"/>
        </w:rPr>
        <w:tab/>
      </w:r>
      <w:hyperlink r:id="rId24" w:history="1">
        <w:r w:rsidRPr="00AA4BAE">
          <w:rPr>
            <w:rStyle w:val="af1"/>
            <w:lang w:val="en-US"/>
          </w:rPr>
          <w:t>CMW/C/HND/CO/1</w:t>
        </w:r>
      </w:hyperlink>
      <w:r w:rsidRPr="00EA6B37">
        <w:rPr>
          <w:lang w:val="en-US"/>
        </w:rPr>
        <w:t xml:space="preserve">, </w:t>
      </w:r>
      <w:r>
        <w:t>п</w:t>
      </w:r>
      <w:r w:rsidRPr="00EA6B37">
        <w:rPr>
          <w:lang w:val="en-US"/>
        </w:rPr>
        <w:t>. 55.</w:t>
      </w:r>
      <w:hyperlink r:id="rId25" w:history="1"/>
    </w:p>
  </w:footnote>
  <w:footnote w:id="18">
    <w:p w14:paraId="3BA1F414" w14:textId="0124DC41" w:rsidR="00AA4BAE" w:rsidRPr="00EA6B37" w:rsidRDefault="00AA4BAE" w:rsidP="00AA4BAE">
      <w:pPr>
        <w:pStyle w:val="ad"/>
        <w:rPr>
          <w:lang w:val="en-US"/>
        </w:rPr>
      </w:pPr>
      <w:r w:rsidRPr="00EA6B37">
        <w:rPr>
          <w:lang w:val="en-US"/>
        </w:rPr>
        <w:tab/>
      </w:r>
      <w:r w:rsidRPr="00DB04E4">
        <w:rPr>
          <w:rStyle w:val="aa"/>
        </w:rPr>
        <w:footnoteRef/>
      </w:r>
      <w:r w:rsidRPr="00EA6B37">
        <w:rPr>
          <w:lang w:val="en-US"/>
        </w:rPr>
        <w:tab/>
      </w:r>
      <w:hyperlink r:id="rId26" w:history="1">
        <w:r w:rsidRPr="00AA4BAE">
          <w:rPr>
            <w:rStyle w:val="af1"/>
            <w:lang w:val="en-US"/>
          </w:rPr>
          <w:t>CMW/C/HND/CO/1</w:t>
        </w:r>
      </w:hyperlink>
      <w:r w:rsidRPr="00EA6B37">
        <w:rPr>
          <w:lang w:val="en-US"/>
        </w:rPr>
        <w:t xml:space="preserve">, </w:t>
      </w:r>
      <w:r>
        <w:t>п</w:t>
      </w:r>
      <w:r w:rsidRPr="00EA6B37">
        <w:rPr>
          <w:lang w:val="en-US"/>
        </w:rPr>
        <w:t>. 45.</w:t>
      </w:r>
      <w:hyperlink r:id="rId27" w:history="1"/>
    </w:p>
  </w:footnote>
  <w:footnote w:id="19">
    <w:p w14:paraId="4F1D65F4" w14:textId="0E5BBA51" w:rsidR="00AA4BAE" w:rsidRPr="00EA6B37" w:rsidRDefault="00AA4BAE" w:rsidP="00AA4BAE">
      <w:pPr>
        <w:pStyle w:val="ad"/>
        <w:rPr>
          <w:lang w:val="en-US"/>
        </w:rPr>
      </w:pPr>
      <w:r w:rsidRPr="00EA6B37">
        <w:rPr>
          <w:lang w:val="en-US"/>
        </w:rPr>
        <w:tab/>
      </w:r>
      <w:r w:rsidRPr="00DB04E4">
        <w:rPr>
          <w:rStyle w:val="aa"/>
        </w:rPr>
        <w:footnoteRef/>
      </w:r>
      <w:r w:rsidRPr="00EA6B37">
        <w:rPr>
          <w:lang w:val="en-US"/>
        </w:rPr>
        <w:tab/>
      </w:r>
      <w:hyperlink r:id="rId28" w:history="1">
        <w:r w:rsidRPr="00AA4BAE">
          <w:rPr>
            <w:rStyle w:val="af1"/>
            <w:lang w:val="en-US"/>
          </w:rPr>
          <w:t>CMW/C/HND/CO/1</w:t>
        </w:r>
      </w:hyperlink>
      <w:r w:rsidRPr="00EA6B37">
        <w:rPr>
          <w:lang w:val="en-US"/>
        </w:rPr>
        <w:t xml:space="preserve">, </w:t>
      </w:r>
      <w:r>
        <w:t>п</w:t>
      </w:r>
      <w:r w:rsidRPr="00EA6B37">
        <w:rPr>
          <w:lang w:val="en-US"/>
        </w:rPr>
        <w:t>. 57.</w:t>
      </w:r>
      <w:hyperlink r:id="rId29" w:history="1"/>
    </w:p>
  </w:footnote>
  <w:footnote w:id="20">
    <w:p w14:paraId="35DD0E71" w14:textId="79518A90" w:rsidR="00AA4BAE" w:rsidRPr="008C74EB" w:rsidRDefault="00AA4BAE" w:rsidP="00AA4BAE">
      <w:pPr>
        <w:pStyle w:val="ad"/>
      </w:pPr>
      <w:r w:rsidRPr="00EA6B37">
        <w:rPr>
          <w:lang w:val="en-US"/>
        </w:rPr>
        <w:tab/>
      </w:r>
      <w:r w:rsidRPr="00DB04E4">
        <w:rPr>
          <w:rStyle w:val="aa"/>
        </w:rPr>
        <w:footnoteRef/>
      </w:r>
      <w:r>
        <w:tab/>
      </w:r>
      <w:hyperlink r:id="rId30" w:history="1">
        <w:r w:rsidRPr="00AA4BAE">
          <w:rPr>
            <w:rStyle w:val="af1"/>
          </w:rPr>
          <w:t>HRI/GEN/2/Rev.6</w:t>
        </w:r>
      </w:hyperlink>
      <w:r>
        <w:t>.</w:t>
      </w:r>
      <w:hyperlink r:id="rId31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7AF0C" w14:textId="7A204208" w:rsidR="00AA4BAE" w:rsidRPr="00AA4BAE" w:rsidRDefault="00756109">
    <w:pPr>
      <w:pStyle w:val="a5"/>
    </w:pPr>
    <w:fldSimple w:instr=" TITLE  \* MERGEFORMAT ">
      <w:r w:rsidR="00986381">
        <w:t>CMW/C/HND/CO/2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46A9" w14:textId="7C5DC267" w:rsidR="00AA4BAE" w:rsidRPr="00AA4BAE" w:rsidRDefault="00756109" w:rsidP="00AA4BAE">
    <w:pPr>
      <w:pStyle w:val="a5"/>
      <w:jc w:val="right"/>
    </w:pPr>
    <w:fldSimple w:instr=" TITLE  \* MERGEFORMAT ">
      <w:r w:rsidR="00986381">
        <w:t>CMW/C/HND/CO/2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76621846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A650D8B4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2B887E86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 w:numId="22" w16cid:durableId="1707681423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80E"/>
    <w:rsid w:val="0000780E"/>
    <w:rsid w:val="00033EE1"/>
    <w:rsid w:val="00042B72"/>
    <w:rsid w:val="000558BD"/>
    <w:rsid w:val="00067FF4"/>
    <w:rsid w:val="000B57E7"/>
    <w:rsid w:val="000B6373"/>
    <w:rsid w:val="000F09DF"/>
    <w:rsid w:val="000F61B2"/>
    <w:rsid w:val="001075E9"/>
    <w:rsid w:val="00147392"/>
    <w:rsid w:val="00165D3B"/>
    <w:rsid w:val="00180183"/>
    <w:rsid w:val="0018024D"/>
    <w:rsid w:val="0018649F"/>
    <w:rsid w:val="00196389"/>
    <w:rsid w:val="001B3EF6"/>
    <w:rsid w:val="001C6847"/>
    <w:rsid w:val="001C7A89"/>
    <w:rsid w:val="002A2EFC"/>
    <w:rsid w:val="002A7005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85581"/>
    <w:rsid w:val="003958D0"/>
    <w:rsid w:val="003B00E5"/>
    <w:rsid w:val="003B7837"/>
    <w:rsid w:val="00407B78"/>
    <w:rsid w:val="004102E9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1B7E"/>
    <w:rsid w:val="00526683"/>
    <w:rsid w:val="00556AC8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443B4"/>
    <w:rsid w:val="00756109"/>
    <w:rsid w:val="00757357"/>
    <w:rsid w:val="00776BF1"/>
    <w:rsid w:val="007A2AE0"/>
    <w:rsid w:val="00806737"/>
    <w:rsid w:val="00825F8D"/>
    <w:rsid w:val="00834B71"/>
    <w:rsid w:val="00837F45"/>
    <w:rsid w:val="00842DD5"/>
    <w:rsid w:val="0086445C"/>
    <w:rsid w:val="00894693"/>
    <w:rsid w:val="008A08D7"/>
    <w:rsid w:val="008B6909"/>
    <w:rsid w:val="00900A96"/>
    <w:rsid w:val="00906890"/>
    <w:rsid w:val="00911BE4"/>
    <w:rsid w:val="0093403D"/>
    <w:rsid w:val="00951972"/>
    <w:rsid w:val="00953A1C"/>
    <w:rsid w:val="009608F3"/>
    <w:rsid w:val="0098262B"/>
    <w:rsid w:val="00986381"/>
    <w:rsid w:val="009A24AC"/>
    <w:rsid w:val="009D78CB"/>
    <w:rsid w:val="00A14DA8"/>
    <w:rsid w:val="00A312BC"/>
    <w:rsid w:val="00A543C6"/>
    <w:rsid w:val="00A81A6E"/>
    <w:rsid w:val="00A84007"/>
    <w:rsid w:val="00A84021"/>
    <w:rsid w:val="00A84D35"/>
    <w:rsid w:val="00A917B3"/>
    <w:rsid w:val="00AA4BAE"/>
    <w:rsid w:val="00AB4B51"/>
    <w:rsid w:val="00B10CC7"/>
    <w:rsid w:val="00B2680C"/>
    <w:rsid w:val="00B36DF7"/>
    <w:rsid w:val="00B539E7"/>
    <w:rsid w:val="00B6035D"/>
    <w:rsid w:val="00B62458"/>
    <w:rsid w:val="00BA2819"/>
    <w:rsid w:val="00BC18B2"/>
    <w:rsid w:val="00BD33EE"/>
    <w:rsid w:val="00BD3AA6"/>
    <w:rsid w:val="00C106D6"/>
    <w:rsid w:val="00C60F0C"/>
    <w:rsid w:val="00C805C9"/>
    <w:rsid w:val="00C92939"/>
    <w:rsid w:val="00CA1679"/>
    <w:rsid w:val="00CB151C"/>
    <w:rsid w:val="00CC306D"/>
    <w:rsid w:val="00CE5A1A"/>
    <w:rsid w:val="00CF55F6"/>
    <w:rsid w:val="00D33D63"/>
    <w:rsid w:val="00D40EFD"/>
    <w:rsid w:val="00D90028"/>
    <w:rsid w:val="00D90138"/>
    <w:rsid w:val="00DA7285"/>
    <w:rsid w:val="00DD1D1E"/>
    <w:rsid w:val="00DD78D1"/>
    <w:rsid w:val="00DE32CD"/>
    <w:rsid w:val="00DF71B9"/>
    <w:rsid w:val="00E73F76"/>
    <w:rsid w:val="00EA2C9F"/>
    <w:rsid w:val="00EA420E"/>
    <w:rsid w:val="00EA5E41"/>
    <w:rsid w:val="00ED0BDA"/>
    <w:rsid w:val="00ED2FCC"/>
    <w:rsid w:val="00EE7AC6"/>
    <w:rsid w:val="00EF1360"/>
    <w:rsid w:val="00EF3220"/>
    <w:rsid w:val="00F123C8"/>
    <w:rsid w:val="00F43903"/>
    <w:rsid w:val="00F93FFB"/>
    <w:rsid w:val="00F94155"/>
    <w:rsid w:val="00F9783F"/>
    <w:rsid w:val="00FC261C"/>
    <w:rsid w:val="00FD2EF7"/>
    <w:rsid w:val="00FE447E"/>
    <w:rsid w:val="00FF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92E3AD"/>
  <w15:docId w15:val="{F2AFCCE3-193F-4203-B5FA-3E91256A2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,16 Point,BVI fnr,Footnote,Footnote Refernece,Footnote symbol,Fußnotenzeichen_Raxen,Superscript 6 Point,Texto de nota al pie,ftref,Footnote Reference.SES,Superscript 6 Point + 11 ...,Ref,de nota al pie,Ref. de nota al pie.,f"/>
    <w:basedOn w:val="a0"/>
    <w:uiPriority w:val="3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,Char,F1,FOOTNOTES,Footnote Text Char Char,Footnote Text Char Char Char,Fußnote,Geneva,fn,fn Cha,footnote text Char,ft,ft Char,ft Char Char,ft Char Char Char,single space,single space Char,single space Char Char Char,Footnotes"/>
    <w:basedOn w:val="a"/>
    <w:link w:val="ae"/>
    <w:uiPriority w:val="3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,Char Знак,F1 Знак,FOOTNOTES Знак,Footnote Text Char Char Знак,Footnote Text Char Char Char Знак,Fußnote Знак,Geneva Знак,fn Знак,fn Cha Знак,footnote text Char Знак,ft Знак,ft Char Знак,ft Char Char Знак"/>
    <w:basedOn w:val="a0"/>
    <w:link w:val="ad"/>
    <w:uiPriority w:val="3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numbering" w:styleId="111111">
    <w:name w:val="Outline List 2"/>
    <w:basedOn w:val="a2"/>
    <w:rsid w:val="00AA4BAE"/>
    <w:pPr>
      <w:numPr>
        <w:numId w:val="22"/>
      </w:numPr>
    </w:pPr>
  </w:style>
  <w:style w:type="character" w:customStyle="1" w:styleId="SingleTxtGChar">
    <w:name w:val="_ Single Txt_G Char"/>
    <w:link w:val="SingleTxtG"/>
    <w:rsid w:val="00AA4BAE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AA4B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s/CMW/C/HND/CO/1" TargetMode="External"/><Relationship Id="rId13" Type="http://schemas.openxmlformats.org/officeDocument/2006/relationships/hyperlink" Target="https://docs.un.org/es/CEDAW/C/HND/CO/9" TargetMode="External"/><Relationship Id="rId18" Type="http://schemas.openxmlformats.org/officeDocument/2006/relationships/hyperlink" Target="https://docs.un.org/en/CMW/C/HND/CO/1/Add.1" TargetMode="External"/><Relationship Id="rId26" Type="http://schemas.openxmlformats.org/officeDocument/2006/relationships/hyperlink" Target="https://docs.un.org/ru/CMW/C/HND/CO/1" TargetMode="External"/><Relationship Id="rId3" Type="http://schemas.openxmlformats.org/officeDocument/2006/relationships/hyperlink" Target="https://docs.un.org/en/CMW/C/HND/RQ/2" TargetMode="External"/><Relationship Id="rId21" Type="http://schemas.openxmlformats.org/officeDocument/2006/relationships/hyperlink" Target="https://docs.un.org/es/CMW/C/HND/CO/1" TargetMode="External"/><Relationship Id="rId7" Type="http://schemas.openxmlformats.org/officeDocument/2006/relationships/hyperlink" Target="https://docs.un.org/ru/CMW/C/HND/CO/1" TargetMode="External"/><Relationship Id="rId12" Type="http://schemas.openxmlformats.org/officeDocument/2006/relationships/hyperlink" Target="https://docs.un.org/ru/CEDAW/C/HND/CO/9" TargetMode="External"/><Relationship Id="rId17" Type="http://schemas.openxmlformats.org/officeDocument/2006/relationships/hyperlink" Target="https://docs.un.org/es/CED/C/HND/CO/1" TargetMode="External"/><Relationship Id="rId25" Type="http://schemas.openxmlformats.org/officeDocument/2006/relationships/hyperlink" Target="https://docs.un.org/es/CMW/C/HND/CO/1" TargetMode="External"/><Relationship Id="rId2" Type="http://schemas.openxmlformats.org/officeDocument/2006/relationships/hyperlink" Target="https://docs.un.org/es/CMW/C/HND/2" TargetMode="External"/><Relationship Id="rId16" Type="http://schemas.openxmlformats.org/officeDocument/2006/relationships/hyperlink" Target="https://docs.un.org/ru/CED/C/HND/CO/1" TargetMode="External"/><Relationship Id="rId20" Type="http://schemas.openxmlformats.org/officeDocument/2006/relationships/hyperlink" Target="https://docs.un.org/ru/CMW/C/HND/CO/1" TargetMode="External"/><Relationship Id="rId29" Type="http://schemas.openxmlformats.org/officeDocument/2006/relationships/hyperlink" Target="https://docs.un.org/es/CMW/C/HND/CO/1" TargetMode="External"/><Relationship Id="rId1" Type="http://schemas.openxmlformats.org/officeDocument/2006/relationships/hyperlink" Target="https://docs.un.org/en/CMW/C/HND/2" TargetMode="External"/><Relationship Id="rId6" Type="http://schemas.openxmlformats.org/officeDocument/2006/relationships/hyperlink" Target="https://docs.un.org/es/CMW/C/HND/Q/2" TargetMode="External"/><Relationship Id="rId11" Type="http://schemas.openxmlformats.org/officeDocument/2006/relationships/hyperlink" Target="https://docs.un.org/es/CMW/C/HND/CO/1" TargetMode="External"/><Relationship Id="rId24" Type="http://schemas.openxmlformats.org/officeDocument/2006/relationships/hyperlink" Target="https://docs.un.org/ru/CMW/C/HND/CO/1" TargetMode="External"/><Relationship Id="rId5" Type="http://schemas.openxmlformats.org/officeDocument/2006/relationships/hyperlink" Target="https://docs.un.org/en/CMW/C/HND/Q/2" TargetMode="External"/><Relationship Id="rId15" Type="http://schemas.openxmlformats.org/officeDocument/2006/relationships/hyperlink" Target="https://docs.un.org/es/CMW/C/HND/CO/1" TargetMode="External"/><Relationship Id="rId23" Type="http://schemas.openxmlformats.org/officeDocument/2006/relationships/hyperlink" Target="https://docs.un.org/es/CRC/C/HND/CO/6-7" TargetMode="External"/><Relationship Id="rId28" Type="http://schemas.openxmlformats.org/officeDocument/2006/relationships/hyperlink" Target="https://docs.un.org/ru/CMW/C/HND/CO/1" TargetMode="External"/><Relationship Id="rId10" Type="http://schemas.openxmlformats.org/officeDocument/2006/relationships/hyperlink" Target="https://docs.un.org/ru/CMW/C/HND/CO/1" TargetMode="External"/><Relationship Id="rId19" Type="http://schemas.openxmlformats.org/officeDocument/2006/relationships/hyperlink" Target="https://docs.un.org/es/CMW/C/HND/CO/1/Add.1" TargetMode="External"/><Relationship Id="rId31" Type="http://schemas.openxmlformats.org/officeDocument/2006/relationships/hyperlink" Target="https://docs.un.org/es/HRI/GEN/2/Rev.6" TargetMode="External"/><Relationship Id="rId4" Type="http://schemas.openxmlformats.org/officeDocument/2006/relationships/hyperlink" Target="https://docs.un.org/es/CMW/C/HND/RQ/2" TargetMode="External"/><Relationship Id="rId9" Type="http://schemas.openxmlformats.org/officeDocument/2006/relationships/hyperlink" Target="https://docs.un.org/ru/A/HRC/61/12" TargetMode="External"/><Relationship Id="rId14" Type="http://schemas.openxmlformats.org/officeDocument/2006/relationships/hyperlink" Target="https://docs.un.org/ru/CMW/C/HND/CO/1" TargetMode="External"/><Relationship Id="rId22" Type="http://schemas.openxmlformats.org/officeDocument/2006/relationships/hyperlink" Target="https://docs.un.org/ru/CRC/C/HND/CO/6-7" TargetMode="External"/><Relationship Id="rId27" Type="http://schemas.openxmlformats.org/officeDocument/2006/relationships/hyperlink" Target="https://docs.un.org/es/CMW/C/HND/CO/1" TargetMode="External"/><Relationship Id="rId30" Type="http://schemas.openxmlformats.org/officeDocument/2006/relationships/hyperlink" Target="https://docs.un.org/ru/HRI/GEN/2/Rev.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3</TotalTime>
  <Pages>21</Pages>
  <Words>7680</Words>
  <Characters>58837</Characters>
  <Application>Microsoft Office Word</Application>
  <DocSecurity>0</DocSecurity>
  <Lines>6537</Lines>
  <Paragraphs>2771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CMW/C/HND/CO/2</vt:lpstr>
      <vt:lpstr>A/</vt:lpstr>
      <vt:lpstr>A/</vt:lpstr>
      <vt:lpstr>A/</vt:lpstr>
    </vt:vector>
  </TitlesOfParts>
  <Company>DCM</Company>
  <LinksUpToDate>false</LinksUpToDate>
  <CharactersWithSpaces>63746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CMW/C/HND/CO/2</dc:title>
  <dc:subject/>
  <dc:creator>Tatiana SHARKINA</dc:creator>
  <cp:keywords/>
  <cp:lastModifiedBy>Tatiana Sharkina</cp:lastModifiedBy>
  <cp:revision>3</cp:revision>
  <cp:lastPrinted>2026-02-23T13:46:00Z</cp:lastPrinted>
  <dcterms:created xsi:type="dcterms:W3CDTF">2026-02-23T13:46:00Z</dcterms:created>
  <dcterms:modified xsi:type="dcterms:W3CDTF">2026-02-23T13:46:00Z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