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2196" w:rsidRDefault="000F2196" w:rsidP="000F2196">
      <w:pPr>
        <w:spacing w:line="240" w:lineRule="auto"/>
        <w:jc w:val="left"/>
        <w:rPr>
          <w:szCs w:val="6"/>
        </w:rPr>
        <w:sectPr w:rsidR="000F2196" w:rsidSect="000F2196">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2F0573" w:rsidRDefault="000723C4" w:rsidP="000723C4">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اللجنة المعنية بالقضاء على التمييز ضد المرأة</w:t>
      </w:r>
    </w:p>
    <w:p w:rsidR="000723C4" w:rsidRDefault="000723C4" w:rsidP="000723C4">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الفريق العامل لما قبل الدورة</w:t>
      </w:r>
    </w:p>
    <w:p w:rsidR="000723C4" w:rsidRDefault="000723C4" w:rsidP="000723C4">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الدورة السادسة والأربعون</w:t>
      </w:r>
    </w:p>
    <w:p w:rsidR="000723C4" w:rsidRDefault="000723C4" w:rsidP="000723C4">
      <w:pPr>
        <w:tabs>
          <w:tab w:val="left" w:pos="662"/>
          <w:tab w:val="left" w:pos="1267"/>
          <w:tab w:val="left" w:pos="1987"/>
          <w:tab w:val="left" w:pos="2650"/>
        </w:tabs>
        <w:rPr>
          <w:rFonts w:hint="cs"/>
          <w:rtl/>
        </w:rPr>
      </w:pPr>
      <w:r>
        <w:rPr>
          <w:rFonts w:hint="cs"/>
          <w:rtl/>
        </w:rPr>
        <w:t>12-30 تموز/يوليه 2010</w:t>
      </w:r>
    </w:p>
    <w:p w:rsidR="000723C4" w:rsidRPr="000723C4" w:rsidRDefault="000723C4" w:rsidP="000723C4">
      <w:pPr>
        <w:pStyle w:val="SingleTxt"/>
        <w:spacing w:after="0" w:line="120" w:lineRule="exact"/>
        <w:rPr>
          <w:rFonts w:hint="cs"/>
          <w:sz w:val="12"/>
          <w:rtl/>
        </w:rPr>
      </w:pPr>
    </w:p>
    <w:p w:rsidR="000723C4" w:rsidRPr="000723C4" w:rsidRDefault="000723C4" w:rsidP="000723C4">
      <w:pPr>
        <w:pStyle w:val="SingleTxt"/>
        <w:spacing w:after="0" w:line="120" w:lineRule="exact"/>
        <w:rPr>
          <w:rFonts w:hint="cs"/>
          <w:sz w:val="12"/>
          <w:rtl/>
        </w:rPr>
      </w:pPr>
    </w:p>
    <w:p w:rsidR="000723C4" w:rsidRDefault="001B247F" w:rsidP="00096EB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قائمة القضايا والأسئلة المطروحة فيما يتعلق بالنظر في التقارير الدورية</w:t>
      </w:r>
    </w:p>
    <w:p w:rsidR="001B247F" w:rsidRPr="001B247F" w:rsidRDefault="001B247F" w:rsidP="001B247F">
      <w:pPr>
        <w:pStyle w:val="SingleTxt"/>
        <w:spacing w:after="0" w:line="120" w:lineRule="exact"/>
        <w:rPr>
          <w:rFonts w:hint="cs"/>
          <w:sz w:val="12"/>
          <w:rtl/>
        </w:rPr>
      </w:pPr>
    </w:p>
    <w:p w:rsidR="001B247F" w:rsidRDefault="001B247F" w:rsidP="001B247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ألبانيا</w:t>
      </w:r>
    </w:p>
    <w:p w:rsidR="00096EB8" w:rsidRPr="00096EB8" w:rsidRDefault="00096EB8" w:rsidP="00096EB8">
      <w:pPr>
        <w:pStyle w:val="SingleTxt"/>
        <w:spacing w:after="0" w:line="120" w:lineRule="exact"/>
        <w:rPr>
          <w:rFonts w:hint="cs"/>
          <w:sz w:val="12"/>
          <w:rtl/>
        </w:rPr>
      </w:pPr>
    </w:p>
    <w:p w:rsidR="00096EB8" w:rsidRDefault="00096EB8" w:rsidP="00096EB8">
      <w:pPr>
        <w:pStyle w:val="SingleTxt"/>
        <w:rPr>
          <w:rFonts w:hint="cs"/>
          <w:rtl/>
        </w:rPr>
      </w:pPr>
      <w:r>
        <w:rPr>
          <w:rFonts w:hint="cs"/>
          <w:rtl/>
        </w:rPr>
        <w:tab/>
      </w:r>
      <w:r w:rsidRPr="00096EB8">
        <w:rPr>
          <w:rtl/>
        </w:rPr>
        <w:t>نظر الفريق العامل لما قبل الدورة في التقرير الدوري لجمهورية ألبانيا (</w:t>
      </w:r>
      <w:r w:rsidRPr="00096EB8">
        <w:t>CEDAW/C/ALB/3</w:t>
      </w:r>
      <w:r w:rsidRPr="00096EB8">
        <w:rPr>
          <w:rtl/>
        </w:rPr>
        <w:t>).</w:t>
      </w:r>
    </w:p>
    <w:p w:rsidR="00096EB8" w:rsidRPr="00096EB8" w:rsidRDefault="00096EB8" w:rsidP="00096EB8">
      <w:pPr>
        <w:pStyle w:val="SingleTxt"/>
        <w:spacing w:after="0" w:line="120" w:lineRule="exact"/>
        <w:rPr>
          <w:rFonts w:hint="cs"/>
          <w:sz w:val="12"/>
          <w:rtl/>
        </w:rPr>
      </w:pPr>
    </w:p>
    <w:p w:rsidR="00096EB8" w:rsidRPr="00096EB8" w:rsidRDefault="00096EB8" w:rsidP="00096EB8">
      <w:pPr>
        <w:pStyle w:val="SingleTxt"/>
        <w:rPr>
          <w:rFonts w:hint="cs"/>
          <w:b/>
          <w:bCs/>
          <w:rtl/>
        </w:rPr>
      </w:pPr>
      <w:r w:rsidRPr="00096EB8">
        <w:rPr>
          <w:b/>
          <w:bCs/>
          <w:rtl/>
        </w:rPr>
        <w:t>لمحة عامة</w:t>
      </w:r>
    </w:p>
    <w:p w:rsidR="00096EB8" w:rsidRPr="00096EB8" w:rsidRDefault="00096EB8" w:rsidP="006B7AA8">
      <w:pPr>
        <w:pStyle w:val="SingleTxt"/>
        <w:rPr>
          <w:rtl/>
        </w:rPr>
      </w:pPr>
      <w:r w:rsidRPr="00096EB8">
        <w:rPr>
          <w:rtl/>
        </w:rPr>
        <w:t>1</w:t>
      </w:r>
      <w:r>
        <w:rPr>
          <w:rFonts w:hint="cs"/>
          <w:rtl/>
        </w:rPr>
        <w:t xml:space="preserve"> </w:t>
      </w:r>
      <w:r w:rsidRPr="00096EB8">
        <w:rPr>
          <w:rFonts w:hint="cs"/>
          <w:rtl/>
        </w:rPr>
        <w:t xml:space="preserve">- </w:t>
      </w:r>
      <w:r>
        <w:rPr>
          <w:rFonts w:hint="cs"/>
          <w:rtl/>
        </w:rPr>
        <w:tab/>
      </w:r>
      <w:r w:rsidRPr="00096EB8">
        <w:rPr>
          <w:rFonts w:hint="cs"/>
          <w:rtl/>
        </w:rPr>
        <w:t>ي</w:t>
      </w:r>
      <w:r w:rsidRPr="00096EB8">
        <w:rPr>
          <w:rtl/>
        </w:rPr>
        <w:t xml:space="preserve">ُرجى تقديم معلومات </w:t>
      </w:r>
      <w:r w:rsidR="00955CA3">
        <w:rPr>
          <w:rFonts w:hint="cs"/>
          <w:rtl/>
        </w:rPr>
        <w:t>عمّا</w:t>
      </w:r>
      <w:r w:rsidRPr="00096EB8">
        <w:rPr>
          <w:rtl/>
        </w:rPr>
        <w:t xml:space="preserve"> إذا كان التقرير ال</w:t>
      </w:r>
      <w:r w:rsidR="00955CA3">
        <w:rPr>
          <w:rtl/>
        </w:rPr>
        <w:t>دوري الثالث لجمهورية ألبانيا قد</w:t>
      </w:r>
      <w:r w:rsidR="00955CA3">
        <w:rPr>
          <w:rFonts w:hint="cs"/>
          <w:rtl/>
        </w:rPr>
        <w:t> </w:t>
      </w:r>
      <w:r w:rsidR="002B3333">
        <w:rPr>
          <w:rtl/>
        </w:rPr>
        <w:t>اع</w:t>
      </w:r>
      <w:r w:rsidRPr="00096EB8">
        <w:rPr>
          <w:rtl/>
        </w:rPr>
        <w:t>تمد</w:t>
      </w:r>
      <w:r w:rsidR="00955CA3">
        <w:rPr>
          <w:rFonts w:hint="cs"/>
          <w:rtl/>
        </w:rPr>
        <w:t>ته</w:t>
      </w:r>
      <w:r w:rsidRPr="00096EB8">
        <w:rPr>
          <w:rtl/>
        </w:rPr>
        <w:t xml:space="preserve"> الحكومة وقُدم إلى البرلمان. ويُرجى أيضا بيان ما إذا كانت الملاحظات الختامية التي اعتمدتها اللجنة إثر نظرها في التقرير الجامع للتقرير الأو</w:t>
      </w:r>
      <w:r w:rsidR="00955CA3">
        <w:rPr>
          <w:rFonts w:hint="cs"/>
          <w:rtl/>
        </w:rPr>
        <w:t>ّ</w:t>
      </w:r>
      <w:r w:rsidRPr="00096EB8">
        <w:rPr>
          <w:rtl/>
        </w:rPr>
        <w:t>لي والتقرير الدوري الثاني لألبانيا، قد تُرجمت إلى اللغة الوطنية وكيف</w:t>
      </w:r>
      <w:r w:rsidRPr="00096EB8">
        <w:rPr>
          <w:rFonts w:hint="cs"/>
          <w:rtl/>
        </w:rPr>
        <w:t xml:space="preserve"> تم نشرها </w:t>
      </w:r>
      <w:r w:rsidRPr="00096EB8">
        <w:rPr>
          <w:rtl/>
        </w:rPr>
        <w:t xml:space="preserve">وعلى </w:t>
      </w:r>
      <w:r w:rsidR="00955CA3">
        <w:rPr>
          <w:rFonts w:hint="cs"/>
          <w:rtl/>
        </w:rPr>
        <w:t>مَ</w:t>
      </w:r>
      <w:r w:rsidR="006B7AA8">
        <w:rPr>
          <w:rFonts w:hint="cs"/>
          <w:rtl/>
        </w:rPr>
        <w:t>ن</w:t>
      </w:r>
      <w:r w:rsidR="00955CA3">
        <w:rPr>
          <w:rFonts w:hint="cs"/>
          <w:rtl/>
        </w:rPr>
        <w:t xml:space="preserve"> عُممت </w:t>
      </w:r>
      <w:r w:rsidRPr="00096EB8">
        <w:rPr>
          <w:rtl/>
        </w:rPr>
        <w:t xml:space="preserve">بغرض </w:t>
      </w:r>
      <w:r w:rsidRPr="00096EB8">
        <w:rPr>
          <w:rFonts w:hint="cs"/>
          <w:rtl/>
        </w:rPr>
        <w:t>إطلاع</w:t>
      </w:r>
      <w:r w:rsidRPr="00096EB8">
        <w:rPr>
          <w:rtl/>
        </w:rPr>
        <w:t xml:space="preserve"> شعب ألبانيا، ولا</w:t>
      </w:r>
      <w:r w:rsidR="00955CA3">
        <w:rPr>
          <w:rFonts w:hint="cs"/>
          <w:rtl/>
        </w:rPr>
        <w:t xml:space="preserve"> </w:t>
      </w:r>
      <w:r w:rsidRPr="00096EB8">
        <w:rPr>
          <w:rtl/>
        </w:rPr>
        <w:t>سيما مسؤو</w:t>
      </w:r>
      <w:r w:rsidR="00955CA3">
        <w:rPr>
          <w:rFonts w:hint="cs"/>
          <w:rtl/>
        </w:rPr>
        <w:t>لو</w:t>
      </w:r>
      <w:r w:rsidRPr="00096EB8">
        <w:rPr>
          <w:rtl/>
        </w:rPr>
        <w:t xml:space="preserve"> الحكومة والسياسي</w:t>
      </w:r>
      <w:r w:rsidR="00955CA3">
        <w:rPr>
          <w:rFonts w:hint="cs"/>
          <w:rtl/>
        </w:rPr>
        <w:t>و</w:t>
      </w:r>
      <w:r w:rsidRPr="00096EB8">
        <w:rPr>
          <w:rtl/>
        </w:rPr>
        <w:t xml:space="preserve">ن، </w:t>
      </w:r>
      <w:r w:rsidR="00955CA3">
        <w:rPr>
          <w:rFonts w:hint="cs"/>
          <w:rtl/>
        </w:rPr>
        <w:t xml:space="preserve">على </w:t>
      </w:r>
      <w:r w:rsidRPr="00096EB8">
        <w:rPr>
          <w:rtl/>
        </w:rPr>
        <w:t>الخطوات الضرورية لكفالة المساواة بحكم القانون وبحكم الواقع بين الرجل والمرأة.</w:t>
      </w:r>
    </w:p>
    <w:p w:rsidR="00955CA3" w:rsidRPr="00955CA3" w:rsidRDefault="00955CA3" w:rsidP="00955CA3">
      <w:pPr>
        <w:pStyle w:val="SingleTxt"/>
        <w:spacing w:after="0" w:line="120" w:lineRule="exact"/>
        <w:rPr>
          <w:sz w:val="12"/>
          <w:rtl/>
        </w:rPr>
      </w:pPr>
    </w:p>
    <w:p w:rsidR="00096EB8" w:rsidRPr="00096EB8" w:rsidRDefault="00096EB8" w:rsidP="00096EB8">
      <w:pPr>
        <w:pStyle w:val="SingleTxt"/>
        <w:rPr>
          <w:b/>
          <w:bCs/>
          <w:rtl/>
        </w:rPr>
      </w:pPr>
      <w:r w:rsidRPr="00096EB8">
        <w:rPr>
          <w:b/>
          <w:bCs/>
          <w:rtl/>
        </w:rPr>
        <w:t>الإطار الدستوري والتشريعي والمؤسسي</w:t>
      </w:r>
    </w:p>
    <w:p w:rsidR="00096EB8" w:rsidRPr="00096EB8" w:rsidRDefault="00096EB8" w:rsidP="006B014C">
      <w:pPr>
        <w:pStyle w:val="SingleTxt"/>
        <w:rPr>
          <w:rFonts w:hint="cs"/>
          <w:rtl/>
        </w:rPr>
      </w:pPr>
      <w:r w:rsidRPr="00096EB8">
        <w:rPr>
          <w:rtl/>
        </w:rPr>
        <w:t>2</w:t>
      </w:r>
      <w:r w:rsidR="006B014C">
        <w:rPr>
          <w:rFonts w:hint="cs"/>
          <w:rtl/>
        </w:rPr>
        <w:t xml:space="preserve"> </w:t>
      </w:r>
      <w:r w:rsidRPr="00096EB8">
        <w:rPr>
          <w:rFonts w:hint="cs"/>
          <w:rtl/>
        </w:rPr>
        <w:t xml:space="preserve">- </w:t>
      </w:r>
      <w:r w:rsidR="006B014C">
        <w:rPr>
          <w:rFonts w:hint="cs"/>
          <w:rtl/>
        </w:rPr>
        <w:tab/>
      </w:r>
      <w:r w:rsidRPr="00096EB8">
        <w:rPr>
          <w:rtl/>
        </w:rPr>
        <w:t xml:space="preserve">وفقا للفقرة 3 من التقرير الدوري الثالث، </w:t>
      </w:r>
      <w:r w:rsidR="006B014C">
        <w:rPr>
          <w:rFonts w:hint="cs"/>
          <w:rtl/>
        </w:rPr>
        <w:t xml:space="preserve">تنص </w:t>
      </w:r>
      <w:r w:rsidRPr="00096EB8">
        <w:rPr>
          <w:rtl/>
        </w:rPr>
        <w:t>المادة 122 من دستور جمهورية ألبانيا،</w:t>
      </w:r>
      <w:r w:rsidRPr="00096EB8">
        <w:rPr>
          <w:rFonts w:hint="cs"/>
          <w:rtl/>
        </w:rPr>
        <w:t xml:space="preserve"> </w:t>
      </w:r>
      <w:r w:rsidR="006B014C">
        <w:rPr>
          <w:rFonts w:hint="cs"/>
          <w:rtl/>
        </w:rPr>
        <w:t xml:space="preserve">على أن الاتفاقية </w:t>
      </w:r>
      <w:r w:rsidRPr="00096EB8">
        <w:rPr>
          <w:rtl/>
        </w:rPr>
        <w:t>بوصفها صكا دوليا،</w:t>
      </w:r>
      <w:r w:rsidR="006B014C">
        <w:rPr>
          <w:rFonts w:hint="cs"/>
          <w:rtl/>
        </w:rPr>
        <w:t xml:space="preserve"> تشكِّل</w:t>
      </w:r>
      <w:r w:rsidRPr="00096EB8">
        <w:rPr>
          <w:rtl/>
        </w:rPr>
        <w:t xml:space="preserve"> ”جزءا من النظام القانوني الداخلي، وتُنفّذ بصفة مباشرة، </w:t>
      </w:r>
      <w:r w:rsidR="006B014C">
        <w:rPr>
          <w:rFonts w:hint="cs"/>
          <w:rtl/>
        </w:rPr>
        <w:t xml:space="preserve">لها الأسبقية </w:t>
      </w:r>
      <w:r w:rsidRPr="00096EB8">
        <w:rPr>
          <w:rtl/>
        </w:rPr>
        <w:t xml:space="preserve">على قوانين البلد التي </w:t>
      </w:r>
      <w:r w:rsidRPr="00096EB8">
        <w:rPr>
          <w:rFonts w:hint="cs"/>
          <w:rtl/>
        </w:rPr>
        <w:t>تتعارض معها</w:t>
      </w:r>
      <w:r w:rsidRPr="00096EB8">
        <w:rPr>
          <w:rtl/>
        </w:rPr>
        <w:t xml:space="preserve">“. بيد أن مبدأ </w:t>
      </w:r>
      <w:r w:rsidRPr="00096EB8">
        <w:rPr>
          <w:rFonts w:hint="cs"/>
          <w:rtl/>
        </w:rPr>
        <w:t>اكتساب</w:t>
      </w:r>
      <w:r w:rsidRPr="00096EB8">
        <w:rPr>
          <w:rtl/>
        </w:rPr>
        <w:t xml:space="preserve"> القوانين الدولية </w:t>
      </w:r>
      <w:r w:rsidRPr="00096EB8">
        <w:rPr>
          <w:rFonts w:hint="cs"/>
          <w:rtl/>
        </w:rPr>
        <w:t xml:space="preserve">الأولوية </w:t>
      </w:r>
      <w:r w:rsidRPr="00096EB8">
        <w:rPr>
          <w:rtl/>
        </w:rPr>
        <w:t>على التشريعات الوطنية، وفق ما ورد في الوثيقة الأساسية (</w:t>
      </w:r>
      <w:r w:rsidRPr="00096EB8">
        <w:t>HRI/CORE/1/Add.124</w:t>
      </w:r>
      <w:r w:rsidRPr="00096EB8">
        <w:rPr>
          <w:rtl/>
        </w:rPr>
        <w:t xml:space="preserve">، الفقرة 106) محدود بشرط أن يرد في الاتفاق </w:t>
      </w:r>
      <w:r w:rsidR="006B014C">
        <w:rPr>
          <w:rFonts w:hint="cs"/>
          <w:rtl/>
        </w:rPr>
        <w:t>”</w:t>
      </w:r>
      <w:r w:rsidRPr="00096EB8">
        <w:rPr>
          <w:rtl/>
        </w:rPr>
        <w:t>ما ينص صراحة على الامتثال المباشر له</w:t>
      </w:r>
      <w:r w:rsidR="006B014C">
        <w:rPr>
          <w:rFonts w:hint="cs"/>
          <w:rtl/>
        </w:rPr>
        <w:t>“</w:t>
      </w:r>
      <w:r w:rsidRPr="00096EB8">
        <w:rPr>
          <w:rtl/>
        </w:rPr>
        <w:t xml:space="preserve">. فيُرجى إيضاح الشرط الأساسي المتعلق بالامتثال المباشر وكيف يؤثر في التنفيذ الكامل للاتفاقية. كما يُرجى تقديم تفاصيل عن أي قضايا معروضة على المحاكم استُعين فيها بالاتفاقية أو جرت الإحالة إليها. ويُرجى أيضا تقديم معلومات عن حصيلة هذه القضايا وبيان أي إجراءات إدارية أو وسائل انتصاف متاحة لضحايا التمييز. </w:t>
      </w:r>
    </w:p>
    <w:p w:rsidR="00096EB8" w:rsidRPr="00096EB8" w:rsidRDefault="00096EB8" w:rsidP="006B014C">
      <w:pPr>
        <w:pStyle w:val="SingleTxt"/>
        <w:rPr>
          <w:rtl/>
        </w:rPr>
      </w:pPr>
      <w:r w:rsidRPr="00096EB8">
        <w:rPr>
          <w:rtl/>
        </w:rPr>
        <w:t>3</w:t>
      </w:r>
      <w:r w:rsidR="006B014C">
        <w:rPr>
          <w:rFonts w:hint="cs"/>
          <w:rtl/>
        </w:rPr>
        <w:t xml:space="preserve"> </w:t>
      </w:r>
      <w:r w:rsidRPr="00096EB8">
        <w:rPr>
          <w:rFonts w:hint="cs"/>
          <w:rtl/>
        </w:rPr>
        <w:t xml:space="preserve">- </w:t>
      </w:r>
      <w:r w:rsidR="006B014C">
        <w:rPr>
          <w:rFonts w:hint="cs"/>
          <w:rtl/>
        </w:rPr>
        <w:tab/>
      </w:r>
      <w:r w:rsidRPr="00096EB8">
        <w:rPr>
          <w:rtl/>
        </w:rPr>
        <w:t>وتشير الدولة الطرف، في تقريرها، إلى عدة تعديلات قانونية وتشريعات قيد الإعداد، مثل مشروع قانون المساواة بين الجنسين في المجتمع [رقم 9534 لعام 2006] وقانون الانتخابات المنق</w:t>
      </w:r>
      <w:r w:rsidR="006B014C">
        <w:rPr>
          <w:rFonts w:hint="cs"/>
          <w:rtl/>
        </w:rPr>
        <w:t>ّ</w:t>
      </w:r>
      <w:r w:rsidRPr="00096EB8">
        <w:rPr>
          <w:rtl/>
        </w:rPr>
        <w:t xml:space="preserve">ح. ويُرجى تقديم ما استُجد من معلومات عن حالة اعتماد هذه التعديلات. وهل من المتوقع أن يسد مشروع القانون الجديد </w:t>
      </w:r>
      <w:r w:rsidR="006B014C">
        <w:rPr>
          <w:rFonts w:hint="cs"/>
          <w:rtl/>
        </w:rPr>
        <w:t>”</w:t>
      </w:r>
      <w:r w:rsidR="006B014C">
        <w:rPr>
          <w:rtl/>
        </w:rPr>
        <w:t>المساواة بين الجنسين في</w:t>
      </w:r>
      <w:r w:rsidR="006B014C">
        <w:rPr>
          <w:rFonts w:hint="cs"/>
          <w:rtl/>
        </w:rPr>
        <w:t> </w:t>
      </w:r>
      <w:r w:rsidRPr="00096EB8">
        <w:rPr>
          <w:rtl/>
        </w:rPr>
        <w:t>المجتمع</w:t>
      </w:r>
      <w:r w:rsidR="006B014C">
        <w:rPr>
          <w:rFonts w:hint="cs"/>
          <w:rtl/>
        </w:rPr>
        <w:t>“</w:t>
      </w:r>
      <w:r w:rsidRPr="00096EB8">
        <w:rPr>
          <w:rtl/>
        </w:rPr>
        <w:t xml:space="preserve"> الثغرات القائمة في قانون عام 2004 المشار إل</w:t>
      </w:r>
      <w:r w:rsidR="006B014C">
        <w:rPr>
          <w:rtl/>
        </w:rPr>
        <w:t>يه في الفقرة 23 من التقرير، وهل</w:t>
      </w:r>
      <w:r w:rsidR="006B014C">
        <w:rPr>
          <w:rFonts w:hint="cs"/>
          <w:rtl/>
        </w:rPr>
        <w:t> </w:t>
      </w:r>
      <w:r w:rsidRPr="00096EB8">
        <w:rPr>
          <w:rtl/>
        </w:rPr>
        <w:t xml:space="preserve">من المتوقع أن يشمل حظر التمييز </w:t>
      </w:r>
      <w:r w:rsidR="006B014C">
        <w:rPr>
          <w:rFonts w:hint="cs"/>
          <w:rtl/>
        </w:rPr>
        <w:t xml:space="preserve">الجنسي والجنساني </w:t>
      </w:r>
      <w:r w:rsidRPr="00096EB8">
        <w:rPr>
          <w:rtl/>
        </w:rPr>
        <w:t>في مجالات الحياة العامة والخاصة؟</w:t>
      </w:r>
    </w:p>
    <w:p w:rsidR="00096EB8" w:rsidRPr="00096EB8" w:rsidRDefault="006B014C" w:rsidP="006B014C">
      <w:pPr>
        <w:pStyle w:val="SingleTxt"/>
        <w:rPr>
          <w:rFonts w:hint="cs"/>
          <w:rtl/>
        </w:rPr>
      </w:pPr>
      <w:r>
        <w:rPr>
          <w:rFonts w:hint="cs"/>
          <w:rtl/>
        </w:rPr>
        <w:t>4 -</w:t>
      </w:r>
      <w:r>
        <w:rPr>
          <w:rFonts w:hint="cs"/>
          <w:rtl/>
        </w:rPr>
        <w:tab/>
      </w:r>
      <w:r w:rsidR="00096EB8" w:rsidRPr="00096EB8">
        <w:rPr>
          <w:rtl/>
        </w:rPr>
        <w:t xml:space="preserve">ويُرجى </w:t>
      </w:r>
      <w:r>
        <w:rPr>
          <w:rFonts w:hint="cs"/>
          <w:rtl/>
        </w:rPr>
        <w:t xml:space="preserve">بيان </w:t>
      </w:r>
      <w:r w:rsidR="00096EB8" w:rsidRPr="00096EB8">
        <w:rPr>
          <w:rtl/>
        </w:rPr>
        <w:t xml:space="preserve">ما إذا أُدرج في التشريعات المحلية تعريف لمفهوم التمييز ضد المرأة، </w:t>
      </w:r>
      <w:r>
        <w:rPr>
          <w:rFonts w:hint="cs"/>
          <w:rtl/>
        </w:rPr>
        <w:t>يشمل</w:t>
      </w:r>
      <w:r w:rsidR="00096EB8" w:rsidRPr="00096EB8">
        <w:rPr>
          <w:rtl/>
        </w:rPr>
        <w:t xml:space="preserve"> التمييز المباشر وغير المباشر على السواء، وذلك تمشيا مع المادة 1 </w:t>
      </w:r>
      <w:r w:rsidR="00096EB8" w:rsidRPr="00096EB8">
        <w:rPr>
          <w:rFonts w:hint="cs"/>
          <w:rtl/>
        </w:rPr>
        <w:t>ويمتد</w:t>
      </w:r>
      <w:r w:rsidR="00096EB8" w:rsidRPr="00096EB8">
        <w:rPr>
          <w:rtl/>
        </w:rPr>
        <w:t xml:space="preserve"> نطاقه </w:t>
      </w:r>
      <w:r w:rsidR="00096EB8" w:rsidRPr="00096EB8">
        <w:rPr>
          <w:rFonts w:hint="cs"/>
          <w:rtl/>
        </w:rPr>
        <w:t>ليشمل</w:t>
      </w:r>
      <w:r w:rsidR="00096EB8" w:rsidRPr="00096EB8">
        <w:rPr>
          <w:rtl/>
        </w:rPr>
        <w:t xml:space="preserve"> كذلك أعمال التمييز من </w:t>
      </w:r>
      <w:r>
        <w:rPr>
          <w:rFonts w:hint="cs"/>
          <w:rtl/>
        </w:rPr>
        <w:t>ال</w:t>
      </w:r>
      <w:r w:rsidR="00096EB8" w:rsidRPr="00096EB8">
        <w:rPr>
          <w:rtl/>
        </w:rPr>
        <w:t xml:space="preserve">جهات </w:t>
      </w:r>
      <w:r>
        <w:rPr>
          <w:rFonts w:hint="cs"/>
          <w:rtl/>
        </w:rPr>
        <w:t>ال</w:t>
      </w:r>
      <w:r w:rsidR="00096EB8" w:rsidRPr="00096EB8">
        <w:rPr>
          <w:rtl/>
        </w:rPr>
        <w:t>عامة و</w:t>
      </w:r>
      <w:r>
        <w:rPr>
          <w:rFonts w:hint="cs"/>
          <w:rtl/>
        </w:rPr>
        <w:t>ال</w:t>
      </w:r>
      <w:r w:rsidR="00096EB8" w:rsidRPr="00096EB8">
        <w:rPr>
          <w:rtl/>
        </w:rPr>
        <w:t>خاصة، وفقا للمادة 2. ويُرجى أيضا بيان ما إذا بوُشر استعراض شامل للقوانين،</w:t>
      </w:r>
      <w:r w:rsidR="00096EB8" w:rsidRPr="00096EB8">
        <w:rPr>
          <w:rFonts w:hint="cs"/>
          <w:rtl/>
        </w:rPr>
        <w:t xml:space="preserve"> </w:t>
      </w:r>
      <w:r w:rsidR="00096EB8" w:rsidRPr="00096EB8">
        <w:rPr>
          <w:rtl/>
        </w:rPr>
        <w:t>على النحو الذي أوصت به اللجنة في ملاحظاتها الختامية السابقة</w:t>
      </w:r>
      <w:r w:rsidRPr="006B014C">
        <w:rPr>
          <w:vertAlign w:val="superscript"/>
          <w:rtl/>
        </w:rPr>
        <w:t>(</w:t>
      </w:r>
      <w:r>
        <w:rPr>
          <w:rStyle w:val="FootnoteReference"/>
          <w:rtl/>
        </w:rPr>
        <w:footnoteReference w:id="1"/>
      </w:r>
      <w:r w:rsidRPr="006B014C">
        <w:rPr>
          <w:vertAlign w:val="superscript"/>
          <w:rtl/>
        </w:rPr>
        <w:t>)</w:t>
      </w:r>
      <w:r>
        <w:rPr>
          <w:rFonts w:hint="cs"/>
          <w:rtl/>
        </w:rPr>
        <w:t xml:space="preserve"> </w:t>
      </w:r>
      <w:r w:rsidR="00096EB8" w:rsidRPr="00096EB8">
        <w:rPr>
          <w:rtl/>
        </w:rPr>
        <w:t xml:space="preserve">من أجل ضمان تطابق التشريعات الوطنية مع الاتفاقية. </w:t>
      </w:r>
    </w:p>
    <w:p w:rsidR="00096EB8" w:rsidRPr="00096EB8" w:rsidRDefault="006B014C" w:rsidP="00A41C70">
      <w:pPr>
        <w:pStyle w:val="SingleTxt"/>
        <w:rPr>
          <w:rFonts w:hint="cs"/>
          <w:rtl/>
        </w:rPr>
      </w:pPr>
      <w:r>
        <w:rPr>
          <w:rFonts w:hint="cs"/>
          <w:rtl/>
        </w:rPr>
        <w:t>5 -</w:t>
      </w:r>
      <w:r>
        <w:rPr>
          <w:rFonts w:hint="cs"/>
          <w:rtl/>
        </w:rPr>
        <w:tab/>
      </w:r>
      <w:r w:rsidR="00096EB8" w:rsidRPr="00096EB8">
        <w:rPr>
          <w:rtl/>
        </w:rPr>
        <w:t xml:space="preserve">ووفقا للفقرة 23 من التقرير، يقتضي النظام القانوني لألبانيا أن </w:t>
      </w:r>
      <w:r>
        <w:rPr>
          <w:rFonts w:hint="cs"/>
          <w:rtl/>
        </w:rPr>
        <w:t>من</w:t>
      </w:r>
      <w:r w:rsidR="00096EB8" w:rsidRPr="00096EB8">
        <w:rPr>
          <w:rtl/>
        </w:rPr>
        <w:t xml:space="preserve"> المواطنين الراغبين في اللجوء إلى المحاكم طلبا للإنصاف بسبب تعرض حقوقهم للانتهاك </w:t>
      </w:r>
      <w:r w:rsidR="00A41C70">
        <w:rPr>
          <w:rFonts w:hint="cs"/>
          <w:rtl/>
        </w:rPr>
        <w:t xml:space="preserve">”أن يذكروا </w:t>
      </w:r>
      <w:r w:rsidR="00096EB8" w:rsidRPr="00096EB8">
        <w:rPr>
          <w:rtl/>
        </w:rPr>
        <w:t>أيضا مادة ملموسة من قانون معي</w:t>
      </w:r>
      <w:r w:rsidR="00A41C70">
        <w:rPr>
          <w:rFonts w:hint="cs"/>
          <w:rtl/>
        </w:rPr>
        <w:t>ّ</w:t>
      </w:r>
      <w:r w:rsidR="00096EB8" w:rsidRPr="00096EB8">
        <w:rPr>
          <w:rtl/>
        </w:rPr>
        <w:t xml:space="preserve">ن تستند إليها طلباتهم </w:t>
      </w:r>
      <w:r w:rsidR="00A41C70">
        <w:rPr>
          <w:rFonts w:hint="cs"/>
          <w:rtl/>
        </w:rPr>
        <w:t xml:space="preserve">وليس حقا </w:t>
      </w:r>
      <w:r w:rsidR="00096EB8" w:rsidRPr="00096EB8">
        <w:rPr>
          <w:rtl/>
        </w:rPr>
        <w:t>عام</w:t>
      </w:r>
      <w:r w:rsidR="00A41C70">
        <w:rPr>
          <w:rFonts w:hint="cs"/>
          <w:rtl/>
        </w:rPr>
        <w:t>اً</w:t>
      </w:r>
      <w:r w:rsidR="00096EB8" w:rsidRPr="00096EB8">
        <w:rPr>
          <w:rtl/>
        </w:rPr>
        <w:t xml:space="preserve"> تنص عليه الاتفاقية</w:t>
      </w:r>
      <w:r w:rsidR="00A41C70">
        <w:rPr>
          <w:rFonts w:hint="cs"/>
          <w:rtl/>
        </w:rPr>
        <w:t>“</w:t>
      </w:r>
      <w:r w:rsidR="00096EB8" w:rsidRPr="00096EB8">
        <w:rPr>
          <w:rtl/>
        </w:rPr>
        <w:t>. ويُرجى تقديم معلومات عن توفر خدمات المساعدة القانونية والمحاماة المتاحة لل</w:t>
      </w:r>
      <w:r w:rsidR="00A41C70">
        <w:rPr>
          <w:rFonts w:hint="cs"/>
          <w:rtl/>
        </w:rPr>
        <w:t xml:space="preserve">نساء بمن فيهن </w:t>
      </w:r>
      <w:r w:rsidR="00096EB8" w:rsidRPr="00096EB8">
        <w:rPr>
          <w:rtl/>
        </w:rPr>
        <w:t>المنتميات للأقليات العرقية واللغوية، و</w:t>
      </w:r>
      <w:r w:rsidR="00A41C70">
        <w:rPr>
          <w:rFonts w:hint="cs"/>
          <w:rtl/>
        </w:rPr>
        <w:t xml:space="preserve">الفئات الضعيفة والنساء الريفيات، </w:t>
      </w:r>
      <w:r w:rsidR="00096EB8" w:rsidRPr="00096EB8">
        <w:rPr>
          <w:rtl/>
        </w:rPr>
        <w:t xml:space="preserve">بغية ضمان انتفاع المرأة من الموارد القانونية المتاحة لمكافحة التمييز. ويُرجى أيضا تحديد ما إذا كانت التشريعات تنص على نقض عبء الإثبات في القضايا المدعى فيها بحدوث تمييز </w:t>
      </w:r>
      <w:r w:rsidR="00A41C70">
        <w:rPr>
          <w:rFonts w:hint="cs"/>
          <w:rtl/>
        </w:rPr>
        <w:t>جنسي وجنساني</w:t>
      </w:r>
      <w:r w:rsidR="00096EB8" w:rsidRPr="00096EB8">
        <w:rPr>
          <w:rtl/>
        </w:rPr>
        <w:t>، ولا</w:t>
      </w:r>
      <w:r w:rsidR="00A41C70">
        <w:rPr>
          <w:rFonts w:hint="cs"/>
          <w:rtl/>
        </w:rPr>
        <w:t xml:space="preserve"> </w:t>
      </w:r>
      <w:r w:rsidR="00096EB8" w:rsidRPr="00096EB8">
        <w:rPr>
          <w:rtl/>
        </w:rPr>
        <w:t>سيما في حالات التحرش الجنسي، و</w:t>
      </w:r>
      <w:r w:rsidR="00096EB8" w:rsidRPr="00096EB8">
        <w:rPr>
          <w:rFonts w:hint="cs"/>
          <w:rtl/>
        </w:rPr>
        <w:t>توفير ال</w:t>
      </w:r>
      <w:r w:rsidR="00096EB8" w:rsidRPr="00096EB8">
        <w:rPr>
          <w:rtl/>
        </w:rPr>
        <w:t xml:space="preserve">حماية </w:t>
      </w:r>
      <w:r w:rsidR="00096EB8" w:rsidRPr="00096EB8">
        <w:rPr>
          <w:rFonts w:hint="cs"/>
          <w:rtl/>
        </w:rPr>
        <w:t>للحوامل وا</w:t>
      </w:r>
      <w:r w:rsidR="00A41C70">
        <w:rPr>
          <w:rFonts w:hint="cs"/>
          <w:rtl/>
        </w:rPr>
        <w:t>لنوافس</w:t>
      </w:r>
      <w:r w:rsidR="00096EB8" w:rsidRPr="00096EB8">
        <w:rPr>
          <w:rtl/>
        </w:rPr>
        <w:t>، والعمالة والوصول إلى السلع والخدمات وتوفيرها.</w:t>
      </w:r>
    </w:p>
    <w:p w:rsidR="00096EB8" w:rsidRPr="00096EB8" w:rsidRDefault="00096EB8" w:rsidP="00096EB8">
      <w:pPr>
        <w:pStyle w:val="SingleTxt"/>
        <w:rPr>
          <w:rFonts w:hint="cs"/>
          <w:rtl/>
        </w:rPr>
      </w:pPr>
    </w:p>
    <w:p w:rsidR="00096EB8" w:rsidRDefault="00096EB8" w:rsidP="004743E8">
      <w:pPr>
        <w:pStyle w:val="SingleTxt"/>
        <w:rPr>
          <w:rFonts w:hint="cs"/>
          <w:rtl/>
        </w:rPr>
      </w:pPr>
      <w:r w:rsidRPr="00096EB8">
        <w:rPr>
          <w:rtl/>
        </w:rPr>
        <w:t>6</w:t>
      </w:r>
      <w:r w:rsidR="00A41C70">
        <w:rPr>
          <w:rFonts w:hint="cs"/>
          <w:rtl/>
        </w:rPr>
        <w:t xml:space="preserve"> -</w:t>
      </w:r>
      <w:r w:rsidR="00A41C70">
        <w:rPr>
          <w:rFonts w:hint="cs"/>
          <w:rtl/>
        </w:rPr>
        <w:tab/>
      </w:r>
      <w:r w:rsidRPr="00096EB8">
        <w:rPr>
          <w:rtl/>
        </w:rPr>
        <w:t xml:space="preserve">ويذكر التقرير أن الحكم المتعلق بالمساواة بين الجنسين الوارد في قانون عام 2004 الذي ينص على تدابير خاصة مؤقتة لم يُنفّذ قط ويشير إلى أن مشروع القانون الجديد بشأن </w:t>
      </w:r>
      <w:r w:rsidR="004743E8">
        <w:rPr>
          <w:rFonts w:hint="cs"/>
          <w:rtl/>
        </w:rPr>
        <w:t>”</w:t>
      </w:r>
      <w:r w:rsidRPr="00096EB8">
        <w:rPr>
          <w:rtl/>
        </w:rPr>
        <w:t>المساواة بين الجنسين</w:t>
      </w:r>
      <w:r w:rsidR="004743E8">
        <w:rPr>
          <w:rFonts w:hint="cs"/>
          <w:rtl/>
        </w:rPr>
        <w:t>“</w:t>
      </w:r>
      <w:r w:rsidRPr="00096EB8">
        <w:rPr>
          <w:rtl/>
        </w:rPr>
        <w:t xml:space="preserve"> يُتوقع أن </w:t>
      </w:r>
      <w:r w:rsidR="004743E8">
        <w:rPr>
          <w:rFonts w:hint="cs"/>
          <w:rtl/>
        </w:rPr>
        <w:t>يُتيح الأخذ ب</w:t>
      </w:r>
      <w:r w:rsidRPr="00096EB8">
        <w:rPr>
          <w:rtl/>
        </w:rPr>
        <w:t>تدابير خاصة مؤقتة في عدة مجالات مثل صنع القرارات والحياة العامة والعمالة والتعليم (</w:t>
      </w:r>
      <w:r w:rsidRPr="00096EB8">
        <w:t>CEDAW/C/ALB/3</w:t>
      </w:r>
      <w:r w:rsidR="002B3333">
        <w:rPr>
          <w:rFonts w:hint="cs"/>
          <w:rtl/>
        </w:rPr>
        <w:t>،</w:t>
      </w:r>
      <w:r w:rsidRPr="00096EB8">
        <w:rPr>
          <w:rtl/>
        </w:rPr>
        <w:t xml:space="preserve"> الفقرة 59). ويُرجى التوسع في إيضاح العوامل والصعوبات التي اعترضت تنفيذ قانون عام 2004 وشرح السبل التي من شأنها أن تؤدي إلى إنجاح مشروع القانون الجديد لدى اعتماده، في المجالات التي تعث</w:t>
      </w:r>
      <w:r w:rsidR="004743E8">
        <w:rPr>
          <w:rFonts w:hint="cs"/>
          <w:rtl/>
        </w:rPr>
        <w:t>ّ</w:t>
      </w:r>
      <w:r w:rsidRPr="00096EB8">
        <w:rPr>
          <w:rtl/>
        </w:rPr>
        <w:t xml:space="preserve">ر فيها </w:t>
      </w:r>
      <w:r w:rsidR="004743E8">
        <w:rPr>
          <w:rFonts w:hint="cs"/>
          <w:rtl/>
        </w:rPr>
        <w:t xml:space="preserve">القانون </w:t>
      </w:r>
      <w:r w:rsidRPr="00096EB8">
        <w:rPr>
          <w:rtl/>
        </w:rPr>
        <w:t xml:space="preserve">السابق. فهل </w:t>
      </w:r>
      <w:r w:rsidRPr="00096EB8">
        <w:rPr>
          <w:rFonts w:hint="cs"/>
          <w:rtl/>
        </w:rPr>
        <w:t>يخضع</w:t>
      </w:r>
      <w:r w:rsidRPr="00096EB8">
        <w:rPr>
          <w:rtl/>
        </w:rPr>
        <w:t xml:space="preserve"> مشروع القانون الجديد كليا للالتزامات ا</w:t>
      </w:r>
      <w:r w:rsidR="004743E8">
        <w:rPr>
          <w:rFonts w:hint="cs"/>
          <w:rtl/>
        </w:rPr>
        <w:t xml:space="preserve">لتي عقدتها </w:t>
      </w:r>
      <w:r w:rsidRPr="00096EB8">
        <w:rPr>
          <w:rtl/>
        </w:rPr>
        <w:t>الدولة الطرف بمقتضى الفقرة 1 من المادة 4 من الاتفاقية والتي تُشكل جزءا من النظام القانوني المحلي</w:t>
      </w:r>
      <w:r w:rsidR="004743E8">
        <w:rPr>
          <w:rtl/>
        </w:rPr>
        <w:t xml:space="preserve"> والتوصية العامة رقم 25 للجنة؟</w:t>
      </w:r>
    </w:p>
    <w:p w:rsidR="00096EB8" w:rsidRPr="00096EB8" w:rsidRDefault="004743E8" w:rsidP="004743E8">
      <w:pPr>
        <w:pStyle w:val="SingleTxt"/>
        <w:rPr>
          <w:rFonts w:hint="cs"/>
          <w:rtl/>
        </w:rPr>
      </w:pPr>
      <w:r>
        <w:rPr>
          <w:rFonts w:hint="cs"/>
          <w:rtl/>
        </w:rPr>
        <w:t>7 -</w:t>
      </w:r>
      <w:r>
        <w:rPr>
          <w:rFonts w:hint="cs"/>
          <w:rtl/>
        </w:rPr>
        <w:tab/>
      </w:r>
      <w:r w:rsidR="00096EB8" w:rsidRPr="00096EB8">
        <w:rPr>
          <w:rtl/>
        </w:rPr>
        <w:t xml:space="preserve">ويُرجى تقديم معلومات بشأن الأجهزة الوطنية للنهوض بالمرأة وبشأن ما إذا كانت الآليات الجديدة التي ينص عليها </w:t>
      </w:r>
      <w:r w:rsidR="00096EB8" w:rsidRPr="00096EB8">
        <w:rPr>
          <w:rFonts w:hint="cs"/>
          <w:rtl/>
        </w:rPr>
        <w:t>مشروع</w:t>
      </w:r>
      <w:r w:rsidR="00096EB8" w:rsidRPr="00096EB8">
        <w:rPr>
          <w:rtl/>
        </w:rPr>
        <w:t xml:space="preserve"> قانون المساواة بين الجنسين في المجتمع قد أُنشئت. ويُرجى بيان ما إذا كانت هذه الآليات الجديدة ستحل محل الأجهزة الراهنة أو ما إذا كانت ستُتممها وإذا كان الأمر كذلك، يُرجى إيضاح أدوار ومسؤوليات كل هيكل على حدة وآليات التنسيق القائمة أو المتوقع إنشاؤها. ويُرجى بيان ما إذا كانت الحكومة تعتزم إنشاء هيئة مستقلة تمام الاستقلال تتولى المسؤولية عن القضايا الجنسانية وتتمتع بولاية تلق</w:t>
      </w:r>
      <w:r>
        <w:rPr>
          <w:rFonts w:hint="cs"/>
          <w:rtl/>
        </w:rPr>
        <w:t>ِّ</w:t>
      </w:r>
      <w:r w:rsidR="00096EB8" w:rsidRPr="00096EB8">
        <w:rPr>
          <w:rtl/>
        </w:rPr>
        <w:t xml:space="preserve">ي الشكاوى ووضع </w:t>
      </w:r>
      <w:r>
        <w:rPr>
          <w:rFonts w:hint="cs"/>
          <w:rtl/>
        </w:rPr>
        <w:t>أنشطة وبرامج مراعية للمنظور الجنساني تتسم بالنجاعة والاتساق وتعمم بفعالية في كافة المجالات ومساءلة جميع الوزارات عن تنفيذها.</w:t>
      </w:r>
    </w:p>
    <w:p w:rsidR="00096EB8" w:rsidRPr="00096EB8" w:rsidRDefault="004743E8" w:rsidP="004E03A3">
      <w:pPr>
        <w:pStyle w:val="SingleTxt"/>
        <w:rPr>
          <w:rFonts w:hint="cs"/>
          <w:rtl/>
        </w:rPr>
      </w:pPr>
      <w:r>
        <w:rPr>
          <w:rFonts w:hint="cs"/>
          <w:rtl/>
        </w:rPr>
        <w:t xml:space="preserve">8 - </w:t>
      </w:r>
      <w:r>
        <w:rPr>
          <w:rFonts w:hint="cs"/>
          <w:rtl/>
        </w:rPr>
        <w:tab/>
      </w:r>
      <w:r w:rsidR="00096EB8" w:rsidRPr="00096EB8">
        <w:rPr>
          <w:rtl/>
        </w:rPr>
        <w:t xml:space="preserve">وقد أوصت اللجنة في ملاحظاتها الختامية السابقة، </w:t>
      </w:r>
      <w:r>
        <w:rPr>
          <w:rFonts w:hint="cs"/>
          <w:rtl/>
        </w:rPr>
        <w:t>ب</w:t>
      </w:r>
      <w:r w:rsidR="00096EB8" w:rsidRPr="00096EB8">
        <w:rPr>
          <w:rtl/>
        </w:rPr>
        <w:t>أن يُعزز تعميم مراعاة المنظور الجنساني في جميع الوزارات والسياسات والبرامج من خلال توفير التدريب  الجنساني وإنشاء مراكز تنسيق</w:t>
      </w:r>
      <w:r w:rsidRPr="004743E8">
        <w:rPr>
          <w:vertAlign w:val="superscript"/>
          <w:rtl/>
        </w:rPr>
        <w:t>(</w:t>
      </w:r>
      <w:r>
        <w:rPr>
          <w:rStyle w:val="FootnoteReference"/>
          <w:rtl/>
        </w:rPr>
        <w:footnoteReference w:id="2"/>
      </w:r>
      <w:r w:rsidRPr="004743E8">
        <w:rPr>
          <w:vertAlign w:val="superscript"/>
          <w:rtl/>
        </w:rPr>
        <w:t>)</w:t>
      </w:r>
      <w:r w:rsidR="00096EB8" w:rsidRPr="00096EB8">
        <w:rPr>
          <w:rFonts w:hint="cs"/>
          <w:rtl/>
        </w:rPr>
        <w:t>.</w:t>
      </w:r>
      <w:r w:rsidR="00096EB8" w:rsidRPr="00096EB8">
        <w:rPr>
          <w:rtl/>
        </w:rPr>
        <w:t xml:space="preserve"> ف</w:t>
      </w:r>
      <w:r w:rsidR="00096EB8" w:rsidRPr="00096EB8">
        <w:rPr>
          <w:rFonts w:hint="cs"/>
          <w:rtl/>
        </w:rPr>
        <w:t>ما هي ال</w:t>
      </w:r>
      <w:r w:rsidR="00096EB8" w:rsidRPr="00096EB8">
        <w:rPr>
          <w:rtl/>
        </w:rPr>
        <w:t xml:space="preserve">تدابير </w:t>
      </w:r>
      <w:r w:rsidR="00096EB8" w:rsidRPr="00096EB8">
        <w:rPr>
          <w:rFonts w:hint="cs"/>
          <w:rtl/>
        </w:rPr>
        <w:t xml:space="preserve">التي </w:t>
      </w:r>
      <w:r w:rsidR="00096EB8" w:rsidRPr="00096EB8">
        <w:rPr>
          <w:rtl/>
        </w:rPr>
        <w:t>ا</w:t>
      </w:r>
      <w:r w:rsidR="004E03A3">
        <w:rPr>
          <w:rFonts w:hint="cs"/>
          <w:rtl/>
        </w:rPr>
        <w:t>ت</w:t>
      </w:r>
      <w:r w:rsidR="00096EB8" w:rsidRPr="00096EB8">
        <w:rPr>
          <w:rtl/>
        </w:rPr>
        <w:t>خ</w:t>
      </w:r>
      <w:r w:rsidR="004E03A3">
        <w:rPr>
          <w:rFonts w:hint="cs"/>
          <w:rtl/>
        </w:rPr>
        <w:t>ِ</w:t>
      </w:r>
      <w:r w:rsidR="00096EB8" w:rsidRPr="00096EB8">
        <w:rPr>
          <w:rtl/>
        </w:rPr>
        <w:t xml:space="preserve">ذت في هذا الصدد؟ كما يُرجى إيضاح كيفية إدماج المنظورات الجنسانية والهدف المتوخى من المساواة بين الجنسين، في جميع الأنشطة التي تضطلع بها الدولة الطرف خلال الفترة المشمولة بالتقرير، وكيف جُسّد هذا في عملية تخصيص اعتمادات الميزانية وما إذا كانت </w:t>
      </w:r>
      <w:r w:rsidR="004E03A3">
        <w:rPr>
          <w:rtl/>
        </w:rPr>
        <w:t>التدريبات الجنسانية قد أُنجزت.</w:t>
      </w:r>
    </w:p>
    <w:p w:rsidR="00096EB8" w:rsidRPr="00096EB8" w:rsidRDefault="004E03A3" w:rsidP="004E03A3">
      <w:pPr>
        <w:pStyle w:val="SingleTxt"/>
        <w:rPr>
          <w:rtl/>
        </w:rPr>
      </w:pPr>
      <w:r>
        <w:rPr>
          <w:rFonts w:hint="cs"/>
          <w:rtl/>
        </w:rPr>
        <w:t>9 -</w:t>
      </w:r>
      <w:r>
        <w:rPr>
          <w:rFonts w:hint="cs"/>
          <w:rtl/>
        </w:rPr>
        <w:tab/>
      </w:r>
      <w:r w:rsidR="00096EB8" w:rsidRPr="00096EB8">
        <w:rPr>
          <w:rtl/>
        </w:rPr>
        <w:t>ويُرجى تقديم بيانات إحصائية عن عدد ا</w:t>
      </w:r>
      <w:r>
        <w:rPr>
          <w:rFonts w:hint="cs"/>
          <w:rtl/>
        </w:rPr>
        <w:t>لقضايا المتعلقة ب</w:t>
      </w:r>
      <w:r w:rsidR="00096EB8" w:rsidRPr="00096EB8">
        <w:rPr>
          <w:rtl/>
        </w:rPr>
        <w:t>التمييز ضد المرأة المُبلّغ عنها إلى أمين المظالم فضلا عن القرارات الختامية المتخذة بشأن هذه ا</w:t>
      </w:r>
      <w:r>
        <w:rPr>
          <w:rFonts w:hint="cs"/>
          <w:rtl/>
        </w:rPr>
        <w:t>لقضايا</w:t>
      </w:r>
      <w:r w:rsidR="00096EB8" w:rsidRPr="00096EB8">
        <w:rPr>
          <w:rtl/>
        </w:rPr>
        <w:t xml:space="preserve">. ويُرجى تحديد ما إذا كان أمين المظالم يتمتع بولاية دراسة قضايا التمييز في العمل أو الحياة الشخصية أو ضد فئات ضعيفة معينة خارج المجال العام. </w:t>
      </w:r>
    </w:p>
    <w:p w:rsidR="00096EB8" w:rsidRPr="00096EB8" w:rsidRDefault="00096EB8" w:rsidP="00096EB8">
      <w:pPr>
        <w:pStyle w:val="SingleTxt"/>
        <w:rPr>
          <w:b/>
          <w:bCs/>
          <w:rtl/>
        </w:rPr>
      </w:pPr>
      <w:r w:rsidRPr="00096EB8">
        <w:rPr>
          <w:b/>
          <w:bCs/>
          <w:rtl/>
        </w:rPr>
        <w:t>النماذج النمطية والممارسات الثقافية</w:t>
      </w:r>
    </w:p>
    <w:p w:rsidR="00096EB8" w:rsidRPr="00096EB8" w:rsidRDefault="00096EB8" w:rsidP="004E03A3">
      <w:pPr>
        <w:pStyle w:val="SingleTxt"/>
        <w:rPr>
          <w:rFonts w:hint="cs"/>
          <w:rtl/>
        </w:rPr>
      </w:pPr>
      <w:r w:rsidRPr="00096EB8">
        <w:rPr>
          <w:rtl/>
        </w:rPr>
        <w:t>10</w:t>
      </w:r>
      <w:r w:rsidR="004E03A3">
        <w:rPr>
          <w:rFonts w:hint="cs"/>
          <w:rtl/>
        </w:rPr>
        <w:t xml:space="preserve"> </w:t>
      </w:r>
      <w:r w:rsidRPr="00096EB8">
        <w:rPr>
          <w:rFonts w:hint="cs"/>
          <w:rtl/>
        </w:rPr>
        <w:t xml:space="preserve">- </w:t>
      </w:r>
      <w:r w:rsidR="004E03A3">
        <w:rPr>
          <w:rFonts w:hint="cs"/>
          <w:rtl/>
        </w:rPr>
        <w:tab/>
      </w:r>
      <w:r w:rsidRPr="00096EB8">
        <w:rPr>
          <w:rtl/>
        </w:rPr>
        <w:t>أعربت اللجنة</w:t>
      </w:r>
      <w:r w:rsidRPr="00096EB8">
        <w:rPr>
          <w:rFonts w:hint="cs"/>
          <w:rtl/>
        </w:rPr>
        <w:t xml:space="preserve"> </w:t>
      </w:r>
      <w:r w:rsidRPr="00096EB8">
        <w:rPr>
          <w:rtl/>
        </w:rPr>
        <w:t>في ملاحظاتها الختامية السابقة</w:t>
      </w:r>
      <w:r w:rsidR="004E03A3" w:rsidRPr="004E03A3">
        <w:rPr>
          <w:vertAlign w:val="superscript"/>
          <w:rtl/>
        </w:rPr>
        <w:t>(</w:t>
      </w:r>
      <w:r w:rsidR="004E03A3">
        <w:rPr>
          <w:rStyle w:val="FootnoteReference"/>
          <w:rtl/>
        </w:rPr>
        <w:footnoteReference w:id="3"/>
      </w:r>
      <w:r w:rsidR="004E03A3" w:rsidRPr="004E03A3">
        <w:rPr>
          <w:vertAlign w:val="superscript"/>
          <w:rtl/>
        </w:rPr>
        <w:t>)</w:t>
      </w:r>
      <w:r w:rsidRPr="00096EB8">
        <w:rPr>
          <w:rtl/>
        </w:rPr>
        <w:t xml:space="preserve">، عن قلقها إزاء </w:t>
      </w:r>
      <w:r w:rsidR="004E03A3">
        <w:rPr>
          <w:rFonts w:hint="cs"/>
          <w:rtl/>
        </w:rPr>
        <w:t>استمرار</w:t>
      </w:r>
      <w:r w:rsidRPr="00096EB8">
        <w:rPr>
          <w:rtl/>
        </w:rPr>
        <w:t xml:space="preserve"> النماذج النمطية التقليدية المُتجذرة و</w:t>
      </w:r>
      <w:r w:rsidR="004E03A3">
        <w:rPr>
          <w:rFonts w:hint="cs"/>
          <w:rtl/>
        </w:rPr>
        <w:t xml:space="preserve">العودة إلى تطبيق </w:t>
      </w:r>
      <w:r w:rsidRPr="00096EB8">
        <w:rPr>
          <w:rtl/>
        </w:rPr>
        <w:t xml:space="preserve">القانون العرفي التمييزي فضلا عن قواعد السلوك التقليدية في بعض المناطق الشمالية من البلد. فيُرجى تقديم معلومات عن نتائج التدابير </w:t>
      </w:r>
      <w:r w:rsidRPr="00096EB8">
        <w:rPr>
          <w:rFonts w:hint="cs"/>
          <w:rtl/>
        </w:rPr>
        <w:t xml:space="preserve">الواردة </w:t>
      </w:r>
      <w:r w:rsidRPr="00096EB8">
        <w:rPr>
          <w:rtl/>
        </w:rPr>
        <w:t>في التقرير (</w:t>
      </w:r>
      <w:r w:rsidRPr="00096EB8">
        <w:t>CEDAW/C/ALB/3</w:t>
      </w:r>
      <w:r w:rsidR="002B3333">
        <w:rPr>
          <w:rFonts w:hint="cs"/>
          <w:rtl/>
        </w:rPr>
        <w:t>،</w:t>
      </w:r>
      <w:r w:rsidRPr="00096EB8">
        <w:rPr>
          <w:rtl/>
        </w:rPr>
        <w:t xml:space="preserve"> الفقرة 75) المضطلع بها للتغلب على هذه المواقف وبيان ما إذا استُعين باستراتيجيات واضحة ومؤشرات قابلة للقياس من أجل تقييم التقدم المحرز. وفي هذا الصدد، يُرجى أيضا بيان أي تدابير اتُّخذت لمعالجة الأدوار النمطية للمرأة والرجل في النظام التعليمي، </w:t>
      </w:r>
      <w:r w:rsidRPr="00096EB8">
        <w:rPr>
          <w:rFonts w:hint="cs"/>
          <w:rtl/>
        </w:rPr>
        <w:t xml:space="preserve">بطرق أهمها </w:t>
      </w:r>
      <w:r w:rsidRPr="00096EB8">
        <w:rPr>
          <w:rtl/>
        </w:rPr>
        <w:t xml:space="preserve">إدراج منظور المساواة بين الجنسين في التدريب الأولي وإعادة التدريب للمعلمين، وبرامج التدريب أثناء الخدمة، وكذلك من خلال </w:t>
      </w:r>
      <w:r w:rsidRPr="00096EB8">
        <w:rPr>
          <w:rFonts w:hint="cs"/>
          <w:rtl/>
        </w:rPr>
        <w:t>تنقيح</w:t>
      </w:r>
      <w:r w:rsidRPr="00096EB8">
        <w:rPr>
          <w:rtl/>
        </w:rPr>
        <w:t xml:space="preserve"> الكتب </w:t>
      </w:r>
      <w:r w:rsidR="004E03A3">
        <w:rPr>
          <w:rFonts w:hint="cs"/>
          <w:rtl/>
        </w:rPr>
        <w:t xml:space="preserve">والمناهج </w:t>
      </w:r>
      <w:r w:rsidRPr="00096EB8">
        <w:rPr>
          <w:rtl/>
        </w:rPr>
        <w:t>الدراسية عل</w:t>
      </w:r>
      <w:r w:rsidR="004E03A3">
        <w:rPr>
          <w:rtl/>
        </w:rPr>
        <w:t>ى جميع مستويات النظام التربوي.</w:t>
      </w:r>
    </w:p>
    <w:p w:rsidR="002D4288" w:rsidRPr="002D4288" w:rsidRDefault="002D4288" w:rsidP="002D4288">
      <w:pPr>
        <w:pStyle w:val="SingleTxt"/>
        <w:spacing w:after="0" w:line="120" w:lineRule="exact"/>
        <w:rPr>
          <w:sz w:val="12"/>
          <w:rtl/>
        </w:rPr>
      </w:pPr>
    </w:p>
    <w:p w:rsidR="00096EB8" w:rsidRPr="00096EB8" w:rsidRDefault="00096EB8" w:rsidP="00096EB8">
      <w:pPr>
        <w:pStyle w:val="SingleTxt"/>
        <w:rPr>
          <w:b/>
          <w:bCs/>
          <w:rtl/>
        </w:rPr>
      </w:pPr>
      <w:r w:rsidRPr="00096EB8">
        <w:rPr>
          <w:b/>
          <w:bCs/>
          <w:rtl/>
        </w:rPr>
        <w:t>العنف ضد المرأة</w:t>
      </w:r>
    </w:p>
    <w:p w:rsidR="00096EB8" w:rsidRPr="00096EB8" w:rsidRDefault="00096EB8" w:rsidP="002D4288">
      <w:pPr>
        <w:pStyle w:val="SingleTxt"/>
        <w:rPr>
          <w:rtl/>
        </w:rPr>
      </w:pPr>
      <w:r w:rsidRPr="00096EB8">
        <w:rPr>
          <w:rtl/>
        </w:rPr>
        <w:t>11</w:t>
      </w:r>
      <w:r w:rsidR="002D4288">
        <w:rPr>
          <w:rFonts w:hint="cs"/>
          <w:rtl/>
        </w:rPr>
        <w:t xml:space="preserve"> </w:t>
      </w:r>
      <w:r w:rsidRPr="00096EB8">
        <w:rPr>
          <w:rFonts w:hint="cs"/>
          <w:rtl/>
        </w:rPr>
        <w:t xml:space="preserve">- </w:t>
      </w:r>
      <w:r w:rsidR="002D4288">
        <w:rPr>
          <w:rFonts w:hint="cs"/>
          <w:rtl/>
        </w:rPr>
        <w:tab/>
      </w:r>
      <w:r w:rsidRPr="00096EB8">
        <w:rPr>
          <w:rtl/>
        </w:rPr>
        <w:t xml:space="preserve">يصف التقرير عددا من التدابير القانونية وغيرها من التدابير التي اتخذت لمكافحة العنف ضد المرأة، بما في ذلك </w:t>
      </w:r>
      <w:r w:rsidRPr="00096EB8">
        <w:rPr>
          <w:rFonts w:hint="cs"/>
          <w:rtl/>
        </w:rPr>
        <w:t>وضع</w:t>
      </w:r>
      <w:r w:rsidRPr="00096EB8">
        <w:rPr>
          <w:rtl/>
        </w:rPr>
        <w:t xml:space="preserve"> </w:t>
      </w:r>
      <w:r w:rsidR="002D4288">
        <w:rPr>
          <w:rFonts w:hint="cs"/>
          <w:rtl/>
        </w:rPr>
        <w:t>”</w:t>
      </w:r>
      <w:r w:rsidRPr="00096EB8">
        <w:rPr>
          <w:rtl/>
        </w:rPr>
        <w:t>السياسة الوطنية المتعلقة بالمساواة بين الجنسين واستئصال العنف العائلي</w:t>
      </w:r>
      <w:r w:rsidR="002D4288">
        <w:rPr>
          <w:rFonts w:hint="cs"/>
          <w:rtl/>
        </w:rPr>
        <w:t xml:space="preserve">“ للفترة </w:t>
      </w:r>
      <w:r w:rsidRPr="00096EB8">
        <w:rPr>
          <w:rtl/>
        </w:rPr>
        <w:t xml:space="preserve">2007-2010 واعتماد قانون </w:t>
      </w:r>
      <w:r w:rsidR="002D4288">
        <w:rPr>
          <w:rFonts w:hint="cs"/>
          <w:rtl/>
        </w:rPr>
        <w:t>”</w:t>
      </w:r>
      <w:r w:rsidRPr="00096EB8">
        <w:rPr>
          <w:rtl/>
        </w:rPr>
        <w:t>تدابير مكافحة العنف في محيط العلاقات الأسرية</w:t>
      </w:r>
      <w:r w:rsidR="002D4288">
        <w:rPr>
          <w:rFonts w:hint="cs"/>
          <w:rtl/>
        </w:rPr>
        <w:t>“</w:t>
      </w:r>
      <w:r w:rsidRPr="00096EB8">
        <w:rPr>
          <w:rtl/>
        </w:rPr>
        <w:t xml:space="preserve"> (القانون رقم 9669 لعام 2006) وبعض القواعد التنفيذية التي تنص، في جملة أمور، على اتخاذ تدابير وقائية عاجلة. ويُرجى تقديم معلومات عن عدد الالتماسات باستصدار أوامر الحماية المقدمة إلى المحاكم وعن عدد </w:t>
      </w:r>
      <w:r w:rsidR="002D4288">
        <w:rPr>
          <w:rFonts w:hint="cs"/>
          <w:rtl/>
        </w:rPr>
        <w:t xml:space="preserve">الأوامر التي أصدرتها </w:t>
      </w:r>
      <w:r w:rsidRPr="00096EB8">
        <w:rPr>
          <w:rtl/>
        </w:rPr>
        <w:t xml:space="preserve">المحاكم. كما يُرجى تقديم إحصاءات عن عدد المحاكمات والإدانات والعقوبات المفروضة على مرتكبي العنف العائلي. ويرجى بيان ما تقوم به الحكومة لتحسين عملية جمع البيانات المتعلقة بالعنف العائلي وأشكال العنف الأخرى ضد المرأة. ويُرجى تقديم معلومات عن </w:t>
      </w:r>
      <w:r w:rsidR="002D4288">
        <w:rPr>
          <w:rFonts w:hint="cs"/>
          <w:rtl/>
        </w:rPr>
        <w:t xml:space="preserve">مدى توافر </w:t>
      </w:r>
      <w:r w:rsidRPr="00096EB8">
        <w:rPr>
          <w:rtl/>
        </w:rPr>
        <w:t xml:space="preserve">الموارد المقدمة إلى </w:t>
      </w:r>
      <w:r w:rsidR="002D4288">
        <w:rPr>
          <w:rFonts w:hint="cs"/>
          <w:rtl/>
        </w:rPr>
        <w:t xml:space="preserve">ملاجئ ومراكز تأهيل </w:t>
      </w:r>
      <w:r w:rsidRPr="00096EB8">
        <w:rPr>
          <w:rtl/>
        </w:rPr>
        <w:t xml:space="preserve">ضحايا العنف العائلي في مختلف أنحاء البلد. ويُرجى بيان الفترة الزمنية لإعمال ما تبقى من القواعد التنفيذية. </w:t>
      </w:r>
    </w:p>
    <w:p w:rsidR="00096EB8" w:rsidRPr="00096EB8" w:rsidRDefault="00096EB8" w:rsidP="00096EB8">
      <w:pPr>
        <w:pStyle w:val="SingleTxt"/>
        <w:rPr>
          <w:rtl/>
        </w:rPr>
      </w:pPr>
      <w:r w:rsidRPr="00096EB8">
        <w:rPr>
          <w:rtl/>
        </w:rPr>
        <w:t>12</w:t>
      </w:r>
      <w:r w:rsidR="002D4288">
        <w:rPr>
          <w:rFonts w:hint="cs"/>
          <w:rtl/>
        </w:rPr>
        <w:t xml:space="preserve"> </w:t>
      </w:r>
      <w:r w:rsidRPr="00096EB8">
        <w:rPr>
          <w:rFonts w:hint="cs"/>
          <w:rtl/>
        </w:rPr>
        <w:t xml:space="preserve">- </w:t>
      </w:r>
      <w:r w:rsidR="002D4288">
        <w:rPr>
          <w:rFonts w:hint="cs"/>
          <w:rtl/>
        </w:rPr>
        <w:tab/>
      </w:r>
      <w:r w:rsidRPr="00096EB8">
        <w:rPr>
          <w:rtl/>
        </w:rPr>
        <w:t>وقد أثبتت دراسة وطنية عن الصحة الإنجابية أجريت في عام 2002 (</w:t>
      </w:r>
      <w:r w:rsidRPr="00096EB8">
        <w:t>CEDAW/C/ALB/3</w:t>
      </w:r>
      <w:r w:rsidR="002B3333">
        <w:rPr>
          <w:rFonts w:hint="cs"/>
          <w:rtl/>
        </w:rPr>
        <w:t>،</w:t>
      </w:r>
      <w:r w:rsidRPr="00096EB8">
        <w:rPr>
          <w:rtl/>
        </w:rPr>
        <w:t xml:space="preserve"> الفقرة 337) أن 11.5 في المائة من النساء الألبانيات المتراوحة أعمارهن ما بين 15 و44 عاما يتعرضن على ما يبدو لإساءة المعاملة من الوالدين وأن 27.2 في المائة منهن قد أفدنَ بتعرضهن لإساءة المعاملة في مرحلة طفولتهن. </w:t>
      </w:r>
      <w:r w:rsidRPr="00096EB8">
        <w:rPr>
          <w:rFonts w:hint="cs"/>
          <w:rtl/>
        </w:rPr>
        <w:t xml:space="preserve">لذا </w:t>
      </w:r>
      <w:r w:rsidRPr="00096EB8">
        <w:rPr>
          <w:rtl/>
        </w:rPr>
        <w:t>يُرجى تقديم بيانات وإحصاءات مستكملة عن انتشار الانتهاك الجنسي في ألبانيا فضلا عن معلومات عن التدابير التي اتخذتها الحكومة لمعالجة هذه المسألة.</w:t>
      </w:r>
    </w:p>
    <w:p w:rsidR="002D4288" w:rsidRPr="002D4288" w:rsidRDefault="002D4288" w:rsidP="002D4288">
      <w:pPr>
        <w:pStyle w:val="SingleTxt"/>
        <w:spacing w:after="0" w:line="120" w:lineRule="exact"/>
        <w:rPr>
          <w:sz w:val="12"/>
          <w:rtl/>
        </w:rPr>
      </w:pPr>
    </w:p>
    <w:p w:rsidR="00096EB8" w:rsidRPr="00096EB8" w:rsidRDefault="00096EB8" w:rsidP="00096EB8">
      <w:pPr>
        <w:pStyle w:val="SingleTxt"/>
        <w:rPr>
          <w:b/>
          <w:bCs/>
          <w:rtl/>
        </w:rPr>
      </w:pPr>
      <w:r w:rsidRPr="00096EB8">
        <w:rPr>
          <w:b/>
          <w:bCs/>
          <w:rtl/>
        </w:rPr>
        <w:t>الاتجار بالنساء واستغلالهن في البغاء</w:t>
      </w:r>
    </w:p>
    <w:p w:rsidR="00096EB8" w:rsidRPr="00096EB8" w:rsidRDefault="00096EB8" w:rsidP="002D4288">
      <w:pPr>
        <w:pStyle w:val="SingleTxt"/>
        <w:rPr>
          <w:rFonts w:hint="cs"/>
          <w:rtl/>
        </w:rPr>
      </w:pPr>
      <w:r w:rsidRPr="00096EB8">
        <w:rPr>
          <w:rtl/>
        </w:rPr>
        <w:t>13</w:t>
      </w:r>
      <w:r w:rsidR="002D4288">
        <w:rPr>
          <w:rFonts w:hint="cs"/>
          <w:rtl/>
        </w:rPr>
        <w:t xml:space="preserve"> </w:t>
      </w:r>
      <w:r w:rsidRPr="00096EB8">
        <w:rPr>
          <w:rFonts w:hint="cs"/>
          <w:rtl/>
        </w:rPr>
        <w:t xml:space="preserve">- </w:t>
      </w:r>
      <w:r w:rsidR="002D4288">
        <w:rPr>
          <w:rFonts w:hint="cs"/>
          <w:rtl/>
        </w:rPr>
        <w:tab/>
      </w:r>
      <w:r w:rsidRPr="00096EB8">
        <w:rPr>
          <w:rtl/>
        </w:rPr>
        <w:t>لقد أعربت اللجنة في عام</w:t>
      </w:r>
      <w:r w:rsidR="002D4288">
        <w:rPr>
          <w:rFonts w:hint="cs"/>
          <w:rtl/>
        </w:rPr>
        <w:t xml:space="preserve"> 2003 </w:t>
      </w:r>
      <w:r w:rsidR="002D4288" w:rsidRPr="00096EB8">
        <w:rPr>
          <w:rtl/>
        </w:rPr>
        <w:t>عن قلقها</w:t>
      </w:r>
      <w:r w:rsidR="002D4288" w:rsidRPr="002D4288">
        <w:rPr>
          <w:vertAlign w:val="superscript"/>
          <w:rtl/>
        </w:rPr>
        <w:t>(</w:t>
      </w:r>
      <w:r w:rsidR="002D4288">
        <w:rPr>
          <w:rStyle w:val="FootnoteReference"/>
          <w:rtl/>
        </w:rPr>
        <w:footnoteReference w:id="4"/>
      </w:r>
      <w:r w:rsidR="002D4288" w:rsidRPr="002D4288">
        <w:rPr>
          <w:vertAlign w:val="superscript"/>
          <w:rtl/>
        </w:rPr>
        <w:t>)</w:t>
      </w:r>
      <w:r w:rsidRPr="00096EB8">
        <w:rPr>
          <w:rtl/>
        </w:rPr>
        <w:t xml:space="preserve"> إزاء </w:t>
      </w:r>
      <w:r w:rsidRPr="00096EB8">
        <w:rPr>
          <w:rFonts w:hint="cs"/>
          <w:rtl/>
        </w:rPr>
        <w:t>إخضاع</w:t>
      </w:r>
      <w:r w:rsidRPr="00096EB8">
        <w:rPr>
          <w:rtl/>
        </w:rPr>
        <w:t xml:space="preserve"> ضحايا الاتجار للعق</w:t>
      </w:r>
      <w:r w:rsidRPr="00096EB8">
        <w:rPr>
          <w:rFonts w:hint="cs"/>
          <w:rtl/>
        </w:rPr>
        <w:t>وب</w:t>
      </w:r>
      <w:r w:rsidRPr="00096EB8">
        <w:rPr>
          <w:rtl/>
        </w:rPr>
        <w:t>ا</w:t>
      </w:r>
      <w:r w:rsidRPr="00096EB8">
        <w:rPr>
          <w:rFonts w:hint="cs"/>
          <w:rtl/>
        </w:rPr>
        <w:t xml:space="preserve">ت </w:t>
      </w:r>
      <w:r w:rsidRPr="00096EB8">
        <w:rPr>
          <w:rtl/>
        </w:rPr>
        <w:t>بمقتضى قانون العق</w:t>
      </w:r>
      <w:r w:rsidR="002D4288">
        <w:rPr>
          <w:rFonts w:hint="cs"/>
          <w:rtl/>
        </w:rPr>
        <w:t>وبات</w:t>
      </w:r>
      <w:r w:rsidRPr="00096EB8">
        <w:rPr>
          <w:rtl/>
        </w:rPr>
        <w:t xml:space="preserve"> الألباني. وجدد التقرير التأكيد على أن القانون الجنائي الألباني يُعد أحد القوانين القليلة جدا في أوروبا، إن لم يكن القانون الوحيد فيها، الذي يضع البغ</w:t>
      </w:r>
      <w:r w:rsidR="002D4288">
        <w:rPr>
          <w:rFonts w:hint="cs"/>
          <w:rtl/>
        </w:rPr>
        <w:t>ا</w:t>
      </w:r>
      <w:r w:rsidRPr="00096EB8">
        <w:rPr>
          <w:rtl/>
        </w:rPr>
        <w:t>يا موضع المساءلة الجنائية (</w:t>
      </w:r>
      <w:r w:rsidRPr="00096EB8">
        <w:t>CEDAW/C/ALB/3</w:t>
      </w:r>
      <w:r w:rsidRPr="00096EB8">
        <w:rPr>
          <w:rtl/>
        </w:rPr>
        <w:t xml:space="preserve">، الفقرة 100). ويُرجى تقديم معلومات عن التدابير المتخذة لمعالجة هذه المسألة. وهل أُجري أي تقييم لعدد النساء والفتيات المشتغلات بالبغاء وهل حُدّدت العوامل التي تدفع النساء والفتيات إلى ممارسة البغاء وعولجت على </w:t>
      </w:r>
      <w:r w:rsidR="002D4288">
        <w:rPr>
          <w:rFonts w:hint="cs"/>
          <w:rtl/>
        </w:rPr>
        <w:t>ال</w:t>
      </w:r>
      <w:r w:rsidRPr="00096EB8">
        <w:rPr>
          <w:rtl/>
        </w:rPr>
        <w:t xml:space="preserve">نحو </w:t>
      </w:r>
      <w:r w:rsidR="002D4288">
        <w:rPr>
          <w:rFonts w:hint="cs"/>
          <w:rtl/>
        </w:rPr>
        <w:t>الملائم</w:t>
      </w:r>
      <w:r w:rsidRPr="00096EB8">
        <w:rPr>
          <w:rtl/>
        </w:rPr>
        <w:t>. كما يُرجى تقديم معلومات في هذا الصدد. وينبغي أن تتضمن هذه المعلومات أيضا التدابير المتخذة و/أو المزمع اتخاذها لتوفير التأهيل للنساء الراغبات في الإقلاع عن البغاء وإعادة إدماجهن في المجتمع، فضلا عن التدابي</w:t>
      </w:r>
      <w:r w:rsidR="002D4288">
        <w:rPr>
          <w:rtl/>
        </w:rPr>
        <w:t>ر التي ترمي إلى تثبيط الطلب على</w:t>
      </w:r>
      <w:r w:rsidR="002D4288">
        <w:rPr>
          <w:rFonts w:hint="cs"/>
          <w:rtl/>
        </w:rPr>
        <w:t> </w:t>
      </w:r>
      <w:r w:rsidRPr="00096EB8">
        <w:rPr>
          <w:rtl/>
        </w:rPr>
        <w:t>البغاء.</w:t>
      </w:r>
    </w:p>
    <w:p w:rsidR="00096EB8" w:rsidRPr="00096EB8" w:rsidRDefault="002D4288" w:rsidP="002D4288">
      <w:pPr>
        <w:pStyle w:val="SingleTxt"/>
        <w:rPr>
          <w:rFonts w:hint="cs"/>
          <w:rtl/>
        </w:rPr>
      </w:pPr>
      <w:r>
        <w:rPr>
          <w:rFonts w:hint="cs"/>
          <w:rtl/>
        </w:rPr>
        <w:t>14 -</w:t>
      </w:r>
      <w:r>
        <w:rPr>
          <w:rFonts w:hint="cs"/>
          <w:rtl/>
        </w:rPr>
        <w:tab/>
      </w:r>
      <w:r w:rsidR="00096EB8" w:rsidRPr="00096EB8">
        <w:rPr>
          <w:rtl/>
        </w:rPr>
        <w:t>ووفق ما ورد في التقرير (</w:t>
      </w:r>
      <w:r w:rsidR="00096EB8" w:rsidRPr="00096EB8">
        <w:t>CEDAW/C/ALB/3</w:t>
      </w:r>
      <w:r w:rsidR="00096EB8" w:rsidRPr="00096EB8">
        <w:rPr>
          <w:rtl/>
        </w:rPr>
        <w:t xml:space="preserve">، الفقرة  107)، تواصل الحكومة العمل على نحو مكثف </w:t>
      </w:r>
      <w:r>
        <w:rPr>
          <w:rFonts w:hint="cs"/>
          <w:rtl/>
        </w:rPr>
        <w:t>لإ</w:t>
      </w:r>
      <w:r w:rsidR="00096EB8" w:rsidRPr="00096EB8">
        <w:rPr>
          <w:rtl/>
        </w:rPr>
        <w:t xml:space="preserve">تمام الإطار القانوني بهدف استكمال المعايير المطلوبة دوليا في مجال مكافحة الاتجار بالبشر. </w:t>
      </w:r>
      <w:r w:rsidR="00096EB8" w:rsidRPr="00096EB8">
        <w:rPr>
          <w:rFonts w:hint="cs"/>
          <w:rtl/>
        </w:rPr>
        <w:t>ف</w:t>
      </w:r>
      <w:r w:rsidR="00096EB8" w:rsidRPr="00096EB8">
        <w:rPr>
          <w:rtl/>
        </w:rPr>
        <w:t>يُرجى بيان الثغرات التي حُدد</w:t>
      </w:r>
      <w:r>
        <w:rPr>
          <w:rtl/>
        </w:rPr>
        <w:t>ت في التشريعات الوطنية وبيان ما</w:t>
      </w:r>
      <w:r>
        <w:rPr>
          <w:rFonts w:hint="cs"/>
          <w:rtl/>
        </w:rPr>
        <w:t> </w:t>
      </w:r>
      <w:r w:rsidR="00096EB8" w:rsidRPr="00096EB8">
        <w:rPr>
          <w:rtl/>
        </w:rPr>
        <w:t>تعتزم الحكومة فعله لسدها.</w:t>
      </w:r>
    </w:p>
    <w:p w:rsidR="00096EB8" w:rsidRPr="00096EB8" w:rsidRDefault="002D4288" w:rsidP="002D4288">
      <w:pPr>
        <w:pStyle w:val="SingleTxt"/>
        <w:rPr>
          <w:rFonts w:hint="cs"/>
          <w:rtl/>
        </w:rPr>
      </w:pPr>
      <w:r>
        <w:rPr>
          <w:rFonts w:hint="cs"/>
          <w:rtl/>
        </w:rPr>
        <w:t>15 -</w:t>
      </w:r>
      <w:r>
        <w:rPr>
          <w:rFonts w:hint="cs"/>
          <w:rtl/>
        </w:rPr>
        <w:tab/>
      </w:r>
      <w:r w:rsidR="00096EB8" w:rsidRPr="00096EB8">
        <w:rPr>
          <w:rtl/>
        </w:rPr>
        <w:t>ويُرجى تقديم الإحصاءات، إن وُجدت، عن عدد النساء والفتيات ضحايا الاتجا</w:t>
      </w:r>
      <w:r w:rsidR="00096EB8" w:rsidRPr="00096EB8">
        <w:rPr>
          <w:rFonts w:hint="cs"/>
          <w:rtl/>
        </w:rPr>
        <w:t>ر</w:t>
      </w:r>
      <w:r w:rsidR="00096EB8" w:rsidRPr="00096EB8">
        <w:rPr>
          <w:rtl/>
        </w:rPr>
        <w:t xml:space="preserve"> الداخلي لأغراض الاستغلال الجنسي والاقتصادي.</w:t>
      </w:r>
    </w:p>
    <w:p w:rsidR="00096EB8" w:rsidRPr="00096EB8" w:rsidRDefault="002D4288" w:rsidP="002D4288">
      <w:pPr>
        <w:pStyle w:val="SingleTxt"/>
        <w:rPr>
          <w:rtl/>
        </w:rPr>
      </w:pPr>
      <w:r>
        <w:rPr>
          <w:rFonts w:hint="cs"/>
          <w:rtl/>
        </w:rPr>
        <w:t>16 -</w:t>
      </w:r>
      <w:r>
        <w:rPr>
          <w:rFonts w:hint="cs"/>
          <w:rtl/>
        </w:rPr>
        <w:tab/>
      </w:r>
      <w:r w:rsidR="00096EB8" w:rsidRPr="00096EB8">
        <w:rPr>
          <w:rtl/>
        </w:rPr>
        <w:t>ويُشير التقري</w:t>
      </w:r>
      <w:r>
        <w:rPr>
          <w:rFonts w:hint="cs"/>
          <w:rtl/>
        </w:rPr>
        <w:t>ــ</w:t>
      </w:r>
      <w:r w:rsidR="00096EB8" w:rsidRPr="00096EB8">
        <w:rPr>
          <w:rtl/>
        </w:rPr>
        <w:t>ر إل</w:t>
      </w:r>
      <w:r>
        <w:rPr>
          <w:rFonts w:hint="cs"/>
          <w:rtl/>
        </w:rPr>
        <w:t>ـــ</w:t>
      </w:r>
      <w:r w:rsidR="00096EB8" w:rsidRPr="00096EB8">
        <w:rPr>
          <w:rtl/>
        </w:rPr>
        <w:t>ى الاستراتيجي</w:t>
      </w:r>
      <w:r>
        <w:rPr>
          <w:rFonts w:hint="cs"/>
          <w:rtl/>
        </w:rPr>
        <w:t>ـــ</w:t>
      </w:r>
      <w:r w:rsidR="00096EB8" w:rsidRPr="00096EB8">
        <w:rPr>
          <w:rtl/>
        </w:rPr>
        <w:t>ة الوطني</w:t>
      </w:r>
      <w:r>
        <w:rPr>
          <w:rFonts w:hint="cs"/>
          <w:rtl/>
        </w:rPr>
        <w:t>ـــ</w:t>
      </w:r>
      <w:r w:rsidR="00096EB8" w:rsidRPr="00096EB8">
        <w:rPr>
          <w:rtl/>
        </w:rPr>
        <w:t>ة لمكافحة الاتج</w:t>
      </w:r>
      <w:r>
        <w:rPr>
          <w:rFonts w:hint="cs"/>
          <w:rtl/>
        </w:rPr>
        <w:t>ــ</w:t>
      </w:r>
      <w:r w:rsidR="00096EB8" w:rsidRPr="00096EB8">
        <w:rPr>
          <w:rtl/>
        </w:rPr>
        <w:t xml:space="preserve">ار بالبشر </w:t>
      </w:r>
      <w:r>
        <w:rPr>
          <w:rFonts w:hint="cs"/>
          <w:rtl/>
        </w:rPr>
        <w:t>ل</w:t>
      </w:r>
      <w:r w:rsidR="00096EB8" w:rsidRPr="00096EB8">
        <w:rPr>
          <w:rtl/>
        </w:rPr>
        <w:t>لفت</w:t>
      </w:r>
      <w:r>
        <w:rPr>
          <w:rFonts w:hint="cs"/>
          <w:rtl/>
        </w:rPr>
        <w:t>ـ</w:t>
      </w:r>
      <w:r w:rsidR="00096EB8" w:rsidRPr="00096EB8">
        <w:rPr>
          <w:rtl/>
        </w:rPr>
        <w:t>رة 2005-2007، فضلا عن الاستراتيجي</w:t>
      </w:r>
      <w:r w:rsidR="00E152C3">
        <w:rPr>
          <w:rFonts w:hint="cs"/>
          <w:rtl/>
        </w:rPr>
        <w:t>ـــ</w:t>
      </w:r>
      <w:r w:rsidR="00096EB8" w:rsidRPr="00096EB8">
        <w:rPr>
          <w:rtl/>
        </w:rPr>
        <w:t>ة الجدي</w:t>
      </w:r>
      <w:r w:rsidR="00E152C3">
        <w:rPr>
          <w:rFonts w:hint="cs"/>
          <w:rtl/>
        </w:rPr>
        <w:t>ـــ</w:t>
      </w:r>
      <w:r w:rsidR="00096EB8" w:rsidRPr="00096EB8">
        <w:rPr>
          <w:rtl/>
        </w:rPr>
        <w:t xml:space="preserve">دة وخطة </w:t>
      </w:r>
      <w:r w:rsidR="00096EB8" w:rsidRPr="00096EB8">
        <w:rPr>
          <w:rFonts w:hint="cs"/>
          <w:rtl/>
        </w:rPr>
        <w:t>ال</w:t>
      </w:r>
      <w:r w:rsidR="00096EB8" w:rsidRPr="00096EB8">
        <w:rPr>
          <w:rtl/>
        </w:rPr>
        <w:t xml:space="preserve">عمل </w:t>
      </w:r>
      <w:r w:rsidR="00096EB8" w:rsidRPr="00096EB8">
        <w:rPr>
          <w:rFonts w:hint="cs"/>
          <w:rtl/>
        </w:rPr>
        <w:t>المتعلق</w:t>
      </w:r>
      <w:r w:rsidR="00E152C3">
        <w:rPr>
          <w:rFonts w:hint="cs"/>
          <w:rtl/>
        </w:rPr>
        <w:t>ة</w:t>
      </w:r>
      <w:r w:rsidR="00096EB8" w:rsidRPr="00096EB8">
        <w:rPr>
          <w:rFonts w:hint="cs"/>
          <w:rtl/>
        </w:rPr>
        <w:t xml:space="preserve"> بها </w:t>
      </w:r>
      <w:r w:rsidR="00096EB8" w:rsidRPr="00096EB8">
        <w:rPr>
          <w:rtl/>
        </w:rPr>
        <w:t xml:space="preserve">للفترة 2008-2010. </w:t>
      </w:r>
      <w:r w:rsidR="00096EB8" w:rsidRPr="00096EB8">
        <w:rPr>
          <w:rFonts w:hint="cs"/>
          <w:rtl/>
        </w:rPr>
        <w:t>ف</w:t>
      </w:r>
      <w:r w:rsidR="00096EB8" w:rsidRPr="00096EB8">
        <w:rPr>
          <w:rtl/>
        </w:rPr>
        <w:t xml:space="preserve">يُرجى تقديم معلومات عن تقييم استراتيجية الفترة 2005-2007 وإيضاح ما إذا كان يجري تنفيذ الاستراتيجية الجديدة وإذا كان الأمر كذلك، </w:t>
      </w:r>
      <w:r w:rsidR="002B3333">
        <w:rPr>
          <w:rtl/>
        </w:rPr>
        <w:t>إيضاح ما إذا كانت هذه الاستراتي</w:t>
      </w:r>
      <w:r w:rsidR="00096EB8" w:rsidRPr="00096EB8">
        <w:rPr>
          <w:rtl/>
        </w:rPr>
        <w:t xml:space="preserve">جية </w:t>
      </w:r>
      <w:r w:rsidR="00096EB8" w:rsidRPr="00096EB8">
        <w:rPr>
          <w:rFonts w:hint="cs"/>
          <w:rtl/>
        </w:rPr>
        <w:t>تعالج</w:t>
      </w:r>
      <w:r w:rsidR="00096EB8" w:rsidRPr="00096EB8">
        <w:rPr>
          <w:rtl/>
        </w:rPr>
        <w:t xml:space="preserve"> الاتجار الداخلي وتنص على تقديم الدعم والمساعدة، بما في ذلك التعافي البدني والنفسي لضحايا الاتجار وإعادة إدماجهن في المجتمع.</w:t>
      </w:r>
    </w:p>
    <w:p w:rsidR="00E152C3" w:rsidRPr="00E152C3" w:rsidRDefault="00E152C3" w:rsidP="00E152C3">
      <w:pPr>
        <w:pStyle w:val="SingleTxt"/>
        <w:spacing w:after="0" w:line="120" w:lineRule="exact"/>
        <w:rPr>
          <w:sz w:val="12"/>
          <w:rtl/>
        </w:rPr>
      </w:pPr>
    </w:p>
    <w:p w:rsidR="00096EB8" w:rsidRPr="00096EB8" w:rsidRDefault="00096EB8" w:rsidP="00096EB8">
      <w:pPr>
        <w:pStyle w:val="SingleTxt"/>
        <w:rPr>
          <w:rtl/>
        </w:rPr>
      </w:pPr>
    </w:p>
    <w:p w:rsidR="00096EB8" w:rsidRPr="00096EB8" w:rsidRDefault="00096EB8" w:rsidP="00096EB8">
      <w:pPr>
        <w:pStyle w:val="SingleTxt"/>
        <w:rPr>
          <w:b/>
          <w:bCs/>
          <w:rtl/>
        </w:rPr>
      </w:pPr>
      <w:r w:rsidRPr="00096EB8">
        <w:rPr>
          <w:b/>
          <w:bCs/>
          <w:rtl/>
        </w:rPr>
        <w:t>المشاركة في صنع القرار والتمثيل على الصعيد الدولي</w:t>
      </w:r>
    </w:p>
    <w:p w:rsidR="00096EB8" w:rsidRPr="00096EB8" w:rsidRDefault="00096EB8" w:rsidP="00523CA8">
      <w:pPr>
        <w:pStyle w:val="SingleTxt"/>
        <w:rPr>
          <w:rFonts w:hint="cs"/>
          <w:rtl/>
        </w:rPr>
      </w:pPr>
      <w:r w:rsidRPr="00096EB8">
        <w:rPr>
          <w:rtl/>
        </w:rPr>
        <w:t>17</w:t>
      </w:r>
      <w:r w:rsidR="00523CA8">
        <w:rPr>
          <w:rFonts w:hint="cs"/>
          <w:rtl/>
        </w:rPr>
        <w:t xml:space="preserve"> </w:t>
      </w:r>
      <w:r w:rsidRPr="00096EB8">
        <w:rPr>
          <w:rFonts w:hint="cs"/>
          <w:rtl/>
        </w:rPr>
        <w:t xml:space="preserve">- </w:t>
      </w:r>
      <w:r w:rsidR="00523CA8">
        <w:rPr>
          <w:rFonts w:hint="cs"/>
          <w:rtl/>
        </w:rPr>
        <w:tab/>
      </w:r>
      <w:r w:rsidRPr="00096EB8">
        <w:rPr>
          <w:rtl/>
        </w:rPr>
        <w:t xml:space="preserve">بالنظر إلى التدني الشديد في تمثيل المرأة في دوائر الحياة العامة والسياسية (أي بنسبة 7.1 في المائة في البرلمان)، تسعى الحكومة من خلال مشروع قانون </w:t>
      </w:r>
      <w:r w:rsidR="00523CA8">
        <w:rPr>
          <w:rFonts w:hint="cs"/>
          <w:rtl/>
        </w:rPr>
        <w:t>”</w:t>
      </w:r>
      <w:r w:rsidRPr="00096EB8">
        <w:rPr>
          <w:rtl/>
        </w:rPr>
        <w:t>المساواة بين الجنسين في المجتمع</w:t>
      </w:r>
      <w:r w:rsidR="00523CA8">
        <w:rPr>
          <w:rFonts w:hint="cs"/>
          <w:rtl/>
        </w:rPr>
        <w:t>“</w:t>
      </w:r>
      <w:r w:rsidRPr="00096EB8">
        <w:rPr>
          <w:rtl/>
        </w:rPr>
        <w:t xml:space="preserve"> </w:t>
      </w:r>
      <w:r w:rsidR="00523CA8">
        <w:rPr>
          <w:rFonts w:hint="cs"/>
          <w:rtl/>
        </w:rPr>
        <w:t xml:space="preserve">إلى </w:t>
      </w:r>
      <w:r w:rsidRPr="00096EB8">
        <w:rPr>
          <w:rtl/>
        </w:rPr>
        <w:t>تحديد حصة لا تقل عن 30 في المائة لتمثيل المرأة والرجل في عملية صنع القرارات السياسية والعامة (</w:t>
      </w:r>
      <w:r w:rsidRPr="00096EB8">
        <w:t>CEDAW/C/ALB/3</w:t>
      </w:r>
      <w:r w:rsidRPr="00096EB8">
        <w:rPr>
          <w:rtl/>
        </w:rPr>
        <w:t xml:space="preserve">، الفقرة 146). </w:t>
      </w:r>
      <w:r w:rsidRPr="00096EB8">
        <w:rPr>
          <w:rFonts w:hint="cs"/>
          <w:rtl/>
        </w:rPr>
        <w:t>ف</w:t>
      </w:r>
      <w:r w:rsidRPr="00096EB8">
        <w:rPr>
          <w:rtl/>
        </w:rPr>
        <w:t>يُرجى تقديم معلومات مستكملة بشأن اعتماد هذا التحصيص الجنساني وشرح الفرق بين تطبيق التحصيص الجنساني لأغراض الانتخابات المحلية والنظام التناسبي للانتخابات البرلمانية. كما يُرجى إيضاح كيف س</w:t>
      </w:r>
      <w:r w:rsidR="00523CA8">
        <w:rPr>
          <w:rFonts w:hint="cs"/>
          <w:rtl/>
        </w:rPr>
        <w:t>ت</w:t>
      </w:r>
      <w:r w:rsidRPr="00096EB8">
        <w:rPr>
          <w:rtl/>
        </w:rPr>
        <w:t xml:space="preserve">ُطبّق </w:t>
      </w:r>
      <w:r w:rsidR="00523CA8">
        <w:rPr>
          <w:rFonts w:hint="cs"/>
          <w:rtl/>
        </w:rPr>
        <w:t>ال</w:t>
      </w:r>
      <w:r w:rsidRPr="00096EB8">
        <w:rPr>
          <w:rtl/>
        </w:rPr>
        <w:t xml:space="preserve">جزاءات </w:t>
      </w:r>
      <w:r w:rsidR="00523CA8">
        <w:rPr>
          <w:rFonts w:hint="cs"/>
          <w:rtl/>
        </w:rPr>
        <w:t>ال</w:t>
      </w:r>
      <w:r w:rsidRPr="00096EB8">
        <w:rPr>
          <w:rtl/>
        </w:rPr>
        <w:t xml:space="preserve">مالية </w:t>
      </w:r>
      <w:r w:rsidR="00523CA8">
        <w:rPr>
          <w:rFonts w:hint="cs"/>
          <w:rtl/>
        </w:rPr>
        <w:t xml:space="preserve">المتوخاة </w:t>
      </w:r>
      <w:r w:rsidRPr="00096EB8">
        <w:rPr>
          <w:rtl/>
        </w:rPr>
        <w:t xml:space="preserve">على الأحزاب السياسية والمنظمات غير الربحية، بما في ذلك فيما يتعلق بعدم امتثالها للترتيب التسلسلي للمرشحين والمرشحات في القوائم. ويُرجى أيضا بيان التدابير الأخرى التي اتخذتها الحكومة، بما في ذلك التدابير الخاصة المؤقتة المتخذة وفقا للفقرة 1 من المادة 4 من الاتفاقية لزيادة عدد النساء في الوظائف الإدارية في الخدمة المدنية والوظائف القيادية في السلك الدبلوماسي والقضاء وما لهذه التدابير من أثر. </w:t>
      </w:r>
    </w:p>
    <w:p w:rsidR="00096EB8" w:rsidRPr="00096EB8" w:rsidRDefault="00523CA8" w:rsidP="00523CA8">
      <w:pPr>
        <w:pStyle w:val="SingleTxt"/>
        <w:rPr>
          <w:rtl/>
        </w:rPr>
      </w:pPr>
      <w:r>
        <w:rPr>
          <w:rFonts w:hint="cs"/>
          <w:rtl/>
        </w:rPr>
        <w:t>18 -</w:t>
      </w:r>
      <w:r>
        <w:rPr>
          <w:rFonts w:hint="cs"/>
          <w:rtl/>
        </w:rPr>
        <w:tab/>
      </w:r>
      <w:r w:rsidR="00096EB8" w:rsidRPr="00096EB8">
        <w:rPr>
          <w:rtl/>
        </w:rPr>
        <w:t xml:space="preserve">ولئن كان التقرير يذكر أن المرأة الألبانية </w:t>
      </w:r>
      <w:r>
        <w:rPr>
          <w:rFonts w:hint="cs"/>
          <w:rtl/>
        </w:rPr>
        <w:t>م</w:t>
      </w:r>
      <w:r w:rsidR="00096EB8" w:rsidRPr="00096EB8">
        <w:rPr>
          <w:rtl/>
        </w:rPr>
        <w:t>مثَّلة ف</w:t>
      </w:r>
      <w:r>
        <w:rPr>
          <w:rtl/>
        </w:rPr>
        <w:t>ي المناصب العليا لصنع القرار في</w:t>
      </w:r>
      <w:r>
        <w:rPr>
          <w:rFonts w:hint="cs"/>
          <w:rtl/>
        </w:rPr>
        <w:t> </w:t>
      </w:r>
      <w:r w:rsidR="00096EB8" w:rsidRPr="00096EB8">
        <w:rPr>
          <w:rtl/>
        </w:rPr>
        <w:t>السلطتين التشريعية والتنفيذية، وفي جهاز القضاء ونظام العدالة، فإن</w:t>
      </w:r>
      <w:r>
        <w:rPr>
          <w:rFonts w:hint="cs"/>
          <w:rtl/>
        </w:rPr>
        <w:t xml:space="preserve">ه لا يقدّم مع ذلك </w:t>
      </w:r>
      <w:r w:rsidR="00096EB8" w:rsidRPr="00096EB8">
        <w:rPr>
          <w:rtl/>
        </w:rPr>
        <w:t xml:space="preserve">بيانات إحصائية تُبيّن النسبة المئوية لتمثيل المرأة بالمقارنة مع الرجل في الهيئات الاستشارية الحكومية والإدارات المحلية وسلك القضاء. ويُرجى تقديم بيانات إحصائية في هذا الصدد. </w:t>
      </w:r>
    </w:p>
    <w:p w:rsidR="00523CA8" w:rsidRPr="00523CA8" w:rsidRDefault="00523CA8" w:rsidP="00523CA8">
      <w:pPr>
        <w:pStyle w:val="SingleTxt"/>
        <w:spacing w:after="0" w:line="120" w:lineRule="exact"/>
        <w:rPr>
          <w:sz w:val="12"/>
          <w:rtl/>
        </w:rPr>
      </w:pPr>
    </w:p>
    <w:p w:rsidR="00096EB8" w:rsidRPr="00096EB8" w:rsidRDefault="00096EB8" w:rsidP="00096EB8">
      <w:pPr>
        <w:pStyle w:val="SingleTxt"/>
        <w:rPr>
          <w:b/>
          <w:bCs/>
          <w:rtl/>
        </w:rPr>
      </w:pPr>
      <w:r w:rsidRPr="00096EB8">
        <w:rPr>
          <w:b/>
          <w:bCs/>
          <w:rtl/>
        </w:rPr>
        <w:t>التعليم</w:t>
      </w:r>
    </w:p>
    <w:p w:rsidR="00096EB8" w:rsidRPr="00096EB8" w:rsidRDefault="00096EB8" w:rsidP="006B7AA8">
      <w:pPr>
        <w:pStyle w:val="SingleTxt"/>
        <w:rPr>
          <w:rFonts w:hint="cs"/>
          <w:rtl/>
        </w:rPr>
      </w:pPr>
      <w:r w:rsidRPr="00096EB8">
        <w:rPr>
          <w:rtl/>
        </w:rPr>
        <w:t>19</w:t>
      </w:r>
      <w:r w:rsidR="00523CA8">
        <w:rPr>
          <w:rFonts w:hint="cs"/>
          <w:rtl/>
        </w:rPr>
        <w:t xml:space="preserve"> </w:t>
      </w:r>
      <w:r w:rsidRPr="00096EB8">
        <w:rPr>
          <w:rFonts w:hint="cs"/>
          <w:rtl/>
        </w:rPr>
        <w:t xml:space="preserve">- </w:t>
      </w:r>
      <w:r w:rsidR="00523CA8">
        <w:rPr>
          <w:rFonts w:hint="cs"/>
          <w:rtl/>
        </w:rPr>
        <w:tab/>
      </w:r>
      <w:r w:rsidRPr="00096EB8">
        <w:rPr>
          <w:rtl/>
        </w:rPr>
        <w:t>أعربت لجنة الحقوق الاقتصادية والاجتماعية والثقافية في عام 2006 (</w:t>
      </w:r>
      <w:r w:rsidRPr="00096EB8">
        <w:t>E/C.12/ALB/CO/1</w:t>
      </w:r>
      <w:r w:rsidRPr="00096EB8">
        <w:rPr>
          <w:rtl/>
        </w:rPr>
        <w:t>، الفقرة 38)</w:t>
      </w:r>
      <w:r w:rsidRPr="00096EB8">
        <w:rPr>
          <w:rFonts w:hint="cs"/>
          <w:rtl/>
        </w:rPr>
        <w:t xml:space="preserve"> </w:t>
      </w:r>
      <w:r w:rsidRPr="00096EB8">
        <w:rPr>
          <w:rtl/>
        </w:rPr>
        <w:t>عن قلقها إزاء عدم التحاق نسبة مئوية كبيرة من أطفال طائفة الروما، ولا</w:t>
      </w:r>
      <w:r w:rsidR="006B7AA8">
        <w:rPr>
          <w:rFonts w:hint="cs"/>
          <w:rtl/>
        </w:rPr>
        <w:t xml:space="preserve"> </w:t>
      </w:r>
      <w:r w:rsidRPr="00096EB8">
        <w:rPr>
          <w:rtl/>
        </w:rPr>
        <w:t xml:space="preserve">سيما الفتيات، بالمدارس أو مغادرتهم لها في مرحلة مبكرة جدا من عملية تعليمهم. </w:t>
      </w:r>
      <w:r w:rsidRPr="00096EB8">
        <w:rPr>
          <w:rFonts w:hint="cs"/>
          <w:rtl/>
        </w:rPr>
        <w:t>ف</w:t>
      </w:r>
      <w:r w:rsidRPr="00096EB8">
        <w:rPr>
          <w:rtl/>
        </w:rPr>
        <w:t xml:space="preserve">يُرجى تقديم بيانات وإحصاءات مستكملة بشأن معدلات التوقف عن الدراسة في صفوف الفتيات على جميع مستويات التعليم </w:t>
      </w:r>
      <w:r w:rsidR="00523CA8">
        <w:rPr>
          <w:rFonts w:hint="cs"/>
          <w:rtl/>
        </w:rPr>
        <w:t xml:space="preserve">وكذلك بشأن </w:t>
      </w:r>
      <w:r w:rsidRPr="00096EB8">
        <w:rPr>
          <w:rtl/>
        </w:rPr>
        <w:t xml:space="preserve">المستويات التعليمية والوصول إلى فرص التعليم بالنسبة للنساء والفتيات من المناطق الريفية، والأقليات، بمن فيهن النساء والفتيات من طائفة الروما. </w:t>
      </w:r>
    </w:p>
    <w:p w:rsidR="00096EB8" w:rsidRPr="00096EB8" w:rsidRDefault="00523CA8" w:rsidP="00523CA8">
      <w:pPr>
        <w:pStyle w:val="SingleTxt"/>
        <w:rPr>
          <w:rtl/>
        </w:rPr>
      </w:pPr>
      <w:r>
        <w:rPr>
          <w:rFonts w:hint="cs"/>
          <w:rtl/>
        </w:rPr>
        <w:t>20 -</w:t>
      </w:r>
      <w:r>
        <w:rPr>
          <w:rFonts w:hint="cs"/>
          <w:rtl/>
        </w:rPr>
        <w:tab/>
      </w:r>
      <w:r w:rsidR="00096EB8" w:rsidRPr="00096EB8">
        <w:rPr>
          <w:rtl/>
        </w:rPr>
        <w:t xml:space="preserve">ويُبيّن التقرير </w:t>
      </w:r>
      <w:r w:rsidR="00096EB8" w:rsidRPr="00096EB8">
        <w:rPr>
          <w:rFonts w:hint="cs"/>
          <w:rtl/>
        </w:rPr>
        <w:t>صلة</w:t>
      </w:r>
      <w:r w:rsidR="00096EB8" w:rsidRPr="00096EB8">
        <w:rPr>
          <w:rtl/>
        </w:rPr>
        <w:t xml:space="preserve"> بين التكاليف </w:t>
      </w:r>
      <w:r>
        <w:rPr>
          <w:rFonts w:hint="cs"/>
          <w:rtl/>
        </w:rPr>
        <w:t>”</w:t>
      </w:r>
      <w:r w:rsidR="00096EB8" w:rsidRPr="00096EB8">
        <w:rPr>
          <w:rtl/>
        </w:rPr>
        <w:t>غير الرسمية</w:t>
      </w:r>
      <w:r>
        <w:rPr>
          <w:rFonts w:hint="cs"/>
          <w:rtl/>
        </w:rPr>
        <w:t>“</w:t>
      </w:r>
      <w:r w:rsidR="00096EB8" w:rsidRPr="00096EB8">
        <w:rPr>
          <w:rtl/>
        </w:rPr>
        <w:t xml:space="preserve"> لتعليم الأطفال وعدم مواظبتهم على الدراسة، وبخاصة في المناطق الريفية وفي صفوف الأطفال الذين يعيشون في فقر. وقد أشارت لجنة حقوق الطفل أيضا في عام 2005 (</w:t>
      </w:r>
      <w:r w:rsidR="00096EB8" w:rsidRPr="00096EB8">
        <w:t>CRC/C/15/Add.249</w:t>
      </w:r>
      <w:r w:rsidR="00096EB8" w:rsidRPr="00096EB8">
        <w:rPr>
          <w:rtl/>
        </w:rPr>
        <w:t xml:space="preserve">، الفقرة 68) إلى أن الأطفال في ألبانيا يعملون في الشوارع أو في إطار الأسرة أو في </w:t>
      </w:r>
      <w:r>
        <w:rPr>
          <w:rtl/>
        </w:rPr>
        <w:t>أماكن أخرى في ظروف استغلالية أو</w:t>
      </w:r>
      <w:r>
        <w:rPr>
          <w:rFonts w:hint="cs"/>
          <w:rtl/>
        </w:rPr>
        <w:t> </w:t>
      </w:r>
      <w:r w:rsidR="00096EB8" w:rsidRPr="00096EB8">
        <w:rPr>
          <w:rtl/>
        </w:rPr>
        <w:t>بدرجة تُعرقل مواظبتهم على الدراسة. ويُرجى تقديم معلومات عن التدابير التي اتخذتها الحكومة للتصدي للأسباب الجذرية لاستمرار تدني قيد الأطفال، ولا</w:t>
      </w:r>
      <w:r>
        <w:rPr>
          <w:rFonts w:hint="cs"/>
          <w:rtl/>
        </w:rPr>
        <w:t xml:space="preserve"> </w:t>
      </w:r>
      <w:r w:rsidR="00096EB8" w:rsidRPr="00096EB8">
        <w:rPr>
          <w:rtl/>
        </w:rPr>
        <w:t>سيما البنات في ألبانيا، في المدارس وارتفاع معدلات التوقف عن الدراسة. فما طبيعة الدعم الذي يُقدّم إلى الأسر لتخفيض هذه المعدلات وبخاصة الأسر القاطنة في المناطق الريفية والنائية وتلك المتأثرة بالفقر؟</w:t>
      </w:r>
    </w:p>
    <w:p w:rsidR="00523CA8" w:rsidRPr="00523CA8" w:rsidRDefault="00523CA8" w:rsidP="00523CA8">
      <w:pPr>
        <w:pStyle w:val="SingleTxt"/>
        <w:spacing w:after="0" w:line="120" w:lineRule="exact"/>
        <w:rPr>
          <w:sz w:val="12"/>
          <w:rtl/>
        </w:rPr>
      </w:pPr>
    </w:p>
    <w:p w:rsidR="00096EB8" w:rsidRPr="00096EB8" w:rsidRDefault="00096EB8" w:rsidP="00096EB8">
      <w:pPr>
        <w:pStyle w:val="SingleTxt"/>
        <w:rPr>
          <w:b/>
          <w:bCs/>
          <w:rtl/>
        </w:rPr>
      </w:pPr>
      <w:r w:rsidRPr="00096EB8">
        <w:rPr>
          <w:b/>
          <w:bCs/>
          <w:rtl/>
        </w:rPr>
        <w:t>العمالة</w:t>
      </w:r>
    </w:p>
    <w:p w:rsidR="00096EB8" w:rsidRPr="00096EB8" w:rsidRDefault="00096EB8" w:rsidP="00523CA8">
      <w:pPr>
        <w:pStyle w:val="SingleTxt"/>
        <w:rPr>
          <w:rFonts w:hint="cs"/>
          <w:rtl/>
        </w:rPr>
      </w:pPr>
      <w:r w:rsidRPr="00096EB8">
        <w:rPr>
          <w:rtl/>
        </w:rPr>
        <w:t>21</w:t>
      </w:r>
      <w:r w:rsidR="00523CA8">
        <w:rPr>
          <w:rFonts w:hint="cs"/>
          <w:rtl/>
        </w:rPr>
        <w:t xml:space="preserve"> </w:t>
      </w:r>
      <w:r w:rsidRPr="00096EB8">
        <w:rPr>
          <w:rFonts w:hint="cs"/>
          <w:rtl/>
        </w:rPr>
        <w:t xml:space="preserve">- </w:t>
      </w:r>
      <w:r w:rsidR="00523CA8">
        <w:rPr>
          <w:rFonts w:hint="cs"/>
          <w:rtl/>
        </w:rPr>
        <w:tab/>
      </w:r>
      <w:r w:rsidRPr="00096EB8">
        <w:rPr>
          <w:rtl/>
        </w:rPr>
        <w:t xml:space="preserve">يشير التقرير إلى دراسة </w:t>
      </w:r>
      <w:r w:rsidR="00523CA8">
        <w:rPr>
          <w:rFonts w:hint="cs"/>
          <w:rtl/>
        </w:rPr>
        <w:t xml:space="preserve">كانت جارية بشأن </w:t>
      </w:r>
      <w:r w:rsidRPr="00096EB8">
        <w:rPr>
          <w:rtl/>
        </w:rPr>
        <w:t>المساواة في الأجر (</w:t>
      </w:r>
      <w:r w:rsidRPr="00096EB8">
        <w:t>CEDAW/C/ALB/3</w:t>
      </w:r>
      <w:r w:rsidRPr="00096EB8">
        <w:rPr>
          <w:rtl/>
        </w:rPr>
        <w:t xml:space="preserve">، الفقرة  226). ويُرجى تقديم معلومات عن نتائج هذه الدراسة وعن استخدام التوصيات الواردة في السياسة الرامية إلى كفالة المساواة في الأجر </w:t>
      </w:r>
      <w:r w:rsidR="00523CA8" w:rsidRPr="00096EB8">
        <w:rPr>
          <w:rtl/>
        </w:rPr>
        <w:t xml:space="preserve">بحكم الواقع </w:t>
      </w:r>
      <w:r w:rsidR="00523CA8">
        <w:rPr>
          <w:rFonts w:hint="cs"/>
          <w:rtl/>
        </w:rPr>
        <w:t xml:space="preserve">عن </w:t>
      </w:r>
      <w:r w:rsidRPr="00096EB8">
        <w:rPr>
          <w:rtl/>
        </w:rPr>
        <w:t>العمل</w:t>
      </w:r>
      <w:r w:rsidR="005017FA">
        <w:rPr>
          <w:rFonts w:hint="cs"/>
          <w:rtl/>
        </w:rPr>
        <w:t xml:space="preserve"> المتساوي القيمة</w:t>
      </w:r>
      <w:r w:rsidRPr="00096EB8">
        <w:rPr>
          <w:rtl/>
        </w:rPr>
        <w:t>.</w:t>
      </w:r>
    </w:p>
    <w:p w:rsidR="00096EB8" w:rsidRPr="00096EB8" w:rsidRDefault="005017FA" w:rsidP="005017FA">
      <w:pPr>
        <w:pStyle w:val="SingleTxt"/>
        <w:rPr>
          <w:rFonts w:hint="cs"/>
          <w:rtl/>
        </w:rPr>
      </w:pPr>
      <w:r>
        <w:rPr>
          <w:rFonts w:hint="cs"/>
          <w:rtl/>
        </w:rPr>
        <w:t>22 -</w:t>
      </w:r>
      <w:r>
        <w:rPr>
          <w:rFonts w:hint="cs"/>
          <w:rtl/>
        </w:rPr>
        <w:tab/>
      </w:r>
      <w:r w:rsidR="00096EB8" w:rsidRPr="00096EB8">
        <w:rPr>
          <w:rtl/>
        </w:rPr>
        <w:t>ويُرجى تقديم معلومات عن وضع المرأة في الاقتصاد غير النظامي. وينبغي أن يشمل ذلك معلومات عن النسبة المئوية لل</w:t>
      </w:r>
      <w:r>
        <w:rPr>
          <w:rFonts w:hint="cs"/>
          <w:rtl/>
        </w:rPr>
        <w:t>نساء</w:t>
      </w:r>
      <w:r w:rsidR="00096EB8" w:rsidRPr="00096EB8">
        <w:rPr>
          <w:rtl/>
        </w:rPr>
        <w:t xml:space="preserve"> في هذا القطاع، بالمقارنة مع الرج</w:t>
      </w:r>
      <w:r>
        <w:rPr>
          <w:rFonts w:hint="cs"/>
          <w:rtl/>
        </w:rPr>
        <w:t>ا</w:t>
      </w:r>
      <w:r w:rsidR="00096EB8" w:rsidRPr="00096EB8">
        <w:rPr>
          <w:rtl/>
        </w:rPr>
        <w:t>ل، ومجالات عمله</w:t>
      </w:r>
      <w:r>
        <w:rPr>
          <w:rFonts w:hint="cs"/>
          <w:rtl/>
        </w:rPr>
        <w:t>ن</w:t>
      </w:r>
      <w:r w:rsidR="00096EB8" w:rsidRPr="00096EB8">
        <w:rPr>
          <w:rtl/>
        </w:rPr>
        <w:t xml:space="preserve"> بالإضافة إلى معلومات عن التدابير المتعلقة بالحماية الاجتماعية المتاحة لهؤلاء العاملات، والنسبة المئوية لل</w:t>
      </w:r>
      <w:r>
        <w:rPr>
          <w:rFonts w:hint="cs"/>
          <w:rtl/>
        </w:rPr>
        <w:t>نساء اللواتي يصلن</w:t>
      </w:r>
      <w:r w:rsidR="00096EB8" w:rsidRPr="00096EB8">
        <w:rPr>
          <w:rtl/>
        </w:rPr>
        <w:t>، في الواقع العملي، إلى هذه التدابير و</w:t>
      </w:r>
      <w:r>
        <w:rPr>
          <w:rFonts w:hint="cs"/>
          <w:rtl/>
        </w:rPr>
        <w:t>ي</w:t>
      </w:r>
      <w:r w:rsidR="00096EB8" w:rsidRPr="00096EB8">
        <w:rPr>
          <w:rtl/>
        </w:rPr>
        <w:t>تنتفع</w:t>
      </w:r>
      <w:r>
        <w:rPr>
          <w:rFonts w:hint="cs"/>
          <w:rtl/>
        </w:rPr>
        <w:t>ن </w:t>
      </w:r>
      <w:r w:rsidR="00096EB8" w:rsidRPr="00096EB8">
        <w:rPr>
          <w:rtl/>
        </w:rPr>
        <w:t>بها.</w:t>
      </w:r>
    </w:p>
    <w:p w:rsidR="00096EB8" w:rsidRDefault="005017FA" w:rsidP="005017FA">
      <w:pPr>
        <w:pStyle w:val="SingleTxt"/>
        <w:rPr>
          <w:rFonts w:hint="cs"/>
          <w:rtl/>
        </w:rPr>
      </w:pPr>
      <w:r>
        <w:rPr>
          <w:rFonts w:hint="cs"/>
          <w:rtl/>
        </w:rPr>
        <w:t>23 -</w:t>
      </w:r>
      <w:r>
        <w:rPr>
          <w:rFonts w:hint="cs"/>
          <w:rtl/>
        </w:rPr>
        <w:tab/>
      </w:r>
      <w:r w:rsidR="00096EB8" w:rsidRPr="00096EB8">
        <w:rPr>
          <w:rtl/>
        </w:rPr>
        <w:t>ويُرجى تقديم معلومات مفص</w:t>
      </w:r>
      <w:r w:rsidR="006B7AA8">
        <w:rPr>
          <w:rFonts w:hint="cs"/>
          <w:rtl/>
        </w:rPr>
        <w:t>ّ</w:t>
      </w:r>
      <w:r w:rsidR="00096EB8" w:rsidRPr="00096EB8">
        <w:rPr>
          <w:rtl/>
        </w:rPr>
        <w:t>لة، على النحو الذي طلبته اللجنة في ملاحظاتها الختامية السابقة</w:t>
      </w:r>
      <w:r w:rsidRPr="005017FA">
        <w:rPr>
          <w:vertAlign w:val="superscript"/>
          <w:rtl/>
        </w:rPr>
        <w:t>(</w:t>
      </w:r>
      <w:r>
        <w:rPr>
          <w:rStyle w:val="FootnoteReference"/>
          <w:rtl/>
        </w:rPr>
        <w:footnoteReference w:id="5"/>
      </w:r>
      <w:r w:rsidRPr="005017FA">
        <w:rPr>
          <w:vertAlign w:val="superscript"/>
          <w:rtl/>
        </w:rPr>
        <w:t>)</w:t>
      </w:r>
      <w:r w:rsidR="00096EB8" w:rsidRPr="00096EB8">
        <w:rPr>
          <w:rtl/>
        </w:rPr>
        <w:t>،</w:t>
      </w:r>
      <w:r>
        <w:rPr>
          <w:rFonts w:hint="cs"/>
          <w:rtl/>
        </w:rPr>
        <w:t xml:space="preserve"> </w:t>
      </w:r>
      <w:r w:rsidR="00096EB8" w:rsidRPr="00096EB8">
        <w:rPr>
          <w:rtl/>
        </w:rPr>
        <w:t>بشأن وضع المرأة في سوق العمل، بما في ذلك الأعمال التي تمتهنها المرأة في مختلف قطاعات هذا الاقتصاد ومستويات السلطة التي تتم</w:t>
      </w:r>
      <w:r w:rsidR="002B3333">
        <w:rPr>
          <w:rFonts w:hint="cs"/>
          <w:rtl/>
        </w:rPr>
        <w:t>ت</w:t>
      </w:r>
      <w:r w:rsidR="00096EB8" w:rsidRPr="00096EB8">
        <w:rPr>
          <w:rtl/>
        </w:rPr>
        <w:t xml:space="preserve">ع بها والأجر الذي </w:t>
      </w:r>
      <w:r w:rsidR="00096EB8" w:rsidRPr="00096EB8">
        <w:rPr>
          <w:rFonts w:hint="cs"/>
          <w:rtl/>
        </w:rPr>
        <w:t>تحصل عليه</w:t>
      </w:r>
      <w:r w:rsidR="00096EB8" w:rsidRPr="00096EB8">
        <w:rPr>
          <w:rtl/>
        </w:rPr>
        <w:t>.</w:t>
      </w:r>
    </w:p>
    <w:p w:rsidR="00096EB8" w:rsidRPr="00096EB8" w:rsidRDefault="005017FA" w:rsidP="005017FA">
      <w:pPr>
        <w:pStyle w:val="SingleTxt"/>
        <w:rPr>
          <w:rFonts w:hint="cs"/>
          <w:rtl/>
        </w:rPr>
      </w:pPr>
      <w:r>
        <w:rPr>
          <w:rFonts w:hint="cs"/>
          <w:rtl/>
        </w:rPr>
        <w:t>24 -</w:t>
      </w:r>
      <w:r>
        <w:rPr>
          <w:rFonts w:hint="cs"/>
          <w:rtl/>
        </w:rPr>
        <w:tab/>
      </w:r>
      <w:r w:rsidR="00096EB8" w:rsidRPr="00096EB8">
        <w:rPr>
          <w:rFonts w:hint="cs"/>
          <w:rtl/>
        </w:rPr>
        <w:t>و</w:t>
      </w:r>
      <w:r w:rsidR="00096EB8" w:rsidRPr="00096EB8">
        <w:rPr>
          <w:rtl/>
        </w:rPr>
        <w:t>حسب ما ورد في التقرير (</w:t>
      </w:r>
      <w:r w:rsidR="00096EB8" w:rsidRPr="00096EB8">
        <w:t>CEDAW/C/ALB/3</w:t>
      </w:r>
      <w:r w:rsidR="00096EB8" w:rsidRPr="00096EB8">
        <w:rPr>
          <w:rtl/>
        </w:rPr>
        <w:t>، الفقرات  230 و</w:t>
      </w:r>
      <w:r>
        <w:rPr>
          <w:rFonts w:hint="cs"/>
          <w:rtl/>
        </w:rPr>
        <w:t xml:space="preserve"> </w:t>
      </w:r>
      <w:r w:rsidR="00096EB8" w:rsidRPr="00096EB8">
        <w:rPr>
          <w:rtl/>
        </w:rPr>
        <w:t>232 و</w:t>
      </w:r>
      <w:r>
        <w:rPr>
          <w:rFonts w:hint="cs"/>
          <w:rtl/>
        </w:rPr>
        <w:t xml:space="preserve"> </w:t>
      </w:r>
      <w:r w:rsidR="00096EB8" w:rsidRPr="00096EB8">
        <w:rPr>
          <w:rtl/>
        </w:rPr>
        <w:t>238) تمثّل ا</w:t>
      </w:r>
      <w:r>
        <w:rPr>
          <w:rFonts w:hint="cs"/>
          <w:rtl/>
        </w:rPr>
        <w:t xml:space="preserve">لنساء </w:t>
      </w:r>
      <w:r w:rsidR="00096EB8" w:rsidRPr="00096EB8">
        <w:rPr>
          <w:rtl/>
        </w:rPr>
        <w:t>نسبة كبير</w:t>
      </w:r>
      <w:r>
        <w:rPr>
          <w:rFonts w:hint="cs"/>
          <w:rtl/>
        </w:rPr>
        <w:t>ة</w:t>
      </w:r>
      <w:r w:rsidR="00096EB8" w:rsidRPr="00096EB8">
        <w:rPr>
          <w:rtl/>
        </w:rPr>
        <w:t xml:space="preserve"> </w:t>
      </w:r>
      <w:r>
        <w:rPr>
          <w:rFonts w:hint="cs"/>
          <w:rtl/>
        </w:rPr>
        <w:t>من</w:t>
      </w:r>
      <w:r w:rsidR="00096EB8" w:rsidRPr="00096EB8">
        <w:rPr>
          <w:rtl/>
        </w:rPr>
        <w:t xml:space="preserve"> العدد الإجمالي للباحثين عن العمل العاطلين و</w:t>
      </w:r>
      <w:r>
        <w:rPr>
          <w:rFonts w:hint="cs"/>
          <w:rtl/>
        </w:rPr>
        <w:t>ي</w:t>
      </w:r>
      <w:r w:rsidR="00096EB8" w:rsidRPr="00096EB8">
        <w:rPr>
          <w:rtl/>
        </w:rPr>
        <w:t>تأثر</w:t>
      </w:r>
      <w:r>
        <w:rPr>
          <w:rFonts w:hint="cs"/>
          <w:rtl/>
        </w:rPr>
        <w:t>ن</w:t>
      </w:r>
      <w:r>
        <w:rPr>
          <w:rtl/>
        </w:rPr>
        <w:t xml:space="preserve"> على نحو</w:t>
      </w:r>
      <w:r>
        <w:rPr>
          <w:rFonts w:hint="cs"/>
          <w:rtl/>
        </w:rPr>
        <w:t> </w:t>
      </w:r>
      <w:r w:rsidR="00096EB8" w:rsidRPr="00096EB8">
        <w:rPr>
          <w:rtl/>
        </w:rPr>
        <w:t xml:space="preserve">خاص بالبطالة (بنسبة 80 في المائة في صفوف الإناث مقابل 12.8 في المائة في صفوف الذكور) وبالعمالة الناقصة في القطاعين الخاص والعام. ويُرجى تقديم معلومات عن التدابير الجاري تنفيذها لمعالجة مسائل البطالة والعمالة الناقصة في </w:t>
      </w:r>
      <w:r>
        <w:rPr>
          <w:rFonts w:hint="cs"/>
          <w:rtl/>
        </w:rPr>
        <w:t xml:space="preserve">هذين </w:t>
      </w:r>
      <w:r w:rsidR="00096EB8" w:rsidRPr="00096EB8">
        <w:rPr>
          <w:rtl/>
        </w:rPr>
        <w:t xml:space="preserve">القطاعين مع </w:t>
      </w:r>
      <w:r>
        <w:rPr>
          <w:rFonts w:hint="cs"/>
          <w:rtl/>
        </w:rPr>
        <w:t>ال</w:t>
      </w:r>
      <w:r w:rsidR="00096EB8" w:rsidRPr="00096EB8">
        <w:rPr>
          <w:rtl/>
        </w:rPr>
        <w:t>تركيز خاص</w:t>
      </w:r>
      <w:r>
        <w:rPr>
          <w:rFonts w:hint="cs"/>
          <w:rtl/>
        </w:rPr>
        <w:t>ة</w:t>
      </w:r>
      <w:r w:rsidR="00096EB8" w:rsidRPr="00096EB8">
        <w:rPr>
          <w:rtl/>
        </w:rPr>
        <w:t xml:space="preserve"> على ترتيبات العمل المواتية للأسرة، و</w:t>
      </w:r>
      <w:r>
        <w:rPr>
          <w:rFonts w:hint="cs"/>
          <w:rtl/>
        </w:rPr>
        <w:t xml:space="preserve">مدى توافر </w:t>
      </w:r>
      <w:r w:rsidR="00096EB8" w:rsidRPr="00096EB8">
        <w:rPr>
          <w:rtl/>
        </w:rPr>
        <w:t xml:space="preserve">الهياكل الأساسية لرعاية الأطفال في المناطق الحضرية والريفية والمبادرات التي تشجع الرجل على تقاسم المسؤولية الأسرية.  </w:t>
      </w:r>
    </w:p>
    <w:p w:rsidR="00096EB8" w:rsidRPr="00096EB8" w:rsidRDefault="005017FA" w:rsidP="005017FA">
      <w:pPr>
        <w:pStyle w:val="SingleTxt"/>
        <w:rPr>
          <w:rtl/>
        </w:rPr>
      </w:pPr>
      <w:r>
        <w:rPr>
          <w:rFonts w:hint="cs"/>
          <w:rtl/>
        </w:rPr>
        <w:t>25 -</w:t>
      </w:r>
      <w:r>
        <w:rPr>
          <w:rFonts w:hint="cs"/>
          <w:rtl/>
        </w:rPr>
        <w:tab/>
      </w:r>
      <w:r w:rsidR="00096EB8" w:rsidRPr="00096EB8">
        <w:rPr>
          <w:rtl/>
        </w:rPr>
        <w:t>ويشير التقرير (</w:t>
      </w:r>
      <w:r w:rsidR="00096EB8" w:rsidRPr="00096EB8">
        <w:t>CEDAW/C/ALB/3</w:t>
      </w:r>
      <w:r w:rsidR="00096EB8" w:rsidRPr="00096EB8">
        <w:rPr>
          <w:rtl/>
        </w:rPr>
        <w:t xml:space="preserve">، الفقرة  265) إلى غياب إجراءات دقيقة لتقديم الشكاوى في حالة التعرض للتحرش الجنسي في مكان العمل وإلى انعدام البيانات الإحصائية المتعلقة بهذه الظاهرة. </w:t>
      </w:r>
      <w:r w:rsidR="00096EB8" w:rsidRPr="00096EB8">
        <w:rPr>
          <w:rFonts w:hint="cs"/>
          <w:rtl/>
        </w:rPr>
        <w:t>ف</w:t>
      </w:r>
      <w:r w:rsidR="00096EB8" w:rsidRPr="00096EB8">
        <w:rPr>
          <w:rtl/>
        </w:rPr>
        <w:t xml:space="preserve">يُرجى تقديم معلومات عن التدابير المتخذة لمعالجة التحرش الجنسي والعنف ضد المرأة في مكان العمل. </w:t>
      </w:r>
    </w:p>
    <w:p w:rsidR="00096EB8" w:rsidRPr="00096EB8" w:rsidRDefault="00096EB8" w:rsidP="00096EB8">
      <w:pPr>
        <w:pStyle w:val="SingleTxt"/>
        <w:rPr>
          <w:b/>
          <w:bCs/>
          <w:rtl/>
        </w:rPr>
      </w:pPr>
      <w:r w:rsidRPr="00096EB8">
        <w:rPr>
          <w:b/>
          <w:bCs/>
          <w:rtl/>
        </w:rPr>
        <w:t>الصحة</w:t>
      </w:r>
    </w:p>
    <w:p w:rsidR="00096EB8" w:rsidRPr="00096EB8" w:rsidRDefault="00096EB8" w:rsidP="002C128F">
      <w:pPr>
        <w:pStyle w:val="SingleTxt"/>
        <w:rPr>
          <w:rFonts w:hint="cs"/>
          <w:rtl/>
        </w:rPr>
      </w:pPr>
      <w:r w:rsidRPr="00096EB8">
        <w:rPr>
          <w:rtl/>
        </w:rPr>
        <w:t>26</w:t>
      </w:r>
      <w:r w:rsidR="005017FA">
        <w:rPr>
          <w:rFonts w:hint="cs"/>
          <w:rtl/>
        </w:rPr>
        <w:t xml:space="preserve"> </w:t>
      </w:r>
      <w:r w:rsidRPr="00096EB8">
        <w:rPr>
          <w:rFonts w:hint="cs"/>
          <w:rtl/>
        </w:rPr>
        <w:t xml:space="preserve">- </w:t>
      </w:r>
      <w:r w:rsidR="005017FA">
        <w:rPr>
          <w:rFonts w:hint="cs"/>
          <w:rtl/>
        </w:rPr>
        <w:tab/>
      </w:r>
      <w:r w:rsidRPr="00096EB8">
        <w:rPr>
          <w:rtl/>
        </w:rPr>
        <w:t xml:space="preserve">يذكر التقرير أن عدد حالات الإجهاض التي </w:t>
      </w:r>
      <w:r w:rsidR="005017FA">
        <w:rPr>
          <w:rFonts w:hint="cs"/>
          <w:rtl/>
        </w:rPr>
        <w:t xml:space="preserve">أبلغت بها </w:t>
      </w:r>
      <w:r w:rsidRPr="00096EB8">
        <w:rPr>
          <w:rtl/>
        </w:rPr>
        <w:t>مؤسسات عامة وزارة الصحة قد انخفض في العقد الأخير (</w:t>
      </w:r>
      <w:r w:rsidRPr="00096EB8">
        <w:t>CEDAW/C/ALB/3</w:t>
      </w:r>
      <w:r w:rsidRPr="00096EB8">
        <w:rPr>
          <w:rtl/>
        </w:rPr>
        <w:t xml:space="preserve">، الفقرة 297). فهو يشير إلى نسبة إجهاض واحد في كل 4.1 ولادات في المؤسسات الصحية العامة </w:t>
      </w:r>
      <w:r w:rsidR="002C128F">
        <w:rPr>
          <w:rFonts w:hint="cs"/>
          <w:rtl/>
        </w:rPr>
        <w:t xml:space="preserve">في </w:t>
      </w:r>
      <w:r w:rsidRPr="00096EB8">
        <w:rPr>
          <w:rtl/>
        </w:rPr>
        <w:t xml:space="preserve">عام 2006. ويُرجى تقديم بيانات وإحصاءات مستكملة عن عدد </w:t>
      </w:r>
      <w:r w:rsidR="002C128F">
        <w:rPr>
          <w:rFonts w:hint="cs"/>
          <w:rtl/>
        </w:rPr>
        <w:t xml:space="preserve">عمليات </w:t>
      </w:r>
      <w:r w:rsidRPr="00096EB8">
        <w:rPr>
          <w:rtl/>
        </w:rPr>
        <w:t xml:space="preserve">الإجهاض المنجزة في المؤسسات الصحية العامة والخاصة في ألبانيا.  </w:t>
      </w:r>
    </w:p>
    <w:p w:rsidR="00096EB8" w:rsidRPr="00096EB8" w:rsidRDefault="002C128F" w:rsidP="002C128F">
      <w:pPr>
        <w:pStyle w:val="SingleTxt"/>
        <w:rPr>
          <w:rFonts w:hint="cs"/>
          <w:rtl/>
        </w:rPr>
      </w:pPr>
      <w:r>
        <w:rPr>
          <w:rFonts w:hint="cs"/>
          <w:rtl/>
        </w:rPr>
        <w:t>27 -</w:t>
      </w:r>
      <w:r>
        <w:rPr>
          <w:rFonts w:hint="cs"/>
          <w:rtl/>
        </w:rPr>
        <w:tab/>
      </w:r>
      <w:r w:rsidR="00096EB8" w:rsidRPr="00096EB8">
        <w:rPr>
          <w:rtl/>
        </w:rPr>
        <w:t>ويذكر التقرير أن تنظيم الأسرة بوصفه تدبيرا للمباعدة بين الولادات لا يحظى بعدُ بالقبول ولا</w:t>
      </w:r>
      <w:r w:rsidR="006B7AA8">
        <w:rPr>
          <w:rFonts w:hint="cs"/>
          <w:rtl/>
        </w:rPr>
        <w:t xml:space="preserve"> </w:t>
      </w:r>
      <w:r w:rsidR="00096EB8" w:rsidRPr="00096EB8">
        <w:rPr>
          <w:rtl/>
        </w:rPr>
        <w:t>سيما من جانب الرجال (</w:t>
      </w:r>
      <w:r w:rsidR="00096EB8" w:rsidRPr="00096EB8">
        <w:t>CEDAW/C/ALB/3</w:t>
      </w:r>
      <w:r w:rsidR="00096EB8" w:rsidRPr="00096EB8">
        <w:rPr>
          <w:rtl/>
        </w:rPr>
        <w:t xml:space="preserve">، الفقرة 301). ويُرجى بيان </w:t>
      </w:r>
      <w:r>
        <w:rPr>
          <w:rFonts w:hint="cs"/>
          <w:rtl/>
        </w:rPr>
        <w:t xml:space="preserve">مدى توافر </w:t>
      </w:r>
      <w:r w:rsidR="00096EB8" w:rsidRPr="00096EB8">
        <w:rPr>
          <w:rtl/>
        </w:rPr>
        <w:t xml:space="preserve">خدمات تنظيم الأسرة وتثقيف الرجل والمرأة </w:t>
      </w:r>
      <w:r>
        <w:rPr>
          <w:rFonts w:hint="cs"/>
          <w:rtl/>
        </w:rPr>
        <w:t xml:space="preserve">كليهما </w:t>
      </w:r>
      <w:r w:rsidR="002B3333">
        <w:rPr>
          <w:rtl/>
        </w:rPr>
        <w:t>بشأن الصحة الإنجابية، بما</w:t>
      </w:r>
      <w:r w:rsidR="002B3333">
        <w:rPr>
          <w:rFonts w:hint="cs"/>
          <w:rtl/>
        </w:rPr>
        <w:t> </w:t>
      </w:r>
      <w:r w:rsidR="00096EB8" w:rsidRPr="00096EB8">
        <w:rPr>
          <w:rtl/>
        </w:rPr>
        <w:t>في ذلك وصول الفتيان والفتيات المراهقين إلى المعلومات المتعلقة بالصحة الإنجابية والجنسية المناسبة لأعمارهم.</w:t>
      </w:r>
    </w:p>
    <w:p w:rsidR="00096EB8" w:rsidRPr="00096EB8" w:rsidRDefault="002C128F" w:rsidP="002C128F">
      <w:pPr>
        <w:pStyle w:val="SingleTxt"/>
        <w:rPr>
          <w:rFonts w:hint="cs"/>
          <w:rtl/>
        </w:rPr>
      </w:pPr>
      <w:r>
        <w:rPr>
          <w:rFonts w:hint="cs"/>
          <w:rtl/>
        </w:rPr>
        <w:t>28 -</w:t>
      </w:r>
      <w:r>
        <w:rPr>
          <w:rFonts w:hint="cs"/>
          <w:rtl/>
        </w:rPr>
        <w:tab/>
      </w:r>
      <w:r w:rsidR="00096EB8" w:rsidRPr="00096EB8">
        <w:rPr>
          <w:rtl/>
        </w:rPr>
        <w:t>ويُرجى تقديم معلومات بشأن التدابير التي اتخذتها الدولة الطرف لمنع انتشار فيروس نقص المناعة البشرية/الإيدز، بوسائل منها التربية الجنسية في المدارس وحملات التوعية الرامية إلى تعزيز السلوك الجنسي المسؤول وال</w:t>
      </w:r>
      <w:r w:rsidR="00096EB8" w:rsidRPr="00096EB8">
        <w:rPr>
          <w:rFonts w:hint="cs"/>
          <w:rtl/>
        </w:rPr>
        <w:t>سليم</w:t>
      </w:r>
      <w:r w:rsidR="00096EB8" w:rsidRPr="00096EB8">
        <w:rPr>
          <w:rtl/>
        </w:rPr>
        <w:t xml:space="preserve">. كما يُرجى تقديم معلومات عن التدابير المتخذة لمعالجة التمييز والوصم بالعار ضد النساء المصابات بالفيروس. </w:t>
      </w:r>
    </w:p>
    <w:p w:rsidR="00096EB8" w:rsidRPr="00096EB8" w:rsidRDefault="002C128F" w:rsidP="002C128F">
      <w:pPr>
        <w:pStyle w:val="SingleTxt"/>
        <w:rPr>
          <w:rtl/>
        </w:rPr>
      </w:pPr>
      <w:r>
        <w:rPr>
          <w:rFonts w:hint="cs"/>
          <w:rtl/>
        </w:rPr>
        <w:t>29 -</w:t>
      </w:r>
      <w:r>
        <w:rPr>
          <w:rFonts w:hint="cs"/>
          <w:rtl/>
        </w:rPr>
        <w:tab/>
      </w:r>
      <w:r w:rsidR="00096EB8" w:rsidRPr="00096EB8">
        <w:rPr>
          <w:rtl/>
        </w:rPr>
        <w:t xml:space="preserve">ويذكر التقرير استخدام البطاقات المُفهرسة لإتمام المتابعة البيولوجية للحالات التي تمثل خطرا </w:t>
      </w:r>
      <w:r>
        <w:rPr>
          <w:rFonts w:hint="cs"/>
          <w:rtl/>
        </w:rPr>
        <w:t xml:space="preserve">من حيث الإصابة </w:t>
      </w:r>
      <w:r w:rsidR="00096EB8" w:rsidRPr="00096EB8">
        <w:rPr>
          <w:rtl/>
        </w:rPr>
        <w:t>بالأمراض المنقولة جنسيا وبفيروس</w:t>
      </w:r>
      <w:r>
        <w:rPr>
          <w:rFonts w:hint="cs"/>
          <w:rtl/>
        </w:rPr>
        <w:t xml:space="preserve"> نقص المناعة البشرية</w:t>
      </w:r>
      <w:r w:rsidR="00096EB8" w:rsidRPr="00096EB8">
        <w:rPr>
          <w:rtl/>
        </w:rPr>
        <w:t>/الإيدز (</w:t>
      </w:r>
      <w:r w:rsidR="00096EB8" w:rsidRPr="00096EB8">
        <w:t>CEDAW/C/ALB/3</w:t>
      </w:r>
      <w:r w:rsidR="00096EB8" w:rsidRPr="00096EB8">
        <w:rPr>
          <w:rtl/>
        </w:rPr>
        <w:t xml:space="preserve">، الفقرة 326). ويُرجى بيان ما إذا كانت التدابير الضرورية قد اتخذت لكفالة سرية المعلومات الواردة في البطاقات المُفهرسة. </w:t>
      </w:r>
    </w:p>
    <w:p w:rsidR="002C128F" w:rsidRPr="002C128F" w:rsidRDefault="002C128F" w:rsidP="002C128F">
      <w:pPr>
        <w:pStyle w:val="SingleTxt"/>
        <w:spacing w:after="0" w:line="120" w:lineRule="exact"/>
        <w:rPr>
          <w:sz w:val="12"/>
          <w:rtl/>
        </w:rPr>
      </w:pPr>
    </w:p>
    <w:p w:rsidR="00096EB8" w:rsidRPr="00096EB8" w:rsidRDefault="008A54BB" w:rsidP="00096EB8">
      <w:pPr>
        <w:pStyle w:val="SingleTxt"/>
        <w:rPr>
          <w:b/>
          <w:bCs/>
          <w:rtl/>
        </w:rPr>
      </w:pPr>
      <w:r>
        <w:rPr>
          <w:rFonts w:hint="cs"/>
          <w:b/>
          <w:bCs/>
          <w:rtl/>
        </w:rPr>
        <w:t>ا</w:t>
      </w:r>
      <w:r w:rsidR="00096EB8" w:rsidRPr="00096EB8">
        <w:rPr>
          <w:b/>
          <w:bCs/>
          <w:rtl/>
        </w:rPr>
        <w:t>لمرأة الريفية</w:t>
      </w:r>
    </w:p>
    <w:p w:rsidR="00096EB8" w:rsidRDefault="008A54BB" w:rsidP="008A54BB">
      <w:pPr>
        <w:pStyle w:val="SingleTxt"/>
        <w:rPr>
          <w:rFonts w:hint="cs"/>
          <w:rtl/>
        </w:rPr>
      </w:pPr>
      <w:r>
        <w:rPr>
          <w:rFonts w:hint="cs"/>
          <w:rtl/>
        </w:rPr>
        <w:t>30 -</w:t>
      </w:r>
      <w:r>
        <w:rPr>
          <w:rFonts w:hint="cs"/>
          <w:rtl/>
        </w:rPr>
        <w:tab/>
      </w:r>
      <w:r w:rsidR="00096EB8" w:rsidRPr="00096EB8">
        <w:rPr>
          <w:rtl/>
        </w:rPr>
        <w:t>يبيّن التقرير استمرار التمييز في الواقع ضد المرأة الريفية فيما يتعلق بحيازة الممتلكات ووراثتها (</w:t>
      </w:r>
      <w:r w:rsidR="00096EB8" w:rsidRPr="00096EB8">
        <w:t>CEDAW/C/ALB/3</w:t>
      </w:r>
      <w:r w:rsidR="00096EB8" w:rsidRPr="00096EB8">
        <w:rPr>
          <w:rtl/>
        </w:rPr>
        <w:t xml:space="preserve">، الفقرات 389-390). </w:t>
      </w:r>
      <w:r w:rsidR="00096EB8" w:rsidRPr="00096EB8">
        <w:rPr>
          <w:rFonts w:hint="cs"/>
          <w:rtl/>
        </w:rPr>
        <w:t>ف</w:t>
      </w:r>
      <w:r w:rsidR="00096EB8" w:rsidRPr="00096EB8">
        <w:rPr>
          <w:rtl/>
        </w:rPr>
        <w:t>يُرجى تقديم معلومات عن التدابير التي اتخذتها الحكومة لمعالجة هذه المسائل استجابة لتوصية اللجنة</w:t>
      </w:r>
      <w:r w:rsidRPr="008A54BB">
        <w:rPr>
          <w:vertAlign w:val="superscript"/>
          <w:rtl/>
        </w:rPr>
        <w:t>(</w:t>
      </w:r>
      <w:r>
        <w:rPr>
          <w:rStyle w:val="FootnoteReference"/>
          <w:rtl/>
        </w:rPr>
        <w:footnoteReference w:id="6"/>
      </w:r>
      <w:r w:rsidRPr="008A54BB">
        <w:rPr>
          <w:vertAlign w:val="superscript"/>
          <w:rtl/>
        </w:rPr>
        <w:t>)</w:t>
      </w:r>
      <w:r>
        <w:rPr>
          <w:rFonts w:hint="cs"/>
          <w:rtl/>
        </w:rPr>
        <w:t>.</w:t>
      </w:r>
    </w:p>
    <w:p w:rsidR="00096EB8" w:rsidRPr="00096EB8" w:rsidRDefault="008A54BB" w:rsidP="008A54BB">
      <w:pPr>
        <w:pStyle w:val="SingleTxt"/>
        <w:rPr>
          <w:rFonts w:hint="cs"/>
          <w:rtl/>
        </w:rPr>
      </w:pPr>
      <w:r>
        <w:rPr>
          <w:rFonts w:hint="cs"/>
          <w:rtl/>
        </w:rPr>
        <w:t>31 -</w:t>
      </w:r>
      <w:r>
        <w:rPr>
          <w:rFonts w:hint="cs"/>
          <w:rtl/>
        </w:rPr>
        <w:tab/>
      </w:r>
      <w:r w:rsidR="00096EB8" w:rsidRPr="00096EB8">
        <w:rPr>
          <w:rtl/>
        </w:rPr>
        <w:t>ويعترف التقرير بأن مستوى المعيشة في المناطق الريفية أدنى بالمقارنة مع ما ه</w:t>
      </w:r>
      <w:r>
        <w:rPr>
          <w:rFonts w:hint="cs"/>
          <w:rtl/>
        </w:rPr>
        <w:t>و</w:t>
      </w:r>
      <w:r w:rsidR="00096EB8" w:rsidRPr="00096EB8">
        <w:rPr>
          <w:rtl/>
        </w:rPr>
        <w:t xml:space="preserve"> عليه في المناطق الحضرية (</w:t>
      </w:r>
      <w:r w:rsidR="00096EB8" w:rsidRPr="00096EB8">
        <w:t>CEDAW/C/ALB/3</w:t>
      </w:r>
      <w:r w:rsidR="00096EB8" w:rsidRPr="00096EB8">
        <w:rPr>
          <w:rtl/>
        </w:rPr>
        <w:t xml:space="preserve">، الفقرة 393). </w:t>
      </w:r>
      <w:r>
        <w:rPr>
          <w:rFonts w:hint="cs"/>
          <w:rtl/>
        </w:rPr>
        <w:t>ف</w:t>
      </w:r>
      <w:r w:rsidR="00096EB8" w:rsidRPr="00096EB8">
        <w:rPr>
          <w:rtl/>
        </w:rPr>
        <w:t xml:space="preserve">يُرجى بيان </w:t>
      </w:r>
      <w:r>
        <w:rPr>
          <w:rFonts w:hint="cs"/>
          <w:rtl/>
        </w:rPr>
        <w:t>ال</w:t>
      </w:r>
      <w:r w:rsidR="00096EB8" w:rsidRPr="00096EB8">
        <w:rPr>
          <w:rtl/>
        </w:rPr>
        <w:t xml:space="preserve">تدابير </w:t>
      </w:r>
      <w:r>
        <w:rPr>
          <w:rFonts w:hint="cs"/>
          <w:rtl/>
        </w:rPr>
        <w:t xml:space="preserve">الموجودة </w:t>
      </w:r>
      <w:r w:rsidR="00096EB8" w:rsidRPr="00096EB8">
        <w:rPr>
          <w:rtl/>
        </w:rPr>
        <w:t xml:space="preserve">لكفالة مستوى معيشي </w:t>
      </w:r>
      <w:r>
        <w:rPr>
          <w:rFonts w:hint="cs"/>
          <w:rtl/>
        </w:rPr>
        <w:t>ملائم</w:t>
      </w:r>
      <w:r w:rsidR="00096EB8" w:rsidRPr="00096EB8">
        <w:rPr>
          <w:rtl/>
        </w:rPr>
        <w:t xml:space="preserve"> للمرأة الريفية ولا</w:t>
      </w:r>
      <w:r>
        <w:rPr>
          <w:rFonts w:hint="cs"/>
          <w:rtl/>
        </w:rPr>
        <w:t xml:space="preserve"> </w:t>
      </w:r>
      <w:r w:rsidR="00096EB8" w:rsidRPr="00096EB8">
        <w:rPr>
          <w:rtl/>
        </w:rPr>
        <w:t>سيما فيما يتعلق با</w:t>
      </w:r>
      <w:r>
        <w:rPr>
          <w:rFonts w:hint="cs"/>
          <w:rtl/>
        </w:rPr>
        <w:t>لصرف الصحي</w:t>
      </w:r>
      <w:r w:rsidR="00096EB8" w:rsidRPr="00096EB8">
        <w:rPr>
          <w:rtl/>
        </w:rPr>
        <w:t xml:space="preserve"> والسكن اللائق والانتفاع بالخدمات العامة بما فيها الصحة والتعليم.</w:t>
      </w:r>
    </w:p>
    <w:p w:rsidR="00096EB8" w:rsidRPr="00096EB8" w:rsidRDefault="008A54BB" w:rsidP="002B3333">
      <w:pPr>
        <w:pStyle w:val="SingleTxt"/>
        <w:rPr>
          <w:rtl/>
        </w:rPr>
      </w:pPr>
      <w:r>
        <w:rPr>
          <w:rFonts w:hint="cs"/>
          <w:rtl/>
        </w:rPr>
        <w:t>32 -</w:t>
      </w:r>
      <w:r>
        <w:rPr>
          <w:rFonts w:hint="cs"/>
          <w:rtl/>
        </w:rPr>
        <w:tab/>
      </w:r>
      <w:r w:rsidR="00096EB8" w:rsidRPr="00096EB8">
        <w:rPr>
          <w:rFonts w:hint="cs"/>
          <w:rtl/>
        </w:rPr>
        <w:t>و</w:t>
      </w:r>
      <w:r w:rsidR="00096EB8" w:rsidRPr="00096EB8">
        <w:rPr>
          <w:rtl/>
        </w:rPr>
        <w:t>لا يتطرق التقرير إلى حالة ال</w:t>
      </w:r>
      <w:r>
        <w:rPr>
          <w:rFonts w:hint="cs"/>
          <w:rtl/>
        </w:rPr>
        <w:t>مسنات والمعوقات</w:t>
      </w:r>
      <w:r w:rsidR="00096EB8" w:rsidRPr="00096EB8">
        <w:rPr>
          <w:rtl/>
        </w:rPr>
        <w:t xml:space="preserve"> </w:t>
      </w:r>
      <w:bookmarkStart w:id="1" w:name="TmpSave"/>
      <w:bookmarkEnd w:id="1"/>
      <w:r w:rsidR="00096EB8" w:rsidRPr="00096EB8">
        <w:rPr>
          <w:rtl/>
        </w:rPr>
        <w:t>والنساء والفتيات اللاجئات والمهاجرات. ويُرجى تقديم هذه المعلومات ولا</w:t>
      </w:r>
      <w:r>
        <w:rPr>
          <w:rFonts w:hint="cs"/>
          <w:rtl/>
        </w:rPr>
        <w:t xml:space="preserve"> </w:t>
      </w:r>
      <w:r w:rsidR="00096EB8" w:rsidRPr="00096EB8">
        <w:rPr>
          <w:rtl/>
        </w:rPr>
        <w:t>سيما عن الحالة الاقتصادية والاجتماعية والتدابير الموضوعة لدعم هذه الفئات من النساء.</w:t>
      </w:r>
    </w:p>
    <w:p w:rsidR="008A54BB" w:rsidRPr="008A54BB" w:rsidRDefault="008A54BB" w:rsidP="008A54BB">
      <w:pPr>
        <w:pStyle w:val="SingleTxt"/>
        <w:spacing w:after="0" w:line="120" w:lineRule="exact"/>
        <w:rPr>
          <w:sz w:val="12"/>
          <w:rtl/>
        </w:rPr>
      </w:pPr>
    </w:p>
    <w:p w:rsidR="00096EB8" w:rsidRPr="00096EB8" w:rsidRDefault="00096EB8" w:rsidP="00096EB8">
      <w:pPr>
        <w:pStyle w:val="SingleTxt"/>
        <w:rPr>
          <w:b/>
          <w:bCs/>
          <w:rtl/>
        </w:rPr>
      </w:pPr>
      <w:r w:rsidRPr="00096EB8">
        <w:rPr>
          <w:b/>
          <w:bCs/>
          <w:rtl/>
        </w:rPr>
        <w:t>العلاقات الأسرية</w:t>
      </w:r>
    </w:p>
    <w:p w:rsidR="00096EB8" w:rsidRDefault="00096EB8" w:rsidP="008A54BB">
      <w:pPr>
        <w:pStyle w:val="SingleTxt"/>
        <w:rPr>
          <w:rFonts w:hint="cs"/>
          <w:rtl/>
        </w:rPr>
      </w:pPr>
      <w:r w:rsidRPr="00096EB8">
        <w:rPr>
          <w:rtl/>
        </w:rPr>
        <w:t>33</w:t>
      </w:r>
      <w:r w:rsidR="008A54BB">
        <w:rPr>
          <w:rFonts w:hint="cs"/>
          <w:rtl/>
        </w:rPr>
        <w:t xml:space="preserve"> </w:t>
      </w:r>
      <w:r w:rsidRPr="00096EB8">
        <w:rPr>
          <w:rFonts w:hint="cs"/>
          <w:rtl/>
        </w:rPr>
        <w:t xml:space="preserve">- </w:t>
      </w:r>
      <w:r w:rsidR="008A54BB">
        <w:rPr>
          <w:rFonts w:hint="cs"/>
          <w:rtl/>
        </w:rPr>
        <w:tab/>
      </w:r>
      <w:r w:rsidRPr="00096EB8">
        <w:rPr>
          <w:rtl/>
        </w:rPr>
        <w:t xml:space="preserve">يشير التقرير إلى أن الدراسة الاستقصائية </w:t>
      </w:r>
      <w:r w:rsidR="008A54BB">
        <w:rPr>
          <w:rFonts w:hint="cs"/>
          <w:rtl/>
        </w:rPr>
        <w:t xml:space="preserve">العنقودية </w:t>
      </w:r>
      <w:r w:rsidRPr="00096EB8">
        <w:rPr>
          <w:rtl/>
        </w:rPr>
        <w:t xml:space="preserve">المتعددة المؤشرات التي أُجريت على الصعيد الوطني تُبين أن نحو 8 في المائة من نساء الفئة العمرية 20-49 تزوجن قبل بلوغ سن الثامنة عشرة، الذي يُعد السن الأدنى للزواج </w:t>
      </w:r>
      <w:r w:rsidRPr="00096EB8">
        <w:rPr>
          <w:rFonts w:hint="cs"/>
          <w:rtl/>
        </w:rPr>
        <w:t>بمقتضى</w:t>
      </w:r>
      <w:r w:rsidR="008A54BB">
        <w:rPr>
          <w:rtl/>
        </w:rPr>
        <w:t xml:space="preserve"> قانون الأسرة الجديد. فما</w:t>
      </w:r>
      <w:r w:rsidR="008A54BB">
        <w:rPr>
          <w:rFonts w:hint="cs"/>
          <w:rtl/>
        </w:rPr>
        <w:t> </w:t>
      </w:r>
      <w:r w:rsidRPr="00096EB8">
        <w:rPr>
          <w:rtl/>
        </w:rPr>
        <w:t>هي الاستجابات التي صيغت لتحدي هذا ال</w:t>
      </w:r>
      <w:r w:rsidR="008A54BB">
        <w:rPr>
          <w:rFonts w:hint="cs"/>
          <w:rtl/>
        </w:rPr>
        <w:t xml:space="preserve">نوع التقليدي </w:t>
      </w:r>
      <w:r w:rsidRPr="00096EB8">
        <w:rPr>
          <w:rtl/>
        </w:rPr>
        <w:t>من الزواج الخاضع للسلطة الأبوية، والمعتقدات الموروثة لبعض فئات المجتمع بشأن أهمية تأسيس أسرة في سن مبكرة و</w:t>
      </w:r>
      <w:r w:rsidRPr="00096EB8">
        <w:rPr>
          <w:rFonts w:hint="cs"/>
          <w:rtl/>
        </w:rPr>
        <w:t xml:space="preserve">استمرار </w:t>
      </w:r>
      <w:r w:rsidRPr="00096EB8">
        <w:rPr>
          <w:rtl/>
        </w:rPr>
        <w:t xml:space="preserve">الممارسة المتمثلة في </w:t>
      </w:r>
      <w:r w:rsidRPr="00096EB8">
        <w:rPr>
          <w:rFonts w:hint="cs"/>
          <w:rtl/>
        </w:rPr>
        <w:t>قيام</w:t>
      </w:r>
      <w:r w:rsidRPr="00096EB8">
        <w:rPr>
          <w:rtl/>
        </w:rPr>
        <w:t xml:space="preserve"> الأسر باختيار ال</w:t>
      </w:r>
      <w:r w:rsidRPr="00096EB8">
        <w:rPr>
          <w:rFonts w:hint="cs"/>
          <w:rtl/>
        </w:rPr>
        <w:t>أ</w:t>
      </w:r>
      <w:r w:rsidRPr="00096EB8">
        <w:rPr>
          <w:rtl/>
        </w:rPr>
        <w:t>زو</w:t>
      </w:r>
      <w:r w:rsidRPr="00096EB8">
        <w:rPr>
          <w:rFonts w:hint="cs"/>
          <w:rtl/>
        </w:rPr>
        <w:t>ا</w:t>
      </w:r>
      <w:r w:rsidRPr="00096EB8">
        <w:rPr>
          <w:rtl/>
        </w:rPr>
        <w:t>ج لفتياتها وشاباتها؟ وبالإضافة إلى ذلك، يسود قلق إزاء استمرار ممارسة تقديم مهر العروس في المناطق الريفية والنائية من ألبانيا و</w:t>
      </w:r>
      <w:r w:rsidR="008A54BB">
        <w:rPr>
          <w:rFonts w:hint="cs"/>
          <w:rtl/>
        </w:rPr>
        <w:t>لدى جماعات الروما.</w:t>
      </w:r>
      <w:r w:rsidRPr="00096EB8">
        <w:rPr>
          <w:rtl/>
        </w:rPr>
        <w:t xml:space="preserve"> فهل توجد أي بيانات أو تحليل بشأن مدى انتشار هذه الظواهر؟</w:t>
      </w:r>
    </w:p>
    <w:p w:rsidR="008A54BB" w:rsidRPr="008A54BB" w:rsidRDefault="008A54BB" w:rsidP="008A54BB">
      <w:pPr>
        <w:pStyle w:val="SingleTxt"/>
        <w:spacing w:after="0" w:line="120" w:lineRule="exact"/>
        <w:rPr>
          <w:rFonts w:hint="cs"/>
          <w:sz w:val="12"/>
          <w:rtl/>
        </w:rPr>
      </w:pPr>
    </w:p>
    <w:p w:rsidR="00096EB8" w:rsidRPr="00096EB8" w:rsidRDefault="00096EB8" w:rsidP="00096EB8">
      <w:pPr>
        <w:pStyle w:val="SingleTxt"/>
        <w:rPr>
          <w:b/>
          <w:bCs/>
          <w:rtl/>
        </w:rPr>
      </w:pPr>
      <w:r w:rsidRPr="00096EB8">
        <w:rPr>
          <w:b/>
          <w:bCs/>
          <w:rtl/>
        </w:rPr>
        <w:t>تعديل الفقرة 1 من المادة 20</w:t>
      </w:r>
    </w:p>
    <w:p w:rsidR="001B247F" w:rsidRDefault="00096EB8" w:rsidP="008A54BB">
      <w:pPr>
        <w:pStyle w:val="SingleTxt"/>
        <w:rPr>
          <w:rFonts w:hint="cs"/>
          <w:rtl/>
        </w:rPr>
      </w:pPr>
      <w:bookmarkStart w:id="2" w:name="_TradosPreviewCursor"/>
      <w:bookmarkEnd w:id="2"/>
      <w:r w:rsidRPr="00096EB8">
        <w:rPr>
          <w:rtl/>
        </w:rPr>
        <w:t>34</w:t>
      </w:r>
      <w:r w:rsidR="008A54BB">
        <w:rPr>
          <w:rFonts w:hint="cs"/>
          <w:rtl/>
        </w:rPr>
        <w:t xml:space="preserve"> </w:t>
      </w:r>
      <w:r w:rsidRPr="00096EB8">
        <w:rPr>
          <w:rFonts w:hint="cs"/>
          <w:rtl/>
        </w:rPr>
        <w:t xml:space="preserve">- </w:t>
      </w:r>
      <w:r w:rsidR="008A54BB">
        <w:rPr>
          <w:rFonts w:hint="cs"/>
          <w:rtl/>
        </w:rPr>
        <w:tab/>
      </w:r>
      <w:r w:rsidRPr="00096EB8">
        <w:rPr>
          <w:rtl/>
        </w:rPr>
        <w:t xml:space="preserve">يُرجى بيان التقدم المُحرز في اتجاه </w:t>
      </w:r>
      <w:r w:rsidRPr="00096EB8">
        <w:rPr>
          <w:rFonts w:hint="cs"/>
          <w:rtl/>
        </w:rPr>
        <w:t>إقرار</w:t>
      </w:r>
      <w:r w:rsidRPr="00096EB8">
        <w:rPr>
          <w:rtl/>
        </w:rPr>
        <w:t xml:space="preserve"> تعديل الفقرة 1 من المادة 20 من الاتفاقية فيما يتصل بوقت اجتماع اللجنة.</w:t>
      </w:r>
    </w:p>
    <w:p w:rsidR="008A54BB" w:rsidRPr="008A54BB" w:rsidRDefault="008A54BB" w:rsidP="008A54BB">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8A54BB" w:rsidRPr="008A54BB" w:rsidSect="000F2196">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10-06T16:24:00Z" w:initials="Start">
    <w:p w:rsidR="00827AC8" w:rsidRDefault="00827AC8">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NO&gt;&gt;N0951091A&lt;&lt;ODS JOB NO&gt;&gt;</w:t>
      </w:r>
    </w:p>
    <w:p w:rsidR="00827AC8" w:rsidRDefault="00827AC8">
      <w:pPr>
        <w:pStyle w:val="CommentText"/>
      </w:pPr>
      <w:r>
        <w:t>&lt;&lt;ODS DOC SYMBOL1&gt;&gt;CEDAW/C/ALB/Q/3&lt;&lt;ODS DOC SYMBOL1&gt;&gt;</w:t>
      </w:r>
    </w:p>
    <w:p w:rsidR="00827AC8" w:rsidRDefault="00827AC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7AC8" w:rsidRDefault="00827AC8">
      <w:r>
        <w:separator/>
      </w:r>
    </w:p>
  </w:endnote>
  <w:endnote w:type="continuationSeparator" w:id="0">
    <w:p w:rsidR="00827AC8" w:rsidRDefault="00827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27AC8" w:rsidTr="000F2196">
      <w:tblPrEx>
        <w:tblCellMar>
          <w:top w:w="0" w:type="dxa"/>
          <w:bottom w:w="0" w:type="dxa"/>
        </w:tblCellMar>
      </w:tblPrEx>
      <w:tc>
        <w:tcPr>
          <w:tcW w:w="5033" w:type="dxa"/>
          <w:shd w:val="clear" w:color="auto" w:fill="auto"/>
        </w:tcPr>
        <w:p w:rsidR="00827AC8" w:rsidRPr="000F2196" w:rsidRDefault="00827AC8" w:rsidP="000F2196">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c>
        <w:tcPr>
          <w:tcW w:w="5033" w:type="dxa"/>
          <w:shd w:val="clear" w:color="auto" w:fill="auto"/>
        </w:tcPr>
        <w:p w:rsidR="00827AC8" w:rsidRPr="000F2196" w:rsidRDefault="00827AC8" w:rsidP="000F2196">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09-51091</w:t>
          </w:r>
          <w:r>
            <w:rPr>
              <w:b w:val="0"/>
              <w:w w:val="103"/>
            </w:rPr>
            <w:fldChar w:fldCharType="end"/>
          </w:r>
        </w:p>
      </w:tc>
    </w:tr>
  </w:tbl>
  <w:p w:rsidR="00827AC8" w:rsidRPr="000F2196" w:rsidRDefault="00827AC8" w:rsidP="000F219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27AC8" w:rsidTr="000F2196">
      <w:tblPrEx>
        <w:tblCellMar>
          <w:top w:w="0" w:type="dxa"/>
          <w:bottom w:w="0" w:type="dxa"/>
        </w:tblCellMar>
      </w:tblPrEx>
      <w:tc>
        <w:tcPr>
          <w:tcW w:w="5033" w:type="dxa"/>
          <w:shd w:val="clear" w:color="auto" w:fill="auto"/>
        </w:tcPr>
        <w:p w:rsidR="00827AC8" w:rsidRPr="000F2196" w:rsidRDefault="00827AC8" w:rsidP="000F2196">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09-51091</w:t>
          </w:r>
          <w:r>
            <w:rPr>
              <w:b w:val="0"/>
              <w:w w:val="103"/>
            </w:rPr>
            <w:fldChar w:fldCharType="end"/>
          </w:r>
        </w:p>
      </w:tc>
      <w:tc>
        <w:tcPr>
          <w:tcW w:w="5033" w:type="dxa"/>
          <w:shd w:val="clear" w:color="auto" w:fill="auto"/>
        </w:tcPr>
        <w:p w:rsidR="00827AC8" w:rsidRPr="000F2196" w:rsidRDefault="00827AC8" w:rsidP="000F2196">
          <w:pPr>
            <w:pStyle w:val="Footer"/>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827AC8" w:rsidRPr="000F2196" w:rsidRDefault="00827AC8" w:rsidP="000F219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827AC8">
      <w:tblPrEx>
        <w:tblCellMar>
          <w:top w:w="0" w:type="dxa"/>
          <w:bottom w:w="0" w:type="dxa"/>
        </w:tblCellMar>
      </w:tblPrEx>
      <w:tc>
        <w:tcPr>
          <w:tcW w:w="5033" w:type="dxa"/>
        </w:tcPr>
        <w:p w:rsidR="00827AC8" w:rsidRDefault="00827AC8" w:rsidP="000F2196">
          <w:pPr>
            <w:pStyle w:val="Footer"/>
            <w:spacing w:line="240" w:lineRule="atLeast"/>
            <w:rPr>
              <w:rFonts w:cs="Times New Roman"/>
              <w:b w:val="0"/>
              <w:w w:val="103"/>
              <w:sz w:val="20"/>
            </w:rPr>
          </w:pPr>
          <w:r w:rsidRPr="000F2196">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827AC8" w:rsidRDefault="00827AC8" w:rsidP="000F2196">
          <w:pPr>
            <w:pStyle w:val="Footer"/>
            <w:jc w:val="right"/>
            <w:rPr>
              <w:rFonts w:cs="Times New Roman"/>
              <w:b w:val="0"/>
              <w:w w:val="103"/>
              <w:sz w:val="20"/>
            </w:rPr>
          </w:pPr>
          <w:r>
            <w:rPr>
              <w:rFonts w:cs="Times New Roman"/>
              <w:b w:val="0"/>
              <w:w w:val="103"/>
              <w:sz w:val="20"/>
            </w:rPr>
            <w:t xml:space="preserve">061009    061009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09-51091 (A)</w:t>
          </w:r>
          <w:r>
            <w:rPr>
              <w:rFonts w:cs="Times New Roman"/>
              <w:b w:val="0"/>
              <w:w w:val="103"/>
              <w:sz w:val="20"/>
            </w:rPr>
            <w:fldChar w:fldCharType="end"/>
          </w:r>
        </w:p>
        <w:p w:rsidR="00827AC8" w:rsidRPr="000F2196" w:rsidRDefault="00827AC8" w:rsidP="000F2196">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*0951091*</w:t>
          </w:r>
          <w:r>
            <w:rPr>
              <w:rFonts w:ascii="Barcode 3 of 9 by request" w:hAnsi="Barcode 3 of 9 by request" w:cs="Times New Roman"/>
              <w:b w:val="0"/>
              <w:sz w:val="24"/>
            </w:rPr>
            <w:fldChar w:fldCharType="end"/>
          </w:r>
        </w:p>
      </w:tc>
    </w:tr>
  </w:tbl>
  <w:p w:rsidR="00827AC8" w:rsidRPr="000F2196" w:rsidRDefault="00827AC8" w:rsidP="000F2196">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7AC8" w:rsidRPr="008A54BB" w:rsidRDefault="00827AC8" w:rsidP="008A54BB">
      <w:pPr>
        <w:pStyle w:val="Footer"/>
        <w:bidi/>
        <w:spacing w:after="80"/>
        <w:ind w:left="792"/>
        <w:rPr>
          <w:sz w:val="16"/>
        </w:rPr>
      </w:pPr>
      <w:r w:rsidRPr="008A54BB">
        <w:rPr>
          <w:sz w:val="16"/>
          <w:rtl/>
        </w:rPr>
        <w:t>__________</w:t>
      </w:r>
    </w:p>
  </w:footnote>
  <w:footnote w:type="continuationSeparator" w:id="0">
    <w:p w:rsidR="00827AC8" w:rsidRPr="008A54BB" w:rsidRDefault="00827AC8" w:rsidP="008A54BB">
      <w:pPr>
        <w:pStyle w:val="Footer"/>
        <w:spacing w:after="80"/>
        <w:ind w:left="792"/>
        <w:rPr>
          <w:sz w:val="16"/>
        </w:rPr>
      </w:pPr>
      <w:r w:rsidRPr="008A54BB">
        <w:rPr>
          <w:sz w:val="16"/>
        </w:rPr>
        <w:t>__________</w:t>
      </w:r>
    </w:p>
  </w:footnote>
  <w:footnote w:id="1">
    <w:p w:rsidR="00827AC8" w:rsidRPr="006B014C" w:rsidRDefault="00827AC8" w:rsidP="006B014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6B014C">
        <w:rPr>
          <w:w w:val="103"/>
          <w:rtl/>
        </w:rPr>
        <w:t>(</w:t>
      </w:r>
      <w:r w:rsidRPr="006B014C">
        <w:rPr>
          <w:rStyle w:val="FootnoteReference"/>
          <w:spacing w:val="0"/>
          <w:w w:val="103"/>
          <w:vertAlign w:val="baseline"/>
          <w:rtl/>
        </w:rPr>
        <w:footnoteRef/>
      </w:r>
      <w:r w:rsidRPr="006B014C">
        <w:rPr>
          <w:w w:val="103"/>
          <w:rtl/>
        </w:rPr>
        <w:t>)</w:t>
      </w:r>
      <w:r w:rsidRPr="006B014C">
        <w:rPr>
          <w:w w:val="103"/>
          <w:rtl/>
        </w:rPr>
        <w:tab/>
        <w:t xml:space="preserve">انظر </w:t>
      </w:r>
      <w:r w:rsidRPr="006B014C">
        <w:rPr>
          <w:iCs/>
          <w:w w:val="103"/>
          <w:rtl/>
        </w:rPr>
        <w:t>الوثائق الرسمية للجمعية العامة</w:t>
      </w:r>
      <w:r w:rsidRPr="006B014C">
        <w:rPr>
          <w:rFonts w:hint="cs"/>
          <w:iCs/>
          <w:w w:val="103"/>
          <w:rtl/>
        </w:rPr>
        <w:t>، الدورة الثامنة والخمسون، الملحق رقم 38</w:t>
      </w:r>
      <w:r w:rsidRPr="006B014C">
        <w:rPr>
          <w:w w:val="103"/>
          <w:rtl/>
        </w:rPr>
        <w:t xml:space="preserve"> (</w:t>
      </w:r>
      <w:r w:rsidRPr="006B014C">
        <w:rPr>
          <w:w w:val="103"/>
        </w:rPr>
        <w:t>A/58/38</w:t>
      </w:r>
      <w:r w:rsidRPr="006B014C">
        <w:rPr>
          <w:w w:val="103"/>
          <w:rtl/>
        </w:rPr>
        <w:t xml:space="preserve">، الفقرة </w:t>
      </w:r>
      <w:r>
        <w:rPr>
          <w:rFonts w:hint="cs"/>
          <w:w w:val="103"/>
          <w:rtl/>
        </w:rPr>
        <w:t>61</w:t>
      </w:r>
      <w:r w:rsidRPr="006B014C">
        <w:rPr>
          <w:w w:val="103"/>
          <w:rtl/>
        </w:rPr>
        <w:t>).</w:t>
      </w:r>
    </w:p>
  </w:footnote>
  <w:footnote w:id="2">
    <w:p w:rsidR="00827AC8" w:rsidRPr="004743E8" w:rsidRDefault="00827AC8" w:rsidP="004743E8">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4743E8">
        <w:rPr>
          <w:w w:val="103"/>
          <w:rtl/>
        </w:rPr>
        <w:t>(</w:t>
      </w:r>
      <w:r w:rsidRPr="004743E8">
        <w:rPr>
          <w:rStyle w:val="FootnoteReference"/>
          <w:spacing w:val="0"/>
          <w:w w:val="103"/>
          <w:vertAlign w:val="baseline"/>
          <w:rtl/>
        </w:rPr>
        <w:footnoteRef/>
      </w:r>
      <w:r w:rsidRPr="004743E8">
        <w:rPr>
          <w:w w:val="103"/>
          <w:rtl/>
        </w:rPr>
        <w:t>)</w:t>
      </w:r>
      <w:r w:rsidRPr="004743E8">
        <w:rPr>
          <w:w w:val="103"/>
          <w:rtl/>
        </w:rPr>
        <w:tab/>
      </w:r>
      <w:r>
        <w:rPr>
          <w:rFonts w:hint="cs"/>
          <w:w w:val="103"/>
          <w:rtl/>
        </w:rPr>
        <w:t>المرجع نفسه، الفقرة 67.</w:t>
      </w:r>
    </w:p>
  </w:footnote>
  <w:footnote w:id="3">
    <w:p w:rsidR="00827AC8" w:rsidRPr="004E03A3" w:rsidRDefault="00827AC8" w:rsidP="004E03A3">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4E03A3">
        <w:rPr>
          <w:w w:val="103"/>
          <w:rtl/>
        </w:rPr>
        <w:t>(</w:t>
      </w:r>
      <w:r w:rsidRPr="004E03A3">
        <w:rPr>
          <w:rStyle w:val="FootnoteReference"/>
          <w:spacing w:val="0"/>
          <w:w w:val="103"/>
          <w:vertAlign w:val="baseline"/>
          <w:rtl/>
        </w:rPr>
        <w:footnoteRef/>
      </w:r>
      <w:r w:rsidRPr="004E03A3">
        <w:rPr>
          <w:w w:val="103"/>
          <w:rtl/>
        </w:rPr>
        <w:t>)</w:t>
      </w:r>
      <w:r w:rsidRPr="004E03A3">
        <w:rPr>
          <w:w w:val="103"/>
          <w:rtl/>
        </w:rPr>
        <w:tab/>
      </w:r>
      <w:r>
        <w:rPr>
          <w:rFonts w:hint="cs"/>
          <w:w w:val="103"/>
          <w:rtl/>
        </w:rPr>
        <w:t>المرجع نفسه، الفقرة 68.</w:t>
      </w:r>
    </w:p>
  </w:footnote>
  <w:footnote w:id="4">
    <w:p w:rsidR="00827AC8" w:rsidRPr="002D4288" w:rsidRDefault="00827AC8" w:rsidP="002D4288">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2D4288">
        <w:rPr>
          <w:w w:val="103"/>
          <w:rtl/>
        </w:rPr>
        <w:t>(</w:t>
      </w:r>
      <w:r w:rsidRPr="002D4288">
        <w:rPr>
          <w:rStyle w:val="FootnoteReference"/>
          <w:spacing w:val="0"/>
          <w:w w:val="103"/>
          <w:vertAlign w:val="baseline"/>
          <w:rtl/>
        </w:rPr>
        <w:footnoteRef/>
      </w:r>
      <w:r w:rsidRPr="002D4288">
        <w:rPr>
          <w:w w:val="103"/>
          <w:rtl/>
        </w:rPr>
        <w:t>)</w:t>
      </w:r>
      <w:r w:rsidRPr="002D4288">
        <w:rPr>
          <w:w w:val="103"/>
          <w:rtl/>
        </w:rPr>
        <w:tab/>
      </w:r>
      <w:r>
        <w:rPr>
          <w:rFonts w:hint="cs"/>
          <w:w w:val="103"/>
          <w:rtl/>
        </w:rPr>
        <w:t>المرجع نفسه، الفقرة 70.</w:t>
      </w:r>
    </w:p>
  </w:footnote>
  <w:footnote w:id="5">
    <w:p w:rsidR="00827AC8" w:rsidRPr="005017FA" w:rsidRDefault="00827AC8" w:rsidP="005017FA">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5017FA">
        <w:rPr>
          <w:w w:val="103"/>
          <w:rtl/>
        </w:rPr>
        <w:t>(</w:t>
      </w:r>
      <w:r w:rsidRPr="005017FA">
        <w:rPr>
          <w:rStyle w:val="FootnoteReference"/>
          <w:spacing w:val="0"/>
          <w:w w:val="103"/>
          <w:vertAlign w:val="baseline"/>
          <w:rtl/>
        </w:rPr>
        <w:footnoteRef/>
      </w:r>
      <w:r w:rsidRPr="005017FA">
        <w:rPr>
          <w:w w:val="103"/>
          <w:rtl/>
        </w:rPr>
        <w:t>)</w:t>
      </w:r>
      <w:r w:rsidRPr="005017FA">
        <w:rPr>
          <w:w w:val="103"/>
          <w:rtl/>
        </w:rPr>
        <w:tab/>
      </w:r>
      <w:r>
        <w:rPr>
          <w:rFonts w:hint="cs"/>
          <w:w w:val="103"/>
          <w:rtl/>
        </w:rPr>
        <w:t>المرجع نفسه، الفقرة 75.</w:t>
      </w:r>
    </w:p>
  </w:footnote>
  <w:footnote w:id="6">
    <w:p w:rsidR="00827AC8" w:rsidRPr="008A54BB" w:rsidRDefault="00827AC8" w:rsidP="008A54BB">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8A54BB">
        <w:rPr>
          <w:w w:val="103"/>
          <w:rtl/>
        </w:rPr>
        <w:t>(</w:t>
      </w:r>
      <w:r w:rsidRPr="008A54BB">
        <w:rPr>
          <w:rStyle w:val="FootnoteReference"/>
          <w:spacing w:val="0"/>
          <w:w w:val="103"/>
          <w:vertAlign w:val="baseline"/>
          <w:rtl/>
        </w:rPr>
        <w:footnoteRef/>
      </w:r>
      <w:r w:rsidRPr="008A54BB">
        <w:rPr>
          <w:w w:val="103"/>
          <w:rtl/>
        </w:rPr>
        <w:t>)</w:t>
      </w:r>
      <w:r w:rsidRPr="008A54BB">
        <w:rPr>
          <w:w w:val="103"/>
          <w:rtl/>
        </w:rPr>
        <w:tab/>
      </w:r>
      <w:r>
        <w:rPr>
          <w:rFonts w:hint="cs"/>
          <w:w w:val="103"/>
          <w:rtl/>
        </w:rPr>
        <w:t>المرجع نفسه، الفقرة 77.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827AC8" w:rsidTr="000F2196">
      <w:tblPrEx>
        <w:tblCellMar>
          <w:top w:w="0" w:type="dxa"/>
          <w:bottom w:w="0" w:type="dxa"/>
        </w:tblCellMar>
      </w:tblPrEx>
      <w:trPr>
        <w:trHeight w:hRule="exact" w:val="864"/>
        <w:jc w:val="center"/>
      </w:trPr>
      <w:tc>
        <w:tcPr>
          <w:tcW w:w="4925" w:type="dxa"/>
          <w:shd w:val="clear" w:color="auto" w:fill="auto"/>
          <w:vAlign w:val="bottom"/>
        </w:tcPr>
        <w:p w:rsidR="00827AC8" w:rsidRDefault="00827AC8" w:rsidP="000F2196">
          <w:pPr>
            <w:pStyle w:val="Header"/>
            <w:bidi/>
            <w:jc w:val="right"/>
          </w:pPr>
        </w:p>
      </w:tc>
      <w:tc>
        <w:tcPr>
          <w:tcW w:w="4925" w:type="dxa"/>
          <w:shd w:val="clear" w:color="auto" w:fill="auto"/>
          <w:vAlign w:val="bottom"/>
        </w:tcPr>
        <w:p w:rsidR="00827AC8" w:rsidRPr="000F2196" w:rsidRDefault="00827AC8" w:rsidP="000F2196">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CEDAW/C/ALB/Q/3</w:t>
          </w:r>
          <w:r>
            <w:rPr>
              <w:w w:val="103"/>
            </w:rPr>
            <w:fldChar w:fldCharType="end"/>
          </w:r>
        </w:p>
      </w:tc>
    </w:tr>
  </w:tbl>
  <w:p w:rsidR="00827AC8" w:rsidRPr="000F2196" w:rsidRDefault="00827AC8" w:rsidP="000F219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827AC8" w:rsidTr="000F2196">
      <w:tblPrEx>
        <w:tblCellMar>
          <w:top w:w="0" w:type="dxa"/>
          <w:bottom w:w="0" w:type="dxa"/>
        </w:tblCellMar>
      </w:tblPrEx>
      <w:trPr>
        <w:trHeight w:hRule="exact" w:val="864"/>
        <w:jc w:val="center"/>
      </w:trPr>
      <w:tc>
        <w:tcPr>
          <w:tcW w:w="4925" w:type="dxa"/>
          <w:shd w:val="clear" w:color="auto" w:fill="auto"/>
          <w:vAlign w:val="bottom"/>
        </w:tcPr>
        <w:p w:rsidR="00827AC8" w:rsidRPr="000F2196" w:rsidRDefault="00827AC8" w:rsidP="000F2196">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CEDAW/C/ALB/Q/3</w:t>
          </w:r>
          <w:r>
            <w:rPr>
              <w:w w:val="103"/>
            </w:rPr>
            <w:fldChar w:fldCharType="end"/>
          </w:r>
        </w:p>
      </w:tc>
      <w:tc>
        <w:tcPr>
          <w:tcW w:w="4925" w:type="dxa"/>
          <w:shd w:val="clear" w:color="auto" w:fill="auto"/>
          <w:vAlign w:val="bottom"/>
        </w:tcPr>
        <w:p w:rsidR="00827AC8" w:rsidRDefault="00827AC8" w:rsidP="000F2196">
          <w:pPr>
            <w:pStyle w:val="Header"/>
          </w:pPr>
        </w:p>
      </w:tc>
    </w:tr>
  </w:tbl>
  <w:p w:rsidR="00827AC8" w:rsidRPr="000F2196" w:rsidRDefault="00827AC8" w:rsidP="000F219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27AC8" w:rsidTr="000F2196">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827AC8" w:rsidRDefault="00827AC8" w:rsidP="000F2196">
          <w:pPr>
            <w:pStyle w:val="Header"/>
            <w:spacing w:after="120"/>
          </w:pPr>
        </w:p>
      </w:tc>
      <w:tc>
        <w:tcPr>
          <w:tcW w:w="1786" w:type="dxa"/>
          <w:tcBorders>
            <w:bottom w:val="single" w:sz="4" w:space="0" w:color="auto"/>
          </w:tcBorders>
          <w:shd w:val="clear" w:color="auto" w:fill="auto"/>
          <w:vAlign w:val="bottom"/>
        </w:tcPr>
        <w:p w:rsidR="00827AC8" w:rsidRPr="000F2196" w:rsidRDefault="00827AC8" w:rsidP="000F2196">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27AC8" w:rsidRDefault="00827AC8" w:rsidP="000F2196">
          <w:pPr>
            <w:pStyle w:val="Header"/>
            <w:spacing w:after="120"/>
          </w:pPr>
        </w:p>
      </w:tc>
      <w:tc>
        <w:tcPr>
          <w:tcW w:w="6523" w:type="dxa"/>
          <w:gridSpan w:val="3"/>
          <w:tcBorders>
            <w:bottom w:val="single" w:sz="4" w:space="0" w:color="auto"/>
          </w:tcBorders>
          <w:shd w:val="clear" w:color="auto" w:fill="auto"/>
          <w:vAlign w:val="bottom"/>
        </w:tcPr>
        <w:p w:rsidR="00827AC8" w:rsidRPr="000F2196" w:rsidRDefault="00827AC8" w:rsidP="000F2196">
          <w:pPr>
            <w:spacing w:line="380" w:lineRule="exact"/>
            <w:jc w:val="right"/>
          </w:pPr>
          <w:r>
            <w:rPr>
              <w:sz w:val="40"/>
            </w:rPr>
            <w:t>CEDAW</w:t>
          </w:r>
          <w:r>
            <w:t>/C/ALB/Q/3</w:t>
          </w:r>
        </w:p>
      </w:tc>
    </w:tr>
    <w:tr w:rsidR="00827AC8" w:rsidRPr="000F2196" w:rsidTr="000F2196">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827AC8" w:rsidRDefault="00827AC8" w:rsidP="000F2196">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27AC8" w:rsidRPr="000F2196" w:rsidRDefault="00827AC8" w:rsidP="000F2196">
          <w:pPr>
            <w:pStyle w:val="Header"/>
            <w:spacing w:before="109"/>
            <w:jc w:val="right"/>
          </w:pPr>
        </w:p>
      </w:tc>
      <w:tc>
        <w:tcPr>
          <w:tcW w:w="5227" w:type="dxa"/>
          <w:gridSpan w:val="3"/>
          <w:tcBorders>
            <w:top w:val="single" w:sz="4" w:space="0" w:color="auto"/>
            <w:bottom w:val="single" w:sz="12" w:space="0" w:color="auto"/>
          </w:tcBorders>
          <w:shd w:val="clear" w:color="auto" w:fill="auto"/>
        </w:tcPr>
        <w:p w:rsidR="00827AC8" w:rsidRPr="000F2196" w:rsidRDefault="00827AC8" w:rsidP="000F2196">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827AC8" w:rsidRPr="000F2196" w:rsidRDefault="00827AC8" w:rsidP="000F2196">
          <w:pPr>
            <w:pStyle w:val="Header"/>
            <w:spacing w:before="109"/>
          </w:pPr>
        </w:p>
      </w:tc>
      <w:tc>
        <w:tcPr>
          <w:tcW w:w="3100" w:type="dxa"/>
          <w:gridSpan w:val="2"/>
          <w:tcBorders>
            <w:top w:val="single" w:sz="4" w:space="0" w:color="auto"/>
            <w:bottom w:val="single" w:sz="12" w:space="0" w:color="auto"/>
          </w:tcBorders>
          <w:shd w:val="clear" w:color="auto" w:fill="auto"/>
        </w:tcPr>
        <w:p w:rsidR="00827AC8" w:rsidRDefault="00827AC8" w:rsidP="000F2196">
          <w:pPr>
            <w:bidi w:val="0"/>
            <w:spacing w:before="240" w:line="240" w:lineRule="exact"/>
          </w:pPr>
          <w:r>
            <w:t>Distr.: General</w:t>
          </w:r>
        </w:p>
        <w:p w:rsidR="00827AC8" w:rsidRDefault="00827AC8" w:rsidP="000F2196">
          <w:pPr>
            <w:bidi w:val="0"/>
            <w:spacing w:line="240" w:lineRule="exact"/>
            <w:jc w:val="left"/>
          </w:pPr>
          <w:r>
            <w:t>14 September 2009</w:t>
          </w:r>
        </w:p>
        <w:p w:rsidR="00827AC8" w:rsidRDefault="00827AC8" w:rsidP="000F2196">
          <w:pPr>
            <w:bidi w:val="0"/>
            <w:spacing w:line="240" w:lineRule="exact"/>
            <w:jc w:val="left"/>
          </w:pPr>
          <w:r>
            <w:t>Arabic</w:t>
          </w:r>
        </w:p>
        <w:p w:rsidR="00827AC8" w:rsidRPr="000F2196" w:rsidRDefault="00827AC8" w:rsidP="000F2196">
          <w:pPr>
            <w:bidi w:val="0"/>
            <w:spacing w:line="240" w:lineRule="exact"/>
            <w:jc w:val="left"/>
          </w:pPr>
          <w:r>
            <w:t>Original: English</w:t>
          </w:r>
        </w:p>
      </w:tc>
    </w:tr>
  </w:tbl>
  <w:p w:rsidR="00827AC8" w:rsidRPr="000F2196" w:rsidRDefault="00827AC8" w:rsidP="000F219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51091*"/>
    <w:docVar w:name="CreationDt" w:val="06/10/2009 04:184 م"/>
    <w:docVar w:name="DocCategory" w:val="Doc"/>
    <w:docVar w:name="DocType" w:val="Final"/>
    <w:docVar w:name="FooterJN" w:val="09-51091"/>
    <w:docVar w:name="Jobn" w:val="09-51091 (A)"/>
    <w:docVar w:name="jobnDT" w:val="09-51091 (A)   061009"/>
    <w:docVar w:name="jobnDTDT" w:val="09-51091 (A)   061009   061009"/>
    <w:docVar w:name="JobNo" w:val="0951091A"/>
    <w:docVar w:name="OandT" w:val=" "/>
    <w:docVar w:name="sss1" w:val="CEDAW/C/ALB/Q/3"/>
    <w:docVar w:name="sss2" w:val="-"/>
    <w:docVar w:name="Symbol1" w:val="CEDAW/C/ALB/Q/3"/>
    <w:docVar w:name="Symbol2" w:val="-"/>
  </w:docVars>
  <w:rsids>
    <w:rsidRoot w:val="003F43D9"/>
    <w:rsid w:val="000170D3"/>
    <w:rsid w:val="000311C9"/>
    <w:rsid w:val="00042425"/>
    <w:rsid w:val="0006648F"/>
    <w:rsid w:val="000723C4"/>
    <w:rsid w:val="00087310"/>
    <w:rsid w:val="00096EB8"/>
    <w:rsid w:val="0009732C"/>
    <w:rsid w:val="000C4EED"/>
    <w:rsid w:val="000D2CEC"/>
    <w:rsid w:val="000F2196"/>
    <w:rsid w:val="00101EE8"/>
    <w:rsid w:val="00113349"/>
    <w:rsid w:val="0012522B"/>
    <w:rsid w:val="001519A9"/>
    <w:rsid w:val="001568A8"/>
    <w:rsid w:val="001737F8"/>
    <w:rsid w:val="001775EA"/>
    <w:rsid w:val="0018030C"/>
    <w:rsid w:val="00187870"/>
    <w:rsid w:val="001B247F"/>
    <w:rsid w:val="001E5A5A"/>
    <w:rsid w:val="001E5A7A"/>
    <w:rsid w:val="001F6786"/>
    <w:rsid w:val="00236A29"/>
    <w:rsid w:val="002416C5"/>
    <w:rsid w:val="0025002E"/>
    <w:rsid w:val="00266F59"/>
    <w:rsid w:val="00272B6C"/>
    <w:rsid w:val="0027623A"/>
    <w:rsid w:val="00290F2F"/>
    <w:rsid w:val="002937DA"/>
    <w:rsid w:val="002A09C6"/>
    <w:rsid w:val="002B3333"/>
    <w:rsid w:val="002C128F"/>
    <w:rsid w:val="002C2AF2"/>
    <w:rsid w:val="002C4E1B"/>
    <w:rsid w:val="002D4288"/>
    <w:rsid w:val="002E1490"/>
    <w:rsid w:val="002F0573"/>
    <w:rsid w:val="00312162"/>
    <w:rsid w:val="003501D5"/>
    <w:rsid w:val="00371AC4"/>
    <w:rsid w:val="00383CA8"/>
    <w:rsid w:val="003A65ED"/>
    <w:rsid w:val="003D4612"/>
    <w:rsid w:val="003E26D7"/>
    <w:rsid w:val="003F43D9"/>
    <w:rsid w:val="003F4B8C"/>
    <w:rsid w:val="00401BDF"/>
    <w:rsid w:val="00411BBD"/>
    <w:rsid w:val="00415922"/>
    <w:rsid w:val="00423BD7"/>
    <w:rsid w:val="0042757D"/>
    <w:rsid w:val="00437C14"/>
    <w:rsid w:val="004527C9"/>
    <w:rsid w:val="00453069"/>
    <w:rsid w:val="0047018C"/>
    <w:rsid w:val="004743E8"/>
    <w:rsid w:val="00483F5B"/>
    <w:rsid w:val="00490874"/>
    <w:rsid w:val="00494EE2"/>
    <w:rsid w:val="00496E83"/>
    <w:rsid w:val="004A2886"/>
    <w:rsid w:val="004B14A0"/>
    <w:rsid w:val="004D1B0C"/>
    <w:rsid w:val="004E03A3"/>
    <w:rsid w:val="004F0D2B"/>
    <w:rsid w:val="004F1402"/>
    <w:rsid w:val="004F75CD"/>
    <w:rsid w:val="005017FA"/>
    <w:rsid w:val="0050659B"/>
    <w:rsid w:val="00521CAC"/>
    <w:rsid w:val="00523CA8"/>
    <w:rsid w:val="00524A2E"/>
    <w:rsid w:val="005279DE"/>
    <w:rsid w:val="00534772"/>
    <w:rsid w:val="00537FCD"/>
    <w:rsid w:val="00545F76"/>
    <w:rsid w:val="005545BB"/>
    <w:rsid w:val="00556882"/>
    <w:rsid w:val="00561E43"/>
    <w:rsid w:val="0057078E"/>
    <w:rsid w:val="005838F5"/>
    <w:rsid w:val="00591B45"/>
    <w:rsid w:val="005A0F73"/>
    <w:rsid w:val="005A2EA3"/>
    <w:rsid w:val="005C2ECE"/>
    <w:rsid w:val="005C7ED8"/>
    <w:rsid w:val="006007BD"/>
    <w:rsid w:val="00616E82"/>
    <w:rsid w:val="006218A3"/>
    <w:rsid w:val="00643C4A"/>
    <w:rsid w:val="006564CE"/>
    <w:rsid w:val="00663F64"/>
    <w:rsid w:val="00692B46"/>
    <w:rsid w:val="00696B7A"/>
    <w:rsid w:val="006A1E4E"/>
    <w:rsid w:val="006B014C"/>
    <w:rsid w:val="006B7AA8"/>
    <w:rsid w:val="006C38EE"/>
    <w:rsid w:val="00700F06"/>
    <w:rsid w:val="0071531E"/>
    <w:rsid w:val="0071645B"/>
    <w:rsid w:val="00716E9D"/>
    <w:rsid w:val="00747B9E"/>
    <w:rsid w:val="007524BE"/>
    <w:rsid w:val="007525FA"/>
    <w:rsid w:val="00770CF8"/>
    <w:rsid w:val="00774FF0"/>
    <w:rsid w:val="0079046D"/>
    <w:rsid w:val="0079753A"/>
    <w:rsid w:val="007A6DD9"/>
    <w:rsid w:val="007D60E0"/>
    <w:rsid w:val="007D6B8D"/>
    <w:rsid w:val="007E32B9"/>
    <w:rsid w:val="0081284F"/>
    <w:rsid w:val="00814843"/>
    <w:rsid w:val="008170DE"/>
    <w:rsid w:val="00827AC8"/>
    <w:rsid w:val="00830E32"/>
    <w:rsid w:val="00845A14"/>
    <w:rsid w:val="00873A11"/>
    <w:rsid w:val="00873AF9"/>
    <w:rsid w:val="0088317F"/>
    <w:rsid w:val="008A3FCA"/>
    <w:rsid w:val="008A54BB"/>
    <w:rsid w:val="008D1C04"/>
    <w:rsid w:val="008F04A0"/>
    <w:rsid w:val="008F64A7"/>
    <w:rsid w:val="0090012B"/>
    <w:rsid w:val="0090351F"/>
    <w:rsid w:val="00955CA3"/>
    <w:rsid w:val="00964FA8"/>
    <w:rsid w:val="00970BAD"/>
    <w:rsid w:val="009768D1"/>
    <w:rsid w:val="009829B7"/>
    <w:rsid w:val="009927C0"/>
    <w:rsid w:val="009961E6"/>
    <w:rsid w:val="009B6C65"/>
    <w:rsid w:val="009B752D"/>
    <w:rsid w:val="009C0017"/>
    <w:rsid w:val="009C15F4"/>
    <w:rsid w:val="009D62A3"/>
    <w:rsid w:val="009E2A1F"/>
    <w:rsid w:val="009F5698"/>
    <w:rsid w:val="00A37C4B"/>
    <w:rsid w:val="00A41C70"/>
    <w:rsid w:val="00A56F63"/>
    <w:rsid w:val="00A66F66"/>
    <w:rsid w:val="00A71AE5"/>
    <w:rsid w:val="00A77F16"/>
    <w:rsid w:val="00AA1E16"/>
    <w:rsid w:val="00AC002C"/>
    <w:rsid w:val="00AC6CDD"/>
    <w:rsid w:val="00AD38D0"/>
    <w:rsid w:val="00AE108C"/>
    <w:rsid w:val="00AE5AE2"/>
    <w:rsid w:val="00AF1A53"/>
    <w:rsid w:val="00AF7AC7"/>
    <w:rsid w:val="00B05ADC"/>
    <w:rsid w:val="00B272BE"/>
    <w:rsid w:val="00B9542C"/>
    <w:rsid w:val="00B95560"/>
    <w:rsid w:val="00BA7FAB"/>
    <w:rsid w:val="00BC2F4C"/>
    <w:rsid w:val="00BC4A05"/>
    <w:rsid w:val="00BC567D"/>
    <w:rsid w:val="00BF0B15"/>
    <w:rsid w:val="00C12CBB"/>
    <w:rsid w:val="00C25A2D"/>
    <w:rsid w:val="00C260F8"/>
    <w:rsid w:val="00C41814"/>
    <w:rsid w:val="00C43FBE"/>
    <w:rsid w:val="00C449C6"/>
    <w:rsid w:val="00C553BC"/>
    <w:rsid w:val="00C564B0"/>
    <w:rsid w:val="00C6283F"/>
    <w:rsid w:val="00C71487"/>
    <w:rsid w:val="00C814A5"/>
    <w:rsid w:val="00C855F6"/>
    <w:rsid w:val="00C96573"/>
    <w:rsid w:val="00CA4791"/>
    <w:rsid w:val="00CD0BB8"/>
    <w:rsid w:val="00CD3849"/>
    <w:rsid w:val="00CF7384"/>
    <w:rsid w:val="00D2343D"/>
    <w:rsid w:val="00D30EAE"/>
    <w:rsid w:val="00D318F1"/>
    <w:rsid w:val="00D40B0E"/>
    <w:rsid w:val="00D44FE0"/>
    <w:rsid w:val="00D66413"/>
    <w:rsid w:val="00DA66B7"/>
    <w:rsid w:val="00DB0865"/>
    <w:rsid w:val="00DE5433"/>
    <w:rsid w:val="00DE68A7"/>
    <w:rsid w:val="00DF5A43"/>
    <w:rsid w:val="00DF5F38"/>
    <w:rsid w:val="00E152C3"/>
    <w:rsid w:val="00E23336"/>
    <w:rsid w:val="00E31661"/>
    <w:rsid w:val="00E32B52"/>
    <w:rsid w:val="00E47EB8"/>
    <w:rsid w:val="00E704FD"/>
    <w:rsid w:val="00E750E1"/>
    <w:rsid w:val="00E9114A"/>
    <w:rsid w:val="00EA489C"/>
    <w:rsid w:val="00EA7B59"/>
    <w:rsid w:val="00EB0CA7"/>
    <w:rsid w:val="00EB4992"/>
    <w:rsid w:val="00EF2E52"/>
    <w:rsid w:val="00F031FB"/>
    <w:rsid w:val="00F235DE"/>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Normal"/>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0F2196"/>
    <w:rPr>
      <w:szCs w:val="20"/>
    </w:rPr>
  </w:style>
  <w:style w:type="paragraph" w:styleId="CommentSubject">
    <w:name w:val="annotation subject"/>
    <w:basedOn w:val="CommentText"/>
    <w:next w:val="CommentText"/>
    <w:semiHidden/>
    <w:rsid w:val="000F219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9</Pages>
  <Words>2563</Words>
  <Characters>13510</Characters>
  <Application>Microsoft Office Word</Application>
  <DocSecurity>4</DocSecurity>
  <Lines>241</Lines>
  <Paragraphs>63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16010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Mo'men.Hanna</dc:creator>
  <cp:keywords/>
  <dc:description/>
  <cp:lastModifiedBy>ATS User</cp:lastModifiedBy>
  <cp:revision>4</cp:revision>
  <cp:lastPrinted>2009-10-06T16:35:00Z</cp:lastPrinted>
  <dcterms:created xsi:type="dcterms:W3CDTF">2009-10-06T18:07:00Z</dcterms:created>
  <dcterms:modified xsi:type="dcterms:W3CDTF">2009-10-06T18:19:00Z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CEDAW/C/ALB/Q/3</vt:lpwstr>
  </property>
  <property fmtid="{D5CDD505-2E9C-101B-9397-08002B2CF9AE}" pid="3" name="Symbol2">
    <vt:lpwstr/>
  </property>
  <property fmtid="{D5CDD505-2E9C-101B-9397-08002B2CF9AE}" pid="4" name="Translator">
    <vt:lpwstr/>
  </property>
  <property fmtid="{D5CDD505-2E9C-101B-9397-08002B2CF9AE}" pid="5" name="JobNo">
    <vt:lpwstr>0951091A</vt:lpwstr>
  </property>
  <property fmtid="{D5CDD505-2E9C-101B-9397-08002B2CF9AE}" pid="6" name="Comment">
    <vt:lpwstr>تصويب وفاينال</vt:lpwstr>
  </property>
  <property fmtid="{D5CDD505-2E9C-101B-9397-08002B2CF9AE}" pid="7" name="DraftPages">
    <vt:lpwstr> 9</vt:lpwstr>
  </property>
  <property fmtid="{D5CDD505-2E9C-101B-9397-08002B2CF9AE}" pid="8" name="Operator">
    <vt:lpwstr>دهب</vt:lpwstr>
  </property>
</Properties>
</file>