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E0F" w:rsidRDefault="00046E0F" w:rsidP="00046E0F">
      <w:pPr>
        <w:spacing w:line="240" w:lineRule="auto"/>
        <w:rPr>
          <w:sz w:val="2"/>
        </w:rPr>
        <w:sectPr w:rsidR="00046E0F" w:rsidSect="00046E0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046E0F" w:rsidRDefault="00046E0F" w:rsidP="00046E0F">
      <w:pPr>
        <w:pStyle w:val="H1"/>
      </w:pPr>
      <w:r>
        <w:lastRenderedPageBreak/>
        <w:t>Comité pour l’élimination de la discrimination raciale</w:t>
      </w:r>
    </w:p>
    <w:p w:rsidR="006C433D" w:rsidRPr="00A233B8" w:rsidRDefault="006C433D" w:rsidP="006C43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233B8">
        <w:t>Quatre-vingt-huitième session</w:t>
      </w:r>
    </w:p>
    <w:p w:rsidR="006C433D" w:rsidRPr="00A233B8" w:rsidRDefault="006C433D" w:rsidP="006C433D">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23 novembre-</w:t>
      </w:r>
      <w:r w:rsidRPr="00A233B8">
        <w:t>11 décembre 2015</w:t>
      </w:r>
    </w:p>
    <w:p w:rsidR="006C433D" w:rsidRPr="00A233B8" w:rsidRDefault="006C433D" w:rsidP="006C433D">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233B8">
        <w:t>Point 4 de l</w:t>
      </w:r>
      <w:r>
        <w:t>’</w:t>
      </w:r>
      <w:r w:rsidRPr="00A233B8">
        <w:t>ordre du jour provisoire</w:t>
      </w:r>
    </w:p>
    <w:p w:rsidR="006C433D" w:rsidRDefault="006C433D" w:rsidP="006C43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233B8">
        <w:t>Examen des rapports, observations et renseignements soumis</w:t>
      </w:r>
      <w:r>
        <w:t xml:space="preserve"> </w:t>
      </w:r>
      <w:r>
        <w:br/>
      </w:r>
      <w:r w:rsidRPr="00A233B8">
        <w:t>par les</w:t>
      </w:r>
      <w:r>
        <w:t xml:space="preserve"> </w:t>
      </w:r>
      <w:r w:rsidR="00136BA1" w:rsidRPr="00A233B8">
        <w:t>États</w:t>
      </w:r>
      <w:r w:rsidRPr="00A233B8">
        <w:t xml:space="preserve"> parties en application de l</w:t>
      </w:r>
      <w:r>
        <w:t>’article 9 de la Convention</w:t>
      </w:r>
    </w:p>
    <w:p w:rsidR="006C433D" w:rsidRPr="006C433D" w:rsidRDefault="006C433D" w:rsidP="006C433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C433D" w:rsidRPr="006C433D" w:rsidRDefault="006C433D" w:rsidP="006C433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C433D" w:rsidRPr="006C433D" w:rsidRDefault="006C433D" w:rsidP="006C433D">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C433D" w:rsidRDefault="006C433D" w:rsidP="006C43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33B8">
        <w:tab/>
      </w:r>
      <w:r w:rsidRPr="00A233B8">
        <w:tab/>
        <w:t>Liste de thèmes concernant les huitième à onzième rapports périodiques de la Slovénie, présentés en un seul document (CERD/C/SVN/8-11)</w:t>
      </w:r>
    </w:p>
    <w:p w:rsidR="006C433D" w:rsidRPr="006C433D" w:rsidRDefault="006C433D" w:rsidP="006C43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C433D" w:rsidRPr="006C433D" w:rsidRDefault="006C433D" w:rsidP="006C43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46E0F" w:rsidRDefault="006C433D" w:rsidP="006C433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233B8">
        <w:tab/>
      </w:r>
      <w:r w:rsidRPr="00A233B8">
        <w:tab/>
        <w:t>Note du Rapporteur pour la Slovénie</w:t>
      </w:r>
    </w:p>
    <w:p w:rsidR="006C433D" w:rsidRPr="006C433D" w:rsidRDefault="006C433D" w:rsidP="006C433D">
      <w:pPr>
        <w:spacing w:line="120" w:lineRule="exact"/>
        <w:rPr>
          <w:sz w:val="10"/>
        </w:rPr>
      </w:pPr>
    </w:p>
    <w:tbl>
      <w:tblPr>
        <w:tblW w:w="751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11"/>
      </w:tblGrid>
      <w:tr w:rsidR="006C433D" w:rsidTr="006C433D">
        <w:tc>
          <w:tcPr>
            <w:tcW w:w="7511" w:type="dxa"/>
            <w:shd w:val="clear" w:color="auto" w:fill="auto"/>
          </w:tcPr>
          <w:p w:rsidR="006C433D" w:rsidRPr="00DE45B6" w:rsidRDefault="006C433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6C433D" w:rsidRDefault="002A6E2C"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Pr>
                <w:lang w:val="fr-FR"/>
              </w:rPr>
              <w:tab/>
            </w:r>
            <w:r w:rsidR="006C433D" w:rsidRPr="006C433D">
              <w:rPr>
                <w:lang w:val="fr-FR"/>
              </w:rPr>
              <w:t>À sa soixante-seizième session, le Comité pour l’élimination de la discrimination raciale a décidé (A/65/18, par. 85)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tc>
      </w:tr>
      <w:tr w:rsidR="006C433D" w:rsidTr="006C433D">
        <w:trPr>
          <w:trHeight w:hRule="exact" w:val="115"/>
        </w:trPr>
        <w:tc>
          <w:tcPr>
            <w:tcW w:w="7511" w:type="dxa"/>
            <w:shd w:val="clear" w:color="auto" w:fill="auto"/>
          </w:tcPr>
          <w:p w:rsidR="006C433D" w:rsidRDefault="006C433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6C433D" w:rsidRPr="007927D7" w:rsidRDefault="006C433D" w:rsidP="007927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7927D7" w:rsidRPr="007927D7" w:rsidRDefault="007927D7" w:rsidP="007927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6C433D" w:rsidRDefault="006C433D" w:rsidP="006C43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33D">
        <w:rPr>
          <w:lang w:val="fr-FR"/>
        </w:rPr>
        <w:tab/>
        <w:t>1.</w:t>
      </w:r>
      <w:r w:rsidRPr="006C433D">
        <w:rPr>
          <w:lang w:val="fr-FR"/>
        </w:rPr>
        <w:tab/>
        <w:t>Statistiques fiables et ventilées sur la composition de la population</w:t>
      </w:r>
    </w:p>
    <w:p w:rsidR="006C433D" w:rsidRPr="006C433D" w:rsidRDefault="006C433D" w:rsidP="006C43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6C433D" w:rsidRDefault="006C433D" w:rsidP="006C433D">
      <w:pPr>
        <w:pStyle w:val="SingleTxt"/>
        <w:rPr>
          <w:lang w:val="fr-FR"/>
        </w:rPr>
      </w:pPr>
      <w:r w:rsidRPr="006C433D">
        <w:rPr>
          <w:lang w:val="fr-FR"/>
        </w:rPr>
        <w:tab/>
        <w:t>Données ventilées actualisées concernant l’exercice effectif des droits consacrés par la Convention par les personnes et les groupes défavorisés et marginalisés, en particulier données statistiques permettant d’évaluer la progression de l’exercice des droits des Roms dans les domaines de l’éducation, du logement, de la sa</w:t>
      </w:r>
      <w:bookmarkStart w:id="2" w:name="insstart"/>
      <w:bookmarkEnd w:id="2"/>
      <w:r w:rsidRPr="006C433D">
        <w:rPr>
          <w:lang w:val="fr-FR"/>
        </w:rPr>
        <w:t>nté et de l’emploi, dans le plein respect de la vie privée et de l’anonymat des intéressés (CERD/C/SVN/CO/6-7, par. 7).</w:t>
      </w:r>
    </w:p>
    <w:p w:rsidR="006C433D" w:rsidRPr="006C433D" w:rsidRDefault="006C433D" w:rsidP="006C433D">
      <w:pPr>
        <w:pStyle w:val="SingleTxt"/>
        <w:spacing w:after="0" w:line="120" w:lineRule="exact"/>
        <w:rPr>
          <w:sz w:val="10"/>
          <w:lang w:val="fr-FR"/>
        </w:rPr>
      </w:pPr>
    </w:p>
    <w:p w:rsidR="006C433D" w:rsidRDefault="006C433D" w:rsidP="006C43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33D">
        <w:rPr>
          <w:lang w:val="fr-FR"/>
        </w:rPr>
        <w:tab/>
        <w:t>2.</w:t>
      </w:r>
      <w:r w:rsidRPr="006C433D">
        <w:rPr>
          <w:lang w:val="fr-FR"/>
        </w:rPr>
        <w:tab/>
        <w:t xml:space="preserve">Cadre juridique national, politiques et programmes de lutte </w:t>
      </w:r>
      <w:r>
        <w:rPr>
          <w:lang w:val="fr-FR"/>
        </w:rPr>
        <w:br/>
      </w:r>
      <w:r w:rsidRPr="006C433D">
        <w:rPr>
          <w:lang w:val="fr-FR"/>
        </w:rPr>
        <w:t>contre la discrimination raciale (art. 2, 4 et 5)</w:t>
      </w:r>
    </w:p>
    <w:p w:rsidR="006C433D" w:rsidRPr="006C433D" w:rsidRDefault="006C433D" w:rsidP="006C433D">
      <w:pPr>
        <w:pStyle w:val="SingleTxt"/>
        <w:spacing w:after="0" w:line="120" w:lineRule="exact"/>
        <w:rPr>
          <w:sz w:val="10"/>
          <w:lang w:val="fr-FR"/>
        </w:rPr>
      </w:pPr>
    </w:p>
    <w:p w:rsidR="006C433D" w:rsidRPr="006C433D" w:rsidRDefault="006C433D" w:rsidP="006C433D">
      <w:pPr>
        <w:pStyle w:val="SingleTxt"/>
        <w:rPr>
          <w:lang w:val="fr-FR"/>
        </w:rPr>
      </w:pPr>
      <w:r>
        <w:rPr>
          <w:lang w:val="fr-FR"/>
        </w:rPr>
        <w:tab/>
      </w:r>
      <w:r w:rsidRPr="006C433D">
        <w:rPr>
          <w:lang w:val="fr-FR"/>
        </w:rPr>
        <w:t>a)</w:t>
      </w:r>
      <w:r w:rsidRPr="006C433D">
        <w:rPr>
          <w:lang w:val="fr-FR"/>
        </w:rPr>
        <w:tab/>
        <w:t>Progrès accomplis dans l’application de la législation existante, en particulier du Code pénal adopté en 2008, en vue de combattre les actes de discrimination motivés par l’origine ethnique et les actes de violence entre les différents groupes ethniques, en particulier les discours de haine et les crimes motivés par la haine (CERD/C/SVN/8-11, par. 109);</w:t>
      </w:r>
    </w:p>
    <w:p w:rsidR="006C433D" w:rsidRPr="006C433D" w:rsidRDefault="006C433D" w:rsidP="006C433D">
      <w:pPr>
        <w:pStyle w:val="SingleTxt"/>
        <w:rPr>
          <w:lang w:val="fr-FR"/>
        </w:rPr>
      </w:pPr>
      <w:r>
        <w:rPr>
          <w:lang w:val="fr-FR"/>
        </w:rPr>
        <w:tab/>
      </w:r>
      <w:r w:rsidRPr="006C433D">
        <w:rPr>
          <w:lang w:val="fr-FR"/>
        </w:rPr>
        <w:t>b)</w:t>
      </w:r>
      <w:r w:rsidRPr="006C433D">
        <w:rPr>
          <w:lang w:val="fr-FR"/>
        </w:rPr>
        <w:tab/>
        <w:t xml:space="preserve">Mesures adoptées pour interdire les manifestations publiques de discours haineux et d’intolérance par des personnalités politiques, notamment renseignements sur les cas d’infractions qui seraient motivées par des considérations raciales et sur les </w:t>
      </w:r>
      <w:r w:rsidRPr="006C433D">
        <w:rPr>
          <w:lang w:val="fr-FR"/>
        </w:rPr>
        <w:lastRenderedPageBreak/>
        <w:t>résultats de toute procédure administrative ou judiciaire en découlant (CERD/C/62/CO/9, par. 12);</w:t>
      </w:r>
    </w:p>
    <w:p w:rsidR="006C433D" w:rsidRPr="006C433D" w:rsidRDefault="0083665D" w:rsidP="0083665D">
      <w:pPr>
        <w:pStyle w:val="SingleTxt"/>
        <w:rPr>
          <w:lang w:val="fr-FR"/>
        </w:rPr>
      </w:pPr>
      <w:r>
        <w:rPr>
          <w:lang w:val="fr-FR"/>
        </w:rPr>
        <w:tab/>
      </w:r>
      <w:r w:rsidR="006C433D" w:rsidRPr="006C433D">
        <w:rPr>
          <w:lang w:val="fr-FR"/>
        </w:rPr>
        <w:t>c)</w:t>
      </w:r>
      <w:r w:rsidR="006C433D" w:rsidRPr="006C433D">
        <w:rPr>
          <w:lang w:val="fr-FR"/>
        </w:rPr>
        <w:tab/>
        <w:t>Renseignements actualisés sur la mise en œuvre et l’impact des stratégies et politiques destinées à assurer la protection des droits des migrants et leur installation durable;</w:t>
      </w:r>
    </w:p>
    <w:p w:rsidR="006C433D" w:rsidRDefault="0083665D" w:rsidP="0083665D">
      <w:pPr>
        <w:pStyle w:val="SingleTxt"/>
        <w:rPr>
          <w:lang w:val="fr-FR"/>
        </w:rPr>
      </w:pPr>
      <w:r>
        <w:rPr>
          <w:lang w:val="fr-FR"/>
        </w:rPr>
        <w:tab/>
      </w:r>
      <w:r w:rsidR="006C433D" w:rsidRPr="006C433D">
        <w:rPr>
          <w:lang w:val="fr-FR"/>
        </w:rPr>
        <w:t>d)</w:t>
      </w:r>
      <w:r w:rsidR="006C433D" w:rsidRPr="006C433D">
        <w:rPr>
          <w:lang w:val="fr-FR"/>
        </w:rPr>
        <w:tab/>
        <w:t>Renseignements actualisés sur le fonctionnement du bureau de l’Avocat du principe d’égalité en tant qu’institution indépendante s’occupant du problème de la discrimination raciale.</w:t>
      </w:r>
    </w:p>
    <w:p w:rsidR="0083665D" w:rsidRPr="0083665D" w:rsidRDefault="0083665D" w:rsidP="0083665D">
      <w:pPr>
        <w:pStyle w:val="SingleTxt"/>
        <w:spacing w:after="0" w:line="120" w:lineRule="exact"/>
        <w:rPr>
          <w:sz w:val="10"/>
          <w:lang w:val="fr-FR"/>
        </w:rPr>
      </w:pPr>
    </w:p>
    <w:p w:rsidR="006C433D" w:rsidRDefault="006C433D" w:rsidP="00836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33D">
        <w:rPr>
          <w:lang w:val="fr-FR"/>
        </w:rPr>
        <w:tab/>
        <w:t>3.</w:t>
      </w:r>
      <w:r w:rsidRPr="006C433D">
        <w:rPr>
          <w:lang w:val="fr-FR"/>
        </w:rPr>
        <w:tab/>
        <w:t>Situation des minorités, en particulier des Roms (art. 2, 3, 4 et 5)</w:t>
      </w:r>
    </w:p>
    <w:p w:rsidR="0083665D" w:rsidRPr="0083665D" w:rsidRDefault="0083665D" w:rsidP="0083665D">
      <w:pPr>
        <w:pStyle w:val="SingleTxt"/>
        <w:spacing w:after="0" w:line="120" w:lineRule="exact"/>
        <w:rPr>
          <w:sz w:val="10"/>
          <w:lang w:val="fr-FR"/>
        </w:rPr>
      </w:pPr>
    </w:p>
    <w:p w:rsidR="006C433D" w:rsidRPr="006C433D" w:rsidRDefault="0083665D" w:rsidP="0083665D">
      <w:pPr>
        <w:pStyle w:val="SingleTxt"/>
        <w:rPr>
          <w:lang w:val="fr-FR"/>
        </w:rPr>
      </w:pPr>
      <w:r>
        <w:rPr>
          <w:lang w:val="fr-FR"/>
        </w:rPr>
        <w:tab/>
      </w:r>
      <w:r w:rsidR="006C433D" w:rsidRPr="006C433D">
        <w:rPr>
          <w:lang w:val="fr-FR"/>
        </w:rPr>
        <w:t>a)</w:t>
      </w:r>
      <w:r w:rsidR="006C433D" w:rsidRPr="006C433D">
        <w:rPr>
          <w:lang w:val="fr-FR"/>
        </w:rPr>
        <w:tab/>
        <w:t>Renseignements actualisés sur la situation des groupes minoritaires autres que les minorités italienne et hongroise (identité ethnique et nationale, représentation politique et droits culturels);</w:t>
      </w:r>
    </w:p>
    <w:p w:rsidR="006C433D" w:rsidRPr="006C433D" w:rsidRDefault="0083665D" w:rsidP="0083665D">
      <w:pPr>
        <w:pStyle w:val="SingleTxt"/>
        <w:rPr>
          <w:lang w:val="fr-FR"/>
        </w:rPr>
      </w:pPr>
      <w:r>
        <w:rPr>
          <w:lang w:val="fr-FR"/>
        </w:rPr>
        <w:tab/>
      </w:r>
      <w:r w:rsidR="006C433D" w:rsidRPr="006C433D">
        <w:rPr>
          <w:lang w:val="fr-FR"/>
        </w:rPr>
        <w:t>b)</w:t>
      </w:r>
      <w:r w:rsidR="006C433D" w:rsidRPr="006C433D">
        <w:rPr>
          <w:lang w:val="fr-FR"/>
        </w:rPr>
        <w:tab/>
        <w:t>Renseignements actualisés sur l’évaluation des progrès réalisés dans le cadre du Programme national de mesures en faveur des Roms pour 2010-2015 et sur le Programme national pour 2015-2020;</w:t>
      </w:r>
    </w:p>
    <w:p w:rsidR="006C433D" w:rsidRPr="006C433D" w:rsidRDefault="0083665D" w:rsidP="0083665D">
      <w:pPr>
        <w:pStyle w:val="SingleTxt"/>
        <w:rPr>
          <w:lang w:val="fr-FR"/>
        </w:rPr>
      </w:pPr>
      <w:r>
        <w:rPr>
          <w:lang w:val="fr-FR"/>
        </w:rPr>
        <w:tab/>
      </w:r>
      <w:r w:rsidR="006C433D" w:rsidRPr="006C433D">
        <w:rPr>
          <w:lang w:val="fr-FR"/>
        </w:rPr>
        <w:t>c)</w:t>
      </w:r>
      <w:r w:rsidR="006C433D" w:rsidRPr="006C433D">
        <w:rPr>
          <w:lang w:val="fr-FR"/>
        </w:rPr>
        <w:tab/>
        <w:t>Progrès accomplis en ce qui concerne la participation effective de la communauté rom à l’aménagement du territoire, notamment des camps relevant de la responsabilité des municipalités (CERD/C/SVN/8-11, par. 62), et critères régissant son inclusion dans les programmes de logement à coût modéré (CERD/C/SVN/8-11, par. 58);</w:t>
      </w:r>
    </w:p>
    <w:p w:rsidR="006C433D" w:rsidRPr="006C433D" w:rsidRDefault="0083665D" w:rsidP="0083665D">
      <w:pPr>
        <w:pStyle w:val="SingleTxt"/>
        <w:rPr>
          <w:lang w:val="fr-FR"/>
        </w:rPr>
      </w:pPr>
      <w:r>
        <w:rPr>
          <w:lang w:val="fr-FR"/>
        </w:rPr>
        <w:tab/>
      </w:r>
      <w:r w:rsidR="006C433D" w:rsidRPr="006C433D">
        <w:rPr>
          <w:lang w:val="fr-FR"/>
        </w:rPr>
        <w:t>d)</w:t>
      </w:r>
      <w:r w:rsidR="006C433D" w:rsidRPr="006C433D">
        <w:rPr>
          <w:lang w:val="fr-FR"/>
        </w:rPr>
        <w:tab/>
        <w:t>Renseignements actualisés sur l’accès à l’eau potable et à l’assainissement, à l’emploi et à l’éducation;</w:t>
      </w:r>
    </w:p>
    <w:p w:rsidR="006C433D" w:rsidRDefault="0083665D" w:rsidP="0083665D">
      <w:pPr>
        <w:pStyle w:val="SingleTxt"/>
        <w:rPr>
          <w:b/>
          <w:lang w:val="fr-FR"/>
        </w:rPr>
      </w:pPr>
      <w:r>
        <w:rPr>
          <w:lang w:val="fr-FR"/>
        </w:rPr>
        <w:tab/>
      </w:r>
      <w:r w:rsidR="006C433D" w:rsidRPr="006C433D">
        <w:rPr>
          <w:lang w:val="fr-FR"/>
        </w:rPr>
        <w:t>e)</w:t>
      </w:r>
      <w:r w:rsidR="006C433D" w:rsidRPr="006C433D">
        <w:rPr>
          <w:lang w:val="fr-FR"/>
        </w:rPr>
        <w:tab/>
        <w:t xml:space="preserve">Progrès accomplis en vue d’éliminer la distinction entre population rom </w:t>
      </w:r>
      <w:r>
        <w:rPr>
          <w:lang w:val="fr-FR"/>
        </w:rPr>
        <w:t>« </w:t>
      </w:r>
      <w:r w:rsidR="006C433D" w:rsidRPr="006C433D">
        <w:rPr>
          <w:lang w:val="fr-FR"/>
        </w:rPr>
        <w:t>autochtone</w:t>
      </w:r>
      <w:r>
        <w:rPr>
          <w:lang w:val="fr-FR"/>
        </w:rPr>
        <w:t> »</w:t>
      </w:r>
      <w:r w:rsidR="006C433D" w:rsidRPr="006C433D">
        <w:rPr>
          <w:lang w:val="fr-FR"/>
        </w:rPr>
        <w:t xml:space="preserve"> et population rom </w:t>
      </w:r>
      <w:r>
        <w:rPr>
          <w:lang w:val="fr-FR"/>
        </w:rPr>
        <w:t>« </w:t>
      </w:r>
      <w:r w:rsidR="006C433D" w:rsidRPr="006C433D">
        <w:rPr>
          <w:lang w:val="fr-FR"/>
        </w:rPr>
        <w:t>nouvelle</w:t>
      </w:r>
      <w:r>
        <w:rPr>
          <w:lang w:val="fr-FR"/>
        </w:rPr>
        <w:t> »</w:t>
      </w:r>
      <w:r w:rsidR="006C433D" w:rsidRPr="006C433D">
        <w:rPr>
          <w:lang w:val="fr-FR"/>
        </w:rPr>
        <w:t xml:space="preserve"> (</w:t>
      </w:r>
      <w:r w:rsidR="006C433D" w:rsidRPr="0083665D">
        <w:rPr>
          <w:lang w:val="fr-FR"/>
        </w:rPr>
        <w:t>CERD/C/62/CO/9</w:t>
      </w:r>
      <w:r w:rsidR="006C433D" w:rsidRPr="006C433D">
        <w:rPr>
          <w:lang w:val="fr-FR"/>
        </w:rPr>
        <w:t>, par. 10), et applicabilité et modifications de la loi de 2007 relative à la communauté rom.</w:t>
      </w:r>
    </w:p>
    <w:p w:rsidR="0083665D" w:rsidRPr="0083665D" w:rsidRDefault="0083665D" w:rsidP="0083665D">
      <w:pPr>
        <w:pStyle w:val="SingleTxt"/>
        <w:spacing w:after="0" w:line="120" w:lineRule="exact"/>
        <w:rPr>
          <w:sz w:val="10"/>
          <w:lang w:val="fr-FR"/>
        </w:rPr>
      </w:pPr>
    </w:p>
    <w:p w:rsidR="006C433D" w:rsidRDefault="006C433D" w:rsidP="00836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433D">
        <w:rPr>
          <w:lang w:val="fr-FR"/>
        </w:rPr>
        <w:tab/>
        <w:t>4.</w:t>
      </w:r>
      <w:r w:rsidRPr="006C433D">
        <w:rPr>
          <w:lang w:val="fr-FR"/>
        </w:rPr>
        <w:tab/>
        <w:t>Situation des non-ressortissants (art. 2, 5, 6 et 7)</w:t>
      </w:r>
    </w:p>
    <w:p w:rsidR="0083665D" w:rsidRPr="0083665D" w:rsidRDefault="0083665D" w:rsidP="0083665D">
      <w:pPr>
        <w:pStyle w:val="SingleTxt"/>
        <w:spacing w:after="0" w:line="120" w:lineRule="exact"/>
        <w:rPr>
          <w:sz w:val="10"/>
          <w:lang w:val="fr-FR"/>
        </w:rPr>
      </w:pPr>
    </w:p>
    <w:p w:rsidR="006C433D" w:rsidRPr="006C433D" w:rsidRDefault="0083665D" w:rsidP="0083665D">
      <w:pPr>
        <w:pStyle w:val="SingleTxt"/>
        <w:rPr>
          <w:lang w:val="fr-FR"/>
        </w:rPr>
      </w:pPr>
      <w:r>
        <w:rPr>
          <w:lang w:val="fr-FR"/>
        </w:rPr>
        <w:tab/>
      </w:r>
      <w:r w:rsidR="006C433D" w:rsidRPr="006C433D">
        <w:rPr>
          <w:lang w:val="fr-FR"/>
        </w:rPr>
        <w:t>a)</w:t>
      </w:r>
      <w:r w:rsidR="006C433D" w:rsidRPr="006C433D">
        <w:rPr>
          <w:lang w:val="fr-FR"/>
        </w:rPr>
        <w:tab/>
        <w:t xml:space="preserve">Situation des personnes dites </w:t>
      </w:r>
      <w:r>
        <w:rPr>
          <w:lang w:val="fr-FR"/>
        </w:rPr>
        <w:t>« </w:t>
      </w:r>
      <w:r w:rsidR="006C433D" w:rsidRPr="006C433D">
        <w:rPr>
          <w:lang w:val="fr-FR"/>
        </w:rPr>
        <w:t>radiées</w:t>
      </w:r>
      <w:r>
        <w:rPr>
          <w:lang w:val="fr-FR"/>
        </w:rPr>
        <w:t> »</w:t>
      </w:r>
      <w:r w:rsidR="00B66098">
        <w:rPr>
          <w:lang w:val="fr-FR"/>
        </w:rPr>
        <w:t> :</w:t>
      </w:r>
    </w:p>
    <w:p w:rsidR="006C433D" w:rsidRPr="006C433D" w:rsidRDefault="006C433D" w:rsidP="00B66098">
      <w:pPr>
        <w:pStyle w:val="Bullet1"/>
        <w:tabs>
          <w:tab w:val="num" w:pos="926"/>
        </w:tabs>
        <w:ind w:left="1743" w:hanging="130"/>
        <w:rPr>
          <w:lang w:val="fr-FR"/>
        </w:rPr>
      </w:pPr>
      <w:r w:rsidRPr="006C433D">
        <w:rPr>
          <w:lang w:val="fr-FR"/>
        </w:rPr>
        <w:t xml:space="preserve">Renseignements actualisés sur les moyens juridiques permettant de restituer rétroactivement le statut de résident permanent à tous les ressortissants des autres États successeurs de l’ex-République fédérale socialiste de Yougoslavie qui ont été effacés du registre slovène des résidents permanents en 1992 (personnes </w:t>
      </w:r>
      <w:r w:rsidR="0083665D">
        <w:rPr>
          <w:lang w:val="fr-FR"/>
        </w:rPr>
        <w:t>« </w:t>
      </w:r>
      <w:r w:rsidRPr="006C433D">
        <w:rPr>
          <w:lang w:val="fr-FR"/>
        </w:rPr>
        <w:t>radiées</w:t>
      </w:r>
      <w:r w:rsidR="0083665D">
        <w:rPr>
          <w:lang w:val="fr-FR"/>
        </w:rPr>
        <w:t> »</w:t>
      </w:r>
      <w:r w:rsidRPr="006C433D">
        <w:rPr>
          <w:lang w:val="fr-FR"/>
        </w:rPr>
        <w:t xml:space="preserve">), suite à l’expiration de la loi (ZUSDDD-B) </w:t>
      </w:r>
      <w:r w:rsidR="0083665D">
        <w:rPr>
          <w:lang w:val="fr-FR"/>
        </w:rPr>
        <w:t>le 24 </w:t>
      </w:r>
      <w:r w:rsidRPr="006C433D">
        <w:rPr>
          <w:lang w:val="fr-FR"/>
        </w:rPr>
        <w:t>juillet 2013 (CERD/C/SVN/8-11, par</w:t>
      </w:r>
      <w:r w:rsidR="0083665D">
        <w:rPr>
          <w:lang w:val="fr-FR"/>
        </w:rPr>
        <w:t>. </w:t>
      </w:r>
      <w:r w:rsidRPr="006C433D">
        <w:rPr>
          <w:lang w:val="fr-FR"/>
        </w:rPr>
        <w:t xml:space="preserve">103); applicabilité de la loi relative aux réparations à accorder aux personnes radiées du registre des résidents permanents, et renseignements actualisés à ce sujet, suite aux jugements rendus par la Cour européenne des droits de l’homme dans l’affaire </w:t>
      </w:r>
      <w:r w:rsidRPr="006C433D">
        <w:rPr>
          <w:i/>
          <w:lang w:val="fr-FR"/>
        </w:rPr>
        <w:t>Kurić et consorts</w:t>
      </w:r>
      <w:r w:rsidRPr="006C433D">
        <w:rPr>
          <w:lang w:val="fr-FR"/>
        </w:rPr>
        <w:t xml:space="preserve"> c. </w:t>
      </w:r>
      <w:r w:rsidRPr="006C433D">
        <w:rPr>
          <w:i/>
          <w:lang w:val="fr-FR"/>
        </w:rPr>
        <w:t>Slovénie</w:t>
      </w:r>
      <w:r w:rsidRPr="006C433D">
        <w:rPr>
          <w:lang w:val="fr-FR"/>
        </w:rPr>
        <w:t xml:space="preserve"> le </w:t>
      </w:r>
      <w:r w:rsidR="0083665D">
        <w:rPr>
          <w:lang w:val="fr-FR"/>
        </w:rPr>
        <w:t>26 </w:t>
      </w:r>
      <w:r w:rsidRPr="006C433D">
        <w:rPr>
          <w:lang w:val="fr-FR"/>
        </w:rPr>
        <w:t>juin 2012 et le 12</w:t>
      </w:r>
      <w:r w:rsidR="0083665D">
        <w:rPr>
          <w:lang w:val="fr-FR"/>
        </w:rPr>
        <w:t> </w:t>
      </w:r>
      <w:r w:rsidRPr="006C433D">
        <w:rPr>
          <w:lang w:val="fr-FR"/>
        </w:rPr>
        <w:t>mars 2013 (CERD/C/SVN/8-11, par. 105).</w:t>
      </w:r>
    </w:p>
    <w:p w:rsidR="006C433D" w:rsidRPr="006C433D" w:rsidRDefault="0083665D" w:rsidP="0083665D">
      <w:pPr>
        <w:pStyle w:val="SingleTxt"/>
        <w:rPr>
          <w:lang w:val="fr-FR"/>
        </w:rPr>
      </w:pPr>
      <w:r>
        <w:rPr>
          <w:lang w:val="fr-FR"/>
        </w:rPr>
        <w:tab/>
      </w:r>
      <w:r w:rsidR="006C433D" w:rsidRPr="006C433D">
        <w:rPr>
          <w:lang w:val="fr-FR"/>
        </w:rPr>
        <w:t>b)</w:t>
      </w:r>
      <w:r w:rsidR="006C433D" w:rsidRPr="006C433D">
        <w:rPr>
          <w:lang w:val="fr-FR"/>
        </w:rPr>
        <w:tab/>
        <w:t>Situation des migrants, des réfugiés et des demandeurs d’asile</w:t>
      </w:r>
      <w:r w:rsidR="00B66098">
        <w:rPr>
          <w:lang w:val="fr-FR"/>
        </w:rPr>
        <w:t> :</w:t>
      </w:r>
    </w:p>
    <w:p w:rsidR="006C433D" w:rsidRPr="006C433D" w:rsidRDefault="006C433D" w:rsidP="0083665D">
      <w:pPr>
        <w:pStyle w:val="Bullet1"/>
        <w:tabs>
          <w:tab w:val="num" w:pos="926"/>
        </w:tabs>
        <w:ind w:left="1743" w:hanging="130"/>
        <w:rPr>
          <w:lang w:val="fr-FR"/>
        </w:rPr>
      </w:pPr>
      <w:r w:rsidRPr="006C433D">
        <w:rPr>
          <w:lang w:val="fr-FR"/>
        </w:rPr>
        <w:t>Renseignements actualisés sur les modifications de la loi relative à la protection internationale</w:t>
      </w:r>
      <w:r w:rsidR="00B66098">
        <w:rPr>
          <w:lang w:val="fr-FR"/>
        </w:rPr>
        <w:t>;</w:t>
      </w:r>
    </w:p>
    <w:p w:rsidR="006C433D" w:rsidRPr="006C433D" w:rsidRDefault="006C433D" w:rsidP="0083665D">
      <w:pPr>
        <w:pStyle w:val="Bullet1"/>
        <w:tabs>
          <w:tab w:val="num" w:pos="926"/>
        </w:tabs>
        <w:ind w:left="1743" w:hanging="130"/>
        <w:rPr>
          <w:lang w:val="fr-FR"/>
        </w:rPr>
      </w:pPr>
      <w:r w:rsidRPr="006C433D">
        <w:rPr>
          <w:lang w:val="fr-FR"/>
        </w:rPr>
        <w:t>Droit des réfugiés et des demandeurs d’asile à un logement convenable</w:t>
      </w:r>
      <w:r w:rsidR="00B66098">
        <w:rPr>
          <w:lang w:val="fr-FR"/>
        </w:rPr>
        <w:t>;</w:t>
      </w:r>
    </w:p>
    <w:p w:rsidR="006C433D" w:rsidRDefault="006C433D" w:rsidP="0083665D">
      <w:pPr>
        <w:pStyle w:val="Bullet1"/>
        <w:tabs>
          <w:tab w:val="num" w:pos="926"/>
        </w:tabs>
        <w:ind w:left="1743" w:hanging="130"/>
      </w:pPr>
      <w:r w:rsidRPr="006C433D">
        <w:rPr>
          <w:lang w:val="fr-FR"/>
        </w:rPr>
        <w:t>Accès aux tribunaux et aide judiciaire.</w:t>
      </w:r>
    </w:p>
    <w:bookmarkStart w:id="3" w:name="TmpSave"/>
    <w:bookmarkEnd w:id="3"/>
    <w:p w:rsidR="006C433D" w:rsidRPr="0083665D" w:rsidRDefault="0083665D" w:rsidP="0083665D">
      <w:pPr>
        <w:pStyle w:val="SingleTxt"/>
        <w:tabs>
          <w:tab w:val="right" w:pos="1685"/>
        </w:tabs>
        <w:spacing w:after="0" w:line="240" w:lineRule="auto"/>
        <w:ind w:left="1742" w:hanging="475"/>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C433D" w:rsidRPr="0083665D" w:rsidSect="00046E0F">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2T10:38:00Z" w:initials="Start">
    <w:p w:rsidR="00046E0F" w:rsidRDefault="00046E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NO&gt;&gt;N1521731F&lt;&lt;ODS JOB NO&gt;&gt;</w:t>
      </w:r>
    </w:p>
    <w:p w:rsidR="00046E0F" w:rsidRDefault="00046E0F">
      <w:pPr>
        <w:pStyle w:val="CommentText"/>
      </w:pPr>
      <w:r>
        <w:t>&lt;&lt;ODS DOC SYMBOL1&gt;&gt;CERD/C/SVN/Q/8-11&lt;&lt;ODS DOC SYMBOL1&gt;&gt;</w:t>
      </w:r>
    </w:p>
    <w:p w:rsidR="00046E0F" w:rsidRDefault="00046E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30B" w:rsidRDefault="0028330B" w:rsidP="00F3330B">
      <w:pPr>
        <w:spacing w:line="240" w:lineRule="auto"/>
      </w:pPr>
      <w:r>
        <w:separator/>
      </w:r>
    </w:p>
  </w:endnote>
  <w:endnote w:type="continuationSeparator" w:id="0">
    <w:p w:rsidR="0028330B" w:rsidRDefault="0028330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6E0F" w:rsidTr="00046E0F">
      <w:trPr>
        <w:jc w:val="center"/>
      </w:trPr>
      <w:tc>
        <w:tcPr>
          <w:tcW w:w="5126" w:type="dxa"/>
          <w:shd w:val="clear" w:color="auto" w:fill="auto"/>
        </w:tcPr>
        <w:p w:rsidR="00046E0F" w:rsidRPr="00046E0F" w:rsidRDefault="00046E0F" w:rsidP="00046E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7A2E">
            <w:rPr>
              <w:b w:val="0"/>
              <w:w w:val="103"/>
              <w:sz w:val="14"/>
            </w:rPr>
            <w:t>GE.15-15627</w:t>
          </w:r>
          <w:r>
            <w:rPr>
              <w:b w:val="0"/>
              <w:w w:val="103"/>
              <w:sz w:val="14"/>
            </w:rPr>
            <w:fldChar w:fldCharType="end"/>
          </w:r>
        </w:p>
      </w:tc>
      <w:tc>
        <w:tcPr>
          <w:tcW w:w="5127" w:type="dxa"/>
          <w:shd w:val="clear" w:color="auto" w:fill="auto"/>
        </w:tcPr>
        <w:p w:rsidR="00046E0F" w:rsidRPr="00046E0F" w:rsidRDefault="00046E0F" w:rsidP="00046E0F">
          <w:pPr>
            <w:pStyle w:val="Footer"/>
            <w:rPr>
              <w:w w:val="103"/>
            </w:rPr>
          </w:pPr>
          <w:r>
            <w:rPr>
              <w:w w:val="103"/>
            </w:rPr>
            <w:fldChar w:fldCharType="begin"/>
          </w:r>
          <w:r>
            <w:rPr>
              <w:w w:val="103"/>
            </w:rPr>
            <w:instrText xml:space="preserve"> PAGE  \* Arabic  \* MERGEFORMAT </w:instrText>
          </w:r>
          <w:r>
            <w:rPr>
              <w:w w:val="103"/>
            </w:rPr>
            <w:fldChar w:fldCharType="separate"/>
          </w:r>
          <w:r w:rsidR="004B416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416C">
            <w:rPr>
              <w:noProof/>
              <w:w w:val="103"/>
            </w:rPr>
            <w:t>2</w:t>
          </w:r>
          <w:r>
            <w:rPr>
              <w:w w:val="103"/>
            </w:rPr>
            <w:fldChar w:fldCharType="end"/>
          </w:r>
        </w:p>
      </w:tc>
    </w:tr>
  </w:tbl>
  <w:p w:rsidR="00046E0F" w:rsidRPr="00046E0F" w:rsidRDefault="00046E0F" w:rsidP="00046E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6E0F" w:rsidTr="00046E0F">
      <w:trPr>
        <w:jc w:val="center"/>
      </w:trPr>
      <w:tc>
        <w:tcPr>
          <w:tcW w:w="5126" w:type="dxa"/>
          <w:shd w:val="clear" w:color="auto" w:fill="auto"/>
        </w:tcPr>
        <w:p w:rsidR="00046E0F" w:rsidRPr="00046E0F" w:rsidRDefault="00046E0F" w:rsidP="00046E0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77A2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7A2E">
            <w:rPr>
              <w:noProof/>
              <w:w w:val="103"/>
            </w:rPr>
            <w:t>2</w:t>
          </w:r>
          <w:r>
            <w:rPr>
              <w:w w:val="103"/>
            </w:rPr>
            <w:fldChar w:fldCharType="end"/>
          </w:r>
        </w:p>
      </w:tc>
      <w:tc>
        <w:tcPr>
          <w:tcW w:w="5127" w:type="dxa"/>
          <w:shd w:val="clear" w:color="auto" w:fill="auto"/>
        </w:tcPr>
        <w:p w:rsidR="00046E0F" w:rsidRPr="00046E0F" w:rsidRDefault="00046E0F" w:rsidP="00046E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7A2E">
            <w:rPr>
              <w:b w:val="0"/>
              <w:w w:val="103"/>
              <w:sz w:val="14"/>
            </w:rPr>
            <w:t>GE.15-15627</w:t>
          </w:r>
          <w:r>
            <w:rPr>
              <w:b w:val="0"/>
              <w:w w:val="103"/>
              <w:sz w:val="14"/>
            </w:rPr>
            <w:fldChar w:fldCharType="end"/>
          </w:r>
        </w:p>
      </w:tc>
    </w:tr>
  </w:tbl>
  <w:p w:rsidR="00046E0F" w:rsidRPr="00046E0F" w:rsidRDefault="00046E0F" w:rsidP="00046E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0F" w:rsidRDefault="00046E0F">
    <w:pPr>
      <w:pStyle w:val="Footer"/>
    </w:pPr>
    <w:r>
      <w:rPr>
        <w:noProof/>
      </w:rPr>
      <w:drawing>
        <wp:anchor distT="0" distB="0" distL="114300" distR="114300" simplePos="0" relativeHeight="251658240" behindDoc="0" locked="0" layoutInCell="1" allowOverlap="1" wp14:anchorId="24303B5F" wp14:editId="6962613C">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RD/C/SVN/Q/8-1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VN/Q/8-1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46E0F" w:rsidTr="00046E0F">
      <w:tc>
        <w:tcPr>
          <w:tcW w:w="3859" w:type="dxa"/>
        </w:tcPr>
        <w:p w:rsidR="00046E0F" w:rsidRDefault="00046E0F" w:rsidP="00046E0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77A2E">
            <w:rPr>
              <w:b w:val="0"/>
              <w:sz w:val="20"/>
            </w:rPr>
            <w:t>GE.15-15627 (F)</w:t>
          </w:r>
          <w:r>
            <w:rPr>
              <w:b w:val="0"/>
              <w:sz w:val="20"/>
            </w:rPr>
            <w:fldChar w:fldCharType="end"/>
          </w:r>
          <w:r>
            <w:rPr>
              <w:b w:val="0"/>
              <w:sz w:val="20"/>
            </w:rPr>
            <w:t xml:space="preserve">    </w:t>
          </w:r>
          <w:r w:rsidR="00A712B1">
            <w:rPr>
              <w:b w:val="0"/>
              <w:sz w:val="20"/>
            </w:rPr>
            <w:t>01</w:t>
          </w:r>
          <w:r>
            <w:rPr>
              <w:b w:val="0"/>
              <w:sz w:val="20"/>
            </w:rPr>
            <w:t xml:space="preserve">1015    </w:t>
          </w:r>
          <w:r w:rsidR="00A712B1">
            <w:rPr>
              <w:b w:val="0"/>
              <w:sz w:val="20"/>
            </w:rPr>
            <w:t>26</w:t>
          </w:r>
          <w:r>
            <w:rPr>
              <w:b w:val="0"/>
              <w:sz w:val="20"/>
            </w:rPr>
            <w:t>1015</w:t>
          </w:r>
        </w:p>
        <w:p w:rsidR="00046E0F" w:rsidRPr="00046E0F" w:rsidRDefault="00046E0F" w:rsidP="00046E0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77A2E">
            <w:rPr>
              <w:rFonts w:ascii="Barcode 3 of 9 by request" w:hAnsi="Barcode 3 of 9 by request"/>
              <w:b w:val="0"/>
              <w:spacing w:val="0"/>
              <w:w w:val="100"/>
              <w:sz w:val="24"/>
            </w:rPr>
            <w:t>*1515627*</w:t>
          </w:r>
          <w:r>
            <w:rPr>
              <w:rFonts w:ascii="Barcode 3 of 9 by request" w:hAnsi="Barcode 3 of 9 by request"/>
              <w:b w:val="0"/>
              <w:spacing w:val="0"/>
              <w:w w:val="100"/>
              <w:sz w:val="24"/>
            </w:rPr>
            <w:fldChar w:fldCharType="end"/>
          </w:r>
        </w:p>
      </w:tc>
      <w:tc>
        <w:tcPr>
          <w:tcW w:w="5127" w:type="dxa"/>
        </w:tcPr>
        <w:p w:rsidR="00046E0F" w:rsidRDefault="00046E0F" w:rsidP="00046E0F">
          <w:pPr>
            <w:pStyle w:val="Footer"/>
            <w:spacing w:line="240" w:lineRule="atLeast"/>
            <w:jc w:val="right"/>
            <w:rPr>
              <w:b w:val="0"/>
              <w:sz w:val="20"/>
            </w:rPr>
          </w:pPr>
          <w:r>
            <w:rPr>
              <w:b w:val="0"/>
              <w:noProof/>
              <w:sz w:val="20"/>
            </w:rPr>
            <w:drawing>
              <wp:inline distT="0" distB="0" distL="0" distR="0" wp14:anchorId="7E391DB3" wp14:editId="7035533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46E0F" w:rsidRPr="00046E0F" w:rsidRDefault="00046E0F" w:rsidP="00046E0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30B" w:rsidRPr="003E47D8" w:rsidRDefault="0028330B" w:rsidP="003E47D8">
      <w:pPr>
        <w:pStyle w:val="Footer"/>
        <w:spacing w:after="80"/>
        <w:rPr>
          <w:sz w:val="16"/>
        </w:rPr>
      </w:pPr>
      <w:r w:rsidRPr="003E47D8">
        <w:rPr>
          <w:sz w:val="16"/>
        </w:rPr>
        <w:t>__________________</w:t>
      </w:r>
    </w:p>
  </w:footnote>
  <w:footnote w:type="continuationSeparator" w:id="0">
    <w:p w:rsidR="0028330B" w:rsidRPr="003E47D8" w:rsidRDefault="0028330B"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46E0F" w:rsidTr="00046E0F">
      <w:trPr>
        <w:trHeight w:hRule="exact" w:val="864"/>
        <w:jc w:val="center"/>
      </w:trPr>
      <w:tc>
        <w:tcPr>
          <w:tcW w:w="4882" w:type="dxa"/>
          <w:shd w:val="clear" w:color="auto" w:fill="auto"/>
          <w:vAlign w:val="bottom"/>
        </w:tcPr>
        <w:p w:rsidR="00046E0F" w:rsidRPr="00046E0F" w:rsidRDefault="00046E0F" w:rsidP="00046E0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77A2E">
            <w:rPr>
              <w:b/>
              <w:color w:val="000000"/>
            </w:rPr>
            <w:t>CERD/C/SVN/Q/8-11</w:t>
          </w:r>
          <w:r>
            <w:rPr>
              <w:b/>
              <w:color w:val="000000"/>
            </w:rPr>
            <w:fldChar w:fldCharType="end"/>
          </w:r>
        </w:p>
      </w:tc>
      <w:tc>
        <w:tcPr>
          <w:tcW w:w="5127" w:type="dxa"/>
          <w:shd w:val="clear" w:color="auto" w:fill="auto"/>
          <w:vAlign w:val="bottom"/>
        </w:tcPr>
        <w:p w:rsidR="00046E0F" w:rsidRDefault="00046E0F" w:rsidP="00046E0F">
          <w:pPr>
            <w:pStyle w:val="Header"/>
          </w:pPr>
        </w:p>
      </w:tc>
    </w:tr>
  </w:tbl>
  <w:p w:rsidR="00046E0F" w:rsidRPr="00046E0F" w:rsidRDefault="00046E0F" w:rsidP="00046E0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46E0F" w:rsidTr="00046E0F">
      <w:trPr>
        <w:trHeight w:hRule="exact" w:val="864"/>
        <w:jc w:val="center"/>
      </w:trPr>
      <w:tc>
        <w:tcPr>
          <w:tcW w:w="4882" w:type="dxa"/>
          <w:shd w:val="clear" w:color="auto" w:fill="auto"/>
          <w:vAlign w:val="bottom"/>
        </w:tcPr>
        <w:p w:rsidR="00046E0F" w:rsidRDefault="00046E0F" w:rsidP="00046E0F">
          <w:pPr>
            <w:pStyle w:val="Header"/>
          </w:pPr>
        </w:p>
      </w:tc>
      <w:tc>
        <w:tcPr>
          <w:tcW w:w="5127" w:type="dxa"/>
          <w:shd w:val="clear" w:color="auto" w:fill="auto"/>
          <w:vAlign w:val="bottom"/>
        </w:tcPr>
        <w:p w:rsidR="00046E0F" w:rsidRPr="00046E0F" w:rsidRDefault="00046E0F" w:rsidP="00046E0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77A2E">
            <w:rPr>
              <w:b/>
              <w:color w:val="000000"/>
            </w:rPr>
            <w:t>CERD/C/SVN/Q/8-11</w:t>
          </w:r>
          <w:r>
            <w:rPr>
              <w:b/>
              <w:color w:val="000000"/>
            </w:rPr>
            <w:fldChar w:fldCharType="end"/>
          </w:r>
        </w:p>
      </w:tc>
    </w:tr>
  </w:tbl>
  <w:p w:rsidR="00046E0F" w:rsidRPr="00046E0F" w:rsidRDefault="00046E0F" w:rsidP="00046E0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46E0F" w:rsidTr="00046E0F">
      <w:trPr>
        <w:trHeight w:hRule="exact" w:val="864"/>
      </w:trPr>
      <w:tc>
        <w:tcPr>
          <w:tcW w:w="1267" w:type="dxa"/>
          <w:tcBorders>
            <w:bottom w:val="single" w:sz="4" w:space="0" w:color="auto"/>
          </w:tcBorders>
          <w:shd w:val="clear" w:color="auto" w:fill="auto"/>
          <w:vAlign w:val="bottom"/>
        </w:tcPr>
        <w:p w:rsidR="00046E0F" w:rsidRDefault="00046E0F" w:rsidP="00046E0F">
          <w:pPr>
            <w:pStyle w:val="Header"/>
            <w:spacing w:after="120"/>
          </w:pPr>
        </w:p>
      </w:tc>
      <w:tc>
        <w:tcPr>
          <w:tcW w:w="2059" w:type="dxa"/>
          <w:tcBorders>
            <w:bottom w:val="single" w:sz="4" w:space="0" w:color="auto"/>
          </w:tcBorders>
          <w:shd w:val="clear" w:color="auto" w:fill="auto"/>
          <w:vAlign w:val="bottom"/>
        </w:tcPr>
        <w:p w:rsidR="00046E0F" w:rsidRPr="00046E0F" w:rsidRDefault="00046E0F" w:rsidP="00046E0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46E0F" w:rsidRDefault="00046E0F" w:rsidP="00046E0F">
          <w:pPr>
            <w:pStyle w:val="Header"/>
            <w:spacing w:after="120"/>
          </w:pPr>
        </w:p>
      </w:tc>
      <w:tc>
        <w:tcPr>
          <w:tcW w:w="6653" w:type="dxa"/>
          <w:gridSpan w:val="4"/>
          <w:tcBorders>
            <w:bottom w:val="single" w:sz="4" w:space="0" w:color="auto"/>
          </w:tcBorders>
          <w:shd w:val="clear" w:color="auto" w:fill="auto"/>
          <w:vAlign w:val="bottom"/>
        </w:tcPr>
        <w:p w:rsidR="00046E0F" w:rsidRPr="00046E0F" w:rsidRDefault="00046E0F" w:rsidP="00046E0F">
          <w:pPr>
            <w:spacing w:after="80" w:line="240" w:lineRule="auto"/>
            <w:jc w:val="right"/>
            <w:rPr>
              <w:position w:val="-4"/>
            </w:rPr>
          </w:pPr>
          <w:r>
            <w:rPr>
              <w:position w:val="-4"/>
              <w:sz w:val="40"/>
            </w:rPr>
            <w:t>CERD</w:t>
          </w:r>
          <w:r>
            <w:rPr>
              <w:position w:val="-4"/>
            </w:rPr>
            <w:t>/C/SVN/Q/8-11</w:t>
          </w:r>
        </w:p>
      </w:tc>
    </w:tr>
    <w:tr w:rsidR="00046E0F" w:rsidRPr="00046E0F" w:rsidTr="00046E0F">
      <w:trPr>
        <w:gridAfter w:val="1"/>
        <w:wAfter w:w="18" w:type="dxa"/>
        <w:trHeight w:hRule="exact" w:val="2880"/>
      </w:trPr>
      <w:tc>
        <w:tcPr>
          <w:tcW w:w="1267" w:type="dxa"/>
          <w:tcBorders>
            <w:top w:val="single" w:sz="4" w:space="0" w:color="auto"/>
            <w:bottom w:val="single" w:sz="12" w:space="0" w:color="auto"/>
          </w:tcBorders>
          <w:shd w:val="clear" w:color="auto" w:fill="auto"/>
        </w:tcPr>
        <w:p w:rsidR="00046E0F" w:rsidRPr="00046E0F" w:rsidRDefault="00046E0F" w:rsidP="00046E0F">
          <w:pPr>
            <w:pStyle w:val="Header"/>
            <w:spacing w:before="120" w:line="240" w:lineRule="auto"/>
            <w:ind w:left="-72"/>
            <w:jc w:val="center"/>
          </w:pPr>
          <w:r>
            <w:t xml:space="preserve">  </w:t>
          </w:r>
          <w:r>
            <w:rPr>
              <w:noProof/>
            </w:rPr>
            <w:drawing>
              <wp:inline distT="0" distB="0" distL="0" distR="0" wp14:anchorId="0F7AAB70" wp14:editId="700FAB6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46E0F" w:rsidRPr="00046E0F" w:rsidRDefault="00046E0F" w:rsidP="00046E0F">
          <w:pPr>
            <w:pStyle w:val="XLarge"/>
            <w:spacing w:before="109"/>
            <w:rPr>
              <w:sz w:val="38"/>
            </w:rPr>
          </w:pPr>
          <w:r>
            <w:rPr>
              <w:sz w:val="38"/>
            </w:rPr>
            <w:t>Convention internationale sur</w:t>
          </w:r>
          <w:r>
            <w:rPr>
              <w:sz w:val="38"/>
            </w:rPr>
            <w:br/>
            <w:t>l’élimination de toutes les formes</w:t>
          </w:r>
          <w:r>
            <w:rPr>
              <w:sz w:val="38"/>
            </w:rPr>
            <w:br/>
            <w:t>de discrimination raciale</w:t>
          </w:r>
        </w:p>
      </w:tc>
      <w:tc>
        <w:tcPr>
          <w:tcW w:w="245" w:type="dxa"/>
          <w:tcBorders>
            <w:top w:val="single" w:sz="4" w:space="0" w:color="auto"/>
            <w:bottom w:val="single" w:sz="12" w:space="0" w:color="auto"/>
          </w:tcBorders>
          <w:shd w:val="clear" w:color="auto" w:fill="auto"/>
        </w:tcPr>
        <w:p w:rsidR="00046E0F" w:rsidRPr="00046E0F" w:rsidRDefault="00046E0F" w:rsidP="00046E0F">
          <w:pPr>
            <w:pStyle w:val="Header"/>
            <w:spacing w:before="109"/>
          </w:pPr>
        </w:p>
      </w:tc>
      <w:tc>
        <w:tcPr>
          <w:tcW w:w="3280" w:type="dxa"/>
          <w:tcBorders>
            <w:top w:val="single" w:sz="4" w:space="0" w:color="auto"/>
            <w:bottom w:val="single" w:sz="12" w:space="0" w:color="auto"/>
          </w:tcBorders>
          <w:shd w:val="clear" w:color="auto" w:fill="auto"/>
        </w:tcPr>
        <w:p w:rsidR="00046E0F" w:rsidRDefault="00046E0F" w:rsidP="00046E0F">
          <w:pPr>
            <w:pStyle w:val="Distribution"/>
            <w:rPr>
              <w:color w:val="000000"/>
            </w:rPr>
          </w:pPr>
          <w:r>
            <w:rPr>
              <w:color w:val="000000"/>
            </w:rPr>
            <w:t>Distr. générale</w:t>
          </w:r>
        </w:p>
        <w:p w:rsidR="00046E0F" w:rsidRDefault="00B66098" w:rsidP="00046E0F">
          <w:pPr>
            <w:pStyle w:val="Publication"/>
            <w:rPr>
              <w:color w:val="000000"/>
            </w:rPr>
          </w:pPr>
          <w:r>
            <w:rPr>
              <w:color w:val="000000"/>
            </w:rPr>
            <w:t>25 septembre</w:t>
          </w:r>
          <w:r w:rsidR="00046E0F">
            <w:rPr>
              <w:color w:val="000000"/>
            </w:rPr>
            <w:t xml:space="preserve"> 2015</w:t>
          </w:r>
        </w:p>
        <w:p w:rsidR="00046E0F" w:rsidRDefault="00046E0F" w:rsidP="00046E0F">
          <w:pPr>
            <w:rPr>
              <w:lang w:val="en-US"/>
            </w:rPr>
          </w:pPr>
          <w:r>
            <w:rPr>
              <w:lang w:val="en-US"/>
            </w:rPr>
            <w:t>Français</w:t>
          </w:r>
        </w:p>
        <w:p w:rsidR="00046E0F" w:rsidRDefault="00046E0F" w:rsidP="00046E0F">
          <w:pPr>
            <w:pStyle w:val="Original"/>
            <w:rPr>
              <w:color w:val="000000"/>
            </w:rPr>
          </w:pPr>
          <w:r>
            <w:rPr>
              <w:color w:val="000000"/>
            </w:rPr>
            <w:t>Original : anglais</w:t>
          </w:r>
        </w:p>
        <w:p w:rsidR="00B66098" w:rsidRPr="00B66098" w:rsidRDefault="00B66098" w:rsidP="00B66098">
          <w:pPr>
            <w:rPr>
              <w:lang w:val="en-US"/>
            </w:rPr>
          </w:pPr>
          <w:r>
            <w:rPr>
              <w:lang w:val="en-US"/>
            </w:rPr>
            <w:t>Anglais, espagnol et français seulement</w:t>
          </w:r>
        </w:p>
      </w:tc>
    </w:tr>
  </w:tbl>
  <w:p w:rsidR="00046E0F" w:rsidRPr="00046E0F" w:rsidRDefault="00046E0F" w:rsidP="00046E0F">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3"/>
  </w:num>
  <w:num w:numId="7">
    <w:abstractNumId w:val="3"/>
  </w:num>
  <w:num w:numId="8">
    <w:abstractNumId w:val="3"/>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627*"/>
    <w:docVar w:name="CreationDt" w:val="10/12/2015 10:38 AM"/>
    <w:docVar w:name="DocCategory" w:val="Doc"/>
    <w:docVar w:name="DocType" w:val="Final"/>
    <w:docVar w:name="DutyStation" w:val="Geneva"/>
    <w:docVar w:name="FooterJN" w:val="GE.15-15627"/>
    <w:docVar w:name="jobn" w:val="GE.15-15627 (F)"/>
    <w:docVar w:name="jobnDT" w:val="GE.15-15627 (F)   121015"/>
    <w:docVar w:name="jobnDTDT" w:val="GE.15-15627 (F)   121015   121015"/>
    <w:docVar w:name="JobNo" w:val="GE.1515627F"/>
    <w:docVar w:name="JobNo2" w:val="GE.1521731F"/>
    <w:docVar w:name="LocalDrive" w:val="0"/>
    <w:docVar w:name="OandT" w:val="OKRZESIK"/>
    <w:docVar w:name="PaperSize" w:val="A4"/>
    <w:docVar w:name="sss1" w:val="CERD/C/SVN/Q/8-11"/>
    <w:docVar w:name="sss2" w:val="-"/>
    <w:docVar w:name="Symbol1" w:val="CERD/C/SVN/Q/8-11"/>
    <w:docVar w:name="Symbol2" w:val="-"/>
  </w:docVars>
  <w:rsids>
    <w:rsidRoot w:val="0028330B"/>
    <w:rsid w:val="000015B8"/>
    <w:rsid w:val="000046A5"/>
    <w:rsid w:val="000055FB"/>
    <w:rsid w:val="00010C97"/>
    <w:rsid w:val="00016483"/>
    <w:rsid w:val="00022173"/>
    <w:rsid w:val="0002226F"/>
    <w:rsid w:val="00022B4A"/>
    <w:rsid w:val="000234C0"/>
    <w:rsid w:val="00023E37"/>
    <w:rsid w:val="000249FF"/>
    <w:rsid w:val="00025DE5"/>
    <w:rsid w:val="000274C2"/>
    <w:rsid w:val="00033DC9"/>
    <w:rsid w:val="000378DE"/>
    <w:rsid w:val="00040497"/>
    <w:rsid w:val="00041ABD"/>
    <w:rsid w:val="00046145"/>
    <w:rsid w:val="00046E0F"/>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56F7"/>
    <w:rsid w:val="00116149"/>
    <w:rsid w:val="00123812"/>
    <w:rsid w:val="001256F6"/>
    <w:rsid w:val="001262BA"/>
    <w:rsid w:val="00126FB2"/>
    <w:rsid w:val="0013186C"/>
    <w:rsid w:val="00132A45"/>
    <w:rsid w:val="0013392E"/>
    <w:rsid w:val="001359FA"/>
    <w:rsid w:val="00136BA1"/>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330B"/>
    <w:rsid w:val="00285DC4"/>
    <w:rsid w:val="00286531"/>
    <w:rsid w:val="002867C7"/>
    <w:rsid w:val="0029018C"/>
    <w:rsid w:val="002A07EF"/>
    <w:rsid w:val="002A2122"/>
    <w:rsid w:val="002A27E5"/>
    <w:rsid w:val="002A69DB"/>
    <w:rsid w:val="002A6E2C"/>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1D8"/>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416C"/>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10E0"/>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33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7D7"/>
    <w:rsid w:val="0079292B"/>
    <w:rsid w:val="0079302E"/>
    <w:rsid w:val="0079379B"/>
    <w:rsid w:val="0079452A"/>
    <w:rsid w:val="00794EC6"/>
    <w:rsid w:val="00794FED"/>
    <w:rsid w:val="00795AD7"/>
    <w:rsid w:val="007961E2"/>
    <w:rsid w:val="007A345A"/>
    <w:rsid w:val="007A3D35"/>
    <w:rsid w:val="007A78C2"/>
    <w:rsid w:val="007B05E9"/>
    <w:rsid w:val="007B1E17"/>
    <w:rsid w:val="007B63B3"/>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65D"/>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3834"/>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25E96"/>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77C1F"/>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12B1"/>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5263"/>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098"/>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0A2"/>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5DE2"/>
    <w:rsid w:val="00C66382"/>
    <w:rsid w:val="00C67F09"/>
    <w:rsid w:val="00C72788"/>
    <w:rsid w:val="00C75F9C"/>
    <w:rsid w:val="00C76A5E"/>
    <w:rsid w:val="00C770FD"/>
    <w:rsid w:val="00C77A2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7AB9"/>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D63"/>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Body Text" w:uiPriority="0"/>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46E0F"/>
    <w:rPr>
      <w:sz w:val="16"/>
      <w:szCs w:val="16"/>
    </w:rPr>
  </w:style>
  <w:style w:type="paragraph" w:styleId="CommentText">
    <w:name w:val="annotation text"/>
    <w:basedOn w:val="Normal"/>
    <w:link w:val="CommentTextChar"/>
    <w:uiPriority w:val="99"/>
    <w:semiHidden/>
    <w:unhideWhenUsed/>
    <w:rsid w:val="00046E0F"/>
    <w:pPr>
      <w:spacing w:line="240" w:lineRule="auto"/>
    </w:pPr>
    <w:rPr>
      <w:szCs w:val="20"/>
    </w:rPr>
  </w:style>
  <w:style w:type="character" w:customStyle="1" w:styleId="CommentTextChar">
    <w:name w:val="Comment Text Char"/>
    <w:basedOn w:val="DefaultParagraphFont"/>
    <w:link w:val="CommentText"/>
    <w:uiPriority w:val="99"/>
    <w:semiHidden/>
    <w:rsid w:val="00046E0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46E0F"/>
    <w:rPr>
      <w:b/>
      <w:bCs/>
    </w:rPr>
  </w:style>
  <w:style w:type="character" w:customStyle="1" w:styleId="CommentSubjectChar">
    <w:name w:val="Comment Subject Char"/>
    <w:basedOn w:val="CommentTextChar"/>
    <w:link w:val="CommentSubject"/>
    <w:uiPriority w:val="99"/>
    <w:semiHidden/>
    <w:rsid w:val="00046E0F"/>
    <w:rPr>
      <w:rFonts w:ascii="Times New Roman" w:hAnsi="Times New Roman"/>
      <w:b/>
      <w:bCs/>
      <w:spacing w:val="4"/>
      <w:w w:val="103"/>
      <w:kern w:val="14"/>
      <w:lang w:val="fr-CA"/>
    </w:rPr>
  </w:style>
  <w:style w:type="paragraph" w:customStyle="1" w:styleId="HChG">
    <w:name w:val="_ H _Ch_G"/>
    <w:basedOn w:val="Normal"/>
    <w:next w:val="Normal"/>
    <w:rsid w:val="006C433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styleId="BodyText">
    <w:name w:val="Body Text"/>
    <w:basedOn w:val="Normal"/>
    <w:next w:val="Normal"/>
    <w:link w:val="BodyTextChar"/>
    <w:semiHidden/>
    <w:rsid w:val="006C433D"/>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6C433D"/>
    <w:rPr>
      <w:rFonts w:ascii="Times New Roman" w:eastAsia="Times New Roman" w:hAnsi="Times New Roman"/>
      <w:lang w:val="fr-FR"/>
    </w:rPr>
  </w:style>
  <w:style w:type="character" w:styleId="Hyperlink">
    <w:name w:val="Hyperlink"/>
    <w:basedOn w:val="DefaultParagraphFont"/>
    <w:uiPriority w:val="99"/>
    <w:unhideWhenUsed/>
    <w:rsid w:val="006C43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Body Text" w:uiPriority="0"/>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46E0F"/>
    <w:rPr>
      <w:sz w:val="16"/>
      <w:szCs w:val="16"/>
    </w:rPr>
  </w:style>
  <w:style w:type="paragraph" w:styleId="CommentText">
    <w:name w:val="annotation text"/>
    <w:basedOn w:val="Normal"/>
    <w:link w:val="CommentTextChar"/>
    <w:uiPriority w:val="99"/>
    <w:semiHidden/>
    <w:unhideWhenUsed/>
    <w:rsid w:val="00046E0F"/>
    <w:pPr>
      <w:spacing w:line="240" w:lineRule="auto"/>
    </w:pPr>
    <w:rPr>
      <w:szCs w:val="20"/>
    </w:rPr>
  </w:style>
  <w:style w:type="character" w:customStyle="1" w:styleId="CommentTextChar">
    <w:name w:val="Comment Text Char"/>
    <w:basedOn w:val="DefaultParagraphFont"/>
    <w:link w:val="CommentText"/>
    <w:uiPriority w:val="99"/>
    <w:semiHidden/>
    <w:rsid w:val="00046E0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46E0F"/>
    <w:rPr>
      <w:b/>
      <w:bCs/>
    </w:rPr>
  </w:style>
  <w:style w:type="character" w:customStyle="1" w:styleId="CommentSubjectChar">
    <w:name w:val="Comment Subject Char"/>
    <w:basedOn w:val="CommentTextChar"/>
    <w:link w:val="CommentSubject"/>
    <w:uiPriority w:val="99"/>
    <w:semiHidden/>
    <w:rsid w:val="00046E0F"/>
    <w:rPr>
      <w:rFonts w:ascii="Times New Roman" w:hAnsi="Times New Roman"/>
      <w:b/>
      <w:bCs/>
      <w:spacing w:val="4"/>
      <w:w w:val="103"/>
      <w:kern w:val="14"/>
      <w:lang w:val="fr-CA"/>
    </w:rPr>
  </w:style>
  <w:style w:type="paragraph" w:customStyle="1" w:styleId="HChG">
    <w:name w:val="_ H _Ch_G"/>
    <w:basedOn w:val="Normal"/>
    <w:next w:val="Normal"/>
    <w:rsid w:val="006C433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styleId="BodyText">
    <w:name w:val="Body Text"/>
    <w:basedOn w:val="Normal"/>
    <w:next w:val="Normal"/>
    <w:link w:val="BodyTextChar"/>
    <w:semiHidden/>
    <w:rsid w:val="006C433D"/>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6C433D"/>
    <w:rPr>
      <w:rFonts w:ascii="Times New Roman" w:eastAsia="Times New Roman" w:hAnsi="Times New Roman"/>
      <w:lang w:val="fr-FR"/>
    </w:rPr>
  </w:style>
  <w:style w:type="character" w:styleId="Hyperlink">
    <w:name w:val="Hyperlink"/>
    <w:basedOn w:val="DefaultParagraphFont"/>
    <w:uiPriority w:val="99"/>
    <w:unhideWhenUsed/>
    <w:rsid w:val="006C43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FBB7D-90F0-40E3-8515-744091A58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732</Words>
  <Characters>4221</Characters>
  <Application>Microsoft Office Word</Application>
  <DocSecurity>0</DocSecurity>
  <Lines>95</Lines>
  <Paragraphs>28</Paragraphs>
  <ScaleCrop>false</ScaleCrop>
  <Company>DCM</Company>
  <LinksUpToDate>false</LinksUpToDate>
  <CharactersWithSpaces>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Julien Okrzesik</dc:creator>
  <cp:keywords/>
  <dc:description/>
  <cp:lastModifiedBy>Julien Okrzesik</cp:lastModifiedBy>
  <cp:revision>4</cp:revision>
  <cp:lastPrinted>2015-10-12T09:23:00Z</cp:lastPrinted>
  <dcterms:created xsi:type="dcterms:W3CDTF">2015-10-12T09:23:00Z</dcterms:created>
  <dcterms:modified xsi:type="dcterms:W3CDTF">2015-10-12T09:31:00Z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1515627F</vt:lpwstr>
  </property>
  <property fmtid="{D5CDD505-2E9C-101B-9397-08002B2CF9AE}" pid="3" name="ODSRefJobNo">
    <vt:lpwstr>1521731F</vt:lpwstr>
  </property>
  <property fmtid="{D5CDD505-2E9C-101B-9397-08002B2CF9AE}" pid="4" name="Symbol1">
    <vt:lpwstr>CERD/C/SVN/Q/8-11</vt:lpwstr>
  </property>
  <property fmtid="{D5CDD505-2E9C-101B-9397-08002B2CF9AE}" pid="5" name="Symbol2">
    <vt:lpwstr/>
  </property>
  <property fmtid="{D5CDD505-2E9C-101B-9397-08002B2CF9AE}" pid="6" name="Translator">
    <vt:lpwstr/>
  </property>
  <property fmtid="{D5CDD505-2E9C-101B-9397-08002B2CF9AE}" pid="7" name="Operator">
    <vt:lpwstr>OKRZESIK</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octobre 2015</vt:lpwstr>
  </property>
  <property fmtid="{D5CDD505-2E9C-101B-9397-08002B2CF9AE}" pid="12" name="Original">
    <vt:lpwstr>anglais</vt:lpwstr>
  </property>
  <property fmtid="{D5CDD505-2E9C-101B-9397-08002B2CF9AE}" pid="13" name="Release Date">
    <vt:lpwstr>121015</vt:lpwstr>
  </property>
</Properties>
</file>