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3E77CFC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8AE2563" w14:textId="77777777" w:rsidR="002D5AAC" w:rsidRDefault="002D5AAC" w:rsidP="00D2128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BDD351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04B4D76" w14:textId="3DAD23CF" w:rsidR="002D5AAC" w:rsidRDefault="00D21282" w:rsidP="00D21282">
            <w:pPr>
              <w:jc w:val="right"/>
            </w:pPr>
            <w:r w:rsidRPr="00D21282">
              <w:rPr>
                <w:sz w:val="40"/>
              </w:rPr>
              <w:t>CCPR</w:t>
            </w:r>
            <w:r>
              <w:t>/C/VNM/CO/4</w:t>
            </w:r>
          </w:p>
        </w:tc>
      </w:tr>
      <w:tr w:rsidR="002D5AAC" w:rsidRPr="00D21282" w14:paraId="3B56704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B2B69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EED2457" wp14:editId="7A98017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12F5F3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C1F9B9" w14:textId="77777777" w:rsidR="002D5AAC" w:rsidRPr="00D21282" w:rsidRDefault="00D21282" w:rsidP="00BC3629">
            <w:pPr>
              <w:spacing w:before="240"/>
              <w:rPr>
                <w:lang w:val="en-US"/>
              </w:rPr>
            </w:pPr>
            <w:r w:rsidRPr="00D21282">
              <w:rPr>
                <w:lang w:val="en-US"/>
              </w:rPr>
              <w:t>Distr.: General</w:t>
            </w:r>
          </w:p>
          <w:p w14:paraId="5FE99E69" w14:textId="77777777" w:rsidR="00D21282" w:rsidRPr="00D21282" w:rsidRDefault="00D21282" w:rsidP="00D21282">
            <w:pPr>
              <w:spacing w:line="240" w:lineRule="exact"/>
              <w:rPr>
                <w:lang w:val="en-US"/>
              </w:rPr>
            </w:pPr>
            <w:r w:rsidRPr="00D21282">
              <w:rPr>
                <w:lang w:val="en-US"/>
              </w:rPr>
              <w:t>12 August 2025</w:t>
            </w:r>
          </w:p>
          <w:p w14:paraId="3ED22154" w14:textId="77777777" w:rsidR="00D21282" w:rsidRPr="00D21282" w:rsidRDefault="00D21282" w:rsidP="00D21282">
            <w:pPr>
              <w:spacing w:line="240" w:lineRule="exact"/>
              <w:rPr>
                <w:lang w:val="en-US"/>
              </w:rPr>
            </w:pPr>
            <w:r w:rsidRPr="00D21282">
              <w:rPr>
                <w:lang w:val="en-US"/>
              </w:rPr>
              <w:t>Russian</w:t>
            </w:r>
          </w:p>
          <w:p w14:paraId="0B724F3C" w14:textId="4F76408A" w:rsidR="00D21282" w:rsidRPr="00D21282" w:rsidRDefault="00D21282" w:rsidP="00D21282">
            <w:pPr>
              <w:spacing w:line="240" w:lineRule="exact"/>
              <w:rPr>
                <w:lang w:val="en-US"/>
              </w:rPr>
            </w:pPr>
            <w:r w:rsidRPr="00D21282">
              <w:rPr>
                <w:lang w:val="en-US"/>
              </w:rPr>
              <w:t>Original: English</w:t>
            </w:r>
          </w:p>
        </w:tc>
      </w:tr>
    </w:tbl>
    <w:p w14:paraId="72D1881C" w14:textId="77777777" w:rsidR="00D21282" w:rsidRPr="00D21282" w:rsidRDefault="00D21282" w:rsidP="00D21282">
      <w:pPr>
        <w:spacing w:before="120"/>
        <w:rPr>
          <w:b/>
          <w:bCs/>
          <w:color w:val="000000" w:themeColor="text1"/>
          <w:sz w:val="24"/>
          <w:szCs w:val="24"/>
        </w:rPr>
      </w:pPr>
      <w:r w:rsidRPr="00D21282">
        <w:rPr>
          <w:b/>
          <w:bCs/>
          <w:sz w:val="24"/>
          <w:szCs w:val="24"/>
        </w:rPr>
        <w:t>Комитет по правам человека</w:t>
      </w:r>
    </w:p>
    <w:p w14:paraId="6B5F901B" w14:textId="77777777" w:rsidR="00D21282" w:rsidRPr="004C480B" w:rsidRDefault="00D21282" w:rsidP="00D2128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Вьетнама</w:t>
      </w:r>
      <w:r w:rsidRPr="00A05E32">
        <w:rPr>
          <w:b w:val="0"/>
          <w:bCs/>
          <w:sz w:val="20"/>
        </w:rPr>
        <w:footnoteReference w:customMarkFollows="1" w:id="1"/>
        <w:t>*</w:t>
      </w:r>
    </w:p>
    <w:p w14:paraId="4C28586A" w14:textId="034516B0" w:rsidR="00D21282" w:rsidRPr="004C480B" w:rsidRDefault="00D21282" w:rsidP="00D21282">
      <w:pPr>
        <w:pStyle w:val="SingleTxtG"/>
      </w:pPr>
      <w:r>
        <w:t>1.</w:t>
      </w:r>
      <w:r>
        <w:tab/>
        <w:t>Комитет рассмотрел четвертый периодический доклад Вьетнама</w:t>
      </w:r>
      <w:r w:rsidRPr="00047F96">
        <w:rPr>
          <w:rStyle w:val="aa"/>
        </w:rPr>
        <w:footnoteReference w:id="2"/>
      </w:r>
      <w:r>
        <w:t xml:space="preserve"> на своих </w:t>
      </w:r>
      <w:r>
        <w:rPr>
          <w:lang w:val="en-US"/>
        </w:rPr>
        <w:br/>
      </w:r>
      <w:r>
        <w:t>4244-м и 4245-м заседаниях</w:t>
      </w:r>
      <w:r w:rsidRPr="00047F96">
        <w:rPr>
          <w:rStyle w:val="aa"/>
        </w:rPr>
        <w:footnoteReference w:id="3"/>
      </w:r>
      <w:r>
        <w:t xml:space="preserve">, состоявшихся 7 и 8 июля 2025 года. На своем </w:t>
      </w:r>
      <w:r w:rsidR="000839ED">
        <w:rPr>
          <w:lang w:val="en-US"/>
        </w:rPr>
        <w:br/>
      </w:r>
      <w:r>
        <w:t>4256-м заседании, состоявшемся 15 июля 2025 года, он принял настоящие заключительные замечания.</w:t>
      </w:r>
    </w:p>
    <w:p w14:paraId="42D4B70B" w14:textId="26E7EAA3" w:rsidR="00D21282" w:rsidRPr="004C480B" w:rsidRDefault="00D21282" w:rsidP="00D21282">
      <w:pPr>
        <w:pStyle w:val="H1G"/>
      </w:pPr>
      <w:r>
        <w:rPr>
          <w:bCs/>
          <w:lang w:val="en-US"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757F0758" w14:textId="77777777" w:rsidR="00D21282" w:rsidRPr="004C480B" w:rsidRDefault="00D21282" w:rsidP="00D21282">
      <w:pPr>
        <w:pStyle w:val="SingleTxtG"/>
      </w:pPr>
      <w:r>
        <w:t>2.</w:t>
      </w:r>
      <w:r>
        <w:tab/>
        <w:t>Комитет приветствует представление четвертого периодического доклада Вьетнама и содержащуюся в нем информацию. Комитет выражает признательность за возможность возобновления конструктивного диалога с делегацией высокого уровня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его письменные ответы</w:t>
      </w:r>
      <w:r w:rsidRPr="00047F96">
        <w:rPr>
          <w:rStyle w:val="aa"/>
        </w:rPr>
        <w:footnoteReference w:id="4"/>
      </w:r>
      <w:r>
        <w:t xml:space="preserve"> на перечень вопросов</w:t>
      </w:r>
      <w:r w:rsidRPr="00047F96">
        <w:rPr>
          <w:rStyle w:val="aa"/>
        </w:rPr>
        <w:footnoteReference w:id="5"/>
      </w:r>
      <w:r>
        <w:t xml:space="preserve">, которые были дополнены устными ответами членов делегации, а также за представленную ему в письменном виде дополнительную информацию. </w:t>
      </w:r>
    </w:p>
    <w:p w14:paraId="2549BFD2" w14:textId="2A21478F" w:rsidR="00D21282" w:rsidRPr="004C480B" w:rsidRDefault="00D21282" w:rsidP="00D21282">
      <w:pPr>
        <w:pStyle w:val="H1G"/>
      </w:pPr>
      <w:r>
        <w:rPr>
          <w:bCs/>
          <w:lang w:val="en-US"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195090B7" w14:textId="77777777" w:rsidR="00D21282" w:rsidRPr="004C480B" w:rsidRDefault="00D21282" w:rsidP="00D21282">
      <w:pPr>
        <w:pStyle w:val="SingleTxtG"/>
      </w:pPr>
      <w:r>
        <w:t>3.</w:t>
      </w:r>
      <w:r>
        <w:tab/>
        <w:t>Комитет приветствует принятие государством-участником следующих законодательных и политических мер:</w:t>
      </w:r>
      <w:bookmarkStart w:id="0" w:name="_Hlk202520239"/>
      <w:bookmarkEnd w:id="0"/>
    </w:p>
    <w:p w14:paraId="42CC8383" w14:textId="59C2F258" w:rsidR="00D21282" w:rsidRPr="004C480B" w:rsidRDefault="00D21282" w:rsidP="00D21282">
      <w:pPr>
        <w:pStyle w:val="SingleTxtG"/>
      </w:pPr>
      <w:r>
        <w:rPr>
          <w:lang w:val="en-US"/>
        </w:rPr>
        <w:tab/>
      </w:r>
      <w:r>
        <w:t>a)</w:t>
      </w:r>
      <w:r>
        <w:tab/>
        <w:t>поправок к Закону о борьбе с торговлей людьми в 2024 году;</w:t>
      </w:r>
    </w:p>
    <w:p w14:paraId="3ADE19EC" w14:textId="26D7F90E" w:rsidR="00D21282" w:rsidRPr="004C480B" w:rsidRDefault="00D21282" w:rsidP="00D21282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Закона о ювенальной юстиции в 2024 году; </w:t>
      </w:r>
    </w:p>
    <w:p w14:paraId="75954AB2" w14:textId="467A54D1" w:rsidR="00D21282" w:rsidRPr="004C480B" w:rsidRDefault="00D21282" w:rsidP="00D21282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поправок к Трудовому кодексу 2019 года в 2021 году; </w:t>
      </w:r>
    </w:p>
    <w:p w14:paraId="7B5F984E" w14:textId="5E14C1BF" w:rsidR="00D21282" w:rsidRPr="004C480B" w:rsidRDefault="00D21282" w:rsidP="00D21282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двух резолюций и решения о модернизации судебной системы, включая расширение услуг юридической помощи; </w:t>
      </w:r>
    </w:p>
    <w:p w14:paraId="1D62DC1A" w14:textId="5D59A4D6" w:rsidR="00D21282" w:rsidRPr="004C480B" w:rsidRDefault="00D21282" w:rsidP="00D21282">
      <w:pPr>
        <w:pStyle w:val="SingleTxtG"/>
      </w:pPr>
      <w:r>
        <w:rPr>
          <w:lang w:val="en-US"/>
        </w:rPr>
        <w:tab/>
      </w:r>
      <w:r>
        <w:t>e)</w:t>
      </w:r>
      <w:r>
        <w:tab/>
        <w:t xml:space="preserve">Национального плана действий по вопросам женщин, мира и безопасности на 2024–2030 годы; </w:t>
      </w:r>
    </w:p>
    <w:p w14:paraId="74A29D58" w14:textId="6DBC6091" w:rsidR="00D21282" w:rsidRPr="004C480B" w:rsidRDefault="00D21282" w:rsidP="00D21282">
      <w:pPr>
        <w:pStyle w:val="SingleTxtG"/>
      </w:pPr>
      <w:r>
        <w:rPr>
          <w:lang w:val="en-US"/>
        </w:rPr>
        <w:tab/>
      </w:r>
      <w:r>
        <w:t>f)</w:t>
      </w:r>
      <w:r>
        <w:tab/>
        <w:t xml:space="preserve">Национальной стратегии обеспечения гендерного равенства на </w:t>
      </w:r>
      <w:r w:rsidR="00DA7521">
        <w:rPr>
          <w:lang w:val="en-US"/>
        </w:rPr>
        <w:br/>
      </w:r>
      <w:r>
        <w:t xml:space="preserve">2021–2030 годы; </w:t>
      </w:r>
    </w:p>
    <w:p w14:paraId="1D7B3940" w14:textId="04734A69" w:rsidR="00D21282" w:rsidRPr="004C480B" w:rsidRDefault="00D21282" w:rsidP="00D21282">
      <w:pPr>
        <w:pStyle w:val="H1G"/>
      </w:pPr>
      <w:r>
        <w:rPr>
          <w:bCs/>
          <w:lang w:val="en-US"/>
        </w:rPr>
        <w:lastRenderedPageBreak/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  <w:lang w:val="en-US"/>
        </w:rPr>
        <w:br/>
      </w:r>
      <w:r>
        <w:rPr>
          <w:bCs/>
        </w:rPr>
        <w:t>и рекомендации</w:t>
      </w:r>
    </w:p>
    <w:p w14:paraId="1B4FFE88" w14:textId="77777777" w:rsidR="00D21282" w:rsidRPr="004C480B" w:rsidRDefault="00D21282" w:rsidP="00D21282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осуществления Пакта</w:t>
      </w:r>
      <w:r>
        <w:t xml:space="preserve"> </w:t>
      </w:r>
    </w:p>
    <w:p w14:paraId="66E4564F" w14:textId="77777777" w:rsidR="00D21282" w:rsidRPr="004C480B" w:rsidRDefault="00D21282" w:rsidP="00D21282">
      <w:pPr>
        <w:pStyle w:val="SingleTxtG"/>
      </w:pPr>
      <w:r>
        <w:t>4.</w:t>
      </w:r>
      <w:r>
        <w:tab/>
        <w:t xml:space="preserve">Отмечая усилия государства-участника по обеспечению соответствия его национального законодательства положениям Пакта, Комитет выражает обеспокоенность по поводу того, что Конституция не в полной мере обеспечивает реализацию прав, закрепленных в Пакте, и что национальное законодательство и политика, в том числе Директива № 24, налагают чрезмерные ограничения на права, закрепленные в Пакте, в частности по соображениям национальной безопасности. Комитет с сожалением констатирует, что, несмотря на инициативы по повышению уровня информированности, положения Пакта не применяются национальными судами. Комитет также сожалеет о том, что государство-участник еще не ратифицировало первый Факультативный протокол к Пакту (статья 2). </w:t>
      </w:r>
    </w:p>
    <w:p w14:paraId="60D009A9" w14:textId="77777777" w:rsidR="00D21282" w:rsidRPr="00AA3ACE" w:rsidRDefault="00D21282" w:rsidP="00D21282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Государству-участнику следует обеспечить всестороннее применение всех положений Пакта в национальной правовой системе.</w:t>
      </w:r>
      <w:r>
        <w:t xml:space="preserve"> </w:t>
      </w:r>
      <w:r>
        <w:rPr>
          <w:b/>
          <w:bCs/>
        </w:rPr>
        <w:t>Кроме того, государству-участнику следует обеспечить толкование и применение внутреннего законодательства в соответствии с его обязательствами по Пакту.</w:t>
      </w:r>
      <w:r>
        <w:t xml:space="preserve"> </w:t>
      </w:r>
      <w:r>
        <w:rPr>
          <w:b/>
          <w:bCs/>
        </w:rPr>
        <w:t>Кроме того, государству-участнику следует повысить уровень осведомленности судей, адвокатов и прокуроров о положениях Пакта и способствовать их применению национальными судами.</w:t>
      </w:r>
      <w:r>
        <w:t xml:space="preserve"> </w:t>
      </w:r>
      <w:r>
        <w:rPr>
          <w:b/>
          <w:bCs/>
        </w:rPr>
        <w:t>Ему также следует рассмотреть возможность ратификации первого Факультативного протокола к Пакту.</w:t>
      </w:r>
      <w:r>
        <w:t xml:space="preserve"> </w:t>
      </w:r>
    </w:p>
    <w:p w14:paraId="280F86FE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76BA75A4" w14:textId="77777777" w:rsidR="00D21282" w:rsidRPr="00AA3ACE" w:rsidRDefault="00D21282" w:rsidP="00D21282">
      <w:pPr>
        <w:pStyle w:val="SingleTxtG"/>
      </w:pPr>
      <w:r>
        <w:t>6.</w:t>
      </w:r>
      <w:r>
        <w:tab/>
        <w:t>Принимая к сведению информацию, представленную государством-участником об оказании поддержки в создании независимого национального правозащитного учреждения, Комитет с сожалением отмечает продолжающуюся отсрочку и отсутствие явных успехов в создании такого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(статья 2).</w:t>
      </w:r>
    </w:p>
    <w:p w14:paraId="6A401DB2" w14:textId="77777777" w:rsidR="00D21282" w:rsidRPr="00AA3ACE" w:rsidRDefault="00D21282" w:rsidP="00D21282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призывает государство-участник в приоритетном порядке принять меры по созданию независимого национального правозащитного учреждения в соответствии с Парижскими принципами и выделить этому учреждению надлежащие финансовые и кадровые ресурсы.</w:t>
      </w:r>
      <w:r>
        <w:t xml:space="preserve"> </w:t>
      </w:r>
    </w:p>
    <w:p w14:paraId="38C01F17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</w:p>
    <w:p w14:paraId="3D757EA3" w14:textId="77777777" w:rsidR="00D21282" w:rsidRPr="00AA3ACE" w:rsidRDefault="00D21282" w:rsidP="00D21282">
      <w:pPr>
        <w:pStyle w:val="SingleTxtG"/>
      </w:pPr>
      <w:r>
        <w:t>8.</w:t>
      </w:r>
      <w:r>
        <w:tab/>
        <w:t xml:space="preserve">Комитет отмечает меры, принятые для борьбы с коррупцией, включая значительное увеличение количества обвинительных заключений и судебных преследований в отношении бывших и действующих высокопоставленных должностных лиц. Вместе с тем Комитет обеспокоен сообщениями о том, что механизмы привлечения к ответственности государственных должностных лиц часто применяются избирательно и носят политически мотивированный характер. Комитет сожалеет по поводу отсутствия информации о количестве поданных жалоб, проведенных расследований и судебных преследований и вынесенных обвинительных приговоров по делам о коррупции (статьи 2 и 25). </w:t>
      </w:r>
    </w:p>
    <w:p w14:paraId="5F87FF6A" w14:textId="77777777" w:rsidR="00D21282" w:rsidRPr="00AA3ACE" w:rsidRDefault="00D21282" w:rsidP="00D21282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Государству-участнику следует активизировать усилия по предупреждению и искоренению коррупции на всех уровнях.</w:t>
      </w:r>
      <w:r>
        <w:t xml:space="preserve"> </w:t>
      </w:r>
      <w:r>
        <w:rPr>
          <w:b/>
          <w:bCs/>
        </w:rPr>
        <w:t>В частности, ему следует:</w:t>
      </w:r>
    </w:p>
    <w:p w14:paraId="7F5E7B4B" w14:textId="55FA6327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активизировать усилия по проведению транспарентных, оперативных, тщательных, независимых и беспристрастных расследований по утверждениям в коррупции на всех уровнях и обеспечить, чтобы виновные были привлечены к ответственности и, в случае осуждения, понесли наказание, соразмерное тяжести совершенного преступления, а жертвы получили возмещение ущерба;</w:t>
      </w:r>
    </w:p>
    <w:p w14:paraId="66ACDAC3" w14:textId="01BAB42D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lastRenderedPageBreak/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повысить прозрачность, независимость и подотчетность всех органов по борьбе с коррупцией и обеспечить обнародование их решений;</w:t>
      </w:r>
    </w:p>
    <w:p w14:paraId="1051680C" w14:textId="729ED020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проводить учебные мероприятия и информационно-просветител</w:t>
      </w:r>
      <w:r>
        <w:rPr>
          <w:b/>
          <w:bCs/>
        </w:rPr>
        <w:t>ьские кампании с целью информирования государственных служащих, политиков, представителей деловых кругов и широкой общественности об экономических и социальных издержках коррупции и существующих механизмах, позволяющих сообщать о случаях коррупции.</w:t>
      </w:r>
    </w:p>
    <w:p w14:paraId="1E115BD8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  <w:r>
        <w:t xml:space="preserve"> </w:t>
      </w:r>
    </w:p>
    <w:p w14:paraId="1AFD2BE3" w14:textId="77777777" w:rsidR="00D21282" w:rsidRPr="00AA3ACE" w:rsidRDefault="00D21282" w:rsidP="00D21282">
      <w:pPr>
        <w:pStyle w:val="SingleTxtG"/>
      </w:pPr>
      <w:r>
        <w:t>10.</w:t>
      </w:r>
      <w:r>
        <w:tab/>
        <w:t xml:space="preserve">Комитет обеспокоен тем, что в действующих нормативно-правовых актах, регулирующих режим чрезвычайного положения, не определены рамки ограничений прав человека в случае установления чрезвычайного положения в стране и не установлен прямой запрет на отступления от положений Пакта, от которых отступления не допускаются. Комитет с сожалением констатирует, что во время пандемии коронавирусной инфекции (COVID-19) Генеральному секретарю Организации Объединенных Наций не было направлено уведомление о введении чрезвычайного положения, несмотря на принятие мер, которые носили достаточно суровый характер, чтобы считаться отступлениями по смыслу пункта 1 статьи 4 Пакта, включая сообщения об ограниченном доступе к продовольствию для уязвимых групп населения в Хошимине и задержании лиц, критиковавших в Интернете меры реагирования государства-участника на пандемию. Комитет напоминает государству-участнику, что об ограничениях прав человека в условиях чрезвычайного положения следует уведомлять Генерального секретаря в соответствии с пунктом 3 статьи 4 Пакта (статья 4). </w:t>
      </w:r>
    </w:p>
    <w:p w14:paraId="7D8962B3" w14:textId="77777777" w:rsidR="00D21282" w:rsidRPr="00AA3ACE" w:rsidRDefault="00D21282" w:rsidP="00D21282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В свете замечания общего порядка № 29 (2001) Комитета об отступлениях от обязательств по Пакту во время чрезвычайного положения государству-участнику следует незамедлительно внести поправки в законодательство, регулирующее чрезвычайное положение, с тем чтобы обеспечить его полное соответствие всем требованиям статьи 4 Пакта.</w:t>
      </w:r>
      <w:r>
        <w:t xml:space="preserve"> </w:t>
      </w:r>
      <w:r>
        <w:rPr>
          <w:b/>
          <w:bCs/>
        </w:rPr>
        <w:t>В частности, государству-участнику следует гарантировать, что любые меры, принимаемые в контексте чрезвычайного положения, включая пандемию, являются временными, соразмерными, строго необходимыми и подлежат судебному надзору.</w:t>
      </w:r>
      <w:r>
        <w:t xml:space="preserve"> </w:t>
      </w:r>
      <w:r>
        <w:rPr>
          <w:b/>
          <w:bCs/>
        </w:rPr>
        <w:t>Кроме того, при принятии таких мер государству-участнику следует информировать другие государства-участники Пакта через посредство Генерального секретаря о положениях, от которых оно отступило, и о причинах, побудивших к такому решению, в соответствии с пунктом 3 статьи 4 Пакта.</w:t>
      </w:r>
    </w:p>
    <w:p w14:paraId="1A9C78EC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FD7AE01" w14:textId="77777777" w:rsidR="00D21282" w:rsidRPr="00AA3ACE" w:rsidRDefault="00D21282" w:rsidP="00D21282">
      <w:pPr>
        <w:pStyle w:val="SingleTxtG"/>
      </w:pPr>
      <w:r>
        <w:t>12.</w:t>
      </w:r>
      <w:r>
        <w:tab/>
        <w:t xml:space="preserve">Отмечая, что статья 16 Конституции гарантирует равенство перед законом и свободу от дискриминации, Комитет выражает обеспокоенность по поводу того, что существующая правовая база не обеспечивает всеобъемлющей защиты от дискриминации по всем признакам, запрещенным в соответствии с Пактом. Комитет отмечает наличие законодательства и других мер по борьбе с дискриминацией, таких как программа социальной помощи и реабилитации для лиц с психическими расстройствами и детей с аутизмом на 2021–2030 годы. Вместе с тем Комитет с сожалением констатирует отсутствие информации о занятости инвалидов и их участии в программах профессиональной подготовки (статьи 2, 19, 20 и 26). </w:t>
      </w:r>
    </w:p>
    <w:p w14:paraId="103B4604" w14:textId="77777777" w:rsidR="00D21282" w:rsidRPr="00AA3ACE" w:rsidRDefault="00D21282" w:rsidP="00D21282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 обеспечить, чтобы каждый человек мог пользоваться правами человека, закрепленными в Пакте, без какой-либо дискриминации.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4CF9BF6D" w14:textId="51A35B28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</w:r>
      <w:r>
        <w:rPr>
          <w:b/>
          <w:bCs/>
        </w:rPr>
        <w:t>принять всеобъемлющее антидискриминационное законодательство, четко охватывающее все сферы жизни и запрещающее прямую, косвенную и интерсекционную дискриминацию во всех областях и по всем признакам, запрещенным Пактом, а также обеспечить доступ жертв к эффективным и надлежащим средствам правовой защиты;</w:t>
      </w:r>
      <w:r>
        <w:t xml:space="preserve"> </w:t>
      </w:r>
    </w:p>
    <w:p w14:paraId="24318660" w14:textId="02ECDDEF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lastRenderedPageBreak/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 xml:space="preserve">продолжить борьбу со стереотипами и негативным отношением к людям на основании их сексуальной ориентации, гендерной идентичности, этнической принадлежности или религиозных убеждений, в том числе за счет проведения общественных информационных кампаний; </w:t>
      </w:r>
    </w:p>
    <w:p w14:paraId="1AFCD92F" w14:textId="540AC97A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осуществлять эффективный мониторинг случаев дискриминации путем систематического сбора данных о жалобах на соответствующие деяния и результатах их рассмотрения;</w:t>
      </w:r>
    </w:p>
    <w:p w14:paraId="71249E69" w14:textId="3CE03B3E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>
        <w:tab/>
      </w:r>
      <w:r>
        <w:rPr>
          <w:b/>
          <w:bCs/>
        </w:rPr>
        <w:t>принять все необходимые меры для эффективного противодействия и ликвидации дискриминации в отношении инвалидов.</w:t>
      </w:r>
      <w:r>
        <w:t xml:space="preserve"> </w:t>
      </w:r>
    </w:p>
    <w:p w14:paraId="24DE2725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Сексуальная ориентация, гендерная идентичность и интерсекс-люди</w:t>
      </w:r>
      <w:r>
        <w:t xml:space="preserve"> </w:t>
      </w:r>
    </w:p>
    <w:p w14:paraId="799079CC" w14:textId="75D30D7B" w:rsidR="00D21282" w:rsidRPr="00AA3ACE" w:rsidRDefault="00D21282" w:rsidP="00D21282">
      <w:pPr>
        <w:pStyle w:val="SingleTxtG"/>
      </w:pPr>
      <w:r>
        <w:t>14.</w:t>
      </w:r>
      <w:r>
        <w:tab/>
        <w:t xml:space="preserve">Комитет обеспокоен стигматизацией, дискриминационным отношением и насилием, с которыми сталкиваются лесбиянки, геи, бисексуальные, трансгендерные и интерсекс-люди в государстве-участнике. Он также обеспокоен отсутствием прогресса в работе над законом о подтверждении гендерной идентичности. Кроме того, он обеспокоен сообщениями о том, что дети и подростки из числа интерсекс-людей подвергаются необратимым и инвазивным медицинским вмешательствам. Кроме того, хотя Комитет отмечает, что однополые отношения не являются уголовно наказуемыми, он сожалеет об отсутствии признания и защиты однополых пар в законодательном порядке (статьи 2, 19, 20 и 26). </w:t>
      </w:r>
    </w:p>
    <w:p w14:paraId="369D92A0" w14:textId="77777777" w:rsidR="00D21282" w:rsidRPr="00AA3ACE" w:rsidRDefault="00D21282" w:rsidP="00D21282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активизировать свои усилия по предупреждению и пресечению всех форм дискриминации и насилия в отношении лесбиянок, геев, бисексуальных, трансгендерных и интерсекс-людей.</w:t>
      </w:r>
      <w:r>
        <w:t xml:space="preserve"> </w:t>
      </w:r>
      <w:r>
        <w:rPr>
          <w:b/>
          <w:bCs/>
        </w:rPr>
        <w:t>Ему, в частности, следует:</w:t>
      </w:r>
      <w:r>
        <w:t xml:space="preserve"> </w:t>
      </w:r>
    </w:p>
    <w:p w14:paraId="560EE65B" w14:textId="014D95EA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принять нормативно-правовую базу в целях прямого запрета и предупреждения дискриминации, преследования, ненавистнических высказываний и преступлений на почве ненависти в отношении лесбиянок, геев, бисексуальных, трансгендерных и интерсекс-людей;</w:t>
      </w:r>
    </w:p>
    <w:p w14:paraId="14A80FEC" w14:textId="187CE410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 проведение оперативных и эффективных расследований по всем заявлениям о дискриминации или насилии на почве реальной или предполагаемой сексуальной ориентации или гендерной идентичности жертвы, привлечение виновных к ответственности и, в случае осуждения, назначение им наказания, соразмерного тяжести совершенного преступления, а также предоставление жертвам эффективного доступа к средствам судебной защиты, полному возмещению ущерба и другим средствам защиты;</w:t>
      </w:r>
    </w:p>
    <w:p w14:paraId="0E778291" w14:textId="0A45FA2E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положить конец практике необратимых и инвазивных медицинских манипуляций и вмешательств, особенно хирургическим операциям, в отношении интерсекс-детей, которые еще не в состоянии дать своего полностью осознанного и свободного на то согласия, если только такие вмешательства не являются абсолютной медицинской необходимостью;</w:t>
      </w:r>
    </w:p>
    <w:p w14:paraId="19D8A023" w14:textId="399B76D0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  <w:t>принять законодательство, обеспечивающее юридическое признание однополых пар, или внести соответствующие поправки в действующее законодательство;</w:t>
      </w:r>
    </w:p>
    <w:p w14:paraId="26841FAE" w14:textId="1C29DF52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e)</w:t>
      </w:r>
      <w:r>
        <w:tab/>
      </w:r>
      <w:r>
        <w:rPr>
          <w:b/>
          <w:bCs/>
        </w:rPr>
        <w:t>продолжить борьбу со стереотипами и негативным отношением широкой общественности к людям на основании их реальной или предполагаемой сексуальной ориентации или гендерной идентичности.</w:t>
      </w:r>
    </w:p>
    <w:p w14:paraId="35C01C32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260676AB" w14:textId="77777777" w:rsidR="00D21282" w:rsidRPr="00AA3ACE" w:rsidRDefault="00D21282" w:rsidP="00D21282">
      <w:pPr>
        <w:pStyle w:val="SingleTxtG"/>
      </w:pPr>
      <w:r>
        <w:t>16.</w:t>
      </w:r>
      <w:r>
        <w:tab/>
        <w:t xml:space="preserve">Приветствуя различные меры, принятые государством-участником для поощрения гендерного равенства, Комитет с обеспокоенностью отмечает сохраняющуюся проблему низкого уровня участия женщин в политической и общественной жизни, особенно на руководящих и директивных должностях высокого уровня, в том числе в правительстве. Комитет также обеспокоен сохранением дискриминационных стереотипов и укоренившихся патриархальных представлений о </w:t>
      </w:r>
      <w:r>
        <w:lastRenderedPageBreak/>
        <w:t>роли и обязанностях женщин, которые особенно затрагивают женщин и девочек из сельских и бедных районов, в частности из числа этнических меньшинств, таких как кхмер-кромы, хмонги и монтаньяры; (статьи 2, 3 и 25).</w:t>
      </w:r>
    </w:p>
    <w:p w14:paraId="6103430E" w14:textId="77777777" w:rsidR="00D21282" w:rsidRPr="00AA3ACE" w:rsidRDefault="00D21282" w:rsidP="00D2128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активизировать свои усилия по обеспечению реального равенства между мужчинами и женщинами во всех сферах.</w:t>
      </w:r>
      <w:r>
        <w:t xml:space="preserve"> </w:t>
      </w:r>
      <w:r>
        <w:rPr>
          <w:b/>
          <w:bCs/>
        </w:rPr>
        <w:t>В частности, ему следует:</w:t>
      </w:r>
    </w:p>
    <w:p w14:paraId="55304E1F" w14:textId="0D690F2E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расширить участие женщин в политической и общественной жизни, в частности повысить их долю на руководящих и директивных должностях высокого уровня, в том числе в правительстве, в целях достижения гендерного паритета, в том числе путем принятия временных специальных мер, таких как введение установленных законом квот и системы гендерного паритета;</w:t>
      </w:r>
    </w:p>
    <w:p w14:paraId="3931D387" w14:textId="127808A4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повысить уровень гражданского просвещения для девочек и женщин и провести мероприятия по повышению информированности о важности участия женщин в процессах принятия решений;</w:t>
      </w:r>
    </w:p>
    <w:p w14:paraId="478CBAD5" w14:textId="21F04682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бороться с патриархальными представлениями и стереотипами относительно ролей и обязанностей женщин и мужчин в семье и в обществе в целом, особенно в отношении женщин и девочек из сельских и бедных районов, в частности из числа этнических меньшинств, таких как кхмер-кромы, хмонги и монтаньяры;</w:t>
      </w:r>
    </w:p>
    <w:p w14:paraId="7CE86095" w14:textId="19CDB548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</w:r>
      <w:r>
        <w:rPr>
          <w:b/>
          <w:bCs/>
        </w:rPr>
        <w:t>собирать и обнародовать дезагрегированные данные о представленности женщин и мужчин в общественной и политической жизни.</w:t>
      </w:r>
    </w:p>
    <w:p w14:paraId="79CE20D9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домашнее насилие</w:t>
      </w:r>
      <w:r>
        <w:t xml:space="preserve"> </w:t>
      </w:r>
    </w:p>
    <w:p w14:paraId="73CF143F" w14:textId="22BB0C56" w:rsidR="00D21282" w:rsidRPr="00AA3ACE" w:rsidRDefault="00D21282" w:rsidP="00D21282">
      <w:pPr>
        <w:pStyle w:val="SingleTxtG"/>
      </w:pPr>
      <w:r>
        <w:t>18.</w:t>
      </w:r>
      <w:r>
        <w:tab/>
        <w:t>Комитет отмечает реализацию государством-участником Закона 2022 года о предупреждении и пресечении домашнего насилия. Однако он обеспокоен тем, что сделанный в этом законе акцент на мерах по примирению и посредничеству в случаях домашнего насилия может затруднить доступ к правосудию и эффективным средствам правовой защиты. Комитет также обеспокоен тем, что</w:t>
      </w:r>
      <w:r w:rsidR="000133F9">
        <w:t>,</w:t>
      </w:r>
      <w:r>
        <w:t xml:space="preserve"> для того чтобы деяние было квалифицировано как изнасилование, необходимо наличие телесных повреждений. Кроме того, Комитет по-прежнему обеспокоен сохраняющимся высоким уровнем насилия в отношении женщин и девочек, включая изнасилования и домашнее насилие (статьи 2, 3, 6, 7 и 25). </w:t>
      </w:r>
    </w:p>
    <w:p w14:paraId="6A48B8FC" w14:textId="77777777" w:rsidR="00D21282" w:rsidRPr="00AA3ACE" w:rsidRDefault="00D21282" w:rsidP="00D21282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02ED7E62" w14:textId="03B04CA6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 xml:space="preserve">обеспечить, чтобы определение изнасилования соответствовало положениям Пакта; </w:t>
      </w:r>
    </w:p>
    <w:p w14:paraId="6C16191D" w14:textId="1D792658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гарантировать тщательное и оперативное расследование всех случаев насилия в отношении женщин и девочек, привлечение виновных к ответственности и, в случае осуждения, вынесение им наказаний, соразмерных тяжести совершенного преступления, и обеспечить доступ жертв к эффективным средствам правовой защиты, предоставление им полного возмещения ущерба, а также доступа к надлежащей защите и помощи;</w:t>
      </w:r>
    </w:p>
    <w:p w14:paraId="26CE717D" w14:textId="4BC0AD9F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 xml:space="preserve">укреплять механизмы, облегчающие и поощряющие сообщение информации о случаях насилия в отношении женщин и девочек, в том числе путем обеспечения всем женщинам доступа к информации об их правах, мерах защиты и средствах правовой защиты; </w:t>
      </w:r>
    </w:p>
    <w:p w14:paraId="58E48DDE" w14:textId="39D19AAF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  <w:t>не требовать от жертв домашнего насилия прибегать к альтернативным процедурам урегулирования споров;</w:t>
      </w:r>
    </w:p>
    <w:p w14:paraId="53236619" w14:textId="3927F0F5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e)</w:t>
      </w:r>
      <w:r w:rsidRPr="00D21282">
        <w:rPr>
          <w:b/>
          <w:bCs/>
        </w:rPr>
        <w:tab/>
        <w:t>активизировать</w:t>
      </w:r>
      <w:r>
        <w:rPr>
          <w:b/>
          <w:bCs/>
        </w:rPr>
        <w:t xml:space="preserve"> программы просвещения общественности, заостряющие внимание на преступном характере таких деяний и направленные на искоренение стереотипов, согласно которым насилие в отношении женщин считается нормальным явлением;</w:t>
      </w:r>
    </w:p>
    <w:p w14:paraId="1010AEDE" w14:textId="4C53C87C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f)</w:t>
      </w:r>
      <w:r w:rsidRPr="00D21282">
        <w:rPr>
          <w:b/>
          <w:bCs/>
        </w:rPr>
        <w:tab/>
        <w:t xml:space="preserve">обеспечить, чтобы судьи, прокуроры, сотрудники правоохранительных органов и медицинские работники проходили </w:t>
      </w:r>
      <w:r w:rsidRPr="00D21282">
        <w:rPr>
          <w:b/>
          <w:bCs/>
        </w:rPr>
        <w:lastRenderedPageBreak/>
        <w:t>соответствующую подготовку, позволяющую им эффективно и с учетом гендерной специфики рассматривать дела, связанные с гендерным насилием;</w:t>
      </w:r>
    </w:p>
    <w:p w14:paraId="6B112FB2" w14:textId="453F22F3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g)</w:t>
      </w:r>
      <w:r w:rsidRPr="00D21282">
        <w:rPr>
          <w:b/>
          <w:bCs/>
        </w:rPr>
        <w:tab/>
      </w:r>
      <w:r>
        <w:rPr>
          <w:b/>
          <w:bCs/>
        </w:rPr>
        <w:t>собирать и обнародовать дезагрегированные данные о насилии в отношении женщин, включая информацию о поданных жалобах, проведенных расследованиях и судебных преследованиях, вынесенных обвинительных приговорах и назначенных наказаниях по делам о гендерном насилии.</w:t>
      </w:r>
      <w:r>
        <w:t xml:space="preserve"> </w:t>
      </w:r>
    </w:p>
    <w:p w14:paraId="0D5FB096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Изменение климата и деградация окружающей среды</w:t>
      </w:r>
    </w:p>
    <w:p w14:paraId="2B0613C7" w14:textId="77777777" w:rsidR="00D21282" w:rsidRPr="00AA3ACE" w:rsidRDefault="00D21282" w:rsidP="00D21282">
      <w:pPr>
        <w:pStyle w:val="SingleTxtG"/>
      </w:pPr>
      <w:r>
        <w:t>20.</w:t>
      </w:r>
      <w:r>
        <w:tab/>
        <w:t>Комитет отмечает шаги, предпринятые государством-участником для предупреждения и смягчения последствий изменения климата и деградации окружающей среды, в том числе в ответ на обрушившийся в 2024 году тайфун «Яги». Тем не менее он обеспокоен серьезностью связанных с этим угроз для жизни, здоровья и средств к существованию. Комитет сожалеет об отсутствии достаточной информации об устойчивой политике, принятой государством-участником для защиты людей, в том числе наиболее уязвимых лиц и групп меньшинств, от воздействия деградации окружающей среды и изменения климата (статьи 6 и 27).</w:t>
      </w:r>
    </w:p>
    <w:p w14:paraId="2331965B" w14:textId="7CD50D50" w:rsidR="00D21282" w:rsidRPr="00AA3ACE" w:rsidRDefault="00D21282" w:rsidP="00D21282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 xml:space="preserve">В соответствии со статьей 6 Пакта и в свете замечания общего </w:t>
      </w:r>
      <w:r w:rsidR="000133F9">
        <w:rPr>
          <w:b/>
          <w:bCs/>
          <w:lang w:val="en-US"/>
        </w:rPr>
        <w:br/>
      </w:r>
      <w:r>
        <w:rPr>
          <w:b/>
          <w:bCs/>
        </w:rPr>
        <w:t>порядка № 36 (2018) Комитета о праве на жизнь государству-участнику следует принять надлежащие меры для обеспечения устойчивого использования природных ресурсов и применять осторожный подход к защите людей, включая наиболее уязвимые группы и меньшинства, от негативных последствий изменения климата, деградации окружающей среды и стихийных бедствий, а также расширить возможности местных общин и широкой общественности с точки зрения конструктивного участия в принятии решений по вопросам, касающимся окружающей среды, и доступа к информации.</w:t>
      </w:r>
    </w:p>
    <w:p w14:paraId="4061EB76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Смертная казнь</w:t>
      </w:r>
    </w:p>
    <w:p w14:paraId="0792F5DF" w14:textId="77777777" w:rsidR="00D21282" w:rsidRPr="00AA3ACE" w:rsidRDefault="00D21282" w:rsidP="00D21282">
      <w:pPr>
        <w:pStyle w:val="SingleTxtG"/>
      </w:pPr>
      <w:r>
        <w:t>22.</w:t>
      </w:r>
      <w:r>
        <w:tab/>
        <w:t xml:space="preserve">Приветствуя недавнюю отмену смертной казни в государстве-участнике за восемь конкретных преступлений, Комитет с обеспокоенностью отмечает, что в соответствии с внутренним законодательством 10 преступлений, включая ненасильственные преступления, которые не соответствуют критерию «наиболее тяжких преступлений» по смыслу Пакта, в том числе незаконный оборот наркотиков, караются смертной казнью. Комитет также обеспокоен сообщениями о том, что это наказание непропорционально часто применяется к лицам, принадлежащим к этническим и религиозным меньшинствам. Кроме того, Комитет обеспокоен отсутствием информации о существовании процедуры, позволяющей лицам, приговоренным к смертной казни, добиваться пересмотра своего обвинительного приговора и назначенного наказания на основании вновь открывшихся оправдательных доказательств и, в случае несправедливого осуждения, получать компенсацию. Он выражает сожаление по поводу отсутствия информации о количестве вынесенных смертных приговоров, совершенных казней и предоставленных помилований, а также о количестве лиц, ожидающих приведения смертного приговора в исполнение (статьи 2, 6 и 14). </w:t>
      </w:r>
    </w:p>
    <w:p w14:paraId="2BEF23FC" w14:textId="77777777" w:rsidR="00D21282" w:rsidRPr="00AA3ACE" w:rsidRDefault="00D21282" w:rsidP="00D21282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 учетом замечания общего порядка № 36 (2018) Комитета о праве на жизнь государству-участнику следует воздерживаться от приведения в исполнение смертных приговоров, соблюдая де-факто мораторий на них, предпринять конкретные шаги по введению моратория на смертную казнь де-юре и рассмотреть возможность ее отмены, а также присоединения ко второму Факультативному протоколу к Пакту, направленному на отмену смертной казни.</w:t>
      </w:r>
      <w:r>
        <w:t xml:space="preserve"> </w:t>
      </w:r>
      <w:r>
        <w:rPr>
          <w:b/>
          <w:bCs/>
        </w:rPr>
        <w:t>Если смертная казнь будет сохранена, государству-участнику следует:</w:t>
      </w:r>
    </w:p>
    <w:p w14:paraId="10444853" w14:textId="222C9F51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обеспечить, чтобы смертная казнь назначалась только за самые тяжкие преступления, связанные с преднамеренным убийством, и никогда не назначалась в нарушение Пакта, в том числе в нарушение процедур справедливого судебного разбирательства или в результате дискриминации;</w:t>
      </w:r>
    </w:p>
    <w:p w14:paraId="26976076" w14:textId="24E8B481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 xml:space="preserve">гарантировать, чтобы помилование или смягчение приговора было возможно во всех случаях, и разработать всеобъемлющие правила подачи и </w:t>
      </w:r>
      <w:r w:rsidRPr="00D21282">
        <w:rPr>
          <w:b/>
          <w:bCs/>
        </w:rPr>
        <w:lastRenderedPageBreak/>
        <w:t>рассмотрения ходатайств о помиловании, соответствующие международным стандартам, обеспечивая прозрачность, определенность, соблюдение надлежащей процедуры и объективность;</w:t>
      </w:r>
    </w:p>
    <w:p w14:paraId="185C4D36" w14:textId="0E6176AF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>
        <w:tab/>
      </w:r>
      <w:r>
        <w:rPr>
          <w:b/>
          <w:bCs/>
        </w:rPr>
        <w:t>обеспечить, чтобы все лица, приговоренные к смертной казни, имели доступ к прозрачному, эффективному и независимому процессу пересмотра дела на основании вновь открывшихся оправдательных доказательств, чтобы им предоставлялась надлежащая правовая и финансовая помощь для обеспечения возможности такого пересмотра и, в случае несправедливого осуждения, чтобы они имели доступ к эффективным средствам правовой защиты, включая компенсацию;</w:t>
      </w:r>
    </w:p>
    <w:p w14:paraId="280AC8E4" w14:textId="4C12C56E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</w:r>
      <w:r>
        <w:rPr>
          <w:b/>
          <w:bCs/>
        </w:rPr>
        <w:t>собирать и обнародовать имеющиеся дезагрегированные данные о количестве вынесенных смертных приговоров, поле и возрасте осужденных, количестве приведенных в исполнение смертных приговоров, количестве поданных и удовлетворенных ходатайств о помиловании и смягчении приговора, а также о видах преступлений, за которые выносятся смертные приговоры.</w:t>
      </w:r>
      <w:bookmarkStart w:id="1" w:name="_Hlk203211684"/>
    </w:p>
    <w:bookmarkEnd w:id="1"/>
    <w:p w14:paraId="40C9961D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Насильственные исчезновения и транснациональные репрессии</w:t>
      </w:r>
    </w:p>
    <w:p w14:paraId="1090B4B9" w14:textId="77777777" w:rsidR="00D21282" w:rsidRPr="00AA3ACE" w:rsidRDefault="00D21282" w:rsidP="00D21282">
      <w:pPr>
        <w:pStyle w:val="SingleTxtG"/>
      </w:pPr>
      <w:r>
        <w:t>24.</w:t>
      </w:r>
      <w:r>
        <w:tab/>
        <w:t>Комитет обеспокоен утверждениями о насильственных исчезновениях и экстерриториальных насильственных исчезновениях и других формах репрессий со стороны вьетнамских должностных лиц, в том числе в Таиланде. Он также обеспокоен утверждениями о неправомерном использовании уведомлений с красным углом Международной организации уголовной полиции (Интерпол) в отношении правозащитников и об использовании политически мотивированных процессов экстрадиции. Комитет сожалеет, что государство-участник не представило информацию о расследованиях, проведенных в связи с делами о насильственных исчезновениях и иными формами экстерриториальных репрессий, или о мерах, принятых для борьбы с ними, в том числе о количестве жалоб, полученных за отчетный период, проведенных расследованиях и судебных преследованиях, а также о возмещении, предоставленном жертвам и их родственникам (статьи 6, 7, 9 и 16).</w:t>
      </w:r>
    </w:p>
    <w:p w14:paraId="1A71DD0C" w14:textId="77777777" w:rsidR="00D21282" w:rsidRPr="00AA3ACE" w:rsidRDefault="00D21282" w:rsidP="00D21282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Государству-участнику следует выявлять все случаи насильственных исчезновений и экстерриториальных насильственных исчезновений, а также других форм транснациональных репрессий.</w:t>
      </w:r>
      <w:r>
        <w:t xml:space="preserve"> </w:t>
      </w:r>
      <w:r>
        <w:rPr>
          <w:b/>
          <w:bCs/>
        </w:rPr>
        <w:t>В частности, ему следует проводить беспристрастные, тщательные, своевременные и транспарентные расследования и незамедлительно информировать жертв и их родственников о ходе и результатах расследования.</w:t>
      </w:r>
      <w:r>
        <w:t xml:space="preserve"> </w:t>
      </w:r>
      <w:r>
        <w:rPr>
          <w:b/>
          <w:bCs/>
        </w:rPr>
        <w:t>Ему следует также выявлять виновных, привлекать их к судебной ответственности и, в случае их осуждения, назначать им надлежащие меры наказания, соразмерные тяжести совершенных ими преступлений, а также предоставлять жертвам и их семьям полное возмещение ущерба.</w:t>
      </w:r>
      <w:r>
        <w:t xml:space="preserve"> </w:t>
      </w:r>
      <w:r>
        <w:rPr>
          <w:b/>
          <w:bCs/>
        </w:rPr>
        <w:t>Государству-участнику следует также рассмотреть возможность присоединения к Международной конвенции для защиты всех лиц от насильственных исчезновений.</w:t>
      </w:r>
    </w:p>
    <w:p w14:paraId="1D39E5E9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или унижающих достоинство видов обращения</w:t>
      </w:r>
    </w:p>
    <w:p w14:paraId="5135D93C" w14:textId="77777777" w:rsidR="00D21282" w:rsidRPr="00AA3ACE" w:rsidRDefault="00D21282" w:rsidP="00D21282">
      <w:pPr>
        <w:pStyle w:val="SingleTxtG"/>
      </w:pPr>
      <w:r>
        <w:t>26.</w:t>
      </w:r>
      <w:r>
        <w:tab/>
        <w:t xml:space="preserve">Комитет обеспокоен сообщениями о пытках и жестоком обращении, применяемых для получения признаний в ходе расследований, а также о том, что эти признания впоследствии представляются в качестве доказательств в суде, в том числе при рассмотрении дел, предусматривающих вынесение смертного приговора. Комитет серьезно обеспокоен сообщениями о том, что пытки и жестокое обращение применяются, в частности, в отношении правозащитников, журналистов, диссидентов и представителей этнических и религиозных меньшинств, и что некоторым жертвам отказывают в медицинской помощи. Комитет выражает сожаление по поводу отсутствия информации о любом независимом и беспристрастном расследовании, проведенном в связи со смертью во время содержания под стражей в результате пыток или жестокого обращения, о результатах любого такого расследования, о средствах правовой защиты, предоставленных жертвам, и о любом судебном разбирательстве, проведенном в отношении виновных. Кроме того, Комитет обеспокоен </w:t>
      </w:r>
      <w:r>
        <w:lastRenderedPageBreak/>
        <w:t>заслуживающими доверия сообщениями об использовании государством-участником одиночного заключения и ножных кандалов в течение 10 суток в качестве дисциплинарной меры (статья 7).</w:t>
      </w:r>
    </w:p>
    <w:p w14:paraId="19DBB87A" w14:textId="77777777" w:rsidR="00D21282" w:rsidRPr="00AA3ACE" w:rsidRDefault="00D21282" w:rsidP="00D21282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принять все необходимые меры для предупреждения и искоренения пыток и бесчеловечного или унижающего достоинство обращения или наказания.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1D40E675" w14:textId="072CED19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проводить оперативные, тщательные и беспристрастные расследования по всем утверждениям о пытках и бесчеловечном или унижающем достоинство обращении, обеспечивая привлечение виновных к судебной ответственности и, в случае их осуждения, назначение им наказаний, соразмерных тяжести совершенных преступлений, а также предоставлять эффективные средства правовой защиты жертвам, включая услуги по физической и психической реабилитации;</w:t>
      </w:r>
    </w:p>
    <w:p w14:paraId="5DD5CA94" w14:textId="61908D48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 xml:space="preserve">обеспечить проведение расследований в связи с утверждениями о пытках и бесчеловечном или унижающем достоинство обращении, в частности соответствующих медицинских осмотров, согласно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Миннесотскому протоколу по расследованию предположительно незаконного лишения жизни; </w:t>
      </w:r>
    </w:p>
    <w:p w14:paraId="6DC972D1" w14:textId="0188DBA7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активизировать подготовку судей, прокуроров и сотрудников правоохранительных органов по вопросам прав человека, в том числе по международным правозащитным нормам, таким как Принципы эффективного ведения опроса в ходе расследования и сбора информации (Принципы Мендеса);</w:t>
      </w:r>
    </w:p>
    <w:p w14:paraId="6446C112" w14:textId="7A5F36A2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  <w:t>обеспечить, чтобы признательные показания, полученные в результате пыток и жестокого обращения в нарушение статьи 7 Пакта, не принимались судами ни при каких обстоятельствах и чтобы бремя доказывания добровольного характера признания лежало на стороне обвинения;</w:t>
      </w:r>
    </w:p>
    <w:p w14:paraId="0969C734" w14:textId="31BFE20F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e)</w:t>
      </w:r>
      <w:r w:rsidRPr="00D21282">
        <w:rPr>
          <w:b/>
          <w:bCs/>
        </w:rPr>
        <w:tab/>
        <w:t xml:space="preserve">фактически ограничить применение одиночного заключения, используя его только в качестве крайней меры и в течение как можно более короткого срока, а также обеспечить, чтобы применение одиночного заключения подлежало судебному контролю. Заковывание в кандалы также должно быть крайней мерой, применяемой только в случае абсолютной необходимости для обеспечения охраны и безопасности, и никогда не должно использоваться в качестве меры наказания или унижения; </w:t>
      </w:r>
    </w:p>
    <w:p w14:paraId="3A0BCC70" w14:textId="6BE1F7C2" w:rsidR="00D21282" w:rsidRPr="00D21282" w:rsidRDefault="00D21282" w:rsidP="00D21282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D21282">
        <w:rPr>
          <w:b/>
          <w:bCs/>
        </w:rPr>
        <w:t>f)</w:t>
      </w:r>
      <w:r w:rsidRPr="00D21282">
        <w:rPr>
          <w:b/>
          <w:bCs/>
        </w:rPr>
        <w:tab/>
        <w:t>обеспечить всем лицам, лишенным свободы, доступ к медицинской помощи и независимый и эффективный механизм подачи жалоб для расследования утверждений о пытках и жестоком обращении;</w:t>
      </w:r>
    </w:p>
    <w:p w14:paraId="71AEC784" w14:textId="56EACAAE" w:rsidR="00D21282" w:rsidRPr="00AA3ACE" w:rsidRDefault="00D21282" w:rsidP="00D21282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D21282">
        <w:rPr>
          <w:b/>
          <w:bCs/>
        </w:rPr>
        <w:t>g)</w:t>
      </w:r>
      <w:r w:rsidRPr="00D21282">
        <w:rPr>
          <w:b/>
          <w:bCs/>
        </w:rPr>
        <w:tab/>
        <w:t>собирать и обнародовать дезагрегированные данные о количестве независимых</w:t>
      </w:r>
      <w:r>
        <w:rPr>
          <w:b/>
          <w:bCs/>
        </w:rPr>
        <w:t xml:space="preserve"> и беспристрастных расследований, проведенных в связи с утверждениями и жалобами на жестокое обращение, о результатах любых таких расследований, о средствах правовой защиты, предоставленных жертвам, и обо всех виновных, привлеченных к ответственности.</w:t>
      </w:r>
    </w:p>
    <w:p w14:paraId="59290332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  <w:r>
        <w:t xml:space="preserve"> </w:t>
      </w:r>
    </w:p>
    <w:p w14:paraId="156C72E7" w14:textId="633B8E22" w:rsidR="00D21282" w:rsidRPr="00AA3ACE" w:rsidRDefault="00D21282" w:rsidP="00D21282">
      <w:pPr>
        <w:pStyle w:val="SingleTxtG"/>
      </w:pPr>
      <w:r>
        <w:t>28.</w:t>
      </w:r>
      <w:r>
        <w:tab/>
        <w:t xml:space="preserve">Комитет отмечает, что власти инспектируют тюрьмы и следственные изоляторы и что осуществляется генеральный план строительства, ремонта и модернизации пенитенциарных учреждений. Однако Комитет обеспокоен ухудшением положения лиц, содержащихся в тюрьмах и других официальных и неофициальных местах лишения свободы, в том числе в связи с их переполненностью, антисанитарными условиями, низким качеством пищи и воды, отказом в медицинской помощи, а также подверженностью пыткам и жестокому обращению, включая длительное одиночное заключение. Кроме того, он обеспокоен сообщениями о дискриминационном обращении с узниками совести по сравнению с обычными заключенными (статьи 9 </w:t>
      </w:r>
      <w:r w:rsidR="00436F26">
        <w:rPr>
          <w:lang w:val="en-US"/>
        </w:rPr>
        <w:br/>
      </w:r>
      <w:r>
        <w:t>и 10).</w:t>
      </w:r>
    </w:p>
    <w:p w14:paraId="7C80C44F" w14:textId="77777777" w:rsidR="00D21282" w:rsidRPr="00AA3ACE" w:rsidRDefault="00D21282" w:rsidP="00D21282">
      <w:pPr>
        <w:pStyle w:val="SingleTxtG"/>
        <w:rPr>
          <w:b/>
          <w:bCs/>
        </w:rPr>
      </w:pPr>
      <w:r>
        <w:lastRenderedPageBreak/>
        <w:t>29.</w:t>
      </w:r>
      <w:r>
        <w:tab/>
      </w:r>
      <w:r>
        <w:rPr>
          <w:b/>
          <w:bCs/>
        </w:rPr>
        <w:t>Государству-участнику следует обеспечить, чтобы условия содержания под стражей отвечали соответствующим международным правозащитным нормам, включая Минимальные стандартные правила Организации Объединенных Наций в отношении обращения с заключенными (Правила Нельсона Манделы) и</w:t>
      </w:r>
      <w:r>
        <w:t xml:space="preserve"> </w:t>
      </w:r>
      <w:r>
        <w:rPr>
          <w:b/>
          <w:bCs/>
        </w:rPr>
        <w:t>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правила).</w:t>
      </w:r>
      <w:r>
        <w:t xml:space="preserve"> </w:t>
      </w:r>
      <w:r>
        <w:rPr>
          <w:b/>
          <w:bCs/>
        </w:rPr>
        <w:t>Ему, в частности, следует:</w:t>
      </w:r>
    </w:p>
    <w:p w14:paraId="72F7F3F8" w14:textId="086E6322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принять незамедлительные меры по значительному снижению показателей переполненности тюрем, в том числе путем более широкого применения мер, не связанных с лишением свободы, в качестве альтернативы тюремному заключению, как указано в Минимальных стандартных правилах Организации Объединенных Наций в отношении мер, не связанных с тюремным заключением (Токийские правила);</w:t>
      </w:r>
    </w:p>
    <w:p w14:paraId="2D57793D" w14:textId="0DDDD4BD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 xml:space="preserve">активизировать усилия по улучшению условий содержания под стражей, обеспечению всем лицам, содержащимся под стражей, надлежащего доступа к питанию, чистой воде и медицинскому обслуживанию и недопущению дискриминации в отношении узников совести; </w:t>
      </w:r>
    </w:p>
    <w:p w14:paraId="0FD2F4A7" w14:textId="123711C8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обеспечить всем лицам, лишенным свободы, доступ к независимому и эффективному механизму рассмотрения жалоб на пытки и жестокое обращение, обеспечивающему оперативный, эффективный и прямой доступ к соответствующим органам мониторинга и к средствам правовой защиты;</w:t>
      </w:r>
    </w:p>
    <w:p w14:paraId="2B0055D4" w14:textId="65B1E532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</w:r>
      <w:r>
        <w:rPr>
          <w:b/>
          <w:bCs/>
        </w:rPr>
        <w:t>обеспечить создание независимых механизмов мониторинга и надзора и предоставить им регулярный и беспрепятственный доступ во все места лишения свободы без предварительного уведомления или надзора.</w:t>
      </w:r>
    </w:p>
    <w:p w14:paraId="46E97178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Центры принудительной реабилитации наркоманов</w:t>
      </w:r>
    </w:p>
    <w:p w14:paraId="04B2DF11" w14:textId="77777777" w:rsidR="00D21282" w:rsidRPr="00AA3ACE" w:rsidRDefault="00D21282" w:rsidP="00D21282">
      <w:pPr>
        <w:pStyle w:val="SingleTxtG"/>
      </w:pPr>
      <w:r>
        <w:t>30.</w:t>
      </w:r>
      <w:r>
        <w:tab/>
        <w:t xml:space="preserve">Комитет по-прежнему обеспокоен положением лиц, которые подвергаются принудительной детоксикации и принудительному труду в центрах реабилитации наркоманов, где отсутствует надлежащее медицинское обслуживание и отмечаются тяжелые условия труда. Комитет также по-прежнему обеспокоен включением в пересмотренный Уголовный кодекс статьи 256А, которая предусматривает уголовную ответственность для лиц, употребляющих наркотики во время или после лечения или реабилитации. Кроме того, он обеспокоен тем, что Закон 2021 года о профилактике и пресечении наркомании позволяет лишать свободы детей в возрасте от 12 лет. Комитет выражает сожаление по поводу отсутствия информации о количестве лиц, содержащихся в таких учреждениях (статьи 8, 9, 10 и 24). </w:t>
      </w:r>
    </w:p>
    <w:p w14:paraId="5D2433D0" w14:textId="77777777" w:rsidR="00D21282" w:rsidRPr="00AA3ACE" w:rsidRDefault="00D21282" w:rsidP="00D21282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В соответствии с предыдущими заключительными замечаниями Комитета государству-участнику следует пересмотреть соответствующие законы, политику и практику в отношении наркозависимых лиц, особенно лиц, содержащихся в центрах принудительной реабилитации наркоманов, с целью приведения их в полное соответствие с Пактом, в том числе путем прекращения использования практики принудительного труда</w:t>
      </w:r>
      <w:r w:rsidRPr="001D5886">
        <w:rPr>
          <w:rStyle w:val="aa"/>
        </w:rPr>
        <w:footnoteReference w:id="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50E4ABF2" w14:textId="74B28A33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 xml:space="preserve">рассмотреть возможность отмены уголовной ответственности за употребление наркотиков; </w:t>
      </w:r>
    </w:p>
    <w:p w14:paraId="6FA546A4" w14:textId="006CBAF8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 xml:space="preserve">гарантировать, чтобы лечение наркозависимости было добровольным, а осознанное согласие — обязательным условием любого лечения или вмешательства, за исключением случаев, когда требуется экстренная медицинская помощь; </w:t>
      </w:r>
    </w:p>
    <w:p w14:paraId="3293F8B7" w14:textId="664D7A0F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>
        <w:tab/>
      </w:r>
      <w:r>
        <w:rPr>
          <w:b/>
          <w:bCs/>
        </w:rPr>
        <w:t xml:space="preserve">принять безотлагательные меры по закрытию всех центров принудительной реабилитации наркоманов, освободить содержащихся в них лиц </w:t>
      </w:r>
      <w:r>
        <w:rPr>
          <w:b/>
          <w:bCs/>
        </w:rPr>
        <w:lastRenderedPageBreak/>
        <w:t>и заменить такие учреждения добровольными, научно обоснованными формами ухода и поддержки на уровне общин;</w:t>
      </w:r>
    </w:p>
    <w:p w14:paraId="71B95720" w14:textId="4550739B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  <w:t xml:space="preserve">обеспечить, чтобы лечение в центрах реабилитации наркоманов осуществлялось в соответствии с Пактом и Международным руководством по правам человека и наркополитике и чтобы любые ограничения были законными, необходимыми и соразмерными личным обстоятельствам и включали гарантии эффективного средства правовой защиты; </w:t>
      </w:r>
    </w:p>
    <w:p w14:paraId="6E504DE0" w14:textId="3A6FE4AA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e)</w:t>
      </w:r>
      <w:r w:rsidRPr="00D21282">
        <w:rPr>
          <w:b/>
          <w:bCs/>
        </w:rPr>
        <w:tab/>
      </w:r>
      <w:r>
        <w:rPr>
          <w:b/>
          <w:bCs/>
        </w:rPr>
        <w:t>усилить независимый мониторинг центров реабилитации наркоманов, а также механизмы подачи жалоб, и проводить тщательные расследования по всем утверждениям о неправомерных действиях;</w:t>
      </w:r>
    </w:p>
    <w:p w14:paraId="19C86FE8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</w:p>
    <w:p w14:paraId="3979CF8E" w14:textId="77777777" w:rsidR="00D21282" w:rsidRPr="00AA3ACE" w:rsidRDefault="00D21282" w:rsidP="00D21282">
      <w:pPr>
        <w:pStyle w:val="SingleTxtG"/>
      </w:pPr>
      <w:r>
        <w:t>32.</w:t>
      </w:r>
      <w:r>
        <w:tab/>
        <w:t>Комитет обеспокоен практикой длительного досудебного содержания под стражей, которая применяется, в частности, в отношении политических диссидентов, правозащитников, журналистов и представителей этнических и религиозных меньшинств. Он также обеспокоен тем, что пункт 5 статьи 173 Уголовно-процессуального кодекса допускает заключение под стражу на неопределенный срок без возможности судебного пересмотра подозреваемых, обвиняемых в преступлениях против национальной безопасности, а статья 74 Уголовно-процессуального кодекса ограничивает доступ к юридической помощи для лиц, обвиняемых в преступлениях против национальной безопасности (статьи 9 и 14).</w:t>
      </w:r>
    </w:p>
    <w:p w14:paraId="111C3DE0" w14:textId="77777777" w:rsidR="00D21282" w:rsidRPr="00AA3ACE" w:rsidRDefault="00D21282" w:rsidP="00D21282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 учетом замечания общего порядка № 35 (2014) Комитета о свободе и личной неприкосновенности государству-участнику следует значительно сократить применение досудебного содержания под стражей, в том числе за счет более широкого применения мер, не связанных с лишением свободы, в качестве альтернативы тюремному заключению, и обеспечить, чтобы всем лишенным свободы лицам на практике предоставлялись все правовые и процессуальные гарантии с момента их задержания.</w:t>
      </w:r>
      <w:r>
        <w:t xml:space="preserve"> </w:t>
      </w:r>
      <w:r>
        <w:rPr>
          <w:b/>
          <w:bCs/>
        </w:rPr>
        <w:t>В частности, ему следует:</w:t>
      </w:r>
      <w:r>
        <w:t xml:space="preserve"> </w:t>
      </w:r>
    </w:p>
    <w:p w14:paraId="037E7233" w14:textId="71A4220D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обеспечить, чтобы досудебное содержание под стражей носило исключительный характер, назначалось только в случае необходимости, недискриминационным образом и на как можно более короткий срок, а также чтобы установленные законом сроки содержания под стражей строго соблюдались;</w:t>
      </w:r>
    </w:p>
    <w:p w14:paraId="24EFCE5E" w14:textId="40BB33D3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обеспечить, чтобы решения о досудебном содержании под стражей периодически пересматривались соответствующими судебными органами, в том числе посредством реализации на практике права на хабеас корпус, а также чтобы лица, произвольно лишенные свободы, освобождались без каких-либо условий и с предоставлением им надлежащей компенсации;</w:t>
      </w:r>
    </w:p>
    <w:p w14:paraId="1ECCBCB3" w14:textId="68BFFD17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изменить или отменить пункт 5 статьи 173 и статью 74 Уголовно-процессуального</w:t>
      </w:r>
      <w:r>
        <w:rPr>
          <w:b/>
          <w:bCs/>
        </w:rPr>
        <w:t xml:space="preserve"> кодекса, с тем чтобы обеспечить лицам, лишенным свободы, все правовые и процессуальные гарантии с момента их задержания, включая доступ к адвокату.</w:t>
      </w:r>
    </w:p>
    <w:p w14:paraId="2F6FDC9F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</w:p>
    <w:p w14:paraId="716F7F13" w14:textId="77777777" w:rsidR="00D21282" w:rsidRPr="00AA3ACE" w:rsidRDefault="00D21282" w:rsidP="00D21282">
      <w:pPr>
        <w:pStyle w:val="SingleTxtG"/>
      </w:pPr>
      <w:r>
        <w:t>34.</w:t>
      </w:r>
      <w:r>
        <w:tab/>
        <w:t xml:space="preserve">Комитет приветствует внесение поправок в Закон о борьбе с торговлей людьми. Вместе с тем Комитет по-прежнему обеспокоен сохраняющейся распространенностью практики торговли людьми и принудительного труда, особенно в рамках государственной программы экспорта рабочей силы. Он также обеспокоен тем, что действующее законодательство налагает более строгое бремя доказывания в случае торговли детьми в возрасте 16 и 17 лет (статьи 2, 7, 8 и 26). </w:t>
      </w:r>
    </w:p>
    <w:p w14:paraId="5D6AE866" w14:textId="77777777" w:rsidR="00D21282" w:rsidRPr="00AA3ACE" w:rsidRDefault="00D21282" w:rsidP="00D21282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Государству-участнику следует принять все необходимые меры для эффективного предупреждения и пресечения торговли людьми и принудительного труда и наказания виновных, в том числе обеспечить приведение соответствующей законодательной базы в соответствие с международными нормами, а также активизировать усилия по предоставлению </w:t>
      </w:r>
      <w:r>
        <w:rPr>
          <w:b/>
          <w:bCs/>
        </w:rPr>
        <w:lastRenderedPageBreak/>
        <w:t>всем жертвам эффективных средств правовой защиты, включая защиту, реабилитацию и компенсацию.</w:t>
      </w:r>
      <w:r>
        <w:t xml:space="preserve"> </w:t>
      </w:r>
    </w:p>
    <w:p w14:paraId="69626B7E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Свобода передвижения</w:t>
      </w:r>
      <w:r>
        <w:t xml:space="preserve"> </w:t>
      </w:r>
    </w:p>
    <w:p w14:paraId="7FC2A3D3" w14:textId="77777777" w:rsidR="00D21282" w:rsidRPr="00AA3ACE" w:rsidRDefault="00D21282" w:rsidP="00D21282">
      <w:pPr>
        <w:pStyle w:val="SingleTxtG"/>
      </w:pPr>
      <w:r>
        <w:t>36.</w:t>
      </w:r>
      <w:r>
        <w:tab/>
        <w:t xml:space="preserve">Комитет выражает сохраняющуюся обеспокоенность по поводу статьи 121 Уголовного кодекса, которая предусматривает уголовную ответственность за «бегство за границу с целью противодействия народной власти». Он также обеспокоен продолжающими поступать сообщениями о том, что лицам, принадлежащим к этническим меньшинствам и коренным народам, не позволяют покидать территорию государства-участника в поисках убежища. Комитет сожалеет об отсутствии информации о критериях применения запретов на поездки и дезагрегированных данных о применении таких запретов (статьи 2, 9 и 12). </w:t>
      </w:r>
    </w:p>
    <w:p w14:paraId="6913DACC" w14:textId="5CF2AFCC" w:rsidR="00D21282" w:rsidRPr="00AA3ACE" w:rsidRDefault="00D21282" w:rsidP="00D21282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свои предыдущие рекомендации, пункт 2 статьи</w:t>
      </w:r>
      <w:r w:rsidR="00436F26">
        <w:rPr>
          <w:b/>
          <w:bCs/>
        </w:rPr>
        <w:t xml:space="preserve"> </w:t>
      </w:r>
      <w:r>
        <w:rPr>
          <w:b/>
          <w:bCs/>
        </w:rPr>
        <w:t>12 Пакта и свое замечание общего порядка № 27 (1999) о свободе передвижения, Комитет рекомендует государству-участнику гарантировать полное соблюдение свободы покидать свою страну, воздерживаться от произвольного введения запретов на поездки, обеспечить, чтобы любой запрет на поездки был обоснован согласно пункту 3 статьи 12 Пакта, а также отменить запреты, которые не соответствуют этой статье</w:t>
      </w:r>
      <w:r w:rsidRPr="003D559A">
        <w:rPr>
          <w:rStyle w:val="aa"/>
        </w:rPr>
        <w:footnoteReference w:id="7"/>
      </w:r>
      <w:r>
        <w:rPr>
          <w:b/>
          <w:bCs/>
        </w:rPr>
        <w:t>.</w:t>
      </w:r>
    </w:p>
    <w:p w14:paraId="39BDBBC5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Доступ к правосудию, независимость судебной власти и справедливое судебное разбирательство</w:t>
      </w:r>
      <w:r>
        <w:t xml:space="preserve"> </w:t>
      </w:r>
    </w:p>
    <w:p w14:paraId="3ED9517A" w14:textId="77777777" w:rsidR="00D21282" w:rsidRPr="00AA3ACE" w:rsidRDefault="00D21282" w:rsidP="00D21282">
      <w:pPr>
        <w:pStyle w:val="SingleTxtG"/>
      </w:pPr>
      <w:r>
        <w:t>38.</w:t>
      </w:r>
      <w:r>
        <w:tab/>
        <w:t>Комитет приветствует усилия государства-участника по расширению услуг юридической помощи. Ссылаясь на свои предыдущие заключительные замечания, Комитет выражает сохраняющуюся обеспокоенность по поводу влияния правящей партии на судебные органы, которое подрывает их независимость</w:t>
      </w:r>
      <w:r w:rsidRPr="00047F96">
        <w:rPr>
          <w:rStyle w:val="aa"/>
        </w:rPr>
        <w:footnoteReference w:id="8"/>
      </w:r>
      <w:r>
        <w:t xml:space="preserve">. Кроме того, Комитет обеспокоен отсутствием механизмов подотчетности судебных органов и надзора за их деятельностью, несоблюдением принципа надлежащей правовой процедуры в делах, касающихся правозащитников, журналистов и представителей этнических и религиозных меньшинств, а также преследованием адвокатов, защищающих интересы этих категорий лиц. Комитет сожалеет об отсутствии информации о нормативно-правовой базе и институциональных механизмах, гарантирующих независимость судебных органов (статья 14). </w:t>
      </w:r>
    </w:p>
    <w:p w14:paraId="32179827" w14:textId="77777777" w:rsidR="00D21282" w:rsidRPr="00AA3ACE" w:rsidRDefault="00D21282" w:rsidP="00D21282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 незамедлительно принять меры, как на уровне законодательства, так и на практике, для обеспечения полной независимости и беспристрастности судебных органов и функциональной автономии прокуратуры и гарантировать защиту деятельности судей, прокуроров и их персонала от ненадлежащего давления или вмешательства со стороны правительства.</w:t>
      </w:r>
      <w:r>
        <w:t xml:space="preserve"> </w:t>
      </w:r>
      <w:r>
        <w:rPr>
          <w:b/>
          <w:bCs/>
        </w:rPr>
        <w:t>Государству-участнику также следует:</w:t>
      </w:r>
      <w:r>
        <w:t xml:space="preserve"> </w:t>
      </w:r>
    </w:p>
    <w:p w14:paraId="4E34DA0C" w14:textId="285D5A96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обеспечить, чтобы процедуры отбора, назначения, продвижения по службе и смещения судей были транспарентными и беспристрастными, а также отвечали положениям Пакта и соответствующим международным нормам, включая Основные принципы независимости судебных органов, а порядок назначения прокуроров и выполнения ими служебных обязанностей соответствовал Руководящим принципам, касающимся роли лиц, осуществляющих судебное преследование;</w:t>
      </w:r>
    </w:p>
    <w:p w14:paraId="5C9DDBF2" w14:textId="2068F04E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обеспечить, чтобы все судебные разбирательства проводились в соответствии</w:t>
      </w:r>
      <w:r>
        <w:rPr>
          <w:b/>
          <w:bCs/>
        </w:rPr>
        <w:t xml:space="preserve"> с гарантиями справедливого судебного разбирательства, закрепленными в статье 14 Пакта, особенно в делах, касающихся правозащитников, журналистов и представителей этнических и религиозных меньшинств;</w:t>
      </w:r>
      <w:r>
        <w:t xml:space="preserve"> </w:t>
      </w:r>
    </w:p>
    <w:p w14:paraId="2F0BA7BC" w14:textId="74D7A292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lastRenderedPageBreak/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 xml:space="preserve">обеспечить адвокатам защиту от угроз, запугивания и любых форм необоснованного вмешательства или возмездия в связи с их профессиональной деятельностью, с учетом положений Пакта и Основных принципов, касающихся роли юристов; </w:t>
      </w:r>
    </w:p>
    <w:p w14:paraId="6D2EA273" w14:textId="0F84AAC3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>
        <w:tab/>
      </w:r>
      <w:r>
        <w:rPr>
          <w:b/>
          <w:bCs/>
        </w:rPr>
        <w:t>расширить предоставляемые услуги юридической помощи путем укрепления финансового и кадрового потенциала программы, направленной на расширение доступа к правосудию для всех, в том числе для жителей сельских районов и этнических и религиозных меньшинств.</w:t>
      </w:r>
      <w:r>
        <w:t xml:space="preserve"> </w:t>
      </w:r>
    </w:p>
    <w:p w14:paraId="311AF6BC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Правосудие в отношении детей</w:t>
      </w:r>
    </w:p>
    <w:p w14:paraId="727865EE" w14:textId="77777777" w:rsidR="00D21282" w:rsidRPr="00AA3ACE" w:rsidRDefault="00D21282" w:rsidP="00D21282">
      <w:pPr>
        <w:pStyle w:val="SingleTxtG"/>
      </w:pPr>
      <w:r>
        <w:t>40.</w:t>
      </w:r>
      <w:r>
        <w:tab/>
        <w:t>Ссылаясь на свои предыдущие заключительные замечания, Комитет приветствует значительное увеличение в государстве-участнике количества судов по семейным делам и ювенальных судов</w:t>
      </w:r>
      <w:r w:rsidRPr="00047F96">
        <w:rPr>
          <w:rStyle w:val="aa"/>
        </w:rPr>
        <w:footnoteReference w:id="9"/>
      </w:r>
      <w:r>
        <w:t xml:space="preserve">. Вместе с тем Комитет по-прежнему обеспокоен тем, что понятие «ребенок» определяется как лицо в возрасте до 16 лет, что создает существенный пробел в защите детей в возрасте 16 и 17 лет, особенно подвергшихся жестокому обращению, сексуальной эксплуатации, торговли людьми и лишению свободы. Кроме того, Комитет обеспокоен тем, что, несмотря на принятие мер, альтернативных лишению свободы ребенка, практика заключения под стражу детей, находящихся в конфликте с законом, как сообщается, по-прежнему широко распространена (статьи 9, 14 и 24). </w:t>
      </w:r>
    </w:p>
    <w:p w14:paraId="0FEB6149" w14:textId="77777777" w:rsidR="00D21282" w:rsidRPr="00AA3ACE" w:rsidRDefault="00D21282" w:rsidP="00D21282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следует:</w:t>
      </w:r>
    </w:p>
    <w:p w14:paraId="53FFF0E1" w14:textId="29B6159D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</w:r>
      <w:r>
        <w:rPr>
          <w:b/>
          <w:bCs/>
        </w:rPr>
        <w:t xml:space="preserve">включить в свое законодательство определение понятия </w:t>
      </w:r>
      <w:r w:rsidR="00436F26">
        <w:rPr>
          <w:b/>
          <w:bCs/>
        </w:rPr>
        <w:t>«</w:t>
      </w:r>
      <w:r>
        <w:rPr>
          <w:b/>
          <w:bCs/>
        </w:rPr>
        <w:t>ребенок</w:t>
      </w:r>
      <w:r w:rsidR="00436F26">
        <w:rPr>
          <w:b/>
          <w:bCs/>
        </w:rPr>
        <w:t>»</w:t>
      </w:r>
      <w:r>
        <w:rPr>
          <w:b/>
          <w:bCs/>
        </w:rPr>
        <w:t xml:space="preserve"> как </w:t>
      </w:r>
      <w:r w:rsidRPr="00D21282">
        <w:rPr>
          <w:b/>
          <w:bCs/>
        </w:rPr>
        <w:t>лица, не достигшего 18 лет, в соответствии с международными нормами;</w:t>
      </w:r>
    </w:p>
    <w:p w14:paraId="1CC8CCE5" w14:textId="280A367B" w:rsidR="00D21282" w:rsidRPr="00D21282" w:rsidRDefault="00D21282" w:rsidP="00D21282">
      <w:pPr>
        <w:pStyle w:val="SingleTxtG"/>
        <w:rPr>
          <w:b/>
          <w:bCs/>
        </w:rPr>
      </w:pPr>
      <w:r w:rsidRPr="00436F26">
        <w:rPr>
          <w:b/>
          <w:bCs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обеспечить, чтобы задержание и лишение свободы использовались только в качестве крайней меры и в течение как можно более короткого периода времени и чтобы дети содержались под стражей отдельно от взрослых;</w:t>
      </w:r>
    </w:p>
    <w:p w14:paraId="5E6928E8" w14:textId="2AD8D13F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 xml:space="preserve">принять во внимание замечание общего порядка Комитета № 35 (2014) и обеспечить предоставление детям, лишенным свободы, всех правовых и процессуальных гарантий с момента их задержания, в том числе в случае дел, касающихся национальной безопасности; </w:t>
      </w:r>
    </w:p>
    <w:p w14:paraId="03534392" w14:textId="5AE01914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  <w:t>активизировать усилия по укреплению системы ювенальной юстиции</w:t>
      </w:r>
      <w:r>
        <w:rPr>
          <w:b/>
          <w:bCs/>
        </w:rPr>
        <w:t xml:space="preserve"> путем создания дополнительных специализированных судов и предоставления им надлежащих ресурсов, в том числе обеспечить обучение сотрудников правоохранительных органов, судей и прокуроров методам проведения расследований и допросов с учетом интересов детей.</w:t>
      </w:r>
    </w:p>
    <w:p w14:paraId="2C53F21C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2B7BED40" w14:textId="77777777" w:rsidR="00D21282" w:rsidRPr="00AA3ACE" w:rsidRDefault="00D21282" w:rsidP="00D21282">
      <w:pPr>
        <w:pStyle w:val="SingleTxtG"/>
      </w:pPr>
      <w:r>
        <w:t>42.</w:t>
      </w:r>
      <w:r>
        <w:tab/>
        <w:t>Комитет обеспокоен утверждениями о незаконном наблюдении, а также об отключении Интернета и телефонных линий, которым подвергаются, прежде всего, правозащитники, журналисты и представители этнических и религиозных меньшинств. Комитет также обеспокоен пробелами действующего законодательства в области защиты персональных данных, включая статью 17 Указа № 13/2023, которая допускает сбор персональных данных без предварительного уведомления или получения согласия субъекта данных, и Указ № 147/2024, который требует от пользователей подтверждать свои учетные записи с помощью номера телефона или удостоверения личности и обязывает социальные сети удалять контент, признанный незаконным на основании нечетко определенных критериев (статья 17).</w:t>
      </w:r>
    </w:p>
    <w:p w14:paraId="4C4968E5" w14:textId="4967E16E" w:rsidR="00D21282" w:rsidRPr="00AA3ACE" w:rsidRDefault="00D21282" w:rsidP="00D21282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 принять все необходимые меры, чтобы гарантировать полное осуществление каждым человеком права на неприкосновенность частной жизни, в том числе в Интернете.</w:t>
      </w:r>
      <w:r>
        <w:t xml:space="preserve"> </w:t>
      </w:r>
      <w:r>
        <w:rPr>
          <w:b/>
          <w:bCs/>
        </w:rPr>
        <w:t xml:space="preserve">Ему следует обеспечить, чтобы его законодательство, включая Указ № 13/2023 </w:t>
      </w:r>
      <w:r w:rsidR="00436F26">
        <w:rPr>
          <w:b/>
          <w:bCs/>
        </w:rPr>
        <w:br/>
      </w:r>
      <w:r>
        <w:rPr>
          <w:b/>
          <w:bCs/>
        </w:rPr>
        <w:t xml:space="preserve">и Указ № 147/2024, защита данных и все виды деятельности по наблюдению, </w:t>
      </w:r>
      <w:r>
        <w:rPr>
          <w:b/>
          <w:bCs/>
        </w:rPr>
        <w:lastRenderedPageBreak/>
        <w:t>включая наблюдение в режиме онлайн, а также перехват и извлечение электронных сообщений и метаданных, полностью соответствовали положениям Пакта, в частности статье 17, а также принципам законности, соразмерности, необходимости и прозрачности.</w:t>
      </w:r>
      <w:r>
        <w:t xml:space="preserve"> </w:t>
      </w:r>
      <w:r>
        <w:rPr>
          <w:b/>
          <w:bCs/>
        </w:rPr>
        <w:t>Кроме того, ему следует:</w:t>
      </w:r>
    </w:p>
    <w:p w14:paraId="3749FF52" w14:textId="622F0122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установить четкие гарантии защиты и создать независимые и эффективные механизмы надзора, включая судебный надзор, за деятельностью по наблюдению;</w:t>
      </w:r>
    </w:p>
    <w:p w14:paraId="2CD4B65F" w14:textId="404B72A2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обеспечить, чтобы затрагиваемые лица имели доступ к эффективным механизмам подачи жалоб и средствам правовой защиты в случаях неправомерных</w:t>
      </w:r>
      <w:r>
        <w:rPr>
          <w:b/>
          <w:bCs/>
        </w:rPr>
        <w:t xml:space="preserve"> действий и, по возможности, чтобы они уведомлялись о деятельности по наблюдению и перехвату сообщений, объектами которой они являются.</w:t>
      </w:r>
    </w:p>
    <w:p w14:paraId="77651C39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</w:p>
    <w:p w14:paraId="7CF89C02" w14:textId="619459AE" w:rsidR="00D21282" w:rsidRPr="00AA3ACE" w:rsidRDefault="00D21282" w:rsidP="00D21282">
      <w:pPr>
        <w:pStyle w:val="SingleTxtG"/>
      </w:pPr>
      <w:r>
        <w:t>44.</w:t>
      </w:r>
      <w:r>
        <w:tab/>
        <w:t>Комитет глубоко обеспокоен сообщениями об увеличении случаев дискриминации, преследования и запугивания представителей религиозных меньшинств, в частности протестантов из числа монтаньяров и хмонгов, буддистов из числа кхмер-кромов, а также последователей Каодай и Хоахао. Ссылаясь на свои предыдущие заключительные замечания, Комитет выражает обеспокоенность по поводу того, что Закон 2016 года о религии и убеждениях и Указ № 95/2023</w:t>
      </w:r>
      <w:r w:rsidR="00436F26">
        <w:t xml:space="preserve"> </w:t>
      </w:r>
      <w:r>
        <w:t>необоснованно ограничивают свободу религии и убеждений, в частности это касается положений об обязательной регистрации и признании религиозных организаций, а также об ограничениях религиозной деятельности на основе расплывчатых и широко толкуемых правовых норм, касающихся национальной безопасности и общественного единства</w:t>
      </w:r>
      <w:r w:rsidRPr="00047F96">
        <w:rPr>
          <w:rStyle w:val="aa"/>
        </w:rPr>
        <w:footnoteReference w:id="10"/>
      </w:r>
      <w:r>
        <w:t xml:space="preserve">. Кроме того, Комитет обеспокоен применением законов, касающихся национальной безопасности и борьбы с терроризмом, в отношении религиозных меньшинств (статьи 18 и 19). </w:t>
      </w:r>
    </w:p>
    <w:p w14:paraId="6885E8BE" w14:textId="77777777" w:rsidR="00D21282" w:rsidRPr="00AA3ACE" w:rsidRDefault="00D21282" w:rsidP="00D21282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В соответствии с предыдущими заключительными замечаниями Комитета государству-участнику следует гарантировать реализацию на практике свободы религии и убеждений и обеспечить, чтобы любые ограничения этой свободы полностью соответствовали строгим критериям, установленным в статье 18 Пакта</w:t>
      </w:r>
      <w:r w:rsidRPr="00D33F4B">
        <w:rPr>
          <w:rStyle w:val="aa"/>
        </w:rPr>
        <w:footnoteReference w:id="1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Ему также следует обеспечить, чтобы законодательство и практика в отношении права на свободу религии и убеждений соответствовали статье 18, с учетом замечания общего порядка № 22 (1993) о праве на свободу мысли, совести и религии.</w:t>
      </w:r>
      <w:r>
        <w:t xml:space="preserve"> </w:t>
      </w:r>
      <w:r>
        <w:rPr>
          <w:b/>
          <w:bCs/>
        </w:rPr>
        <w:t>Государству-участнику также следует:</w:t>
      </w:r>
    </w:p>
    <w:p w14:paraId="743EB024" w14:textId="29797F4E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 xml:space="preserve">гарантировать право каждого человека иметь или принимать религию или убеждения по своему выбору; </w:t>
      </w:r>
    </w:p>
    <w:p w14:paraId="23F83D3B" w14:textId="35158DA2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 свободу исповедовать эту религию или убеждения как единолично, так и сообща с другими, публичным или частным порядком, не подвергаясь наказанию;</w:t>
      </w:r>
    </w:p>
    <w:p w14:paraId="0551C67F" w14:textId="16E73F78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принять меры для предупреждения всех актов неправомерного посягательства на свободу религии и любых ненавистнических высказываний, а также случаев подстрекательства к дискриминации, насилию или предполагаемых преступлений на почве ненависти, оперативно и эффективно реагировать на них и обеспечивать привлечение виновных к ответственности, а также доступ жертв к надлежащим средствам правовой защиты;</w:t>
      </w:r>
    </w:p>
    <w:p w14:paraId="2D38A33F" w14:textId="407A9A3D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</w:r>
      <w:r>
        <w:rPr>
          <w:b/>
          <w:bCs/>
        </w:rPr>
        <w:t>обеспечить, чтобы законодательство, касающееся национальной безопасности и борьбы с терроризмом, не применялось произвольно для задержания, содержания под стражей или преследования представителей религиозных меньшинств или для препятствования осуществлению свободы религии;</w:t>
      </w:r>
    </w:p>
    <w:p w14:paraId="70DB68B2" w14:textId="3A7BE01D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lastRenderedPageBreak/>
        <w:tab/>
      </w:r>
      <w:r w:rsidRPr="00D21282">
        <w:rPr>
          <w:b/>
          <w:bCs/>
        </w:rPr>
        <w:t>e)</w:t>
      </w:r>
      <w:r w:rsidRPr="00D21282">
        <w:rPr>
          <w:b/>
          <w:bCs/>
        </w:rPr>
        <w:tab/>
        <w:t>обеспечи</w:t>
      </w:r>
      <w:r>
        <w:rPr>
          <w:b/>
          <w:bCs/>
        </w:rPr>
        <w:t>ть регистрацию религиозных организаций на основе четких и объективных критериев, совместимых с положениями Пакта.</w:t>
      </w:r>
    </w:p>
    <w:p w14:paraId="2C4C7970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0CDB926F" w14:textId="77777777" w:rsidR="00D21282" w:rsidRPr="00AA3ACE" w:rsidRDefault="00D21282" w:rsidP="00D21282">
      <w:pPr>
        <w:pStyle w:val="SingleTxtG"/>
      </w:pPr>
      <w:r>
        <w:t>46.</w:t>
      </w:r>
      <w:r>
        <w:tab/>
        <w:t>Ссылаясь на свои предыдущие заключительные замечания и дальнейшие меры по их осуществлению, Комитет выражает сохраняющуюся глубокую обеспокоенность по поводу продолжающих поступать сообщений о дальнейшем сокращении свободы выражения мнений в государстве-участнике, особенно применительно к правозащитникам, журналистам, политическим диссидентам и представителям этнических и религиозных меньшинств</w:t>
      </w:r>
      <w:r w:rsidRPr="00047F96">
        <w:rPr>
          <w:rStyle w:val="aa"/>
        </w:rPr>
        <w:footnoteReference w:id="12"/>
      </w:r>
      <w:r>
        <w:t>. Комитет с обеспокоенностью отмечает, что чрезмерно широкие положения уголовного законодательства, в частности статьи 109, 116, 117 и 331 Уголовного кодекса, используются для преследования правозащитников, журналистов, политических диссидентов и представителей этнических и религиозных меньшинств, о чем свидетельствует тот факт, что, по имеющимся данным, в настоящее время по меньшей мере 160 правозащитников и других лиц содержатся под стражей за мирное осуществление своего права на свободу выражения мнений. Он также обеспокоен сообщениями об актах репрессий в отношении правозащитников и представителей гражданского общества за их взаимодействие с Организацией Объединенных Наций и ее правозащитными механизмами. Кроме того, Комитет обеспокоен тем, что деятельность СМИ подвергается серьезным ограничениям, в частности посредством таких законодательных актов, как Закон о прессе, Закон о доступе к информации, Закон о кибербезопасности и указы № 147/2024, № 53/2022, № 15/2020 и № 119/2020. Кроме того, он обеспокоен сбоями в работе Интернета и удалением в социальных сетях контента, который, как считается, представляет собой критику в адрес правительства. Хотя Комитет понимает, что в государстве-участнике существует множество средств массовой информации, он отмечает, что действующее законодательство требует от СМИ проходить регистрацию в государственных органах и обеспечивать возможность осуществления надзора за их деятельностью, что подрывает независимость СМИ (статья 19).</w:t>
      </w:r>
      <w:bookmarkStart w:id="2" w:name="_Hlk203247208"/>
      <w:bookmarkEnd w:id="2"/>
    </w:p>
    <w:p w14:paraId="5E8D7082" w14:textId="77777777" w:rsidR="00D21282" w:rsidRPr="00D21282" w:rsidRDefault="00D21282" w:rsidP="00D21282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повторяет свои предыдущие рекомендации и настоятельно призывает государство-участник гарантировать, чтобы каждый человек, включая правозащитников, журналистов, политических диссидентов и представителей этнических и религиозных меньшинств, мог осуществлять право на свободу выражения мнений в соответствии со статьей 19 Пакта и замечанием общего порядка № 34 (2011) Комитета о свободе мнений и их выражения</w:t>
      </w:r>
      <w:r w:rsidRPr="00D03210">
        <w:rPr>
          <w:rStyle w:val="aa"/>
        </w:rPr>
        <w:footnoteReference w:id="13"/>
      </w:r>
      <w:r>
        <w:rPr>
          <w:b/>
          <w:bCs/>
        </w:rPr>
        <w:t>.</w:t>
      </w:r>
      <w:r>
        <w:t xml:space="preserve"> </w:t>
      </w:r>
      <w:r w:rsidRPr="00D21282">
        <w:rPr>
          <w:b/>
          <w:bCs/>
        </w:rPr>
        <w:t xml:space="preserve">Государству-участнику также следует: </w:t>
      </w:r>
    </w:p>
    <w:p w14:paraId="7322104D" w14:textId="3D519D17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принять все необходимые меры, чтобы положить конец нарушениям права на свободу выражения мнений офлайн и онлайн и обеспечить, чтобы используемые ограничения не выходили за рамки строго определенных ограничений, изложенных в статье 19 Пакта;</w:t>
      </w:r>
    </w:p>
    <w:p w14:paraId="7CD85B72" w14:textId="7F044C0D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 xml:space="preserve">изменить или отменить действующие и находящиеся на рассмотрении законодательные акты, включая Уголовный кодекс, Закон о прессе, Закон о доступе к информации и Закон о кибербезопасности, а также указы № 147/2024, № 53/2022, № 15/2020 и № 119/2020, для недопущения использования расплывчатой терминологии и чрезмерно широких ограничений, несовместимых с пунктом 3 статьи 19 Пакта; </w:t>
      </w:r>
    </w:p>
    <w:p w14:paraId="13391FD3" w14:textId="62E6809D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принять</w:t>
      </w:r>
      <w:r>
        <w:rPr>
          <w:b/>
          <w:bCs/>
        </w:rPr>
        <w:t xml:space="preserve"> все необходимые меры, чтобы позволить правозащитникам, журналистам и другим представителям гражданского общества, особенно правозащитникам и представителям гражданского общества, которые взаимодействуют с Организацией Объединенных Наций и ее правозащитными механизмами, безопасно, свободно и независимым образом выполнять свою работу, не опасаясь того, что они или члены их семей </w:t>
      </w:r>
      <w:r>
        <w:rPr>
          <w:b/>
          <w:bCs/>
        </w:rPr>
        <w:lastRenderedPageBreak/>
        <w:t>подвергнутся преследованиям, запугиванию, притеснениям, насилию или репрессиям;</w:t>
      </w:r>
      <w:r>
        <w:t xml:space="preserve"> </w:t>
      </w:r>
    </w:p>
    <w:p w14:paraId="11869B6D" w14:textId="3FE0E479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  <w:t>обеспечить транспарентное, тщательное, беспристрастное и независимое расследование всех нарушений прав человека и нападений на правозащитников, журналистов, других представителей гражданского общества и членов их семей, привлечение виновных к судебной ответственности и, в случае их осуждения, назначение соответствующего наказания, а также надлежащее возмещение ущерба жертвам;</w:t>
      </w:r>
    </w:p>
    <w:p w14:paraId="740559CB" w14:textId="31A9BCD7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e)</w:t>
      </w:r>
      <w:r w:rsidRPr="00D21282">
        <w:rPr>
          <w:b/>
          <w:bCs/>
        </w:rPr>
        <w:tab/>
        <w:t xml:space="preserve">пересмотреть решения о помещении под стражу журналистов, работников средств массовой информации и правозащитников и безотлагательно освободить всех, кто был лишен свободы в нарушение положений Пакта, без каких-либо условий и с предоставлением надлежащей компенсации; </w:t>
      </w:r>
    </w:p>
    <w:p w14:paraId="0C52BF9A" w14:textId="57BE5780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f)</w:t>
      </w:r>
      <w:r w:rsidRPr="00D21282">
        <w:rPr>
          <w:b/>
          <w:bCs/>
        </w:rPr>
        <w:tab/>
      </w:r>
      <w:r>
        <w:rPr>
          <w:b/>
          <w:bCs/>
        </w:rPr>
        <w:t>принять все необходимые меры для обеспечения подлинного плюрализма в медиа-ландшафте.</w:t>
      </w:r>
    </w:p>
    <w:p w14:paraId="5D8D3E5A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0E9DE082" w14:textId="1E9DB2DD" w:rsidR="00D21282" w:rsidRPr="00AA3ACE" w:rsidRDefault="00D21282" w:rsidP="00D21282">
      <w:pPr>
        <w:pStyle w:val="SingleTxtG"/>
      </w:pPr>
      <w:r>
        <w:t>48.</w:t>
      </w:r>
      <w:r>
        <w:tab/>
        <w:t>Ссылаясь на свои предыдущие заключительные замечания, Комитет выражает сохраняющуюся обеспокоенность по поводу чрезмерных ограничений, введенных в отношении свободы мирных собраний и публичных митингов, включая соответствующие мероприятия, организованные религиозными меньшинствами</w:t>
      </w:r>
      <w:r w:rsidRPr="00047F96">
        <w:rPr>
          <w:rStyle w:val="aa"/>
        </w:rPr>
        <w:footnoteReference w:id="14"/>
      </w:r>
      <w:r>
        <w:t xml:space="preserve">. </w:t>
      </w:r>
      <w:r w:rsidR="008234B4">
        <w:br/>
      </w:r>
      <w:r>
        <w:t xml:space="preserve">Он особенно обеспокоен применением постановления премьер-министра № 06/2020, требующего предварительного одобрения правительством публичных мероприятий, посвященных правам человека. Комитет также обеспокоен сообщениями о несоразмерном применении силы и произвольных задержаниях сотрудниками правоохранительных органов с целью разгона мирных собраний, в частности организованных религиозными меньшинствами (статья 21). </w:t>
      </w:r>
    </w:p>
    <w:p w14:paraId="59BA9E96" w14:textId="77777777" w:rsidR="00D21282" w:rsidRPr="00AA3ACE" w:rsidRDefault="00D21282" w:rsidP="00D21282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 замечанием общего порядка № 37 (2020) Комитета о праве на мирные собрания государству-участнику следует гарантировать и защищать право на мирные собрания и обеспечить, чтобы любые ограничения этого права соответствовали строгим требованиям статьи 21 Пакта и принципам соразмерности и необходимости, в том числе путем внесения соответствующих поправок в свое законодательство.</w:t>
      </w:r>
      <w:r>
        <w:t xml:space="preserve"> </w:t>
      </w:r>
      <w:r>
        <w:rPr>
          <w:b/>
          <w:bCs/>
        </w:rPr>
        <w:t>Кроме того, ему следует:</w:t>
      </w:r>
    </w:p>
    <w:p w14:paraId="6762C5A5" w14:textId="3C2FA9B5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обеспечить проведение оперативных, тщательных и беспристрастных расследований по всем утверждениям о чрезмерном применении силы или произвольном задержании или помещении под стражу в контексте мирных собраний, привлечение к судебной ответственности виновных и, в случае их осуждения, назначение им надлежащих наказаний, а также предоставление потерпевшим полного возмещения ущерба и безотлагательное освобождение всех лиц, произвольно лишенных свободы;</w:t>
      </w:r>
    </w:p>
    <w:p w14:paraId="53452D06" w14:textId="0B8E674A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отменить требование о получении предварительного разрешения на проведение мирных собраний и ввести процедуру предварительного уведомления, обеспечив, чтобы любые исключения, требующие получения разрешения, не могли быть использованы для препятствования проведению мирных собраний и чтобы любое решение о запрете мирных собраний подлежало независимому и беспристрастному пересмотру в порядке судебного надзора;</w:t>
      </w:r>
    </w:p>
    <w:p w14:paraId="1FDD101B" w14:textId="711D2FE3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обеспечить надлежащую подготовку судей, прокуроров и гражданских служащих по вопросам права на мирные собрания, а сотрудников правоохраните</w:t>
      </w:r>
      <w:r>
        <w:rPr>
          <w:b/>
          <w:bCs/>
        </w:rPr>
        <w:t xml:space="preserve">льных органов — по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</w:t>
      </w:r>
      <w:r>
        <w:rPr>
          <w:b/>
          <w:bCs/>
        </w:rPr>
        <w:lastRenderedPageBreak/>
        <w:t>при применении менее смертоносного оружия в правоохранительной деятельности.</w:t>
      </w:r>
    </w:p>
    <w:p w14:paraId="7EBF95E0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16E5A9D0" w14:textId="10C14375" w:rsidR="00D21282" w:rsidRPr="00AA3ACE" w:rsidRDefault="00D21282" w:rsidP="00D21282">
      <w:pPr>
        <w:pStyle w:val="SingleTxtG"/>
      </w:pPr>
      <w:r>
        <w:t>50.</w:t>
      </w:r>
      <w:r>
        <w:tab/>
        <w:t>Комитет повторяет свою обеспокоенность, выраженную в предыдущих заключительных замечаниях, по поводу введения необоснованных ограничений на создание, организацию работы и функционирование общественных объединений, включая требование о получении предварительного разрешения от властей</w:t>
      </w:r>
      <w:r w:rsidRPr="00047F96">
        <w:rPr>
          <w:rStyle w:val="aa"/>
        </w:rPr>
        <w:footnoteReference w:id="15"/>
      </w:r>
      <w:r>
        <w:t>. Особую обеспокоенность у него вызывают недавно принятые законодательные акты, в том числе Указ № 126/2024, который наделяет государство-участник полномочиями по надзору за деятельностью ассоциаций, приостановке их деятельности и их роспуску. Комитет по-прежнему обеспокоен ограничительными нормативными актами, такими как Указ № 114/2021, которые предоставляют государству-участнику право надзора и контроля за средствами, в частности иностранными средствами. Комитет с обеспокоенностью отмечает многочисленные сообщения о том, что религиозные меньшинства, исповедующие свою веру вне признанных государством религиозных организаций, подвергаются систематическим репрессиям, а чрезмерно широкие налоговые законы неправомерно используются для притеснения правозащитников и ассоциаций этнических и религиозных меньшинств (статья 22)</w:t>
      </w:r>
      <w:r w:rsidR="008234B4">
        <w:t>.</w:t>
      </w:r>
    </w:p>
    <w:p w14:paraId="03B058B9" w14:textId="77777777" w:rsidR="00D21282" w:rsidRPr="00AA3ACE" w:rsidRDefault="00D21282" w:rsidP="00D21282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Государству-участнику следует принять все меры, необходимые для того, чтобы гарантировать, в законодательном порядке и на практике, реальное осуществление права на свободу ассоциации и обеспечить строгое соответствие всех налагаемых ограничений статье 22 Пакта.</w:t>
      </w:r>
      <w:r>
        <w:t xml:space="preserve"> </w:t>
      </w:r>
      <w:r>
        <w:rPr>
          <w:b/>
          <w:bCs/>
        </w:rPr>
        <w:t>В частности, ему следует:</w:t>
      </w:r>
    </w:p>
    <w:p w14:paraId="1F48619D" w14:textId="07C3058A" w:rsidR="00D21282" w:rsidRPr="00AA3ACE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</w:r>
      <w:r>
        <w:rPr>
          <w:b/>
          <w:bCs/>
        </w:rPr>
        <w:t>внести изменения в законодательство и практику, регулирующие создание, организацию работы и функционирование ассоциаций, с тем чтобы они могли регистрироваться и осуществлять свою деятельность без неправомерного вмешательства со стороны государства, без опасений подвергнуться преследованиям или репрессиям и в безопасных и благоприятных условиях;</w:t>
      </w:r>
      <w:r>
        <w:t xml:space="preserve"> </w:t>
      </w:r>
    </w:p>
    <w:p w14:paraId="36D5848D" w14:textId="5FB82C2A" w:rsidR="00D21282" w:rsidRPr="00D33406" w:rsidRDefault="00D21282" w:rsidP="00D21282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D33406">
        <w:rPr>
          <w:b/>
          <w:bCs/>
        </w:rPr>
        <w:t>b)</w:t>
      </w:r>
      <w:r w:rsidRPr="00D33406">
        <w:rPr>
          <w:b/>
          <w:bCs/>
        </w:rPr>
        <w:tab/>
        <w:t>отменить все необоснованные ограничения и контроль за возможностью организаций гражданского общества получать международное и национальное финансирование и воздерживаться от использования чрезмерно широких налоговых законов для притеснения правозащитников и объединений этнических и религиозных меньшинств.</w:t>
      </w:r>
    </w:p>
    <w:p w14:paraId="384AD7C3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2A4412B5" w14:textId="77777777" w:rsidR="00D21282" w:rsidRPr="00AA3ACE" w:rsidRDefault="00D21282" w:rsidP="00D21282">
      <w:pPr>
        <w:pStyle w:val="SingleTxtG"/>
      </w:pPr>
      <w:r>
        <w:t>52.</w:t>
      </w:r>
      <w:r>
        <w:tab/>
        <w:t>Ссылаясь на свои предыдущие заключительные замечания, Комитет выражает сохраняющуюся обеспокоенность по поводу запрета на деятельность политических партий, кроме Коммунистической партии Вьетнама, а также по поводу того, что независимые кандидаты должны пройти несколько раундов переговоров с Отечественным фронтом, действующим под руководством Коммунистической партии Вьетнама, чтобы попасть в список кандидатов</w:t>
      </w:r>
      <w:r w:rsidRPr="00047F96">
        <w:rPr>
          <w:rStyle w:val="aa"/>
        </w:rPr>
        <w:footnoteReference w:id="16"/>
      </w:r>
      <w:r>
        <w:t xml:space="preserve">. Комитет также обеспокоен сообщениями о произвольных задержаниях политических оппонентов, в том числе по меньшей мере трех независимых кандидатов перед выборами 2021 года, а также о сохраняющейся практике голосования по доверенности, которая несоразмерно затрагивает женщин и оказывает сдерживающий эффект на их участие в ведении государственных дел (статья 25). </w:t>
      </w:r>
    </w:p>
    <w:p w14:paraId="108E6C71" w14:textId="77777777" w:rsidR="00D21282" w:rsidRPr="00AA3ACE" w:rsidRDefault="00D21282" w:rsidP="00D21282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следует обеспечить осуществление права на участие в ведении государственных дел и привести свое избирательное законодательство и практику в соответствие с Пактом, включая его статью 25, и замечанием общего порядка № 25 (1996) Комитета об участии в ведении государственных дел и праве голосовать.</w:t>
      </w:r>
      <w:r>
        <w:t xml:space="preserve"> </w:t>
      </w:r>
      <w:r>
        <w:rPr>
          <w:b/>
          <w:bCs/>
        </w:rPr>
        <w:t>Кроме того, ему следует:</w:t>
      </w:r>
    </w:p>
    <w:p w14:paraId="42E2F7DA" w14:textId="698A0A52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lastRenderedPageBreak/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обеспечить проведение транспарентных, справедливых и свободных выборов, содействовать подлинному политическому плюрализму и дебатам и обеспечить свободу заниматься политической деятельностью как лично, так и в составе политических партий и других организаций, включая те, которые представляют взгляды, критикующие правительство, в условиях, свободных от запугивания и страха репрессий;</w:t>
      </w:r>
    </w:p>
    <w:p w14:paraId="184B4701" w14:textId="37832777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обеспечить, чтобы ни одно лицо, имеющее право быть избранным, не было исключено из-за необоснованных или дискриминационных требований;</w:t>
      </w:r>
    </w:p>
    <w:p w14:paraId="1AEFBEEB" w14:textId="3D8DE2C3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  <w:t>гарантировать, чтобы Национальный избирательный совет действовал на основе принципов полной транспарентности, независимости и беспристрастности;</w:t>
      </w:r>
    </w:p>
    <w:p w14:paraId="7A7BF0C5" w14:textId="61459646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d)</w:t>
      </w:r>
      <w:r w:rsidRPr="00D21282">
        <w:rPr>
          <w:b/>
          <w:bCs/>
        </w:rPr>
        <w:tab/>
      </w:r>
      <w:r>
        <w:rPr>
          <w:b/>
          <w:bCs/>
        </w:rPr>
        <w:t xml:space="preserve">активизировать усилия по борьбе с голосованием по доверенности, </w:t>
      </w:r>
      <w:r w:rsidR="008234B4">
        <w:rPr>
          <w:b/>
          <w:bCs/>
        </w:rPr>
        <w:br/>
      </w:r>
      <w:r>
        <w:rPr>
          <w:b/>
          <w:bCs/>
        </w:rPr>
        <w:t>в частности для обеспечения участия женщин в политической жизни.</w:t>
      </w:r>
    </w:p>
    <w:p w14:paraId="7FD0A6A1" w14:textId="77777777" w:rsidR="00D21282" w:rsidRPr="00AA3ACE" w:rsidRDefault="00D21282" w:rsidP="00D21282">
      <w:pPr>
        <w:pStyle w:val="H23G"/>
      </w:pPr>
      <w:r>
        <w:tab/>
      </w:r>
      <w:r>
        <w:tab/>
      </w:r>
      <w:r>
        <w:rPr>
          <w:bCs/>
        </w:rPr>
        <w:t>Права меньшинств и коренных народов</w:t>
      </w:r>
      <w:r>
        <w:t xml:space="preserve"> </w:t>
      </w:r>
    </w:p>
    <w:p w14:paraId="02957271" w14:textId="77777777" w:rsidR="00D21282" w:rsidRPr="00AA3ACE" w:rsidRDefault="00D21282" w:rsidP="00D21282">
      <w:pPr>
        <w:pStyle w:val="SingleTxtG"/>
      </w:pPr>
      <w:r>
        <w:t>54.</w:t>
      </w:r>
      <w:r>
        <w:tab/>
        <w:t>Ссылаясь на свои предыдущие заключительные замечания, Комитет выражает сохраняющуюся обеспокоенность по поводу того, что государство-участник не признает коренные народы, живущие на его территории</w:t>
      </w:r>
      <w:r w:rsidRPr="00047F96">
        <w:rPr>
          <w:rStyle w:val="aa"/>
        </w:rPr>
        <w:footnoteReference w:id="17"/>
      </w:r>
      <w:r>
        <w:t xml:space="preserve">. Комитет также обеспокоен ограничениями на их участие в политической и социальной жизни, а также низкой долей представителей меньшинств на руководящих и директивных должностях в правительственных органах и органах государственного управления. Комитет также обеспокоен многочисленными сообщениями о произвольных задержаниях представителей этнических и религиозных меньшинств и коренных народов, в том числе об обязательном так называемом «послетюремном обучении», проводимом местными властями для заключенных из числа монтаньяров. Комитет также обеспокоен тем, что права на землю коренных народов зачастую оказываются под угрозой в связи с реализацией проектов в области развития и деятельностью предприятий добывающей и других отраслей промышленности, которые проводятся без организации надлежащих консультаций и получения их свободного, предварительного и осознанного согласия (статьи 25, 26 и 27). </w:t>
      </w:r>
    </w:p>
    <w:p w14:paraId="3A540795" w14:textId="77777777" w:rsidR="00D21282" w:rsidRPr="00AA3ACE" w:rsidRDefault="00D21282" w:rsidP="00D21282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Государству-участнику следует:</w:t>
      </w:r>
    </w:p>
    <w:p w14:paraId="44B3B141" w14:textId="6FBAE578" w:rsidR="00D21282" w:rsidRPr="00D21282" w:rsidRDefault="00D21282" w:rsidP="00D21282">
      <w:pPr>
        <w:pStyle w:val="SingleTxtG"/>
        <w:rPr>
          <w:b/>
          <w:bCs/>
        </w:rPr>
      </w:pPr>
      <w:r>
        <w:rPr>
          <w:lang w:val="en-US"/>
        </w:rPr>
        <w:tab/>
      </w:r>
      <w:r w:rsidRPr="00D21282">
        <w:rPr>
          <w:b/>
          <w:bCs/>
        </w:rPr>
        <w:t>a)</w:t>
      </w:r>
      <w:r w:rsidRPr="00D21282">
        <w:rPr>
          <w:b/>
          <w:bCs/>
        </w:rPr>
        <w:tab/>
        <w:t>создать законодательную базу, обеспечивающую признание и защиту статуса и прав всех общин, которые относят себя к коренным народам, в соответствии с международными нормами, включая Декларацию Организации Объединенных Наций о правах коренных народов;</w:t>
      </w:r>
    </w:p>
    <w:p w14:paraId="3CA3D817" w14:textId="70022C32" w:rsidR="00D21282" w:rsidRPr="00D21282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b)</w:t>
      </w:r>
      <w:r w:rsidRPr="00D21282">
        <w:rPr>
          <w:b/>
          <w:bCs/>
        </w:rPr>
        <w:tab/>
        <w:t>обеспечить надлежащее представительство этнических и религиозных меньшинств, а также коренных народов в правительственных органах и органах государственного управления, в том числе на руководящих и директивных должностях;</w:t>
      </w:r>
    </w:p>
    <w:p w14:paraId="74A5BD26" w14:textId="1E6660E5" w:rsidR="00D21282" w:rsidRPr="00AA3ACE" w:rsidRDefault="00D21282" w:rsidP="00D21282">
      <w:pPr>
        <w:pStyle w:val="SingleTxtG"/>
        <w:rPr>
          <w:b/>
          <w:bCs/>
        </w:rPr>
      </w:pPr>
      <w:r w:rsidRPr="00D21282">
        <w:rPr>
          <w:b/>
          <w:bCs/>
          <w:lang w:val="en-US"/>
        </w:rPr>
        <w:tab/>
      </w:r>
      <w:r w:rsidRPr="00D21282">
        <w:rPr>
          <w:b/>
          <w:bCs/>
        </w:rPr>
        <w:t>c)</w:t>
      </w:r>
      <w:r w:rsidRPr="00D21282">
        <w:rPr>
          <w:b/>
          <w:bCs/>
        </w:rPr>
        <w:tab/>
      </w:r>
      <w:r>
        <w:rPr>
          <w:b/>
          <w:bCs/>
        </w:rPr>
        <w:t>проводить надлежащие консультации с коренными народами для получения их свободного, предварительного и осознанного согласия в отношении всех решений, которые затрагивают их интересы, в соответствии с международными нормами.</w:t>
      </w:r>
      <w:r>
        <w:t xml:space="preserve"> </w:t>
      </w:r>
    </w:p>
    <w:p w14:paraId="15564FFF" w14:textId="02E74B19" w:rsidR="00D21282" w:rsidRPr="00AA3ACE" w:rsidRDefault="00D21282" w:rsidP="00D21282">
      <w:pPr>
        <w:pStyle w:val="SingleTxtG"/>
      </w:pPr>
      <w:r>
        <w:t>56.</w:t>
      </w:r>
      <w:r>
        <w:tab/>
        <w:t>Отмечая принятие различных указов и законов, в том числе генерального плана социально-экономического развития в районах проживания этнических меньшинств и горных районах на период 2021–2030 годов, Комитет выражает обеспокоенность по поводу факторов, препятствующих этническим и религиозным меньшинствам и коренным народам, в том числе женщинам, в получении доступа к государственным услугам, включая образование на их родном языке, и в пользовании своей</w:t>
      </w:r>
      <w:r w:rsidR="00436F26">
        <w:t xml:space="preserve"> </w:t>
      </w:r>
      <w:r>
        <w:t xml:space="preserve">культурой и правом на соблюдение своих культурных традиций и обычаев. Комитет выражает сожаление по поводу отсутствия информации о школах-интернатах и полуинтернатах для детей из числа этнических и религиозных меньшинств и коренных народов, в том </w:t>
      </w:r>
      <w:r>
        <w:lastRenderedPageBreak/>
        <w:t xml:space="preserve">числе о возможностях для этих детей изучать и использовать свой язык и соблюдать свои культурные традиции и обычаи (статьи 3, 26 и 27). </w:t>
      </w:r>
    </w:p>
    <w:p w14:paraId="2B47A069" w14:textId="77777777" w:rsidR="00D21282" w:rsidRPr="00AA3ACE" w:rsidRDefault="00D21282" w:rsidP="00D21282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Государству-участнику следует обеспечить право этнических и религиозных меньшинств и коренных народов, в частности женщин, на доступ ко всем государственным услугам без дискриминации, включая доступ к образованию на родном языке.</w:t>
      </w:r>
    </w:p>
    <w:p w14:paraId="75E1AD84" w14:textId="589FE5DD" w:rsidR="00D21282" w:rsidRPr="00AA3ACE" w:rsidRDefault="00D21282" w:rsidP="00D21282">
      <w:pPr>
        <w:pStyle w:val="H1G"/>
      </w:pPr>
      <w:r>
        <w:rPr>
          <w:bCs/>
          <w:lang w:val="en-US"/>
        </w:rPr>
        <w:tab/>
      </w:r>
      <w:r>
        <w:rPr>
          <w:bCs/>
        </w:rPr>
        <w:t>D.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6DCA84D4" w14:textId="77777777" w:rsidR="00D21282" w:rsidRPr="00AA3ACE" w:rsidRDefault="00D21282" w:rsidP="00D21282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своего четвертого периодического доклада и настоящих заключительных замечаний, чтобы повысить уровень осведомленности о закрепленных в Пакте правах среди работников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  <w:bookmarkStart w:id="3" w:name="_Hlk168404895"/>
      <w:bookmarkEnd w:id="3"/>
    </w:p>
    <w:p w14:paraId="0D56BE2B" w14:textId="77777777" w:rsidR="00D21282" w:rsidRPr="00AA3ACE" w:rsidRDefault="00D21282" w:rsidP="00D21282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не позднее 18 июля 2028 года информацию о выполнении рекомендаций, сформулированных Комитетом выше в пунктах 7 (национальное правозащитное учреждение), 23 (смертная казнь) и 33 (свобода и личная неприкосновенность).</w:t>
      </w:r>
    </w:p>
    <w:p w14:paraId="53CA228E" w14:textId="77777777" w:rsidR="00D21282" w:rsidRPr="00AA3ACE" w:rsidRDefault="00D21282" w:rsidP="00D21282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 не позднее 18 июля 2031 года и включить в него конкретную обновленную информацию об осуществлении рекомендаций, вынесенных в настоящих заключительных замечаниях, и Пакта в целом.</w:t>
      </w:r>
      <w:r>
        <w:t xml:space="preserve"> </w:t>
      </w:r>
      <w:r>
        <w:rPr>
          <w:b/>
          <w:bCs/>
        </w:rPr>
        <w:t>Комитет просит также государство-участник при подготовке своего доклада провести широкие консультации с представителями гражданского общества и действующими в стране 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6C430143" w14:textId="77777777" w:rsidR="00436F26" w:rsidRDefault="00D21282" w:rsidP="00D21282">
      <w:pPr>
        <w:jc w:val="center"/>
        <w:rPr>
          <w:u w:val="single"/>
        </w:rPr>
      </w:pPr>
      <w:r w:rsidRPr="00AA3ACE">
        <w:rPr>
          <w:u w:val="single"/>
        </w:rPr>
        <w:tab/>
      </w:r>
      <w:r w:rsidRPr="00AA3ACE">
        <w:rPr>
          <w:u w:val="single"/>
        </w:rPr>
        <w:tab/>
      </w:r>
      <w:r w:rsidRPr="00AA3ACE">
        <w:rPr>
          <w:u w:val="single"/>
        </w:rPr>
        <w:tab/>
      </w:r>
    </w:p>
    <w:p w14:paraId="46BCBA44" w14:textId="06364D60" w:rsidR="00381C24" w:rsidRPr="00D21282" w:rsidRDefault="00381C24" w:rsidP="0075523D"/>
    <w:sectPr w:rsidR="00381C24" w:rsidRPr="00D21282" w:rsidSect="00D2128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046F2" w14:textId="77777777" w:rsidR="00236102" w:rsidRPr="00A312BC" w:rsidRDefault="00236102" w:rsidP="00A312BC"/>
  </w:endnote>
  <w:endnote w:type="continuationSeparator" w:id="0">
    <w:p w14:paraId="58F42C4E" w14:textId="77777777" w:rsidR="00236102" w:rsidRPr="00A312BC" w:rsidRDefault="002361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C8E95" w14:textId="3F133978" w:rsidR="00D21282" w:rsidRPr="00D21282" w:rsidRDefault="00D21282">
    <w:pPr>
      <w:pStyle w:val="a8"/>
    </w:pPr>
    <w:r w:rsidRPr="00D21282">
      <w:rPr>
        <w:b/>
        <w:sz w:val="18"/>
      </w:rPr>
      <w:fldChar w:fldCharType="begin"/>
    </w:r>
    <w:r w:rsidRPr="00D21282">
      <w:rPr>
        <w:b/>
        <w:sz w:val="18"/>
      </w:rPr>
      <w:instrText xml:space="preserve"> PAGE  \* MERGEFORMAT </w:instrText>
    </w:r>
    <w:r w:rsidRPr="00D21282">
      <w:rPr>
        <w:b/>
        <w:sz w:val="18"/>
      </w:rPr>
      <w:fldChar w:fldCharType="separate"/>
    </w:r>
    <w:r w:rsidRPr="00D21282">
      <w:rPr>
        <w:b/>
        <w:noProof/>
        <w:sz w:val="18"/>
      </w:rPr>
      <w:t>2</w:t>
    </w:r>
    <w:r w:rsidRPr="00D21282">
      <w:rPr>
        <w:b/>
        <w:sz w:val="18"/>
      </w:rPr>
      <w:fldChar w:fldCharType="end"/>
    </w:r>
    <w:r>
      <w:rPr>
        <w:b/>
        <w:sz w:val="18"/>
      </w:rPr>
      <w:tab/>
    </w:r>
    <w:r>
      <w:t>GE.25-11883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BCDA2" w14:textId="5452C0EC" w:rsidR="00D21282" w:rsidRPr="00D21282" w:rsidRDefault="00D21282" w:rsidP="00D21282">
    <w:pPr>
      <w:pStyle w:val="a8"/>
      <w:tabs>
        <w:tab w:val="clear" w:pos="9639"/>
        <w:tab w:val="right" w:pos="9638"/>
      </w:tabs>
      <w:rPr>
        <w:b/>
        <w:sz w:val="18"/>
      </w:rPr>
    </w:pPr>
    <w:r>
      <w:t>GE.25-11883</w:t>
    </w:r>
    <w:r>
      <w:tab/>
    </w:r>
    <w:r w:rsidRPr="00D21282">
      <w:rPr>
        <w:b/>
        <w:sz w:val="18"/>
      </w:rPr>
      <w:fldChar w:fldCharType="begin"/>
    </w:r>
    <w:r w:rsidRPr="00D21282">
      <w:rPr>
        <w:b/>
        <w:sz w:val="18"/>
      </w:rPr>
      <w:instrText xml:space="preserve"> PAGE  \* MERGEFORMAT </w:instrText>
    </w:r>
    <w:r w:rsidRPr="00D21282">
      <w:rPr>
        <w:b/>
        <w:sz w:val="18"/>
      </w:rPr>
      <w:fldChar w:fldCharType="separate"/>
    </w:r>
    <w:r w:rsidRPr="00D21282">
      <w:rPr>
        <w:b/>
        <w:noProof/>
        <w:sz w:val="18"/>
      </w:rPr>
      <w:t>3</w:t>
    </w:r>
    <w:r w:rsidRPr="00D2128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64DAF" w14:textId="7DA721C7" w:rsidR="00042B72" w:rsidRPr="00D21282" w:rsidRDefault="00D21282" w:rsidP="00D2128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F22C3CB" wp14:editId="3371F4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25-11883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2E7CA9D" wp14:editId="0DE1C5A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011025  031025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E6CBB" w14:textId="77777777" w:rsidR="00236102" w:rsidRPr="001075E9" w:rsidRDefault="002361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64EC37" w14:textId="77777777" w:rsidR="00236102" w:rsidRDefault="002361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AADB0F7" w14:textId="77777777" w:rsidR="00D21282" w:rsidRPr="00AA3ACE" w:rsidRDefault="00D21282" w:rsidP="00D21282">
      <w:pPr>
        <w:pStyle w:val="ad"/>
      </w:pPr>
      <w:r>
        <w:tab/>
      </w:r>
      <w:r w:rsidRPr="00D21282">
        <w:rPr>
          <w:sz w:val="20"/>
        </w:rPr>
        <w:t>*</w:t>
      </w:r>
      <w:r>
        <w:tab/>
        <w:t>Приняты Комитетом на его сто сорок четвертой сессии (23 июня — 17 июля 2025 года).</w:t>
      </w:r>
    </w:p>
  </w:footnote>
  <w:footnote w:id="2">
    <w:p w14:paraId="246AE3FA" w14:textId="7CE4B6AB" w:rsidR="00D21282" w:rsidRPr="004C480B" w:rsidRDefault="00D21282" w:rsidP="00D21282">
      <w:pPr>
        <w:pStyle w:val="ad"/>
      </w:pPr>
      <w:r w:rsidRPr="00047F96">
        <w:tab/>
      </w:r>
      <w:r w:rsidRPr="00047F96">
        <w:rPr>
          <w:rStyle w:val="aa"/>
        </w:rPr>
        <w:footnoteRef/>
      </w:r>
      <w:r>
        <w:tab/>
      </w:r>
      <w:hyperlink r:id="rId1" w:history="1">
        <w:r w:rsidRPr="00D21282">
          <w:rPr>
            <w:rStyle w:val="af1"/>
          </w:rPr>
          <w:t>CCPR/C/VNM/4</w:t>
        </w:r>
      </w:hyperlink>
      <w:r>
        <w:t xml:space="preserve">. </w:t>
      </w:r>
      <w:hyperlink r:id="rId2" w:history="1"/>
    </w:p>
  </w:footnote>
  <w:footnote w:id="3">
    <w:p w14:paraId="33B8A50B" w14:textId="2695887E" w:rsidR="00D21282" w:rsidRPr="004C480B" w:rsidRDefault="00D21282" w:rsidP="00D21282">
      <w:pPr>
        <w:pStyle w:val="ad"/>
      </w:pPr>
      <w:r w:rsidRPr="00047F96">
        <w:tab/>
      </w:r>
      <w:r w:rsidRPr="00047F96">
        <w:rPr>
          <w:rStyle w:val="aa"/>
        </w:rPr>
        <w:footnoteRef/>
      </w:r>
      <w:r>
        <w:tab/>
        <w:t xml:space="preserve">См. </w:t>
      </w:r>
      <w:hyperlink r:id="rId3" w:history="1">
        <w:r w:rsidRPr="00D21282">
          <w:rPr>
            <w:rStyle w:val="af1"/>
          </w:rPr>
          <w:t>CCPR/C/SR.4244</w:t>
        </w:r>
      </w:hyperlink>
      <w:r>
        <w:t xml:space="preserve"> и </w:t>
      </w:r>
      <w:hyperlink r:id="rId4" w:history="1">
        <w:r w:rsidRPr="00D21282">
          <w:rPr>
            <w:rStyle w:val="af1"/>
          </w:rPr>
          <w:t>CCPR/C/SR.4245</w:t>
        </w:r>
      </w:hyperlink>
      <w:r>
        <w:t>.</w:t>
      </w:r>
      <w:hyperlink r:id="rId5" w:history="1"/>
      <w:hyperlink r:id="rId6" w:history="1"/>
    </w:p>
  </w:footnote>
  <w:footnote w:id="4">
    <w:p w14:paraId="4DA06BD0" w14:textId="3A96C0D3" w:rsidR="00D21282" w:rsidRPr="004C480B" w:rsidRDefault="00D21282" w:rsidP="00D21282">
      <w:pPr>
        <w:pStyle w:val="ad"/>
      </w:pPr>
      <w:r w:rsidRPr="00047F96">
        <w:tab/>
      </w:r>
      <w:r w:rsidRPr="00047F96">
        <w:rPr>
          <w:rStyle w:val="aa"/>
        </w:rPr>
        <w:footnoteRef/>
      </w:r>
      <w:r>
        <w:tab/>
      </w:r>
      <w:hyperlink r:id="rId7" w:history="1">
        <w:r w:rsidRPr="00D21282">
          <w:rPr>
            <w:rStyle w:val="af1"/>
          </w:rPr>
          <w:t>CCPR/C/VNM/RQ/4</w:t>
        </w:r>
      </w:hyperlink>
      <w:r>
        <w:t>.</w:t>
      </w:r>
      <w:hyperlink r:id="rId8" w:history="1"/>
    </w:p>
  </w:footnote>
  <w:footnote w:id="5">
    <w:p w14:paraId="1E54FC15" w14:textId="247F9F9C" w:rsidR="00D21282" w:rsidRPr="004A68E3" w:rsidRDefault="00D21282" w:rsidP="00D21282">
      <w:pPr>
        <w:pStyle w:val="ad"/>
        <w:rPr>
          <w:lang w:val="en-US"/>
        </w:rPr>
      </w:pPr>
      <w:r w:rsidRPr="004A68E3">
        <w:rPr>
          <w:lang w:val="en-US"/>
        </w:rPr>
        <w:tab/>
      </w:r>
      <w:r w:rsidRPr="00047F96">
        <w:rPr>
          <w:rStyle w:val="aa"/>
        </w:rPr>
        <w:footnoteRef/>
      </w:r>
      <w:r w:rsidRPr="004A68E3">
        <w:rPr>
          <w:lang w:val="en-US"/>
        </w:rPr>
        <w:tab/>
      </w:r>
      <w:hyperlink r:id="rId9" w:history="1">
        <w:r w:rsidRPr="004A68E3">
          <w:rPr>
            <w:rStyle w:val="af1"/>
            <w:lang w:val="en-US"/>
          </w:rPr>
          <w:t>CCPR/C/VNM/Q/4</w:t>
        </w:r>
      </w:hyperlink>
      <w:r w:rsidRPr="004A68E3">
        <w:rPr>
          <w:lang w:val="en-US"/>
        </w:rPr>
        <w:t>.</w:t>
      </w:r>
      <w:hyperlink r:id="rId10" w:history="1"/>
    </w:p>
  </w:footnote>
  <w:footnote w:id="6">
    <w:p w14:paraId="3D576C39" w14:textId="0752415F" w:rsidR="00D21282" w:rsidRPr="00D21282" w:rsidRDefault="00D21282" w:rsidP="00D21282">
      <w:pPr>
        <w:pStyle w:val="ad"/>
        <w:rPr>
          <w:lang w:val="en-US"/>
        </w:rPr>
      </w:pPr>
      <w:r w:rsidRPr="004A68E3">
        <w:rPr>
          <w:lang w:val="en-US"/>
        </w:rPr>
        <w:tab/>
      </w:r>
      <w:r w:rsidRPr="00047F96">
        <w:rPr>
          <w:rStyle w:val="aa"/>
        </w:rPr>
        <w:footnoteRef/>
      </w:r>
      <w:r w:rsidRPr="004C480B">
        <w:rPr>
          <w:lang w:val="en-US"/>
        </w:rPr>
        <w:tab/>
      </w:r>
      <w:hyperlink r:id="rId11" w:history="1">
        <w:r w:rsidRPr="00D21282">
          <w:rPr>
            <w:rStyle w:val="af1"/>
            <w:lang w:val="en-US"/>
          </w:rPr>
          <w:t>CCPR/C/VNM/CO/3</w:t>
        </w:r>
      </w:hyperlink>
      <w:r w:rsidRPr="004C480B">
        <w:rPr>
          <w:lang w:val="en-US"/>
        </w:rPr>
        <w:t xml:space="preserve">, </w:t>
      </w:r>
      <w:r>
        <w:t>п</w:t>
      </w:r>
      <w:r w:rsidRPr="004C480B">
        <w:rPr>
          <w:lang w:val="en-US"/>
        </w:rPr>
        <w:t>. 32.</w:t>
      </w:r>
      <w:hyperlink r:id="rId12" w:history="1"/>
    </w:p>
  </w:footnote>
  <w:footnote w:id="7">
    <w:p w14:paraId="5DDFA231" w14:textId="77777777" w:rsidR="00D21282" w:rsidRPr="00AA3ACE" w:rsidRDefault="00D21282" w:rsidP="00D21282">
      <w:pPr>
        <w:pStyle w:val="ad"/>
      </w:pPr>
      <w:r w:rsidRPr="004C480B">
        <w:rPr>
          <w:lang w:val="en-US"/>
        </w:rPr>
        <w:tab/>
      </w:r>
      <w:r w:rsidRPr="00047F96">
        <w:rPr>
          <w:rStyle w:val="aa"/>
        </w:rPr>
        <w:footnoteRef/>
      </w:r>
      <w:r>
        <w:tab/>
        <w:t>Там же, п. 42.</w:t>
      </w:r>
    </w:p>
  </w:footnote>
  <w:footnote w:id="8">
    <w:p w14:paraId="675E29AF" w14:textId="77777777" w:rsidR="00D21282" w:rsidRPr="00AA3ACE" w:rsidRDefault="00D21282" w:rsidP="00D21282">
      <w:pPr>
        <w:pStyle w:val="ad"/>
      </w:pPr>
      <w:r w:rsidRPr="00A05E32">
        <w:tab/>
      </w:r>
      <w:r w:rsidRPr="00047F96">
        <w:rPr>
          <w:rStyle w:val="aa"/>
        </w:rPr>
        <w:footnoteRef/>
      </w:r>
      <w:r>
        <w:tab/>
        <w:t>Там же, п. 33.</w:t>
      </w:r>
    </w:p>
  </w:footnote>
  <w:footnote w:id="9">
    <w:p w14:paraId="22721064" w14:textId="77777777" w:rsidR="00D21282" w:rsidRPr="00AA3ACE" w:rsidRDefault="00D21282" w:rsidP="00D21282">
      <w:pPr>
        <w:pStyle w:val="ad"/>
      </w:pPr>
      <w:r w:rsidRPr="00A05E32">
        <w:tab/>
      </w:r>
      <w:r w:rsidRPr="00047F96">
        <w:rPr>
          <w:rStyle w:val="aa"/>
        </w:rPr>
        <w:footnoteRef/>
      </w:r>
      <w:r>
        <w:tab/>
        <w:t>Там же, п. 37.</w:t>
      </w:r>
    </w:p>
  </w:footnote>
  <w:footnote w:id="10">
    <w:p w14:paraId="0CEBA2CC" w14:textId="77777777" w:rsidR="00D21282" w:rsidRPr="00AA3ACE" w:rsidRDefault="00D21282" w:rsidP="00D21282">
      <w:pPr>
        <w:pStyle w:val="ad"/>
      </w:pPr>
      <w:r w:rsidRPr="00A05E32">
        <w:tab/>
      </w:r>
      <w:r w:rsidRPr="00047F96">
        <w:rPr>
          <w:rStyle w:val="aa"/>
        </w:rPr>
        <w:footnoteRef/>
      </w:r>
      <w:r>
        <w:tab/>
        <w:t>Там же, п. 43.</w:t>
      </w:r>
    </w:p>
  </w:footnote>
  <w:footnote w:id="11">
    <w:p w14:paraId="46D1371D" w14:textId="77777777" w:rsidR="00D21282" w:rsidRPr="00AA3ACE" w:rsidRDefault="00D21282" w:rsidP="00D21282">
      <w:pPr>
        <w:pStyle w:val="ad"/>
      </w:pPr>
      <w:r w:rsidRPr="00047F96">
        <w:tab/>
      </w:r>
      <w:r w:rsidRPr="00047F96">
        <w:rPr>
          <w:rStyle w:val="aa"/>
        </w:rPr>
        <w:footnoteRef/>
      </w:r>
      <w:r>
        <w:tab/>
        <w:t>Там же, п. 44.</w:t>
      </w:r>
    </w:p>
  </w:footnote>
  <w:footnote w:id="12">
    <w:p w14:paraId="633C268E" w14:textId="6C66FD88" w:rsidR="00D21282" w:rsidRPr="00A71528" w:rsidRDefault="00D21282" w:rsidP="00D21282">
      <w:pPr>
        <w:pStyle w:val="ad"/>
        <w:rPr>
          <w:lang w:val="en-US"/>
        </w:rPr>
      </w:pPr>
      <w:r w:rsidRPr="00047F96">
        <w:tab/>
      </w:r>
      <w:r w:rsidRPr="00047F96">
        <w:rPr>
          <w:rStyle w:val="aa"/>
        </w:rPr>
        <w:footnoteRef/>
      </w:r>
      <w:r>
        <w:tab/>
        <w:t xml:space="preserve">Там же, п. 45; и см. </w:t>
      </w:r>
      <w:hyperlink r:id="rId13" w:history="1">
        <w:r w:rsidRPr="00D21282">
          <w:rPr>
            <w:rStyle w:val="af1"/>
            <w:lang w:val="en-US"/>
          </w:rPr>
          <w:t>CCPR/C/VNM/FCO/3</w:t>
        </w:r>
      </w:hyperlink>
      <w:r w:rsidRPr="00A71528">
        <w:rPr>
          <w:lang w:val="en-US"/>
        </w:rPr>
        <w:t>.</w:t>
      </w:r>
      <w:hyperlink r:id="rId14" w:history="1"/>
    </w:p>
  </w:footnote>
  <w:footnote w:id="13">
    <w:p w14:paraId="159FF952" w14:textId="6FF05576" w:rsidR="00D21282" w:rsidRPr="00D21282" w:rsidRDefault="00D21282" w:rsidP="00D21282">
      <w:pPr>
        <w:pStyle w:val="ad"/>
        <w:rPr>
          <w:lang w:val="en-US"/>
        </w:rPr>
      </w:pPr>
      <w:r w:rsidRPr="00A71528">
        <w:rPr>
          <w:lang w:val="en-US"/>
        </w:rPr>
        <w:tab/>
      </w:r>
      <w:r w:rsidRPr="00047F96">
        <w:rPr>
          <w:rStyle w:val="aa"/>
        </w:rPr>
        <w:footnoteRef/>
      </w:r>
      <w:r w:rsidRPr="004C480B">
        <w:rPr>
          <w:lang w:val="en-US"/>
        </w:rPr>
        <w:tab/>
      </w:r>
      <w:hyperlink r:id="rId15" w:history="1">
        <w:r w:rsidRPr="00D21282">
          <w:rPr>
            <w:rStyle w:val="af1"/>
            <w:lang w:val="en-US"/>
          </w:rPr>
          <w:t>CCPR/C/VNM/CO/3</w:t>
        </w:r>
      </w:hyperlink>
      <w:r w:rsidRPr="004C480B">
        <w:rPr>
          <w:lang w:val="en-US"/>
        </w:rPr>
        <w:t xml:space="preserve">, </w:t>
      </w:r>
      <w:r>
        <w:t>п</w:t>
      </w:r>
      <w:r w:rsidRPr="004C480B">
        <w:rPr>
          <w:lang w:val="en-US"/>
        </w:rPr>
        <w:t>. 46.</w:t>
      </w:r>
      <w:hyperlink r:id="rId16" w:history="1"/>
    </w:p>
  </w:footnote>
  <w:footnote w:id="14">
    <w:p w14:paraId="352C6933" w14:textId="77777777" w:rsidR="00D21282" w:rsidRPr="00AA3ACE" w:rsidRDefault="00D21282" w:rsidP="00D21282">
      <w:pPr>
        <w:pStyle w:val="ad"/>
      </w:pPr>
      <w:r w:rsidRPr="004C480B">
        <w:rPr>
          <w:lang w:val="en-US"/>
        </w:rPr>
        <w:tab/>
      </w:r>
      <w:r w:rsidRPr="00047F96">
        <w:rPr>
          <w:rStyle w:val="aa"/>
        </w:rPr>
        <w:footnoteRef/>
      </w:r>
      <w:r>
        <w:tab/>
        <w:t>Там же, п. 47.</w:t>
      </w:r>
    </w:p>
  </w:footnote>
  <w:footnote w:id="15">
    <w:p w14:paraId="03CC9C07" w14:textId="77777777" w:rsidR="00D21282" w:rsidRPr="00AA3ACE" w:rsidRDefault="00D21282" w:rsidP="00D21282">
      <w:pPr>
        <w:pStyle w:val="ad"/>
      </w:pPr>
      <w:r w:rsidRPr="00A05E32">
        <w:tab/>
      </w:r>
      <w:r w:rsidRPr="00047F96">
        <w:rPr>
          <w:rStyle w:val="aa"/>
        </w:rPr>
        <w:footnoteRef/>
      </w:r>
      <w:r>
        <w:tab/>
        <w:t>Там же, п. 49.</w:t>
      </w:r>
    </w:p>
  </w:footnote>
  <w:footnote w:id="16">
    <w:p w14:paraId="5B8A6B7E" w14:textId="77777777" w:rsidR="00D21282" w:rsidRPr="00AA3ACE" w:rsidRDefault="00D21282" w:rsidP="00D21282">
      <w:pPr>
        <w:pStyle w:val="ad"/>
      </w:pPr>
      <w:r w:rsidRPr="00A05E32">
        <w:tab/>
      </w:r>
      <w:r w:rsidRPr="00047F96">
        <w:rPr>
          <w:rStyle w:val="aa"/>
        </w:rPr>
        <w:footnoteRef/>
      </w:r>
      <w:r>
        <w:tab/>
        <w:t>Там же, п. 53.</w:t>
      </w:r>
    </w:p>
  </w:footnote>
  <w:footnote w:id="17">
    <w:p w14:paraId="684AAE64" w14:textId="77777777" w:rsidR="00D21282" w:rsidRPr="00AA3ACE" w:rsidRDefault="00D21282" w:rsidP="00D21282">
      <w:pPr>
        <w:pStyle w:val="ad"/>
      </w:pPr>
      <w:r w:rsidRPr="00A05E32">
        <w:tab/>
      </w:r>
      <w:r w:rsidRPr="00047F96">
        <w:rPr>
          <w:rStyle w:val="aa"/>
        </w:rPr>
        <w:footnoteRef/>
      </w:r>
      <w:r>
        <w:tab/>
      </w:r>
      <w:r>
        <w:tab/>
        <w:t>Там же, п. 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A82DF" w14:textId="1EF13963" w:rsidR="00D21282" w:rsidRPr="00D21282" w:rsidRDefault="00D21282">
    <w:pPr>
      <w:pStyle w:val="a5"/>
    </w:pPr>
    <w:fldSimple w:instr=" TITLE  \* MERGEFORMAT ">
      <w:r w:rsidR="004A68E3">
        <w:t>CCPR/C/VNM/CO/4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D5115" w14:textId="761FCD80" w:rsidR="00D21282" w:rsidRPr="00D21282" w:rsidRDefault="00D21282" w:rsidP="00D21282">
    <w:pPr>
      <w:pStyle w:val="a5"/>
      <w:jc w:val="right"/>
    </w:pPr>
    <w:fldSimple w:instr=" TITLE  \* MERGEFORMAT ">
      <w:r w:rsidR="004A68E3">
        <w:t>CCPR/C/VNM/CO/4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102"/>
    <w:rsid w:val="000133F9"/>
    <w:rsid w:val="00033AD1"/>
    <w:rsid w:val="00033EE1"/>
    <w:rsid w:val="000358F2"/>
    <w:rsid w:val="00042B72"/>
    <w:rsid w:val="000558BD"/>
    <w:rsid w:val="000839ED"/>
    <w:rsid w:val="000B57E7"/>
    <w:rsid w:val="000B6373"/>
    <w:rsid w:val="000E4667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36102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36F26"/>
    <w:rsid w:val="00452493"/>
    <w:rsid w:val="00454E07"/>
    <w:rsid w:val="00472C5C"/>
    <w:rsid w:val="004969B2"/>
    <w:rsid w:val="004A68E3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34B4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21282"/>
    <w:rsid w:val="00D33D63"/>
    <w:rsid w:val="00D90028"/>
    <w:rsid w:val="00D90138"/>
    <w:rsid w:val="00D9090B"/>
    <w:rsid w:val="00DA7521"/>
    <w:rsid w:val="00DD1D1E"/>
    <w:rsid w:val="00DD78D1"/>
    <w:rsid w:val="00DE32CD"/>
    <w:rsid w:val="00DF71B9"/>
    <w:rsid w:val="00E005F7"/>
    <w:rsid w:val="00E06BEE"/>
    <w:rsid w:val="00E46656"/>
    <w:rsid w:val="00E54A94"/>
    <w:rsid w:val="00E73F76"/>
    <w:rsid w:val="00EA2C9F"/>
    <w:rsid w:val="00EA420E"/>
    <w:rsid w:val="00ED0BDA"/>
    <w:rsid w:val="00ED1660"/>
    <w:rsid w:val="00EF1360"/>
    <w:rsid w:val="00EF3220"/>
    <w:rsid w:val="00F43903"/>
    <w:rsid w:val="00F8159A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82432"/>
  <w15:docId w15:val="{F66728F3-D9B3-4AD6-88C8-B1D886F9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D21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CPR/C/VNM/RQ/4" TargetMode="External"/><Relationship Id="rId13" Type="http://schemas.openxmlformats.org/officeDocument/2006/relationships/hyperlink" Target="https://docs.un.org/en/CCPR/C/VNM/FCO/3" TargetMode="External"/><Relationship Id="rId3" Type="http://schemas.openxmlformats.org/officeDocument/2006/relationships/hyperlink" Target="https://docs.un.org/en/CCPR/C/SR.4244" TargetMode="External"/><Relationship Id="rId7" Type="http://schemas.openxmlformats.org/officeDocument/2006/relationships/hyperlink" Target="https://docs.un.org/en/CCPR/C/VNM/RQ/4" TargetMode="External"/><Relationship Id="rId12" Type="http://schemas.openxmlformats.org/officeDocument/2006/relationships/hyperlink" Target="https://docs.un.org/en/CCPR/C/VNM/CO/3" TargetMode="External"/><Relationship Id="rId2" Type="http://schemas.openxmlformats.org/officeDocument/2006/relationships/hyperlink" Target="https://docs.un.org/en/CCPR/C/VNM/4" TargetMode="External"/><Relationship Id="rId16" Type="http://schemas.openxmlformats.org/officeDocument/2006/relationships/hyperlink" Target="https://docs.un.org/en/CCPR/C/VNM/CO/3" TargetMode="External"/><Relationship Id="rId1" Type="http://schemas.openxmlformats.org/officeDocument/2006/relationships/hyperlink" Target="https://docs.un.org/en/CCPR/C/VNM/4" TargetMode="External"/><Relationship Id="rId6" Type="http://schemas.openxmlformats.org/officeDocument/2006/relationships/hyperlink" Target="https://docs.un.org/en/CCPR/C/SR.4245" TargetMode="External"/><Relationship Id="rId11" Type="http://schemas.openxmlformats.org/officeDocument/2006/relationships/hyperlink" Target="https://docs.un.org/ru/CCPR/C/VNM/CO/3" TargetMode="External"/><Relationship Id="rId5" Type="http://schemas.openxmlformats.org/officeDocument/2006/relationships/hyperlink" Target="https://docs.un.org/en/CCPR/C/SR.4244" TargetMode="External"/><Relationship Id="rId15" Type="http://schemas.openxmlformats.org/officeDocument/2006/relationships/hyperlink" Target="https://docs.un.org/ru/CCPR/C/VNM/CO/3" TargetMode="External"/><Relationship Id="rId10" Type="http://schemas.openxmlformats.org/officeDocument/2006/relationships/hyperlink" Target="https://docs.un.org/en/CCPR/C/VNM/Q/4" TargetMode="External"/><Relationship Id="rId4" Type="http://schemas.openxmlformats.org/officeDocument/2006/relationships/hyperlink" Target="https://docs.un.org/en/CCPR/C/SR.4245" TargetMode="External"/><Relationship Id="rId9" Type="http://schemas.openxmlformats.org/officeDocument/2006/relationships/hyperlink" Target="https://docs.un.org/en/CCPR/C/VNM/Q/4" TargetMode="External"/><Relationship Id="rId14" Type="http://schemas.openxmlformats.org/officeDocument/2006/relationships/hyperlink" Target="https://docs.un.org/en/CCPR/C/VNM/F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18</Pages>
  <Words>7163</Words>
  <Characters>50716</Characters>
  <Application>Microsoft Office Word</Application>
  <DocSecurity>0</DocSecurity>
  <Lines>905</Lines>
  <Paragraphs>210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CCPR/C/VNM/CO/4</vt:lpstr>
      <vt:lpstr>A/</vt:lpstr>
      <vt:lpstr>A/</vt:lpstr>
    </vt:vector>
  </TitlesOfParts>
  <Company>DCM</Company>
  <LinksUpToDate>false</LinksUpToDate>
  <CharactersWithSpaces>57669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CCPR/C/VNM/CO/4</dc:title>
  <dc:subject/>
  <dc:creator>Tatiana SHARKINA</dc:creator>
  <cp:keywords/>
  <cp:lastModifiedBy>Tatiana Sharkina</cp:lastModifiedBy>
  <cp:revision>3</cp:revision>
  <cp:lastPrinted>2025-10-02T13:09:00Z</cp:lastPrinted>
  <dcterms:created xsi:type="dcterms:W3CDTF">2025-10-02T13:09:00Z</dcterms:created>
  <dcterms:modified xsi:type="dcterms:W3CDTF">2025-10-02T13:10:00Z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