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r>
        <w:rPr>
          <w:noProof/>
        </w:rPr>
        <w:pict>
          <v:shapetype id="_x0000_t202" coordsize="21600,21600" o:spt="202" path="m,l,21600r21600,l21600,xe">
            <v:stroke joinstyle="miter"/>
            <v:path gradientshapeok="t" o:connecttype="rect"/>
          </v:shapetype>
          <v:shape id="_x0000_s1026" type="#_x0000_t202" style="position:absolute;margin-left:-5.85pt;margin-top:482.85pt;width:482.95pt;height:230.45pt;z-index:1;mso-position-horizontal:absolute;mso-position-horizontal-relative:margin;mso-position-vertical:absolute;mso-position-vertical-relative:margin" o:allowincell="f" stroked="f">
            <v:textbox style="mso-rotate-with-shape:t" inset="7.09pt,3.69pt,7.09pt,3.69pt">
              <w:txbxContent>
                <w:p w:rsidR="00000000" w:rsidRDefault="00000000">
                  <w:r>
                    <w:rPr>
                      <w:u w:val="single"/>
                    </w:rPr>
                    <w:tab/>
                  </w:r>
                  <w:r>
                    <w:rPr>
                      <w:u w:val="single"/>
                    </w:rPr>
                    <w:tab/>
                  </w:r>
                </w:p>
                <w:p w:rsidR="00000000" w:rsidRDefault="00000000">
                  <w:r>
                    <w:tab/>
                    <w:t>*  No summary records were issued for the 667th and 668th meetings.</w:t>
                  </w:r>
                </w:p>
                <w:p w:rsidR="00000000" w:rsidRDefault="00000000">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p>
                <w:p w:rsidR="00000000" w:rsidRDefault="00000000">
                  <w:r>
                    <w:tab/>
                    <w:t>This record is subject to correction.</w:t>
                  </w:r>
                </w:p>
                <w:p w:rsidR="00000000" w:rsidRDefault="00000000"/>
                <w:p w:rsidR="00000000" w:rsidRDefault="00000000">
                  <w:r>
                    <w:tab/>
                    <w:t xml:space="preserve">Corrections should be submitted in one of the working languages.  They should be set forth in a memorandum and also incorporated in a copy of the record.  They should be sent </w:t>
                  </w:r>
                  <w:r>
                    <w:rPr>
                      <w:u w:val="single"/>
                    </w:rPr>
                    <w:t>within one week of the date of this document</w:t>
                  </w:r>
                  <w:r>
                    <w:t xml:space="preserve"> to the Official Records Editing Section, room E.4108, Palais des Nations, Geneva.</w:t>
                  </w:r>
                </w:p>
                <w:p w:rsidR="00000000" w:rsidRDefault="00000000"/>
                <w:p w:rsidR="00000000" w:rsidRDefault="00000000">
                  <w:r>
                    <w:tab/>
                    <w:t>Any corrections to the records of the public meetings of the Committee at this session will be consolidated in a single corrigendum, to be issued shortly after the end of the session.</w:t>
                  </w:r>
                </w:p>
                <w:p w:rsidR="00000000" w:rsidRDefault="00000000"/>
                <w:p w:rsidR="00000000" w:rsidRDefault="00000000">
                  <w:r>
                    <w:t>GE.00</w:t>
                  </w:r>
                  <w:r>
                    <w:noBreakHyphen/>
                    <w:t>44895  (E)</w:t>
                  </w:r>
                </w:p>
              </w:txbxContent>
            </v:textbox>
            <w10:wrap anchorx="margin" anchory="margin"/>
          </v:shape>
        </w:pict>
      </w:r>
    </w:p>
    <w:tbl>
      <w:tblPr>
        <w:tblW w:w="0" w:type="auto"/>
        <w:tblInd w:w="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560"/>
        <w:gridCol w:w="4536"/>
        <w:gridCol w:w="3366"/>
      </w:tblGrid>
      <w:tr w:rsidR="00000000">
        <w:tblPrEx>
          <w:tblCellMar>
            <w:top w:w="0" w:type="dxa"/>
            <w:bottom w:w="0" w:type="dxa"/>
          </w:tblCellMar>
        </w:tblPrEx>
        <w:tc>
          <w:tcPr>
            <w:tcW w:w="1560" w:type="dxa"/>
            <w:tcBorders>
              <w:top w:val="nil"/>
              <w:left w:val="nil"/>
              <w:bottom w:val="single" w:sz="6" w:space="0" w:color="auto"/>
              <w:right w:val="nil"/>
            </w:tcBorders>
          </w:tcPr>
          <w:p w:rsidR="00000000" w:rsidRDefault="00000000">
            <w:pPr>
              <w:rPr>
                <w:rFonts w:ascii="Univers" w:hAnsi="Univers"/>
                <w:b/>
                <w:sz w:val="28"/>
              </w:rPr>
            </w:pPr>
            <w:r>
              <w:rPr>
                <w:rFonts w:ascii="Univers" w:hAnsi="Univers"/>
                <w:b/>
                <w:sz w:val="28"/>
              </w:rPr>
              <w:t>UNITED</w:t>
            </w:r>
          </w:p>
          <w:p w:rsidR="00000000" w:rsidRDefault="00000000">
            <w:pPr>
              <w:rPr>
                <w:rFonts w:ascii="Univers" w:hAnsi="Univers"/>
                <w:b/>
                <w:sz w:val="28"/>
              </w:rPr>
            </w:pPr>
            <w:r>
              <w:rPr>
                <w:rFonts w:ascii="Univers" w:hAnsi="Univers"/>
                <w:b/>
                <w:sz w:val="28"/>
              </w:rPr>
              <w:t>NATIONS</w:t>
            </w:r>
          </w:p>
        </w:tc>
        <w:tc>
          <w:tcPr>
            <w:tcW w:w="4536" w:type="dxa"/>
            <w:tcBorders>
              <w:top w:val="nil"/>
              <w:left w:val="nil"/>
              <w:bottom w:val="single" w:sz="6" w:space="0" w:color="auto"/>
              <w:right w:val="nil"/>
            </w:tcBorders>
          </w:tcPr>
          <w:p w:rsidR="00000000" w:rsidRDefault="00000000"/>
        </w:tc>
        <w:tc>
          <w:tcPr>
            <w:tcW w:w="3366" w:type="dxa"/>
            <w:tcBorders>
              <w:top w:val="nil"/>
              <w:left w:val="nil"/>
              <w:bottom w:val="single" w:sz="6" w:space="0" w:color="auto"/>
              <w:right w:val="nil"/>
            </w:tcBorders>
          </w:tcPr>
          <w:p w:rsidR="00000000" w:rsidRDefault="00000000">
            <w:pPr>
              <w:jc w:val="right"/>
              <w:rPr>
                <w:rFonts w:ascii="Univers" w:hAnsi="Univers"/>
                <w:b/>
                <w:sz w:val="72"/>
              </w:rPr>
            </w:pPr>
            <w:r>
              <w:rPr>
                <w:rFonts w:ascii="Univers" w:hAnsi="Univers"/>
                <w:b/>
                <w:sz w:val="72"/>
              </w:rPr>
              <w:t>CRC</w:t>
            </w:r>
          </w:p>
        </w:tc>
      </w:tr>
      <w:tr w:rsidR="00000000">
        <w:tblPrEx>
          <w:tblCellMar>
            <w:top w:w="0" w:type="dxa"/>
            <w:bottom w:w="0" w:type="dxa"/>
          </w:tblCellMar>
        </w:tblPrEx>
        <w:tc>
          <w:tcPr>
            <w:tcW w:w="1560" w:type="dxa"/>
            <w:tcBorders>
              <w:top w:val="single" w:sz="6" w:space="0" w:color="auto"/>
              <w:left w:val="nil"/>
              <w:bottom w:val="single" w:sz="36" w:space="0" w:color="auto"/>
              <w:right w:val="nil"/>
            </w:tcBorders>
          </w:tcPr>
          <w:p w:rsidR="00000000" w:rsidRDefault="00000000"/>
          <w:bookmarkStart w:id="0" w:name="_MON_992683145"/>
          <w:bookmarkEnd w:id="0"/>
          <w:p w:rsidR="00000000" w:rsidRDefault="00000000">
            <w:r>
              <w:object w:dxaOrig="1441" w:dyaOrig="134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in;height:66.75pt" o:ole="" fillcolor="window">
                  <v:imagedata r:id="rId7" o:title=""/>
                </v:shape>
                <o:OLEObject Type="Embed" ProgID="Word.Picture.8" ShapeID="_x0000_i1025" DrawAspect="Content" ObjectID="_1395648678" r:id="rId8"/>
              </w:object>
            </w:r>
          </w:p>
        </w:tc>
        <w:tc>
          <w:tcPr>
            <w:tcW w:w="4536" w:type="dxa"/>
            <w:tcBorders>
              <w:top w:val="single" w:sz="6" w:space="0" w:color="auto"/>
              <w:left w:val="nil"/>
              <w:bottom w:val="single" w:sz="36" w:space="0" w:color="auto"/>
              <w:right w:val="nil"/>
            </w:tcBorders>
          </w:tcPr>
          <w:p w:rsidR="00000000" w:rsidRDefault="00000000">
            <w:pPr>
              <w:rPr>
                <w:rFonts w:ascii="Univers" w:hAnsi="Univers"/>
                <w:b/>
                <w:sz w:val="32"/>
              </w:rPr>
            </w:pPr>
          </w:p>
          <w:p w:rsidR="00000000" w:rsidRDefault="00000000">
            <w:pPr>
              <w:rPr>
                <w:rFonts w:ascii="Univers" w:hAnsi="Univers"/>
                <w:b/>
                <w:sz w:val="36"/>
              </w:rPr>
            </w:pPr>
            <w:r>
              <w:rPr>
                <w:rFonts w:ascii="Univers" w:hAnsi="Univers"/>
                <w:b/>
                <w:sz w:val="36"/>
              </w:rPr>
              <w:t>Convention on the</w:t>
            </w:r>
          </w:p>
          <w:p w:rsidR="00000000" w:rsidRDefault="00000000">
            <w:pPr>
              <w:rPr>
                <w:rFonts w:ascii="Univers" w:hAnsi="Univers"/>
                <w:b/>
                <w:sz w:val="36"/>
              </w:rPr>
            </w:pPr>
            <w:r>
              <w:rPr>
                <w:rFonts w:ascii="Univers" w:hAnsi="Univers"/>
                <w:b/>
                <w:sz w:val="36"/>
              </w:rPr>
              <w:t>Rights of the Child</w:t>
            </w:r>
          </w:p>
          <w:p w:rsidR="00000000" w:rsidRDefault="00000000">
            <w:pPr>
              <w:rPr>
                <w:rFonts w:ascii="Univers" w:hAnsi="Univers"/>
                <w:b/>
                <w:sz w:val="32"/>
              </w:rPr>
            </w:pPr>
          </w:p>
          <w:p w:rsidR="00000000" w:rsidRDefault="00000000">
            <w:pPr>
              <w:rPr>
                <w:rFonts w:ascii="Univers (W1)" w:hAnsi="Univers (W1)"/>
                <w:sz w:val="32"/>
              </w:rPr>
            </w:pPr>
          </w:p>
        </w:tc>
        <w:tc>
          <w:tcPr>
            <w:tcW w:w="3366" w:type="dxa"/>
            <w:tcBorders>
              <w:top w:val="single" w:sz="6" w:space="0" w:color="auto"/>
              <w:left w:val="nil"/>
              <w:bottom w:val="single" w:sz="36" w:space="0" w:color="auto"/>
              <w:right w:val="nil"/>
            </w:tcBorders>
          </w:tcPr>
          <w:p w:rsidR="00000000" w:rsidRDefault="00000000"/>
          <w:p w:rsidR="00000000" w:rsidRDefault="00000000"/>
          <w:p w:rsidR="00000000" w:rsidRDefault="00000000">
            <w:r>
              <w:t>Distr.</w:t>
            </w:r>
          </w:p>
          <w:p w:rsidR="00000000" w:rsidRDefault="00000000">
            <w:fldSimple w:instr=" FILLIN &quot;Distr.&quot; \* MERGEFORMAT ">
              <w:r>
                <w:t>GENERAL</w:t>
              </w:r>
            </w:fldSimple>
          </w:p>
          <w:p w:rsidR="00000000" w:rsidRDefault="00000000"/>
          <w:p w:rsidR="00000000" w:rsidRDefault="00000000">
            <w:fldSimple w:instr=" FILLIN &quot;Symbol&quot; \* MERGEFORMAT ">
              <w:r>
                <w:t>CRC/C/SR.669</w:t>
              </w:r>
            </w:fldSimple>
          </w:p>
          <w:p w:rsidR="00000000" w:rsidRDefault="00000000">
            <w:r>
              <w:t>19</w:t>
            </w:r>
            <w:fldSimple w:instr=" FILLIN &quot;Date&quot; \* MERGEFORMAT ">
              <w:r>
                <w:t xml:space="preserve"> October 2000</w:t>
              </w:r>
            </w:fldSimple>
          </w:p>
          <w:p w:rsidR="00000000" w:rsidRDefault="00000000"/>
          <w:p w:rsidR="00000000" w:rsidRDefault="00000000">
            <w:r>
              <w:t xml:space="preserve">Original:  </w:t>
            </w:r>
            <w:fldSimple w:instr=" FILLIN &quot;Orig. Lang.&quot; \* MERGEFORMAT ">
              <w:r>
                <w:t>ENGLISH</w:t>
              </w:r>
            </w:fldSimple>
          </w:p>
          <w:p w:rsidR="00000000" w:rsidRDefault="00000000"/>
        </w:tc>
      </w:tr>
    </w:tbl>
    <w:p w:rsidR="00000000" w:rsidRDefault="00000000"/>
    <w:p w:rsidR="00000000" w:rsidRDefault="00000000">
      <w:pPr>
        <w:jc w:val="center"/>
      </w:pPr>
      <w:r>
        <w:t>COMMITTEE ON THE RIGHTS OF THE CHILD</w:t>
      </w:r>
    </w:p>
    <w:p w:rsidR="00000000" w:rsidRDefault="00000000">
      <w:pPr>
        <w:jc w:val="center"/>
      </w:pPr>
    </w:p>
    <w:p w:rsidR="00000000" w:rsidRDefault="00000000">
      <w:pPr>
        <w:jc w:val="center"/>
      </w:pPr>
      <w:r>
        <w:t>Twenty</w:t>
      </w:r>
      <w:r>
        <w:noBreakHyphen/>
        <w:t>fifth session</w:t>
      </w:r>
    </w:p>
    <w:p w:rsidR="00000000" w:rsidRDefault="00000000">
      <w:pPr>
        <w:jc w:val="center"/>
      </w:pPr>
    </w:p>
    <w:p w:rsidR="00000000" w:rsidRDefault="00000000">
      <w:pPr>
        <w:jc w:val="center"/>
      </w:pPr>
      <w:r>
        <w:t>SUMMARY RECORD OF THE 669th MEETING*</w:t>
      </w:r>
    </w:p>
    <w:p w:rsidR="00000000" w:rsidRDefault="00000000">
      <w:pPr>
        <w:jc w:val="center"/>
      </w:pPr>
    </w:p>
    <w:p w:rsidR="00000000" w:rsidRDefault="00000000">
      <w:pPr>
        <w:jc w:val="center"/>
      </w:pPr>
      <w:r>
        <w:t>Held at the Palais Wilson, Geneva,</w:t>
      </w:r>
    </w:p>
    <w:p w:rsidR="00000000" w:rsidRDefault="00000000">
      <w:pPr>
        <w:jc w:val="center"/>
      </w:pPr>
      <w:r>
        <w:t>on Friday, 6 October 2000, at 11 a.m.</w:t>
      </w:r>
    </w:p>
    <w:p w:rsidR="00000000" w:rsidRDefault="00000000">
      <w:pPr>
        <w:jc w:val="center"/>
      </w:pPr>
    </w:p>
    <w:p w:rsidR="00000000" w:rsidRDefault="00000000">
      <w:pPr>
        <w:jc w:val="center"/>
      </w:pPr>
      <w:r>
        <w:rPr>
          <w:u w:val="single"/>
        </w:rPr>
        <w:t>Chairperson</w:t>
      </w:r>
      <w:r>
        <w:t>:  Ms. OUEDRAOGO</w:t>
      </w:r>
    </w:p>
    <w:p w:rsidR="00000000" w:rsidRDefault="00000000">
      <w:pPr>
        <w:jc w:val="center"/>
      </w:pPr>
    </w:p>
    <w:p w:rsidR="00000000" w:rsidRDefault="00000000">
      <w:pPr>
        <w:jc w:val="center"/>
      </w:pPr>
    </w:p>
    <w:p w:rsidR="00000000" w:rsidRDefault="00000000">
      <w:pPr>
        <w:jc w:val="center"/>
      </w:pPr>
      <w:r>
        <w:t>CONTENTS</w:t>
      </w:r>
    </w:p>
    <w:p w:rsidR="00000000" w:rsidRDefault="00000000"/>
    <w:p w:rsidR="00000000" w:rsidRDefault="00000000">
      <w:r>
        <w:t>ADOPTION OF THE COMMITTEE’S REPORT ON ITS TWENTY</w:t>
      </w:r>
      <w:r>
        <w:noBreakHyphen/>
        <w:t>FIFTH SESSION</w:t>
      </w:r>
    </w:p>
    <w:p w:rsidR="00000000" w:rsidRDefault="00000000"/>
    <w:p w:rsidR="00000000" w:rsidRDefault="00000000">
      <w:r>
        <w:t>CLOSURE OF THE SESSION</w:t>
      </w:r>
    </w:p>
    <w:p w:rsidR="00000000" w:rsidRDefault="00000000">
      <w:pPr>
        <w:jc w:val="center"/>
        <w:rPr>
          <w:u w:val="single"/>
          <w:lang w:val="en-US"/>
        </w:rPr>
      </w:pPr>
      <w:r>
        <w:br w:type="page"/>
      </w:r>
      <w:r>
        <w:rPr>
          <w:u w:val="single"/>
          <w:lang w:val="en-US"/>
        </w:rPr>
        <w:t>The meeting was called to order at 11.25 a.m.</w:t>
      </w:r>
    </w:p>
    <w:p w:rsidR="00000000" w:rsidRDefault="00000000">
      <w:pPr>
        <w:rPr>
          <w:lang w:val="en-US"/>
        </w:rPr>
      </w:pPr>
    </w:p>
    <w:p w:rsidR="00000000" w:rsidRDefault="00000000">
      <w:pPr>
        <w:rPr>
          <w:lang w:val="en-US"/>
        </w:rPr>
      </w:pPr>
      <w:r>
        <w:rPr>
          <w:lang w:val="en-US"/>
        </w:rPr>
        <w:t>ADOPTION OF THE COMMITTEE’S REPORT ON ITS TWENTY</w:t>
      </w:r>
      <w:r>
        <w:rPr>
          <w:lang w:val="en-US"/>
        </w:rPr>
        <w:noBreakHyphen/>
        <w:t>FIFTH SESSION (CRC/C/100)</w:t>
      </w:r>
    </w:p>
    <w:p w:rsidR="00000000" w:rsidRDefault="00000000">
      <w:pPr>
        <w:rPr>
          <w:lang w:val="en-US"/>
        </w:rPr>
      </w:pPr>
    </w:p>
    <w:p w:rsidR="00000000" w:rsidRDefault="00000000">
      <w:pPr>
        <w:pStyle w:val="ParaNo"/>
        <w:rPr>
          <w:lang w:val="en-US"/>
        </w:rPr>
      </w:pPr>
      <w:r>
        <w:rPr>
          <w:u w:val="single"/>
          <w:lang w:val="en-US"/>
        </w:rPr>
        <w:t>The CHAIRPERSON</w:t>
      </w:r>
      <w:r>
        <w:rPr>
          <w:lang w:val="en-US"/>
        </w:rPr>
        <w:t xml:space="preserve"> invited members to consider chapter I, “Organizational and other matters”, chapter III “Inter</w:t>
      </w:r>
      <w:r>
        <w:rPr>
          <w:lang w:val="en-US"/>
        </w:rPr>
        <w:noBreakHyphen/>
        <w:t>sessional activities of the Committee”, chapter IV, “Cooperation with United Nations and other competent bodies”, chapter V, “Thematic discussion day” and chapter VI, “General comments”, of the report.</w:t>
      </w:r>
    </w:p>
    <w:p w:rsidR="00000000" w:rsidRDefault="00000000">
      <w:pPr>
        <w:rPr>
          <w:lang w:val="en-US"/>
        </w:rPr>
      </w:pPr>
    </w:p>
    <w:p w:rsidR="00000000" w:rsidRDefault="00000000">
      <w:pPr>
        <w:pStyle w:val="ParaNo"/>
        <w:rPr>
          <w:lang w:val="en-US"/>
        </w:rPr>
      </w:pPr>
      <w:r>
        <w:rPr>
          <w:u w:val="single"/>
          <w:lang w:val="en-US"/>
        </w:rPr>
        <w:t>Chapters I, III, IV, V and VI of the report were adopted</w:t>
      </w:r>
      <w:r>
        <w:rPr>
          <w:lang w:val="en-US"/>
        </w:rPr>
        <w:t>.</w:t>
      </w:r>
    </w:p>
    <w:p w:rsidR="00000000" w:rsidRDefault="00000000">
      <w:pPr>
        <w:rPr>
          <w:lang w:val="en-US"/>
        </w:rPr>
      </w:pPr>
    </w:p>
    <w:p w:rsidR="00000000" w:rsidRDefault="00000000">
      <w:pPr>
        <w:pStyle w:val="ParaNo"/>
        <w:rPr>
          <w:lang w:val="en-US"/>
        </w:rPr>
      </w:pPr>
      <w:r>
        <w:rPr>
          <w:u w:val="single"/>
          <w:lang w:val="en-US"/>
        </w:rPr>
        <w:t>The CHAIRPERSON</w:t>
      </w:r>
      <w:r>
        <w:rPr>
          <w:lang w:val="en-US"/>
        </w:rPr>
        <w:t xml:space="preserve"> invited the Rapporteur to introduce chapter II, section B of the report, entitled “Reports by States parties under article 44 of the Convention”, which contained the Committee’s concluding observations on the reports of Finland, Burundi, the United Kingdom of Great Britain and Northern Ireland - Isle of Man, the United Kingdom of Great Britain and Northern Ireland - Overseas Dependent Territories, Tajikistan, Colombia, the Central African Republic, the Marshall Islands, the Slovak Republic and the Islamic Federal Republic of the Comoros.</w:t>
      </w:r>
    </w:p>
    <w:p w:rsidR="00000000" w:rsidRDefault="00000000">
      <w:pPr>
        <w:rPr>
          <w:lang w:val="en-US"/>
        </w:rPr>
      </w:pPr>
    </w:p>
    <w:p w:rsidR="00000000" w:rsidRDefault="00000000">
      <w:pPr>
        <w:pStyle w:val="ParaNo"/>
        <w:rPr>
          <w:lang w:val="en-US"/>
        </w:rPr>
      </w:pPr>
      <w:r>
        <w:rPr>
          <w:u w:val="single"/>
          <w:lang w:val="en-US"/>
        </w:rPr>
        <w:t>Mr. DOEK</w:t>
      </w:r>
      <w:r>
        <w:rPr>
          <w:lang w:val="en-US"/>
        </w:rPr>
        <w:t xml:space="preserve"> (Rapporteur), giving a brief overview of the Committee’s concluding observations and recommendations on the 10 reports considered at the session, said that the Committee had focused on legislation, coordination and monitoring and data collection.  It had stressed the need to include all children under 18 years in data collection and the importance of training, dissemination of information and the child’s right to be heard.  Emphasis had also been laid on non</w:t>
      </w:r>
      <w:r>
        <w:rPr>
          <w:lang w:val="en-US"/>
        </w:rPr>
        <w:noBreakHyphen/>
        <w:t>discrimination, the best interests of the child, the importance of birth registration, and the need for institutionalization to be used only as a last resort.  Finally, the Committee had urged States parties to ratify the Optional Protocols to the Convention on the Rights of the Child on the involvement of children in armed conflict and on the sale of children, child prostitution and child pornography.  He described the main aspects of the observations on each report.</w:t>
      </w:r>
    </w:p>
    <w:p w:rsidR="00000000" w:rsidRDefault="00000000">
      <w:pPr>
        <w:rPr>
          <w:lang w:val="en-US"/>
        </w:rPr>
      </w:pPr>
    </w:p>
    <w:p w:rsidR="00000000" w:rsidRDefault="00000000">
      <w:pPr>
        <w:rPr>
          <w:lang w:val="en-US"/>
        </w:rPr>
      </w:pPr>
      <w:r>
        <w:rPr>
          <w:u w:val="single"/>
          <w:lang w:val="en-US"/>
        </w:rPr>
        <w:t xml:space="preserve">Concluding observations of the Committee on the Rights of the Child:  Finland </w:t>
      </w:r>
      <w:r>
        <w:rPr>
          <w:lang w:val="en-US"/>
        </w:rPr>
        <w:t>(CRC/C/15/Add.132)</w:t>
      </w:r>
    </w:p>
    <w:p w:rsidR="00000000" w:rsidRDefault="00000000">
      <w:pPr>
        <w:rPr>
          <w:lang w:val="en-US"/>
        </w:rPr>
      </w:pPr>
    </w:p>
    <w:p w:rsidR="00000000" w:rsidRDefault="00000000">
      <w:pPr>
        <w:pStyle w:val="ParaNo"/>
        <w:rPr>
          <w:lang w:val="en-US"/>
        </w:rPr>
      </w:pPr>
      <w:r>
        <w:rPr>
          <w:u w:val="single"/>
          <w:lang w:val="en-US"/>
        </w:rPr>
        <w:t>The concluding observations on the second periodic report of Finland were adopted</w:t>
      </w:r>
      <w:r>
        <w:rPr>
          <w:lang w:val="en-US"/>
        </w:rPr>
        <w:t>.</w:t>
      </w:r>
    </w:p>
    <w:p w:rsidR="00000000" w:rsidRDefault="00000000">
      <w:pPr>
        <w:pStyle w:val="Header"/>
        <w:tabs>
          <w:tab w:val="clear" w:pos="4320"/>
          <w:tab w:val="clear" w:pos="8640"/>
        </w:tabs>
        <w:rPr>
          <w:lang w:val="en-US"/>
        </w:rPr>
      </w:pPr>
    </w:p>
    <w:p w:rsidR="00000000" w:rsidRDefault="00000000">
      <w:pPr>
        <w:rPr>
          <w:lang w:val="en-US"/>
        </w:rPr>
      </w:pPr>
      <w:r>
        <w:rPr>
          <w:u w:val="single"/>
          <w:lang w:val="en-US"/>
        </w:rPr>
        <w:t>Concluding observations of the Committee on the Rights of the Child:  Burundi</w:t>
      </w:r>
      <w:r>
        <w:rPr>
          <w:lang w:val="en-US"/>
        </w:rPr>
        <w:t xml:space="preserve"> (CRC/C/15/Add.133)</w:t>
      </w:r>
    </w:p>
    <w:p w:rsidR="00000000" w:rsidRDefault="00000000">
      <w:pPr>
        <w:rPr>
          <w:lang w:val="en-US"/>
        </w:rPr>
      </w:pPr>
    </w:p>
    <w:p w:rsidR="00000000" w:rsidRDefault="00000000">
      <w:pPr>
        <w:pStyle w:val="ParaNo"/>
        <w:rPr>
          <w:lang w:val="en-US"/>
        </w:rPr>
      </w:pPr>
      <w:r>
        <w:rPr>
          <w:u w:val="single"/>
          <w:lang w:val="en-US"/>
        </w:rPr>
        <w:t>The concluding observations on the initial report of Burundi were adopted</w:t>
      </w:r>
      <w:r>
        <w:rPr>
          <w:lang w:val="en-US"/>
        </w:rPr>
        <w:t>.</w:t>
      </w:r>
    </w:p>
    <w:p w:rsidR="00000000" w:rsidRDefault="00000000">
      <w:pPr>
        <w:pStyle w:val="Header"/>
        <w:tabs>
          <w:tab w:val="clear" w:pos="4320"/>
          <w:tab w:val="clear" w:pos="8640"/>
        </w:tabs>
        <w:rPr>
          <w:lang w:val="en-US"/>
        </w:rPr>
      </w:pPr>
    </w:p>
    <w:p w:rsidR="00000000" w:rsidRDefault="00000000">
      <w:pPr>
        <w:rPr>
          <w:lang w:val="en-US"/>
        </w:rPr>
      </w:pPr>
      <w:r>
        <w:rPr>
          <w:u w:val="single"/>
          <w:lang w:val="en-US"/>
        </w:rPr>
        <w:br w:type="page"/>
        <w:t xml:space="preserve">Concluding observations of the Committee on the Rights of the Child:  Tajikistan </w:t>
      </w:r>
      <w:r>
        <w:rPr>
          <w:lang w:val="en-US"/>
        </w:rPr>
        <w:t>(CRC/C/15/Add.136)</w:t>
      </w:r>
    </w:p>
    <w:p w:rsidR="00000000" w:rsidRDefault="00000000">
      <w:pPr>
        <w:rPr>
          <w:lang w:val="en-US"/>
        </w:rPr>
      </w:pPr>
    </w:p>
    <w:p w:rsidR="00000000" w:rsidRDefault="00000000">
      <w:pPr>
        <w:pStyle w:val="ParaNo"/>
        <w:rPr>
          <w:lang w:val="en-US"/>
        </w:rPr>
      </w:pPr>
      <w:r>
        <w:rPr>
          <w:u w:val="single"/>
          <w:lang w:val="en-US"/>
        </w:rPr>
        <w:t>The concluding observations on the initial report of Tajikistan were adopted</w:t>
      </w:r>
      <w:r>
        <w:rPr>
          <w:lang w:val="en-US"/>
        </w:rPr>
        <w:t>.</w:t>
      </w:r>
    </w:p>
    <w:p w:rsidR="00000000" w:rsidRDefault="00000000">
      <w:pPr>
        <w:rPr>
          <w:lang w:val="en-US"/>
        </w:rPr>
      </w:pPr>
    </w:p>
    <w:p w:rsidR="00000000" w:rsidRDefault="00000000">
      <w:pPr>
        <w:rPr>
          <w:lang w:val="en-US"/>
        </w:rPr>
      </w:pPr>
      <w:r>
        <w:rPr>
          <w:u w:val="single"/>
          <w:lang w:val="en-US"/>
        </w:rPr>
        <w:t xml:space="preserve">Concluding observations of the Committee on the Rights of the Child:  Colombia </w:t>
      </w:r>
      <w:r>
        <w:rPr>
          <w:lang w:val="en-US"/>
        </w:rPr>
        <w:t>(CRC/C/15/Add.137)</w:t>
      </w:r>
    </w:p>
    <w:p w:rsidR="00000000" w:rsidRDefault="00000000">
      <w:pPr>
        <w:rPr>
          <w:lang w:val="en-US"/>
        </w:rPr>
      </w:pPr>
    </w:p>
    <w:p w:rsidR="00000000" w:rsidRDefault="00000000">
      <w:pPr>
        <w:pStyle w:val="ParaNo"/>
        <w:rPr>
          <w:lang w:val="en-US"/>
        </w:rPr>
      </w:pPr>
      <w:r>
        <w:rPr>
          <w:u w:val="single"/>
          <w:lang w:val="en-US"/>
        </w:rPr>
        <w:t>The concluding observations on the second periodic report of Colombia were adopted</w:t>
      </w:r>
      <w:r>
        <w:rPr>
          <w:lang w:val="en-US"/>
        </w:rPr>
        <w:t>.</w:t>
      </w:r>
    </w:p>
    <w:p w:rsidR="00000000" w:rsidRDefault="00000000">
      <w:pPr>
        <w:pStyle w:val="Header"/>
        <w:tabs>
          <w:tab w:val="clear" w:pos="4320"/>
          <w:tab w:val="clear" w:pos="8640"/>
        </w:tabs>
        <w:rPr>
          <w:lang w:val="en-US"/>
        </w:rPr>
      </w:pPr>
    </w:p>
    <w:p w:rsidR="00000000" w:rsidRDefault="00000000">
      <w:pPr>
        <w:rPr>
          <w:lang w:val="en-US"/>
        </w:rPr>
      </w:pPr>
      <w:r>
        <w:rPr>
          <w:u w:val="single"/>
          <w:lang w:val="en-US"/>
        </w:rPr>
        <w:t xml:space="preserve">Concluding observations of the Committee on the Rights of the Child:  Central African Republic </w:t>
      </w:r>
      <w:r>
        <w:rPr>
          <w:lang w:val="en-US"/>
        </w:rPr>
        <w:t>(CRC/C/15/Add.138)</w:t>
      </w:r>
    </w:p>
    <w:p w:rsidR="00000000" w:rsidRDefault="00000000">
      <w:pPr>
        <w:pStyle w:val="Header"/>
        <w:tabs>
          <w:tab w:val="clear" w:pos="4320"/>
          <w:tab w:val="clear" w:pos="8640"/>
        </w:tabs>
        <w:rPr>
          <w:lang w:val="en-US"/>
        </w:rPr>
      </w:pPr>
    </w:p>
    <w:p w:rsidR="00000000" w:rsidRDefault="00000000">
      <w:pPr>
        <w:pStyle w:val="ParaNo"/>
        <w:rPr>
          <w:lang w:val="en-US"/>
        </w:rPr>
      </w:pPr>
      <w:r>
        <w:rPr>
          <w:u w:val="single"/>
          <w:lang w:val="en-US"/>
        </w:rPr>
        <w:t>The concluding observations on the initial report of the Central African Republic were adopted</w:t>
      </w:r>
      <w:r>
        <w:rPr>
          <w:lang w:val="en-US"/>
        </w:rPr>
        <w:t>.</w:t>
      </w:r>
    </w:p>
    <w:p w:rsidR="00000000" w:rsidRDefault="00000000">
      <w:pPr>
        <w:pStyle w:val="Header"/>
        <w:tabs>
          <w:tab w:val="clear" w:pos="4320"/>
          <w:tab w:val="clear" w:pos="8640"/>
        </w:tabs>
        <w:rPr>
          <w:lang w:val="en-US"/>
        </w:rPr>
      </w:pPr>
    </w:p>
    <w:p w:rsidR="00000000" w:rsidRDefault="00000000">
      <w:pPr>
        <w:rPr>
          <w:lang w:val="en-US"/>
        </w:rPr>
      </w:pPr>
      <w:r>
        <w:rPr>
          <w:u w:val="single"/>
          <w:lang w:val="en-US"/>
        </w:rPr>
        <w:t>Concluding observations of the Committee on the Rights of the Child:  United Kingdom of Great Britain and Northern Ireland - Isle of Man</w:t>
      </w:r>
      <w:r>
        <w:rPr>
          <w:lang w:val="en-US"/>
        </w:rPr>
        <w:t xml:space="preserve"> (CRC/C/15/Add.134)</w:t>
      </w:r>
    </w:p>
    <w:p w:rsidR="00000000" w:rsidRDefault="00000000">
      <w:pPr>
        <w:pStyle w:val="Header"/>
        <w:tabs>
          <w:tab w:val="clear" w:pos="4320"/>
          <w:tab w:val="clear" w:pos="8640"/>
        </w:tabs>
        <w:rPr>
          <w:lang w:val="en-US"/>
        </w:rPr>
      </w:pPr>
    </w:p>
    <w:p w:rsidR="00000000" w:rsidRDefault="00000000">
      <w:pPr>
        <w:pStyle w:val="ParaNo"/>
        <w:rPr>
          <w:lang w:val="en-US"/>
        </w:rPr>
      </w:pPr>
      <w:r>
        <w:rPr>
          <w:u w:val="single"/>
          <w:lang w:val="en-US"/>
        </w:rPr>
        <w:t>The concluding observations on the initial report of the United Kingdom of Great Britain and Northern Ireland - Isle of Man were adopted</w:t>
      </w:r>
      <w:r>
        <w:rPr>
          <w:lang w:val="en-US"/>
        </w:rPr>
        <w:t>.</w:t>
      </w:r>
    </w:p>
    <w:p w:rsidR="00000000" w:rsidRDefault="00000000">
      <w:pPr>
        <w:rPr>
          <w:lang w:val="en-US"/>
        </w:rPr>
      </w:pPr>
    </w:p>
    <w:p w:rsidR="00000000" w:rsidRDefault="00000000">
      <w:pPr>
        <w:rPr>
          <w:lang w:val="en-US"/>
        </w:rPr>
      </w:pPr>
      <w:r>
        <w:rPr>
          <w:u w:val="single"/>
          <w:lang w:val="en-US"/>
        </w:rPr>
        <w:t>Concluding observations of the Committee on the Rights of the Child:  United Kingdom of Great Britain and Northern Ireland - Overseas Dependent Territories</w:t>
      </w:r>
      <w:r>
        <w:rPr>
          <w:lang w:val="en-US"/>
        </w:rPr>
        <w:t xml:space="preserve"> (CRC/C/15/Add.135)</w:t>
      </w:r>
    </w:p>
    <w:p w:rsidR="00000000" w:rsidRDefault="00000000">
      <w:pPr>
        <w:pStyle w:val="Header"/>
        <w:tabs>
          <w:tab w:val="clear" w:pos="4320"/>
          <w:tab w:val="clear" w:pos="8640"/>
        </w:tabs>
        <w:rPr>
          <w:lang w:val="en-US"/>
        </w:rPr>
      </w:pPr>
    </w:p>
    <w:p w:rsidR="00000000" w:rsidRDefault="00000000">
      <w:pPr>
        <w:pStyle w:val="ParaNo"/>
        <w:rPr>
          <w:lang w:val="en-US"/>
        </w:rPr>
      </w:pPr>
      <w:r>
        <w:rPr>
          <w:u w:val="single"/>
          <w:lang w:val="en-US"/>
        </w:rPr>
        <w:t>The concluding observations on the initial report of the United Kingdom of Great Britain and Northern Ireland - Overseas Dependent Territories were adopted</w:t>
      </w:r>
      <w:r>
        <w:rPr>
          <w:lang w:val="en-US"/>
        </w:rPr>
        <w:t>.</w:t>
      </w:r>
    </w:p>
    <w:p w:rsidR="00000000" w:rsidRDefault="00000000">
      <w:pPr>
        <w:rPr>
          <w:lang w:val="en-US"/>
        </w:rPr>
      </w:pPr>
    </w:p>
    <w:p w:rsidR="00000000" w:rsidRDefault="00000000">
      <w:pPr>
        <w:rPr>
          <w:lang w:val="en-US"/>
        </w:rPr>
      </w:pPr>
      <w:r>
        <w:rPr>
          <w:u w:val="single"/>
          <w:lang w:val="en-US"/>
        </w:rPr>
        <w:t xml:space="preserve">Concluding observations of the Committee on the Rights of the Child:  Marshall Islands </w:t>
      </w:r>
      <w:r>
        <w:rPr>
          <w:lang w:val="en-US"/>
        </w:rPr>
        <w:t>(CRC/C/15/Add.139)</w:t>
      </w:r>
    </w:p>
    <w:p w:rsidR="00000000" w:rsidRDefault="00000000">
      <w:pPr>
        <w:pStyle w:val="Header"/>
        <w:tabs>
          <w:tab w:val="clear" w:pos="4320"/>
          <w:tab w:val="clear" w:pos="8640"/>
        </w:tabs>
        <w:rPr>
          <w:lang w:val="en-US"/>
        </w:rPr>
      </w:pPr>
    </w:p>
    <w:p w:rsidR="00000000" w:rsidRDefault="00000000">
      <w:pPr>
        <w:pStyle w:val="ParaNo"/>
        <w:rPr>
          <w:lang w:val="en-US"/>
        </w:rPr>
      </w:pPr>
      <w:r>
        <w:rPr>
          <w:u w:val="single"/>
          <w:lang w:val="en-US"/>
        </w:rPr>
        <w:t>The concluding observations on the initial report of the Marshall Islands were adopted</w:t>
      </w:r>
      <w:r>
        <w:rPr>
          <w:lang w:val="en-US"/>
        </w:rPr>
        <w:t>.</w:t>
      </w:r>
    </w:p>
    <w:p w:rsidR="00000000" w:rsidRDefault="00000000">
      <w:pPr>
        <w:pStyle w:val="Header"/>
        <w:tabs>
          <w:tab w:val="clear" w:pos="4320"/>
          <w:tab w:val="clear" w:pos="8640"/>
        </w:tabs>
        <w:rPr>
          <w:lang w:val="en-US"/>
        </w:rPr>
      </w:pPr>
    </w:p>
    <w:p w:rsidR="00000000" w:rsidRDefault="00000000">
      <w:pPr>
        <w:rPr>
          <w:lang w:val="en-US"/>
        </w:rPr>
      </w:pPr>
      <w:r>
        <w:rPr>
          <w:u w:val="single"/>
          <w:lang w:val="en-US"/>
        </w:rPr>
        <w:t xml:space="preserve">Concluding observations of the Committee on the Rights of the Child:  Slovak Republic </w:t>
      </w:r>
      <w:r>
        <w:rPr>
          <w:lang w:val="en-US"/>
        </w:rPr>
        <w:t>(CRC/C/15/Add.140)</w:t>
      </w:r>
    </w:p>
    <w:p w:rsidR="00000000" w:rsidRDefault="00000000">
      <w:pPr>
        <w:rPr>
          <w:lang w:val="en-US"/>
        </w:rPr>
      </w:pPr>
    </w:p>
    <w:p w:rsidR="00000000" w:rsidRDefault="00000000">
      <w:pPr>
        <w:pStyle w:val="ParaNo"/>
        <w:rPr>
          <w:lang w:val="en-US"/>
        </w:rPr>
      </w:pPr>
      <w:r>
        <w:rPr>
          <w:u w:val="single"/>
          <w:lang w:val="en-US"/>
        </w:rPr>
        <w:t>The concluding observations on the initial report of the Slovak Republic were adopted</w:t>
      </w:r>
      <w:r>
        <w:rPr>
          <w:lang w:val="en-US"/>
        </w:rPr>
        <w:t>.</w:t>
      </w:r>
    </w:p>
    <w:p w:rsidR="00000000" w:rsidRDefault="00000000">
      <w:pPr>
        <w:pStyle w:val="Header"/>
        <w:tabs>
          <w:tab w:val="clear" w:pos="4320"/>
          <w:tab w:val="clear" w:pos="8640"/>
        </w:tabs>
        <w:rPr>
          <w:lang w:val="en-US"/>
        </w:rPr>
      </w:pPr>
    </w:p>
    <w:p w:rsidR="00000000" w:rsidRDefault="00000000">
      <w:pPr>
        <w:rPr>
          <w:lang w:val="en-US"/>
        </w:rPr>
      </w:pPr>
      <w:r>
        <w:rPr>
          <w:u w:val="single"/>
          <w:lang w:val="en-US"/>
        </w:rPr>
        <w:t>Concluding observations of the Committee on the Rights of the Child:  Islamic Federal Republic of the Comoros</w:t>
      </w:r>
      <w:r>
        <w:rPr>
          <w:lang w:val="en-US"/>
        </w:rPr>
        <w:t xml:space="preserve"> (CRC/C/15/Add.141)</w:t>
      </w:r>
    </w:p>
    <w:p w:rsidR="00000000" w:rsidRDefault="00000000">
      <w:pPr>
        <w:pStyle w:val="Header"/>
        <w:tabs>
          <w:tab w:val="clear" w:pos="4320"/>
          <w:tab w:val="clear" w:pos="8640"/>
        </w:tabs>
        <w:rPr>
          <w:lang w:val="en-US"/>
        </w:rPr>
      </w:pPr>
    </w:p>
    <w:p w:rsidR="00000000" w:rsidRDefault="00000000">
      <w:pPr>
        <w:pStyle w:val="ParaNo"/>
        <w:rPr>
          <w:lang w:val="en-US"/>
        </w:rPr>
      </w:pPr>
      <w:r>
        <w:rPr>
          <w:u w:val="single"/>
          <w:lang w:val="en-US"/>
        </w:rPr>
        <w:t>The concluding observations on the initial report of the Islamic Federal Republic of the Comoros were adopted</w:t>
      </w:r>
      <w:r>
        <w:rPr>
          <w:lang w:val="en-US"/>
        </w:rPr>
        <w:t>.</w:t>
      </w:r>
    </w:p>
    <w:p w:rsidR="00000000" w:rsidRDefault="00000000">
      <w:pPr>
        <w:rPr>
          <w:lang w:val="en-US"/>
        </w:rPr>
      </w:pPr>
    </w:p>
    <w:p w:rsidR="00000000" w:rsidRDefault="00000000">
      <w:pPr>
        <w:pStyle w:val="ParaNo"/>
        <w:rPr>
          <w:lang w:val="en-US"/>
        </w:rPr>
      </w:pPr>
      <w:r>
        <w:rPr>
          <w:u w:val="single"/>
          <w:lang w:val="en-US"/>
        </w:rPr>
        <w:t>Chapter II of the report, as a whole, was adopted</w:t>
      </w:r>
      <w:r>
        <w:rPr>
          <w:lang w:val="en-US"/>
        </w:rPr>
        <w:t>.</w:t>
      </w:r>
    </w:p>
    <w:p w:rsidR="00000000" w:rsidRDefault="00000000">
      <w:pPr>
        <w:rPr>
          <w:lang w:val="en-US"/>
        </w:rPr>
      </w:pPr>
    </w:p>
    <w:p w:rsidR="00000000" w:rsidRDefault="00000000">
      <w:pPr>
        <w:pStyle w:val="ParaNo"/>
        <w:rPr>
          <w:lang w:val="en-US"/>
        </w:rPr>
      </w:pPr>
      <w:r>
        <w:rPr>
          <w:u w:val="single"/>
          <w:lang w:val="en-US"/>
        </w:rPr>
        <w:t>The CHAIRPERSON</w:t>
      </w:r>
      <w:r>
        <w:rPr>
          <w:lang w:val="en-US"/>
        </w:rPr>
        <w:t xml:space="preserve"> invited members to consider chapter VII of the report, “Draft provisional agenda for the twenty</w:t>
      </w:r>
      <w:r>
        <w:rPr>
          <w:lang w:val="en-US"/>
        </w:rPr>
        <w:noBreakHyphen/>
        <w:t>sixth session”.</w:t>
      </w:r>
    </w:p>
    <w:p w:rsidR="00000000" w:rsidRDefault="00000000">
      <w:pPr>
        <w:pStyle w:val="Header"/>
        <w:tabs>
          <w:tab w:val="clear" w:pos="4320"/>
          <w:tab w:val="clear" w:pos="8640"/>
        </w:tabs>
        <w:rPr>
          <w:lang w:val="en-US"/>
        </w:rPr>
      </w:pPr>
    </w:p>
    <w:p w:rsidR="00000000" w:rsidRDefault="00000000">
      <w:pPr>
        <w:pStyle w:val="ParaNo"/>
        <w:rPr>
          <w:lang w:val="en-US"/>
        </w:rPr>
      </w:pPr>
      <w:r>
        <w:rPr>
          <w:u w:val="single"/>
          <w:lang w:val="en-US"/>
        </w:rPr>
        <w:t>Chapter VII of the report was adopted</w:t>
      </w:r>
      <w:r>
        <w:rPr>
          <w:lang w:val="en-US"/>
        </w:rPr>
        <w:t>.</w:t>
      </w:r>
    </w:p>
    <w:p w:rsidR="00000000" w:rsidRDefault="00000000">
      <w:pPr>
        <w:pStyle w:val="Header"/>
        <w:tabs>
          <w:tab w:val="clear" w:pos="4320"/>
          <w:tab w:val="clear" w:pos="8640"/>
        </w:tabs>
        <w:rPr>
          <w:lang w:val="en-US"/>
        </w:rPr>
      </w:pPr>
    </w:p>
    <w:p w:rsidR="00000000" w:rsidRDefault="00000000">
      <w:pPr>
        <w:pStyle w:val="ParaNo"/>
        <w:rPr>
          <w:lang w:val="en-US"/>
        </w:rPr>
      </w:pPr>
      <w:r>
        <w:rPr>
          <w:u w:val="single"/>
          <w:lang w:val="en-US"/>
        </w:rPr>
        <w:t>The Committee’s report on its twenty</w:t>
      </w:r>
      <w:r>
        <w:rPr>
          <w:u w:val="single"/>
          <w:lang w:val="en-US"/>
        </w:rPr>
        <w:noBreakHyphen/>
        <w:t>fifth session, as a whole, was adopted</w:t>
      </w:r>
      <w:r>
        <w:rPr>
          <w:lang w:val="en-US"/>
        </w:rPr>
        <w:t>.</w:t>
      </w:r>
    </w:p>
    <w:p w:rsidR="00000000" w:rsidRDefault="00000000">
      <w:pPr>
        <w:rPr>
          <w:lang w:val="en-US"/>
        </w:rPr>
      </w:pPr>
    </w:p>
    <w:p w:rsidR="00000000" w:rsidRDefault="00000000">
      <w:pPr>
        <w:rPr>
          <w:lang w:val="en-US"/>
        </w:rPr>
      </w:pPr>
      <w:r>
        <w:rPr>
          <w:lang w:val="en-US"/>
        </w:rPr>
        <w:t>CLOSURE OF THE SESSION</w:t>
      </w:r>
    </w:p>
    <w:p w:rsidR="00000000" w:rsidRDefault="00000000">
      <w:pPr>
        <w:rPr>
          <w:lang w:val="en-US"/>
        </w:rPr>
      </w:pPr>
    </w:p>
    <w:p w:rsidR="00000000" w:rsidRDefault="00000000">
      <w:pPr>
        <w:pStyle w:val="ParaNo"/>
        <w:rPr>
          <w:lang w:val="en-US"/>
        </w:rPr>
      </w:pPr>
      <w:r>
        <w:rPr>
          <w:lang w:val="en-US"/>
        </w:rPr>
        <w:t>After thanking all those who had contributed to the success of the Committee’s twenty</w:t>
      </w:r>
      <w:r>
        <w:rPr>
          <w:lang w:val="en-US"/>
        </w:rPr>
        <w:noBreakHyphen/>
        <w:t xml:space="preserve">fifth session, </w:t>
      </w:r>
      <w:r>
        <w:rPr>
          <w:u w:val="single"/>
          <w:lang w:val="en-US"/>
        </w:rPr>
        <w:t>the CHAIRPERSON</w:t>
      </w:r>
      <w:r>
        <w:rPr>
          <w:lang w:val="en-US"/>
        </w:rPr>
        <w:t xml:space="preserve"> declared the session closed.</w:t>
      </w:r>
    </w:p>
    <w:p w:rsidR="00000000" w:rsidRDefault="00000000">
      <w:pPr>
        <w:rPr>
          <w:lang w:val="en-US"/>
        </w:rPr>
      </w:pPr>
    </w:p>
    <w:p w:rsidR="00000000" w:rsidRDefault="00000000">
      <w:pPr>
        <w:rPr>
          <w:lang w:val="en-US"/>
        </w:rPr>
      </w:pPr>
    </w:p>
    <w:p w:rsidR="00000000" w:rsidRDefault="00000000">
      <w:pPr>
        <w:pStyle w:val="Heading7"/>
        <w:rPr>
          <w:lang w:val="en-US"/>
        </w:rPr>
      </w:pPr>
      <w:r>
        <w:rPr>
          <w:lang w:val="en-US"/>
        </w:rPr>
        <w:t>The meeting rose at 12.05 p.m.</w:t>
      </w:r>
    </w:p>
    <w:p w:rsidR="00000000" w:rsidRDefault="00000000">
      <w:pPr>
        <w:rPr>
          <w:lang w:val="en-US"/>
        </w:rPr>
      </w:pPr>
    </w:p>
    <w:p w:rsidR="00000000" w:rsidRDefault="00000000">
      <w:pPr>
        <w:pStyle w:val="FootnoteText"/>
      </w:pPr>
    </w:p>
    <w:sectPr w:rsidR="00000000">
      <w:headerReference w:type="even" r:id="rId9"/>
      <w:headerReference w:type="default" r:id="rId10"/>
      <w:endnotePr>
        <w:numFmt w:val="decimal"/>
      </w:endnotePr>
      <w:pgSz w:w="11907" w:h="16840" w:code="9"/>
      <w:pgMar w:top="567" w:right="850" w:bottom="1984" w:left="1701" w:header="850" w:footer="1984" w:gutter="0"/>
      <w:cols w:space="72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pPr>
        <w:pStyle w:val="Footer"/>
      </w:pPr>
    </w:p>
  </w:endnote>
  <w:endnote w:type="continuationSeparator" w:id="0">
    <w:p w:rsidR="00000000" w:rsidRDefault="000000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Univers">
    <w:charset w:val="00"/>
    <w:family w:val="swiss"/>
    <w:pitch w:val="variable"/>
    <w:sig w:usb0="00000007" w:usb1="00000000" w:usb2="00000000" w:usb3="00000000" w:csb0="00000093" w:csb1="00000000"/>
  </w:font>
  <w:font w:name="Univers (W1)">
    <w:altName w:val="Arial"/>
    <w:panose1 w:val="00000000000000000000"/>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r>
        <w:separator/>
      </w:r>
    </w:p>
  </w:footnote>
  <w:footnote w:type="continuationSeparator" w:id="0">
    <w:p w:rsidR="00000000" w:rsidRDefault="0000000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t>CRC/C/SR.669</w:t>
    </w:r>
  </w:p>
  <w:p w:rsidR="00000000" w:rsidRDefault="00000000">
    <w:pPr>
      <w:pStyle w:val="Header"/>
    </w:pPr>
    <w:r>
      <w:t xml:space="preserve">page </w:t>
    </w:r>
    <w:r>
      <w:fldChar w:fldCharType="begin"/>
    </w:r>
    <w:r>
      <w:instrText xml:space="preserve"> PAGE  \* MERGEFORMAT </w:instrText>
    </w:r>
    <w:r>
      <w:fldChar w:fldCharType="separate"/>
    </w:r>
    <w:r>
      <w:rPr>
        <w:noProof/>
      </w:rPr>
      <w:t>4</w:t>
    </w:r>
    <w:r>
      <w:fldChar w:fldCharType="end"/>
    </w:r>
  </w:p>
  <w:p w:rsidR="00000000" w:rsidRDefault="00000000">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clear" w:pos="4320"/>
        <w:tab w:val="clear" w:pos="8640"/>
        <w:tab w:val="left" w:pos="5828"/>
        <w:tab w:val="left" w:pos="6650"/>
      </w:tabs>
    </w:pPr>
    <w:r>
      <w:tab/>
    </w:r>
    <w:r>
      <w:tab/>
      <w:t>CRC/C/SR.669</w:t>
    </w:r>
  </w:p>
  <w:p w:rsidR="00000000" w:rsidRDefault="00000000">
    <w:pPr>
      <w:pStyle w:val="Header"/>
      <w:tabs>
        <w:tab w:val="clear" w:pos="4320"/>
        <w:tab w:val="clear" w:pos="8640"/>
        <w:tab w:val="left" w:pos="5828"/>
        <w:tab w:val="left" w:pos="6650"/>
      </w:tabs>
    </w:pPr>
    <w:r>
      <w:tab/>
    </w:r>
    <w:r>
      <w:tab/>
      <w:t xml:space="preserve">page </w:t>
    </w:r>
    <w:r>
      <w:fldChar w:fldCharType="begin"/>
    </w:r>
    <w:r>
      <w:instrText xml:space="preserve"> PAGE  \* MERGEFORMAT </w:instrText>
    </w:r>
    <w:r>
      <w:fldChar w:fldCharType="separate"/>
    </w:r>
    <w:r>
      <w:rPr>
        <w:noProof/>
      </w:rPr>
      <w:t>3</w:t>
    </w:r>
    <w:r>
      <w:fldChar w:fldCharType="end"/>
    </w:r>
  </w:p>
  <w:p w:rsidR="00000000" w:rsidRDefault="00000000">
    <w:pPr>
      <w:pStyle w:val="Header"/>
      <w:tabs>
        <w:tab w:val="clear" w:pos="4320"/>
        <w:tab w:val="clear" w:pos="8640"/>
        <w:tab w:val="left" w:pos="5828"/>
        <w:tab w:val="left" w:pos="6650"/>
      </w:tabs>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D"/>
    <w:multiLevelType w:val="singleLevel"/>
    <w:tmpl w:val="3CB6628A"/>
    <w:lvl w:ilvl="0">
      <w:start w:val="1"/>
      <w:numFmt w:val="decimal"/>
      <w:lvlText w:val="%1."/>
      <w:lvlJc w:val="left"/>
      <w:pPr>
        <w:tabs>
          <w:tab w:val="num" w:pos="1209"/>
        </w:tabs>
        <w:ind w:left="1209" w:hanging="360"/>
      </w:pPr>
    </w:lvl>
  </w:abstractNum>
  <w:abstractNum w:abstractNumId="1">
    <w:nsid w:val="08CE72D2"/>
    <w:multiLevelType w:val="singleLevel"/>
    <w:tmpl w:val="0409000F"/>
    <w:lvl w:ilvl="0">
      <w:start w:val="1"/>
      <w:numFmt w:val="decimal"/>
      <w:lvlText w:val="%1."/>
      <w:lvlJc w:val="left"/>
      <w:pPr>
        <w:tabs>
          <w:tab w:val="num" w:pos="360"/>
        </w:tabs>
        <w:ind w:left="360" w:hanging="360"/>
      </w:pPr>
    </w:lvl>
  </w:abstractNum>
  <w:abstractNum w:abstractNumId="2">
    <w:nsid w:val="2B3F49C6"/>
    <w:multiLevelType w:val="singleLevel"/>
    <w:tmpl w:val="DE16A8C2"/>
    <w:lvl w:ilvl="0">
      <w:start w:val="1"/>
      <w:numFmt w:val="lowerRoman"/>
      <w:pStyle w:val="Rom2"/>
      <w:lvlText w:val="(%1)"/>
      <w:lvlJc w:val="right"/>
      <w:pPr>
        <w:tabs>
          <w:tab w:val="num" w:pos="2160"/>
        </w:tabs>
        <w:ind w:left="2160" w:hanging="516"/>
      </w:pPr>
    </w:lvl>
  </w:abstractNum>
  <w:abstractNum w:abstractNumId="3">
    <w:nsid w:val="36255761"/>
    <w:multiLevelType w:val="singleLevel"/>
    <w:tmpl w:val="0409000F"/>
    <w:lvl w:ilvl="0">
      <w:start w:val="1"/>
      <w:numFmt w:val="decimal"/>
      <w:lvlText w:val="%1."/>
      <w:lvlJc w:val="left"/>
      <w:pPr>
        <w:tabs>
          <w:tab w:val="num" w:pos="360"/>
        </w:tabs>
        <w:ind w:left="360" w:hanging="360"/>
      </w:pPr>
    </w:lvl>
  </w:abstractNum>
  <w:abstractNum w:abstractNumId="4">
    <w:nsid w:val="3CB061AB"/>
    <w:multiLevelType w:val="singleLevel"/>
    <w:tmpl w:val="66CAD4CC"/>
    <w:lvl w:ilvl="0">
      <w:start w:val="1"/>
      <w:numFmt w:val="decimal"/>
      <w:pStyle w:val="ParaNo"/>
      <w:lvlText w:val="%1."/>
      <w:lvlJc w:val="left"/>
      <w:pPr>
        <w:tabs>
          <w:tab w:val="num" w:pos="360"/>
        </w:tabs>
        <w:ind w:left="-1" w:firstLine="1"/>
      </w:pPr>
      <w:rPr>
        <w:rFonts w:hint="default"/>
      </w:rPr>
    </w:lvl>
  </w:abstractNum>
  <w:abstractNum w:abstractNumId="5">
    <w:nsid w:val="40221049"/>
    <w:multiLevelType w:val="singleLevel"/>
    <w:tmpl w:val="04D4B0C4"/>
    <w:lvl w:ilvl="0">
      <w:start w:val="1"/>
      <w:numFmt w:val="decimal"/>
      <w:lvlText w:val="%1."/>
      <w:lvlJc w:val="left"/>
      <w:pPr>
        <w:tabs>
          <w:tab w:val="num" w:pos="360"/>
        </w:tabs>
        <w:ind w:left="360" w:hanging="360"/>
      </w:pPr>
    </w:lvl>
  </w:abstractNum>
  <w:abstractNum w:abstractNumId="6">
    <w:nsid w:val="489F3657"/>
    <w:multiLevelType w:val="singleLevel"/>
    <w:tmpl w:val="2AB2508E"/>
    <w:lvl w:ilvl="0">
      <w:start w:val="1"/>
      <w:numFmt w:val="decimal"/>
      <w:lvlText w:val="%1."/>
      <w:lvlJc w:val="left"/>
      <w:pPr>
        <w:tabs>
          <w:tab w:val="num" w:pos="360"/>
        </w:tabs>
        <w:ind w:left="-1" w:firstLine="1"/>
      </w:pPr>
      <w:rPr>
        <w:rFonts w:hint="default"/>
      </w:rPr>
    </w:lvl>
  </w:abstractNum>
  <w:abstractNum w:abstractNumId="7">
    <w:nsid w:val="4EFA2598"/>
    <w:multiLevelType w:val="singleLevel"/>
    <w:tmpl w:val="0409000F"/>
    <w:lvl w:ilvl="0">
      <w:start w:val="1"/>
      <w:numFmt w:val="decimal"/>
      <w:lvlText w:val="%1."/>
      <w:lvlJc w:val="left"/>
      <w:pPr>
        <w:tabs>
          <w:tab w:val="num" w:pos="360"/>
        </w:tabs>
        <w:ind w:left="360" w:hanging="360"/>
      </w:pPr>
    </w:lvl>
  </w:abstractNum>
  <w:abstractNum w:abstractNumId="8">
    <w:nsid w:val="65D15DFE"/>
    <w:multiLevelType w:val="singleLevel"/>
    <w:tmpl w:val="475E6D3C"/>
    <w:lvl w:ilvl="0">
      <w:start w:val="1"/>
      <w:numFmt w:val="decimal"/>
      <w:lvlText w:val="%1."/>
      <w:lvlJc w:val="left"/>
      <w:pPr>
        <w:tabs>
          <w:tab w:val="num" w:pos="360"/>
        </w:tabs>
        <w:ind w:left="360" w:hanging="360"/>
      </w:pPr>
    </w:lvl>
  </w:abstractNum>
  <w:abstractNum w:abstractNumId="9">
    <w:nsid w:val="7ACA643D"/>
    <w:multiLevelType w:val="singleLevel"/>
    <w:tmpl w:val="0409000F"/>
    <w:lvl w:ilvl="0">
      <w:start w:val="1"/>
      <w:numFmt w:val="decimal"/>
      <w:lvlText w:val="%1."/>
      <w:lvlJc w:val="left"/>
      <w:pPr>
        <w:tabs>
          <w:tab w:val="num" w:pos="360"/>
        </w:tabs>
        <w:ind w:left="360" w:hanging="360"/>
      </w:pPr>
    </w:lvl>
  </w:abstractNum>
  <w:abstractNum w:abstractNumId="10">
    <w:nsid w:val="7CF349BD"/>
    <w:multiLevelType w:val="singleLevel"/>
    <w:tmpl w:val="B61AAC56"/>
    <w:lvl w:ilvl="0">
      <w:start w:val="1"/>
      <w:numFmt w:val="lowerRoman"/>
      <w:pStyle w:val="Rom1"/>
      <w:lvlText w:val="(%1)"/>
      <w:lvlJc w:val="right"/>
      <w:pPr>
        <w:tabs>
          <w:tab w:val="num" w:pos="1440"/>
        </w:tabs>
        <w:ind w:left="1440" w:hanging="589"/>
      </w:pPr>
      <w:rPr>
        <w:rFonts w:hint="default"/>
      </w:rPr>
    </w:lvl>
  </w:abstractNum>
  <w:abstractNum w:abstractNumId="11">
    <w:nsid w:val="7DBF6B58"/>
    <w:multiLevelType w:val="singleLevel"/>
    <w:tmpl w:val="0409000F"/>
    <w:lvl w:ilvl="0">
      <w:start w:val="1"/>
      <w:numFmt w:val="decimal"/>
      <w:lvlText w:val="%1."/>
      <w:lvlJc w:val="left"/>
      <w:pPr>
        <w:tabs>
          <w:tab w:val="num" w:pos="360"/>
        </w:tabs>
        <w:ind w:left="360" w:hanging="360"/>
      </w:pPr>
    </w:lvl>
  </w:abstractNum>
  <w:num w:numId="1">
    <w:abstractNumId w:val="10"/>
  </w:num>
  <w:num w:numId="2">
    <w:abstractNumId w:val="2"/>
  </w:num>
  <w:num w:numId="3">
    <w:abstractNumId w:val="10"/>
  </w:num>
  <w:num w:numId="4">
    <w:abstractNumId w:val="2"/>
  </w:num>
  <w:num w:numId="5">
    <w:abstractNumId w:val="1"/>
  </w:num>
  <w:num w:numId="6">
    <w:abstractNumId w:val="3"/>
  </w:num>
  <w:num w:numId="7">
    <w:abstractNumId w:val="5"/>
  </w:num>
  <w:num w:numId="8">
    <w:abstractNumId w:val="9"/>
  </w:num>
  <w:num w:numId="9">
    <w:abstractNumId w:val="7"/>
  </w:num>
  <w:num w:numId="10">
    <w:abstractNumId w:val="11"/>
  </w:num>
  <w:num w:numId="11">
    <w:abstractNumId w:val="5"/>
  </w:num>
  <w:num w:numId="12">
    <w:abstractNumId w:val="6"/>
  </w:num>
  <w:num w:numId="13">
    <w:abstractNumId w:val="6"/>
  </w:num>
  <w:num w:numId="14">
    <w:abstractNumId w:val="8"/>
  </w:num>
  <w:num w:numId="15">
    <w:abstractNumId w:val="4"/>
  </w:num>
  <w:num w:numId="16">
    <w:abstractNumId w:val="4"/>
  </w:num>
  <w:num w:numId="17">
    <w:abstractNumId w:val="10"/>
  </w:num>
  <w:num w:numId="18">
    <w:abstractNumId w:val="2"/>
  </w:num>
  <w:num w:numId="19">
    <w:abstractNumId w:val="0"/>
  </w:num>
  <w:num w:numId="20">
    <w:abstractNumId w:val="10"/>
  </w:num>
  <w:num w:numId="21">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attachedTemplate r:id="rId1"/>
  <w:doNotTrackMoves/>
  <w:defaultTabStop w:val="720"/>
  <w:evenAndOddHeaders/>
  <w:displayHorizontalDrawingGridEvery w:val="0"/>
  <w:displayVerticalDrawingGridEvery w:val="0"/>
  <w:doNotUseMarginsForDrawingGridOrigin/>
  <w:noPunctuationKerning/>
  <w:characterSpacingControl w:val="doNotCompress"/>
  <w:hdrShapeDefaults>
    <o:shapedefaults v:ext="edit" spidmax="3074"/>
  </w:hdrShapeDefaults>
  <w:footnotePr>
    <w:footnote w:id="-1"/>
    <w:footnote w:id="0"/>
  </w:footnotePr>
  <w:endnotePr>
    <w:numFmt w:val="decimal"/>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lang w:val="en-GB"/>
    </w:rPr>
  </w:style>
  <w:style w:type="paragraph" w:styleId="Heading1">
    <w:name w:val="heading 1"/>
    <w:basedOn w:val="Normal"/>
    <w:next w:val="Normal"/>
    <w:qFormat/>
    <w:pPr>
      <w:keepNext/>
      <w:jc w:val="center"/>
      <w:outlineLvl w:val="0"/>
    </w:pPr>
    <w:rPr>
      <w:caps/>
      <w:kern w:val="28"/>
    </w:rPr>
  </w:style>
  <w:style w:type="paragraph" w:styleId="Heading2">
    <w:name w:val="heading 2"/>
    <w:basedOn w:val="Normal"/>
    <w:next w:val="Normal"/>
    <w:qFormat/>
    <w:pPr>
      <w:keepNext/>
      <w:jc w:val="center"/>
      <w:outlineLvl w:val="1"/>
    </w:pPr>
    <w:rPr>
      <w:b/>
      <w:caps/>
    </w:rPr>
  </w:style>
  <w:style w:type="paragraph" w:styleId="Heading3">
    <w:name w:val="heading 3"/>
    <w:basedOn w:val="Normal"/>
    <w:next w:val="Normal"/>
    <w:qFormat/>
    <w:pPr>
      <w:keepNext/>
      <w:outlineLvl w:val="2"/>
    </w:pPr>
    <w:rPr>
      <w:caps/>
    </w:rPr>
  </w:style>
  <w:style w:type="paragraph" w:styleId="Heading4">
    <w:name w:val="heading 4"/>
    <w:basedOn w:val="Normal"/>
    <w:next w:val="Normal"/>
    <w:qFormat/>
    <w:pPr>
      <w:keepNext/>
      <w:outlineLvl w:val="3"/>
    </w:pPr>
    <w:rPr>
      <w:b/>
      <w:caps/>
    </w:rPr>
  </w:style>
  <w:style w:type="paragraph" w:styleId="Heading5">
    <w:name w:val="heading 5"/>
    <w:basedOn w:val="Normal"/>
    <w:next w:val="Normal"/>
    <w:qFormat/>
    <w:pPr>
      <w:keepNext/>
      <w:jc w:val="center"/>
      <w:outlineLvl w:val="4"/>
    </w:pPr>
    <w:rPr>
      <w:b/>
    </w:rPr>
  </w:style>
  <w:style w:type="paragraph" w:styleId="Heading6">
    <w:name w:val="heading 6"/>
    <w:basedOn w:val="Normal"/>
    <w:next w:val="Normal"/>
    <w:qFormat/>
    <w:pPr>
      <w:keepNext/>
      <w:outlineLvl w:val="5"/>
    </w:pPr>
    <w:rPr>
      <w:b/>
    </w:rPr>
  </w:style>
  <w:style w:type="paragraph" w:styleId="Heading7">
    <w:name w:val="heading 7"/>
    <w:basedOn w:val="Normal"/>
    <w:next w:val="Normal"/>
    <w:qFormat/>
    <w:pPr>
      <w:jc w:val="center"/>
      <w:outlineLvl w:val="6"/>
    </w:pPr>
    <w:rPr>
      <w:u w:val="single"/>
    </w:rPr>
  </w:style>
  <w:style w:type="paragraph" w:styleId="Heading8">
    <w:name w:val="heading 8"/>
    <w:basedOn w:val="Normal"/>
    <w:next w:val="Normal"/>
    <w:qFormat/>
    <w:pPr>
      <w:keepNext/>
      <w:outlineLvl w:val="7"/>
    </w:pPr>
    <w:rPr>
      <w:u w:val="single"/>
    </w:rPr>
  </w:style>
  <w:style w:type="paragraph" w:styleId="Heading9">
    <w:name w:val="heading 9"/>
    <w:basedOn w:val="Normal"/>
    <w:next w:val="Normal"/>
    <w:qFormat/>
    <w:pPr>
      <w:keepNext/>
      <w:jc w:val="center"/>
      <w:outlineLvl w:val="8"/>
    </w:pPr>
    <w:rPr>
      <w:i/>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320"/>
        <w:tab w:val="right" w:pos="8640"/>
      </w:tabs>
    </w:pPr>
  </w:style>
  <w:style w:type="paragraph" w:styleId="Footer">
    <w:name w:val="footer"/>
    <w:basedOn w:val="Normal"/>
    <w:semiHidden/>
    <w:pPr>
      <w:tabs>
        <w:tab w:val="center" w:pos="4320"/>
        <w:tab w:val="right" w:pos="8640"/>
      </w:tabs>
    </w:pPr>
  </w:style>
  <w:style w:type="paragraph" w:customStyle="1" w:styleId="Rom1">
    <w:name w:val="Rom1"/>
    <w:basedOn w:val="Normal"/>
    <w:pPr>
      <w:numPr>
        <w:numId w:val="20"/>
      </w:numPr>
      <w:ind w:left="1441" w:hanging="590"/>
    </w:pPr>
  </w:style>
  <w:style w:type="paragraph" w:customStyle="1" w:styleId="Rom2">
    <w:name w:val="Rom2"/>
    <w:basedOn w:val="Normal"/>
    <w:pPr>
      <w:numPr>
        <w:numId w:val="21"/>
      </w:numPr>
    </w:pPr>
  </w:style>
  <w:style w:type="paragraph" w:customStyle="1" w:styleId="ParaNo">
    <w:name w:val="ParaNo."/>
    <w:basedOn w:val="Normal"/>
    <w:pPr>
      <w:numPr>
        <w:numId w:val="16"/>
      </w:numPr>
      <w:tabs>
        <w:tab w:val="clear" w:pos="360"/>
        <w:tab w:val="left" w:pos="737"/>
      </w:tabs>
    </w:pPr>
    <w:rPr>
      <w:lang w:val="fr-CH"/>
    </w:rPr>
  </w:style>
  <w:style w:type="character" w:styleId="FootnoteReference">
    <w:name w:val="footnote reference"/>
    <w:semiHidden/>
    <w:rPr>
      <w:b/>
      <w:vertAlign w:val="superscript"/>
    </w:rPr>
  </w:style>
  <w:style w:type="paragraph" w:styleId="FootnoteText">
    <w:name w:val="footnote text"/>
    <w:basedOn w:val="Normal"/>
    <w:semiHidden/>
  </w:style>
  <w:style w:type="character" w:styleId="PageNumber">
    <w:name w:val="page number"/>
    <w:basedOn w:val="DefaultParagraphFont"/>
    <w:semiHidden/>
  </w:style>
  <w:style w:type="character" w:styleId="LineNumber">
    <w:name w:val="line number"/>
    <w:basedOn w:val="DefaultParagraphFont"/>
    <w:semiHidden/>
  </w:style>
  <w:style w:type="paragraph" w:styleId="EndnoteText">
    <w:name w:val="endnote text"/>
    <w:basedOn w:val="Normal"/>
    <w:semiHidden/>
  </w:style>
  <w:style w:type="character" w:styleId="EndnoteReference">
    <w:name w:val="endnote reference"/>
    <w:semiHidden/>
    <w:rPr>
      <w:b/>
      <w:sz w:val="24"/>
      <w:vertAlign w:val="superscript"/>
    </w:rPr>
  </w:style>
  <w:style w:type="paragraph" w:customStyle="1" w:styleId="Heading10">
    <w:name w:val="Heading 10"/>
    <w:basedOn w:val="Normal"/>
    <w:next w:val="Normal"/>
    <w:pPr>
      <w:keepNext/>
    </w:pPr>
    <w:rPr>
      <w:i/>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TPS_EFS\ENG\DATA\COMMON\MACRO\Template\Cover%20Pages\CRC.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CRC</Template>
  <TotalTime>1</TotalTime>
  <Pages>1</Pages>
  <Words>778</Words>
  <Characters>4359</Characters>
  <Application>Microsoft Office Word</Application>
  <DocSecurity>4</DocSecurity>
  <Lines>145</Lines>
  <Paragraphs>52</Paragraphs>
  <ScaleCrop>false</ScaleCrop>
  <HeadingPairs>
    <vt:vector size="2" baseType="variant">
      <vt:variant>
        <vt:lpstr>Title</vt:lpstr>
      </vt:variant>
      <vt:variant>
        <vt:i4>1</vt:i4>
      </vt:variant>
    </vt:vector>
  </HeadingPairs>
  <TitlesOfParts>
    <vt:vector size="1" baseType="lpstr">
      <vt:lpstr>0044895</vt:lpstr>
    </vt:vector>
  </TitlesOfParts>
  <Company>ONU</Company>
  <LinksUpToDate>false</LinksUpToDate>
  <CharactersWithSpaces>5448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0044895</dc:title>
  <dc:subject/>
  <dc:creator>bw</dc:creator>
  <cp:keywords>CRC/C/SR.669</cp:keywords>
  <dc:description>final</dc:description>
  <cp:lastModifiedBy>CSD</cp:lastModifiedBy>
  <cp:revision>2</cp:revision>
  <cp:lastPrinted>2000-10-19T06:54:00Z</cp:lastPrinted>
  <dcterms:created xsi:type="dcterms:W3CDTF">2000-10-19T07:53:00Z</dcterms:created>
  <dcterms:modified xsi:type="dcterms:W3CDTF">2000-10-19T07:53:00Z</dcterms:modified>
</cp:coreProperties>
</file>