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2D57337B" w14:textId="77777777" w:rsidTr="00AB1281">
        <w:trPr>
          <w:trHeight w:hRule="exact" w:val="851"/>
        </w:trPr>
        <w:tc>
          <w:tcPr>
            <w:tcW w:w="1280" w:type="dxa"/>
            <w:tcBorders>
              <w:bottom w:val="single" w:sz="4" w:space="0" w:color="auto"/>
            </w:tcBorders>
          </w:tcPr>
          <w:p w14:paraId="48CCB293" w14:textId="77777777" w:rsidR="002D5AAC" w:rsidRDefault="002D5AAC" w:rsidP="00AB1281">
            <w:pPr>
              <w:kinsoku w:val="0"/>
              <w:overflowPunct w:val="0"/>
              <w:autoSpaceDE w:val="0"/>
              <w:autoSpaceDN w:val="0"/>
              <w:adjustRightInd w:val="0"/>
              <w:snapToGrid w:val="0"/>
            </w:pPr>
          </w:p>
        </w:tc>
        <w:tc>
          <w:tcPr>
            <w:tcW w:w="2273" w:type="dxa"/>
            <w:tcBorders>
              <w:bottom w:val="single" w:sz="4" w:space="0" w:color="auto"/>
            </w:tcBorders>
            <w:vAlign w:val="bottom"/>
          </w:tcPr>
          <w:p w14:paraId="6FEB7B94" w14:textId="77777777" w:rsidR="002D5AAC" w:rsidRPr="00BD33EE" w:rsidRDefault="00BD33EE" w:rsidP="0008244E">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37F0D63A" w14:textId="77777777" w:rsidR="002D5AAC" w:rsidRDefault="00AB1281" w:rsidP="00AB1281">
            <w:pPr>
              <w:jc w:val="right"/>
            </w:pPr>
            <w:r w:rsidRPr="00AB1281">
              <w:rPr>
                <w:sz w:val="40"/>
              </w:rPr>
              <w:t>A</w:t>
            </w:r>
            <w:r>
              <w:t>/HRC/RES/43/16</w:t>
            </w:r>
          </w:p>
        </w:tc>
      </w:tr>
      <w:tr w:rsidR="002D5AAC" w14:paraId="6B95DF82" w14:textId="77777777" w:rsidTr="00AB1281">
        <w:trPr>
          <w:trHeight w:hRule="exact" w:val="2835"/>
        </w:trPr>
        <w:tc>
          <w:tcPr>
            <w:tcW w:w="1280" w:type="dxa"/>
            <w:tcBorders>
              <w:top w:val="single" w:sz="4" w:space="0" w:color="auto"/>
              <w:bottom w:val="single" w:sz="12" w:space="0" w:color="auto"/>
            </w:tcBorders>
          </w:tcPr>
          <w:p w14:paraId="055EC94F" w14:textId="77777777" w:rsidR="002D5AAC" w:rsidRDefault="002E5067" w:rsidP="0008244E">
            <w:pPr>
              <w:spacing w:before="120"/>
              <w:jc w:val="center"/>
            </w:pPr>
            <w:r>
              <w:rPr>
                <w:noProof/>
              </w:rPr>
              <w:drawing>
                <wp:inline distT="0" distB="0" distL="0" distR="0" wp14:anchorId="0DE4D375" wp14:editId="1E90DE69">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205D8416" w14:textId="77777777" w:rsidR="002D5AAC" w:rsidRPr="00033EE1" w:rsidRDefault="002F7EEC" w:rsidP="0008244E">
            <w:pPr>
              <w:spacing w:before="120" w:line="360" w:lineRule="exact"/>
              <w:rPr>
                <w:b/>
                <w:sz w:val="34"/>
                <w:szCs w:val="34"/>
              </w:rPr>
            </w:pPr>
            <w:r>
              <w:rPr>
                <w:b/>
                <w:sz w:val="40"/>
                <w:szCs w:val="40"/>
              </w:rPr>
              <w:t>Asamblea General</w:t>
            </w:r>
          </w:p>
        </w:tc>
        <w:tc>
          <w:tcPr>
            <w:tcW w:w="2819" w:type="dxa"/>
            <w:tcBorders>
              <w:top w:val="single" w:sz="4" w:space="0" w:color="auto"/>
              <w:bottom w:val="single" w:sz="12" w:space="0" w:color="auto"/>
            </w:tcBorders>
          </w:tcPr>
          <w:p w14:paraId="3EA11629" w14:textId="77777777" w:rsidR="002D5AAC" w:rsidRDefault="00AB1281" w:rsidP="0008244E">
            <w:pPr>
              <w:spacing w:before="240"/>
            </w:pPr>
            <w:proofErr w:type="spellStart"/>
            <w:r>
              <w:t>Distr</w:t>
            </w:r>
            <w:proofErr w:type="spellEnd"/>
            <w:r>
              <w:t>. general</w:t>
            </w:r>
          </w:p>
          <w:p w14:paraId="44DBF863" w14:textId="77777777" w:rsidR="00AB1281" w:rsidRDefault="00AB1281" w:rsidP="00AB1281">
            <w:pPr>
              <w:spacing w:line="240" w:lineRule="exact"/>
            </w:pPr>
            <w:r>
              <w:t>6 de julio de 2020</w:t>
            </w:r>
          </w:p>
          <w:p w14:paraId="45D4D178" w14:textId="77777777" w:rsidR="00AB1281" w:rsidRDefault="00AB1281" w:rsidP="00AB1281">
            <w:pPr>
              <w:spacing w:line="240" w:lineRule="exact"/>
            </w:pPr>
            <w:r>
              <w:t>Español</w:t>
            </w:r>
          </w:p>
          <w:p w14:paraId="1074CAD4" w14:textId="77777777" w:rsidR="00AB1281" w:rsidRDefault="00AB1281" w:rsidP="00AB1281">
            <w:pPr>
              <w:spacing w:line="240" w:lineRule="exact"/>
            </w:pPr>
            <w:r>
              <w:t>Original: inglés</w:t>
            </w:r>
          </w:p>
        </w:tc>
      </w:tr>
    </w:tbl>
    <w:p w14:paraId="6FAC7CC7" w14:textId="77777777" w:rsidR="00AB1281" w:rsidRPr="00AB1281" w:rsidRDefault="00AB1281" w:rsidP="00AB1281">
      <w:pPr>
        <w:spacing w:before="120"/>
        <w:rPr>
          <w:b/>
          <w:bCs/>
          <w:sz w:val="24"/>
          <w:szCs w:val="24"/>
          <w:lang w:val="es-ES_tradnl"/>
        </w:rPr>
      </w:pPr>
      <w:r w:rsidRPr="00AB1281">
        <w:rPr>
          <w:b/>
          <w:bCs/>
          <w:sz w:val="24"/>
          <w:szCs w:val="24"/>
          <w:lang w:val="es-ES_tradnl"/>
        </w:rPr>
        <w:t>Consejo de Derechos Humanos</w:t>
      </w:r>
    </w:p>
    <w:p w14:paraId="473BD68E" w14:textId="77777777" w:rsidR="00AB1281" w:rsidRPr="00AB1281" w:rsidRDefault="00AB1281" w:rsidP="00AB1281">
      <w:pPr>
        <w:rPr>
          <w:b/>
          <w:bCs/>
          <w:lang w:val="es-ES_tradnl"/>
        </w:rPr>
      </w:pPr>
      <w:r w:rsidRPr="00AB1281">
        <w:rPr>
          <w:b/>
          <w:bCs/>
          <w:lang w:val="es-ES_tradnl"/>
        </w:rPr>
        <w:t>43</w:t>
      </w:r>
      <w:r w:rsidRPr="00AB1281">
        <w:rPr>
          <w:b/>
          <w:bCs/>
          <w:vertAlign w:val="superscript"/>
          <w:lang w:val="es-ES_tradnl"/>
        </w:rPr>
        <w:t>er</w:t>
      </w:r>
      <w:r w:rsidRPr="00AB1281">
        <w:rPr>
          <w:b/>
          <w:bCs/>
          <w:lang w:val="es-ES_tradnl"/>
        </w:rPr>
        <w:t xml:space="preserve"> período de sesiones</w:t>
      </w:r>
    </w:p>
    <w:p w14:paraId="5DA2CD97" w14:textId="77777777" w:rsidR="00AB1281" w:rsidRPr="00AB1281" w:rsidRDefault="00AB1281" w:rsidP="00AB1281">
      <w:pPr>
        <w:rPr>
          <w:lang w:val="es-ES_tradnl"/>
        </w:rPr>
      </w:pPr>
      <w:r w:rsidRPr="00AB1281">
        <w:rPr>
          <w:lang w:val="es-ES_tradnl"/>
        </w:rPr>
        <w:t>24 de febrero a 13 de marzo y 15 a 23 de junio de 2020</w:t>
      </w:r>
    </w:p>
    <w:p w14:paraId="49B6090C" w14:textId="77777777" w:rsidR="00AB1281" w:rsidRPr="00AB1281" w:rsidRDefault="00AB1281" w:rsidP="00AB1281">
      <w:pPr>
        <w:rPr>
          <w:lang w:val="es-ES_tradnl"/>
        </w:rPr>
      </w:pPr>
      <w:r w:rsidRPr="00AB1281">
        <w:rPr>
          <w:lang w:val="es-ES_tradnl"/>
        </w:rPr>
        <w:t>Tema 3 de la agenda</w:t>
      </w:r>
    </w:p>
    <w:p w14:paraId="6786007A" w14:textId="77777777" w:rsidR="00AB1281" w:rsidRPr="00AB1281" w:rsidRDefault="00AB1281" w:rsidP="00AB1281">
      <w:pPr>
        <w:rPr>
          <w:b/>
          <w:bCs/>
          <w:lang w:val="es-ES_tradnl"/>
        </w:rPr>
      </w:pPr>
      <w:r w:rsidRPr="00AB1281">
        <w:rPr>
          <w:b/>
          <w:bCs/>
          <w:lang w:val="es-ES_tradnl"/>
        </w:rPr>
        <w:t>Promoción y protección de todos los derechos humanos,</w:t>
      </w:r>
      <w:r w:rsidRPr="00AB1281">
        <w:rPr>
          <w:b/>
          <w:bCs/>
          <w:lang w:val="es-ES_tradnl"/>
        </w:rPr>
        <w:br/>
        <w:t>civiles, políticos, económicos, sociales y culturales,</w:t>
      </w:r>
      <w:r w:rsidRPr="00AB1281">
        <w:rPr>
          <w:b/>
          <w:bCs/>
          <w:lang w:val="es-ES_tradnl"/>
        </w:rPr>
        <w:br/>
        <w:t>incluido el derecho al desarrollo</w:t>
      </w:r>
    </w:p>
    <w:p w14:paraId="1ACD3079" w14:textId="5C2A3C18" w:rsidR="00AB1281" w:rsidRPr="00AB1281" w:rsidRDefault="00AB1281" w:rsidP="00AB1281">
      <w:pPr>
        <w:pStyle w:val="HChG"/>
        <w:rPr>
          <w:lang w:val="es-ES_tradnl"/>
        </w:rPr>
      </w:pPr>
      <w:r>
        <w:rPr>
          <w:lang w:val="es-ES_tradnl"/>
        </w:rPr>
        <w:tab/>
      </w:r>
      <w:r w:rsidRPr="00AB1281">
        <w:rPr>
          <w:lang w:val="es-ES_tradnl"/>
        </w:rPr>
        <w:tab/>
      </w:r>
      <w:r w:rsidRPr="00AB1281">
        <w:t>Resolución aprobada por el Consejo de Derechos Humanos</w:t>
      </w:r>
      <w:r w:rsidR="005843D1">
        <w:br/>
      </w:r>
      <w:bookmarkStart w:id="0" w:name="_GoBack"/>
      <w:bookmarkEnd w:id="0"/>
      <w:r w:rsidRPr="00AB1281">
        <w:t>el 22 de junio de 2020</w:t>
      </w:r>
    </w:p>
    <w:p w14:paraId="4CC957DD" w14:textId="77777777" w:rsidR="00AB1281" w:rsidRDefault="00AB1281" w:rsidP="00AB1281">
      <w:pPr>
        <w:pStyle w:val="H1G"/>
      </w:pPr>
      <w:r w:rsidRPr="00AB1281">
        <w:rPr>
          <w:lang w:val="es-ES_tradnl"/>
        </w:rPr>
        <w:tab/>
      </w:r>
      <w:r w:rsidRPr="003104CE">
        <w:rPr>
          <w:lang w:val="es-ES_tradnl"/>
        </w:rPr>
        <w:t>43/16.</w:t>
      </w:r>
      <w:r w:rsidRPr="003104CE">
        <w:rPr>
          <w:lang w:val="es-ES_tradnl"/>
        </w:rPr>
        <w:tab/>
        <w:t xml:space="preserve">Mandato del Relator Especial sobre la situación de los defensores </w:t>
      </w:r>
      <w:r>
        <w:rPr>
          <w:lang w:val="es-ES_tradnl"/>
        </w:rPr>
        <w:br/>
      </w:r>
      <w:r w:rsidRPr="003104CE">
        <w:rPr>
          <w:lang w:val="es-ES_tradnl"/>
        </w:rPr>
        <w:t>de los derechos humanos</w:t>
      </w:r>
    </w:p>
    <w:p w14:paraId="633CA52E" w14:textId="77777777" w:rsidR="00AB1281" w:rsidRPr="00AB1281" w:rsidRDefault="00AB1281" w:rsidP="00AB1281">
      <w:pPr>
        <w:pStyle w:val="SingleTxtG"/>
        <w:rPr>
          <w:lang w:val="es-ES_tradnl"/>
        </w:rPr>
      </w:pPr>
      <w:r w:rsidRPr="00AB1281">
        <w:rPr>
          <w:lang w:val="es-ES_tradnl"/>
        </w:rPr>
        <w:tab/>
      </w:r>
      <w:r w:rsidRPr="00AB1281">
        <w:rPr>
          <w:i/>
          <w:iCs/>
          <w:lang w:val="es-ES_tradnl"/>
        </w:rPr>
        <w:t>El Consejo de Derechos Humanos</w:t>
      </w:r>
      <w:r w:rsidRPr="00AB1281">
        <w:rPr>
          <w:lang w:val="es-ES_tradnl"/>
        </w:rPr>
        <w:t>,</w:t>
      </w:r>
    </w:p>
    <w:p w14:paraId="2899C522" w14:textId="77777777" w:rsidR="00AB1281" w:rsidRPr="00AB1281" w:rsidRDefault="00AB1281" w:rsidP="00AB1281">
      <w:pPr>
        <w:pStyle w:val="SingleTxtG"/>
        <w:rPr>
          <w:lang w:val="es-ES_tradnl"/>
        </w:rPr>
      </w:pPr>
      <w:r w:rsidRPr="00AB1281">
        <w:rPr>
          <w:i/>
          <w:iCs/>
          <w:lang w:val="es-ES_tradnl"/>
        </w:rPr>
        <w:tab/>
        <w:t>Guiado</w:t>
      </w:r>
      <w:r w:rsidRPr="00AB1281">
        <w:rPr>
          <w:lang w:val="es-ES_tradnl"/>
        </w:rPr>
        <w:t xml:space="preserve"> por los propósitos y principios de la Carta de las Naciones Unidas, la Declaración Universal de Derechos Humanos, los Pactos Internacionales de Derechos Humanos y otros instrumentos pertinentes,</w:t>
      </w:r>
    </w:p>
    <w:p w14:paraId="2E2C60A6" w14:textId="77777777" w:rsidR="00AB1281" w:rsidRPr="00AB1281" w:rsidRDefault="00AB1281" w:rsidP="00AB1281">
      <w:pPr>
        <w:pStyle w:val="SingleTxtG"/>
        <w:rPr>
          <w:lang w:val="es-ES_tradnl"/>
        </w:rPr>
      </w:pPr>
      <w:r w:rsidRPr="00AB1281">
        <w:rPr>
          <w:i/>
          <w:iCs/>
          <w:lang w:val="es-ES_tradnl"/>
        </w:rPr>
        <w:tab/>
        <w:t>Recordando</w:t>
      </w:r>
      <w:r w:rsidRPr="00AB1281">
        <w:rPr>
          <w:lang w:val="es-ES_tradnl"/>
        </w:rPr>
        <w:t xml:space="preserve"> la resolución 53/144 de la Asamblea General, de 9 de diciembre de 1998, en la que la Asamblea aprobó por consenso la Declaración sobre el Derecho y el Deber de los Individuos, los Grupos y las Instituciones de Promover y Proteger los Derechos Humanos y las Libertades Fundamentales Universalmente Reconocidos, cuyo texto figura en el anexo de esa resolución, y reiterando la importancia de la Declaración y de su promoción y aplicación,</w:t>
      </w:r>
    </w:p>
    <w:p w14:paraId="77849C17" w14:textId="77777777" w:rsidR="00AB1281" w:rsidRPr="00AB1281" w:rsidRDefault="00AB1281" w:rsidP="00AB1281">
      <w:pPr>
        <w:pStyle w:val="SingleTxtG"/>
        <w:rPr>
          <w:lang w:val="es-ES_tradnl"/>
        </w:rPr>
      </w:pPr>
      <w:r w:rsidRPr="00AB1281">
        <w:rPr>
          <w:i/>
          <w:iCs/>
          <w:lang w:val="es-ES_tradnl"/>
        </w:rPr>
        <w:tab/>
        <w:t>Recordando también</w:t>
      </w:r>
      <w:r w:rsidRPr="00AB1281">
        <w:rPr>
          <w:lang w:val="es-ES_tradnl"/>
        </w:rPr>
        <w:t xml:space="preserve"> que todas las disposiciones de esa Declaración siguen siendo válidas y aplicables,</w:t>
      </w:r>
    </w:p>
    <w:p w14:paraId="35650BC0" w14:textId="77777777" w:rsidR="00AB1281" w:rsidRPr="00AB1281" w:rsidRDefault="00AB1281" w:rsidP="00AB1281">
      <w:pPr>
        <w:pStyle w:val="SingleTxtG"/>
        <w:rPr>
          <w:lang w:val="es-ES_tradnl"/>
        </w:rPr>
      </w:pPr>
      <w:r w:rsidRPr="00AB1281">
        <w:rPr>
          <w:i/>
          <w:iCs/>
          <w:lang w:val="es-ES_tradnl"/>
        </w:rPr>
        <w:tab/>
        <w:t>Recordando además</w:t>
      </w:r>
      <w:r w:rsidRPr="00AB1281">
        <w:rPr>
          <w:lang w:val="es-ES_tradnl"/>
        </w:rPr>
        <w:t xml:space="preserve"> todas las resoluciones anteriores en la materia, como las resoluciones del Consejo de Derechos Humanos 16/5, de 24 de marzo de 2011, 25/18, de</w:t>
      </w:r>
      <w:r w:rsidR="00211FCA">
        <w:rPr>
          <w:lang w:val="es-ES_tradnl"/>
        </w:rPr>
        <w:t> </w:t>
      </w:r>
      <w:r w:rsidRPr="00AB1281">
        <w:rPr>
          <w:lang w:val="es-ES_tradnl"/>
        </w:rPr>
        <w:t>28 de marzo de 2014, 31/32, de 24 de marzo de 2016, 34/5, de 23 de marzo de 2017, y</w:t>
      </w:r>
      <w:r w:rsidR="00211FCA">
        <w:rPr>
          <w:lang w:val="es-ES_tradnl"/>
        </w:rPr>
        <w:t> </w:t>
      </w:r>
      <w:r w:rsidRPr="00AB1281">
        <w:rPr>
          <w:lang w:val="es-ES_tradnl"/>
        </w:rPr>
        <w:t>40/11, de 21 de marzo de 2019, y las resoluciones de la Asamblea General 68/181, de 18</w:t>
      </w:r>
      <w:r w:rsidR="00211FCA">
        <w:rPr>
          <w:lang w:val="es-ES_tradnl"/>
        </w:rPr>
        <w:t> </w:t>
      </w:r>
      <w:r w:rsidRPr="00AB1281">
        <w:rPr>
          <w:lang w:val="es-ES_tradnl"/>
        </w:rPr>
        <w:t>de diciembre de 2013, 70/161, de 17 de diciembre de 2015, 72/247, de 24 de diciembre de 2017, y 74/146, de 18 de diciembre de 2019,</w:t>
      </w:r>
    </w:p>
    <w:p w14:paraId="0080A616" w14:textId="77777777" w:rsidR="00AB1281" w:rsidRPr="00AB1281" w:rsidRDefault="00AB1281" w:rsidP="00AB1281">
      <w:pPr>
        <w:pStyle w:val="SingleTxtG"/>
        <w:rPr>
          <w:lang w:val="es-ES_tradnl"/>
        </w:rPr>
      </w:pPr>
      <w:r w:rsidRPr="00AB1281">
        <w:rPr>
          <w:i/>
          <w:iCs/>
          <w:lang w:val="es-ES_tradnl"/>
        </w:rPr>
        <w:tab/>
        <w:t>Recordando</w:t>
      </w:r>
      <w:r w:rsidRPr="00AB1281">
        <w:rPr>
          <w:lang w:val="es-ES_tradnl"/>
        </w:rPr>
        <w:t xml:space="preserve"> las resoluciones del Consejo de Derechos Humanos 5/1, relativa a la construcción institucional del Consejo, y 5/2, relativa al Código de Conducta para los Titulares de Mandatos de los Procedimientos Especiales del Consejo, de 18 de junio de 2007, y destacando que los titulares de mandatos deberán desempeñar sus funciones de conformidad con esas resoluciones y sus anexos,</w:t>
      </w:r>
    </w:p>
    <w:p w14:paraId="62704B98" w14:textId="77777777" w:rsidR="00AB1281" w:rsidRPr="00AB1281" w:rsidRDefault="00AB1281" w:rsidP="00AB1281">
      <w:pPr>
        <w:pStyle w:val="SingleTxtG"/>
        <w:rPr>
          <w:lang w:val="es-ES_tradnl"/>
        </w:rPr>
      </w:pPr>
      <w:r w:rsidRPr="00AB1281">
        <w:rPr>
          <w:i/>
          <w:iCs/>
          <w:lang w:val="es-ES_tradnl"/>
        </w:rPr>
        <w:tab/>
        <w:t>Poniendo de relieve</w:t>
      </w:r>
      <w:r w:rsidRPr="00AB1281">
        <w:rPr>
          <w:lang w:val="es-ES_tradnl"/>
        </w:rPr>
        <w:t xml:space="preserve"> el importante papel que desempeñan los individuos y las instituciones de la sociedad civil, incluidas las organizaciones no gubernamentales, los grupos y las instituciones nacionales de derechos humanos, a nivel local, nacional, regional </w:t>
      </w:r>
      <w:r w:rsidRPr="00AB1281">
        <w:rPr>
          <w:lang w:val="es-ES_tradnl"/>
        </w:rPr>
        <w:lastRenderedPageBreak/>
        <w:t>e internacional, en la promoción y protección de todos los derechos humanos y las libertades fundamentales para todos,</w:t>
      </w:r>
    </w:p>
    <w:p w14:paraId="0910E981" w14:textId="77777777" w:rsidR="00AB1281" w:rsidRPr="00AB1281" w:rsidRDefault="00AB1281" w:rsidP="00AB1281">
      <w:pPr>
        <w:pStyle w:val="SingleTxtG"/>
        <w:rPr>
          <w:lang w:val="es-ES_tradnl"/>
        </w:rPr>
      </w:pPr>
      <w:r w:rsidRPr="00AB1281">
        <w:rPr>
          <w:i/>
          <w:iCs/>
          <w:lang w:val="es-ES_tradnl"/>
        </w:rPr>
        <w:tab/>
        <w:t>Reiterando</w:t>
      </w:r>
      <w:r w:rsidRPr="00AB1281">
        <w:rPr>
          <w:lang w:val="es-ES_tradnl"/>
        </w:rPr>
        <w:t xml:space="preserve"> la profunda preocupación expresada por la Asamblea General y por el Consejo de Derechos Humanos en relación con los graves riesgos a que se enfrentan los defensores de los derechos humanos debido a las amenazas, las agresiones, las represalias y los actos de intimidación de que son objeto,</w:t>
      </w:r>
    </w:p>
    <w:p w14:paraId="68DAAC4A" w14:textId="77777777" w:rsidR="00AB1281" w:rsidRPr="00AB1281" w:rsidRDefault="00AB1281" w:rsidP="00AB1281">
      <w:pPr>
        <w:pStyle w:val="SingleTxtG"/>
        <w:rPr>
          <w:lang w:val="es-ES_tradnl"/>
        </w:rPr>
      </w:pPr>
      <w:r w:rsidRPr="00AB1281">
        <w:rPr>
          <w:i/>
          <w:iCs/>
          <w:lang w:val="es-ES_tradnl"/>
        </w:rPr>
        <w:tab/>
        <w:t>Reafirmando</w:t>
      </w:r>
      <w:r w:rsidRPr="00AB1281">
        <w:rPr>
          <w:lang w:val="es-ES_tradnl"/>
        </w:rPr>
        <w:t xml:space="preserve"> que los Estados tienen la obligación de proteger todos los derechos humanos y las libertades fundamentales de todas las personas,</w:t>
      </w:r>
    </w:p>
    <w:p w14:paraId="28107617" w14:textId="77777777" w:rsidR="00AB1281" w:rsidRPr="00AB1281" w:rsidRDefault="00AB1281" w:rsidP="00AB1281">
      <w:pPr>
        <w:pStyle w:val="SingleTxtG"/>
        <w:rPr>
          <w:lang w:val="es-ES_tradnl"/>
        </w:rPr>
      </w:pPr>
      <w:r w:rsidRPr="00AB1281">
        <w:rPr>
          <w:i/>
          <w:iCs/>
          <w:lang w:val="es-ES_tradnl"/>
        </w:rPr>
        <w:tab/>
        <w:t>Destacando</w:t>
      </w:r>
      <w:r w:rsidRPr="00AB1281">
        <w:rPr>
          <w:lang w:val="es-ES_tradnl"/>
        </w:rPr>
        <w:t xml:space="preserve"> que el respeto de todos los defensores de los derechos humanos, incluidas las defensoras, y el apoyo a sus actividades son esenciales para el disfrute general de los derechos humanos,</w:t>
      </w:r>
    </w:p>
    <w:p w14:paraId="1A8F16B7" w14:textId="77777777" w:rsidR="00AB1281" w:rsidRPr="00AB1281" w:rsidRDefault="00AB1281" w:rsidP="00AB1281">
      <w:pPr>
        <w:pStyle w:val="SingleTxtG"/>
        <w:rPr>
          <w:lang w:val="es-ES_tradnl"/>
        </w:rPr>
      </w:pPr>
      <w:r w:rsidRPr="00AB1281">
        <w:rPr>
          <w:i/>
          <w:iCs/>
          <w:lang w:val="es-ES_tradnl"/>
        </w:rPr>
        <w:tab/>
        <w:t>Teniendo presente</w:t>
      </w:r>
      <w:r w:rsidRPr="00AB1281">
        <w:rPr>
          <w:lang w:val="es-ES_tradnl"/>
        </w:rPr>
        <w:t xml:space="preserve"> que las disposiciones legislativas y administrativas internas y su aplicación deberían facilitar la labor de los defensores de los derechos humanos, entre otras cosas evitando toda criminalización, estigmatización, obstaculización, obstrucción o restricción de dicha labor que contravenga el derecho internacional de los derechos humanos,</w:t>
      </w:r>
    </w:p>
    <w:p w14:paraId="7E673375" w14:textId="77777777" w:rsidR="00AB1281" w:rsidRPr="00AB1281" w:rsidRDefault="00AB1281" w:rsidP="00AB1281">
      <w:pPr>
        <w:pStyle w:val="SingleTxtG"/>
        <w:rPr>
          <w:lang w:val="es-ES_tradnl"/>
        </w:rPr>
      </w:pPr>
      <w:r w:rsidRPr="00AB1281">
        <w:rPr>
          <w:i/>
          <w:iCs/>
          <w:lang w:val="es-ES_tradnl"/>
        </w:rPr>
        <w:tab/>
        <w:t>Recalcando</w:t>
      </w:r>
      <w:r w:rsidRPr="00AB1281">
        <w:rPr>
          <w:lang w:val="es-ES_tradnl"/>
        </w:rPr>
        <w:t xml:space="preserve"> que una legislación nacional acorde con la Carta y el derecho internacional de los derechos humanos constituye el marco jurídico en el que se inscriben las actividades de los defensores de los derechos humanos que trabajan de manera pacífica para promover y proteger los derechos humanos y las libertades fundamentales, </w:t>
      </w:r>
    </w:p>
    <w:p w14:paraId="582E0C8F" w14:textId="77777777" w:rsidR="00AB1281" w:rsidRPr="00AB1281" w:rsidRDefault="00AB1281" w:rsidP="00AB1281">
      <w:pPr>
        <w:pStyle w:val="SingleTxtG"/>
        <w:rPr>
          <w:lang w:val="es-ES_tradnl"/>
        </w:rPr>
      </w:pPr>
      <w:r w:rsidRPr="00AB1281">
        <w:rPr>
          <w:i/>
          <w:iCs/>
          <w:lang w:val="es-ES_tradnl"/>
        </w:rPr>
        <w:tab/>
        <w:t>Muy preocupado</w:t>
      </w:r>
      <w:r w:rsidRPr="00AB1281">
        <w:rPr>
          <w:lang w:val="es-ES_tradnl"/>
        </w:rPr>
        <w:t xml:space="preserve"> porque, en algunos casos, la legislación y otras medidas nacionales sobre seguridad y lucha contra el terrorismo, como las leyes que regulan las organizaciones de la sociedad civil, se han utilizado indebidamente contra defensores de los derechos humanos o han obstaculizado su labor y han puesto en peligro su seguridad en contravención del derecho internacional,</w:t>
      </w:r>
    </w:p>
    <w:p w14:paraId="79A4A9EE" w14:textId="77777777" w:rsidR="00AB1281" w:rsidRPr="00AB1281" w:rsidRDefault="00AB1281" w:rsidP="00AB1281">
      <w:pPr>
        <w:pStyle w:val="SingleTxtG"/>
        <w:rPr>
          <w:lang w:val="es-ES_tradnl"/>
        </w:rPr>
      </w:pPr>
      <w:r w:rsidRPr="00AB1281">
        <w:rPr>
          <w:i/>
          <w:iCs/>
          <w:lang w:val="es-ES_tradnl"/>
        </w:rPr>
        <w:tab/>
        <w:t>Reconociendo</w:t>
      </w:r>
      <w:r w:rsidRPr="00AB1281">
        <w:rPr>
          <w:lang w:val="es-ES_tradnl"/>
        </w:rPr>
        <w:t xml:space="preserve"> la necesidad urgente de encarar, y de tomar medidas concretas para prevenir y detener, la utilización de las leyes con el fin de obstaculizar o limitar indebidamente la capacidad de los defensores de los derechos humanos para ejercer su labor, entre otras formas revisando y, cuando sea necesario, modificando las leyes pertinentes y su aplicación a fin de asegurar el cumplimiento del derecho internacional de los derechos humanos,</w:t>
      </w:r>
    </w:p>
    <w:p w14:paraId="3D180373" w14:textId="77777777" w:rsidR="00AB1281" w:rsidRPr="00AB1281" w:rsidRDefault="00AB1281" w:rsidP="00AB1281">
      <w:pPr>
        <w:pStyle w:val="SingleTxtG"/>
        <w:rPr>
          <w:lang w:val="es-ES_tradnl"/>
        </w:rPr>
      </w:pPr>
      <w:r w:rsidRPr="00AB1281">
        <w:rPr>
          <w:lang w:val="es-ES_tradnl"/>
        </w:rPr>
        <w:tab/>
        <w:t>1.</w:t>
      </w:r>
      <w:r w:rsidRPr="00AB1281">
        <w:rPr>
          <w:lang w:val="es-ES_tradnl"/>
        </w:rPr>
        <w:tab/>
      </w:r>
      <w:r w:rsidRPr="00AB1281">
        <w:rPr>
          <w:i/>
          <w:iCs/>
          <w:lang w:val="es-ES_tradnl"/>
        </w:rPr>
        <w:t>Acoge con beneplácito</w:t>
      </w:r>
      <w:r w:rsidRPr="00AB1281">
        <w:rPr>
          <w:lang w:val="es-ES_tradnl"/>
        </w:rPr>
        <w:t xml:space="preserve"> la labor del Relator Especial sobre la situación de los defensores de los derechos humanos y toma nota con aprecio de sus informes</w:t>
      </w:r>
      <w:r w:rsidRPr="00AB1281">
        <w:rPr>
          <w:rStyle w:val="FootnoteReference"/>
          <w:lang w:val="es-ES_tradnl"/>
        </w:rPr>
        <w:footnoteReference w:id="1"/>
      </w:r>
      <w:r w:rsidRPr="00AB1281">
        <w:rPr>
          <w:lang w:val="es-ES_tradnl"/>
        </w:rPr>
        <w:t>, e insta encarecidamente a todos los Estados a que adopten medidas concretas para crear, en la legislación y en la práctica, un entorno seguro y propicio en el que los defensores de los derechos humanos puedan trabajar sin obstáculos ni inseguridad;</w:t>
      </w:r>
    </w:p>
    <w:p w14:paraId="5D493382" w14:textId="77777777" w:rsidR="00AB1281" w:rsidRPr="00AB1281" w:rsidRDefault="00AB1281" w:rsidP="00AB1281">
      <w:pPr>
        <w:pStyle w:val="SingleTxtG"/>
        <w:rPr>
          <w:lang w:val="es-ES_tradnl"/>
        </w:rPr>
      </w:pPr>
      <w:r w:rsidRPr="00AB1281">
        <w:rPr>
          <w:lang w:val="es-ES_tradnl"/>
        </w:rPr>
        <w:tab/>
        <w:t>2.</w:t>
      </w:r>
      <w:r w:rsidRPr="00AB1281">
        <w:rPr>
          <w:lang w:val="es-ES_tradnl"/>
        </w:rPr>
        <w:tab/>
      </w:r>
      <w:r w:rsidRPr="00AB1281">
        <w:rPr>
          <w:i/>
          <w:iCs/>
          <w:lang w:val="es-ES_tradnl"/>
        </w:rPr>
        <w:t>Decide</w:t>
      </w:r>
      <w:r w:rsidRPr="00AB1281">
        <w:rPr>
          <w:lang w:val="es-ES_tradnl"/>
        </w:rPr>
        <w:t xml:space="preserve"> prorrogar el mandato del Relator Especial sobre la situación de los defensores de los derechos humanos por un período de tres años en los mismos términos que los previstos por el Consejo de Derechos Humanos en su resolución 16/5;</w:t>
      </w:r>
    </w:p>
    <w:p w14:paraId="5C49EF2C" w14:textId="77777777" w:rsidR="00AB1281" w:rsidRPr="00AB1281" w:rsidRDefault="00AB1281" w:rsidP="00AB1281">
      <w:pPr>
        <w:pStyle w:val="SingleTxtG"/>
        <w:rPr>
          <w:lang w:val="es-ES_tradnl"/>
        </w:rPr>
      </w:pPr>
      <w:r w:rsidRPr="00AB1281">
        <w:rPr>
          <w:lang w:val="es-ES_tradnl"/>
        </w:rPr>
        <w:tab/>
        <w:t>3.</w:t>
      </w:r>
      <w:r w:rsidRPr="00AB1281">
        <w:rPr>
          <w:lang w:val="es-ES_tradnl"/>
        </w:rPr>
        <w:tab/>
      </w:r>
      <w:r w:rsidRPr="00AB1281">
        <w:rPr>
          <w:i/>
          <w:iCs/>
          <w:lang w:val="es-ES_tradnl"/>
        </w:rPr>
        <w:t>Insta</w:t>
      </w:r>
      <w:r w:rsidRPr="00AB1281">
        <w:rPr>
          <w:lang w:val="es-ES_tradnl"/>
        </w:rPr>
        <w:t xml:space="preserve"> a todos los Estados a que cooperen con el Relator Especial, le presten asistencia en el desempeño de su mandato, le faciliten toda la información que solicite y respondan sin excesiva demora a las comunicaciones que les envíe;</w:t>
      </w:r>
    </w:p>
    <w:p w14:paraId="1B6948DF" w14:textId="77777777" w:rsidR="00AB1281" w:rsidRPr="00AB1281" w:rsidRDefault="00AB1281" w:rsidP="00AB1281">
      <w:pPr>
        <w:pStyle w:val="SingleTxtG"/>
        <w:rPr>
          <w:lang w:val="es-ES_tradnl"/>
        </w:rPr>
      </w:pPr>
      <w:r w:rsidRPr="00AB1281">
        <w:rPr>
          <w:lang w:val="es-ES_tradnl"/>
        </w:rPr>
        <w:tab/>
        <w:t>4.</w:t>
      </w:r>
      <w:r w:rsidRPr="00AB1281">
        <w:rPr>
          <w:lang w:val="es-ES_tradnl"/>
        </w:rPr>
        <w:tab/>
      </w:r>
      <w:r w:rsidRPr="00AB1281">
        <w:rPr>
          <w:i/>
          <w:iCs/>
          <w:lang w:val="es-ES_tradnl"/>
        </w:rPr>
        <w:t>Exhorta</w:t>
      </w:r>
      <w:r w:rsidRPr="00AB1281">
        <w:rPr>
          <w:lang w:val="es-ES_tradnl"/>
        </w:rPr>
        <w:t xml:space="preserve"> a los Estados a que consideren seriamente la posibilidad de responder favorablemente a las solicitudes del Relator Especial de visitar sus países, y los insta a que entablen un diálogo constructivo con el Relator Especial sobre el seguimiento y el cumplimiento de sus recomendaciones, a fin de que pueda desempeñar su mandato de manera aún más eficaz;</w:t>
      </w:r>
    </w:p>
    <w:p w14:paraId="311D5D58" w14:textId="77777777" w:rsidR="00AB1281" w:rsidRPr="00AB1281" w:rsidRDefault="00AB1281" w:rsidP="00AB1281">
      <w:pPr>
        <w:pStyle w:val="SingleTxtG"/>
        <w:rPr>
          <w:lang w:val="es-ES_tradnl"/>
        </w:rPr>
      </w:pPr>
      <w:r w:rsidRPr="00AB1281">
        <w:rPr>
          <w:lang w:val="es-ES_tradnl"/>
        </w:rPr>
        <w:tab/>
        <w:t>5.</w:t>
      </w:r>
      <w:r w:rsidRPr="00AB1281">
        <w:rPr>
          <w:lang w:val="es-ES_tradnl"/>
        </w:rPr>
        <w:tab/>
      </w:r>
      <w:r w:rsidRPr="00AB1281">
        <w:rPr>
          <w:i/>
          <w:iCs/>
          <w:lang w:val="es-ES_tradnl"/>
        </w:rPr>
        <w:t>Solicita</w:t>
      </w:r>
      <w:r w:rsidRPr="00AB1281">
        <w:rPr>
          <w:lang w:val="es-ES_tradnl"/>
        </w:rPr>
        <w:t xml:space="preserve"> al Secretario General y a la Alta Comisionada de las Naciones Unidas para los Derechos Humanos que presten al Relator Especial la asistencia que necesite para desempeñar su mandato con eficacia;</w:t>
      </w:r>
    </w:p>
    <w:p w14:paraId="4E92B3A3" w14:textId="77777777" w:rsidR="00AB1281" w:rsidRPr="00AB1281" w:rsidRDefault="00AB1281" w:rsidP="00AB1281">
      <w:pPr>
        <w:pStyle w:val="SingleTxtG"/>
        <w:rPr>
          <w:lang w:val="es-ES_tradnl"/>
        </w:rPr>
      </w:pPr>
      <w:r w:rsidRPr="00AB1281">
        <w:rPr>
          <w:lang w:val="es-ES_tradnl"/>
        </w:rPr>
        <w:lastRenderedPageBreak/>
        <w:tab/>
        <w:t>6.</w:t>
      </w:r>
      <w:r w:rsidRPr="00AB1281">
        <w:rPr>
          <w:lang w:val="es-ES_tradnl"/>
        </w:rPr>
        <w:tab/>
      </w:r>
      <w:r w:rsidRPr="00AB1281">
        <w:rPr>
          <w:i/>
          <w:iCs/>
          <w:lang w:val="es-ES_tradnl"/>
        </w:rPr>
        <w:t>Alienta</w:t>
      </w:r>
      <w:r w:rsidRPr="00AB1281">
        <w:rPr>
          <w:lang w:val="es-ES_tradnl"/>
        </w:rPr>
        <w:t xml:space="preserve"> a todos los organismos y organizaciones interesados de las Naciones Unidas que, con arreglo a sus mandatos, presten todo el apoyo y la asistencia posibles al Relator Especial para que pueda desempeñar eficazmente su mandato, entre otras cosas en el contexto de las visitas a los países y mediante la formulación de sugerencias acerca de posibles medios para asegurar la protección de los defensores de los derechos humanos;</w:t>
      </w:r>
    </w:p>
    <w:p w14:paraId="6D0256AB" w14:textId="77777777" w:rsidR="00AB1281" w:rsidRPr="00AB1281" w:rsidRDefault="00AB1281" w:rsidP="00AB1281">
      <w:pPr>
        <w:pStyle w:val="SingleTxtG"/>
        <w:rPr>
          <w:lang w:val="es-ES_tradnl"/>
        </w:rPr>
      </w:pPr>
      <w:r w:rsidRPr="00AB1281">
        <w:rPr>
          <w:lang w:val="es-ES_tradnl"/>
        </w:rPr>
        <w:tab/>
        <w:t>7.</w:t>
      </w:r>
      <w:r w:rsidRPr="00AB1281">
        <w:rPr>
          <w:lang w:val="es-ES_tradnl"/>
        </w:rPr>
        <w:tab/>
      </w:r>
      <w:r w:rsidRPr="00AB1281">
        <w:rPr>
          <w:i/>
          <w:iCs/>
          <w:lang w:val="es-ES_tradnl"/>
        </w:rPr>
        <w:t>Decide</w:t>
      </w:r>
      <w:r w:rsidRPr="00AB1281">
        <w:rPr>
          <w:lang w:val="es-ES_tradnl"/>
        </w:rPr>
        <w:t xml:space="preserve"> seguir examinando esta cuestión con arreglo a su programa de trabajo anual.</w:t>
      </w:r>
    </w:p>
    <w:p w14:paraId="0DC3D1E4" w14:textId="77777777" w:rsidR="00AB1281" w:rsidRPr="00AB1281" w:rsidRDefault="00AB1281" w:rsidP="00AB1281">
      <w:pPr>
        <w:pStyle w:val="SingleTxtG"/>
        <w:jc w:val="right"/>
        <w:rPr>
          <w:i/>
          <w:iCs/>
        </w:rPr>
      </w:pPr>
      <w:r w:rsidRPr="00AB1281">
        <w:rPr>
          <w:i/>
          <w:iCs/>
        </w:rPr>
        <w:t xml:space="preserve">45ª sesión </w:t>
      </w:r>
      <w:r>
        <w:rPr>
          <w:i/>
          <w:iCs/>
        </w:rPr>
        <w:br/>
      </w:r>
      <w:r w:rsidRPr="00AB1281">
        <w:rPr>
          <w:i/>
          <w:iCs/>
        </w:rPr>
        <w:t>22 de junio de 2020</w:t>
      </w:r>
    </w:p>
    <w:p w14:paraId="2C57BD5E" w14:textId="77777777" w:rsidR="00381C24" w:rsidRDefault="00AB1281" w:rsidP="00AB1281">
      <w:pPr>
        <w:pStyle w:val="SingleTxtG"/>
        <w:rPr>
          <w:lang w:val="es-ES_tradnl"/>
        </w:rPr>
      </w:pPr>
      <w:r w:rsidRPr="003104CE">
        <w:rPr>
          <w:lang w:val="es-ES_tradnl"/>
        </w:rPr>
        <w:t>[Aprobada sin votación.]</w:t>
      </w:r>
    </w:p>
    <w:p w14:paraId="3D089910" w14:textId="77777777" w:rsidR="00AB1281" w:rsidRPr="00AB1281" w:rsidRDefault="00AB1281" w:rsidP="00AB1281">
      <w:pPr>
        <w:pStyle w:val="SingleTxtG"/>
        <w:suppressAutoHyphens/>
        <w:spacing w:before="240" w:after="0"/>
        <w:jc w:val="center"/>
        <w:rPr>
          <w:u w:val="single"/>
        </w:rPr>
      </w:pPr>
      <w:r>
        <w:rPr>
          <w:u w:val="single"/>
        </w:rPr>
        <w:tab/>
      </w:r>
      <w:r>
        <w:rPr>
          <w:u w:val="single"/>
        </w:rPr>
        <w:tab/>
      </w:r>
      <w:r>
        <w:rPr>
          <w:u w:val="single"/>
        </w:rPr>
        <w:tab/>
      </w:r>
    </w:p>
    <w:sectPr w:rsidR="00AB1281" w:rsidRPr="00AB1281" w:rsidSect="00AB1281">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CDA5955" w14:textId="77777777" w:rsidR="00D55BD8" w:rsidRPr="00A312BC" w:rsidRDefault="00D55BD8" w:rsidP="00A312BC">
      <w:pPr>
        <w:pStyle w:val="Footer"/>
      </w:pPr>
    </w:p>
  </w:endnote>
  <w:endnote w:type="continuationSeparator" w:id="0">
    <w:p w14:paraId="66CD8AAF" w14:textId="77777777" w:rsidR="00D55BD8" w:rsidRPr="00A312BC" w:rsidRDefault="00D55BD8" w:rsidP="00A312B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39T30Lfz">
    <w:altName w:val="Symbol"/>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489205" w14:textId="77777777" w:rsidR="00AB1281" w:rsidRPr="00AB1281" w:rsidRDefault="00AB1281" w:rsidP="00AB1281">
    <w:pPr>
      <w:pStyle w:val="Footer"/>
      <w:tabs>
        <w:tab w:val="right" w:pos="9638"/>
      </w:tabs>
    </w:pPr>
    <w:r w:rsidRPr="00AB1281">
      <w:rPr>
        <w:b/>
        <w:sz w:val="18"/>
      </w:rPr>
      <w:fldChar w:fldCharType="begin"/>
    </w:r>
    <w:r w:rsidRPr="00AB1281">
      <w:rPr>
        <w:b/>
        <w:sz w:val="18"/>
      </w:rPr>
      <w:instrText xml:space="preserve"> PAGE  \* MERGEFORMAT </w:instrText>
    </w:r>
    <w:r w:rsidRPr="00AB1281">
      <w:rPr>
        <w:b/>
        <w:sz w:val="18"/>
      </w:rPr>
      <w:fldChar w:fldCharType="separate"/>
    </w:r>
    <w:r w:rsidRPr="00AB1281">
      <w:rPr>
        <w:b/>
        <w:noProof/>
        <w:sz w:val="18"/>
      </w:rPr>
      <w:t>2</w:t>
    </w:r>
    <w:r w:rsidRPr="00AB1281">
      <w:rPr>
        <w:b/>
        <w:sz w:val="18"/>
      </w:rPr>
      <w:fldChar w:fldCharType="end"/>
    </w:r>
    <w:r>
      <w:rPr>
        <w:b/>
        <w:sz w:val="18"/>
      </w:rPr>
      <w:tab/>
    </w:r>
    <w:r>
      <w:t>GE.20-08966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9C0738" w14:textId="77777777" w:rsidR="00AB1281" w:rsidRPr="00AB1281" w:rsidRDefault="00AB1281" w:rsidP="00AB1281">
    <w:pPr>
      <w:pStyle w:val="Footer"/>
      <w:tabs>
        <w:tab w:val="right" w:pos="9638"/>
      </w:tabs>
      <w:rPr>
        <w:b/>
        <w:sz w:val="18"/>
      </w:rPr>
    </w:pPr>
    <w:r>
      <w:t>GE.20-08966</w:t>
    </w:r>
    <w:r>
      <w:tab/>
    </w:r>
    <w:r w:rsidRPr="00AB1281">
      <w:rPr>
        <w:b/>
        <w:sz w:val="18"/>
      </w:rPr>
      <w:fldChar w:fldCharType="begin"/>
    </w:r>
    <w:r w:rsidRPr="00AB1281">
      <w:rPr>
        <w:b/>
        <w:sz w:val="18"/>
      </w:rPr>
      <w:instrText xml:space="preserve"> PAGE  \* MERGEFORMAT </w:instrText>
    </w:r>
    <w:r w:rsidRPr="00AB1281">
      <w:rPr>
        <w:b/>
        <w:sz w:val="18"/>
      </w:rPr>
      <w:fldChar w:fldCharType="separate"/>
    </w:r>
    <w:r w:rsidRPr="00AB1281">
      <w:rPr>
        <w:b/>
        <w:noProof/>
        <w:sz w:val="18"/>
      </w:rPr>
      <w:t>3</w:t>
    </w:r>
    <w:r w:rsidRPr="00AB128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88E0C4" w14:textId="77777777" w:rsidR="00042B72" w:rsidRPr="00AB1281" w:rsidRDefault="00AB1281" w:rsidP="00AB1281">
    <w:pPr>
      <w:pStyle w:val="Footer"/>
      <w:spacing w:before="120" w:line="240" w:lineRule="auto"/>
      <w:rPr>
        <w:sz w:val="20"/>
      </w:rPr>
    </w:pPr>
    <w:r>
      <w:rPr>
        <w:sz w:val="20"/>
      </w:rPr>
      <w:t>GE.</w:t>
    </w:r>
    <w:r w:rsidR="002E5067">
      <w:rPr>
        <w:noProof/>
      </w:rPr>
      <w:drawing>
        <wp:anchor distT="0" distB="0" distL="114300" distR="114300" simplePos="0" relativeHeight="251659264" behindDoc="0" locked="1" layoutInCell="1" allowOverlap="1" wp14:anchorId="44DDFE2A" wp14:editId="136C5EA9">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20-</w:t>
    </w:r>
    <w:proofErr w:type="gramStart"/>
    <w:r>
      <w:rPr>
        <w:sz w:val="20"/>
      </w:rPr>
      <w:t>08966  (</w:t>
    </w:r>
    <w:proofErr w:type="gramEnd"/>
    <w:r>
      <w:rPr>
        <w:sz w:val="20"/>
      </w:rPr>
      <w:t>S)    070720    0</w:t>
    </w:r>
    <w:r w:rsidR="00A042AC">
      <w:rPr>
        <w:sz w:val="20"/>
      </w:rPr>
      <w:t>7</w:t>
    </w:r>
    <w:r>
      <w:rPr>
        <w:sz w:val="20"/>
      </w:rPr>
      <w:t>0720</w:t>
    </w:r>
    <w:r>
      <w:rPr>
        <w:sz w:val="20"/>
      </w:rPr>
      <w:br/>
    </w:r>
    <w:r w:rsidRPr="00AB1281">
      <w:rPr>
        <w:rFonts w:ascii="C39T30Lfz" w:hAnsi="C39T30Lfz"/>
        <w:sz w:val="56"/>
      </w:rPr>
      <w:t></w:t>
    </w:r>
    <w:r w:rsidRPr="00AB1281">
      <w:rPr>
        <w:rFonts w:ascii="C39T30Lfz" w:hAnsi="C39T30Lfz"/>
        <w:sz w:val="56"/>
      </w:rPr>
      <w:t></w:t>
    </w:r>
    <w:r w:rsidRPr="00AB1281">
      <w:rPr>
        <w:rFonts w:ascii="C39T30Lfz" w:hAnsi="C39T30Lfz"/>
        <w:sz w:val="56"/>
      </w:rPr>
      <w:t></w:t>
    </w:r>
    <w:r w:rsidRPr="00AB1281">
      <w:rPr>
        <w:rFonts w:ascii="C39T30Lfz" w:hAnsi="C39T30Lfz"/>
        <w:sz w:val="56"/>
      </w:rPr>
      <w:t></w:t>
    </w:r>
    <w:r w:rsidRPr="00AB1281">
      <w:rPr>
        <w:rFonts w:ascii="C39T30Lfz" w:hAnsi="C39T30Lfz"/>
        <w:sz w:val="56"/>
      </w:rPr>
      <w:t></w:t>
    </w:r>
    <w:r w:rsidRPr="00AB1281">
      <w:rPr>
        <w:rFonts w:ascii="C39T30Lfz" w:hAnsi="C39T30Lfz"/>
        <w:sz w:val="56"/>
      </w:rPr>
      <w:t></w:t>
    </w:r>
    <w:r w:rsidRPr="00AB1281">
      <w:rPr>
        <w:rFonts w:ascii="C39T30Lfz" w:hAnsi="C39T30Lfz"/>
        <w:sz w:val="56"/>
      </w:rPr>
      <w:t></w:t>
    </w:r>
    <w:r w:rsidRPr="00AB1281">
      <w:rPr>
        <w:rFonts w:ascii="C39T30Lfz" w:hAnsi="C39T30Lfz"/>
        <w:sz w:val="56"/>
      </w:rPr>
      <w:t></w:t>
    </w:r>
    <w:r w:rsidRPr="00AB1281">
      <w:rPr>
        <w:rFonts w:ascii="C39T30Lfz" w:hAnsi="C39T30Lfz"/>
        <w:sz w:val="56"/>
      </w:rPr>
      <w:t></w:t>
    </w:r>
    <w:r>
      <w:rPr>
        <w:noProof/>
        <w:sz w:val="20"/>
      </w:rPr>
      <w:drawing>
        <wp:anchor distT="0" distB="0" distL="114300" distR="114300" simplePos="0" relativeHeight="251658752" behindDoc="0" locked="0" layoutInCell="1" allowOverlap="1" wp14:anchorId="3F784539" wp14:editId="04046EA8">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A/HRC/RES/43/16&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A/HRC/RES/43/16&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6A7D79E" w14:textId="77777777" w:rsidR="00D55BD8" w:rsidRPr="001075E9" w:rsidRDefault="00D55BD8" w:rsidP="001075E9">
      <w:pPr>
        <w:tabs>
          <w:tab w:val="right" w:pos="2155"/>
        </w:tabs>
        <w:spacing w:after="80" w:line="240" w:lineRule="auto"/>
        <w:ind w:left="680"/>
        <w:rPr>
          <w:u w:val="single"/>
        </w:rPr>
      </w:pPr>
      <w:r>
        <w:rPr>
          <w:u w:val="single"/>
        </w:rPr>
        <w:tab/>
      </w:r>
    </w:p>
  </w:footnote>
  <w:footnote w:type="continuationSeparator" w:id="0">
    <w:p w14:paraId="307D491C" w14:textId="77777777" w:rsidR="00D55BD8" w:rsidRDefault="00D55BD8" w:rsidP="00407B78">
      <w:pPr>
        <w:tabs>
          <w:tab w:val="right" w:pos="2155"/>
        </w:tabs>
        <w:spacing w:after="80"/>
        <w:ind w:left="680"/>
        <w:rPr>
          <w:u w:val="single"/>
        </w:rPr>
      </w:pPr>
      <w:r>
        <w:rPr>
          <w:u w:val="single"/>
        </w:rPr>
        <w:tab/>
      </w:r>
    </w:p>
  </w:footnote>
  <w:footnote w:id="1">
    <w:p w14:paraId="3915D96E" w14:textId="77777777" w:rsidR="00AB1281" w:rsidRPr="003104CE" w:rsidRDefault="00AB1281" w:rsidP="00AB1281">
      <w:pPr>
        <w:pStyle w:val="FootnoteText"/>
        <w:rPr>
          <w:lang w:val="es-ES_tradnl"/>
        </w:rPr>
      </w:pPr>
      <w:r w:rsidRPr="003104CE">
        <w:tab/>
      </w:r>
      <w:r w:rsidRPr="00AB1281">
        <w:rPr>
          <w:rStyle w:val="FootnoteReference"/>
        </w:rPr>
        <w:footnoteRef/>
      </w:r>
      <w:r w:rsidRPr="003104CE">
        <w:tab/>
        <w:t xml:space="preserve">A/HRC/43/51 y </w:t>
      </w:r>
      <w:proofErr w:type="spellStart"/>
      <w:r w:rsidRPr="003104CE">
        <w:t>Adds</w:t>
      </w:r>
      <w:proofErr w:type="spellEnd"/>
      <w:r w:rsidRPr="003104CE">
        <w:t>. 1 y 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96D94D" w14:textId="64F64DF0" w:rsidR="00AB1281" w:rsidRPr="00AB1281" w:rsidRDefault="00C15EFF">
    <w:pPr>
      <w:pStyle w:val="Header"/>
    </w:pPr>
    <w:r>
      <w:fldChar w:fldCharType="begin"/>
    </w:r>
    <w:r>
      <w:instrText xml:space="preserve"> TITLE  \* MERGEFORMAT </w:instrText>
    </w:r>
    <w:r>
      <w:fldChar w:fldCharType="separate"/>
    </w:r>
    <w:r>
      <w:t>A/HRC/RES/43/16</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4D5046C" w14:textId="4B7E0F88" w:rsidR="00AB1281" w:rsidRPr="00AB1281" w:rsidRDefault="00C15EFF" w:rsidP="00AB1281">
    <w:pPr>
      <w:pStyle w:val="Header"/>
      <w:jc w:val="right"/>
    </w:pPr>
    <w:r>
      <w:fldChar w:fldCharType="begin"/>
    </w:r>
    <w:r>
      <w:instrText xml:space="preserve"> TITLE  \* MERGEFORMAT </w:instrText>
    </w:r>
    <w:r>
      <w:fldChar w:fldCharType="separate"/>
    </w:r>
    <w:r>
      <w:t>A/HRC/RES/43/16</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D55BD8"/>
    <w:rsid w:val="00033EE1"/>
    <w:rsid w:val="00042B72"/>
    <w:rsid w:val="000558BD"/>
    <w:rsid w:val="0008244E"/>
    <w:rsid w:val="000B57E7"/>
    <w:rsid w:val="000B6373"/>
    <w:rsid w:val="000F09DF"/>
    <w:rsid w:val="000F61B2"/>
    <w:rsid w:val="001075E9"/>
    <w:rsid w:val="00180183"/>
    <w:rsid w:val="0018024D"/>
    <w:rsid w:val="0018649F"/>
    <w:rsid w:val="00196389"/>
    <w:rsid w:val="001B3EF6"/>
    <w:rsid w:val="001C7A89"/>
    <w:rsid w:val="00211FCA"/>
    <w:rsid w:val="002A2EFC"/>
    <w:rsid w:val="002C0E18"/>
    <w:rsid w:val="002D5AAC"/>
    <w:rsid w:val="002E5067"/>
    <w:rsid w:val="002F405F"/>
    <w:rsid w:val="002F7EEC"/>
    <w:rsid w:val="00301299"/>
    <w:rsid w:val="00307FB6"/>
    <w:rsid w:val="00317339"/>
    <w:rsid w:val="00322004"/>
    <w:rsid w:val="003402C2"/>
    <w:rsid w:val="0036160B"/>
    <w:rsid w:val="00370CE0"/>
    <w:rsid w:val="00381C24"/>
    <w:rsid w:val="003958D0"/>
    <w:rsid w:val="003B00E5"/>
    <w:rsid w:val="00407B78"/>
    <w:rsid w:val="00424203"/>
    <w:rsid w:val="00452493"/>
    <w:rsid w:val="00454E07"/>
    <w:rsid w:val="00472C5C"/>
    <w:rsid w:val="0050108D"/>
    <w:rsid w:val="00513081"/>
    <w:rsid w:val="00517901"/>
    <w:rsid w:val="00526683"/>
    <w:rsid w:val="005709E0"/>
    <w:rsid w:val="00572E19"/>
    <w:rsid w:val="005843D1"/>
    <w:rsid w:val="005961C8"/>
    <w:rsid w:val="005D7914"/>
    <w:rsid w:val="005E2B41"/>
    <w:rsid w:val="005F0B42"/>
    <w:rsid w:val="00681A10"/>
    <w:rsid w:val="006A1ED8"/>
    <w:rsid w:val="006C2031"/>
    <w:rsid w:val="006D461A"/>
    <w:rsid w:val="006F35EE"/>
    <w:rsid w:val="007021FF"/>
    <w:rsid w:val="00712895"/>
    <w:rsid w:val="00757357"/>
    <w:rsid w:val="00825F8D"/>
    <w:rsid w:val="00834B71"/>
    <w:rsid w:val="0086445C"/>
    <w:rsid w:val="00894693"/>
    <w:rsid w:val="008A08D7"/>
    <w:rsid w:val="008B6909"/>
    <w:rsid w:val="008F4835"/>
    <w:rsid w:val="00906890"/>
    <w:rsid w:val="00911BE4"/>
    <w:rsid w:val="00951972"/>
    <w:rsid w:val="009608F3"/>
    <w:rsid w:val="009A24AC"/>
    <w:rsid w:val="00A042AC"/>
    <w:rsid w:val="00A312BC"/>
    <w:rsid w:val="00A84021"/>
    <w:rsid w:val="00A84D35"/>
    <w:rsid w:val="00A917B3"/>
    <w:rsid w:val="00AB1281"/>
    <w:rsid w:val="00AB4B51"/>
    <w:rsid w:val="00B10CC7"/>
    <w:rsid w:val="00B539E7"/>
    <w:rsid w:val="00B62458"/>
    <w:rsid w:val="00BC18B2"/>
    <w:rsid w:val="00BD33EE"/>
    <w:rsid w:val="00C106D6"/>
    <w:rsid w:val="00C15EFF"/>
    <w:rsid w:val="00C60F0C"/>
    <w:rsid w:val="00C805C9"/>
    <w:rsid w:val="00C92939"/>
    <w:rsid w:val="00CA1679"/>
    <w:rsid w:val="00CB151C"/>
    <w:rsid w:val="00CD0C97"/>
    <w:rsid w:val="00CE5A1A"/>
    <w:rsid w:val="00CF55F6"/>
    <w:rsid w:val="00D33D63"/>
    <w:rsid w:val="00D55BD8"/>
    <w:rsid w:val="00D90138"/>
    <w:rsid w:val="00E73F76"/>
    <w:rsid w:val="00EA2C9F"/>
    <w:rsid w:val="00ED0BDA"/>
    <w:rsid w:val="00EF1360"/>
    <w:rsid w:val="00EF3220"/>
    <w:rsid w:val="00F94155"/>
    <w:rsid w:val="00F9783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68F6340B"/>
  <w15:docId w15:val="{9566495C-7157-4C07-AA9E-10EC67E137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5">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rsid w:val="00472C5C"/>
    <w:pPr>
      <w:spacing w:line="240" w:lineRule="atLeast"/>
    </w:pPr>
  </w:style>
  <w:style w:type="paragraph" w:styleId="Heading1">
    <w:name w:val="heading 1"/>
    <w:aliases w:val="Cuadro_G"/>
    <w:basedOn w:val="SingleTxtG"/>
    <w:next w:val="SingleTxtG"/>
    <w:link w:val="Heading1Char"/>
    <w:qFormat/>
    <w:rsid w:val="00472C5C"/>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Heading2">
    <w:name w:val="heading 2"/>
    <w:basedOn w:val="Normal"/>
    <w:next w:val="Normal"/>
    <w:semiHidden/>
    <w:rsid w:val="00681A10"/>
    <w:pPr>
      <w:keepNext/>
      <w:outlineLvl w:val="1"/>
    </w:pPr>
    <w:rPr>
      <w:rFonts w:cs="Arial"/>
      <w:bCs/>
      <w:iCs/>
      <w:szCs w:val="28"/>
    </w:rPr>
  </w:style>
  <w:style w:type="paragraph" w:styleId="Heading3">
    <w:name w:val="heading 3"/>
    <w:basedOn w:val="Normal"/>
    <w:next w:val="Normal"/>
    <w:semiHidden/>
    <w:rsid w:val="00681A10"/>
    <w:pPr>
      <w:keepNext/>
      <w:spacing w:before="240" w:after="60"/>
      <w:outlineLvl w:val="2"/>
    </w:pPr>
    <w:rPr>
      <w:rFonts w:ascii="Arial" w:hAnsi="Arial" w:cs="Arial"/>
      <w:b/>
      <w:bCs/>
      <w:sz w:val="26"/>
      <w:szCs w:val="26"/>
    </w:rPr>
  </w:style>
  <w:style w:type="paragraph" w:styleId="Heading4">
    <w:name w:val="heading 4"/>
    <w:basedOn w:val="Normal"/>
    <w:next w:val="Normal"/>
    <w:semiHidden/>
    <w:rsid w:val="00681A10"/>
    <w:pPr>
      <w:keepNext/>
      <w:spacing w:before="240" w:after="60"/>
      <w:outlineLvl w:val="3"/>
    </w:pPr>
    <w:rPr>
      <w:b/>
      <w:bCs/>
      <w:sz w:val="28"/>
      <w:szCs w:val="28"/>
    </w:rPr>
  </w:style>
  <w:style w:type="paragraph" w:styleId="Heading5">
    <w:name w:val="heading 5"/>
    <w:basedOn w:val="Normal"/>
    <w:next w:val="Normal"/>
    <w:semiHidden/>
    <w:rsid w:val="00681A10"/>
    <w:pPr>
      <w:spacing w:before="240" w:after="60"/>
      <w:outlineLvl w:val="4"/>
    </w:pPr>
    <w:rPr>
      <w:b/>
      <w:bCs/>
      <w:i/>
      <w:iCs/>
      <w:sz w:val="26"/>
      <w:szCs w:val="26"/>
    </w:rPr>
  </w:style>
  <w:style w:type="paragraph" w:styleId="Heading6">
    <w:name w:val="heading 6"/>
    <w:basedOn w:val="Normal"/>
    <w:next w:val="Normal"/>
    <w:semiHidden/>
    <w:rsid w:val="00681A10"/>
    <w:pPr>
      <w:spacing w:before="240" w:after="60"/>
      <w:outlineLvl w:val="5"/>
    </w:pPr>
    <w:rPr>
      <w:b/>
      <w:bCs/>
      <w:sz w:val="22"/>
      <w:szCs w:val="22"/>
    </w:rPr>
  </w:style>
  <w:style w:type="paragraph" w:styleId="Heading7">
    <w:name w:val="heading 7"/>
    <w:basedOn w:val="Normal"/>
    <w:next w:val="Normal"/>
    <w:semiHidden/>
    <w:rsid w:val="00681A10"/>
    <w:pPr>
      <w:spacing w:before="240" w:after="60"/>
      <w:outlineLvl w:val="6"/>
    </w:pPr>
    <w:rPr>
      <w:sz w:val="24"/>
      <w:szCs w:val="24"/>
    </w:rPr>
  </w:style>
  <w:style w:type="paragraph" w:styleId="Heading8">
    <w:name w:val="heading 8"/>
    <w:basedOn w:val="Normal"/>
    <w:next w:val="Normal"/>
    <w:semiHidden/>
    <w:rsid w:val="00681A10"/>
    <w:pPr>
      <w:spacing w:before="240" w:after="60"/>
      <w:outlineLvl w:val="7"/>
    </w:pPr>
    <w:rPr>
      <w:i/>
      <w:iCs/>
      <w:sz w:val="24"/>
      <w:szCs w:val="24"/>
    </w:rPr>
  </w:style>
  <w:style w:type="paragraph" w:styleId="Heading9">
    <w:name w:val="heading 9"/>
    <w:basedOn w:val="Normal"/>
    <w:next w:val="Normal"/>
    <w:semiHidden/>
    <w:rsid w:val="00681A10"/>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basedOn w:val="DefaultParagraphFont"/>
    <w:rsid w:val="00681A10"/>
    <w:rPr>
      <w:rFonts w:ascii="Times New Roman" w:hAnsi="Times New Roman"/>
      <w:sz w:val="18"/>
      <w:vertAlign w:val="superscript"/>
    </w:rPr>
  </w:style>
  <w:style w:type="paragraph" w:customStyle="1" w:styleId="HMG">
    <w:name w:val="_ H __M_G"/>
    <w:basedOn w:val="Normal"/>
    <w:next w:val="Normal"/>
    <w:qFormat/>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qFormat/>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Footer">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FootnoteText">
    <w:name w:val="footnote text"/>
    <w:aliases w:val="5_G"/>
    <w:basedOn w:val="Normal"/>
    <w:rsid w:val="00681A10"/>
    <w:pPr>
      <w:tabs>
        <w:tab w:val="right" w:pos="1021"/>
      </w:tabs>
      <w:spacing w:line="220" w:lineRule="exact"/>
      <w:ind w:left="1134" w:right="1134" w:hanging="1134"/>
    </w:pPr>
    <w:rPr>
      <w:sz w:val="18"/>
    </w:rPr>
  </w:style>
  <w:style w:type="table" w:styleId="TableGrid">
    <w:name w:val="Table Grid"/>
    <w:basedOn w:val="Table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semiHidden/>
    <w:rsid w:val="00681A10"/>
    <w:pPr>
      <w:numPr>
        <w:numId w:val="3"/>
      </w:numPr>
    </w:pPr>
  </w:style>
  <w:style w:type="numbering" w:styleId="1ai">
    <w:name w:val="Outline List 1"/>
    <w:basedOn w:val="NoList"/>
    <w:semiHidden/>
    <w:rsid w:val="00681A10"/>
    <w:pPr>
      <w:numPr>
        <w:numId w:val="4"/>
      </w:numPr>
    </w:pPr>
  </w:style>
  <w:style w:type="character" w:styleId="HTMLAcronym">
    <w:name w:val="HTML Acronym"/>
    <w:basedOn w:val="DefaultParagraphFont"/>
    <w:semiHidden/>
    <w:rsid w:val="00681A10"/>
  </w:style>
  <w:style w:type="numbering" w:styleId="ArticleSection">
    <w:name w:val="Outline List 3"/>
    <w:basedOn w:val="NoList"/>
    <w:semiHidden/>
    <w:rsid w:val="00681A10"/>
    <w:pPr>
      <w:numPr>
        <w:numId w:val="5"/>
      </w:numPr>
    </w:pPr>
  </w:style>
  <w:style w:type="paragraph" w:styleId="Closing">
    <w:name w:val="Closing"/>
    <w:basedOn w:val="Normal"/>
    <w:semiHidden/>
    <w:rsid w:val="00681A10"/>
    <w:pPr>
      <w:ind w:left="4252"/>
    </w:pPr>
  </w:style>
  <w:style w:type="character" w:styleId="HTMLCite">
    <w:name w:val="HTML Cite"/>
    <w:basedOn w:val="DefaultParagraphFont"/>
    <w:semiHidden/>
    <w:rsid w:val="00681A10"/>
    <w:rPr>
      <w:i/>
      <w:iCs/>
    </w:rPr>
  </w:style>
  <w:style w:type="character" w:styleId="HTMLCode">
    <w:name w:val="HTML Code"/>
    <w:basedOn w:val="DefaultParagraphFont"/>
    <w:semiHidden/>
    <w:rsid w:val="00681A10"/>
    <w:rPr>
      <w:rFonts w:ascii="Courier New" w:hAnsi="Courier New" w:cs="Courier New"/>
      <w:sz w:val="20"/>
      <w:szCs w:val="20"/>
    </w:rPr>
  </w:style>
  <w:style w:type="paragraph" w:styleId="ListContinue">
    <w:name w:val="List Continue"/>
    <w:basedOn w:val="Normal"/>
    <w:semiHidden/>
    <w:rsid w:val="00681A10"/>
    <w:pPr>
      <w:spacing w:after="120"/>
      <w:ind w:left="283"/>
    </w:pPr>
  </w:style>
  <w:style w:type="paragraph" w:styleId="ListContinue2">
    <w:name w:val="List Continue 2"/>
    <w:basedOn w:val="Normal"/>
    <w:semiHidden/>
    <w:rsid w:val="00681A10"/>
    <w:pPr>
      <w:spacing w:after="120"/>
      <w:ind w:left="566"/>
    </w:pPr>
  </w:style>
  <w:style w:type="paragraph" w:styleId="ListContinue3">
    <w:name w:val="List Continue 3"/>
    <w:basedOn w:val="Normal"/>
    <w:semiHidden/>
    <w:rsid w:val="00681A10"/>
    <w:pPr>
      <w:spacing w:after="120"/>
      <w:ind w:left="849"/>
    </w:pPr>
  </w:style>
  <w:style w:type="paragraph" w:styleId="ListContinue4">
    <w:name w:val="List Continue 4"/>
    <w:basedOn w:val="Normal"/>
    <w:semiHidden/>
    <w:rsid w:val="00681A10"/>
    <w:pPr>
      <w:spacing w:after="120"/>
      <w:ind w:left="1132"/>
    </w:pPr>
  </w:style>
  <w:style w:type="paragraph" w:styleId="ListContinue5">
    <w:name w:val="List Continue 5"/>
    <w:basedOn w:val="Normal"/>
    <w:semiHidden/>
    <w:rsid w:val="00681A10"/>
    <w:pPr>
      <w:spacing w:after="120"/>
      <w:ind w:left="1415"/>
    </w:pPr>
  </w:style>
  <w:style w:type="character" w:styleId="HTMLDefinition">
    <w:name w:val="HTML Definition"/>
    <w:basedOn w:val="DefaultParagraphFont"/>
    <w:semiHidden/>
    <w:rsid w:val="00681A10"/>
    <w:rPr>
      <w:i/>
      <w:iCs/>
    </w:rPr>
  </w:style>
  <w:style w:type="paragraph" w:styleId="HTMLAddress">
    <w:name w:val="HTML Address"/>
    <w:basedOn w:val="Normal"/>
    <w:semiHidden/>
    <w:rsid w:val="00681A10"/>
    <w:rPr>
      <w:i/>
      <w:iCs/>
    </w:rPr>
  </w:style>
  <w:style w:type="paragraph" w:styleId="EnvelopeAddress">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681A10"/>
    <w:rPr>
      <w:rFonts w:ascii="Courier New" w:hAnsi="Courier New" w:cs="Courier New"/>
    </w:rPr>
  </w:style>
  <w:style w:type="paragraph" w:styleId="MessageHeader">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81A10"/>
  </w:style>
  <w:style w:type="paragraph" w:styleId="Date">
    <w:name w:val="Date"/>
    <w:basedOn w:val="Normal"/>
    <w:next w:val="Normal"/>
    <w:semiHidden/>
    <w:rsid w:val="00681A10"/>
  </w:style>
  <w:style w:type="paragraph" w:styleId="Signature">
    <w:name w:val="Signature"/>
    <w:basedOn w:val="Normal"/>
    <w:semiHidden/>
    <w:rsid w:val="00681A10"/>
    <w:pPr>
      <w:ind w:left="4252"/>
    </w:pPr>
  </w:style>
  <w:style w:type="paragraph" w:styleId="E-mailSignature">
    <w:name w:val="E-mail Signature"/>
    <w:basedOn w:val="Normal"/>
    <w:semiHidden/>
    <w:rsid w:val="00681A10"/>
  </w:style>
  <w:style w:type="character" w:styleId="Hyperlink">
    <w:name w:val="Hyperlink"/>
    <w:basedOn w:val="DefaultParagraphFont"/>
    <w:semiHidden/>
    <w:rsid w:val="00681A10"/>
    <w:rPr>
      <w:color w:val="0000FF"/>
      <w:u w:val="single"/>
    </w:rPr>
  </w:style>
  <w:style w:type="character" w:styleId="FollowedHyperlink">
    <w:name w:val="FollowedHyperlink"/>
    <w:basedOn w:val="DefaultParagraphFont"/>
    <w:semiHidden/>
    <w:rsid w:val="00681A10"/>
    <w:rPr>
      <w:color w:val="800080"/>
      <w:u w:val="single"/>
    </w:rPr>
  </w:style>
  <w:style w:type="paragraph" w:styleId="HTMLPreformatted">
    <w:name w:val="HTML Preformatted"/>
    <w:basedOn w:val="Normal"/>
    <w:semiHidden/>
    <w:rsid w:val="00681A10"/>
    <w:rPr>
      <w:rFonts w:ascii="Courier New" w:hAnsi="Courier New" w:cs="Courier New"/>
    </w:rPr>
  </w:style>
  <w:style w:type="paragraph" w:styleId="List">
    <w:name w:val="List"/>
    <w:basedOn w:val="Normal"/>
    <w:semiHidden/>
    <w:rsid w:val="00681A10"/>
    <w:pPr>
      <w:ind w:left="283" w:hanging="283"/>
    </w:pPr>
  </w:style>
  <w:style w:type="paragraph" w:styleId="List2">
    <w:name w:val="List 2"/>
    <w:basedOn w:val="Normal"/>
    <w:semiHidden/>
    <w:rsid w:val="00681A10"/>
    <w:pPr>
      <w:ind w:left="566" w:hanging="283"/>
    </w:pPr>
  </w:style>
  <w:style w:type="paragraph" w:styleId="List3">
    <w:name w:val="List 3"/>
    <w:basedOn w:val="Normal"/>
    <w:semiHidden/>
    <w:rsid w:val="00681A10"/>
    <w:pPr>
      <w:ind w:left="849" w:hanging="283"/>
    </w:pPr>
  </w:style>
  <w:style w:type="paragraph" w:styleId="List4">
    <w:name w:val="List 4"/>
    <w:basedOn w:val="Normal"/>
    <w:semiHidden/>
    <w:rsid w:val="00681A10"/>
    <w:pPr>
      <w:ind w:left="1132" w:hanging="283"/>
    </w:pPr>
  </w:style>
  <w:style w:type="paragraph" w:styleId="List5">
    <w:name w:val="List 5"/>
    <w:basedOn w:val="Normal"/>
    <w:semiHidden/>
    <w:rsid w:val="00681A10"/>
    <w:pPr>
      <w:ind w:left="1415" w:hanging="283"/>
    </w:pPr>
  </w:style>
  <w:style w:type="paragraph" w:styleId="ListNumber">
    <w:name w:val="List Number"/>
    <w:basedOn w:val="Normal"/>
    <w:semiHidden/>
    <w:rsid w:val="00681A10"/>
    <w:pPr>
      <w:numPr>
        <w:numId w:val="6"/>
      </w:numPr>
    </w:pPr>
  </w:style>
  <w:style w:type="paragraph" w:styleId="ListNumber2">
    <w:name w:val="List Number 2"/>
    <w:basedOn w:val="Normal"/>
    <w:semiHidden/>
    <w:rsid w:val="00681A10"/>
    <w:pPr>
      <w:numPr>
        <w:numId w:val="7"/>
      </w:numPr>
    </w:pPr>
  </w:style>
  <w:style w:type="paragraph" w:styleId="ListNumber3">
    <w:name w:val="List Number 3"/>
    <w:basedOn w:val="Normal"/>
    <w:semiHidden/>
    <w:rsid w:val="00681A10"/>
    <w:pPr>
      <w:numPr>
        <w:numId w:val="8"/>
      </w:numPr>
    </w:pPr>
  </w:style>
  <w:style w:type="paragraph" w:styleId="ListNumber4">
    <w:name w:val="List Number 4"/>
    <w:basedOn w:val="Normal"/>
    <w:semiHidden/>
    <w:rsid w:val="00681A10"/>
    <w:pPr>
      <w:numPr>
        <w:numId w:val="9"/>
      </w:numPr>
    </w:pPr>
  </w:style>
  <w:style w:type="paragraph" w:styleId="ListNumber5">
    <w:name w:val="List Number 5"/>
    <w:basedOn w:val="Normal"/>
    <w:semiHidden/>
    <w:rsid w:val="00681A10"/>
    <w:pPr>
      <w:numPr>
        <w:numId w:val="10"/>
      </w:numPr>
    </w:pPr>
  </w:style>
  <w:style w:type="paragraph" w:styleId="ListBullet">
    <w:name w:val="List Bullet"/>
    <w:basedOn w:val="Normal"/>
    <w:semiHidden/>
    <w:rsid w:val="00681A10"/>
    <w:pPr>
      <w:numPr>
        <w:numId w:val="11"/>
      </w:numPr>
    </w:pPr>
  </w:style>
  <w:style w:type="paragraph" w:styleId="ListBullet2">
    <w:name w:val="List Bullet 2"/>
    <w:basedOn w:val="Normal"/>
    <w:semiHidden/>
    <w:rsid w:val="00681A10"/>
    <w:pPr>
      <w:numPr>
        <w:numId w:val="12"/>
      </w:numPr>
    </w:pPr>
  </w:style>
  <w:style w:type="paragraph" w:styleId="ListBullet3">
    <w:name w:val="List Bullet 3"/>
    <w:basedOn w:val="Normal"/>
    <w:semiHidden/>
    <w:rsid w:val="00681A10"/>
    <w:pPr>
      <w:numPr>
        <w:numId w:val="13"/>
      </w:numPr>
    </w:pPr>
  </w:style>
  <w:style w:type="paragraph" w:styleId="ListBullet4">
    <w:name w:val="List Bullet 4"/>
    <w:basedOn w:val="Normal"/>
    <w:semiHidden/>
    <w:rsid w:val="00681A10"/>
    <w:pPr>
      <w:numPr>
        <w:numId w:val="14"/>
      </w:numPr>
    </w:pPr>
  </w:style>
  <w:style w:type="paragraph" w:styleId="ListBullet5">
    <w:name w:val="List Bullet 5"/>
    <w:basedOn w:val="Normal"/>
    <w:semiHidden/>
    <w:rsid w:val="00681A10"/>
    <w:pPr>
      <w:numPr>
        <w:numId w:val="15"/>
      </w:numPr>
    </w:pPr>
  </w:style>
  <w:style w:type="character" w:styleId="HTMLTypewriter">
    <w:name w:val="HTML Typewriter"/>
    <w:basedOn w:val="DefaultParagraphFont"/>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LineNumber">
    <w:name w:val="line number"/>
    <w:basedOn w:val="DefaultParagraphFont"/>
    <w:semiHidden/>
    <w:rsid w:val="00681A10"/>
  </w:style>
  <w:style w:type="character" w:styleId="PageNumber">
    <w:name w:val="page number"/>
    <w:aliases w:val="7_G"/>
    <w:basedOn w:val="DefaultParagraphFont"/>
    <w:rsid w:val="00681A10"/>
    <w:rPr>
      <w:b/>
      <w:sz w:val="18"/>
    </w:rPr>
  </w:style>
  <w:style w:type="character" w:styleId="EndnoteReference">
    <w:name w:val="endnote reference"/>
    <w:aliases w:val="1_G"/>
    <w:basedOn w:val="FootnoteReference"/>
    <w:rsid w:val="00681A10"/>
    <w:rPr>
      <w:rFonts w:ascii="Times New Roman" w:hAnsi="Times New Roman"/>
      <w:sz w:val="18"/>
      <w:vertAlign w:val="superscript"/>
    </w:rPr>
  </w:style>
  <w:style w:type="paragraph" w:styleId="EnvelopeReturn">
    <w:name w:val="envelope return"/>
    <w:basedOn w:val="Normal"/>
    <w:semiHidden/>
    <w:rsid w:val="00681A10"/>
    <w:rPr>
      <w:rFonts w:ascii="Arial" w:hAnsi="Arial" w:cs="Arial"/>
    </w:rPr>
  </w:style>
  <w:style w:type="paragraph" w:styleId="Salutation">
    <w:name w:val="Salutation"/>
    <w:basedOn w:val="Normal"/>
    <w:next w:val="Normal"/>
    <w:semiHidden/>
    <w:rsid w:val="00681A10"/>
  </w:style>
  <w:style w:type="paragraph" w:styleId="BodyTextIndent2">
    <w:name w:val="Body Text Indent 2"/>
    <w:basedOn w:val="Normal"/>
    <w:semiHidden/>
    <w:rsid w:val="00681A10"/>
    <w:pPr>
      <w:spacing w:after="120" w:line="480" w:lineRule="auto"/>
      <w:ind w:left="283"/>
    </w:pPr>
  </w:style>
  <w:style w:type="paragraph" w:styleId="BodyTextIndent3">
    <w:name w:val="Body Text Indent 3"/>
    <w:basedOn w:val="Normal"/>
    <w:semiHidden/>
    <w:rsid w:val="00681A10"/>
    <w:pPr>
      <w:spacing w:after="120"/>
      <w:ind w:left="283"/>
    </w:pPr>
    <w:rPr>
      <w:sz w:val="16"/>
      <w:szCs w:val="16"/>
    </w:rPr>
  </w:style>
  <w:style w:type="paragraph" w:styleId="BodyTextIndent">
    <w:name w:val="Body Text Indent"/>
    <w:basedOn w:val="Normal"/>
    <w:semiHidden/>
    <w:rsid w:val="00681A10"/>
    <w:pPr>
      <w:spacing w:after="120"/>
      <w:ind w:left="283"/>
    </w:pPr>
  </w:style>
  <w:style w:type="paragraph" w:styleId="NormalIndent">
    <w:name w:val="Normal Indent"/>
    <w:basedOn w:val="Normal"/>
    <w:semiHidden/>
    <w:rsid w:val="00681A10"/>
    <w:pPr>
      <w:ind w:left="567"/>
    </w:pPr>
  </w:style>
  <w:style w:type="paragraph" w:styleId="Subtitle">
    <w:name w:val="Subtitle"/>
    <w:basedOn w:val="Normal"/>
    <w:semiHidden/>
    <w:rsid w:val="00681A10"/>
    <w:pPr>
      <w:spacing w:after="60"/>
      <w:jc w:val="center"/>
      <w:outlineLvl w:val="1"/>
    </w:pPr>
    <w:rPr>
      <w:rFonts w:ascii="Arial" w:hAnsi="Arial" w:cs="Arial"/>
      <w:sz w:val="24"/>
      <w:szCs w:val="24"/>
    </w:rPr>
  </w:style>
  <w:style w:type="table" w:styleId="TableSimple1">
    <w:name w:val="Table Simple 1"/>
    <w:basedOn w:val="Table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681A10"/>
    <w:rPr>
      <w:rFonts w:ascii="Courier New" w:hAnsi="Courier New" w:cs="Courier New"/>
      <w:sz w:val="20"/>
      <w:szCs w:val="20"/>
    </w:rPr>
  </w:style>
  <w:style w:type="paragraph" w:styleId="BlockText">
    <w:name w:val="Block Text"/>
    <w:basedOn w:val="Normal"/>
    <w:semiHidden/>
    <w:rsid w:val="00681A10"/>
    <w:pPr>
      <w:spacing w:after="120"/>
      <w:ind w:left="1440" w:right="1440"/>
    </w:pPr>
  </w:style>
  <w:style w:type="character" w:styleId="Strong">
    <w:name w:val="Strong"/>
    <w:basedOn w:val="DefaultParagraphFont"/>
    <w:semiHidden/>
    <w:rsid w:val="00681A10"/>
    <w:rPr>
      <w:b/>
      <w:bCs/>
    </w:rPr>
  </w:style>
  <w:style w:type="paragraph" w:styleId="BodyText">
    <w:name w:val="Body Text"/>
    <w:basedOn w:val="Normal"/>
    <w:semiHidden/>
    <w:rsid w:val="00681A10"/>
    <w:pPr>
      <w:spacing w:after="120"/>
    </w:pPr>
  </w:style>
  <w:style w:type="paragraph" w:styleId="BodyText2">
    <w:name w:val="Body Text 2"/>
    <w:basedOn w:val="Normal"/>
    <w:semiHidden/>
    <w:rsid w:val="00681A10"/>
    <w:pPr>
      <w:spacing w:after="120" w:line="480" w:lineRule="auto"/>
    </w:pPr>
  </w:style>
  <w:style w:type="paragraph" w:styleId="BodyText3">
    <w:name w:val="Body Text 3"/>
    <w:basedOn w:val="Normal"/>
    <w:semiHidden/>
    <w:rsid w:val="00681A10"/>
    <w:pPr>
      <w:spacing w:after="120"/>
    </w:pPr>
    <w:rPr>
      <w:sz w:val="16"/>
      <w:szCs w:val="16"/>
    </w:rPr>
  </w:style>
  <w:style w:type="paragraph" w:styleId="BodyTextFirstIndent">
    <w:name w:val="Body Text First Indent"/>
    <w:basedOn w:val="BodyText"/>
    <w:semiHidden/>
    <w:rsid w:val="00681A10"/>
    <w:pPr>
      <w:ind w:firstLine="210"/>
    </w:pPr>
  </w:style>
  <w:style w:type="paragraph" w:styleId="BodyTextFirstIndent2">
    <w:name w:val="Body Text First Indent 2"/>
    <w:basedOn w:val="BodyTextIndent"/>
    <w:semiHidden/>
    <w:rsid w:val="00681A10"/>
    <w:pPr>
      <w:ind w:firstLine="210"/>
    </w:pPr>
  </w:style>
  <w:style w:type="paragraph" w:styleId="EndnoteText">
    <w:name w:val="endnote text"/>
    <w:aliases w:val="2_G"/>
    <w:basedOn w:val="FootnoteText"/>
    <w:rsid w:val="00681A10"/>
  </w:style>
  <w:style w:type="paragraph" w:styleId="PlainText">
    <w:name w:val="Plain Text"/>
    <w:basedOn w:val="Normal"/>
    <w:semiHidden/>
    <w:rsid w:val="00681A10"/>
    <w:rPr>
      <w:rFonts w:ascii="Courier New" w:hAnsi="Courier New" w:cs="Courier New"/>
    </w:rPr>
  </w:style>
  <w:style w:type="paragraph" w:styleId="Title">
    <w:name w:val="Title"/>
    <w:basedOn w:val="Normal"/>
    <w:semiHidden/>
    <w:rsid w:val="00681A10"/>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paragraph" w:styleId="BalloonText">
    <w:name w:val="Balloon Text"/>
    <w:basedOn w:val="Normal"/>
    <w:link w:val="BalloonTextChar"/>
    <w:semiHidden/>
    <w:rsid w:val="002E5067"/>
    <w:pPr>
      <w:spacing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472C5C"/>
    <w:rPr>
      <w:rFonts w:ascii="Tahoma" w:hAnsi="Tahoma" w:cs="Tahoma"/>
      <w:sz w:val="16"/>
      <w:szCs w:val="16"/>
    </w:rPr>
  </w:style>
  <w:style w:type="character" w:customStyle="1" w:styleId="Heading1Char">
    <w:name w:val="Heading 1 Char"/>
    <w:aliases w:val="Cuadro_G Char"/>
    <w:basedOn w:val="DefaultParagraphFont"/>
    <w:link w:val="Heading1"/>
    <w:rsid w:val="00472C5C"/>
    <w:rPr>
      <w:lang w:val="fr-CH"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A.dotm</Template>
  <TotalTime>0</TotalTime>
  <Pages>3</Pages>
  <Words>1012</Words>
  <Characters>5771</Characters>
  <Application>Microsoft Office Word</Application>
  <DocSecurity>0</DocSecurity>
  <Lines>48</Lines>
  <Paragraphs>13</Paragraphs>
  <ScaleCrop>false</ScaleCrop>
  <HeadingPairs>
    <vt:vector size="2" baseType="variant">
      <vt:variant>
        <vt:lpstr>Título</vt:lpstr>
      </vt:variant>
      <vt:variant>
        <vt:i4>1</vt:i4>
      </vt:variant>
    </vt:vector>
  </HeadingPairs>
  <TitlesOfParts>
    <vt:vector size="1" baseType="lpstr">
      <vt:lpstr>A/</vt:lpstr>
    </vt:vector>
  </TitlesOfParts>
  <Company>DCM</Company>
  <LinksUpToDate>false</LinksUpToDate>
  <CharactersWithSpaces>6770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A/HRC/RES/43/16</dc:title>
  <dc:subject/>
  <dc:creator>Marcel GONZALEZ-PEREZ</dc:creator>
  <cp:keywords/>
  <cp:lastModifiedBy>Maria Luisa Zeballos Moreno</cp:lastModifiedBy>
  <cp:revision>3</cp:revision>
  <cp:lastPrinted>2020-07-07T14:07:00Z</cp:lastPrinted>
  <dcterms:created xsi:type="dcterms:W3CDTF">2020-07-07T14:07:00Z</dcterms:created>
  <dcterms:modified xsi:type="dcterms:W3CDTF">2020-07-07T14:07:00Z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