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388451C2" w14:textId="77777777" w:rsidTr="004C4D99">
        <w:trPr>
          <w:trHeight w:hRule="exact" w:val="851"/>
        </w:trPr>
        <w:tc>
          <w:tcPr>
            <w:tcW w:w="1276" w:type="dxa"/>
            <w:tcBorders>
              <w:bottom w:val="single" w:sz="4" w:space="0" w:color="auto"/>
            </w:tcBorders>
          </w:tcPr>
          <w:p w14:paraId="4D2738F5" w14:textId="77777777" w:rsidR="00392B1D" w:rsidRPr="00DB58B5" w:rsidRDefault="00392B1D" w:rsidP="00AE19B9"/>
        </w:tc>
        <w:tc>
          <w:tcPr>
            <w:tcW w:w="2268" w:type="dxa"/>
            <w:tcBorders>
              <w:bottom w:val="single" w:sz="4" w:space="0" w:color="auto"/>
            </w:tcBorders>
            <w:vAlign w:val="bottom"/>
          </w:tcPr>
          <w:p w14:paraId="74C0F9C6"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A3B1AEA" w14:textId="42F6545E" w:rsidR="00392B1D" w:rsidRPr="00DB58B5" w:rsidRDefault="00AE19B9" w:rsidP="00AE19B9">
            <w:pPr>
              <w:jc w:val="right"/>
            </w:pPr>
            <w:r w:rsidRPr="00AE19B9">
              <w:rPr>
                <w:sz w:val="40"/>
              </w:rPr>
              <w:t>CED</w:t>
            </w:r>
            <w:r>
              <w:t>/C/24/2</w:t>
            </w:r>
          </w:p>
        </w:tc>
      </w:tr>
      <w:tr w:rsidR="00392B1D" w:rsidRPr="00DB58B5" w14:paraId="1062E840" w14:textId="77777777" w:rsidTr="004C4D99">
        <w:trPr>
          <w:trHeight w:hRule="exact" w:val="2835"/>
        </w:trPr>
        <w:tc>
          <w:tcPr>
            <w:tcW w:w="1276" w:type="dxa"/>
            <w:tcBorders>
              <w:top w:val="single" w:sz="4" w:space="0" w:color="auto"/>
              <w:bottom w:val="single" w:sz="12" w:space="0" w:color="auto"/>
            </w:tcBorders>
          </w:tcPr>
          <w:p w14:paraId="474155A5" w14:textId="77777777" w:rsidR="00392B1D" w:rsidRPr="00DB58B5" w:rsidRDefault="00392B1D" w:rsidP="004C4D99">
            <w:pPr>
              <w:spacing w:before="120"/>
              <w:jc w:val="center"/>
            </w:pPr>
            <w:r>
              <w:rPr>
                <w:noProof/>
                <w:lang w:eastAsia="fr-CH"/>
              </w:rPr>
              <w:drawing>
                <wp:inline distT="0" distB="0" distL="0" distR="0" wp14:anchorId="1DE2C997" wp14:editId="205C66D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07F7070"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656A7F9D" w14:textId="77777777" w:rsidR="00392B1D" w:rsidRDefault="00AE19B9" w:rsidP="004C4D99">
            <w:pPr>
              <w:spacing w:before="240"/>
            </w:pPr>
            <w:r>
              <w:t>Distr. générale</w:t>
            </w:r>
          </w:p>
          <w:p w14:paraId="3FFFAD3A" w14:textId="77777777" w:rsidR="00AE19B9" w:rsidRDefault="00AE19B9" w:rsidP="00AE19B9">
            <w:pPr>
              <w:spacing w:line="240" w:lineRule="exact"/>
            </w:pPr>
            <w:r>
              <w:t>27 avril 2023</w:t>
            </w:r>
          </w:p>
          <w:p w14:paraId="194E621C" w14:textId="77777777" w:rsidR="00AE19B9" w:rsidRDefault="00AE19B9" w:rsidP="00AE19B9">
            <w:pPr>
              <w:spacing w:line="240" w:lineRule="exact"/>
            </w:pPr>
            <w:r>
              <w:t>Français</w:t>
            </w:r>
          </w:p>
          <w:p w14:paraId="240935D5" w14:textId="4E9044F1" w:rsidR="00AE19B9" w:rsidRPr="00DB58B5" w:rsidRDefault="00AE19B9" w:rsidP="00AE19B9">
            <w:pPr>
              <w:spacing w:line="240" w:lineRule="exact"/>
            </w:pPr>
            <w:r>
              <w:t>Original : anglais</w:t>
            </w:r>
          </w:p>
        </w:tc>
      </w:tr>
    </w:tbl>
    <w:p w14:paraId="3D7497BF" w14:textId="77777777" w:rsidR="00392B1D" w:rsidRPr="00D55CFF" w:rsidRDefault="00392B1D" w:rsidP="00392B1D">
      <w:pPr>
        <w:spacing w:before="120"/>
        <w:rPr>
          <w:b/>
          <w:sz w:val="24"/>
          <w:szCs w:val="24"/>
        </w:rPr>
      </w:pPr>
      <w:r w:rsidRPr="00D55CFF">
        <w:rPr>
          <w:b/>
          <w:sz w:val="24"/>
          <w:szCs w:val="24"/>
        </w:rPr>
        <w:t>Comité des disparitions forcées</w:t>
      </w:r>
    </w:p>
    <w:p w14:paraId="55E7861E" w14:textId="77777777" w:rsidR="00AE19B9" w:rsidRPr="004A75B4" w:rsidRDefault="00AE19B9" w:rsidP="00EC3525">
      <w:pPr>
        <w:pStyle w:val="HChG"/>
        <w:rPr>
          <w:sz w:val="20"/>
          <w:lang w:val="fr-FR"/>
        </w:rPr>
      </w:pPr>
      <w:r w:rsidRPr="004A75B4">
        <w:rPr>
          <w:lang w:val="fr-FR"/>
        </w:rPr>
        <w:tab/>
      </w:r>
      <w:r w:rsidRPr="004A75B4">
        <w:rPr>
          <w:lang w:val="fr-FR"/>
        </w:rPr>
        <w:tab/>
        <w:t>Rapport sur le suivi des observations finales du Comité des</w:t>
      </w:r>
      <w:r>
        <w:rPr>
          <w:lang w:val="fr-FR"/>
        </w:rPr>
        <w:t> </w:t>
      </w:r>
      <w:r w:rsidRPr="004A75B4">
        <w:rPr>
          <w:lang w:val="fr-FR"/>
        </w:rPr>
        <w:t>disparitions forcées</w:t>
      </w:r>
      <w:r w:rsidRPr="00EC3525">
        <w:rPr>
          <w:rFonts w:eastAsia="Times New Roman"/>
          <w:b w:val="0"/>
          <w:bCs/>
          <w:sz w:val="20"/>
          <w:szCs w:val="22"/>
          <w:lang w:val="fr-FR"/>
        </w:rPr>
        <w:footnoteReference w:customMarkFollows="1" w:id="2"/>
        <w:t>*</w:t>
      </w:r>
    </w:p>
    <w:p w14:paraId="5EE02AF5" w14:textId="77777777" w:rsidR="00AE19B9" w:rsidRPr="004A75B4" w:rsidRDefault="00AE19B9" w:rsidP="00AE19B9">
      <w:pPr>
        <w:pStyle w:val="HChG"/>
        <w:jc w:val="both"/>
        <w:rPr>
          <w:lang w:val="fr-FR"/>
        </w:rPr>
      </w:pPr>
      <w:r>
        <w:rPr>
          <w:bCs/>
          <w:lang w:val="fr-FR"/>
        </w:rPr>
        <w:tab/>
      </w:r>
      <w:r w:rsidRPr="004A75B4">
        <w:rPr>
          <w:bCs/>
          <w:lang w:val="fr-FR"/>
        </w:rPr>
        <w:t>I.</w:t>
      </w:r>
      <w:r w:rsidRPr="004A75B4">
        <w:rPr>
          <w:lang w:val="fr-FR"/>
        </w:rPr>
        <w:tab/>
      </w:r>
      <w:r w:rsidRPr="004A75B4">
        <w:rPr>
          <w:bCs/>
          <w:lang w:val="fr-FR"/>
        </w:rPr>
        <w:t>Introduction</w:t>
      </w:r>
    </w:p>
    <w:p w14:paraId="58DCF409" w14:textId="77777777" w:rsidR="00AE19B9" w:rsidRPr="004A75B4" w:rsidRDefault="00AE19B9" w:rsidP="00AE19B9">
      <w:pPr>
        <w:pStyle w:val="SingleTxtG"/>
        <w:tabs>
          <w:tab w:val="clear" w:pos="1701"/>
          <w:tab w:val="clear" w:pos="2268"/>
          <w:tab w:val="clear" w:pos="2835"/>
        </w:tabs>
        <w:rPr>
          <w:lang w:val="fr-FR"/>
        </w:rPr>
      </w:pPr>
      <w:r w:rsidRPr="004A75B4">
        <w:rPr>
          <w:lang w:val="fr-FR"/>
        </w:rPr>
        <w:t>1.</w:t>
      </w:r>
      <w:r w:rsidRPr="004A75B4">
        <w:rPr>
          <w:lang w:val="fr-FR"/>
        </w:rPr>
        <w:tab/>
        <w:t>Dans le présent rapport, le Comité rend compte des renseignements qu</w:t>
      </w:r>
      <w:r>
        <w:rPr>
          <w:lang w:val="fr-FR"/>
        </w:rPr>
        <w:t>’</w:t>
      </w:r>
      <w:r w:rsidRPr="004A75B4">
        <w:rPr>
          <w:lang w:val="fr-FR"/>
        </w:rPr>
        <w:t>il a reçus entre ses vingt-troisième et vingt-quatrième sessions au sujet de la suite donnée à ses observations finales concernant le Brésil et la Mongolie, en application de l</w:t>
      </w:r>
      <w:r>
        <w:rPr>
          <w:lang w:val="fr-FR"/>
        </w:rPr>
        <w:t>’</w:t>
      </w:r>
      <w:r w:rsidRPr="004A75B4">
        <w:rPr>
          <w:lang w:val="fr-FR"/>
        </w:rPr>
        <w:t>article 29 (</w:t>
      </w:r>
      <w:r>
        <w:rPr>
          <w:lang w:val="fr-FR"/>
        </w:rPr>
        <w:t>par. </w:t>
      </w:r>
      <w:r w:rsidRPr="004A75B4">
        <w:rPr>
          <w:lang w:val="fr-FR"/>
        </w:rPr>
        <w:t>1) de la</w:t>
      </w:r>
      <w:r>
        <w:rPr>
          <w:lang w:val="fr-FR"/>
        </w:rPr>
        <w:t xml:space="preserve"> </w:t>
      </w:r>
      <w:r w:rsidRPr="004A75B4">
        <w:rPr>
          <w:lang w:val="fr-FR"/>
        </w:rPr>
        <w:t>Convention</w:t>
      </w:r>
      <w:r w:rsidRPr="00422E92">
        <w:rPr>
          <w:rStyle w:val="Appelnotedebasdep"/>
        </w:rPr>
        <w:footnoteReference w:id="3"/>
      </w:r>
      <w:r w:rsidRPr="004A75B4">
        <w:rPr>
          <w:lang w:val="fr-FR"/>
        </w:rPr>
        <w:t>, ainsi que des évaluations et des décisions qu</w:t>
      </w:r>
      <w:r>
        <w:rPr>
          <w:lang w:val="fr-FR"/>
        </w:rPr>
        <w:t>’</w:t>
      </w:r>
      <w:r w:rsidRPr="004A75B4">
        <w:rPr>
          <w:lang w:val="fr-FR"/>
        </w:rPr>
        <w:t>il a adoptées à sa vingt</w:t>
      </w:r>
      <w:r>
        <w:rPr>
          <w:lang w:val="fr-FR"/>
        </w:rPr>
        <w:noBreakHyphen/>
      </w:r>
      <w:r w:rsidRPr="004A75B4">
        <w:rPr>
          <w:lang w:val="fr-FR"/>
        </w:rPr>
        <w:t>quatrième session.</w:t>
      </w:r>
    </w:p>
    <w:p w14:paraId="2F8AE0DA" w14:textId="77777777" w:rsidR="00AE19B9" w:rsidRPr="004A75B4" w:rsidRDefault="00AE19B9" w:rsidP="00AE19B9">
      <w:pPr>
        <w:pStyle w:val="SingleTxtG"/>
        <w:rPr>
          <w:lang w:val="fr-FR"/>
        </w:rPr>
      </w:pPr>
      <w:r w:rsidRPr="004A75B4">
        <w:rPr>
          <w:lang w:val="fr-FR"/>
        </w:rPr>
        <w:t>2.</w:t>
      </w:r>
      <w:r w:rsidRPr="004A75B4">
        <w:rPr>
          <w:lang w:val="fr-FR"/>
        </w:rPr>
        <w:tab/>
        <w:t>Les évaluations figurant dans le présent rapport renvoient uniquement aux recommandations qui ont été retenues aux fins de la procédure de suivi et à propos desquelles les États parties ont été invités à soumettre des informations dans un délai d</w:t>
      </w:r>
      <w:r>
        <w:rPr>
          <w:lang w:val="fr-FR"/>
        </w:rPr>
        <w:t>’</w:t>
      </w:r>
      <w:r w:rsidRPr="004A75B4">
        <w:rPr>
          <w:lang w:val="fr-FR"/>
        </w:rPr>
        <w:t>un an après l</w:t>
      </w:r>
      <w:r>
        <w:rPr>
          <w:lang w:val="fr-FR"/>
        </w:rPr>
        <w:t>’</w:t>
      </w:r>
      <w:r w:rsidRPr="004A75B4">
        <w:rPr>
          <w:lang w:val="fr-FR"/>
        </w:rPr>
        <w:t>adoption des observations finales. Le présent rapport n</w:t>
      </w:r>
      <w:r>
        <w:rPr>
          <w:lang w:val="fr-FR"/>
        </w:rPr>
        <w:t>’</w:t>
      </w:r>
      <w:r w:rsidRPr="004A75B4">
        <w:rPr>
          <w:lang w:val="fr-FR"/>
        </w:rPr>
        <w:t>a pas pour finalité d</w:t>
      </w:r>
      <w:r>
        <w:rPr>
          <w:lang w:val="fr-FR"/>
        </w:rPr>
        <w:t>’</w:t>
      </w:r>
      <w:r w:rsidRPr="004A75B4">
        <w:rPr>
          <w:lang w:val="fr-FR"/>
        </w:rPr>
        <w:t>évaluer la suite donnée à l</w:t>
      </w:r>
      <w:r>
        <w:rPr>
          <w:lang w:val="fr-FR"/>
        </w:rPr>
        <w:t>’</w:t>
      </w:r>
      <w:r w:rsidRPr="004A75B4">
        <w:rPr>
          <w:lang w:val="fr-FR"/>
        </w:rPr>
        <w:t>ensemble des recommandations adressées aux États parties dans les observations finales ni d</w:t>
      </w:r>
      <w:r>
        <w:rPr>
          <w:lang w:val="fr-FR"/>
        </w:rPr>
        <w:t>’</w:t>
      </w:r>
      <w:r w:rsidRPr="004A75B4">
        <w:rPr>
          <w:lang w:val="fr-FR"/>
        </w:rPr>
        <w:t>établir des comparaisons entre ces derniers.</w:t>
      </w:r>
    </w:p>
    <w:p w14:paraId="7DE0CE07" w14:textId="77777777" w:rsidR="00AE19B9" w:rsidRPr="004A75B4" w:rsidRDefault="00AE19B9" w:rsidP="00AE19B9">
      <w:pPr>
        <w:pStyle w:val="SingleTxtG"/>
        <w:spacing w:after="240"/>
        <w:rPr>
          <w:lang w:val="fr-FR"/>
        </w:rPr>
      </w:pPr>
      <w:r w:rsidRPr="004A75B4">
        <w:rPr>
          <w:lang w:val="fr-FR"/>
        </w:rPr>
        <w:t>3.</w:t>
      </w:r>
      <w:r w:rsidRPr="004A75B4">
        <w:rPr>
          <w:lang w:val="fr-FR"/>
        </w:rPr>
        <w:tab/>
        <w:t>Pour évaluer les renseignements apportés par les États parties concernés, le Comité utilise les critères ci-après</w:t>
      </w:r>
      <w:r>
        <w:rPr>
          <w:lang w:val="fr-FR"/>
        </w:rPr>
        <w:t>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370"/>
      </w:tblGrid>
      <w:tr w:rsidR="00AE19B9" w:rsidRPr="004A75B4" w14:paraId="04C60996" w14:textId="77777777" w:rsidTr="004F25FF">
        <w:trPr>
          <w:tblHeader/>
        </w:trPr>
        <w:tc>
          <w:tcPr>
            <w:tcW w:w="737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44CE3A5" w14:textId="77777777" w:rsidR="00AE19B9" w:rsidRPr="00B27D95" w:rsidRDefault="00AE19B9" w:rsidP="004F25FF">
            <w:pPr>
              <w:suppressAutoHyphens w:val="0"/>
              <w:spacing w:before="80" w:after="80" w:line="200" w:lineRule="exact"/>
              <w:ind w:right="113"/>
              <w:rPr>
                <w:i/>
                <w:sz w:val="18"/>
                <w:szCs w:val="18"/>
                <w:lang w:val="fr-FR"/>
              </w:rPr>
            </w:pPr>
            <w:r w:rsidRPr="00B27D95">
              <w:rPr>
                <w:i/>
                <w:iCs/>
                <w:sz w:val="18"/>
                <w:szCs w:val="18"/>
                <w:lang w:val="fr-FR"/>
              </w:rPr>
              <w:t>Critères d</w:t>
            </w:r>
            <w:r>
              <w:rPr>
                <w:i/>
                <w:iCs/>
                <w:sz w:val="18"/>
                <w:szCs w:val="18"/>
                <w:lang w:val="fr-FR"/>
              </w:rPr>
              <w:t>’</w:t>
            </w:r>
            <w:r w:rsidRPr="00B27D95">
              <w:rPr>
                <w:i/>
                <w:iCs/>
                <w:sz w:val="18"/>
                <w:szCs w:val="18"/>
                <w:lang w:val="fr-FR"/>
              </w:rPr>
              <w:t>évaluation</w:t>
            </w:r>
          </w:p>
        </w:tc>
      </w:tr>
      <w:tr w:rsidR="00AE19B9" w:rsidRPr="004A75B4" w14:paraId="5A1A0DA7" w14:textId="77777777" w:rsidTr="004F25FF">
        <w:trPr>
          <w:trHeight w:hRule="exact" w:val="113"/>
          <w:tblHeader/>
        </w:trPr>
        <w:tc>
          <w:tcPr>
            <w:tcW w:w="7370" w:type="dxa"/>
            <w:tcBorders>
              <w:top w:val="single" w:sz="12" w:space="0" w:color="auto"/>
              <w:bottom w:val="nil"/>
            </w:tcBorders>
            <w:shd w:val="clear" w:color="auto" w:fill="auto"/>
            <w:tcMar>
              <w:top w:w="0" w:type="dxa"/>
              <w:left w:w="0" w:type="dxa"/>
              <w:bottom w:w="0" w:type="dxa"/>
              <w:right w:w="0" w:type="dxa"/>
            </w:tcMar>
          </w:tcPr>
          <w:p w14:paraId="3C6A6E66" w14:textId="77777777" w:rsidR="00AE19B9" w:rsidRPr="004A75B4" w:rsidRDefault="00AE19B9" w:rsidP="004F25FF">
            <w:pPr>
              <w:suppressAutoHyphens w:val="0"/>
              <w:spacing w:before="40" w:after="120" w:line="220" w:lineRule="exact"/>
              <w:ind w:right="113"/>
              <w:rPr>
                <w:b/>
                <w:bCs/>
                <w:lang w:val="fr-FR"/>
              </w:rPr>
            </w:pPr>
          </w:p>
        </w:tc>
      </w:tr>
      <w:tr w:rsidR="00AE19B9" w:rsidRPr="004A75B4" w14:paraId="474C1E13" w14:textId="77777777" w:rsidTr="004F25FF">
        <w:tc>
          <w:tcPr>
            <w:tcW w:w="7370" w:type="dxa"/>
            <w:tcBorders>
              <w:top w:val="nil"/>
            </w:tcBorders>
            <w:shd w:val="clear" w:color="auto" w:fill="auto"/>
            <w:tcMar>
              <w:top w:w="0" w:type="dxa"/>
              <w:left w:w="0" w:type="dxa"/>
              <w:bottom w:w="0" w:type="dxa"/>
              <w:right w:w="0" w:type="dxa"/>
            </w:tcMar>
          </w:tcPr>
          <w:p w14:paraId="348AAE43" w14:textId="77777777" w:rsidR="00AE19B9" w:rsidRPr="004A75B4" w:rsidRDefault="00AE19B9" w:rsidP="004F25FF">
            <w:pPr>
              <w:suppressAutoHyphens w:val="0"/>
              <w:spacing w:before="40" w:after="120" w:line="220" w:lineRule="exact"/>
              <w:ind w:left="567" w:right="113" w:hanging="567"/>
              <w:rPr>
                <w:lang w:val="fr-FR"/>
              </w:rPr>
            </w:pPr>
            <w:r w:rsidRPr="004A75B4">
              <w:rPr>
                <w:b/>
                <w:bCs/>
                <w:lang w:val="fr-FR"/>
              </w:rPr>
              <w:t>A</w:t>
            </w:r>
            <w:r w:rsidRPr="004A75B4">
              <w:rPr>
                <w:lang w:val="fr-FR"/>
              </w:rPr>
              <w:tab/>
            </w:r>
            <w:r w:rsidRPr="004A75B4">
              <w:rPr>
                <w:b/>
                <w:bCs/>
                <w:lang w:val="fr-FR"/>
              </w:rPr>
              <w:t>Réponse ou mesure satisfaisante</w:t>
            </w:r>
            <w:r>
              <w:rPr>
                <w:b/>
                <w:bCs/>
                <w:lang w:val="fr-FR"/>
              </w:rPr>
              <w:t> :</w:t>
            </w:r>
            <w:r w:rsidRPr="004A75B4">
              <w:rPr>
                <w:lang w:val="fr-FR"/>
              </w:rPr>
              <w:t xml:space="preserve"> L</w:t>
            </w:r>
            <w:r>
              <w:rPr>
                <w:lang w:val="fr-FR"/>
              </w:rPr>
              <w:t>’</w:t>
            </w:r>
            <w:r w:rsidRPr="004A75B4">
              <w:rPr>
                <w:lang w:val="fr-FR"/>
              </w:rPr>
              <w:t>État partie a démontré qu</w:t>
            </w:r>
            <w:r>
              <w:rPr>
                <w:lang w:val="fr-FR"/>
              </w:rPr>
              <w:t>’</w:t>
            </w:r>
            <w:r w:rsidRPr="004A75B4">
              <w:rPr>
                <w:lang w:val="fr-FR"/>
              </w:rPr>
              <w:t>il avait pris des mesures suffisantes pour appliquer la recommandation adoptée par le Comité.</w:t>
            </w:r>
          </w:p>
        </w:tc>
      </w:tr>
      <w:tr w:rsidR="00AE19B9" w:rsidRPr="004A75B4" w14:paraId="5488934E" w14:textId="77777777" w:rsidTr="004F25FF">
        <w:tc>
          <w:tcPr>
            <w:tcW w:w="7370" w:type="dxa"/>
            <w:shd w:val="clear" w:color="auto" w:fill="auto"/>
            <w:tcMar>
              <w:top w:w="0" w:type="dxa"/>
              <w:left w:w="0" w:type="dxa"/>
              <w:bottom w:w="0" w:type="dxa"/>
              <w:right w:w="0" w:type="dxa"/>
            </w:tcMar>
          </w:tcPr>
          <w:p w14:paraId="4E2AA1A8" w14:textId="77777777" w:rsidR="00AE19B9" w:rsidRPr="004A75B4" w:rsidRDefault="00AE19B9" w:rsidP="004F25FF">
            <w:pPr>
              <w:suppressAutoHyphens w:val="0"/>
              <w:spacing w:before="40" w:after="120" w:line="220" w:lineRule="exact"/>
              <w:ind w:left="567" w:right="113" w:hanging="567"/>
              <w:rPr>
                <w:lang w:val="fr-FR"/>
              </w:rPr>
            </w:pPr>
            <w:r w:rsidRPr="004A75B4">
              <w:rPr>
                <w:b/>
                <w:bCs/>
                <w:lang w:val="fr-FR"/>
              </w:rPr>
              <w:t>B</w:t>
            </w:r>
            <w:r w:rsidRPr="004A75B4">
              <w:rPr>
                <w:lang w:val="fr-FR"/>
              </w:rPr>
              <w:tab/>
            </w:r>
            <w:r w:rsidRPr="004A75B4">
              <w:rPr>
                <w:b/>
                <w:bCs/>
                <w:lang w:val="fr-FR"/>
              </w:rPr>
              <w:t>Réponse ou mesure partiellement satisfaisante</w:t>
            </w:r>
            <w:r>
              <w:rPr>
                <w:b/>
                <w:bCs/>
                <w:lang w:val="fr-FR"/>
              </w:rPr>
              <w:t> :</w:t>
            </w:r>
            <w:r w:rsidRPr="004A75B4">
              <w:rPr>
                <w:lang w:val="fr-FR"/>
              </w:rPr>
              <w:t xml:space="preserve"> L</w:t>
            </w:r>
            <w:r>
              <w:rPr>
                <w:lang w:val="fr-FR"/>
              </w:rPr>
              <w:t>’</w:t>
            </w:r>
            <w:r w:rsidRPr="004A75B4">
              <w:rPr>
                <w:lang w:val="fr-FR"/>
              </w:rPr>
              <w:t>État partie a pris des mesures pour appliquer la recommandation, mais des renseignements ou des mesures supplémentaires sont nécessaires.</w:t>
            </w:r>
          </w:p>
        </w:tc>
      </w:tr>
      <w:tr w:rsidR="00AE19B9" w:rsidRPr="004A75B4" w14:paraId="7969EF70" w14:textId="77777777" w:rsidTr="004F25FF">
        <w:tc>
          <w:tcPr>
            <w:tcW w:w="7370" w:type="dxa"/>
            <w:tcBorders>
              <w:bottom w:val="nil"/>
            </w:tcBorders>
            <w:shd w:val="clear" w:color="auto" w:fill="auto"/>
            <w:tcMar>
              <w:top w:w="0" w:type="dxa"/>
              <w:left w:w="0" w:type="dxa"/>
              <w:bottom w:w="0" w:type="dxa"/>
              <w:right w:w="0" w:type="dxa"/>
            </w:tcMar>
          </w:tcPr>
          <w:p w14:paraId="1687F90C" w14:textId="77777777" w:rsidR="00AE19B9" w:rsidRPr="004A75B4" w:rsidRDefault="00AE19B9" w:rsidP="004F25FF">
            <w:pPr>
              <w:suppressAutoHyphens w:val="0"/>
              <w:spacing w:before="40" w:after="120" w:line="220" w:lineRule="exact"/>
              <w:ind w:left="567" w:right="113" w:hanging="567"/>
              <w:rPr>
                <w:lang w:val="fr-FR"/>
              </w:rPr>
            </w:pPr>
            <w:r w:rsidRPr="004A75B4">
              <w:rPr>
                <w:b/>
                <w:bCs/>
                <w:lang w:val="fr-FR"/>
              </w:rPr>
              <w:t>C</w:t>
            </w:r>
            <w:r w:rsidRPr="004A75B4">
              <w:rPr>
                <w:lang w:val="fr-FR"/>
              </w:rPr>
              <w:tab/>
            </w:r>
            <w:r w:rsidRPr="004A75B4">
              <w:rPr>
                <w:b/>
                <w:bCs/>
                <w:lang w:val="fr-FR"/>
              </w:rPr>
              <w:t>Réponse ou mesure insatisfaisante</w:t>
            </w:r>
            <w:r>
              <w:rPr>
                <w:b/>
                <w:bCs/>
                <w:lang w:val="fr-FR"/>
              </w:rPr>
              <w:t> :</w:t>
            </w:r>
            <w:r w:rsidRPr="004A75B4">
              <w:rPr>
                <w:lang w:val="fr-FR"/>
              </w:rPr>
              <w:t xml:space="preserve"> L</w:t>
            </w:r>
            <w:r>
              <w:rPr>
                <w:lang w:val="fr-FR"/>
              </w:rPr>
              <w:t>’</w:t>
            </w:r>
            <w:r w:rsidRPr="004A75B4">
              <w:rPr>
                <w:lang w:val="fr-FR"/>
              </w:rPr>
              <w:t>État partie a répondu, mais les mesures qu</w:t>
            </w:r>
            <w:r>
              <w:rPr>
                <w:lang w:val="fr-FR"/>
              </w:rPr>
              <w:t>’</w:t>
            </w:r>
            <w:r w:rsidRPr="004A75B4">
              <w:rPr>
                <w:lang w:val="fr-FR"/>
              </w:rPr>
              <w:t>il a prises ou les renseignements qu</w:t>
            </w:r>
            <w:r>
              <w:rPr>
                <w:lang w:val="fr-FR"/>
              </w:rPr>
              <w:t>’</w:t>
            </w:r>
            <w:r w:rsidRPr="004A75B4">
              <w:rPr>
                <w:lang w:val="fr-FR"/>
              </w:rPr>
              <w:t>il a communiqués ne sont pas pertinents ou ne permettent pas d</w:t>
            </w:r>
            <w:r>
              <w:rPr>
                <w:lang w:val="fr-FR"/>
              </w:rPr>
              <w:t>’</w:t>
            </w:r>
            <w:r w:rsidRPr="004A75B4">
              <w:rPr>
                <w:lang w:val="fr-FR"/>
              </w:rPr>
              <w:t>appliquer la recommandation.</w:t>
            </w:r>
          </w:p>
        </w:tc>
      </w:tr>
      <w:tr w:rsidR="00AE19B9" w:rsidRPr="004A75B4" w14:paraId="39A3FEEC" w14:textId="77777777" w:rsidTr="004F25FF">
        <w:tc>
          <w:tcPr>
            <w:tcW w:w="7370" w:type="dxa"/>
            <w:tcBorders>
              <w:top w:val="nil"/>
              <w:bottom w:val="nil"/>
            </w:tcBorders>
            <w:shd w:val="clear" w:color="auto" w:fill="auto"/>
            <w:tcMar>
              <w:top w:w="0" w:type="dxa"/>
              <w:left w:w="0" w:type="dxa"/>
              <w:bottom w:w="0" w:type="dxa"/>
              <w:right w:w="0" w:type="dxa"/>
            </w:tcMar>
          </w:tcPr>
          <w:p w14:paraId="701390B9" w14:textId="77777777" w:rsidR="00AE19B9" w:rsidRPr="004A75B4" w:rsidRDefault="00AE19B9" w:rsidP="004F25FF">
            <w:pPr>
              <w:suppressAutoHyphens w:val="0"/>
              <w:spacing w:before="40" w:after="120" w:line="220" w:lineRule="exact"/>
              <w:ind w:left="567" w:right="113" w:hanging="567"/>
              <w:rPr>
                <w:lang w:val="fr-FR"/>
              </w:rPr>
            </w:pPr>
            <w:r w:rsidRPr="004A75B4">
              <w:rPr>
                <w:b/>
                <w:bCs/>
                <w:lang w:val="fr-FR"/>
              </w:rPr>
              <w:t>D</w:t>
            </w:r>
            <w:r w:rsidRPr="004A75B4">
              <w:rPr>
                <w:lang w:val="fr-FR"/>
              </w:rPr>
              <w:tab/>
            </w:r>
            <w:r w:rsidRPr="004A75B4">
              <w:rPr>
                <w:b/>
                <w:bCs/>
                <w:lang w:val="fr-FR"/>
              </w:rPr>
              <w:t>Défaut de réponse concernant une recommandation</w:t>
            </w:r>
            <w:r>
              <w:rPr>
                <w:b/>
                <w:bCs/>
                <w:lang w:val="fr-FR"/>
              </w:rPr>
              <w:t> :</w:t>
            </w:r>
            <w:r w:rsidRPr="004A75B4">
              <w:rPr>
                <w:lang w:val="fr-FR"/>
              </w:rPr>
              <w:t xml:space="preserve"> L</w:t>
            </w:r>
            <w:r>
              <w:rPr>
                <w:lang w:val="fr-FR"/>
              </w:rPr>
              <w:t>’</w:t>
            </w:r>
            <w:r w:rsidRPr="004A75B4">
              <w:rPr>
                <w:lang w:val="fr-FR"/>
              </w:rPr>
              <w:t>État partie n</w:t>
            </w:r>
            <w:r>
              <w:rPr>
                <w:lang w:val="fr-FR"/>
              </w:rPr>
              <w:t>’</w:t>
            </w:r>
            <w:r w:rsidRPr="004A75B4">
              <w:rPr>
                <w:lang w:val="fr-FR"/>
              </w:rPr>
              <w:t>a communiqué aucun renseignement sur l</w:t>
            </w:r>
            <w:r>
              <w:rPr>
                <w:lang w:val="fr-FR"/>
              </w:rPr>
              <w:t>’</w:t>
            </w:r>
            <w:r w:rsidRPr="004A75B4">
              <w:rPr>
                <w:lang w:val="fr-FR"/>
              </w:rPr>
              <w:t>application de la recommandation.</w:t>
            </w:r>
          </w:p>
        </w:tc>
      </w:tr>
      <w:tr w:rsidR="00AE19B9" w:rsidRPr="004A75B4" w14:paraId="766A6C7D" w14:textId="77777777" w:rsidTr="004F25FF">
        <w:tc>
          <w:tcPr>
            <w:tcW w:w="7370" w:type="dxa"/>
            <w:tcBorders>
              <w:top w:val="nil"/>
            </w:tcBorders>
            <w:shd w:val="clear" w:color="auto" w:fill="auto"/>
            <w:tcMar>
              <w:top w:w="0" w:type="dxa"/>
              <w:left w:w="0" w:type="dxa"/>
              <w:bottom w:w="0" w:type="dxa"/>
              <w:right w:w="0" w:type="dxa"/>
            </w:tcMar>
          </w:tcPr>
          <w:p w14:paraId="637764FF" w14:textId="77777777" w:rsidR="00AE19B9" w:rsidRPr="004A75B4" w:rsidRDefault="00AE19B9" w:rsidP="004F25FF">
            <w:pPr>
              <w:suppressAutoHyphens w:val="0"/>
              <w:spacing w:before="40" w:after="120" w:line="220" w:lineRule="exact"/>
              <w:ind w:left="567" w:right="113" w:hanging="567"/>
              <w:rPr>
                <w:lang w:val="fr-FR"/>
              </w:rPr>
            </w:pPr>
            <w:r w:rsidRPr="004A75B4">
              <w:rPr>
                <w:b/>
                <w:bCs/>
                <w:lang w:val="fr-FR"/>
              </w:rPr>
              <w:t>E</w:t>
            </w:r>
            <w:r w:rsidRPr="004A75B4">
              <w:rPr>
                <w:lang w:val="fr-FR"/>
              </w:rPr>
              <w:tab/>
            </w:r>
            <w:r w:rsidRPr="004A75B4">
              <w:rPr>
                <w:b/>
                <w:bCs/>
                <w:lang w:val="fr-FR"/>
              </w:rPr>
              <w:t>Les renseignements communiqués ou les mesures prises vont à l</w:t>
            </w:r>
            <w:r>
              <w:rPr>
                <w:b/>
                <w:bCs/>
                <w:lang w:val="fr-FR"/>
              </w:rPr>
              <w:t>’</w:t>
            </w:r>
            <w:r w:rsidRPr="004A75B4">
              <w:rPr>
                <w:b/>
                <w:bCs/>
                <w:lang w:val="fr-FR"/>
              </w:rPr>
              <w:t>encontre de la recommandation du Comité ou traduisent un refus de celle-ci</w:t>
            </w:r>
            <w:r>
              <w:rPr>
                <w:b/>
                <w:bCs/>
                <w:lang w:val="fr-FR"/>
              </w:rPr>
              <w:t> :</w:t>
            </w:r>
            <w:r w:rsidRPr="004A75B4">
              <w:rPr>
                <w:lang w:val="fr-FR"/>
              </w:rPr>
              <w:t xml:space="preserve"> La réponse indique que les mesures prises vont à l</w:t>
            </w:r>
            <w:r>
              <w:rPr>
                <w:lang w:val="fr-FR"/>
              </w:rPr>
              <w:t>’</w:t>
            </w:r>
            <w:r w:rsidRPr="004A75B4">
              <w:rPr>
                <w:lang w:val="fr-FR"/>
              </w:rPr>
              <w:t>encontre de la recommandation du Comité, ont des effets contraires à la recommandation ou traduisent un refus de celle-ci.</w:t>
            </w:r>
          </w:p>
        </w:tc>
      </w:tr>
    </w:tbl>
    <w:p w14:paraId="6BD10027" w14:textId="6281990D" w:rsidR="00AE19B9" w:rsidRPr="004A75B4" w:rsidRDefault="00AE19B9" w:rsidP="00EC3525">
      <w:pPr>
        <w:pStyle w:val="HChG"/>
        <w:rPr>
          <w:lang w:val="fr-FR"/>
        </w:rPr>
      </w:pPr>
      <w:r>
        <w:rPr>
          <w:lang w:val="fr-FR"/>
        </w:rPr>
        <w:lastRenderedPageBreak/>
        <w:tab/>
      </w:r>
      <w:r w:rsidRPr="004A75B4">
        <w:rPr>
          <w:lang w:val="fr-FR"/>
        </w:rPr>
        <w:t>II.</w:t>
      </w:r>
      <w:r w:rsidRPr="004A75B4">
        <w:rPr>
          <w:lang w:val="fr-FR"/>
        </w:rPr>
        <w:tab/>
        <w:t>Évaluation des renseignements reçus au titre du suivi en</w:t>
      </w:r>
      <w:r>
        <w:rPr>
          <w:lang w:val="fr-FR"/>
        </w:rPr>
        <w:t> </w:t>
      </w:r>
      <w:r w:rsidRPr="004A75B4">
        <w:rPr>
          <w:lang w:val="fr-FR"/>
        </w:rPr>
        <w:t>application de l</w:t>
      </w:r>
      <w:r>
        <w:rPr>
          <w:lang w:val="fr-FR"/>
        </w:rPr>
        <w:t>’</w:t>
      </w:r>
      <w:r w:rsidRPr="004A75B4">
        <w:rPr>
          <w:lang w:val="fr-FR"/>
        </w:rPr>
        <w:t>article</w:t>
      </w:r>
      <w:r w:rsidR="00EC3525">
        <w:rPr>
          <w:lang w:val="fr-FR"/>
        </w:rPr>
        <w:t> </w:t>
      </w:r>
      <w:r w:rsidRPr="004A75B4">
        <w:rPr>
          <w:lang w:val="fr-FR"/>
        </w:rPr>
        <w:t>29 (</w:t>
      </w:r>
      <w:r>
        <w:rPr>
          <w:lang w:val="fr-FR"/>
        </w:rPr>
        <w:t>par. </w:t>
      </w:r>
      <w:r w:rsidRPr="004A75B4">
        <w:rPr>
          <w:lang w:val="fr-FR"/>
        </w:rPr>
        <w:t>1) de la Convention</w:t>
      </w:r>
    </w:p>
    <w:p w14:paraId="4BFFC50A" w14:textId="77777777" w:rsidR="00AE19B9" w:rsidRPr="004A75B4" w:rsidRDefault="00AE19B9" w:rsidP="00EC3525">
      <w:pPr>
        <w:pStyle w:val="H1G"/>
        <w:rPr>
          <w:lang w:val="fr-FR"/>
        </w:rPr>
      </w:pPr>
      <w:r>
        <w:rPr>
          <w:lang w:val="fr-FR"/>
        </w:rPr>
        <w:tab/>
      </w:r>
      <w:r w:rsidRPr="004A75B4">
        <w:rPr>
          <w:lang w:val="fr-FR"/>
        </w:rPr>
        <w:t>A.</w:t>
      </w:r>
      <w:r w:rsidRPr="004A75B4">
        <w:rPr>
          <w:lang w:val="fr-FR"/>
        </w:rPr>
        <w:tab/>
        <w:t>Brésil</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02"/>
        <w:gridCol w:w="3968"/>
      </w:tblGrid>
      <w:tr w:rsidR="00AE19B9" w:rsidRPr="004A75B4" w14:paraId="18E14309" w14:textId="77777777" w:rsidTr="004F25FF">
        <w:tc>
          <w:tcPr>
            <w:tcW w:w="3402" w:type="dxa"/>
            <w:tcBorders>
              <w:top w:val="single" w:sz="12" w:space="0" w:color="auto"/>
            </w:tcBorders>
            <w:shd w:val="clear" w:color="auto" w:fill="auto"/>
            <w:tcMar>
              <w:top w:w="0" w:type="dxa"/>
              <w:left w:w="0" w:type="dxa"/>
              <w:bottom w:w="0" w:type="dxa"/>
              <w:right w:w="0" w:type="dxa"/>
            </w:tcMar>
          </w:tcPr>
          <w:p w14:paraId="2E36E7A0" w14:textId="77777777" w:rsidR="00AE19B9" w:rsidRPr="004A75B4" w:rsidRDefault="00AE19B9" w:rsidP="004F25FF">
            <w:pPr>
              <w:suppressAutoHyphens w:val="0"/>
              <w:spacing w:before="120" w:after="120" w:line="220" w:lineRule="exact"/>
              <w:ind w:right="113"/>
              <w:rPr>
                <w:lang w:val="fr-FR"/>
              </w:rPr>
            </w:pPr>
            <w:r w:rsidRPr="004A75B4">
              <w:rPr>
                <w:b/>
                <w:bCs/>
                <w:lang w:val="fr-FR"/>
              </w:rPr>
              <w:t>Observations finales</w:t>
            </w:r>
            <w:r>
              <w:rPr>
                <w:b/>
                <w:bCs/>
                <w:lang w:val="fr-FR"/>
              </w:rPr>
              <w:t> :</w:t>
            </w:r>
          </w:p>
        </w:tc>
        <w:tc>
          <w:tcPr>
            <w:tcW w:w="3968" w:type="dxa"/>
            <w:tcBorders>
              <w:top w:val="single" w:sz="12" w:space="0" w:color="auto"/>
            </w:tcBorders>
            <w:shd w:val="clear" w:color="auto" w:fill="auto"/>
            <w:tcMar>
              <w:top w:w="0" w:type="dxa"/>
              <w:left w:w="0" w:type="dxa"/>
              <w:bottom w:w="0" w:type="dxa"/>
              <w:right w:w="0" w:type="dxa"/>
            </w:tcMar>
          </w:tcPr>
          <w:p w14:paraId="0B60BA8C" w14:textId="77777777" w:rsidR="00AE19B9" w:rsidRPr="004A75B4" w:rsidRDefault="00CE53C4" w:rsidP="004F25FF">
            <w:pPr>
              <w:suppressAutoHyphens w:val="0"/>
              <w:spacing w:before="120" w:after="120" w:line="220" w:lineRule="exact"/>
              <w:ind w:right="113"/>
              <w:rPr>
                <w:lang w:val="fr-FR"/>
              </w:rPr>
            </w:pPr>
            <w:hyperlink r:id="rId8" w:history="1">
              <w:r w:rsidR="00AE19B9">
                <w:rPr>
                  <w:rStyle w:val="Lienhypertexte"/>
                  <w:lang w:val="fr-FR"/>
                </w:rPr>
                <w:t>CED/C/BRA/CO/1</w:t>
              </w:r>
            </w:hyperlink>
            <w:r w:rsidR="00AE19B9" w:rsidRPr="00AB1C5E">
              <w:rPr>
                <w:lang w:val="fr-FR"/>
              </w:rPr>
              <w:t>, adoptées le 23</w:t>
            </w:r>
            <w:r w:rsidR="00AE19B9">
              <w:rPr>
                <w:lang w:val="fr-FR"/>
              </w:rPr>
              <w:t> </w:t>
            </w:r>
            <w:r w:rsidR="00AE19B9" w:rsidRPr="00AB1C5E">
              <w:rPr>
                <w:lang w:val="fr-FR"/>
              </w:rPr>
              <w:t>septembre 2021 (vingt et unième session)</w:t>
            </w:r>
          </w:p>
        </w:tc>
      </w:tr>
      <w:tr w:rsidR="00AE19B9" w:rsidRPr="004A75B4" w14:paraId="5273F494" w14:textId="77777777" w:rsidTr="004F25FF">
        <w:tc>
          <w:tcPr>
            <w:tcW w:w="3402" w:type="dxa"/>
            <w:shd w:val="clear" w:color="auto" w:fill="auto"/>
            <w:tcMar>
              <w:top w:w="0" w:type="dxa"/>
              <w:left w:w="0" w:type="dxa"/>
              <w:bottom w:w="0" w:type="dxa"/>
              <w:right w:w="0" w:type="dxa"/>
            </w:tcMar>
          </w:tcPr>
          <w:p w14:paraId="14D57043" w14:textId="77777777" w:rsidR="00AE19B9" w:rsidRPr="004A75B4" w:rsidRDefault="00AE19B9" w:rsidP="004F25FF">
            <w:pPr>
              <w:suppressAutoHyphens w:val="0"/>
              <w:spacing w:before="40" w:after="120" w:line="220" w:lineRule="exact"/>
              <w:ind w:right="113"/>
              <w:rPr>
                <w:lang w:val="fr-FR"/>
              </w:rPr>
            </w:pPr>
            <w:r w:rsidRPr="004A75B4">
              <w:rPr>
                <w:b/>
                <w:bCs/>
                <w:lang w:val="fr-FR"/>
              </w:rPr>
              <w:t>Recommandations devant faire l</w:t>
            </w:r>
            <w:r>
              <w:rPr>
                <w:b/>
                <w:bCs/>
                <w:lang w:val="fr-FR"/>
              </w:rPr>
              <w:t>’</w:t>
            </w:r>
            <w:r w:rsidRPr="004A75B4">
              <w:rPr>
                <w:b/>
                <w:bCs/>
                <w:lang w:val="fr-FR"/>
              </w:rPr>
              <w:t>objet d</w:t>
            </w:r>
            <w:r>
              <w:rPr>
                <w:b/>
                <w:bCs/>
                <w:lang w:val="fr-FR"/>
              </w:rPr>
              <w:t>’</w:t>
            </w:r>
            <w:r w:rsidRPr="004A75B4">
              <w:rPr>
                <w:b/>
                <w:bCs/>
                <w:lang w:val="fr-FR"/>
              </w:rPr>
              <w:t>un suivi</w:t>
            </w:r>
            <w:r>
              <w:rPr>
                <w:b/>
                <w:bCs/>
                <w:lang w:val="fr-FR"/>
              </w:rPr>
              <w:t> :</w:t>
            </w:r>
          </w:p>
        </w:tc>
        <w:tc>
          <w:tcPr>
            <w:tcW w:w="3968" w:type="dxa"/>
            <w:shd w:val="clear" w:color="auto" w:fill="auto"/>
            <w:tcMar>
              <w:top w:w="0" w:type="dxa"/>
              <w:left w:w="0" w:type="dxa"/>
              <w:bottom w:w="0" w:type="dxa"/>
              <w:right w:w="0" w:type="dxa"/>
            </w:tcMar>
          </w:tcPr>
          <w:p w14:paraId="5B407276" w14:textId="77777777" w:rsidR="00AE19B9" w:rsidRPr="004A75B4" w:rsidRDefault="00AE19B9" w:rsidP="004F25FF">
            <w:pPr>
              <w:suppressAutoHyphens w:val="0"/>
              <w:spacing w:before="40" w:after="120" w:line="220" w:lineRule="exact"/>
              <w:ind w:right="113"/>
              <w:rPr>
                <w:lang w:val="fr-FR"/>
              </w:rPr>
            </w:pPr>
            <w:r w:rsidRPr="004A75B4">
              <w:rPr>
                <w:lang w:val="fr-FR"/>
              </w:rPr>
              <w:t>Paragraphes 13 (informations statistiques), 15</w:t>
            </w:r>
            <w:r>
              <w:rPr>
                <w:lang w:val="fr-FR"/>
              </w:rPr>
              <w:t> </w:t>
            </w:r>
            <w:r w:rsidRPr="004A75B4">
              <w:rPr>
                <w:lang w:val="fr-FR"/>
              </w:rPr>
              <w:t>(infraction de disparition forcée) et 19</w:t>
            </w:r>
            <w:r>
              <w:rPr>
                <w:lang w:val="fr-FR"/>
              </w:rPr>
              <w:t> </w:t>
            </w:r>
            <w:r w:rsidRPr="004A75B4">
              <w:rPr>
                <w:lang w:val="fr-FR"/>
              </w:rPr>
              <w:t xml:space="preserve">(compétence des tribunaux militaires) </w:t>
            </w:r>
          </w:p>
        </w:tc>
      </w:tr>
      <w:tr w:rsidR="00AE19B9" w:rsidRPr="004A75B4" w14:paraId="61B13634" w14:textId="77777777" w:rsidTr="004F25FF">
        <w:tc>
          <w:tcPr>
            <w:tcW w:w="3402" w:type="dxa"/>
            <w:shd w:val="clear" w:color="auto" w:fill="auto"/>
            <w:tcMar>
              <w:top w:w="0" w:type="dxa"/>
              <w:left w:w="0" w:type="dxa"/>
              <w:bottom w:w="0" w:type="dxa"/>
              <w:right w:w="0" w:type="dxa"/>
            </w:tcMar>
          </w:tcPr>
          <w:p w14:paraId="457AB831" w14:textId="77777777" w:rsidR="00AE19B9" w:rsidRPr="004A75B4" w:rsidRDefault="00AE19B9" w:rsidP="004F25FF">
            <w:pPr>
              <w:suppressAutoHyphens w:val="0"/>
              <w:spacing w:before="40" w:after="120" w:line="220" w:lineRule="exact"/>
              <w:ind w:right="113"/>
              <w:rPr>
                <w:lang w:val="fr-FR"/>
              </w:rPr>
            </w:pPr>
            <w:r w:rsidRPr="004A75B4">
              <w:rPr>
                <w:b/>
                <w:bCs/>
                <w:lang w:val="fr-FR"/>
              </w:rPr>
              <w:t>Réponse</w:t>
            </w:r>
            <w:r>
              <w:rPr>
                <w:b/>
                <w:bCs/>
                <w:lang w:val="fr-FR"/>
              </w:rPr>
              <w:t> :</w:t>
            </w:r>
          </w:p>
        </w:tc>
        <w:tc>
          <w:tcPr>
            <w:tcW w:w="3968" w:type="dxa"/>
            <w:shd w:val="clear" w:color="auto" w:fill="auto"/>
            <w:tcMar>
              <w:top w:w="0" w:type="dxa"/>
              <w:left w:w="0" w:type="dxa"/>
              <w:bottom w:w="0" w:type="dxa"/>
              <w:right w:w="0" w:type="dxa"/>
            </w:tcMar>
          </w:tcPr>
          <w:p w14:paraId="0FF91542" w14:textId="77777777" w:rsidR="00AE19B9" w:rsidRPr="004A75B4" w:rsidRDefault="00CE53C4" w:rsidP="004F25FF">
            <w:pPr>
              <w:suppressAutoHyphens w:val="0"/>
              <w:spacing w:before="40" w:after="120" w:line="220" w:lineRule="exact"/>
              <w:ind w:right="113"/>
              <w:rPr>
                <w:lang w:val="fr-FR"/>
              </w:rPr>
            </w:pPr>
            <w:hyperlink r:id="rId9" w:history="1">
              <w:r w:rsidR="00AE19B9">
                <w:rPr>
                  <w:rStyle w:val="Lienhypertexte"/>
                  <w:lang w:val="fr-FR"/>
                </w:rPr>
                <w:t>CED/C/BRA/FCO/1</w:t>
              </w:r>
            </w:hyperlink>
            <w:r w:rsidR="00AE19B9" w:rsidRPr="00AB1C5E">
              <w:rPr>
                <w:lang w:val="fr-FR"/>
              </w:rPr>
              <w:t>, attendue le 27</w:t>
            </w:r>
            <w:r w:rsidR="00AE19B9">
              <w:rPr>
                <w:lang w:val="fr-FR"/>
              </w:rPr>
              <w:t> </w:t>
            </w:r>
            <w:r w:rsidR="00AE19B9" w:rsidRPr="00AB1C5E">
              <w:rPr>
                <w:lang w:val="fr-FR"/>
              </w:rPr>
              <w:t>septembre 2022, reçue le 5</w:t>
            </w:r>
            <w:r w:rsidR="00AE19B9">
              <w:rPr>
                <w:lang w:val="fr-FR"/>
              </w:rPr>
              <w:t> </w:t>
            </w:r>
            <w:r w:rsidR="00AE19B9" w:rsidRPr="00AB1C5E">
              <w:rPr>
                <w:lang w:val="fr-FR"/>
              </w:rPr>
              <w:t>décembre 2022</w:t>
            </w:r>
          </w:p>
        </w:tc>
      </w:tr>
      <w:tr w:rsidR="00AE19B9" w:rsidRPr="004A75B4" w14:paraId="47688FC8" w14:textId="77777777" w:rsidTr="004F25FF">
        <w:tc>
          <w:tcPr>
            <w:tcW w:w="3402" w:type="dxa"/>
            <w:shd w:val="clear" w:color="auto" w:fill="auto"/>
            <w:tcMar>
              <w:top w:w="0" w:type="dxa"/>
              <w:left w:w="0" w:type="dxa"/>
              <w:bottom w:w="0" w:type="dxa"/>
              <w:right w:w="0" w:type="dxa"/>
            </w:tcMar>
          </w:tcPr>
          <w:p w14:paraId="66794FB1" w14:textId="77777777" w:rsidR="00AE19B9" w:rsidRPr="004A75B4" w:rsidRDefault="00AE19B9" w:rsidP="004F25FF">
            <w:pPr>
              <w:suppressAutoHyphens w:val="0"/>
              <w:spacing w:before="40" w:after="120" w:line="220" w:lineRule="exact"/>
              <w:ind w:right="113"/>
              <w:rPr>
                <w:b/>
                <w:bCs/>
                <w:lang w:val="fr-FR"/>
              </w:rPr>
            </w:pPr>
            <w:r w:rsidRPr="004A75B4">
              <w:rPr>
                <w:b/>
                <w:bCs/>
                <w:lang w:val="fr-FR"/>
              </w:rPr>
              <w:t>Renseignements reçus d</w:t>
            </w:r>
            <w:r>
              <w:rPr>
                <w:b/>
                <w:bCs/>
                <w:lang w:val="fr-FR"/>
              </w:rPr>
              <w:t>’</w:t>
            </w:r>
            <w:r w:rsidRPr="004A75B4">
              <w:rPr>
                <w:b/>
                <w:bCs/>
                <w:lang w:val="fr-FR"/>
              </w:rPr>
              <w:t>autres parties prenantes</w:t>
            </w:r>
            <w:r>
              <w:rPr>
                <w:b/>
                <w:bCs/>
                <w:lang w:val="fr-FR"/>
              </w:rPr>
              <w:t> :</w:t>
            </w:r>
          </w:p>
        </w:tc>
        <w:tc>
          <w:tcPr>
            <w:tcW w:w="3968" w:type="dxa"/>
            <w:shd w:val="clear" w:color="auto" w:fill="auto"/>
            <w:tcMar>
              <w:top w:w="0" w:type="dxa"/>
              <w:left w:w="0" w:type="dxa"/>
              <w:bottom w:w="0" w:type="dxa"/>
              <w:right w:w="0" w:type="dxa"/>
            </w:tcMar>
          </w:tcPr>
          <w:p w14:paraId="56F31B3B" w14:textId="77777777" w:rsidR="00AE19B9" w:rsidRPr="004A75B4" w:rsidRDefault="00AE19B9" w:rsidP="004F25FF">
            <w:pPr>
              <w:suppressAutoHyphens w:val="0"/>
              <w:spacing w:before="40" w:after="120" w:line="220" w:lineRule="exact"/>
              <w:ind w:right="113"/>
              <w:rPr>
                <w:lang w:val="fr-FR"/>
              </w:rPr>
            </w:pPr>
            <w:r w:rsidRPr="004A75B4">
              <w:rPr>
                <w:lang w:val="fr-FR"/>
              </w:rPr>
              <w:t>Renseignements reçus du Bureau du défenseur public fédéral le 14</w:t>
            </w:r>
            <w:r>
              <w:rPr>
                <w:lang w:val="fr-FR"/>
              </w:rPr>
              <w:t> </w:t>
            </w:r>
            <w:r w:rsidRPr="004A75B4">
              <w:rPr>
                <w:lang w:val="fr-FR"/>
              </w:rPr>
              <w:t xml:space="preserve">décembre 2022 et renseignements reçus de </w:t>
            </w:r>
            <w:r w:rsidRPr="00AB1C5E">
              <w:rPr>
                <w:lang w:val="pt-PT"/>
              </w:rPr>
              <w:t>Conectas Direitos Humanos</w:t>
            </w:r>
            <w:r w:rsidRPr="004A75B4">
              <w:rPr>
                <w:lang w:val="fr-FR"/>
              </w:rPr>
              <w:t xml:space="preserve"> le 26</w:t>
            </w:r>
            <w:r>
              <w:rPr>
                <w:lang w:val="fr-FR"/>
              </w:rPr>
              <w:t> </w:t>
            </w:r>
            <w:r w:rsidRPr="004A75B4">
              <w:rPr>
                <w:lang w:val="fr-FR"/>
              </w:rPr>
              <w:t>décembre 2022</w:t>
            </w:r>
          </w:p>
        </w:tc>
      </w:tr>
    </w:tbl>
    <w:p w14:paraId="1160D456" w14:textId="77777777" w:rsidR="00AE19B9" w:rsidRPr="00B27D95" w:rsidRDefault="00AE19B9" w:rsidP="00AE19B9">
      <w:pPr>
        <w:pStyle w:val="SingleTxtG"/>
        <w:spacing w:before="240"/>
        <w:rPr>
          <w:b/>
          <w:bCs/>
          <w:lang w:val="fr-FR"/>
        </w:rPr>
      </w:pPr>
      <w:r w:rsidRPr="00B27D95">
        <w:rPr>
          <w:b/>
          <w:bCs/>
          <w:lang w:val="fr-FR"/>
        </w:rPr>
        <w:t>Paragraphe 13 : L</w:t>
      </w:r>
      <w:r>
        <w:rPr>
          <w:b/>
          <w:bCs/>
          <w:lang w:val="fr-FR"/>
        </w:rPr>
        <w:t>’</w:t>
      </w:r>
      <w:r w:rsidRPr="00B27D95">
        <w:rPr>
          <w:b/>
          <w:bCs/>
          <w:lang w:val="fr-FR"/>
        </w:rPr>
        <w:t>État partie devrait prendre les mesures nécessaires pour générer rapidement des informations statistiques précises et à jour sur les personnes disparues, ventilées par sexe, âge, nationalité, lieu d</w:t>
      </w:r>
      <w:r>
        <w:rPr>
          <w:b/>
          <w:bCs/>
          <w:lang w:val="fr-FR"/>
        </w:rPr>
        <w:t>’</w:t>
      </w:r>
      <w:r w:rsidRPr="00B27D95">
        <w:rPr>
          <w:b/>
          <w:bCs/>
          <w:lang w:val="fr-FR"/>
        </w:rPr>
        <w:t>origine et origine raciale ou ethnique. Ces informations devraient comprendre la date de la disparition, le nombre de personnes disparues qui ont été localisées, vivantes ou non, et le nombre de cas dans lesquels il y aurait eu, d</w:t>
      </w:r>
      <w:r>
        <w:rPr>
          <w:b/>
          <w:bCs/>
          <w:lang w:val="fr-FR"/>
        </w:rPr>
        <w:t>’</w:t>
      </w:r>
      <w:r w:rsidRPr="00B27D95">
        <w:rPr>
          <w:b/>
          <w:bCs/>
          <w:lang w:val="fr-FR"/>
        </w:rPr>
        <w:t>une manière ou d</w:t>
      </w:r>
      <w:r>
        <w:rPr>
          <w:b/>
          <w:bCs/>
          <w:lang w:val="fr-FR"/>
        </w:rPr>
        <w:t>’</w:t>
      </w:r>
      <w:r w:rsidRPr="00B27D95">
        <w:rPr>
          <w:b/>
          <w:bCs/>
          <w:lang w:val="fr-FR"/>
        </w:rPr>
        <w:t>une autre, participation de l</w:t>
      </w:r>
      <w:r>
        <w:rPr>
          <w:b/>
          <w:bCs/>
          <w:lang w:val="fr-FR"/>
        </w:rPr>
        <w:t>’</w:t>
      </w:r>
      <w:r w:rsidRPr="00B27D95">
        <w:rPr>
          <w:b/>
          <w:bCs/>
          <w:lang w:val="fr-FR"/>
        </w:rPr>
        <w:t>État au sens de l</w:t>
      </w:r>
      <w:r>
        <w:rPr>
          <w:b/>
          <w:bCs/>
          <w:lang w:val="fr-FR"/>
        </w:rPr>
        <w:t>’</w:t>
      </w:r>
      <w:r w:rsidRPr="00B27D95">
        <w:rPr>
          <w:b/>
          <w:bCs/>
          <w:lang w:val="fr-FR"/>
        </w:rPr>
        <w:t>article 2 de la Convention. À cet égard, le Comité recommande à l</w:t>
      </w:r>
      <w:r>
        <w:rPr>
          <w:b/>
          <w:bCs/>
          <w:lang w:val="fr-FR"/>
        </w:rPr>
        <w:t>’</w:t>
      </w:r>
      <w:r w:rsidRPr="00B27D95">
        <w:rPr>
          <w:b/>
          <w:bCs/>
          <w:lang w:val="fr-FR"/>
        </w:rPr>
        <w:t>État partie d</w:t>
      </w:r>
      <w:r>
        <w:rPr>
          <w:b/>
          <w:bCs/>
          <w:lang w:val="fr-FR"/>
        </w:rPr>
        <w:t>’</w:t>
      </w:r>
      <w:r w:rsidRPr="00B27D95">
        <w:rPr>
          <w:b/>
          <w:bCs/>
          <w:lang w:val="fr-FR"/>
        </w:rPr>
        <w:t>accélérer la mise en place du Registre national des personnes disparues en veillant à ce qu</w:t>
      </w:r>
      <w:r>
        <w:rPr>
          <w:b/>
          <w:bCs/>
          <w:lang w:val="fr-FR"/>
        </w:rPr>
        <w:t>’</w:t>
      </w:r>
      <w:r w:rsidRPr="00B27D95">
        <w:rPr>
          <w:b/>
          <w:bCs/>
          <w:lang w:val="fr-FR"/>
        </w:rPr>
        <w:t>il contienne au minimum toutes les informations visées dans la présente recommandation.</w:t>
      </w:r>
    </w:p>
    <w:p w14:paraId="4ABE9134" w14:textId="77777777" w:rsidR="00AE19B9" w:rsidRPr="004A75B4" w:rsidRDefault="00AE19B9" w:rsidP="00AE19B9">
      <w:pPr>
        <w:pStyle w:val="H23G"/>
        <w:rPr>
          <w:lang w:val="fr-FR"/>
        </w:rPr>
      </w:pPr>
      <w:r w:rsidRPr="004A75B4">
        <w:rPr>
          <w:lang w:val="fr-FR"/>
        </w:rPr>
        <w:tab/>
      </w:r>
      <w:r w:rsidRPr="004A75B4">
        <w:rPr>
          <w:lang w:val="fr-FR"/>
        </w:rPr>
        <w:tab/>
      </w:r>
      <w:r w:rsidRPr="004A75B4">
        <w:rPr>
          <w:bCs/>
          <w:lang w:val="fr-FR"/>
        </w:rPr>
        <w:t>Réponse de l</w:t>
      </w:r>
      <w:r>
        <w:rPr>
          <w:bCs/>
          <w:lang w:val="fr-FR"/>
        </w:rPr>
        <w:t>’</w:t>
      </w:r>
      <w:r w:rsidRPr="004A75B4">
        <w:rPr>
          <w:bCs/>
          <w:lang w:val="fr-FR"/>
        </w:rPr>
        <w:t>État partie</w:t>
      </w:r>
    </w:p>
    <w:p w14:paraId="0BD546F2" w14:textId="0788681D" w:rsidR="00AE19B9" w:rsidRPr="004A75B4" w:rsidRDefault="00AE19B9" w:rsidP="00AE19B9">
      <w:pPr>
        <w:pStyle w:val="SingleTxtG"/>
        <w:rPr>
          <w:lang w:val="fr-FR"/>
        </w:rPr>
      </w:pPr>
      <w:r w:rsidRPr="004A75B4">
        <w:rPr>
          <w:lang w:val="fr-FR"/>
        </w:rPr>
        <w:t>4.</w:t>
      </w:r>
      <w:r w:rsidRPr="004A75B4">
        <w:rPr>
          <w:lang w:val="fr-FR"/>
        </w:rPr>
        <w:tab/>
        <w:t>La réponse de l</w:t>
      </w:r>
      <w:r>
        <w:rPr>
          <w:lang w:val="fr-FR"/>
        </w:rPr>
        <w:t>’</w:t>
      </w:r>
      <w:r w:rsidRPr="004A75B4">
        <w:rPr>
          <w:lang w:val="fr-FR"/>
        </w:rPr>
        <w:t xml:space="preserve">État partie figure dans le document </w:t>
      </w:r>
      <w:hyperlink r:id="rId10" w:history="1">
        <w:r>
          <w:rPr>
            <w:rStyle w:val="Lienhypertexte"/>
            <w:lang w:val="fr-FR"/>
          </w:rPr>
          <w:t>CED/C/BRA/FCO/1</w:t>
        </w:r>
      </w:hyperlink>
      <w:r w:rsidRPr="004A75B4">
        <w:rPr>
          <w:lang w:val="fr-FR"/>
        </w:rPr>
        <w:t>, aux paragraphes</w:t>
      </w:r>
      <w:r w:rsidR="00EC3525">
        <w:rPr>
          <w:lang w:val="fr-FR"/>
        </w:rPr>
        <w:t> </w:t>
      </w:r>
      <w:r w:rsidRPr="004A75B4">
        <w:rPr>
          <w:lang w:val="fr-FR"/>
        </w:rPr>
        <w:t>1 et 2.</w:t>
      </w:r>
    </w:p>
    <w:p w14:paraId="100F573B" w14:textId="77777777" w:rsidR="00AE19B9" w:rsidRPr="004A75B4" w:rsidRDefault="00AE19B9" w:rsidP="00AE19B9">
      <w:pPr>
        <w:pStyle w:val="H23G"/>
        <w:rPr>
          <w:lang w:val="fr-FR"/>
        </w:rPr>
      </w:pPr>
      <w:r w:rsidRPr="004A75B4">
        <w:rPr>
          <w:lang w:val="fr-FR"/>
        </w:rPr>
        <w:tab/>
      </w:r>
      <w:r w:rsidRPr="004A75B4">
        <w:rPr>
          <w:lang w:val="fr-FR"/>
        </w:rPr>
        <w:tab/>
      </w:r>
      <w:r w:rsidRPr="004A75B4">
        <w:rPr>
          <w:bCs/>
          <w:lang w:val="fr-FR"/>
        </w:rPr>
        <w:t>Évaluation du Comité</w:t>
      </w:r>
    </w:p>
    <w:p w14:paraId="37923772" w14:textId="0A7AB391" w:rsidR="00AE19B9" w:rsidRPr="004A75B4" w:rsidRDefault="00AE19B9" w:rsidP="00AE19B9">
      <w:pPr>
        <w:pStyle w:val="SingleTxtG"/>
        <w:rPr>
          <w:lang w:val="fr-FR"/>
        </w:rPr>
      </w:pPr>
      <w:r w:rsidRPr="004A75B4">
        <w:rPr>
          <w:lang w:val="fr-FR"/>
        </w:rPr>
        <w:t>5.</w:t>
      </w:r>
      <w:r w:rsidRPr="004A75B4">
        <w:rPr>
          <w:lang w:val="fr-FR"/>
        </w:rPr>
        <w:tab/>
      </w:r>
      <w:r w:rsidRPr="004A75B4">
        <w:rPr>
          <w:b/>
          <w:bCs/>
          <w:lang w:val="fr-FR"/>
        </w:rPr>
        <w:t>[C]</w:t>
      </w:r>
      <w:r>
        <w:rPr>
          <w:b/>
          <w:bCs/>
          <w:lang w:val="fr-FR"/>
        </w:rPr>
        <w:t> :</w:t>
      </w:r>
      <w:r w:rsidRPr="004A75B4">
        <w:rPr>
          <w:lang w:val="fr-FR"/>
        </w:rPr>
        <w:t xml:space="preserve"> Le Comité prend note des renseignements que l</w:t>
      </w:r>
      <w:r>
        <w:rPr>
          <w:lang w:val="fr-FR"/>
        </w:rPr>
        <w:t>’</w:t>
      </w:r>
      <w:r w:rsidRPr="004A75B4">
        <w:rPr>
          <w:lang w:val="fr-FR"/>
        </w:rPr>
        <w:t>État partie lui a communiqués concernant la collecte de données statistiques par les pouvoirs publics sur les cas de disparition. Il constate néanmoins que ces données ne permettent pas d</w:t>
      </w:r>
      <w:r>
        <w:rPr>
          <w:lang w:val="fr-FR"/>
        </w:rPr>
        <w:t>’</w:t>
      </w:r>
      <w:r w:rsidRPr="004A75B4">
        <w:rPr>
          <w:lang w:val="fr-FR"/>
        </w:rPr>
        <w:t>identifier les victimes de disparition forcée. Selon les informations disponibles, 65 225 disparitions ont été signalées à la police brésilienne, mais il est impossible de savoir combien d</w:t>
      </w:r>
      <w:r>
        <w:rPr>
          <w:lang w:val="fr-FR"/>
        </w:rPr>
        <w:t>’</w:t>
      </w:r>
      <w:r w:rsidRPr="004A75B4">
        <w:rPr>
          <w:lang w:val="fr-FR"/>
        </w:rPr>
        <w:t>entre elles sont des disparitions forcées, et il n</w:t>
      </w:r>
      <w:r>
        <w:rPr>
          <w:lang w:val="fr-FR"/>
        </w:rPr>
        <w:t>’</w:t>
      </w:r>
      <w:r w:rsidRPr="004A75B4">
        <w:rPr>
          <w:lang w:val="fr-FR"/>
        </w:rPr>
        <w:t>y a aucune information sur le sexe, l</w:t>
      </w:r>
      <w:r>
        <w:rPr>
          <w:lang w:val="fr-FR"/>
        </w:rPr>
        <w:t>’</w:t>
      </w:r>
      <w:r w:rsidRPr="004A75B4">
        <w:rPr>
          <w:lang w:val="fr-FR"/>
        </w:rPr>
        <w:t>âge, la nationalité, le lieu d</w:t>
      </w:r>
      <w:r>
        <w:rPr>
          <w:lang w:val="fr-FR"/>
        </w:rPr>
        <w:t>’</w:t>
      </w:r>
      <w:r w:rsidRPr="004A75B4">
        <w:rPr>
          <w:lang w:val="fr-FR"/>
        </w:rPr>
        <w:t>origine et l</w:t>
      </w:r>
      <w:r>
        <w:rPr>
          <w:lang w:val="fr-FR"/>
        </w:rPr>
        <w:t>’</w:t>
      </w:r>
      <w:r w:rsidRPr="004A75B4">
        <w:rPr>
          <w:lang w:val="fr-FR"/>
        </w:rPr>
        <w:t>origine raciale ou ethnique des personnes disparues, la date de la disparition ou le nombre de personnes disparues qui ont été localisées, vivantes ou non. Le Comité renouvelle donc la recommandation qu</w:t>
      </w:r>
      <w:r>
        <w:rPr>
          <w:lang w:val="fr-FR"/>
        </w:rPr>
        <w:t>’</w:t>
      </w:r>
      <w:r w:rsidRPr="004A75B4">
        <w:rPr>
          <w:lang w:val="fr-FR"/>
        </w:rPr>
        <w:t>il a formulée au paragraphe</w:t>
      </w:r>
      <w:r w:rsidR="00EC3525">
        <w:rPr>
          <w:lang w:val="fr-FR"/>
        </w:rPr>
        <w:t> </w:t>
      </w:r>
      <w:r w:rsidRPr="004A75B4">
        <w:rPr>
          <w:lang w:val="fr-FR"/>
        </w:rPr>
        <w:t>13 de ses observations finales et prie l</w:t>
      </w:r>
      <w:r>
        <w:rPr>
          <w:lang w:val="fr-FR"/>
        </w:rPr>
        <w:t>’</w:t>
      </w:r>
      <w:r w:rsidRPr="004A75B4">
        <w:rPr>
          <w:lang w:val="fr-FR"/>
        </w:rPr>
        <w:t>État partie de générer rapidement des informations statistiques précises et actualisées sur les personnes disparues et de lui communiquer des renseignements à jour sur ce sujet lorsqu</w:t>
      </w:r>
      <w:r>
        <w:rPr>
          <w:lang w:val="fr-FR"/>
        </w:rPr>
        <w:t>’</w:t>
      </w:r>
      <w:r w:rsidRPr="004A75B4">
        <w:rPr>
          <w:lang w:val="fr-FR"/>
        </w:rPr>
        <w:t>il soumettra son prochain rapport en application de l</w:t>
      </w:r>
      <w:r>
        <w:rPr>
          <w:lang w:val="fr-FR"/>
        </w:rPr>
        <w:t>’</w:t>
      </w:r>
      <w:r w:rsidRPr="004A75B4">
        <w:rPr>
          <w:lang w:val="fr-FR"/>
        </w:rPr>
        <w:t>article</w:t>
      </w:r>
      <w:r w:rsidR="00EC3525">
        <w:rPr>
          <w:lang w:val="fr-FR"/>
        </w:rPr>
        <w:t> </w:t>
      </w:r>
      <w:r w:rsidRPr="004A75B4">
        <w:rPr>
          <w:lang w:val="fr-FR"/>
        </w:rPr>
        <w:t>29 (</w:t>
      </w:r>
      <w:r>
        <w:rPr>
          <w:lang w:val="fr-FR"/>
        </w:rPr>
        <w:t>par. </w:t>
      </w:r>
      <w:r w:rsidRPr="004A75B4">
        <w:rPr>
          <w:lang w:val="fr-FR"/>
        </w:rPr>
        <w:t>4) de la</w:t>
      </w:r>
      <w:r>
        <w:rPr>
          <w:lang w:val="fr-FR"/>
        </w:rPr>
        <w:t> </w:t>
      </w:r>
      <w:r w:rsidRPr="004A75B4">
        <w:rPr>
          <w:lang w:val="fr-FR"/>
        </w:rPr>
        <w:t>Convention.</w:t>
      </w:r>
    </w:p>
    <w:p w14:paraId="7F65CF0D" w14:textId="6F7D5550" w:rsidR="00AE19B9" w:rsidRPr="004A75B4" w:rsidRDefault="00AE19B9" w:rsidP="00AE19B9">
      <w:pPr>
        <w:pStyle w:val="SingleTxtG"/>
        <w:rPr>
          <w:b/>
          <w:bCs/>
          <w:lang w:val="fr-FR"/>
        </w:rPr>
      </w:pPr>
      <w:r w:rsidRPr="004A75B4">
        <w:rPr>
          <w:b/>
          <w:bCs/>
          <w:lang w:val="fr-FR"/>
        </w:rPr>
        <w:t>Paragraphe 15</w:t>
      </w:r>
      <w:r>
        <w:rPr>
          <w:b/>
          <w:bCs/>
          <w:lang w:val="fr-FR"/>
        </w:rPr>
        <w:t> :</w:t>
      </w:r>
      <w:r w:rsidRPr="004A75B4">
        <w:rPr>
          <w:b/>
          <w:bCs/>
          <w:lang w:val="fr-FR"/>
        </w:rPr>
        <w:t xml:space="preserve"> Le Comité recommande à l</w:t>
      </w:r>
      <w:r>
        <w:rPr>
          <w:b/>
          <w:bCs/>
          <w:lang w:val="fr-FR"/>
        </w:rPr>
        <w:t>’</w:t>
      </w:r>
      <w:r w:rsidRPr="004A75B4">
        <w:rPr>
          <w:b/>
          <w:bCs/>
          <w:lang w:val="fr-FR"/>
        </w:rPr>
        <w:t>État partie de prendre les mesures nécessaires</w:t>
      </w:r>
      <w:r>
        <w:rPr>
          <w:b/>
          <w:bCs/>
          <w:lang w:val="fr-FR"/>
        </w:rPr>
        <w:t> :</w:t>
      </w:r>
      <w:r w:rsidRPr="004A75B4">
        <w:rPr>
          <w:b/>
          <w:bCs/>
          <w:lang w:val="fr-FR"/>
        </w:rPr>
        <w:t xml:space="preserve"> a) pour accélérer l</w:t>
      </w:r>
      <w:r>
        <w:rPr>
          <w:b/>
          <w:bCs/>
          <w:lang w:val="fr-FR"/>
        </w:rPr>
        <w:t>’</w:t>
      </w:r>
      <w:r w:rsidRPr="004A75B4">
        <w:rPr>
          <w:b/>
          <w:bCs/>
          <w:lang w:val="fr-FR"/>
        </w:rPr>
        <w:t>adoption de dispositions érigeant la disparition forcée en infraction autonome, en veillant à ce qu</w:t>
      </w:r>
      <w:r>
        <w:rPr>
          <w:b/>
          <w:bCs/>
          <w:lang w:val="fr-FR"/>
        </w:rPr>
        <w:t>’</w:t>
      </w:r>
      <w:r w:rsidRPr="004A75B4">
        <w:rPr>
          <w:b/>
          <w:bCs/>
          <w:lang w:val="fr-FR"/>
        </w:rPr>
        <w:t>elles en donnent une définition qui soit pleinement compatible avec l</w:t>
      </w:r>
      <w:r>
        <w:rPr>
          <w:b/>
          <w:bCs/>
          <w:lang w:val="fr-FR"/>
        </w:rPr>
        <w:t>’</w:t>
      </w:r>
      <w:r w:rsidRPr="004A75B4">
        <w:rPr>
          <w:b/>
          <w:bCs/>
          <w:lang w:val="fr-FR"/>
        </w:rPr>
        <w:t>article</w:t>
      </w:r>
      <w:r w:rsidR="00EC3525">
        <w:rPr>
          <w:b/>
          <w:bCs/>
          <w:lang w:val="fr-FR"/>
        </w:rPr>
        <w:t> </w:t>
      </w:r>
      <w:r w:rsidRPr="004A75B4">
        <w:rPr>
          <w:b/>
          <w:bCs/>
          <w:lang w:val="fr-FR"/>
        </w:rPr>
        <w:t>2 de la Convention et à ce qu</w:t>
      </w:r>
      <w:r>
        <w:rPr>
          <w:b/>
          <w:bCs/>
          <w:lang w:val="fr-FR"/>
        </w:rPr>
        <w:t>’</w:t>
      </w:r>
      <w:r w:rsidRPr="004A75B4">
        <w:rPr>
          <w:b/>
          <w:bCs/>
          <w:lang w:val="fr-FR"/>
        </w:rPr>
        <w:t>elles prévoient des peines appropriées qui tiennent compte de son extrême gravité</w:t>
      </w:r>
      <w:r>
        <w:rPr>
          <w:b/>
          <w:bCs/>
          <w:lang w:val="fr-FR"/>
        </w:rPr>
        <w:t> ;</w:t>
      </w:r>
      <w:r w:rsidRPr="004A75B4">
        <w:rPr>
          <w:lang w:val="fr-FR"/>
        </w:rPr>
        <w:t xml:space="preserve"> </w:t>
      </w:r>
      <w:r w:rsidRPr="004A75B4">
        <w:rPr>
          <w:b/>
          <w:bCs/>
          <w:lang w:val="fr-FR"/>
        </w:rPr>
        <w:t>b) pour que l</w:t>
      </w:r>
      <w:r>
        <w:rPr>
          <w:b/>
          <w:bCs/>
          <w:lang w:val="fr-FR"/>
        </w:rPr>
        <w:t>’</w:t>
      </w:r>
      <w:r w:rsidRPr="004A75B4">
        <w:rPr>
          <w:b/>
          <w:bCs/>
          <w:lang w:val="fr-FR"/>
        </w:rPr>
        <w:t>application de ces dispositions aux cas de disparitions forcées qui ont commencé avant leur entrée en vigueur mais qui se sont poursuivies au-delà ne soit soumise à aucune limitation, y compris sur le fondement de la loi d</w:t>
      </w:r>
      <w:r>
        <w:rPr>
          <w:b/>
          <w:bCs/>
          <w:lang w:val="fr-FR"/>
        </w:rPr>
        <w:t>’</w:t>
      </w:r>
      <w:r w:rsidRPr="004A75B4">
        <w:rPr>
          <w:b/>
          <w:bCs/>
          <w:lang w:val="fr-FR"/>
        </w:rPr>
        <w:t>amnistie.</w:t>
      </w:r>
    </w:p>
    <w:p w14:paraId="7FC5203A" w14:textId="77777777" w:rsidR="00AE19B9" w:rsidRPr="004A75B4" w:rsidRDefault="00AE19B9" w:rsidP="00AE19B9">
      <w:pPr>
        <w:pStyle w:val="H23G"/>
        <w:rPr>
          <w:lang w:val="fr-FR"/>
        </w:rPr>
      </w:pPr>
      <w:r w:rsidRPr="004A75B4">
        <w:rPr>
          <w:lang w:val="fr-FR"/>
        </w:rPr>
        <w:lastRenderedPageBreak/>
        <w:tab/>
      </w:r>
      <w:r w:rsidRPr="004A75B4">
        <w:rPr>
          <w:lang w:val="fr-FR"/>
        </w:rPr>
        <w:tab/>
      </w:r>
      <w:r w:rsidRPr="004A75B4">
        <w:rPr>
          <w:bCs/>
          <w:lang w:val="fr-FR"/>
        </w:rPr>
        <w:t>Réponse de l</w:t>
      </w:r>
      <w:r>
        <w:rPr>
          <w:bCs/>
          <w:lang w:val="fr-FR"/>
        </w:rPr>
        <w:t>’</w:t>
      </w:r>
      <w:r w:rsidRPr="004A75B4">
        <w:rPr>
          <w:bCs/>
          <w:lang w:val="fr-FR"/>
        </w:rPr>
        <w:t>État partie</w:t>
      </w:r>
    </w:p>
    <w:p w14:paraId="487250AC" w14:textId="744A4183" w:rsidR="00AE19B9" w:rsidRPr="004A75B4" w:rsidRDefault="00AE19B9" w:rsidP="00AE19B9">
      <w:pPr>
        <w:pStyle w:val="SingleTxtG"/>
        <w:rPr>
          <w:lang w:val="fr-FR"/>
        </w:rPr>
      </w:pPr>
      <w:r w:rsidRPr="004A75B4">
        <w:rPr>
          <w:lang w:val="fr-FR"/>
        </w:rPr>
        <w:t>6.</w:t>
      </w:r>
      <w:r w:rsidRPr="004A75B4">
        <w:rPr>
          <w:lang w:val="fr-FR"/>
        </w:rPr>
        <w:tab/>
        <w:t>La réponse de l</w:t>
      </w:r>
      <w:r>
        <w:rPr>
          <w:lang w:val="fr-FR"/>
        </w:rPr>
        <w:t>’</w:t>
      </w:r>
      <w:r w:rsidRPr="004A75B4">
        <w:rPr>
          <w:lang w:val="fr-FR"/>
        </w:rPr>
        <w:t xml:space="preserve">État partie figure dans le document </w:t>
      </w:r>
      <w:hyperlink r:id="rId11" w:history="1">
        <w:r>
          <w:rPr>
            <w:rStyle w:val="Lienhypertexte"/>
            <w:lang w:val="fr-FR"/>
          </w:rPr>
          <w:t>CED/C/BRA/FCO/1</w:t>
        </w:r>
      </w:hyperlink>
      <w:r w:rsidRPr="004A75B4">
        <w:rPr>
          <w:lang w:val="fr-FR"/>
        </w:rPr>
        <w:t>, aux paragraphes</w:t>
      </w:r>
      <w:r w:rsidR="00EC3525">
        <w:rPr>
          <w:lang w:val="fr-FR"/>
        </w:rPr>
        <w:t> </w:t>
      </w:r>
      <w:r w:rsidRPr="004A75B4">
        <w:rPr>
          <w:lang w:val="fr-FR"/>
        </w:rPr>
        <w:t>3 et 4.</w:t>
      </w:r>
    </w:p>
    <w:p w14:paraId="648DBD36" w14:textId="77777777" w:rsidR="00AE19B9" w:rsidRPr="004A75B4" w:rsidRDefault="00AE19B9" w:rsidP="00AE19B9">
      <w:pPr>
        <w:pStyle w:val="H23G"/>
        <w:rPr>
          <w:lang w:val="fr-FR"/>
        </w:rPr>
      </w:pPr>
      <w:r w:rsidRPr="004A75B4">
        <w:rPr>
          <w:lang w:val="fr-FR"/>
        </w:rPr>
        <w:tab/>
      </w:r>
      <w:r w:rsidRPr="004A75B4">
        <w:rPr>
          <w:lang w:val="fr-FR"/>
        </w:rPr>
        <w:tab/>
      </w:r>
      <w:r w:rsidRPr="004A75B4">
        <w:rPr>
          <w:bCs/>
          <w:lang w:val="fr-FR"/>
        </w:rPr>
        <w:t>Évaluation du Comité</w:t>
      </w:r>
    </w:p>
    <w:p w14:paraId="2CA09B95" w14:textId="77777777" w:rsidR="00AE19B9" w:rsidRPr="004A75B4" w:rsidRDefault="00AE19B9" w:rsidP="00AE19B9">
      <w:pPr>
        <w:pStyle w:val="SingleTxtG"/>
        <w:rPr>
          <w:lang w:val="fr-FR"/>
        </w:rPr>
      </w:pPr>
      <w:r w:rsidRPr="004A75B4">
        <w:rPr>
          <w:lang w:val="fr-FR"/>
        </w:rPr>
        <w:t>7.</w:t>
      </w:r>
      <w:r w:rsidRPr="004A75B4">
        <w:rPr>
          <w:lang w:val="fr-FR"/>
        </w:rPr>
        <w:tab/>
      </w:r>
      <w:r w:rsidRPr="004A75B4">
        <w:rPr>
          <w:b/>
          <w:bCs/>
          <w:lang w:val="fr-FR"/>
        </w:rPr>
        <w:t>[C]</w:t>
      </w:r>
      <w:r>
        <w:rPr>
          <w:b/>
          <w:bCs/>
          <w:lang w:val="fr-FR"/>
        </w:rPr>
        <w:t> :</w:t>
      </w:r>
      <w:r w:rsidRPr="004A75B4">
        <w:rPr>
          <w:lang w:val="fr-FR"/>
        </w:rPr>
        <w:t xml:space="preserve"> Le Comité note que l</w:t>
      </w:r>
      <w:r>
        <w:rPr>
          <w:lang w:val="fr-FR"/>
        </w:rPr>
        <w:t>’</w:t>
      </w:r>
      <w:r w:rsidRPr="004A75B4">
        <w:rPr>
          <w:lang w:val="fr-FR"/>
        </w:rPr>
        <w:t>État partie indique que la Coordination générale des personnes disparues a exprimé un avis favorable concernant le projet de loi n</w:t>
      </w:r>
      <w:r w:rsidRPr="00456A9A">
        <w:rPr>
          <w:vertAlign w:val="superscript"/>
          <w:lang w:val="fr-FR"/>
        </w:rPr>
        <w:t>o</w:t>
      </w:r>
      <w:r w:rsidRPr="004A75B4">
        <w:rPr>
          <w:lang w:val="fr-FR"/>
        </w:rPr>
        <w:t> 6240/2013, ce qui montre, selon lui, que le Brésil accueille avec intérêt les recommandations qui lui ont été adressées. Si ce projet de loi, en cours d</w:t>
      </w:r>
      <w:r>
        <w:rPr>
          <w:lang w:val="fr-FR"/>
        </w:rPr>
        <w:t>’</w:t>
      </w:r>
      <w:r w:rsidRPr="004A75B4">
        <w:rPr>
          <w:lang w:val="fr-FR"/>
        </w:rPr>
        <w:t>examen devant la Chambre des députés, donne une définition de la disparition forcée qui est conforme à celle figurant à l</w:t>
      </w:r>
      <w:r>
        <w:rPr>
          <w:lang w:val="fr-FR"/>
        </w:rPr>
        <w:t>’</w:t>
      </w:r>
      <w:r w:rsidRPr="004A75B4">
        <w:rPr>
          <w:lang w:val="fr-FR"/>
        </w:rPr>
        <w:t>article 2 de la Convention et dispose que cette infraction est imprescriptible, la disparition forcée n</w:t>
      </w:r>
      <w:r>
        <w:rPr>
          <w:lang w:val="fr-FR"/>
        </w:rPr>
        <w:t>’</w:t>
      </w:r>
      <w:r w:rsidRPr="004A75B4">
        <w:rPr>
          <w:lang w:val="fr-FR"/>
        </w:rPr>
        <w:t>est toujours pas érigée en infraction autonome. Le Comité constate en outre que l</w:t>
      </w:r>
      <w:r>
        <w:rPr>
          <w:lang w:val="fr-FR"/>
        </w:rPr>
        <w:t>’</w:t>
      </w:r>
      <w:r w:rsidRPr="004A75B4">
        <w:rPr>
          <w:lang w:val="fr-FR"/>
        </w:rPr>
        <w:t>État partie ne communique pas de renseignements au sujet de la deuxième partie de ses recommandations relative à la loi d</w:t>
      </w:r>
      <w:r>
        <w:rPr>
          <w:lang w:val="fr-FR"/>
        </w:rPr>
        <w:t>’</w:t>
      </w:r>
      <w:r w:rsidRPr="004A75B4">
        <w:rPr>
          <w:lang w:val="fr-FR"/>
        </w:rPr>
        <w:t>amnistie, dont les dispositions pourraient empêcher d</w:t>
      </w:r>
      <w:r>
        <w:rPr>
          <w:lang w:val="fr-FR"/>
        </w:rPr>
        <w:t>’</w:t>
      </w:r>
      <w:r w:rsidRPr="004A75B4">
        <w:rPr>
          <w:lang w:val="fr-FR"/>
        </w:rPr>
        <w:t>engager des poursuites contre les responsables présumés des disparitions forcées survenues pendant la dictature. Il renouvelle donc la recommandation qu</w:t>
      </w:r>
      <w:r>
        <w:rPr>
          <w:lang w:val="fr-FR"/>
        </w:rPr>
        <w:t>’</w:t>
      </w:r>
      <w:r w:rsidRPr="004A75B4">
        <w:rPr>
          <w:lang w:val="fr-FR"/>
        </w:rPr>
        <w:t>il a formulée au paragraphe 15 de ses observations finales et prie l</w:t>
      </w:r>
      <w:r>
        <w:rPr>
          <w:lang w:val="fr-FR"/>
        </w:rPr>
        <w:t>’</w:t>
      </w:r>
      <w:r w:rsidRPr="004A75B4">
        <w:rPr>
          <w:lang w:val="fr-FR"/>
        </w:rPr>
        <w:t>État partie de lui communiquer des renseignements à jour sur ce sujet lorsqu</w:t>
      </w:r>
      <w:r>
        <w:rPr>
          <w:lang w:val="fr-FR"/>
        </w:rPr>
        <w:t>’</w:t>
      </w:r>
      <w:r w:rsidRPr="004A75B4">
        <w:rPr>
          <w:lang w:val="fr-FR"/>
        </w:rPr>
        <w:t>il soumettra son prochain rapport en application de l</w:t>
      </w:r>
      <w:r>
        <w:rPr>
          <w:lang w:val="fr-FR"/>
        </w:rPr>
        <w:t>’</w:t>
      </w:r>
      <w:r w:rsidRPr="004A75B4">
        <w:rPr>
          <w:lang w:val="fr-FR"/>
        </w:rPr>
        <w:t>article 29 (</w:t>
      </w:r>
      <w:r>
        <w:rPr>
          <w:lang w:val="fr-FR"/>
        </w:rPr>
        <w:t>par. </w:t>
      </w:r>
      <w:r w:rsidRPr="004A75B4">
        <w:rPr>
          <w:lang w:val="fr-FR"/>
        </w:rPr>
        <w:t>4) de la</w:t>
      </w:r>
      <w:r>
        <w:rPr>
          <w:lang w:val="fr-FR"/>
        </w:rPr>
        <w:t> </w:t>
      </w:r>
      <w:r w:rsidRPr="004A75B4">
        <w:rPr>
          <w:lang w:val="fr-FR"/>
        </w:rPr>
        <w:t>Convention.</w:t>
      </w:r>
    </w:p>
    <w:p w14:paraId="287D6A3D" w14:textId="77777777" w:rsidR="00AE19B9" w:rsidRPr="004A75B4" w:rsidRDefault="00AE19B9" w:rsidP="00AE19B9">
      <w:pPr>
        <w:pStyle w:val="SingleTxtG"/>
        <w:rPr>
          <w:b/>
          <w:bCs/>
          <w:lang w:val="fr-FR"/>
        </w:rPr>
      </w:pPr>
      <w:r w:rsidRPr="004A75B4">
        <w:rPr>
          <w:b/>
          <w:bCs/>
          <w:lang w:val="fr-FR"/>
        </w:rPr>
        <w:t>Paragraphe 19</w:t>
      </w:r>
      <w:r>
        <w:rPr>
          <w:b/>
          <w:bCs/>
          <w:lang w:val="fr-FR"/>
        </w:rPr>
        <w:t> :</w:t>
      </w:r>
      <w:r w:rsidRPr="004A75B4">
        <w:rPr>
          <w:b/>
          <w:bCs/>
          <w:lang w:val="fr-FR"/>
        </w:rPr>
        <w:t xml:space="preserve"> Rappelant sa déclaration sur les disparitions forcées et la juridiction militaire</w:t>
      </w:r>
      <w:r w:rsidRPr="00422E92">
        <w:rPr>
          <w:rStyle w:val="Appelnotedebasdep"/>
        </w:rPr>
        <w:footnoteReference w:id="4"/>
      </w:r>
      <w:r w:rsidRPr="004A75B4">
        <w:rPr>
          <w:b/>
          <w:bCs/>
          <w:lang w:val="fr-FR"/>
        </w:rPr>
        <w:t>, le Comité recommande à l</w:t>
      </w:r>
      <w:r>
        <w:rPr>
          <w:b/>
          <w:bCs/>
          <w:lang w:val="fr-FR"/>
        </w:rPr>
        <w:t>’</w:t>
      </w:r>
      <w:r w:rsidRPr="004A75B4">
        <w:rPr>
          <w:b/>
          <w:bCs/>
          <w:lang w:val="fr-FR"/>
        </w:rPr>
        <w:t>État partie de prendre sans tarder les mesures voulues pour que les enquêtes et poursuites concernant des disparitions forcées soient expressément exclues de la juridiction militaire.</w:t>
      </w:r>
    </w:p>
    <w:p w14:paraId="6E616818" w14:textId="77777777" w:rsidR="00AE19B9" w:rsidRPr="004A75B4" w:rsidRDefault="00AE19B9" w:rsidP="00AE19B9">
      <w:pPr>
        <w:pStyle w:val="H23G"/>
        <w:rPr>
          <w:lang w:val="fr-FR"/>
        </w:rPr>
      </w:pPr>
      <w:r w:rsidRPr="004A75B4">
        <w:rPr>
          <w:lang w:val="fr-FR"/>
        </w:rPr>
        <w:tab/>
      </w:r>
      <w:r w:rsidRPr="004A75B4">
        <w:rPr>
          <w:lang w:val="fr-FR"/>
        </w:rPr>
        <w:tab/>
      </w:r>
      <w:r w:rsidRPr="004A75B4">
        <w:rPr>
          <w:bCs/>
          <w:lang w:val="fr-FR"/>
        </w:rPr>
        <w:t>Réponse de l</w:t>
      </w:r>
      <w:r>
        <w:rPr>
          <w:bCs/>
          <w:lang w:val="fr-FR"/>
        </w:rPr>
        <w:t>’</w:t>
      </w:r>
      <w:r w:rsidRPr="004A75B4">
        <w:rPr>
          <w:bCs/>
          <w:lang w:val="fr-FR"/>
        </w:rPr>
        <w:t>État partie</w:t>
      </w:r>
    </w:p>
    <w:p w14:paraId="29E35AEE" w14:textId="77777777" w:rsidR="00AE19B9" w:rsidRPr="004A75B4" w:rsidRDefault="00AE19B9" w:rsidP="00AE19B9">
      <w:pPr>
        <w:pStyle w:val="SingleTxtG"/>
        <w:rPr>
          <w:lang w:val="fr-FR"/>
        </w:rPr>
      </w:pPr>
      <w:r w:rsidRPr="004A75B4">
        <w:rPr>
          <w:lang w:val="fr-FR"/>
        </w:rPr>
        <w:t>8.</w:t>
      </w:r>
      <w:r w:rsidRPr="004A75B4">
        <w:rPr>
          <w:lang w:val="fr-FR"/>
        </w:rPr>
        <w:tab/>
        <w:t>La réponse de l</w:t>
      </w:r>
      <w:r>
        <w:rPr>
          <w:lang w:val="fr-FR"/>
        </w:rPr>
        <w:t>’</w:t>
      </w:r>
      <w:r w:rsidRPr="004A75B4">
        <w:rPr>
          <w:lang w:val="fr-FR"/>
        </w:rPr>
        <w:t xml:space="preserve">État partie figure dans le document </w:t>
      </w:r>
      <w:hyperlink r:id="rId12" w:history="1">
        <w:r>
          <w:rPr>
            <w:rStyle w:val="Lienhypertexte"/>
            <w:lang w:val="fr-FR"/>
          </w:rPr>
          <w:t>CED/C/BRA/FCO/1</w:t>
        </w:r>
      </w:hyperlink>
      <w:r w:rsidRPr="004A75B4">
        <w:rPr>
          <w:lang w:val="fr-FR"/>
        </w:rPr>
        <w:t>, aux paragraphes 5 à 7.</w:t>
      </w:r>
    </w:p>
    <w:p w14:paraId="122419D5" w14:textId="77777777" w:rsidR="00AE19B9" w:rsidRPr="004A75B4" w:rsidRDefault="00AE19B9" w:rsidP="00AE19B9">
      <w:pPr>
        <w:pStyle w:val="H23G"/>
        <w:rPr>
          <w:lang w:val="fr-FR"/>
        </w:rPr>
      </w:pPr>
      <w:r w:rsidRPr="004A75B4">
        <w:rPr>
          <w:lang w:val="fr-FR"/>
        </w:rPr>
        <w:tab/>
      </w:r>
      <w:r w:rsidRPr="004A75B4">
        <w:rPr>
          <w:lang w:val="fr-FR"/>
        </w:rPr>
        <w:tab/>
      </w:r>
      <w:r w:rsidRPr="004A75B4">
        <w:rPr>
          <w:bCs/>
          <w:lang w:val="fr-FR"/>
        </w:rPr>
        <w:t>Évaluation du Comité</w:t>
      </w:r>
    </w:p>
    <w:p w14:paraId="0DFFAACB" w14:textId="380EB9DA" w:rsidR="00AE19B9" w:rsidRPr="004A75B4" w:rsidRDefault="00AE19B9" w:rsidP="00AE19B9">
      <w:pPr>
        <w:pStyle w:val="SingleTxtG"/>
        <w:rPr>
          <w:lang w:val="fr-FR"/>
        </w:rPr>
      </w:pPr>
      <w:r w:rsidRPr="004A75B4">
        <w:rPr>
          <w:lang w:val="fr-FR"/>
        </w:rPr>
        <w:t>9.</w:t>
      </w:r>
      <w:r w:rsidRPr="004A75B4">
        <w:rPr>
          <w:lang w:val="fr-FR"/>
        </w:rPr>
        <w:tab/>
      </w:r>
      <w:r w:rsidRPr="004A75B4">
        <w:rPr>
          <w:b/>
          <w:bCs/>
          <w:lang w:val="fr-FR"/>
        </w:rPr>
        <w:t>[C]</w:t>
      </w:r>
      <w:r>
        <w:rPr>
          <w:b/>
          <w:bCs/>
          <w:lang w:val="fr-FR"/>
        </w:rPr>
        <w:t> :</w:t>
      </w:r>
      <w:r w:rsidRPr="004A75B4">
        <w:rPr>
          <w:lang w:val="fr-FR"/>
        </w:rPr>
        <w:t xml:space="preserve"> Le Comité note que l</w:t>
      </w:r>
      <w:r>
        <w:rPr>
          <w:lang w:val="fr-FR"/>
        </w:rPr>
        <w:t>’</w:t>
      </w:r>
      <w:r w:rsidRPr="004A75B4">
        <w:rPr>
          <w:lang w:val="fr-FR"/>
        </w:rPr>
        <w:t>État partie affirme que les juridictions militaires ne sont pas compétentes pour connaître des cas de disparition forcée. Cependant, l</w:t>
      </w:r>
      <w:r>
        <w:rPr>
          <w:lang w:val="fr-FR"/>
        </w:rPr>
        <w:t>’</w:t>
      </w:r>
      <w:r w:rsidRPr="004A75B4">
        <w:rPr>
          <w:lang w:val="fr-FR"/>
        </w:rPr>
        <w:t>État partie ne communique aucune information supplémentaire sur les mesures prises pour garantir l</w:t>
      </w:r>
      <w:r>
        <w:rPr>
          <w:lang w:val="fr-FR"/>
        </w:rPr>
        <w:t>’</w:t>
      </w:r>
      <w:r w:rsidRPr="004A75B4">
        <w:rPr>
          <w:lang w:val="fr-FR"/>
        </w:rPr>
        <w:t>application de ce principe dans la pratique, en particulier au vu des allégations selon lesquelles le champ de compétence de la justice militaire s</w:t>
      </w:r>
      <w:r>
        <w:rPr>
          <w:lang w:val="fr-FR"/>
        </w:rPr>
        <w:t>’</w:t>
      </w:r>
      <w:r w:rsidRPr="004A75B4">
        <w:rPr>
          <w:lang w:val="fr-FR"/>
        </w:rPr>
        <w:t>est élargi depuis 2004. Ainsi, le Comité constate que, selon les informations disponibles, bien que le système de justice civile reste compétent pour connaître des homicides volontaires de civils commis par des militaires, le système de justice militaire de l</w:t>
      </w:r>
      <w:r>
        <w:rPr>
          <w:lang w:val="fr-FR"/>
        </w:rPr>
        <w:t>’</w:t>
      </w:r>
      <w:r w:rsidRPr="004A75B4">
        <w:rPr>
          <w:lang w:val="fr-FR"/>
        </w:rPr>
        <w:t xml:space="preserve">État et la police militaire considèrent que les enquêtes sont encore menées par la police militaire et non par la police civile. En outre, conformément aux dispositions de la loi </w:t>
      </w:r>
      <w:r w:rsidRPr="00456A9A">
        <w:rPr>
          <w:rFonts w:eastAsia="MS Mincho"/>
          <w:lang w:val="fr-FR"/>
        </w:rPr>
        <w:t>n</w:t>
      </w:r>
      <w:r w:rsidRPr="00456A9A">
        <w:rPr>
          <w:rFonts w:eastAsia="MS Mincho"/>
          <w:vertAlign w:val="superscript"/>
          <w:lang w:val="fr-FR"/>
        </w:rPr>
        <w:t>o</w:t>
      </w:r>
      <w:r>
        <w:rPr>
          <w:lang w:val="fr-FR"/>
        </w:rPr>
        <w:t> </w:t>
      </w:r>
      <w:r w:rsidRPr="004A75B4">
        <w:rPr>
          <w:lang w:val="fr-FR"/>
        </w:rPr>
        <w:t>13491/2017, les autorités militaires peuvent toujours enquêter sur les disparitions forcées commises par du personnel militaire, et les juridictions militaires peuvent toujours statuer sur ces affaires. Par conséquent, le Comité renouvelle la recommandation qu</w:t>
      </w:r>
      <w:r>
        <w:rPr>
          <w:lang w:val="fr-FR"/>
        </w:rPr>
        <w:t>’</w:t>
      </w:r>
      <w:r w:rsidRPr="004A75B4">
        <w:rPr>
          <w:lang w:val="fr-FR"/>
        </w:rPr>
        <w:t>il a formulée au paragraphe</w:t>
      </w:r>
      <w:r w:rsidR="00EC3525">
        <w:rPr>
          <w:lang w:val="fr-FR"/>
        </w:rPr>
        <w:t> </w:t>
      </w:r>
      <w:r w:rsidRPr="004A75B4">
        <w:rPr>
          <w:lang w:val="fr-FR"/>
        </w:rPr>
        <w:t>19 de ses observations finales et prie l</w:t>
      </w:r>
      <w:r>
        <w:rPr>
          <w:lang w:val="fr-FR"/>
        </w:rPr>
        <w:t>’</w:t>
      </w:r>
      <w:r w:rsidRPr="004A75B4">
        <w:rPr>
          <w:lang w:val="fr-FR"/>
        </w:rPr>
        <w:t>État partie de lui communiquer des renseignements à jour sur ce sujet lorsqu</w:t>
      </w:r>
      <w:r>
        <w:rPr>
          <w:lang w:val="fr-FR"/>
        </w:rPr>
        <w:t>’</w:t>
      </w:r>
      <w:r w:rsidRPr="004A75B4">
        <w:rPr>
          <w:lang w:val="fr-FR"/>
        </w:rPr>
        <w:t>il soumettra son prochain rapport en application de l</w:t>
      </w:r>
      <w:r>
        <w:rPr>
          <w:lang w:val="fr-FR"/>
        </w:rPr>
        <w:t>’</w:t>
      </w:r>
      <w:r w:rsidRPr="004A75B4">
        <w:rPr>
          <w:lang w:val="fr-FR"/>
        </w:rPr>
        <w:t>article</w:t>
      </w:r>
      <w:r w:rsidR="00EC3525">
        <w:rPr>
          <w:lang w:val="fr-FR"/>
        </w:rPr>
        <w:t> </w:t>
      </w:r>
      <w:r w:rsidRPr="004A75B4">
        <w:rPr>
          <w:lang w:val="fr-FR"/>
        </w:rPr>
        <w:t>29 (</w:t>
      </w:r>
      <w:r>
        <w:rPr>
          <w:lang w:val="fr-FR"/>
        </w:rPr>
        <w:t>par. </w:t>
      </w:r>
      <w:r w:rsidRPr="004A75B4">
        <w:rPr>
          <w:lang w:val="fr-FR"/>
        </w:rPr>
        <w:t>4) de la Convention.</w:t>
      </w:r>
    </w:p>
    <w:p w14:paraId="2447D9E2" w14:textId="77777777" w:rsidR="00AE19B9" w:rsidRPr="004A75B4" w:rsidRDefault="00AE19B9" w:rsidP="00AE19B9">
      <w:pPr>
        <w:pStyle w:val="H23G"/>
        <w:rPr>
          <w:lang w:val="fr-FR"/>
        </w:rPr>
      </w:pPr>
      <w:r w:rsidRPr="004A75B4">
        <w:rPr>
          <w:lang w:val="fr-FR"/>
        </w:rPr>
        <w:tab/>
      </w:r>
      <w:r w:rsidRPr="004A75B4">
        <w:rPr>
          <w:lang w:val="fr-FR"/>
        </w:rPr>
        <w:tab/>
      </w:r>
      <w:r w:rsidRPr="004A75B4">
        <w:rPr>
          <w:bCs/>
          <w:lang w:val="fr-FR"/>
        </w:rPr>
        <w:t>Décision du Comité</w:t>
      </w:r>
    </w:p>
    <w:p w14:paraId="737E660D" w14:textId="65522A1E" w:rsidR="00AE19B9" w:rsidRPr="004A75B4" w:rsidRDefault="00AE19B9" w:rsidP="00AE19B9">
      <w:pPr>
        <w:pStyle w:val="SingleTxtG"/>
        <w:rPr>
          <w:lang w:val="fr-FR"/>
        </w:rPr>
      </w:pPr>
      <w:r w:rsidRPr="004A75B4">
        <w:rPr>
          <w:lang w:val="fr-FR"/>
        </w:rPr>
        <w:t>10.</w:t>
      </w:r>
      <w:r w:rsidRPr="004A75B4">
        <w:rPr>
          <w:lang w:val="fr-FR"/>
        </w:rPr>
        <w:tab/>
        <w:t>Le Comité décide d</w:t>
      </w:r>
      <w:r>
        <w:rPr>
          <w:lang w:val="fr-FR"/>
        </w:rPr>
        <w:t>’</w:t>
      </w:r>
      <w:r w:rsidRPr="004A75B4">
        <w:rPr>
          <w:lang w:val="fr-FR"/>
        </w:rPr>
        <w:t>adresser une lettre à l</w:t>
      </w:r>
      <w:r>
        <w:rPr>
          <w:lang w:val="fr-FR"/>
        </w:rPr>
        <w:t>’</w:t>
      </w:r>
      <w:r w:rsidRPr="004A75B4">
        <w:rPr>
          <w:lang w:val="fr-FR"/>
        </w:rPr>
        <w:t>État partie pour lui communiquer son évaluation. Il y soulignera qu</w:t>
      </w:r>
      <w:r>
        <w:rPr>
          <w:lang w:val="fr-FR"/>
        </w:rPr>
        <w:t>’</w:t>
      </w:r>
      <w:r w:rsidRPr="004A75B4">
        <w:rPr>
          <w:lang w:val="fr-FR"/>
        </w:rPr>
        <w:t>il importe que l</w:t>
      </w:r>
      <w:r>
        <w:rPr>
          <w:lang w:val="fr-FR"/>
        </w:rPr>
        <w:t>’</w:t>
      </w:r>
      <w:r w:rsidRPr="004A75B4">
        <w:rPr>
          <w:lang w:val="fr-FR"/>
        </w:rPr>
        <w:t>État partie, lorsqu</w:t>
      </w:r>
      <w:r>
        <w:rPr>
          <w:lang w:val="fr-FR"/>
        </w:rPr>
        <w:t>’</w:t>
      </w:r>
      <w:r w:rsidRPr="004A75B4">
        <w:rPr>
          <w:lang w:val="fr-FR"/>
        </w:rPr>
        <w:t>il donnera suite à ses recommandations et fournira les renseignements complémentaires demandés au titre de l</w:t>
      </w:r>
      <w:r>
        <w:rPr>
          <w:lang w:val="fr-FR"/>
        </w:rPr>
        <w:t>’</w:t>
      </w:r>
      <w:r w:rsidRPr="004A75B4">
        <w:rPr>
          <w:lang w:val="fr-FR"/>
        </w:rPr>
        <w:t>article</w:t>
      </w:r>
      <w:r w:rsidR="00EC3525">
        <w:t> </w:t>
      </w:r>
      <w:r w:rsidRPr="004A75B4">
        <w:rPr>
          <w:lang w:val="fr-FR"/>
        </w:rPr>
        <w:t>29 (</w:t>
      </w:r>
      <w:r>
        <w:rPr>
          <w:lang w:val="fr-FR"/>
        </w:rPr>
        <w:t>par. </w:t>
      </w:r>
      <w:r w:rsidRPr="004A75B4">
        <w:rPr>
          <w:lang w:val="fr-FR"/>
        </w:rPr>
        <w:t>4) de la Convention, tienne compte des orientations précises et des demandes de renseignements formulées dans le présent rapport.</w:t>
      </w:r>
    </w:p>
    <w:p w14:paraId="531DEE58" w14:textId="76370CD3" w:rsidR="00AE19B9" w:rsidRPr="004A75B4" w:rsidRDefault="00AE19B9" w:rsidP="00EC3525">
      <w:pPr>
        <w:pStyle w:val="SingleTxtG"/>
        <w:keepNext/>
        <w:keepLines/>
        <w:rPr>
          <w:lang w:val="fr-FR"/>
        </w:rPr>
      </w:pPr>
      <w:r w:rsidRPr="004A75B4">
        <w:rPr>
          <w:lang w:val="fr-FR"/>
        </w:rPr>
        <w:lastRenderedPageBreak/>
        <w:t>11</w:t>
      </w:r>
      <w:r>
        <w:rPr>
          <w:lang w:val="fr-FR"/>
        </w:rPr>
        <w:t>.</w:t>
      </w:r>
      <w:r w:rsidRPr="004A75B4">
        <w:rPr>
          <w:lang w:val="fr-FR"/>
        </w:rPr>
        <w:tab/>
        <w:t>La date limite de soumission par l</w:t>
      </w:r>
      <w:r>
        <w:rPr>
          <w:lang w:val="fr-FR"/>
        </w:rPr>
        <w:t>’</w:t>
      </w:r>
      <w:r w:rsidRPr="004A75B4">
        <w:rPr>
          <w:lang w:val="fr-FR"/>
        </w:rPr>
        <w:t>État partie des renseignements complémentaires demandés au titre de l</w:t>
      </w:r>
      <w:r>
        <w:rPr>
          <w:lang w:val="fr-FR"/>
        </w:rPr>
        <w:t>’</w:t>
      </w:r>
      <w:r w:rsidRPr="004A75B4">
        <w:rPr>
          <w:lang w:val="fr-FR"/>
        </w:rPr>
        <w:t>article</w:t>
      </w:r>
      <w:r w:rsidR="00EC3525">
        <w:rPr>
          <w:lang w:val="fr-FR"/>
        </w:rPr>
        <w:t> </w:t>
      </w:r>
      <w:r w:rsidRPr="004A75B4">
        <w:rPr>
          <w:lang w:val="fr-FR"/>
        </w:rPr>
        <w:t>29 (</w:t>
      </w:r>
      <w:r>
        <w:rPr>
          <w:lang w:val="fr-FR"/>
        </w:rPr>
        <w:t>par. </w:t>
      </w:r>
      <w:r w:rsidRPr="004A75B4">
        <w:rPr>
          <w:lang w:val="fr-FR"/>
        </w:rPr>
        <w:t>4) de la Convention est fixée au 27</w:t>
      </w:r>
      <w:r>
        <w:rPr>
          <w:lang w:val="fr-FR"/>
        </w:rPr>
        <w:t> </w:t>
      </w:r>
      <w:r w:rsidRPr="004A75B4">
        <w:rPr>
          <w:lang w:val="fr-FR"/>
        </w:rPr>
        <w:t>septembre 2027.</w:t>
      </w:r>
    </w:p>
    <w:p w14:paraId="3E4D75EB" w14:textId="77777777" w:rsidR="00AE19B9" w:rsidRPr="004A75B4" w:rsidRDefault="00AE19B9" w:rsidP="00AE19B9">
      <w:pPr>
        <w:pStyle w:val="H1G"/>
        <w:rPr>
          <w:lang w:val="fr-FR"/>
        </w:rPr>
      </w:pPr>
      <w:r>
        <w:rPr>
          <w:bCs/>
          <w:lang w:val="fr-FR"/>
        </w:rPr>
        <w:tab/>
      </w:r>
      <w:r w:rsidRPr="004A75B4">
        <w:rPr>
          <w:bCs/>
          <w:lang w:val="fr-FR"/>
        </w:rPr>
        <w:t>B.</w:t>
      </w:r>
      <w:r w:rsidRPr="004A75B4">
        <w:rPr>
          <w:lang w:val="fr-FR"/>
        </w:rPr>
        <w:tab/>
      </w:r>
      <w:r w:rsidRPr="004A75B4">
        <w:rPr>
          <w:bCs/>
          <w:lang w:val="fr-FR"/>
        </w:rPr>
        <w:t>Mongolie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02"/>
        <w:gridCol w:w="3968"/>
      </w:tblGrid>
      <w:tr w:rsidR="00AE19B9" w:rsidRPr="004A75B4" w14:paraId="71CE17E0" w14:textId="77777777" w:rsidTr="004F25FF">
        <w:trPr>
          <w:trHeight w:val="239"/>
        </w:trPr>
        <w:tc>
          <w:tcPr>
            <w:tcW w:w="3402" w:type="dxa"/>
            <w:tcBorders>
              <w:top w:val="single" w:sz="12" w:space="0" w:color="auto"/>
            </w:tcBorders>
            <w:shd w:val="clear" w:color="auto" w:fill="auto"/>
            <w:tcMar>
              <w:top w:w="0" w:type="dxa"/>
              <w:left w:w="0" w:type="dxa"/>
              <w:bottom w:w="0" w:type="dxa"/>
              <w:right w:w="0" w:type="dxa"/>
            </w:tcMar>
          </w:tcPr>
          <w:p w14:paraId="3CB18AF1" w14:textId="77777777" w:rsidR="00AE19B9" w:rsidRPr="004A75B4" w:rsidRDefault="00AE19B9" w:rsidP="004F25FF">
            <w:pPr>
              <w:suppressAutoHyphens w:val="0"/>
              <w:spacing w:before="120" w:after="120" w:line="220" w:lineRule="exact"/>
              <w:ind w:right="113"/>
              <w:rPr>
                <w:lang w:val="fr-FR"/>
              </w:rPr>
            </w:pPr>
            <w:r w:rsidRPr="004A75B4">
              <w:rPr>
                <w:b/>
                <w:bCs/>
                <w:lang w:val="fr-FR"/>
              </w:rPr>
              <w:t>Observations finales</w:t>
            </w:r>
            <w:r>
              <w:rPr>
                <w:b/>
                <w:bCs/>
                <w:lang w:val="fr-FR"/>
              </w:rPr>
              <w:t> :</w:t>
            </w:r>
          </w:p>
        </w:tc>
        <w:tc>
          <w:tcPr>
            <w:tcW w:w="3968" w:type="dxa"/>
            <w:tcBorders>
              <w:top w:val="single" w:sz="12" w:space="0" w:color="auto"/>
            </w:tcBorders>
            <w:shd w:val="clear" w:color="auto" w:fill="auto"/>
            <w:tcMar>
              <w:top w:w="0" w:type="dxa"/>
              <w:left w:w="0" w:type="dxa"/>
              <w:bottom w:w="0" w:type="dxa"/>
              <w:right w:w="0" w:type="dxa"/>
            </w:tcMar>
          </w:tcPr>
          <w:p w14:paraId="022C1FD6" w14:textId="77777777" w:rsidR="00AE19B9" w:rsidRPr="004A75B4" w:rsidRDefault="00CE53C4" w:rsidP="004F25FF">
            <w:pPr>
              <w:suppressAutoHyphens w:val="0"/>
              <w:spacing w:before="120" w:after="120" w:line="220" w:lineRule="exact"/>
              <w:ind w:right="113"/>
              <w:rPr>
                <w:lang w:val="fr-FR"/>
              </w:rPr>
            </w:pPr>
            <w:hyperlink r:id="rId13" w:history="1">
              <w:r w:rsidR="00AE19B9">
                <w:rPr>
                  <w:rStyle w:val="Lienhypertexte"/>
                  <w:lang w:val="fr-FR"/>
                </w:rPr>
                <w:t>CED/C/MNG/CO/1</w:t>
              </w:r>
            </w:hyperlink>
            <w:r w:rsidR="00AE19B9" w:rsidRPr="00AB1C5E">
              <w:rPr>
                <w:lang w:val="fr-FR"/>
              </w:rPr>
              <w:t>, adoptées le 6</w:t>
            </w:r>
            <w:r w:rsidR="00AE19B9">
              <w:rPr>
                <w:lang w:val="fr-FR"/>
              </w:rPr>
              <w:t> </w:t>
            </w:r>
            <w:r w:rsidR="00AE19B9" w:rsidRPr="00AB1C5E">
              <w:rPr>
                <w:lang w:val="fr-FR"/>
              </w:rPr>
              <w:t>mai 2021 (vingtième session)</w:t>
            </w:r>
          </w:p>
        </w:tc>
      </w:tr>
      <w:tr w:rsidR="00AE19B9" w:rsidRPr="004A75B4" w14:paraId="2087175F" w14:textId="77777777" w:rsidTr="004F25FF">
        <w:trPr>
          <w:trHeight w:val="519"/>
        </w:trPr>
        <w:tc>
          <w:tcPr>
            <w:tcW w:w="3402" w:type="dxa"/>
            <w:shd w:val="clear" w:color="auto" w:fill="auto"/>
            <w:tcMar>
              <w:top w:w="0" w:type="dxa"/>
              <w:left w:w="0" w:type="dxa"/>
              <w:bottom w:w="0" w:type="dxa"/>
              <w:right w:w="0" w:type="dxa"/>
            </w:tcMar>
          </w:tcPr>
          <w:p w14:paraId="0A76E2FE" w14:textId="77777777" w:rsidR="00AE19B9" w:rsidRPr="004A75B4" w:rsidRDefault="00AE19B9" w:rsidP="004F25FF">
            <w:pPr>
              <w:suppressAutoHyphens w:val="0"/>
              <w:spacing w:before="40" w:after="120" w:line="220" w:lineRule="exact"/>
              <w:ind w:right="113"/>
              <w:rPr>
                <w:lang w:val="fr-FR"/>
              </w:rPr>
            </w:pPr>
            <w:r w:rsidRPr="004A75B4">
              <w:rPr>
                <w:b/>
                <w:bCs/>
                <w:lang w:val="fr-FR"/>
              </w:rPr>
              <w:t>Recommandations devant faire l</w:t>
            </w:r>
            <w:r>
              <w:rPr>
                <w:b/>
                <w:bCs/>
                <w:lang w:val="fr-FR"/>
              </w:rPr>
              <w:t>’</w:t>
            </w:r>
            <w:r w:rsidRPr="004A75B4">
              <w:rPr>
                <w:b/>
                <w:bCs/>
                <w:lang w:val="fr-FR"/>
              </w:rPr>
              <w:t>objet d</w:t>
            </w:r>
            <w:r>
              <w:rPr>
                <w:b/>
                <w:bCs/>
                <w:lang w:val="fr-FR"/>
              </w:rPr>
              <w:t>’</w:t>
            </w:r>
            <w:r w:rsidRPr="004A75B4">
              <w:rPr>
                <w:b/>
                <w:bCs/>
                <w:lang w:val="fr-FR"/>
              </w:rPr>
              <w:t>un suivi</w:t>
            </w:r>
            <w:r>
              <w:rPr>
                <w:b/>
                <w:bCs/>
                <w:lang w:val="fr-FR"/>
              </w:rPr>
              <w:t> :</w:t>
            </w:r>
            <w:r w:rsidRPr="004A75B4">
              <w:rPr>
                <w:lang w:val="fr-FR"/>
              </w:rPr>
              <w:t xml:space="preserve"> </w:t>
            </w:r>
          </w:p>
        </w:tc>
        <w:tc>
          <w:tcPr>
            <w:tcW w:w="3968" w:type="dxa"/>
            <w:shd w:val="clear" w:color="auto" w:fill="auto"/>
            <w:tcMar>
              <w:top w:w="0" w:type="dxa"/>
              <w:left w:w="0" w:type="dxa"/>
              <w:bottom w:w="0" w:type="dxa"/>
              <w:right w:w="0" w:type="dxa"/>
            </w:tcMar>
          </w:tcPr>
          <w:p w14:paraId="0DEEE2FF" w14:textId="77777777" w:rsidR="00AE19B9" w:rsidRPr="004A75B4" w:rsidRDefault="00AE19B9" w:rsidP="004F25FF">
            <w:pPr>
              <w:suppressAutoHyphens w:val="0"/>
              <w:spacing w:before="40" w:after="120" w:line="220" w:lineRule="exact"/>
              <w:ind w:right="113"/>
              <w:rPr>
                <w:lang w:val="fr-FR"/>
              </w:rPr>
            </w:pPr>
            <w:r w:rsidRPr="004A75B4">
              <w:rPr>
                <w:lang w:val="fr-FR"/>
              </w:rPr>
              <w:t>Paragraphes 17 (délit de disparition forcée), 35</w:t>
            </w:r>
            <w:r>
              <w:rPr>
                <w:lang w:val="fr-FR"/>
              </w:rPr>
              <w:t> </w:t>
            </w:r>
            <w:r w:rsidRPr="004A75B4">
              <w:rPr>
                <w:lang w:val="fr-FR"/>
              </w:rPr>
              <w:t>(formation) et 39 (situation juridique des personnes disparues dont le sort n</w:t>
            </w:r>
            <w:r>
              <w:rPr>
                <w:lang w:val="fr-FR"/>
              </w:rPr>
              <w:t>’</w:t>
            </w:r>
            <w:r w:rsidRPr="004A75B4">
              <w:rPr>
                <w:lang w:val="fr-FR"/>
              </w:rPr>
              <w:t>a pas été éclairci et celle de leurs proches)</w:t>
            </w:r>
          </w:p>
        </w:tc>
      </w:tr>
      <w:tr w:rsidR="00AE19B9" w:rsidRPr="004A75B4" w14:paraId="038A7C6E" w14:textId="77777777" w:rsidTr="004F25FF">
        <w:tc>
          <w:tcPr>
            <w:tcW w:w="3402" w:type="dxa"/>
            <w:shd w:val="clear" w:color="auto" w:fill="auto"/>
            <w:tcMar>
              <w:top w:w="0" w:type="dxa"/>
              <w:left w:w="0" w:type="dxa"/>
              <w:bottom w:w="0" w:type="dxa"/>
              <w:right w:w="0" w:type="dxa"/>
            </w:tcMar>
          </w:tcPr>
          <w:p w14:paraId="79985CF8" w14:textId="77777777" w:rsidR="00AE19B9" w:rsidRPr="004A75B4" w:rsidRDefault="00AE19B9" w:rsidP="004F25FF">
            <w:pPr>
              <w:suppressAutoHyphens w:val="0"/>
              <w:spacing w:before="40" w:after="120" w:line="220" w:lineRule="exact"/>
              <w:ind w:right="113"/>
              <w:rPr>
                <w:lang w:val="fr-FR"/>
              </w:rPr>
            </w:pPr>
            <w:r w:rsidRPr="004A75B4">
              <w:rPr>
                <w:b/>
                <w:bCs/>
                <w:lang w:val="fr-FR"/>
              </w:rPr>
              <w:t>Réponse</w:t>
            </w:r>
            <w:r>
              <w:rPr>
                <w:b/>
                <w:bCs/>
                <w:lang w:val="fr-FR"/>
              </w:rPr>
              <w:t> :</w:t>
            </w:r>
          </w:p>
        </w:tc>
        <w:tc>
          <w:tcPr>
            <w:tcW w:w="3968" w:type="dxa"/>
            <w:shd w:val="clear" w:color="auto" w:fill="auto"/>
            <w:tcMar>
              <w:top w:w="0" w:type="dxa"/>
              <w:left w:w="0" w:type="dxa"/>
              <w:bottom w:w="0" w:type="dxa"/>
              <w:right w:w="0" w:type="dxa"/>
            </w:tcMar>
          </w:tcPr>
          <w:p w14:paraId="65337E8B" w14:textId="77777777" w:rsidR="00AE19B9" w:rsidRPr="004A75B4" w:rsidRDefault="00CE53C4" w:rsidP="004F25FF">
            <w:pPr>
              <w:suppressAutoHyphens w:val="0"/>
              <w:spacing w:before="40" w:after="120" w:line="220" w:lineRule="exact"/>
              <w:ind w:right="113"/>
              <w:rPr>
                <w:lang w:val="fr-FR"/>
              </w:rPr>
            </w:pPr>
            <w:hyperlink r:id="rId14" w:history="1">
              <w:r w:rsidR="00AE19B9">
                <w:rPr>
                  <w:rStyle w:val="Lienhypertexte"/>
                  <w:lang w:val="fr-FR"/>
                </w:rPr>
                <w:t>CED/C/MNG/FCO/1</w:t>
              </w:r>
            </w:hyperlink>
            <w:r w:rsidR="00AE19B9" w:rsidRPr="00AB1C5E">
              <w:rPr>
                <w:lang w:val="fr-FR"/>
              </w:rPr>
              <w:t>, attendue le 7</w:t>
            </w:r>
            <w:r w:rsidR="00AE19B9">
              <w:rPr>
                <w:lang w:val="fr-FR"/>
              </w:rPr>
              <w:t> </w:t>
            </w:r>
            <w:r w:rsidR="00AE19B9" w:rsidRPr="00AB1C5E">
              <w:rPr>
                <w:lang w:val="fr-FR"/>
              </w:rPr>
              <w:t>mai 2022, reçue le 9</w:t>
            </w:r>
            <w:r w:rsidR="00AE19B9">
              <w:rPr>
                <w:lang w:val="fr-FR"/>
              </w:rPr>
              <w:t> </w:t>
            </w:r>
            <w:r w:rsidR="00AE19B9" w:rsidRPr="00AB1C5E">
              <w:rPr>
                <w:lang w:val="fr-FR"/>
              </w:rPr>
              <w:t>septembre 2022</w:t>
            </w:r>
          </w:p>
        </w:tc>
      </w:tr>
    </w:tbl>
    <w:p w14:paraId="72D44AF2" w14:textId="74AF42CE" w:rsidR="00AE19B9" w:rsidRPr="004A75B4" w:rsidRDefault="00AE19B9" w:rsidP="00AE19B9">
      <w:pPr>
        <w:pStyle w:val="SingleTxtG"/>
        <w:spacing w:before="240"/>
        <w:rPr>
          <w:b/>
          <w:bCs/>
          <w:lang w:val="fr-FR"/>
        </w:rPr>
      </w:pPr>
      <w:r w:rsidRPr="004A75B4">
        <w:rPr>
          <w:b/>
          <w:bCs/>
          <w:lang w:val="fr-FR"/>
        </w:rPr>
        <w:t>Paragraphe 17</w:t>
      </w:r>
      <w:r>
        <w:rPr>
          <w:b/>
          <w:bCs/>
          <w:lang w:val="fr-FR"/>
        </w:rPr>
        <w:t> :</w:t>
      </w:r>
      <w:r w:rsidRPr="004A75B4">
        <w:rPr>
          <w:b/>
          <w:bCs/>
          <w:lang w:val="fr-FR"/>
        </w:rPr>
        <w:t xml:space="preserve"> Le Comité recommande à l</w:t>
      </w:r>
      <w:r>
        <w:rPr>
          <w:b/>
          <w:bCs/>
          <w:lang w:val="fr-FR"/>
        </w:rPr>
        <w:t>’</w:t>
      </w:r>
      <w:r w:rsidRPr="004A75B4">
        <w:rPr>
          <w:b/>
          <w:bCs/>
          <w:lang w:val="fr-FR"/>
        </w:rPr>
        <w:t>État partie de prendre les mesures législatives nécessaires pour que la définition de la disparition forcée figurant à l</w:t>
      </w:r>
      <w:r>
        <w:rPr>
          <w:b/>
          <w:bCs/>
          <w:lang w:val="fr-FR"/>
        </w:rPr>
        <w:t>’</w:t>
      </w:r>
      <w:r w:rsidRPr="004A75B4">
        <w:rPr>
          <w:b/>
          <w:bCs/>
          <w:lang w:val="fr-FR"/>
        </w:rPr>
        <w:t>article</w:t>
      </w:r>
      <w:r w:rsidR="00EC3525">
        <w:rPr>
          <w:b/>
          <w:bCs/>
          <w:lang w:val="fr-FR"/>
        </w:rPr>
        <w:t> </w:t>
      </w:r>
      <w:r w:rsidRPr="004A75B4">
        <w:rPr>
          <w:b/>
          <w:bCs/>
          <w:lang w:val="fr-FR"/>
        </w:rPr>
        <w:t>13.4 du Code pénal soit pleinement conforme à la définition énoncée à l</w:t>
      </w:r>
      <w:r>
        <w:rPr>
          <w:b/>
          <w:bCs/>
          <w:lang w:val="fr-FR"/>
        </w:rPr>
        <w:t>’</w:t>
      </w:r>
      <w:r w:rsidRPr="004A75B4">
        <w:rPr>
          <w:b/>
          <w:bCs/>
          <w:lang w:val="fr-FR"/>
        </w:rPr>
        <w:t>article</w:t>
      </w:r>
      <w:r w:rsidR="00EC3525">
        <w:rPr>
          <w:b/>
          <w:bCs/>
          <w:lang w:val="fr-FR"/>
        </w:rPr>
        <w:t> </w:t>
      </w:r>
      <w:r w:rsidRPr="004A75B4">
        <w:rPr>
          <w:b/>
          <w:bCs/>
          <w:lang w:val="fr-FR"/>
        </w:rPr>
        <w:t>2 de la</w:t>
      </w:r>
      <w:r w:rsidR="00EC3525">
        <w:rPr>
          <w:b/>
          <w:bCs/>
          <w:lang w:val="fr-FR"/>
        </w:rPr>
        <w:t xml:space="preserve"> </w:t>
      </w:r>
      <w:r w:rsidRPr="004A75B4">
        <w:rPr>
          <w:b/>
          <w:bCs/>
          <w:lang w:val="fr-FR"/>
        </w:rPr>
        <w:t>Convention.</w:t>
      </w:r>
    </w:p>
    <w:p w14:paraId="554C0E97" w14:textId="77777777" w:rsidR="00AE19B9" w:rsidRPr="004A75B4" w:rsidRDefault="00AE19B9" w:rsidP="00AE19B9">
      <w:pPr>
        <w:pStyle w:val="H23G"/>
        <w:rPr>
          <w:lang w:val="fr-FR"/>
        </w:rPr>
      </w:pPr>
      <w:r w:rsidRPr="004A75B4">
        <w:rPr>
          <w:lang w:val="fr-FR"/>
        </w:rPr>
        <w:tab/>
      </w:r>
      <w:r w:rsidRPr="004A75B4">
        <w:rPr>
          <w:lang w:val="fr-FR"/>
        </w:rPr>
        <w:tab/>
      </w:r>
      <w:r w:rsidRPr="004A75B4">
        <w:rPr>
          <w:bCs/>
          <w:lang w:val="fr-FR"/>
        </w:rPr>
        <w:t>Réponse de l</w:t>
      </w:r>
      <w:r>
        <w:rPr>
          <w:bCs/>
          <w:lang w:val="fr-FR"/>
        </w:rPr>
        <w:t>’</w:t>
      </w:r>
      <w:r w:rsidRPr="004A75B4">
        <w:rPr>
          <w:bCs/>
          <w:lang w:val="fr-FR"/>
        </w:rPr>
        <w:t>État partie</w:t>
      </w:r>
    </w:p>
    <w:p w14:paraId="61D88740" w14:textId="389BD25A" w:rsidR="00AE19B9" w:rsidRPr="004A75B4" w:rsidRDefault="00AE19B9" w:rsidP="00AE19B9">
      <w:pPr>
        <w:pStyle w:val="SingleTxtG"/>
        <w:rPr>
          <w:lang w:val="fr-FR"/>
        </w:rPr>
      </w:pPr>
      <w:r w:rsidRPr="004A75B4">
        <w:rPr>
          <w:lang w:val="fr-FR"/>
        </w:rPr>
        <w:t>12.</w:t>
      </w:r>
      <w:r w:rsidRPr="004A75B4">
        <w:rPr>
          <w:lang w:val="fr-FR"/>
        </w:rPr>
        <w:tab/>
        <w:t>La réponse de l</w:t>
      </w:r>
      <w:r>
        <w:rPr>
          <w:lang w:val="fr-FR"/>
        </w:rPr>
        <w:t>’</w:t>
      </w:r>
      <w:r w:rsidRPr="004A75B4">
        <w:rPr>
          <w:lang w:val="fr-FR"/>
        </w:rPr>
        <w:t xml:space="preserve">État partie figure dans le document </w:t>
      </w:r>
      <w:hyperlink r:id="rId15" w:history="1">
        <w:r>
          <w:rPr>
            <w:rStyle w:val="Lienhypertexte"/>
            <w:lang w:val="fr-FR"/>
          </w:rPr>
          <w:t>CED/C/MNG/FCO/1</w:t>
        </w:r>
      </w:hyperlink>
      <w:r w:rsidRPr="004A75B4">
        <w:rPr>
          <w:lang w:val="fr-FR"/>
        </w:rPr>
        <w:t>, aux paragraphes</w:t>
      </w:r>
      <w:r w:rsidR="00EC3525">
        <w:rPr>
          <w:lang w:val="fr-FR"/>
        </w:rPr>
        <w:t> </w:t>
      </w:r>
      <w:r w:rsidRPr="004A75B4">
        <w:rPr>
          <w:lang w:val="fr-FR"/>
        </w:rPr>
        <w:t>2 et 3.</w:t>
      </w:r>
    </w:p>
    <w:p w14:paraId="4AC99EA1" w14:textId="77777777" w:rsidR="00AE19B9" w:rsidRPr="004A75B4" w:rsidRDefault="00AE19B9" w:rsidP="00AE19B9">
      <w:pPr>
        <w:pStyle w:val="H23G"/>
        <w:rPr>
          <w:lang w:val="fr-FR"/>
        </w:rPr>
      </w:pPr>
      <w:r w:rsidRPr="004A75B4">
        <w:rPr>
          <w:lang w:val="fr-FR"/>
        </w:rPr>
        <w:tab/>
      </w:r>
      <w:r w:rsidRPr="004A75B4">
        <w:rPr>
          <w:lang w:val="fr-FR"/>
        </w:rPr>
        <w:tab/>
      </w:r>
      <w:r w:rsidRPr="004A75B4">
        <w:rPr>
          <w:bCs/>
          <w:lang w:val="fr-FR"/>
        </w:rPr>
        <w:t>Évaluation du Comité</w:t>
      </w:r>
    </w:p>
    <w:p w14:paraId="33D77469" w14:textId="0FC20223" w:rsidR="00AE19B9" w:rsidRPr="004A75B4" w:rsidRDefault="00AE19B9" w:rsidP="00AE19B9">
      <w:pPr>
        <w:pStyle w:val="SingleTxtG"/>
        <w:rPr>
          <w:lang w:val="fr-FR"/>
        </w:rPr>
      </w:pPr>
      <w:r w:rsidRPr="004A75B4">
        <w:rPr>
          <w:lang w:val="fr-FR"/>
        </w:rPr>
        <w:t>13.</w:t>
      </w:r>
      <w:r w:rsidRPr="004A75B4">
        <w:rPr>
          <w:lang w:val="fr-FR"/>
        </w:rPr>
        <w:tab/>
      </w:r>
      <w:r w:rsidRPr="004A75B4">
        <w:rPr>
          <w:b/>
          <w:bCs/>
          <w:lang w:val="fr-FR"/>
        </w:rPr>
        <w:t>[C]</w:t>
      </w:r>
      <w:r>
        <w:rPr>
          <w:b/>
          <w:bCs/>
          <w:lang w:val="fr-FR"/>
        </w:rPr>
        <w:t> :</w:t>
      </w:r>
      <w:r w:rsidRPr="004A75B4">
        <w:rPr>
          <w:lang w:val="fr-FR"/>
        </w:rPr>
        <w:t xml:space="preserve"> Le Comité note avec satisfaction que l</w:t>
      </w:r>
      <w:r>
        <w:rPr>
          <w:lang w:val="fr-FR"/>
        </w:rPr>
        <w:t>’</w:t>
      </w:r>
      <w:r w:rsidRPr="004A75B4">
        <w:rPr>
          <w:lang w:val="fr-FR"/>
        </w:rPr>
        <w:t>État partie a pris des mesures législatives pour modifier son Code pénal afin de revoir la définition de l</w:t>
      </w:r>
      <w:r>
        <w:rPr>
          <w:lang w:val="fr-FR"/>
        </w:rPr>
        <w:t>’</w:t>
      </w:r>
      <w:r w:rsidRPr="004A75B4">
        <w:rPr>
          <w:lang w:val="fr-FR"/>
        </w:rPr>
        <w:t>infraction autonome de disparition forcée, qui figurait auparavant à l</w:t>
      </w:r>
      <w:r>
        <w:rPr>
          <w:lang w:val="fr-FR"/>
        </w:rPr>
        <w:t>’</w:t>
      </w:r>
      <w:r w:rsidRPr="004A75B4">
        <w:rPr>
          <w:lang w:val="fr-FR"/>
        </w:rPr>
        <w:t>article</w:t>
      </w:r>
      <w:r w:rsidR="00EC3525">
        <w:rPr>
          <w:lang w:val="fr-FR"/>
        </w:rPr>
        <w:t> </w:t>
      </w:r>
      <w:r w:rsidRPr="004A75B4">
        <w:rPr>
          <w:lang w:val="fr-FR"/>
        </w:rPr>
        <w:t xml:space="preserve">13.4 dudit instrument, et </w:t>
      </w:r>
      <w:r>
        <w:rPr>
          <w:lang w:val="fr-FR"/>
        </w:rPr>
        <w:t>que le</w:t>
      </w:r>
      <w:r w:rsidRPr="004A75B4">
        <w:rPr>
          <w:lang w:val="fr-FR"/>
        </w:rPr>
        <w:t xml:space="preserve"> projet de loi </w:t>
      </w:r>
      <w:r>
        <w:rPr>
          <w:lang w:val="fr-FR"/>
        </w:rPr>
        <w:t>correspondant</w:t>
      </w:r>
      <w:r w:rsidRPr="004A75B4">
        <w:rPr>
          <w:lang w:val="fr-FR"/>
        </w:rPr>
        <w:t>, dont le projet d</w:t>
      </w:r>
      <w:r>
        <w:rPr>
          <w:lang w:val="fr-FR"/>
        </w:rPr>
        <w:t>’</w:t>
      </w:r>
      <w:r w:rsidRPr="004A75B4">
        <w:rPr>
          <w:lang w:val="fr-FR"/>
        </w:rPr>
        <w:t>article</w:t>
      </w:r>
      <w:r w:rsidR="00EC3525">
        <w:rPr>
          <w:lang w:val="fr-FR"/>
        </w:rPr>
        <w:t> </w:t>
      </w:r>
      <w:r w:rsidRPr="004A75B4">
        <w:rPr>
          <w:lang w:val="fr-FR"/>
        </w:rPr>
        <w:t>29.12 porte sur la disparition forcée, est actuellement examiné par le Parlement. Néanmoins, il reste préoccupé par le fait que, si le projet de loi tient compte dans une certaine mesure de la définition figurant à l</w:t>
      </w:r>
      <w:r>
        <w:rPr>
          <w:lang w:val="fr-FR"/>
        </w:rPr>
        <w:t>’</w:t>
      </w:r>
      <w:r w:rsidRPr="004A75B4">
        <w:rPr>
          <w:lang w:val="fr-FR"/>
        </w:rPr>
        <w:t>article</w:t>
      </w:r>
      <w:r w:rsidR="00EC3525">
        <w:rPr>
          <w:lang w:val="fr-FR"/>
        </w:rPr>
        <w:t> </w:t>
      </w:r>
      <w:r w:rsidRPr="004A75B4">
        <w:rPr>
          <w:lang w:val="fr-FR"/>
        </w:rPr>
        <w:t>2 et des dispositions des articles</w:t>
      </w:r>
      <w:r w:rsidR="00EC3525">
        <w:rPr>
          <w:lang w:val="fr-FR"/>
        </w:rPr>
        <w:t> </w:t>
      </w:r>
      <w:r w:rsidRPr="004A75B4">
        <w:rPr>
          <w:lang w:val="fr-FR"/>
        </w:rPr>
        <w:t>5, 6 et 7 de la Convention, sa formulation actuelle n</w:t>
      </w:r>
      <w:r>
        <w:rPr>
          <w:lang w:val="fr-FR"/>
        </w:rPr>
        <w:t>’</w:t>
      </w:r>
      <w:r w:rsidRPr="004A75B4">
        <w:rPr>
          <w:lang w:val="fr-FR"/>
        </w:rPr>
        <w:t>est pas pleinement conforme à la Convention.</w:t>
      </w:r>
    </w:p>
    <w:p w14:paraId="6B99A587" w14:textId="36D93CDD" w:rsidR="00AE19B9" w:rsidRPr="004A75B4" w:rsidRDefault="00AE19B9" w:rsidP="00AE19B9">
      <w:pPr>
        <w:pStyle w:val="SingleTxtG"/>
        <w:rPr>
          <w:lang w:val="fr-FR"/>
        </w:rPr>
      </w:pPr>
      <w:r w:rsidRPr="004A75B4">
        <w:rPr>
          <w:lang w:val="fr-FR"/>
        </w:rPr>
        <w:t>14.</w:t>
      </w:r>
      <w:r w:rsidRPr="004A75B4">
        <w:rPr>
          <w:lang w:val="fr-FR"/>
        </w:rPr>
        <w:tab/>
        <w:t>Le Comité souhaite appeler l</w:t>
      </w:r>
      <w:r>
        <w:rPr>
          <w:lang w:val="fr-FR"/>
        </w:rPr>
        <w:t>’</w:t>
      </w:r>
      <w:r w:rsidRPr="004A75B4">
        <w:rPr>
          <w:lang w:val="fr-FR"/>
        </w:rPr>
        <w:t>attention de l</w:t>
      </w:r>
      <w:r>
        <w:rPr>
          <w:lang w:val="fr-FR"/>
        </w:rPr>
        <w:t>’</w:t>
      </w:r>
      <w:r w:rsidRPr="004A75B4">
        <w:rPr>
          <w:lang w:val="fr-FR"/>
        </w:rPr>
        <w:t>État partie sur les points principaux ci</w:t>
      </w:r>
      <w:r>
        <w:rPr>
          <w:lang w:val="fr-FR"/>
        </w:rPr>
        <w:noBreakHyphen/>
      </w:r>
      <w:r w:rsidRPr="004A75B4">
        <w:rPr>
          <w:lang w:val="fr-FR"/>
        </w:rPr>
        <w:t>après de l</w:t>
      </w:r>
      <w:r>
        <w:rPr>
          <w:lang w:val="fr-FR"/>
        </w:rPr>
        <w:t>’</w:t>
      </w:r>
      <w:r w:rsidRPr="004A75B4">
        <w:rPr>
          <w:lang w:val="fr-FR"/>
        </w:rPr>
        <w:t>actuel projet d</w:t>
      </w:r>
      <w:r>
        <w:rPr>
          <w:lang w:val="fr-FR"/>
        </w:rPr>
        <w:t>’</w:t>
      </w:r>
      <w:r w:rsidRPr="004A75B4">
        <w:rPr>
          <w:lang w:val="fr-FR"/>
        </w:rPr>
        <w:t>article</w:t>
      </w:r>
      <w:r w:rsidR="00EC3525">
        <w:rPr>
          <w:lang w:val="fr-FR"/>
        </w:rPr>
        <w:t> </w:t>
      </w:r>
      <w:r w:rsidRPr="004A75B4">
        <w:rPr>
          <w:lang w:val="fr-FR"/>
        </w:rPr>
        <w:t>29.12 du projet de loi.</w:t>
      </w:r>
    </w:p>
    <w:p w14:paraId="00700D87" w14:textId="77777777" w:rsidR="00AE19B9" w:rsidRPr="004A75B4" w:rsidRDefault="00AE19B9" w:rsidP="00EC3525">
      <w:pPr>
        <w:pStyle w:val="H4G"/>
        <w:rPr>
          <w:lang w:val="fr-FR"/>
        </w:rPr>
      </w:pPr>
      <w:r w:rsidRPr="004A75B4">
        <w:rPr>
          <w:lang w:val="fr-FR"/>
        </w:rPr>
        <w:tab/>
      </w:r>
      <w:r w:rsidRPr="004A75B4">
        <w:rPr>
          <w:lang w:val="fr-FR"/>
        </w:rPr>
        <w:tab/>
        <w:t xml:space="preserve">Article 2 de </w:t>
      </w:r>
      <w:r w:rsidRPr="00EC3525">
        <w:t>la</w:t>
      </w:r>
      <w:r w:rsidRPr="004A75B4">
        <w:rPr>
          <w:lang w:val="fr-FR"/>
        </w:rPr>
        <w:t xml:space="preserve"> Convention</w:t>
      </w:r>
    </w:p>
    <w:p w14:paraId="65C3B3A8" w14:textId="77777777" w:rsidR="00AE19B9" w:rsidRPr="004A75B4" w:rsidRDefault="00AE19B9" w:rsidP="00EC3525">
      <w:pPr>
        <w:pStyle w:val="SingleTxtG"/>
        <w:keepNext/>
        <w:rPr>
          <w:lang w:val="fr-FR"/>
        </w:rPr>
      </w:pPr>
      <w:r w:rsidRPr="004A75B4">
        <w:rPr>
          <w:lang w:val="fr-FR"/>
        </w:rPr>
        <w:t>15.</w:t>
      </w:r>
      <w:r w:rsidRPr="004A75B4">
        <w:rPr>
          <w:lang w:val="fr-FR"/>
        </w:rPr>
        <w:tab/>
        <w:t>En ce qui concerne la privation de liberté sous quelque forme que ce soit contre la volonté de la personne disparue, le Comité recommande à l</w:t>
      </w:r>
      <w:r>
        <w:rPr>
          <w:lang w:val="fr-FR"/>
        </w:rPr>
        <w:t>’</w:t>
      </w:r>
      <w:r w:rsidRPr="004A75B4">
        <w:rPr>
          <w:lang w:val="fr-FR"/>
        </w:rPr>
        <w:t>État partie</w:t>
      </w:r>
      <w:r>
        <w:rPr>
          <w:lang w:val="fr-FR"/>
        </w:rPr>
        <w:t> :</w:t>
      </w:r>
    </w:p>
    <w:p w14:paraId="1FD0160A" w14:textId="77777777" w:rsidR="00AE19B9" w:rsidRPr="004A75B4" w:rsidRDefault="00AE19B9" w:rsidP="00AE19B9">
      <w:pPr>
        <w:pStyle w:val="SingleTxtG"/>
        <w:ind w:firstLine="567"/>
        <w:rPr>
          <w:lang w:val="fr-FR"/>
        </w:rPr>
      </w:pPr>
      <w:r w:rsidRPr="004A75B4">
        <w:rPr>
          <w:lang w:val="fr-FR"/>
        </w:rPr>
        <w:t>a)</w:t>
      </w:r>
      <w:r w:rsidRPr="004A75B4">
        <w:rPr>
          <w:lang w:val="fr-FR"/>
        </w:rPr>
        <w:tab/>
        <w:t>De supprimer l</w:t>
      </w:r>
      <w:r>
        <w:rPr>
          <w:lang w:val="fr-FR"/>
        </w:rPr>
        <w:t>’</w:t>
      </w:r>
      <w:r w:rsidRPr="004A75B4">
        <w:rPr>
          <w:lang w:val="fr-FR"/>
        </w:rPr>
        <w:t>adjectif qualificatif «</w:t>
      </w:r>
      <w:r>
        <w:rPr>
          <w:lang w:val="fr-FR"/>
        </w:rPr>
        <w:t> </w:t>
      </w:r>
      <w:r w:rsidRPr="004A75B4">
        <w:rPr>
          <w:lang w:val="fr-FR"/>
        </w:rPr>
        <w:t>illégal</w:t>
      </w:r>
      <w:r>
        <w:rPr>
          <w:lang w:val="fr-FR"/>
        </w:rPr>
        <w:t> </w:t>
      </w:r>
      <w:r w:rsidRPr="004A75B4">
        <w:rPr>
          <w:lang w:val="fr-FR"/>
        </w:rPr>
        <w:t>» s</w:t>
      </w:r>
      <w:r>
        <w:rPr>
          <w:lang w:val="fr-FR"/>
        </w:rPr>
        <w:t>’</w:t>
      </w:r>
      <w:r w:rsidRPr="004A75B4">
        <w:rPr>
          <w:lang w:val="fr-FR"/>
        </w:rPr>
        <w:t>agissant des actes de privation de liberté, puisque la disparition forcée peut commencer par une privation de liberté légale suivie d</w:t>
      </w:r>
      <w:r>
        <w:rPr>
          <w:lang w:val="fr-FR"/>
        </w:rPr>
        <w:t>’</w:t>
      </w:r>
      <w:r w:rsidRPr="004A75B4">
        <w:rPr>
          <w:lang w:val="fr-FR"/>
        </w:rPr>
        <w:t>autres actes la rendant illégale</w:t>
      </w:r>
      <w:r w:rsidRPr="00422E92">
        <w:rPr>
          <w:rStyle w:val="Appelnotedebasdep"/>
        </w:rPr>
        <w:footnoteReference w:id="5"/>
      </w:r>
      <w:r>
        <w:rPr>
          <w:lang w:val="fr-FR"/>
        </w:rPr>
        <w:t> ;</w:t>
      </w:r>
    </w:p>
    <w:p w14:paraId="0CEA530E" w14:textId="5DA40B74" w:rsidR="00AE19B9" w:rsidRPr="004A75B4" w:rsidRDefault="00AE19B9" w:rsidP="00AE19B9">
      <w:pPr>
        <w:pStyle w:val="SingleTxtG"/>
        <w:ind w:firstLine="567"/>
        <w:rPr>
          <w:lang w:val="fr-FR"/>
        </w:rPr>
      </w:pPr>
      <w:r w:rsidRPr="004A75B4">
        <w:rPr>
          <w:lang w:val="fr-FR"/>
        </w:rPr>
        <w:t>b)</w:t>
      </w:r>
      <w:r w:rsidRPr="004A75B4">
        <w:rPr>
          <w:lang w:val="fr-FR"/>
        </w:rPr>
        <w:tab/>
        <w:t>De supprimer le membre de phrase «</w:t>
      </w:r>
      <w:r>
        <w:rPr>
          <w:lang w:val="fr-FR"/>
        </w:rPr>
        <w:t> </w:t>
      </w:r>
      <w:r w:rsidRPr="004A75B4">
        <w:rPr>
          <w:lang w:val="fr-FR"/>
        </w:rPr>
        <w:t>ou porte préjudice ou porte atteinte aux droits et intérêts légitimes d</w:t>
      </w:r>
      <w:r>
        <w:rPr>
          <w:lang w:val="fr-FR"/>
        </w:rPr>
        <w:t>’</w:t>
      </w:r>
      <w:r w:rsidRPr="004A75B4">
        <w:rPr>
          <w:lang w:val="fr-FR"/>
        </w:rPr>
        <w:t>une personne en la privant de liberté</w:t>
      </w:r>
      <w:r>
        <w:rPr>
          <w:lang w:val="fr-FR"/>
        </w:rPr>
        <w:t> </w:t>
      </w:r>
      <w:r w:rsidRPr="004A75B4">
        <w:rPr>
          <w:lang w:val="fr-FR"/>
        </w:rPr>
        <w:t>» (</w:t>
      </w:r>
      <w:r>
        <w:rPr>
          <w:lang w:val="fr-FR"/>
        </w:rPr>
        <w:t>par. </w:t>
      </w:r>
      <w:r w:rsidRPr="004A75B4">
        <w:rPr>
          <w:lang w:val="fr-FR"/>
        </w:rPr>
        <w:t>1) car, cette conséquence n</w:t>
      </w:r>
      <w:r>
        <w:rPr>
          <w:lang w:val="fr-FR"/>
        </w:rPr>
        <w:t>’</w:t>
      </w:r>
      <w:r w:rsidRPr="004A75B4">
        <w:rPr>
          <w:lang w:val="fr-FR"/>
        </w:rPr>
        <w:t>étant pas prévue à l</w:t>
      </w:r>
      <w:r>
        <w:rPr>
          <w:lang w:val="fr-FR"/>
        </w:rPr>
        <w:t>’</w:t>
      </w:r>
      <w:r w:rsidRPr="004A75B4">
        <w:rPr>
          <w:lang w:val="fr-FR"/>
        </w:rPr>
        <w:t>article</w:t>
      </w:r>
      <w:r w:rsidR="00EC3525">
        <w:rPr>
          <w:lang w:val="fr-FR"/>
        </w:rPr>
        <w:t> </w:t>
      </w:r>
      <w:r w:rsidRPr="004A75B4">
        <w:rPr>
          <w:lang w:val="fr-FR"/>
        </w:rPr>
        <w:t>2 de la Convention, il ajoute des exigences qui peuvent nuire à la compréhension de l</w:t>
      </w:r>
      <w:r>
        <w:rPr>
          <w:lang w:val="fr-FR"/>
        </w:rPr>
        <w:t>’</w:t>
      </w:r>
      <w:r w:rsidRPr="004A75B4">
        <w:rPr>
          <w:lang w:val="fr-FR"/>
        </w:rPr>
        <w:t>infraction de disparition forcée et en réduire la portée.</w:t>
      </w:r>
    </w:p>
    <w:p w14:paraId="1480F643" w14:textId="4C1FFB39" w:rsidR="00AE19B9" w:rsidRPr="004A75B4" w:rsidRDefault="00AE19B9" w:rsidP="00AE19B9">
      <w:pPr>
        <w:pStyle w:val="SingleTxtG"/>
        <w:rPr>
          <w:lang w:val="fr-FR"/>
        </w:rPr>
      </w:pPr>
      <w:r w:rsidRPr="004A75B4">
        <w:rPr>
          <w:lang w:val="fr-FR"/>
        </w:rPr>
        <w:t>16.</w:t>
      </w:r>
      <w:r w:rsidRPr="004A75B4">
        <w:rPr>
          <w:lang w:val="fr-FR"/>
        </w:rPr>
        <w:tab/>
        <w:t>En ce qui concerne le déni de reconnaissance de la privation de liberté ou la dissimulation du sort réservé à la personne disparue ou du lieu où elle se trouve, le Comité invite l</w:t>
      </w:r>
      <w:r>
        <w:rPr>
          <w:lang w:val="fr-FR"/>
        </w:rPr>
        <w:t>’</w:t>
      </w:r>
      <w:r w:rsidRPr="004A75B4">
        <w:rPr>
          <w:lang w:val="fr-FR"/>
        </w:rPr>
        <w:t>État partie à utiliser la formulation exacte utilisée à l</w:t>
      </w:r>
      <w:r>
        <w:rPr>
          <w:lang w:val="fr-FR"/>
        </w:rPr>
        <w:t>’</w:t>
      </w:r>
      <w:r w:rsidRPr="004A75B4">
        <w:rPr>
          <w:lang w:val="fr-FR"/>
        </w:rPr>
        <w:t>article</w:t>
      </w:r>
      <w:r w:rsidR="00EC3525">
        <w:rPr>
          <w:lang w:val="fr-FR"/>
        </w:rPr>
        <w:t> </w:t>
      </w:r>
      <w:r w:rsidRPr="004A75B4">
        <w:rPr>
          <w:lang w:val="fr-FR"/>
        </w:rPr>
        <w:t>2 de la Convention, à savoir</w:t>
      </w:r>
      <w:r>
        <w:rPr>
          <w:lang w:val="fr-FR"/>
        </w:rPr>
        <w:t> :</w:t>
      </w:r>
      <w:r w:rsidRPr="004A75B4">
        <w:rPr>
          <w:lang w:val="fr-FR"/>
        </w:rPr>
        <w:t xml:space="preserve"> «</w:t>
      </w:r>
      <w:r>
        <w:rPr>
          <w:lang w:val="fr-FR"/>
        </w:rPr>
        <w:t> </w:t>
      </w:r>
      <w:r w:rsidRPr="004A75B4">
        <w:rPr>
          <w:lang w:val="fr-FR"/>
        </w:rPr>
        <w:t xml:space="preserve">suivi du déni de la reconnaissance de la privation de liberté ou de la dissimulation </w:t>
      </w:r>
      <w:r w:rsidRPr="004A75B4">
        <w:rPr>
          <w:lang w:val="fr-FR"/>
        </w:rPr>
        <w:lastRenderedPageBreak/>
        <w:t>du sort réservé à la personne disparue ou du lieu où elle se trouve, la soustrayant à la protection de la loi</w:t>
      </w:r>
      <w:r>
        <w:rPr>
          <w:lang w:val="fr-FR"/>
        </w:rPr>
        <w:t> </w:t>
      </w:r>
      <w:r w:rsidRPr="004A75B4">
        <w:rPr>
          <w:lang w:val="fr-FR"/>
        </w:rPr>
        <w:t>».</w:t>
      </w:r>
    </w:p>
    <w:p w14:paraId="32742854" w14:textId="77777777" w:rsidR="00AE19B9" w:rsidRPr="004A75B4" w:rsidRDefault="00AE19B9" w:rsidP="00AE19B9">
      <w:pPr>
        <w:pStyle w:val="SingleTxtG"/>
        <w:keepNext/>
        <w:rPr>
          <w:lang w:val="fr-FR"/>
        </w:rPr>
      </w:pPr>
      <w:r w:rsidRPr="004A75B4">
        <w:rPr>
          <w:lang w:val="fr-FR"/>
        </w:rPr>
        <w:t>17.</w:t>
      </w:r>
      <w:r w:rsidRPr="004A75B4">
        <w:rPr>
          <w:lang w:val="fr-FR"/>
        </w:rPr>
        <w:tab/>
        <w:t>En ce qui concerne l</w:t>
      </w:r>
      <w:r>
        <w:rPr>
          <w:lang w:val="fr-FR"/>
        </w:rPr>
        <w:t>’</w:t>
      </w:r>
      <w:r w:rsidRPr="004A75B4">
        <w:rPr>
          <w:lang w:val="fr-FR"/>
        </w:rPr>
        <w:t>implication directe ou indirecte de l</w:t>
      </w:r>
      <w:r>
        <w:rPr>
          <w:lang w:val="fr-FR"/>
        </w:rPr>
        <w:t>’</w:t>
      </w:r>
      <w:r w:rsidRPr="004A75B4">
        <w:rPr>
          <w:lang w:val="fr-FR"/>
        </w:rPr>
        <w:t>État, le Comité recommande à l</w:t>
      </w:r>
      <w:r>
        <w:rPr>
          <w:lang w:val="fr-FR"/>
        </w:rPr>
        <w:t>’</w:t>
      </w:r>
      <w:r w:rsidRPr="004A75B4">
        <w:rPr>
          <w:lang w:val="fr-FR"/>
        </w:rPr>
        <w:t>État partie</w:t>
      </w:r>
      <w:r>
        <w:rPr>
          <w:lang w:val="fr-FR"/>
        </w:rPr>
        <w:t> :</w:t>
      </w:r>
    </w:p>
    <w:p w14:paraId="2D3BFD00" w14:textId="439D8561" w:rsidR="00AE19B9" w:rsidRPr="004A75B4" w:rsidRDefault="00AE19B9" w:rsidP="00AE19B9">
      <w:pPr>
        <w:pStyle w:val="SingleTxtG"/>
        <w:ind w:firstLine="567"/>
        <w:rPr>
          <w:lang w:val="fr-FR"/>
        </w:rPr>
      </w:pPr>
      <w:r w:rsidRPr="004A75B4">
        <w:rPr>
          <w:lang w:val="fr-FR"/>
        </w:rPr>
        <w:t>a)</w:t>
      </w:r>
      <w:r w:rsidRPr="004A75B4">
        <w:rPr>
          <w:lang w:val="fr-FR"/>
        </w:rPr>
        <w:tab/>
        <w:t>De remplacer, dans la version anglaise, le terme «</w:t>
      </w:r>
      <w:r>
        <w:rPr>
          <w:lang w:val="fr-FR"/>
        </w:rPr>
        <w:t> </w:t>
      </w:r>
      <w:r w:rsidRPr="00254C23">
        <w:rPr>
          <w:lang w:val="fr-FR"/>
        </w:rPr>
        <w:t>state official</w:t>
      </w:r>
      <w:r>
        <w:rPr>
          <w:lang w:val="fr-FR"/>
        </w:rPr>
        <w:t> </w:t>
      </w:r>
      <w:r w:rsidRPr="004A75B4">
        <w:rPr>
          <w:lang w:val="fr-FR"/>
        </w:rPr>
        <w:t>» par «</w:t>
      </w:r>
      <w:r>
        <w:rPr>
          <w:lang w:val="fr-FR"/>
        </w:rPr>
        <w:t> </w:t>
      </w:r>
      <w:r w:rsidRPr="00254C23">
        <w:rPr>
          <w:lang w:val="fr-FR"/>
        </w:rPr>
        <w:t>agent of the State</w:t>
      </w:r>
      <w:r>
        <w:rPr>
          <w:lang w:val="fr-FR"/>
        </w:rPr>
        <w:t> </w:t>
      </w:r>
      <w:r w:rsidRPr="004A75B4">
        <w:rPr>
          <w:lang w:val="fr-FR"/>
        </w:rPr>
        <w:t>», en pleine conformité avec le libellé de l</w:t>
      </w:r>
      <w:r>
        <w:rPr>
          <w:lang w:val="fr-FR"/>
        </w:rPr>
        <w:t>’</w:t>
      </w:r>
      <w:r w:rsidRPr="004A75B4">
        <w:rPr>
          <w:lang w:val="fr-FR"/>
        </w:rPr>
        <w:t>article</w:t>
      </w:r>
      <w:r w:rsidR="00EC3525">
        <w:rPr>
          <w:lang w:val="fr-FR"/>
        </w:rPr>
        <w:t> </w:t>
      </w:r>
      <w:r w:rsidRPr="004A75B4">
        <w:rPr>
          <w:lang w:val="fr-FR"/>
        </w:rPr>
        <w:t>2 de la Convention</w:t>
      </w:r>
      <w:r>
        <w:rPr>
          <w:lang w:val="fr-FR"/>
        </w:rPr>
        <w:t> ;</w:t>
      </w:r>
    </w:p>
    <w:p w14:paraId="7165C4B6" w14:textId="207F585C" w:rsidR="00AE19B9" w:rsidRPr="004A75B4" w:rsidRDefault="00AE19B9" w:rsidP="00AE19B9">
      <w:pPr>
        <w:pStyle w:val="SingleTxtG"/>
        <w:ind w:firstLine="567"/>
        <w:rPr>
          <w:lang w:val="fr-FR"/>
        </w:rPr>
      </w:pPr>
      <w:r w:rsidRPr="004A75B4">
        <w:rPr>
          <w:lang w:val="fr-FR"/>
        </w:rPr>
        <w:t>b)</w:t>
      </w:r>
      <w:r w:rsidRPr="004A75B4">
        <w:rPr>
          <w:lang w:val="fr-FR"/>
        </w:rPr>
        <w:tab/>
        <w:t>D</w:t>
      </w:r>
      <w:r>
        <w:rPr>
          <w:lang w:val="fr-FR"/>
        </w:rPr>
        <w:t>’</w:t>
      </w:r>
      <w:r w:rsidRPr="004A75B4">
        <w:rPr>
          <w:lang w:val="fr-FR"/>
        </w:rPr>
        <w:t>ajouter le mot «</w:t>
      </w:r>
      <w:r>
        <w:rPr>
          <w:lang w:val="fr-FR"/>
        </w:rPr>
        <w:t> </w:t>
      </w:r>
      <w:r w:rsidRPr="004A75B4">
        <w:rPr>
          <w:lang w:val="fr-FR"/>
        </w:rPr>
        <w:t>appui</w:t>
      </w:r>
      <w:r>
        <w:rPr>
          <w:lang w:val="fr-FR"/>
        </w:rPr>
        <w:t> </w:t>
      </w:r>
      <w:r w:rsidRPr="004A75B4">
        <w:rPr>
          <w:lang w:val="fr-FR"/>
        </w:rPr>
        <w:t>», en pleine conformité avec le libellé de l</w:t>
      </w:r>
      <w:r>
        <w:rPr>
          <w:lang w:val="fr-FR"/>
        </w:rPr>
        <w:t>’</w:t>
      </w:r>
      <w:r w:rsidRPr="004A75B4">
        <w:rPr>
          <w:lang w:val="fr-FR"/>
        </w:rPr>
        <w:t>article</w:t>
      </w:r>
      <w:r w:rsidR="00EC3525">
        <w:rPr>
          <w:lang w:val="fr-FR"/>
        </w:rPr>
        <w:t> </w:t>
      </w:r>
      <w:r w:rsidRPr="004A75B4">
        <w:rPr>
          <w:lang w:val="fr-FR"/>
        </w:rPr>
        <w:t>2 de la Convention, comme suit</w:t>
      </w:r>
      <w:r>
        <w:rPr>
          <w:lang w:val="fr-FR"/>
        </w:rPr>
        <w:t> :</w:t>
      </w:r>
      <w:r w:rsidRPr="004A75B4">
        <w:rPr>
          <w:lang w:val="fr-FR"/>
        </w:rPr>
        <w:t xml:space="preserve"> «</w:t>
      </w:r>
      <w:r>
        <w:rPr>
          <w:lang w:val="fr-FR"/>
        </w:rPr>
        <w:t> </w:t>
      </w:r>
      <w:r w:rsidRPr="004A75B4">
        <w:rPr>
          <w:lang w:val="fr-FR"/>
        </w:rPr>
        <w:t>qui agissent avec l</w:t>
      </w:r>
      <w:r>
        <w:rPr>
          <w:lang w:val="fr-FR"/>
        </w:rPr>
        <w:t>’</w:t>
      </w:r>
      <w:r w:rsidRPr="004A75B4">
        <w:rPr>
          <w:lang w:val="fr-FR"/>
        </w:rPr>
        <w:t>autorisation, l</w:t>
      </w:r>
      <w:r>
        <w:rPr>
          <w:lang w:val="fr-FR"/>
        </w:rPr>
        <w:t>’</w:t>
      </w:r>
      <w:r w:rsidRPr="004A75B4">
        <w:rPr>
          <w:lang w:val="fr-FR"/>
        </w:rPr>
        <w:t>appui ou l</w:t>
      </w:r>
      <w:r>
        <w:rPr>
          <w:lang w:val="fr-FR"/>
        </w:rPr>
        <w:t>’</w:t>
      </w:r>
      <w:r w:rsidRPr="004A75B4">
        <w:rPr>
          <w:lang w:val="fr-FR"/>
        </w:rPr>
        <w:t>acquiescement de l</w:t>
      </w:r>
      <w:r>
        <w:rPr>
          <w:lang w:val="fr-FR"/>
        </w:rPr>
        <w:t>’</w:t>
      </w:r>
      <w:r w:rsidRPr="004A75B4">
        <w:rPr>
          <w:lang w:val="fr-FR"/>
        </w:rPr>
        <w:t>État</w:t>
      </w:r>
      <w:r>
        <w:rPr>
          <w:lang w:val="fr-FR"/>
        </w:rPr>
        <w:t> </w:t>
      </w:r>
      <w:r w:rsidRPr="004A75B4">
        <w:rPr>
          <w:lang w:val="fr-FR"/>
        </w:rPr>
        <w:t>».</w:t>
      </w:r>
    </w:p>
    <w:p w14:paraId="6838608B" w14:textId="506D775F" w:rsidR="00AE19B9" w:rsidRPr="004A75B4" w:rsidRDefault="00AE19B9" w:rsidP="00AE19B9">
      <w:pPr>
        <w:pStyle w:val="SingleTxtG"/>
        <w:ind w:firstLine="567"/>
        <w:rPr>
          <w:lang w:val="fr-FR"/>
        </w:rPr>
      </w:pPr>
      <w:r w:rsidRPr="004A75B4">
        <w:rPr>
          <w:lang w:val="fr-FR"/>
        </w:rPr>
        <w:t>c)</w:t>
      </w:r>
      <w:r w:rsidRPr="004A75B4">
        <w:rPr>
          <w:lang w:val="fr-FR"/>
        </w:rPr>
        <w:tab/>
        <w:t>De supprimer l</w:t>
      </w:r>
      <w:r>
        <w:rPr>
          <w:lang w:val="fr-FR"/>
        </w:rPr>
        <w:t>’</w:t>
      </w:r>
      <w:r w:rsidRPr="004A75B4">
        <w:rPr>
          <w:lang w:val="fr-FR"/>
        </w:rPr>
        <w:t>adverbe «</w:t>
      </w:r>
      <w:r>
        <w:rPr>
          <w:lang w:val="fr-FR"/>
        </w:rPr>
        <w:t> </w:t>
      </w:r>
      <w:r w:rsidRPr="004A75B4">
        <w:rPr>
          <w:lang w:val="fr-FR"/>
        </w:rPr>
        <w:t>illégalement</w:t>
      </w:r>
      <w:r>
        <w:rPr>
          <w:lang w:val="fr-FR"/>
        </w:rPr>
        <w:t> </w:t>
      </w:r>
      <w:r w:rsidRPr="004A75B4">
        <w:rPr>
          <w:lang w:val="fr-FR"/>
        </w:rPr>
        <w:t>» se rapportant à la notion de dissimulation dans le projet d</w:t>
      </w:r>
      <w:r>
        <w:rPr>
          <w:lang w:val="fr-FR"/>
        </w:rPr>
        <w:t>’</w:t>
      </w:r>
      <w:r w:rsidRPr="004A75B4">
        <w:rPr>
          <w:lang w:val="fr-FR"/>
        </w:rPr>
        <w:t xml:space="preserve">article, car </w:t>
      </w:r>
      <w:r>
        <w:rPr>
          <w:lang w:val="fr-FR"/>
        </w:rPr>
        <w:t>il</w:t>
      </w:r>
      <w:r w:rsidRPr="004A75B4">
        <w:rPr>
          <w:lang w:val="fr-FR"/>
        </w:rPr>
        <w:t xml:space="preserve"> laisse penser qu</w:t>
      </w:r>
      <w:r>
        <w:rPr>
          <w:lang w:val="fr-FR"/>
        </w:rPr>
        <w:t>’</w:t>
      </w:r>
      <w:r w:rsidRPr="004A75B4">
        <w:rPr>
          <w:lang w:val="fr-FR"/>
        </w:rPr>
        <w:t xml:space="preserve">il est possible de dissimuler </w:t>
      </w:r>
      <w:r>
        <w:rPr>
          <w:lang w:val="fr-FR"/>
        </w:rPr>
        <w:t>« </w:t>
      </w:r>
      <w:r w:rsidRPr="004A75B4">
        <w:rPr>
          <w:lang w:val="fr-FR"/>
        </w:rPr>
        <w:t>légalement</w:t>
      </w:r>
      <w:r>
        <w:rPr>
          <w:lang w:val="fr-FR"/>
        </w:rPr>
        <w:t> »</w:t>
      </w:r>
      <w:r w:rsidR="00EC3525">
        <w:rPr>
          <w:lang w:val="fr-FR"/>
        </w:rPr>
        <w:t xml:space="preserve"> </w:t>
      </w:r>
      <w:r w:rsidRPr="004A75B4">
        <w:rPr>
          <w:lang w:val="fr-FR"/>
        </w:rPr>
        <w:t xml:space="preserve">le sort réservé à la personne disparue ou le lieu où elle se trouve, ce qui </w:t>
      </w:r>
      <w:r>
        <w:rPr>
          <w:lang w:val="fr-FR"/>
        </w:rPr>
        <w:t>est incompatible avec</w:t>
      </w:r>
      <w:r w:rsidRPr="004A75B4">
        <w:rPr>
          <w:lang w:val="fr-FR"/>
        </w:rPr>
        <w:t xml:space="preserve"> l</w:t>
      </w:r>
      <w:r>
        <w:rPr>
          <w:lang w:val="fr-FR"/>
        </w:rPr>
        <w:t>’</w:t>
      </w:r>
      <w:r w:rsidRPr="004A75B4">
        <w:rPr>
          <w:lang w:val="fr-FR"/>
        </w:rPr>
        <w:t>interdiction absolue de la disparition forcée faite à l</w:t>
      </w:r>
      <w:r>
        <w:rPr>
          <w:lang w:val="fr-FR"/>
        </w:rPr>
        <w:t>’</w:t>
      </w:r>
      <w:r w:rsidRPr="004A75B4">
        <w:rPr>
          <w:lang w:val="fr-FR"/>
        </w:rPr>
        <w:t>article premier de la Convention.</w:t>
      </w:r>
    </w:p>
    <w:p w14:paraId="55DC9A06" w14:textId="77777777" w:rsidR="00AE19B9" w:rsidRPr="004A75B4" w:rsidRDefault="00AE19B9" w:rsidP="00AE19B9">
      <w:pPr>
        <w:pStyle w:val="H4G"/>
        <w:rPr>
          <w:lang w:val="fr-FR"/>
        </w:rPr>
      </w:pPr>
      <w:r w:rsidRPr="004A75B4">
        <w:rPr>
          <w:lang w:val="fr-FR"/>
        </w:rPr>
        <w:tab/>
      </w:r>
      <w:r w:rsidRPr="004A75B4">
        <w:rPr>
          <w:lang w:val="fr-FR"/>
        </w:rPr>
        <w:tab/>
      </w:r>
      <w:r w:rsidRPr="004A75B4">
        <w:rPr>
          <w:iCs/>
          <w:lang w:val="fr-FR"/>
        </w:rPr>
        <w:t>Articles 5, 6 et 7 de la Convention</w:t>
      </w:r>
    </w:p>
    <w:p w14:paraId="0B0DB6BE" w14:textId="56A917CD" w:rsidR="00AE19B9" w:rsidRPr="004A75B4" w:rsidRDefault="00AE19B9" w:rsidP="00AE19B9">
      <w:pPr>
        <w:pStyle w:val="SingleTxtG"/>
        <w:rPr>
          <w:lang w:val="fr-FR"/>
        </w:rPr>
      </w:pPr>
      <w:r w:rsidRPr="004A75B4">
        <w:rPr>
          <w:lang w:val="fr-FR"/>
        </w:rPr>
        <w:t>18.</w:t>
      </w:r>
      <w:r w:rsidRPr="004A75B4">
        <w:rPr>
          <w:lang w:val="fr-FR"/>
        </w:rPr>
        <w:tab/>
        <w:t>En ce qui concerne la responsabilité pénale et les peines, le Comité note que le projet de loi comprend certains éléments des articles</w:t>
      </w:r>
      <w:r w:rsidR="00EC3525">
        <w:rPr>
          <w:lang w:val="fr-FR"/>
        </w:rPr>
        <w:t> </w:t>
      </w:r>
      <w:r w:rsidRPr="004A75B4">
        <w:rPr>
          <w:lang w:val="fr-FR"/>
        </w:rPr>
        <w:t>6 et 7 de la Convention. Toutefois, il s</w:t>
      </w:r>
      <w:r>
        <w:rPr>
          <w:lang w:val="fr-FR"/>
        </w:rPr>
        <w:t>’</w:t>
      </w:r>
      <w:r w:rsidRPr="004A75B4">
        <w:rPr>
          <w:lang w:val="fr-FR"/>
        </w:rPr>
        <w:t>inquiète de ce que le projet de loi n</w:t>
      </w:r>
      <w:r>
        <w:rPr>
          <w:lang w:val="fr-FR"/>
        </w:rPr>
        <w:t>’</w:t>
      </w:r>
      <w:r w:rsidRPr="004A75B4">
        <w:rPr>
          <w:lang w:val="fr-FR"/>
        </w:rPr>
        <w:t>est pas pleinement conforme à ces articles.</w:t>
      </w:r>
    </w:p>
    <w:p w14:paraId="28285358" w14:textId="4E350BA6" w:rsidR="00AE19B9" w:rsidRPr="004A75B4" w:rsidRDefault="00AE19B9" w:rsidP="00AE19B9">
      <w:pPr>
        <w:pStyle w:val="SingleTxtG"/>
        <w:rPr>
          <w:lang w:val="fr-FR"/>
        </w:rPr>
      </w:pPr>
      <w:r w:rsidRPr="004A75B4">
        <w:rPr>
          <w:lang w:val="fr-FR"/>
        </w:rPr>
        <w:t>19.</w:t>
      </w:r>
      <w:r w:rsidRPr="004A75B4">
        <w:rPr>
          <w:lang w:val="fr-FR"/>
        </w:rPr>
        <w:tab/>
        <w:t>En ce qui concerne la responsabilité pénale, le Comité recommande à l</w:t>
      </w:r>
      <w:r>
        <w:rPr>
          <w:lang w:val="fr-FR"/>
        </w:rPr>
        <w:t>’</w:t>
      </w:r>
      <w:r w:rsidRPr="004A75B4">
        <w:rPr>
          <w:lang w:val="fr-FR"/>
        </w:rPr>
        <w:t>État partie de reprendre intégralement et avec précision la formulation de l</w:t>
      </w:r>
      <w:r>
        <w:rPr>
          <w:lang w:val="fr-FR"/>
        </w:rPr>
        <w:t>’</w:t>
      </w:r>
      <w:r w:rsidRPr="004A75B4">
        <w:rPr>
          <w:lang w:val="fr-FR"/>
        </w:rPr>
        <w:t>article</w:t>
      </w:r>
      <w:r w:rsidR="00EC3525">
        <w:rPr>
          <w:lang w:val="fr-FR"/>
        </w:rPr>
        <w:t> </w:t>
      </w:r>
      <w:r w:rsidRPr="004A75B4">
        <w:rPr>
          <w:lang w:val="fr-FR"/>
        </w:rPr>
        <w:t>6 de la</w:t>
      </w:r>
      <w:r w:rsidR="00EC3525">
        <w:rPr>
          <w:lang w:val="fr-FR"/>
        </w:rPr>
        <w:t xml:space="preserve"> </w:t>
      </w:r>
      <w:r w:rsidRPr="004A75B4">
        <w:rPr>
          <w:lang w:val="fr-FR"/>
        </w:rPr>
        <w:t>Convention.</w:t>
      </w:r>
    </w:p>
    <w:p w14:paraId="2E1212EA" w14:textId="77777777" w:rsidR="00AE19B9" w:rsidRPr="004A75B4" w:rsidRDefault="00AE19B9" w:rsidP="00AE19B9">
      <w:pPr>
        <w:pStyle w:val="SingleTxtG"/>
        <w:rPr>
          <w:lang w:val="fr-FR"/>
        </w:rPr>
      </w:pPr>
      <w:r w:rsidRPr="004A75B4">
        <w:rPr>
          <w:lang w:val="fr-FR"/>
        </w:rPr>
        <w:t>20.</w:t>
      </w:r>
      <w:r w:rsidRPr="004A75B4">
        <w:rPr>
          <w:lang w:val="fr-FR"/>
        </w:rPr>
        <w:tab/>
      </w:r>
      <w:r>
        <w:rPr>
          <w:lang w:val="fr-FR"/>
        </w:rPr>
        <w:t>Le</w:t>
      </w:r>
      <w:r w:rsidRPr="004A75B4">
        <w:rPr>
          <w:lang w:val="fr-FR"/>
        </w:rPr>
        <w:t xml:space="preserve"> Comité prend note des peines prévues dans le projet de loi, mais réaffirme que ces sanctions, en particulier celle qui prévoit une année d</w:t>
      </w:r>
      <w:r>
        <w:rPr>
          <w:lang w:val="fr-FR"/>
        </w:rPr>
        <w:t>’</w:t>
      </w:r>
      <w:r w:rsidRPr="004A75B4">
        <w:rPr>
          <w:lang w:val="fr-FR"/>
        </w:rPr>
        <w:t>emprisonnement au minimum</w:t>
      </w:r>
      <w:r w:rsidRPr="001B2853">
        <w:t xml:space="preserve"> </w:t>
      </w:r>
      <w:r w:rsidRPr="001B2853">
        <w:rPr>
          <w:lang w:val="fr-FR"/>
        </w:rPr>
        <w:t>en l</w:t>
      </w:r>
      <w:r>
        <w:rPr>
          <w:lang w:val="fr-FR"/>
        </w:rPr>
        <w:t>’</w:t>
      </w:r>
      <w:r w:rsidRPr="001B2853">
        <w:rPr>
          <w:lang w:val="fr-FR"/>
        </w:rPr>
        <w:t>absence de circonstances aggravantes</w:t>
      </w:r>
      <w:r w:rsidRPr="004A75B4">
        <w:rPr>
          <w:lang w:val="fr-FR"/>
        </w:rPr>
        <w:t>, ne sont pas proportionnées à l</w:t>
      </w:r>
      <w:r>
        <w:rPr>
          <w:lang w:val="fr-FR"/>
        </w:rPr>
        <w:t>’</w:t>
      </w:r>
      <w:r w:rsidRPr="004A75B4">
        <w:rPr>
          <w:lang w:val="fr-FR"/>
        </w:rPr>
        <w:t>extrême gravité de l</w:t>
      </w:r>
      <w:r>
        <w:rPr>
          <w:lang w:val="fr-FR"/>
        </w:rPr>
        <w:t>’</w:t>
      </w:r>
      <w:r w:rsidRPr="004A75B4">
        <w:rPr>
          <w:lang w:val="fr-FR"/>
        </w:rPr>
        <w:t>infraction de disparition forcée</w:t>
      </w:r>
      <w:r w:rsidRPr="00422E92">
        <w:rPr>
          <w:rStyle w:val="Appelnotedebasdep"/>
        </w:rPr>
        <w:footnoteReference w:id="6"/>
      </w:r>
      <w:r w:rsidRPr="004A75B4">
        <w:rPr>
          <w:lang w:val="fr-FR"/>
        </w:rPr>
        <w:t>.</w:t>
      </w:r>
    </w:p>
    <w:p w14:paraId="066C5A7A" w14:textId="7F72F866" w:rsidR="00AE19B9" w:rsidRPr="004A75B4" w:rsidRDefault="00AE19B9" w:rsidP="00AE19B9">
      <w:pPr>
        <w:pStyle w:val="SingleTxtG"/>
        <w:rPr>
          <w:lang w:val="fr-FR"/>
        </w:rPr>
      </w:pPr>
      <w:r w:rsidRPr="004A75B4">
        <w:rPr>
          <w:lang w:val="fr-FR"/>
        </w:rPr>
        <w:t>21.</w:t>
      </w:r>
      <w:r w:rsidRPr="004A75B4">
        <w:rPr>
          <w:lang w:val="fr-FR"/>
        </w:rPr>
        <w:tab/>
        <w:t>Le Comité s</w:t>
      </w:r>
      <w:r>
        <w:rPr>
          <w:lang w:val="fr-FR"/>
        </w:rPr>
        <w:t>’</w:t>
      </w:r>
      <w:r w:rsidRPr="004A75B4">
        <w:rPr>
          <w:lang w:val="fr-FR"/>
        </w:rPr>
        <w:t>inquiète de ce que la phrase «</w:t>
      </w:r>
      <w:r>
        <w:rPr>
          <w:lang w:val="fr-FR"/>
        </w:rPr>
        <w:t> </w:t>
      </w:r>
      <w:r w:rsidRPr="004A75B4">
        <w:rPr>
          <w:lang w:val="fr-FR"/>
        </w:rPr>
        <w:t xml:space="preserve">à moins que la commission de ces actes </w:t>
      </w:r>
      <w:r w:rsidR="00EC3525" w:rsidRPr="004A75B4">
        <w:rPr>
          <w:lang w:val="fr-FR"/>
        </w:rPr>
        <w:t>revête</w:t>
      </w:r>
      <w:r w:rsidRPr="004A75B4">
        <w:rPr>
          <w:lang w:val="fr-FR"/>
        </w:rPr>
        <w:t xml:space="preserve"> le caractère d</w:t>
      </w:r>
      <w:r>
        <w:rPr>
          <w:lang w:val="fr-FR"/>
        </w:rPr>
        <w:t>’</w:t>
      </w:r>
      <w:r w:rsidRPr="004A75B4">
        <w:rPr>
          <w:lang w:val="fr-FR"/>
        </w:rPr>
        <w:t>autres infractions visées dans la partie spéciale du présent Code</w:t>
      </w:r>
      <w:r>
        <w:rPr>
          <w:lang w:val="fr-FR"/>
        </w:rPr>
        <w:t> </w:t>
      </w:r>
      <w:r w:rsidRPr="004A75B4">
        <w:rPr>
          <w:lang w:val="fr-FR"/>
        </w:rPr>
        <w:t>» du projet de loi établit un lien entre la peine encourue pour disparition forcée et la commission d</w:t>
      </w:r>
      <w:r>
        <w:rPr>
          <w:lang w:val="fr-FR"/>
        </w:rPr>
        <w:t>’</w:t>
      </w:r>
      <w:r w:rsidRPr="004A75B4">
        <w:rPr>
          <w:lang w:val="fr-FR"/>
        </w:rPr>
        <w:t>autres infractions.</w:t>
      </w:r>
    </w:p>
    <w:p w14:paraId="05D7A808" w14:textId="77777777" w:rsidR="00AE19B9" w:rsidRPr="004A75B4" w:rsidRDefault="00AE19B9" w:rsidP="00AE19B9">
      <w:pPr>
        <w:pStyle w:val="SingleTxtG"/>
        <w:keepNext/>
        <w:rPr>
          <w:lang w:val="fr-FR"/>
        </w:rPr>
      </w:pPr>
      <w:r w:rsidRPr="004A75B4">
        <w:rPr>
          <w:lang w:val="fr-FR"/>
        </w:rPr>
        <w:t>22.</w:t>
      </w:r>
      <w:r w:rsidRPr="004A75B4">
        <w:rPr>
          <w:lang w:val="fr-FR"/>
        </w:rPr>
        <w:tab/>
        <w:t>Compte tenu de ce qui précède, le Comité recommande à l</w:t>
      </w:r>
      <w:r>
        <w:rPr>
          <w:lang w:val="fr-FR"/>
        </w:rPr>
        <w:t>’</w:t>
      </w:r>
      <w:r w:rsidRPr="004A75B4">
        <w:rPr>
          <w:lang w:val="fr-FR"/>
        </w:rPr>
        <w:t>État partie</w:t>
      </w:r>
      <w:r>
        <w:rPr>
          <w:lang w:val="fr-FR"/>
        </w:rPr>
        <w:t> :</w:t>
      </w:r>
    </w:p>
    <w:p w14:paraId="3D55E6BD" w14:textId="77777777" w:rsidR="00AE19B9" w:rsidRPr="004A75B4" w:rsidRDefault="00AE19B9" w:rsidP="00AE19B9">
      <w:pPr>
        <w:pStyle w:val="SingleTxtG"/>
        <w:ind w:firstLine="567"/>
        <w:rPr>
          <w:lang w:val="fr-FR"/>
        </w:rPr>
      </w:pPr>
      <w:r w:rsidRPr="004A75B4">
        <w:rPr>
          <w:lang w:val="fr-FR"/>
        </w:rPr>
        <w:t>a)</w:t>
      </w:r>
      <w:r w:rsidRPr="004A75B4">
        <w:rPr>
          <w:lang w:val="fr-FR"/>
        </w:rPr>
        <w:tab/>
        <w:t>De veiller à ce que les peines prévues dans son nouveau Code pénal tiennent dûment compte de l</w:t>
      </w:r>
      <w:r>
        <w:rPr>
          <w:lang w:val="fr-FR"/>
        </w:rPr>
        <w:t>’</w:t>
      </w:r>
      <w:r w:rsidRPr="004A75B4">
        <w:rPr>
          <w:lang w:val="fr-FR"/>
        </w:rPr>
        <w:t>extrême gravité de l</w:t>
      </w:r>
      <w:r>
        <w:rPr>
          <w:lang w:val="fr-FR"/>
        </w:rPr>
        <w:t>’</w:t>
      </w:r>
      <w:r w:rsidRPr="004A75B4">
        <w:rPr>
          <w:lang w:val="fr-FR"/>
        </w:rPr>
        <w:t>infraction de disparition forcée</w:t>
      </w:r>
      <w:r>
        <w:rPr>
          <w:lang w:val="fr-FR"/>
        </w:rPr>
        <w:t> ;</w:t>
      </w:r>
    </w:p>
    <w:p w14:paraId="2381C477" w14:textId="77777777" w:rsidR="00AE19B9" w:rsidRPr="004A75B4" w:rsidRDefault="00AE19B9" w:rsidP="00AE19B9">
      <w:pPr>
        <w:pStyle w:val="SingleTxtG"/>
        <w:ind w:firstLine="567"/>
        <w:rPr>
          <w:lang w:val="fr-FR"/>
        </w:rPr>
      </w:pPr>
      <w:r w:rsidRPr="004A75B4">
        <w:rPr>
          <w:lang w:val="fr-FR"/>
        </w:rPr>
        <w:t>b)</w:t>
      </w:r>
      <w:r w:rsidRPr="004A75B4">
        <w:rPr>
          <w:lang w:val="fr-FR"/>
        </w:rPr>
        <w:tab/>
        <w:t>De supprimer toutes les phrases qui établissent un lien entre la peine encourue pour disparition forcée et la commission d</w:t>
      </w:r>
      <w:r>
        <w:rPr>
          <w:lang w:val="fr-FR"/>
        </w:rPr>
        <w:t>’</w:t>
      </w:r>
      <w:r w:rsidRPr="004A75B4">
        <w:rPr>
          <w:lang w:val="fr-FR"/>
        </w:rPr>
        <w:t>autres infractions.</w:t>
      </w:r>
    </w:p>
    <w:p w14:paraId="445AE0F9" w14:textId="77777777" w:rsidR="00AE19B9" w:rsidRPr="004A75B4" w:rsidRDefault="00AE19B9" w:rsidP="00AE19B9">
      <w:pPr>
        <w:pStyle w:val="SingleTxtG"/>
        <w:rPr>
          <w:lang w:val="fr-FR"/>
        </w:rPr>
      </w:pPr>
      <w:r w:rsidRPr="004A75B4">
        <w:rPr>
          <w:lang w:val="fr-FR"/>
        </w:rPr>
        <w:t>23.</w:t>
      </w:r>
      <w:r w:rsidRPr="004A75B4">
        <w:rPr>
          <w:lang w:val="fr-FR"/>
        </w:rPr>
        <w:tab/>
        <w:t>Le Comité est également préoccupé par les termes employés dans le paragraphe 3 du projet d</w:t>
      </w:r>
      <w:r>
        <w:rPr>
          <w:lang w:val="fr-FR"/>
        </w:rPr>
        <w:t>’</w:t>
      </w:r>
      <w:r w:rsidRPr="004A75B4">
        <w:rPr>
          <w:lang w:val="fr-FR"/>
        </w:rPr>
        <w:t>article, dans la mesure où ils s</w:t>
      </w:r>
      <w:r>
        <w:rPr>
          <w:lang w:val="fr-FR"/>
        </w:rPr>
        <w:t>’</w:t>
      </w:r>
      <w:r w:rsidRPr="004A75B4">
        <w:rPr>
          <w:lang w:val="fr-FR"/>
        </w:rPr>
        <w:t>écartent de la Convention. En particulier, la Convention n</w:t>
      </w:r>
      <w:r>
        <w:rPr>
          <w:lang w:val="fr-FR"/>
        </w:rPr>
        <w:t>’</w:t>
      </w:r>
      <w:r w:rsidRPr="004A75B4">
        <w:rPr>
          <w:lang w:val="fr-FR"/>
        </w:rPr>
        <w:t>établit pas de distinction entre la responsabilité pénale d</w:t>
      </w:r>
      <w:r>
        <w:rPr>
          <w:lang w:val="fr-FR"/>
        </w:rPr>
        <w:t>’</w:t>
      </w:r>
      <w:r w:rsidRPr="004A75B4">
        <w:rPr>
          <w:lang w:val="fr-FR"/>
        </w:rPr>
        <w:t>une seule personne et celle d</w:t>
      </w:r>
      <w:r>
        <w:rPr>
          <w:lang w:val="fr-FR"/>
        </w:rPr>
        <w:t>’</w:t>
      </w:r>
      <w:r w:rsidRPr="004A75B4">
        <w:rPr>
          <w:lang w:val="fr-FR"/>
        </w:rPr>
        <w:t>un groupe et ne distingue pas les cas où l</w:t>
      </w:r>
      <w:r>
        <w:rPr>
          <w:lang w:val="fr-FR"/>
        </w:rPr>
        <w:t>’</w:t>
      </w:r>
      <w:r w:rsidRPr="004A75B4">
        <w:rPr>
          <w:lang w:val="fr-FR"/>
        </w:rPr>
        <w:t>infraction touche une personne de ceux où elle touche plusieurs personnes. Le Comité recommande donc à l</w:t>
      </w:r>
      <w:r>
        <w:rPr>
          <w:lang w:val="fr-FR"/>
        </w:rPr>
        <w:t>’</w:t>
      </w:r>
      <w:r w:rsidRPr="004A75B4">
        <w:rPr>
          <w:lang w:val="fr-FR"/>
        </w:rPr>
        <w:t>État partie</w:t>
      </w:r>
      <w:r>
        <w:rPr>
          <w:lang w:val="fr-FR"/>
        </w:rPr>
        <w:t> :</w:t>
      </w:r>
    </w:p>
    <w:p w14:paraId="6D757ED4" w14:textId="03355997" w:rsidR="00AE19B9" w:rsidRPr="004A75B4" w:rsidRDefault="00AE19B9" w:rsidP="00AE19B9">
      <w:pPr>
        <w:pStyle w:val="SingleTxtG"/>
        <w:ind w:firstLine="567"/>
        <w:rPr>
          <w:lang w:val="fr-FR"/>
        </w:rPr>
      </w:pPr>
      <w:r w:rsidRPr="004A75B4">
        <w:rPr>
          <w:lang w:val="fr-FR"/>
        </w:rPr>
        <w:t>a)</w:t>
      </w:r>
      <w:r w:rsidRPr="004A75B4">
        <w:rPr>
          <w:lang w:val="fr-FR"/>
        </w:rPr>
        <w:tab/>
        <w:t>De reprendre la formulation exacte du paragraphe</w:t>
      </w:r>
      <w:r w:rsidR="00EC3525">
        <w:rPr>
          <w:lang w:val="fr-FR"/>
        </w:rPr>
        <w:t> </w:t>
      </w:r>
      <w:r w:rsidRPr="004A75B4">
        <w:rPr>
          <w:lang w:val="fr-FR"/>
        </w:rPr>
        <w:t>2 de l</w:t>
      </w:r>
      <w:r>
        <w:rPr>
          <w:lang w:val="fr-FR"/>
        </w:rPr>
        <w:t>’</w:t>
      </w:r>
      <w:r w:rsidRPr="004A75B4">
        <w:rPr>
          <w:lang w:val="fr-FR"/>
        </w:rPr>
        <w:t>article</w:t>
      </w:r>
      <w:r w:rsidR="00EC3525">
        <w:rPr>
          <w:lang w:val="fr-FR"/>
        </w:rPr>
        <w:t> </w:t>
      </w:r>
      <w:r w:rsidRPr="004A75B4">
        <w:rPr>
          <w:lang w:val="fr-FR"/>
        </w:rPr>
        <w:t>7 en ce qui concerne les circonstances atténuantes et aggravantes, et de supprimer la note, qui n</w:t>
      </w:r>
      <w:r>
        <w:rPr>
          <w:lang w:val="fr-FR"/>
        </w:rPr>
        <w:t>’</w:t>
      </w:r>
      <w:r w:rsidRPr="004A75B4">
        <w:rPr>
          <w:lang w:val="fr-FR"/>
        </w:rPr>
        <w:t>est pas conforme à la Convention</w:t>
      </w:r>
      <w:r>
        <w:rPr>
          <w:lang w:val="fr-FR"/>
        </w:rPr>
        <w:t> ;</w:t>
      </w:r>
    </w:p>
    <w:p w14:paraId="4F8F8B11" w14:textId="660F8618" w:rsidR="00AE19B9" w:rsidRPr="004A75B4" w:rsidRDefault="00AE19B9" w:rsidP="00AE19B9">
      <w:pPr>
        <w:pStyle w:val="SingleTxtG"/>
        <w:keepNext/>
        <w:ind w:firstLine="567"/>
        <w:rPr>
          <w:lang w:val="fr-FR"/>
        </w:rPr>
      </w:pPr>
      <w:r w:rsidRPr="004A75B4">
        <w:rPr>
          <w:lang w:val="fr-FR"/>
        </w:rPr>
        <w:t>b)</w:t>
      </w:r>
      <w:r w:rsidRPr="004A75B4">
        <w:rPr>
          <w:lang w:val="fr-FR"/>
        </w:rPr>
        <w:tab/>
        <w:t>De veiller à ce que la formulation du paragraphe</w:t>
      </w:r>
      <w:r w:rsidR="00EC3525">
        <w:rPr>
          <w:lang w:val="fr-FR"/>
        </w:rPr>
        <w:t> </w:t>
      </w:r>
      <w:r w:rsidRPr="004A75B4">
        <w:rPr>
          <w:lang w:val="fr-FR"/>
        </w:rPr>
        <w:t>3.1 soit réexaminée dans le plein respect de la Convention et des autres normes internationales</w:t>
      </w:r>
      <w:r>
        <w:rPr>
          <w:lang w:val="fr-FR"/>
        </w:rPr>
        <w:t>.</w:t>
      </w:r>
      <w:r w:rsidR="00EC3525">
        <w:rPr>
          <w:lang w:val="fr-FR"/>
        </w:rPr>
        <w:t xml:space="preserve"> </w:t>
      </w:r>
      <w:r>
        <w:rPr>
          <w:lang w:val="fr-FR"/>
        </w:rPr>
        <w:t>À</w:t>
      </w:r>
      <w:r w:rsidRPr="004A75B4">
        <w:rPr>
          <w:lang w:val="fr-FR"/>
        </w:rPr>
        <w:t xml:space="preserve"> cet égard, le Comité relève que</w:t>
      </w:r>
      <w:r>
        <w:rPr>
          <w:lang w:val="fr-FR"/>
        </w:rPr>
        <w:t> :</w:t>
      </w:r>
    </w:p>
    <w:p w14:paraId="50D6F559" w14:textId="77777777" w:rsidR="00AE19B9" w:rsidRPr="004A75B4" w:rsidRDefault="00AE19B9" w:rsidP="00AE19B9">
      <w:pPr>
        <w:pStyle w:val="SingleTxtG"/>
        <w:ind w:left="1701"/>
        <w:rPr>
          <w:lang w:val="fr-FR"/>
        </w:rPr>
      </w:pPr>
      <w:r w:rsidRPr="004A75B4">
        <w:rPr>
          <w:lang w:val="fr-FR"/>
        </w:rPr>
        <w:t>i)</w:t>
      </w:r>
      <w:r w:rsidRPr="004A75B4">
        <w:rPr>
          <w:lang w:val="fr-FR"/>
        </w:rPr>
        <w:tab/>
        <w:t>Le mot «</w:t>
      </w:r>
      <w:r>
        <w:rPr>
          <w:lang w:val="fr-FR"/>
        </w:rPr>
        <w:t> </w:t>
      </w:r>
      <w:r w:rsidRPr="004A75B4">
        <w:rPr>
          <w:lang w:val="fr-FR"/>
        </w:rPr>
        <w:t>invalidité</w:t>
      </w:r>
      <w:r>
        <w:rPr>
          <w:lang w:val="fr-FR"/>
        </w:rPr>
        <w:t> </w:t>
      </w:r>
      <w:r w:rsidRPr="004A75B4">
        <w:rPr>
          <w:lang w:val="fr-FR"/>
        </w:rPr>
        <w:t>» devrait être remplacé par «</w:t>
      </w:r>
      <w:r>
        <w:rPr>
          <w:lang w:val="fr-FR"/>
        </w:rPr>
        <w:t> </w:t>
      </w:r>
      <w:r w:rsidRPr="004A75B4">
        <w:rPr>
          <w:lang w:val="fr-FR"/>
        </w:rPr>
        <w:t>handicap</w:t>
      </w:r>
      <w:r>
        <w:rPr>
          <w:lang w:val="fr-FR"/>
        </w:rPr>
        <w:t> </w:t>
      </w:r>
      <w:r w:rsidRPr="004A75B4">
        <w:rPr>
          <w:lang w:val="fr-FR"/>
        </w:rPr>
        <w:t>», conformément à la Convention relative aux droits des personnes handicapées</w:t>
      </w:r>
      <w:r>
        <w:rPr>
          <w:lang w:val="fr-FR"/>
        </w:rPr>
        <w:t> ;</w:t>
      </w:r>
    </w:p>
    <w:p w14:paraId="618F3FEE" w14:textId="77777777" w:rsidR="00AE19B9" w:rsidRPr="004A75B4" w:rsidRDefault="00AE19B9" w:rsidP="00AE19B9">
      <w:pPr>
        <w:pStyle w:val="SingleTxtG"/>
        <w:ind w:left="1701"/>
        <w:rPr>
          <w:lang w:val="fr-FR"/>
        </w:rPr>
      </w:pPr>
      <w:r w:rsidRPr="004A75B4">
        <w:rPr>
          <w:lang w:val="fr-FR"/>
        </w:rPr>
        <w:lastRenderedPageBreak/>
        <w:t>ii)</w:t>
      </w:r>
      <w:r w:rsidRPr="004A75B4">
        <w:rPr>
          <w:lang w:val="fr-FR"/>
        </w:rPr>
        <w:tab/>
        <w:t>Le texte devrait être modifié afin que la responsabilité aggravée de l</w:t>
      </w:r>
      <w:r>
        <w:rPr>
          <w:lang w:val="fr-FR"/>
        </w:rPr>
        <w:t>’</w:t>
      </w:r>
      <w:r w:rsidRPr="004A75B4">
        <w:rPr>
          <w:lang w:val="fr-FR"/>
        </w:rPr>
        <w:t>auteur ne soit pas uniquement engagée dans le cas où celui-ci ignorait le handicap de la victime</w:t>
      </w:r>
      <w:r>
        <w:rPr>
          <w:lang w:val="fr-FR"/>
        </w:rPr>
        <w:t> ;</w:t>
      </w:r>
    </w:p>
    <w:p w14:paraId="4F947D2E" w14:textId="770872DF" w:rsidR="00AE19B9" w:rsidRPr="004A75B4" w:rsidRDefault="00AE19B9" w:rsidP="00AE19B9">
      <w:pPr>
        <w:pStyle w:val="SingleTxtG"/>
        <w:ind w:left="1701"/>
        <w:rPr>
          <w:lang w:val="fr-FR"/>
        </w:rPr>
      </w:pPr>
      <w:r w:rsidRPr="004A75B4">
        <w:rPr>
          <w:lang w:val="fr-FR"/>
        </w:rPr>
        <w:t>iii)</w:t>
      </w:r>
      <w:r w:rsidRPr="004A75B4">
        <w:rPr>
          <w:lang w:val="fr-FR"/>
        </w:rPr>
        <w:tab/>
        <w:t>Les autres circonstances aggravantes qui ne sont pas prévues à l</w:t>
      </w:r>
      <w:r>
        <w:rPr>
          <w:lang w:val="fr-FR"/>
        </w:rPr>
        <w:t>’</w:t>
      </w:r>
      <w:r w:rsidRPr="004A75B4">
        <w:rPr>
          <w:lang w:val="fr-FR"/>
        </w:rPr>
        <w:t>article</w:t>
      </w:r>
      <w:r w:rsidR="00EC3525">
        <w:rPr>
          <w:lang w:val="fr-FR"/>
        </w:rPr>
        <w:t> </w:t>
      </w:r>
      <w:r w:rsidRPr="004A75B4">
        <w:rPr>
          <w:lang w:val="fr-FR"/>
        </w:rPr>
        <w:t>2 de la Convention, à savoir les cas où l</w:t>
      </w:r>
      <w:r>
        <w:rPr>
          <w:lang w:val="fr-FR"/>
        </w:rPr>
        <w:t>’</w:t>
      </w:r>
      <w:r w:rsidRPr="004A75B4">
        <w:rPr>
          <w:lang w:val="fr-FR"/>
        </w:rPr>
        <w:t>infraction est commise contre une personne placée sous le contrôle de l</w:t>
      </w:r>
      <w:r>
        <w:rPr>
          <w:lang w:val="fr-FR"/>
        </w:rPr>
        <w:t>’</w:t>
      </w:r>
      <w:r w:rsidRPr="004A75B4">
        <w:rPr>
          <w:lang w:val="fr-FR"/>
        </w:rPr>
        <w:t>auteur ou une personne qui n</w:t>
      </w:r>
      <w:r>
        <w:rPr>
          <w:lang w:val="fr-FR"/>
        </w:rPr>
        <w:t>’</w:t>
      </w:r>
      <w:r w:rsidRPr="004A75B4">
        <w:rPr>
          <w:lang w:val="fr-FR"/>
        </w:rPr>
        <w:t>est pas en mesure de se défendre, devraient être supprimées</w:t>
      </w:r>
      <w:r>
        <w:rPr>
          <w:lang w:val="fr-FR"/>
        </w:rPr>
        <w:t> ;</w:t>
      </w:r>
    </w:p>
    <w:p w14:paraId="0E9320E2" w14:textId="1D96FCA1" w:rsidR="00AE19B9" w:rsidRPr="004A75B4" w:rsidRDefault="00AE19B9" w:rsidP="00AE19B9">
      <w:pPr>
        <w:pStyle w:val="SingleTxtG"/>
        <w:ind w:firstLine="567"/>
        <w:rPr>
          <w:lang w:val="fr-FR"/>
        </w:rPr>
      </w:pPr>
      <w:r w:rsidRPr="004A75B4">
        <w:rPr>
          <w:lang w:val="fr-FR"/>
        </w:rPr>
        <w:t>c)</w:t>
      </w:r>
      <w:r w:rsidRPr="004A75B4">
        <w:rPr>
          <w:lang w:val="fr-FR"/>
        </w:rPr>
        <w:tab/>
        <w:t>De reconnaître expressément la disparition forcée en tant que crime contre l</w:t>
      </w:r>
      <w:r>
        <w:rPr>
          <w:lang w:val="fr-FR"/>
        </w:rPr>
        <w:t>’</w:t>
      </w:r>
      <w:r w:rsidRPr="004A75B4">
        <w:rPr>
          <w:lang w:val="fr-FR"/>
        </w:rPr>
        <w:t>humanité, dans les conditions prévues à l</w:t>
      </w:r>
      <w:r>
        <w:rPr>
          <w:lang w:val="fr-FR"/>
        </w:rPr>
        <w:t>’</w:t>
      </w:r>
      <w:r w:rsidRPr="004A75B4">
        <w:rPr>
          <w:lang w:val="fr-FR"/>
        </w:rPr>
        <w:t>article</w:t>
      </w:r>
      <w:r w:rsidR="00EC3525">
        <w:rPr>
          <w:lang w:val="fr-FR"/>
        </w:rPr>
        <w:t> </w:t>
      </w:r>
      <w:r w:rsidRPr="004A75B4">
        <w:rPr>
          <w:lang w:val="fr-FR"/>
        </w:rPr>
        <w:t>5 de la Convention</w:t>
      </w:r>
      <w:r w:rsidRPr="00422E92">
        <w:rPr>
          <w:rStyle w:val="Appelnotedebasdep"/>
        </w:rPr>
        <w:footnoteReference w:id="7"/>
      </w:r>
      <w:r w:rsidRPr="004A75B4">
        <w:rPr>
          <w:lang w:val="fr-FR"/>
        </w:rPr>
        <w:t>.</w:t>
      </w:r>
    </w:p>
    <w:p w14:paraId="3D614968" w14:textId="2CC788E7" w:rsidR="00AE19B9" w:rsidRPr="004A75B4" w:rsidRDefault="00AE19B9" w:rsidP="00AE19B9">
      <w:pPr>
        <w:pStyle w:val="SingleTxtG"/>
        <w:rPr>
          <w:lang w:val="fr-FR"/>
        </w:rPr>
      </w:pPr>
      <w:r w:rsidRPr="004A75B4">
        <w:rPr>
          <w:lang w:val="fr-FR"/>
        </w:rPr>
        <w:t>24.</w:t>
      </w:r>
      <w:r w:rsidRPr="004A75B4">
        <w:rPr>
          <w:lang w:val="fr-FR"/>
        </w:rPr>
        <w:tab/>
        <w:t>Le Comité renouvelle par conséquent les recommandations formulées aux paragraphes</w:t>
      </w:r>
      <w:r w:rsidR="00EC3525">
        <w:rPr>
          <w:lang w:val="fr-FR"/>
        </w:rPr>
        <w:t> </w:t>
      </w:r>
      <w:r w:rsidRPr="004A75B4">
        <w:rPr>
          <w:lang w:val="fr-FR"/>
        </w:rPr>
        <w:t>17, 19, 21 et 23 de ses observations finales et prie l</w:t>
      </w:r>
      <w:r>
        <w:rPr>
          <w:lang w:val="fr-FR"/>
        </w:rPr>
        <w:t>’</w:t>
      </w:r>
      <w:r w:rsidRPr="004A75B4">
        <w:rPr>
          <w:lang w:val="fr-FR"/>
        </w:rPr>
        <w:t>État partie de lui communiquer des renseignements à jour sur la suite qui leur aura été donnée lorsqu</w:t>
      </w:r>
      <w:r>
        <w:rPr>
          <w:lang w:val="fr-FR"/>
        </w:rPr>
        <w:t>’</w:t>
      </w:r>
      <w:r w:rsidRPr="004A75B4">
        <w:rPr>
          <w:lang w:val="fr-FR"/>
        </w:rPr>
        <w:t>il soumettra son prochain rapport en application de l</w:t>
      </w:r>
      <w:r>
        <w:rPr>
          <w:lang w:val="fr-FR"/>
        </w:rPr>
        <w:t>’</w:t>
      </w:r>
      <w:r w:rsidRPr="004A75B4">
        <w:rPr>
          <w:lang w:val="fr-FR"/>
        </w:rPr>
        <w:t>article</w:t>
      </w:r>
      <w:r w:rsidR="00EC3525">
        <w:rPr>
          <w:lang w:val="fr-FR"/>
        </w:rPr>
        <w:t> </w:t>
      </w:r>
      <w:r w:rsidRPr="004A75B4">
        <w:rPr>
          <w:lang w:val="fr-FR"/>
        </w:rPr>
        <w:t>29 (</w:t>
      </w:r>
      <w:r>
        <w:rPr>
          <w:lang w:val="fr-FR"/>
        </w:rPr>
        <w:t>par. </w:t>
      </w:r>
      <w:r w:rsidRPr="004A75B4">
        <w:rPr>
          <w:lang w:val="fr-FR"/>
        </w:rPr>
        <w:t>4) de la Convention.</w:t>
      </w:r>
    </w:p>
    <w:p w14:paraId="5849E350" w14:textId="77777777" w:rsidR="00AE19B9" w:rsidRPr="004A75B4" w:rsidRDefault="00AE19B9" w:rsidP="00AE19B9">
      <w:pPr>
        <w:pStyle w:val="SingleTxtG"/>
        <w:rPr>
          <w:b/>
          <w:bCs/>
          <w:lang w:val="fr-FR"/>
        </w:rPr>
      </w:pPr>
      <w:r w:rsidRPr="004A75B4">
        <w:rPr>
          <w:b/>
          <w:bCs/>
          <w:lang w:val="fr-FR"/>
        </w:rPr>
        <w:t>Paragraphe 35</w:t>
      </w:r>
      <w:r>
        <w:rPr>
          <w:b/>
          <w:bCs/>
          <w:lang w:val="fr-FR"/>
        </w:rPr>
        <w:t> :</w:t>
      </w:r>
      <w:r w:rsidRPr="004A75B4">
        <w:rPr>
          <w:b/>
          <w:bCs/>
          <w:lang w:val="fr-FR"/>
        </w:rPr>
        <w:t xml:space="preserve"> Le Comité recommande à l</w:t>
      </w:r>
      <w:r>
        <w:rPr>
          <w:b/>
          <w:bCs/>
          <w:lang w:val="fr-FR"/>
        </w:rPr>
        <w:t>’</w:t>
      </w:r>
      <w:r w:rsidRPr="004A75B4">
        <w:rPr>
          <w:b/>
          <w:bCs/>
          <w:lang w:val="fr-FR"/>
        </w:rPr>
        <w:t>État partie de veiller à ce que tous les agents des forces de l</w:t>
      </w:r>
      <w:r>
        <w:rPr>
          <w:b/>
          <w:bCs/>
          <w:lang w:val="fr-FR"/>
        </w:rPr>
        <w:t>’</w:t>
      </w:r>
      <w:r w:rsidRPr="004A75B4">
        <w:rPr>
          <w:b/>
          <w:bCs/>
          <w:lang w:val="fr-FR"/>
        </w:rPr>
        <w:t>ordre et des forces de sécurité, qu</w:t>
      </w:r>
      <w:r>
        <w:rPr>
          <w:b/>
          <w:bCs/>
          <w:lang w:val="fr-FR"/>
        </w:rPr>
        <w:t>’</w:t>
      </w:r>
      <w:r w:rsidRPr="004A75B4">
        <w:rPr>
          <w:b/>
          <w:bCs/>
          <w:lang w:val="fr-FR"/>
        </w:rPr>
        <w:t>ils soient civils ou militaires, ainsi que l</w:t>
      </w:r>
      <w:r>
        <w:rPr>
          <w:b/>
          <w:bCs/>
          <w:lang w:val="fr-FR"/>
        </w:rPr>
        <w:t>’</w:t>
      </w:r>
      <w:r w:rsidRPr="004A75B4">
        <w:rPr>
          <w:b/>
          <w:bCs/>
          <w:lang w:val="fr-FR"/>
        </w:rPr>
        <w:t>ensemble du personnel médical, des agents de la fonction publique et des autres personnes susceptibles d</w:t>
      </w:r>
      <w:r>
        <w:rPr>
          <w:b/>
          <w:bCs/>
          <w:lang w:val="fr-FR"/>
        </w:rPr>
        <w:t>’</w:t>
      </w:r>
      <w:r w:rsidRPr="004A75B4">
        <w:rPr>
          <w:b/>
          <w:bCs/>
          <w:lang w:val="fr-FR"/>
        </w:rPr>
        <w:t>intervenir dans la garde ou le traitement des personnes privées de liberté, notamment les juges, les procureurs et les autres fonctionnaires responsables de l</w:t>
      </w:r>
      <w:r>
        <w:rPr>
          <w:b/>
          <w:bCs/>
          <w:lang w:val="fr-FR"/>
        </w:rPr>
        <w:t>’</w:t>
      </w:r>
      <w:r w:rsidRPr="004A75B4">
        <w:rPr>
          <w:b/>
          <w:bCs/>
          <w:lang w:val="fr-FR"/>
        </w:rPr>
        <w:t>administration de la justice, reçoivent régulièrement une formation portant spécifiquement sur les dispositions de la Convention, comme le prévoit l</w:t>
      </w:r>
      <w:r>
        <w:rPr>
          <w:b/>
          <w:bCs/>
          <w:lang w:val="fr-FR"/>
        </w:rPr>
        <w:t>’</w:t>
      </w:r>
      <w:r w:rsidRPr="004A75B4">
        <w:rPr>
          <w:b/>
          <w:bCs/>
          <w:lang w:val="fr-FR"/>
        </w:rPr>
        <w:t>article</w:t>
      </w:r>
      <w:r>
        <w:rPr>
          <w:b/>
          <w:bCs/>
          <w:lang w:val="fr-FR"/>
        </w:rPr>
        <w:t> </w:t>
      </w:r>
      <w:r w:rsidRPr="004A75B4">
        <w:rPr>
          <w:b/>
          <w:bCs/>
          <w:lang w:val="fr-FR"/>
        </w:rPr>
        <w:t>23 (</w:t>
      </w:r>
      <w:r>
        <w:rPr>
          <w:b/>
          <w:bCs/>
          <w:lang w:val="fr-FR"/>
        </w:rPr>
        <w:t>par. </w:t>
      </w:r>
      <w:r w:rsidRPr="004A75B4">
        <w:rPr>
          <w:b/>
          <w:bCs/>
          <w:lang w:val="fr-FR"/>
        </w:rPr>
        <w:t>1) de cet instrument.</w:t>
      </w:r>
    </w:p>
    <w:p w14:paraId="25A2474F" w14:textId="77777777" w:rsidR="00AE19B9" w:rsidRPr="004A75B4" w:rsidRDefault="00AE19B9" w:rsidP="00AE19B9">
      <w:pPr>
        <w:pStyle w:val="H23G"/>
        <w:rPr>
          <w:lang w:val="fr-FR"/>
        </w:rPr>
      </w:pPr>
      <w:r w:rsidRPr="004A75B4">
        <w:rPr>
          <w:lang w:val="fr-FR"/>
        </w:rPr>
        <w:tab/>
      </w:r>
      <w:r w:rsidRPr="004A75B4">
        <w:rPr>
          <w:lang w:val="fr-FR"/>
        </w:rPr>
        <w:tab/>
      </w:r>
      <w:r w:rsidRPr="004A75B4">
        <w:rPr>
          <w:bCs/>
          <w:lang w:val="fr-FR"/>
        </w:rPr>
        <w:t>Réponse de l</w:t>
      </w:r>
      <w:r>
        <w:rPr>
          <w:bCs/>
          <w:lang w:val="fr-FR"/>
        </w:rPr>
        <w:t>’</w:t>
      </w:r>
      <w:r w:rsidRPr="004A75B4">
        <w:rPr>
          <w:bCs/>
          <w:lang w:val="fr-FR"/>
        </w:rPr>
        <w:t>État partie</w:t>
      </w:r>
    </w:p>
    <w:p w14:paraId="5D9673F8" w14:textId="72473F25" w:rsidR="00AE19B9" w:rsidRPr="004A75B4" w:rsidRDefault="00AE19B9" w:rsidP="00AE19B9">
      <w:pPr>
        <w:pStyle w:val="SingleTxtG"/>
        <w:rPr>
          <w:lang w:val="fr-FR"/>
        </w:rPr>
      </w:pPr>
      <w:r w:rsidRPr="004A75B4">
        <w:rPr>
          <w:lang w:val="fr-FR"/>
        </w:rPr>
        <w:t>25.</w:t>
      </w:r>
      <w:r w:rsidRPr="004A75B4">
        <w:rPr>
          <w:lang w:val="fr-FR"/>
        </w:rPr>
        <w:tab/>
        <w:t>La réponse de l</w:t>
      </w:r>
      <w:r>
        <w:rPr>
          <w:lang w:val="fr-FR"/>
        </w:rPr>
        <w:t>’</w:t>
      </w:r>
      <w:r w:rsidRPr="004A75B4">
        <w:rPr>
          <w:lang w:val="fr-FR"/>
        </w:rPr>
        <w:t xml:space="preserve">État partie figure dans le document </w:t>
      </w:r>
      <w:hyperlink r:id="rId16" w:history="1">
        <w:r>
          <w:rPr>
            <w:rStyle w:val="Lienhypertexte"/>
            <w:lang w:val="fr-FR"/>
          </w:rPr>
          <w:t>CED/C/MNG/FCO/1</w:t>
        </w:r>
      </w:hyperlink>
      <w:r w:rsidRPr="004A75B4">
        <w:rPr>
          <w:lang w:val="fr-FR"/>
        </w:rPr>
        <w:t>, au paragraphe</w:t>
      </w:r>
      <w:r w:rsidR="00EC3525">
        <w:rPr>
          <w:lang w:val="fr-FR"/>
        </w:rPr>
        <w:t> </w:t>
      </w:r>
      <w:r w:rsidRPr="004A75B4">
        <w:rPr>
          <w:lang w:val="fr-FR"/>
        </w:rPr>
        <w:t>4.</w:t>
      </w:r>
    </w:p>
    <w:p w14:paraId="6FEBDBDD" w14:textId="77777777" w:rsidR="00AE19B9" w:rsidRPr="00AF46F9" w:rsidRDefault="00AE19B9" w:rsidP="00AE19B9">
      <w:pPr>
        <w:pStyle w:val="H23G"/>
        <w:rPr>
          <w:lang w:val="fr-FR"/>
        </w:rPr>
      </w:pPr>
      <w:r w:rsidRPr="004A75B4">
        <w:rPr>
          <w:lang w:val="fr-FR"/>
        </w:rPr>
        <w:tab/>
      </w:r>
      <w:r w:rsidRPr="004A75B4">
        <w:rPr>
          <w:lang w:val="fr-FR"/>
        </w:rPr>
        <w:tab/>
      </w:r>
      <w:r w:rsidRPr="00AF46F9">
        <w:rPr>
          <w:bCs/>
          <w:lang w:val="fr-FR"/>
        </w:rPr>
        <w:t>Évaluation du Comité</w:t>
      </w:r>
    </w:p>
    <w:p w14:paraId="465EA745" w14:textId="195A0D12" w:rsidR="00AE19B9" w:rsidRPr="004A75B4" w:rsidRDefault="00AE19B9" w:rsidP="00AE19B9">
      <w:pPr>
        <w:pStyle w:val="SingleTxtG"/>
        <w:rPr>
          <w:lang w:val="fr-FR"/>
        </w:rPr>
      </w:pPr>
      <w:r w:rsidRPr="00AF46F9">
        <w:rPr>
          <w:lang w:val="fr-FR"/>
        </w:rPr>
        <w:t>26.</w:t>
      </w:r>
      <w:r w:rsidRPr="00AF46F9">
        <w:rPr>
          <w:lang w:val="fr-FR"/>
        </w:rPr>
        <w:tab/>
      </w:r>
      <w:r w:rsidRPr="00AF46F9">
        <w:rPr>
          <w:b/>
          <w:bCs/>
          <w:lang w:val="fr-FR"/>
        </w:rPr>
        <w:t>[B] :</w:t>
      </w:r>
      <w:r w:rsidRPr="00AF46F9">
        <w:rPr>
          <w:lang w:val="fr-FR"/>
        </w:rPr>
        <w:t xml:space="preserve"> Le Comité prend note des informations communiquées par l</w:t>
      </w:r>
      <w:r>
        <w:rPr>
          <w:lang w:val="fr-FR"/>
        </w:rPr>
        <w:t>’</w:t>
      </w:r>
      <w:r w:rsidRPr="00AF46F9">
        <w:rPr>
          <w:lang w:val="fr-FR"/>
        </w:rPr>
        <w:t>État partie selon lesquelles un groupe de travail est en cours de constitution</w:t>
      </w:r>
      <w:r>
        <w:rPr>
          <w:lang w:val="fr-FR"/>
        </w:rPr>
        <w:t xml:space="preserve"> et</w:t>
      </w:r>
      <w:r w:rsidRPr="00AF46F9">
        <w:rPr>
          <w:lang w:val="fr-FR"/>
        </w:rPr>
        <w:t xml:space="preserve"> relève également que le rapport de l</w:t>
      </w:r>
      <w:r>
        <w:rPr>
          <w:lang w:val="fr-FR"/>
        </w:rPr>
        <w:t>’</w:t>
      </w:r>
      <w:r w:rsidRPr="00AF46F9">
        <w:rPr>
          <w:lang w:val="fr-FR"/>
        </w:rPr>
        <w:t>État partie ne contient aucun renseignement quant aux mesures prises à cet égard. Toutefois, par un courriel daté du 7 décembre 2022, la Mission permanente de la Mongolie auprès de l</w:t>
      </w:r>
      <w:r>
        <w:rPr>
          <w:lang w:val="fr-FR"/>
        </w:rPr>
        <w:t>’</w:t>
      </w:r>
      <w:r w:rsidRPr="00AF46F9">
        <w:rPr>
          <w:lang w:val="fr-FR"/>
        </w:rPr>
        <w:t>Office des Nations Unies et des autres organisations internationales à Genève l</w:t>
      </w:r>
      <w:r>
        <w:rPr>
          <w:lang w:val="fr-FR"/>
        </w:rPr>
        <w:t>’</w:t>
      </w:r>
      <w:r w:rsidRPr="00AF46F9">
        <w:rPr>
          <w:lang w:val="fr-FR"/>
        </w:rPr>
        <w:t>a informé que la Mongolie était sur le point d</w:t>
      </w:r>
      <w:r>
        <w:rPr>
          <w:lang w:val="fr-FR"/>
        </w:rPr>
        <w:t>’</w:t>
      </w:r>
      <w:r w:rsidRPr="00AF46F9">
        <w:rPr>
          <w:lang w:val="fr-FR"/>
        </w:rPr>
        <w:t>établir, au sein du Ministère de la justice et de l</w:t>
      </w:r>
      <w:r>
        <w:rPr>
          <w:lang w:val="fr-FR"/>
        </w:rPr>
        <w:t>’</w:t>
      </w:r>
      <w:r w:rsidRPr="00AF46F9">
        <w:rPr>
          <w:lang w:val="fr-FR"/>
        </w:rPr>
        <w:t>intérieur, un groupe de travail interministériel chargé de l</w:t>
      </w:r>
      <w:r>
        <w:rPr>
          <w:lang w:val="fr-FR"/>
        </w:rPr>
        <w:t>’</w:t>
      </w:r>
      <w:r w:rsidRPr="00AF46F9">
        <w:rPr>
          <w:lang w:val="fr-FR"/>
        </w:rPr>
        <w:t>application de ses recommandations et avait élaboré, à l</w:t>
      </w:r>
      <w:r>
        <w:rPr>
          <w:lang w:val="fr-FR"/>
        </w:rPr>
        <w:t>’</w:t>
      </w:r>
      <w:r w:rsidRPr="00AF46F9">
        <w:rPr>
          <w:lang w:val="fr-FR"/>
        </w:rPr>
        <w:t>intention des juges, des procureurs, des responsables de l</w:t>
      </w:r>
      <w:r>
        <w:rPr>
          <w:lang w:val="fr-FR"/>
        </w:rPr>
        <w:t>’</w:t>
      </w:r>
      <w:r w:rsidRPr="00AF46F9">
        <w:rPr>
          <w:lang w:val="fr-FR"/>
        </w:rPr>
        <w:t>application des lois, des avocats et des étudiants des facultés de droit, un plan d</w:t>
      </w:r>
      <w:r>
        <w:rPr>
          <w:lang w:val="fr-FR"/>
        </w:rPr>
        <w:t>’</w:t>
      </w:r>
      <w:r w:rsidRPr="00AF46F9">
        <w:rPr>
          <w:lang w:val="fr-FR"/>
        </w:rPr>
        <w:t>action prévoyant l</w:t>
      </w:r>
      <w:r>
        <w:rPr>
          <w:lang w:val="fr-FR"/>
        </w:rPr>
        <w:t>’</w:t>
      </w:r>
      <w:r w:rsidRPr="00AF46F9">
        <w:rPr>
          <w:lang w:val="fr-FR"/>
        </w:rPr>
        <w:t>organisation de multiples activités de formation sur la Convention et son utilisation. Le Comité accueille avec satisfaction les informations relatives à ces progrès et demande à l</w:t>
      </w:r>
      <w:r>
        <w:rPr>
          <w:lang w:val="fr-FR"/>
        </w:rPr>
        <w:t>’</w:t>
      </w:r>
      <w:r w:rsidRPr="00AF46F9">
        <w:rPr>
          <w:lang w:val="fr-FR"/>
        </w:rPr>
        <w:t>État partie de communiquer, dans le prochain rapport qu</w:t>
      </w:r>
      <w:r>
        <w:rPr>
          <w:lang w:val="fr-FR"/>
        </w:rPr>
        <w:t>’</w:t>
      </w:r>
      <w:r w:rsidRPr="00AF46F9">
        <w:rPr>
          <w:lang w:val="fr-FR"/>
        </w:rPr>
        <w:t>il établira en application de l</w:t>
      </w:r>
      <w:r>
        <w:rPr>
          <w:lang w:val="fr-FR"/>
        </w:rPr>
        <w:t>’</w:t>
      </w:r>
      <w:r w:rsidRPr="00AF46F9">
        <w:rPr>
          <w:lang w:val="fr-FR"/>
        </w:rPr>
        <w:t>article</w:t>
      </w:r>
      <w:r w:rsidR="00EC3525">
        <w:rPr>
          <w:lang w:val="fr-FR"/>
        </w:rPr>
        <w:t> </w:t>
      </w:r>
      <w:r w:rsidRPr="00AF46F9">
        <w:rPr>
          <w:lang w:val="fr-FR"/>
        </w:rPr>
        <w:t>29 (par. 4) de la Convention, des informations plus complètes et plus récentes à cet égard, et d</w:t>
      </w:r>
      <w:r>
        <w:rPr>
          <w:lang w:val="fr-FR"/>
        </w:rPr>
        <w:t>’</w:t>
      </w:r>
      <w:r w:rsidRPr="00AF46F9">
        <w:rPr>
          <w:lang w:val="fr-FR"/>
        </w:rPr>
        <w:t>indiquer notamment si le groupe de travail a été créé et si les activités de formation prévues ont été menées.</w:t>
      </w:r>
    </w:p>
    <w:p w14:paraId="3843D0D1" w14:textId="2F5B7E78" w:rsidR="00AE19B9" w:rsidRPr="004A75B4" w:rsidRDefault="00AE19B9" w:rsidP="00AE19B9">
      <w:pPr>
        <w:pStyle w:val="SingleTxtG"/>
        <w:rPr>
          <w:lang w:val="fr-FR"/>
        </w:rPr>
      </w:pPr>
      <w:r w:rsidRPr="004A75B4">
        <w:rPr>
          <w:b/>
          <w:bCs/>
          <w:lang w:val="fr-FR"/>
        </w:rPr>
        <w:t>Paragraphe</w:t>
      </w:r>
      <w:r w:rsidR="00EC3525">
        <w:rPr>
          <w:b/>
          <w:bCs/>
          <w:lang w:val="fr-FR"/>
        </w:rPr>
        <w:t> </w:t>
      </w:r>
      <w:r w:rsidRPr="004A75B4">
        <w:rPr>
          <w:b/>
          <w:bCs/>
          <w:lang w:val="fr-FR"/>
        </w:rPr>
        <w:t>39</w:t>
      </w:r>
      <w:r>
        <w:rPr>
          <w:b/>
          <w:bCs/>
          <w:lang w:val="fr-FR"/>
        </w:rPr>
        <w:t> :</w:t>
      </w:r>
      <w:r w:rsidRPr="004A75B4">
        <w:rPr>
          <w:b/>
          <w:bCs/>
          <w:lang w:val="fr-FR"/>
        </w:rPr>
        <w:t xml:space="preserve"> Eu égard à l</w:t>
      </w:r>
      <w:r>
        <w:rPr>
          <w:b/>
          <w:bCs/>
          <w:lang w:val="fr-FR"/>
        </w:rPr>
        <w:t>’</w:t>
      </w:r>
      <w:r w:rsidRPr="004A75B4">
        <w:rPr>
          <w:b/>
          <w:bCs/>
          <w:lang w:val="fr-FR"/>
        </w:rPr>
        <w:t>article</w:t>
      </w:r>
      <w:r w:rsidR="00EC3525">
        <w:rPr>
          <w:b/>
          <w:bCs/>
          <w:lang w:val="fr-FR"/>
        </w:rPr>
        <w:t> </w:t>
      </w:r>
      <w:r w:rsidRPr="004A75B4">
        <w:rPr>
          <w:b/>
          <w:bCs/>
          <w:lang w:val="fr-FR"/>
        </w:rPr>
        <w:t>24 (</w:t>
      </w:r>
      <w:r>
        <w:rPr>
          <w:b/>
          <w:bCs/>
          <w:lang w:val="fr-FR"/>
        </w:rPr>
        <w:t>par. </w:t>
      </w:r>
      <w:r w:rsidRPr="004A75B4">
        <w:rPr>
          <w:b/>
          <w:bCs/>
          <w:lang w:val="fr-FR"/>
        </w:rPr>
        <w:t>6) de la Convention, le Comité recommande à l</w:t>
      </w:r>
      <w:r>
        <w:rPr>
          <w:b/>
          <w:bCs/>
          <w:lang w:val="fr-FR"/>
        </w:rPr>
        <w:t>’</w:t>
      </w:r>
      <w:r w:rsidRPr="004A75B4">
        <w:rPr>
          <w:b/>
          <w:bCs/>
          <w:lang w:val="fr-FR"/>
        </w:rPr>
        <w:t>État partie de prendre les mesures nécessaires pour revoir sa législation afin qu</w:t>
      </w:r>
      <w:r>
        <w:rPr>
          <w:b/>
          <w:bCs/>
          <w:lang w:val="fr-FR"/>
        </w:rPr>
        <w:t>’</w:t>
      </w:r>
      <w:r w:rsidRPr="004A75B4">
        <w:rPr>
          <w:b/>
          <w:bCs/>
          <w:lang w:val="fr-FR"/>
        </w:rPr>
        <w:t>elle règle de manière appropriée la situation juridique des personnes disparues dont le sort n</w:t>
      </w:r>
      <w:r>
        <w:rPr>
          <w:b/>
          <w:bCs/>
          <w:lang w:val="fr-FR"/>
        </w:rPr>
        <w:t>’</w:t>
      </w:r>
      <w:r w:rsidRPr="004A75B4">
        <w:rPr>
          <w:b/>
          <w:bCs/>
          <w:lang w:val="fr-FR"/>
        </w:rPr>
        <w:t>a pas été élucidé et de leurs proches, notamment pour ce qui touche à la protection sociale, aux questions financières, au droit de la famille et aux droits de propriété, sans qu</w:t>
      </w:r>
      <w:r>
        <w:rPr>
          <w:b/>
          <w:bCs/>
          <w:lang w:val="fr-FR"/>
        </w:rPr>
        <w:t>’</w:t>
      </w:r>
      <w:r w:rsidRPr="004A75B4">
        <w:rPr>
          <w:b/>
          <w:bCs/>
          <w:lang w:val="fr-FR"/>
        </w:rPr>
        <w:t>il soit besoin que la personne disparue soit déclarée décédée. À cet égard, il engage l</w:t>
      </w:r>
      <w:r>
        <w:rPr>
          <w:b/>
          <w:bCs/>
          <w:lang w:val="fr-FR"/>
        </w:rPr>
        <w:t>’</w:t>
      </w:r>
      <w:r w:rsidRPr="004A75B4">
        <w:rPr>
          <w:b/>
          <w:bCs/>
          <w:lang w:val="fr-FR"/>
        </w:rPr>
        <w:t>État partie à mettre en place une procédure permettant d</w:t>
      </w:r>
      <w:r>
        <w:rPr>
          <w:b/>
          <w:bCs/>
          <w:lang w:val="fr-FR"/>
        </w:rPr>
        <w:t>’</w:t>
      </w:r>
      <w:r w:rsidRPr="004A75B4">
        <w:rPr>
          <w:b/>
          <w:bCs/>
          <w:lang w:val="fr-FR"/>
        </w:rPr>
        <w:t>obtenir une déclaration d</w:t>
      </w:r>
      <w:r>
        <w:rPr>
          <w:b/>
          <w:bCs/>
          <w:lang w:val="fr-FR"/>
        </w:rPr>
        <w:t>’</w:t>
      </w:r>
      <w:r w:rsidRPr="004A75B4">
        <w:rPr>
          <w:b/>
          <w:bCs/>
          <w:lang w:val="fr-FR"/>
        </w:rPr>
        <w:t>absence en raison d</w:t>
      </w:r>
      <w:r>
        <w:rPr>
          <w:b/>
          <w:bCs/>
          <w:lang w:val="fr-FR"/>
        </w:rPr>
        <w:t>’</w:t>
      </w:r>
      <w:r w:rsidRPr="004A75B4">
        <w:rPr>
          <w:b/>
          <w:bCs/>
          <w:lang w:val="fr-FR"/>
        </w:rPr>
        <w:t>une disparition forcée.</w:t>
      </w:r>
    </w:p>
    <w:p w14:paraId="1CAEB819" w14:textId="77777777" w:rsidR="00AE19B9" w:rsidRPr="004A75B4" w:rsidRDefault="00AE19B9" w:rsidP="00AE19B9">
      <w:pPr>
        <w:pStyle w:val="H23G"/>
        <w:rPr>
          <w:lang w:val="fr-FR"/>
        </w:rPr>
      </w:pPr>
      <w:r w:rsidRPr="004A75B4">
        <w:rPr>
          <w:lang w:val="fr-FR"/>
        </w:rPr>
        <w:lastRenderedPageBreak/>
        <w:tab/>
      </w:r>
      <w:r w:rsidRPr="004A75B4">
        <w:rPr>
          <w:lang w:val="fr-FR"/>
        </w:rPr>
        <w:tab/>
      </w:r>
      <w:r w:rsidRPr="004A75B4">
        <w:rPr>
          <w:bCs/>
          <w:lang w:val="fr-FR"/>
        </w:rPr>
        <w:t>Réponse de l</w:t>
      </w:r>
      <w:r>
        <w:rPr>
          <w:bCs/>
          <w:lang w:val="fr-FR"/>
        </w:rPr>
        <w:t>’</w:t>
      </w:r>
      <w:r w:rsidRPr="004A75B4">
        <w:rPr>
          <w:bCs/>
          <w:lang w:val="fr-FR"/>
        </w:rPr>
        <w:t>État partie</w:t>
      </w:r>
    </w:p>
    <w:p w14:paraId="75D94635" w14:textId="42DC84C0" w:rsidR="00AE19B9" w:rsidRPr="004A75B4" w:rsidRDefault="00AE19B9" w:rsidP="00AE19B9">
      <w:pPr>
        <w:pStyle w:val="SingleTxtG"/>
        <w:rPr>
          <w:lang w:val="fr-FR"/>
        </w:rPr>
      </w:pPr>
      <w:r w:rsidRPr="004A75B4">
        <w:rPr>
          <w:lang w:val="fr-FR"/>
        </w:rPr>
        <w:t>27.</w:t>
      </w:r>
      <w:r w:rsidRPr="004A75B4">
        <w:rPr>
          <w:lang w:val="fr-FR"/>
        </w:rPr>
        <w:tab/>
        <w:t>La réponse de l</w:t>
      </w:r>
      <w:r>
        <w:rPr>
          <w:lang w:val="fr-FR"/>
        </w:rPr>
        <w:t>’</w:t>
      </w:r>
      <w:r w:rsidRPr="004A75B4">
        <w:rPr>
          <w:lang w:val="fr-FR"/>
        </w:rPr>
        <w:t xml:space="preserve">État partie figure dans le document </w:t>
      </w:r>
      <w:hyperlink r:id="rId17" w:history="1">
        <w:r>
          <w:rPr>
            <w:rStyle w:val="Lienhypertexte"/>
            <w:lang w:val="fr-FR"/>
          </w:rPr>
          <w:t>CED/C/MNG/FCO/1</w:t>
        </w:r>
      </w:hyperlink>
      <w:r w:rsidRPr="004A75B4">
        <w:rPr>
          <w:lang w:val="fr-FR"/>
        </w:rPr>
        <w:t>, au paragraphe</w:t>
      </w:r>
      <w:r w:rsidR="00EC3525">
        <w:rPr>
          <w:lang w:val="fr-FR"/>
        </w:rPr>
        <w:t> </w:t>
      </w:r>
      <w:r w:rsidRPr="004A75B4">
        <w:rPr>
          <w:lang w:val="fr-FR"/>
        </w:rPr>
        <w:t>5.</w:t>
      </w:r>
    </w:p>
    <w:p w14:paraId="2B676920" w14:textId="77777777" w:rsidR="00AE19B9" w:rsidRPr="004A75B4" w:rsidRDefault="00AE19B9" w:rsidP="00AE19B9">
      <w:pPr>
        <w:pStyle w:val="H23G"/>
        <w:rPr>
          <w:lang w:val="fr-FR"/>
        </w:rPr>
      </w:pPr>
      <w:r w:rsidRPr="004A75B4">
        <w:rPr>
          <w:lang w:val="fr-FR"/>
        </w:rPr>
        <w:tab/>
      </w:r>
      <w:r w:rsidRPr="004A75B4">
        <w:rPr>
          <w:lang w:val="fr-FR"/>
        </w:rPr>
        <w:tab/>
      </w:r>
      <w:r w:rsidRPr="004A75B4">
        <w:rPr>
          <w:bCs/>
          <w:lang w:val="fr-FR"/>
        </w:rPr>
        <w:t>Évaluation du Comité</w:t>
      </w:r>
    </w:p>
    <w:p w14:paraId="3938AC7E" w14:textId="7A242855" w:rsidR="00AE19B9" w:rsidRPr="004A75B4" w:rsidRDefault="00AE19B9" w:rsidP="00AE19B9">
      <w:pPr>
        <w:pStyle w:val="SingleTxtG"/>
        <w:rPr>
          <w:lang w:val="fr-FR"/>
        </w:rPr>
      </w:pPr>
      <w:r w:rsidRPr="004A75B4">
        <w:rPr>
          <w:lang w:val="fr-FR"/>
        </w:rPr>
        <w:t>28.</w:t>
      </w:r>
      <w:r w:rsidRPr="004A75B4">
        <w:rPr>
          <w:lang w:val="fr-FR"/>
        </w:rPr>
        <w:tab/>
      </w:r>
      <w:r w:rsidRPr="004A75B4">
        <w:rPr>
          <w:b/>
          <w:bCs/>
          <w:lang w:val="fr-FR"/>
        </w:rPr>
        <w:t>[C]</w:t>
      </w:r>
      <w:r>
        <w:rPr>
          <w:b/>
          <w:bCs/>
          <w:lang w:val="fr-FR"/>
        </w:rPr>
        <w:t> :</w:t>
      </w:r>
      <w:r w:rsidRPr="004A75B4">
        <w:rPr>
          <w:lang w:val="fr-FR"/>
        </w:rPr>
        <w:t xml:space="preserve"> Le Comité prend note des renseignements communiqués par l</w:t>
      </w:r>
      <w:r>
        <w:rPr>
          <w:lang w:val="fr-FR"/>
        </w:rPr>
        <w:t>’</w:t>
      </w:r>
      <w:r w:rsidRPr="004A75B4">
        <w:rPr>
          <w:lang w:val="fr-FR"/>
        </w:rPr>
        <w:t>État partie selon lesquels un groupe de travail est en cours de constitution. Il relève cependant que l</w:t>
      </w:r>
      <w:r>
        <w:rPr>
          <w:lang w:val="fr-FR"/>
        </w:rPr>
        <w:t>’</w:t>
      </w:r>
      <w:r w:rsidRPr="004A75B4">
        <w:rPr>
          <w:lang w:val="fr-FR"/>
        </w:rPr>
        <w:t>État partie n</w:t>
      </w:r>
      <w:r>
        <w:rPr>
          <w:lang w:val="fr-FR"/>
        </w:rPr>
        <w:t>’</w:t>
      </w:r>
      <w:r w:rsidRPr="004A75B4">
        <w:rPr>
          <w:lang w:val="fr-FR"/>
        </w:rPr>
        <w:t>a pas fourni d</w:t>
      </w:r>
      <w:r>
        <w:rPr>
          <w:lang w:val="fr-FR"/>
        </w:rPr>
        <w:t>’</w:t>
      </w:r>
      <w:r w:rsidRPr="004A75B4">
        <w:rPr>
          <w:lang w:val="fr-FR"/>
        </w:rPr>
        <w:t>autres renseignements. Il renouvelle donc la recommandation qu</w:t>
      </w:r>
      <w:r>
        <w:rPr>
          <w:lang w:val="fr-FR"/>
        </w:rPr>
        <w:t>’</w:t>
      </w:r>
      <w:r w:rsidRPr="004A75B4">
        <w:rPr>
          <w:lang w:val="fr-FR"/>
        </w:rPr>
        <w:t>il a formulée au paragraphe</w:t>
      </w:r>
      <w:r w:rsidR="00EC3525">
        <w:rPr>
          <w:lang w:val="fr-FR"/>
        </w:rPr>
        <w:t> </w:t>
      </w:r>
      <w:r w:rsidRPr="004A75B4">
        <w:rPr>
          <w:lang w:val="fr-FR"/>
        </w:rPr>
        <w:t>39 de ses observations finales et prie l</w:t>
      </w:r>
      <w:r>
        <w:rPr>
          <w:lang w:val="fr-FR"/>
        </w:rPr>
        <w:t>’</w:t>
      </w:r>
      <w:r w:rsidRPr="004A75B4">
        <w:rPr>
          <w:lang w:val="fr-FR"/>
        </w:rPr>
        <w:t>État partie de lui communiquer des renseignements à jour sur ce sujet lorsqu</w:t>
      </w:r>
      <w:r>
        <w:rPr>
          <w:lang w:val="fr-FR"/>
        </w:rPr>
        <w:t>’</w:t>
      </w:r>
      <w:r w:rsidRPr="004A75B4">
        <w:rPr>
          <w:lang w:val="fr-FR"/>
        </w:rPr>
        <w:t>il soumettra son prochain rapport en application de l</w:t>
      </w:r>
      <w:r>
        <w:rPr>
          <w:lang w:val="fr-FR"/>
        </w:rPr>
        <w:t>’</w:t>
      </w:r>
      <w:r w:rsidRPr="004A75B4">
        <w:rPr>
          <w:lang w:val="fr-FR"/>
        </w:rPr>
        <w:t>article</w:t>
      </w:r>
      <w:r w:rsidR="00EC3525">
        <w:rPr>
          <w:lang w:val="fr-FR"/>
        </w:rPr>
        <w:t> </w:t>
      </w:r>
      <w:r w:rsidRPr="004A75B4">
        <w:rPr>
          <w:lang w:val="fr-FR"/>
        </w:rPr>
        <w:t>29 (</w:t>
      </w:r>
      <w:r>
        <w:rPr>
          <w:lang w:val="fr-FR"/>
        </w:rPr>
        <w:t>par. </w:t>
      </w:r>
      <w:r w:rsidRPr="004A75B4">
        <w:rPr>
          <w:lang w:val="fr-FR"/>
        </w:rPr>
        <w:t>4) de la Convention.</w:t>
      </w:r>
    </w:p>
    <w:p w14:paraId="4E3E3CA2" w14:textId="77777777" w:rsidR="00AE19B9" w:rsidRPr="004A75B4" w:rsidRDefault="00AE19B9" w:rsidP="00AE19B9">
      <w:pPr>
        <w:pStyle w:val="H23G"/>
        <w:rPr>
          <w:lang w:val="fr-FR"/>
        </w:rPr>
      </w:pPr>
      <w:r w:rsidRPr="004A75B4">
        <w:rPr>
          <w:lang w:val="fr-FR"/>
        </w:rPr>
        <w:tab/>
      </w:r>
      <w:r w:rsidRPr="004A75B4">
        <w:rPr>
          <w:lang w:val="fr-FR"/>
        </w:rPr>
        <w:tab/>
      </w:r>
      <w:r w:rsidRPr="004A75B4">
        <w:rPr>
          <w:bCs/>
          <w:lang w:val="fr-FR"/>
        </w:rPr>
        <w:t>Décision du Comité</w:t>
      </w:r>
    </w:p>
    <w:p w14:paraId="44A8EB0B" w14:textId="2FB9ABA5" w:rsidR="00AE19B9" w:rsidRPr="004A75B4" w:rsidRDefault="00AE19B9" w:rsidP="00AE19B9">
      <w:pPr>
        <w:pStyle w:val="SingleTxtG"/>
        <w:rPr>
          <w:lang w:val="fr-FR"/>
        </w:rPr>
      </w:pPr>
      <w:r w:rsidRPr="004A75B4">
        <w:rPr>
          <w:lang w:val="fr-FR"/>
        </w:rPr>
        <w:t>29.</w:t>
      </w:r>
      <w:r w:rsidRPr="004A75B4">
        <w:rPr>
          <w:lang w:val="fr-FR"/>
        </w:rPr>
        <w:tab/>
        <w:t>Le Comité décide d</w:t>
      </w:r>
      <w:r>
        <w:rPr>
          <w:lang w:val="fr-FR"/>
        </w:rPr>
        <w:t>’</w:t>
      </w:r>
      <w:r w:rsidRPr="004A75B4">
        <w:rPr>
          <w:lang w:val="fr-FR"/>
        </w:rPr>
        <w:t>adresser une lettre à l</w:t>
      </w:r>
      <w:r>
        <w:rPr>
          <w:lang w:val="fr-FR"/>
        </w:rPr>
        <w:t>’</w:t>
      </w:r>
      <w:r w:rsidRPr="004A75B4">
        <w:rPr>
          <w:lang w:val="fr-FR"/>
        </w:rPr>
        <w:t>État partie pour lui communiquer son évaluation et l</w:t>
      </w:r>
      <w:r>
        <w:rPr>
          <w:lang w:val="fr-FR"/>
        </w:rPr>
        <w:t>’</w:t>
      </w:r>
      <w:r w:rsidRPr="004A75B4">
        <w:rPr>
          <w:lang w:val="fr-FR"/>
        </w:rPr>
        <w:t>inviter à soumettre un rapport en application de l</w:t>
      </w:r>
      <w:r>
        <w:rPr>
          <w:lang w:val="fr-FR"/>
        </w:rPr>
        <w:t>’</w:t>
      </w:r>
      <w:r w:rsidRPr="004A75B4">
        <w:rPr>
          <w:lang w:val="fr-FR"/>
        </w:rPr>
        <w:t>article</w:t>
      </w:r>
      <w:r w:rsidR="00EC3525">
        <w:rPr>
          <w:lang w:val="fr-FR"/>
        </w:rPr>
        <w:t> </w:t>
      </w:r>
      <w:r w:rsidRPr="004A75B4">
        <w:rPr>
          <w:lang w:val="fr-FR"/>
        </w:rPr>
        <w:t>29 (</w:t>
      </w:r>
      <w:r>
        <w:rPr>
          <w:lang w:val="fr-FR"/>
        </w:rPr>
        <w:t>par. </w:t>
      </w:r>
      <w:r w:rsidRPr="004A75B4">
        <w:rPr>
          <w:lang w:val="fr-FR"/>
        </w:rPr>
        <w:t>4) de la Convention. Ce rapport devra comprendre des informations à jour sur les mesures prises pour appliquer toutes les recommandations formulées dans les observations finales, en particulier dans les trois paragraphes qui doivent faire l</w:t>
      </w:r>
      <w:r>
        <w:rPr>
          <w:lang w:val="fr-FR"/>
        </w:rPr>
        <w:t>’</w:t>
      </w:r>
      <w:r w:rsidRPr="004A75B4">
        <w:rPr>
          <w:lang w:val="fr-FR"/>
        </w:rPr>
        <w:t>objet d</w:t>
      </w:r>
      <w:r>
        <w:rPr>
          <w:lang w:val="fr-FR"/>
        </w:rPr>
        <w:t>’</w:t>
      </w:r>
      <w:r w:rsidRPr="004A75B4">
        <w:rPr>
          <w:lang w:val="fr-FR"/>
        </w:rPr>
        <w:t>un suivi prioritaire. Dans sa lettre, le Comité soulignera que l</w:t>
      </w:r>
      <w:r>
        <w:rPr>
          <w:lang w:val="fr-FR"/>
        </w:rPr>
        <w:t>’</w:t>
      </w:r>
      <w:r w:rsidRPr="004A75B4">
        <w:rPr>
          <w:lang w:val="fr-FR"/>
        </w:rPr>
        <w:t>État partie devrait tenir compte des orientations précises et des demandes de renseignements figurant dans le présent rapport, ainsi que des Principes directeurs concernant la recherche de personnes disparues</w:t>
      </w:r>
      <w:r w:rsidRPr="00422E92">
        <w:rPr>
          <w:rStyle w:val="Appelnotedebasdep"/>
        </w:rPr>
        <w:footnoteReference w:id="8"/>
      </w:r>
      <w:r w:rsidRPr="004A75B4">
        <w:rPr>
          <w:lang w:val="fr-FR"/>
        </w:rPr>
        <w:t>.</w:t>
      </w:r>
    </w:p>
    <w:p w14:paraId="1F4DD6D2" w14:textId="743B28C3" w:rsidR="00AE19B9" w:rsidRDefault="00AE19B9" w:rsidP="00AE19B9">
      <w:pPr>
        <w:pStyle w:val="SingleTxtG"/>
        <w:rPr>
          <w:lang w:val="fr-FR"/>
        </w:rPr>
      </w:pPr>
      <w:r w:rsidRPr="004A75B4">
        <w:rPr>
          <w:lang w:val="fr-FR"/>
        </w:rPr>
        <w:t>30.</w:t>
      </w:r>
      <w:r w:rsidRPr="004A75B4">
        <w:rPr>
          <w:lang w:val="fr-FR"/>
        </w:rPr>
        <w:tab/>
        <w:t>La date limite de soumission par l</w:t>
      </w:r>
      <w:r>
        <w:rPr>
          <w:lang w:val="fr-FR"/>
        </w:rPr>
        <w:t>’</w:t>
      </w:r>
      <w:r w:rsidRPr="004A75B4">
        <w:rPr>
          <w:lang w:val="fr-FR"/>
        </w:rPr>
        <w:t>État partie des renseignements complémentaires demandés au titre de l</w:t>
      </w:r>
      <w:r>
        <w:rPr>
          <w:lang w:val="fr-FR"/>
        </w:rPr>
        <w:t>’</w:t>
      </w:r>
      <w:r w:rsidRPr="004A75B4">
        <w:rPr>
          <w:lang w:val="fr-FR"/>
        </w:rPr>
        <w:t>article</w:t>
      </w:r>
      <w:r w:rsidR="00EC3525">
        <w:rPr>
          <w:lang w:val="fr-FR"/>
        </w:rPr>
        <w:t> </w:t>
      </w:r>
      <w:r w:rsidRPr="004A75B4">
        <w:rPr>
          <w:lang w:val="fr-FR"/>
        </w:rPr>
        <w:t>29 (</w:t>
      </w:r>
      <w:r>
        <w:rPr>
          <w:lang w:val="fr-FR"/>
        </w:rPr>
        <w:t>par. </w:t>
      </w:r>
      <w:r w:rsidRPr="004A75B4">
        <w:rPr>
          <w:lang w:val="fr-FR"/>
        </w:rPr>
        <w:t xml:space="preserve">4) de la Convention est fixée au </w:t>
      </w:r>
      <w:r>
        <w:rPr>
          <w:lang w:val="fr-FR"/>
        </w:rPr>
        <w:t>5</w:t>
      </w:r>
      <w:r w:rsidR="00EC3525">
        <w:rPr>
          <w:lang w:val="fr-FR"/>
        </w:rPr>
        <w:t> </w:t>
      </w:r>
      <w:r>
        <w:rPr>
          <w:lang w:val="fr-FR"/>
        </w:rPr>
        <w:t>avril 2027</w:t>
      </w:r>
      <w:r w:rsidRPr="004A75B4">
        <w:rPr>
          <w:lang w:val="fr-FR"/>
        </w:rPr>
        <w:t>.</w:t>
      </w:r>
    </w:p>
    <w:p w14:paraId="1C97C46B" w14:textId="0556EEDA" w:rsidR="00EC3525" w:rsidRPr="00EC3525" w:rsidRDefault="00EC3525" w:rsidP="00EC3525">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EC3525" w:rsidRPr="00EC3525" w:rsidSect="00AE19B9">
      <w:headerReference w:type="even" r:id="rId18"/>
      <w:headerReference w:type="default" r:id="rId19"/>
      <w:footerReference w:type="even" r:id="rId20"/>
      <w:footerReference w:type="default" r:id="rId21"/>
      <w:footerReference w:type="first" r:id="rId2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9A528A" w14:textId="77777777" w:rsidR="001B7E2B" w:rsidRDefault="001B7E2B" w:rsidP="00F95C08">
      <w:pPr>
        <w:spacing w:line="240" w:lineRule="auto"/>
      </w:pPr>
    </w:p>
  </w:endnote>
  <w:endnote w:type="continuationSeparator" w:id="0">
    <w:p w14:paraId="4A3330C1" w14:textId="77777777" w:rsidR="001B7E2B" w:rsidRPr="00AC3823" w:rsidRDefault="001B7E2B" w:rsidP="00AC3823">
      <w:pPr>
        <w:pStyle w:val="Pieddepage"/>
      </w:pPr>
    </w:p>
  </w:endnote>
  <w:endnote w:type="continuationNotice" w:id="1">
    <w:p w14:paraId="08C3E8BF" w14:textId="77777777" w:rsidR="001B7E2B" w:rsidRDefault="001B7E2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A0655D" w14:textId="772F5193" w:rsidR="00AE19B9" w:rsidRPr="00AE19B9" w:rsidRDefault="00AE19B9" w:rsidP="00AE19B9">
    <w:pPr>
      <w:pStyle w:val="Pieddepage"/>
      <w:tabs>
        <w:tab w:val="right" w:pos="9638"/>
      </w:tabs>
    </w:pPr>
    <w:r w:rsidRPr="00AE19B9">
      <w:rPr>
        <w:b/>
        <w:sz w:val="18"/>
      </w:rPr>
      <w:fldChar w:fldCharType="begin"/>
    </w:r>
    <w:r w:rsidRPr="00AE19B9">
      <w:rPr>
        <w:b/>
        <w:sz w:val="18"/>
      </w:rPr>
      <w:instrText xml:space="preserve"> PAGE  \* MERGEFORMAT </w:instrText>
    </w:r>
    <w:r w:rsidRPr="00AE19B9">
      <w:rPr>
        <w:b/>
        <w:sz w:val="18"/>
      </w:rPr>
      <w:fldChar w:fldCharType="separate"/>
    </w:r>
    <w:r w:rsidRPr="00AE19B9">
      <w:rPr>
        <w:b/>
        <w:noProof/>
        <w:sz w:val="18"/>
      </w:rPr>
      <w:t>2</w:t>
    </w:r>
    <w:r w:rsidRPr="00AE19B9">
      <w:rPr>
        <w:b/>
        <w:sz w:val="18"/>
      </w:rPr>
      <w:fldChar w:fldCharType="end"/>
    </w:r>
    <w:r>
      <w:rPr>
        <w:b/>
        <w:sz w:val="18"/>
      </w:rPr>
      <w:tab/>
    </w:r>
    <w:r>
      <w:t>GE.23-06836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BF299" w14:textId="04347E7D" w:rsidR="00AE19B9" w:rsidRPr="00AE19B9" w:rsidRDefault="00AE19B9" w:rsidP="00AE19B9">
    <w:pPr>
      <w:pStyle w:val="Pieddepage"/>
      <w:tabs>
        <w:tab w:val="right" w:pos="9638"/>
      </w:tabs>
      <w:rPr>
        <w:b/>
        <w:sz w:val="18"/>
      </w:rPr>
    </w:pPr>
    <w:r>
      <w:t>GE.23-06836</w:t>
    </w:r>
    <w:r>
      <w:tab/>
    </w:r>
    <w:r w:rsidRPr="00AE19B9">
      <w:rPr>
        <w:b/>
        <w:sz w:val="18"/>
      </w:rPr>
      <w:fldChar w:fldCharType="begin"/>
    </w:r>
    <w:r w:rsidRPr="00AE19B9">
      <w:rPr>
        <w:b/>
        <w:sz w:val="18"/>
      </w:rPr>
      <w:instrText xml:space="preserve"> PAGE  \* MERGEFORMAT </w:instrText>
    </w:r>
    <w:r w:rsidRPr="00AE19B9">
      <w:rPr>
        <w:b/>
        <w:sz w:val="18"/>
      </w:rPr>
      <w:fldChar w:fldCharType="separate"/>
    </w:r>
    <w:r w:rsidRPr="00AE19B9">
      <w:rPr>
        <w:b/>
        <w:noProof/>
        <w:sz w:val="18"/>
      </w:rPr>
      <w:t>3</w:t>
    </w:r>
    <w:r w:rsidRPr="00AE19B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5C0DA" w14:textId="243F94D2" w:rsidR="00133EDE" w:rsidRPr="00AE19B9" w:rsidRDefault="00AE19B9" w:rsidP="00AE19B9">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3C1D0696" wp14:editId="19DBA4B6">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23-06836  (F)</w:t>
    </w:r>
    <w:r>
      <w:rPr>
        <w:noProof/>
        <w:sz w:val="20"/>
      </w:rPr>
      <w:drawing>
        <wp:anchor distT="0" distB="0" distL="114300" distR="114300" simplePos="0" relativeHeight="251660288" behindDoc="0" locked="0" layoutInCell="1" allowOverlap="1" wp14:anchorId="405DAD78" wp14:editId="36AA9F5C">
          <wp:simplePos x="0" y="0"/>
          <wp:positionH relativeFrom="margin">
            <wp:posOffset>5489575</wp:posOffset>
          </wp:positionH>
          <wp:positionV relativeFrom="margin">
            <wp:posOffset>8891905</wp:posOffset>
          </wp:positionV>
          <wp:extent cx="561975" cy="561975"/>
          <wp:effectExtent l="0" t="0" r="9525" b="9525"/>
          <wp:wrapNone/>
          <wp:docPr id="88771604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150823    150823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E14C46" w14:textId="77777777" w:rsidR="001B7E2B" w:rsidRPr="00AC3823" w:rsidRDefault="001B7E2B" w:rsidP="00AC3823">
      <w:pPr>
        <w:pStyle w:val="Pieddepage"/>
        <w:tabs>
          <w:tab w:val="right" w:pos="2155"/>
        </w:tabs>
        <w:spacing w:after="80" w:line="240" w:lineRule="atLeast"/>
        <w:ind w:left="680"/>
        <w:rPr>
          <w:u w:val="single"/>
        </w:rPr>
      </w:pPr>
      <w:r>
        <w:rPr>
          <w:u w:val="single"/>
        </w:rPr>
        <w:tab/>
      </w:r>
    </w:p>
  </w:footnote>
  <w:footnote w:type="continuationSeparator" w:id="0">
    <w:p w14:paraId="0C7CC6C3" w14:textId="77777777" w:rsidR="001B7E2B" w:rsidRPr="00AC3823" w:rsidRDefault="001B7E2B" w:rsidP="00AC3823">
      <w:pPr>
        <w:pStyle w:val="Pieddepage"/>
        <w:tabs>
          <w:tab w:val="right" w:pos="2155"/>
        </w:tabs>
        <w:spacing w:after="80" w:line="240" w:lineRule="atLeast"/>
        <w:ind w:left="680"/>
        <w:rPr>
          <w:u w:val="single"/>
        </w:rPr>
      </w:pPr>
      <w:r>
        <w:rPr>
          <w:u w:val="single"/>
        </w:rPr>
        <w:tab/>
      </w:r>
    </w:p>
  </w:footnote>
  <w:footnote w:type="continuationNotice" w:id="1">
    <w:p w14:paraId="59221FDB" w14:textId="77777777" w:rsidR="001B7E2B" w:rsidRPr="00AC3823" w:rsidRDefault="001B7E2B">
      <w:pPr>
        <w:spacing w:line="240" w:lineRule="auto"/>
        <w:rPr>
          <w:sz w:val="2"/>
          <w:szCs w:val="2"/>
        </w:rPr>
      </w:pPr>
    </w:p>
  </w:footnote>
  <w:footnote w:id="2">
    <w:p w14:paraId="3FB83E99" w14:textId="77777777" w:rsidR="00AE19B9" w:rsidRPr="00823849" w:rsidRDefault="00AE19B9" w:rsidP="00AE19B9">
      <w:pPr>
        <w:pStyle w:val="Notedebasdepage"/>
      </w:pPr>
      <w:r w:rsidRPr="00090214">
        <w:rPr>
          <w:rStyle w:val="Appelnotedebasdep"/>
          <w:vertAlign w:val="baseline"/>
        </w:rPr>
        <w:tab/>
      </w:r>
      <w:r w:rsidRPr="00090214">
        <w:rPr>
          <w:rStyle w:val="Appelnotedebasdep"/>
          <w:sz w:val="20"/>
          <w:vertAlign w:val="baseline"/>
        </w:rPr>
        <w:t>*</w:t>
      </w:r>
      <w:r w:rsidRPr="00090214">
        <w:rPr>
          <w:rStyle w:val="Appelnotedebasdep"/>
          <w:sz w:val="20"/>
          <w:vertAlign w:val="baseline"/>
        </w:rPr>
        <w:tab/>
      </w:r>
      <w:r>
        <w:t>Adopté par le Comité à sa vingt-quatrième session (20-31 mars 2023).</w:t>
      </w:r>
    </w:p>
  </w:footnote>
  <w:footnote w:id="3">
    <w:p w14:paraId="1A464016" w14:textId="77777777" w:rsidR="00AE19B9" w:rsidRPr="00254C23" w:rsidRDefault="00AE19B9" w:rsidP="00AE19B9">
      <w:pPr>
        <w:pStyle w:val="Notedebasdepage"/>
        <w:rPr>
          <w:lang w:val="en-US"/>
        </w:rPr>
      </w:pPr>
      <w:r w:rsidRPr="00456A9A">
        <w:rPr>
          <w:lang w:val="fr-FR"/>
        </w:rPr>
        <w:tab/>
      </w:r>
      <w:r w:rsidRPr="00422E92">
        <w:rPr>
          <w:rStyle w:val="Appelnotedebasdep"/>
        </w:rPr>
        <w:footnoteRef/>
      </w:r>
      <w:r w:rsidRPr="00254C23">
        <w:rPr>
          <w:lang w:val="en-US"/>
        </w:rPr>
        <w:tab/>
      </w:r>
      <w:r w:rsidR="00CE53C4">
        <w:fldChar w:fldCharType="begin"/>
      </w:r>
      <w:r w:rsidR="00CE53C4" w:rsidRPr="00CE53C4">
        <w:rPr>
          <w:lang w:val="en-US"/>
        </w:rPr>
        <w:instrText>HYPERLINK "http://undocs.org/fr/CED/C/BRA/FCO/1"</w:instrText>
      </w:r>
      <w:r w:rsidR="00CE53C4">
        <w:fldChar w:fldCharType="separate"/>
      </w:r>
      <w:r w:rsidRPr="00254C23">
        <w:rPr>
          <w:rStyle w:val="Lienhypertexte"/>
          <w:lang w:val="en-US"/>
        </w:rPr>
        <w:t>CED/C/BRA/FCO/1</w:t>
      </w:r>
      <w:r w:rsidR="00CE53C4">
        <w:rPr>
          <w:rStyle w:val="Lienhypertexte"/>
          <w:lang w:val="en-US"/>
        </w:rPr>
        <w:fldChar w:fldCharType="end"/>
      </w:r>
      <w:r w:rsidRPr="00254C23">
        <w:rPr>
          <w:lang w:val="en-US"/>
        </w:rPr>
        <w:t xml:space="preserve"> et </w:t>
      </w:r>
      <w:hyperlink r:id="rId1" w:history="1">
        <w:r w:rsidRPr="00254C23">
          <w:rPr>
            <w:rStyle w:val="Lienhypertexte"/>
            <w:lang w:val="en-US"/>
          </w:rPr>
          <w:t>CED/C/MNG/FCO/1</w:t>
        </w:r>
      </w:hyperlink>
      <w:r w:rsidRPr="00254C23">
        <w:rPr>
          <w:lang w:val="en-US"/>
        </w:rPr>
        <w:t>.</w:t>
      </w:r>
    </w:p>
  </w:footnote>
  <w:footnote w:id="4">
    <w:p w14:paraId="141550EE" w14:textId="77777777" w:rsidR="00AE19B9" w:rsidRPr="00254C23" w:rsidRDefault="00AE19B9" w:rsidP="00AE19B9">
      <w:pPr>
        <w:pStyle w:val="Notedebasdepage"/>
        <w:rPr>
          <w:lang w:val="en-US"/>
        </w:rPr>
      </w:pPr>
      <w:r w:rsidRPr="00254C23">
        <w:rPr>
          <w:lang w:val="en-US"/>
        </w:rPr>
        <w:tab/>
      </w:r>
      <w:r w:rsidRPr="00422E92">
        <w:rPr>
          <w:rStyle w:val="Appelnotedebasdep"/>
        </w:rPr>
        <w:footnoteRef/>
      </w:r>
      <w:r w:rsidRPr="00254C23">
        <w:rPr>
          <w:lang w:val="en-US"/>
        </w:rPr>
        <w:tab/>
      </w:r>
      <w:r w:rsidR="00CE53C4">
        <w:fldChar w:fldCharType="begin"/>
      </w:r>
      <w:r w:rsidR="00CE53C4" w:rsidRPr="00CE53C4">
        <w:rPr>
          <w:lang w:val="en-US"/>
        </w:rPr>
        <w:instrText>HYPERLINK "http://undocs.org/fr/A/70/56"</w:instrText>
      </w:r>
      <w:r w:rsidR="00CE53C4">
        <w:fldChar w:fldCharType="separate"/>
      </w:r>
      <w:r w:rsidRPr="00254C23">
        <w:rPr>
          <w:rStyle w:val="Lienhypertexte"/>
          <w:lang w:val="en-US"/>
        </w:rPr>
        <w:t>A/70/56</w:t>
      </w:r>
      <w:r w:rsidR="00CE53C4">
        <w:rPr>
          <w:rStyle w:val="Lienhypertexte"/>
          <w:lang w:val="en-US"/>
        </w:rPr>
        <w:fldChar w:fldCharType="end"/>
      </w:r>
      <w:r w:rsidRPr="00254C23">
        <w:rPr>
          <w:lang w:val="en-US"/>
        </w:rPr>
        <w:t>, annexe III.</w:t>
      </w:r>
    </w:p>
  </w:footnote>
  <w:footnote w:id="5">
    <w:p w14:paraId="10CE7223" w14:textId="77777777" w:rsidR="00AE19B9" w:rsidRPr="00254C23" w:rsidRDefault="00AE19B9" w:rsidP="00AE19B9">
      <w:pPr>
        <w:pStyle w:val="Notedebasdepage"/>
        <w:rPr>
          <w:lang w:val="en-US"/>
        </w:rPr>
      </w:pPr>
      <w:r w:rsidRPr="00254C23">
        <w:rPr>
          <w:lang w:val="en-US"/>
        </w:rPr>
        <w:tab/>
      </w:r>
      <w:r w:rsidRPr="00422E92">
        <w:rPr>
          <w:rStyle w:val="Appelnotedebasdep"/>
        </w:rPr>
        <w:footnoteRef/>
      </w:r>
      <w:r w:rsidRPr="00254C23">
        <w:rPr>
          <w:lang w:val="en-US"/>
        </w:rPr>
        <w:tab/>
      </w:r>
      <w:r w:rsidR="00CE53C4">
        <w:fldChar w:fldCharType="begin"/>
      </w:r>
      <w:r w:rsidR="00CE53C4" w:rsidRPr="00CE53C4">
        <w:rPr>
          <w:lang w:val="en-US"/>
        </w:rPr>
        <w:instrText>HYPERL</w:instrText>
      </w:r>
      <w:r w:rsidR="00CE53C4" w:rsidRPr="00CE53C4">
        <w:rPr>
          <w:lang w:val="en-US"/>
        </w:rPr>
        <w:instrText>INK "http://undocs.org/fr/CED/C/MNG/CO/1"</w:instrText>
      </w:r>
      <w:r w:rsidR="00CE53C4">
        <w:fldChar w:fldCharType="separate"/>
      </w:r>
      <w:r w:rsidRPr="00254C23">
        <w:rPr>
          <w:rStyle w:val="Lienhypertexte"/>
          <w:lang w:val="en-US"/>
        </w:rPr>
        <w:t>CED/C/MNG/CO/1</w:t>
      </w:r>
      <w:r w:rsidR="00CE53C4">
        <w:rPr>
          <w:rStyle w:val="Lienhypertexte"/>
          <w:lang w:val="en-US"/>
        </w:rPr>
        <w:fldChar w:fldCharType="end"/>
      </w:r>
      <w:r w:rsidRPr="00254C23">
        <w:rPr>
          <w:lang w:val="en-US"/>
        </w:rPr>
        <w:t>, par. 16.</w:t>
      </w:r>
    </w:p>
  </w:footnote>
  <w:footnote w:id="6">
    <w:p w14:paraId="5AFD5A9E" w14:textId="77777777" w:rsidR="00AE19B9" w:rsidRPr="00254C23" w:rsidRDefault="00AE19B9" w:rsidP="00AE19B9">
      <w:pPr>
        <w:pStyle w:val="Notedebasdepage"/>
        <w:rPr>
          <w:lang w:val="en-US"/>
        </w:rPr>
      </w:pPr>
      <w:r w:rsidRPr="00254C23">
        <w:rPr>
          <w:lang w:val="en-US"/>
        </w:rPr>
        <w:tab/>
      </w:r>
      <w:r w:rsidRPr="00422E92">
        <w:rPr>
          <w:rStyle w:val="Appelnotedebasdep"/>
        </w:rPr>
        <w:footnoteRef/>
      </w:r>
      <w:r w:rsidRPr="00254C23">
        <w:rPr>
          <w:lang w:val="en-US"/>
        </w:rPr>
        <w:tab/>
      </w:r>
      <w:r w:rsidR="00CE53C4">
        <w:fldChar w:fldCharType="begin"/>
      </w:r>
      <w:r w:rsidR="00CE53C4" w:rsidRPr="00CE53C4">
        <w:rPr>
          <w:lang w:val="en-US"/>
        </w:rPr>
        <w:instrText>HYPERLINK "http://undocs.org/fr/CED/C/MNG/CO/1"</w:instrText>
      </w:r>
      <w:r w:rsidR="00CE53C4">
        <w:fldChar w:fldCharType="separate"/>
      </w:r>
      <w:r w:rsidRPr="00254C23">
        <w:rPr>
          <w:rStyle w:val="Lienhypertexte"/>
          <w:lang w:val="en-US"/>
        </w:rPr>
        <w:t>CED/C/MNG/CO/1</w:t>
      </w:r>
      <w:r w:rsidR="00CE53C4">
        <w:rPr>
          <w:rStyle w:val="Lienhypertexte"/>
          <w:lang w:val="en-US"/>
        </w:rPr>
        <w:fldChar w:fldCharType="end"/>
      </w:r>
      <w:r w:rsidRPr="00254C23">
        <w:rPr>
          <w:lang w:val="en-US"/>
        </w:rPr>
        <w:t>, par. 22.</w:t>
      </w:r>
    </w:p>
  </w:footnote>
  <w:footnote w:id="7">
    <w:p w14:paraId="448A3830" w14:textId="77777777" w:rsidR="00AE19B9" w:rsidRPr="00254C23" w:rsidRDefault="00AE19B9" w:rsidP="00AE19B9">
      <w:pPr>
        <w:pStyle w:val="Notedebasdepage"/>
        <w:rPr>
          <w:lang w:val="en-US"/>
        </w:rPr>
      </w:pPr>
      <w:r w:rsidRPr="00254C23">
        <w:rPr>
          <w:lang w:val="en-US"/>
        </w:rPr>
        <w:tab/>
      </w:r>
      <w:r w:rsidRPr="00422E92">
        <w:rPr>
          <w:rStyle w:val="Appelnotedebasdep"/>
        </w:rPr>
        <w:footnoteRef/>
      </w:r>
      <w:r w:rsidRPr="00254C23">
        <w:rPr>
          <w:lang w:val="en-US"/>
        </w:rPr>
        <w:tab/>
      </w:r>
      <w:r w:rsidR="00CE53C4">
        <w:fldChar w:fldCharType="begin"/>
      </w:r>
      <w:r w:rsidR="00CE53C4" w:rsidRPr="00CE53C4">
        <w:rPr>
          <w:lang w:val="en-US"/>
        </w:rPr>
        <w:instrText>HYPERLINK "http://undocs.org/fr/CED</w:instrText>
      </w:r>
      <w:r w:rsidR="00CE53C4" w:rsidRPr="00CE53C4">
        <w:rPr>
          <w:lang w:val="en-US"/>
        </w:rPr>
        <w:instrText>/C/MNG/CO/1"</w:instrText>
      </w:r>
      <w:r w:rsidR="00CE53C4">
        <w:fldChar w:fldCharType="separate"/>
      </w:r>
      <w:r w:rsidRPr="00254C23">
        <w:rPr>
          <w:rStyle w:val="Lienhypertexte"/>
          <w:lang w:val="en-US"/>
        </w:rPr>
        <w:t>CED/C/MNG/CO/1</w:t>
      </w:r>
      <w:r w:rsidR="00CE53C4">
        <w:rPr>
          <w:rStyle w:val="Lienhypertexte"/>
          <w:lang w:val="en-US"/>
        </w:rPr>
        <w:fldChar w:fldCharType="end"/>
      </w:r>
      <w:r w:rsidRPr="00254C23">
        <w:rPr>
          <w:lang w:val="en-US"/>
        </w:rPr>
        <w:t>, par. 19.</w:t>
      </w:r>
    </w:p>
  </w:footnote>
  <w:footnote w:id="8">
    <w:p w14:paraId="059A6CA5" w14:textId="77777777" w:rsidR="00AE19B9" w:rsidRPr="00456A9A" w:rsidRDefault="00AE19B9" w:rsidP="00AE19B9">
      <w:pPr>
        <w:pStyle w:val="Notedebasdepage"/>
        <w:rPr>
          <w:lang w:val="fr-FR"/>
        </w:rPr>
      </w:pPr>
      <w:r w:rsidRPr="00254C23">
        <w:rPr>
          <w:lang w:val="en-US"/>
        </w:rPr>
        <w:tab/>
      </w:r>
      <w:r w:rsidRPr="00422E92">
        <w:rPr>
          <w:rStyle w:val="Appelnotedebasdep"/>
        </w:rPr>
        <w:footnoteRef/>
      </w:r>
      <w:r w:rsidRPr="00456A9A">
        <w:rPr>
          <w:lang w:val="fr-FR"/>
        </w:rPr>
        <w:tab/>
      </w:r>
      <w:hyperlink r:id="rId2" w:history="1">
        <w:r w:rsidRPr="00456A9A">
          <w:rPr>
            <w:rStyle w:val="Lienhypertexte"/>
            <w:lang w:val="fr-FR"/>
          </w:rPr>
          <w:t>CED/C/7</w:t>
        </w:r>
      </w:hyperlink>
      <w:r w:rsidRPr="00456A9A">
        <w:rPr>
          <w:lang w:val="fr-FR"/>
        </w:rPr>
        <w:t>, annexe.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B5F5AD" w14:textId="462750E6" w:rsidR="00AE19B9" w:rsidRPr="00AE19B9" w:rsidRDefault="00CE53C4">
    <w:pPr>
      <w:pStyle w:val="En-tte"/>
    </w:pPr>
    <w:r>
      <w:fldChar w:fldCharType="begin"/>
    </w:r>
    <w:r>
      <w:instrText xml:space="preserve"> TITLE  \* MERGEFORMAT </w:instrText>
    </w:r>
    <w:r>
      <w:fldChar w:fldCharType="separate"/>
    </w:r>
    <w:r>
      <w:t>CED/C/24/2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64285" w14:textId="4D34865F" w:rsidR="00AE19B9" w:rsidRPr="00AE19B9" w:rsidRDefault="00CE53C4" w:rsidP="00AE19B9">
    <w:pPr>
      <w:pStyle w:val="En-tte"/>
      <w:jc w:val="right"/>
    </w:pPr>
    <w:r>
      <w:fldChar w:fldCharType="begin"/>
    </w:r>
    <w:r>
      <w:instrText xml:space="preserve"> TITLE  \* MERGEFORMAT </w:instrText>
    </w:r>
    <w:r>
      <w:fldChar w:fldCharType="separate"/>
    </w:r>
    <w:r>
      <w:t>CED/C/24/2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947928519">
    <w:abstractNumId w:val="12"/>
  </w:num>
  <w:num w:numId="2" w16cid:durableId="1633369022">
    <w:abstractNumId w:val="11"/>
  </w:num>
  <w:num w:numId="3" w16cid:durableId="2065910473">
    <w:abstractNumId w:val="10"/>
  </w:num>
  <w:num w:numId="4" w16cid:durableId="1653296245">
    <w:abstractNumId w:val="8"/>
  </w:num>
  <w:num w:numId="5" w16cid:durableId="553858479">
    <w:abstractNumId w:val="3"/>
  </w:num>
  <w:num w:numId="6" w16cid:durableId="1135682464">
    <w:abstractNumId w:val="2"/>
  </w:num>
  <w:num w:numId="7" w16cid:durableId="873425703">
    <w:abstractNumId w:val="1"/>
  </w:num>
  <w:num w:numId="8" w16cid:durableId="1309214577">
    <w:abstractNumId w:val="0"/>
  </w:num>
  <w:num w:numId="9" w16cid:durableId="52391050">
    <w:abstractNumId w:val="9"/>
  </w:num>
  <w:num w:numId="10" w16cid:durableId="1415317925">
    <w:abstractNumId w:val="7"/>
  </w:num>
  <w:num w:numId="11" w16cid:durableId="384717802">
    <w:abstractNumId w:val="6"/>
  </w:num>
  <w:num w:numId="12" w16cid:durableId="387849690">
    <w:abstractNumId w:val="5"/>
  </w:num>
  <w:num w:numId="13" w16cid:durableId="1840727214">
    <w:abstractNumId w:val="4"/>
  </w:num>
  <w:num w:numId="14" w16cid:durableId="553857102">
    <w:abstractNumId w:val="12"/>
  </w:num>
  <w:num w:numId="15" w16cid:durableId="346366682">
    <w:abstractNumId w:val="11"/>
  </w:num>
  <w:num w:numId="16" w16cid:durableId="3368834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7E2B"/>
    <w:rsid w:val="00017F94"/>
    <w:rsid w:val="00022D2E"/>
    <w:rsid w:val="00023842"/>
    <w:rsid w:val="000334F9"/>
    <w:rsid w:val="0007796D"/>
    <w:rsid w:val="00090214"/>
    <w:rsid w:val="000B7790"/>
    <w:rsid w:val="00111F2F"/>
    <w:rsid w:val="00133EDE"/>
    <w:rsid w:val="0014365E"/>
    <w:rsid w:val="00176178"/>
    <w:rsid w:val="001A4BF3"/>
    <w:rsid w:val="001B7E2B"/>
    <w:rsid w:val="001F525A"/>
    <w:rsid w:val="00223272"/>
    <w:rsid w:val="0024779E"/>
    <w:rsid w:val="00392B1D"/>
    <w:rsid w:val="00446FE5"/>
    <w:rsid w:val="00452396"/>
    <w:rsid w:val="004C4D99"/>
    <w:rsid w:val="005505B7"/>
    <w:rsid w:val="00573BE5"/>
    <w:rsid w:val="00586ED3"/>
    <w:rsid w:val="00596AA9"/>
    <w:rsid w:val="00674E82"/>
    <w:rsid w:val="0071601D"/>
    <w:rsid w:val="0077586E"/>
    <w:rsid w:val="007A1274"/>
    <w:rsid w:val="007A62E6"/>
    <w:rsid w:val="007E042C"/>
    <w:rsid w:val="0080684C"/>
    <w:rsid w:val="00871C75"/>
    <w:rsid w:val="008776DC"/>
    <w:rsid w:val="009507F3"/>
    <w:rsid w:val="009705C8"/>
    <w:rsid w:val="00A30353"/>
    <w:rsid w:val="00AC3823"/>
    <w:rsid w:val="00AE19B9"/>
    <w:rsid w:val="00AE323C"/>
    <w:rsid w:val="00B00181"/>
    <w:rsid w:val="00B765F7"/>
    <w:rsid w:val="00B9212A"/>
    <w:rsid w:val="00BA0CA9"/>
    <w:rsid w:val="00C02897"/>
    <w:rsid w:val="00CE2527"/>
    <w:rsid w:val="00CE53C4"/>
    <w:rsid w:val="00CF2BDE"/>
    <w:rsid w:val="00D3439C"/>
    <w:rsid w:val="00D81AD4"/>
    <w:rsid w:val="00DB1831"/>
    <w:rsid w:val="00DD3BFD"/>
    <w:rsid w:val="00DF6678"/>
    <w:rsid w:val="00E4745C"/>
    <w:rsid w:val="00EC3525"/>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0800DA"/>
  <w15:docId w15:val="{E5B3935A-3D54-462D-8FDA-1DD2D257A3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CED/C/BRA/CO/1" TargetMode="External"/><Relationship Id="rId13" Type="http://schemas.openxmlformats.org/officeDocument/2006/relationships/hyperlink" Target="http://undocs.org/fr/CED/C/MNG/CO/1"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wmf"/><Relationship Id="rId12" Type="http://schemas.openxmlformats.org/officeDocument/2006/relationships/hyperlink" Target="http://undocs.org/fr/CED/C/BRA/FCO/1" TargetMode="External"/><Relationship Id="rId17" Type="http://schemas.openxmlformats.org/officeDocument/2006/relationships/hyperlink" Target="http://undocs.org/fr/CED/C/MNG/FCO/1" TargetMode="External"/><Relationship Id="rId2" Type="http://schemas.openxmlformats.org/officeDocument/2006/relationships/styles" Target="styles.xml"/><Relationship Id="rId16" Type="http://schemas.openxmlformats.org/officeDocument/2006/relationships/hyperlink" Target="http://undocs.org/fr/CED/C/MNG/FCO/1"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fr/CED/C/BRA/FCO/1"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undocs.org/fr/CED/C/MNG/FCO/1" TargetMode="External"/><Relationship Id="rId23" Type="http://schemas.openxmlformats.org/officeDocument/2006/relationships/fontTable" Target="fontTable.xml"/><Relationship Id="rId10" Type="http://schemas.openxmlformats.org/officeDocument/2006/relationships/hyperlink" Target="http://undocs.org/fr/CED/C/BRA/FCO/1"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undocs.org/fr/CED/C/BRA/FCO/1" TargetMode="External"/><Relationship Id="rId14" Type="http://schemas.openxmlformats.org/officeDocument/2006/relationships/hyperlink" Target="http://undocs.org/fr/CED/C/MNG/FCO/1" TargetMode="Externa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fr/CED/C/7" TargetMode="External"/><Relationship Id="rId1" Type="http://schemas.openxmlformats.org/officeDocument/2006/relationships/hyperlink" Target="http://undocs.org/fr/CED/C/MNG/F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7</Pages>
  <Words>3290</Words>
  <Characters>18101</Characters>
  <Application>Microsoft Office Word</Application>
  <DocSecurity>0</DocSecurity>
  <Lines>150</Lines>
  <Paragraphs>42</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21349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CED/C/24/2</dc:title>
  <dc:subject/>
  <dc:creator>Christine CHAUTAGNAT</dc:creator>
  <cp:keywords/>
  <cp:lastModifiedBy>Christine Chautagnat</cp:lastModifiedBy>
  <cp:revision>3</cp:revision>
  <cp:lastPrinted>2023-08-15T14:36:00Z</cp:lastPrinted>
  <dcterms:created xsi:type="dcterms:W3CDTF">2023-08-15T14:36:00Z</dcterms:created>
  <dcterms:modified xsi:type="dcterms:W3CDTF">2023-08-15T14:36:00Z</dcterms:modified>
</cp:coreProperties>
</file>