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41651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190505     190505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2656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fr-FR"/>
              </w:rPr>
              <w:t>CCPR</w:t>
            </w:r>
            <w:proofErr w:type="spellEnd"/>
            <w:r>
              <w:rPr>
                <w:sz w:val="22"/>
                <w:lang w:val="fr-FR"/>
              </w:rPr>
              <w:t>/C/84/L/</w:t>
            </w:r>
            <w:proofErr w:type="spellStart"/>
            <w:r>
              <w:rPr>
                <w:sz w:val="22"/>
                <w:lang w:val="fr-FR"/>
              </w:rPr>
              <w:t>TJK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25 April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jc w:val="both"/>
      </w:pPr>
      <w:r>
        <w:t xml:space="preserve">КОМИТЕТ ПО ПРАВАМ ЧЕЛОВЕКА </w:t>
      </w:r>
    </w:p>
    <w:p w:rsidR="00000000" w:rsidRDefault="00000000">
      <w:pPr>
        <w:jc w:val="both"/>
        <w:rPr>
          <w:lang w:val="en-US"/>
        </w:rPr>
      </w:pPr>
    </w:p>
    <w:p w:rsidR="00000000" w:rsidRDefault="00000000">
      <w:pPr>
        <w:jc w:val="both"/>
        <w:rPr>
          <w:lang w:val="en-US"/>
        </w:rPr>
      </w:pPr>
    </w:p>
    <w:p w:rsidR="00000000" w:rsidRDefault="00000000">
      <w:pPr>
        <w:jc w:val="both"/>
        <w:rPr>
          <w:lang w:val="en-US"/>
        </w:rPr>
      </w:pPr>
    </w:p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подлежащих обсуждению в связи с рассмотрением первоначального доклада Таджикистана (ССPR/C/TJK/2004/1)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Конституционные и правовые рамки реализации Пакта;  право на эффективное средство правовой защиты (статья 2</w:t>
      </w:r>
      <w:r>
        <w:t>)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Какой статус имеет Пакт во внутреннем законодательстве?  Можно ли на него непосредственно ссылаться в судах?  Применяется ли он судами?</w:t>
      </w:r>
    </w:p>
    <w:p w:rsidR="00000000" w:rsidRDefault="00000000"/>
    <w:p w:rsidR="00000000" w:rsidRDefault="00000000">
      <w:r>
        <w:t>2.</w:t>
      </w:r>
      <w:r>
        <w:tab/>
        <w:t>Просьба указать имеющуюся процедуру для реализации Соображений Комитета по Факультативному протоколу.  Какие конкретные меры были приняты в ответ на Соображения Комитета?</w:t>
      </w:r>
    </w:p>
    <w:p w:rsidR="00000000" w:rsidRDefault="00000000"/>
    <w:p w:rsidR="00000000" w:rsidRDefault="00000000">
      <w:r>
        <w:t>3.</w:t>
      </w:r>
      <w:r>
        <w:tab/>
        <w:t>Ряд лиц, приговоренных к смертной казни, были казнены, несмотря на то, что они обратились в Комитет в соответствии с положениями Факультативного протокола и что Комитет в соответствии с правилом 92 своих правил процедуры просил не приводить в исполнение смертные приговоры до тех пор, пока эти дела рассматриваются Комитетом.  Просьба представить информацию о мерах, принятых государством-участником для предотвращения подобных случаев в будущем.</w:t>
      </w:r>
    </w:p>
    <w:p w:rsidR="00000000" w:rsidRDefault="00000000"/>
    <w:p w:rsidR="00000000" w:rsidRDefault="00000000">
      <w:r>
        <w:t>4.</w:t>
      </w:r>
      <w:r>
        <w:tab/>
        <w:t xml:space="preserve">Каковы практические результаты решений Конституционного суда?  Просьба разъяснить последствия упоминаемых в докладе решений Конституционного суда (пункты 18 и 19).  </w:t>
      </w:r>
    </w:p>
    <w:p w:rsidR="00000000" w:rsidRDefault="00000000"/>
    <w:p w:rsidR="00000000" w:rsidRDefault="00000000">
      <w:pPr>
        <w:keepNext/>
        <w:jc w:val="center"/>
      </w:pPr>
      <w:r>
        <w:rPr>
          <w:u w:val="single"/>
        </w:rPr>
        <w:t>Равенство полов и недискриминация (статьи 3 и 26</w:t>
      </w:r>
      <w:r>
        <w:t>)</w:t>
      </w:r>
    </w:p>
    <w:p w:rsidR="00000000" w:rsidRDefault="00000000">
      <w:pPr>
        <w:keepNext/>
        <w:jc w:val="center"/>
      </w:pPr>
    </w:p>
    <w:p w:rsidR="00000000" w:rsidRDefault="00000000">
      <w:pPr>
        <w:keepNext/>
      </w:pPr>
      <w:r>
        <w:t>5.</w:t>
      </w:r>
      <w:r>
        <w:tab/>
        <w:t>Какой прогресс был достигнут в области осуществления мер, направленных на расширение участия женщин в политической жизни и их представленности на официальных должностях, особенно должностях, связанных с принятием решений.</w:t>
      </w:r>
    </w:p>
    <w:p w:rsidR="00000000" w:rsidRDefault="00000000"/>
    <w:p w:rsidR="00000000" w:rsidRDefault="00000000">
      <w:r>
        <w:t>6.</w:t>
      </w:r>
      <w:r>
        <w:tab/>
        <w:t>По имеющейся у Комитета информации, широко распространено бытовое насилие в отношении женщин.  Какими законодательными и защитными мерами могут воспользоваться женщины для конкретного решения проблем бытового насилия и жестокого обращения?  Какие приговоры были вынесены судами в связи с упомянутыми в докладе уголовными разбирательствами (пункт 43)?</w:t>
      </w:r>
    </w:p>
    <w:p w:rsidR="00000000" w:rsidRDefault="00000000"/>
    <w:p w:rsidR="00000000" w:rsidRDefault="00000000">
      <w:r>
        <w:t>7.</w:t>
      </w:r>
      <w:r>
        <w:tab/>
        <w:t>Принудительные браки и полигамия являются уголовными преступлениями в Таджикистане (статьи 168-170 Уголовного кодекса).  Просьба привести примеры применения этих положений на практике и представить статистические данные о числе направленных жалоб и принятых в этой связи судебных решений.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Отступление от обязательств (статья 4</w:t>
      </w:r>
      <w:r>
        <w:t>)</w:t>
      </w:r>
    </w:p>
    <w:p w:rsidR="00000000" w:rsidRDefault="00000000">
      <w:pPr>
        <w:jc w:val="center"/>
      </w:pPr>
    </w:p>
    <w:p w:rsidR="00000000" w:rsidRDefault="00000000">
      <w:r>
        <w:t>8.</w:t>
      </w:r>
      <w:r>
        <w:tab/>
        <w:t>Просьба объяснить, каким образом на практике государство-участник намеревается гарантировать соблюдение требования о запрете отступления от прав, перечисленных в статьях 6, 7, пунктах 1 и 2 статьи 8, статьях 11, 15, 16 и 18 в случае объявления чрезвычайного положения?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Право на жизнь (статья 6</w:t>
      </w:r>
      <w:r>
        <w:t>)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>В 2004 году в Таджикистане был объявлен мораторий на смертную казнь (пункт 19).  Каков нынешний статус объявленного моратория?  Собирается ли государство-участник отменить смертную казнь?</w:t>
      </w:r>
    </w:p>
    <w:p w:rsidR="00000000" w:rsidRDefault="00000000"/>
    <w:p w:rsidR="00000000" w:rsidRDefault="00000000">
      <w:r>
        <w:t>10.</w:t>
      </w:r>
      <w:r>
        <w:tab/>
        <w:t>Просьба представить подробную информацию о числе приговоренных к смертной казни заключенных, основаниях для их осуждения и числе лиц, приговоренных к смертной казни, приговоры которых были смягчены.</w:t>
      </w:r>
    </w:p>
    <w:p w:rsidR="00000000" w:rsidRDefault="00000000"/>
    <w:p w:rsidR="00000000" w:rsidRDefault="00000000">
      <w:r>
        <w:t>11.</w:t>
      </w:r>
      <w:r>
        <w:tab/>
        <w:t>Запрещает ли государство-участник высылку, возвращение или экстрадицию в государства, в отношении которых имеются убедительные доказательства, позволяющие предположить, что высылаемое лицо может быть подвергнуто пыткам или ему может угрожать смертный приговор?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Свобода от пыток;  обращение с заключенными и другими задержанными лицами;  неприкосновенность личности и свобода от произвольного ареста (статьи 7, 9 и 10</w:t>
      </w:r>
      <w:r>
        <w:t>)</w:t>
      </w:r>
    </w:p>
    <w:p w:rsidR="00000000" w:rsidRDefault="00000000">
      <w:pPr>
        <w:jc w:val="center"/>
      </w:pPr>
    </w:p>
    <w:p w:rsidR="00000000" w:rsidRDefault="00000000">
      <w:r>
        <w:t>12.</w:t>
      </w:r>
      <w:r>
        <w:tab/>
        <w:t>Просьба прокомментировать утверждения о том, что пытки регулярно используются сотрудниками правоохранительных органов и органов безопасности с целью получения признаний у подозреваемых.</w:t>
      </w:r>
    </w:p>
    <w:p w:rsidR="00000000" w:rsidRDefault="00000000"/>
    <w:p w:rsidR="00000000" w:rsidRDefault="00000000">
      <w:r>
        <w:t>13.</w:t>
      </w:r>
      <w:r>
        <w:tab/>
        <w:t>Просьба представить статистические данные о числе жалоб, непосредственно связанных с предполагаемыми актами пыток и жестокого обращения или другими противозаконными действиями государственных должностных лиц, подпадающими под статьи 117, 316, 348, 353 и 354 Уголовного кодекса и положения других соответствующих законов, а также информацию о предпринятых в связи с ними расследованиями, уголовными преследованиями и наказаниями (пункты 204, 220).</w:t>
      </w:r>
    </w:p>
    <w:p w:rsidR="00000000" w:rsidRDefault="00000000"/>
    <w:p w:rsidR="00000000" w:rsidRDefault="00000000">
      <w:r>
        <w:t>14.</w:t>
      </w:r>
      <w:r>
        <w:tab/>
        <w:t xml:space="preserve">Ведется ли государством-участником централизованный реестр лиц, содержащихся под стражей на всей территории страны?  Просьба представить статистические данные о числе содержащихся под стражей лиц в различных следственных и пенитенциарных учреждениях. </w:t>
      </w:r>
    </w:p>
    <w:p w:rsidR="00000000" w:rsidRDefault="00000000"/>
    <w:p w:rsidR="00000000" w:rsidRDefault="00000000">
      <w:r>
        <w:t>15.</w:t>
      </w:r>
      <w:r>
        <w:tab/>
        <w:t>Каким образом государство-участник осуществляет контроль за соблюдением Минимальных стандартных правил Организации Объединенных Наций, касающихся обращения с заключенными?  Каковы приоритеты, установленные в контексте правовой реформы, направленной на улучшение пенитенциарной системы (пункт 333)?</w:t>
      </w:r>
    </w:p>
    <w:p w:rsidR="00000000" w:rsidRDefault="00000000"/>
    <w:p w:rsidR="00000000" w:rsidRDefault="00000000">
      <w:r>
        <w:t>16.</w:t>
      </w:r>
      <w:r>
        <w:tab/>
        <w:t>Лица, помещенные под стражу, имеют право на проверку прокурором правомерности их задержания (пункт 286).  Просьба пояснить, каким образом эта процедура соответствует положениям пунктов 3) и 4) статьи 9 Пакта.  На какой срок, начиная с момента первоначального лишения свободы, может быть продлено содержание под стражей исключительно на основании распоряжения прокурора, т.е. без судебного приказа?  Какими гарантиями пользуются лица, задержанные Национальной службой безопасности?</w:t>
      </w:r>
    </w:p>
    <w:p w:rsidR="00000000" w:rsidRDefault="00000000"/>
    <w:p w:rsidR="00000000" w:rsidRDefault="00000000">
      <w:r>
        <w:t>17.</w:t>
      </w:r>
      <w:r>
        <w:tab/>
        <w:t xml:space="preserve"> Имеют ли право лица, находящиеся под административным арестом, консультироваться с адвокатом, и если да, то начиная с какого момента?  </w:t>
      </w:r>
    </w:p>
    <w:p w:rsidR="00000000" w:rsidRDefault="00000000"/>
    <w:p w:rsidR="00000000" w:rsidRDefault="00000000">
      <w:r>
        <w:t>18.</w:t>
      </w:r>
      <w:r>
        <w:tab/>
        <w:t>Просьба пояснить, в какой мере механизм допуска защитника к задержанному лицу считается несовершенным (пункт 289).</w:t>
      </w:r>
    </w:p>
    <w:p w:rsidR="00000000" w:rsidRDefault="00000000"/>
    <w:p w:rsidR="00000000" w:rsidRDefault="00000000">
      <w:pPr>
        <w:keepNext/>
        <w:jc w:val="center"/>
      </w:pPr>
      <w:r>
        <w:rPr>
          <w:u w:val="single"/>
        </w:rPr>
        <w:t>Право на справедливое судебное разбирательство (статья 14</w:t>
      </w:r>
      <w:r>
        <w:t>)</w:t>
      </w:r>
    </w:p>
    <w:p w:rsidR="00000000" w:rsidRDefault="00000000">
      <w:pPr>
        <w:keepNext/>
        <w:jc w:val="center"/>
      </w:pPr>
    </w:p>
    <w:p w:rsidR="00000000" w:rsidRDefault="00000000">
      <w:pPr>
        <w:keepNext/>
      </w:pPr>
      <w:r>
        <w:t>19.</w:t>
      </w:r>
      <w:r>
        <w:tab/>
        <w:t>Просьба представить информацию о порядке повторного назначения судей.  При каких обстоятельствах судья может быть освобожден от занимаемой должности?  Просьба представить информацию о количестве судей, освобожденных от занимаемых ими должностей до истечения срока их полномочий.</w:t>
      </w:r>
    </w:p>
    <w:p w:rsidR="00000000" w:rsidRDefault="00000000"/>
    <w:p w:rsidR="00000000" w:rsidRDefault="00000000">
      <w:r>
        <w:t>20.</w:t>
      </w:r>
      <w:r>
        <w:tab/>
        <w:t>Какие меры принимаются для обеспечения того, чтобы судебные разбирательства являлись открытыми для публики, включая местных и международных наблюдателей за соблюдением прав человека?</w:t>
      </w:r>
    </w:p>
    <w:p w:rsidR="00000000" w:rsidRDefault="00000000"/>
    <w:p w:rsidR="00000000" w:rsidRDefault="00000000">
      <w:r>
        <w:t>21.</w:t>
      </w:r>
      <w:r>
        <w:tab/>
        <w:t>Просьба представить информацию о принципе равенства состязательных возможностей и его практическом применении в отношении компетенции и возможностей представителей прокуратуры и адвокатов в ходе уголовного разбирательства.  Просьба привести статистические данные о числе адвокатов в Таджикистане и о числе дел, в которых адвокаты были назначены государством-участником.</w:t>
      </w:r>
    </w:p>
    <w:p w:rsidR="00000000" w:rsidRDefault="00000000"/>
    <w:p w:rsidR="00000000" w:rsidRDefault="00000000">
      <w:r>
        <w:t>22.</w:t>
      </w:r>
      <w:r>
        <w:tab/>
        <w:t>Просьба представить информацию о государственных органах, ответственных за борьбу с терроризмом.  Применяются ли в отношении лиц, подозреваемых или обвиняемых в террористических преступлениях, какие-либо особые правовые процедуры?</w:t>
      </w:r>
    </w:p>
    <w:p w:rsidR="00000000" w:rsidRDefault="00000000"/>
    <w:p w:rsidR="00000000" w:rsidRDefault="00000000">
      <w:r>
        <w:t>23.</w:t>
      </w:r>
      <w:r>
        <w:tab/>
        <w:t>Начиная с какого момента задержанное лицо имеет право на доступ к адвокату (пункт 9)?  Применяются ли к лицам, подозреваемым в совершении террористических преступлений, какие-либо особые нормы?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Свобода религии и убеждений (статья 18</w:t>
      </w:r>
      <w:r>
        <w:t>)</w:t>
      </w:r>
    </w:p>
    <w:p w:rsidR="00000000" w:rsidRDefault="00000000">
      <w:pPr>
        <w:jc w:val="center"/>
      </w:pPr>
    </w:p>
    <w:p w:rsidR="00000000" w:rsidRDefault="00000000">
      <w:r>
        <w:t>24.</w:t>
      </w:r>
      <w:r>
        <w:tab/>
        <w:t>Просьба представить подробные сведения, касающиеся заявлений о регистрации организаций в соответствии с Законом о религии и религиозных организациях, которым было отказано в регистрации, а также оснований для такого отказа (пункт 570).</w:t>
      </w:r>
    </w:p>
    <w:p w:rsidR="00000000" w:rsidRDefault="00000000"/>
    <w:p w:rsidR="00000000" w:rsidRDefault="00000000">
      <w:r>
        <w:t>25.</w:t>
      </w:r>
      <w:r>
        <w:tab/>
        <w:t>Просьба представить подробные данные о любых преследованиях, связанных с несоблюдением положений о регистрации Закона о религии и религиозных организациях (пункты 570 и 571).</w:t>
      </w:r>
    </w:p>
    <w:p w:rsidR="00000000" w:rsidRDefault="00000000"/>
    <w:p w:rsidR="00000000" w:rsidRDefault="00000000">
      <w:pPr>
        <w:pStyle w:val="11"/>
        <w:keepNext/>
      </w:pPr>
      <w:r>
        <w:t>Право на свободу выражения мнений, на свободу собраний и ассоциации;  право принимать участие в ведении государственных дел (статьи 19, 21, 22 и 25)</w:t>
      </w:r>
    </w:p>
    <w:p w:rsidR="00000000" w:rsidRDefault="00000000">
      <w:pPr>
        <w:keepNext/>
        <w:jc w:val="center"/>
      </w:pPr>
    </w:p>
    <w:p w:rsidR="00000000" w:rsidRDefault="00000000">
      <w:pPr>
        <w:keepNext/>
      </w:pPr>
      <w:r>
        <w:t>26.</w:t>
      </w:r>
      <w:r>
        <w:tab/>
        <w:t>В распоряжении Комитета имеется информация о том, что в 2004 году члены организации "</w:t>
      </w:r>
      <w:proofErr w:type="spellStart"/>
      <w:r>
        <w:t>Хизб-ут-Тахрир</w:t>
      </w:r>
      <w:proofErr w:type="spellEnd"/>
      <w:r>
        <w:t xml:space="preserve">" были признаны виновными в совершении различных преступлений, включая "организацию преступной группировки и подстрекательство к национальным, расовым, религиозным и этническим волнениям", и приговорены к различным срокам тюремного заключения.  Просьба представить подробные сведения об этих делах и о положениях Уголовного кодекса, в соответствии с которыми были осуждены эти лица.  </w:t>
      </w:r>
    </w:p>
    <w:p w:rsidR="00000000" w:rsidRDefault="00000000"/>
    <w:p w:rsidR="00000000" w:rsidRDefault="00000000">
      <w:r>
        <w:t>27.</w:t>
      </w:r>
      <w:r>
        <w:tab/>
        <w:t>Просьба представить информацию о числе журналистов, которые были арестованы, подвергнуты уголовным преследованиям, признаны виновными или приговорены к выплате штрафов и к отбыванию сроков тюремного заключения в связи с их профессиональной деятельностью.</w:t>
      </w:r>
    </w:p>
    <w:p w:rsidR="00000000" w:rsidRDefault="00000000"/>
    <w:p w:rsidR="00000000" w:rsidRDefault="00000000">
      <w:r>
        <w:t>28.</w:t>
      </w:r>
      <w:r>
        <w:tab/>
        <w:t>Просьба прокомментировать утверждения о том, что власти отказывались регистрировать определенные политические партии.  Имелись ли случаи запрещения деятельности какой-либо политической партии, и если да, то по каким причинам?</w:t>
      </w:r>
    </w:p>
    <w:p w:rsidR="00000000" w:rsidRDefault="00000000"/>
    <w:p w:rsidR="00000000" w:rsidRDefault="00000000">
      <w:r>
        <w:t>29.</w:t>
      </w:r>
      <w:r>
        <w:tab/>
        <w:t>Избирательное право запрещает регистрацию кандидатов, которым были предъявлены обвинения, даже если они не были признаны виновными в совершении уголовных правонарушений.  Просьба объяснить, каким образом это сочетается с правом на презумпцию невиновности и с правом принимать участие в ведении государственных дел.</w:t>
      </w:r>
    </w:p>
    <w:p w:rsidR="00000000" w:rsidRDefault="00000000"/>
    <w:p w:rsidR="00000000" w:rsidRDefault="00000000">
      <w:r>
        <w:t>30.</w:t>
      </w:r>
      <w:r>
        <w:tab/>
        <w:t>Просьба прокомментировать заслуживающие внимания критические замечания о том, что проведенный в июне 2003 года национальный референдум о внесении поправок в Конституцию не был ни свободным, ни справедливым.</w:t>
      </w:r>
    </w:p>
    <w:p w:rsidR="00000000" w:rsidRDefault="00000000"/>
    <w:p w:rsidR="00000000" w:rsidRDefault="00000000">
      <w:r>
        <w:t>31.</w:t>
      </w:r>
      <w:r>
        <w:tab/>
        <w:t>Каковы процедуры регистрации НПО?  В скольких случаях в регистрации было отказано и на каких основаниях?  Осуществляет ли государство-участник контроль за финансовыми ресурсами НПО?</w:t>
      </w:r>
    </w:p>
    <w:p w:rsidR="00000000" w:rsidRDefault="00000000"/>
    <w:p w:rsidR="00000000" w:rsidRDefault="00000000">
      <w:pPr>
        <w:pStyle w:val="11"/>
      </w:pPr>
      <w:r>
        <w:t>Распространение информации о Пакте и Факультативном протоколе</w:t>
      </w:r>
    </w:p>
    <w:p w:rsidR="00000000" w:rsidRDefault="00000000">
      <w:pPr>
        <w:pStyle w:val="11"/>
      </w:pPr>
    </w:p>
    <w:p w:rsidR="00000000" w:rsidRDefault="00000000">
      <w:r>
        <w:t>32.</w:t>
      </w:r>
      <w:r>
        <w:tab/>
        <w:t>Просьба сообщить о мерах, принятых для распространения информации о представлении настоящего доклада и его рассмотрении Комитетом.  Просьба представить информацию о просвещении и подготовке по вопросам, касающимся Пакта и Факультативного протокола к нему, обеспечиваемым для всех категорий государственных служащих, в частности школьных учителей, судей, адвокатов и сотрудников правоохранительных органов.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rPr>
          <w:lang w:val="en-US"/>
        </w:rP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fr-FR"/>
      </w:rPr>
    </w:pPr>
    <w:r>
      <w:rPr>
        <w:lang w:val="fr-FR"/>
      </w:rPr>
      <w:t>CCPR/C/84/L/TJK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CCPR/C/84/L/TJK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1422</Words>
  <Characters>8107</Characters>
  <Application>Microsoft Office Word</Application>
  <DocSecurity>4</DocSecurity>
  <Lines>67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2005-05-19T13:27:00Z</cp:lastPrinted>
  <dcterms:created xsi:type="dcterms:W3CDTF">2005-05-19T13:27:00Z</dcterms:created>
  <dcterms:modified xsi:type="dcterms:W3CDTF">2005-05-19T13:27:00Z</dcterms:modified>
</cp:coreProperties>
</file>