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77" w:type="dxa"/>
        <w:tblInd w:w="-8" w:type="dxa"/>
        <w:tblLayout w:type="fixed"/>
        <w:tblCellMar>
          <w:left w:w="0" w:type="dxa"/>
          <w:right w:w="0" w:type="dxa"/>
        </w:tblCellMar>
        <w:tblLook w:val="0000" w:firstRow="0" w:lastRow="0" w:firstColumn="0" w:lastColumn="0" w:noHBand="0" w:noVBand="0"/>
      </w:tblPr>
      <w:tblGrid>
        <w:gridCol w:w="8"/>
        <w:gridCol w:w="1552"/>
        <w:gridCol w:w="2909"/>
        <w:gridCol w:w="720"/>
        <w:gridCol w:w="1615"/>
        <w:gridCol w:w="2565"/>
        <w:gridCol w:w="8"/>
      </w:tblGrid>
      <w:tr w:rsidR="00000000">
        <w:tblPrEx>
          <w:tblCellMar>
            <w:top w:w="0" w:type="dxa"/>
            <w:left w:w="0" w:type="dxa"/>
            <w:bottom w:w="0" w:type="dxa"/>
            <w:right w:w="0" w:type="dxa"/>
          </w:tblCellMar>
        </w:tblPrEx>
        <w:trPr>
          <w:gridBefore w:val="1"/>
          <w:wBefore w:w="8" w:type="dxa"/>
        </w:trPr>
        <w:tc>
          <w:tcPr>
            <w:tcW w:w="4461" w:type="dxa"/>
            <w:gridSpan w:val="2"/>
            <w:tcBorders>
              <w:top w:val="nil"/>
              <w:left w:val="nil"/>
              <w:bottom w:val="nil"/>
              <w:right w:val="nil"/>
            </w:tcBorders>
          </w:tcPr>
          <w:p w:rsidR="00000000" w:rsidRDefault="00000000">
            <w:pPr>
              <w:tabs>
                <w:tab w:val="clear" w:pos="567"/>
                <w:tab w:val="clear" w:pos="1701"/>
                <w:tab w:val="left" w:pos="0"/>
                <w:tab w:val="left" w:pos="566"/>
                <w:tab w:val="left" w:pos="1134"/>
                <w:tab w:val="left" w:pos="1700"/>
                <w:tab w:val="left" w:pos="2268"/>
                <w:tab w:val="left" w:pos="6519"/>
              </w:tabs>
              <w:spacing w:line="218" w:lineRule="auto"/>
              <w:rPr>
                <w:b/>
                <w:bCs/>
                <w:sz w:val="32"/>
                <w:szCs w:val="32"/>
              </w:rPr>
            </w:pPr>
            <w:r>
              <w:rPr>
                <w:b/>
                <w:bCs/>
                <w:sz w:val="32"/>
                <w:szCs w:val="32"/>
              </w:rPr>
              <w:t>ОРГАНИЗАЦИЯ</w:t>
            </w:r>
          </w:p>
          <w:p w:rsidR="00000000" w:rsidRDefault="00000000">
            <w:pPr>
              <w:tabs>
                <w:tab w:val="clear" w:pos="567"/>
                <w:tab w:val="clear" w:pos="1701"/>
                <w:tab w:val="left" w:pos="0"/>
                <w:tab w:val="left" w:pos="566"/>
                <w:tab w:val="left" w:pos="1134"/>
                <w:tab w:val="left" w:pos="1700"/>
                <w:tab w:val="left" w:pos="2268"/>
                <w:tab w:val="left" w:pos="6519"/>
              </w:tabs>
              <w:spacing w:line="218" w:lineRule="auto"/>
              <w:rPr>
                <w:b/>
                <w:bCs/>
              </w:rPr>
            </w:pPr>
            <w:r>
              <w:rPr>
                <w:b/>
                <w:bCs/>
                <w:sz w:val="32"/>
                <w:szCs w:val="32"/>
              </w:rPr>
              <w:t>ОБЪЕДИНЕННЫХ НАЦИЙ</w:t>
            </w:r>
          </w:p>
          <w:p w:rsidR="00000000" w:rsidRDefault="00000000">
            <w:pPr>
              <w:tabs>
                <w:tab w:val="clear" w:pos="567"/>
                <w:tab w:val="clear" w:pos="1701"/>
                <w:tab w:val="left" w:pos="0"/>
                <w:tab w:val="left" w:pos="566"/>
                <w:tab w:val="left" w:pos="1134"/>
                <w:tab w:val="left" w:pos="1700"/>
                <w:tab w:val="left" w:pos="2268"/>
                <w:tab w:val="left" w:pos="6519"/>
              </w:tabs>
              <w:spacing w:line="217" w:lineRule="auto"/>
              <w:rPr>
                <w:b/>
                <w:bCs/>
              </w:rPr>
            </w:pPr>
          </w:p>
        </w:tc>
        <w:tc>
          <w:tcPr>
            <w:tcW w:w="720" w:type="dxa"/>
            <w:tcBorders>
              <w:top w:val="nil"/>
              <w:left w:val="nil"/>
              <w:bottom w:val="nil"/>
              <w:right w:val="nil"/>
            </w:tcBorders>
          </w:tcPr>
          <w:p w:rsidR="00000000" w:rsidRDefault="00000000">
            <w:pPr>
              <w:rPr>
                <w:b/>
                <w:bCs/>
              </w:rPr>
            </w:pPr>
          </w:p>
        </w:tc>
        <w:tc>
          <w:tcPr>
            <w:tcW w:w="4188" w:type="dxa"/>
            <w:gridSpan w:val="3"/>
            <w:tcBorders>
              <w:top w:val="nil"/>
              <w:left w:val="nil"/>
              <w:bottom w:val="nil"/>
              <w:right w:val="nil"/>
            </w:tcBorders>
          </w:tcPr>
          <w:p w:rsidR="00000000" w:rsidRDefault="00000000">
            <w:pPr>
              <w:pStyle w:val="Heading7"/>
              <w:rPr>
                <w:rFonts w:ascii="Times New Roman" w:hAnsi="Times New Roman"/>
                <w:szCs w:val="20"/>
              </w:rPr>
            </w:pPr>
            <w:proofErr w:type="spellStart"/>
            <w:r>
              <w:rPr>
                <w:rFonts w:ascii="Times New Roman" w:hAnsi="Times New Roman"/>
              </w:rPr>
              <w:t>CERD</w:t>
            </w:r>
            <w:proofErr w:type="spellEnd"/>
          </w:p>
        </w:tc>
      </w:tr>
      <w:tr w:rsidR="00000000">
        <w:tblPrEx>
          <w:tblCellMar>
            <w:top w:w="0" w:type="dxa"/>
            <w:left w:w="0" w:type="dxa"/>
            <w:bottom w:w="0" w:type="dxa"/>
            <w:right w:w="0" w:type="dxa"/>
          </w:tblCellMar>
        </w:tblPrEx>
        <w:trPr>
          <w:gridBefore w:val="1"/>
          <w:wBefore w:w="8" w:type="dxa"/>
        </w:trPr>
        <w:tc>
          <w:tcPr>
            <w:tcW w:w="4461" w:type="dxa"/>
            <w:gridSpan w:val="2"/>
            <w:tcBorders>
              <w:top w:val="nil"/>
              <w:left w:val="nil"/>
              <w:bottom w:val="nil"/>
              <w:right w:val="nil"/>
            </w:tcBorders>
          </w:tcPr>
          <w:p w:rsidR="00000000" w:rsidRDefault="00000000">
            <w:pPr>
              <w:tabs>
                <w:tab w:val="clear" w:pos="567"/>
                <w:tab w:val="clear" w:pos="1701"/>
                <w:tab w:val="left" w:pos="0"/>
                <w:tab w:val="left" w:pos="566"/>
                <w:tab w:val="left" w:pos="1134"/>
                <w:tab w:val="left" w:pos="1700"/>
                <w:tab w:val="left" w:pos="2268"/>
                <w:tab w:val="left" w:pos="6519"/>
              </w:tabs>
            </w:pPr>
          </w:p>
        </w:tc>
        <w:tc>
          <w:tcPr>
            <w:tcW w:w="720" w:type="dxa"/>
            <w:tcBorders>
              <w:top w:val="nil"/>
              <w:left w:val="nil"/>
              <w:bottom w:val="nil"/>
              <w:right w:val="nil"/>
            </w:tcBorders>
          </w:tcPr>
          <w:p w:rsidR="00000000" w:rsidRDefault="00000000">
            <w:pPr>
              <w:tabs>
                <w:tab w:val="clear" w:pos="567"/>
                <w:tab w:val="clear" w:pos="1701"/>
                <w:tab w:val="left" w:pos="0"/>
                <w:tab w:val="left" w:pos="566"/>
                <w:tab w:val="left" w:pos="1134"/>
                <w:tab w:val="left" w:pos="1700"/>
                <w:tab w:val="left" w:pos="2268"/>
                <w:tab w:val="left" w:pos="6519"/>
              </w:tabs>
            </w:pPr>
          </w:p>
        </w:tc>
        <w:tc>
          <w:tcPr>
            <w:tcW w:w="4188" w:type="dxa"/>
            <w:gridSpan w:val="3"/>
            <w:tcBorders>
              <w:top w:val="nil"/>
              <w:left w:val="nil"/>
              <w:bottom w:val="nil"/>
              <w:right w:val="nil"/>
            </w:tcBorders>
          </w:tcPr>
          <w:p w:rsidR="00000000" w:rsidRDefault="00000000">
            <w:pPr>
              <w:tabs>
                <w:tab w:val="clear" w:pos="567"/>
                <w:tab w:val="clear" w:pos="1701"/>
                <w:tab w:val="left" w:pos="0"/>
                <w:tab w:val="left" w:pos="566"/>
                <w:tab w:val="left" w:pos="1134"/>
                <w:tab w:val="left" w:pos="1700"/>
                <w:tab w:val="left" w:pos="2268"/>
                <w:tab w:val="left" w:pos="6519"/>
              </w:tabs>
            </w:pPr>
          </w:p>
        </w:tc>
      </w:tr>
      <w:tr w:rsidR="00000000">
        <w:tblPrEx>
          <w:tblBorders>
            <w:bottom w:val="single" w:sz="24" w:space="0" w:color="auto"/>
          </w:tblBorders>
          <w:tblCellMar>
            <w:top w:w="0" w:type="dxa"/>
            <w:left w:w="0" w:type="dxa"/>
            <w:bottom w:w="0" w:type="dxa"/>
            <w:right w:w="0" w:type="dxa"/>
          </w:tblCellMar>
        </w:tblPrEx>
        <w:trPr>
          <w:gridAfter w:val="1"/>
          <w:wAfter w:w="8" w:type="dxa"/>
        </w:trPr>
        <w:tc>
          <w:tcPr>
            <w:tcW w:w="1560" w:type="dxa"/>
            <w:gridSpan w:val="2"/>
          </w:tcPr>
          <w:p w:rsidR="00000000" w:rsidRDefault="00000000">
            <w:pPr>
              <w:tabs>
                <w:tab w:val="clear" w:pos="567"/>
                <w:tab w:val="clear" w:pos="1701"/>
                <w:tab w:val="left" w:pos="0"/>
                <w:tab w:val="left" w:pos="566"/>
                <w:tab w:val="left" w:pos="1134"/>
                <w:tab w:val="left" w:pos="1700"/>
                <w:tab w:val="left" w:pos="2268"/>
                <w:tab w:val="left" w:pos="6519"/>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1.75pt">
                  <v:imagedata r:id="rId7" o:title="" croptop="-381f" cropbottom="-381f" cropleft="-358f" cropright="-358f"/>
                </v:shape>
              </w:pict>
            </w:r>
          </w:p>
        </w:tc>
        <w:tc>
          <w:tcPr>
            <w:tcW w:w="5244" w:type="dxa"/>
            <w:gridSpan w:val="3"/>
          </w:tcPr>
          <w:p w:rsidR="00000000" w:rsidRDefault="00000000">
            <w:pPr>
              <w:tabs>
                <w:tab w:val="clear" w:pos="567"/>
                <w:tab w:val="clear" w:pos="1701"/>
                <w:tab w:val="left" w:pos="0"/>
                <w:tab w:val="left" w:pos="566"/>
                <w:tab w:val="left" w:pos="1134"/>
                <w:tab w:val="left" w:pos="1700"/>
                <w:tab w:val="left" w:pos="2268"/>
                <w:tab w:val="left" w:pos="6519"/>
              </w:tabs>
            </w:pPr>
          </w:p>
          <w:p w:rsidR="00000000" w:rsidRDefault="00000000">
            <w:pPr>
              <w:tabs>
                <w:tab w:val="clear" w:pos="567"/>
                <w:tab w:val="clear" w:pos="1701"/>
                <w:tab w:val="left" w:pos="0"/>
                <w:tab w:val="left" w:pos="566"/>
                <w:tab w:val="left" w:pos="1134"/>
                <w:tab w:val="left" w:pos="1700"/>
                <w:tab w:val="left" w:pos="2268"/>
                <w:tab w:val="left" w:pos="6519"/>
              </w:tabs>
              <w:spacing w:line="311" w:lineRule="auto"/>
              <w:rPr>
                <w:b/>
                <w:bCs/>
              </w:rPr>
            </w:pPr>
            <w:r>
              <w:rPr>
                <w:b/>
                <w:bCs/>
              </w:rPr>
              <w:t>МЕЖДУНАРОДНАЯ</w:t>
            </w:r>
          </w:p>
          <w:p w:rsidR="00000000" w:rsidRDefault="00000000">
            <w:pPr>
              <w:tabs>
                <w:tab w:val="clear" w:pos="567"/>
                <w:tab w:val="clear" w:pos="1701"/>
                <w:tab w:val="left" w:pos="0"/>
                <w:tab w:val="left" w:pos="566"/>
                <w:tab w:val="left" w:pos="1134"/>
                <w:tab w:val="left" w:pos="1700"/>
                <w:tab w:val="left" w:pos="2268"/>
                <w:tab w:val="left" w:pos="6519"/>
              </w:tabs>
              <w:spacing w:line="311" w:lineRule="auto"/>
              <w:rPr>
                <w:b/>
                <w:bCs/>
              </w:rPr>
            </w:pPr>
            <w:r>
              <w:rPr>
                <w:b/>
                <w:bCs/>
              </w:rPr>
              <w:t>КОНВЕНЦИЯ</w:t>
            </w:r>
          </w:p>
          <w:p w:rsidR="00000000" w:rsidRDefault="00000000">
            <w:pPr>
              <w:tabs>
                <w:tab w:val="clear" w:pos="567"/>
                <w:tab w:val="clear" w:pos="1701"/>
                <w:tab w:val="left" w:pos="0"/>
                <w:tab w:val="left" w:pos="566"/>
                <w:tab w:val="left" w:pos="1134"/>
                <w:tab w:val="left" w:pos="1700"/>
                <w:tab w:val="left" w:pos="2268"/>
                <w:tab w:val="left" w:pos="6519"/>
              </w:tabs>
              <w:spacing w:line="311" w:lineRule="auto"/>
              <w:rPr>
                <w:b/>
                <w:bCs/>
              </w:rPr>
            </w:pPr>
            <w:r>
              <w:rPr>
                <w:b/>
                <w:bCs/>
              </w:rPr>
              <w:t>О ЛИКВИДАЦИИ</w:t>
            </w:r>
          </w:p>
          <w:p w:rsidR="00000000" w:rsidRDefault="00000000">
            <w:pPr>
              <w:tabs>
                <w:tab w:val="clear" w:pos="567"/>
                <w:tab w:val="clear" w:pos="1701"/>
                <w:tab w:val="left" w:pos="0"/>
                <w:tab w:val="left" w:pos="566"/>
                <w:tab w:val="left" w:pos="1134"/>
                <w:tab w:val="left" w:pos="1700"/>
                <w:tab w:val="left" w:pos="2268"/>
                <w:tab w:val="left" w:pos="6519"/>
              </w:tabs>
              <w:spacing w:line="311" w:lineRule="auto"/>
              <w:rPr>
                <w:b/>
                <w:bCs/>
              </w:rPr>
            </w:pPr>
            <w:r>
              <w:rPr>
                <w:b/>
                <w:bCs/>
              </w:rPr>
              <w:t>ВСЕХ ФОРМ</w:t>
            </w:r>
          </w:p>
          <w:p w:rsidR="00000000" w:rsidRDefault="00000000">
            <w:pPr>
              <w:tabs>
                <w:tab w:val="clear" w:pos="567"/>
                <w:tab w:val="clear" w:pos="1701"/>
                <w:tab w:val="left" w:pos="0"/>
                <w:tab w:val="left" w:pos="566"/>
                <w:tab w:val="left" w:pos="1134"/>
                <w:tab w:val="left" w:pos="1700"/>
                <w:tab w:val="left" w:pos="2268"/>
                <w:tab w:val="left" w:pos="6519"/>
              </w:tabs>
            </w:pPr>
            <w:r>
              <w:rPr>
                <w:b/>
                <w:bCs/>
              </w:rPr>
              <w:t>РАСОВОЙ ДИСКРИМИНАЦИИ</w:t>
            </w:r>
          </w:p>
        </w:tc>
        <w:tc>
          <w:tcPr>
            <w:tcW w:w="2565" w:type="dxa"/>
          </w:tcPr>
          <w:p w:rsidR="00000000" w:rsidRDefault="00000000">
            <w:pPr>
              <w:tabs>
                <w:tab w:val="clear" w:pos="567"/>
                <w:tab w:val="clear" w:pos="1701"/>
                <w:tab w:val="left" w:pos="0"/>
                <w:tab w:val="left" w:pos="566"/>
                <w:tab w:val="left" w:pos="1134"/>
                <w:tab w:val="left" w:pos="1700"/>
                <w:tab w:val="left" w:pos="2268"/>
                <w:tab w:val="left" w:pos="6519"/>
              </w:tabs>
              <w:rPr>
                <w:vanish/>
              </w:rPr>
            </w:pPr>
          </w:p>
          <w:p w:rsidR="00000000" w:rsidRDefault="00000000">
            <w:pPr>
              <w:tabs>
                <w:tab w:val="clear" w:pos="567"/>
                <w:tab w:val="clear" w:pos="1701"/>
                <w:tab w:val="left" w:pos="0"/>
                <w:tab w:val="left" w:pos="566"/>
                <w:tab w:val="left" w:pos="1134"/>
                <w:tab w:val="left" w:pos="1700"/>
                <w:tab w:val="left" w:pos="2268"/>
                <w:tab w:val="left" w:pos="6519"/>
              </w:tabs>
            </w:pPr>
            <w:proofErr w:type="spellStart"/>
            <w:r>
              <w:t>Distr</w:t>
            </w:r>
            <w:proofErr w:type="spellEnd"/>
            <w:r>
              <w:t>.</w:t>
            </w:r>
          </w:p>
          <w:p w:rsidR="00000000" w:rsidRDefault="00000000">
            <w:pPr>
              <w:tabs>
                <w:tab w:val="clear" w:pos="567"/>
                <w:tab w:val="clear" w:pos="1701"/>
                <w:tab w:val="left" w:pos="0"/>
                <w:tab w:val="left" w:pos="566"/>
                <w:tab w:val="left" w:pos="1134"/>
                <w:tab w:val="left" w:pos="1700"/>
                <w:tab w:val="left" w:pos="2268"/>
                <w:tab w:val="left" w:pos="6519"/>
              </w:tabs>
            </w:pPr>
            <w:proofErr w:type="spellStart"/>
            <w:r>
              <w:t>GENERAL</w:t>
            </w:r>
            <w:proofErr w:type="spellEnd"/>
          </w:p>
          <w:p w:rsidR="00000000" w:rsidRDefault="00000000">
            <w:pPr>
              <w:tabs>
                <w:tab w:val="clear" w:pos="567"/>
                <w:tab w:val="clear" w:pos="1701"/>
                <w:tab w:val="left" w:pos="0"/>
                <w:tab w:val="left" w:pos="566"/>
                <w:tab w:val="left" w:pos="1134"/>
                <w:tab w:val="left" w:pos="1700"/>
                <w:tab w:val="left" w:pos="2268"/>
                <w:tab w:val="left" w:pos="6519"/>
              </w:tabs>
            </w:pPr>
          </w:p>
          <w:p w:rsidR="00000000" w:rsidRDefault="00000000">
            <w:pPr>
              <w:tabs>
                <w:tab w:val="clear" w:pos="567"/>
                <w:tab w:val="clear" w:pos="1701"/>
                <w:tab w:val="left" w:pos="0"/>
                <w:tab w:val="left" w:pos="566"/>
                <w:tab w:val="left" w:pos="1134"/>
                <w:tab w:val="left" w:pos="1700"/>
                <w:tab w:val="left" w:pos="2268"/>
                <w:tab w:val="left" w:pos="6519"/>
              </w:tabs>
            </w:pPr>
            <w:proofErr w:type="spellStart"/>
            <w:r>
              <w:t>CERD</w:t>
            </w:r>
            <w:proofErr w:type="spellEnd"/>
            <w:r>
              <w:t>/</w:t>
            </w:r>
            <w:proofErr w:type="spellStart"/>
            <w:r>
              <w:t>C</w:t>
            </w:r>
            <w:proofErr w:type="spellEnd"/>
            <w:r>
              <w:t>/384/</w:t>
            </w:r>
            <w:proofErr w:type="spellStart"/>
            <w:r>
              <w:t>Add.2</w:t>
            </w:r>
            <w:proofErr w:type="spellEnd"/>
          </w:p>
          <w:p w:rsidR="00000000" w:rsidRDefault="00000000">
            <w:pPr>
              <w:tabs>
                <w:tab w:val="clear" w:pos="567"/>
                <w:tab w:val="clear" w:pos="1701"/>
                <w:tab w:val="left" w:pos="0"/>
                <w:tab w:val="left" w:pos="566"/>
                <w:tab w:val="left" w:pos="1134"/>
                <w:tab w:val="left" w:pos="1700"/>
                <w:tab w:val="left" w:pos="2268"/>
                <w:tab w:val="left" w:pos="6519"/>
              </w:tabs>
            </w:pPr>
            <w:r>
              <w:t xml:space="preserve">18 </w:t>
            </w:r>
            <w:proofErr w:type="spellStart"/>
            <w:r>
              <w:t>October</w:t>
            </w:r>
            <w:proofErr w:type="spellEnd"/>
            <w:r>
              <w:t xml:space="preserve"> 2000</w:t>
            </w:r>
          </w:p>
          <w:p w:rsidR="00000000" w:rsidRDefault="00000000">
            <w:pPr>
              <w:tabs>
                <w:tab w:val="clear" w:pos="567"/>
                <w:tab w:val="clear" w:pos="1701"/>
                <w:tab w:val="left" w:pos="0"/>
                <w:tab w:val="left" w:pos="566"/>
                <w:tab w:val="left" w:pos="1134"/>
                <w:tab w:val="left" w:pos="1700"/>
                <w:tab w:val="left" w:pos="2268"/>
                <w:tab w:val="left" w:pos="6519"/>
              </w:tabs>
            </w:pPr>
          </w:p>
          <w:p w:rsidR="00000000" w:rsidRDefault="00000000">
            <w:pPr>
              <w:tabs>
                <w:tab w:val="clear" w:pos="567"/>
                <w:tab w:val="clear" w:pos="1701"/>
                <w:tab w:val="left" w:pos="0"/>
                <w:tab w:val="left" w:pos="566"/>
                <w:tab w:val="left" w:pos="1134"/>
                <w:tab w:val="left" w:pos="1700"/>
                <w:tab w:val="left" w:pos="2268"/>
                <w:tab w:val="left" w:pos="6519"/>
              </w:tabs>
            </w:pPr>
            <w:proofErr w:type="spellStart"/>
            <w:r>
              <w:t>Original</w:t>
            </w:r>
            <w:proofErr w:type="spellEnd"/>
            <w:r>
              <w:t xml:space="preserve">: </w:t>
            </w:r>
            <w:proofErr w:type="spellStart"/>
            <w:r>
              <w:t>RUSSIAN</w:t>
            </w:r>
            <w:proofErr w:type="spellEnd"/>
          </w:p>
        </w:tc>
      </w:tr>
    </w:tbl>
    <w:p w:rsidR="00000000" w:rsidRDefault="00000000">
      <w:pPr>
        <w:tabs>
          <w:tab w:val="clear" w:pos="567"/>
          <w:tab w:val="clear" w:pos="1701"/>
          <w:tab w:val="left" w:pos="0"/>
          <w:tab w:val="left" w:pos="566"/>
          <w:tab w:val="left" w:pos="1134"/>
          <w:tab w:val="left" w:pos="1700"/>
          <w:tab w:val="left" w:pos="2268"/>
          <w:tab w:val="left" w:pos="6519"/>
        </w:tabs>
        <w:spacing w:line="28" w:lineRule="exact"/>
      </w:pPr>
      <w:r>
        <w:rPr>
          <w:noProof/>
        </w:rPr>
        <w:pict>
          <v:rect id="_x0000_s2050" style="position:absolute;margin-left:85pt;margin-top:0;width:467.85pt;height:1.4pt;z-index:-1;mso-position-horizontal-relative:page;mso-position-vertical-relative:text" o:allowincell="f" fillcolor="black" stroked="f" strokeweight="0">
            <v:fill color2="black"/>
            <w10:wrap anchorx="page"/>
            <w10:anchorlock/>
          </v:rect>
        </w:pict>
      </w:r>
    </w:p>
    <w:p w:rsidR="00000000" w:rsidRDefault="00000000">
      <w:pPr>
        <w:tabs>
          <w:tab w:val="clear" w:pos="567"/>
          <w:tab w:val="clear" w:pos="1701"/>
          <w:tab w:val="left" w:pos="0"/>
          <w:tab w:val="left" w:pos="566"/>
          <w:tab w:val="left" w:pos="1134"/>
          <w:tab w:val="left" w:pos="1700"/>
          <w:tab w:val="left" w:pos="2268"/>
          <w:tab w:val="left" w:pos="6519"/>
        </w:tabs>
        <w:spacing w:line="287" w:lineRule="auto"/>
        <w:rPr>
          <w:lang w:val="en-US"/>
        </w:rPr>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r>
        <w:t>КОМИТЕТ ПО ЛИКВИДАЦИИ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r>
        <w:t>РАСОВОЙ ДИСКРИМИНАЦИИ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jc w:val="center"/>
      </w:pPr>
      <w:r>
        <w:t>РАССМОТРЕНИЕ ДОКЛАДОВ, ПРЕДСТАВЛЕННЫХ</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jc w:val="center"/>
      </w:pPr>
      <w:r>
        <w:t>ГОСУДАРСТВАМИ-УЧАСТНИКАМИ В СООТВЕТСТВИИ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jc w:val="center"/>
      </w:pPr>
      <w:r>
        <w:t>СО СТАТЬЕЙ 9 КОНВЕНЦИИ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tabs>
          <w:tab w:val="center" w:pos="4678"/>
          <w:tab w:val="left" w:pos="6519"/>
        </w:tabs>
        <w:spacing w:line="240" w:lineRule="auto"/>
        <w:jc w:val="center"/>
        <w:rPr>
          <w:i/>
          <w:iCs/>
        </w:rPr>
      </w:pPr>
      <w:r>
        <w:rPr>
          <w:i/>
          <w:iCs/>
        </w:rPr>
        <w:t xml:space="preserve">Пятнадцатый и шестнадцатый </w:t>
      </w:r>
      <w:proofErr w:type="spellStart"/>
      <w:r>
        <w:rPr>
          <w:i/>
          <w:iCs/>
        </w:rPr>
        <w:t>перидические</w:t>
      </w:r>
      <w:proofErr w:type="spellEnd"/>
      <w:r>
        <w:rPr>
          <w:i/>
          <w:iCs/>
        </w:rPr>
        <w:t xml:space="preserve"> доклады государств-участников,</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center"/>
      </w:pPr>
      <w:r>
        <w:rPr>
          <w:i/>
          <w:iCs/>
        </w:rPr>
        <w:t>подлежащие представлению в 1998 и 2000 годах</w:t>
      </w:r>
    </w:p>
    <w:p w:rsidR="00000000" w:rsidRDefault="00000000">
      <w:pPr>
        <w:pStyle w:val="FootnoteText"/>
        <w:tabs>
          <w:tab w:val="clear" w:pos="567"/>
          <w:tab w:val="clear" w:pos="1701"/>
          <w:tab w:val="left" w:pos="0"/>
          <w:tab w:val="left" w:pos="566"/>
          <w:tab w:val="left" w:pos="1134"/>
          <w:tab w:val="left" w:pos="1700"/>
          <w:tab w:val="left" w:pos="2268"/>
          <w:tab w:val="left" w:pos="6519"/>
        </w:tabs>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center"/>
      </w:pPr>
      <w:r>
        <w:rPr>
          <w:i/>
          <w:iCs/>
        </w:rPr>
        <w:t>Добавление</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pPr>
    </w:p>
    <w:p w:rsidR="00000000" w:rsidRDefault="00000000">
      <w:pPr>
        <w:tabs>
          <w:tab w:val="center" w:pos="4678"/>
          <w:tab w:val="left" w:pos="6519"/>
        </w:tabs>
        <w:spacing w:line="240" w:lineRule="auto"/>
        <w:jc w:val="center"/>
      </w:pPr>
      <w:r>
        <w:t>УКРАИНА*</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right"/>
      </w:pPr>
      <w:r>
        <w:t>[25 июля 2000 года]</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r>
        <w:t>________________</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pPr>
      <w:r>
        <w:t>*</w:t>
      </w:r>
      <w:r>
        <w:tab/>
        <w:t xml:space="preserve">Настоящий документ содержит представленные в виде </w:t>
      </w:r>
      <w:proofErr w:type="spellStart"/>
      <w:r>
        <w:t>одиного</w:t>
      </w:r>
      <w:proofErr w:type="spellEnd"/>
      <w:r>
        <w:t xml:space="preserve"> документа пятнадцатый и шестнадцатый периодические доклады, подлежащие представлению соответственно 6 апреля 1998 года и 6 апреля 2000 года.  Тринадцатый и четырнадцатый периодические доклады Украины, представленные в виде единого документа, и краткие отчеты о заседаниях, на которых Комитет рассмотрел этот доклад, см.  документы </w:t>
      </w:r>
      <w:proofErr w:type="spellStart"/>
      <w:r>
        <w:t>CERD</w:t>
      </w:r>
      <w:proofErr w:type="spellEnd"/>
      <w:r>
        <w:t>/</w:t>
      </w:r>
      <w:proofErr w:type="spellStart"/>
      <w:r>
        <w:t>C</w:t>
      </w:r>
      <w:proofErr w:type="spellEnd"/>
      <w:r>
        <w:t>/299/</w:t>
      </w:r>
      <w:proofErr w:type="spellStart"/>
      <w:r>
        <w:t>Add.14</w:t>
      </w:r>
      <w:proofErr w:type="spellEnd"/>
      <w:r>
        <w:t xml:space="preserve"> и </w:t>
      </w:r>
      <w:proofErr w:type="spellStart"/>
      <w:r>
        <w:t>CERD</w:t>
      </w:r>
      <w:proofErr w:type="spellEnd"/>
      <w:r>
        <w:t>/</w:t>
      </w:r>
      <w:proofErr w:type="spellStart"/>
      <w:r>
        <w:t>C</w:t>
      </w:r>
      <w:proofErr w:type="spellEnd"/>
      <w:r>
        <w:t>/</w:t>
      </w:r>
      <w:proofErr w:type="spellStart"/>
      <w:r>
        <w:t>SR.1256</w:t>
      </w:r>
      <w:proofErr w:type="spellEnd"/>
      <w:r>
        <w:t>, 1257 и 1269.</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ind w:firstLine="566"/>
      </w:pPr>
      <w:r>
        <w:t xml:space="preserve">Информация, представленная Украиной в соответствии с общими руководящими принципами составления первоначальной части докладов государств-участников, содержится в базовом документе </w:t>
      </w:r>
      <w:proofErr w:type="spellStart"/>
      <w:r>
        <w:t>HRI</w:t>
      </w:r>
      <w:proofErr w:type="spellEnd"/>
      <w:r>
        <w:t>/</w:t>
      </w:r>
      <w:proofErr w:type="spellStart"/>
      <w:r>
        <w:t>CORE</w:t>
      </w:r>
      <w:proofErr w:type="spellEnd"/>
      <w:r>
        <w:t>/1/</w:t>
      </w:r>
      <w:proofErr w:type="spellStart"/>
      <w:r>
        <w:t>Add.63</w:t>
      </w:r>
      <w:proofErr w:type="spellEnd"/>
      <w:r>
        <w:t>/</w:t>
      </w:r>
      <w:proofErr w:type="spellStart"/>
      <w:r>
        <w:t>Rev.1</w:t>
      </w:r>
      <w:proofErr w:type="spellEnd"/>
      <w:r>
        <w:t>.</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rPr>
          <w:lang w:val="en-US"/>
        </w:rPr>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roofErr w:type="spellStart"/>
      <w:r>
        <w:t>GE</w:t>
      </w:r>
      <w:proofErr w:type="spellEnd"/>
      <w:r>
        <w:t>. 00-45113</w:t>
      </w:r>
      <w:bookmarkStart w:id="0" w:name="QuickMark"/>
      <w:bookmarkEnd w:id="0"/>
      <w:r>
        <w:t xml:space="preserve">  (</w:t>
      </w:r>
      <w:proofErr w:type="spellStart"/>
      <w:r>
        <w:t>R</w:t>
      </w:r>
      <w:proofErr w:type="spellEnd"/>
      <w:r>
        <w:t>)</w:t>
      </w:r>
    </w:p>
    <w:p w:rsidR="00000000" w:rsidRDefault="00000000">
      <w:pPr>
        <w:pStyle w:val="16"/>
        <w:tabs>
          <w:tab w:val="clear" w:pos="567"/>
          <w:tab w:val="clear" w:pos="1701"/>
          <w:tab w:val="left" w:pos="0"/>
          <w:tab w:val="left" w:pos="566"/>
          <w:tab w:val="left" w:pos="1134"/>
          <w:tab w:val="left" w:pos="1700"/>
          <w:tab w:val="left" w:pos="2268"/>
          <w:tab w:val="left" w:pos="6519"/>
        </w:tabs>
        <w:spacing w:line="240" w:lineRule="auto"/>
      </w:pPr>
      <w:r>
        <w:br w:type="page"/>
        <w:t>ПЯТНАДЦАТЫЙ И ШЕСТНАДЦАТЫЙ ДОКЛАДЫ УКРАИНЫ О ВЫПОЛНЕНИИ ПОЛОЖЕНИЙ МЕЖДУНАРОДНОЙ КОНВЕНЦИИ О ЛИКВИДАЦИИ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jc w:val="center"/>
      </w:pPr>
      <w:r>
        <w:t>ВСЕХ ФОРМ РАСОВОЙ ДИСКРИМИНАЦИИ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jc w:val="center"/>
        <w:rPr>
          <w:lang w:val="en-US"/>
        </w:rPr>
      </w:pPr>
      <w:r>
        <w:t xml:space="preserve">ЧАСТЬ </w:t>
      </w:r>
      <w:r>
        <w:rPr>
          <w:lang w:val="en-US"/>
        </w:rPr>
        <w:t>I</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jc w:val="center"/>
      </w:pPr>
      <w:r>
        <w:rPr>
          <w:b/>
          <w:bCs/>
        </w:rPr>
        <w:t>Общие сведения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Настоящие доклады дополняют предыдущие доклады, представленные Украиной во исполнение статьи 9 Конвенции, и, в частности, тринадцатый и четырнадцатый доклады (представление докладов состоялась 9 и10 марта 1998 года в Женеве в Комитете по ликвидации расовой дискриминации, доклады представлял заместитель министра юстиции Украины г-н Л.В.</w:t>
      </w:r>
      <w:r>
        <w:rPr>
          <w:lang w:val="en-US"/>
        </w:rPr>
        <w:t xml:space="preserve"> </w:t>
      </w:r>
      <w:proofErr w:type="spellStart"/>
      <w:r>
        <w:t>Ефименко</w:t>
      </w:r>
      <w:proofErr w:type="spellEnd"/>
      <w:r>
        <w:t>).  Кроме того, в докладах содержатся ответы на вопросы, заданные экспертами при представлении Украиной тринадцатого и четырнадцатого докладов.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После провозглашения независимости в суверенной Украине начался процесс государственного утверждения, при этом важнейшей его частью стало формирование и воплощение в жизнь национальной политики в области народонаселения.  В Украине, как и в большинстве стран с переходной экономикой, процессы, связанные с государственным строительством и созданием принципиально новой системы функционирования экономики, неизбежно сопряжены с наличием социальных проблем, для разрешения которых требуется как время, так и определенные объективные предпосылки.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 предварительным данным номинальный валовой внутренний продукт (</w:t>
      </w:r>
      <w:proofErr w:type="spellStart"/>
      <w:r>
        <w:t>ВВП</w:t>
      </w:r>
      <w:proofErr w:type="spellEnd"/>
      <w:r>
        <w:t xml:space="preserve">) в 1998 году составил 103,9 млрд. </w:t>
      </w:r>
      <w:proofErr w:type="spellStart"/>
      <w:r>
        <w:t>грн</w:t>
      </w:r>
      <w:proofErr w:type="spellEnd"/>
      <w:r>
        <w:t xml:space="preserve">. и снизился по сравнению с 1997 годом на </w:t>
      </w:r>
      <w:proofErr w:type="spellStart"/>
      <w:r>
        <w:t>1,7%</w:t>
      </w:r>
      <w:proofErr w:type="spellEnd"/>
      <w:r>
        <w:t xml:space="preserve">.  Это наименьшее его сокращение в течение всех лет независимости Украины.  В 1998 году </w:t>
      </w:r>
      <w:proofErr w:type="spellStart"/>
      <w:r>
        <w:t>ВВП</w:t>
      </w:r>
      <w:proofErr w:type="spellEnd"/>
      <w:r>
        <w:t xml:space="preserve"> в расчете на душу населения был равен 2 065 </w:t>
      </w:r>
      <w:proofErr w:type="spellStart"/>
      <w:r>
        <w:t>грн</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Объем валового национального дохода (устаревшее название - национальный валовой продукт), учитывающий взаимоотношения с остальным миром в части оплаты труда наемных работников, налогов на производство, импорта, доходов от собственности, которые выплачивает или получает остальной мир, в 1997 году был на уровне 92,2 млрд. </w:t>
      </w:r>
      <w:proofErr w:type="spellStart"/>
      <w:r>
        <w:t>грн</w:t>
      </w:r>
      <w:proofErr w:type="spellEnd"/>
      <w:r>
        <w:t xml:space="preserve">. или на 1,2 млрд. </w:t>
      </w:r>
      <w:proofErr w:type="spellStart"/>
      <w:r>
        <w:t>грн</w:t>
      </w:r>
      <w:proofErr w:type="spellEnd"/>
      <w:r>
        <w:t xml:space="preserve">. меньше </w:t>
      </w:r>
      <w:proofErr w:type="spellStart"/>
      <w:r>
        <w:t>ВВП</w:t>
      </w:r>
      <w:proofErr w:type="spellEnd"/>
      <w:r>
        <w:t xml:space="preserve"> (за 1997 год </w:t>
      </w:r>
      <w:proofErr w:type="spellStart"/>
      <w:r>
        <w:t>ВВП</w:t>
      </w:r>
      <w:proofErr w:type="spellEnd"/>
      <w:r>
        <w:t xml:space="preserve"> составил 93, 4 млрд. </w:t>
      </w:r>
      <w:proofErr w:type="spellStart"/>
      <w:r>
        <w:t>грн</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Динамика промышленного производства за период с 1991 года по 1998 год свидетельствует о том, что наиболее кризисным для отрасли был 1994 год,</w:t>
      </w:r>
      <w:r>
        <w:rPr>
          <w:vertAlign w:val="superscript"/>
        </w:rPr>
        <w:t xml:space="preserve"> </w:t>
      </w:r>
      <w:r>
        <w:t xml:space="preserve">когда выпуск промышленной продукции за год сократился на </w:t>
      </w:r>
      <w:proofErr w:type="spellStart"/>
      <w:r>
        <w:t>27,3%</w:t>
      </w:r>
      <w:proofErr w:type="spellEnd"/>
      <w:r>
        <w:t>, а за восемь лет - вдвое.</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результате значительного падения производства и инфляционных процессов претерпела изменения отраслевая структура промышленности Украины. Преобладающими в ней стали энергоемкие и сырьевые отрасли:  металлургия, электроэнергетика, топливная, удельный вес которых на протяжении 1995-1998 годов составлял </w:t>
      </w:r>
      <w:proofErr w:type="spellStart"/>
      <w:r>
        <w:t>48-50%</w:t>
      </w:r>
      <w:proofErr w:type="spellEnd"/>
      <w:r>
        <w:t xml:space="preserve"> (в 1990г. - </w:t>
      </w:r>
      <w:proofErr w:type="spellStart"/>
      <w:r>
        <w:t>21%</w:t>
      </w:r>
      <w:proofErr w:type="spellEnd"/>
      <w:r>
        <w:t xml:space="preserve">).  Удельный вес машиностроения уменьшился по сравнению с 1990 годом вдвое и колеблется в пределах </w:t>
      </w:r>
      <w:proofErr w:type="spellStart"/>
      <w:r>
        <w:t>15-16%</w:t>
      </w:r>
      <w:proofErr w:type="spellEnd"/>
      <w:r>
        <w:t xml:space="preserve">, легкой промышленности - в семь раз и составляет лишь </w:t>
      </w:r>
      <w:proofErr w:type="spellStart"/>
      <w:r>
        <w:t>1,5%</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1995 году темпы падения промышленного производства замедлились, а в первой половине 1998 года наблюдался даже рост.</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Тем не менее, был получен прирост производства по сравнению с 1997 годом в цветной металлургии, автомобилестроении, сельском хозяйстве, машиностроении, нефтехимической, деревообрабатывающей и бумажной, легкой промышленности и промышленности строительных материалов.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Значительные сдвиги произошли в промышленности по формам собственности. Дальнейшее развитие получил ее негосударственный сектор.  Удельный вес негосударственных предприятий возрос с </w:t>
      </w:r>
      <w:proofErr w:type="spellStart"/>
      <w:r>
        <w:t>23%</w:t>
      </w:r>
      <w:proofErr w:type="spellEnd"/>
      <w:r>
        <w:t xml:space="preserve"> в 1991 году до 80 % в1998 году, а объем их производства увеличился соответственно с </w:t>
      </w:r>
      <w:proofErr w:type="spellStart"/>
      <w:r>
        <w:t>17%</w:t>
      </w:r>
      <w:proofErr w:type="spellEnd"/>
      <w:r>
        <w:t xml:space="preserve"> до </w:t>
      </w:r>
      <w:proofErr w:type="spellStart"/>
      <w:r>
        <w:t>68%</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пищевой, легкой, деревообрабатывающей, целлюлозно-бумажной промышленности на предприятиях негосударственного сектора выпускается </w:t>
      </w:r>
      <w:proofErr w:type="spellStart"/>
      <w:r>
        <w:t>92-98%</w:t>
      </w:r>
      <w:proofErr w:type="spellEnd"/>
      <w:r>
        <w:t xml:space="preserve"> продукции, в металлургии, в стеклянной и </w:t>
      </w:r>
      <w:proofErr w:type="spellStart"/>
      <w:r>
        <w:t>фарфоро-фаянсовой</w:t>
      </w:r>
      <w:proofErr w:type="spellEnd"/>
      <w:r>
        <w:t xml:space="preserve"> промышленности строительных материалов - более </w:t>
      </w:r>
      <w:proofErr w:type="spellStart"/>
      <w:r>
        <w:t>80%</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Доля сельского хозяйства в валовой добавочной стоимости, созданной в отраслях экономики Украины, составляет </w:t>
      </w:r>
      <w:proofErr w:type="spellStart"/>
      <w:r>
        <w:t>11%</w:t>
      </w:r>
      <w:proofErr w:type="spellEnd"/>
      <w:r>
        <w:t xml:space="preserve">.  В отрасли сельского хозяйства занята пятая часть работающих во всех сферах экономической деятельности, сосредоточена почти четверть производственных основных фондов от их общей стоимости в экономике Украины.  В 1998 г. по сравнению с 1990 годом объем производства сельскохозяйственной продукции сократился в целом на </w:t>
      </w:r>
      <w:proofErr w:type="spellStart"/>
      <w:r>
        <w:t>47%</w:t>
      </w:r>
      <w:proofErr w:type="spellEnd"/>
      <w:r>
        <w:t xml:space="preserve">, причем в сельскохозяйственных предприятиях он уменьшился втрое.  Такие тенденции внесли существенные изменения в структуру производства.  Если в 1990 году основными производителями продукции сельского хозяйства были </w:t>
      </w:r>
      <w:proofErr w:type="spellStart"/>
      <w:r>
        <w:t>крупнотоварные</w:t>
      </w:r>
      <w:proofErr w:type="spellEnd"/>
      <w:r>
        <w:t xml:space="preserve"> сельскохозяйственные предприятия, удельный вес которых составлял </w:t>
      </w:r>
      <w:proofErr w:type="spellStart"/>
      <w:r>
        <w:t>71%</w:t>
      </w:r>
      <w:proofErr w:type="spellEnd"/>
      <w:r>
        <w:t xml:space="preserve">, то в 1998 году </w:t>
      </w:r>
      <w:proofErr w:type="spellStart"/>
      <w:r>
        <w:t>58%</w:t>
      </w:r>
      <w:proofErr w:type="spellEnd"/>
      <w:r>
        <w:t xml:space="preserve"> произведенной продукции приходилось на хозяйства населения, которыми произведен почти весь объем картофеля и овощей плодово-ягодных культур и почти две трети основной животноводческой продукции.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1998 году производство зерна в Украине составило 26,5 млн. тонн (сократилось почти вдвое по сравнению с 1990 годом, когда урожай был самым высоким), сахарной свеклы-15,5 млн. тонн (почти на две трети меньше), мяса - 1,7 млн. т. (на </w:t>
      </w:r>
      <w:proofErr w:type="spellStart"/>
      <w:r>
        <w:t>62%</w:t>
      </w:r>
      <w:proofErr w:type="spellEnd"/>
      <w:r>
        <w:t xml:space="preserve"> меньше), молока - 13,7 млн. тонн (на </w:t>
      </w:r>
      <w:proofErr w:type="spellStart"/>
      <w:r>
        <w:t>44%</w:t>
      </w:r>
      <w:proofErr w:type="spellEnd"/>
      <w:r>
        <w:t xml:space="preserve"> меньше), яиц - один млрд. штук (почти вдвое меньше, чем в 1990 году).</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1998 году наметилась тенденция к активизации инвестиционной и строительной деятельности.  Объемы инвестиций в основной капитал возросли по сравнению с 1997 годом на </w:t>
      </w:r>
      <w:proofErr w:type="spellStart"/>
      <w:r>
        <w:t>4,8%</w:t>
      </w:r>
      <w:proofErr w:type="spellEnd"/>
      <w:r>
        <w:t xml:space="preserve"> (в отличие от предыдущих лет, когда они постоянно сокращались).  Вместе с тем, по сравнению с 1990 годом, они сократились на </w:t>
      </w:r>
      <w:proofErr w:type="spellStart"/>
      <w:r>
        <w:t>78,3%</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Наблюдается уменьшение заинтересованности иностранных инвесторов во вложении средств в экономику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Количество малых предприятий в Украине за 1991-1997 годы возросло почти в три раза и составило в 1997 году 136 тыс. предприятий.  На предприятиях малого бизнеса в 1997 году было занято 1,4 млн. человек, что составляет </w:t>
      </w:r>
      <w:proofErr w:type="spellStart"/>
      <w:r>
        <w:t>7%</w:t>
      </w:r>
      <w:proofErr w:type="spellEnd"/>
      <w:r>
        <w:t xml:space="preserve"> от общего количества людей, занятых в отраслях экономики Украины.  Малые предприятия в большинстве своем основаны на частной и коллективных формах собственности.  Удельный вес частных предприятий составляет </w:t>
      </w:r>
      <w:proofErr w:type="spellStart"/>
      <w:r>
        <w:t>32%</w:t>
      </w:r>
      <w:proofErr w:type="spellEnd"/>
      <w:r>
        <w:t xml:space="preserve">, коллективных - </w:t>
      </w:r>
      <w:proofErr w:type="spellStart"/>
      <w:r>
        <w:t>66%</w:t>
      </w:r>
      <w:proofErr w:type="spellEnd"/>
      <w:r>
        <w:t xml:space="preserve">, государственных - </w:t>
      </w:r>
      <w:proofErr w:type="spellStart"/>
      <w:r>
        <w:t>2%</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Ценовые процессы, которые происходили в экономике государства на протяжении 1991-1998 годов имели свои особенности.  Начиная с 1991 г.</w:t>
      </w:r>
      <w:r>
        <w:rPr>
          <w:vertAlign w:val="superscript"/>
        </w:rPr>
        <w:t xml:space="preserve"> </w:t>
      </w:r>
      <w:r>
        <w:t>наблюдался постепенный рост как потребительских цен, так и цен производителей промышленной продукции.  Стремительный их рост начался в 1992 году и продолжался на протяжении 1993 года, достигнув наибольших величин.  В 1994-1997 годах наблюдалась устойчивая тенденция замедления темпов роста цен, которая имела продолжение и в январе-августе 1998 года.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Основной причиной роста цен на потребительском рынке и рынке</w:t>
      </w:r>
      <w:r>
        <w:rPr>
          <w:smallCaps/>
        </w:rPr>
        <w:t xml:space="preserve"> </w:t>
      </w:r>
      <w:r>
        <w:t xml:space="preserve">промышленного производства в сентябре-декабре 1998 года стала девальвация гривны.  В целом за 1998 год их рост составил соответственно </w:t>
      </w:r>
      <w:proofErr w:type="spellStart"/>
      <w:r>
        <w:t>20%</w:t>
      </w:r>
      <w:proofErr w:type="spellEnd"/>
      <w:r>
        <w:t xml:space="preserve"> и </w:t>
      </w:r>
      <w:proofErr w:type="spellStart"/>
      <w:r>
        <w:t>35,3%</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Среднемесячная номинальная заработная плата одного работающего в 1998 году составила 153,5 гривны, что соответствовало 65 долларам США по курсу Национального банка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Рост номинальной заработной платы на протяжении 1991-1999 годов сопровождался опережающим ростом цен, что привело к снижению заработной платы за указанный период на более чем </w:t>
      </w:r>
      <w:proofErr w:type="spellStart"/>
      <w:r>
        <w:t>70%</w:t>
      </w:r>
      <w:proofErr w:type="spellEnd"/>
      <w:r>
        <w:t xml:space="preserve">; наибольшее ее сокращение наблюдалось в 1992-1993 годах.  За последний период реальная заработная плата уменьшилась на </w:t>
      </w:r>
      <w:proofErr w:type="spellStart"/>
      <w:r>
        <w:t>12,9%</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rPr>
          <w:lang w:val="en-US"/>
        </w:rPr>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За семилетний период действия Закона Украины "О защите населения" на рынке труда произошли определенные изменения, обусловленные структурными преобразованиями в экономике государств, обострением экономических и социальных проблем.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период с1992 по 1998 год за помощью в поисках работы в государственную службу занятости обратилось более 5 млн. незанятых трудовой деятельностью граждан, среди которых каждый пятый был уволен с работы в связи с изменениями в организации производства.  Если в 1992-1995 годах в службах занятости ежегодно в среднем регистрировалось около полумиллиона человек (486,8 тыс.), то за 1996 год было зарегистрировано 821,3 тысячи, а за 1998 - 1,4 млн. незанятых граждан.</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 1992 по 1994 год включительно потребность предприятий в работниках почти соответствовала уровню предложения рабочей силы.  Начиная с 1995 года наблюдалось общее уменьшение количества свободных мест на фоне интенсивного роста численности незанятого населения, что привело к дисбалансу на рынке труда.  Так, если на конец декабря 1995 года на одно свободное рабочее место претендовало два человека, то на этот же период 1996 года - 11 человек, а в 1998 году - 30 человек.</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На 1 января 1999 года в государственной службе занятости был зарегистрирован один миллион безработных, что составляет </w:t>
      </w:r>
      <w:proofErr w:type="spellStart"/>
      <w:r>
        <w:t>3,5%</w:t>
      </w:r>
      <w:proofErr w:type="spellEnd"/>
      <w:r>
        <w:t xml:space="preserve"> трудоспособного населения.  Общий объем предложения рабочей силы был выше в несколько раз.  Численность незанятых граждан, которые не имели работы, активно искали и были готовы приступить к ней, согласно проведенному исследованию, в ноябре 1998 года составила 3 млн. лиц, или </w:t>
      </w:r>
      <w:proofErr w:type="spellStart"/>
      <w:r>
        <w:t>12%</w:t>
      </w:r>
      <w:proofErr w:type="spellEnd"/>
      <w:r>
        <w:t xml:space="preserve"> экономически активного населения в возрасте 15-70 лет.</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Общая социально-экономическая ситуация в Украине и особенно последствия финансового кризиса, охватившего в 1998 году ряд стран СНГ, продолжают отрицательно воздействовать на развитие основных демографических тенденций в стране.  В сфере воспроизводства населения доминируют, к сожалению, негативные процессы, что во многом определено социальной нестабильностью и снижением уровня жизни.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Украина - многонациональное государство.  Согласно последней переписи населения в 1989 году на территории государства проживало свыше 110 национальностей и народностей.  Национальность, как и при всех предыдущих переписях, записывалась со слов опрашиваемых на основе их самоопределения, а национальность детей определялась родителями.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Наиболее многочисленная из всех проживающих является коренная национальность</w:t>
      </w:r>
      <w:r>
        <w:rPr>
          <w:lang w:val="en-US"/>
        </w:rPr>
        <w:t> -</w:t>
      </w:r>
      <w:r>
        <w:t xml:space="preserve"> украинцы, численность которых по данным переписи составила 37,4 млн. человек (</w:t>
      </w:r>
      <w:proofErr w:type="spellStart"/>
      <w:r>
        <w:t>72,7%</w:t>
      </w:r>
      <w:proofErr w:type="spellEnd"/>
      <w:r>
        <w:t xml:space="preserve"> всего населения).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Кроме украинцев, на Украине проживает 14 млн., или </w:t>
      </w:r>
      <w:proofErr w:type="spellStart"/>
      <w:r>
        <w:t>27%</w:t>
      </w:r>
      <w:proofErr w:type="spellEnd"/>
      <w:r>
        <w:t xml:space="preserve"> русскоязычного населения - представителей других стран СНГ.  Наибольшей по численности (</w:t>
      </w:r>
      <w:proofErr w:type="spellStart"/>
      <w:r>
        <w:t>81%</w:t>
      </w:r>
      <w:proofErr w:type="spellEnd"/>
      <w:r>
        <w:t>) среди этой группы и второй после украинцев в стране являются русские.  Их общая численность составила более 11 млн. человек (22 % во всем населении).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Третьей по численности национальностью по данным переписи были евреи, численность которых составляла около 500 тысяч или </w:t>
      </w:r>
      <w:proofErr w:type="spellStart"/>
      <w:r>
        <w:t>0,9%</w:t>
      </w:r>
      <w:proofErr w:type="spellEnd"/>
      <w:r>
        <w:t xml:space="preserve"> от всего населения.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Переселение крымских татар на Украину, начавшееся в середине 80-х годов и ставшее особенно массовым к концу истекшего десятилетия, обусловило их значительный рост (46,8 тыс. в 1989 году по сравнению с 6,6 тыс. в 1979 году).  Процесс возвращения депортированных крымских татар значительно усилился в 90-х годах.  По данным текущего учета населения по состоянию на 1 января 1999 года только в Автономной Республике Крым постоянно проживало более 250 тыс. крымских татар.</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результате высокой миграционной подвижности населения ряда </w:t>
      </w:r>
      <w:proofErr w:type="spellStart"/>
      <w:r>
        <w:t>трудоизбыточных</w:t>
      </w:r>
      <w:proofErr w:type="spellEnd"/>
      <w:r>
        <w:t xml:space="preserve"> территорий Российской Федерации, за годы перед прошлой переписью населения на Украине более чем в два-три раза выросла численность </w:t>
      </w:r>
      <w:proofErr w:type="spellStart"/>
      <w:r>
        <w:t>лезгинов</w:t>
      </w:r>
      <w:proofErr w:type="spellEnd"/>
      <w:r>
        <w:t xml:space="preserve">, даргинцев, кумыков, </w:t>
      </w:r>
      <w:proofErr w:type="spellStart"/>
      <w:r>
        <w:t>рутульцев</w:t>
      </w:r>
      <w:proofErr w:type="spellEnd"/>
      <w:r>
        <w:t xml:space="preserve">, </w:t>
      </w:r>
      <w:proofErr w:type="spellStart"/>
      <w:r>
        <w:t>табасаранов</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Из числа национальностей, проживающих в основном за пределами Украины, наиболее многочисленным по данным переписи населения остаются болгары (234 тыс. человек, или </w:t>
      </w:r>
      <w:proofErr w:type="spellStart"/>
      <w:r>
        <w:t>0,5%</w:t>
      </w:r>
      <w:proofErr w:type="spellEnd"/>
      <w:r>
        <w:t xml:space="preserve"> всех жителей), поляки (219 тыс., или </w:t>
      </w:r>
      <w:proofErr w:type="spellStart"/>
      <w:r>
        <w:t>0,4%</w:t>
      </w:r>
      <w:proofErr w:type="spellEnd"/>
      <w:r>
        <w:t xml:space="preserve">), венгры (163 тыс., или </w:t>
      </w:r>
      <w:proofErr w:type="spellStart"/>
      <w:r>
        <w:t>0,3%</w:t>
      </w:r>
      <w:proofErr w:type="spellEnd"/>
      <w:r>
        <w:t xml:space="preserve">), греки (99 тыс., или </w:t>
      </w:r>
      <w:proofErr w:type="spellStart"/>
      <w:r>
        <w:t>0,2%</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Численность населения Украины на 1 января 1999 года составила 50,1 млн. человек, из них </w:t>
      </w:r>
      <w:proofErr w:type="spellStart"/>
      <w:r>
        <w:t>67,9%</w:t>
      </w:r>
      <w:proofErr w:type="spellEnd"/>
      <w:r>
        <w:t xml:space="preserve"> (34,0 млн. человек) </w:t>
      </w:r>
      <w:r>
        <w:rPr>
          <w:lang w:val="en-US"/>
        </w:rPr>
        <w:t>-</w:t>
      </w:r>
      <w:r>
        <w:t xml:space="preserve"> городское население, </w:t>
      </w:r>
      <w:proofErr w:type="spellStart"/>
      <w:r>
        <w:t>32,1%</w:t>
      </w:r>
      <w:proofErr w:type="spellEnd"/>
      <w:r>
        <w:t xml:space="preserve"> (16,1 млн. человек) </w:t>
      </w:r>
      <w:r>
        <w:rPr>
          <w:lang w:val="en-US"/>
        </w:rPr>
        <w:t>-</w:t>
      </w:r>
      <w:r>
        <w:t xml:space="preserve"> сельское.  Распределение населения по полу представлено следующим соотношением: </w:t>
      </w:r>
      <w:proofErr w:type="spellStart"/>
      <w:r>
        <w:t>53,5%</w:t>
      </w:r>
      <w:proofErr w:type="spellEnd"/>
      <w:r>
        <w:t xml:space="preserve"> (26,8 млн. человек) </w:t>
      </w:r>
      <w:r>
        <w:rPr>
          <w:lang w:val="en-US"/>
        </w:rPr>
        <w:t>-</w:t>
      </w:r>
      <w:r>
        <w:t xml:space="preserve"> женщины, </w:t>
      </w:r>
      <w:proofErr w:type="spellStart"/>
      <w:r>
        <w:t>46,5%</w:t>
      </w:r>
      <w:proofErr w:type="spellEnd"/>
      <w:r>
        <w:t xml:space="preserve"> (23,3 млн. человек) </w:t>
      </w:r>
      <w:r>
        <w:rPr>
          <w:lang w:val="en-US"/>
        </w:rPr>
        <w:t>-</w:t>
      </w:r>
      <w:r>
        <w:t xml:space="preserve"> мужчины.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 данным на начало текущего года в целом по Украине плотность населения составляет 83 человека на один квадратный километр.  Этот показатель наиболее высок в урбанизированных индустриально-развитых восточных областях и в тех областях на западе страны, где в сельскохозяйственном производстве высок удельный вес частного сектора.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На протяжении последних пяти лет ежегодно численность населения Украины сокращается в среднем почти на 0,4 млн. человек.  Так, за истекший год число жителей уменьшилось на 394,3 тыс. человек.  Впервые сокращение численности населения в стране было зафиксировано в 1993 году.  Главным фактором этого явления была и остается естественная убыль населения, ее величина в 1998 году составила 300,7 тыс. человек.</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свою очередь определяющей причиной естественной убыли населения является падение рождаемости на фоне высокого уровня смертности населения.  В Украине, по сравнению с началом 90-х годов, общий коэффициент рождаемости снизился на </w:t>
      </w:r>
      <w:proofErr w:type="spellStart"/>
      <w:r>
        <w:t>31,4%</w:t>
      </w:r>
      <w:proofErr w:type="spellEnd"/>
      <w:r>
        <w:t xml:space="preserve"> и составил в 1998 году </w:t>
      </w:r>
      <w:proofErr w:type="spellStart"/>
      <w:r>
        <w:t>8,3%</w:t>
      </w:r>
      <w:proofErr w:type="spellEnd"/>
      <w:r>
        <w:t xml:space="preserve">.  Уровень рождаемости в стране оценивается как недостаточный, ибо он давно не обеспечивает простого воспроизводства населения: нетто-коэффициент воспроизводства населения в 1997-1998 годах соответствовал 0,578 при необходимой величине этого показателя не меньше 1,0.  Почти половина общей численности семей, которые имеют детей в возрасте до 18 лет, - это семьи с одним ребенком.  Следует признать, что в Украине нарастают масштабы </w:t>
      </w:r>
      <w:proofErr w:type="spellStart"/>
      <w:r>
        <w:t>однодетности</w:t>
      </w:r>
      <w:proofErr w:type="spellEnd"/>
      <w:r>
        <w:t xml:space="preserve"> и бездетности.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Рождаемость во многом зависит от соотношения количества браков и разводов.  В последние годы в Украине отчетливо прослеживается тенденция к постепенному уменьшению числа браков (в 1998 году было зарегистрировано 6,2 браков на тысячу человек населения, в 1991 году этот показатель соответствовал 9,5) и стабилизации количества разводов, частота которых не меняется практически с середины 70-х годов (3,6-3,9 разводов на тысячу человек населения).  В обществе усиливается ориентация на неформальные брачно-семейные отношения.  Возрастает число детей, рожденных вне брака, увеличивается также численность и удельный вес одиноких матерей (среди всех разведенных женщин более </w:t>
      </w:r>
      <w:proofErr w:type="spellStart"/>
      <w:r>
        <w:t>90%</w:t>
      </w:r>
      <w:proofErr w:type="spellEnd"/>
      <w:r>
        <w:t xml:space="preserve"> составляют женщины в фертильном возрасте).  Семьи не могут позволить себе желаемое количество детей, что вполне объяснимо:  наименее защищенными в обществе оказываются семьи с детьми, особенно многодетные; неполные семьи, где ребенка воспитывает один из родителей, чаще всего - мать; семьи с детьми-инвалидами.  Наличие детей в семье значительно снижает ее финансовую состоятельность и размер среднедушевого дохода, в семьях с тремя и более детьми доходы в 3-4 раза ниже, чем в однодетных семьях.</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Второй составляющей естественного движения населения является смертность.  За последние восемь лет уровень общей смертности населения возрос на </w:t>
      </w:r>
      <w:proofErr w:type="spellStart"/>
      <w:r>
        <w:t>10,9%</w:t>
      </w:r>
      <w:proofErr w:type="spellEnd"/>
      <w:r>
        <w:t xml:space="preserve"> и достиг в 1998 году 14,3 человека на тысячу населения.  Рост смертности наблюдался практически во всех без исключения возрастных группах мужского населения, а среди женщин - в возрасте от 20 лет и старше.  Особую тревогу вызывает высокая смертность населения в трудоспособном возрасте.  В этой связи в качестве существенной особенности следует отметить следующую половозрастную дифференциацию: во всех возрастных группах населения от 20 до 50 лет смертность мужчин втрое превышала уровень смертности женщин.  В сельской местности уровень смертности значительно превышает аналогичный показатель по городским поселениям: 18,2 против 12,5 умерших на тысячу жителей.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Происходящая </w:t>
      </w:r>
      <w:proofErr w:type="spellStart"/>
      <w:r>
        <w:t>депопуляция</w:t>
      </w:r>
      <w:proofErr w:type="spellEnd"/>
      <w:r>
        <w:t xml:space="preserve"> населения Украины приводит к отрицательным качественным изменениям в его возрастном составе - к старению населения.  В течение последнего десятилетия средний возраст населения Украины увеличился на 1,3 года и составил 38,0 года, а доля лиц в возрасте 60 лет и старше возросла на 1,4 процентных пункта и достигла </w:t>
      </w:r>
      <w:proofErr w:type="spellStart"/>
      <w:r>
        <w:t>20,1%</w:t>
      </w:r>
      <w:proofErr w:type="spellEnd"/>
      <w:r>
        <w:t>.  Особенно неблагоприятная возрастная структура сложилась в сельской местности, где треть населения составляют лица старше трудоспособного возраста.  Демографическая нагрузка на тысячу человек трудоспособного возраста лицами нетрудоспособных возрастов достигает в сельской местности - 1 019 человек, в городских поселения - 669 человек, то есть в селах каждому лицу трудоспособного возраста необходимо "содержать" более чем одного представителя нетрудоспособного возраста.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начале 90-х годов сальдо межгосударственной миграции в Украине было положительным, и увеличение численности населения страны в 1991-1992 годах происходило именно за счет миграционного прироста.  В 1993 году тоже был зафиксирован миграционный прирост, но он не превышал величины естественной убыли, и поэтому общая численность населения уменьшилась.  Начиная с 1994 года, население Украины за счет межгосударственной миграции (наряду с естественной убылью населения) сокращается.  В 1998 году сальдо миграции было также отрицательным и составило 93,6 тыс. человек.</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Миграция из Украины в страны дальнего зарубежья в начале текущего десятилетия носила ярко выраженный этнический характер.  Основными странами переселения были (и остаются в настоящее время) Израиль, США и Германия.  В последнее время мотивация выезда заметно изменилась:  анализ национального состава "выбывших" свидетельствует о том, что этнические предпосылки перестают быть основной причиной отъезда - во многом эмиграция обусловливается экономической нестабильностью в стране.</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Значительный встречный поток мигрантов в Украину сформировался в основном из этнических украинцев и выходцев из страны, а также "</w:t>
      </w:r>
      <w:proofErr w:type="spellStart"/>
      <w:r>
        <w:t>возвращенцев</w:t>
      </w:r>
      <w:proofErr w:type="spellEnd"/>
      <w:r>
        <w:t xml:space="preserve">" - депортированных крымских татар и этнических немцев.  При этом следует подчеркнуть, что в </w:t>
      </w:r>
      <w:proofErr w:type="spellStart"/>
      <w:r>
        <w:t>постсоветском</w:t>
      </w:r>
      <w:proofErr w:type="spellEnd"/>
      <w:r>
        <w:t xml:space="preserve"> пространстве Украина - единственная страна, взявшая на себя практически все расходы, связанные с возвращением и обустройством указанных репатриантов.  В целом за рассматриваемый период из Государственного бюджета Украины на указанные цели было выделено около 300 млн. долларов США.  Несмотря на сложную экономическую ситуацию в условиях общего финансового кризиса, на нужды этой категории граждан систематически выделяются бюджетные ассигнования.  Однако для финансовой поддержки процесса возвращения и обустройства депортированных крымских татар, а также лиц других национальностей Украине чрезвычайно необходима международная помощь.</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Еще одной проблемой, связанной с вынужденной миграцией населения, является приток беженцев, который в Украине возник в конце 80-х годов.  По оценкам специалистов, за этот период Украина приняла около 150 тыс. беженцев из бывших советских республик.  В последние годы возрастает число беженцев из Африки, Юго-Восточной Азии, Ближнего и Среднего Востока.  Согласно Закону Украины "О беженцах", этой категории населения были предоставлены основные социальные права: на медицинскую помощь, образование, трудоустройство и т. д.  Обеспечение этих прав также вызывает определенное финансовое напряжение и в без того сложной экономической ситуации страны.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Таким образом, общая социально-демографическая ситуация в Украине характеризуется прогрессирующей тенденцией старения населения, снижением рождаемости при относительной стабилизации высокого уровня смертности, ухудшением состояния здоровья нации, в том числе репродуктивного, обострением проблем семьи, материнства и детства, наличием значительного миграционного оттока населения, причем преимущественно в трудоспособном возрасте, неблагополучной экологической обстановкой.  В числе мер, направленных на приостановку этих негативных процессов, прежде всего необходимо назвать разработанный Правительством Украины специальный План действий, реализация которого призвана обеспечить улучшение демографической ситуации в стране.  Основной целью осуществляемых мероприятий является последовательное разрешение наиболее острых проблем в области народонаселения посредством разработки и внедрения комплексных и целевых программ в рамках единой стратегии национальной демографической политики.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jc w:val="center"/>
        <w:rPr>
          <w:lang w:val="en-US"/>
        </w:rPr>
      </w:pPr>
      <w:r>
        <w:br w:type="page"/>
      </w:r>
      <w:bookmarkStart w:id="1" w:name="a________"/>
      <w:bookmarkEnd w:id="1"/>
      <w:r>
        <w:t xml:space="preserve">ЧАСТЬ </w:t>
      </w:r>
      <w:r>
        <w:rPr>
          <w:lang w:val="en-US"/>
        </w:rPr>
        <w:t>II</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jc w:val="center"/>
      </w:pPr>
      <w:r>
        <w:rPr>
          <w:b/>
          <w:bCs/>
        </w:rPr>
        <w:t>Информация по статьям 2 - 7 Конвенции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jc w:val="center"/>
      </w:pPr>
      <w:r>
        <w:rPr>
          <w:i/>
          <w:iCs/>
        </w:rPr>
        <w:t>Статья 2</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40"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Законодательство Украины запрещает любые формы проявления и пропаганды расовой дискриминации.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Пункт 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Право на равенство перед законом во всех сферах экономической, социальной, политической и культурной жизни гарантируется статьей 24 Конституции Украины:  "Граждане имеют равные конституционные права и свободы и равны перед законом.  Не может быть привилегий или ограничений по признакам расы, цвета кожи, политическим, религиозным и другим убеждениям, пола, этнического и социального происхождения, имущественного положения, местожительства, по языковым или другим </w:t>
      </w:r>
      <w:proofErr w:type="spellStart"/>
      <w:r>
        <w:t>признакамо</w:t>
      </w:r>
      <w:proofErr w:type="spellEnd"/>
      <w:r>
        <w:t>.  Право равенства перед законом и запрет дискриминации по этническим признакам зафиксированы также в Законе Украины "О национальных меньшинствах в Украине"  (статьи 1, 9 и 18).</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Обязанность граждан уважать культуру, язык, традиции, обычаи и обряды других этнических групп проживающих в Украине, закреплена в статье 2 Закона Украины "О национальных меньшинствах в Украине" и в статье </w:t>
      </w:r>
      <w:proofErr w:type="spellStart"/>
      <w:r>
        <w:t>II</w:t>
      </w:r>
      <w:proofErr w:type="spellEnd"/>
      <w:r>
        <w:t xml:space="preserve"> "Основ законодательства Украины о культуре". Согласно статье 56 Закона Украины "Об образовании", педагогические и научно-педагогические работники обязаны "готовить учеников и студентов к сознательной жизни в духе взаимопонимания, мира, согласия между всеми народами, этническими, национальными, религиозными группами".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 поручению Министерства образования Украины при Министерстве образования Автономной Республики Крым, в управлениях образования областных, Киевской и Севастопольской городских государственных администраций созданы научно-практические группы по разработке вопросов поликультурного образования, воспитания взаимного уважения между представителями различных этносов, предупреждения и разрешения конфликтных ситуаций, возникающих на национальной и религиозной основе.</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b</w:t>
      </w:r>
      <w:proofErr w:type="spellEnd"/>
      <w:r>
        <w:rPr>
          <w:i/>
          <w:iCs/>
        </w:rPr>
        <w:t>)</w:t>
      </w:r>
    </w:p>
    <w:p w:rsidR="00000000" w:rsidRDefault="00000000">
      <w:pPr>
        <w:keepNext/>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Статья 37 Конституции Украины запрещает деятельность политических партий и общественных организаций, программные цели или деятельность которых направлены на разжигание межэтнической, расовой, религиозной вражды.  Аналогичное положение содержится в статье 66 Уголовного кодекса Украины, где предусмотрена ответственность за разжигание национальной розни, унижение национальной чести и достоинства, а также за ограничение прав в зависимости от национальной принадлежности граждан.  Статья 3 Закона Украины "О печатных средствах массовой информации (прессе) в Украине" запрещает использование печатных средств массовой информации для разжигания расовой, национальной, религиозной розни.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c</w:t>
      </w:r>
      <w:proofErr w:type="spellEnd"/>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 инициативе общественных объединений национальных меньшинств статья 18 действующего Закона Украины "О национальных меньшинствах в Украине" ("Любое прямое или косвенное ограничение прав и свобод граждан по национальному признаку запрещается и преследуется по закону") в проекте его новой редакции изменена на следующую: "Любое прямое или косвенное ограничение прав и свобод граждан по национальному и расовому признаку, а также действия, направленные на разжигание межэтнической, расовой, религиозной розни, запрещается и преследуется по закону" (новый проект Закона находится на рассмотрении Верховного Совета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По данным Института </w:t>
      </w:r>
      <w:proofErr w:type="spellStart"/>
      <w:r>
        <w:t>иудаики</w:t>
      </w:r>
      <w:proofErr w:type="spellEnd"/>
      <w:r>
        <w:t xml:space="preserve"> - общественной организации, которая осуществляет мониторинг публикаций антисемитского направления, - в 1998 году появилось около 260 таких публикаций.  Вместе с тем Институт </w:t>
      </w:r>
      <w:proofErr w:type="spellStart"/>
      <w:r>
        <w:t>иудаики</w:t>
      </w:r>
      <w:proofErr w:type="spellEnd"/>
      <w:r>
        <w:t xml:space="preserve"> констатирует увеличение количества публикаций, которые осуждают антисемитизм.  Против проявлений антисемитизма выступали издания различной политической ориентации, увеличилось также количество публикаций концептуального характера (публикации ведущих политиков, сотрудников Национальной академии наук Украины, профессоров университетов и др.).</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Проявления национальной нетерпимости осудил в своем выступлении Президент Украины Леонид </w:t>
      </w:r>
      <w:proofErr w:type="spellStart"/>
      <w:r>
        <w:t>Кучма</w:t>
      </w:r>
      <w:proofErr w:type="spellEnd"/>
      <w:r>
        <w:t>, который призвал всех граждан Украины, все политические партии и организации создать в обществе атмосферу нетерпимости к таким позорным действиям.  Президент отметил, что действия, направленные на разжигание межэтнической вражды являются тем более обидными на фоне той большой работы, которую на протяжении последних лет вело украинское государство по сохранению, обеспечению и развитию национальной идентичности представителей польского, еврейского, венгерского, румынского и других национальных меньшинств.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е</w:t>
      </w:r>
      <w:proofErr w:type="spellEnd"/>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Большое внимание в Украине уделяется развитию сотрудничества между этническими группами.  Представители национальных меньшинств совместно обсуждают и принимают решения в совещательном органе - Совете представителей общественных объединений национальных меньшинств, который функционирует при Государственном комитете по делам национальностей и миграции (центральном органе исполнительной власти в сфере регулирования межэтнических отношений); совещательные советы представителей национальных меньшинств функционируют при местных органах исполнительной власти; в Крыму действует Ассоциация национальных обществ и общин Крыма; создана Конфедерация национально-культурных обществ Западной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За последние два года представители общественных организаций национальных меньшинств провели конференции "Образование национальных меньшинств в Украине" и "Социальная защита в национальных общинах Украины", в которых приняли участие около 18 общественных организаций национальных меньшинств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Раз в два года в Украине проводится Всеукраинский фестиваль "Все мы дети твои, Украина!", в котором участвуют около 30 самодеятельных коллективов национальных меньшинств.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Культурно-образовательные потребности лиц, относящихся к национальным меньшинствам, обеспечиваются наравне с другими гражданами в рамках общей политики государства в области образования и культуры. Кроме того, с целью обеспечения защиты и развития культурной самобытности этнических меньшинств государство осуществляет дополнительные меры по обеспечению их потребностей в образовании и культуре на основе специальных программ.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Так, с 1994 года реализуется Государственная программа возрождения и развития образования национальных меньшинств на период до 2000 года.  В соответствии с этой программой в 1998-1999 учебном году помимо 16 032 (4 421 265 учеников) общеобразовательных учебных заведений с украинским языком обучения действовали, 2 561 (2 313 901 учеников) - с русским, 108 (27 776 учеников) - с румынским, 18 (4 509 учеников) - с молдавским, 65 (21 214 учеников) - с венгерским, 6 (4 071 учеников) - с крымско-татарским, 3 (1 109 учеников) - с польским языком обучения.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Работают также 2 469 смешанных общеобразовательных учебных заведений, в частности 2 394 - украинско-русских заведения, 28 -украинско-венгерских, 7 - украинско-румынских, 9 - русско-румынских и др. В </w:t>
      </w:r>
      <w:proofErr w:type="spellStart"/>
      <w:r>
        <w:t>90%</w:t>
      </w:r>
      <w:proofErr w:type="spellEnd"/>
      <w:r>
        <w:t xml:space="preserve"> общеобразовательных учреждений изучается русский язык как предмет.  Одновременно крымско-татарский язык как предмет изучают 38 146, венгерский - 2 484, польский - 1 489, румынский - 1 433, еврейский -1 246, болгарский - 13 893, новогреческий - 650, гагаузский - 788 учащихся.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Кроме того, факультативно изучаются языки: крымско-татарский, венгерский, польский, румынский, турецкий, еврейский, болгарский, гагаузский, новогреческий, словацкий, чешский, немецкий.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Государством обеспечивается и финансируется подготовка педагогических кадров для школ с обучением на языках национальных меньшинств.  В 1999 году Правительство Украины приняло Комплексные мероприятия по всестороннему развитию культур национальных меньшинств до 2001 года, предусматривающие реализацию ряда культурно-просветительских и информационно-издательских проектов, призванных повысить возможности культур национальных меньшинств по удовлетворению духовных потребностей лиц, принадлежащих к соответствующим меньшинствам.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jc w:val="center"/>
      </w:pPr>
      <w:r>
        <w:rPr>
          <w:i/>
          <w:iCs/>
        </w:rPr>
        <w:t>Статья 3</w:t>
      </w: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66 Уголовного кодекса Украины установлена ответственность за умышленные действия, направленные на разжигание национальной, расовой или религиозной вражды и ненависти, на унижение национальной чести и достоинства, или оскорбление гражданского достоинства в связи с их религиозными убеждениями, а также прямое или косвенное ограничение прав или установления прямых или косвенных преимуществ граждан в зависимости от их расовой, национальной принадлежности или отношения к религии.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статье 413 проекта Уголовного кодекса Украины предусмотрена ответственность за геноцид, то есть деяние, умышленно совершенное с целью полного или частичного уничтожения любой национальной, этнической, расовой или религиозной группы путем лишения жизни членов такой группы или причинения им тяжелых телесных повреждений, создания для группы жизненных условий, рассчитанных на полное или частичное ее физическое уничтожение, сокращение </w:t>
      </w:r>
      <w:proofErr w:type="spellStart"/>
      <w:r>
        <w:t>деторождаемости</w:t>
      </w:r>
      <w:proofErr w:type="spellEnd"/>
      <w:r>
        <w:t xml:space="preserve"> или предотвращение ее в такой группе или путем насильственной передачи детей из одной группы в другую.</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jc w:val="center"/>
      </w:pPr>
      <w:r>
        <w:rPr>
          <w:i/>
          <w:iCs/>
        </w:rPr>
        <w:t>Статья 4</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jc w:val="center"/>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соответствии со статьей 24 Конституции Украины граждане имеют равные конституционные права и свободы и являются равными перед законом.  Не может быть льгот или ограничений по признакам расы, цвета кожи, политических, религиозных и иных убеждений, пола, этнического и социального происхождения, имущественного положения, места жительства, по языковым или другим признакам.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Равенство прав женщины и мужчины обеспечивается:  </w:t>
      </w:r>
      <w:proofErr w:type="spellStart"/>
      <w:r>
        <w:t>a</w:t>
      </w:r>
      <w:proofErr w:type="spellEnd"/>
      <w:r>
        <w:t xml:space="preserve">) предоставлением женщинам равных с мужчинами возможностей в общественно-политической и культурной деятельности, в образовании и профессиональной подготовке, в работе и вознаграждении за нее;  </w:t>
      </w:r>
      <w:proofErr w:type="spellStart"/>
      <w:r>
        <w:t>b</w:t>
      </w:r>
      <w:proofErr w:type="spellEnd"/>
      <w:r>
        <w:t xml:space="preserve">) специальными мероприятиями относительно охраны труда и здоровья женщин, установлениям пенсионных льгот;  </w:t>
      </w:r>
      <w:proofErr w:type="spellStart"/>
      <w:r>
        <w:t>c</w:t>
      </w:r>
      <w:proofErr w:type="spellEnd"/>
      <w:r>
        <w:t xml:space="preserve">) созданием условий, которые дают женщинам возможность объединять работу с материнством;  </w:t>
      </w:r>
      <w:proofErr w:type="spellStart"/>
      <w:r>
        <w:t>d</w:t>
      </w:r>
      <w:proofErr w:type="spellEnd"/>
      <w:r>
        <w:t>) правовой защитой, материальной и моральной поддержкой материнства и детства, включая предоставление оплачиваемых отпусков и иных льгот беременным женщинам и матерям.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Также, надо указать, что Конституцией Украины предусмотрен запрет на создание и деятельность политических партий и общественных организаций, программные целые или действия которых направлены на ликвидацию независимости Украины, изменение конституционного строя насильственным путем, нарушения суверенитета и территориальной целостности государства, подрыв ее безопасности, незаконный захват государственной власти, пропаганду войны, насилия, на разжигание межэтнической, расовой, религиозной вражды, посягательства на права и свободы человека, здоровье населения.  Запрет деятельности объединений граждан осуществляется только в судебном порядке (статья 37 Конституции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статье 66 Уголовного кодекса Украины предусмотрена ответственность за умышленные действия, направлены на разжигание национальной, расовой или религиозной вражды и ненависти, на унижение национальной чести и достоинства, или образа чувств граждан в связи с их религиозными убеждениями, а также прямое или косвенное ограничение прав или установления прямых или косвенных преимуществ граждан в зависимости от их расовой, национальной принадлежности или отношения к религии.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413 проекта Уголовного кодекса Украины предусмотрена ответственность за геноцид, то есть деяние, умышленно совершенное с целью полного или частичного уничтожения любой национальной, этнической, расовой или религиозной группы путем лишения жизни членов такой группы или причинения им тяжелых телесных повреждений, создания для группы жизненных условий, рассчитанных на ее полное или частичное физическое уничтожение, сокращение деторождения или предотвращение ему в такой группе или путем насильственной передачи детей из одной группы в другую.</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jc w:val="center"/>
      </w:pPr>
      <w:r>
        <w:rPr>
          <w:i/>
          <w:iCs/>
        </w:rPr>
        <w:t>Статья 5</w:t>
      </w: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Пункт а)</w:t>
      </w: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Согласно части третьей статьи 8 Конституции Украины обращение в суд для защиты конституционных прав и свобод человека и гражданина гарантируется непосредственно на основании Конституции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Согласно статьям 21 и 24 Конституции Украины все люди являются свободные и равные в своем достоинстве и правах. Права и свободы человека неотчуждаемы и нерушимы. Граждане имеют равные конституционные права и свободы и являются равными перед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соответствии со статьей 55 Конституции Украины права и свободы человека и гражданина защищаются судом.  Каждому гарантируется право на обжалование в суде решений, действий или бездействия органов государственной власти, органов местного самоуправления, должностных и служебных лиц.</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Каждый вправе обращаться за защитой своих прав к </w:t>
      </w:r>
      <w:proofErr w:type="spellStart"/>
      <w:r>
        <w:t>Уполномоченому</w:t>
      </w:r>
      <w:proofErr w:type="spellEnd"/>
      <w:r>
        <w:t xml:space="preserve"> Верховного Совета Украины по правам человека.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rPr>
          <w:lang w:val="en-US"/>
        </w:rPr>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Каждый вправе после использования всех национальных способов правовой защиты обращаться за защитой своих прав и свобод в соответствующие международные судебные учреждения или в соответствующие органы международных организаций, членом или участником которых является Украина.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Каждый имеет право  защищать свои права и свободы от нарушений и противоправных посягательств любыми, не запрещенными законом, способами.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61 Конституции Украины предусмотрено, что никто не может быть дважды привлечен к юридической ответственности одного вида за совершение одного и того же правонарушение.</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Юридическая ответственность лица имеет индивидуальный характер. Статьей 56 Конституции Украины закреплено, что каждый имеет право на возмещение за счет государства или органов местного самоуправления материального и морального вреда, нанесенного незаконными решениями, действиями или бездействием органов государственной власти, органов местного самоуправления, их должностных и служебных лицами во время исполнения ими своих полномочий.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Статья 6 Гражданского процессуального кодекса Украины предусматривает, что правосудие в гражданских деле осуществляется только судом и на принципах равенства перед законом и судом всех граждан, независимо от происхождения, социального и имущественного положения, расовой национальной принадлежности, пола, образования, языка, отношения к религии, рода и характера занятий, места жительства других обстоятельств.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Статья 16 Уголовно-процессуального кодекса Украины закрепляет, что правосудие в уголовных делах осуществляется на принципах равенства граждан перед законом и судом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иных обстоятельств.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Также надо указать, что в соответствии с частью первой статьи 1 Закона Украины "О порядке возмещения вреда, нанесенного гражданином незаконными действиями органов дознания, предварительного следствия, прокуратуры и суда" подлежащий возмещению вред, нанесенный гражданину вследствие: незаконного осуждения, незаконного привлечения обвиняемого, незаконного взятия и содержания под стражей, незаконного проведения в ходе расследования или судебного разбирательства, уголовного дела, обыска, изъятия, незаконного наложения ареста на имущество, незаконного отстранения от работы (должности) и иных процессуальных действий, которые ограничивают права граждан; нанесенный вред возмещается в полном объеме независимо от должностных лиц органов дознания, предварительного следствия, Прокуратуры и суда.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443 Гражданского кодекса Украины предусмотрена ответственность за вред, нанесенный незаконными действиями органов дознания, предварительного следствия, прокуратуры суда. Вред, нанесенный гражданину вследствие незаконного осуждения, незаконного привлечения к уголовной ответственности, незаконному применению взятия под стражу как предупредительного мероприятия, незаконного наложения административного взыскания в виде исправительных работ, возмещается государством в полном объеме независимо от вины органов дознания, предварительного следствия, прокуратуры суда в порядке, установленном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Кроме того, необходимо отметить, что по данным Верховного Суда Украины за последние 5 лет в судах Украины не рассматривались дела уголовные и гражданские дела, связанные с расовой дискриминацией.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b</w:t>
      </w:r>
      <w:proofErr w:type="spellEnd"/>
      <w:r>
        <w:rPr>
          <w:i/>
          <w:iCs/>
        </w:rPr>
        <w:t>)</w:t>
      </w:r>
    </w:p>
    <w:p w:rsidR="00000000" w:rsidRDefault="00000000">
      <w:pPr>
        <w:keepNext/>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Частью первой статьи 29 Конституции Украины предусмотрено, что каждый человек имеет право на свободу и личную неприкосновенность.</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Пункт с)</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Согласно статье 38 Конституции Украины граждане вправе принимать участие в управлении государственными делами, во всеукраинском и в местных референдумах, свободно выбирать и быть избранными в органы государственной власти и органы местного самоуправления.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Граждане пользуются равным правом доступа к государственной службе, а также к службе в органах местного самоуправления.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rPr>
          <w:lang w:val="en-US"/>
        </w:rPr>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соответствии со статьей 69 Конституции Украины народное волеизъявление осуществляется через выборы, референдум и другие формы непосредственной демократии.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70 Конституции Украины определено, что право голоса на выборах и референдумах имеют граждане Украины, которые достигли на день их проведения 18-летнего  возраста.  Не имеют права голоса граждане, которые признаны судом недееспособными. Выборы в органы государственной власти и местное самоуправление являются свободными и происходят на основе общего, равного и прямого избирательного права путем тайного голосования. Избирателям гарантируется свободное волеизъявление (статья 71 Конституции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статье 127 Уголовного кодекса Украины предусмотрена уголовная ответственность за воспрепятствование осуществлению избирательного права, то есть воспрепятствование путем насилия, обмана, угроз, подкупа или другим путем или быть избранным Президентом Украины или народным депутатом, вести предвыборную агитацию. Ответственность за указанные действия также предусмотрена в статье 153 проекта Уголовного кодекса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129 Уголовного кодекса Украины предусмотрена ответственность за воспрепятствование путем насилия, обмана, угроз, подкупа или другим путем свободному осуществлению гражданином права участвовать в референдуме, вести агитацию в день проведения референдума. Ответственность за указанные действия предусмотрена также в статье 156 проекта Уголовного кодекс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d</w:t>
      </w:r>
      <w:proofErr w:type="spellEnd"/>
      <w:r>
        <w:rPr>
          <w:i/>
          <w:iCs/>
        </w:rPr>
        <w:t xml:space="preserve"> </w:t>
      </w:r>
      <w:proofErr w:type="spellStart"/>
      <w:r>
        <w:rPr>
          <w:i/>
          <w:iCs/>
          <w:lang w:val="en-US"/>
        </w:rPr>
        <w:t>i</w:t>
      </w:r>
      <w:proofErr w:type="spellEnd"/>
      <w:r>
        <w:rPr>
          <w:i/>
          <w:iCs/>
        </w:rPr>
        <w:t xml:space="preserve">) и </w:t>
      </w:r>
      <w:r>
        <w:rPr>
          <w:i/>
          <w:iCs/>
          <w:lang w:val="en-US"/>
        </w:rPr>
        <w:t>ii</w:t>
      </w:r>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Согласно статье 33 Конституции Украины каждому, кто на законных основаниях пребывает на территории Украины, гарантируется свобода передвижения, свободный выбор места жительства, право свободно оставлять территорию Украины, за исключением ограничений, которые устанавливаются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Право покидать любую страну, включая свою собственную, и возвращаться в свою страну обеспечивается положениями таких законодательных актов Украины, как:</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firstLine="566"/>
      </w:pPr>
      <w:r>
        <w:t>а)</w:t>
      </w:r>
      <w:r>
        <w:tab/>
        <w:t xml:space="preserve">Закон Украины "О внесении изменений в Закон Украины о гражданстве Украины" </w:t>
      </w:r>
      <w:proofErr w:type="spellStart"/>
      <w:r>
        <w:t></w:t>
      </w:r>
      <w:proofErr w:type="spellEnd"/>
      <w:r>
        <w:t xml:space="preserve"> 210/97 </w:t>
      </w:r>
      <w:proofErr w:type="spellStart"/>
      <w:r>
        <w:t>ВР</w:t>
      </w:r>
      <w:proofErr w:type="spellEnd"/>
      <w:r>
        <w:t xml:space="preserve"> от 16 апреля 1997 года, часть 2 статьи 2 которого гласит, что гражданами Украины являются лица, которые на момент вступления в силу Закона Украины "О гражданстве Украины" (1636-12) </w:t>
      </w:r>
      <w:proofErr w:type="spellStart"/>
      <w:r>
        <w:t>от13</w:t>
      </w:r>
      <w:proofErr w:type="spellEnd"/>
      <w:r>
        <w:t xml:space="preserve"> ноября 1991 года постоянно проживали в Украине, </w:t>
      </w:r>
      <w:r>
        <w:rPr>
          <w:i/>
          <w:iCs/>
        </w:rPr>
        <w:t>независимо от расы, цвета кожи, политических, религиозных и других убеждений, пола, этнического и социального происхождения, имущественного состояния, места жительства, языковых или других признаков</w:t>
      </w:r>
      <w:r>
        <w:t xml:space="preserve"> и которые не являются гражданами других государств;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firstLine="566"/>
      </w:pPr>
      <w:proofErr w:type="spellStart"/>
      <w:r>
        <w:t>b</w:t>
      </w:r>
      <w:proofErr w:type="spellEnd"/>
      <w:r>
        <w:t>)</w:t>
      </w:r>
      <w:r>
        <w:tab/>
        <w:t xml:space="preserve">Закон Украины "О порядке выезда из Украины и въезда в Украину граждан Украины" № </w:t>
      </w:r>
      <w:proofErr w:type="spellStart"/>
      <w:r>
        <w:t>3857-ХП</w:t>
      </w:r>
      <w:proofErr w:type="spellEnd"/>
      <w:r>
        <w:t xml:space="preserve"> от 21 января 1994 года, статья 1 которого гласит, что гражданин Украины имеет право выехать из Украины, кроме случаев, предусмотренных этим законом, и въехать в Украину, и что гражданин Украины ни на каких основаниях не может быть ограничен в праве на въезд в Украину.</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firstLine="566"/>
      </w:pPr>
      <w:proofErr w:type="spellStart"/>
      <w:r>
        <w:t>c</w:t>
      </w:r>
      <w:proofErr w:type="spellEnd"/>
      <w:r>
        <w:t>)</w:t>
      </w:r>
      <w:r>
        <w:tab/>
        <w:t xml:space="preserve">законом Украины "О правовом статусе иностранцев" № 3929-Х11 от 4 февраля 1994 года, в части 2 статьи 2 которого говорится, что </w:t>
      </w:r>
      <w:r>
        <w:rPr>
          <w:i/>
          <w:iCs/>
        </w:rPr>
        <w:t>иностранцы являются равными перед законом независимо от происхождения, социального и имущественного состояния, расовой и национальной принадлежности, пола, языка, отношения к религии, рода и характера занятий, других обстоятельств</w:t>
      </w:r>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Ни одно из положений вышеуказанных законов не содержит каких-либо ограничений, связанных с признаками расы, цвета кожи, национального или этнического происхождения.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d</w:t>
      </w:r>
      <w:proofErr w:type="spellEnd"/>
      <w:r>
        <w:rPr>
          <w:i/>
          <w:iCs/>
        </w:rPr>
        <w:t xml:space="preserve"> </w:t>
      </w:r>
      <w:r>
        <w:rPr>
          <w:i/>
          <w:iCs/>
          <w:lang w:val="en-US"/>
        </w:rPr>
        <w:t>iii</w:t>
      </w:r>
      <w:r>
        <w:rPr>
          <w:i/>
          <w:iCs/>
        </w:rPr>
        <w:t>)</w:t>
      </w: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25 Конституции Украины предусмотрено, что гражданин Украины не может быть лишен гражданства и права изменить гражданство.</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Гражданин Украины не может быть изгнан за пределы Украины или выдан другому государству.</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Украина гарантирует заботу и защиту своих граждан, которые пребывают за ее пределами.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rPr>
          <w:lang w:val="en-US"/>
        </w:rPr>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соответствии со статьей 2 Закона Украины "О гражданстве Украины" гражданами Украины считаются: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firstLine="566"/>
      </w:pPr>
      <w:proofErr w:type="spellStart"/>
      <w:r>
        <w:t>a</w:t>
      </w:r>
      <w:proofErr w:type="spellEnd"/>
      <w:r>
        <w:t>)</w:t>
      </w:r>
      <w:r>
        <w:tab/>
        <w:t>все граждане прежнего СССР, которые на момент провозглашения независимости Украины (24 августа 1991 года) постоянно проживали на территории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firstLine="566"/>
      </w:pPr>
      <w:proofErr w:type="spellStart"/>
      <w:r>
        <w:t>b</w:t>
      </w:r>
      <w:proofErr w:type="spellEnd"/>
      <w:r>
        <w:t>)</w:t>
      </w:r>
      <w:r>
        <w:tab/>
        <w:t>лица, которые на момент вступления в силу Закона Украины "О гражданстве Украины" (13 ноября 1991 года) постоянно проживали в Украине, независимо от расы, цвета кожи, политических, религиозных и иных убеждений, пола, этнического и социального происхождения, имущественного положения, места жительства, языковых или других признаков и которые не являются гражданами других государств;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firstLine="566"/>
      </w:pPr>
      <w:proofErr w:type="spellStart"/>
      <w:r>
        <w:t>c</w:t>
      </w:r>
      <w:proofErr w:type="spellEnd"/>
      <w:r>
        <w:t>)</w:t>
      </w:r>
      <w:r>
        <w:tab/>
        <w:t>лица, которые родились или постоянно проживали на территории Украины, а также их потомки (дети, внуки), если они на 13 ноября 1991 года проживали за пределами Украины, не пребывают в гражданстве других государств и до 13 декабря 1999 года предъявили в установленном этим Законом порядке заявление об определении своей принадлежности к гражданству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firstLine="566"/>
      </w:pPr>
      <w:proofErr w:type="spellStart"/>
      <w:r>
        <w:t>d</w:t>
      </w:r>
      <w:proofErr w:type="spellEnd"/>
      <w:r>
        <w:t>)</w:t>
      </w:r>
      <w:r>
        <w:tab/>
        <w:t>лица, которые приобрели гражданство Украины в соответствии с этим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pPr>
      <w:r>
        <w:rPr>
          <w:i/>
          <w:iCs/>
        </w:rPr>
        <w:t xml:space="preserve">Пункт </w:t>
      </w:r>
      <w:proofErr w:type="spellStart"/>
      <w:r>
        <w:rPr>
          <w:i/>
          <w:iCs/>
        </w:rPr>
        <w:t>d</w:t>
      </w:r>
      <w:proofErr w:type="spellEnd"/>
      <w:r>
        <w:rPr>
          <w:i/>
          <w:iCs/>
        </w:rPr>
        <w:t xml:space="preserve"> </w:t>
      </w:r>
      <w:proofErr w:type="spellStart"/>
      <w:r>
        <w:rPr>
          <w:i/>
          <w:iCs/>
          <w:lang w:val="en-US"/>
        </w:rPr>
        <w:t>i</w:t>
      </w:r>
      <w:r>
        <w:rPr>
          <w:i/>
          <w:iCs/>
        </w:rPr>
        <w:t>v</w:t>
      </w:r>
      <w:proofErr w:type="spellEnd"/>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pPr>
      <w:r>
        <w:t>-</w:t>
      </w:r>
      <w:r>
        <w:tab/>
        <w:t>В соответствии со статьей 51 Конституции Украины брак основывается на свободном согласии женщины и мужчины. Каждый из супругов имеет равные права и обязанности в браке.</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pPr>
    </w:p>
    <w:p w:rsidR="00000000" w:rsidRDefault="00000000">
      <w:pPr>
        <w:keepNext/>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d</w:t>
      </w:r>
      <w:proofErr w:type="spellEnd"/>
      <w:r>
        <w:rPr>
          <w:i/>
          <w:iCs/>
        </w:rPr>
        <w:t xml:space="preserve"> </w:t>
      </w:r>
      <w:proofErr w:type="spellStart"/>
      <w:r>
        <w:rPr>
          <w:i/>
          <w:iCs/>
        </w:rPr>
        <w:t>v</w:t>
      </w:r>
      <w:proofErr w:type="spellEnd"/>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41 Конституции Украины предусмотрено, что каждый вправе владеть, пользоваться и распоряжаться своей собственностью, результатами своей интеллектуальной, творческой деятельности.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Право частной собственности приобретается в порядке, определенным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Граждане для удовлетворения своих потребностей могут пользоваться объектами права государственной и коммунальной собственности в соответствии с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Никто не может быть противоправно лишен права собственности. Право частной собственности является нерушимым.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d</w:t>
      </w:r>
      <w:proofErr w:type="spellEnd"/>
      <w:r>
        <w:rPr>
          <w:i/>
          <w:iCs/>
        </w:rPr>
        <w:t xml:space="preserve"> </w:t>
      </w:r>
      <w:proofErr w:type="spellStart"/>
      <w:r>
        <w:rPr>
          <w:i/>
          <w:iCs/>
        </w:rPr>
        <w:t>v</w:t>
      </w:r>
      <w:proofErr w:type="spellEnd"/>
      <w:r>
        <w:rPr>
          <w:i/>
          <w:iCs/>
          <w:lang w:val="en-US"/>
        </w:rPr>
        <w:t>ii</w:t>
      </w:r>
      <w:r>
        <w:rPr>
          <w:i/>
          <w:iCs/>
        </w:rPr>
        <w:t>)</w:t>
      </w: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Согласно статье 34 Конституции Украины каждому гарантируется право на свободу мнения и слова, на свободное выражение своих взглядов и убеждений.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Каждый вправе свободно собирать, сохранять, использовать и распространять информацию устно, письменно или другим способом на свой выбор.</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Осуществление этих прав может быть ограничено законом в интересах национальной безопасности, территориальной целостности или общественного порядка с целью предотвращения волнений или преступлений, для здравоохранения населения, для защиты репутации или прав других людей, во избежание разглашения информации, полученной конфиденциально, или для поддержания авторитета и беспристрастности правосудия.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35 Конституции Украины предусмотрено, что каждый имеет право на свободу мировоззрения и вероисповедания.  Это право включает свободу исповедовать любую религию или не исповедовать никакой, беспрепятственно отправлять единоличные или коллективные религиозные культы и ритуальные обряды, вести религиозную деятельность.</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Осуществление этого права может быть ограничено законом только в интересах охраны общественного порядка, здоровья и нравственности населения или защиты прав и свобод других людей.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d</w:t>
      </w:r>
      <w:proofErr w:type="spellEnd"/>
      <w:r>
        <w:rPr>
          <w:i/>
          <w:iCs/>
        </w:rPr>
        <w:t xml:space="preserve"> </w:t>
      </w:r>
      <w:proofErr w:type="spellStart"/>
      <w:r>
        <w:rPr>
          <w:i/>
          <w:iCs/>
        </w:rPr>
        <w:t>х</w:t>
      </w:r>
      <w:r>
        <w:rPr>
          <w:i/>
          <w:iCs/>
          <w:lang w:val="en-US"/>
        </w:rPr>
        <w:t>i</w:t>
      </w:r>
      <w:proofErr w:type="spellEnd"/>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соответствии со статьей 39 Конституции Украины граждане вправе собираться мирно, без оружия и проводить собрание, митинги и демонстрации, о проведении которых заблаговременно оповещаются органы исполнительной власти или органы местного самоуправления.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Ограничение относительно реализации этого права может устанавливаться судом в соответствии с законом и только в интересах национальной безопасности и общественного порядка - с целью предотвращения волнений или преступлений, для здравоохранения населения или защиты прав и свобод других людей.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е</w:t>
      </w:r>
      <w:proofErr w:type="spellEnd"/>
      <w:r>
        <w:rPr>
          <w:i/>
          <w:iCs/>
        </w:rPr>
        <w:t xml:space="preserve"> </w:t>
      </w:r>
      <w:proofErr w:type="spellStart"/>
      <w:r>
        <w:rPr>
          <w:i/>
          <w:iCs/>
          <w:lang w:val="en-US"/>
        </w:rPr>
        <w:t>i</w:t>
      </w:r>
      <w:proofErr w:type="spellEnd"/>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43 Конституции Украины предусмотрено, что каждый имеет на работу, что включает возможность зарабатывать себе на жизнь работой, которую он свободно выбирает или на которую он свободно соглашается.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Государство создает условия для полного осуществления гражданами права на работу, гарантирует равные возможности в выборе профессии и рода трудовой деятельности, реализует программы профессионально-технического обучения, подготовки и переподготовки кадров в соответствии с общественными потребностями. Использование принудительной работы запрещается. Не считается принудительной работой военная или альтернативная (невоенная) служба, а также работа или служба, которая выполняется лицом по постановлению или другому судебному решению или в соответствии с законами о военном и чрезвычайном положении.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Каждый имеет право на надлежащие, безопасные и здоровые условия работы и на заработную плату, не ниже уровня, установленного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Использование работы женщин и несовершеннолетних на опасных для их здоровья работах запрещается.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Гражданам гарантируется защита от незаконного увольнения. Право на своевременное получение вознаграждения за работу защищается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Государственная стратегия социальной политики определена в Указе Президента Украины "Об основных направлениях социальной политики 1997-2000 годы" от 18 октября 1997 года  (№ 1166/97). Ее целью является создание конкретных механизмов реализации принципов социально ориентированной экономики, повышение эффективности социальной политики по рациональному использованию имеющихся материальных и финансов ресурсов. Первоочередной задачей социальной политики является обеспечение полной продуктивной занятости населения, повышение качества и конкурентоспособности рабочей силы, смягчение социальных последствий безработицы.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Государственная политика занятости учитывает требование международных норм и базируется на определенном в Законе Украины "О занятости населения" принципе обеспечения равных прав и возможностей всем гражданам, независимо от происхождения, социального имущественного состояния, расовой и национальной принадлежности, возраста, политических убеждений, отношения к религии, свободного выбора деятельности в соответствии со способностями и профессиональной подготовкой с учетом личных интересов и общественных потребностей.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Основными задачами государственной политики в сфере занятости является проведение комплекса взаимосвязанных мероприятий инвестиционной, технической, финансовой и социальной политики, совершенствование форм и методов профессиональной подготовки и переподготовки кадров, повышение мобильности трудовых ресурс формирование цивилизованного рынка труда и надежной социальной защиты от безработицы.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Для реализации такой политики и обеспечения граждан гарантированной Конституцией Украины социальной защиты от безработицы в стране создана и с 1991 года действует государственная служба занятости. Всем лицам в трудоспособном возрасте гарантируется помощь государственной службы занятости в зависимости от ситуации на рынке труда, их способностей, квалификации, образования.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Ежегодно растет численность граждан, которые пользуются услугами службы занятости.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 целью создания социально-экономических и организационных условий для предотвращения роста безработицы, регулирования рынка труда и социальной защиты безработных Правительством Украины разрабатываются и утверждаются соответствующие программы. Так ежегодно принимаются программы экономического и социального развития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Начата разработка Государственной программы развития трудового потенциала Украины, где будет определен комплекс мероприятий по повышению отдачи трудового потенциала, качество рабочей силы, рабочих мест и т.п. Координация деятельности в сфере занятости с другими направлениями экономической и социальной политики предусматривается в Программе занятости населения. На основе определенных Верховным Советом Украины основных принципов экономической и социальной политики Программы деятельности Кабинета Министров Украины принята Программа занятости населения на 1997-2000 годы, направленная на выполнение среднесрочных заданий развития рынка труда, реализацию государственного политики занятости в Украине.  В ней предусматриваются приоритетные направления государственной политики на рынке труда, проведение активного государственного регулирования, которое обеспечивает оптимальный уровень занятости и баланс спроса и предложения рабочей силы. Эффективность государственных мероприятий в сфере занятости обеспечивается путем утверждения местными органами власти соответствующих территориальных программ занятости, которые в решении проблем занятости учитывают особенности каждого конкретного региона.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Законе Украины "Об оплате труда" (статья 9) при определении размера минимальной заработной платы предусматривается учет стоимости величины минимального потребительского бюджета, общего уровня средней заработной платы, производительности труда, уровня занятости и друга экономических условий. Минимальная заработная плата устанавливается не ниже стоимостной величины черты </w:t>
      </w:r>
      <w:proofErr w:type="spellStart"/>
      <w:r>
        <w:t>малообеспеченности</w:t>
      </w:r>
      <w:proofErr w:type="spellEnd"/>
      <w: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Однако, учитывая сложное экономическое состояние страны, размер минимальной заработной платы пока не соответствует этому уровню.  Правительство, по мере стабилизации и развития экономики, предпринимает шаги для сближения этих показателей. На протяжении трех последних лет размер минимальной заработной платы увеличился почти в пять раз.</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е</w:t>
      </w:r>
      <w:proofErr w:type="spellEnd"/>
      <w:r>
        <w:rPr>
          <w:i/>
          <w:iCs/>
        </w:rPr>
        <w:t xml:space="preserve"> </w:t>
      </w:r>
      <w:r>
        <w:rPr>
          <w:i/>
          <w:iCs/>
          <w:lang w:val="en-US"/>
        </w:rPr>
        <w:t>ii</w:t>
      </w:r>
      <w:r>
        <w:rPr>
          <w:i/>
          <w:iCs/>
        </w:rPr>
        <w:t>)</w:t>
      </w: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части третьей статьи 36 Конституции Украины определено, что граждане имеют право на участие в профессиональных союзах с целью защиты своих трудовых и социально-экономических прав и интересов.  Профессиональные союзы являются общественными организациями, объединяющими граждан, связанных совместными интересами в отношении их профессиональной деятельности.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Соблюдение прав профессиональных союзов в Украине гарантируется Конституцией Украины, законами Украины "Об объединениях граждан", "О коллективных договорах и соглашениях", "О порядке разрешений коллективных трудовых споров (конфликтов)". Кодексом законов о труде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Кроме этого Верховной Радой Украины в июне 1999 года принят Закон Украины "О профессиональных союзах, их правах и гарантиях деятельности", который находится на подписи у Президента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Важной гарантией защиты коллективных, экономических и социальных прав и интересов граждан является право на забастовку.  В статье 44 Конституции Украины установлено, что те, кто работает, имеют право на забастовку для защиты своих экономических и социальных интересов. Порядок осуществления права на забастовку определятся Законом Украины "О порядке разрешения коллективных трудовых споров, конфликтов принятым Верховной Радой Украины 3 марта 1998 года.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Никто не может быть принужден к участию или неучастию в забастовке. Запрещение забастовки возможно только на основании Закона.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Законом Украины "О порядке разрешения коллективных, трудовых споров (конфликтов), установлено, что забастовка применяется как крайнее средство (когда все другие возможности исчерпаны) разрешения коллективного трудового спора (конфликта) в связи с отказом собственника или уполномоченного им органа (представителя) удовлетворить требования нанятых работников или требования нанятых работников или (представителя) удовлетворить требования нанятых работников или уполномоченного ими органа, профсоюза, объединения профсоюзов или уполномоченного ими органа.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Ограничения на проведение забастовки предусмотрены в Законе Украины "О порядке разрешения коллективных трудовых споров (конфликтов)".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Украине отсутствуют законодательные нормы, которые ограничивали бы права профессиональных союзов на их беспрепятственное функционирование.</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Статьями 22, 23 и 24 Закона Украины "О чрезвычайном положении", который принят Верховным Советом Украины 26 июня 1999 года, установлено, что могут применяться некоторые меры, ограничивающие права и свободы граждан, общественных организаций и предпринимателей в условиях чрезвычайного положения, в том числе: запрещение забастовок, приостановление после соответствующего предупреждения деятельности политических партий, общественных организаций, массовых движений самодеятельных объединений граждан, если эта деятельность препятствует нормализации обстановки.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31 Закона "Об объединениях граждан" предусмотрено, что в целях приостановления незаконной деятельности объединения граждан по представлению легализирующего органа или прокурора, суд может временно запретить отдельные виды деятельности или временно запретить деятельность объединения граждан на срок до трех месяцев.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8 Закона Украины "Об объединениях граждан" определено, что вмешательство государственных органов и служебных лиц в деятельность объединений граждан не допускается, за исключением случаев установленных Законом".  Членство в профессиональном союзе является добровольным. Прием в члены профессионального союза осуществляется в индивидуальном порядке по личному заявлению работника на собрании профсоюзной группы либо, в случае ее отсутствия, на собрании цеховой или иной первичной организации. Членом профсоюза может быть такой работник, который признает Устав профессионального союза, уплачивает членские взносы и принимает участие в работе одной из первичных профсоюзных организаций.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Профессиональные союзы действуют в соответствии с принимаемыми ими уставами. Создаются профессиональные союзы с целью представительства, осуществления и защиты трудовых, социальных экономических, других прав и свобод, а также интересов членов профсоюза.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Украине не имеется каких-либо особых правовых положений в отношении создания профессиональных союзов определенными категориям трудящихся. Они создаются без предварительного разрешения, на основе вольного выбора их членов. Все профессиональные союзы имеют равные права.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Законодательством и уставами профессиональных союзов Украины не предусмотрены какие-либо ограничения на осуществление прав трудящихся вступать в профессиональные союзы и создавать их.</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принятом Верховной Радой Украины Законе Украины "О профессиональных союзах, их правах и гарантиях деятельности" предусмотрено, что особенности применения этого Закона в Вооруженных Силах Украины (для военнослужащих), органах внутренних дел, Службе безопасности Украины устанавливаются соответствующими законами.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18 Закона Украины "О милиции" предусмотрено, что работники милиции вправе создавать профессиональные союзы.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соответствии со статьей 5 Закона Украины "О социальной правовой защите военнослужащих и членов их семей" военнослужащие имеют право создавать свои общественные объединения.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настоящее время в Украине созданы и функционируют профсоюзы аттестованных работников внутренних дел Украины и два профсоюза военнослужащих.</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За период, прошедший после предоставления предыдущего доклада Верховной Радой Украины приняты Закон Украины "О порядке разрешения коллективных трудовых споров (конфликтов)" и Закон Украины " О профессиональных союзах, их правах и гарантиях деятельности", которые находятся на подписи у Президента Украины. Согласно Указу Президента Украины от 17 ноября 1998 года в Украине создана Национальная служба посредничества и примирения и сформированы пять региональных отделений этой Службы.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Что касается заключительных замечаний Комитета по экономическим, социальным и культурным правам в отношении озабоченности Комитета запрещением создания профсоюзов в широком круге отраслей и других видов работ по найму, в том числе в гражданской авиации и связи, то такого запрета законодательством Украины не предусмотрено. В Украине давно созданы и действуют несколько профсоюзов в этой отрасли: </w:t>
      </w:r>
      <w:proofErr w:type="spellStart"/>
      <w:r>
        <w:t>авиаработников</w:t>
      </w:r>
      <w:proofErr w:type="spellEnd"/>
      <w:r>
        <w:t>, работников льготного состава гражданской авиации, авиадиспетчеров, также профсоюз работников связи.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е</w:t>
      </w:r>
      <w:proofErr w:type="spellEnd"/>
      <w:r>
        <w:rPr>
          <w:i/>
          <w:iCs/>
        </w:rPr>
        <w:t xml:space="preserve"> </w:t>
      </w:r>
      <w:proofErr w:type="spellStart"/>
      <w:r>
        <w:rPr>
          <w:i/>
          <w:iCs/>
          <w:lang w:val="en-US"/>
        </w:rPr>
        <w:t>i</w:t>
      </w:r>
      <w:r>
        <w:rPr>
          <w:i/>
          <w:iCs/>
        </w:rPr>
        <w:t>v</w:t>
      </w:r>
      <w:proofErr w:type="spellEnd"/>
      <w:r>
        <w:rPr>
          <w:i/>
          <w:iCs/>
        </w:rPr>
        <w:t>)</w:t>
      </w:r>
    </w:p>
    <w:p w:rsidR="00000000" w:rsidRDefault="00000000">
      <w:pPr>
        <w:keepNext/>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соответствии со статьей 49 Конституции Украины каждый имеет право на здравоохранение, медицинскую помощь и медицинское страхование.  Здравоохранение обеспечивается государственным финансированием соответствующих социально-экономических, медико-санитарных и оздоровительно-профилактических программ.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Государство создает условия для эффективного и доступного для всех граждан медицинского обслуживания.  В государственных и коммунальных учреждениях здравоохранения медицинская помощь предоставляется безвозмездно; существующая сеть таких учреждений не может быть сокращена.  Государство способствует развитию лечебных учреждений всех форм собственности.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Украине существует система пособий по временной нетрудоспособности (по болезни), по беременности и родам, по случаю рождения ребенка, на погребение, а также на санаторно-курортное лечение оздоровление, которые предоставляются за счет средств Фонда социального страхования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Порядок предоставления, установление размеров пособий по временной нетрудоспособности, по беременности и родам, по случаю рождения ребенка, на погребение, на санаторно-курортное лечение и оздоровление регулируется действующим законодательством и другими нормативными актами.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Пособия по временной нетрудоспособности в случае болезни непосредственно самого работника назначаются в соответствии с Положением о порядке обеспечения пособиями по государственному социальному страхованию, утвержденным постановлением Президиума ВЦСПС № 13-6 от 12 ноября 1984 г. с соответствующими изменениями дополнениями, т.е. в соответствии с законодательством бывшего Советского Союза.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Назначение и выплата пособий по беременности и родам, по случаю рождения ребенка, по уходу за ребенком до достижения им возраста трех лет, по временной нетрудоспособности, в связи с уходом за больным ребенком до 14 лет, предусмотрены Законом Украины "О государственных пособиях семьям с детьми" от 21 ноября 1992 г. и Приложением к этому Закону.</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Выплата пособия на погребение осуществляется в соответствии с постановлением Кабинета Министров Украины и утвержденным рядом министерств и ведомств Порядком выплаты этих пособий.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Законы Украины "О статусе и социальной защите граждан пострадавших в результате Чернобыльской катастрофы", "О социальной правовой защите военнослужащих и членов их семей", "О статусе ветеранов войны, гарантиях их социальной защиты", "Об основных положениях социальной защиты ветеранов труда и других граждан пожилого возраста в Украине" содержат нормы о предоставлении помощи по временной нетрудоспособности отдельным категориям граждан.</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Пособие по временной нетрудоспособности, беременности и родам по случаю рождения ребенка, на погребение предоставляется по месту работ (студентам - по месту учебы).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r>
      <w:r>
        <w:rPr>
          <w:i/>
          <w:iCs/>
        </w:rPr>
        <w:t>Пособие по временной нетрудоспособности, в случае болезни</w:t>
      </w:r>
      <w:r>
        <w:t xml:space="preserve"> предоставляется в зависимости от общего трудового стажа работника в следующих размерах:</w:t>
      </w: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keepLines/>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100 процентов средней заработной платы (дохода), работникам имеющим общий трудовой стаж восемь и больше лет;</w:t>
      </w:r>
    </w:p>
    <w:p w:rsidR="00000000" w:rsidRDefault="00000000">
      <w:pPr>
        <w:keepLines/>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80 процентов средней заработной платы (дохода), работникам имеющим общий трудовой стаж от пяти до восьми лет;</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60 процентов средней заработной платы (дохода), работникам имеющим общий трудовой стаж до пяти лет;</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Пособие по временной нетрудоспособности предоставляется в размере 100 процентов независимо от стажа работы: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в случае трудового увечья или профессионального заболевания;</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работникам, имеющим на содержании трех и более детей до 16 лет (учеников - до 18 лет);</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ветеранам войны и приравненным к ним лицам;</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работникам, отнесенным к 1-4 категории лиц, пострадавших от Чернобыльской катастрофы;</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одному из родителей, или лицу, которое их заменяет и осуществляет уход за ребенком до 14 лет, пострадавшему от Чернобыльской катастрофы, включая санаторно-курортное лечение;</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женам (мужьям) военнослужащих, кроме военнослужащих срочной службы;</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работникам из числа бывших детей-сирот и детей, лишенных родительской опеки.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r>
      <w:r>
        <w:rPr>
          <w:i/>
          <w:iCs/>
        </w:rPr>
        <w:t>Пособие по временной нетрудоспособности по уходу за больным ребенком в возрасте до 14 лет</w:t>
      </w:r>
      <w:r>
        <w:t xml:space="preserve"> предоставляется в размерах:</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100 процентов заработной платы (дохода) лицам, имеющим общий трудовой стаж восемь и более лет; работникам из числа бывших детей сирот и детей, лишенных родительской опеки, не достигшим 21 года и имеющим общий трудовой стаж до пяти лет;</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80 процентов средней заработной платы (дохода), работникам, имеющим общий трудовой стаж от пяти до восьми лет;</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60 процентов средней заработной платы (дохода), работникам имеющим общий трудовой стаж до пяти лет.</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При расчете пособия по временной нетрудоспособности, кроме случаев трудового увечья и профессионального заболевания и работников, которые отнесены к первой и второй категориям лиц, пострадавших вследствие Чернобыльской катастрофы, фактический заработок определяется в размере, не превышающем двух тарифных ставок (должностных окладов).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Пособие работающим родителям по уходу за ребенком предоставляется в каждом случае в течение срока, не превышающего 14 дней.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Доля затрат по выплате пособий по временной нетрудоспособности составляет в бюджете Фонда социального страхования около половины всех затрат.</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r>
      <w:r>
        <w:rPr>
          <w:i/>
          <w:iCs/>
        </w:rPr>
        <w:t>Пособие по беременности и родам</w:t>
      </w:r>
      <w:r>
        <w:t xml:space="preserve"> предоставляется женщинам в размере 100 процентов заработка в течение 126 календарных дней (в случае осложнений при родах или рождения двух и более детей - 140 календарных дней). Работающим женщинам, отнесенным к 1-4 категории и пострадавших вследствие Чернобыльской катастрофы, эта помощь предоставляется в течение 180 календарных дней. По истечении этого срока один из родителей может взять отпуск по уходу за ребенком (получая фиксированный размер помощи) до достижения ребенком трехлетнего возраста.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r>
      <w:r>
        <w:rPr>
          <w:i/>
          <w:iCs/>
        </w:rPr>
        <w:t>Единовременное пособие при рождении ребенка</w:t>
      </w:r>
      <w:r>
        <w:t xml:space="preserve"> назначается семье в четырехкратном размере минимальной заработной платы. Матерям, которые стали на учет в медицинском учреждении в ранние сроки беременности (12 недель), регулярно посещали и выполняли рекомендации врачей, после рождении ребенка предоставляется дополнительная помощь в двукратном размере минимальной заработной платы.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случае рождения двух или более детей единовременная помощь назначается семье на каждого ребенка. Она выплачивается, если с просьбой о получении пособия граждане обратились не позднее шести месяцев со дня рождения ребенка. На это пособие при определенных условиях имеют право лица, которые усыновили или взяли под опеку ребенка.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За счет средств Фонда социального страхования выплачивается </w:t>
      </w:r>
      <w:r>
        <w:rPr>
          <w:i/>
          <w:iCs/>
        </w:rPr>
        <w:t>пособие на погребение</w:t>
      </w:r>
      <w:r>
        <w:t xml:space="preserve"> в случае смерти (фиксированный размер):</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гражданина, который состоял в трудовых отношениях с предприятием, учреждением, организацией (кроме работающих пенсионеров);</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гражданина, который потерял работу в связи с ликвидацией или реорганизацией или перепрофилированием предприятий учреждения, организации и за которым сохраняется средняя заработная плата на период трудоустройства, но не более чем за три месяца;</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лица, которое не состояло в трудовых отношениях, но уплачивали страховые взносы в Фонд социального страхования;</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 xml:space="preserve">аспиранта, докторанта, клинического ординатора, студента </w:t>
      </w:r>
      <w:proofErr w:type="spellStart"/>
      <w:r>
        <w:t>ВУЗа</w:t>
      </w:r>
      <w:proofErr w:type="spellEnd"/>
      <w:r>
        <w:t xml:space="preserve"> дневной формы обучения; ученика профессионального учебного заведения;</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 xml:space="preserve">лица, находившегося на содержании указанных выше граждан. </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За счет средств Фонда социального страхования осуществляются </w:t>
      </w:r>
      <w:r>
        <w:rPr>
          <w:i/>
          <w:iCs/>
        </w:rPr>
        <w:t>выплаты на санаторно-курортное лечение и отдых</w:t>
      </w:r>
      <w:r>
        <w:t xml:space="preserve"> трудящихся и членов их семей, содержание санаториев-профилакториев, осуществление других оздоровительных и реабилитационных мероприятий.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практике преобладает предоставление путевок для лечения и отдыха с частичной оплатой застрахованными </w:t>
      </w:r>
      <w:proofErr w:type="spellStart"/>
      <w:r>
        <w:t>10%</w:t>
      </w:r>
      <w:proofErr w:type="spellEnd"/>
      <w:r>
        <w:t xml:space="preserve"> их стоимости;  реализация путевок с полной оплатой не превышает одного процента от их общего количества.  Бесплатно могут быть предоставлены путевки застрахованным, которые перенесли острый инфаркт миокарда; беременным женщинам; матерям с детьми; подросткам; работающим ветеранам труда и участникам войны, лицам, которые имеют награды; в детские и студенческие оздоровительные лагеря.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Финансирование выплат пособий работающим гражданам осуществляется за счет средств от взносов на обязательное социальное страхование, перечисляемых на отдельный счет Фонда социальное страхования Украины предприятиями, учреждениями, организациями независимо от форм собственности и хозяйствования.  Страховые взносы вносятся в фонд оплаты труда (в настоящее время - </w:t>
      </w:r>
      <w:proofErr w:type="spellStart"/>
      <w:r>
        <w:t>4%</w:t>
      </w:r>
      <w:proofErr w:type="spellEnd"/>
      <w:r>
        <w:t>), как и другие выплаты, облагаемые подоходным налогом с граждан. Размер взносов на обязательное социальное страхование устанавливается Верховным Советом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Таким образом, данным видом страхования охвачены все работающие по найму, а также лица, обеспечивающие себя работой самостоятельно (лица которые занимаются предпринимательской, адвокатской, нотариальной, творческой и другой деятельностью, связанной с получением дохода) и члены их семей.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настоящее время разработан законопроект "Об обязательном государственном социальном страховании в связи с временной потерей трудоспособности и расходами, обусловленными рождением и погребением".  В нем отражены нормы статьи 46 Конституции Украины и законодательства Украины об общеобязательном государственном социальном страховании. В основу его разработки положены требования действующего законодательства Украины, конвенций и рекомендации Международной организации труда по данному вопросу.  Целью законопроекта являются: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1134" w:hanging="568"/>
      </w:pPr>
      <w:r>
        <w:t>-</w:t>
      </w:r>
      <w:r>
        <w:tab/>
        <w:t>создание единой законодательной базы в сфере обязательного государственного социального страхования в связи с временной потерей трудоспособности и расходами, обусловленными рождением и погребением;</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1134" w:hanging="568"/>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обеспечение равных условий предоставления материального обеспечения и социальных услуг, предусмотренных данным видом страхования независимо от формы оплаты труда, формы собственности хозяйствования;</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определение круга лиц, подпадающих под социальное страхование, в том числе исключение граждан, которые получают пособие по данному виду страхования, но которые не платят и за которых никто не платит страховые взносы.  Это касается военнослужащих, студентов, отдельных категорий неработающих граждан, сохранение социальных гарантии которым будет регулироваться другими законами;</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введение управления средствами социального страхования на основе единства интересов застрахованных граждан, работодателей государства;</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перераспределение ответственности за формирование средств между государством, работодателем и застрахованными гражданами.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Этот вид страхования предусматривает гарантированные выплаты, осуществляемые за счет средств Фонда социального страхования Украины (пособия по временной нетрудоспособности, беременности и родам, по случаю рождения ребенка, на погребение, санаторно-курортное лечение оздоровление работающих и членов их семей). На этот вид страхования дополнительно будет возложена выплата пособия по уходу за ребенком, достижения им 3-летнего возраста, выплату которого в данное время осуществляет Пенсионный Фонд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Реализация правового, финансового и организационного механизма социального страхования, предусмотренного этим законопроектом, безусловно, положительно отразится на улучшении в целях системы социальной защиты граждан и позволит свести до минимума количество действующих сегодня нормативных документов по данному виду страхования.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Украине принят ряд положений относительно пенсионного обеспечения ветеранов войны.  Действие этих законов распространяется почти на 15 млн. граждан, среди которых 2,3 млн. инвалидов разных категорий, около 12 млн. ветеранов войны и труда, свыше 600 тыс. жертв войны и репрессий.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Законы увеличили количество льготных категорий населения, которым государство предоставляет 27 видов льгот.</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Одним из видов социальной защиты пенсионеров и инвалидов является социально-бытовое обслуживание их домов-интернатов и территориальных центров.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Сеть </w:t>
      </w:r>
      <w:proofErr w:type="spellStart"/>
      <w:r>
        <w:t>интернатных</w:t>
      </w:r>
      <w:proofErr w:type="spellEnd"/>
      <w:r>
        <w:t xml:space="preserve"> учреждений полностью удовлетворяет потребность населения Украины в </w:t>
      </w:r>
      <w:proofErr w:type="spellStart"/>
      <w:r>
        <w:t>койко-местах</w:t>
      </w:r>
      <w:proofErr w:type="spellEnd"/>
      <w:r>
        <w:t>. Более того, на сегодня в интернатах и учреждениях остаются свободными более 5 тыс. мест.</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Несмотря на ограниченное финансирование на содержание домов интернатов из местного бюджета, министерству и местным органам социальной защиты в первом квартале этого года удалось сохранить сеть </w:t>
      </w:r>
      <w:proofErr w:type="spellStart"/>
      <w:r>
        <w:t>интернатных</w:t>
      </w:r>
      <w:proofErr w:type="spellEnd"/>
      <w:r>
        <w:t xml:space="preserve"> учреждений и обеспечить надлежащее социально-бытовое медицинское обслуживание граждан пожилого возраста и инвалидов, которые проживают у них.</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На сегодня действует 278 домов-интернатов на 53,5 тыс. коек, в которых на полном государственном обеспечении проживает более 47 тысяч граждан пожилого возраста и инвалидов.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системе социальной защиты населения функционируют 64 территориальных центра и 117 самостоятельных отделений социальной помощи, которыми обслуживается 570 тыс. одиноких граждан пожилого возраста и инвалидов.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е</w:t>
      </w:r>
      <w:proofErr w:type="spellEnd"/>
      <w:r>
        <w:rPr>
          <w:i/>
          <w:iCs/>
        </w:rPr>
        <w:t xml:space="preserve"> </w:t>
      </w:r>
      <w:proofErr w:type="spellStart"/>
      <w:r>
        <w:rPr>
          <w:i/>
          <w:iCs/>
        </w:rPr>
        <w:t>v</w:t>
      </w:r>
      <w:proofErr w:type="spellEnd"/>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Согласно статье 53 Конституции Украины каждый имеет право на образование. Полное общее образование является обязательным.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Государство обеспечивает доступность и бесплатность дошкольного, полного общего среднего, профессионально-технического, высшего образования в государственных и коммунальных учебных учреждениях; развитие дошкольного, полного общего среднего, внешкольного, профессионально-технического, высшего и последипломного образования, разных форм обучения; предоставление государственных стипендий и льгот ученикам и студентам.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Граждане вправе безвозмездно получать высшее образование в государственных и коммунальных учебных учреждениях на конкурсной основе.</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Гражданам, которые принадлежат к национальным меньшинствам, в соответствии с законом гарантируется право на обучение родным языком или на изучение родного языка в государственных и коммунальных учебных учреждениях или через национальные культурные общества.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е</w:t>
      </w:r>
      <w:proofErr w:type="spellEnd"/>
      <w:r>
        <w:rPr>
          <w:i/>
          <w:iCs/>
        </w:rPr>
        <w:t xml:space="preserve"> </w:t>
      </w:r>
      <w:proofErr w:type="spellStart"/>
      <w:r>
        <w:rPr>
          <w:i/>
          <w:iCs/>
        </w:rPr>
        <w:t>v</w:t>
      </w:r>
      <w:r>
        <w:rPr>
          <w:i/>
          <w:iCs/>
          <w:lang w:val="en-US"/>
        </w:rPr>
        <w:t>i</w:t>
      </w:r>
      <w:proofErr w:type="spellEnd"/>
      <w:r>
        <w:rPr>
          <w:i/>
          <w:iCs/>
        </w:rPr>
        <w:t>)</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Статьей 54 Конституции Украины предусмотрено, что гражданам гарантируется свобода литературного, художественного, научного и технического творчества, защита интеллектуальной собственности, их авторских прав, моральных и материальных интересов, что возникают в связи с разными видами интеллектуальной деятельности.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Каждый гражданин имеет право на результаты своей интеллектуальной, творческой деятельности; никто не может использовать или распространять их без его согласия, за исключениями, установленными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Государство способствует развитию науки, установлению научных связей Украины с мировым сообществом. Культурное наследство охраняется законом.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Государство обеспечивает сохранение исторических памятников и иных объектов, что представляют собой культурную ценность. </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rPr>
          <w:i/>
          <w:iCs/>
        </w:rPr>
        <w:t xml:space="preserve">Пункт </w:t>
      </w:r>
      <w:proofErr w:type="spellStart"/>
      <w:r>
        <w:rPr>
          <w:i/>
          <w:iCs/>
        </w:rPr>
        <w:t>f</w:t>
      </w:r>
      <w:proofErr w:type="spellEnd"/>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Конституция Украины гарантирует право свободно собирать, хранить, использовать и распространять информацию какими-либо средствами (статья 34). С целью обеспечения прав национальных меньшинств получать и распространять информацию на своем языке, углубления процессов демократизации, межнационального сотрудничества и терпимости в обществе государство содействует развитию и оказывает материальную поддержку средствам массовой информации национальных меньшинств, выделяет эфирное время на государственных телеканалах и радиостанциях, издает литературу на языках национальных меньшинств.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соответствии с действующим законодательством национальные меньшинства имеют право создавать собственные средства массовой информации и получать лицензию на их функционирование. Право на использование языка национальных меньшинств в средствах массовой информации - радио, телевидении, прессе - зафиксировано в Конституции и законах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настоящее время информационные запросы национальных меньшинств обеспечивают свыше 1,3 тыс. русскоязычных периодических изданий и около 95 изданий на языках других национальных меньшинств (32 из них всеукраинской сферы распространения).</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Среди них: газета Ассоциации еврейских организаций и общин "</w:t>
      </w:r>
      <w:proofErr w:type="spellStart"/>
      <w:r>
        <w:t>Хадашот</w:t>
      </w:r>
      <w:proofErr w:type="spellEnd"/>
      <w:r>
        <w:t>" ("Новости") (Киев), еврейский информационный обзор "</w:t>
      </w:r>
      <w:proofErr w:type="spellStart"/>
      <w:r>
        <w:t>Бенсиах</w:t>
      </w:r>
      <w:proofErr w:type="spellEnd"/>
      <w:r>
        <w:t xml:space="preserve">" ("Собеседник") (Харьков), еврейская народная газета "Возрождение-91" (Киев), газета Еврейского союза </w:t>
      </w:r>
      <w:proofErr w:type="spellStart"/>
      <w:r>
        <w:t>Буковины</w:t>
      </w:r>
      <w:proofErr w:type="spellEnd"/>
      <w:r>
        <w:t xml:space="preserve"> "Черновицкие листки", </w:t>
      </w:r>
      <w:proofErr w:type="spellStart"/>
      <w:r>
        <w:t>румыноязычные</w:t>
      </w:r>
      <w:proofErr w:type="spellEnd"/>
      <w:r>
        <w:t xml:space="preserve"> издания "</w:t>
      </w:r>
      <w:proofErr w:type="spellStart"/>
      <w:r>
        <w:t>Аркашул</w:t>
      </w:r>
      <w:proofErr w:type="spellEnd"/>
      <w:r>
        <w:t>", "</w:t>
      </w:r>
      <w:proofErr w:type="spellStart"/>
      <w:r>
        <w:t>Плай</w:t>
      </w:r>
      <w:proofErr w:type="spellEnd"/>
      <w:r>
        <w:t xml:space="preserve"> </w:t>
      </w:r>
      <w:proofErr w:type="spellStart"/>
      <w:r>
        <w:t>Роминеск</w:t>
      </w:r>
      <w:proofErr w:type="spellEnd"/>
      <w:r>
        <w:t xml:space="preserve">" и др., польская "Газета </w:t>
      </w:r>
      <w:proofErr w:type="spellStart"/>
      <w:r>
        <w:t>Львувска</w:t>
      </w:r>
      <w:proofErr w:type="spellEnd"/>
      <w:r>
        <w:t>", татарские газеты "Салам" и "Минарет", немецкая "</w:t>
      </w:r>
      <w:proofErr w:type="spellStart"/>
      <w:r>
        <w:t>Дойчеканал</w:t>
      </w:r>
      <w:proofErr w:type="spellEnd"/>
      <w:r>
        <w:t>".  В виде приложениями к парламентской газете "Голос Украины" издаются шесть газет для этнических сообществ, в частности, болгарского "Роден край", польского "</w:t>
      </w:r>
      <w:proofErr w:type="spellStart"/>
      <w:r>
        <w:t>Дзенник</w:t>
      </w:r>
      <w:proofErr w:type="spellEnd"/>
      <w:r>
        <w:t xml:space="preserve"> </w:t>
      </w:r>
      <w:proofErr w:type="spellStart"/>
      <w:r>
        <w:t>Кийовски</w:t>
      </w:r>
      <w:proofErr w:type="spellEnd"/>
      <w:r>
        <w:t>", еврейского "Еврейские вести", армянского "Арагац", румынского "</w:t>
      </w:r>
      <w:proofErr w:type="spellStart"/>
      <w:r>
        <w:t>Конкордия</w:t>
      </w:r>
      <w:proofErr w:type="spellEnd"/>
      <w:r>
        <w:t>", крымских татар "Голос Крыма".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Что касается русского языка, то его удельный вес в информационном пространстве Украины достаточно высок </w:t>
      </w:r>
      <w:r>
        <w:rPr>
          <w:lang w:val="en-US"/>
        </w:rPr>
        <w:t>-</w:t>
      </w:r>
      <w:r>
        <w:t xml:space="preserve"> 25 процентов от общего количества печатных средств массовой информации издается на русском языке и такое же количество </w:t>
      </w:r>
      <w:r>
        <w:rPr>
          <w:lang w:val="en-US"/>
        </w:rPr>
        <w:t>-</w:t>
      </w:r>
      <w:r>
        <w:t xml:space="preserve"> на двух языках: украинском и русском.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Украине ежегодно проводится фестиваль теле- и радиопрограмм для национальных меньшинств "Украина - родной край".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На государственном телеканале в течение пяти лет выходит программа "</w:t>
      </w:r>
      <w:proofErr w:type="spellStart"/>
      <w:r>
        <w:t>Яхад</w:t>
      </w:r>
      <w:proofErr w:type="spellEnd"/>
      <w:r>
        <w:t>" ("Вместе"), еврейские программы также транслируются региональными телерадиокомпаниями в Черновцах, Львове, Донецке, Севастополе и некоторых других городах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В отдельных регионах Украины </w:t>
      </w:r>
      <w:r>
        <w:rPr>
          <w:lang w:val="en-US"/>
        </w:rPr>
        <w:t>-</w:t>
      </w:r>
      <w:r>
        <w:t xml:space="preserve"> в Автономной Республике Крым, Донецкой, Одесской, Черновицкой, Закарпатской и Житомирской областях </w:t>
      </w:r>
      <w:r>
        <w:rPr>
          <w:lang w:val="en-US"/>
        </w:rPr>
        <w:t>-</w:t>
      </w:r>
      <w:r>
        <w:t xml:space="preserve"> на базе государственных телерадиовещательных компаний созданы специальные редакции, которые ведут передачи на языке национальных меньшинств:</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в Крыму - на болгарском, немецком, армянском, греческом, крымско-татарском, русском (телевидение), на немецком, армянском, крымско-татарском (радио);</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rPr>
          <w:lang w:val="en-US"/>
        </w:rPr>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 xml:space="preserve">в Закарпатье </w:t>
      </w:r>
      <w:r>
        <w:rPr>
          <w:lang w:val="en-US"/>
        </w:rPr>
        <w:t>-</w:t>
      </w:r>
      <w:r>
        <w:t xml:space="preserve"> на венгерском, словацком, румынском (радио);</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 xml:space="preserve">в Одесской области </w:t>
      </w:r>
      <w:r>
        <w:rPr>
          <w:lang w:val="en-US"/>
        </w:rPr>
        <w:t>-</w:t>
      </w:r>
      <w:r>
        <w:t xml:space="preserve"> на румынском, болгарском, гагаузском, молдавском (телевидение и радио);</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 xml:space="preserve">в Черновицкой области </w:t>
      </w:r>
      <w:r>
        <w:rPr>
          <w:lang w:val="en-US"/>
        </w:rPr>
        <w:t>-</w:t>
      </w:r>
      <w:r>
        <w:t xml:space="preserve"> на румынском и еврейском (телевидение и радио);</w:t>
      </w: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94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ind w:left="941" w:hanging="375"/>
      </w:pPr>
      <w:r>
        <w:t>-</w:t>
      </w:r>
      <w:r>
        <w:tab/>
        <w:t xml:space="preserve">в Житомирской области </w:t>
      </w:r>
      <w:r>
        <w:rPr>
          <w:lang w:val="en-US"/>
        </w:rPr>
        <w:t>-</w:t>
      </w:r>
      <w:r>
        <w:t xml:space="preserve"> на польском (телевидение и радио).</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jc w:val="center"/>
      </w:pPr>
      <w:r>
        <w:rPr>
          <w:i/>
          <w:iCs/>
        </w:rPr>
        <w:t>Статья 6</w:t>
      </w:r>
    </w:p>
    <w:p w:rsidR="00000000" w:rsidRDefault="00000000">
      <w:pPr>
        <w:keepNext/>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keepLines/>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статье 32 Конституции Украины закреплено, что никто не может быть объектом вмешательства в его личную и семейную жизнь, кроме случаев, предусмотренных Конституцией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Не допускается сбор, хранение использования и распространение конфиденциальной информации о лице без его согласия, кроме случаев, определенных законом и только в интересах национальной безопасности, экономического благосостояния и прав человека.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Каждый гражданин вправе ознакомиться в органах государственной власти, органах местного самоуправления учреждениях и организациях со сведениями о себе, которые не являются государственной или другой защищенной законом тайной. Каждому гарантируется судебная защита права на опровержение недостоверной информации о себе, членах своей семьи и права требовать изъятия любой информации, а также права на возмещение.</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Украине установлены законодательством и действуют различные механизмы защиты прав и свобод человека и гражданина.</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Гражданско-правовым механизмом является обжалование в суд решений, действий или бездеятельности государственных органов, юридических или должностных лиц в сфере управленческой деятельности в случаях, когда гражданин считает, что нарушены или нарушаются его права или свободы (глава 31-А Гражданского процессуального Кодекса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С целью защиты от общественно опасных проявлений расовой дискриминации применяется уголовная ответственность, предусмотренная статьей 66 УК Украины.  В частности такая ответственность предусмотрена за разжигание национальной, расовой вражды и ненависти, унижение национальной чести и достоинства, прямое или косвенное ограничение прав или установление преимуществ граждан в зависимости от их расовой или национальной принадлежности.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статистической отчетности органов прокуратуры не установлен отдельный учет уголовных дел, возбужденных за совершение таких преступлений.</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 статистических данных МВД Украины за 1998 год не были зарегистрированы преступления, предусмотренные статьей 66 УК Украины.  За текущий период данных еще нет, так как отчетность формируется за календарный год.</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Генеральная прокуратура не располагает также данными о фактах каких-либо ограничений прав или предоставлении преимуществ гражданам в зависимости от их расовой, национальной принадлежности.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Вместе с тем, имеют место случаи опубликования и распространения печатными изданиями материалов, направленных на дестабилизацию общественной жизни и разжигание национальной розни.</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Основатели и редакции некоторых печатных изданий, злоупотребляя свободой деятельности средств массовой информации и широкими возможностями использования информации, допускали нарушения законов Украины "Об информации", "О печатных средствах массовой информации (прессе) Украины".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rPr>
          <w:lang w:val="en-US"/>
        </w:rPr>
      </w:pPr>
      <w:r>
        <w:t>-</w:t>
      </w:r>
      <w:r>
        <w:tab/>
        <w:t>Такие факты, в частности, имели место на протяжении 1995-96 годов в деятельности газет "</w:t>
      </w:r>
      <w:proofErr w:type="spellStart"/>
      <w:r>
        <w:t>Нескорена</w:t>
      </w:r>
      <w:proofErr w:type="spellEnd"/>
      <w:r>
        <w:t xml:space="preserve"> </w:t>
      </w:r>
      <w:proofErr w:type="spellStart"/>
      <w:r>
        <w:t>нац</w:t>
      </w:r>
      <w:r>
        <w:rPr>
          <w:lang w:val="en-US"/>
        </w:rPr>
        <w:t>i</w:t>
      </w:r>
      <w:proofErr w:type="spellEnd"/>
      <w:r>
        <w:t>я", "За в</w:t>
      </w:r>
      <w:proofErr w:type="spellStart"/>
      <w:r>
        <w:rPr>
          <w:lang w:val="en-US"/>
        </w:rPr>
        <w:t>i</w:t>
      </w:r>
      <w:proofErr w:type="spellEnd"/>
      <w:r>
        <w:t xml:space="preserve">льну </w:t>
      </w:r>
      <w:proofErr w:type="spellStart"/>
      <w:r>
        <w:t>Укра</w:t>
      </w:r>
      <w:r>
        <w:rPr>
          <w:lang w:val="en-US"/>
        </w:rPr>
        <w:t>i</w:t>
      </w:r>
      <w:proofErr w:type="spellEnd"/>
      <w:r>
        <w:t>ну", журнала "</w:t>
      </w:r>
      <w:proofErr w:type="spellStart"/>
      <w:r>
        <w:t>Нац</w:t>
      </w:r>
      <w:r>
        <w:rPr>
          <w:lang w:val="en-US"/>
        </w:rPr>
        <w:t>i</w:t>
      </w:r>
      <w:r>
        <w:t>онал</w:t>
      </w:r>
      <w:r>
        <w:rPr>
          <w:lang w:val="en-US"/>
        </w:rPr>
        <w:t>i</w:t>
      </w:r>
      <w:r>
        <w:t>ст</w:t>
      </w:r>
      <w:proofErr w:type="spellEnd"/>
      <w:r>
        <w:t>" и некоторых других. По всем этим фактам выявленных нарушений органами прокуратуры предприняты меры реагирования, в частности - внесены представления об устранении нарушений закона и недопущении их в будущем.</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rPr>
          <w:lang w:val="en-US"/>
        </w:rPr>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jc w:val="center"/>
      </w:pPr>
      <w:r>
        <w:rPr>
          <w:i/>
          <w:iCs/>
        </w:rPr>
        <w:t>Статья 7</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rPr>
          <w:b/>
          <w:bCs/>
        </w:rPr>
      </w:pP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pPr>
      <w:r>
        <w:t>-</w:t>
      </w:r>
      <w:r>
        <w:tab/>
        <w:t xml:space="preserve">Национальное законодательство Украины предусматривает все виды юридической ответственности за разжигание расовой, национальной, религиозной вражды. В целом такие случаи в сфере </w:t>
      </w:r>
      <w:proofErr w:type="spellStart"/>
      <w:r>
        <w:t>СМИ</w:t>
      </w:r>
      <w:proofErr w:type="spellEnd"/>
      <w:r>
        <w:t xml:space="preserve"> отсутствуют, если не считать отдельных высказываний неэтического характера, которые нельзя квалифицировать как разжигание национальной вражды.</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87" w:lineRule="auto"/>
        <w:jc w:val="center"/>
      </w:pPr>
      <w:r>
        <w:t>-------</w:t>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pgMar w:top="851" w:right="851" w:bottom="1701"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Roman-WP CY">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pPr>
    <w:r>
      <w:t>CERD/C/384/Add.2</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pPr>
    <w:r>
      <w:t xml:space="preserve">page </w:t>
    </w:r>
    <w:r>
      <w:fldChar w:fldCharType="begin"/>
    </w:r>
    <w:r>
      <w:instrText xml:space="preserve">PAGE </w:instrText>
    </w:r>
    <w:r>
      <w:fldChar w:fldCharType="separate"/>
    </w:r>
    <w:r>
      <w:rPr>
        <w:noProof/>
      </w:rPr>
      <w:t>36</w:t>
    </w:r>
    <w:r>
      <w:fldChar w:fldCharType="end"/>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pPr>
  </w:p>
  <w:p w:rsidR="00000000" w:rsidRDefault="00000000">
    <w:pPr>
      <w:spacing w:line="24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firstLine="7370"/>
    </w:pPr>
    <w:r>
      <w:t>CERD/C/384/Add.2</w:t>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firstLine="7370"/>
    </w:pPr>
    <w:r>
      <w:t xml:space="preserve">page </w:t>
    </w:r>
    <w:r>
      <w:fldChar w:fldCharType="begin"/>
    </w:r>
    <w:r>
      <w:instrText xml:space="preserve">PAGE </w:instrText>
    </w:r>
    <w:r>
      <w:fldChar w:fldCharType="separate"/>
    </w:r>
    <w:r>
      <w:rPr>
        <w:noProof/>
      </w:rPr>
      <w:t>37</w:t>
    </w:r>
    <w:r>
      <w:fldChar w:fldCharType="end"/>
    </w:r>
  </w:p>
  <w:p w:rsidR="00000000" w:rsidRDefault="00000000">
    <w:pPr>
      <w:tabs>
        <w:tab w:val="clear" w:pos="567"/>
        <w:tab w:val="clear" w:pos="1701"/>
        <w:tab w:val="clear" w:pos="6237"/>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pPr>
  </w:p>
  <w:p w:rsidR="00000000" w:rsidRDefault="00000000">
    <w:pPr>
      <w:spacing w:line="24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706B9B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A06F2E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E9848EC"/>
    <w:lvl w:ilvl="0">
      <w:start w:val="1"/>
      <w:numFmt w:val="decimal"/>
      <w:pStyle w:val="ListNumber3"/>
      <w:lvlText w:val="%1."/>
      <w:lvlJc w:val="left"/>
      <w:pPr>
        <w:tabs>
          <w:tab w:val="num" w:pos="926"/>
        </w:tabs>
        <w:ind w:left="926" w:hanging="360"/>
      </w:pPr>
    </w:lvl>
  </w:abstractNum>
  <w:abstractNum w:abstractNumId="3">
    <w:nsid w:val="FFFFFF7F"/>
    <w:multiLevelType w:val="singleLevel"/>
    <w:tmpl w:val="85B85E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7849CA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CC4DF7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C248EB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51CD59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F9E4660"/>
    <w:lvl w:ilvl="0">
      <w:start w:val="1"/>
      <w:numFmt w:val="decimal"/>
      <w:pStyle w:val="ListNumber"/>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9"/>
  </w:num>
  <w:num w:numId="2">
    <w:abstractNumId w:val="10"/>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188"/>
        <w:tab w:val="left" w:pos="6519"/>
      </w:tabs>
      <w:spacing w:line="218" w:lineRule="auto"/>
      <w:jc w:val="right"/>
      <w:outlineLvl w:val="6"/>
    </w:pPr>
    <w:rPr>
      <w:rFonts w:ascii="Roman-WP CY" w:hAnsi="Roman-WP CY"/>
      <w:b/>
      <w:bCs/>
      <w:sz w:val="72"/>
      <w:szCs w:val="72"/>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HTMLAddress">
    <w:name w:val="HTML Address"/>
    <w:basedOn w:val="Normal"/>
    <w:semiHidden/>
    <w:rPr>
      <w:i/>
      <w:iCs/>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Date">
    <w:name w:val="Date"/>
    <w:basedOn w:val="Normal"/>
    <w:next w:val="Normal"/>
    <w:semiHidden/>
  </w:style>
  <w:style w:type="paragraph" w:styleId="NoteHeading">
    <w:name w:val="Note Heading"/>
    <w:basedOn w:val="Normal"/>
    <w:next w:val="Normal"/>
    <w:semiHidden/>
  </w:style>
  <w:style w:type="paragraph" w:styleId="TOAHeading">
    <w:name w:val="toa heading"/>
    <w:basedOn w:val="Normal"/>
    <w:next w:val="Normal"/>
    <w:semiHidden/>
    <w:pPr>
      <w:spacing w:before="120"/>
    </w:pPr>
    <w:rPr>
      <w:rFonts w:ascii="Arial" w:hAnsi="Arial" w:cs="Arial"/>
      <w:b/>
      <w:bCs/>
      <w:szCs w:val="24"/>
    </w:rPr>
  </w:style>
  <w:style w:type="paragraph" w:styleId="BodyText">
    <w:name w:val="Body Text"/>
    <w:basedOn w:val="Normal"/>
    <w:semiHidden/>
    <w:pPr>
      <w:spacing w:after="120"/>
    </w:p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Caption">
    <w:name w:val="caption"/>
    <w:basedOn w:val="Normal"/>
    <w:next w:val="Normal"/>
    <w:qFormat/>
    <w:pPr>
      <w:spacing w:before="120" w:after="120"/>
    </w:pPr>
    <w:rPr>
      <w:b/>
      <w:bCs/>
      <w:sz w:val="20"/>
    </w:r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EnvelopeReturn">
    <w:name w:val="envelope return"/>
    <w:basedOn w:val="Normal"/>
    <w:semiHidden/>
    <w:rPr>
      <w:rFonts w:ascii="Arial" w:hAnsi="Arial" w:cs="Arial"/>
      <w:sz w:val="20"/>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TOC1">
    <w:name w:val="toc 1"/>
    <w:basedOn w:val="Normal"/>
    <w:next w:val="Normal"/>
    <w:autoRedefine/>
    <w:semiHidden/>
    <w:pPr>
      <w:tabs>
        <w:tab w:val="clear" w:pos="567"/>
        <w:tab w:val="clear" w:pos="1134"/>
        <w:tab w:val="clear" w:pos="1701"/>
        <w:tab w:val="clear" w:pos="2268"/>
        <w:tab w:val="clear" w:pos="6237"/>
      </w:tabs>
    </w:pPr>
  </w:style>
  <w:style w:type="paragraph" w:styleId="TOC2">
    <w:name w:val="toc 2"/>
    <w:basedOn w:val="Normal"/>
    <w:next w:val="Normal"/>
    <w:autoRedefine/>
    <w:semiHidden/>
    <w:pPr>
      <w:tabs>
        <w:tab w:val="clear" w:pos="567"/>
        <w:tab w:val="clear" w:pos="1134"/>
        <w:tab w:val="clear" w:pos="1701"/>
        <w:tab w:val="clear" w:pos="2268"/>
        <w:tab w:val="clear" w:pos="6237"/>
      </w:tabs>
      <w:ind w:left="240"/>
    </w:pPr>
  </w:style>
  <w:style w:type="paragraph" w:styleId="TOC3">
    <w:name w:val="toc 3"/>
    <w:basedOn w:val="Normal"/>
    <w:next w:val="Normal"/>
    <w:autoRedefine/>
    <w:semiHidden/>
    <w:pPr>
      <w:tabs>
        <w:tab w:val="clear" w:pos="567"/>
        <w:tab w:val="clear" w:pos="1134"/>
        <w:tab w:val="clear" w:pos="1701"/>
        <w:tab w:val="clear" w:pos="2268"/>
        <w:tab w:val="clear" w:pos="6237"/>
      </w:tabs>
      <w:ind w:left="480"/>
    </w:pPr>
  </w:style>
  <w:style w:type="paragraph" w:styleId="TOC4">
    <w:name w:val="toc 4"/>
    <w:basedOn w:val="Normal"/>
    <w:next w:val="Normal"/>
    <w:autoRedefine/>
    <w:semiHidden/>
    <w:pPr>
      <w:tabs>
        <w:tab w:val="clear" w:pos="567"/>
        <w:tab w:val="clear" w:pos="1134"/>
        <w:tab w:val="clear" w:pos="1701"/>
        <w:tab w:val="clear" w:pos="2268"/>
        <w:tab w:val="clear" w:pos="6237"/>
      </w:tabs>
      <w:ind w:left="720"/>
    </w:pPr>
  </w:style>
  <w:style w:type="paragraph" w:styleId="TOC5">
    <w:name w:val="toc 5"/>
    <w:basedOn w:val="Normal"/>
    <w:next w:val="Normal"/>
    <w:autoRedefine/>
    <w:semiHidden/>
    <w:pPr>
      <w:tabs>
        <w:tab w:val="clear" w:pos="567"/>
        <w:tab w:val="clear" w:pos="1134"/>
        <w:tab w:val="clear" w:pos="1701"/>
        <w:tab w:val="clear" w:pos="2268"/>
        <w:tab w:val="clear" w:pos="6237"/>
      </w:tabs>
      <w:ind w:left="960"/>
    </w:pPr>
  </w:style>
  <w:style w:type="paragraph" w:styleId="TOC6">
    <w:name w:val="toc 6"/>
    <w:basedOn w:val="Normal"/>
    <w:next w:val="Normal"/>
    <w:autoRedefine/>
    <w:semiHidden/>
    <w:pPr>
      <w:tabs>
        <w:tab w:val="clear" w:pos="567"/>
        <w:tab w:val="clear" w:pos="1134"/>
        <w:tab w:val="clear" w:pos="1701"/>
        <w:tab w:val="clear" w:pos="2268"/>
        <w:tab w:val="clear" w:pos="6237"/>
      </w:tabs>
      <w:ind w:left="1200"/>
    </w:pPr>
  </w:style>
  <w:style w:type="paragraph" w:styleId="TOC7">
    <w:name w:val="toc 7"/>
    <w:basedOn w:val="Normal"/>
    <w:next w:val="Normal"/>
    <w:autoRedefine/>
    <w:semiHidden/>
    <w:pPr>
      <w:tabs>
        <w:tab w:val="clear" w:pos="567"/>
        <w:tab w:val="clear" w:pos="1134"/>
        <w:tab w:val="clear" w:pos="1701"/>
        <w:tab w:val="clear" w:pos="2268"/>
        <w:tab w:val="clear" w:pos="6237"/>
      </w:tabs>
      <w:ind w:left="1440"/>
    </w:pPr>
  </w:style>
  <w:style w:type="paragraph" w:styleId="TOC8">
    <w:name w:val="toc 8"/>
    <w:basedOn w:val="Normal"/>
    <w:next w:val="Normal"/>
    <w:autoRedefine/>
    <w:semiHidden/>
    <w:pPr>
      <w:tabs>
        <w:tab w:val="clear" w:pos="567"/>
        <w:tab w:val="clear" w:pos="1134"/>
        <w:tab w:val="clear" w:pos="1701"/>
        <w:tab w:val="clear" w:pos="2268"/>
        <w:tab w:val="clear" w:pos="6237"/>
      </w:tabs>
      <w:ind w:left="1680"/>
    </w:pPr>
  </w:style>
  <w:style w:type="paragraph" w:styleId="TOC9">
    <w:name w:val="toc 9"/>
    <w:basedOn w:val="Normal"/>
    <w:next w:val="Normal"/>
    <w:autoRedefine/>
    <w:semiHidden/>
    <w:pPr>
      <w:tabs>
        <w:tab w:val="clear" w:pos="567"/>
        <w:tab w:val="clear" w:pos="1134"/>
        <w:tab w:val="clear" w:pos="1701"/>
        <w:tab w:val="clear" w:pos="2268"/>
        <w:tab w:val="clear" w:pos="6237"/>
      </w:tabs>
      <w:ind w:left="19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TableofFigures">
    <w:name w:val="table of figures"/>
    <w:basedOn w:val="Normal"/>
    <w:next w:val="Normal"/>
    <w:semiHidden/>
    <w:pPr>
      <w:tabs>
        <w:tab w:val="clear" w:pos="567"/>
        <w:tab w:val="clear" w:pos="1134"/>
        <w:tab w:val="clear" w:pos="1701"/>
        <w:tab w:val="clear" w:pos="2268"/>
        <w:tab w:val="clear" w:pos="6237"/>
      </w:tabs>
      <w:ind w:left="480" w:hanging="480"/>
    </w:p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Closing">
    <w:name w:val="Closing"/>
    <w:basedOn w:val="Normal"/>
    <w:semiHidden/>
    <w:pPr>
      <w:ind w:left="4252"/>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sz w:val="20"/>
    </w:rPr>
  </w:style>
  <w:style w:type="paragraph" w:styleId="DocumentMap">
    <w:name w:val="Document Map"/>
    <w:basedOn w:val="Normal"/>
    <w:semiHidden/>
    <w:pPr>
      <w:shd w:val="clear" w:color="auto" w:fill="000080"/>
    </w:pPr>
    <w:rPr>
      <w:rFonts w:ascii="Tahoma" w:hAnsi="Tahoma" w:cs="Tahoma"/>
    </w:rPr>
  </w:style>
  <w:style w:type="paragraph" w:styleId="TableofAuthorities">
    <w:name w:val="table of authorities"/>
    <w:basedOn w:val="Normal"/>
    <w:next w:val="Normal"/>
    <w:semiHidden/>
    <w:pPr>
      <w:tabs>
        <w:tab w:val="clear" w:pos="567"/>
        <w:tab w:val="clear" w:pos="1134"/>
        <w:tab w:val="clear" w:pos="1701"/>
        <w:tab w:val="clear" w:pos="2268"/>
        <w:tab w:val="clear" w:pos="6237"/>
      </w:tabs>
      <w:ind w:left="240" w:hanging="240"/>
    </w:pPr>
  </w:style>
  <w:style w:type="paragraph" w:styleId="PlainText">
    <w:name w:val="Plain Text"/>
    <w:basedOn w:val="Normal"/>
    <w:semiHidden/>
    <w:rPr>
      <w:rFonts w:ascii="Courier New" w:hAnsi="Courier New" w:cs="Courier New"/>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288" w:lineRule="auto"/>
    </w:pPr>
    <w:rPr>
      <w:rFonts w:ascii="Courier New" w:hAnsi="Courier New" w:cs="Courier New"/>
      <w:lang w:val="ru-RU" w:eastAsia="en-US"/>
    </w:rPr>
  </w:style>
  <w:style w:type="paragraph" w:styleId="CommentText">
    <w:name w:val="annotation text"/>
    <w:basedOn w:val="Normal"/>
    <w:semiHidden/>
    <w:rPr>
      <w:sz w:val="20"/>
    </w:rPr>
  </w:style>
  <w:style w:type="paragraph" w:styleId="Index1">
    <w:name w:val="index 1"/>
    <w:basedOn w:val="Normal"/>
    <w:next w:val="Normal"/>
    <w:autoRedefine/>
    <w:semiHidden/>
    <w:pPr>
      <w:tabs>
        <w:tab w:val="clear" w:pos="567"/>
        <w:tab w:val="clear" w:pos="1134"/>
        <w:tab w:val="clear" w:pos="1701"/>
        <w:tab w:val="clear" w:pos="2268"/>
        <w:tab w:val="clear" w:pos="6237"/>
      </w:tabs>
      <w:ind w:left="240" w:hanging="240"/>
    </w:pPr>
  </w:style>
  <w:style w:type="paragraph" w:styleId="IndexHeading">
    <w:name w:val="index heading"/>
    <w:basedOn w:val="Normal"/>
    <w:next w:val="Index1"/>
    <w:semiHidden/>
    <w:rPr>
      <w:rFonts w:ascii="Arial" w:hAnsi="Arial" w:cs="Arial"/>
      <w:b/>
      <w:bCs/>
    </w:rPr>
  </w:style>
  <w:style w:type="paragraph" w:styleId="Index2">
    <w:name w:val="index 2"/>
    <w:basedOn w:val="Normal"/>
    <w:next w:val="Normal"/>
    <w:autoRedefine/>
    <w:semiHidden/>
    <w:pPr>
      <w:tabs>
        <w:tab w:val="clear" w:pos="567"/>
        <w:tab w:val="clear" w:pos="1134"/>
        <w:tab w:val="clear" w:pos="1701"/>
        <w:tab w:val="clear" w:pos="2268"/>
        <w:tab w:val="clear" w:pos="6237"/>
      </w:tabs>
      <w:ind w:left="480" w:hanging="240"/>
    </w:pPr>
  </w:style>
  <w:style w:type="paragraph" w:styleId="Index3">
    <w:name w:val="index 3"/>
    <w:basedOn w:val="Normal"/>
    <w:next w:val="Normal"/>
    <w:autoRedefine/>
    <w:semiHidden/>
    <w:pPr>
      <w:tabs>
        <w:tab w:val="clear" w:pos="567"/>
        <w:tab w:val="clear" w:pos="1134"/>
        <w:tab w:val="clear" w:pos="1701"/>
        <w:tab w:val="clear" w:pos="2268"/>
        <w:tab w:val="clear" w:pos="6237"/>
      </w:tabs>
      <w:ind w:left="720" w:hanging="240"/>
    </w:pPr>
  </w:style>
  <w:style w:type="paragraph" w:styleId="Index4">
    <w:name w:val="index 4"/>
    <w:basedOn w:val="Normal"/>
    <w:next w:val="Normal"/>
    <w:autoRedefine/>
    <w:semiHidden/>
    <w:pPr>
      <w:tabs>
        <w:tab w:val="clear" w:pos="567"/>
        <w:tab w:val="clear" w:pos="1134"/>
        <w:tab w:val="clear" w:pos="1701"/>
        <w:tab w:val="clear" w:pos="2268"/>
        <w:tab w:val="clear" w:pos="6237"/>
      </w:tabs>
      <w:ind w:left="960" w:hanging="240"/>
    </w:pPr>
  </w:style>
  <w:style w:type="paragraph" w:styleId="Index5">
    <w:name w:val="index 5"/>
    <w:basedOn w:val="Normal"/>
    <w:next w:val="Normal"/>
    <w:autoRedefine/>
    <w:semiHidden/>
    <w:pPr>
      <w:tabs>
        <w:tab w:val="clear" w:pos="567"/>
        <w:tab w:val="clear" w:pos="1134"/>
        <w:tab w:val="clear" w:pos="1701"/>
        <w:tab w:val="clear" w:pos="2268"/>
        <w:tab w:val="clear" w:pos="6237"/>
      </w:tabs>
      <w:ind w:left="1200" w:hanging="240"/>
    </w:pPr>
  </w:style>
  <w:style w:type="paragraph" w:styleId="Index6">
    <w:name w:val="index 6"/>
    <w:basedOn w:val="Normal"/>
    <w:next w:val="Normal"/>
    <w:autoRedefine/>
    <w:semiHidden/>
    <w:pPr>
      <w:tabs>
        <w:tab w:val="clear" w:pos="567"/>
        <w:tab w:val="clear" w:pos="1134"/>
        <w:tab w:val="clear" w:pos="1701"/>
        <w:tab w:val="clear" w:pos="2268"/>
        <w:tab w:val="clear" w:pos="6237"/>
      </w:tabs>
      <w:ind w:left="1440" w:hanging="240"/>
    </w:pPr>
  </w:style>
  <w:style w:type="paragraph" w:styleId="Index7">
    <w:name w:val="index 7"/>
    <w:basedOn w:val="Normal"/>
    <w:next w:val="Normal"/>
    <w:autoRedefine/>
    <w:semiHidden/>
    <w:pPr>
      <w:tabs>
        <w:tab w:val="clear" w:pos="567"/>
        <w:tab w:val="clear" w:pos="1134"/>
        <w:tab w:val="clear" w:pos="1701"/>
        <w:tab w:val="clear" w:pos="2268"/>
        <w:tab w:val="clear" w:pos="6237"/>
      </w:tabs>
      <w:ind w:left="1680" w:hanging="240"/>
    </w:pPr>
  </w:style>
  <w:style w:type="paragraph" w:styleId="Index8">
    <w:name w:val="index 8"/>
    <w:basedOn w:val="Normal"/>
    <w:next w:val="Normal"/>
    <w:autoRedefine/>
    <w:semiHidden/>
    <w:pPr>
      <w:tabs>
        <w:tab w:val="clear" w:pos="567"/>
        <w:tab w:val="clear" w:pos="1134"/>
        <w:tab w:val="clear" w:pos="1701"/>
        <w:tab w:val="clear" w:pos="2268"/>
        <w:tab w:val="clear" w:pos="6237"/>
      </w:tabs>
      <w:ind w:left="1920" w:hanging="240"/>
    </w:pPr>
  </w:style>
  <w:style w:type="paragraph" w:styleId="Index9">
    <w:name w:val="index 9"/>
    <w:basedOn w:val="Normal"/>
    <w:next w:val="Normal"/>
    <w:autoRedefine/>
    <w:semiHidden/>
    <w:pPr>
      <w:tabs>
        <w:tab w:val="clear" w:pos="567"/>
        <w:tab w:val="clear" w:pos="1134"/>
        <w:tab w:val="clear" w:pos="1701"/>
        <w:tab w:val="clear" w:pos="2268"/>
        <w:tab w:val="clear" w:pos="6237"/>
      </w:tabs>
      <w:ind w:left="2160" w:hanging="240"/>
    </w:pPr>
  </w:style>
  <w:style w:type="paragraph" w:styleId="BlockText">
    <w:name w:val="Block Text"/>
    <w:basedOn w:val="Normal"/>
    <w:semiHidden/>
    <w:pPr>
      <w:spacing w:after="120"/>
      <w:ind w:left="1440" w:right="144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E-mailSignature">
    <w:name w:val="E-mail Signature"/>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9640</Words>
  <Characters>65553</Characters>
  <Application>Microsoft Office Word</Application>
  <DocSecurity>4</DocSecurity>
  <Lines>1394</Lines>
  <Paragraphs>290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ONU</Company>
  <LinksUpToDate>false</LinksUpToDate>
  <CharactersWithSpaces>78085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Марина БАЖЕНОВА</dc:creator>
  <cp:keywords/>
  <dc:description/>
  <cp:lastModifiedBy>Марина БАЖЕНОВА</cp:lastModifiedBy>
  <cp:revision>2</cp:revision>
  <cp:lastPrinted>2001-01-11T11:57:00Z</cp:lastPrinted>
  <dcterms:created xsi:type="dcterms:W3CDTF">2001-01-11T12:09:00Z</dcterms:created>
  <dcterms:modified xsi:type="dcterms:W3CDTF">2001-01-11T12:09:00Z</dcterms:modified>
</cp:coreProperties>
</file>