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419" w:rsidRDefault="00630419" w:rsidP="00630419">
      <w:pPr>
        <w:spacing w:line="60" w:lineRule="exact"/>
        <w:rPr>
          <w:sz w:val="6"/>
        </w:rPr>
        <w:sectPr w:rsidR="00630419" w:rsidSect="0063041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630419" w:rsidRDefault="00630419" w:rsidP="00630419">
      <w:pPr>
        <w:spacing w:line="60" w:lineRule="exact"/>
        <w:rPr>
          <w:sz w:val="6"/>
        </w:rPr>
      </w:pPr>
    </w:p>
    <w:p w:rsidR="00557055" w:rsidRDefault="00557055" w:rsidP="00557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4" w:right="1259" w:hanging="1264"/>
        <w:rPr>
          <w:rFonts w:hint="eastAsia"/>
        </w:rPr>
      </w:pPr>
      <w:r>
        <w:rPr>
          <w:rFonts w:hint="eastAsia"/>
        </w:rPr>
        <w:t>消除对妇女歧视委员会</w:t>
      </w:r>
    </w:p>
    <w:p w:rsidR="00557055" w:rsidRDefault="00557055" w:rsidP="00557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00"/>
        <w:ind w:left="1264" w:right="1259" w:hanging="1264"/>
        <w:rPr>
          <w:rFonts w:hint="eastAsia"/>
        </w:rPr>
      </w:pPr>
      <w:r>
        <w:rPr>
          <w:rFonts w:hint="eastAsia"/>
        </w:rPr>
        <w:t>第三十七届会议</w:t>
      </w:r>
    </w:p>
    <w:p w:rsidR="00557055" w:rsidRDefault="00557055" w:rsidP="00557055">
      <w:pPr>
        <w:pStyle w:val="SingleTxt"/>
        <w:ind w:left="0"/>
        <w:rPr>
          <w:rFonts w:hint="eastAsia"/>
        </w:rPr>
      </w:pPr>
      <w:r>
        <w:rPr>
          <w:rFonts w:hint="eastAsia"/>
        </w:rPr>
        <w:t>2007年1月15日至2月2日</w:t>
      </w:r>
    </w:p>
    <w:p w:rsidR="00557055" w:rsidRDefault="00557055" w:rsidP="00557055">
      <w:pPr>
        <w:pStyle w:val="SingleTxt"/>
      </w:pPr>
    </w:p>
    <w:p w:rsidR="00557055" w:rsidRDefault="00557055" w:rsidP="0055705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消除对妇女歧视委员会的结论意见：波兰</w:t>
      </w:r>
    </w:p>
    <w:p w:rsidR="00557055" w:rsidRDefault="00557055" w:rsidP="00557055">
      <w:pPr>
        <w:pStyle w:val="SingleTxt"/>
      </w:pPr>
    </w:p>
    <w:p w:rsidR="00557055" w:rsidRDefault="00557055" w:rsidP="00557055">
      <w:pPr>
        <w:pStyle w:val="SingleTxt"/>
        <w:rPr>
          <w:rFonts w:hint="eastAsia"/>
        </w:rPr>
      </w:pPr>
      <w:r>
        <w:rPr>
          <w:rFonts w:hint="eastAsia"/>
        </w:rPr>
        <w:t>1.</w:t>
      </w:r>
      <w:r>
        <w:tab/>
      </w:r>
      <w:r>
        <w:rPr>
          <w:rFonts w:hint="eastAsia"/>
        </w:rPr>
        <w:t>委员会在2007年1月16日第757次及第 758次会议上(见CEDAW/C/SR.757及758)审议了波兰第四和第五次合并定期报告(CEDAW/C/POL/4-5)和第六次定期报告(CEDAW/C/POL/6)。委员会的问题单载于CEDAW/C/POL/Q/6号文件，波兰的答复载于CEDAW/C/POL/Q/6/Add.1号文件。</w:t>
      </w:r>
    </w:p>
    <w:p w:rsidR="00557055" w:rsidRPr="00754B04" w:rsidRDefault="00557055" w:rsidP="00557055">
      <w:pPr>
        <w:pStyle w:val="SingleTxt"/>
        <w:rPr>
          <w:rFonts w:ascii="SimHei" w:eastAsia="SimHei" w:hint="eastAsia"/>
          <w:color w:val="FF0000"/>
        </w:rPr>
      </w:pPr>
      <w:r w:rsidRPr="00754B04">
        <w:rPr>
          <w:rFonts w:ascii="SimHei" w:eastAsia="SimHei" w:hint="eastAsia"/>
          <w:color w:val="FF0000"/>
        </w:rPr>
        <w:t>导言</w:t>
      </w:r>
    </w:p>
    <w:p w:rsidR="00557055" w:rsidRDefault="00557055" w:rsidP="00557055">
      <w:pPr>
        <w:pStyle w:val="SingleTxt"/>
        <w:rPr>
          <w:rFonts w:hint="eastAsia"/>
        </w:rPr>
      </w:pPr>
      <w:r>
        <w:rPr>
          <w:rFonts w:hint="eastAsia"/>
        </w:rPr>
        <w:t>2.</w:t>
      </w:r>
      <w:r>
        <w:rPr>
          <w:rFonts w:hint="eastAsia"/>
        </w:rPr>
        <w:tab/>
        <w:t>委员会感谢缔约国根据委员会的准则，提交第四和第五次合并定期报告及第六次定期报告，并全面阐述在报告审查期间《公约》的执行情况，不过对迟交报告表示遗憾。委员会赞扬缔约国就会前工作组所提出的问题作书面答复和口头陈述，其中提供关于波兰执行《公约》方面取得的进展和做出努力的最新资料，并感谢波兰就委员会口头提出的问题作出答复。</w:t>
      </w:r>
    </w:p>
    <w:p w:rsidR="00557055" w:rsidRDefault="00557055" w:rsidP="00557055">
      <w:pPr>
        <w:pStyle w:val="SingleTxt"/>
        <w:rPr>
          <w:rFonts w:hint="eastAsia"/>
        </w:rPr>
      </w:pPr>
      <w:r>
        <w:rPr>
          <w:rFonts w:hint="eastAsia"/>
        </w:rPr>
        <w:t>3.</w:t>
      </w:r>
      <w:r>
        <w:rPr>
          <w:rFonts w:hint="eastAsia"/>
        </w:rPr>
        <w:tab/>
        <w:t>委员会赞扬缔约国由劳工和社会政策部副部长率领的代表团，其成员包括各部的代表。委员会赞扬缔约国的代表团和委员会成员进行了建设性对话。</w:t>
      </w:r>
    </w:p>
    <w:p w:rsidR="00557055" w:rsidRDefault="00557055" w:rsidP="00557055">
      <w:pPr>
        <w:pStyle w:val="SingleTxt"/>
        <w:rPr>
          <w:rFonts w:hint="eastAsia"/>
        </w:rPr>
      </w:pPr>
      <w:r>
        <w:rPr>
          <w:rFonts w:hint="eastAsia"/>
        </w:rPr>
        <w:t>4.</w:t>
      </w:r>
      <w:r>
        <w:rPr>
          <w:rFonts w:hint="eastAsia"/>
        </w:rPr>
        <w:tab/>
        <w:t>委员会赞扬缔约国2003年12月</w:t>
      </w:r>
      <w:r w:rsidR="007A0594">
        <w:rPr>
          <w:rFonts w:hint="eastAsia"/>
        </w:rPr>
        <w:t>22</w:t>
      </w:r>
      <w:r>
        <w:rPr>
          <w:rFonts w:hint="eastAsia"/>
        </w:rPr>
        <w:t>日加入《公约任择议定书》。</w:t>
      </w:r>
    </w:p>
    <w:p w:rsidR="00557055" w:rsidRPr="00754B04" w:rsidRDefault="00557055" w:rsidP="00557055">
      <w:pPr>
        <w:pStyle w:val="SingleTxt"/>
        <w:rPr>
          <w:rFonts w:ascii="SimHei" w:eastAsia="SimHei" w:hint="eastAsia"/>
          <w:color w:val="FF0000"/>
        </w:rPr>
      </w:pPr>
      <w:r w:rsidRPr="00754B04">
        <w:rPr>
          <w:rFonts w:ascii="SimHei" w:eastAsia="SimHei" w:hint="eastAsia"/>
          <w:color w:val="FF0000"/>
        </w:rPr>
        <w:t>积极方面</w:t>
      </w:r>
    </w:p>
    <w:p w:rsidR="00557055" w:rsidRDefault="00557055" w:rsidP="00557055">
      <w:pPr>
        <w:pStyle w:val="SingleTxt"/>
        <w:rPr>
          <w:rFonts w:hint="eastAsia"/>
        </w:rPr>
      </w:pPr>
      <w:r>
        <w:rPr>
          <w:rFonts w:hint="eastAsia"/>
        </w:rPr>
        <w:t>5.</w:t>
      </w:r>
      <w:r>
        <w:rPr>
          <w:rFonts w:hint="eastAsia"/>
        </w:rPr>
        <w:tab/>
        <w:t>委员会赞扬缔约国通过若干法律，旨在消除对妇女的歧视、促进两性平等和履行《公约》规定的义务。特别是，它欣见波兰修改了以下法律：2001年和2002年《劳工法》，增列了关于男女平等待遇的新的一章，提供了关于直接和间接歧视的定义；2004年《社会福利法》；2005年《打击家庭暴力法》；修正了在波兰共和国境内的《外国人和保护外国人法》，以促进对被贩运人口的保护。</w:t>
      </w:r>
    </w:p>
    <w:p w:rsidR="00557055" w:rsidRDefault="00557055" w:rsidP="00557055">
      <w:pPr>
        <w:pStyle w:val="SingleTxt"/>
        <w:rPr>
          <w:rFonts w:hint="eastAsia"/>
        </w:rPr>
      </w:pPr>
      <w:r>
        <w:rPr>
          <w:rFonts w:hint="eastAsia"/>
        </w:rPr>
        <w:t>6.</w:t>
      </w:r>
      <w:r>
        <w:rPr>
          <w:rFonts w:hint="eastAsia"/>
        </w:rPr>
        <w:tab/>
        <w:t>委员会赞扬缔约国通过和持续执行旨在消除对妇女的事实上的歧视和增强妇女在劳动力市场平等机会的若干政策及方案；打击家庭暴力国家方案；打击对儿童、青年和妇女的暴力的欧盟方案——Daphne III；2005-2006年打击和防止贩运人口国家方案以及2007-2008年将出台的方案。</w:t>
      </w:r>
    </w:p>
    <w:p w:rsidR="00557055" w:rsidRPr="00754B04" w:rsidRDefault="00557055" w:rsidP="00557055">
      <w:pPr>
        <w:pStyle w:val="SingleTxt"/>
        <w:rPr>
          <w:rFonts w:ascii="SimHei" w:eastAsia="SimHei" w:hint="eastAsia"/>
          <w:color w:val="FF0000"/>
        </w:rPr>
      </w:pPr>
      <w:r w:rsidRPr="00754B04">
        <w:rPr>
          <w:rFonts w:ascii="SimHei" w:eastAsia="SimHei" w:hint="eastAsia"/>
          <w:color w:val="FF0000"/>
        </w:rPr>
        <w:t>主要关切领域和建议</w:t>
      </w:r>
    </w:p>
    <w:p w:rsidR="00557055" w:rsidRDefault="00557055" w:rsidP="00557055">
      <w:pPr>
        <w:pStyle w:val="SingleTxt"/>
        <w:rPr>
          <w:rFonts w:hint="eastAsia"/>
        </w:rPr>
      </w:pPr>
      <w:r>
        <w:rPr>
          <w:rFonts w:hint="eastAsia"/>
        </w:rPr>
        <w:t>7.</w:t>
      </w:r>
      <w:r>
        <w:rPr>
          <w:rFonts w:hint="eastAsia"/>
        </w:rPr>
        <w:tab/>
      </w:r>
      <w:r w:rsidRPr="00754B04">
        <w:rPr>
          <w:rFonts w:ascii="SimHei" w:eastAsia="SimHei" w:hint="eastAsia"/>
          <w:color w:val="FF0000"/>
        </w:rPr>
        <w:t>委员会提醒缔约国有义务系统地继续执行《公约》所有规定，同时认为，从目前到提交下次定期报告期间，缔约国需要优先注意现有结论意见中所提出的关切问题及建议。因此，委员会促请缔约国在执行活动时注意这些方面，并在下次定期报告内汇报所采取的行动及取得的成果。它还呼吁缔约国向所有相关部委及议会提交这些结论意见，以确保得到充分执行</w:t>
      </w:r>
      <w:r>
        <w:rPr>
          <w:rFonts w:hint="eastAsia"/>
        </w:rPr>
        <w:t>。</w:t>
      </w:r>
    </w:p>
    <w:p w:rsidR="00557055" w:rsidRDefault="00557055" w:rsidP="00557055">
      <w:pPr>
        <w:pStyle w:val="SingleTxt"/>
        <w:rPr>
          <w:rFonts w:hint="eastAsia"/>
        </w:rPr>
      </w:pPr>
      <w:r>
        <w:rPr>
          <w:rFonts w:hint="eastAsia"/>
        </w:rPr>
        <w:t>8.</w:t>
      </w:r>
      <w:r>
        <w:rPr>
          <w:rFonts w:hint="eastAsia"/>
        </w:rPr>
        <w:tab/>
        <w:t>委员会注意到现行法律禁止在就业领域直接和间接歧视，同时还关切波兰没有载有按照《公约》第一条，涵盖直接和间接歧视及《公约》的所有领域对妇女歧视的定义的一般反对歧视法。在这方面，委员会关切议会多次并且最近于2005年6月不通过关于两性平等的综合性法律。</w:t>
      </w:r>
    </w:p>
    <w:p w:rsidR="00557055" w:rsidRDefault="00557055" w:rsidP="00557055">
      <w:pPr>
        <w:pStyle w:val="SingleTxt"/>
        <w:rPr>
          <w:rFonts w:hint="eastAsia"/>
        </w:rPr>
      </w:pPr>
      <w:r>
        <w:rPr>
          <w:rFonts w:hint="eastAsia"/>
        </w:rPr>
        <w:t>9.</w:t>
      </w:r>
      <w:r>
        <w:rPr>
          <w:rFonts w:hint="eastAsia"/>
        </w:rPr>
        <w:tab/>
      </w:r>
      <w:r w:rsidRPr="00754B04">
        <w:rPr>
          <w:rFonts w:ascii="SimHei" w:eastAsia="SimHei" w:hint="eastAsia"/>
          <w:color w:val="FF0000"/>
        </w:rPr>
        <w:t>委员会促请缔约国在适当的国内法中列入按照《公约》第一条对妇女歧视的定义，例如拟议中关于两性平等的法律。委员会还促请缔约国制定程序，以便有效执行、监测和强制实施该法律</w:t>
      </w:r>
      <w:r>
        <w:rPr>
          <w:rFonts w:hint="eastAsia"/>
        </w:rPr>
        <w:t>。</w:t>
      </w:r>
    </w:p>
    <w:p w:rsidR="00557055" w:rsidRDefault="00557055" w:rsidP="00557055">
      <w:pPr>
        <w:pStyle w:val="SingleTxt"/>
        <w:rPr>
          <w:rFonts w:hint="eastAsia"/>
        </w:rPr>
      </w:pPr>
      <w:r>
        <w:rPr>
          <w:rFonts w:hint="eastAsia"/>
        </w:rPr>
        <w:t>10.</w:t>
      </w:r>
      <w:r>
        <w:rPr>
          <w:rFonts w:hint="eastAsia"/>
        </w:rPr>
        <w:tab/>
        <w:t>委员会感到关切的是，男女平等地位政府全权代表职位被废除，2005年11月提高妇女地位国家机制的改组会对其作为促进两性平等和协调政府各部门执行性别平等主流战略的有效机制的能力产生不利影响。委员会还关切的是，该机制改设在劳工和社会政策部妇女、家庭及</w:t>
      </w:r>
      <w:r w:rsidR="007A0594">
        <w:rPr>
          <w:rFonts w:hint="eastAsia"/>
        </w:rPr>
        <w:t>反</w:t>
      </w:r>
      <w:r>
        <w:rPr>
          <w:rFonts w:hint="eastAsia"/>
        </w:rPr>
        <w:t>歧视局，会造成对妇女歧视的特殊性质得不到优先重视，对妇女在就业方面受到歧视不给予注意和减少两性平等问题在《公约》涵盖的所有领域的重要地位。</w:t>
      </w:r>
    </w:p>
    <w:p w:rsidR="00557055" w:rsidRDefault="00557055" w:rsidP="00557055">
      <w:pPr>
        <w:pStyle w:val="SingleTxt"/>
        <w:rPr>
          <w:rFonts w:hint="eastAsia"/>
        </w:rPr>
      </w:pPr>
      <w:r>
        <w:rPr>
          <w:rFonts w:hint="eastAsia"/>
        </w:rPr>
        <w:t>11.</w:t>
      </w:r>
      <w:r>
        <w:rPr>
          <w:rFonts w:hint="eastAsia"/>
        </w:rPr>
        <w:tab/>
      </w:r>
      <w:r w:rsidRPr="00754B04">
        <w:rPr>
          <w:rFonts w:ascii="SimHei" w:eastAsia="SimHei" w:hint="eastAsia"/>
          <w:color w:val="FF0000"/>
        </w:rPr>
        <w:t>委员会建议缔约国采取紧急步骤，保证对促进两性平等和妇女享有人权给予必要的重视和优先注意，并适当监测在《公约》涵盖的所有领域实现两性平等目标的进展情况。委员会还鼓励缔约国建立有效的部间协调机制，以便加强在政府所有部委和机构、所有领域及各个级别实施性别平等主流战略</w:t>
      </w:r>
      <w:r>
        <w:rPr>
          <w:rFonts w:hint="eastAsia"/>
        </w:rPr>
        <w:t>。</w:t>
      </w:r>
    </w:p>
    <w:p w:rsidR="00557055" w:rsidRDefault="00557055" w:rsidP="00557055">
      <w:pPr>
        <w:pStyle w:val="SingleTxt"/>
        <w:rPr>
          <w:rFonts w:hint="eastAsia"/>
        </w:rPr>
      </w:pPr>
      <w:r>
        <w:rPr>
          <w:rFonts w:hint="eastAsia"/>
        </w:rPr>
        <w:t>12.</w:t>
      </w:r>
      <w:r>
        <w:rPr>
          <w:rFonts w:hint="eastAsia"/>
        </w:rPr>
        <w:tab/>
        <w:t>委员会感到遗憾的是，没有充分说明缔约国对2003-2005年《全国妇女行动计划》执行方面的影响和成果进行的评价以及是否仍在继续执行该计划，或是否将制定一个实现两性平等的新计划或通盘战略。</w:t>
      </w:r>
    </w:p>
    <w:p w:rsidR="00557055" w:rsidRDefault="00557055" w:rsidP="00557055">
      <w:pPr>
        <w:pStyle w:val="SingleTxt"/>
      </w:pPr>
      <w:r>
        <w:rPr>
          <w:rFonts w:hint="eastAsia"/>
        </w:rPr>
        <w:t>13.</w:t>
      </w:r>
      <w:r>
        <w:rPr>
          <w:rFonts w:hint="eastAsia"/>
        </w:rPr>
        <w:tab/>
      </w:r>
      <w:r w:rsidRPr="00754B04">
        <w:rPr>
          <w:rFonts w:ascii="SimHei" w:eastAsia="SimHei" w:hint="eastAsia"/>
          <w:color w:val="FF0000"/>
        </w:rPr>
        <w:t>委员会请缔约国与妇女非政府组织协商，通过一项有足够资源的促进两性平等国家全面行动计划，并在下次报告说明为实现妇女事实上的平等而执行该计划所产生的</w:t>
      </w:r>
      <w:r>
        <w:rPr>
          <w:rFonts w:ascii="SimHei" w:eastAsia="SimHei" w:hint="eastAsia"/>
          <w:color w:val="FF0000"/>
        </w:rPr>
        <w:t>影响和</w:t>
      </w:r>
      <w:r w:rsidRPr="00754B04">
        <w:rPr>
          <w:rFonts w:ascii="SimHei" w:eastAsia="SimHei" w:hint="eastAsia"/>
          <w:color w:val="FF0000"/>
        </w:rPr>
        <w:t>成果</w:t>
      </w:r>
      <w:r>
        <w:rPr>
          <w:rFonts w:hint="eastAsia"/>
        </w:rPr>
        <w:t>。</w:t>
      </w:r>
    </w:p>
    <w:p w:rsidR="00557055" w:rsidRDefault="00557055" w:rsidP="00557055">
      <w:pPr>
        <w:pStyle w:val="SingleTxt"/>
        <w:rPr>
          <w:rFonts w:hint="eastAsia"/>
        </w:rPr>
      </w:pPr>
      <w:r>
        <w:rPr>
          <w:rFonts w:hint="eastAsia"/>
        </w:rPr>
        <w:t>14.</w:t>
      </w:r>
      <w:r>
        <w:rPr>
          <w:rFonts w:hint="eastAsia"/>
        </w:rPr>
        <w:tab/>
        <w:t>委员会对妇女在公共和政治生活以及决策职位中，包括在议会、地方代表机构以及包括市镇政府在内的政府执行机构中的任职人数持续偏低感到关切。委员会对2005年选举后上议院女议员人数减少9％表示关切。委员会虽然对女法官比例较高表示欢迎，但关切地注意到，妇女在司法部门和高级法院中的高级别任职人数依然偏低。</w:t>
      </w:r>
    </w:p>
    <w:p w:rsidR="00557055" w:rsidRDefault="00557055" w:rsidP="00557055">
      <w:pPr>
        <w:pStyle w:val="SingleTxt"/>
        <w:rPr>
          <w:rFonts w:hint="eastAsia"/>
        </w:rPr>
      </w:pPr>
      <w:r>
        <w:rPr>
          <w:rFonts w:hint="eastAsia"/>
        </w:rPr>
        <w:t>15.</w:t>
      </w:r>
      <w:r>
        <w:rPr>
          <w:rFonts w:hint="eastAsia"/>
        </w:rPr>
        <w:tab/>
      </w:r>
      <w:r w:rsidRPr="00754B04">
        <w:rPr>
          <w:rFonts w:ascii="SimHei" w:eastAsia="SimHei" w:hint="eastAsia"/>
          <w:color w:val="FF0000"/>
        </w:rPr>
        <w:t>委员会鼓励该缔约国采取持久措施，加快妇女充分、平等担任民选职位和任命职位的速度，其中包括市镇和国家各级职位、司法部门和高等法院高级职位和担任国际职务。此类措施应包括：根据《公约》第四条第1款和委员会的一般性建议25，采取临时特别措施；建立基准、数字指标和时间表；为现任和未来妇女领导人举办领导和谈判技能培训班；并定期监测进展情况和所获成果。委员会进一步敦促该缔约国开展提高认识运动，宣传妇女参与公共和政治生活以及参与决策的重要性</w:t>
      </w:r>
      <w:r>
        <w:rPr>
          <w:rFonts w:hint="eastAsia"/>
        </w:rPr>
        <w:t>。</w:t>
      </w:r>
    </w:p>
    <w:p w:rsidR="00557055" w:rsidRDefault="00557055" w:rsidP="00557055">
      <w:pPr>
        <w:pStyle w:val="SingleTxt"/>
        <w:rPr>
          <w:rFonts w:hint="eastAsia"/>
        </w:rPr>
      </w:pPr>
      <w:r>
        <w:rPr>
          <w:rFonts w:hint="eastAsia"/>
        </w:rPr>
        <w:t>16.</w:t>
      </w:r>
      <w:r>
        <w:rPr>
          <w:rFonts w:hint="eastAsia"/>
        </w:rPr>
        <w:tab/>
        <w:t>委员会对有关家庭乃至整个社会中男女传统角色和责任划分的长期顽固偏见和成见感到关切。这些定型观念使歧视妇女现象得以长期存在并反映在许多领域，例如，妇女在劳动力市场中的处境、妇女参与政治和公共生活水平低下以及暴力侵害妇女现象长期存在。委员会还感到关切的是，大学中妇女和两性平等问题研究方案的范围以及对这些方案的支持十分有限，造成有关两性平等问题的研究和专业知识匮乏。</w:t>
      </w:r>
    </w:p>
    <w:p w:rsidR="00557055" w:rsidRDefault="00557055" w:rsidP="00557055">
      <w:pPr>
        <w:pStyle w:val="SingleTxt"/>
        <w:rPr>
          <w:rFonts w:hint="eastAsia"/>
        </w:rPr>
      </w:pPr>
      <w:r>
        <w:rPr>
          <w:rFonts w:hint="eastAsia"/>
        </w:rPr>
        <w:t>17.</w:t>
      </w:r>
      <w:r>
        <w:rPr>
          <w:rFonts w:hint="eastAsia"/>
        </w:rPr>
        <w:tab/>
      </w:r>
      <w:r w:rsidRPr="00754B04">
        <w:rPr>
          <w:rFonts w:ascii="SimHei" w:eastAsia="SimHei" w:hint="eastAsia"/>
          <w:color w:val="FF0000"/>
        </w:rPr>
        <w:t>委员会敦促该缔约国加紧努力，克服长期存在和根深蒂固的歧视妇女的成见，并推动社会各界，特别是教育系统、媒体和非政府组织采取行动，以克服成见，扭转妇女形象，并改变文化，充分尊重妇女的平等权利和尊严。委员会还敦促该缔约国通过适当的国家拨款等措施，支持在大学设立和保留妇女和两性平等问题的研究部门</w:t>
      </w:r>
      <w:r>
        <w:rPr>
          <w:rFonts w:hint="eastAsia"/>
        </w:rPr>
        <w:t>。</w:t>
      </w:r>
    </w:p>
    <w:p w:rsidR="00557055" w:rsidRDefault="00557055" w:rsidP="00557055">
      <w:pPr>
        <w:pStyle w:val="SingleTxt"/>
        <w:rPr>
          <w:rFonts w:hint="eastAsia"/>
        </w:rPr>
      </w:pPr>
      <w:r>
        <w:rPr>
          <w:rFonts w:hint="eastAsia"/>
        </w:rPr>
        <w:t>18.</w:t>
      </w:r>
      <w:r>
        <w:rPr>
          <w:rFonts w:hint="eastAsia"/>
        </w:rPr>
        <w:tab/>
        <w:t>委员会虽然注意到该缔约国为防止和处理对妇女的暴力行为作出了努力，但对2005年《打击家庭暴力法》依然存在缺口，将家庭暴力视为与性别无关的现象，并对没有向受害者提供包括立即逐出施暴者、免费法律援助和提供适量临时住所在内的适当服务感到关切。委员会还对关于暴力侵害妇女的一切形式和表现的数据收集工作依然存在差距感到关切。</w:t>
      </w:r>
    </w:p>
    <w:p w:rsidR="00557055" w:rsidRDefault="00557055" w:rsidP="00557055">
      <w:pPr>
        <w:pStyle w:val="SingleTxt"/>
        <w:rPr>
          <w:rFonts w:hint="eastAsia"/>
        </w:rPr>
      </w:pPr>
      <w:r>
        <w:rPr>
          <w:rFonts w:hint="eastAsia"/>
        </w:rPr>
        <w:t>19.</w:t>
      </w:r>
      <w:r>
        <w:rPr>
          <w:rFonts w:hint="eastAsia"/>
        </w:rPr>
        <w:tab/>
      </w:r>
      <w:r w:rsidRPr="00754B04">
        <w:rPr>
          <w:rFonts w:ascii="SimHei" w:eastAsia="SimHei" w:hint="eastAsia"/>
          <w:color w:val="FF0000"/>
        </w:rPr>
        <w:t>委员会敦促该缔约国按照委员会一般性建议19，优先注意防止和打击对妇女和女童的一切暴力形式。委员会吁请该缔约国确保受害者可通过警察核发的限制令、前往有专业人员值班的适量安全住所和获得包括免费法律援助在内的其他服务等方式立即受到保护，并确保有系统地收集数据，按暴力行为的类别和施暴者与受害者的关系加以分类。委员会建议缔约国开展提高认识运动，打击对妇女的暴力行为，包括家庭暴力，并就对妇女的暴力行为、特别是家庭暴力的根源进行研究，并以这项研究为基础推进提高认识工作，以防止和消除对妇女的暴力</w:t>
      </w:r>
      <w:r>
        <w:rPr>
          <w:rFonts w:hint="eastAsia"/>
        </w:rPr>
        <w:t>。</w:t>
      </w:r>
    </w:p>
    <w:p w:rsidR="00557055" w:rsidRDefault="00557055" w:rsidP="00557055">
      <w:pPr>
        <w:pStyle w:val="SingleTxt"/>
        <w:rPr>
          <w:rFonts w:hint="eastAsia"/>
        </w:rPr>
      </w:pPr>
      <w:r>
        <w:rPr>
          <w:rFonts w:hint="eastAsia"/>
        </w:rPr>
        <w:t>20.</w:t>
      </w:r>
      <w:r>
        <w:rPr>
          <w:rFonts w:hint="eastAsia"/>
        </w:rPr>
        <w:tab/>
        <w:t>委员会欣见《打击和防止贩运人口国家方案》获得通过，并已采取措施打击贩卖人口并向受害者提供援助，但对显示该现象范围的有关数据十分有限，打击该现象的法律框架依然存在差距感到关切。对已采取的措施产生何种影响未进行评估，委员会对此也感到关切。</w:t>
      </w:r>
    </w:p>
    <w:p w:rsidR="00557055" w:rsidRDefault="00557055" w:rsidP="00557055">
      <w:pPr>
        <w:pStyle w:val="SingleTxt"/>
        <w:rPr>
          <w:rFonts w:hint="eastAsia"/>
        </w:rPr>
      </w:pPr>
      <w:r>
        <w:rPr>
          <w:rFonts w:hint="eastAsia"/>
        </w:rPr>
        <w:t>21.</w:t>
      </w:r>
      <w:r>
        <w:rPr>
          <w:rFonts w:hint="eastAsia"/>
        </w:rPr>
        <w:tab/>
      </w:r>
      <w:r w:rsidRPr="00754B04">
        <w:rPr>
          <w:rFonts w:ascii="SimHei" w:eastAsia="SimHei" w:hint="eastAsia"/>
          <w:color w:val="FF0000"/>
        </w:rPr>
        <w:t>委员会敦促该缔约国根据《关于预防、禁止和惩治贩运人口特别是妇女和儿童行为的补充议定书》将贩运定义纳入其《刑法典》。委员会还敦促该缔约国加强贩运资料的收集工作，并有系统地监测其该领域各项政策和方案、包括双边和多边协定执行工作的影响及其所获成果</w:t>
      </w:r>
      <w:r>
        <w:rPr>
          <w:rFonts w:hint="eastAsia"/>
        </w:rPr>
        <w:t>。</w:t>
      </w:r>
    </w:p>
    <w:p w:rsidR="00557055" w:rsidRDefault="00557055" w:rsidP="00557055">
      <w:pPr>
        <w:pStyle w:val="SingleTxt"/>
        <w:rPr>
          <w:rFonts w:hint="eastAsia"/>
        </w:rPr>
      </w:pPr>
      <w:r>
        <w:rPr>
          <w:rFonts w:hint="eastAsia"/>
        </w:rPr>
        <w:t>22.</w:t>
      </w:r>
      <w:r>
        <w:rPr>
          <w:rFonts w:hint="eastAsia"/>
        </w:rPr>
        <w:tab/>
        <w:t>委员会虽然注意到，该缔约国认识到妇女在进入劳动力市场方面存在严重问题，并优先应对这个挑战，但妇女在劳动力市场的处境表示关切。委员会对男性（65岁）和女性（60岁）的退休年龄差异，妇女失业率高于男性，妇女集中在保健、社会福利和教育等低薪公共就业部门，公共部门和私营部门之间的男女工资差别一直很大，委员会对此感到关切。委员会还对妇女因年龄而受到歧视，从而难以加入和重返劳动队伍感到关切。</w:t>
      </w:r>
    </w:p>
    <w:p w:rsidR="00557055" w:rsidRDefault="00557055" w:rsidP="00557055">
      <w:pPr>
        <w:pStyle w:val="SingleTxt"/>
        <w:rPr>
          <w:rFonts w:hint="eastAsia"/>
        </w:rPr>
      </w:pPr>
      <w:r>
        <w:rPr>
          <w:rFonts w:hint="eastAsia"/>
        </w:rPr>
        <w:t>23.</w:t>
      </w:r>
      <w:r>
        <w:rPr>
          <w:rFonts w:hint="eastAsia"/>
        </w:rPr>
        <w:tab/>
      </w:r>
      <w:r w:rsidRPr="00754B04">
        <w:rPr>
          <w:rFonts w:ascii="SimHei" w:eastAsia="SimHei" w:hint="eastAsia"/>
          <w:color w:val="FF0000"/>
        </w:rPr>
        <w:t>委员会敦促该缔约国加紧努力，确保男女在劳动力市场均享平等机会。委员会吁请该缔约国除其他外通过进一步提高以女性为主的公共就业部门的工资，缩</w:t>
      </w:r>
      <w:r w:rsidRPr="00754B04">
        <w:rPr>
          <w:rFonts w:ascii="SimHei" w:eastAsia="SimHei" w:hint="eastAsia"/>
          <w:color w:val="FF0000"/>
          <w:spacing w:val="-2"/>
        </w:rPr>
        <w:t>小和弥合男女工资差别。委员会吁请该缔约国对已采取的措施的影响及其结果进行监测，并在下一次定期报告中报告有关情况。委员会建议统一男女法定退休年龄</w:t>
      </w:r>
      <w:r w:rsidRPr="008D57EA">
        <w:rPr>
          <w:rFonts w:hint="eastAsia"/>
          <w:spacing w:val="-2"/>
        </w:rPr>
        <w:t>。</w:t>
      </w:r>
    </w:p>
    <w:p w:rsidR="00557055" w:rsidRDefault="00557055" w:rsidP="00557055">
      <w:pPr>
        <w:pStyle w:val="SingleTxt"/>
      </w:pPr>
      <w:r>
        <w:rPr>
          <w:rFonts w:hint="eastAsia"/>
        </w:rPr>
        <w:t>24.</w:t>
      </w:r>
      <w:r>
        <w:rPr>
          <w:rFonts w:hint="eastAsia"/>
        </w:rPr>
        <w:tab/>
        <w:t>委员会对尤其在农村地区，妇女享有的诊所和保健服务数目因卫生部门的结构调整而有所减少表示关切。委员会对波兰缺乏关于普遍存在的非法堕胎现象的官方数据和有关研究感到关切。</w:t>
      </w:r>
    </w:p>
    <w:p w:rsidR="00557055" w:rsidRDefault="00557055" w:rsidP="00557055">
      <w:pPr>
        <w:pStyle w:val="SingleTxt"/>
        <w:rPr>
          <w:rFonts w:hint="eastAsia"/>
        </w:rPr>
      </w:pPr>
      <w:r>
        <w:rPr>
          <w:rFonts w:hint="eastAsia"/>
        </w:rPr>
        <w:t>25.</w:t>
      </w:r>
      <w:r>
        <w:rPr>
          <w:rFonts w:hint="eastAsia"/>
        </w:rPr>
        <w:tab/>
      </w:r>
      <w:r w:rsidRPr="00754B04">
        <w:rPr>
          <w:rFonts w:ascii="SimHei" w:eastAsia="SimHei" w:hint="eastAsia"/>
          <w:color w:val="FF0000"/>
        </w:rPr>
        <w:t>委员会敦促缔约国按照《公约》第十二条的规定和委员会关于妇女和健康问题的一般性建议24采取具体措施，让妇女更好地享受医疗保健，尤其是性保健和生殖保健服务。委员会呼吁缔约国研究非法堕胎的规模、诱因和后果及其对妇女健康和生活的影响。委员会还敦促缔约国向寻求合法堕胎的妇女提供合法的堕胎服务，而不受到出于良心拒绝堕胎条款的影响。委员会请缔约国通过以可承受的价格广泛提供各种避孕药具，加强对不同计划生育办法的了解和意识，强化意外受孕预防措施。委员会建议缔约国高度重视青少年的状况，在教学课程中列入以男女儿童为对象并适合其年龄特点的性教育内容</w:t>
      </w:r>
      <w:r>
        <w:rPr>
          <w:rFonts w:hint="eastAsia"/>
        </w:rPr>
        <w:t>。</w:t>
      </w:r>
    </w:p>
    <w:p w:rsidR="00557055" w:rsidRDefault="00557055" w:rsidP="00557055">
      <w:pPr>
        <w:pStyle w:val="SingleTxt"/>
        <w:rPr>
          <w:rFonts w:hint="eastAsia"/>
        </w:rPr>
      </w:pPr>
      <w:r>
        <w:rPr>
          <w:rFonts w:hint="eastAsia"/>
        </w:rPr>
        <w:t>26.</w:t>
      </w:r>
      <w:r>
        <w:rPr>
          <w:rFonts w:hint="eastAsia"/>
        </w:rPr>
        <w:tab/>
        <w:t>农村妇女可能无法充分而平等地从缔约国促进两性平等法律和政策框架中受益，而且明显缺乏有针对性的政策和方案，委员会对此表示关切。</w:t>
      </w:r>
    </w:p>
    <w:p w:rsidR="00557055" w:rsidRDefault="00557055" w:rsidP="00557055">
      <w:pPr>
        <w:pStyle w:val="SingleTxt"/>
        <w:rPr>
          <w:rFonts w:hint="eastAsia"/>
        </w:rPr>
      </w:pPr>
      <w:r>
        <w:rPr>
          <w:rFonts w:hint="eastAsia"/>
        </w:rPr>
        <w:t>27.</w:t>
      </w:r>
      <w:r>
        <w:rPr>
          <w:rFonts w:hint="eastAsia"/>
        </w:rPr>
        <w:tab/>
      </w:r>
      <w:r w:rsidRPr="00754B04">
        <w:rPr>
          <w:rFonts w:ascii="SimHei" w:eastAsia="SimHei" w:hint="eastAsia"/>
          <w:color w:val="FF0000"/>
        </w:rPr>
        <w:t>委员会鼓励缔约国确保农村妇女实际受益于现行的一般性两性平等政策和措施，还鼓励缔约国制定和实施有针对性的政策和方案，让农村妇女更好地享受保健、教育、就业机会和其他服务，更好地参与当地政府的决策，同时充分利用目前正在进行的农村妇女状况评估的结果。委员会请缔约国监测农村妇女的状况和《公约》所涉各个领域的发展趋势以及已经采取的各项措施带来的影响，并在下一次定期报告中提供有关情况</w:t>
      </w:r>
      <w:r>
        <w:rPr>
          <w:rFonts w:hint="eastAsia"/>
        </w:rPr>
        <w:t>。</w:t>
      </w:r>
    </w:p>
    <w:p w:rsidR="00557055" w:rsidRDefault="00557055" w:rsidP="00557055">
      <w:pPr>
        <w:pStyle w:val="SingleTxt"/>
        <w:rPr>
          <w:rFonts w:hint="eastAsia"/>
        </w:rPr>
      </w:pPr>
      <w:r>
        <w:rPr>
          <w:rFonts w:hint="eastAsia"/>
        </w:rPr>
        <w:t>28.</w:t>
      </w:r>
      <w:r>
        <w:rPr>
          <w:rFonts w:hint="eastAsia"/>
        </w:rPr>
        <w:tab/>
        <w:t>委员会感到遗憾的是，缺乏关于波兰某些妇女和女童群体，包括罗姆人、难民、寻求庇护者和移民等特别弱势群体的数据和资料。</w:t>
      </w:r>
    </w:p>
    <w:p w:rsidR="00557055" w:rsidRDefault="00557055" w:rsidP="00557055">
      <w:pPr>
        <w:pStyle w:val="SingleTxt"/>
        <w:rPr>
          <w:rFonts w:hint="eastAsia"/>
        </w:rPr>
      </w:pPr>
      <w:r>
        <w:rPr>
          <w:rFonts w:hint="eastAsia"/>
        </w:rPr>
        <w:t>29.</w:t>
      </w:r>
      <w:r>
        <w:rPr>
          <w:rFonts w:hint="eastAsia"/>
        </w:rPr>
        <w:tab/>
      </w:r>
      <w:r w:rsidRPr="00754B04">
        <w:rPr>
          <w:rFonts w:ascii="SimHei" w:eastAsia="SimHei" w:hint="eastAsia"/>
          <w:color w:val="FF0000"/>
        </w:rPr>
        <w:t>委员会请缔约国搜集关于波兰弱势妇女和女童群体状况的定量和定性资料。委员会呼吁缔约国确保妇女和女童在教育、保健和免受暴力侵害等领域的特殊需要得到满足，支持她们融入波兰社会</w:t>
      </w:r>
      <w:r>
        <w:rPr>
          <w:rFonts w:hint="eastAsia"/>
        </w:rPr>
        <w:t>。</w:t>
      </w:r>
    </w:p>
    <w:p w:rsidR="00557055" w:rsidRDefault="00557055" w:rsidP="00557055">
      <w:pPr>
        <w:pStyle w:val="SingleTxt"/>
        <w:rPr>
          <w:rFonts w:hint="eastAsia"/>
        </w:rPr>
      </w:pPr>
      <w:r>
        <w:rPr>
          <w:rFonts w:hint="eastAsia"/>
        </w:rPr>
        <w:t>30.</w:t>
      </w:r>
      <w:r>
        <w:rPr>
          <w:rFonts w:hint="eastAsia"/>
        </w:rPr>
        <w:tab/>
        <w:t>委员会感到遗憾的是，按性别和年龄以及城市和农村地区类别分列的统计数据有限，这使得委员会更难以评估妇女的实际状况和享受《公约》所涉各个领域人权情况的进展和发展趋势。</w:t>
      </w:r>
    </w:p>
    <w:p w:rsidR="00557055" w:rsidRDefault="00557055" w:rsidP="00557055">
      <w:pPr>
        <w:pStyle w:val="SingleTxt"/>
        <w:rPr>
          <w:rFonts w:hint="eastAsia"/>
        </w:rPr>
      </w:pPr>
      <w:r>
        <w:rPr>
          <w:rFonts w:hint="eastAsia"/>
        </w:rPr>
        <w:t>31.</w:t>
      </w:r>
      <w:r>
        <w:rPr>
          <w:rFonts w:hint="eastAsia"/>
        </w:rPr>
        <w:tab/>
      </w:r>
      <w:r w:rsidRPr="00754B04">
        <w:rPr>
          <w:rFonts w:ascii="SimHei" w:eastAsia="SimHei" w:hint="eastAsia"/>
          <w:color w:val="FF0000"/>
        </w:rPr>
        <w:t>委员会呼吁缔约国加强《公约》所涉各个领域数据收集和分析工作，以便更准确地评估酌情按性别和年龄以及按城市和农村地区分类列出的妇女实际状况和享受人权情况，跟踪发展趋势，制定并实施更具针对性的促进两性平等政策和方案。委员会还呼吁缔约国通过可计量的指标监测法律、政策和行动计划的影响，评价在实现妇女实际平等方面取得的进展。委员会请缔约国在下次报告中列出此类统计数据和分析</w:t>
      </w:r>
      <w:r>
        <w:rPr>
          <w:rFonts w:hint="eastAsia"/>
        </w:rPr>
        <w:t>。</w:t>
      </w:r>
    </w:p>
    <w:p w:rsidR="00557055" w:rsidRDefault="00557055" w:rsidP="00557055">
      <w:pPr>
        <w:pStyle w:val="SingleTxt"/>
        <w:rPr>
          <w:rFonts w:hint="eastAsia"/>
        </w:rPr>
      </w:pPr>
      <w:r>
        <w:rPr>
          <w:rFonts w:hint="eastAsia"/>
        </w:rPr>
        <w:t>32.</w:t>
      </w:r>
      <w:r>
        <w:rPr>
          <w:rFonts w:hint="eastAsia"/>
        </w:rPr>
        <w:tab/>
        <w:t>委员会感到关切的是，在缔约国、尤其是在该国提高妇女地位国家机制与该国广大妇女非政府组织之间缺乏系统性协商。委员会感到遗憾的是，缔约国在编写定期报告的过程中没有与非政府组织协商。</w:t>
      </w:r>
    </w:p>
    <w:p w:rsidR="00557055" w:rsidRDefault="00557055" w:rsidP="00557055">
      <w:pPr>
        <w:pStyle w:val="SingleTxt"/>
        <w:rPr>
          <w:rFonts w:hint="eastAsia"/>
        </w:rPr>
      </w:pPr>
      <w:r>
        <w:rPr>
          <w:rFonts w:hint="eastAsia"/>
        </w:rPr>
        <w:t>33.</w:t>
      </w:r>
      <w:r>
        <w:rPr>
          <w:rFonts w:hint="eastAsia"/>
        </w:rPr>
        <w:tab/>
      </w:r>
      <w:r w:rsidRPr="00754B04">
        <w:rPr>
          <w:rFonts w:ascii="SimHei" w:eastAsia="SimHei" w:hint="eastAsia"/>
          <w:color w:val="FF0000"/>
        </w:rPr>
        <w:t>委员会敦促缔约国建立在涉及促进两性平等的各个问题上坚持与各个妇女非政府组织进行系统性协商的制度</w:t>
      </w:r>
      <w:r>
        <w:rPr>
          <w:rFonts w:hint="eastAsia"/>
        </w:rPr>
        <w:t>。</w:t>
      </w:r>
    </w:p>
    <w:p w:rsidR="00557055" w:rsidRDefault="00557055" w:rsidP="00557055">
      <w:pPr>
        <w:pStyle w:val="SingleTxt"/>
        <w:rPr>
          <w:rFonts w:hint="eastAsia"/>
        </w:rPr>
      </w:pPr>
      <w:r>
        <w:rPr>
          <w:rFonts w:hint="eastAsia"/>
        </w:rPr>
        <w:t>34.</w:t>
      </w:r>
      <w:r>
        <w:rPr>
          <w:rFonts w:hint="eastAsia"/>
        </w:rPr>
        <w:tab/>
      </w:r>
      <w:r w:rsidRPr="00754B04">
        <w:rPr>
          <w:rFonts w:ascii="SimHei" w:eastAsia="SimHei" w:hint="eastAsia"/>
          <w:color w:val="FF0000"/>
        </w:rPr>
        <w:t>委员会鼓励缔约国尽快接受《公约》关于委员会开会时间的第二十条第1款的修正案</w:t>
      </w:r>
      <w:r>
        <w:rPr>
          <w:rFonts w:hint="eastAsia"/>
        </w:rPr>
        <w:t>。</w:t>
      </w:r>
    </w:p>
    <w:p w:rsidR="00557055" w:rsidRDefault="00557055" w:rsidP="00557055">
      <w:pPr>
        <w:pStyle w:val="SingleTxt"/>
        <w:rPr>
          <w:rFonts w:hint="eastAsia"/>
        </w:rPr>
      </w:pPr>
      <w:r>
        <w:rPr>
          <w:rFonts w:hint="eastAsia"/>
        </w:rPr>
        <w:t>35.</w:t>
      </w:r>
      <w:r>
        <w:rPr>
          <w:rFonts w:hint="eastAsia"/>
        </w:rPr>
        <w:tab/>
      </w:r>
      <w:r w:rsidRPr="00754B04">
        <w:rPr>
          <w:rFonts w:ascii="SimHei" w:eastAsia="SimHei" w:hint="eastAsia"/>
          <w:color w:val="FF0000"/>
        </w:rPr>
        <w:t>委员会敦促缔约国在履行该国按照《公约》应尽义务时充分利用《北京宣言和行动纲要》，这一文件强化了《公约》的规定，请缔约国在下次定期报告中提供有关资料</w:t>
      </w:r>
      <w:r>
        <w:rPr>
          <w:rFonts w:hint="eastAsia"/>
        </w:rPr>
        <w:t>。</w:t>
      </w:r>
    </w:p>
    <w:p w:rsidR="00557055" w:rsidRDefault="00557055" w:rsidP="00557055">
      <w:pPr>
        <w:pStyle w:val="SingleTxt"/>
        <w:rPr>
          <w:rFonts w:hint="eastAsia"/>
        </w:rPr>
      </w:pPr>
      <w:r>
        <w:rPr>
          <w:rFonts w:hint="eastAsia"/>
        </w:rPr>
        <w:t>36.</w:t>
      </w:r>
      <w:r>
        <w:rPr>
          <w:rFonts w:hint="eastAsia"/>
        </w:rPr>
        <w:tab/>
      </w:r>
      <w:r w:rsidRPr="00754B04">
        <w:rPr>
          <w:rFonts w:ascii="SimHei" w:eastAsia="SimHei" w:hint="eastAsia"/>
          <w:color w:val="FF0000"/>
        </w:rPr>
        <w:t>委员会还强调全面有效地履行《公约》对于实现千年发展目标是必不可少的。委员会要求在实现千年发展目标的各项工作中纳入性别观点并明确反映《条约》的规定，请缔约国在下次定期报告中提供有关资料</w:t>
      </w:r>
      <w:r>
        <w:rPr>
          <w:rFonts w:hint="eastAsia"/>
        </w:rPr>
        <w:t>。</w:t>
      </w:r>
    </w:p>
    <w:p w:rsidR="00557055" w:rsidRDefault="00557055" w:rsidP="00557055">
      <w:pPr>
        <w:pStyle w:val="SingleTxt"/>
        <w:rPr>
          <w:rFonts w:hint="eastAsia"/>
        </w:rPr>
      </w:pPr>
      <w:r>
        <w:rPr>
          <w:rFonts w:hint="eastAsia"/>
        </w:rPr>
        <w:t>37.</w:t>
      </w:r>
      <w:r>
        <w:rPr>
          <w:rFonts w:hint="eastAsia"/>
        </w:rPr>
        <w:tab/>
      </w:r>
      <w:r w:rsidRPr="00754B04">
        <w:rPr>
          <w:rFonts w:ascii="SimHei" w:eastAsia="SimHei" w:hint="eastAsia"/>
          <w:color w:val="FF0000"/>
        </w:rPr>
        <w:t>委员会指出，缔约国遵行七项主要的国际人权文书</w:t>
      </w:r>
      <w:r w:rsidRPr="00557055">
        <w:rPr>
          <w:rStyle w:val="FootnoteReference"/>
          <w:rFonts w:ascii="SimHei" w:eastAsia="SimHei"/>
          <w:color w:val="FF0000"/>
        </w:rPr>
        <w:footnoteReference w:id="1"/>
      </w:r>
      <w:r w:rsidRPr="00754B04">
        <w:rPr>
          <w:rFonts w:ascii="SimHei" w:eastAsia="SimHei" w:hint="eastAsia"/>
          <w:color w:val="FF0000"/>
        </w:rPr>
        <w:t xml:space="preserve"> 有助于妇女在各方面生活中享受人权和基本自由。因此，委员会鼓励波兰政府考虑批准尚未加入的条约，即《保护所有移徙工人及其家庭成员权利国际公约》</w:t>
      </w:r>
      <w:r>
        <w:rPr>
          <w:rFonts w:hint="eastAsia"/>
        </w:rPr>
        <w:t>。</w:t>
      </w:r>
    </w:p>
    <w:p w:rsidR="00557055" w:rsidRDefault="00557055" w:rsidP="00557055">
      <w:pPr>
        <w:pStyle w:val="SingleTxt"/>
        <w:rPr>
          <w:rFonts w:hint="eastAsia"/>
        </w:rPr>
      </w:pPr>
      <w:r>
        <w:rPr>
          <w:rFonts w:hint="eastAsia"/>
        </w:rPr>
        <w:t>38.</w:t>
      </w:r>
      <w:r>
        <w:rPr>
          <w:rFonts w:hint="eastAsia"/>
        </w:rPr>
        <w:tab/>
      </w:r>
      <w:r w:rsidRPr="00754B04">
        <w:rPr>
          <w:rFonts w:ascii="SimHei" w:eastAsia="SimHei" w:hint="eastAsia"/>
          <w:color w:val="FF0000"/>
        </w:rPr>
        <w:t>委员会要求在波兰广为宣传本文件所载的结论性意见，以便让国人，包括政府官员、从政人员、议员及妇女组织和人权组织了解为确保妇女在法律上和实际上的平等所采取的步骤以及在此方面需要采取的步骤。委员会请缔约国继续广为宣传，特别是向妇女组织和人权组织宣传《公约》及其《任择议定书》、委员会的一般性建议、《北京宣言和行动纲要》和题为“2000年妇女：二十一世纪两性平等、发展与和平”的大会第二十三届特别会议的成果</w:t>
      </w:r>
      <w:r>
        <w:rPr>
          <w:rFonts w:hint="eastAsia"/>
        </w:rPr>
        <w:t>。</w:t>
      </w:r>
    </w:p>
    <w:p w:rsidR="00557055" w:rsidRDefault="00557055" w:rsidP="00557055">
      <w:pPr>
        <w:pStyle w:val="SingleTxt"/>
        <w:rPr>
          <w:rFonts w:hint="eastAsia"/>
        </w:rPr>
      </w:pPr>
      <w:r>
        <w:rPr>
          <w:rFonts w:hint="eastAsia"/>
        </w:rPr>
        <w:t>39.</w:t>
      </w:r>
      <w:r>
        <w:rPr>
          <w:rFonts w:hint="eastAsia"/>
        </w:rPr>
        <w:tab/>
      </w:r>
      <w:r w:rsidRPr="00754B04">
        <w:rPr>
          <w:rFonts w:ascii="SimHei" w:eastAsia="SimHei" w:hint="eastAsia"/>
          <w:color w:val="FF0000"/>
        </w:rPr>
        <w:t>委员会请缔约国按照《公约》第十八条的要求在下一次定期报告中对本文件所载结论性意见中表达的关切做出回应。委员会请缔约国在2010年合并报告中提交2006年9月到期的第七次定期报告和2010年9月到期的第八次定期报告</w:t>
      </w:r>
      <w:r>
        <w:rPr>
          <w:rFonts w:hint="eastAsia"/>
        </w:rPr>
        <w:t>。</w:t>
      </w:r>
    </w:p>
    <w:p w:rsidR="00557055" w:rsidRDefault="00557055" w:rsidP="00557055">
      <w:pPr>
        <w:pStyle w:val="SingleTxt"/>
        <w:spacing w:after="0" w:line="240" w:lineRule="auto"/>
      </w:pPr>
      <w:r>
        <w:rPr>
          <w:noProof/>
          <w:sz w:val="20"/>
        </w:rPr>
        <w:pict>
          <v:line id="_x0000_s1026" style="position:absolute;left:0;text-align:left;z-index:1;mso-position-horizontal:center" from="0,30pt" to="1in,30pt" strokeweight=".25pt"/>
        </w:pict>
      </w:r>
    </w:p>
    <w:p w:rsidR="00557055" w:rsidRPr="00630419" w:rsidRDefault="00557055" w:rsidP="00630419">
      <w:pPr>
        <w:pStyle w:val="SingleTxt"/>
      </w:pPr>
    </w:p>
    <w:sectPr w:rsidR="00557055" w:rsidRPr="00630419" w:rsidSect="00630419">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09:54:00Z" w:initials="Start">
    <w:p w:rsidR="00731AE9" w:rsidRDefault="00731AE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NO&gt;&gt;N0724379C&lt;&lt;ODS JOB NO&gt;&gt;</w:t>
      </w:r>
    </w:p>
    <w:p w:rsidR="00731AE9" w:rsidRDefault="00731AE9">
      <w:pPr>
        <w:pStyle w:val="CommentText"/>
      </w:pPr>
      <w:r>
        <w:t>&lt;&lt;ODS DOC SYMBOL1&gt;&gt;CEDAW/C/POL/CO/6&lt;&lt;ODS DOC SYMBOL1&gt;&gt;</w:t>
      </w:r>
    </w:p>
    <w:p w:rsidR="00731AE9" w:rsidRDefault="00731A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536" w:rsidRDefault="005F4536">
      <w:r>
        <w:separator/>
      </w:r>
    </w:p>
  </w:endnote>
  <w:endnote w:type="continuationSeparator" w:id="0">
    <w:p w:rsidR="005F4536" w:rsidRDefault="005F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31AE9" w:rsidTr="00630419">
      <w:tblPrEx>
        <w:tblCellMar>
          <w:top w:w="0" w:type="dxa"/>
          <w:bottom w:w="0" w:type="dxa"/>
        </w:tblCellMar>
      </w:tblPrEx>
      <w:tc>
        <w:tcPr>
          <w:tcW w:w="5033" w:type="dxa"/>
          <w:shd w:val="clear" w:color="auto" w:fill="auto"/>
          <w:vAlign w:val="bottom"/>
        </w:tcPr>
        <w:p w:rsidR="00731AE9" w:rsidRPr="00630419" w:rsidRDefault="00731AE9" w:rsidP="00630419">
          <w:pPr>
            <w:pStyle w:val="Footer"/>
            <w:jc w:val="left"/>
          </w:pPr>
          <w:r>
            <w:fldChar w:fldCharType="begin"/>
          </w:r>
          <w:r>
            <w:instrText xml:space="preserve"> PAGE  \* MERGEFORMAT </w:instrText>
          </w:r>
          <w:r>
            <w:fldChar w:fldCharType="separate"/>
          </w:r>
          <w:r w:rsidR="00DA01B1">
            <w:t>4</w:t>
          </w:r>
          <w:r>
            <w:fldChar w:fldCharType="end"/>
          </w:r>
        </w:p>
      </w:tc>
      <w:tc>
        <w:tcPr>
          <w:tcW w:w="5033" w:type="dxa"/>
          <w:shd w:val="clear" w:color="auto" w:fill="auto"/>
          <w:vAlign w:val="bottom"/>
        </w:tcPr>
        <w:p w:rsidR="00731AE9" w:rsidRPr="00630419" w:rsidRDefault="00731AE9" w:rsidP="0063041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07-24379</w:t>
          </w:r>
          <w:r>
            <w:rPr>
              <w:b w:val="0"/>
              <w:sz w:val="14"/>
            </w:rPr>
            <w:fldChar w:fldCharType="end"/>
          </w:r>
        </w:p>
      </w:tc>
    </w:tr>
  </w:tbl>
  <w:p w:rsidR="00731AE9" w:rsidRPr="00630419" w:rsidRDefault="00731AE9" w:rsidP="006304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31AE9" w:rsidTr="00630419">
      <w:tblPrEx>
        <w:tblCellMar>
          <w:top w:w="0" w:type="dxa"/>
          <w:bottom w:w="0" w:type="dxa"/>
        </w:tblCellMar>
      </w:tblPrEx>
      <w:tc>
        <w:tcPr>
          <w:tcW w:w="5033" w:type="dxa"/>
          <w:shd w:val="clear" w:color="auto" w:fill="auto"/>
          <w:vAlign w:val="bottom"/>
        </w:tcPr>
        <w:p w:rsidR="00731AE9" w:rsidRPr="00630419" w:rsidRDefault="00731AE9" w:rsidP="00630419">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07-24379</w:t>
          </w:r>
          <w:r>
            <w:rPr>
              <w:b w:val="0"/>
              <w:sz w:val="14"/>
            </w:rPr>
            <w:fldChar w:fldCharType="end"/>
          </w:r>
        </w:p>
      </w:tc>
      <w:tc>
        <w:tcPr>
          <w:tcW w:w="5033" w:type="dxa"/>
          <w:shd w:val="clear" w:color="auto" w:fill="auto"/>
          <w:vAlign w:val="bottom"/>
        </w:tcPr>
        <w:p w:rsidR="00731AE9" w:rsidRPr="00630419" w:rsidRDefault="00731AE9" w:rsidP="00630419">
          <w:pPr>
            <w:pStyle w:val="Footer"/>
            <w:jc w:val="right"/>
          </w:pPr>
          <w:r>
            <w:fldChar w:fldCharType="begin"/>
          </w:r>
          <w:r>
            <w:instrText xml:space="preserve"> PAGE  \* MERGEFORMAT </w:instrText>
          </w:r>
          <w:r>
            <w:fldChar w:fldCharType="separate"/>
          </w:r>
          <w:r w:rsidR="00DA01B1">
            <w:t>3</w:t>
          </w:r>
          <w:r>
            <w:fldChar w:fldCharType="end"/>
          </w:r>
        </w:p>
      </w:tc>
    </w:tr>
  </w:tbl>
  <w:p w:rsidR="00731AE9" w:rsidRPr="00630419" w:rsidRDefault="00731AE9" w:rsidP="006304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AE9" w:rsidRDefault="00731AE9" w:rsidP="0063041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07-24379 (C)</w:t>
    </w:r>
    <w:r>
      <w:rPr>
        <w:b w:val="0"/>
        <w:sz w:val="21"/>
      </w:rPr>
      <w:fldChar w:fldCharType="end"/>
    </w:r>
    <w:r>
      <w:rPr>
        <w:b w:val="0"/>
        <w:sz w:val="21"/>
      </w:rPr>
      <w:t xml:space="preserve">    060307    070307</w:t>
    </w:r>
  </w:p>
  <w:p w:rsidR="00731AE9" w:rsidRPr="00630419" w:rsidRDefault="00731AE9" w:rsidP="0063041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*0724379*</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536" w:rsidRPr="00557055" w:rsidRDefault="005F4536" w:rsidP="00557055">
      <w:pPr>
        <w:pStyle w:val="Footer"/>
        <w:spacing w:after="80"/>
        <w:ind w:left="792"/>
        <w:rPr>
          <w:sz w:val="16"/>
        </w:rPr>
      </w:pPr>
      <w:r w:rsidRPr="00557055">
        <w:rPr>
          <w:sz w:val="16"/>
        </w:rPr>
        <w:t>__________________</w:t>
      </w:r>
    </w:p>
  </w:footnote>
  <w:footnote w:type="continuationSeparator" w:id="0">
    <w:p w:rsidR="005F4536" w:rsidRPr="00557055" w:rsidRDefault="005F4536" w:rsidP="00557055">
      <w:pPr>
        <w:pStyle w:val="Footer"/>
        <w:spacing w:after="80"/>
        <w:ind w:left="792"/>
        <w:rPr>
          <w:sz w:val="16"/>
        </w:rPr>
      </w:pPr>
      <w:r w:rsidRPr="00557055">
        <w:rPr>
          <w:sz w:val="16"/>
        </w:rPr>
        <w:t>__________________</w:t>
      </w:r>
    </w:p>
  </w:footnote>
  <w:footnote w:id="1">
    <w:p w:rsidR="00731AE9" w:rsidRPr="00BC49B4" w:rsidRDefault="00731AE9" w:rsidP="0055705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C49B4">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31AE9" w:rsidTr="00630419">
      <w:tblPrEx>
        <w:tblCellMar>
          <w:top w:w="0" w:type="dxa"/>
          <w:bottom w:w="0" w:type="dxa"/>
        </w:tblCellMar>
      </w:tblPrEx>
      <w:trPr>
        <w:trHeight w:hRule="exact" w:val="864"/>
      </w:trPr>
      <w:tc>
        <w:tcPr>
          <w:tcW w:w="4838" w:type="dxa"/>
          <w:shd w:val="clear" w:color="auto" w:fill="auto"/>
          <w:vAlign w:val="bottom"/>
        </w:tcPr>
        <w:p w:rsidR="00731AE9" w:rsidRPr="00630419" w:rsidRDefault="00731AE9" w:rsidP="0063041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CEDAW/C/POL/CO/6</w:t>
          </w:r>
          <w:r>
            <w:rPr>
              <w:b/>
              <w:sz w:val="17"/>
            </w:rPr>
            <w:fldChar w:fldCharType="end"/>
          </w:r>
        </w:p>
      </w:tc>
      <w:tc>
        <w:tcPr>
          <w:tcW w:w="5033" w:type="dxa"/>
          <w:shd w:val="clear" w:color="auto" w:fill="auto"/>
          <w:vAlign w:val="bottom"/>
        </w:tcPr>
        <w:p w:rsidR="00731AE9" w:rsidRDefault="00731AE9" w:rsidP="00630419">
          <w:pPr>
            <w:pStyle w:val="Header"/>
          </w:pPr>
        </w:p>
      </w:tc>
    </w:tr>
  </w:tbl>
  <w:p w:rsidR="00731AE9" w:rsidRPr="00630419" w:rsidRDefault="00731AE9" w:rsidP="006304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31AE9" w:rsidTr="00630419">
      <w:tblPrEx>
        <w:tblCellMar>
          <w:top w:w="0" w:type="dxa"/>
          <w:bottom w:w="0" w:type="dxa"/>
        </w:tblCellMar>
      </w:tblPrEx>
      <w:trPr>
        <w:trHeight w:hRule="exact" w:val="864"/>
      </w:trPr>
      <w:tc>
        <w:tcPr>
          <w:tcW w:w="4838" w:type="dxa"/>
          <w:shd w:val="clear" w:color="auto" w:fill="auto"/>
          <w:vAlign w:val="bottom"/>
        </w:tcPr>
        <w:p w:rsidR="00731AE9" w:rsidRDefault="00731AE9" w:rsidP="00630419">
          <w:pPr>
            <w:pStyle w:val="Header"/>
          </w:pPr>
        </w:p>
      </w:tc>
      <w:tc>
        <w:tcPr>
          <w:tcW w:w="5033" w:type="dxa"/>
          <w:shd w:val="clear" w:color="auto" w:fill="auto"/>
          <w:vAlign w:val="bottom"/>
        </w:tcPr>
        <w:p w:rsidR="00731AE9" w:rsidRPr="00630419" w:rsidRDefault="00731AE9" w:rsidP="0063041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CEDAW/C/POL/CO/6</w:t>
          </w:r>
          <w:r>
            <w:rPr>
              <w:b/>
              <w:sz w:val="17"/>
            </w:rPr>
            <w:fldChar w:fldCharType="end"/>
          </w:r>
        </w:p>
      </w:tc>
    </w:tr>
  </w:tbl>
  <w:p w:rsidR="00731AE9" w:rsidRPr="00630419" w:rsidRDefault="00731AE9" w:rsidP="006304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1AE9" w:rsidTr="0063041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31AE9" w:rsidRDefault="00731AE9" w:rsidP="00630419">
          <w:pPr>
            <w:pStyle w:val="Header"/>
            <w:spacing w:after="120"/>
          </w:pPr>
        </w:p>
      </w:tc>
      <w:tc>
        <w:tcPr>
          <w:tcW w:w="1872" w:type="dxa"/>
          <w:tcBorders>
            <w:bottom w:val="single" w:sz="4" w:space="0" w:color="auto"/>
          </w:tcBorders>
          <w:shd w:val="clear" w:color="auto" w:fill="auto"/>
          <w:vAlign w:val="bottom"/>
        </w:tcPr>
        <w:p w:rsidR="00731AE9" w:rsidRPr="00630419" w:rsidRDefault="00731AE9" w:rsidP="0063041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31AE9" w:rsidRDefault="00731AE9" w:rsidP="00630419">
          <w:pPr>
            <w:pStyle w:val="Header"/>
            <w:spacing w:after="120"/>
          </w:pPr>
        </w:p>
      </w:tc>
      <w:tc>
        <w:tcPr>
          <w:tcW w:w="6523" w:type="dxa"/>
          <w:gridSpan w:val="3"/>
          <w:tcBorders>
            <w:bottom w:val="single" w:sz="4" w:space="0" w:color="auto"/>
          </w:tcBorders>
          <w:shd w:val="clear" w:color="auto" w:fill="auto"/>
          <w:vAlign w:val="bottom"/>
        </w:tcPr>
        <w:p w:rsidR="00731AE9" w:rsidRPr="00630419" w:rsidRDefault="00731AE9" w:rsidP="0063041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/C/POL/CO/6</w:t>
          </w:r>
        </w:p>
      </w:tc>
    </w:tr>
    <w:tr w:rsidR="00731AE9" w:rsidRPr="00630419" w:rsidTr="006304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31AE9" w:rsidRDefault="00731AE9" w:rsidP="0063041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31AE9" w:rsidRPr="00630419" w:rsidRDefault="00731AE9" w:rsidP="00630419">
          <w:pPr>
            <w:pStyle w:val="Header"/>
            <w:spacing w:before="109"/>
            <w:ind w:left="-72"/>
          </w:pPr>
        </w:p>
      </w:tc>
      <w:tc>
        <w:tcPr>
          <w:tcW w:w="5227" w:type="dxa"/>
          <w:gridSpan w:val="3"/>
          <w:tcBorders>
            <w:top w:val="single" w:sz="4" w:space="0" w:color="auto"/>
            <w:bottom w:val="single" w:sz="12" w:space="0" w:color="auto"/>
          </w:tcBorders>
          <w:shd w:val="clear" w:color="auto" w:fill="auto"/>
        </w:tcPr>
        <w:p w:rsidR="00731AE9" w:rsidRPr="00630419" w:rsidRDefault="00731AE9" w:rsidP="0063041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31AE9" w:rsidRPr="00630419" w:rsidRDefault="00731AE9" w:rsidP="00630419">
          <w:pPr>
            <w:pStyle w:val="Header"/>
            <w:spacing w:before="109"/>
          </w:pPr>
        </w:p>
      </w:tc>
      <w:tc>
        <w:tcPr>
          <w:tcW w:w="3180" w:type="dxa"/>
          <w:gridSpan w:val="2"/>
          <w:tcBorders>
            <w:top w:val="single" w:sz="4" w:space="0" w:color="auto"/>
            <w:bottom w:val="single" w:sz="12" w:space="0" w:color="auto"/>
          </w:tcBorders>
          <w:shd w:val="clear" w:color="auto" w:fill="auto"/>
        </w:tcPr>
        <w:p w:rsidR="00731AE9" w:rsidRDefault="00731AE9" w:rsidP="00630419">
          <w:pPr>
            <w:spacing w:before="240" w:line="240" w:lineRule="exact"/>
            <w:rPr>
              <w:rFonts w:ascii="Times New Roman"/>
            </w:rPr>
          </w:pPr>
          <w:r>
            <w:rPr>
              <w:rFonts w:ascii="Times New Roman"/>
            </w:rPr>
            <w:t>Distr.: General</w:t>
          </w:r>
        </w:p>
        <w:p w:rsidR="00731AE9" w:rsidRDefault="00731AE9" w:rsidP="00630419">
          <w:pPr>
            <w:spacing w:line="240" w:lineRule="exact"/>
            <w:rPr>
              <w:rFonts w:ascii="Times New Roman"/>
            </w:rPr>
          </w:pPr>
          <w:r>
            <w:rPr>
              <w:rFonts w:ascii="Times New Roman"/>
            </w:rPr>
            <w:t>2 February 2007</w:t>
          </w:r>
        </w:p>
        <w:p w:rsidR="00731AE9" w:rsidRDefault="00731AE9" w:rsidP="00630419">
          <w:pPr>
            <w:spacing w:line="240" w:lineRule="exact"/>
            <w:rPr>
              <w:rFonts w:ascii="Times New Roman"/>
            </w:rPr>
          </w:pPr>
          <w:r>
            <w:rPr>
              <w:rFonts w:ascii="Times New Roman"/>
            </w:rPr>
            <w:t>Chinese</w:t>
          </w:r>
        </w:p>
        <w:p w:rsidR="00731AE9" w:rsidRPr="00630419" w:rsidRDefault="00731AE9" w:rsidP="00630419">
          <w:pPr>
            <w:spacing w:line="240" w:lineRule="exact"/>
            <w:rPr>
              <w:rFonts w:ascii="Times New Roman"/>
            </w:rPr>
          </w:pPr>
          <w:r>
            <w:rPr>
              <w:rFonts w:ascii="Times New Roman"/>
            </w:rPr>
            <w:t>Original: English</w:t>
          </w:r>
        </w:p>
      </w:tc>
    </w:tr>
  </w:tbl>
  <w:p w:rsidR="00731AE9" w:rsidRPr="00630419" w:rsidRDefault="00731AE9" w:rsidP="0063041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9*"/>
    <w:docVar w:name="CreationDt" w:val="07/03/2007 09:45:37"/>
    <w:docVar w:name="DocCategory" w:val="Doc"/>
    <w:docVar w:name="DocType" w:val="Final"/>
    <w:docVar w:name="FooterJN" w:val="07-24379"/>
    <w:docVar w:name="jobn" w:val="07-24379 (C)"/>
    <w:docVar w:name="jobnDT" w:val="07-24379 (C)   070307"/>
    <w:docVar w:name="jobnDTDT" w:val="07-24379 (C)   070307   070307"/>
    <w:docVar w:name="JobNo" w:val="0724379C"/>
    <w:docVar w:name="OandT" w:val="Zhang DY"/>
    <w:docVar w:name="sss1" w:val="CEDAW/C/POL/CO/6"/>
    <w:docVar w:name="sss2" w:val="-"/>
    <w:docVar w:name="Symbol1" w:val="CEDAW/C/POL/CO/6"/>
    <w:docVar w:name="Symbol2" w:val="-"/>
  </w:docVars>
  <w:rsids>
    <w:rsidRoot w:val="009431E4"/>
    <w:rsid w:val="000125BC"/>
    <w:rsid w:val="00021A2B"/>
    <w:rsid w:val="00037B39"/>
    <w:rsid w:val="00044CA4"/>
    <w:rsid w:val="00045EFE"/>
    <w:rsid w:val="0007337D"/>
    <w:rsid w:val="000758DF"/>
    <w:rsid w:val="00076EB8"/>
    <w:rsid w:val="00095C67"/>
    <w:rsid w:val="000A31F9"/>
    <w:rsid w:val="000B16C4"/>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57055"/>
    <w:rsid w:val="0058302A"/>
    <w:rsid w:val="005B7338"/>
    <w:rsid w:val="005C02AB"/>
    <w:rsid w:val="005D0F04"/>
    <w:rsid w:val="005F3273"/>
    <w:rsid w:val="005F34A3"/>
    <w:rsid w:val="005F4536"/>
    <w:rsid w:val="00610CF2"/>
    <w:rsid w:val="00630419"/>
    <w:rsid w:val="006479F1"/>
    <w:rsid w:val="00650BEE"/>
    <w:rsid w:val="006520FA"/>
    <w:rsid w:val="0065377D"/>
    <w:rsid w:val="006740A7"/>
    <w:rsid w:val="00691524"/>
    <w:rsid w:val="006A654B"/>
    <w:rsid w:val="006E2924"/>
    <w:rsid w:val="006E7A26"/>
    <w:rsid w:val="006F2B3D"/>
    <w:rsid w:val="007319E0"/>
    <w:rsid w:val="00731AE9"/>
    <w:rsid w:val="00737B00"/>
    <w:rsid w:val="0075155C"/>
    <w:rsid w:val="00753A05"/>
    <w:rsid w:val="00761190"/>
    <w:rsid w:val="00776537"/>
    <w:rsid w:val="00783A25"/>
    <w:rsid w:val="007A0594"/>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431E4"/>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A01B1"/>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785</Words>
  <Characters>4481</Characters>
  <Application>Microsoft Office Word</Application>
  <DocSecurity>4</DocSecurity>
  <Lines>37</Lines>
  <Paragraphs>10</Paragraphs>
  <ScaleCrop>false</ScaleCrop>
  <Company>United Nations</Company>
  <LinksUpToDate>false</LinksUpToDate>
  <CharactersWithSpaces>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Daoyi zahng</dc:creator>
  <cp:keywords/>
  <dc:description/>
  <cp:lastModifiedBy>Daoyi zahng</cp:lastModifiedBy>
  <cp:revision>9</cp:revision>
  <cp:lastPrinted>2007-03-07T08:54:00Z</cp:lastPrinted>
  <dcterms:created xsi:type="dcterms:W3CDTF">2007-03-07T08:41:00Z</dcterms:created>
  <dcterms:modified xsi:type="dcterms:W3CDTF">2007-03-07T08:59:00Z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0724379</vt:lpwstr>
  </property>
  <property fmtid="{D5CDD505-2E9C-101B-9397-08002B2CF9AE}" pid="3" name="Symbol1">
    <vt:lpwstr>CEDAW/C/POL/CO/6</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