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B349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7CFD" w:rsidP="00027CFD">
            <w:pPr>
              <w:jc w:val="right"/>
            </w:pPr>
            <w:r w:rsidRPr="00027CFD">
              <w:rPr>
                <w:sz w:val="40"/>
              </w:rPr>
              <w:t>CCPR</w:t>
            </w:r>
            <w:r>
              <w:t>/C/HRV/Q/3</w:t>
            </w:r>
          </w:p>
        </w:tc>
      </w:tr>
      <w:tr w:rsidR="002D5AAC" w:rsidTr="00FB349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27CFD" w:rsidRDefault="00027CFD" w:rsidP="00B511D3">
            <w:pPr>
              <w:spacing w:before="240"/>
            </w:pPr>
            <w:r>
              <w:t>Distr. general</w:t>
            </w:r>
          </w:p>
          <w:p w:rsidR="00027CFD" w:rsidRDefault="00027CFD" w:rsidP="00027CFD">
            <w:pPr>
              <w:spacing w:line="240" w:lineRule="exact"/>
            </w:pPr>
            <w:r>
              <w:t>21 de agosto de 2012</w:t>
            </w:r>
          </w:p>
          <w:p w:rsidR="00027CFD" w:rsidRDefault="00027CFD" w:rsidP="00027CFD">
            <w:pPr>
              <w:spacing w:line="240" w:lineRule="exact"/>
            </w:pPr>
            <w:r>
              <w:t>Español</w:t>
            </w:r>
          </w:p>
          <w:p w:rsidR="002D5AAC" w:rsidRDefault="00027CFD" w:rsidP="00027CFD">
            <w:pPr>
              <w:spacing w:line="240" w:lineRule="exact"/>
            </w:pPr>
            <w:r>
              <w:t>Original: inglés</w:t>
            </w:r>
          </w:p>
        </w:tc>
      </w:tr>
    </w:tbl>
    <w:p w:rsidR="00FB349B" w:rsidRPr="00D92175" w:rsidRDefault="00FB349B" w:rsidP="00FB349B">
      <w:pPr>
        <w:spacing w:before="120"/>
        <w:rPr>
          <w:b/>
          <w:bCs/>
          <w:sz w:val="24"/>
          <w:szCs w:val="24"/>
        </w:rPr>
      </w:pPr>
      <w:r w:rsidRPr="00D92175">
        <w:rPr>
          <w:b/>
          <w:bCs/>
          <w:sz w:val="24"/>
          <w:szCs w:val="24"/>
        </w:rPr>
        <w:t>Comité de Derechos Humanos</w:t>
      </w:r>
    </w:p>
    <w:p w:rsidR="00FB349B" w:rsidRPr="00D92175" w:rsidRDefault="00FB349B" w:rsidP="00FB349B">
      <w:pPr>
        <w:pStyle w:val="HChG"/>
      </w:pPr>
      <w:r>
        <w:tab/>
      </w:r>
      <w:r>
        <w:tab/>
      </w:r>
      <w:r w:rsidRPr="00D92175">
        <w:t>Lista de cuestiones previa a la presentación del tercer informe periódico de Croacia (CCPR/C/HRV/3) aproba</w:t>
      </w:r>
      <w:r>
        <w:t>da </w:t>
      </w:r>
      <w:r w:rsidRPr="00D92175">
        <w:t>por el Comité</w:t>
      </w:r>
      <w:r>
        <w:t xml:space="preserve"> de Derechos Humanos en su 105º </w:t>
      </w:r>
      <w:r w:rsidRPr="00D92175">
        <w:t>período de sesiones (9 a 27 de julio de 2012)</w:t>
      </w:r>
      <w:r w:rsidRPr="00D92175">
        <w:rPr>
          <w:rStyle w:val="FootnoteReference"/>
          <w:b w:val="0"/>
          <w:sz w:val="20"/>
          <w:vertAlign w:val="baseline"/>
        </w:rPr>
        <w:footnoteReference w:customMarkFollows="1" w:id="1"/>
        <w:t>*</w:t>
      </w:r>
    </w:p>
    <w:p w:rsidR="00FB349B" w:rsidRPr="00D92175" w:rsidRDefault="00FB349B" w:rsidP="00FB349B">
      <w:pPr>
        <w:pStyle w:val="HChG"/>
      </w:pPr>
      <w:r w:rsidRPr="00D92175">
        <w:tab/>
      </w:r>
      <w:r w:rsidRPr="00D92175">
        <w:tab/>
        <w:t>Información general sobre la situación nacional en</w:t>
      </w:r>
      <w:r>
        <w:t xml:space="preserve"> materia </w:t>
      </w:r>
      <w:r w:rsidRPr="00D92175">
        <w:t>de</w:t>
      </w:r>
      <w:r>
        <w:t> </w:t>
      </w:r>
      <w:r w:rsidRPr="00D92175">
        <w:t>derechos</w:t>
      </w:r>
      <w:r>
        <w:t> </w:t>
      </w:r>
      <w:r w:rsidRPr="00D92175">
        <w:t xml:space="preserve">humanos, con inclusión de </w:t>
      </w:r>
      <w:r>
        <w:t>nuevas medidas y circunstancias relacionadas con la </w:t>
      </w:r>
      <w:r w:rsidRPr="00D92175">
        <w:t>aplicación</w:t>
      </w:r>
      <w:r>
        <w:t xml:space="preserve"> del </w:t>
      </w:r>
      <w:r w:rsidRPr="00D92175">
        <w:t>Pacto</w:t>
      </w:r>
    </w:p>
    <w:p w:rsidR="00FB349B" w:rsidRPr="00D92175" w:rsidRDefault="00FB349B" w:rsidP="00FB349B">
      <w:pPr>
        <w:pStyle w:val="SingleTxtG"/>
      </w:pPr>
      <w:r w:rsidRPr="00D92175">
        <w:t>1.</w:t>
      </w:r>
      <w:r w:rsidRPr="00D92175">
        <w:tab/>
        <w:t>Sírvanse suministrar información sobre cualquier novedad significativa que se haya producido en el marco jurídico e institucional de promoción y protección de los derechos humanos a nivel nacional desde la presentación del anterior informe periódico, incluida la jurisprudencia pertinente. Sírvanse además informar de las medidas que se ha</w:t>
      </w:r>
      <w:r>
        <w:t>ya</w:t>
      </w:r>
      <w:r w:rsidRPr="00D92175">
        <w:t>n adoptado para difundir el Pacto entre jueces, abogados y fiscales.</w:t>
      </w:r>
    </w:p>
    <w:p w:rsidR="00FB349B" w:rsidRPr="00D92175" w:rsidRDefault="00FB349B" w:rsidP="00FB349B">
      <w:pPr>
        <w:pStyle w:val="SingleTxtG"/>
      </w:pPr>
      <w:r w:rsidRPr="00D92175">
        <w:t>2.</w:t>
      </w:r>
      <w:r w:rsidRPr="00D92175">
        <w:tab/>
        <w:t xml:space="preserve">Sírvanse suministrar información sobre cualquier medida política y administrativa </w:t>
      </w:r>
      <w:r>
        <w:t>importante</w:t>
      </w:r>
      <w:r w:rsidRPr="00D92175">
        <w:t xml:space="preserve"> adoptada desde la presentación del informe anterior para promover y proteger los derechos humanos consagrados en el Pacto, y los recursos asignados, </w:t>
      </w:r>
      <w:r>
        <w:t xml:space="preserve">así como </w:t>
      </w:r>
      <w:r w:rsidRPr="00D92175">
        <w:t xml:space="preserve">sus medios, objetivos y resultados. </w:t>
      </w:r>
    </w:p>
    <w:p w:rsidR="00FB349B" w:rsidRPr="00D92175" w:rsidRDefault="00FB349B" w:rsidP="00FB349B">
      <w:pPr>
        <w:pStyle w:val="SingleTxtG"/>
      </w:pPr>
      <w:r w:rsidRPr="00D92175">
        <w:t>3.</w:t>
      </w:r>
      <w:r w:rsidRPr="00D92175">
        <w:tab/>
        <w:t>Sírvanse proporcionar cualquier otra información sobre las nuevas medidas que se hayan adoptado para difundir y aplicar las anteriores recomendaciones del Comité (CCPR/C/HRV/CO/2), incluido cualquier dato estadístico pertinente.</w:t>
      </w:r>
    </w:p>
    <w:p w:rsidR="00FB349B" w:rsidRPr="00D92175" w:rsidRDefault="00FB349B" w:rsidP="00FB349B">
      <w:pPr>
        <w:pStyle w:val="HChG"/>
      </w:pPr>
      <w:r>
        <w:br w:type="page"/>
      </w:r>
      <w:r>
        <w:tab/>
      </w:r>
      <w:r>
        <w:tab/>
      </w:r>
      <w:r w:rsidRPr="00D92175">
        <w:t>Información específica sobre la aplicación de los artículos</w:t>
      </w:r>
      <w:r>
        <w:t> </w:t>
      </w:r>
      <w:r w:rsidRPr="00D92175">
        <w:t>1</w:t>
      </w:r>
      <w:r>
        <w:t> </w:t>
      </w:r>
      <w:r w:rsidRPr="00D92175">
        <w:t>a</w:t>
      </w:r>
      <w:r>
        <w:t> </w:t>
      </w:r>
      <w:r w:rsidRPr="00D92175">
        <w:t>27 del Pacto, incluida la relacionada con</w:t>
      </w:r>
      <w:r>
        <w:t xml:space="preserve"> las anteriores </w:t>
      </w:r>
      <w:r w:rsidRPr="00D92175">
        <w:t>recomendaciones</w:t>
      </w:r>
      <w:r>
        <w:t xml:space="preserve"> </w:t>
      </w:r>
      <w:r w:rsidRPr="00D92175">
        <w:t>del Comité</w:t>
      </w:r>
    </w:p>
    <w:p w:rsidR="00FB349B" w:rsidRPr="00D92175" w:rsidRDefault="00FB349B" w:rsidP="00FB349B">
      <w:pPr>
        <w:pStyle w:val="H1G"/>
      </w:pPr>
      <w:r w:rsidRPr="00D92175">
        <w:tab/>
      </w:r>
      <w:r w:rsidRPr="00D92175">
        <w:tab/>
        <w:t>Marco constitucional y jurídico de la aplicación del Pacto</w:t>
      </w:r>
      <w:r w:rsidRPr="00D92175">
        <w:br/>
        <w:t>(artículos 2 y 26)</w:t>
      </w:r>
    </w:p>
    <w:p w:rsidR="00FB349B" w:rsidRPr="00D92175" w:rsidRDefault="00FB349B" w:rsidP="00FB349B">
      <w:pPr>
        <w:pStyle w:val="SingleTxtG"/>
      </w:pPr>
      <w:r w:rsidRPr="00D92175">
        <w:t>4.</w:t>
      </w:r>
      <w:r w:rsidRPr="00D92175">
        <w:tab/>
        <w:t xml:space="preserve">Sírvanse indicar los procedimientos vigentes para la aplicación de los dictámenes que </w:t>
      </w:r>
      <w:r>
        <w:t>aprueb</w:t>
      </w:r>
      <w:r w:rsidRPr="00D92175">
        <w:t xml:space="preserve">e el Comité a tenor del Protocolo Facultativo. </w:t>
      </w:r>
      <w:r>
        <w:t>Indiquen también</w:t>
      </w:r>
      <w:r w:rsidRPr="00D92175">
        <w:t xml:space="preserve"> qué pasos concretos se han dado para aplicar el dictamen</w:t>
      </w:r>
      <w:r>
        <w:t xml:space="preserve"> apro</w:t>
      </w:r>
      <w:r w:rsidRPr="00D92175">
        <w:t xml:space="preserve">bado por el Comité en el caso </w:t>
      </w:r>
      <w:r w:rsidRPr="00D92175">
        <w:rPr>
          <w:i/>
        </w:rPr>
        <w:t>Paraga c. Croacia</w:t>
      </w:r>
      <w:r w:rsidRPr="00D92175">
        <w:t xml:space="preserve"> (</w:t>
      </w:r>
      <w:r>
        <w:t xml:space="preserve">Nº </w:t>
      </w:r>
      <w:r w:rsidRPr="00D92175">
        <w:t>757/1996).</w:t>
      </w:r>
    </w:p>
    <w:p w:rsidR="00FB349B" w:rsidRPr="00D92175" w:rsidRDefault="00FB349B" w:rsidP="00FB349B">
      <w:pPr>
        <w:pStyle w:val="SingleTxtG"/>
      </w:pPr>
      <w:r w:rsidRPr="00D92175">
        <w:t>5.</w:t>
      </w:r>
      <w:r w:rsidRPr="00D92175">
        <w:tab/>
        <w:t xml:space="preserve">En sus anteriores observaciones finales (párr. 4), el Comité se mostró especialmente preocupado por el hecho de que algunas disposiciones de la Constitución limitaban determinados derechos a los "ciudadanos", como la igualdad ante los tribunales. Sírvanse indicar qué medidas ha adoptado el Estado parte para armonizar todas sus disposiciones con el artículo 2, párrafo 1, y el artículo 26 del Pacto, tomando en consideración la Observación general Nº 15 (1986) </w:t>
      </w:r>
      <w:r>
        <w:t xml:space="preserve">del Comité, </w:t>
      </w:r>
      <w:r w:rsidRPr="00D92175">
        <w:t xml:space="preserve">sobre la situación de los </w:t>
      </w:r>
      <w:r w:rsidRPr="00D92175">
        <w:rPr>
          <w:bCs/>
        </w:rPr>
        <w:t>extranjeros</w:t>
      </w:r>
      <w:r w:rsidRPr="00D92175">
        <w:t xml:space="preserve"> con arreglo al Pacto.</w:t>
      </w:r>
    </w:p>
    <w:p w:rsidR="00FB349B" w:rsidRPr="00D92175" w:rsidRDefault="00FB349B" w:rsidP="00FB349B">
      <w:pPr>
        <w:pStyle w:val="SingleTxtG"/>
      </w:pPr>
      <w:r w:rsidRPr="00D92175">
        <w:t>6.</w:t>
      </w:r>
      <w:r w:rsidRPr="00D92175">
        <w:tab/>
        <w:t xml:space="preserve">Sírvanse suministrar información detallada sobre el proceso de fusión de las funciones de las distintas Ombudspersons especializadas en la Oficina del Ombudsman e indicar qué medidas se han adoptado para asegurar la plena independencia de la nueva institución nacional unificada de derechos humanos. </w:t>
      </w:r>
      <w:r>
        <w:t>Tengan a bien</w:t>
      </w:r>
      <w:r w:rsidRPr="00D92175">
        <w:t xml:space="preserve"> proporcionar información sobre los recursos humanos y financieros destinados </w:t>
      </w:r>
      <w:r>
        <w:t>a garantizar e</w:t>
      </w:r>
      <w:r w:rsidRPr="00D92175">
        <w:t>l funcionamiento ef</w:t>
      </w:r>
      <w:r>
        <w:t>icaz</w:t>
      </w:r>
      <w:r w:rsidRPr="00D92175">
        <w:t xml:space="preserve"> de dicha institución. Sírvanse además describir su mandato y sus actividades en la esfera de los derechos civiles y políticos y qué pasos se han dado para </w:t>
      </w:r>
      <w:r>
        <w:t>hacerlos efectivos</w:t>
      </w:r>
      <w:r w:rsidRPr="00D92175">
        <w:t>.</w:t>
      </w:r>
    </w:p>
    <w:p w:rsidR="00FB349B" w:rsidRPr="00D92175" w:rsidRDefault="00FB349B" w:rsidP="00FB349B">
      <w:pPr>
        <w:pStyle w:val="H1G"/>
      </w:pPr>
      <w:r w:rsidRPr="00D92175">
        <w:tab/>
      </w:r>
      <w:r w:rsidRPr="00D92175">
        <w:tab/>
        <w:t>No discriminación e igualdad (artículos 2 (párrafo 1),</w:t>
      </w:r>
      <w:r>
        <w:t xml:space="preserve"> </w:t>
      </w:r>
      <w:r w:rsidRPr="00D92175">
        <w:t>3, 7, 22 y 26)</w:t>
      </w:r>
    </w:p>
    <w:p w:rsidR="00FB349B" w:rsidRPr="00D92175" w:rsidRDefault="00FB349B" w:rsidP="00FB349B">
      <w:pPr>
        <w:pStyle w:val="SingleTxtG"/>
      </w:pPr>
      <w:r w:rsidRPr="00D92175">
        <w:t>7.</w:t>
      </w:r>
      <w:r w:rsidRPr="00D92175">
        <w:tab/>
        <w:t xml:space="preserve">En relación con el párrafo 5 de las anteriores observaciones finales del Comité, sírvanse indicar qué medidas ha adoptado el Estado parte durante el período examinado para combatir la discriminación contra las minorías. Sírvanse suministrar información sobre la aplicación práctica de la Ley de lucha contra la discriminación </w:t>
      </w:r>
      <w:r w:rsidRPr="00FD767B">
        <w:t>(</w:t>
      </w:r>
      <w:r w:rsidRPr="00D92175">
        <w:rPr>
          <w:i/>
        </w:rPr>
        <w:t xml:space="preserve">Boletín Oficial </w:t>
      </w:r>
      <w:r w:rsidRPr="00FD767B">
        <w:t>Nº</w:t>
      </w:r>
      <w:r>
        <w:t> </w:t>
      </w:r>
      <w:r w:rsidRPr="00FD767B">
        <w:t>85/08)</w:t>
      </w:r>
      <w:r w:rsidRPr="00D92175">
        <w:t xml:space="preserve">, con inclusión de ejemplos de jurisprudencia, y del Plan nacional de lucha contra la discriminación para el período 2008-2013. ¿Qué medidas se han adoptado para proteger a los miembros de la minoría serbia contra la discriminación? </w:t>
      </w:r>
      <w:r>
        <w:t xml:space="preserve">Informen además </w:t>
      </w:r>
      <w:r w:rsidRPr="00D92175">
        <w:t xml:space="preserve">sobre las medidas concretas adoptadas por el Estado parte para abordar los motivos graves de preocupación por la situación de discriminación, intolerancia, violencia y acoso </w:t>
      </w:r>
      <w:r w:rsidRPr="00D92175">
        <w:rPr>
          <w:i/>
        </w:rPr>
        <w:t>de facto</w:t>
      </w:r>
      <w:r w:rsidRPr="00D92175">
        <w:t xml:space="preserve"> que sufren los romaníes, mencionados, por ejemplo, en el informe del Comisario del Consejo de Europa tras su visita a Croacia en abril de 2010. </w:t>
      </w:r>
      <w:r>
        <w:t xml:space="preserve">Tengan a bien indicar </w:t>
      </w:r>
      <w:r w:rsidRPr="00D92175">
        <w:t>el número de delitos motivados por el odio señalados durante el período examinado, incluyendo información sobre el resultado de la investigación de las presuntas agresiones físicas contra participantes en el desfile del orgullo gay "Familias distintas, mismos derechos", organi</w:t>
      </w:r>
      <w:r>
        <w:t xml:space="preserve">zado en Split el 11 de junio de </w:t>
      </w:r>
      <w:r w:rsidRPr="00D92175">
        <w:t>2011.</w:t>
      </w:r>
    </w:p>
    <w:p w:rsidR="00FB349B" w:rsidRPr="00D92175" w:rsidRDefault="00FB349B" w:rsidP="00FB349B">
      <w:pPr>
        <w:pStyle w:val="SingleTxtG"/>
      </w:pPr>
      <w:r w:rsidRPr="00D92175">
        <w:t>8.</w:t>
      </w:r>
      <w:r w:rsidRPr="00D92175">
        <w:tab/>
        <w:t xml:space="preserve">En respuesta a las anteriores observaciones finales del Comité (párr. 7), sírvanse indicar cualquier medida adoptada para promover la aplicación efectiva de la legislación y las políticas sobre igualdad de género y garantizar la participación de la mujer en los distintos ámbitos de la vida pública. Sírvanse suministrar información sobre los avances </w:t>
      </w:r>
      <w:r>
        <w:t xml:space="preserve">logrados </w:t>
      </w:r>
      <w:r w:rsidRPr="00D92175">
        <w:t xml:space="preserve">en la aplicación de la Política nacional de promoción de la igualdad de género para el período 2011-2015, así como sobre la situación del Plan nacional para la aplicación de la resolución 1325 (2000) del Consejo de Seguridad. </w:t>
      </w:r>
      <w:r>
        <w:t xml:space="preserve">Indiquen </w:t>
      </w:r>
      <w:r w:rsidRPr="00D92175">
        <w:t>además todas las medidas adoptadas para eliminar los estereotipos de género y reforzar la incorporación de la perspectiva de género a los programas de estudios y los libros de texto.</w:t>
      </w:r>
    </w:p>
    <w:p w:rsidR="00FB349B" w:rsidRPr="00D92175" w:rsidRDefault="00FB349B" w:rsidP="00FB349B">
      <w:pPr>
        <w:pStyle w:val="SingleTxtG"/>
      </w:pPr>
      <w:r w:rsidRPr="00D92175">
        <w:t>9.</w:t>
      </w:r>
      <w:r w:rsidRPr="00D92175">
        <w:tab/>
        <w:t>Sírvanse informa</w:t>
      </w:r>
      <w:r>
        <w:t>r</w:t>
      </w:r>
      <w:r w:rsidRPr="00D92175">
        <w:t xml:space="preserve"> sobre los logros de la Estrategia nacional sobre la igualdad de oportunidades para las personas con discapacidad para el período 2007-2015, así como</w:t>
      </w:r>
      <w:r>
        <w:t xml:space="preserve"> sobre</w:t>
      </w:r>
      <w:r w:rsidRPr="00D92175">
        <w:t xml:space="preserve"> los pasos que se han dado para reformar la ley sobre la capacidad mental y el sistema de tutela.</w:t>
      </w:r>
    </w:p>
    <w:p w:rsidR="00FB349B" w:rsidRPr="00D92175" w:rsidRDefault="00FB349B" w:rsidP="00FB349B">
      <w:pPr>
        <w:pStyle w:val="H1G"/>
      </w:pPr>
      <w:r w:rsidRPr="00D92175">
        <w:tab/>
      </w:r>
      <w:r w:rsidRPr="00D92175">
        <w:tab/>
        <w:t>Violencia contra la mujer (artículos 3 y 7)</w:t>
      </w:r>
    </w:p>
    <w:p w:rsidR="00FB349B" w:rsidRPr="00D92175" w:rsidRDefault="00FB349B" w:rsidP="00FB349B">
      <w:pPr>
        <w:pStyle w:val="SingleTxtG"/>
      </w:pPr>
      <w:r w:rsidRPr="00D92175">
        <w:t>10.</w:t>
      </w:r>
      <w:r w:rsidRPr="00D92175">
        <w:tab/>
        <w:t xml:space="preserve">A la luz de las anteriores observaciones finales del Comité (párr. 8), sírvanse informar sobre el impacto que ha tenido la aplicación de la Estrategia nacional de protección contra la violencia doméstica para el período 2008-2010. </w:t>
      </w:r>
      <w:r>
        <w:t>Tengan a bien aportar</w:t>
      </w:r>
      <w:r w:rsidRPr="00D92175">
        <w:t xml:space="preserve"> datos estadísticos sobre el número de denuncias presentadas durante el período examinado en relación con distintos tipos de violencia contra la mujer y el número de sentencias condenatorias dictadas, incluidas las penas impuestas y las indemnizaciones concedidas a las víctimas. </w:t>
      </w:r>
      <w:r>
        <w:t>Faciliten además</w:t>
      </w:r>
      <w:r w:rsidRPr="00D92175">
        <w:t xml:space="preserve"> información actualizada sobre los servicios de apoyo existentes para las víctimas de la violencia doméstica, en particular el número de centros gestionados por el Estado y puestos a disposición de las mujeres que necesitan un alojamiento temporal y/o el monto de los fondos suministrados por los organismos públicos que gestionan dichos centros. A este respecto, sírvanse comentar los informes que señalan que los centros de acogida de las víctimas de la violencia doméstica se enfrentan a graves problemas de financiación.</w:t>
      </w:r>
    </w:p>
    <w:p w:rsidR="00FB349B" w:rsidRPr="00D92175" w:rsidRDefault="00FB349B" w:rsidP="00FB349B">
      <w:pPr>
        <w:pStyle w:val="SingleTxtG"/>
      </w:pPr>
      <w:r w:rsidRPr="00D92175">
        <w:t>11.</w:t>
      </w:r>
      <w:r w:rsidRPr="00D92175">
        <w:tab/>
        <w:t>Según la información disponible</w:t>
      </w:r>
      <w:r>
        <w:t>,</w:t>
      </w:r>
      <w:r w:rsidRPr="00D92175">
        <w:t xml:space="preserve"> es habitual en Croacia que tanto el agresor como la víctima de violencia doméstica sean </w:t>
      </w:r>
      <w:r>
        <w:t>deteni</w:t>
      </w:r>
      <w:r w:rsidRPr="00D92175">
        <w:t xml:space="preserve">dos y condenados. Sírvanse comentar estos informes y explicar el alcance de las medidas de protección previstas en la Ley de protección contra la violencia doméstica </w:t>
      </w:r>
      <w:r w:rsidRPr="00FD767B">
        <w:t>(</w:t>
      </w:r>
      <w:r w:rsidRPr="00D92175">
        <w:rPr>
          <w:i/>
        </w:rPr>
        <w:t xml:space="preserve">Boletín Oficial </w:t>
      </w:r>
      <w:r>
        <w:t>N</w:t>
      </w:r>
      <w:r>
        <w:rPr>
          <w:vertAlign w:val="superscript"/>
        </w:rPr>
        <w:t>os</w:t>
      </w:r>
      <w:r>
        <w:t xml:space="preserve"> </w:t>
      </w:r>
      <w:r w:rsidRPr="00FD767B">
        <w:t>13/09, 14/10 y, 60/10)</w:t>
      </w:r>
      <w:r w:rsidRPr="00D92175">
        <w:t xml:space="preserve">, en particular con respecto a las condiciones en que podrán dictarse dichas medidas. </w:t>
      </w:r>
      <w:r>
        <w:t>Tengan a bien</w:t>
      </w:r>
      <w:r w:rsidRPr="00D92175">
        <w:t xml:space="preserve"> aclarar si la presentación de un recurso de apelación por el delincuente suspende automáticamente la ejecución de todas las medidas de protección, inclu</w:t>
      </w:r>
      <w:r>
        <w:t>so</w:t>
      </w:r>
      <w:r w:rsidRPr="00D92175">
        <w:t xml:space="preserve"> las órdenes de alejamiento. </w:t>
      </w:r>
      <w:r>
        <w:t>Informen</w:t>
      </w:r>
      <w:r w:rsidRPr="00D92175">
        <w:t xml:space="preserve"> detallada</w:t>
      </w:r>
      <w:r>
        <w:t>mente</w:t>
      </w:r>
      <w:r w:rsidRPr="00D92175">
        <w:t xml:space="preserve"> sobre los programas de sensibilización y de formación en cuestiones de género dirigidos a las fuerzas del orden, el personal sanitario y los trabajadores sociales </w:t>
      </w:r>
      <w:r>
        <w:t xml:space="preserve">que están </w:t>
      </w:r>
      <w:r w:rsidRPr="00D92175">
        <w:t xml:space="preserve">en contacto directo con las víctimas. </w:t>
      </w:r>
    </w:p>
    <w:p w:rsidR="00FB349B" w:rsidRPr="00D92175" w:rsidRDefault="00FB349B" w:rsidP="00FB349B">
      <w:pPr>
        <w:pStyle w:val="H1G"/>
      </w:pPr>
      <w:r w:rsidRPr="00D92175">
        <w:tab/>
      </w:r>
      <w:r w:rsidRPr="00D92175">
        <w:tab/>
        <w:t>Estados de excepción (artículo 4)</w:t>
      </w:r>
    </w:p>
    <w:p w:rsidR="00FB349B" w:rsidRPr="00D92175" w:rsidRDefault="00FB349B" w:rsidP="00FB349B">
      <w:pPr>
        <w:pStyle w:val="SingleTxtG"/>
      </w:pPr>
      <w:r w:rsidRPr="00D92175">
        <w:t>12.</w:t>
      </w:r>
      <w:r w:rsidRPr="00D92175">
        <w:tab/>
        <w:t xml:space="preserve">Con respecto a las anteriores observaciones finales del Comité (párr. 9), sírvanse suministrar información acerca de las medidas adoptadas por el Estado parte para que las disposiciones constitucionales que rigen el estado de excepción sean plenamente compatibles con el artículo 4 del Pacto, tomando en consideración la Observación general Nº </w:t>
      </w:r>
      <w:r>
        <w:t>2</w:t>
      </w:r>
      <w:r w:rsidRPr="00D92175">
        <w:t xml:space="preserve">9 (2001) </w:t>
      </w:r>
      <w:r>
        <w:t xml:space="preserve">del Comité </w:t>
      </w:r>
      <w:r w:rsidRPr="00D92175">
        <w:t xml:space="preserve">sobre </w:t>
      </w:r>
      <w:r>
        <w:t xml:space="preserve">los </w:t>
      </w:r>
      <w:r w:rsidRPr="00D92175">
        <w:t>estados de excepción.</w:t>
      </w:r>
    </w:p>
    <w:p w:rsidR="00FB349B" w:rsidRPr="00D92175" w:rsidRDefault="00FB349B" w:rsidP="00FB349B">
      <w:pPr>
        <w:pStyle w:val="H1G"/>
      </w:pPr>
      <w:r w:rsidRPr="00D92175">
        <w:tab/>
      </w:r>
      <w:r w:rsidRPr="00D92175">
        <w:tab/>
      </w:r>
      <w:r w:rsidRPr="00D92175">
        <w:rPr>
          <w:bCs/>
        </w:rPr>
        <w:t>Derecho a la vida</w:t>
      </w:r>
      <w:r w:rsidRPr="00D92175">
        <w:t xml:space="preserve"> y prohibición de la tortura</w:t>
      </w:r>
      <w:r>
        <w:t xml:space="preserve"> y</w:t>
      </w:r>
      <w:r w:rsidRPr="00D92175">
        <w:t xml:space="preserve"> otros tratos </w:t>
      </w:r>
      <w:r>
        <w:t>crueles, </w:t>
      </w:r>
      <w:r w:rsidRPr="00D92175">
        <w:t>inhumanos o degradantes, recursos y administración</w:t>
      </w:r>
      <w:r>
        <w:t xml:space="preserve"> de justicia (artículos 2 (párrafo 3), 6, 7</w:t>
      </w:r>
      <w:r w:rsidRPr="00D92175">
        <w:t xml:space="preserve"> y 14)</w:t>
      </w:r>
    </w:p>
    <w:p w:rsidR="00FB349B" w:rsidRPr="00D92175" w:rsidRDefault="00FB349B" w:rsidP="00FB349B">
      <w:pPr>
        <w:pStyle w:val="SingleTxtG"/>
      </w:pPr>
      <w:r w:rsidRPr="00D92175">
        <w:t>13.</w:t>
      </w:r>
      <w:r w:rsidRPr="00D92175">
        <w:tab/>
        <w:t xml:space="preserve">Con respecto a las anteriores observaciones finales del Comité (párr. 10) y a la solicitud de información formulada por la Relatora del Comité para el seguimiento de las observaciones finales en su carta de 21 de noviembre de 2011, sírvanse suministrar información actualizada sobre la actividad de las salas especializadas en crímenes de guerra (número de casos recibidos, número de investigaciones abiertas y decisiones adoptadas). </w:t>
      </w:r>
      <w:r>
        <w:t>Incluyan</w:t>
      </w:r>
      <w:r w:rsidRPr="00D92175">
        <w:t xml:space="preserve"> información sobre las investigaciones realizadas a escala nacional, los enjuiciamientos y las sentencias condenatorias de autores de crímenes de guerra y de crímenes de lesa humanidad cometidos durante la "Operación Tormenta", que tuvo lugar entre agosto y noviembre de 1995.</w:t>
      </w:r>
    </w:p>
    <w:p w:rsidR="00FB349B" w:rsidRPr="00D92175" w:rsidRDefault="00FB349B" w:rsidP="00FB349B">
      <w:pPr>
        <w:pStyle w:val="SingleTxtG"/>
      </w:pPr>
      <w:r w:rsidRPr="00D92175">
        <w:t>14.</w:t>
      </w:r>
      <w:r w:rsidRPr="00D92175">
        <w:tab/>
        <w:t>Sírvanse suministrar información actualizada sobre los avances</w:t>
      </w:r>
      <w:r>
        <w:t xml:space="preserve"> realizados </w:t>
      </w:r>
      <w:r w:rsidRPr="00D92175">
        <w:t xml:space="preserve">en la </w:t>
      </w:r>
      <w:r>
        <w:t>ejecu</w:t>
      </w:r>
      <w:r w:rsidRPr="00D92175">
        <w:t xml:space="preserve">ción del Plan de acción para la aplicación de la Estrategia de </w:t>
      </w:r>
      <w:r>
        <w:t>i</w:t>
      </w:r>
      <w:r w:rsidRPr="00D92175">
        <w:t xml:space="preserve">nvestigación y </w:t>
      </w:r>
      <w:r>
        <w:t>e</w:t>
      </w:r>
      <w:r w:rsidRPr="00D92175">
        <w:t xml:space="preserve">njuiciamiento de </w:t>
      </w:r>
      <w:r>
        <w:t>los c</w:t>
      </w:r>
      <w:r w:rsidRPr="00D92175">
        <w:t xml:space="preserve">rímenes de </w:t>
      </w:r>
      <w:r>
        <w:t>g</w:t>
      </w:r>
      <w:r w:rsidRPr="00D92175">
        <w:t xml:space="preserve">uerra cometidos </w:t>
      </w:r>
      <w:r>
        <w:t xml:space="preserve">en </w:t>
      </w:r>
      <w:r w:rsidRPr="00D92175">
        <w:t xml:space="preserve">el período 1991-1995. </w:t>
      </w:r>
      <w:r>
        <w:t>Tengan a bien</w:t>
      </w:r>
      <w:r w:rsidRPr="00D92175">
        <w:t xml:space="preserve"> comentar los informes que señalan que persisten los obstáculos para investigar y enjuiciar de manera efectiva </w:t>
      </w:r>
      <w:r>
        <w:t xml:space="preserve">los </w:t>
      </w:r>
      <w:r w:rsidRPr="00D92175">
        <w:t>crímenes relacionados con la guerra en Croacia. En particular, proporcion</w:t>
      </w:r>
      <w:r>
        <w:t>en</w:t>
      </w:r>
      <w:r w:rsidRPr="00D92175">
        <w:t xml:space="preserve"> información sobre las medidas adoptadas para que el marco jurídico </w:t>
      </w:r>
      <w:r>
        <w:t>destinado a</w:t>
      </w:r>
      <w:r w:rsidRPr="00D92175">
        <w:t xml:space="preserve"> enjuiciar casos relacionados con la guerra está en consonancia con las normas internacionales pertinentes, incluidos los casos relacionados con crímenes de lesa humanidad, la responsabilidad de los mandos y otros superiores y los actos de violencia sexual constitutivos de crímenes de guerra. Sírvanse aclarar el alcance de la Ley de invalidación de ciertos actos jurídicos de los órganos judiciales del ex Ejército Nacional Yugoslavo, la ex República Federativa Socialista de Yugoslavia y la República de Serbia (OG 124/11), aprobada en noviembre de 2011, y comentar las graves preocupaciones expresadas por el Fiscal General del Estado y la Comisión Europea sobre sus potenciales efectos negativos en la cooperación bilateral sobre los casos de crímenes de guerra. </w:t>
      </w:r>
      <w:r>
        <w:t>Tengan a bien</w:t>
      </w:r>
      <w:r w:rsidRPr="00D92175">
        <w:t xml:space="preserve"> </w:t>
      </w:r>
      <w:r>
        <w:t xml:space="preserve">además </w:t>
      </w:r>
      <w:r w:rsidRPr="00D92175">
        <w:t>aportar información sobre las medidas adoptadas para examinar las denuncias de crímenes de guerra cometidos por oficiales de alta graduación; ofrecer a los testigos medidas de apoyo y protección adecuadas; y velar por que las víctimas de crímenes de guerra reciban un resarcimiento justo y adecuado.</w:t>
      </w:r>
    </w:p>
    <w:p w:rsidR="00FB349B" w:rsidRPr="00D92175" w:rsidRDefault="00FB349B" w:rsidP="00FB349B">
      <w:pPr>
        <w:pStyle w:val="SingleTxtG"/>
        <w:rPr>
          <w:i/>
        </w:rPr>
      </w:pPr>
      <w:r w:rsidRPr="00D92175">
        <w:t>15.</w:t>
      </w:r>
      <w:r w:rsidRPr="00D92175">
        <w:tab/>
        <w:t xml:space="preserve">Según la información disponible, el número de juicios en rebeldía por crímenes de guerra aumentó en 2011, especialmente en los casos en los que el acusado era serbio. Sírvanse </w:t>
      </w:r>
      <w:r>
        <w:t>informar</w:t>
      </w:r>
      <w:r w:rsidRPr="00D92175">
        <w:t xml:space="preserve"> sobre las medidas adoptadas para que las personas condenadas en rebeldía tengan acceso a recursos efectivos, co</w:t>
      </w:r>
      <w:r>
        <w:t xml:space="preserve">n la posibilidad de reabrir </w:t>
      </w:r>
      <w:r w:rsidRPr="00D92175">
        <w:t>l</w:t>
      </w:r>
      <w:r>
        <w:t>a</w:t>
      </w:r>
      <w:r w:rsidRPr="00D92175">
        <w:t xml:space="preserve"> ca</w:t>
      </w:r>
      <w:r>
        <w:t>u</w:t>
      </w:r>
      <w:r w:rsidRPr="00D92175">
        <w:t>s</w:t>
      </w:r>
      <w:r>
        <w:t>a</w:t>
      </w:r>
      <w:r w:rsidRPr="00D92175">
        <w:t>, y que todos esos juicios se celebren de conformidad con lo establecido en el artículo 14 del Pacto.</w:t>
      </w:r>
    </w:p>
    <w:p w:rsidR="00FB349B" w:rsidRPr="00D92175" w:rsidRDefault="00FB349B" w:rsidP="00FB349B">
      <w:pPr>
        <w:pStyle w:val="H1G"/>
      </w:pPr>
      <w:r w:rsidRPr="00D92175">
        <w:tab/>
      </w:r>
      <w:r w:rsidRPr="00D92175">
        <w:tab/>
        <w:t>Libertad y seguridad personales y trato de los reclusos</w:t>
      </w:r>
      <w:r w:rsidRPr="00D92175">
        <w:br/>
        <w:t>(artículos 7, 9 y 10)</w:t>
      </w:r>
    </w:p>
    <w:p w:rsidR="00FB349B" w:rsidRPr="00D92175" w:rsidRDefault="00FB349B" w:rsidP="00FB349B">
      <w:pPr>
        <w:pStyle w:val="SingleTxtG"/>
      </w:pPr>
      <w:r w:rsidRPr="00D92175">
        <w:t>16.</w:t>
      </w:r>
      <w:r w:rsidRPr="00D92175">
        <w:tab/>
        <w:t xml:space="preserve">Sírvanse suministrar estadísticas detalladas, desglosadas por sexo, edad, origen étnico y lugar de detención, relativas a las denuncias de </w:t>
      </w:r>
      <w:r>
        <w:t>act</w:t>
      </w:r>
      <w:r w:rsidRPr="00D92175">
        <w:t xml:space="preserve">os de tortura y malos tratos durante el período examinado. </w:t>
      </w:r>
      <w:r>
        <w:t>I</w:t>
      </w:r>
      <w:r w:rsidRPr="00D92175">
        <w:t>nclu</w:t>
      </w:r>
      <w:r>
        <w:t>yan</w:t>
      </w:r>
      <w:r w:rsidRPr="00D92175">
        <w:t xml:space="preserve"> información sobre </w:t>
      </w:r>
      <w:r>
        <w:t xml:space="preserve">las </w:t>
      </w:r>
      <w:r w:rsidRPr="00D92175">
        <w:t xml:space="preserve">investigaciones, </w:t>
      </w:r>
      <w:r>
        <w:t xml:space="preserve">los </w:t>
      </w:r>
      <w:r w:rsidRPr="00D92175">
        <w:t xml:space="preserve">procedimientos disciplinarios y penales, </w:t>
      </w:r>
      <w:r>
        <w:t xml:space="preserve">y las </w:t>
      </w:r>
      <w:r w:rsidRPr="00D92175">
        <w:t>sentencias condenatorias así como sobre las sanciones disciplinarias o penales dictadas. Sírvanse además indicar las medidas adoptadas para rehabilitar e indemnizar a las víctimas.</w:t>
      </w:r>
    </w:p>
    <w:p w:rsidR="00FB349B" w:rsidRPr="00D92175" w:rsidRDefault="00FB349B" w:rsidP="00FB349B">
      <w:pPr>
        <w:pStyle w:val="SingleTxtG"/>
      </w:pPr>
      <w:r w:rsidRPr="00D92175">
        <w:t>17.</w:t>
      </w:r>
      <w:r w:rsidRPr="00D92175">
        <w:tab/>
      </w:r>
      <w:r>
        <w:t>Tengan a bien</w:t>
      </w:r>
      <w:r w:rsidRPr="00D92175">
        <w:t xml:space="preserve"> indicar qué medidas ha adoptado el Estado parte para corregir las condiciones penitenciarias en algunos centros, </w:t>
      </w:r>
      <w:r>
        <w:t>en particular</w:t>
      </w:r>
      <w:r w:rsidRPr="00D92175">
        <w:t xml:space="preserve"> el acceso insuficiente a la atención médica y el hacinamiento. Tal y como solicitó el Comité en sus anteriores observaciones finales (párr. 13), sírvanse suministrar estadísticas y otras informaciones que ilustren los avances </w:t>
      </w:r>
      <w:r>
        <w:t xml:space="preserve">alcanzados </w:t>
      </w:r>
      <w:r w:rsidRPr="00D92175">
        <w:t xml:space="preserve">en la aplicación de medidas alternativas a la detención. Sírvanse incluir información actualizada, incluidas estadísticas desglosadas por sexo, edad y origen étnico, sobre el número de personas </w:t>
      </w:r>
      <w:r>
        <w:t xml:space="preserve">que están </w:t>
      </w:r>
      <w:r w:rsidRPr="00D92175">
        <w:t>en prisión preventiva y de reclusos que cumplen condena, así como sobre el índice de ocupación de todos los centros de</w:t>
      </w:r>
      <w:r>
        <w:t xml:space="preserve"> detención para el período 2009-</w:t>
      </w:r>
      <w:r w:rsidRPr="00D92175">
        <w:t xml:space="preserve">2013. </w:t>
      </w:r>
    </w:p>
    <w:p w:rsidR="00FB349B" w:rsidRPr="00D92175" w:rsidRDefault="00FB349B" w:rsidP="00FB349B">
      <w:pPr>
        <w:pStyle w:val="SingleTxtG"/>
      </w:pPr>
      <w:r w:rsidRPr="00D92175">
        <w:t>18.</w:t>
      </w:r>
      <w:r w:rsidRPr="00D92175">
        <w:tab/>
        <w:t xml:space="preserve">Sírvanse suministrar información sobre el número de personas internadas en hospitales psiquiátricos y otras instituciones para personas con discapacidades psicosociales. </w:t>
      </w:r>
      <w:r>
        <w:t xml:space="preserve">Tengan a bien </w:t>
      </w:r>
      <w:r w:rsidRPr="00D92175">
        <w:t xml:space="preserve">comentar los informes que aseguran que el plan quinquenal para dar de alta de los hospitales a las personas con discapacidades psicosociales sigue contemplando las instituciones más pequeñas como una opción de vida en comunidad. ¿Cuál es la situación </w:t>
      </w:r>
      <w:r>
        <w:t xml:space="preserve">en materia </w:t>
      </w:r>
      <w:r w:rsidRPr="00D92175">
        <w:t xml:space="preserve">de formas alternativas de tratamiento, como los servicios comunitarios de rehabilitación y </w:t>
      </w:r>
      <w:r>
        <w:t>demás</w:t>
      </w:r>
      <w:r w:rsidRPr="00D92175">
        <w:t xml:space="preserve"> programas de tratamiento ambulatorio? Sírvanse explicar qué medidas se han tomado, en su caso, para suprimir el uso de camas que limitan los movimientos (camas-jaula/camas con red) como medio de inmovilización en </w:t>
      </w:r>
      <w:r>
        <w:t>los establecimient</w:t>
      </w:r>
      <w:r w:rsidRPr="00D92175">
        <w:t xml:space="preserve">os psiquiátricos. </w:t>
      </w:r>
    </w:p>
    <w:p w:rsidR="00FB349B" w:rsidRPr="00D92175" w:rsidRDefault="00FB349B" w:rsidP="00FB349B">
      <w:pPr>
        <w:pStyle w:val="H1G"/>
      </w:pPr>
      <w:r w:rsidRPr="00D92175">
        <w:tab/>
      </w:r>
      <w:r w:rsidRPr="00D92175">
        <w:tab/>
        <w:t>Eliminación de la esclavitud y la servidumbre (artículo 8)</w:t>
      </w:r>
    </w:p>
    <w:p w:rsidR="00FB349B" w:rsidRPr="00D92175" w:rsidRDefault="00FB349B" w:rsidP="00FB349B">
      <w:pPr>
        <w:pStyle w:val="SingleTxtG"/>
      </w:pPr>
      <w:r w:rsidRPr="00D92175">
        <w:t>19.</w:t>
      </w:r>
      <w:r w:rsidRPr="00D92175">
        <w:tab/>
        <w:t xml:space="preserve">Según los informes, el Estado parte es un país de destino, origen y tránsito de hombres, mujeres y niños sujetos a condiciones de trata con fines sexuales y de trabajo forzoso. Sírvanse suministrar información anual desde 2009 sobre denuncias, investigaciones, enjuiciamientos y sentencias condenatorias, incluidas las penas impuestas a quienes cometen actos de trata de personas. </w:t>
      </w:r>
      <w:r>
        <w:t>Indiquen</w:t>
      </w:r>
      <w:r w:rsidRPr="00D92175">
        <w:t xml:space="preserve"> qué medidas se han tomado, en su caso, para mejorar y desarrollar la formación en materia de </w:t>
      </w:r>
      <w:r>
        <w:t>detec</w:t>
      </w:r>
      <w:r w:rsidRPr="00D92175">
        <w:t xml:space="preserve">ción de las víctimas de la trata, en particular cuando las víctimas son niños. ¿Ha evaluado el Estado parte la eficacia del Protocolo sobre </w:t>
      </w:r>
      <w:r>
        <w:t xml:space="preserve">la </w:t>
      </w:r>
      <w:r w:rsidRPr="00D92175">
        <w:t xml:space="preserve">integración de </w:t>
      </w:r>
      <w:r>
        <w:t xml:space="preserve">las </w:t>
      </w:r>
      <w:r w:rsidRPr="00D92175">
        <w:t>víctimas de la trata adoptado en mayo de 2011?</w:t>
      </w:r>
    </w:p>
    <w:p w:rsidR="00FB349B" w:rsidRPr="00D92175" w:rsidRDefault="00FB349B" w:rsidP="00FB349B">
      <w:pPr>
        <w:pStyle w:val="H1G"/>
      </w:pPr>
      <w:r w:rsidRPr="00D92175">
        <w:tab/>
      </w:r>
      <w:r w:rsidRPr="00D92175">
        <w:tab/>
        <w:t>Libertad de circulación (artículo 12)</w:t>
      </w:r>
    </w:p>
    <w:p w:rsidR="00FB349B" w:rsidRPr="00D92175" w:rsidRDefault="00FB349B" w:rsidP="00FB349B">
      <w:pPr>
        <w:pStyle w:val="SingleTxtG"/>
      </w:pPr>
      <w:r w:rsidRPr="00D92175">
        <w:t>20.</w:t>
      </w:r>
      <w:r w:rsidRPr="00D92175">
        <w:tab/>
        <w:t xml:space="preserve">Con respecto a las anteriores observaciones finales del Comité (párrs. 6 y 14), sírvanse suministrar información actualizada sobre qué pasos se han dado para encontrar soluciones </w:t>
      </w:r>
      <w:r>
        <w:t>duraderas</w:t>
      </w:r>
      <w:r w:rsidRPr="00D92175">
        <w:t xml:space="preserve"> para los desplazados internos y </w:t>
      </w:r>
      <w:r>
        <w:t>retorn</w:t>
      </w:r>
      <w:r w:rsidRPr="00D92175">
        <w:t xml:space="preserve">ados que </w:t>
      </w:r>
      <w:r>
        <w:t>quedan</w:t>
      </w:r>
      <w:r w:rsidRPr="00D92175">
        <w:t xml:space="preserve"> en el Estado parte, incluidos los que siguen viviendo en alojamientos colectivos. </w:t>
      </w:r>
      <w:r>
        <w:t>Indiquen</w:t>
      </w:r>
      <w:r w:rsidRPr="00D92175">
        <w:t xml:space="preserve"> también los progresos realizados hasta ahora en el denominado "Proceso de Sarajevo".</w:t>
      </w:r>
    </w:p>
    <w:p w:rsidR="00FB349B" w:rsidRPr="00D92175" w:rsidRDefault="00FB349B" w:rsidP="00FB349B">
      <w:pPr>
        <w:pStyle w:val="H1G"/>
      </w:pPr>
      <w:r w:rsidRPr="00D92175">
        <w:tab/>
      </w:r>
      <w:r w:rsidRPr="00D92175">
        <w:tab/>
        <w:t>Libertad de expresión y de asociación y derecho de reunión</w:t>
      </w:r>
      <w:r w:rsidRPr="00D92175">
        <w:br/>
        <w:t>pacífica (artículos 19, 21 y 22)</w:t>
      </w:r>
    </w:p>
    <w:p w:rsidR="00FB349B" w:rsidRPr="00D92175" w:rsidRDefault="00FB349B" w:rsidP="00FB349B">
      <w:pPr>
        <w:pStyle w:val="SingleTxtG"/>
      </w:pPr>
      <w:r w:rsidRPr="00D92175">
        <w:t>21.</w:t>
      </w:r>
      <w:r w:rsidRPr="00D92175">
        <w:tab/>
        <w:t>Con respecto a las anteriores observaciones finales del Comité (párr. 17) y a la solicitud de información formulada por la Relatora del Comité para el seguimiento de las observaciones finales en su carta de 21 de noviembre de 2011, sírvanse suministrar información sobre la c</w:t>
      </w:r>
      <w:r>
        <w:t>ondena pública de los casos de intimidación</w:t>
      </w:r>
      <w:r w:rsidRPr="00D92175">
        <w:t xml:space="preserve"> y agresiones </w:t>
      </w:r>
      <w:r>
        <w:t>contra</w:t>
      </w:r>
      <w:r w:rsidRPr="00D92175">
        <w:t xml:space="preserve"> periodistas. A este respecto, </w:t>
      </w:r>
      <w:r>
        <w:t>informen</w:t>
      </w:r>
      <w:r w:rsidRPr="00D92175">
        <w:t xml:space="preserve"> al Comité del resultado de las investigaciones penales sobre: a) la presunta agresión sufrida en junio de 2008 por Duško Miljuš, periodista de investigación de </w:t>
      </w:r>
      <w:r w:rsidRPr="00D92175">
        <w:rPr>
          <w:i/>
        </w:rPr>
        <w:t>Jutarnji List</w:t>
      </w:r>
      <w:r w:rsidRPr="00D92175">
        <w:t xml:space="preserve"> que cubría casos de corrupción; y b) la agresión sufrida en junio de 2010 por Stjepan Mesaric, reportero del semanario </w:t>
      </w:r>
      <w:r w:rsidRPr="00D92175">
        <w:rPr>
          <w:i/>
        </w:rPr>
        <w:t>Medjimurske Novine</w:t>
      </w:r>
      <w:r w:rsidRPr="00D92175">
        <w:t>, después de escribir un artículo sobre la corrupción en el sector local de la construcción.</w:t>
      </w:r>
    </w:p>
    <w:p w:rsidR="00FB349B" w:rsidRPr="00D92175" w:rsidRDefault="00FB349B" w:rsidP="00FB349B">
      <w:pPr>
        <w:pStyle w:val="H1G"/>
      </w:pPr>
      <w:r w:rsidRPr="00D92175">
        <w:tab/>
      </w:r>
      <w:r w:rsidRPr="00D92175">
        <w:tab/>
        <w:t>Derechos del niño (artículos 7, 13 y 24)</w:t>
      </w:r>
    </w:p>
    <w:p w:rsidR="00FB349B" w:rsidRPr="00D92175" w:rsidRDefault="00FB349B" w:rsidP="00FB349B">
      <w:pPr>
        <w:pStyle w:val="SingleTxtG"/>
      </w:pPr>
      <w:r w:rsidRPr="00D92175">
        <w:t>22.</w:t>
      </w:r>
      <w:r w:rsidRPr="00D92175">
        <w:tab/>
        <w:t>Según la información que obra en poder del Comité, el Estado parte carece de la infraestructura adecuada para proteger a los niños migrantes no acompañados o separados</w:t>
      </w:r>
      <w:r>
        <w:t xml:space="preserve"> de sus familiares</w:t>
      </w:r>
      <w:r w:rsidRPr="00D92175">
        <w:t>. Sírvanse suministrar información sobre las medidas adoptadas y los procedimientos existentes para garantizar que los tutores designados represent</w:t>
      </w:r>
      <w:r>
        <w:t>e</w:t>
      </w:r>
      <w:r w:rsidRPr="00D92175">
        <w:t xml:space="preserve">n el interés superior del niño y </w:t>
      </w:r>
      <w:r>
        <w:t xml:space="preserve">satisfagan </w:t>
      </w:r>
      <w:r w:rsidRPr="00D92175">
        <w:t xml:space="preserve">las necesidades de protección de sus pupilos. </w:t>
      </w:r>
      <w:r>
        <w:t>Indiquen</w:t>
      </w:r>
      <w:r w:rsidRPr="00D92175">
        <w:t xml:space="preserve"> los criterios de calificación aplicados a los tutores que representan a niños no acompañados. Sírvanse aclarar si todos los niños no acompañados o separados </w:t>
      </w:r>
      <w:r>
        <w:t xml:space="preserve">de sus familiares </w:t>
      </w:r>
      <w:r w:rsidRPr="00D92175">
        <w:t>tienen derecho a la asistencia de un intérprete y de un abogado no solo en las solicitudes de asilo sino en otras situaciones.</w:t>
      </w:r>
    </w:p>
    <w:p w:rsidR="00FB349B" w:rsidRPr="00D92175" w:rsidRDefault="00FB349B" w:rsidP="00FB349B">
      <w:pPr>
        <w:pStyle w:val="H1G"/>
      </w:pPr>
      <w:r w:rsidRPr="00D92175">
        <w:tab/>
      </w:r>
      <w:r w:rsidRPr="00D92175">
        <w:tab/>
        <w:t>Derechos de las personas pertenecientes a minorías</w:t>
      </w:r>
      <w:r w:rsidRPr="00D92175">
        <w:br/>
        <w:t>(artículos 2, 24, 26 y 27)</w:t>
      </w:r>
    </w:p>
    <w:p w:rsidR="00FB349B" w:rsidRPr="00D92175" w:rsidRDefault="00FB349B" w:rsidP="00FB349B">
      <w:pPr>
        <w:pStyle w:val="SingleTxtG"/>
      </w:pPr>
      <w:r w:rsidRPr="00D92175">
        <w:t>23.</w:t>
      </w:r>
      <w:r w:rsidRPr="00D92175">
        <w:tab/>
        <w:t>Con respecto a las anteriores observaciones finales del Comité (párr. 16), sírvanse suministrar información actualizada sobre las medidas adoptadas para que los procedimientos administrativos y las disposiciones lega</w:t>
      </w:r>
      <w:r>
        <w:t>le</w:t>
      </w:r>
      <w:r w:rsidRPr="00D92175">
        <w:t xml:space="preserve">s sobre </w:t>
      </w:r>
      <w:r>
        <w:t>nacionalidad</w:t>
      </w:r>
      <w:r w:rsidRPr="00D92175">
        <w:t xml:space="preserve"> no perjudiquen a las personas pertenecientes a minorías nacionales. Sírvanse describir los resultados del Plan de </w:t>
      </w:r>
      <w:r>
        <w:t>a</w:t>
      </w:r>
      <w:r w:rsidRPr="00D92175">
        <w:t xml:space="preserve">cción para la aplicación de la Ley constitucional sobre los derechos de las minorías nacionales. </w:t>
      </w:r>
      <w:r>
        <w:t>I</w:t>
      </w:r>
      <w:r w:rsidRPr="00D92175">
        <w:t>nclu</w:t>
      </w:r>
      <w:r>
        <w:t>yan</w:t>
      </w:r>
      <w:r w:rsidRPr="00D92175">
        <w:t xml:space="preserve"> información sobre las medidas adoptadas para garantizar una participación y </w:t>
      </w:r>
      <w:r>
        <w:t xml:space="preserve">una </w:t>
      </w:r>
      <w:r w:rsidRPr="00D92175">
        <w:t>representación política</w:t>
      </w:r>
      <w:r>
        <w:t>s</w:t>
      </w:r>
      <w:r w:rsidRPr="00D92175">
        <w:t xml:space="preserve"> adecuadas de las minorías en todos los niveles del gobierno, en particular de los romaníes y de la minoría serbia. </w:t>
      </w:r>
    </w:p>
    <w:p w:rsidR="00FB349B" w:rsidRPr="00D92175" w:rsidRDefault="00FB349B" w:rsidP="00FB349B">
      <w:pPr>
        <w:pStyle w:val="SingleTxtG"/>
      </w:pPr>
      <w:r w:rsidRPr="00D92175">
        <w:t>24.</w:t>
      </w:r>
      <w:r w:rsidRPr="00D92175">
        <w:tab/>
        <w:t xml:space="preserve">Con respecto a las anteriores observaciones finales del Comité (párr. 19), sírvanse suministrar información actualizada sobre las medidas tomadas para acabar de manera efectiva con la segregación </w:t>
      </w:r>
      <w:r w:rsidRPr="00D92175">
        <w:rPr>
          <w:i/>
        </w:rPr>
        <w:t>de facto</w:t>
      </w:r>
      <w:r w:rsidRPr="00D92175">
        <w:t xml:space="preserve"> que sufren los niños romaníes en las escuelas</w:t>
      </w:r>
      <w:r>
        <w:t>,</w:t>
      </w:r>
      <w:r w:rsidRPr="00D92175">
        <w:t xml:space="preserve"> </w:t>
      </w:r>
      <w:r>
        <w:t>como se ordena en</w:t>
      </w:r>
      <w:r w:rsidRPr="00D92175">
        <w:t xml:space="preserve"> la sentencia del Tribunal Europeo de Derechos Humanos de 16 de marzo de 2010 </w:t>
      </w:r>
      <w:r>
        <w:t xml:space="preserve">en </w:t>
      </w:r>
      <w:r w:rsidRPr="00D92175">
        <w:t xml:space="preserve">el caso </w:t>
      </w:r>
      <w:r w:rsidRPr="00D92175">
        <w:rPr>
          <w:i/>
        </w:rPr>
        <w:t>Oršuš y otros c. Croacia</w:t>
      </w:r>
      <w:r>
        <w:t>,</w:t>
      </w:r>
      <w:r w:rsidRPr="00D92175">
        <w:t xml:space="preserve"> relativo a la discriminación contra alumnos romaníes en el sistema educativo. Según la información que obra en poder del Comité, las medidas elaboradas por las autoridades del Estado parte no bastan para corregir las causas de la discriminación contra los niños romaníes en el sistema educativo identificadas por la Gran Sala del Tribunal Europeo de Derechos Humanos. Sírvanse formular comentarios al respecto.</w:t>
      </w:r>
    </w:p>
    <w:p w:rsidR="00027CFD" w:rsidRPr="00FB349B" w:rsidRDefault="00FB349B" w:rsidP="00FB349B">
      <w:pPr>
        <w:pStyle w:val="SingleTxtG"/>
        <w:spacing w:before="240"/>
        <w:jc w:val="center"/>
        <w:rPr>
          <w:u w:val="single"/>
        </w:rPr>
      </w:pPr>
      <w:r>
        <w:rPr>
          <w:u w:val="single"/>
        </w:rPr>
        <w:tab/>
      </w:r>
      <w:r>
        <w:rPr>
          <w:u w:val="single"/>
        </w:rPr>
        <w:tab/>
      </w:r>
      <w:r>
        <w:rPr>
          <w:u w:val="single"/>
        </w:rPr>
        <w:tab/>
      </w:r>
    </w:p>
    <w:p w:rsidR="006F35EE" w:rsidRDefault="006F35EE" w:rsidP="00027CFD">
      <w:pPr>
        <w:pStyle w:val="SingleTxtG"/>
      </w:pPr>
    </w:p>
    <w:sectPr w:rsidR="006F35EE" w:rsidSect="00027CF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153" w:rsidRDefault="00661153">
      <w:r>
        <w:separator/>
      </w:r>
    </w:p>
  </w:endnote>
  <w:endnote w:type="continuationSeparator" w:id="0">
    <w:p w:rsidR="00661153" w:rsidRDefault="006611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CFD" w:rsidRPr="00027CFD" w:rsidRDefault="00027CFD" w:rsidP="00027CFD">
    <w:pPr>
      <w:pStyle w:val="Footer"/>
      <w:tabs>
        <w:tab w:val="right" w:pos="9638"/>
      </w:tabs>
    </w:pPr>
    <w:r w:rsidRPr="00027CFD">
      <w:rPr>
        <w:b/>
        <w:sz w:val="18"/>
      </w:rPr>
      <w:fldChar w:fldCharType="begin"/>
    </w:r>
    <w:r w:rsidRPr="00027CFD">
      <w:rPr>
        <w:b/>
        <w:sz w:val="18"/>
      </w:rPr>
      <w:instrText xml:space="preserve"> PAGE  \* MERGEFORMAT </w:instrText>
    </w:r>
    <w:r w:rsidRPr="00027CFD">
      <w:rPr>
        <w:b/>
        <w:sz w:val="18"/>
      </w:rPr>
      <w:fldChar w:fldCharType="separate"/>
    </w:r>
    <w:r w:rsidR="002B3BDC">
      <w:rPr>
        <w:b/>
        <w:noProof/>
        <w:sz w:val="18"/>
      </w:rPr>
      <w:t>6</w:t>
    </w:r>
    <w:r w:rsidRPr="00027CFD">
      <w:rPr>
        <w:b/>
        <w:sz w:val="18"/>
      </w:rPr>
      <w:fldChar w:fldCharType="end"/>
    </w:r>
    <w:r>
      <w:rPr>
        <w:b/>
        <w:sz w:val="18"/>
      </w:rPr>
      <w:tab/>
    </w:r>
    <w:r>
      <w:t>GE.12-46189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CFD" w:rsidRPr="00027CFD" w:rsidRDefault="00027CFD" w:rsidP="00027CFD">
    <w:pPr>
      <w:pStyle w:val="Footer"/>
      <w:tabs>
        <w:tab w:val="right" w:pos="9638"/>
      </w:tabs>
      <w:rPr>
        <w:b/>
        <w:sz w:val="18"/>
      </w:rPr>
    </w:pPr>
    <w:r>
      <w:t>GE.12-46189</w:t>
    </w:r>
    <w:r>
      <w:tab/>
    </w:r>
    <w:r w:rsidRPr="00027CFD">
      <w:rPr>
        <w:b/>
        <w:sz w:val="18"/>
      </w:rPr>
      <w:fldChar w:fldCharType="begin"/>
    </w:r>
    <w:r w:rsidRPr="00027CFD">
      <w:rPr>
        <w:b/>
        <w:sz w:val="18"/>
      </w:rPr>
      <w:instrText xml:space="preserve"> PAGE  \* MERGEFORMAT </w:instrText>
    </w:r>
    <w:r w:rsidRPr="00027CFD">
      <w:rPr>
        <w:b/>
        <w:sz w:val="18"/>
      </w:rPr>
      <w:fldChar w:fldCharType="separate"/>
    </w:r>
    <w:r w:rsidR="002B3BDC">
      <w:rPr>
        <w:b/>
        <w:noProof/>
        <w:sz w:val="18"/>
      </w:rPr>
      <w:t>5</w:t>
    </w:r>
    <w:r w:rsidRPr="00027C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497" w:rsidRPr="00027CFD" w:rsidRDefault="00027CFD">
    <w:pPr>
      <w:pStyle w:val="Footer"/>
      <w:rPr>
        <w:sz w:val="20"/>
      </w:rPr>
    </w:pPr>
    <w:r>
      <w:rPr>
        <w:sz w:val="20"/>
      </w:rPr>
      <w:t>GE.</w:t>
    </w:r>
    <w:r w:rsidR="00CE24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12-46189  (S)</w:t>
    </w:r>
    <w:r w:rsidR="00B62B71">
      <w:rPr>
        <w:sz w:val="20"/>
      </w:rPr>
      <w:t xml:space="preserve">    270912    280912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153" w:rsidRPr="001075E9" w:rsidRDefault="00661153" w:rsidP="001075E9">
      <w:pPr>
        <w:tabs>
          <w:tab w:val="right" w:pos="2155"/>
        </w:tabs>
        <w:spacing w:after="80" w:line="240" w:lineRule="auto"/>
        <w:ind w:left="680"/>
        <w:rPr>
          <w:u w:val="single"/>
        </w:rPr>
      </w:pPr>
      <w:r>
        <w:rPr>
          <w:u w:val="single"/>
        </w:rPr>
        <w:tab/>
      </w:r>
    </w:p>
  </w:footnote>
  <w:footnote w:type="continuationSeparator" w:id="0">
    <w:p w:rsidR="00661153" w:rsidRDefault="00661153" w:rsidP="00AE0E02">
      <w:pPr>
        <w:tabs>
          <w:tab w:val="right" w:pos="2155"/>
        </w:tabs>
        <w:spacing w:after="80" w:line="240" w:lineRule="auto"/>
        <w:ind w:left="680"/>
        <w:rPr>
          <w:u w:val="single"/>
        </w:rPr>
      </w:pPr>
      <w:r>
        <w:rPr>
          <w:u w:val="single"/>
        </w:rPr>
        <w:tab/>
      </w:r>
    </w:p>
  </w:footnote>
  <w:footnote w:id="1">
    <w:p w:rsidR="00FB349B" w:rsidRPr="00D92175" w:rsidRDefault="00FB349B" w:rsidP="00FB349B">
      <w:pPr>
        <w:pStyle w:val="FootnoteText"/>
        <w:spacing w:line="240" w:lineRule="auto"/>
        <w:rPr>
          <w:sz w:val="20"/>
        </w:rPr>
      </w:pPr>
      <w:r>
        <w:tab/>
      </w:r>
      <w:r w:rsidRPr="00D92175">
        <w:rPr>
          <w:rStyle w:val="FootnoteReference"/>
          <w:sz w:val="20"/>
          <w:vertAlign w:val="baseline"/>
        </w:rPr>
        <w:t>*</w:t>
      </w:r>
      <w:r w:rsidRPr="00D92175">
        <w:tab/>
        <w:t>La presente lista de cuestiones fue aprobada por el Comité en su 105º período de sesiones con arreglo al nuevo procedimiento facultativo establecido por el Comité en su 99º período de sesiones. Este nuevo procedimiento consiste en la aprobación por el Comité de listas de cuestiones que se transmiten a los Estados partes antes de la presentación de sus informes periódicos. Las respuestas de los Estados partes a las listas de cuestiones constituirán sus informes periódicos en virtud del artículo 40 del Pacto.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CFD" w:rsidRPr="00027CFD" w:rsidRDefault="00027CFD">
    <w:pPr>
      <w:pStyle w:val="Header"/>
    </w:pPr>
    <w:r>
      <w:t>CCPR/C/HRV/Q/3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CFD" w:rsidRPr="00027CFD" w:rsidRDefault="00027CFD" w:rsidP="00027CFD">
    <w:pPr>
      <w:pStyle w:val="Header"/>
      <w:jc w:val="right"/>
    </w:pPr>
    <w:r>
      <w:t>CCPR/C/HRV/Q/3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2497"/>
    <w:rsid w:val="00006BB9"/>
    <w:rsid w:val="00027CFD"/>
    <w:rsid w:val="0005274F"/>
    <w:rsid w:val="0009735A"/>
    <w:rsid w:val="000A36A2"/>
    <w:rsid w:val="000B57E7"/>
    <w:rsid w:val="000F09DF"/>
    <w:rsid w:val="000F61B2"/>
    <w:rsid w:val="001075E9"/>
    <w:rsid w:val="00160FF7"/>
    <w:rsid w:val="00180183"/>
    <w:rsid w:val="00196389"/>
    <w:rsid w:val="001C7A89"/>
    <w:rsid w:val="0022765D"/>
    <w:rsid w:val="002A061F"/>
    <w:rsid w:val="002A2EFC"/>
    <w:rsid w:val="002A6FA7"/>
    <w:rsid w:val="002B3BDC"/>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61153"/>
    <w:rsid w:val="006808A9"/>
    <w:rsid w:val="006F35EE"/>
    <w:rsid w:val="007021FF"/>
    <w:rsid w:val="007076CB"/>
    <w:rsid w:val="00721764"/>
    <w:rsid w:val="007967DF"/>
    <w:rsid w:val="007C2D13"/>
    <w:rsid w:val="007E7A9A"/>
    <w:rsid w:val="00834B71"/>
    <w:rsid w:val="0086445C"/>
    <w:rsid w:val="008A08D7"/>
    <w:rsid w:val="008A13F9"/>
    <w:rsid w:val="008D5DB6"/>
    <w:rsid w:val="008F70A9"/>
    <w:rsid w:val="00906890"/>
    <w:rsid w:val="00910100"/>
    <w:rsid w:val="00916396"/>
    <w:rsid w:val="00951972"/>
    <w:rsid w:val="00963777"/>
    <w:rsid w:val="009B452A"/>
    <w:rsid w:val="009B4E5E"/>
    <w:rsid w:val="00A17DFD"/>
    <w:rsid w:val="00A917B3"/>
    <w:rsid w:val="00AB4B51"/>
    <w:rsid w:val="00AE0E02"/>
    <w:rsid w:val="00AE4CC4"/>
    <w:rsid w:val="00B10CC7"/>
    <w:rsid w:val="00B511D3"/>
    <w:rsid w:val="00B62458"/>
    <w:rsid w:val="00B62B71"/>
    <w:rsid w:val="00B83AD1"/>
    <w:rsid w:val="00BD33EE"/>
    <w:rsid w:val="00C33381"/>
    <w:rsid w:val="00C56FC7"/>
    <w:rsid w:val="00C60F0C"/>
    <w:rsid w:val="00C76505"/>
    <w:rsid w:val="00C805C9"/>
    <w:rsid w:val="00CA1679"/>
    <w:rsid w:val="00CE2497"/>
    <w:rsid w:val="00D5042C"/>
    <w:rsid w:val="00D809C0"/>
    <w:rsid w:val="00D80BBB"/>
    <w:rsid w:val="00D90138"/>
    <w:rsid w:val="00DE44AD"/>
    <w:rsid w:val="00E73F76"/>
    <w:rsid w:val="00EF1360"/>
    <w:rsid w:val="00EF3220"/>
    <w:rsid w:val="00F14667"/>
    <w:rsid w:val="00F44B33"/>
    <w:rsid w:val="00F94155"/>
    <w:rsid w:val="00FB349B"/>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2645</Words>
  <Characters>14777</Characters>
  <Application>Microsoft Office Outlook</Application>
  <DocSecurity>4</DocSecurity>
  <Lines>234</Lines>
  <Paragraphs>46</Paragraphs>
  <ScaleCrop>false</ScaleCrop>
  <HeadingPairs>
    <vt:vector size="2" baseType="variant">
      <vt:variant>
        <vt:lpstr>Título</vt:lpstr>
      </vt:variant>
      <vt:variant>
        <vt:i4>1</vt:i4>
      </vt:variant>
    </vt:vector>
  </HeadingPairs>
  <TitlesOfParts>
    <vt:vector size="1" baseType="lpstr">
      <vt:lpstr>CCPR/C/HRV/Q/3</vt:lpstr>
    </vt:vector>
  </TitlesOfParts>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CCPR/C/HRV/Q/3</dc:title>
  <dc:subject>12-46189 (FINAL)</dc:subject>
  <dc:creator>Ruth</dc:creator>
  <cp:keywords/>
  <dc:description/>
  <cp:lastModifiedBy>Ruth</cp:lastModifiedBy>
  <cp:revision>2</cp:revision>
  <cp:lastPrinted>2012-09-28T15:37:00Z</cp:lastPrinted>
  <dcterms:created xsi:type="dcterms:W3CDTF">2012-09-28T15:42:00Z</dcterms:created>
  <dcterms:modified xsi:type="dcterms:W3CDTF">2012-09-28T15:42:00Z</dcterms:modified>
</cp:coreProperties>
</file>