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/>
    <w:tbl>
      <w:tblPr>
        <w:tblW w:w="0" w:type="auto"/>
        <w:tblInd w:w="666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1530"/>
        <w:gridCol w:w="3204"/>
        <w:gridCol w:w="1330"/>
        <w:gridCol w:w="340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pStyle w:val="Heading2"/>
              <w:spacing w:after="58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000000" w:rsidRDefault="00000000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  <w:gridSpan w:val="2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  <w:tc>
          <w:tcPr>
            <w:tcW w:w="4734" w:type="dxa"/>
            <w:gridSpan w:val="2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</w:rPr>
            </w:pPr>
          </w:p>
        </w:tc>
      </w:tr>
      <w:tr w:rsidR="00000000">
        <w:tblPrEx>
          <w:tblCellMar>
            <w:top w:w="0" w:type="dxa"/>
            <w:left w:w="120" w:type="dxa"/>
            <w:bottom w:w="0" w:type="dxa"/>
            <w:right w:w="120" w:type="dxa"/>
          </w:tblCellMar>
        </w:tblPrEx>
        <w:tc>
          <w:tcPr>
            <w:tcW w:w="1530" w:type="dxa"/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rPr>
                <w:noProof/>
              </w:rPr>
              <w:pict>
                <v:rect id="_x0000_s1026" style="position:absolute;margin-left:86.4pt;margin-top:-8.5pt;width:467.7pt;height:.95pt;z-index:-2;mso-position-horizontal-relative:page;mso-position-vertical-relative:text" o:allowincell="f" fillcolor="black" stroked="f" strokeweight="0">
                  <v:fill color2="black"/>
                  <w10:wrap anchorx="page"/>
                  <w10:anchorlock/>
                </v:rect>
              </w:pict>
            </w: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noProof/>
              </w:rPr>
              <w:pict>
                <v:rect id="_x0000_s1027" style="position:absolute;margin-left:0;margin-top:114.9pt;width:467.7pt;height:2.8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  <w:gridSpan w:val="2"/>
          </w:tcPr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b/>
                <w:bCs/>
                <w:sz w:val="30"/>
                <w:szCs w:val="30"/>
                <w:lang w:val="ru-RU"/>
              </w:rPr>
            </w:pPr>
            <w:r>
              <w:rPr>
                <w:b/>
                <w:bCs/>
                <w:i/>
                <w:sz w:val="30"/>
                <w:szCs w:val="30"/>
                <w:lang w:val="ru-RU"/>
              </w:rPr>
              <w:t xml:space="preserve">МЕЖДУНАРОДНАЯ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КОНВЕНЦИЯ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О ЛИКВИДАЦИИ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 xml:space="preserve">ВСЕХ ФОРМ </w:t>
            </w:r>
            <w:r>
              <w:rPr>
                <w:b/>
                <w:bCs/>
                <w:i/>
                <w:sz w:val="30"/>
                <w:szCs w:val="30"/>
                <w:lang w:val="ru-RU"/>
              </w:rPr>
              <w:br/>
              <w:t>РАСОВОЙ ДИСКРИМИНАЦИИ</w:t>
            </w:r>
          </w:p>
        </w:tc>
        <w:tc>
          <w:tcPr>
            <w:tcW w:w="3404" w:type="dxa"/>
          </w:tcPr>
          <w:p w:rsidR="00000000" w:rsidRDefault="00000000">
            <w:pPr>
              <w:tabs>
                <w:tab w:val="right" w:pos="3195"/>
              </w:tabs>
              <w:ind w:left="618"/>
            </w:pPr>
            <w:r>
              <w:t>Distr.</w:t>
            </w:r>
            <w:r>
              <w:br/>
              <w:t>GÉNÉRALE</w:t>
            </w:r>
          </w:p>
          <w:p w:rsidR="00000000" w:rsidRDefault="00000000">
            <w:pPr>
              <w:tabs>
                <w:tab w:val="right" w:pos="3195"/>
              </w:tabs>
              <w:ind w:left="618"/>
              <w:rPr>
                <w:lang w:val="fr-FR"/>
              </w:rPr>
            </w:pPr>
          </w:p>
          <w:p w:rsidR="00000000" w:rsidRDefault="00000000">
            <w:pPr>
              <w:tabs>
                <w:tab w:val="right" w:pos="3195"/>
              </w:tabs>
              <w:ind w:left="618"/>
              <w:rPr>
                <w:lang w:val="fr-FR"/>
              </w:rPr>
            </w:pPr>
            <w:r>
              <w:rPr>
                <w:lang w:val="fr-FR"/>
              </w:rPr>
              <w:t>CERD/C/SR.1656</w:t>
            </w:r>
            <w:r>
              <w:rPr>
                <w:lang w:val="fr-FR"/>
              </w:rPr>
              <w:br/>
              <w:t>16 October 2008</w:t>
            </w:r>
          </w:p>
          <w:p w:rsidR="00000000" w:rsidRDefault="00000000">
            <w:pPr>
              <w:tabs>
                <w:tab w:val="right" w:pos="3195"/>
              </w:tabs>
              <w:ind w:left="618"/>
              <w:rPr>
                <w:lang w:val="fr-FR"/>
              </w:rPr>
            </w:pPr>
          </w:p>
          <w:p w:rsidR="00000000" w:rsidRDefault="00000000">
            <w:pPr>
              <w:tabs>
                <w:tab w:val="right" w:pos="3195"/>
              </w:tabs>
              <w:ind w:left="618"/>
              <w:rPr>
                <w:lang w:val="fr-FR"/>
              </w:rPr>
            </w:pPr>
            <w:r>
              <w:rPr>
                <w:lang w:val="fr-FR"/>
              </w:rPr>
              <w:t>RUSSIAN</w:t>
            </w:r>
          </w:p>
          <w:p w:rsidR="00000000" w:rsidRDefault="00000000">
            <w:pPr>
              <w:tabs>
                <w:tab w:val="right" w:pos="3195"/>
              </w:tabs>
              <w:ind w:left="620"/>
            </w:pPr>
            <w:r>
              <w:t>Original: FRANÇAIS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</w:p>
        </w:tc>
      </w:tr>
    </w:tbl>
    <w:p w:rsidR="00000000" w:rsidRDefault="00000000">
      <w:pPr>
        <w:rPr>
          <w:b/>
          <w:bCs/>
        </w:rPr>
      </w:pP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КОМИТЕТ ПО ЛИКВИДАЦИИ РАСОВОЙ ДИСКРИМИНАЦИИ</w:t>
      </w:r>
    </w:p>
    <w:p w:rsidR="00000000" w:rsidRDefault="00000000">
      <w:pPr>
        <w:jc w:val="center"/>
        <w:rPr>
          <w:lang w:val="ru-RU"/>
        </w:rPr>
      </w:pP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Шестьдесят пятая сессия</w:t>
      </w:r>
    </w:p>
    <w:p w:rsidR="00000000" w:rsidRDefault="00000000">
      <w:pPr>
        <w:jc w:val="center"/>
        <w:rPr>
          <w:lang w:val="ru-RU"/>
        </w:rPr>
      </w:pP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КРАТКИЙ ОТЧЕТ О 1656-м ЗАСЕДАНИИ,</w:t>
      </w: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состоявшемся во Дворце Наций в Женеве во вторник,</w:t>
      </w: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10 августа 2004 года, в 15 час. 00 мин.</w:t>
      </w:r>
    </w:p>
    <w:p w:rsidR="00000000" w:rsidRDefault="00000000">
      <w:pPr>
        <w:jc w:val="center"/>
        <w:rPr>
          <w:u w:val="single"/>
          <w:lang w:val="ru-RU"/>
        </w:rPr>
      </w:pPr>
    </w:p>
    <w:p w:rsidR="00000000" w:rsidRDefault="00000000">
      <w:pPr>
        <w:jc w:val="center"/>
        <w:rPr>
          <w:lang w:val="ru-RU"/>
        </w:rPr>
      </w:pPr>
      <w:r>
        <w:rPr>
          <w:u w:val="single"/>
          <w:lang w:val="ru-RU"/>
        </w:rPr>
        <w:t>Председатель</w:t>
      </w:r>
      <w:r>
        <w:rPr>
          <w:lang w:val="ru-RU"/>
        </w:rPr>
        <w:t>:  г-н ЮТСИС</w:t>
      </w:r>
    </w:p>
    <w:p w:rsidR="00000000" w:rsidRDefault="00000000">
      <w:pPr>
        <w:jc w:val="center"/>
        <w:rPr>
          <w:lang w:val="ru-RU"/>
        </w:rPr>
      </w:pPr>
    </w:p>
    <w:p w:rsidR="00000000" w:rsidRDefault="00000000">
      <w:pPr>
        <w:jc w:val="center"/>
        <w:rPr>
          <w:lang w:val="ru-RU"/>
        </w:rPr>
      </w:pPr>
      <w:r>
        <w:rPr>
          <w:lang w:val="ru-RU"/>
        </w:rPr>
        <w:t>СОДЕРЖАНИЕ</w:t>
      </w:r>
    </w:p>
    <w:p w:rsidR="00000000" w:rsidRDefault="00000000">
      <w:pPr>
        <w:rPr>
          <w:lang w:val="ru-RU"/>
        </w:rPr>
      </w:pPr>
    </w:p>
    <w:p w:rsidR="00000000" w:rsidRDefault="00000000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rPr>
          <w:lang w:val="ru-RU"/>
        </w:rPr>
      </w:pPr>
    </w:p>
    <w:p w:rsidR="00000000" w:rsidRDefault="00000000">
      <w:pPr>
        <w:rPr>
          <w:lang w:val="ru-RU"/>
        </w:rPr>
      </w:pPr>
      <w:r>
        <w:rPr>
          <w:lang w:val="ru-RU"/>
        </w:rPr>
        <w:tab/>
      </w:r>
      <w:r>
        <w:rPr>
          <w:u w:val="single"/>
          <w:lang w:val="ru-RU"/>
        </w:rPr>
        <w:t>Шестнадцатый-восемнадцатый периодические доклады Аргентины</w:t>
      </w:r>
      <w:r>
        <w:rPr>
          <w:lang w:val="ru-RU"/>
        </w:rPr>
        <w:t xml:space="preserve">     </w:t>
      </w:r>
    </w:p>
    <w:p w:rsidR="00000000" w:rsidRDefault="00000000">
      <w:pPr>
        <w:rPr>
          <w:lang w:val="ru-RU"/>
        </w:rPr>
      </w:pPr>
      <w:r>
        <w:rPr>
          <w:lang w:val="ru-RU"/>
        </w:rPr>
        <w:t xml:space="preserve">        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/476/</w:t>
      </w:r>
      <w:r>
        <w:t>Add</w:t>
      </w:r>
      <w:r>
        <w:rPr>
          <w:lang w:val="ru-RU"/>
        </w:rPr>
        <w:t>.2)</w:t>
      </w:r>
    </w:p>
    <w:p w:rsidR="00000000" w:rsidRDefault="00000000">
      <w:pPr>
        <w:rPr>
          <w:lang w:val="ru-RU"/>
        </w:rPr>
      </w:pPr>
      <w:r>
        <w:rPr>
          <w:lang w:val="ru-RU"/>
        </w:rPr>
        <w:t>____________________________________</w:t>
      </w:r>
    </w:p>
    <w:p w:rsidR="00000000" w:rsidRDefault="00000000">
      <w:pPr>
        <w:rPr>
          <w:lang w:val="ru-RU"/>
        </w:rPr>
      </w:pPr>
      <w:r>
        <w:rPr>
          <w:lang w:val="ru-RU"/>
        </w:rPr>
        <w:t>В настоящий отчет могут вноситься поправки.</w:t>
      </w:r>
    </w:p>
    <w:p w:rsidR="00000000" w:rsidRDefault="00000000">
      <w:pPr>
        <w:rPr>
          <w:lang w:val="ru-RU"/>
        </w:rPr>
      </w:pPr>
    </w:p>
    <w:p w:rsidR="00000000" w:rsidRDefault="00000000">
      <w:pPr>
        <w:rPr>
          <w:lang w:val="ru-RU"/>
        </w:rPr>
      </w:pPr>
      <w:r>
        <w:rPr>
          <w:lang w:val="ru-RU"/>
        </w:rPr>
        <w:t xml:space="preserve">Поправки должны представляться на одном из рабочих языков.  Они должны быть изложены в пояснительной записке, а также включены в один из экземпляров отчета.  </w:t>
      </w:r>
    </w:p>
    <w:p w:rsidR="00000000" w:rsidRDefault="00000000">
      <w:pPr>
        <w:rPr>
          <w:lang w:val="ru-RU"/>
        </w:rPr>
      </w:pPr>
    </w:p>
    <w:p w:rsidR="00000000" w:rsidRDefault="00000000">
      <w:pPr>
        <w:rPr>
          <w:lang w:val="ru-RU"/>
        </w:rPr>
      </w:pPr>
      <w:r>
        <w:rPr>
          <w:lang w:val="ru-RU"/>
        </w:rPr>
        <w:t xml:space="preserve">Поправки следует направлять </w:t>
      </w:r>
      <w:r>
        <w:rPr>
          <w:u w:val="single"/>
          <w:lang w:val="ru-RU"/>
        </w:rPr>
        <w:t>в течение одной недели с даты выпуска настоящего документа</w:t>
      </w:r>
      <w:r>
        <w:rPr>
          <w:lang w:val="ru-RU"/>
        </w:rPr>
        <w:t xml:space="preserve"> в Секцию редактирования официальных отчетов, комната Е. 4108, Дворец Наций, Женева.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ru-RU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ru-RU"/>
        </w:rPr>
      </w:pPr>
      <w:r>
        <w:rPr>
          <w:lang w:val="ru-RU"/>
        </w:rPr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ru-RU"/>
        </w:rPr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rPr>
          <w:lang w:val="fr-FR"/>
        </w:rPr>
      </w:pPr>
      <w:r>
        <w:rPr>
          <w:lang w:val="fr-FR"/>
        </w:rPr>
        <w:t>GE. 04-43237 (EXT)</w:t>
      </w:r>
    </w:p>
    <w:p w:rsidR="00000000" w:rsidRDefault="00000000">
      <w:pPr>
        <w:spacing w:after="240"/>
        <w:jc w:val="center"/>
        <w:rPr>
          <w:i/>
          <w:iCs/>
          <w:lang w:val="ru-RU"/>
        </w:rPr>
      </w:pPr>
      <w:r>
        <w:rPr>
          <w:lang w:val="ru-RU"/>
        </w:rPr>
        <w:br w:type="page"/>
      </w:r>
      <w:r>
        <w:rPr>
          <w:i/>
          <w:iCs/>
          <w:lang w:val="ru-RU"/>
        </w:rPr>
        <w:t>Заседание открывается в 15 час. 00 мин.</w:t>
      </w:r>
    </w:p>
    <w:p w:rsidR="00000000" w:rsidRDefault="00000000">
      <w:pPr>
        <w:rPr>
          <w:lang w:val="ru-RU"/>
        </w:rPr>
      </w:pPr>
      <w:r>
        <w:rPr>
          <w:lang w:val="ru-RU"/>
        </w:rPr>
        <w:t>РАССМОТРЕНИЕ ДОКЛАДОВ, ЗАМЕЧАНИЙ И ИНФОРМАЦИИ, ПРЕДСТАВЛЯЕМЫХ ГОСУДАРСТВАМИ-УЧАСТНИКАМИ В СООТВЕТСТВИИ СО СТАТЬЕЙ 9 КОНВЕНЦИИ (пункт 4 повестки дня) (</w:t>
      </w:r>
      <w:r>
        <w:rPr>
          <w:i/>
          <w:lang w:val="ru-RU"/>
        </w:rPr>
        <w:t>продолжение</w:t>
      </w:r>
      <w:r>
        <w:rPr>
          <w:lang w:val="ru-RU"/>
        </w:rPr>
        <w:t>)</w:t>
      </w:r>
    </w:p>
    <w:p w:rsidR="00000000" w:rsidRDefault="00000000">
      <w:pPr>
        <w:rPr>
          <w:lang w:val="ru-RU"/>
        </w:rPr>
      </w:pPr>
    </w:p>
    <w:p w:rsidR="00000000" w:rsidRDefault="00000000">
      <w:pPr>
        <w:spacing w:after="240"/>
        <w:rPr>
          <w:lang w:val="ru-RU"/>
        </w:rPr>
      </w:pPr>
      <w:r>
        <w:rPr>
          <w:u w:val="single"/>
          <w:lang w:val="ru-RU"/>
        </w:rPr>
        <w:t>Шестнадцатый-восемнадцатый периодические доклады Аргентины</w:t>
      </w:r>
      <w:r>
        <w:rPr>
          <w:lang w:val="ru-RU"/>
        </w:rPr>
        <w:t xml:space="preserve">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/476/</w:t>
      </w:r>
      <w:r>
        <w:t>Add</w:t>
      </w:r>
      <w:r>
        <w:rPr>
          <w:lang w:val="ru-RU"/>
        </w:rPr>
        <w:t>.2)</w:t>
      </w:r>
    </w:p>
    <w:p w:rsidR="00000000" w:rsidRDefault="00000000">
      <w:pPr>
        <w:spacing w:after="240"/>
        <w:rPr>
          <w:i/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</w:r>
      <w:r>
        <w:rPr>
          <w:i/>
          <w:lang w:val="ru-RU"/>
        </w:rPr>
        <w:t>По приглашению Председателя делегация Аргентины занимает места за столом Комитета.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</w:r>
      <w:r>
        <w:rPr>
          <w:u w:val="single"/>
          <w:lang w:val="ru-RU"/>
        </w:rPr>
        <w:t>Г-н ЧАРАДЬЯ</w:t>
      </w:r>
      <w:r>
        <w:rPr>
          <w:lang w:val="ru-RU"/>
        </w:rPr>
        <w:t xml:space="preserve"> (Аргентина) заявляет о решимости Аргентины соблюдать принятые ею международные обязательства в области прав человека.  Защита прав человека и укрепление международной правозащитной системы являются одним из приоритетов программы аргентинского правительства.  В недавнем прошлом был принят целый ряд мер по обеспечению уважения прав человека и дальнейшим шагам по претворению в жизнь Дурбанской декларации и Программы действий, несмотря на тяжелый социально-экономический кризис, свирепствующий в стране с 2000 года.  Он добавляет, что Аргентина убеждена в том, что диалог и сотрудничество являются ключевыми факторами активизации борьбы против расовой дискриминации.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</w:r>
      <w:r>
        <w:rPr>
          <w:u w:val="single"/>
          <w:lang w:val="ru-RU"/>
        </w:rPr>
        <w:t>Г-н ОТЕЙСА</w:t>
      </w:r>
      <w:r>
        <w:rPr>
          <w:lang w:val="ru-RU"/>
        </w:rPr>
        <w:t xml:space="preserve"> (Аргентина) сообщает, что страной были приняты масштабные меры по осуществлению положений Конвенции, несмотря на поразивший ее глубочайший социально-экономический кризис.  С 1983 года – года возврата к демократии - Аргентина добилась больших успехов в области соблюдения прав человека, а в ходе конституционной реформы несколько важнейших конвенций по правам человека были приняты во внимание и включены в конституционные положения.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>Поразивший страну беспрецедентный кризис существенно обострился с 2001 года.  Он повлек за собой тяжелейшие последствия для многочисленных групп населения, особенно для наиболее уязвимых из них.  Угрожающее число лиц оказались далеко за чертой бедности и социального отчуждения и даже впали в крайнюю нищету, что породило новые формы массовой дискриминации, с которыми правительство пытается бороться.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5.</w:t>
      </w:r>
      <w:r>
        <w:rPr>
          <w:lang w:val="ru-RU"/>
        </w:rPr>
        <w:tab/>
        <w:t>Экономический кризис был вызван чрезмерным ростом курса песо по отношению к американскому доллару, в результате чего из-за падения конкурентоспособности предприятий резко сократился объем экспорта.  Последовавший за этим масштабный спад производства сделал бремя задолженности непосильным.  В 2003 году 57 % городского населения Аргентины жили за чертой бедности, а 27,5 % - в условиях крайней нищеты, по сравнению с 41 % и 11 % соответственно – в 90-е годы.  Обострение социального кризиса подтолкнуло правительство к принятию в 2002 году масштабной чрезвычайной продовольственной программы, которая была сосредоточена на финансировании пунктов питания в общинах и учебных заведениях.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В сфере здравоохранения власти приступили к реализации программы «Лечение» (пункт 321), которая предусматривает бесплатное обеспечение базовыми медикаментами и является крупнейшей в мире программой первичного медицинского обслуживания.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7.</w:t>
      </w:r>
      <w:r>
        <w:rPr>
          <w:lang w:val="ru-RU"/>
        </w:rPr>
        <w:tab/>
        <w:t>В области образования малоимущим семьям было предоставлено 350 000 субсидий на обучение подростков.  Правительство предприняло активные усилия по дополнению учебных программ мероприятиями по социальной помощи и содействию в трудоустройстве.  В настоящее время приоритетное внимание уделяется созданию рабочих мест в рамках реализации масштабной программы по строительству жилья, перед которой поставлены три цели: обеспечить безработных источником дохода, способствовать преодолению жилищного кризиса и ориентировать лиц, получавших ранее государственное пособие, на получение надежных рабочих мест.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  <w:t>В законодательной сфере в августе 2003 года Конгресс принял закон, отменяющий законы о безнаказанности лиц, виновных в совершении преступлений в период военной диктатуры.  Нынешнее правительство преисполнено решимости покончить с безнаказанностью лиц, совершивших преступления против человечности.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  <w:t>В июле 2003 года был издан президентский указ о запрещении органам исполнительной власти осуществлять прерогативы судебных органов; такой прогресс в совершенствовании законодательства весьма позитивно отразился на борьбе с дискриминацией.  Наряду с этим был упразднен Закон 1980 года о миграции, в котором нарушался ряд основных прав.  Вместо него был принят новый закон, который защищает права человека всех иностранных граждан и трудящихся-мигрантов, а также гарантирует всем равные права.  Этот закон в значительной степени опирается на положения Международной конвенции о защите всех трудящихся-мигрантов и членов их семей, которую власти Аргентины намерены ратифицировать.  Возможно, этот закон является самым прогрессивным в Латинской Америке и представляет собой правовой базис для расширенной программы «Меркосур», в рамках которой Аргентина и Бразилия – две основные страны приема мигрантов.  Он гарантирует право на доступ к правосудию всем мигрантам - как имеющим, так и не имеющим разрешение на проживание, а также всем иностранцам.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10.</w:t>
      </w:r>
      <w:r>
        <w:rPr>
          <w:lang w:val="ru-RU"/>
        </w:rPr>
        <w:tab/>
        <w:t>Правительство Аргентины совместно с Управлением Верховного комиссара Организации Объединенных Наций по правам человека и Программой развития Организации Объединенных Наций подготовило программу мероприятий по принятию национального плана борьбы против дискриминации, который должен стать экспериментальным проектом регионального уровня.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  <w:t>Что касается коренного населения, то в июне 2002 года Национальный конгресс принял закон о проведении кампании по ознакомлению с правами коренных народов.  Признавая огромный исторический долг страны перед этими народами, власти решили собрать всю необходимую информацию для выработки эффективной политики защиты прав человека аборигенов.  Многое еще предстоит сделать, но к настоящему времени уже достигнут значительный успех в сборе соответствующих данных.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>
        <w:rPr>
          <w:u w:val="single"/>
          <w:lang w:val="ru-RU"/>
        </w:rPr>
        <w:t>Г-н ТОРНБЕРРИ</w:t>
      </w:r>
      <w:r>
        <w:rPr>
          <w:lang w:val="ru-RU"/>
        </w:rPr>
        <w:t xml:space="preserve"> (Докладчик по Аргентине) приветствует представление доклада, но при этом отмечает, что доклад не был подготовлен в соответствии с руководящими принципами в отношении формы и содержания докладов, представляемых государствами-участниками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/70/</w:t>
      </w:r>
      <w:r>
        <w:t>Rev</w:t>
      </w:r>
      <w:r>
        <w:rPr>
          <w:lang w:val="ru-RU"/>
        </w:rPr>
        <w:t>.5).  В первой части (стр. 8 оригинала), где содержатся приблизительные оценочные данные по результатам переписи 2001 года и обновление базового документа (</w:t>
      </w:r>
      <w:r>
        <w:t>HRI</w:t>
      </w:r>
      <w:r>
        <w:rPr>
          <w:lang w:val="ru-RU"/>
        </w:rPr>
        <w:t>/</w:t>
      </w:r>
      <w:r>
        <w:t>CORE</w:t>
      </w:r>
      <w:r>
        <w:rPr>
          <w:lang w:val="ru-RU"/>
        </w:rPr>
        <w:t>/1/</w:t>
      </w:r>
      <w:r>
        <w:t>Add</w:t>
      </w:r>
      <w:r>
        <w:rPr>
          <w:lang w:val="ru-RU"/>
        </w:rPr>
        <w:t>.74), не приведено никаких сведений об этническом составе населения.  Поэтому он хотел бы, чтобы делегация Аргентины представила Комитету статистику в разбивке по общинам коренного населения с указанием названий этих общин.  Констатируя, что по сообщениям от одних неправительственных организаций численность коренного населения составляет 900 000 человек, а от других – два миллиона человек, он просит делегацию прокомментировать такое расхождение, а также привести свежие статистические данные о количестве беженцев и просителей убежища.  Кроме того, поскольку в докладе не упомянуты афроаргентинцы, ему хотелось бы знать, какое количество представителей этой общины было зарегистрировано в Аргентине.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  <w:t>С другой стороны, г-н Торнберри с удовлетворением отмечает, что международные договоры получили конституционный статус (пункт 34), но отмечает, что в случае коллизии они не имеют преимущественной силы над статьями Конституции.  В этой связи он хотел бы знать, действует ли по-прежнему конституционное положение об оказании содействия европейской иммиграции (пункт 123) и почему оно не было упразднено в ходе реформы 1994 года.  Кроме того, он просит членов делегации привести другие примеры решений Верховного суда в дополнение к тем, которые упоминаются в пункте 37 доклада.  Наконец, поскольку Аргентина – это федеративное государство, г-н Торнберри хотел бы знать, одинаково ли применяются нормы по правам человека на всей ее территории.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14.</w:t>
      </w:r>
      <w:r>
        <w:rPr>
          <w:lang w:val="ru-RU"/>
        </w:rPr>
        <w:tab/>
        <w:t>Что касается осуществления статьи 2 Конвенции, то докладчик приветствует подробные сведения о Национальном институте по вопросам борьбы с дискриминацией, ксенофобией и расизмом (ИНАДИ) (пункт 42), в частности о том, что это учреждение стало самостоятельным (пункт 89) и что оно активно сотрудничает с неправительственными организациями.  Отмечая при этом, что бюджет ИНАДИ был существенно урезан (пункт 74), г-н Торнберри спрашивает, не подрывает ли такое сокращение эффективность работы учреждения.  Наряду с этим он хотел бы получить дополнительную информацию о рассмотрении жалоб, поданных в период 2000-2001 годов (пункт 96).  Кроме того, ему хотелось бы узнать, какой объем средств выделен на реализацию Национального плана по борьбе с дискриминацией (глава XI) на национальном и провинциальном уровнях и начато ли его осуществление.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  <w:t>В связи со статьей 3 Конвенции г-н Торнберри подчеркивает, что это положение не следует понимать как касающееся исключительно апартеида.  Действительно, в своей общей рекомендации XIX Комитет пояснил, что ситуация частичной сегрегации может возникнуть без какой-либо инициативы со стороны государственных органов и явиться непреднамеренным побочным итогом действия частных лиц, влияющих, в частности, на распределение жителей по кварталам (</w:t>
      </w:r>
      <w:r>
        <w:t>HRI</w:t>
      </w:r>
      <w:r>
        <w:rPr>
          <w:lang w:val="ru-RU"/>
        </w:rPr>
        <w:t>/</w:t>
      </w:r>
      <w:r>
        <w:t>GEN</w:t>
      </w:r>
      <w:r>
        <w:rPr>
          <w:lang w:val="ru-RU"/>
        </w:rPr>
        <w:t>/1/</w:t>
      </w:r>
      <w:r>
        <w:t>Rev</w:t>
      </w:r>
      <w:r>
        <w:rPr>
          <w:lang w:val="ru-RU"/>
        </w:rPr>
        <w:t>.7).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  <w:t>Касаясь вопроса об осуществлении статьи 4 Конвенции, г-н Торнберри с удовлетворением принимает к сведению представленную дополнительную информацию о законе 1988 года о наказании за незаконные и преступные действия, связанные с дискриминацией (пункты 127 и 128).  При этом он отмечает, что наиболее многочисленными являются антисемитские настроения и действия, и напоминает, что при рассмотрении предыдущего доклада Комитет в своих заключительных замечаниях (</w:t>
      </w:r>
      <w:r>
        <w:t>CERD</w:t>
      </w:r>
      <w:r>
        <w:rPr>
          <w:lang w:val="ru-RU"/>
        </w:rPr>
        <w:t>/</w:t>
      </w:r>
      <w:r>
        <w:t>C</w:t>
      </w:r>
      <w:r>
        <w:rPr>
          <w:lang w:val="ru-RU"/>
        </w:rPr>
        <w:t>/304/</w:t>
      </w:r>
      <w:r>
        <w:t>Add</w:t>
      </w:r>
      <w:r>
        <w:rPr>
          <w:lang w:val="ru-RU"/>
        </w:rPr>
        <w:t>.112) выразил сожаление в связи с медленным ходом разбирательств по делам об антисемитских нападениях в 1992 и 1994 годах.  Ему хотелось бы знать, следует ли понимать исходя из информации в пунктах 132-135 доклада, что эти разбирательства до сих пор не завершены, и если дело обстоит именно так, то у Комитета есть еще больше оснований критиковать нерасторопность системы правосудия.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  <w:t>В главе, посвященной осуществлению статьи 5 Конвенции, информация о правах женщин приведена не по теме, поскольку Комитет интересуется правами женщин только в связи с проблемой двойной дискриминации.  Как бы там ни было, г-н Торнберри хотел бы знать, принимаются ли меры «позитивной дискриминации», сопоставимые с мерами в интересах прав женщин, для оказания помощи и другим недопредставленным группам населения.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>В связи с визитом Специального докладчика по вопросу о религиозной нетерпимости, уполномоченного Комиссией по правам человека, он просит делегацию Аргентины дать более подробную информацию о положениях внутреннего законодательства, пресекающих подстрекательство к расовой или религиозной ненависти через средства массовой информации, в частности через Интернет.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19.</w:t>
      </w:r>
      <w:r>
        <w:rPr>
          <w:lang w:val="ru-RU"/>
        </w:rPr>
        <w:tab/>
        <w:t>Что касается экономических, социальных и культурных прав, то основная часть представленных в докладе сведений не имеет непосредственного отношения к Конвенции, за исключением информации о двуязычном обучении.  В этой связи докладчик просит аргентинскую делегацию пояснить смысл выражения «межкультурное образование» (пункт 376) и указать, имеются ли специальные школы с программой, адаптированной к нуждам представителей коренного населения, а также при необходимости – проводятся ли с соответствующими группами консультации при составлении учебных программ.  Наряду с этим он хотел бы знать, запрашивалась ли позиция коренного населения в ходе «изменения в позитивную сторону сложившихся в обществе и системе образования взглядов на коренное население», о котором идет речь в пункте 383 доклада, и предусмотрены ли в школьных программах ознакомительные курсы о коренных народах и о проявлении терпимости к различным группам населения. Ему также хотелось бы получить дополнительную информацию по вопросу об участии в культурных мероприятиях (пункты 419-421).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Касаясь осуществления статьи 6 Конвенции, докладчик хотел бы знать, существуют ли для судей курсы подготовки по нормам в области прав человека и были ли рассмотрены какие-либо дела, имеющие более непосредственное отношение к Конвенции, помимо тех дел, которые упомянуты в пункте 429 доклада.  Хотелось бы получить более подробную информацию о 48 жалобах, связанных с вопросами расы, национальности или религии (пункт 103), которые были поданы в ИНАДИ в 2002 году.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21.</w:t>
      </w:r>
      <w:r>
        <w:rPr>
          <w:lang w:val="ru-RU"/>
        </w:rPr>
        <w:tab/>
        <w:t>В отношении статьи 7 Конвенции докладчик отмечает, что было бы полезно узнать охват проекта по подготовке педагогов, описанного в докладе (пункты 435 и 436), и о прогрессе в применении закона 2002 года о начале кампании по информированию общественности о правах человека коренных народов (пункт 442).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  <w:t>Останавливаясь более подробно на положении коренных народов, г-н Торнберри хотел бы знать, был ли включен в материалы переписи 2001 года вопрос об этой категории населения , и если да, то как он был сформулирован, и состоялись ли предварительные консультации с заинтересованными лицами.  Что касается земельных прав аборигенов, то ему хотелось бы узнать, какие законодательные меры были приняты по данному вопросу, в частности могут ли коренные жители ходатайствовать о возвращении им исконных земель и запрашивается ли их мнение в случаях, когда разработка природных ресурсов на населенных ими землях влияет на их жизненный уклад, как это указано в деле, упомянутом в пункте 155.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  <w:t>Касаясь Конвенции № 169 Международной организации труда о коренных народах и народах, ведущих племенной образ жизни в независимых странах, г-н Торнберри спрашивает, был ли разработан закон об осуществлении этой конвенции или должен ли разрабатываться такой закон.   Применительно к экономическим, социальным и культурным правам он отмечает, что законопроект о подготовке программы создания базовой инфраструктуры для нужд коренных народов был вынесен на рассмотрение Сената.  Проводились ли консультации с этими общинами по данному проекту?  Что же касается понятия «коренной», то, поскольку коренные народы, по-видимому, не могут отстаивать свои права в суде без предварительного получения статуса юридического лица, он хотел бы знать, каков порядок предоставления этого статуса.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24.</w:t>
      </w:r>
      <w:r>
        <w:rPr>
          <w:lang w:val="ru-RU"/>
        </w:rPr>
        <w:tab/>
        <w:t>Наконец, отмечая, что Специальный докладчик по вопросу о религиозной нетерпимости в своем докладе (</w:t>
      </w:r>
      <w:r>
        <w:t>E</w:t>
      </w:r>
      <w:r>
        <w:rPr>
          <w:lang w:val="ru-RU"/>
        </w:rPr>
        <w:t>/</w:t>
      </w:r>
      <w:r>
        <w:t>CN</w:t>
      </w:r>
      <w:r>
        <w:rPr>
          <w:lang w:val="ru-RU"/>
        </w:rPr>
        <w:t>.4/2002/73/</w:t>
      </w:r>
      <w:r>
        <w:t>Add</w:t>
      </w:r>
      <w:r>
        <w:rPr>
          <w:lang w:val="ru-RU"/>
        </w:rPr>
        <w:t>.1, пункт 150) указал, что процесс реституции земель является непреложным условием для доступа к священным и культовым местам, то есть для законного совершения коренным населением религиозных или духовных обрядов, и что он рекомендовал учесть это обстоятельство в предварительном законопроекте о свободе религии, г-н Торнберри хотел бы, чтобы аргентинская делегация проинформировала Комитет о принятых мерах по осуществлению этой рекомендации.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  <w:t>Что касается беженцев, то, хотя Аргентина и является участницей Конвенции о статусе беженцев, она, по-видимому, не приняла соответствующего закона на эту тему.  Поэтому докладчик хотел бы знать, как определяется статус беженца и являются ли механизмы, изложенные в пунктах 191-195 доклада, эквивалентом законодательства в данной области.  Если же нет - находится ли соответствующий законопроект в стадии разработки или рассмотрения?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  <w:t>Докладчик отмечает, что в сведениях, поступивших от неправительственных организаций, сообщается, в частности, о проведении ксенофобных кампаний против мигрантов и об отсутствии программ интеграции беженцев.  Кроме того, как подчеркнул Специальный докладчик по вопросу о насилии в отношении женщин в своем докладе (</w:t>
      </w:r>
      <w:r>
        <w:t>E</w:t>
      </w:r>
      <w:r>
        <w:rPr>
          <w:lang w:val="ru-RU"/>
        </w:rPr>
        <w:t>/</w:t>
      </w:r>
      <w:r>
        <w:t>CN</w:t>
      </w:r>
      <w:r>
        <w:rPr>
          <w:lang w:val="ru-RU"/>
        </w:rPr>
        <w:t>.4/2003/75/</w:t>
      </w:r>
      <w:r>
        <w:t>Add</w:t>
      </w:r>
      <w:r>
        <w:rPr>
          <w:lang w:val="ru-RU"/>
        </w:rPr>
        <w:t>.1), женщины-мигранты, не имеющие документов, часто становятся жертвами эксплуатации в системах организованной проституции, а их статус не дает им возможности обращаться в органы правосудия.  Тем не менее, насколько понимает г-н Торнберри, эти проблемы рассматриваются в новом законе об иммиграции 2003 года, в частности в рамках положений о пресечении торговли людьми.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</w:r>
      <w:r>
        <w:rPr>
          <w:u w:val="single"/>
          <w:lang w:val="ru-RU"/>
        </w:rPr>
        <w:t>Г-н ЛИНДГРЕН АЛВИС</w:t>
      </w:r>
      <w:r>
        <w:rPr>
          <w:lang w:val="ru-RU"/>
        </w:rPr>
        <w:t xml:space="preserve"> с удовлетворением отмечает, что среди членов аргентинской делегации находится президент ИНАДИ, и высоко оценивает уровень доклада, несмотря на его чрезмерный объем.  По его мнению, делегации необходимо устно дополнить изложенные в докладе пояснения о невозможности отмены конституционного положения 1853 года об оказании содействия европейской иммиграции (пункт 123).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28.</w:t>
      </w:r>
      <w:r>
        <w:rPr>
          <w:lang w:val="ru-RU"/>
        </w:rPr>
        <w:tab/>
      </w:r>
      <w:r>
        <w:rPr>
          <w:u w:val="single"/>
          <w:lang w:val="ru-RU"/>
        </w:rPr>
        <w:t>Г-н ВАЛЕНСИЯ РОДРИГЕС</w:t>
      </w:r>
      <w:r>
        <w:rPr>
          <w:lang w:val="ru-RU"/>
        </w:rPr>
        <w:t xml:space="preserve"> говорит, что с учетом полиэтнического состава своего населения Аргентина обязана следить за уважением самобытности каждого жителя и права членов этнических меньшинств на получение двуязычного и многокультурного образования.  В этой связи он отмечает, что Конвенция имеет конституционный статус и превалирует над остальными внутренними законами.  Следовательно, на нее можно прямо ссылаться в судах.  Кроме того, расовая дискриминация наказуема в соответствии с положениями Конституции и другими закондательными положениями, однако постыдные предрассудки и виды практики все еще сохраняются (пункты 125, 296 и 319 доклада).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29.</w:t>
      </w:r>
      <w:r>
        <w:rPr>
          <w:lang w:val="ru-RU"/>
        </w:rPr>
        <w:tab/>
        <w:t xml:space="preserve">Различным органам, описанным в главе </w:t>
      </w:r>
      <w:r>
        <w:rPr>
          <w:lang w:val="en-US"/>
        </w:rPr>
        <w:t>IV</w:t>
      </w:r>
      <w:r>
        <w:rPr>
          <w:lang w:val="ru-RU"/>
        </w:rPr>
        <w:t xml:space="preserve"> рассматриваемого доклада, поручено обеспечивать применение действующих норм и международных договоров о защите прав человека – таким, как Национальный институт по вопросам борьбы с дискриминацией, ксенофобией и расизмом (ИНАДИ), Управление по правам человека Министерства юстиции, безопасности и прав человека, Управление по правам человека Министерства иностранных дел, международной торговли и культа, а также прокуратура по надзору за пенитенциарными учреждениями и парламентские комиссии.  Деятельность ИНАДИ,  которая представлена в пунктах 96 и послед. рассматриваемого доклада, охватывает, в частности, курсы по антидискриминационной подготовке для военнослужащих, сотрудников полиции и должностных лиц правоприменительных органов.  Докладчику хотелось бы знать, каких конкретных результатов удалось достичь.  Он отмечает, что ИНАДИ, в составе которого нет представителей коренного населения, получает и централизованно обрабатывает жалобы на дискриминационные проявления, тем самым выполняя функции посредника, который помогает Аргентине выполнять обязательства по статье 6 Конвенции в ожидании того, что государство-участник в ближайшем будущем сделает заявление согласно статье 14 Конвенции, как оно указало в пункте 95.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  <w:t>Важным направлением деятельности является борьба с дискриминацией в отношении мигрантов, беженцев и коренных жителей.  Г-н Валенсия Родригес  призывает вести эту борьбу с учетом положений Конвенции и хотел бы знать, каковы достигнутые результаты.  Кроме того, действия всех этих разнообразных органов или программ нужно надлежащим образом координировать во избежание дублирования и эффективно использовать людские и финансовые ресурсы, которые необходимы для их функционирования.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  <w:t>Говоря об осуществлении статьи 5 Конвенции, приходится признать, что Аргентина во все времена привлекала иммигрантов всевозможного происхождения.  Поэтому в статью 25 Конституции следовало бы внести толкование этой статьи Верховным судом, чтобы исключить всякую двусмысленность в вопросе об отношении Аргентины к иммиграции.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>Касаясь информации, изложенной в пунктах 147 и послед., г-н Валенсия Родригес рекомендует государству-участнику активизировать усилия по проведению точной переписи коренного населения.  Ему хотелось бы, чтобы Комитет получил хотя бы предварительные данные по проектам развития коренных общин.  Кроме того, он приветствует ратификацию государством-участником Конвенции № 169 МОТ о коренных народах и народах, ведущих племенной образ жизни в независимых странах.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33.</w:t>
      </w:r>
      <w:r>
        <w:rPr>
          <w:lang w:val="ru-RU"/>
        </w:rPr>
        <w:tab/>
        <w:t>Г-н Валенсия Родригес придает особую важность борьбе с эксплуатацией мигрантов посредниками и «черными дилерами», и в этой связи с удовлетворением отмечает заключение Аргентиной с соседними государствами соглашений о регулировании межгосударственных миграционных потоков в условиях соблюдения основных прав мигрантов независимо от того, имеют они разрешение на проживание или нет.  В этой связи потребуется принять меры во избежание злоупотреблений при осуществлении законов, упомянутых в пункте 177 доклада.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34.</w:t>
      </w:r>
      <w:r>
        <w:rPr>
          <w:lang w:val="ru-RU"/>
        </w:rPr>
        <w:tab/>
        <w:t xml:space="preserve">Г-н Валенсия Родригес констатирует, что в докладе нет информации о доступе представителей коренных общин к государственной службе (в Конгресс, органы исполнительной или судебной власти, вооруженные силы или полицию), и хотел бы получить сведения на этот счет. 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>
        <w:rPr>
          <w:u w:val="single"/>
          <w:lang w:val="ru-RU"/>
        </w:rPr>
        <w:t>Г-н КЬЕРУМ</w:t>
      </w:r>
      <w:r>
        <w:rPr>
          <w:lang w:val="ru-RU"/>
        </w:rPr>
        <w:t xml:space="preserve"> весьма удовлетворен принятием Национального плана борьбы с дискриминацией и спрашивает, какую роль в его осуществлении играют местные и региональные органы самоуправления.  Он приветствует вступление в силу в январе 2004 года нового закона об иммиграции, разработанного с соблюдением международных норм в области прав человека, и хотел бы знать, позволил ли этот закон сделать соответствующие процедуры более оперативными.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  <w:t>С озабоченностью отмечая, что результаты переписи, проведенной региональным представительством Управления Верховного комиссара Организации Объединенных Наций по делам беженцев среди групп беженцев в стране, противоречат официальным данным, и что из 360 беженцев, подавших в 2002 году ходатайство о предоставлении убежища, 77 добровольно отказались от ходатайства, а 174 прекратили подавать на продление свой временный вид на жительство, г-н Кьерум спрашивает, не является ли длительность процедуры предоставления убежища, составляющая в среднем шесть лет, антистимулирующим фактором для просителей убежища.  Поэтому он хотел бы знать, предусматривает ли Аргентина в ближайшем будущем принять закон о введении в действие Конвенции о статусе беженцев.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>По поводу телесериала, признанного дискриминационным для общины рома, г-н Кьерум отмечает, что ИНАДИ, которому поручено рассмотреть дело членов этой общины, потратил 10 месяцев на рассмотрение их жалобы; это свидетельствует о недостатке средств и полномочий у данного органа, что уже вызывало озабоченность Комитета в ходе рассмотрения предыдущего доклада Аргентины.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38.</w:t>
      </w:r>
      <w:r>
        <w:rPr>
          <w:lang w:val="ru-RU"/>
        </w:rPr>
        <w:tab/>
        <w:t>Далее г-н Кьерум с удовлетворением отмечает, что между военным командованием страны и Лигой борьбы против диффамации было заключено соглашение о включении в учебные программы военных училищ курса по правам человека, и хотел бы узнать, какие конкретно меры были приняты государством-участником в целях борьбы с антисемитскими и расовыми предрассудками в рядах полиции и вооруженных сил.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  <w:t xml:space="preserve">Выражая сожаление в связи с незначительным объемом информации о женщинах, принадлежащих к этническим меньшинствам, г-н Кьерум обращает внимание делегации на общую рекомендацию </w:t>
      </w:r>
      <w:r>
        <w:rPr>
          <w:rFonts w:eastAsia="MS Mincho"/>
        </w:rPr>
        <w:t>XXV</w:t>
      </w:r>
      <w:r>
        <w:rPr>
          <w:rFonts w:eastAsia="MS Mincho"/>
          <w:lang w:val="ru-RU"/>
        </w:rPr>
        <w:t xml:space="preserve"> (2000) Комитета о гендерных аспектах расовой дискриминации, в которой Комитет подчеркивает тот факт, что женщины из этих меньшинств, которые наиболее уязвимы и нередко становятся жертвами эксплуатации в коммерческих или сексуальных целях, в большинстве случаев страдают от нескольких форм дискриминации.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>
        <w:rPr>
          <w:u w:val="single"/>
          <w:lang w:val="ru-RU"/>
        </w:rPr>
        <w:t>Г-н ПИЛЛАИ</w:t>
      </w:r>
      <w:r>
        <w:rPr>
          <w:lang w:val="ru-RU"/>
        </w:rPr>
        <w:t xml:space="preserve"> отдает должное судебным органам государства-участника за вынесение решений по делам о дискриминации, упомянутых в пунктах 85 и 429 рассматриваемого доклада, и в частности решимости судей противостоять угрозам, о которых сообщила «Международная амнистия».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  <w:t>Г-н Пиллаи сожалеет о том, что государство-участник не приняло мер по улучшению положения коренных народов – которые в особенности страдают от безработицы и бедности и основные потребности которых удовлетворяются лишь частично, - к чему Комитет призвал его после рассмотрения предыдущего доклада, а также о том, что в рассматриваемом докладе эта тема обойдена молчанием.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  <w:t>Кроме того, г-н Пиллаи отмечает, что на Управление по правам человека Министерства юстиции, безопасности и прав человека и на Национальный институт по вопросам борьбы с дискриминацией, ксенофобией и расизмом (ИНАДИ) возложена одна и та же задача – принимать и обрабатывать жалобы на проявления дискриминации, ксенофобии или расизма либо на нарушения прав человека.  Он просит дополнить информацию о том, как координируется их деятельность на национальном уровне и как ИНАДИ подталкивает потерпевших к подаче жалобы.  С удовлетворением принимая к сведению, что ИНАДИ вводит учебные курсы по проблемам борьбы с дискриминацией и укрепления институциональной системы, предназначенные для руководителей НПО, студентов и лиц свободных профессий, г-н Пиллаи хотел бы знать, какова реакция данных категорий лиц на такие учебные программы.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  <w:t>Касаясь пункта 147 доклада, г-н Пиллаи хотел бы знать, какие именно «различные факторы» помешали добросовестно провести перепись коренного населения, и сожалеет о том, что через 10 лет после принятия новой Конституции, в которой признаются правосубъектность и права коренных жителей страны, столь мало удалось сделать для делимитации границ их исконных земель и предоставления им прав собственности на землю.  Более того, по полученной информации, в ходе масштабных работ по обустройству территории их иногда даже выселяли с их земель, которые незаконно отчуждались.  В этой связи г-н Пиллаи хотел бы знать, какие меры государство-участник планирует принимать для осуществления рекомендаций Специального докладчика по вопросу о религиозной нетерпимости Комиссии по правам человека, касающихся возвращения земель коренным народам для восстановления их доступа к их священным местам.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44.</w:t>
      </w:r>
      <w:r>
        <w:rPr>
          <w:lang w:val="ru-RU"/>
        </w:rPr>
        <w:tab/>
        <w:t>Наконец, г-н Пиллаи хотел бы получить от аргентинской делегации дополнительную информацию о случаях жестокости со стороны сотрудников полиции, проявлявшейся под различными предлогами по мотивам, связанным с расой, цветом кожи или этническим происхождением потерпевших, которые Комитет уже признал вызывающими озабоченность при рассмотрении предыдущего доклада Аргентины.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45.</w:t>
      </w:r>
      <w:r>
        <w:rPr>
          <w:lang w:val="ru-RU"/>
        </w:rPr>
        <w:tab/>
      </w:r>
      <w:r>
        <w:rPr>
          <w:u w:val="single"/>
          <w:lang w:val="ru-RU"/>
        </w:rPr>
        <w:t>Г-н СИСИЛИАНОС</w:t>
      </w:r>
      <w:r>
        <w:rPr>
          <w:lang w:val="ru-RU"/>
        </w:rPr>
        <w:t xml:space="preserve"> выражает удовлетворение принятием ряда мер по устранению последствий диктатуры в Аргентине и приверженностью государства-участника правам человека, которая находит свое отражение, в частности, в положениях о признании расовых или ксенофобных мотивов отягчающим обстоятельством.  Ему хотелось бы в общих чертах ознакомиться с содержанием нового закона об иммиграции, вступившего в силу в январе 2004 года, в частности с его положениями о правах нелегальных иммигрантов.  Он считает желательным, чтобы государство-участник ратифицировало Международную конвенцию о защите прав всех трудящихся-мигрантов и членов их семей, и ссылается на общую рекомендацию </w:t>
      </w:r>
      <w:r>
        <w:t>XI</w:t>
      </w:r>
      <w:r>
        <w:rPr>
          <w:lang w:val="ru-RU"/>
        </w:rPr>
        <w:t xml:space="preserve"> Комитета о негражданах (1993 года).  По его мнению, соглашение о свободном перемещении лиц между государствами-членами «Меркосур», которое должно способствовать смягчению иммиграционных формальностей для граждан сопредельных стран, не противоречит пункту 2 статьи 1 Конвенции.  Наконец, он вполне осознает факторы, изложенные в пунктах 150-157 доклада, которые затрудняют проведение общенациональной политики в нитересах коренных народов, но напоминает о том, что Аргентина является участницей Конвенции № 169 МОТ о коренных народах и народах, ведущих племенной образ жизни в независимых странах, и что в этом качестве она обязана принимать меры в защиту их интересов.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46.</w:t>
      </w:r>
      <w:r>
        <w:rPr>
          <w:lang w:val="ru-RU"/>
        </w:rPr>
        <w:tab/>
      </w:r>
      <w:r>
        <w:rPr>
          <w:u w:val="single"/>
          <w:lang w:val="ru-RU"/>
        </w:rPr>
        <w:t>Г-н БОЙД</w:t>
      </w:r>
      <w:r>
        <w:rPr>
          <w:lang w:val="ru-RU"/>
        </w:rPr>
        <w:t xml:space="preserve"> обеспокоен отсутствием информации по пункту </w:t>
      </w:r>
      <w:r>
        <w:t>b</w:t>
      </w:r>
      <w:r>
        <w:rPr>
          <w:lang w:val="ru-RU"/>
        </w:rPr>
        <w:t>) статьи 5 Конвенции, касающемуся права на безопасность личности, и сожалеет о том, что не представлено никаких сведений по утверждениям о проявлениях жестокости сотрудниками полиции, предположительно по мотивам расы, цвета кожи или этнического происхождения.  Поэтому он хотел бы знать, каковы масштабы этой проблемы, какие меры принимаются для ее решения и сколько уголовных дел было возбуждено.  Он обращает внимание на то, что в докладе подробно представлено антидискриминационное законодательство, но при этом не рассматриваются случаи проявления дискриминации в отношении коренных жителей, аргентинцев африканского происхождения и иммигрантов.  Эксперту хотелось бы, чтобы государство-участник конкретизировало пока весьма туманное положение этих групп населения и уточнило масштабы проявления дискриминации, которой они подвергаются.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47.</w:t>
      </w:r>
      <w:r>
        <w:rPr>
          <w:lang w:val="ru-RU"/>
        </w:rPr>
        <w:tab/>
      </w:r>
      <w:r>
        <w:rPr>
          <w:u w:val="single"/>
          <w:lang w:val="ru-RU"/>
        </w:rPr>
        <w:t>Г-н АВТОНОМОВ</w:t>
      </w:r>
      <w:r>
        <w:rPr>
          <w:lang w:val="ru-RU"/>
        </w:rPr>
        <w:t xml:space="preserve"> говорит, что положение женщин в Аргентине с политической точки зрения существенно улучшилось благодаря принятию закона о «женских квотах».  Отмечая в пункте 52 доклада, что в Аргентинской Республике учрежден пост прокурора по правам человека в Буэнос-Айресе, он спрашивает, были ли введены такие должности в других городах страны.  Кроме того, ему хотелось бы получить уточнения по пункту 151 доклада, поскольку представляется, что федеральное правительство испытывает трудности в обеспечении проведения в жизнь своей политики и плана действий на местном уровне.  Г-н Автономов выражает сожаление в связи с отсутствием статистики по коренным народам и отмечает, что, поскольку эти народы составляют всего лишь 1 % населения страны, проведение их переписи не должно вызывать трудности.  Он спрашивает, в какой мере коренные жители пользуются теми же политическими правами, что и остальное население, учитывая отдаленность их районов проживания.  Эксперт также хотел бы знать, сколько детей из коренных общин бросают школу и на каком этапе, и приветствует ту искренность, с которой Аргентина признает трудности распространения грамотности среди аборигенов.  В этой связи он просит дать информацию о проведении политики двуязычного школьного обучения.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48.</w:t>
      </w:r>
      <w:r>
        <w:rPr>
          <w:lang w:val="ru-RU"/>
        </w:rPr>
        <w:tab/>
      </w:r>
      <w:r>
        <w:rPr>
          <w:u w:val="single"/>
          <w:lang w:val="ru-RU"/>
        </w:rPr>
        <w:t>Г-н КАЛИ ЦАЙ</w:t>
      </w:r>
      <w:r>
        <w:rPr>
          <w:lang w:val="ru-RU"/>
        </w:rPr>
        <w:t xml:space="preserve"> выражает удовлетворение тем, что Аргентина ратифицировала Конвенцию № 169 МОТ о коренных народах и народах, ведущих племенной образ жизни, однако ему хотелось бы получить от государства-участника больше информации об этих народах.  Он излагает поступившую от НПО информацию о том, что двуязычный вспомогательный обучающий персонал из числа коренного населения подвергается дискриминации и скорее привлекается к работам по уборке школьных помещений, нежели к проведению занятий.  Он просит делегацию подтвердить эти сведения и дать уточнения по поводу актов насилия, от которых страдают коренные жители.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49.</w:t>
      </w:r>
      <w:r>
        <w:rPr>
          <w:lang w:val="ru-RU"/>
        </w:rPr>
        <w:tab/>
      </w:r>
      <w:r>
        <w:rPr>
          <w:u w:val="single"/>
          <w:lang w:val="ru-RU"/>
        </w:rPr>
        <w:t>Г-н АМИР</w:t>
      </w:r>
      <w:r>
        <w:rPr>
          <w:lang w:val="ru-RU"/>
        </w:rPr>
        <w:t xml:space="preserve"> удивлен тем, что лишь 13,7 % учащихся поступают в вузы и что только 6,3 % студентов полностью проходят университетский курс (пункт 9 доклада), учитывая утверждение государства-участника о том, что оно обеспечивает учащихся всеми необходимыми средствами для продолжения образования.  Он с большим интересом отмечает наличие таких должностей, как прокурор по надзору за пенитенциарными учреждениями и омбудсмен, а также приветствует ту искренность, с которой Аргентина признает в своем докладе, что история была особенно жестока к коренным народам.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50.</w:t>
      </w:r>
      <w:r>
        <w:rPr>
          <w:lang w:val="ru-RU"/>
        </w:rPr>
        <w:tab/>
      </w:r>
      <w:r>
        <w:rPr>
          <w:u w:val="single"/>
          <w:lang w:val="ru-RU"/>
        </w:rPr>
        <w:t>Г-н ТАН Чэньюань</w:t>
      </w:r>
      <w:r>
        <w:rPr>
          <w:lang w:val="ru-RU"/>
        </w:rPr>
        <w:t xml:space="preserve"> отмечает большую информативность рассматриваемого доклада, но сожалеет об отсутствии статистики по этническому составу населения.  Он удовлетворен тем, что в Конституции 1994 года непосредственно признаются правосубъектность коренных общин, а также право владения и коллективная собственность на земли, традиционно занимаемые этими общинами (пункт 80 доклада), но просит дать уточнения по конкретному применению этих конституционных положений.  Он отмечает (пункт 152), что центральное правительство, по-видимому, испытывает трудности в проведении своей политики на местном уровне, и хотел бы ознакомиться с точкой зрения делегации на те проблемы, которые могут возникать между федеральными и местными властями.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51.</w:t>
      </w:r>
      <w:r>
        <w:rPr>
          <w:lang w:val="ru-RU"/>
        </w:rPr>
        <w:tab/>
      </w:r>
      <w:r>
        <w:rPr>
          <w:u w:val="single"/>
          <w:lang w:val="ru-RU"/>
        </w:rPr>
        <w:t>Г-н де ГУТТ</w:t>
      </w:r>
      <w:r>
        <w:rPr>
          <w:lang w:val="ru-RU"/>
        </w:rPr>
        <w:t xml:space="preserve"> высоко оценивает ту искренность, с которой Аргентина признала, что социально-экономический кризис сильно ударил по наиболее уязвимым группам населения, в частности по коренным народам.  Он также с большим интересом принял к сведению пояснения со стороны директора ИНАДИ.  В связи со статьей 4 Конвенции он указывает, что приведенные в докладе примеры жалоб и судебных решений не имеют непосредственного отношения к расовой дискриминации.  Он удивлен тем, что в ИНАДИ не поступило еще больше жалоб, и хотел бы получить более конкретную информацию о проявлениях расовой дискриминации.  Что касается вопроса о терактах, совершенных против посольства Израиля и Израильско-аргентинской ассоциации (АМИА) в 1999 году, то он хотел бы знать, почему расследование было поручено Верховному суду государства.  По статье 5 Конвенции он отмечает, что отчуждение земель может помешать свободе религиозных верований коренных народов, поскольку они оказываются лишенными доступа к своим местам отправления культа и могилам предков.  Наряду с этим он спрашивает, какие меры принимаются для борьбы с распространением информации, разжигающей расовую ненависть, через СМИ и Интернет.  Он также просит дать дополнительные сведения о меропроятиях по разъяснению сотрудникам полиции проблем этнических групп, а также о проведениии кампании по ознакомлению общественности с правами коренных народов (пункт 442 доклада).  Наконец, он призывает Аргентину сделать заявление в соответствии со статьей 14 Конвенции и согласиться с решением государств-участников о пересмотре статьи 8 Конвенции.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52.</w:t>
      </w:r>
      <w:r>
        <w:rPr>
          <w:lang w:val="ru-RU"/>
        </w:rPr>
        <w:tab/>
      </w:r>
      <w:r>
        <w:rPr>
          <w:u w:val="single"/>
          <w:lang w:val="ru-RU"/>
        </w:rPr>
        <w:t>Г-жа ДАХ</w:t>
      </w:r>
      <w:r>
        <w:rPr>
          <w:lang w:val="ru-RU"/>
        </w:rPr>
        <w:t xml:space="preserve"> предлагает Аргентине обновить представленный Комитету базовый документ с учетом результатов переписи 2001 года и развития социально-экономического положения в стране.  Она с удовлетворением отмечает, что процент охвата девочек школьным образованием а городских районах возрос, но удивлена тем, что в 2001 году доля женщин в активном населении составляла лишь 27 %, и просит назвать тому причины.  Она хотела бы знать, какой процент территории страны составляют земли, традиционно занимаемые коренными народами, и спрашивает, проживают ли эти народы в четко делимитированных районах.  В пункте 163 доклада она отмечает начало реализации проекта по развитию общин коренных народов и спрашивает, какую долю составляет указанная сумма по сравнению с бюджетом страны и на кого конкретно ориентирован этот проект.  Наконец, ей хотелось бы знать, действуют ли по-прежнему соглашения о сотрудничестве с Перу и Боливией после высылки граждан этих стран в 1999 году.</w:t>
      </w:r>
    </w:p>
    <w:p w:rsidR="00000000" w:rsidRDefault="00000000">
      <w:pPr>
        <w:spacing w:after="240"/>
        <w:rPr>
          <w:lang w:val="ru-RU"/>
        </w:rPr>
      </w:pPr>
      <w:r>
        <w:rPr>
          <w:lang w:val="ru-RU"/>
        </w:rPr>
        <w:t>53.</w:t>
      </w:r>
      <w:r>
        <w:rPr>
          <w:lang w:val="ru-RU"/>
        </w:rPr>
        <w:tab/>
      </w:r>
      <w:r>
        <w:rPr>
          <w:u w:val="single"/>
          <w:lang w:val="ru-RU"/>
        </w:rPr>
        <w:t>Г-жа ДЖАНУАРИ-БАРДИЛЛЬ</w:t>
      </w:r>
      <w:r>
        <w:rPr>
          <w:lang w:val="ru-RU"/>
        </w:rPr>
        <w:t xml:space="preserve"> говорит, что законодательный арсенал и институциональный потенциал Аргентины свидетельствуют о реальном характере проводимой государством-участником политики борьбы против расовой дискриминации.  При этом она выражает сожаление в связи с недостатком информации о наиболее уязвимых группах, в том числе о коренных народах, которые особенно пострадали от социально-экономического кризиса, и призывает Аргентину восполнить этот пробел.  Она с удовлетворением отмечает проводимые ИНАДИ учебные мероприятия и его деятельность в интересах развития.  Непосредственно касаясь подготовки должностных лиц на местах, она хотела бы знать, проводило ли государство-участник оценку этой деятельности, и если да, то каковы ее результаты.  Было бы особенно полезно ознакомиться с мнением самих должностных лиц о пользе этих мероприятий.</w:t>
      </w:r>
    </w:p>
    <w:p w:rsidR="00000000" w:rsidRDefault="00000000">
      <w:pPr>
        <w:spacing w:after="240"/>
        <w:jc w:val="center"/>
        <w:rPr>
          <w:i/>
          <w:iCs/>
          <w:lang w:val="ru-RU"/>
        </w:rPr>
      </w:pPr>
    </w:p>
    <w:p w:rsidR="00000000" w:rsidRDefault="00000000">
      <w:pPr>
        <w:spacing w:after="240"/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Заседание закрывается в 18 час. 05 мин.</w:t>
      </w:r>
    </w:p>
    <w:p w:rsidR="00000000" w:rsidRDefault="00000000">
      <w:pPr>
        <w:spacing w:after="240"/>
        <w:jc w:val="center"/>
        <w:rPr>
          <w:lang w:val="ru-RU"/>
        </w:rPr>
      </w:pPr>
      <w:r>
        <w:rPr>
          <w:lang w:val="ru-RU"/>
        </w:rPr>
        <w:t>-----</w:t>
      </w:r>
    </w:p>
    <w:sectPr w:rsidR="00000000">
      <w:headerReference w:type="even" r:id="rId8"/>
      <w:headerReference w:type="default" r:id="rId9"/>
      <w:endnotePr>
        <w:numFmt w:val="decimal"/>
      </w:endnotePr>
      <w:pgSz w:w="11905" w:h="16837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de-CH"/>
      </w:rPr>
    </w:pPr>
    <w:r>
      <w:rPr>
        <w:lang w:val="de-CH"/>
      </w:rPr>
      <w:t>CERD/C/SR.1656</w:t>
    </w:r>
  </w:p>
  <w:p w:rsidR="00000000" w:rsidRDefault="00000000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12</w:t>
    </w:r>
    <w: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536"/>
        <w:tab w:val="clear" w:pos="9072"/>
        <w:tab w:val="left" w:pos="7080"/>
      </w:tabs>
      <w:rPr>
        <w:lang w:val="de-CH"/>
      </w:rPr>
    </w:pPr>
    <w:r>
      <w:tab/>
    </w:r>
    <w:r>
      <w:rPr>
        <w:lang w:val="de-CH"/>
      </w:rPr>
      <w:t>CERD/C/SR.1656</w:t>
    </w:r>
  </w:p>
  <w:p w:rsidR="00000000" w:rsidRDefault="00000000">
    <w:pPr>
      <w:pStyle w:val="Header"/>
      <w:tabs>
        <w:tab w:val="clear" w:pos="4536"/>
        <w:tab w:val="clear" w:pos="9072"/>
        <w:tab w:val="left" w:pos="7080"/>
      </w:tabs>
    </w:pPr>
    <w:r>
      <w:rPr>
        <w:lang w:val="de-CH"/>
      </w:rPr>
      <w:tab/>
    </w: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11</w:t>
    </w:r>
    <w:r>
      <w:fldChar w:fldCharType="end"/>
    </w:r>
  </w:p>
  <w:p w:rsidR="00000000" w:rsidRDefault="00000000">
    <w:pPr>
      <w:pStyle w:val="Header"/>
      <w:tabs>
        <w:tab w:val="clear" w:pos="4536"/>
        <w:tab w:val="clear" w:pos="9072"/>
        <w:tab w:val="left" w:pos="744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fr-FR" w:vendorID="9" w:dllVersion="512" w:checkStyle="1"/>
  <w:activeWritingStyle w:appName="MSWord" w:lang="ru-RU" w:vendorID="1" w:dllVersion="512" w:checkStyle="1"/>
  <w:attachedTemplate r:id="rId1"/>
  <w:doNotTrackMoves/>
  <w:defaultTabStop w:val="567"/>
  <w:hyphenationZone w:val="425"/>
  <w:doNotHyphenateCaps/>
  <w:evenAndOddHeaders/>
  <w:drawingGridHorizontalSpacing w:val="120"/>
  <w:drawingGridVerticalSpacing w:val="163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  <w:lang w:val="fr-FR"/>
    </w:rPr>
  </w:style>
  <w:style w:type="paragraph" w:styleId="Heading2">
    <w:name w:val="heading 2"/>
    <w:basedOn w:val="Normal"/>
    <w:next w:val="Normal"/>
    <w:qFormat/>
    <w:pPr>
      <w:keepNext/>
      <w:ind w:hanging="382"/>
      <w:outlineLvl w:val="1"/>
    </w:pPr>
    <w:rPr>
      <w:rFonts w:ascii="Times New Roman Gras" w:hAnsi="Times New Roman Gras"/>
      <w:b/>
      <w:sz w:val="32"/>
      <w:lang w:val="fr-FR"/>
    </w:rPr>
  </w:style>
  <w:style w:type="paragraph" w:styleId="Heading3">
    <w:name w:val="heading 3"/>
    <w:basedOn w:val="Normal"/>
    <w:next w:val="Normal"/>
    <w:qFormat/>
    <w:pPr>
      <w:keepNext/>
      <w:tabs>
        <w:tab w:val="left" w:pos="0"/>
      </w:tabs>
      <w:ind w:hanging="1"/>
      <w:outlineLvl w:val="2"/>
    </w:pPr>
    <w:rPr>
      <w:b/>
      <w:lang w:val="fr-FR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BodyTextIndent">
    <w:name w:val="Body Text Indent"/>
    <w:basedOn w:val="Normal"/>
    <w:semiHidden/>
    <w:pPr>
      <w:spacing w:line="720" w:lineRule="auto"/>
      <w:ind w:firstLine="720"/>
    </w:pPr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1</TotalTime>
  <Pages>1</Pages>
  <Words>5078</Words>
  <Characters>28946</Characters>
  <Application>Microsoft Office Word</Application>
  <DocSecurity>4</DocSecurity>
  <Lines>241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CERD/C/SR.1656</vt:lpstr>
    </vt:vector>
  </TitlesOfParts>
  <Manager>jn</Manager>
  <Company>ONU</Company>
  <LinksUpToDate>false</LinksUpToDate>
  <CharactersWithSpaces>35547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CERD/C/SR.1656</dc:title>
  <dc:subject>04-43236 final</dc:subject>
  <dc:creator>MICHEL Brigitte</dc:creator>
  <cp:keywords/>
  <cp:lastModifiedBy>csd</cp:lastModifiedBy>
  <cp:revision>2</cp:revision>
  <cp:lastPrinted>2008-10-16T08:03:00Z</cp:lastPrinted>
  <dcterms:created xsi:type="dcterms:W3CDTF">2008-10-20T14:44:00Z</dcterms:created>
  <dcterms:modified xsi:type="dcterms:W3CDTF">2008-10-20T14:44:00Z</dcterms:modified>
</cp:coreProperties>
</file>