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>Комитет по ликвидации дискриминации</w:t>
      </w:r>
      <w:r>
        <w:br/>
        <w:t>в отношении женщин</w:t>
      </w:r>
    </w:p>
    <w:p w:rsidR="00000000" w:rsidRDefault="00000000">
      <w:pPr>
        <w:pStyle w:val="H23"/>
      </w:pPr>
      <w:r>
        <w:t>Внеочередная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581-м заседании,</w:t>
      </w:r>
    </w:p>
    <w:p w:rsidR="00000000" w:rsidRDefault="00000000">
      <w:r>
        <w:t>состоявшемся в Центральных учреждениях, Нью-Йорк, в среду, 14 августа 2002 года, в 15 ч. 00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</w:t>
      </w:r>
      <w:r>
        <w:t>:</w:t>
      </w:r>
      <w:r>
        <w:tab/>
        <w:t>г</w:t>
      </w:r>
      <w:r>
        <w:noBreakHyphen/>
        <w:t>жа Абака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  <w:jc w:val="left"/>
      </w:pPr>
      <w:r>
        <w:t>Рассмотрение докладов, представленных государствами-участниками по статье 18 Конвенции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suppressAutoHyphens/>
        <w:jc w:val="left"/>
      </w:pPr>
      <w:r>
        <w:tab/>
      </w:r>
      <w:r>
        <w:rPr>
          <w:i/>
        </w:rPr>
        <w:t>Четвертый и пятый периодические доклады Йемена</w:t>
      </w:r>
      <w:r>
        <w:t xml:space="preserve">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открывается в 15 ч. 10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>Рассмотрение докладов, представленных государствами-участниками по статье 18 Конвенции</w:t>
      </w:r>
      <w:r>
        <w:rPr>
          <w:b w:val="0"/>
        </w:rPr>
        <w:t xml:space="preserve"> (</w:t>
      </w:r>
      <w:r>
        <w:rPr>
          <w:b w:val="0"/>
          <w:i/>
        </w:rPr>
        <w:t>продолжение</w:t>
      </w:r>
      <w:r>
        <w:rPr>
          <w:b w:val="0"/>
        </w:rPr>
        <w:t>) (CEDAW/C/YEM/4 и 5; CEDAW/PSWG/2002/EXC/CRP.1/Add.11; CEDAW/PSWG/2002/EXC/CRP.2/Add.2)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ab/>
      </w:r>
      <w:r>
        <w:tab/>
        <w:t xml:space="preserve">Четвертый и пятый периодические доклады Йемена </w:t>
      </w:r>
      <w:r>
        <w:rPr>
          <w:i w:val="0"/>
        </w:rPr>
        <w:t>(</w:t>
      </w:r>
      <w:r>
        <w:t>продолжение</w:t>
      </w:r>
      <w:r>
        <w:rPr>
          <w:i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  <w:t>По приглашению Председателя г</w:t>
      </w:r>
      <w:r>
        <w:noBreakHyphen/>
        <w:t>жа Каид (Йемен) занимает место за столом Комитета.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Статьи 15–16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>жа Кваку</w:t>
      </w:r>
      <w:r>
        <w:t>, отмечая, что йеменский закон о личном статусе предусматривает браки девушек в возрасте 15 лет, просит делегацию разъяснить п</w:t>
      </w:r>
      <w:r>
        <w:t>о</w:t>
      </w:r>
      <w:r>
        <w:t>ложение о том, что брачный контракт не может быть заключен в отношении несовершеннолетнего лица за исключением тех случаев, когда это об</w:t>
      </w:r>
      <w:r>
        <w:t>у</w:t>
      </w:r>
      <w:r>
        <w:t>словлено «совершенно очевидными интересами» (CEDAW/C/YEM/4, пункт 205). Поскольку, согласно тому же закону, муж не может ввести невесту в дом, если она «по своему развитию не в состоянии и не готова вступить в половые отношения», она интер</w:t>
      </w:r>
      <w:r>
        <w:t>е</w:t>
      </w:r>
      <w:r>
        <w:t>суется тем, кто определяет, готова ли девушка, и проводится ли какой-либо медицинский осмотр. Делегация должна представить статистические данные о процентной доле девушек, которые вых</w:t>
      </w:r>
      <w:r>
        <w:t>о</w:t>
      </w:r>
      <w:r>
        <w:t>дят замуж в возрасте 15 лет или ранее, а также по</w:t>
      </w:r>
      <w:r>
        <w:t>д</w:t>
      </w:r>
      <w:r>
        <w:t>робные сведения о каких-либо мерах наказания в отношении родителей. Ей следует также охаракт</w:t>
      </w:r>
      <w:r>
        <w:t>е</w:t>
      </w:r>
      <w:r>
        <w:t>ризовать распространенность в Йемене везикал</w:t>
      </w:r>
      <w:r>
        <w:t>ь</w:t>
      </w:r>
      <w:r>
        <w:t>но-вагинальных свищей с учетом большого числа ра</w:t>
      </w:r>
      <w:r>
        <w:t>н</w:t>
      </w:r>
      <w:r>
        <w:t>них браков. Делегации надлежит также охарактер</w:t>
      </w:r>
      <w:r>
        <w:t>и</w:t>
      </w:r>
      <w:r>
        <w:t>зовать какие-либо программы, преследующие цель обеспечить, чтобы молодые женщины имели во</w:t>
      </w:r>
      <w:r>
        <w:t>з</w:t>
      </w:r>
      <w:r>
        <w:t>можность продолжать свое образование после вст</w:t>
      </w:r>
      <w:r>
        <w:t>у</w:t>
      </w:r>
      <w:r>
        <w:t>пления в брак и рожд</w:t>
      </w:r>
      <w:r>
        <w:t>е</w:t>
      </w:r>
      <w:r>
        <w:t>ния детей.</w:t>
      </w:r>
    </w:p>
    <w:p w:rsidR="00000000" w:rsidRDefault="00000000">
      <w:pPr>
        <w:pStyle w:val="DualTxt"/>
      </w:pPr>
      <w:r>
        <w:t>3.</w:t>
      </w:r>
      <w:r>
        <w:tab/>
        <w:t>Правительству следует серьезно пересмотреть свое решение о невнесении поправок в правовую норму, которая дает мужу полный контроль над ж</w:t>
      </w:r>
      <w:r>
        <w:t>е</w:t>
      </w:r>
      <w:r>
        <w:t>ной. Патриархальные общества нередко используют религию для увековечения дискриминационной практики, которая, в сущности, имеет культурные истоки.</w:t>
      </w:r>
    </w:p>
    <w:p w:rsidR="00000000" w:rsidRDefault="00000000">
      <w:pPr>
        <w:pStyle w:val="DualTxt"/>
      </w:pPr>
      <w:r>
        <w:t>4.</w:t>
      </w:r>
      <w:r>
        <w:tab/>
      </w:r>
      <w:r>
        <w:rPr>
          <w:b/>
        </w:rPr>
        <w:t>Г</w:t>
      </w:r>
      <w:r>
        <w:rPr>
          <w:b/>
        </w:rPr>
        <w:noBreakHyphen/>
        <w:t>жа Ливингстоун Радай</w:t>
      </w:r>
      <w:r>
        <w:t xml:space="preserve"> приветствует жел</w:t>
      </w:r>
      <w:r>
        <w:t>а</w:t>
      </w:r>
      <w:r>
        <w:t>ние правительства повысить уровень грамотности среди женщин и активизировать участие женщин в жизни общества, но ставит под вопрос возможность достижения этих целей. Она понимает, что сущес</w:t>
      </w:r>
      <w:r>
        <w:t>т</w:t>
      </w:r>
      <w:r>
        <w:t>вует растущий разрыв в уровне грамотности между девочками и мальчиками — в настоящее время н</w:t>
      </w:r>
      <w:r>
        <w:t>е</w:t>
      </w:r>
      <w:r>
        <w:t>грамотными являются 76 процентов женщин и 33 процента мужчин по сравнению с 56 процентами девочек и 18 процентами мальчиков. В этой связи с учетом важного значения инициатив в области и</w:t>
      </w:r>
      <w:r>
        <w:t>с</w:t>
      </w:r>
      <w:r>
        <w:t>следований по женской проблематике для правовых реформ вызывает обеспокоенность произведенное в 1999 году во исполнение судебного постановления закрытие Центра эмпирических исследований и женской проблематики.</w:t>
      </w:r>
    </w:p>
    <w:p w:rsidR="00000000" w:rsidRDefault="00000000">
      <w:pPr>
        <w:pStyle w:val="DualTxt"/>
      </w:pPr>
      <w:r>
        <w:t>5.</w:t>
      </w:r>
      <w:r>
        <w:tab/>
        <w:t>Если женщины и девочки подвергаются угн</w:t>
      </w:r>
      <w:r>
        <w:t>е</w:t>
      </w:r>
      <w:r>
        <w:t>тению в рамках семьи, они не смогут реализовать свой потенциал в плане образования и на рабочем месте. Существует прямая взаимосвязь между ра</w:t>
      </w:r>
      <w:r>
        <w:t>н</w:t>
      </w:r>
      <w:r>
        <w:t>ним браком, требованием о послушании мужу, мн</w:t>
      </w:r>
      <w:r>
        <w:t>о</w:t>
      </w:r>
      <w:r>
        <w:t>гоженством, чрезвычайно высокой рождаемостью и нищетой.</w:t>
      </w:r>
    </w:p>
    <w:p w:rsidR="00000000" w:rsidRDefault="00000000">
      <w:pPr>
        <w:pStyle w:val="DualTxt"/>
      </w:pPr>
      <w:r>
        <w:t>6.</w:t>
      </w:r>
      <w:r>
        <w:tab/>
        <w:t>Положение о том, что согласие девственницы состоит «в ее молчании», не только отражает пр</w:t>
      </w:r>
      <w:r>
        <w:t>о</w:t>
      </w:r>
      <w:r>
        <w:t>блематичное начало супружеского союза; оно п</w:t>
      </w:r>
      <w:r>
        <w:t>о</w:t>
      </w:r>
      <w:r>
        <w:t>зволяет также семьям оказывать на девушек давл</w:t>
      </w:r>
      <w:r>
        <w:t>е</w:t>
      </w:r>
      <w:r>
        <w:t>ние, заставляя их вступать в брак. Хотя делегация утверждала, что проблемы изнасилования в Йемене не существует, в мае 2000 года в «Йемен обсервер», по всей видимости, сообщалось о том, что мужчину приговорили к 20 годам тюремного заключения за неоднократное изнасилование своей дочери, а д</w:t>
      </w:r>
      <w:r>
        <w:t>е</w:t>
      </w:r>
      <w:r>
        <w:t>вушку приговорили к пяти годам. Оратор не пон</w:t>
      </w:r>
      <w:r>
        <w:t>и</w:t>
      </w:r>
      <w:r>
        <w:t>мает, какое преступление могла совершить постр</w:t>
      </w:r>
      <w:r>
        <w:t>а</w:t>
      </w:r>
      <w:r>
        <w:t>давшая.</w:t>
      </w:r>
    </w:p>
    <w:p w:rsidR="00000000" w:rsidRDefault="00000000">
      <w:pPr>
        <w:pStyle w:val="DualTxt"/>
      </w:pPr>
      <w:r>
        <w:t>7.</w:t>
      </w:r>
      <w:r>
        <w:tab/>
        <w:t>То обстоятельство, что женщины не имеют права на равную долю семейной собственности или на получение средств к существованию по истеч</w:t>
      </w:r>
      <w:r>
        <w:t>е</w:t>
      </w:r>
      <w:r>
        <w:t>нии «периода ожидания», лишь способствует фем</w:t>
      </w:r>
      <w:r>
        <w:t>и</w:t>
      </w:r>
      <w:r>
        <w:t>низации нищеты. Многоженство также ведет к эк</w:t>
      </w:r>
      <w:r>
        <w:t>о</w:t>
      </w:r>
      <w:r>
        <w:t>номическим проблемам, ибо большое число детей зависит только от одного добытчика.</w:t>
      </w:r>
    </w:p>
    <w:p w:rsidR="00000000" w:rsidRDefault="00000000">
      <w:pPr>
        <w:pStyle w:val="DualTxt"/>
      </w:pPr>
      <w:r>
        <w:t>8.</w:t>
      </w:r>
      <w:r>
        <w:tab/>
        <w:t>Поскольку ранний возраст выхода на пенсию, вероятно, лишь способствует нищете среде пож</w:t>
      </w:r>
      <w:r>
        <w:t>и</w:t>
      </w:r>
      <w:r>
        <w:t>лых женщин, она спрашивает, рассматривало ли правительство возможность предписания о том, чтобы 55-летний возраст был факультативным ср</w:t>
      </w:r>
      <w:r>
        <w:t>о</w:t>
      </w:r>
      <w:r>
        <w:t>ком выхода на пенсию. Женщинам, которые в этом нуждаются, должно быть позволено продолжать р</w:t>
      </w:r>
      <w:r>
        <w:t>а</w:t>
      </w:r>
      <w:r>
        <w:t>боту, чт</w:t>
      </w:r>
      <w:r>
        <w:t>о</w:t>
      </w:r>
      <w:r>
        <w:t>бы обеспечивать себя и свои семьи.</w:t>
      </w:r>
    </w:p>
    <w:p w:rsidR="00000000" w:rsidRDefault="00000000">
      <w:pPr>
        <w:pStyle w:val="DualTxt"/>
      </w:pPr>
      <w:r>
        <w:t>9.</w:t>
      </w:r>
      <w:r>
        <w:tab/>
      </w:r>
      <w:r>
        <w:rPr>
          <w:b/>
        </w:rPr>
        <w:t>Г</w:t>
      </w:r>
      <w:r>
        <w:rPr>
          <w:b/>
        </w:rPr>
        <w:noBreakHyphen/>
        <w:t>жа Гунесекере</w:t>
      </w:r>
      <w:r>
        <w:t xml:space="preserve"> говорит, что высокая степень распространенности детского труда вкупе с выс</w:t>
      </w:r>
      <w:r>
        <w:t>о</w:t>
      </w:r>
      <w:r>
        <w:t>кой рождаемостью и низким уровнем грамотности характеризуют многие развивающиеся страны. Дискриминацию в отношении женщин следует ра</w:t>
      </w:r>
      <w:r>
        <w:t>с</w:t>
      </w:r>
      <w:r>
        <w:t>сматривать прежде всего как вопрос развития; странам, которые не решат эту проблему в срочном порядке, не приходится ожидать достижения усто</w:t>
      </w:r>
      <w:r>
        <w:t>й</w:t>
      </w:r>
      <w:r>
        <w:t>чивого роста. Именно в этом контексте Комитет в</w:t>
      </w:r>
      <w:r>
        <w:t>ы</w:t>
      </w:r>
      <w:r>
        <w:t>сказывал свою обеспокоенность. Наилучшие виды практики свидетельствуют о том, что если девочки посещают школу, то они не будут подвергаться эк</w:t>
      </w:r>
      <w:r>
        <w:t>с</w:t>
      </w:r>
      <w:r>
        <w:t>плуатации на рабочем месте; став взрослыми, они будут активными партнерами в экономическом ра</w:t>
      </w:r>
      <w:r>
        <w:t>з</w:t>
      </w:r>
      <w:r>
        <w:t>витии.</w:t>
      </w:r>
    </w:p>
    <w:p w:rsidR="00000000" w:rsidRDefault="00000000">
      <w:pPr>
        <w:pStyle w:val="DualTxt"/>
      </w:pPr>
      <w:r>
        <w:t>10.</w:t>
      </w:r>
      <w:r>
        <w:tab/>
        <w:t>Она настоятельно призывает правительство пересмотреть возраст вступления в брак в неотло</w:t>
      </w:r>
      <w:r>
        <w:t>ж</w:t>
      </w:r>
      <w:r>
        <w:t>ном порядке. Пятнадцатилетний мальчик не дост</w:t>
      </w:r>
      <w:r>
        <w:t>и</w:t>
      </w:r>
      <w:r>
        <w:t>гает достаточной зрелости, чтобы предоставлять ему договорную способность, будь то в брачном или экономическом конте</w:t>
      </w:r>
      <w:r>
        <w:t>к</w:t>
      </w:r>
      <w:r>
        <w:t>сте.</w:t>
      </w:r>
    </w:p>
    <w:p w:rsidR="00000000" w:rsidRDefault="00000000">
      <w:pPr>
        <w:pStyle w:val="DualTxt"/>
      </w:pPr>
      <w:r>
        <w:t>11.</w:t>
      </w:r>
      <w:r>
        <w:tab/>
        <w:t>В отличие от многих правовых систем на их раннем этапе исламское право давно признало, что женщина должна иметь возможность развода на о</w:t>
      </w:r>
      <w:r>
        <w:t>с</w:t>
      </w:r>
      <w:r>
        <w:t>новании проявления жестокости. Действительно, существует целый ряд позитивных религиозных и других традиций, которые могли бы быть использ</w:t>
      </w:r>
      <w:r>
        <w:t>о</w:t>
      </w:r>
      <w:r>
        <w:t>ваны для начала реформы Уголовного кодекса, З</w:t>
      </w:r>
      <w:r>
        <w:t>а</w:t>
      </w:r>
      <w:r>
        <w:t>кона о гр</w:t>
      </w:r>
      <w:r>
        <w:t>а</w:t>
      </w:r>
      <w:r>
        <w:t>жданстве и т.д.</w:t>
      </w:r>
    </w:p>
    <w:p w:rsidR="00000000" w:rsidRDefault="00000000">
      <w:pPr>
        <w:pStyle w:val="DualTxt"/>
      </w:pPr>
      <w:r>
        <w:t>12.</w:t>
      </w:r>
      <w:r>
        <w:tab/>
      </w:r>
      <w:r>
        <w:rPr>
          <w:b/>
        </w:rPr>
        <w:t>Г</w:t>
      </w:r>
      <w:r>
        <w:rPr>
          <w:b/>
        </w:rPr>
        <w:noBreakHyphen/>
        <w:t>жа Корти</w:t>
      </w:r>
      <w:r>
        <w:t xml:space="preserve"> приветствует особое внимание, уделяемое пожилым лицам, отмечая их особую уя</w:t>
      </w:r>
      <w:r>
        <w:t>з</w:t>
      </w:r>
      <w:r>
        <w:t>вимость в плане нищеты. Согласно докладу, около 300 пожилых людей в Санае, Таизе, Ходейде и Ад</w:t>
      </w:r>
      <w:r>
        <w:t>е</w:t>
      </w:r>
      <w:r>
        <w:t>не получают специальную помощь, в том числе в жилищном и продовольственном плане. Она инт</w:t>
      </w:r>
      <w:r>
        <w:t>е</w:t>
      </w:r>
      <w:r>
        <w:t>ресуется тем, как выбираются получатели помощи.</w:t>
      </w:r>
    </w:p>
    <w:p w:rsidR="00000000" w:rsidRDefault="00000000">
      <w:pPr>
        <w:pStyle w:val="DualTxt"/>
      </w:pPr>
      <w:r>
        <w:t>13.</w:t>
      </w:r>
      <w:r>
        <w:tab/>
        <w:t>Затронув различные нерешенные вопросы, она говорит, что проблему высокой рождаемости н</w:t>
      </w:r>
      <w:r>
        <w:t>е</w:t>
      </w:r>
      <w:r>
        <w:t>возможно решить без национальной политики в о</w:t>
      </w:r>
      <w:r>
        <w:t>б</w:t>
      </w:r>
      <w:r>
        <w:t>ласти планирования семьи. Насколько она поним</w:t>
      </w:r>
      <w:r>
        <w:t>а</w:t>
      </w:r>
      <w:r>
        <w:t>ет, к женщинам не может быть применена смертная казнь во время беременности и в течение некотор</w:t>
      </w:r>
      <w:r>
        <w:t>о</w:t>
      </w:r>
      <w:r>
        <w:t>го периода времени после родов. В этой связи дел</w:t>
      </w:r>
      <w:r>
        <w:t>е</w:t>
      </w:r>
      <w:r>
        <w:t>гации надлежит прояснить, действует ли по-прежнему в Йемене смертная казнь. Она интерес</w:t>
      </w:r>
      <w:r>
        <w:t>у</w:t>
      </w:r>
      <w:r>
        <w:t>ется также, какие положения были включены в п</w:t>
      </w:r>
      <w:r>
        <w:t>я</w:t>
      </w:r>
      <w:r>
        <w:t>тилетний план в области здравоохранения в целях борьбы с раком среди женщин.</w:t>
      </w:r>
    </w:p>
    <w:p w:rsidR="00000000" w:rsidRDefault="00000000">
      <w:pPr>
        <w:pStyle w:val="DualTxt"/>
      </w:pPr>
      <w:r>
        <w:t>14.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Каид </w:t>
      </w:r>
      <w:r>
        <w:t>(Йемен) говорит, что Закон о ли</w:t>
      </w:r>
      <w:r>
        <w:t>ч</w:t>
      </w:r>
      <w:r>
        <w:t>ном статусе предусматривает, что девушка может вступить в брак, если она к этому готова, но не р</w:t>
      </w:r>
      <w:r>
        <w:t>а</w:t>
      </w:r>
      <w:r>
        <w:t>нее достижения возраста 15 лет. Прилагаются ус</w:t>
      </w:r>
      <w:r>
        <w:t>и</w:t>
      </w:r>
      <w:r>
        <w:t>лия по увеличению возраста вступления в брак до 18 лет, хотя в парламенте отмечается решительное противостояние этой инициативе. Более подробных статистических данных о возрасте вступления в брак пока нет. Следует надеяться, что средний во</w:t>
      </w:r>
      <w:r>
        <w:t>з</w:t>
      </w:r>
      <w:r>
        <w:t>раст вступления в брак (20 лет для женщин и 22 — для мужчин) возрастет вследствие повышения п</w:t>
      </w:r>
      <w:r>
        <w:t>о</w:t>
      </w:r>
      <w:r>
        <w:t>казателя посещаем</w:t>
      </w:r>
      <w:r>
        <w:t>о</w:t>
      </w:r>
      <w:r>
        <w:t>сти школ.</w:t>
      </w:r>
    </w:p>
    <w:p w:rsidR="00000000" w:rsidRDefault="00000000">
      <w:pPr>
        <w:pStyle w:val="DualTxt"/>
      </w:pPr>
      <w:r>
        <w:t>15.</w:t>
      </w:r>
      <w:r>
        <w:tab/>
        <w:t>В настоящее время зарегистрировано 800 случаев ВИЧ/СПИДа среди иностранных гра</w:t>
      </w:r>
      <w:r>
        <w:t>ж</w:t>
      </w:r>
      <w:r>
        <w:t>дан в Йемене. В этой связи были налажены пр</w:t>
      </w:r>
      <w:r>
        <w:t>о</w:t>
      </w:r>
      <w:r>
        <w:t>граммы повышения осведомленности женщин. Осуществляются также профилактические меры в контексте проблемы половых отношений вне брака. Лицам, страдающим от ВИЧ/СПИДа, оказывается медицинская помощь и психологическая поддер</w:t>
      </w:r>
      <w:r>
        <w:t>ж</w:t>
      </w:r>
      <w:r>
        <w:t>ка.</w:t>
      </w:r>
    </w:p>
    <w:p w:rsidR="00000000" w:rsidRDefault="00000000">
      <w:pPr>
        <w:pStyle w:val="DualTxt"/>
      </w:pPr>
      <w:r>
        <w:t>16.</w:t>
      </w:r>
      <w:r>
        <w:tab/>
        <w:t>Существуют стимулы для того, чтобы деву</w:t>
      </w:r>
      <w:r>
        <w:t>ш</w:t>
      </w:r>
      <w:r>
        <w:t>ки, вышедшие замуж и забеременевшие в раннем возрасте, продолжали свою учебу и участвовали в программах повышения грамо</w:t>
      </w:r>
      <w:r>
        <w:t>т</w:t>
      </w:r>
      <w:r>
        <w:t>ности.</w:t>
      </w:r>
    </w:p>
    <w:p w:rsidR="00000000" w:rsidRDefault="00000000">
      <w:pPr>
        <w:pStyle w:val="DualTxt"/>
      </w:pPr>
      <w:r>
        <w:t>17.</w:t>
      </w:r>
      <w:r>
        <w:tab/>
        <w:t>Ее страна прилагает все усилия к поощрению образования среди женщин, считая, что образов</w:t>
      </w:r>
      <w:r>
        <w:t>а</w:t>
      </w:r>
      <w:r>
        <w:t>ние лежит в основе расширения возможностей женщин. Что касается статьи 40 закона о личном статусе, то обязательность получения женой согл</w:t>
      </w:r>
      <w:r>
        <w:t>а</w:t>
      </w:r>
      <w:r>
        <w:t>сия мужа на отлучение из дома основывается на культурной практике. Брак базируется на взаимном уважении; женщины отвечают перед мужьями и должны их уважать. Женщины, действительно, п</w:t>
      </w:r>
      <w:r>
        <w:t>о</w:t>
      </w:r>
      <w:r>
        <w:t>сещают университеты и ходят в гости к родстве</w:t>
      </w:r>
      <w:r>
        <w:t>н</w:t>
      </w:r>
      <w:r>
        <w:t>никам и друзьям, однако считается моральным, чтобы они постоянно информировали своих мужей о своем местонахождении. Вместе с тем она согла</w:t>
      </w:r>
      <w:r>
        <w:t>с</w:t>
      </w:r>
      <w:r>
        <w:t>на с наличием несоответствия между обычаями и принципами шариата. Шариат предоставляет же</w:t>
      </w:r>
      <w:r>
        <w:t>н</w:t>
      </w:r>
      <w:r>
        <w:t>щинам мн</w:t>
      </w:r>
      <w:r>
        <w:t>о</w:t>
      </w:r>
      <w:r>
        <w:t>гочисленные права.</w:t>
      </w:r>
    </w:p>
    <w:p w:rsidR="00000000" w:rsidRDefault="00000000">
      <w:pPr>
        <w:pStyle w:val="DualTxt"/>
      </w:pPr>
      <w:r>
        <w:t>18.</w:t>
      </w:r>
      <w:r>
        <w:tab/>
        <w:t>Что касается наследования, то обязательство тратить деньги на поддержание домашнего хозяйс</w:t>
      </w:r>
      <w:r>
        <w:t>т</w:t>
      </w:r>
      <w:r>
        <w:t>ва является исключительной прерогативой мужа. Йемен является одним из многих мусульманских обществ, в которых многие женщины занимают в</w:t>
      </w:r>
      <w:r>
        <w:t>ы</w:t>
      </w:r>
      <w:r>
        <w:t>сокие позиции за пределами семейного очага и з</w:t>
      </w:r>
      <w:r>
        <w:t>а</w:t>
      </w:r>
      <w:r>
        <w:t>рабатывают большие деньги. Однако для этого женщины нуждаются в образовании, даже если это означает поездки за рубеж. Страна осуществляет программы в сотрудничестве с Организацией Объ</w:t>
      </w:r>
      <w:r>
        <w:t>е</w:t>
      </w:r>
      <w:r>
        <w:t>диненных Наций по вопросам образования, науки и культуры (ЮНЕСКО) и другими международными учреждениями и поддерживает продуктивные пар</w:t>
      </w:r>
      <w:r>
        <w:t>т</w:t>
      </w:r>
      <w:r>
        <w:t>нерские связи в целях сокращения неграмотности с Исламской организацией по вопросам образования, науки и культуры (ИСЕСКО).</w:t>
      </w:r>
    </w:p>
    <w:p w:rsidR="00000000" w:rsidRDefault="00000000">
      <w:pPr>
        <w:pStyle w:val="DualTxt"/>
      </w:pPr>
      <w:r>
        <w:t>19.</w:t>
      </w:r>
      <w:r>
        <w:tab/>
        <w:t>Хотя высшее образование для женщин являе</w:t>
      </w:r>
      <w:r>
        <w:t>т</w:t>
      </w:r>
      <w:r>
        <w:t>ся вопросом выбора, она признает, что брак огран</w:t>
      </w:r>
      <w:r>
        <w:t>и</w:t>
      </w:r>
      <w:r>
        <w:t>чивает возможности жен в плане образования, ос</w:t>
      </w:r>
      <w:r>
        <w:t>о</w:t>
      </w:r>
      <w:r>
        <w:t>бенно вследствие беременности. Кроме того, ра</w:t>
      </w:r>
      <w:r>
        <w:t>н</w:t>
      </w:r>
      <w:r>
        <w:t>ний возраст вступления в брак ведет к повышению рождаемости. Она осознает, что в стране распр</w:t>
      </w:r>
      <w:r>
        <w:t>о</w:t>
      </w:r>
      <w:r>
        <w:t>странена супружеская измена, однако, несмотря на весьма тщательные исследования, не смогла найти упоминаний о случае кровосмешения, указанном г</w:t>
      </w:r>
      <w:r>
        <w:noBreakHyphen/>
        <w:t>жой Ливингстон Радай. Женщина имеет право на развод с мужчиной, который ее обижает или кот</w:t>
      </w:r>
      <w:r>
        <w:t>о</w:t>
      </w:r>
      <w:r>
        <w:t>рого она ненавидит. Религиозный принцип трехм</w:t>
      </w:r>
      <w:r>
        <w:t>е</w:t>
      </w:r>
      <w:r>
        <w:t>сячного периода ожидания, в течение которого она не имеет права выходить замуж, преследует цель убедиться в том, что она не ждет ребенка от бывш</w:t>
      </w:r>
      <w:r>
        <w:t>е</w:t>
      </w:r>
      <w:r>
        <w:t>го мужа. Исламское право разрешает также мужч</w:t>
      </w:r>
      <w:r>
        <w:t>и</w:t>
      </w:r>
      <w:r>
        <w:t>не, жена которого бесплодна или серьезна больна, взять вторую жену.</w:t>
      </w:r>
    </w:p>
    <w:p w:rsidR="00000000" w:rsidRDefault="00000000">
      <w:pPr>
        <w:pStyle w:val="DualTxt"/>
      </w:pPr>
      <w:r>
        <w:t>20.</w:t>
      </w:r>
      <w:r>
        <w:tab/>
        <w:t>Что касается гражданства, то власти должным образом ответили на обеспокоенность Комитета. В йеменском законодательстве есть положение о двойном гражданстве, и она надеется, что будет достигнут прогресс в вопросе об отказе в йеме</w:t>
      </w:r>
      <w:r>
        <w:t>н</w:t>
      </w:r>
      <w:r>
        <w:t>ском гражданстве детям йеменских гражданок, в</w:t>
      </w:r>
      <w:r>
        <w:t>ы</w:t>
      </w:r>
      <w:r>
        <w:t>ходящих замуж за иностранцев — ситуации, кот</w:t>
      </w:r>
      <w:r>
        <w:t>о</w:t>
      </w:r>
      <w:r>
        <w:t>рая господствует и в соседних странах с аналоги</w:t>
      </w:r>
      <w:r>
        <w:t>ч</w:t>
      </w:r>
      <w:r>
        <w:t>ными законами.</w:t>
      </w:r>
    </w:p>
    <w:p w:rsidR="00000000" w:rsidRDefault="00000000">
      <w:pPr>
        <w:pStyle w:val="DualTxt"/>
      </w:pPr>
      <w:r>
        <w:t>21.</w:t>
      </w:r>
      <w:r>
        <w:tab/>
        <w:t>Отвечая на вопросы, касающиеся пожилых лиц, она разъясняет, что ислам считает постыдным, чтобы семья забывала о своих пожилых членах. Престарелые лица имеют право жить в отдельных домах, однако семьи считают обязательным заб</w:t>
      </w:r>
      <w:r>
        <w:t>о</w:t>
      </w:r>
      <w:r>
        <w:t>титься о них. Власти, действительно, предоставл</w:t>
      </w:r>
      <w:r>
        <w:t>я</w:t>
      </w:r>
      <w:r>
        <w:t>ют дома и убежища пожилым лицам, о которых н</w:t>
      </w:r>
      <w:r>
        <w:t>е</w:t>
      </w:r>
      <w:r>
        <w:t>кому заботиться, однако это происходит в крупных городах, ибо помещение престарелого лица в к</w:t>
      </w:r>
      <w:r>
        <w:t>а</w:t>
      </w:r>
      <w:r>
        <w:t>кое-либо учреждение в гораздо большей степени счит</w:t>
      </w:r>
      <w:r>
        <w:t>а</w:t>
      </w:r>
      <w:r>
        <w:t>ется постыдным в деревнях, где вследствие более тесной семейной солидарности такая потребность возникает редко, хотя эти услуги имеются. Фонд социального развития и многочисленные благотв</w:t>
      </w:r>
      <w:r>
        <w:t>о</w:t>
      </w:r>
      <w:r>
        <w:t>рительные организации оказывают пожилым лицам содействие в получении жилья и продовольствия, однако число таких лиц небольшое.</w:t>
      </w:r>
    </w:p>
    <w:p w:rsidR="00000000" w:rsidRDefault="00000000">
      <w:pPr>
        <w:pStyle w:val="DualTxt"/>
      </w:pPr>
      <w:r>
        <w:t>22.</w:t>
      </w:r>
      <w:r>
        <w:tab/>
        <w:t>По религиозным причинам смертная казнь в Йемене по</w:t>
      </w:r>
      <w:r>
        <w:noBreakHyphen/>
        <w:t>прежнему существует. В отношении в</w:t>
      </w:r>
      <w:r>
        <w:t>о</w:t>
      </w:r>
      <w:r>
        <w:t>проса о женщинах, страдающих от рака груди или матки, она отсылает членов Комитета к пятому п</w:t>
      </w:r>
      <w:r>
        <w:t>е</w:t>
      </w:r>
      <w:r>
        <w:t>риодическому докладу страны (CEDAW/C/YEV/5, пункт 69). Ввиду преобладания грудного вскармл</w:t>
      </w:r>
      <w:r>
        <w:t>и</w:t>
      </w:r>
      <w:r>
        <w:t>вания, которое, по некоторым данным, способствует предотвращению рака груди, заболевание этой формой рака встречается в Йемене редко. В любом случае существуют многочисленные программы повышения осведомленности о ранних симптомах женских раковых заболеваний. Создается все бол</w:t>
      </w:r>
      <w:r>
        <w:t>ь</w:t>
      </w:r>
      <w:r>
        <w:t>шее число центров по лечению рака, включая х</w:t>
      </w:r>
      <w:r>
        <w:t>и</w:t>
      </w:r>
      <w:r>
        <w:t>миотерапию, и хотя лечение стоит весьма дорого, государство оказывает содействие нуждающимся. Радиологических услуг ранее не предоставлялось, но министерство здравоохранения при содействии канадского агентства международного развития в настоящее время ведет строительство радиологич</w:t>
      </w:r>
      <w:r>
        <w:t>е</w:t>
      </w:r>
      <w:r>
        <w:t>ской клиники.</w:t>
      </w:r>
    </w:p>
    <w:p w:rsidR="00000000" w:rsidRDefault="00000000">
      <w:pPr>
        <w:pStyle w:val="DualTxt"/>
      </w:pPr>
      <w:r>
        <w:t>23.</w:t>
      </w:r>
      <w:r>
        <w:tab/>
      </w:r>
      <w:r>
        <w:rPr>
          <w:b/>
        </w:rPr>
        <w:t>Председатель</w:t>
      </w:r>
      <w:r>
        <w:t xml:space="preserve"> выражает признательность д</w:t>
      </w:r>
      <w:r>
        <w:t>е</w:t>
      </w:r>
      <w:r>
        <w:t>легации за ее участие в диалоге с Комитетом. З</w:t>
      </w:r>
      <w:r>
        <w:t>а</w:t>
      </w:r>
      <w:r>
        <w:t>ключительные замечания Комитета должны быть широко распространены на всех уровнях прав</w:t>
      </w:r>
      <w:r>
        <w:t>и</w:t>
      </w:r>
      <w:r>
        <w:t>тельства и общества, с тем чтобы все общество могло сыграть свою роль в обеспечении полного выполнения положений Конвенции и создания для йеменских женщин равных возможностей с мужч</w:t>
      </w:r>
      <w:r>
        <w:t>и</w:t>
      </w:r>
      <w:r>
        <w:t>нами. Она приветствует обещания делегации рат</w:t>
      </w:r>
      <w:r>
        <w:t>и</w:t>
      </w:r>
      <w:r>
        <w:t>фицировать в кратчайшие сроки факультативный протокол к Конвенции и поправку к пункту 1 ст</w:t>
      </w:r>
      <w:r>
        <w:t>а</w:t>
      </w:r>
      <w:r>
        <w:t>тьи 20. Она надеется, что в шестом периодическом докладе страны найдет отражение подлинное улу</w:t>
      </w:r>
      <w:r>
        <w:t>ч</w:t>
      </w:r>
      <w:r>
        <w:t>шение положения не только женщин в Йемене, но и мужчин, ибо улучшение положения женщин пойдет на пользу всему обществу и будет способствовать активизации развития страны в целом.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закрывается в 16 ч. 05 м.</w:t>
      </w:r>
    </w:p>
    <w:p w:rsidR="00000000" w:rsidRDefault="00000000">
      <w:pPr>
        <w:pStyle w:val="DualTxt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NO&gt;&gt;N0252338R&lt;&lt;ODS JOB NO&gt;&gt;</w:t>
      </w:r>
    </w:p>
    <w:p w:rsidR="00000000" w:rsidRDefault="00000000">
      <w:pPr>
        <w:pStyle w:val="CommentText"/>
      </w:pPr>
      <w:r>
        <w:t>&lt;&lt;ODS DOC SYMBOL1&gt;&gt;CEDAW/C/SR.581&lt;&lt;ODS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3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02-52338 (R)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*0252338*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CEDAW/C/SR.581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CEDAW/C/SR.581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/C/SR.581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 xml:space="preserve">Конвенция о ликвидации </w:t>
          </w:r>
          <w:r>
            <w:rPr>
              <w:sz w:val="34"/>
              <w:lang w:val="en-US"/>
            </w:rPr>
            <w:br/>
          </w:r>
          <w:r>
            <w:rPr>
              <w:sz w:val="34"/>
            </w:rPr>
            <w:t>всех форм дискриминации</w:t>
          </w:r>
          <w:r>
            <w:rPr>
              <w:sz w:val="34"/>
              <w:lang w:val="en-US"/>
            </w:rPr>
            <w:br/>
          </w:r>
          <w:r>
            <w:rPr>
              <w:sz w:val="34"/>
            </w:rPr>
            <w:t>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17 August 2005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475"/>
  <w:autoHyphenation/>
  <w:hyphenationZone w:val="21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13/08/2005 0:08::33"/>
    <w:docVar w:name="DocCategory" w:val="SROthers"/>
    <w:docVar w:name="DocType" w:val="Final"/>
    <w:docVar w:name="JobNo" w:val="0252338R"/>
    <w:docVar w:name="OandT" w:val=" "/>
    <w:docVar w:name="Symbol1" w:val="CEDAW/C/SR.581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4</Pages>
  <Words>1858</Words>
  <Characters>10595</Characters>
  <Application>Microsoft Office Word</Application>
  <DocSecurity>4</DocSecurity>
  <Lines>88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13011</CharactersWithSpaces>
  <SharedDoc>false</SharedDoc>
  <HLinks>
    <vt:vector size="6" baseType="variant">
      <vt:variant>
        <vt:i4>4522087</vt:i4>
      </vt:variant>
      <vt:variant>
        <vt:i4>26958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Irina.Golosova</dc:creator>
  <cp:keywords/>
  <dc:description/>
  <cp:lastModifiedBy>DGAACS User</cp:lastModifiedBy>
  <cp:revision>5</cp:revision>
  <cp:lastPrinted>2005-08-16T21:33:00Z</cp:lastPrinted>
  <dcterms:created xsi:type="dcterms:W3CDTF">2005-08-16T21:33:00Z</dcterms:created>
  <dcterms:modified xsi:type="dcterms:W3CDTF">2005-08-16T22:28:00Z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0252338</vt:lpwstr>
  </property>
  <property fmtid="{D5CDD505-2E9C-101B-9397-08002B2CF9AE}" pid="3" name="Symbol1">
    <vt:lpwstr>CEDAW/C/SR.581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4</vt:lpwstr>
  </property>
  <property fmtid="{D5CDD505-2E9C-101B-9397-08002B2CF9AE}" pid="8" name="Operator">
    <vt:lpwstr>S.N.</vt:lpwstr>
  </property>
</Properties>
</file>