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66835" w14:textId="77777777" w:rsidR="007A5AF7" w:rsidRDefault="007A5AF7" w:rsidP="007A5AF7">
      <w:pPr>
        <w:spacing w:line="240" w:lineRule="auto"/>
        <w:rPr>
          <w:sz w:val="2"/>
        </w:rPr>
        <w:sectPr w:rsidR="007A5AF7" w:rsidSect="001103A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F82B4E7" w14:textId="77777777" w:rsidR="001103A4" w:rsidRPr="001103A4" w:rsidRDefault="001103A4" w:rsidP="00110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103A4">
        <w:rPr>
          <w:lang w:val="fr-FR"/>
        </w:rPr>
        <w:t>Comité pour l’élimination de la discrimination à l’égard des femmes</w:t>
      </w:r>
    </w:p>
    <w:p w14:paraId="6462D443" w14:textId="77777777" w:rsidR="001103A4" w:rsidRPr="001103A4" w:rsidRDefault="001103A4" w:rsidP="001103A4">
      <w:pPr>
        <w:pStyle w:val="Session"/>
        <w:rPr>
          <w:lang w:val="fr-FR"/>
        </w:rPr>
      </w:pPr>
      <w:r w:rsidRPr="001103A4">
        <w:rPr>
          <w:lang w:val="fr-FR"/>
        </w:rPr>
        <w:t>Quatre-vingt-onzième session</w:t>
      </w:r>
    </w:p>
    <w:p w14:paraId="3E760015" w14:textId="40DA4F41" w:rsidR="001103A4" w:rsidRPr="001103A4" w:rsidRDefault="001103A4" w:rsidP="001103A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Genève, 16 juin</w:t>
      </w:r>
      <w:r>
        <w:rPr>
          <w:lang w:val="fr-FR"/>
        </w:rPr>
        <w:t>-</w:t>
      </w:r>
      <w:r w:rsidRPr="001103A4">
        <w:rPr>
          <w:lang w:val="fr-FR"/>
        </w:rPr>
        <w:t>4 juillet 2025</w:t>
      </w:r>
    </w:p>
    <w:p w14:paraId="4FEDF521" w14:textId="77777777" w:rsidR="001103A4" w:rsidRPr="00B837CF" w:rsidRDefault="001103A4" w:rsidP="001103A4">
      <w:pPr>
        <w:pStyle w:val="AgendaItemNormal"/>
        <w:rPr>
          <w:lang w:val="fr-FR"/>
        </w:rPr>
      </w:pPr>
      <w:r w:rsidRPr="00B837CF">
        <w:rPr>
          <w:lang w:val="fr-FR"/>
        </w:rPr>
        <w:t>Point 2 de l’ordre du jour provisoire</w:t>
      </w:r>
    </w:p>
    <w:p w14:paraId="76E1C21C" w14:textId="77777777" w:rsidR="001103A4" w:rsidRPr="001103A4" w:rsidRDefault="001103A4" w:rsidP="0074200D">
      <w:pPr>
        <w:pStyle w:val="AgendaTitleH2"/>
        <w:rPr>
          <w:lang w:val="fr-FR"/>
        </w:rPr>
      </w:pPr>
      <w:r w:rsidRPr="001103A4">
        <w:rPr>
          <w:lang w:val="fr-FR"/>
        </w:rPr>
        <w:t>Adoption de l’ordre du jour et organisation des travaux</w:t>
      </w:r>
    </w:p>
    <w:p w14:paraId="4DE0A52E" w14:textId="77777777" w:rsidR="001103A4" w:rsidRPr="001103A4" w:rsidRDefault="001103A4" w:rsidP="001103A4">
      <w:pPr>
        <w:pStyle w:val="SingleTxt"/>
        <w:spacing w:after="0" w:line="120" w:lineRule="exact"/>
        <w:rPr>
          <w:sz w:val="10"/>
          <w:lang w:val="fr-FR"/>
        </w:rPr>
      </w:pPr>
      <w:bookmarkStart w:id="1" w:name="BeginPage"/>
      <w:bookmarkEnd w:id="1"/>
    </w:p>
    <w:p w14:paraId="544483A6" w14:textId="77777777" w:rsidR="001103A4" w:rsidRPr="001103A4" w:rsidRDefault="001103A4" w:rsidP="001103A4">
      <w:pPr>
        <w:pStyle w:val="SingleTxt"/>
        <w:spacing w:after="0" w:line="120" w:lineRule="exact"/>
        <w:rPr>
          <w:sz w:val="10"/>
          <w:lang w:val="fr-FR"/>
        </w:rPr>
      </w:pPr>
    </w:p>
    <w:p w14:paraId="710D18BC" w14:textId="77777777" w:rsidR="001103A4" w:rsidRPr="001103A4" w:rsidRDefault="001103A4" w:rsidP="001103A4">
      <w:pPr>
        <w:pStyle w:val="SingleTxt"/>
        <w:spacing w:after="0" w:line="120" w:lineRule="exact"/>
        <w:rPr>
          <w:sz w:val="10"/>
          <w:lang w:val="fr-FR"/>
        </w:rPr>
      </w:pPr>
    </w:p>
    <w:p w14:paraId="2703EFE7" w14:textId="66ADF97F" w:rsidR="001103A4" w:rsidRPr="001103A4" w:rsidRDefault="001103A4" w:rsidP="001103A4">
      <w:pPr>
        <w:pStyle w:val="TitleHCH"/>
        <w:ind w:right="1260"/>
        <w:rPr>
          <w:lang w:val="fr-FR"/>
        </w:rPr>
      </w:pPr>
      <w:r>
        <w:rPr>
          <w:lang w:val="fr-FR"/>
        </w:rPr>
        <w:tab/>
      </w:r>
      <w:r>
        <w:rPr>
          <w:lang w:val="fr-FR"/>
        </w:rPr>
        <w:tab/>
      </w:r>
      <w:r w:rsidRPr="001103A4">
        <w:rPr>
          <w:lang w:val="fr-FR"/>
        </w:rPr>
        <w:t>Ordre du jour provisoire annoté</w:t>
      </w:r>
    </w:p>
    <w:p w14:paraId="5D1735ED" w14:textId="77777777" w:rsidR="001103A4" w:rsidRPr="001103A4" w:rsidRDefault="001103A4" w:rsidP="001103A4">
      <w:pPr>
        <w:pStyle w:val="SingleTxt"/>
        <w:spacing w:after="0" w:line="120" w:lineRule="exact"/>
        <w:rPr>
          <w:sz w:val="10"/>
          <w:lang w:val="fr-FR"/>
        </w:rPr>
      </w:pPr>
    </w:p>
    <w:p w14:paraId="3BD679D9" w14:textId="77777777" w:rsidR="001103A4" w:rsidRPr="001103A4" w:rsidRDefault="001103A4" w:rsidP="001103A4">
      <w:pPr>
        <w:pStyle w:val="SingleTxt"/>
        <w:spacing w:after="0" w:line="120" w:lineRule="exact"/>
        <w:rPr>
          <w:sz w:val="10"/>
          <w:lang w:val="fr-FR"/>
        </w:rPr>
      </w:pPr>
    </w:p>
    <w:p w14:paraId="6F967B96" w14:textId="7AA48BAC" w:rsidR="001103A4" w:rsidRPr="001103A4" w:rsidRDefault="001103A4" w:rsidP="001103A4">
      <w:pPr>
        <w:pStyle w:val="TitleH1"/>
        <w:rPr>
          <w:lang w:val="fr-FR"/>
        </w:rPr>
      </w:pPr>
      <w:r>
        <w:rPr>
          <w:lang w:val="fr-FR"/>
        </w:rPr>
        <w:tab/>
      </w:r>
      <w:r>
        <w:rPr>
          <w:lang w:val="fr-FR"/>
        </w:rPr>
        <w:tab/>
      </w:r>
      <w:r w:rsidRPr="001103A4">
        <w:rPr>
          <w:lang w:val="fr-FR"/>
        </w:rPr>
        <w:t>Ordre du jour provisoire</w:t>
      </w:r>
    </w:p>
    <w:p w14:paraId="7B102904" w14:textId="77777777" w:rsidR="001103A4" w:rsidRPr="001103A4" w:rsidRDefault="001103A4" w:rsidP="001103A4">
      <w:pPr>
        <w:pStyle w:val="SingleTxt"/>
        <w:spacing w:after="0" w:line="120" w:lineRule="exact"/>
        <w:rPr>
          <w:sz w:val="10"/>
          <w:lang w:val="fr-FR"/>
        </w:rPr>
      </w:pPr>
    </w:p>
    <w:p w14:paraId="30FBEA85" w14:textId="77777777" w:rsidR="001103A4" w:rsidRPr="001103A4" w:rsidRDefault="001103A4" w:rsidP="001103A4">
      <w:pPr>
        <w:pStyle w:val="SingleTxt"/>
        <w:spacing w:after="0" w:line="120" w:lineRule="exact"/>
        <w:rPr>
          <w:sz w:val="10"/>
          <w:lang w:val="fr-FR"/>
        </w:rPr>
      </w:pPr>
    </w:p>
    <w:p w14:paraId="19A7BA6F" w14:textId="77777777" w:rsidR="001103A4" w:rsidRPr="001103A4" w:rsidRDefault="001103A4" w:rsidP="001103A4">
      <w:pPr>
        <w:pStyle w:val="SingleTxt"/>
        <w:jc w:val="left"/>
        <w:rPr>
          <w:lang w:val="fr-FR"/>
        </w:rPr>
      </w:pPr>
      <w:r w:rsidRPr="001103A4">
        <w:rPr>
          <w:lang w:val="fr-FR"/>
        </w:rPr>
        <w:t>1.</w:t>
      </w:r>
      <w:r w:rsidRPr="001103A4">
        <w:rPr>
          <w:lang w:val="fr-FR"/>
        </w:rPr>
        <w:tab/>
        <w:t>Ouverture de la session.</w:t>
      </w:r>
    </w:p>
    <w:p w14:paraId="52A7FDE7" w14:textId="77777777" w:rsidR="001103A4" w:rsidRPr="001103A4" w:rsidRDefault="001103A4" w:rsidP="001103A4">
      <w:pPr>
        <w:pStyle w:val="SingleTxt"/>
        <w:jc w:val="left"/>
        <w:rPr>
          <w:lang w:val="fr-FR"/>
        </w:rPr>
      </w:pPr>
      <w:r w:rsidRPr="001103A4">
        <w:rPr>
          <w:lang w:val="fr-FR"/>
        </w:rPr>
        <w:t>2.</w:t>
      </w:r>
      <w:r w:rsidRPr="001103A4">
        <w:rPr>
          <w:lang w:val="fr-FR"/>
        </w:rPr>
        <w:tab/>
        <w:t>Adoption de l’ordre du jour et organisation des travaux.</w:t>
      </w:r>
    </w:p>
    <w:p w14:paraId="11C46EFF" w14:textId="77777777" w:rsidR="001103A4" w:rsidRPr="001103A4" w:rsidRDefault="001103A4" w:rsidP="001103A4">
      <w:pPr>
        <w:pStyle w:val="SingleTxt"/>
        <w:ind w:left="1742" w:hanging="475"/>
        <w:jc w:val="left"/>
        <w:rPr>
          <w:lang w:val="fr-FR"/>
        </w:rPr>
      </w:pPr>
      <w:r w:rsidRPr="001103A4">
        <w:rPr>
          <w:lang w:val="fr-FR"/>
        </w:rPr>
        <w:t>3.</w:t>
      </w:r>
      <w:r w:rsidRPr="001103A4">
        <w:rPr>
          <w:lang w:val="fr-FR"/>
        </w:rPr>
        <w:tab/>
        <w:t>Rapport de la Présidente sur les activités menées entre la quatre-vingt-dixième et la quatre-vingt-onzième session du Comité.</w:t>
      </w:r>
    </w:p>
    <w:p w14:paraId="37E2EB94" w14:textId="77777777" w:rsidR="001103A4" w:rsidRPr="001103A4" w:rsidRDefault="001103A4" w:rsidP="001103A4">
      <w:pPr>
        <w:pStyle w:val="SingleTxt"/>
        <w:ind w:left="1742" w:hanging="475"/>
        <w:jc w:val="left"/>
        <w:rPr>
          <w:lang w:val="fr-FR"/>
        </w:rPr>
      </w:pPr>
      <w:r w:rsidRPr="001103A4">
        <w:rPr>
          <w:lang w:val="fr-FR"/>
        </w:rPr>
        <w:t>4.</w:t>
      </w:r>
      <w:r w:rsidRPr="001103A4">
        <w:rPr>
          <w:lang w:val="fr-FR"/>
        </w:rPr>
        <w:tab/>
        <w:t>Examen des rapports soumis par les États Parties en application de l’article 18 de la Convention sur l’élimination de toutes les formes de discrimination à l’égard des femmes.</w:t>
      </w:r>
    </w:p>
    <w:p w14:paraId="1774566C" w14:textId="77777777" w:rsidR="001103A4" w:rsidRPr="001103A4" w:rsidRDefault="001103A4" w:rsidP="001103A4">
      <w:pPr>
        <w:pStyle w:val="SingleTxt"/>
        <w:ind w:left="1742" w:hanging="475"/>
        <w:jc w:val="left"/>
        <w:rPr>
          <w:lang w:val="fr-FR"/>
        </w:rPr>
      </w:pPr>
      <w:r w:rsidRPr="001103A4">
        <w:rPr>
          <w:lang w:val="fr-FR"/>
        </w:rPr>
        <w:t>5.</w:t>
      </w:r>
      <w:r w:rsidRPr="001103A4">
        <w:rPr>
          <w:lang w:val="fr-FR"/>
        </w:rPr>
        <w:tab/>
        <w:t>Suite donnée à l’examen des rapports soumis par les États Parties en application de l’article 18 de la Convention.</w:t>
      </w:r>
    </w:p>
    <w:p w14:paraId="652435EA" w14:textId="77777777" w:rsidR="001103A4" w:rsidRPr="001103A4" w:rsidRDefault="001103A4" w:rsidP="001103A4">
      <w:pPr>
        <w:pStyle w:val="SingleTxt"/>
        <w:jc w:val="left"/>
        <w:rPr>
          <w:lang w:val="fr-FR"/>
        </w:rPr>
      </w:pPr>
      <w:r w:rsidRPr="001103A4">
        <w:rPr>
          <w:lang w:val="fr-FR"/>
        </w:rPr>
        <w:t>6.</w:t>
      </w:r>
      <w:r w:rsidRPr="001103A4">
        <w:rPr>
          <w:lang w:val="fr-FR"/>
        </w:rPr>
        <w:tab/>
        <w:t>Application des articles 21 et 22 de la Convention.</w:t>
      </w:r>
    </w:p>
    <w:p w14:paraId="39353331" w14:textId="77777777" w:rsidR="001103A4" w:rsidRPr="001103A4" w:rsidRDefault="001103A4" w:rsidP="001103A4">
      <w:pPr>
        <w:pStyle w:val="SingleTxt"/>
        <w:jc w:val="left"/>
        <w:rPr>
          <w:lang w:val="fr-FR"/>
        </w:rPr>
      </w:pPr>
      <w:r w:rsidRPr="001103A4">
        <w:rPr>
          <w:lang w:val="fr-FR"/>
        </w:rPr>
        <w:t>7.</w:t>
      </w:r>
      <w:r w:rsidRPr="001103A4">
        <w:rPr>
          <w:lang w:val="fr-FR"/>
        </w:rPr>
        <w:tab/>
        <w:t>Moyens d’accélérer les travaux du Comité.</w:t>
      </w:r>
    </w:p>
    <w:p w14:paraId="48F9A8D4" w14:textId="77777777" w:rsidR="001103A4" w:rsidRPr="001103A4" w:rsidRDefault="001103A4" w:rsidP="001103A4">
      <w:pPr>
        <w:pStyle w:val="SingleTxt"/>
        <w:ind w:left="1742" w:hanging="475"/>
        <w:jc w:val="left"/>
        <w:rPr>
          <w:lang w:val="fr-FR"/>
        </w:rPr>
      </w:pPr>
      <w:r w:rsidRPr="001103A4">
        <w:rPr>
          <w:lang w:val="fr-FR"/>
        </w:rPr>
        <w:t>8.</w:t>
      </w:r>
      <w:r w:rsidRPr="001103A4">
        <w:rPr>
          <w:lang w:val="fr-FR"/>
        </w:rPr>
        <w:tab/>
        <w:t>Activités menées par le Comité au titre du Protocole facultatif à la Convention.</w:t>
      </w:r>
    </w:p>
    <w:p w14:paraId="2CCEB88A" w14:textId="77777777" w:rsidR="001103A4" w:rsidRPr="001103A4" w:rsidRDefault="001103A4" w:rsidP="001103A4">
      <w:pPr>
        <w:pStyle w:val="SingleTxt"/>
        <w:jc w:val="left"/>
        <w:rPr>
          <w:lang w:val="fr-FR"/>
        </w:rPr>
      </w:pPr>
      <w:r w:rsidRPr="001103A4">
        <w:rPr>
          <w:lang w:val="fr-FR"/>
        </w:rPr>
        <w:t>9.</w:t>
      </w:r>
      <w:r w:rsidRPr="001103A4">
        <w:rPr>
          <w:lang w:val="fr-FR"/>
        </w:rPr>
        <w:tab/>
        <w:t>Ordre du jour provisoire de la quatre-vingt-douzième session du Comité.</w:t>
      </w:r>
    </w:p>
    <w:p w14:paraId="118A52B6" w14:textId="77777777" w:rsidR="001103A4" w:rsidRPr="001103A4" w:rsidRDefault="001103A4" w:rsidP="001103A4">
      <w:pPr>
        <w:pStyle w:val="SingleTxt"/>
        <w:ind w:left="1742" w:hanging="475"/>
        <w:jc w:val="left"/>
        <w:rPr>
          <w:lang w:val="fr-FR"/>
        </w:rPr>
      </w:pPr>
      <w:r w:rsidRPr="001103A4">
        <w:rPr>
          <w:lang w:val="fr-FR"/>
        </w:rPr>
        <w:t>10.</w:t>
      </w:r>
      <w:r w:rsidRPr="001103A4">
        <w:rPr>
          <w:lang w:val="fr-FR"/>
        </w:rPr>
        <w:tab/>
        <w:t>Adoption du rapport du Comité sur les travaux de sa quatre-vingt-onzième session.</w:t>
      </w:r>
    </w:p>
    <w:p w14:paraId="0293DC06" w14:textId="77777777" w:rsidR="001103A4" w:rsidRPr="001103A4" w:rsidRDefault="001103A4" w:rsidP="001103A4">
      <w:pPr>
        <w:pStyle w:val="SingleTxt"/>
        <w:spacing w:after="0" w:line="120" w:lineRule="exact"/>
        <w:rPr>
          <w:sz w:val="10"/>
          <w:lang w:val="fr-FR"/>
        </w:rPr>
      </w:pPr>
    </w:p>
    <w:p w14:paraId="76C58654" w14:textId="77777777" w:rsidR="001103A4" w:rsidRPr="001103A4" w:rsidRDefault="001103A4" w:rsidP="001103A4">
      <w:pPr>
        <w:pStyle w:val="SingleTxt"/>
        <w:spacing w:after="0" w:line="120" w:lineRule="exact"/>
        <w:rPr>
          <w:sz w:val="10"/>
          <w:lang w:val="fr-FR"/>
        </w:rPr>
      </w:pPr>
    </w:p>
    <w:p w14:paraId="47532F93" w14:textId="77777777" w:rsidR="001103A4" w:rsidRPr="001103A4" w:rsidRDefault="001103A4" w:rsidP="00110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ab/>
      </w:r>
      <w:r w:rsidRPr="001103A4">
        <w:rPr>
          <w:lang w:val="fr-FR"/>
        </w:rPr>
        <w:tab/>
        <w:t>Annotations</w:t>
      </w:r>
    </w:p>
    <w:p w14:paraId="5D5506AC" w14:textId="77777777" w:rsidR="001103A4" w:rsidRPr="001103A4" w:rsidRDefault="001103A4" w:rsidP="001103A4">
      <w:pPr>
        <w:pStyle w:val="SingleTxt"/>
        <w:spacing w:after="0" w:line="120" w:lineRule="exact"/>
        <w:rPr>
          <w:sz w:val="10"/>
          <w:lang w:val="fr-FR"/>
        </w:rPr>
      </w:pPr>
    </w:p>
    <w:p w14:paraId="5D0E90AB" w14:textId="77777777" w:rsidR="001103A4" w:rsidRPr="001103A4" w:rsidRDefault="001103A4" w:rsidP="001103A4">
      <w:pPr>
        <w:pStyle w:val="SingleTxt"/>
        <w:spacing w:after="0" w:line="120" w:lineRule="exact"/>
        <w:rPr>
          <w:sz w:val="10"/>
          <w:lang w:val="fr-FR"/>
        </w:rPr>
      </w:pPr>
    </w:p>
    <w:p w14:paraId="3DC5D8A8" w14:textId="435AA36E"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1.</w:t>
      </w:r>
      <w:r w:rsidRPr="001103A4">
        <w:rPr>
          <w:lang w:val="fr-FR"/>
        </w:rPr>
        <w:tab/>
        <w:t>Ouverture de la session</w:t>
      </w:r>
    </w:p>
    <w:p w14:paraId="6A1582B0" w14:textId="77777777" w:rsidR="001103A4" w:rsidRPr="001103A4" w:rsidRDefault="001103A4" w:rsidP="001103A4">
      <w:pPr>
        <w:pStyle w:val="SingleTxt"/>
        <w:spacing w:after="0" w:line="120" w:lineRule="exact"/>
        <w:rPr>
          <w:sz w:val="10"/>
          <w:lang w:val="fr-FR"/>
        </w:rPr>
      </w:pPr>
    </w:p>
    <w:p w14:paraId="56439C16" w14:textId="77777777" w:rsidR="001103A4" w:rsidRPr="001103A4" w:rsidRDefault="001103A4" w:rsidP="001103A4">
      <w:pPr>
        <w:pStyle w:val="SingleTxt"/>
        <w:rPr>
          <w:lang w:val="fr-FR"/>
        </w:rPr>
      </w:pPr>
      <w:r w:rsidRPr="001103A4">
        <w:rPr>
          <w:lang w:val="fr-FR"/>
        </w:rPr>
        <w:t>La quatre-vingt-onzième session du Comité pour l’élimination de la discrimination à l’égard des femmes sera ouverte par la Présidente du Comité le 16 juin 2025.</w:t>
      </w:r>
    </w:p>
    <w:p w14:paraId="61B7E84C" w14:textId="693D196F"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1103A4">
        <w:rPr>
          <w:lang w:val="fr-FR"/>
        </w:rPr>
        <w:t>2.</w:t>
      </w:r>
      <w:r w:rsidRPr="001103A4">
        <w:rPr>
          <w:lang w:val="fr-FR"/>
        </w:rPr>
        <w:tab/>
        <w:t>Adoption de l’ordre du jour et organisation des travaux</w:t>
      </w:r>
    </w:p>
    <w:p w14:paraId="675783A6" w14:textId="77777777" w:rsidR="001103A4" w:rsidRPr="001103A4" w:rsidRDefault="001103A4" w:rsidP="001103A4">
      <w:pPr>
        <w:pStyle w:val="SingleTxt"/>
        <w:spacing w:after="0" w:line="120" w:lineRule="exact"/>
        <w:rPr>
          <w:sz w:val="10"/>
          <w:lang w:val="fr-FR"/>
        </w:rPr>
      </w:pPr>
    </w:p>
    <w:p w14:paraId="2362618E" w14:textId="77777777" w:rsidR="001103A4" w:rsidRPr="001103A4" w:rsidRDefault="001103A4" w:rsidP="001103A4">
      <w:pPr>
        <w:pStyle w:val="SingleTxt"/>
        <w:rPr>
          <w:lang w:val="fr-FR"/>
        </w:rPr>
      </w:pPr>
      <w:r w:rsidRPr="001103A4">
        <w:rPr>
          <w:lang w:val="fr-FR"/>
        </w:rPr>
        <w:t>Aux termes de l’article 9 du règlement intérieur, la première question inscrite à l’ordre du jour provisoire de chaque session est l’adoption de l’ordre du jour. Aux termes de son article 7, l’ordre du jour provisoire de chaque session est établi par le Secrétaire général en consultation avec la présidence du Comité, conformément aux dispositions pertinentes des articles 17 à 22 de la Convention.</w:t>
      </w:r>
    </w:p>
    <w:p w14:paraId="10454DCB" w14:textId="77777777" w:rsidR="001103A4" w:rsidRPr="001103A4" w:rsidRDefault="001103A4" w:rsidP="001103A4">
      <w:pPr>
        <w:pStyle w:val="SingleTxt"/>
        <w:rPr>
          <w:lang w:val="fr-FR"/>
        </w:rPr>
      </w:pPr>
      <w:r w:rsidRPr="001103A4">
        <w:rPr>
          <w:lang w:val="fr-FR"/>
        </w:rPr>
        <w:t>À sa quatre-vingt-dixième session, le Comité a approuvé l’ordre du jour provisoire de la quatre-vingt-onzième session.</w:t>
      </w:r>
    </w:p>
    <w:p w14:paraId="4DC629FB" w14:textId="77777777" w:rsidR="001103A4" w:rsidRPr="001103A4" w:rsidRDefault="001103A4" w:rsidP="001103A4">
      <w:pPr>
        <w:pStyle w:val="SingleTxt"/>
        <w:spacing w:after="0" w:line="120" w:lineRule="exact"/>
        <w:rPr>
          <w:sz w:val="10"/>
          <w:lang w:val="fr-FR"/>
        </w:rPr>
      </w:pPr>
    </w:p>
    <w:p w14:paraId="464555BB" w14:textId="1B0F09E3"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3.</w:t>
      </w:r>
      <w:r w:rsidRPr="001103A4">
        <w:rPr>
          <w:lang w:val="fr-FR"/>
        </w:rPr>
        <w:tab/>
        <w:t>Rapport de la Présidente sur les activités menées entre la quatre-vingt-dixième et la quatre-vingt-onzième session du Comité</w:t>
      </w:r>
    </w:p>
    <w:p w14:paraId="6CF6AEB6" w14:textId="77777777" w:rsidR="001103A4" w:rsidRPr="001103A4" w:rsidRDefault="001103A4" w:rsidP="001103A4">
      <w:pPr>
        <w:pStyle w:val="SingleTxt"/>
        <w:spacing w:after="0" w:line="120" w:lineRule="exact"/>
        <w:rPr>
          <w:sz w:val="10"/>
          <w:lang w:val="fr-FR"/>
        </w:rPr>
      </w:pPr>
    </w:p>
    <w:p w14:paraId="4E997CC5" w14:textId="77777777" w:rsidR="001103A4" w:rsidRDefault="001103A4" w:rsidP="001103A4">
      <w:pPr>
        <w:pStyle w:val="SingleTxt"/>
        <w:rPr>
          <w:lang w:val="fr-FR"/>
        </w:rPr>
      </w:pPr>
      <w:r w:rsidRPr="001103A4">
        <w:rPr>
          <w:lang w:val="fr-FR"/>
        </w:rPr>
        <w:t>La Présidente rendra compte au Comité de sa participation aux activités et des faits nouveaux survenus depuis la session précédente qui ont eu une incidence sur les travaux du Comité.</w:t>
      </w:r>
    </w:p>
    <w:p w14:paraId="1BF4F9A7" w14:textId="77777777" w:rsidR="001103A4" w:rsidRPr="001103A4" w:rsidRDefault="001103A4" w:rsidP="001103A4">
      <w:pPr>
        <w:pStyle w:val="SingleTxt"/>
        <w:spacing w:after="0" w:line="120" w:lineRule="exact"/>
        <w:rPr>
          <w:sz w:val="10"/>
          <w:lang w:val="fr-FR"/>
        </w:rPr>
      </w:pPr>
    </w:p>
    <w:p w14:paraId="4DF70E79" w14:textId="77777777" w:rsidR="001103A4" w:rsidRPr="001103A4" w:rsidRDefault="001103A4" w:rsidP="00DE0D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ab/>
      </w:r>
      <w:r w:rsidRPr="001103A4">
        <w:rPr>
          <w:lang w:val="fr-FR"/>
        </w:rPr>
        <w:tab/>
        <w:t>Documentation</w:t>
      </w:r>
    </w:p>
    <w:p w14:paraId="19F30450" w14:textId="77777777" w:rsidR="001103A4" w:rsidRPr="001103A4" w:rsidRDefault="001103A4" w:rsidP="001103A4">
      <w:pPr>
        <w:pStyle w:val="SingleTxt"/>
        <w:spacing w:after="0" w:line="120" w:lineRule="exact"/>
        <w:rPr>
          <w:sz w:val="10"/>
          <w:lang w:val="fr-FR"/>
        </w:rPr>
      </w:pPr>
    </w:p>
    <w:p w14:paraId="1AF92810" w14:textId="05BFC40F" w:rsidR="001103A4" w:rsidRPr="001103A4" w:rsidRDefault="001103A4" w:rsidP="001103A4">
      <w:pPr>
        <w:pStyle w:val="SingleTxt"/>
        <w:rPr>
          <w:lang w:val="fr-FR"/>
        </w:rPr>
      </w:pPr>
      <w:r w:rsidRPr="001103A4">
        <w:rPr>
          <w:lang w:val="fr-FR"/>
        </w:rPr>
        <w:t>Ordre du jour provisoire annoté (</w:t>
      </w:r>
      <w:r w:rsidRPr="00B837CF">
        <w:rPr>
          <w:lang w:val="fr-FR"/>
        </w:rPr>
        <w:t>CEDAW/C/91/1</w:t>
      </w:r>
      <w:r w:rsidRPr="001103A4">
        <w:rPr>
          <w:lang w:val="fr-FR"/>
        </w:rPr>
        <w:t>)</w:t>
      </w:r>
      <w:bookmarkStart w:id="2" w:name="bmv0"/>
      <w:bookmarkEnd w:id="2"/>
    </w:p>
    <w:p w14:paraId="6382ADB9" w14:textId="77777777" w:rsidR="001103A4" w:rsidRPr="001103A4" w:rsidRDefault="001103A4" w:rsidP="001103A4">
      <w:pPr>
        <w:pStyle w:val="SingleTxt"/>
        <w:spacing w:after="0" w:line="120" w:lineRule="exact"/>
        <w:rPr>
          <w:sz w:val="10"/>
          <w:lang w:val="fr-FR"/>
        </w:rPr>
      </w:pPr>
    </w:p>
    <w:p w14:paraId="274F9017" w14:textId="2303C24F"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Pr>
          <w:lang w:val="fr-FR"/>
        </w:rPr>
        <w:tab/>
      </w:r>
      <w:r w:rsidRPr="001103A4">
        <w:rPr>
          <w:lang w:val="fr-FR"/>
        </w:rPr>
        <w:t>4.</w:t>
      </w:r>
      <w:r w:rsidRPr="001103A4">
        <w:rPr>
          <w:lang w:val="fr-FR"/>
        </w:rPr>
        <w:tab/>
        <w:t>Examen des rapports soumis par les États Parties en application de l’article 18 de la Convention sur l’élimination de toutes les formes de discrimination à l’égard des femmes</w:t>
      </w:r>
    </w:p>
    <w:p w14:paraId="32577BD4" w14:textId="77777777" w:rsidR="001103A4" w:rsidRPr="001103A4" w:rsidRDefault="001103A4" w:rsidP="001103A4">
      <w:pPr>
        <w:pStyle w:val="SingleTxt"/>
        <w:spacing w:after="0" w:line="120" w:lineRule="exact"/>
        <w:rPr>
          <w:sz w:val="10"/>
          <w:lang w:val="fr-FR"/>
        </w:rPr>
      </w:pPr>
    </w:p>
    <w:p w14:paraId="613633B4" w14:textId="77777777" w:rsidR="001103A4" w:rsidRPr="001103A4" w:rsidRDefault="001103A4" w:rsidP="001103A4">
      <w:pPr>
        <w:pStyle w:val="SingleTxt"/>
        <w:rPr>
          <w:lang w:val="fr-FR"/>
        </w:rPr>
      </w:pPr>
      <w:r w:rsidRPr="001103A4">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776A695D" w14:textId="77777777" w:rsidR="001103A4" w:rsidRPr="001103A4" w:rsidRDefault="001103A4" w:rsidP="001103A4">
      <w:pPr>
        <w:pStyle w:val="SingleTxt"/>
        <w:rPr>
          <w:lang w:val="fr-FR"/>
        </w:rPr>
      </w:pPr>
      <w:r w:rsidRPr="001103A4">
        <w:rPr>
          <w:lang w:val="fr-FR"/>
        </w:rPr>
        <w:t>À sa quatre-vingt-onzième session, le Comité examinera les rapports des États Parties suivants ; Afghanistan, Botswana, Irlande, Mexique, Saint-Marin, Tchad et Thaïlande. En outre, il adoptera des observations finales sur les rapports présentés par les Fidji, les Îles Salomon et les Tuvalu à la suite des échanges menés avec ces États Parties lors de la session de coopération technique pour la région du Pacifique, qui s’est tenue à Suva du 7 au 11 avril 2025.</w:t>
      </w:r>
    </w:p>
    <w:p w14:paraId="485900FB" w14:textId="77777777" w:rsidR="001103A4" w:rsidRPr="001103A4" w:rsidRDefault="001103A4" w:rsidP="001103A4">
      <w:pPr>
        <w:pStyle w:val="SingleTxt"/>
        <w:rPr>
          <w:lang w:val="fr-FR"/>
        </w:rPr>
      </w:pPr>
      <w:r w:rsidRPr="001103A4">
        <w:rPr>
          <w:lang w:val="fr-FR"/>
        </w:rPr>
        <w:t>Au titre de l’article 51 du règlement intérieur, les États Parties sont représentés aux réunions du Comité au cours desquelles leurs rapports sont examinés ; leurs représentant(e)s participent aux débats et répondent aux questions ayant trait aux rapports.</w:t>
      </w:r>
    </w:p>
    <w:p w14:paraId="1987821D" w14:textId="77777777" w:rsidR="001103A4" w:rsidRPr="001103A4" w:rsidRDefault="001103A4" w:rsidP="001103A4">
      <w:pPr>
        <w:pStyle w:val="SingleTxt"/>
        <w:rPr>
          <w:lang w:val="fr-FR"/>
        </w:rPr>
      </w:pPr>
      <w:r w:rsidRPr="001103A4">
        <w:rPr>
          <w:lang w:val="fr-FR"/>
        </w:rPr>
        <w:t>En application de l’article 49 du règlement intérieur, à chaque session, le Secrétaire général fait savoir au Comité quels sont les États Parties qui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7E975FB5" w14:textId="11CFB37C" w:rsidR="001103A4" w:rsidRPr="001103A4" w:rsidRDefault="001103A4" w:rsidP="001103A4">
      <w:pPr>
        <w:pStyle w:val="SingleTxt"/>
        <w:rPr>
          <w:lang w:val="fr-FR"/>
        </w:rPr>
      </w:pPr>
      <w:r w:rsidRPr="001103A4">
        <w:rPr>
          <w:lang w:val="fr-FR"/>
        </w:rPr>
        <w:t xml:space="preserve">Avant chaque session, un groupe de travail de présession établit des listes de points et de questions concernant les rapports, qui sont transmises aux États Parties avant les réunions au cours desquelles leurs rapports doivent être examinés. Le groupe de travail de présession de la quatre-vingt-onzième session s’est réuni du 28 octobre au </w:t>
      </w:r>
      <w:r w:rsidR="00200FB5" w:rsidRPr="001103A4">
        <w:rPr>
          <w:lang w:val="fr-FR"/>
        </w:rPr>
        <w:t>1</w:t>
      </w:r>
      <w:r w:rsidR="00200FB5" w:rsidRPr="00DE0D0C">
        <w:rPr>
          <w:vertAlign w:val="superscript"/>
          <w:lang w:val="fr-FR"/>
        </w:rPr>
        <w:t>er</w:t>
      </w:r>
      <w:r w:rsidR="00200FB5">
        <w:rPr>
          <w:lang w:val="fr-FR"/>
        </w:rPr>
        <w:t> </w:t>
      </w:r>
      <w:r w:rsidRPr="001103A4">
        <w:rPr>
          <w:lang w:val="fr-FR"/>
        </w:rPr>
        <w:t>novembre 2024. Le Comité sera saisi de son rapport (</w:t>
      </w:r>
      <w:hyperlink r:id="rId20" w:history="1">
        <w:r w:rsidRPr="001103A4">
          <w:rPr>
            <w:rStyle w:val="Hyperlink"/>
            <w:lang w:val="fr-FR"/>
          </w:rPr>
          <w:t>CEDAW/C/PSWG/91/1</w:t>
        </w:r>
      </w:hyperlink>
      <w:r w:rsidRPr="001103A4">
        <w:rPr>
          <w:lang w:val="fr-FR"/>
        </w:rPr>
        <w:t>).</w:t>
      </w:r>
    </w:p>
    <w:p w14:paraId="103FA668" w14:textId="77777777" w:rsidR="001103A4" w:rsidRPr="001103A4" w:rsidRDefault="001103A4" w:rsidP="001103A4">
      <w:pPr>
        <w:pStyle w:val="SingleTxt"/>
        <w:spacing w:after="0" w:line="120" w:lineRule="exact"/>
        <w:rPr>
          <w:sz w:val="10"/>
          <w:lang w:val="fr-FR"/>
        </w:rPr>
      </w:pPr>
    </w:p>
    <w:p w14:paraId="74DF9CCC" w14:textId="77777777" w:rsidR="001103A4" w:rsidRPr="001103A4" w:rsidRDefault="001103A4" w:rsidP="001103A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lastRenderedPageBreak/>
        <w:tab/>
      </w:r>
      <w:r w:rsidRPr="001103A4">
        <w:rPr>
          <w:lang w:val="fr-FR"/>
        </w:rPr>
        <w:tab/>
        <w:t>Documentation</w:t>
      </w:r>
    </w:p>
    <w:p w14:paraId="418F4714" w14:textId="77777777" w:rsidR="001103A4" w:rsidRPr="001103A4" w:rsidRDefault="001103A4" w:rsidP="001103A4">
      <w:pPr>
        <w:pStyle w:val="SingleTxt"/>
        <w:keepNext/>
        <w:spacing w:after="0" w:line="120" w:lineRule="exact"/>
        <w:rPr>
          <w:sz w:val="10"/>
          <w:lang w:val="fr-FR"/>
        </w:rPr>
      </w:pPr>
    </w:p>
    <w:p w14:paraId="30A6A59B" w14:textId="77777777" w:rsidR="001103A4" w:rsidRPr="001103A4" w:rsidRDefault="001103A4" w:rsidP="001103A4">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ab/>
      </w:r>
      <w:r w:rsidRPr="001103A4">
        <w:rPr>
          <w:lang w:val="fr-FR"/>
        </w:rPr>
        <w:tab/>
        <w:t>Rapports</w:t>
      </w:r>
    </w:p>
    <w:p w14:paraId="042BEEE6" w14:textId="77777777" w:rsidR="001103A4" w:rsidRPr="001103A4" w:rsidRDefault="001103A4" w:rsidP="001103A4">
      <w:pPr>
        <w:pStyle w:val="SingleTxt"/>
        <w:keepNext/>
        <w:spacing w:after="0" w:line="120" w:lineRule="exact"/>
        <w:rPr>
          <w:sz w:val="10"/>
          <w:lang w:val="fr-FR"/>
        </w:rPr>
      </w:pPr>
    </w:p>
    <w:p w14:paraId="24789AE3" w14:textId="7BA4CB1F" w:rsidR="001103A4" w:rsidRPr="001103A4" w:rsidRDefault="001103A4" w:rsidP="001103A4">
      <w:pPr>
        <w:pStyle w:val="SingleTxt"/>
        <w:keepNext/>
        <w:rPr>
          <w:lang w:val="fr-FR"/>
        </w:rPr>
      </w:pPr>
      <w:r w:rsidRPr="001103A4">
        <w:rPr>
          <w:lang w:val="fr-FR"/>
        </w:rPr>
        <w:t>Quatrième rapport périodique de l’Afghanistan (</w:t>
      </w:r>
      <w:hyperlink r:id="rId21" w:history="1">
        <w:r w:rsidRPr="001103A4">
          <w:rPr>
            <w:rStyle w:val="Hyperlink"/>
            <w:lang w:val="fr-FR"/>
          </w:rPr>
          <w:t>CEDAW/C/AFG/4</w:t>
        </w:r>
      </w:hyperlink>
      <w:r w:rsidRPr="001103A4">
        <w:rPr>
          <w:lang w:val="fr-FR"/>
        </w:rPr>
        <w:t>)</w:t>
      </w:r>
      <w:r w:rsidRPr="001103A4">
        <w:rPr>
          <w:vertAlign w:val="superscript"/>
          <w:lang w:val="fr-FR"/>
        </w:rPr>
        <w:footnoteReference w:id="1"/>
      </w:r>
    </w:p>
    <w:p w14:paraId="41DACC2F" w14:textId="13D19B64" w:rsidR="001103A4" w:rsidRPr="001103A4" w:rsidRDefault="001103A4" w:rsidP="001103A4">
      <w:pPr>
        <w:pStyle w:val="SingleTxt"/>
        <w:keepNext/>
        <w:rPr>
          <w:lang w:val="fr-FR"/>
        </w:rPr>
      </w:pPr>
      <w:r w:rsidRPr="001103A4">
        <w:rPr>
          <w:lang w:val="fr-FR"/>
        </w:rPr>
        <w:t>Cinquième rapport périodique du Botswana (</w:t>
      </w:r>
      <w:hyperlink r:id="rId22" w:history="1">
        <w:r w:rsidRPr="001103A4">
          <w:rPr>
            <w:rStyle w:val="Hyperlink"/>
            <w:lang w:val="fr-FR"/>
          </w:rPr>
          <w:t>CEDAW/C/BWA/5</w:t>
        </w:r>
      </w:hyperlink>
      <w:r w:rsidRPr="001103A4">
        <w:rPr>
          <w:lang w:val="fr-FR"/>
        </w:rPr>
        <w:t>)</w:t>
      </w:r>
    </w:p>
    <w:p w14:paraId="01D7F920" w14:textId="05E2433E" w:rsidR="001103A4" w:rsidRPr="001103A4" w:rsidRDefault="001103A4" w:rsidP="001103A4">
      <w:pPr>
        <w:pStyle w:val="SingleTxt"/>
        <w:rPr>
          <w:lang w:val="fr-FR"/>
        </w:rPr>
      </w:pPr>
      <w:r w:rsidRPr="001103A4">
        <w:rPr>
          <w:lang w:val="fr-FR"/>
        </w:rPr>
        <w:t>Sixième rapport périodique des Fidji, soumis selon la procédure simplifiée d’établissement des rapports (</w:t>
      </w:r>
      <w:hyperlink r:id="rId23" w:history="1">
        <w:r w:rsidRPr="001103A4">
          <w:rPr>
            <w:rStyle w:val="Hyperlink"/>
            <w:lang w:val="fr-FR"/>
          </w:rPr>
          <w:t>CEDAW/C/FJI/6</w:t>
        </w:r>
      </w:hyperlink>
      <w:r w:rsidRPr="001103A4">
        <w:rPr>
          <w:lang w:val="fr-FR"/>
        </w:rPr>
        <w:t>)</w:t>
      </w:r>
    </w:p>
    <w:p w14:paraId="557CF021" w14:textId="5CC4B3B4" w:rsidR="001103A4" w:rsidRPr="001103A4" w:rsidRDefault="001103A4" w:rsidP="001103A4">
      <w:pPr>
        <w:pStyle w:val="SingleTxt"/>
        <w:rPr>
          <w:lang w:val="fr-FR"/>
        </w:rPr>
      </w:pPr>
      <w:r w:rsidRPr="001103A4">
        <w:rPr>
          <w:lang w:val="fr-FR"/>
        </w:rPr>
        <w:t>Rapport valant quatrième et cinquième rapports périodiques des Îles Salomon, soumis selon la procédure simplifiée d’établissement des rapports (</w:t>
      </w:r>
      <w:hyperlink r:id="rId24" w:history="1">
        <w:r w:rsidRPr="001103A4">
          <w:rPr>
            <w:rStyle w:val="Hyperlink"/>
            <w:lang w:val="fr-FR"/>
          </w:rPr>
          <w:t>CEDAW/C/SLB/4-5</w:t>
        </w:r>
      </w:hyperlink>
      <w:r w:rsidRPr="001103A4">
        <w:rPr>
          <w:lang w:val="fr-FR"/>
        </w:rPr>
        <w:t>)</w:t>
      </w:r>
    </w:p>
    <w:p w14:paraId="351501FA" w14:textId="025662FB" w:rsidR="001103A4" w:rsidRPr="001103A4" w:rsidRDefault="001103A4" w:rsidP="001103A4">
      <w:pPr>
        <w:pStyle w:val="SingleTxt"/>
        <w:rPr>
          <w:lang w:val="fr-FR"/>
        </w:rPr>
      </w:pPr>
      <w:r w:rsidRPr="001103A4">
        <w:rPr>
          <w:lang w:val="fr-FR"/>
        </w:rPr>
        <w:t>Huitième rapport périodique de l’Irlande, soumis selon la procédure simplifiée d’établissement des rapports (</w:t>
      </w:r>
      <w:hyperlink r:id="rId25" w:history="1">
        <w:r w:rsidRPr="001103A4">
          <w:rPr>
            <w:rStyle w:val="Hyperlink"/>
            <w:lang w:val="fr-FR"/>
          </w:rPr>
          <w:t>CEDAW/C/IRL/8</w:t>
        </w:r>
      </w:hyperlink>
      <w:r w:rsidRPr="001103A4">
        <w:rPr>
          <w:lang w:val="fr-FR"/>
        </w:rPr>
        <w:t>)</w:t>
      </w:r>
    </w:p>
    <w:p w14:paraId="01F99217" w14:textId="30969A41" w:rsidR="001103A4" w:rsidRPr="001103A4" w:rsidRDefault="001103A4" w:rsidP="001103A4">
      <w:pPr>
        <w:pStyle w:val="SingleTxt"/>
        <w:rPr>
          <w:lang w:val="fr-FR"/>
        </w:rPr>
      </w:pPr>
      <w:r w:rsidRPr="001103A4">
        <w:rPr>
          <w:lang w:val="fr-FR"/>
        </w:rPr>
        <w:t>Dixième rapport périodique du Mexique, soumis selon la procédure simplifiée d’établissement des rapports (</w:t>
      </w:r>
      <w:hyperlink r:id="rId26" w:history="1">
        <w:r w:rsidRPr="001103A4">
          <w:rPr>
            <w:rStyle w:val="Hyperlink"/>
            <w:lang w:val="fr-FR"/>
          </w:rPr>
          <w:t>CEDAW/C/MEX/10</w:t>
        </w:r>
      </w:hyperlink>
      <w:r w:rsidRPr="001103A4">
        <w:rPr>
          <w:lang w:val="fr-FR"/>
        </w:rPr>
        <w:t>)</w:t>
      </w:r>
    </w:p>
    <w:p w14:paraId="5E662DA8" w14:textId="063E34E1" w:rsidR="001103A4" w:rsidRPr="001103A4" w:rsidRDefault="001103A4" w:rsidP="001103A4">
      <w:pPr>
        <w:pStyle w:val="SingleTxt"/>
        <w:rPr>
          <w:lang w:val="fr-FR"/>
        </w:rPr>
      </w:pPr>
      <w:r w:rsidRPr="001103A4">
        <w:rPr>
          <w:lang w:val="fr-FR"/>
        </w:rPr>
        <w:t>Rapport valant premier à cinquième rapports périodiques de Saint-Marin, soumis selon la procédure simplifiée d’établissement des rapports (</w:t>
      </w:r>
      <w:hyperlink r:id="rId27" w:history="1">
        <w:r w:rsidRPr="001103A4">
          <w:rPr>
            <w:rStyle w:val="Hyperlink"/>
            <w:lang w:val="fr-FR"/>
          </w:rPr>
          <w:t>CEDAW/C/SMR/1-5</w:t>
        </w:r>
      </w:hyperlink>
      <w:r w:rsidRPr="001103A4">
        <w:rPr>
          <w:lang w:val="fr-FR"/>
        </w:rPr>
        <w:t>)</w:t>
      </w:r>
    </w:p>
    <w:p w14:paraId="10F273CF" w14:textId="7FC68EDD" w:rsidR="001103A4" w:rsidRPr="001103A4" w:rsidRDefault="001103A4" w:rsidP="001103A4">
      <w:pPr>
        <w:pStyle w:val="SingleTxt"/>
        <w:rPr>
          <w:lang w:val="fr-FR"/>
        </w:rPr>
      </w:pPr>
      <w:r w:rsidRPr="001103A4">
        <w:rPr>
          <w:lang w:val="fr-FR"/>
        </w:rPr>
        <w:t>Cinquième rapport périodique du Tchad (</w:t>
      </w:r>
      <w:hyperlink r:id="rId28" w:history="1">
        <w:r w:rsidRPr="001103A4">
          <w:rPr>
            <w:rStyle w:val="Hyperlink"/>
            <w:lang w:val="fr-FR"/>
          </w:rPr>
          <w:t>CEDAW/C/TCD/5</w:t>
        </w:r>
      </w:hyperlink>
      <w:r w:rsidRPr="001103A4">
        <w:rPr>
          <w:lang w:val="fr-FR"/>
        </w:rPr>
        <w:t>)</w:t>
      </w:r>
    </w:p>
    <w:p w14:paraId="40517449" w14:textId="2C7DAED9" w:rsidR="001103A4" w:rsidRPr="001103A4" w:rsidRDefault="001103A4" w:rsidP="001103A4">
      <w:pPr>
        <w:pStyle w:val="SingleTxt"/>
        <w:rPr>
          <w:lang w:val="fr-FR"/>
        </w:rPr>
      </w:pPr>
      <w:r w:rsidRPr="001103A4">
        <w:rPr>
          <w:lang w:val="fr-FR"/>
        </w:rPr>
        <w:t>Huitième rapport périodique de la Thaïlande, soumis selon la procédure simplifiée d’établissement des rapports (</w:t>
      </w:r>
      <w:hyperlink r:id="rId29" w:history="1">
        <w:r w:rsidRPr="001103A4">
          <w:rPr>
            <w:rStyle w:val="Hyperlink"/>
            <w:lang w:val="fr-FR"/>
          </w:rPr>
          <w:t>CEDAW/C/THA/8</w:t>
        </w:r>
      </w:hyperlink>
      <w:r w:rsidRPr="001103A4">
        <w:rPr>
          <w:lang w:val="fr-FR"/>
        </w:rPr>
        <w:t>)</w:t>
      </w:r>
    </w:p>
    <w:p w14:paraId="0FE6F52E" w14:textId="40745F43" w:rsidR="001103A4" w:rsidRPr="001103A4" w:rsidRDefault="001103A4" w:rsidP="001103A4">
      <w:pPr>
        <w:pStyle w:val="SingleTxt"/>
        <w:rPr>
          <w:lang w:val="fr-FR"/>
        </w:rPr>
      </w:pPr>
      <w:r w:rsidRPr="001103A4">
        <w:rPr>
          <w:lang w:val="fr-FR"/>
        </w:rPr>
        <w:t>Rapport valant cinquième et sixième rapports périodiques des Tuvalu, soumis selon la procédure simplifiée d’établissement des rapports (</w:t>
      </w:r>
      <w:hyperlink r:id="rId30" w:history="1">
        <w:r w:rsidRPr="001103A4">
          <w:rPr>
            <w:rStyle w:val="Hyperlink"/>
            <w:lang w:val="fr-FR"/>
          </w:rPr>
          <w:t>CEDAW/C/TUV/5-6</w:t>
        </w:r>
      </w:hyperlink>
      <w:r w:rsidRPr="001103A4">
        <w:rPr>
          <w:lang w:val="fr-FR"/>
        </w:rPr>
        <w:t>)</w:t>
      </w:r>
    </w:p>
    <w:p w14:paraId="2A58A554" w14:textId="77777777" w:rsidR="001103A4" w:rsidRPr="001103A4" w:rsidRDefault="001103A4" w:rsidP="001103A4">
      <w:pPr>
        <w:pStyle w:val="SingleTxt"/>
        <w:spacing w:after="0" w:line="120" w:lineRule="exact"/>
        <w:rPr>
          <w:sz w:val="10"/>
          <w:lang w:val="fr-FR"/>
        </w:rPr>
      </w:pPr>
    </w:p>
    <w:p w14:paraId="25CB4329" w14:textId="77777777" w:rsidR="001103A4" w:rsidRPr="001103A4" w:rsidRDefault="001103A4" w:rsidP="001103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ab/>
      </w:r>
      <w:r w:rsidRPr="001103A4">
        <w:rPr>
          <w:lang w:val="fr-FR"/>
        </w:rPr>
        <w:tab/>
        <w:t>Listes de points et de questions</w:t>
      </w:r>
    </w:p>
    <w:p w14:paraId="01DC45DA" w14:textId="77777777" w:rsidR="001103A4" w:rsidRPr="001103A4" w:rsidRDefault="001103A4" w:rsidP="001103A4">
      <w:pPr>
        <w:pStyle w:val="SingleTxt"/>
        <w:spacing w:after="0" w:line="120" w:lineRule="exact"/>
        <w:rPr>
          <w:sz w:val="10"/>
          <w:lang w:val="fr-FR"/>
        </w:rPr>
      </w:pPr>
    </w:p>
    <w:p w14:paraId="4813F8AA" w14:textId="3C45BDD6" w:rsidR="001103A4" w:rsidRPr="001103A4" w:rsidRDefault="001103A4" w:rsidP="001103A4">
      <w:pPr>
        <w:pStyle w:val="SingleTxt"/>
        <w:rPr>
          <w:lang w:val="fr-FR"/>
        </w:rPr>
      </w:pPr>
      <w:r w:rsidRPr="001103A4">
        <w:rPr>
          <w:lang w:val="fr-FR"/>
        </w:rPr>
        <w:t>Botswana (</w:t>
      </w:r>
      <w:hyperlink r:id="rId31" w:history="1">
        <w:r w:rsidRPr="001103A4">
          <w:rPr>
            <w:rStyle w:val="Hyperlink"/>
            <w:lang w:val="fr-FR"/>
          </w:rPr>
          <w:t>CEDAW/C/BWA/Q/5</w:t>
        </w:r>
      </w:hyperlink>
      <w:r w:rsidRPr="001103A4">
        <w:rPr>
          <w:lang w:val="fr-FR"/>
        </w:rPr>
        <w:t>)</w:t>
      </w:r>
      <w:bookmarkStart w:id="3" w:name="bmv10"/>
      <w:bookmarkEnd w:id="3"/>
    </w:p>
    <w:p w14:paraId="4137744A" w14:textId="757342E3" w:rsidR="001103A4" w:rsidRPr="001103A4" w:rsidRDefault="001103A4" w:rsidP="001103A4">
      <w:pPr>
        <w:pStyle w:val="SingleTxt"/>
        <w:rPr>
          <w:lang w:val="fr-FR"/>
        </w:rPr>
      </w:pPr>
      <w:r w:rsidRPr="001103A4">
        <w:rPr>
          <w:lang w:val="fr-FR"/>
        </w:rPr>
        <w:t>Fidji (</w:t>
      </w:r>
      <w:hyperlink r:id="rId32" w:history="1">
        <w:r w:rsidRPr="001103A4">
          <w:rPr>
            <w:rStyle w:val="Hyperlink"/>
            <w:lang w:val="fr-FR"/>
          </w:rPr>
          <w:t>CEDAW/C/FJI/QPR/6</w:t>
        </w:r>
      </w:hyperlink>
      <w:r w:rsidRPr="001103A4">
        <w:rPr>
          <w:lang w:val="fr-FR"/>
        </w:rPr>
        <w:t>)</w:t>
      </w:r>
    </w:p>
    <w:p w14:paraId="34B0F66E" w14:textId="020EC341" w:rsidR="001103A4" w:rsidRDefault="001103A4" w:rsidP="001103A4">
      <w:pPr>
        <w:pStyle w:val="SingleTxt"/>
        <w:rPr>
          <w:lang w:val="fr-FR"/>
        </w:rPr>
      </w:pPr>
      <w:r w:rsidRPr="001103A4">
        <w:rPr>
          <w:lang w:val="fr-FR"/>
        </w:rPr>
        <w:t>Îles Salomon (</w:t>
      </w:r>
      <w:hyperlink r:id="rId33" w:history="1">
        <w:r w:rsidRPr="001103A4">
          <w:rPr>
            <w:rStyle w:val="Hyperlink"/>
            <w:lang w:val="fr-FR"/>
          </w:rPr>
          <w:t>CEDAW/C/SLB/QPR/4-5</w:t>
        </w:r>
      </w:hyperlink>
      <w:r w:rsidRPr="001103A4">
        <w:rPr>
          <w:lang w:val="fr-FR"/>
        </w:rPr>
        <w:t>)</w:t>
      </w:r>
      <w:r>
        <w:rPr>
          <w:lang w:val="fr-FR"/>
        </w:rPr>
        <w:t xml:space="preserve"> </w:t>
      </w:r>
    </w:p>
    <w:p w14:paraId="07750F41" w14:textId="4560A4FD" w:rsidR="001103A4" w:rsidRPr="001103A4" w:rsidRDefault="001103A4" w:rsidP="001103A4">
      <w:pPr>
        <w:pStyle w:val="SingleTxt"/>
        <w:rPr>
          <w:lang w:val="pt-PT"/>
        </w:rPr>
      </w:pPr>
      <w:r w:rsidRPr="001103A4">
        <w:rPr>
          <w:lang w:val="pt-PT"/>
        </w:rPr>
        <w:t>Irlande (</w:t>
      </w:r>
      <w:hyperlink r:id="rId34" w:history="1">
        <w:r w:rsidRPr="001103A4">
          <w:rPr>
            <w:rStyle w:val="Hyperlink"/>
            <w:lang w:val="pt-PT"/>
          </w:rPr>
          <w:t>CEDAW/C/IRL/QPR/8</w:t>
        </w:r>
      </w:hyperlink>
      <w:r w:rsidRPr="001103A4">
        <w:rPr>
          <w:lang w:val="pt-PT"/>
        </w:rPr>
        <w:t>)</w:t>
      </w:r>
    </w:p>
    <w:p w14:paraId="30D6F852" w14:textId="35584134" w:rsidR="001103A4" w:rsidRPr="00B837CF" w:rsidRDefault="001103A4" w:rsidP="001103A4">
      <w:pPr>
        <w:pStyle w:val="SingleTxt"/>
        <w:rPr>
          <w:lang w:val="pt-PT"/>
        </w:rPr>
      </w:pPr>
      <w:r w:rsidRPr="00B837CF">
        <w:rPr>
          <w:lang w:val="pt-PT"/>
        </w:rPr>
        <w:t>Mexique (</w:t>
      </w:r>
      <w:hyperlink r:id="rId35" w:history="1">
        <w:r w:rsidRPr="00B837CF">
          <w:rPr>
            <w:rStyle w:val="Hyperlink"/>
            <w:lang w:val="pt-PT"/>
          </w:rPr>
          <w:t>CEDAW/C/MEX/QPR/10</w:t>
        </w:r>
      </w:hyperlink>
      <w:r w:rsidRPr="00B837CF">
        <w:rPr>
          <w:lang w:val="pt-PT"/>
        </w:rPr>
        <w:t>)</w:t>
      </w:r>
    </w:p>
    <w:p w14:paraId="4201351C" w14:textId="075A61E0" w:rsidR="001103A4" w:rsidRPr="00B837CF" w:rsidRDefault="001103A4" w:rsidP="001103A4">
      <w:pPr>
        <w:pStyle w:val="SingleTxt"/>
        <w:rPr>
          <w:lang w:val="pt-PT"/>
        </w:rPr>
      </w:pPr>
      <w:r w:rsidRPr="00B837CF">
        <w:rPr>
          <w:lang w:val="pt-PT"/>
        </w:rPr>
        <w:t>Saint-Marin (</w:t>
      </w:r>
      <w:hyperlink r:id="rId36" w:history="1">
        <w:r w:rsidRPr="00B837CF">
          <w:rPr>
            <w:rStyle w:val="Hyperlink"/>
            <w:lang w:val="pt-PT"/>
          </w:rPr>
          <w:t>CEDAW/C/SMR/QPR/1-5</w:t>
        </w:r>
      </w:hyperlink>
      <w:r w:rsidRPr="00B837CF">
        <w:rPr>
          <w:lang w:val="pt-PT"/>
        </w:rPr>
        <w:t>)</w:t>
      </w:r>
    </w:p>
    <w:p w14:paraId="435F4C69" w14:textId="3545F549" w:rsidR="001103A4" w:rsidRPr="001103A4" w:rsidRDefault="001103A4" w:rsidP="001103A4">
      <w:pPr>
        <w:pStyle w:val="SingleTxt"/>
        <w:rPr>
          <w:lang w:val="en-GB"/>
        </w:rPr>
      </w:pPr>
      <w:r w:rsidRPr="001103A4">
        <w:rPr>
          <w:lang w:val="en-US"/>
        </w:rPr>
        <w:t>Tchad (</w:t>
      </w:r>
      <w:hyperlink r:id="rId37" w:history="1">
        <w:r w:rsidRPr="001103A4">
          <w:rPr>
            <w:rStyle w:val="Hyperlink"/>
            <w:lang w:val="en-US"/>
          </w:rPr>
          <w:t>CEDAW/C/TCD/Q/5</w:t>
        </w:r>
      </w:hyperlink>
      <w:r w:rsidRPr="001103A4">
        <w:rPr>
          <w:lang w:val="en-US"/>
        </w:rPr>
        <w:t>)</w:t>
      </w:r>
    </w:p>
    <w:p w14:paraId="3A033ECC" w14:textId="3E2AA9DF" w:rsidR="001103A4" w:rsidRPr="001103A4" w:rsidRDefault="001103A4" w:rsidP="001103A4">
      <w:pPr>
        <w:pStyle w:val="SingleTxt"/>
        <w:rPr>
          <w:lang w:val="pt-PT"/>
        </w:rPr>
      </w:pPr>
      <w:r w:rsidRPr="001103A4">
        <w:rPr>
          <w:lang w:val="pt-PT"/>
        </w:rPr>
        <w:t>Thaïlande (</w:t>
      </w:r>
      <w:hyperlink r:id="rId38" w:history="1">
        <w:r w:rsidRPr="001103A4">
          <w:rPr>
            <w:rStyle w:val="Hyperlink"/>
            <w:lang w:val="pt-PT"/>
          </w:rPr>
          <w:t>CEDAW/C/THA/QPR/8</w:t>
        </w:r>
      </w:hyperlink>
      <w:r w:rsidRPr="001103A4">
        <w:rPr>
          <w:lang w:val="pt-PT"/>
        </w:rPr>
        <w:t>)</w:t>
      </w:r>
    </w:p>
    <w:p w14:paraId="298CEC1B" w14:textId="3EE1DBA9" w:rsidR="001103A4" w:rsidRPr="001103A4" w:rsidRDefault="001103A4" w:rsidP="001103A4">
      <w:pPr>
        <w:pStyle w:val="SingleTxt"/>
        <w:rPr>
          <w:lang w:val="pt-PT"/>
        </w:rPr>
      </w:pPr>
      <w:r w:rsidRPr="001103A4">
        <w:rPr>
          <w:lang w:val="pt-PT"/>
        </w:rPr>
        <w:t>Tuvalu (</w:t>
      </w:r>
      <w:hyperlink r:id="rId39" w:history="1">
        <w:r w:rsidRPr="001103A4">
          <w:rPr>
            <w:rStyle w:val="Hyperlink"/>
            <w:lang w:val="pt-PT"/>
          </w:rPr>
          <w:t>CEDAW/C/TUV/QPR/5-6</w:t>
        </w:r>
      </w:hyperlink>
      <w:r w:rsidRPr="001103A4">
        <w:rPr>
          <w:lang w:val="pt-PT"/>
        </w:rPr>
        <w:t>)</w:t>
      </w:r>
    </w:p>
    <w:p w14:paraId="1E4A930A" w14:textId="77777777" w:rsidR="001103A4" w:rsidRPr="001103A4" w:rsidRDefault="001103A4" w:rsidP="001103A4">
      <w:pPr>
        <w:pStyle w:val="SingleTxt"/>
        <w:spacing w:after="0" w:line="120" w:lineRule="exact"/>
        <w:rPr>
          <w:sz w:val="10"/>
          <w:lang w:val="pt-PT"/>
        </w:rPr>
      </w:pPr>
    </w:p>
    <w:p w14:paraId="2DF7A832" w14:textId="77777777" w:rsidR="001103A4" w:rsidRPr="001103A4" w:rsidRDefault="001103A4" w:rsidP="001103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pt-PT"/>
        </w:rPr>
        <w:tab/>
      </w:r>
      <w:r w:rsidRPr="001103A4">
        <w:rPr>
          <w:lang w:val="pt-PT"/>
        </w:rPr>
        <w:tab/>
      </w:r>
      <w:r w:rsidRPr="001103A4">
        <w:rPr>
          <w:lang w:val="fr-FR"/>
        </w:rPr>
        <w:t>Réponses aux listes de points et de questions</w:t>
      </w:r>
    </w:p>
    <w:p w14:paraId="10FC5D89" w14:textId="77777777" w:rsidR="001103A4" w:rsidRPr="001103A4" w:rsidRDefault="001103A4" w:rsidP="001103A4">
      <w:pPr>
        <w:pStyle w:val="SingleTxt"/>
        <w:spacing w:after="0" w:line="120" w:lineRule="exact"/>
        <w:rPr>
          <w:sz w:val="10"/>
          <w:lang w:val="fr-FR"/>
        </w:rPr>
      </w:pPr>
    </w:p>
    <w:p w14:paraId="3C9CFC4E" w14:textId="24AEE698" w:rsidR="001103A4" w:rsidRPr="001103A4" w:rsidRDefault="001103A4" w:rsidP="001103A4">
      <w:pPr>
        <w:pStyle w:val="SingleTxt"/>
        <w:rPr>
          <w:lang w:val="fr-FR"/>
        </w:rPr>
      </w:pPr>
      <w:r w:rsidRPr="001103A4">
        <w:rPr>
          <w:lang w:val="fr-FR"/>
        </w:rPr>
        <w:t>Botswana (</w:t>
      </w:r>
      <w:hyperlink r:id="rId40" w:history="1">
        <w:r w:rsidRPr="001103A4">
          <w:rPr>
            <w:rStyle w:val="Hyperlink"/>
            <w:lang w:val="fr-FR"/>
          </w:rPr>
          <w:t>CEDAW/C/BWA/RQ/5</w:t>
        </w:r>
      </w:hyperlink>
      <w:r w:rsidRPr="001103A4">
        <w:rPr>
          <w:lang w:val="fr-FR"/>
        </w:rPr>
        <w:t>)</w:t>
      </w:r>
      <w:bookmarkStart w:id="4" w:name="bmv17"/>
      <w:bookmarkEnd w:id="4"/>
    </w:p>
    <w:p w14:paraId="6D880444" w14:textId="4394D756" w:rsidR="001103A4" w:rsidRPr="001103A4" w:rsidRDefault="001103A4" w:rsidP="001103A4">
      <w:pPr>
        <w:pStyle w:val="SingleTxt"/>
        <w:rPr>
          <w:lang w:val="fr-FR"/>
        </w:rPr>
      </w:pPr>
      <w:r w:rsidRPr="001103A4">
        <w:rPr>
          <w:lang w:val="fr-FR"/>
        </w:rPr>
        <w:t>Tchad (</w:t>
      </w:r>
      <w:hyperlink r:id="rId41" w:history="1">
        <w:r w:rsidRPr="001103A4">
          <w:rPr>
            <w:rStyle w:val="Hyperlink"/>
            <w:lang w:val="fr-FR"/>
          </w:rPr>
          <w:t>CEDAW/C/TCD/RQ/5</w:t>
        </w:r>
      </w:hyperlink>
      <w:r w:rsidRPr="001103A4">
        <w:rPr>
          <w:lang w:val="fr-FR"/>
        </w:rPr>
        <w:t>)</w:t>
      </w:r>
      <w:bookmarkStart w:id="5" w:name="bmv18"/>
      <w:bookmarkEnd w:id="5"/>
    </w:p>
    <w:p w14:paraId="16188CEE" w14:textId="77777777" w:rsidR="001103A4" w:rsidRPr="001103A4" w:rsidRDefault="001103A4" w:rsidP="001103A4">
      <w:pPr>
        <w:pStyle w:val="SingleTxt"/>
        <w:spacing w:after="0" w:line="120" w:lineRule="exact"/>
        <w:rPr>
          <w:sz w:val="10"/>
          <w:lang w:val="fr-FR"/>
        </w:rPr>
      </w:pPr>
    </w:p>
    <w:p w14:paraId="1A03D1E4" w14:textId="34E999E9"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5.</w:t>
      </w:r>
      <w:r w:rsidRPr="001103A4">
        <w:rPr>
          <w:lang w:val="fr-FR"/>
        </w:rPr>
        <w:tab/>
        <w:t>Suite donnée à l’examen des rapports soumis par les États Parties en application de l’article 18 de la Convention.</w:t>
      </w:r>
    </w:p>
    <w:p w14:paraId="1F97DD24" w14:textId="77777777" w:rsidR="001103A4" w:rsidRPr="001103A4" w:rsidRDefault="001103A4" w:rsidP="001103A4">
      <w:pPr>
        <w:pStyle w:val="SingleTxt"/>
        <w:spacing w:after="0" w:line="120" w:lineRule="exact"/>
        <w:rPr>
          <w:sz w:val="10"/>
          <w:lang w:val="fr-FR"/>
        </w:rPr>
      </w:pPr>
    </w:p>
    <w:p w14:paraId="200B623B" w14:textId="77777777" w:rsidR="001103A4" w:rsidRPr="001103A4" w:rsidRDefault="001103A4" w:rsidP="001103A4">
      <w:pPr>
        <w:pStyle w:val="SingleTxt"/>
        <w:rPr>
          <w:lang w:val="fr-FR"/>
        </w:rPr>
      </w:pPr>
      <w:r w:rsidRPr="001103A4">
        <w:rPr>
          <w:lang w:val="fr-FR"/>
        </w:rPr>
        <w:t>Le Comité examinera les questions se rapportant à la suite donnée à ses observations finales.</w:t>
      </w:r>
    </w:p>
    <w:p w14:paraId="5535B462" w14:textId="19EA823F"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1103A4">
        <w:rPr>
          <w:lang w:val="fr-FR"/>
        </w:rPr>
        <w:t>6.</w:t>
      </w:r>
      <w:r w:rsidRPr="001103A4">
        <w:rPr>
          <w:lang w:val="fr-FR"/>
        </w:rPr>
        <w:tab/>
      </w:r>
      <w:r w:rsidRPr="001B4A2D">
        <w:rPr>
          <w:lang w:val="fr-FR"/>
        </w:rPr>
        <w:t>Application des articles </w:t>
      </w:r>
      <w:r w:rsidRPr="001103A4">
        <w:rPr>
          <w:lang w:val="fr-FR"/>
        </w:rPr>
        <w:t>21 et 22 de la Convention</w:t>
      </w:r>
    </w:p>
    <w:p w14:paraId="0855E55A" w14:textId="77777777" w:rsidR="001103A4" w:rsidRPr="001103A4" w:rsidRDefault="001103A4" w:rsidP="001103A4">
      <w:pPr>
        <w:pStyle w:val="SingleTxt"/>
        <w:spacing w:after="0" w:line="120" w:lineRule="exact"/>
        <w:rPr>
          <w:sz w:val="10"/>
          <w:lang w:val="fr-FR"/>
        </w:rPr>
      </w:pPr>
    </w:p>
    <w:p w14:paraId="624C67B0" w14:textId="77777777" w:rsidR="001103A4" w:rsidRPr="001103A4" w:rsidRDefault="001103A4" w:rsidP="001103A4">
      <w:pPr>
        <w:pStyle w:val="SingleTxt"/>
        <w:rPr>
          <w:lang w:val="fr-FR"/>
        </w:rPr>
      </w:pPr>
      <w:r w:rsidRPr="001103A4">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2832BB68" w14:textId="77777777" w:rsidR="001103A4" w:rsidRPr="001103A4" w:rsidRDefault="001103A4" w:rsidP="001103A4">
      <w:pPr>
        <w:pStyle w:val="SingleTxt"/>
        <w:rPr>
          <w:lang w:val="fr-FR"/>
        </w:rPr>
      </w:pPr>
      <w:r w:rsidRPr="001103A4">
        <w:rPr>
          <w:lang w:val="fr-FR"/>
        </w:rPr>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3D4C50E9" w14:textId="77777777" w:rsidR="001103A4" w:rsidRPr="001103A4" w:rsidRDefault="001103A4" w:rsidP="001103A4">
      <w:pPr>
        <w:pStyle w:val="SingleTxt"/>
        <w:spacing w:after="0" w:line="120" w:lineRule="exact"/>
        <w:rPr>
          <w:sz w:val="10"/>
          <w:lang w:val="fr-FR"/>
        </w:rPr>
      </w:pPr>
    </w:p>
    <w:p w14:paraId="33C8C31A" w14:textId="77777777" w:rsidR="001103A4" w:rsidRPr="001103A4" w:rsidRDefault="001103A4" w:rsidP="00DE0D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ab/>
      </w:r>
      <w:r w:rsidRPr="001103A4">
        <w:rPr>
          <w:lang w:val="fr-FR"/>
        </w:rPr>
        <w:tab/>
        <w:t>Documentation</w:t>
      </w:r>
    </w:p>
    <w:p w14:paraId="37F188B9" w14:textId="77777777" w:rsidR="001103A4" w:rsidRPr="001103A4" w:rsidRDefault="001103A4" w:rsidP="001103A4">
      <w:pPr>
        <w:pStyle w:val="SingleTxt"/>
        <w:spacing w:after="0" w:line="120" w:lineRule="exact"/>
        <w:rPr>
          <w:sz w:val="10"/>
          <w:lang w:val="fr-FR"/>
        </w:rPr>
      </w:pPr>
    </w:p>
    <w:p w14:paraId="4816F799" w14:textId="77777777" w:rsidR="001103A4" w:rsidRPr="001103A4" w:rsidRDefault="001103A4" w:rsidP="001103A4">
      <w:pPr>
        <w:pStyle w:val="SingleTxt"/>
        <w:rPr>
          <w:lang w:val="fr-FR"/>
        </w:rPr>
      </w:pPr>
      <w:r w:rsidRPr="001103A4">
        <w:rPr>
          <w:lang w:val="fr-FR"/>
        </w:rPr>
        <w:t>Rapports présentés par les institutions spécialisées des Nations Unies sur l’application de la Convention dans les domaines qui entrent dans le cadre de leurs activités</w:t>
      </w:r>
    </w:p>
    <w:p w14:paraId="342592FB" w14:textId="77777777" w:rsidR="001103A4" w:rsidRPr="001103A4" w:rsidRDefault="001103A4" w:rsidP="001103A4">
      <w:pPr>
        <w:pStyle w:val="SingleTxt"/>
        <w:spacing w:after="0" w:line="120" w:lineRule="exact"/>
        <w:rPr>
          <w:sz w:val="10"/>
          <w:lang w:val="fr-FR"/>
        </w:rPr>
      </w:pPr>
    </w:p>
    <w:p w14:paraId="20847E54" w14:textId="56477A38"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7.</w:t>
      </w:r>
      <w:r w:rsidRPr="001103A4">
        <w:rPr>
          <w:lang w:val="fr-FR"/>
        </w:rPr>
        <w:tab/>
        <w:t>Moyens d’accélérer les travaux du Comité</w:t>
      </w:r>
    </w:p>
    <w:p w14:paraId="15EF1983" w14:textId="77777777" w:rsidR="001103A4" w:rsidRPr="001103A4" w:rsidRDefault="001103A4" w:rsidP="001103A4">
      <w:pPr>
        <w:pStyle w:val="SingleTxt"/>
        <w:spacing w:after="0" w:line="120" w:lineRule="exact"/>
        <w:rPr>
          <w:sz w:val="10"/>
          <w:lang w:val="fr-FR"/>
        </w:rPr>
      </w:pPr>
    </w:p>
    <w:p w14:paraId="10B26486" w14:textId="77777777" w:rsidR="001103A4" w:rsidRPr="001103A4" w:rsidRDefault="001103A4" w:rsidP="001103A4">
      <w:pPr>
        <w:pStyle w:val="SingleTxt"/>
        <w:rPr>
          <w:lang w:val="fr-FR"/>
        </w:rPr>
      </w:pPr>
      <w:r w:rsidRPr="001103A4">
        <w:rPr>
          <w:lang w:val="fr-FR"/>
        </w:rPr>
        <w:t>Le Comité examinera les questions se rapportant à ses méthodes de travail.</w:t>
      </w:r>
    </w:p>
    <w:p w14:paraId="26C7296B" w14:textId="77777777" w:rsidR="001103A4" w:rsidRPr="001103A4" w:rsidRDefault="001103A4" w:rsidP="001103A4">
      <w:pPr>
        <w:pStyle w:val="SingleTxt"/>
        <w:spacing w:after="0" w:line="120" w:lineRule="exact"/>
        <w:rPr>
          <w:sz w:val="10"/>
          <w:lang w:val="fr-FR"/>
        </w:rPr>
      </w:pPr>
    </w:p>
    <w:p w14:paraId="418CC550" w14:textId="2AAE2629"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8.</w:t>
      </w:r>
      <w:r w:rsidRPr="001103A4">
        <w:rPr>
          <w:lang w:val="fr-FR"/>
        </w:rPr>
        <w:tab/>
        <w:t>Activités menées par le Comité au titre du Protocole facultatif à la Convention</w:t>
      </w:r>
    </w:p>
    <w:p w14:paraId="507A66ED" w14:textId="77777777" w:rsidR="001103A4" w:rsidRPr="001103A4" w:rsidRDefault="001103A4" w:rsidP="001103A4">
      <w:pPr>
        <w:pStyle w:val="SingleTxt"/>
        <w:spacing w:after="0" w:line="120" w:lineRule="exact"/>
        <w:rPr>
          <w:sz w:val="10"/>
          <w:lang w:val="fr-FR"/>
        </w:rPr>
      </w:pPr>
    </w:p>
    <w:p w14:paraId="02CB7C46" w14:textId="77777777" w:rsidR="001103A4" w:rsidRPr="001103A4" w:rsidRDefault="001103A4" w:rsidP="001103A4">
      <w:pPr>
        <w:pStyle w:val="SingleTxt"/>
        <w:rPr>
          <w:lang w:val="fr-FR"/>
        </w:rPr>
      </w:pPr>
      <w:r w:rsidRPr="001103A4">
        <w:rPr>
          <w:lang w:val="fr-FR"/>
        </w:rPr>
        <w:t>La soixante-deuxième session du Groupe de travail des communications soumises au titre du Protocole facultatif à la Convention et la trente-et-unième session du Groupe de travail chargé des enquêtes menées au titre du Protocole facultatif, qui devaient se tenir à Genève les 12 et 13 juin 2025, ont été annulées du fait de la crise de liquidités qui touche actuellement le budget ordinaire de l’Organisation des Nations Unies.</w:t>
      </w:r>
    </w:p>
    <w:p w14:paraId="536B4BAA" w14:textId="77777777" w:rsidR="001103A4" w:rsidRPr="001103A4" w:rsidRDefault="001103A4" w:rsidP="001103A4">
      <w:pPr>
        <w:pStyle w:val="SingleTxt"/>
        <w:rPr>
          <w:lang w:val="fr-FR"/>
        </w:rPr>
      </w:pPr>
      <w:r w:rsidRPr="001103A4">
        <w:rPr>
          <w:lang w:val="fr-FR"/>
        </w:rPr>
        <w:t>À sa quatre-vingt-onzième session, le Comité continuera de s’acquitter du mandat qu’il tient des articles 2 et 8 du Protocole facultatif à la Convention.</w:t>
      </w:r>
    </w:p>
    <w:p w14:paraId="5642A87A" w14:textId="77777777" w:rsidR="001103A4" w:rsidRPr="001103A4" w:rsidRDefault="001103A4" w:rsidP="001103A4">
      <w:pPr>
        <w:pStyle w:val="SingleTxt"/>
        <w:spacing w:after="0" w:line="120" w:lineRule="exact"/>
        <w:rPr>
          <w:sz w:val="10"/>
          <w:lang w:val="fr-FR"/>
        </w:rPr>
      </w:pPr>
    </w:p>
    <w:p w14:paraId="56463A7E" w14:textId="2AF3DAF2"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9.</w:t>
      </w:r>
      <w:r w:rsidRPr="001103A4">
        <w:rPr>
          <w:lang w:val="fr-FR"/>
        </w:rPr>
        <w:tab/>
        <w:t>Ordre du jour provisoire de la quatre-vingt-douzième session du Comité</w:t>
      </w:r>
    </w:p>
    <w:p w14:paraId="5F3EDC5F" w14:textId="77777777" w:rsidR="001103A4" w:rsidRPr="001103A4" w:rsidRDefault="001103A4" w:rsidP="001103A4">
      <w:pPr>
        <w:pStyle w:val="SingleTxt"/>
        <w:spacing w:after="0" w:line="120" w:lineRule="exact"/>
        <w:rPr>
          <w:sz w:val="10"/>
          <w:lang w:val="fr-FR"/>
        </w:rPr>
      </w:pPr>
    </w:p>
    <w:p w14:paraId="0999183C" w14:textId="77777777" w:rsidR="001103A4" w:rsidRPr="001103A4" w:rsidRDefault="001103A4" w:rsidP="001103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03A4">
        <w:rPr>
          <w:lang w:val="fr-FR"/>
        </w:rPr>
        <w:tab/>
      </w:r>
      <w:r w:rsidRPr="001103A4">
        <w:rPr>
          <w:lang w:val="fr-FR"/>
        </w:rPr>
        <w:tab/>
        <w:t>Documentation</w:t>
      </w:r>
    </w:p>
    <w:p w14:paraId="5143629A" w14:textId="77777777" w:rsidR="001103A4" w:rsidRPr="001103A4" w:rsidRDefault="001103A4" w:rsidP="001103A4">
      <w:pPr>
        <w:pStyle w:val="SingleTxt"/>
        <w:spacing w:after="0" w:line="120" w:lineRule="exact"/>
        <w:rPr>
          <w:sz w:val="10"/>
          <w:lang w:val="fr-FR"/>
        </w:rPr>
      </w:pPr>
    </w:p>
    <w:p w14:paraId="212A9F9D" w14:textId="1E57CE9A" w:rsidR="001103A4" w:rsidRPr="001103A4" w:rsidRDefault="001103A4" w:rsidP="001103A4">
      <w:pPr>
        <w:pStyle w:val="SingleTxt"/>
        <w:rPr>
          <w:lang w:val="fr-FR"/>
        </w:rPr>
      </w:pPr>
      <w:r w:rsidRPr="001103A4">
        <w:rPr>
          <w:lang w:val="fr-FR"/>
        </w:rPr>
        <w:t>Ordre du jour provisoire annoté de la quatre-vingt-douzième session (</w:t>
      </w:r>
      <w:hyperlink r:id="rId42" w:history="1">
        <w:r w:rsidRPr="001103A4">
          <w:rPr>
            <w:rStyle w:val="Hyperlink"/>
            <w:lang w:val="fr-FR"/>
          </w:rPr>
          <w:t>CEDAW/C/92/1</w:t>
        </w:r>
      </w:hyperlink>
      <w:r w:rsidRPr="001103A4">
        <w:rPr>
          <w:lang w:val="fr-FR"/>
        </w:rPr>
        <w:t>)</w:t>
      </w:r>
      <w:bookmarkStart w:id="6" w:name="bmv21"/>
      <w:bookmarkEnd w:id="6"/>
    </w:p>
    <w:p w14:paraId="7B3A1290" w14:textId="77777777" w:rsidR="001103A4" w:rsidRPr="001103A4" w:rsidRDefault="001103A4" w:rsidP="001103A4">
      <w:pPr>
        <w:pStyle w:val="SingleTxt"/>
        <w:spacing w:after="0" w:line="120" w:lineRule="exact"/>
        <w:rPr>
          <w:sz w:val="10"/>
          <w:lang w:val="fr-FR"/>
        </w:rPr>
      </w:pPr>
    </w:p>
    <w:p w14:paraId="7DE717EB" w14:textId="0E4A2703" w:rsidR="001103A4" w:rsidRPr="001103A4" w:rsidRDefault="001103A4" w:rsidP="001103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103A4">
        <w:rPr>
          <w:lang w:val="fr-FR"/>
        </w:rPr>
        <w:t>10.</w:t>
      </w:r>
      <w:r w:rsidRPr="001103A4">
        <w:rPr>
          <w:lang w:val="fr-FR"/>
        </w:rPr>
        <w:tab/>
        <w:t>Adoption du rapport du Comité sur les travaux de sa quatre-vingt-onzième session</w:t>
      </w:r>
    </w:p>
    <w:p w14:paraId="258D8B15" w14:textId="77777777" w:rsidR="001103A4" w:rsidRPr="001103A4" w:rsidRDefault="001103A4" w:rsidP="001103A4">
      <w:pPr>
        <w:pStyle w:val="SingleTxt"/>
        <w:spacing w:after="0" w:line="120" w:lineRule="exact"/>
        <w:rPr>
          <w:sz w:val="10"/>
          <w:lang w:val="fr-FR"/>
        </w:rPr>
      </w:pPr>
    </w:p>
    <w:p w14:paraId="4F50C3B6" w14:textId="732AED9C" w:rsidR="001103A4" w:rsidRPr="001103A4" w:rsidRDefault="001103A4" w:rsidP="001103A4">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0EA70BB" wp14:editId="560093E3">
                <wp:simplePos x="0" y="0"/>
                <wp:positionH relativeFrom="page">
                  <wp:posOffset>3429000</wp:posOffset>
                </wp:positionH>
                <wp:positionV relativeFrom="paragraph">
                  <wp:posOffset>304800</wp:posOffset>
                </wp:positionV>
                <wp:extent cx="914400" cy="0"/>
                <wp:effectExtent l="0" t="0" r="0" b="0"/>
                <wp:wrapNone/>
                <wp:docPr id="50125564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4C07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103A4" w:rsidRPr="001103A4" w:rsidSect="001103A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01T13:22:00Z" w:initials="Start">
    <w:p w14:paraId="04B76B02" w14:textId="77777777" w:rsidR="007A5AF7" w:rsidRPr="00DE0D0C" w:rsidRDefault="007A5AF7">
      <w:pPr>
        <w:pStyle w:val="CommentText"/>
        <w:rPr>
          <w:lang w:val="en-US"/>
        </w:rPr>
      </w:pPr>
      <w:r>
        <w:rPr>
          <w:rStyle w:val="CommentReference"/>
        </w:rPr>
        <w:annotationRef/>
      </w:r>
      <w:r w:rsidRPr="00DE0D0C">
        <w:rPr>
          <w:lang w:val="en-US"/>
        </w:rPr>
        <w:t>&lt;&lt;ODS JOB NO&gt;&gt;N2510183F&lt;&lt;ODS JOB NO&gt;&gt;</w:t>
      </w:r>
    </w:p>
    <w:p w14:paraId="4EF52964" w14:textId="77777777" w:rsidR="007A5AF7" w:rsidRDefault="007A5AF7">
      <w:pPr>
        <w:pStyle w:val="CommentText"/>
      </w:pPr>
      <w:r>
        <w:t>&lt;&lt;ODS DOC SYMBOL1&gt;&gt;CEDAW/C/91/1&lt;&lt;ODS DOC SYMBOL1&gt;&gt;</w:t>
      </w:r>
    </w:p>
    <w:p w14:paraId="36483488" w14:textId="2E41C103" w:rsidR="007A5AF7" w:rsidRDefault="007A5A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4834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E046DB" w16cex:dateUtc="2025-05-01T17: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483488" w16cid:durableId="3BE046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898C6" w14:textId="77777777" w:rsidR="003F6CF4" w:rsidRDefault="003F6CF4" w:rsidP="00331D20">
      <w:r>
        <w:separator/>
      </w:r>
    </w:p>
  </w:endnote>
  <w:endnote w:type="continuationSeparator" w:id="0">
    <w:p w14:paraId="212AAA41" w14:textId="77777777" w:rsidR="003F6CF4" w:rsidRDefault="003F6CF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5AF7" w14:paraId="47358806" w14:textId="77777777" w:rsidTr="007A5AF7">
      <w:tc>
        <w:tcPr>
          <w:tcW w:w="4920" w:type="dxa"/>
          <w:shd w:val="clear" w:color="auto" w:fill="auto"/>
        </w:tcPr>
        <w:p w14:paraId="2E648E68" w14:textId="68451E20" w:rsidR="007A5AF7" w:rsidRPr="007A5AF7" w:rsidRDefault="007A5AF7" w:rsidP="007A5A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B1A">
            <w:rPr>
              <w:b w:val="0"/>
              <w:w w:val="103"/>
              <w:sz w:val="14"/>
            </w:rPr>
            <w:t>25-06229</w:t>
          </w:r>
          <w:r>
            <w:rPr>
              <w:b w:val="0"/>
              <w:w w:val="103"/>
              <w:sz w:val="14"/>
            </w:rPr>
            <w:fldChar w:fldCharType="end"/>
          </w:r>
        </w:p>
      </w:tc>
      <w:tc>
        <w:tcPr>
          <w:tcW w:w="4920" w:type="dxa"/>
          <w:shd w:val="clear" w:color="auto" w:fill="auto"/>
        </w:tcPr>
        <w:p w14:paraId="62B7FB6E" w14:textId="32282B3D" w:rsidR="007A5AF7" w:rsidRPr="007A5AF7" w:rsidRDefault="007A5AF7" w:rsidP="007A5AF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A40B7B7" w14:textId="77777777" w:rsidR="007A5AF7" w:rsidRPr="007A5AF7" w:rsidRDefault="007A5AF7" w:rsidP="007A5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5AF7" w14:paraId="12F353CB" w14:textId="77777777" w:rsidTr="007A5AF7">
      <w:tc>
        <w:tcPr>
          <w:tcW w:w="4920" w:type="dxa"/>
          <w:shd w:val="clear" w:color="auto" w:fill="auto"/>
        </w:tcPr>
        <w:p w14:paraId="5E59C797" w14:textId="3E454172" w:rsidR="007A5AF7" w:rsidRPr="007A5AF7" w:rsidRDefault="007A5AF7" w:rsidP="007A5AF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4AD5A8" w14:textId="59054828" w:rsidR="007A5AF7" w:rsidRPr="007A5AF7" w:rsidRDefault="007A5AF7" w:rsidP="007A5A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B1A">
            <w:rPr>
              <w:b w:val="0"/>
              <w:w w:val="103"/>
              <w:sz w:val="14"/>
            </w:rPr>
            <w:t>25-06229</w:t>
          </w:r>
          <w:r>
            <w:rPr>
              <w:b w:val="0"/>
              <w:w w:val="103"/>
              <w:sz w:val="14"/>
            </w:rPr>
            <w:fldChar w:fldCharType="end"/>
          </w:r>
        </w:p>
      </w:tc>
    </w:tr>
  </w:tbl>
  <w:p w14:paraId="5A4EA81E" w14:textId="77777777" w:rsidR="007A5AF7" w:rsidRPr="007A5AF7" w:rsidRDefault="007A5AF7" w:rsidP="007A5A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988B2" w14:textId="416D9F72" w:rsidR="007A5AF7" w:rsidRDefault="007A5AF7">
    <w:pPr>
      <w:pStyle w:val="Footer"/>
    </w:pPr>
    <w:r>
      <w:drawing>
        <wp:anchor distT="0" distB="0" distL="114300" distR="114300" simplePos="0" relativeHeight="251658240" behindDoc="0" locked="0" layoutInCell="1" allowOverlap="1" wp14:anchorId="6A5285AB" wp14:editId="688E4DB6">
          <wp:simplePos x="0" y="0"/>
          <wp:positionH relativeFrom="column">
            <wp:posOffset>5532120</wp:posOffset>
          </wp:positionH>
          <wp:positionV relativeFrom="paragraph">
            <wp:posOffset>-228600</wp:posOffset>
          </wp:positionV>
          <wp:extent cx="694690" cy="694690"/>
          <wp:effectExtent l="0" t="0" r="0" b="0"/>
          <wp:wrapNone/>
          <wp:docPr id="700046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A5AF7" w14:paraId="3656DE77" w14:textId="77777777" w:rsidTr="007A5AF7">
      <w:tc>
        <w:tcPr>
          <w:tcW w:w="3758" w:type="dxa"/>
        </w:tcPr>
        <w:p w14:paraId="2091867D" w14:textId="41EEFB90" w:rsidR="007A5AF7" w:rsidRDefault="007A5AF7" w:rsidP="007A5A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5B1A">
            <w:rPr>
              <w:b w:val="0"/>
              <w:sz w:val="20"/>
            </w:rPr>
            <w:t>25-06229 (F)</w:t>
          </w:r>
          <w:r>
            <w:rPr>
              <w:b w:val="0"/>
              <w:sz w:val="20"/>
            </w:rPr>
            <w:fldChar w:fldCharType="end"/>
          </w:r>
          <w:r>
            <w:rPr>
              <w:b w:val="0"/>
              <w:sz w:val="20"/>
            </w:rPr>
            <w:t xml:space="preserve">    010525    0</w:t>
          </w:r>
          <w:r w:rsidR="001103A4">
            <w:rPr>
              <w:b w:val="0"/>
              <w:sz w:val="20"/>
            </w:rPr>
            <w:t>2</w:t>
          </w:r>
          <w:r>
            <w:rPr>
              <w:b w:val="0"/>
              <w:sz w:val="20"/>
            </w:rPr>
            <w:t>0525</w:t>
          </w:r>
        </w:p>
        <w:p w14:paraId="3A5EA972" w14:textId="091792A8" w:rsidR="007A5AF7" w:rsidRPr="007A5AF7" w:rsidRDefault="007A5AF7" w:rsidP="007A5AF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25B1A">
            <w:rPr>
              <w:rFonts w:ascii="Barcode 3 of 9 by request" w:hAnsi="Barcode 3 of 9 by request"/>
              <w:sz w:val="24"/>
            </w:rPr>
            <w:t>*2506229*</w:t>
          </w:r>
          <w:r>
            <w:rPr>
              <w:rFonts w:ascii="Barcode 3 of 9 by request" w:hAnsi="Barcode 3 of 9 by request"/>
              <w:sz w:val="24"/>
            </w:rPr>
            <w:fldChar w:fldCharType="end"/>
          </w:r>
        </w:p>
      </w:tc>
      <w:tc>
        <w:tcPr>
          <w:tcW w:w="4920" w:type="dxa"/>
        </w:tcPr>
        <w:p w14:paraId="5C976051" w14:textId="3CC237CD" w:rsidR="007A5AF7" w:rsidRDefault="007A5AF7" w:rsidP="007A5AF7">
          <w:pPr>
            <w:pStyle w:val="Footer"/>
            <w:spacing w:line="240" w:lineRule="atLeast"/>
            <w:jc w:val="right"/>
            <w:rPr>
              <w:b w:val="0"/>
              <w:sz w:val="20"/>
            </w:rPr>
          </w:pPr>
          <w:r>
            <w:rPr>
              <w:b w:val="0"/>
              <w:sz w:val="20"/>
            </w:rPr>
            <w:drawing>
              <wp:inline distT="0" distB="0" distL="0" distR="0" wp14:anchorId="01E385AC" wp14:editId="5F745FD7">
                <wp:extent cx="1109474" cy="231648"/>
                <wp:effectExtent l="0" t="0" r="0" b="0"/>
                <wp:docPr id="1620284959" name="Picture 2"/>
                <wp:cNvGraphicFramePr/>
                <a:graphic xmlns:a="http://schemas.openxmlformats.org/drawingml/2006/main">
                  <a:graphicData uri="http://schemas.openxmlformats.org/drawingml/2006/picture">
                    <pic:pic xmlns:pic="http://schemas.openxmlformats.org/drawingml/2006/picture">
                      <pic:nvPicPr>
                        <pic:cNvPr id="162028495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5292A9E" w14:textId="77777777" w:rsidR="007A5AF7" w:rsidRPr="007A5AF7" w:rsidRDefault="007A5AF7" w:rsidP="007A5A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EFD6E" w14:textId="0A53112E" w:rsidR="003F6CF4" w:rsidRPr="001103A4" w:rsidRDefault="001103A4" w:rsidP="001103A4">
      <w:pPr>
        <w:pStyle w:val="Footer"/>
        <w:spacing w:after="80"/>
        <w:ind w:left="792"/>
        <w:rPr>
          <w:sz w:val="16"/>
        </w:rPr>
      </w:pPr>
      <w:r w:rsidRPr="001103A4">
        <w:rPr>
          <w:sz w:val="16"/>
        </w:rPr>
        <w:t>__________________</w:t>
      </w:r>
    </w:p>
  </w:footnote>
  <w:footnote w:type="continuationSeparator" w:id="0">
    <w:p w14:paraId="2F403ED1" w14:textId="75B02951" w:rsidR="003F6CF4" w:rsidRPr="001103A4" w:rsidRDefault="001103A4" w:rsidP="001103A4">
      <w:pPr>
        <w:pStyle w:val="Footer"/>
        <w:spacing w:after="80"/>
        <w:ind w:left="792"/>
        <w:rPr>
          <w:sz w:val="16"/>
        </w:rPr>
      </w:pPr>
      <w:r w:rsidRPr="001103A4">
        <w:rPr>
          <w:sz w:val="16"/>
        </w:rPr>
        <w:t>__________________</w:t>
      </w:r>
    </w:p>
  </w:footnote>
  <w:footnote w:id="1">
    <w:p w14:paraId="421D7015" w14:textId="38C9345C" w:rsidR="001103A4" w:rsidRPr="000E5DD0" w:rsidRDefault="001103A4" w:rsidP="001103A4">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Pr>
          <w:rStyle w:val="FootnoteReference"/>
          <w:lang w:val="fr-FR"/>
        </w:rPr>
        <w:footnoteRef/>
      </w:r>
      <w:r>
        <w:rPr>
          <w:lang w:val="fr-FR"/>
        </w:rPr>
        <w:t xml:space="preserve"> </w:t>
      </w:r>
      <w:r>
        <w:rPr>
          <w:lang w:val="fr-FR"/>
        </w:rPr>
        <w:tab/>
      </w:r>
      <w:r w:rsidRPr="001103A4">
        <w:rPr>
          <w:spacing w:val="4"/>
          <w:w w:val="103"/>
          <w:kern w:val="14"/>
          <w:lang w:val="fr-FR"/>
        </w:rPr>
        <w:t>À sa quatre-vingt-dixième session, le Comité a décidé de ne pas adopter de liste de points et de questions concernant le quatrième rapport périodique de l’Afghanistan, compte tenu des circonstances exceptionnelles qui entouraient l’examen (décision 90/XIV).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5AF7" w14:paraId="54F0841F" w14:textId="77777777" w:rsidTr="007A5AF7">
      <w:trPr>
        <w:trHeight w:hRule="exact" w:val="864"/>
      </w:trPr>
      <w:tc>
        <w:tcPr>
          <w:tcW w:w="4920" w:type="dxa"/>
          <w:shd w:val="clear" w:color="auto" w:fill="auto"/>
          <w:vAlign w:val="bottom"/>
        </w:tcPr>
        <w:p w14:paraId="22FD7680" w14:textId="7AC4E2C6" w:rsidR="007A5AF7" w:rsidRPr="007A5AF7" w:rsidRDefault="007A5AF7" w:rsidP="007A5AF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B1A">
            <w:rPr>
              <w:b/>
              <w:color w:val="000000"/>
            </w:rPr>
            <w:t>CEDAW/C/91/1</w:t>
          </w:r>
          <w:r>
            <w:rPr>
              <w:b/>
              <w:color w:val="000000"/>
            </w:rPr>
            <w:fldChar w:fldCharType="end"/>
          </w:r>
        </w:p>
      </w:tc>
      <w:tc>
        <w:tcPr>
          <w:tcW w:w="4920" w:type="dxa"/>
          <w:shd w:val="clear" w:color="auto" w:fill="auto"/>
          <w:vAlign w:val="bottom"/>
        </w:tcPr>
        <w:p w14:paraId="70B7C43E" w14:textId="77777777" w:rsidR="007A5AF7" w:rsidRDefault="007A5AF7" w:rsidP="007A5AF7">
          <w:pPr>
            <w:pStyle w:val="Header"/>
          </w:pPr>
        </w:p>
      </w:tc>
    </w:tr>
  </w:tbl>
  <w:p w14:paraId="4E6BE1B6" w14:textId="77777777" w:rsidR="007A5AF7" w:rsidRPr="007A5AF7" w:rsidRDefault="007A5AF7" w:rsidP="007A5AF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5AF7" w14:paraId="50468E26" w14:textId="77777777" w:rsidTr="007A5AF7">
      <w:trPr>
        <w:trHeight w:hRule="exact" w:val="864"/>
      </w:trPr>
      <w:tc>
        <w:tcPr>
          <w:tcW w:w="4920" w:type="dxa"/>
          <w:shd w:val="clear" w:color="auto" w:fill="auto"/>
          <w:vAlign w:val="bottom"/>
        </w:tcPr>
        <w:p w14:paraId="119C7110" w14:textId="77777777" w:rsidR="007A5AF7" w:rsidRDefault="007A5AF7" w:rsidP="007A5AF7">
          <w:pPr>
            <w:pStyle w:val="Header"/>
          </w:pPr>
        </w:p>
      </w:tc>
      <w:tc>
        <w:tcPr>
          <w:tcW w:w="4920" w:type="dxa"/>
          <w:shd w:val="clear" w:color="auto" w:fill="auto"/>
          <w:vAlign w:val="bottom"/>
        </w:tcPr>
        <w:p w14:paraId="39AA2B29" w14:textId="2B536611" w:rsidR="007A5AF7" w:rsidRPr="007A5AF7" w:rsidRDefault="007A5AF7" w:rsidP="007A5AF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B1A">
            <w:rPr>
              <w:b/>
              <w:color w:val="000000"/>
            </w:rPr>
            <w:t>CEDAW/C/91/1</w:t>
          </w:r>
          <w:r>
            <w:rPr>
              <w:b/>
              <w:color w:val="000000"/>
            </w:rPr>
            <w:fldChar w:fldCharType="end"/>
          </w:r>
        </w:p>
      </w:tc>
    </w:tr>
  </w:tbl>
  <w:p w14:paraId="779AE383" w14:textId="77777777" w:rsidR="007A5AF7" w:rsidRPr="007A5AF7" w:rsidRDefault="007A5AF7" w:rsidP="007A5AF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A5AF7" w14:paraId="434E39D1" w14:textId="77777777" w:rsidTr="007A5AF7">
      <w:trPr>
        <w:trHeight w:hRule="exact" w:val="864"/>
      </w:trPr>
      <w:tc>
        <w:tcPr>
          <w:tcW w:w="1267" w:type="dxa"/>
          <w:tcBorders>
            <w:bottom w:val="single" w:sz="4" w:space="0" w:color="auto"/>
          </w:tcBorders>
          <w:shd w:val="clear" w:color="auto" w:fill="auto"/>
          <w:vAlign w:val="bottom"/>
        </w:tcPr>
        <w:p w14:paraId="3B83465A" w14:textId="77777777" w:rsidR="007A5AF7" w:rsidRDefault="007A5AF7" w:rsidP="007A5AF7">
          <w:pPr>
            <w:pStyle w:val="Header"/>
            <w:spacing w:after="120"/>
          </w:pPr>
        </w:p>
      </w:tc>
      <w:tc>
        <w:tcPr>
          <w:tcW w:w="2059" w:type="dxa"/>
          <w:tcBorders>
            <w:bottom w:val="single" w:sz="4" w:space="0" w:color="auto"/>
          </w:tcBorders>
          <w:shd w:val="clear" w:color="auto" w:fill="auto"/>
          <w:vAlign w:val="bottom"/>
        </w:tcPr>
        <w:p w14:paraId="362EB2A1" w14:textId="4714BDF2" w:rsidR="007A5AF7" w:rsidRPr="007A5AF7" w:rsidRDefault="007A5AF7" w:rsidP="007A5AF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8878C5A" w14:textId="77777777" w:rsidR="007A5AF7" w:rsidRDefault="007A5AF7" w:rsidP="007A5AF7">
          <w:pPr>
            <w:pStyle w:val="Header"/>
            <w:spacing w:after="120"/>
          </w:pPr>
        </w:p>
      </w:tc>
      <w:tc>
        <w:tcPr>
          <w:tcW w:w="6466" w:type="dxa"/>
          <w:gridSpan w:val="3"/>
          <w:tcBorders>
            <w:bottom w:val="single" w:sz="4" w:space="0" w:color="auto"/>
          </w:tcBorders>
          <w:shd w:val="clear" w:color="auto" w:fill="auto"/>
          <w:vAlign w:val="bottom"/>
        </w:tcPr>
        <w:p w14:paraId="43202592" w14:textId="6AF22B52" w:rsidR="007A5AF7" w:rsidRPr="007A5AF7" w:rsidRDefault="007A5AF7" w:rsidP="007A5AF7">
          <w:pPr>
            <w:spacing w:after="80" w:line="240" w:lineRule="auto"/>
            <w:jc w:val="right"/>
            <w:rPr>
              <w:position w:val="-4"/>
            </w:rPr>
          </w:pPr>
          <w:r>
            <w:rPr>
              <w:position w:val="-4"/>
              <w:sz w:val="40"/>
            </w:rPr>
            <w:t>CEDAW</w:t>
          </w:r>
          <w:r>
            <w:rPr>
              <w:position w:val="-4"/>
            </w:rPr>
            <w:t>/C/91/1</w:t>
          </w:r>
        </w:p>
      </w:tc>
    </w:tr>
    <w:tr w:rsidR="007A5AF7" w:rsidRPr="007A5AF7" w14:paraId="232E6CE8" w14:textId="77777777" w:rsidTr="007A5AF7">
      <w:trPr>
        <w:trHeight w:hRule="exact" w:val="2880"/>
      </w:trPr>
      <w:tc>
        <w:tcPr>
          <w:tcW w:w="1267" w:type="dxa"/>
          <w:tcBorders>
            <w:top w:val="single" w:sz="4" w:space="0" w:color="auto"/>
            <w:bottom w:val="single" w:sz="12" w:space="0" w:color="auto"/>
          </w:tcBorders>
          <w:shd w:val="clear" w:color="auto" w:fill="auto"/>
        </w:tcPr>
        <w:p w14:paraId="2B0CD05B" w14:textId="7A6DB185" w:rsidR="007A5AF7" w:rsidRPr="007A5AF7" w:rsidRDefault="007A5AF7" w:rsidP="007A5AF7">
          <w:pPr>
            <w:pStyle w:val="Header"/>
            <w:spacing w:before="120"/>
            <w:ind w:left="-72"/>
            <w:jc w:val="center"/>
          </w:pPr>
          <w:r>
            <w:t xml:space="preserve">  </w:t>
          </w:r>
          <w:r>
            <w:drawing>
              <wp:inline distT="0" distB="0" distL="0" distR="0" wp14:anchorId="5D402650" wp14:editId="7541EBD7">
                <wp:extent cx="713232" cy="594360"/>
                <wp:effectExtent l="0" t="0" r="0" b="0"/>
                <wp:docPr id="694549631" name="Picture 1"/>
                <wp:cNvGraphicFramePr/>
                <a:graphic xmlns:a="http://schemas.openxmlformats.org/drawingml/2006/main">
                  <a:graphicData uri="http://schemas.openxmlformats.org/drawingml/2006/picture">
                    <pic:pic xmlns:pic="http://schemas.openxmlformats.org/drawingml/2006/picture">
                      <pic:nvPicPr>
                        <pic:cNvPr id="6945496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A20D33" w14:textId="7D0192F5" w:rsidR="007A5AF7" w:rsidRPr="007A5AF7" w:rsidRDefault="007A5AF7" w:rsidP="007A5AF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4E124B5" w14:textId="77777777" w:rsidR="007A5AF7" w:rsidRPr="001103A4" w:rsidRDefault="007A5AF7" w:rsidP="007A5AF7">
          <w:pPr>
            <w:pStyle w:val="Header"/>
            <w:spacing w:before="109"/>
            <w:rPr>
              <w:lang w:val="fr-FR"/>
            </w:rPr>
          </w:pPr>
        </w:p>
      </w:tc>
      <w:tc>
        <w:tcPr>
          <w:tcW w:w="3110" w:type="dxa"/>
          <w:tcBorders>
            <w:top w:val="single" w:sz="4" w:space="0" w:color="auto"/>
            <w:bottom w:val="single" w:sz="12" w:space="0" w:color="auto"/>
          </w:tcBorders>
          <w:shd w:val="clear" w:color="auto" w:fill="auto"/>
        </w:tcPr>
        <w:p w14:paraId="3D038DE3" w14:textId="77777777" w:rsidR="007A5AF7" w:rsidRPr="001103A4" w:rsidRDefault="007A5AF7" w:rsidP="007A5AF7">
          <w:pPr>
            <w:pStyle w:val="Distribution"/>
            <w:spacing w:before="240"/>
            <w:rPr>
              <w:color w:val="000000"/>
              <w:lang w:val="fr-FR"/>
            </w:rPr>
          </w:pPr>
          <w:r w:rsidRPr="001103A4">
            <w:rPr>
              <w:color w:val="000000"/>
              <w:lang w:val="fr-FR"/>
            </w:rPr>
            <w:t>Distr. générale</w:t>
          </w:r>
        </w:p>
        <w:p w14:paraId="2930CD69" w14:textId="1CCC110E" w:rsidR="007A5AF7" w:rsidRPr="001103A4" w:rsidRDefault="007A5AF7" w:rsidP="007A5AF7">
          <w:pPr>
            <w:pStyle w:val="Publication"/>
            <w:rPr>
              <w:color w:val="000000"/>
              <w:lang w:val="fr-FR"/>
            </w:rPr>
          </w:pPr>
          <w:r w:rsidRPr="001103A4">
            <w:rPr>
              <w:color w:val="000000"/>
              <w:lang w:val="fr-FR"/>
            </w:rPr>
            <w:t>17</w:t>
          </w:r>
          <w:r w:rsidR="001103A4">
            <w:rPr>
              <w:color w:val="000000"/>
              <w:lang w:val="fr-FR"/>
            </w:rPr>
            <w:t> </w:t>
          </w:r>
          <w:r w:rsidRPr="001103A4">
            <w:rPr>
              <w:color w:val="000000"/>
              <w:lang w:val="fr-FR"/>
            </w:rPr>
            <w:t>avril 2025</w:t>
          </w:r>
        </w:p>
        <w:p w14:paraId="4F68DF28" w14:textId="77777777" w:rsidR="007A5AF7" w:rsidRPr="001103A4" w:rsidRDefault="007A5AF7" w:rsidP="007A5AF7">
          <w:pPr>
            <w:rPr>
              <w:lang w:val="fr-FR"/>
            </w:rPr>
          </w:pPr>
          <w:r w:rsidRPr="001103A4">
            <w:rPr>
              <w:lang w:val="fr-FR"/>
            </w:rPr>
            <w:t>Français</w:t>
          </w:r>
        </w:p>
        <w:p w14:paraId="518A35E8" w14:textId="77777777" w:rsidR="001103A4" w:rsidRDefault="007A5AF7" w:rsidP="007A5AF7">
          <w:pPr>
            <w:pStyle w:val="Original"/>
            <w:rPr>
              <w:color w:val="000000"/>
              <w:lang w:val="fr-FR"/>
            </w:rPr>
          </w:pPr>
          <w:r w:rsidRPr="001103A4">
            <w:rPr>
              <w:color w:val="000000"/>
              <w:lang w:val="fr-FR"/>
            </w:rPr>
            <w:t>Original : anglais</w:t>
          </w:r>
        </w:p>
        <w:p w14:paraId="5C4A2305" w14:textId="1C1EBF6D" w:rsidR="007A5AF7" w:rsidRPr="001103A4" w:rsidRDefault="001103A4" w:rsidP="001103A4">
          <w:pPr>
            <w:pStyle w:val="Original"/>
            <w:rPr>
              <w:color w:val="000000"/>
              <w:lang w:val="fr-FR"/>
            </w:rPr>
          </w:pPr>
          <w:r>
            <w:rPr>
              <w:color w:val="000000"/>
              <w:lang w:val="fr-FR"/>
            </w:rPr>
            <w:t xml:space="preserve">Anglai, </w:t>
          </w:r>
          <w:r w:rsidR="007A5AF7" w:rsidRPr="001103A4">
            <w:rPr>
              <w:color w:val="000000"/>
              <w:lang w:val="fr-FR"/>
            </w:rPr>
            <w:t>espagnol</w:t>
          </w:r>
          <w:r>
            <w:rPr>
              <w:color w:val="000000"/>
              <w:lang w:val="fr-FR"/>
            </w:rPr>
            <w:t xml:space="preserve"> et </w:t>
          </w:r>
          <w:r w:rsidR="007A5AF7" w:rsidRPr="001103A4">
            <w:rPr>
              <w:color w:val="000000"/>
              <w:lang w:val="fr-FR"/>
            </w:rPr>
            <w:t>français</w:t>
          </w:r>
          <w:r w:rsidRPr="001103A4">
            <w:rPr>
              <w:kern w:val="14"/>
              <w:szCs w:val="20"/>
              <w:lang w:val="fr-FR"/>
              <w14:ligatures w14:val="none"/>
            </w:rPr>
            <w:t xml:space="preserve"> </w:t>
          </w:r>
          <w:r w:rsidRPr="001103A4">
            <w:rPr>
              <w:color w:val="000000"/>
              <w:lang w:val="fr-FR"/>
            </w:rPr>
            <w:t>seulement</w:t>
          </w:r>
        </w:p>
      </w:tc>
    </w:tr>
  </w:tbl>
  <w:p w14:paraId="514F39F8" w14:textId="77777777" w:rsidR="007A5AF7" w:rsidRPr="001103A4" w:rsidRDefault="007A5AF7" w:rsidP="007A5AF7">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506229*"/>
    <w:docVar w:name="CreationDt" w:val="01/05/2025 1:22: PM"/>
    <w:docVar w:name="DocCategory" w:val="Doc"/>
    <w:docVar w:name="DocType" w:val="Final"/>
    <w:docVar w:name="DutyStation" w:val="New York"/>
    <w:docVar w:name="FooterJN" w:val="25-06229"/>
    <w:docVar w:name="jobn" w:val="25-06229 (F)"/>
    <w:docVar w:name="jobnDT" w:val="25-06229 (F)   010525"/>
    <w:docVar w:name="jobnDTDT" w:val="25-06229 (F)   010525   010525"/>
    <w:docVar w:name="JobNo" w:val="2506229F"/>
    <w:docVar w:name="JobNo2" w:val="2510183F"/>
    <w:docVar w:name="LocalDrive" w:val="-1"/>
    <w:docVar w:name="OandT" w:val="Ago"/>
    <w:docVar w:name="Session1" w:val="Quatre-vingt-onzième session_x000d_"/>
    <w:docVar w:name="sss1" w:val="CEDAW/C/91/1"/>
    <w:docVar w:name="sss2" w:val="-"/>
    <w:docVar w:name="Symbol1" w:val="CEDAW/C/91/1"/>
    <w:docVar w:name="Symbol2" w:val="-"/>
    <w:docVar w:name="Title1" w:val="_x0009__x0009_Ordre du jour provisoire annoté_x000d_"/>
    <w:docVar w:name="Title2" w:val="_x0009__x0009_Ordre du jour provisoire_x000d_"/>
  </w:docVars>
  <w:rsids>
    <w:rsidRoot w:val="003F6CF4"/>
    <w:rsid w:val="00001169"/>
    <w:rsid w:val="00001967"/>
    <w:rsid w:val="00096CF2"/>
    <w:rsid w:val="000D6F4F"/>
    <w:rsid w:val="00104DBF"/>
    <w:rsid w:val="00105618"/>
    <w:rsid w:val="001103A4"/>
    <w:rsid w:val="001325B0"/>
    <w:rsid w:val="00151F81"/>
    <w:rsid w:val="00171CDD"/>
    <w:rsid w:val="00194664"/>
    <w:rsid w:val="001978D5"/>
    <w:rsid w:val="001B4A2D"/>
    <w:rsid w:val="00200FB5"/>
    <w:rsid w:val="00247400"/>
    <w:rsid w:val="0027492E"/>
    <w:rsid w:val="002B3948"/>
    <w:rsid w:val="00326100"/>
    <w:rsid w:val="00331D20"/>
    <w:rsid w:val="00347720"/>
    <w:rsid w:val="00365FD7"/>
    <w:rsid w:val="00373732"/>
    <w:rsid w:val="003B1D1B"/>
    <w:rsid w:val="003E5E54"/>
    <w:rsid w:val="003F6CF4"/>
    <w:rsid w:val="003F75F8"/>
    <w:rsid w:val="004200C7"/>
    <w:rsid w:val="00443AE6"/>
    <w:rsid w:val="0047638E"/>
    <w:rsid w:val="00492A32"/>
    <w:rsid w:val="00495E7B"/>
    <w:rsid w:val="0049669D"/>
    <w:rsid w:val="004C520B"/>
    <w:rsid w:val="004F5722"/>
    <w:rsid w:val="0054211F"/>
    <w:rsid w:val="00545C4B"/>
    <w:rsid w:val="005610B1"/>
    <w:rsid w:val="005D4F00"/>
    <w:rsid w:val="00636E90"/>
    <w:rsid w:val="00665001"/>
    <w:rsid w:val="006A1127"/>
    <w:rsid w:val="006B10B2"/>
    <w:rsid w:val="006C7738"/>
    <w:rsid w:val="006F5A89"/>
    <w:rsid w:val="00704CC6"/>
    <w:rsid w:val="00727155"/>
    <w:rsid w:val="0074200D"/>
    <w:rsid w:val="0075641E"/>
    <w:rsid w:val="007633C9"/>
    <w:rsid w:val="007A5AF7"/>
    <w:rsid w:val="007B304F"/>
    <w:rsid w:val="007B4CD6"/>
    <w:rsid w:val="007C3668"/>
    <w:rsid w:val="008138CB"/>
    <w:rsid w:val="0082658B"/>
    <w:rsid w:val="00863195"/>
    <w:rsid w:val="00871053"/>
    <w:rsid w:val="00877270"/>
    <w:rsid w:val="0088056D"/>
    <w:rsid w:val="008A2590"/>
    <w:rsid w:val="008F11CA"/>
    <w:rsid w:val="00926E4D"/>
    <w:rsid w:val="00930DCB"/>
    <w:rsid w:val="00961378"/>
    <w:rsid w:val="00976519"/>
    <w:rsid w:val="009A7E7A"/>
    <w:rsid w:val="009B00E9"/>
    <w:rsid w:val="009B6168"/>
    <w:rsid w:val="009D56BA"/>
    <w:rsid w:val="00A72797"/>
    <w:rsid w:val="00A84EFD"/>
    <w:rsid w:val="00AA29EE"/>
    <w:rsid w:val="00AB7235"/>
    <w:rsid w:val="00AC7755"/>
    <w:rsid w:val="00AF3F1B"/>
    <w:rsid w:val="00B114A6"/>
    <w:rsid w:val="00B125A0"/>
    <w:rsid w:val="00B21EAA"/>
    <w:rsid w:val="00B24EFA"/>
    <w:rsid w:val="00B272FA"/>
    <w:rsid w:val="00B27698"/>
    <w:rsid w:val="00B43769"/>
    <w:rsid w:val="00B7299C"/>
    <w:rsid w:val="00B837CF"/>
    <w:rsid w:val="00B901FD"/>
    <w:rsid w:val="00B948B2"/>
    <w:rsid w:val="00BC2C8A"/>
    <w:rsid w:val="00BE7E3C"/>
    <w:rsid w:val="00C16A02"/>
    <w:rsid w:val="00C16D72"/>
    <w:rsid w:val="00C174A0"/>
    <w:rsid w:val="00C60123"/>
    <w:rsid w:val="00C6119A"/>
    <w:rsid w:val="00C64247"/>
    <w:rsid w:val="00C6740C"/>
    <w:rsid w:val="00C75CAB"/>
    <w:rsid w:val="00CC2D86"/>
    <w:rsid w:val="00CC3CFB"/>
    <w:rsid w:val="00CE35F9"/>
    <w:rsid w:val="00D23FFB"/>
    <w:rsid w:val="00D25B1A"/>
    <w:rsid w:val="00D409D0"/>
    <w:rsid w:val="00DB0712"/>
    <w:rsid w:val="00DB652C"/>
    <w:rsid w:val="00DE06E0"/>
    <w:rsid w:val="00DE0D0C"/>
    <w:rsid w:val="00DE254A"/>
    <w:rsid w:val="00E369D7"/>
    <w:rsid w:val="00E548DF"/>
    <w:rsid w:val="00E56A0F"/>
    <w:rsid w:val="00E8036E"/>
    <w:rsid w:val="00E9043A"/>
    <w:rsid w:val="00EA1709"/>
    <w:rsid w:val="00EC50AD"/>
    <w:rsid w:val="00EF40A9"/>
    <w:rsid w:val="00EF7BB3"/>
    <w:rsid w:val="00F003B9"/>
    <w:rsid w:val="00F05AC4"/>
    <w:rsid w:val="00F53CB4"/>
    <w:rsid w:val="00F65F4F"/>
    <w:rsid w:val="00F95E56"/>
    <w:rsid w:val="00FB0BBE"/>
    <w:rsid w:val="00FB0FD3"/>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40E86"/>
  <w15:chartTrackingRefBased/>
  <w15:docId w15:val="{F5A732A3-C56A-43D8-B08D-F4B0DD3C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4200D"/>
    <w:pPr>
      <w:keepNext/>
      <w:keepLines/>
      <w:spacing w:line="240" w:lineRule="exact"/>
      <w:ind w:left="0" w:right="453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3F6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CF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F6CF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CF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F6C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6CF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F6CF4"/>
    <w:pPr>
      <w:ind w:left="720"/>
      <w:contextualSpacing/>
    </w:pPr>
  </w:style>
  <w:style w:type="character" w:styleId="IntenseEmphasis">
    <w:name w:val="Intense Emphasis"/>
    <w:basedOn w:val="DefaultParagraphFont"/>
    <w:uiPriority w:val="21"/>
    <w:qFormat/>
    <w:rsid w:val="003F6CF4"/>
    <w:rPr>
      <w:i/>
      <w:iCs/>
      <w:color w:val="2F5496" w:themeColor="accent1" w:themeShade="BF"/>
    </w:rPr>
  </w:style>
  <w:style w:type="paragraph" w:styleId="IntenseQuote">
    <w:name w:val="Intense Quote"/>
    <w:basedOn w:val="Normal"/>
    <w:next w:val="Normal"/>
    <w:link w:val="IntenseQuoteChar"/>
    <w:uiPriority w:val="30"/>
    <w:qFormat/>
    <w:rsid w:val="003F6C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6CF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F6CF4"/>
    <w:rPr>
      <w:b/>
      <w:bCs/>
      <w:smallCaps/>
      <w:color w:val="2F5496" w:themeColor="accent1" w:themeShade="BF"/>
      <w:spacing w:val="5"/>
    </w:rPr>
  </w:style>
  <w:style w:type="paragraph" w:styleId="CommentText">
    <w:name w:val="annotation text"/>
    <w:basedOn w:val="Normal"/>
    <w:link w:val="CommentTextChar"/>
    <w:uiPriority w:val="99"/>
    <w:semiHidden/>
    <w:unhideWhenUsed/>
    <w:rsid w:val="007A5AF7"/>
    <w:pPr>
      <w:spacing w:line="240" w:lineRule="auto"/>
    </w:pPr>
    <w:rPr>
      <w:szCs w:val="20"/>
    </w:rPr>
  </w:style>
  <w:style w:type="character" w:customStyle="1" w:styleId="CommentTextChar">
    <w:name w:val="Comment Text Char"/>
    <w:basedOn w:val="DefaultParagraphFont"/>
    <w:link w:val="CommentText"/>
    <w:uiPriority w:val="99"/>
    <w:semiHidden/>
    <w:rsid w:val="007A5AF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7A5AF7"/>
    <w:rPr>
      <w:b/>
      <w:bCs/>
    </w:rPr>
  </w:style>
  <w:style w:type="character" w:customStyle="1" w:styleId="CommentSubjectChar">
    <w:name w:val="Comment Subject Char"/>
    <w:basedOn w:val="CommentTextChar"/>
    <w:link w:val="CommentSubject"/>
    <w:uiPriority w:val="99"/>
    <w:semiHidden/>
    <w:rsid w:val="007A5AF7"/>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96CF2"/>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MEX/10" TargetMode="External"/><Relationship Id="rId39" Type="http://schemas.openxmlformats.org/officeDocument/2006/relationships/hyperlink" Target="https://docs.un.org/fr/CEDAW/C/TUV/QPR/5-6" TargetMode="External"/><Relationship Id="rId21" Type="http://schemas.openxmlformats.org/officeDocument/2006/relationships/hyperlink" Target="https://docs.un.org/fr/CEDAW/C/AFG/4" TargetMode="External"/><Relationship Id="rId34" Type="http://schemas.openxmlformats.org/officeDocument/2006/relationships/hyperlink" Target="https://docs.un.org/fr/CEDAW/C/IRL/QPR/8" TargetMode="External"/><Relationship Id="rId42" Type="http://schemas.openxmlformats.org/officeDocument/2006/relationships/hyperlink" Target="https://docs.un.org/fr/CEDAW/C/92/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docs.un.org/fr/CEDAW/C/THA/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SLB/4-5" TargetMode="External"/><Relationship Id="rId32" Type="http://schemas.openxmlformats.org/officeDocument/2006/relationships/hyperlink" Target="https://docs.un.org/fr/CEDAW/C/FJI/QPR/6" TargetMode="External"/><Relationship Id="rId37" Type="http://schemas.openxmlformats.org/officeDocument/2006/relationships/hyperlink" Target="https://docs.un.org/fr/CEDAW/C/TCD/Q/5" TargetMode="External"/><Relationship Id="rId40" Type="http://schemas.openxmlformats.org/officeDocument/2006/relationships/hyperlink" Target="https://docs.un.org/fr/CEDAW/C/BWA/RQ/5"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FJI/6" TargetMode="External"/><Relationship Id="rId28" Type="http://schemas.openxmlformats.org/officeDocument/2006/relationships/hyperlink" Target="https://docs.un.org/fr/CEDAW/C/TCD/5" TargetMode="External"/><Relationship Id="rId36" Type="http://schemas.openxmlformats.org/officeDocument/2006/relationships/hyperlink" Target="https://docs.un.org/fr/CEDAW/C/SMR/QPR/1-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CEDAW/C/BWA/Q/5" TargetMode="External"/><Relationship Id="rId44"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BWA/5" TargetMode="External"/><Relationship Id="rId27" Type="http://schemas.openxmlformats.org/officeDocument/2006/relationships/hyperlink" Target="https://docs.un.org/fr/CEDAW/C/SMR/1-5" TargetMode="External"/><Relationship Id="rId30" Type="http://schemas.openxmlformats.org/officeDocument/2006/relationships/hyperlink" Target="https://docs.un.org/fr/CEDAW/C/TUV/5-6" TargetMode="External"/><Relationship Id="rId35" Type="http://schemas.openxmlformats.org/officeDocument/2006/relationships/hyperlink" Target="https://docs.un.org/fr/CEDAW/C/MEX/QPR/10"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IRL/8" TargetMode="External"/><Relationship Id="rId33" Type="http://schemas.openxmlformats.org/officeDocument/2006/relationships/hyperlink" Target="https://docs.un.org/fr/CEDAW/C/SLB/QPR/4-5" TargetMode="External"/><Relationship Id="rId38" Type="http://schemas.openxmlformats.org/officeDocument/2006/relationships/hyperlink" Target="https://docs.un.org/fr/CEDAW/C/THA/QPR/8" TargetMode="External"/><Relationship Id="rId20" Type="http://schemas.openxmlformats.org/officeDocument/2006/relationships/hyperlink" Target="https://docs.un.org/fr/CEDAW/C/PSWG/91/1" TargetMode="External"/><Relationship Id="rId41" Type="http://schemas.openxmlformats.org/officeDocument/2006/relationships/hyperlink" Target="https://docs.un.org/fr/CEDAW/C/TCD/RQ/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http://purl.org/dc/terms/"/>
    <ds:schemaRef ds:uri="32aca14f-6975-493a-b86a-2ec1bd8de72a"/>
    <ds:schemaRef ds:uri="985ec44e-1bab-4c0b-9df0-6ba128686fc9"/>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41c8501f-7554-4cfe-b76f-88ff51cf7ba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1877</Words>
  <Characters>7772</Characters>
  <Application>Microsoft Office Word</Application>
  <DocSecurity>0</DocSecurity>
  <Lines>518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Nadia Lakrim</cp:lastModifiedBy>
  <cp:revision>3</cp:revision>
  <cp:lastPrinted>2025-05-01T19:39:00Z</cp:lastPrinted>
  <dcterms:created xsi:type="dcterms:W3CDTF">2025-05-01T19:39:00Z</dcterms:created>
  <dcterms:modified xsi:type="dcterms:W3CDTF">2025-05-01T19:39:00Z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2506229F</vt:lpwstr>
  </property>
  <property fmtid="{D5CDD505-2E9C-101B-9397-08002B2CF9AE}" pid="3" name="ODSRefJobNo">
    <vt:lpwstr>2510183F</vt:lpwstr>
  </property>
  <property fmtid="{D5CDD505-2E9C-101B-9397-08002B2CF9AE}" pid="4" name="Symbol1">
    <vt:lpwstr>CEDAW/C/91/1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 espagnol et français seulement_x000d__x0007_</vt:lpwstr>
  </property>
  <property fmtid="{D5CDD505-2E9C-101B-9397-08002B2CF9AE}" pid="13" name="Release Date">
    <vt:lpwstr/>
  </property>
  <property fmtid="{D5CDD505-2E9C-101B-9397-08002B2CF9AE}" pid="14" name="Session1">
    <vt:lpwstr>Quatre-vingt-onzième session_x000d_</vt:lpwstr>
  </property>
  <property fmtid="{D5CDD505-2E9C-101B-9397-08002B2CF9AE}" pid="15" name="Agenda1">
    <vt:lpwstr>Point 2 de l’ordre du jour provisoire_x000d_</vt:lpwstr>
  </property>
  <property fmtid="{D5CDD505-2E9C-101B-9397-08002B2CF9AE}" pid="16" name="Agenda Title1">
    <vt:lpwstr>Adoption de l’ordre du jour et organisation des travaux_x000d_</vt:lpwstr>
  </property>
  <property fmtid="{D5CDD505-2E9C-101B-9397-08002B2CF9AE}" pid="17" name="Title1">
    <vt:lpwstr>		Ordre du jour provisoire annoté_x000d_</vt:lpwstr>
  </property>
  <property fmtid="{D5CDD505-2E9C-101B-9397-08002B2CF9AE}" pid="18" name="Title2">
    <vt:lpwstr>		Ordre du jour provisoire_x000d_</vt:lpwstr>
  </property>
</Properties>
</file>