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6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40357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 </w:t>
                  </w:r>
                  <w:r>
                    <w:rPr>
                      <w:lang w:val="en-US"/>
                    </w:rPr>
                    <w:t>070306     070306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8230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CAT/C/USA/Q/2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8 February 2006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r>
        <w:t>Тридцать пятая сессия</w:t>
      </w:r>
    </w:p>
    <w:p w:rsidR="00000000" w:rsidRDefault="00000000">
      <w:r>
        <w:t>7-25 ноября 2005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ПРИ РАССМОТРЕНИИ ВТОРОГО ПЕРИОДИЧЕСКОГО ДОКЛАДА</w:t>
      </w:r>
      <w:r>
        <w:rPr>
          <w:b/>
          <w:bCs/>
        </w:rPr>
        <w:br/>
        <w:t>СОЕДИНЕННЫХ ШТАТОВ АМЕРИКИ (САТ/С/48/</w:t>
      </w:r>
      <w:r>
        <w:rPr>
          <w:b/>
          <w:bCs/>
          <w:lang w:val="en-US"/>
        </w:rPr>
        <w:t>Add</w:t>
      </w:r>
      <w:r>
        <w:rPr>
          <w:b/>
          <w:bCs/>
        </w:rPr>
        <w:t>.3)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</w:pPr>
      <w:r>
        <w:rPr>
          <w:b/>
          <w:bCs/>
        </w:rPr>
        <w:t>Статья 1</w:t>
      </w:r>
    </w:p>
    <w:p w:rsidR="00000000" w:rsidRDefault="00000000">
      <w:pPr>
        <w:jc w:val="center"/>
      </w:pPr>
    </w:p>
    <w:p w:rsidR="00000000" w:rsidRDefault="00000000">
      <w:pPr>
        <w:rPr>
          <w:lang w:val="en-US"/>
        </w:rPr>
      </w:pPr>
      <w:r>
        <w:t>1.</w:t>
      </w:r>
      <w:r>
        <w:tab/>
        <w:t>Если, как отмечается в докладе</w:t>
      </w:r>
      <w:r>
        <w:rPr>
          <w:rStyle w:val="FootnoteReference"/>
        </w:rPr>
        <w:footnoteReference w:id="1"/>
      </w:r>
      <w:r>
        <w:t>,"определение пытки, принятое Соединенными Штатами при ратификации Конвенции… остается неизменным", почему министерство юстиции опубликовало в августе 2002 года меморандум</w:t>
      </w:r>
      <w:r>
        <w:rPr>
          <w:rStyle w:val="FootnoteReference"/>
        </w:rPr>
        <w:footnoteReference w:id="2"/>
      </w:r>
      <w:r>
        <w:t>, в котором говорится, "что в том виде, как пытка определена и запрещена статьей 2340-2340А Кодекса Соединенных Штатов, это понятие распространяется только на экстремальные действия"?  Просьба объяснить, как это положение совместимо со статьей 1 Конвенции.</w:t>
      </w:r>
    </w:p>
    <w:p w:rsidR="00000000" w:rsidRDefault="00000000">
      <w:pPr>
        <w:rPr>
          <w:lang w:val="en-US"/>
        </w:rPr>
      </w:pPr>
    </w:p>
    <w:p w:rsidR="00000000" w:rsidRDefault="00000000">
      <w:r>
        <w:t>2.</w:t>
      </w:r>
      <w:r>
        <w:tab/>
        <w:t>Просьба разъяснить, в силу каких основных причин меморандум от августа 2002 года был заменен новым меморандумом в декабре 2004 года</w:t>
      </w:r>
      <w:r>
        <w:rPr>
          <w:rStyle w:val="FootnoteReference"/>
        </w:rPr>
        <w:footnoteReference w:id="3"/>
      </w:r>
      <w:r>
        <w:t>, если определение пытки осталось неизменным, и продолжает ли какой-либо из выводов августовского меморандума 2002 года оставаться в силе.  Каким образом конвенции толкуются в меморандумах и обладают ли меморандумы обязательной юридической силой?</w:t>
      </w:r>
    </w:p>
    <w:p w:rsidR="00000000" w:rsidRDefault="00000000"/>
    <w:p w:rsidR="00000000" w:rsidRDefault="00000000">
      <w:r>
        <w:t>3.</w:t>
      </w:r>
      <w:r>
        <w:tab/>
        <w:t>Просьба разъяснить совместимость с Конвенцией меморандума от 30 декабря 2004 года</w:t>
      </w:r>
      <w:r>
        <w:rPr>
          <w:rStyle w:val="FootnoteReference"/>
        </w:rPr>
        <w:footnoteReference w:id="4"/>
      </w:r>
      <w:r>
        <w:t>, в котором говорится, что «термин "пытка" в Соединенных Штатах и в международной практике обычно применяется к экстремальным, умышленным или необычно жестоким действиям…»</w:t>
      </w:r>
      <w:r>
        <w:rPr>
          <w:rStyle w:val="FootnoteReference"/>
        </w:rPr>
        <w:footnoteReference w:id="5"/>
      </w:r>
      <w:r>
        <w:t>, и что «[в Конвенции против пыток], таким образом, пытки рассматриваются как "крайняя форма" жестокого, бесчеловечного или унижающего достоинство обращения»</w:t>
      </w:r>
      <w:r>
        <w:rPr>
          <w:rStyle w:val="FootnoteReference"/>
        </w:rPr>
        <w:footnoteReference w:id="6"/>
      </w:r>
      <w:r>
        <w:t>, и что «положение о том, что "пытка является крайней формой жестокого и бесчеловечного обращения содержится в статье 16…"»</w:t>
      </w:r>
      <w:r>
        <w:rPr>
          <w:rStyle w:val="FootnoteReference"/>
        </w:rPr>
        <w:footnoteReference w:id="7"/>
      </w:r>
      <w:r>
        <w:t xml:space="preserve"> [Конвенции].  Дж. Герман Берджерс и Ганс Данелиус</w:t>
      </w:r>
      <w:r>
        <w:rPr>
          <w:rStyle w:val="FootnoteReference"/>
        </w:rPr>
        <w:footnoteReference w:id="8"/>
      </w:r>
      <w:r>
        <w:t>, цитируемые как авторитетные источники в меморандуме от 30 декабря 2004 года, ясно заявляют, что «…выражения "крайне сильная" или "чрезвычайно сильная" боль были предложены в ходе подготовительной работы, однако выражение "сильная боль" было сочтено достаточным для передачи идеи о том, что только акты определенной тяжести могут считаться пытками».  Просьба объяснить, как это толкование согласуется со статьей 1 Конвенции.</w:t>
      </w:r>
    </w:p>
    <w:p w:rsidR="00000000" w:rsidRDefault="00000000"/>
    <w:p w:rsidR="00000000" w:rsidRDefault="00000000">
      <w:r>
        <w:t>4.</w:t>
      </w:r>
      <w:r>
        <w:tab/>
        <w:t>Просьба объяснить, почему толкование в обоих меморандумах выглядит намного более ограничительным, чем принятые стандарты Организации Объединенных Наций, а именно Декларация о защите всех лиц от пыток и других жестоких, бесчеловечных или унижающих достоинство видов обращения и наказания</w:t>
      </w:r>
      <w:r>
        <w:rPr>
          <w:rStyle w:val="FootnoteReference"/>
        </w:rPr>
        <w:footnoteReference w:id="9"/>
      </w:r>
      <w:r>
        <w:t>, которая гласит, что "пытка представляет собой усугубленный и преднамеренный вид жестокого, бесчеловечного или унижающего достоинство обращения и наказания".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br w:type="page"/>
        <w:t>Статья 2</w:t>
      </w:r>
    </w:p>
    <w:p w:rsidR="00000000" w:rsidRDefault="00000000">
      <w:pPr>
        <w:jc w:val="center"/>
      </w:pPr>
    </w:p>
    <w:p w:rsidR="00000000" w:rsidRDefault="00000000">
      <w:r>
        <w:t>5.</w:t>
      </w:r>
      <w:r>
        <w:tab/>
        <w:t>С учетом того, что оговорка государства-участника к Конвенции гласит, что "положения статей 1-16 Конвенции не имеют прямого действия"</w:t>
      </w:r>
      <w:r>
        <w:rPr>
          <w:rStyle w:val="FootnoteReference"/>
        </w:rPr>
        <w:footnoteReference w:id="10"/>
      </w:r>
      <w:r>
        <w:t>, единственным законодательным актом, принятым в целях осуществления Конвенции, был закон, наделяющий уголовные суды Соединенных Штатов юрисдикцией в отношении экстерриториальных актов пыток</w:t>
      </w:r>
      <w:r>
        <w:rPr>
          <w:rStyle w:val="FootnoteReference"/>
        </w:rPr>
        <w:footnoteReference w:id="11"/>
      </w:r>
      <w:r>
        <w:t>.  Рассматривает ли государство-участник активно вопрос об официальном включении всех положений Конвенции во внутреннее право?  Если нет, то каким образом государство-участник будет обеспечивать, чтобы его законодательные, судебные, административные и другие меры полностью соответствовали обязательствам по Конвенции.  Какими гарантиями и средствами контроля располагает государство-участник для обеспечения мониторинга за деятельностью сотрудников правоприменительных органов в тюрьмах и других центрах содержания под стражей, находящихся под юрисдикцией различных штатов или под его юрисдикцией либо фактическим контролем</w:t>
      </w:r>
      <w:r>
        <w:rPr>
          <w:rStyle w:val="FootnoteReference"/>
        </w:rPr>
        <w:footnoteReference w:id="12"/>
      </w:r>
      <w:r>
        <w:t>?</w:t>
      </w:r>
    </w:p>
    <w:p w:rsidR="00000000" w:rsidRDefault="00000000"/>
    <w:p w:rsidR="00000000" w:rsidRDefault="00000000">
      <w:r>
        <w:t>6.</w:t>
      </w:r>
      <w:r>
        <w:tab/>
        <w:t>Регистрируется ли должным образом перевод заключенных из одного места содержания под стражей в другое и является ли доступ к этому регистру открытым?  Получают ли иностранцы, содержащиеся под стражей в пределах юрисдикции государства-участника, какую-либо консульскую помощь?  Просьба представить обновленные и подробные данные о контингенте лиц, содержащихся под стражей на территории государства-участника</w:t>
      </w:r>
      <w:r>
        <w:rPr>
          <w:rStyle w:val="FootnoteReference"/>
        </w:rPr>
        <w:footnoteReference w:id="13"/>
      </w:r>
      <w:r>
        <w:t xml:space="preserve"> и в районах, находящихся под юрисдикцией государства-участника, в том числе в Афганистане, в Ираке и Гуантанамо</w:t>
      </w:r>
      <w:r>
        <w:rPr>
          <w:rStyle w:val="FootnoteReference"/>
        </w:rPr>
        <w:footnoteReference w:id="14"/>
      </w:r>
      <w:r>
        <w:t>.  В отношении последних просьба представить информацию об их точном правовом статусе, правонарушениях, за которые они содержатся под стражей, о сроках такого содержания под стражей и процессуальных нормах, определяющих его продолжительность.  Имеют ли содержащиеся под стражей лица доступ к адвокатским услугам, медицинской помощи и могут ли их посещать родственники?  Осуществляется ли какой-либо независимый надзор за решениями, являющимися основанием для заключения под стражу, и за сроками их применимости?  Просьба представить подробную информацию по этому вопросу.</w:t>
      </w:r>
    </w:p>
    <w:p w:rsidR="00000000" w:rsidRDefault="00000000"/>
    <w:p w:rsidR="00000000" w:rsidRDefault="00000000">
      <w:r>
        <w:t>7.</w:t>
      </w:r>
      <w:r>
        <w:tab/>
        <w:t>Согласно имеющейся в распоряжении Комитета информации</w:t>
      </w:r>
      <w:r>
        <w:rPr>
          <w:rStyle w:val="FootnoteReference"/>
        </w:rPr>
        <w:footnoteReference w:id="15"/>
      </w:r>
      <w:r>
        <w:t>, государство-участник создало секретные центры содержания под стражей, в том числе на борту морских судов, и содержит под стражей находящихся в неведении лиц, к которым не имеет доступа Международный комитет Красного Креста (МККК), о которых не сообщается родственникам, за обращением с которыми не осуществляется никакого надзора и в большинстве случаев о задержании которых вообще не сообщается.  Просьба представить список всех пенитенциарных учреждений, где задержанные содержатся де-факто под действительным контролем властей государства-участника</w:t>
      </w:r>
      <w:r>
        <w:rPr>
          <w:rStyle w:val="FootnoteReference"/>
        </w:rPr>
        <w:footnoteReference w:id="16"/>
      </w:r>
      <w:r>
        <w:t xml:space="preserve"> за пределами его территории или на судах, принадлежащих государству-участнику, а также информацию о количестве, гражданстве, предъявленных обвинениях и точном правовом статусе этих лиц.  Почему были созданы такие секретные центры содержания под стражей?  Берет ли государство-участник на себя ответственность за предполагаемые акты, совершенные его государственными служащими вне его территории, но на территориях, находящихся под его юрисдикцией или контролируемых им де-факто</w:t>
      </w:r>
      <w:r>
        <w:rPr>
          <w:rStyle w:val="FootnoteReference"/>
        </w:rPr>
        <w:footnoteReference w:id="17"/>
      </w:r>
      <w:r>
        <w:t>, а также в случаях, когда такие акты совершают лица, не являющиеся государственными служащими, но находящиеся под контролем государства-участника?</w:t>
      </w:r>
    </w:p>
    <w:p w:rsidR="00000000" w:rsidRDefault="00000000"/>
    <w:p w:rsidR="00000000" w:rsidRDefault="00000000">
      <w:r>
        <w:t>8.</w:t>
      </w:r>
      <w:r>
        <w:tab/>
        <w:t>С учетом многочисленных заявлений о применении пыток и жестокого обращения в отношении содержащихся под стражей лиц, находящихся под юрисдикцией государства-участника, а также ситуации с тюрьмой Абу-Граиб, какие конкретные меры принимаются для выявления и решения проблем, связанных с руководством и управлением этими центрами содержания под стражей, находящимися под юрисдикцией государства-участника?  Какие меры принимаются для обеспечения надлежащего доступа МККК ко всем подобным центрам и ко всем задержанным, а также для обеспечения того, чтобы его доклады доводились до сведения достаточно высокопоставленных руководителей в целях выполнения содержащихся в этих докладах рекомендаций?</w:t>
      </w:r>
    </w:p>
    <w:p w:rsidR="00000000" w:rsidRDefault="00000000">
      <w:pPr>
        <w:tabs>
          <w:tab w:val="left" w:pos="0"/>
        </w:tabs>
        <w:rPr>
          <w:lang w:val="en-US"/>
        </w:rPr>
      </w:pPr>
    </w:p>
    <w:p w:rsidR="00000000" w:rsidRDefault="00000000">
      <w:r>
        <w:t>9.</w:t>
      </w:r>
      <w:r>
        <w:tab/>
        <w:t>Можно ли, согласно внутреннему праву государства-участника, отступать от принципа абсолютного запрещения пыток?  Принимались ли государством-участником какие-либо меры в отступление от этого запрещения?  Могут ли какие-либо положения Антитеррористического закона 2001 года быть истолкованы как возможное отступление?  Какие правовые или административные меры государство-участник предусматривает принять для обеспечения того, чтобы ни при каких обстоятельствах не допускались отступления от содержащегося в Конвенции запрещения пыток?</w:t>
      </w:r>
    </w:p>
    <w:p w:rsidR="00000000" w:rsidRDefault="00000000"/>
    <w:p w:rsidR="00000000" w:rsidRDefault="00000000">
      <w:r>
        <w:t>10.</w:t>
      </w:r>
      <w:r>
        <w:tab/>
        <w:t>Просьба прокомментировать полученную Комитетом информацию о том, что лица, совершившие пытки, могут освобождаться от уголовной ответственности по решению Президента как Верховного главнокомандующего.  Наделяет ли государство-участник какое-либо лицо правом разрешать пытки или жестокое обращение в отношении кого-либо при тех или иных обстоятельствах?  Если да, то кого?  Каким образом такое разрешение совместимо со статьей 2 Конвенции?  Проводилось ли независимое расследование на предмет возможной ответственности высокопоставленных должностных лиц администрации, включая ЦРУ, министерство обороны, министерство юстиции и вооруженные силы, за дачу в той или иной форме разрешения или согласия, в том числе посредством издания приказов или руководящих указаний, на те действия, совершенные их подчиненными, особенно во время допросов задержанных лиц, которые можно рассматривать как акты пытки?</w:t>
      </w:r>
    </w:p>
    <w:p w:rsidR="00000000" w:rsidRDefault="00000000"/>
    <w:p w:rsidR="00000000" w:rsidRDefault="00000000">
      <w:r>
        <w:t>11.</w:t>
      </w:r>
      <w:r>
        <w:tab/>
        <w:t>Может ли приказ вышестоящего начальника приводиться в качестве оправдания пыток?  Просьба сообщить о соответствующих правовых мерах, принимаемых для того, чтобы этого не происходило.  Существуют ли какие-либо обстоятельства, например "необходимость", "самооборона", "приказы вышестоящего начальника" или какой-либо другой принцип, на который могут ссылаться в свою защиту лица, применяющие пытки или жестокое обращение в отношении задержанных?</w:t>
      </w:r>
    </w:p>
    <w:p w:rsidR="00000000" w:rsidRDefault="00000000"/>
    <w:p w:rsidR="00000000" w:rsidRDefault="00000000">
      <w:r>
        <w:t>12.</w:t>
      </w:r>
      <w:r>
        <w:tab/>
        <w:t>Сведены ли воедино несколько принятых редакций правил, инструкций и методов ведения допроса, особенно лиц, подозреваемых в терроризме, для применения в гражданских и военных целях, особенно по линии ЦРУ и служб военной разведки?  Находятся ли лица, содержащиеся под стражей за пределами государства-участника, но под его юрисдикцией, под защитой тех же самых норм, касающихся правил, инструкций и методов ведения допроса?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3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13.</w:t>
      </w:r>
      <w:r>
        <w:tab/>
        <w:t>Просьба представить подробную информацию о положениях внутреннего права, касающихся осуществления статьи 3 Конвенции, и о процедурах, включая средства судебной защиты, обеспечивающих осуществление упомянутой статьи на практике, в том числе в отношении лиц, находящихся под юрисдикцией государства-участника вне его территории.  Отменялись ли какие-либо решения о запрещении высылки, возвращения или выдачи какого-либо лица другому государству в соответствии со статьей 3 Конвенции?  Исключаются ли автоматически из системы защиты, предусмотренной в статье 3 Конвенции, какие-либо категории иностранных граждан, которые, как считается, совершили какое-либо преступление или подозреваются в совершении какого-либо преступления?</w:t>
      </w:r>
    </w:p>
    <w:p w:rsidR="00000000" w:rsidRDefault="00000000"/>
    <w:p w:rsidR="00000000" w:rsidRDefault="00000000">
      <w:r>
        <w:t>14.</w:t>
      </w:r>
      <w:r>
        <w:tab/>
        <w:t>Ограничивает ли или изменяет ли оговорка государства-участника к статье 3 Конвенции сферу защиты по этому положению?  Просьба разъяснить практические различия между статьей 3 Конвенции и оговоркой государства-участника к статье 3</w:t>
      </w:r>
      <w:r>
        <w:rPr>
          <w:rStyle w:val="FootnoteReference"/>
        </w:rPr>
        <w:footnoteReference w:id="18"/>
      </w:r>
      <w:r>
        <w:t xml:space="preserve">.  Как и кем определяется, что какое-либо лицо "вероятнее всего" подвергнется пыткам.  Просьба привести примеры </w:t>
      </w:r>
      <w:r>
        <w:rPr>
          <w:lang w:val="en-US"/>
        </w:rPr>
        <w:t>in</w:t>
      </w:r>
      <w:r>
        <w:t xml:space="preserve"> </w:t>
      </w:r>
      <w:r>
        <w:rPr>
          <w:lang w:val="en-US"/>
        </w:rPr>
        <w:t>abstracto</w:t>
      </w:r>
      <w:r>
        <w:t>, если это необходимо.</w:t>
      </w:r>
    </w:p>
    <w:p w:rsidR="00000000" w:rsidRDefault="00000000"/>
    <w:p w:rsidR="00000000" w:rsidRDefault="00000000">
      <w:r>
        <w:t>15.</w:t>
      </w:r>
      <w:r>
        <w:tab/>
        <w:t>Могут ли иностранцы, которые настаивают на праве не быть высланными в какое-либо другое государство в соответствии со статьей 3 Конвенции, обжаловать в судах решение Государственного секретаря.  Имеют ли просители убежища право обжаловать решение о высылке?  Просьба представить подробную информацию о любых таких процедурах.  Имеет ли апелляция против высылки приостанавливающее действие?  Просьба представить информацию о количестве поданных апелляций и результатах их рассмотрения.  Располагает ли государство-участник перечнем "безопасных третьих стран для высылки"?  Если да, то как он составляется и ведется?</w:t>
      </w:r>
    </w:p>
    <w:p w:rsidR="00000000" w:rsidRDefault="00000000"/>
    <w:p w:rsidR="00000000" w:rsidRDefault="00000000">
      <w:r>
        <w:t>16.</w:t>
      </w:r>
      <w:r>
        <w:tab/>
        <w:t>Согласно информации, полученной Комитетом, государство-участник проводит политику, направленную на отправку или содействие отправке лиц в третьи страны либо со своей территории, либо из районов, находящихся под его юрисдикцией, в целях заключения этих лиц под стражу или допроса.  Скольких людей коснулась эта политика, в какие страны их отправляли и какие меры были приняты для обеспечения того, чтобы они не подвергались пыткам?  Просьба прокомментировать утверждения</w:t>
      </w:r>
      <w:r>
        <w:rPr>
          <w:rStyle w:val="FootnoteReference"/>
        </w:rPr>
        <w:footnoteReference w:id="19"/>
      </w:r>
      <w:r>
        <w:t xml:space="preserve"> о том, что в некоторых странах по просьбе властей государства-участника лица содержатся под стражей без предъявления обвинений.</w:t>
      </w:r>
    </w:p>
    <w:p w:rsidR="00000000" w:rsidRDefault="00000000"/>
    <w:p w:rsidR="00000000" w:rsidRDefault="00000000">
      <w:r>
        <w:t>17.</w:t>
      </w:r>
      <w:r>
        <w:tab/>
        <w:t>Являются ли насильственные или недобровольные исчезновения, которые могут квалифицироваться в качестве одной из форм пытки, преступлением, наказуемым по закону в государстве-участнике?  Как государство-участник предотвращает исчезновения лиц, высланных в другое государство для допроса?</w:t>
      </w:r>
    </w:p>
    <w:p w:rsidR="00000000" w:rsidRDefault="00000000"/>
    <w:p w:rsidR="00000000" w:rsidRDefault="00000000">
      <w:r>
        <w:t>18.</w:t>
      </w:r>
      <w:r>
        <w:tab/>
        <w:t>Просьба представить более подробную информацию о процедуре, применяемой для получения дипломатических гарантий того, что в случае высылки или выдачи другому государству какого-либо лица оно не подвергнется пыткам</w:t>
      </w:r>
      <w:r>
        <w:rPr>
          <w:rStyle w:val="FootnoteReference"/>
        </w:rPr>
        <w:footnoteReference w:id="20"/>
      </w:r>
      <w:r>
        <w:t xml:space="preserve">.  Бывали ли случаи, когда такие гарантии не были сочтены достаточными и, соответственно, данное лицо не было выслано или выдано?  Просьба привести примеры </w:t>
      </w:r>
      <w:r>
        <w:rPr>
          <w:lang w:val="en-US"/>
        </w:rPr>
        <w:t>in</w:t>
      </w:r>
      <w:r>
        <w:t xml:space="preserve"> </w:t>
      </w:r>
      <w:r>
        <w:rPr>
          <w:lang w:val="en-US"/>
        </w:rPr>
        <w:t>abstracto</w:t>
      </w:r>
      <w:r>
        <w:t>, если это необходимо.  Просьба подробно рассказать о требованиях к гарантиям, которые должна выполнить принимающая сторона для того, чтобы государство-участник выдало или выслало какое-либо лицо.  Какие механизмы контроля существуют для оценки того, были ли выполнены эти гарантии</w:t>
      </w:r>
      <w:r>
        <w:rPr>
          <w:rStyle w:val="FootnoteReference"/>
        </w:rPr>
        <w:footnoteReference w:id="21"/>
      </w:r>
      <w:r>
        <w:t>?  Просьба предоставить более подробную информацию о норме "нерасследования", оставляющей решение этих вопросов на усмотрение Государственного секретаря</w:t>
      </w:r>
      <w:r>
        <w:rPr>
          <w:rStyle w:val="FootnoteReference"/>
        </w:rPr>
        <w:footnoteReference w:id="22"/>
      </w:r>
      <w:r>
        <w:t>.  Какой цели служит эта норма?</w:t>
      </w:r>
    </w:p>
    <w:p w:rsidR="00000000" w:rsidRDefault="00000000"/>
    <w:p w:rsidR="00000000" w:rsidRDefault="00000000">
      <w:r>
        <w:t>19.</w:t>
      </w:r>
      <w:r>
        <w:tab/>
        <w:t>Согласно полученной Комитетом информации, некоторые лица были высланы в страны, которые, как считает само государство-участник, не уважают права человека</w:t>
      </w:r>
      <w:r>
        <w:rPr>
          <w:rStyle w:val="FootnoteReference"/>
        </w:rPr>
        <w:footnoteReference w:id="23"/>
      </w:r>
      <w:r>
        <w:t>, и подвергались там пыткам и жестокому обращению.  Проводилось ли расследование этих случаев и если да, то каковы его результаты?  Распространяется ли обязательство уважать принцип "невыдворения" на все учреждения государства-участника, действующие за пределами его территории?  Просьба разъяснить "особый случай выдачи", используемые при этом процедуры и предоставляемые гарантии.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4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20.</w:t>
      </w:r>
      <w:r>
        <w:tab/>
        <w:t>Являются ли пытки, согласно федеральным законам государства-участника, конкретным видом уголовного преступления, если они совершаются на территории государства-участника</w:t>
      </w:r>
      <w:r>
        <w:rPr>
          <w:rStyle w:val="FootnoteReference"/>
        </w:rPr>
        <w:footnoteReference w:id="24"/>
      </w:r>
      <w:r>
        <w:t>?  Если да, то просьба привести примеры.  Если нет, то рассматривает ли серьезно государство-участник вопрос о признании пыток конкретным преступлением на федеральном уровне, если оно совершается на его территории?  Каким образом этот пробел согласуется с необходимостью предотвращения пыток и, в частности, с обязательствами государства-участника по статьям 1, 2 и 4 Конвенции?  Согласно докладу государства-участника</w:t>
      </w:r>
      <w:r>
        <w:rPr>
          <w:rStyle w:val="FootnoteReference"/>
        </w:rPr>
        <w:footnoteReference w:id="25"/>
      </w:r>
      <w:r>
        <w:t>, акты пыток "могут преследоваться в судебном порядке" по примеру других преступных деяний (нападение, убийство, похищение, изнасилование и т.д.).  Просьба пояснить, каким образом и по примеру каких других преступлений акты пытки могут преследоваться в судебном порядке.</w:t>
      </w:r>
    </w:p>
    <w:p w:rsidR="00000000" w:rsidRDefault="00000000"/>
    <w:p w:rsidR="00000000" w:rsidRDefault="00000000">
      <w:r>
        <w:t>21.</w:t>
      </w:r>
      <w:r>
        <w:tab/>
        <w:t>В соответствии с докладом государства-участника</w:t>
      </w:r>
      <w:r>
        <w:rPr>
          <w:rStyle w:val="FootnoteReference"/>
        </w:rPr>
        <w:footnoteReference w:id="26"/>
      </w:r>
      <w:r>
        <w:t xml:space="preserve"> Унифицированный кодекс военной юстиции охватывает преступления в форме проявления жестокости или жестокого обращения, но охватывает ли он такое преступление, как пытки?  Если нет, то почему, и просьба объяснить, как это совмещается с обязательствами государства-участника по статье 4 Конвенции.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5</w:t>
      </w:r>
    </w:p>
    <w:p w:rsidR="00000000" w:rsidRDefault="00000000">
      <w:pPr>
        <w:jc w:val="center"/>
      </w:pPr>
    </w:p>
    <w:p w:rsidR="00000000" w:rsidRDefault="00000000">
      <w:r>
        <w:t>22.</w:t>
      </w:r>
      <w:r>
        <w:tab/>
        <w:t>В соответствии с внутренним правом государства-участника, в каких случаях иностранцы обладают иммунитетом от уголовного преследования за преступление, состоящее в применении пыток, в том числе если они находятся на территории государства-участника?  С учетом того, что на момент представления доклада некоторые расследования оставались незаконченными</w:t>
      </w:r>
      <w:r>
        <w:rPr>
          <w:rStyle w:val="FootnoteReference"/>
        </w:rPr>
        <w:footnoteReference w:id="27"/>
      </w:r>
      <w:r>
        <w:t>, возбуждалось ли какое-либо уголовное преследование на основании норм об экстерриториальных преступлениях, состоящих в применении пыток</w:t>
      </w:r>
      <w:r>
        <w:rPr>
          <w:rStyle w:val="FootnoteReference"/>
        </w:rPr>
        <w:footnoteReference w:id="28"/>
      </w:r>
      <w:r>
        <w:t>?  С учетом того, что запрещение пыток и сговор в целях применения пыток распространяются на лиц, работающих по контракту за пределами государства-участника</w:t>
      </w:r>
      <w:r>
        <w:rPr>
          <w:rStyle w:val="FootnoteReference"/>
        </w:rPr>
        <w:footnoteReference w:id="29"/>
      </w:r>
      <w:r>
        <w:t>, предъявлялись ли кому-либо из этих лиц обвинения в совершении данного конкретного преступления?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10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23.</w:t>
      </w:r>
      <w:r>
        <w:tab/>
        <w:t>Применимы ли положения Конвенции к военнослужащим и другим служащим, включая контрактников, в период их участия в миротворческих или других военных операциях, будь-то в индивидуальном качестве или в составе международно-уполномоченного контингента?  Если да, то информируются ли они об их обязательствах по Конвенции и какие другие международные договоры о правах человека применяются к ним?</w:t>
      </w:r>
    </w:p>
    <w:p w:rsidR="00000000" w:rsidRDefault="00000000"/>
    <w:p w:rsidR="00000000" w:rsidRDefault="00000000">
      <w:r>
        <w:t>24.</w:t>
      </w:r>
      <w:r>
        <w:tab/>
        <w:t>Какие учебно-информационные программы, правила и инструкции, а также механизмы систематической проверки существуют для военнослужащих, которые несут ответственность за содержание под стражей, проведение допросов или обращение с лицами, содержащимися под стражей?</w:t>
      </w:r>
    </w:p>
    <w:p w:rsidR="00000000" w:rsidRDefault="00000000"/>
    <w:p w:rsidR="00000000" w:rsidRDefault="00000000">
      <w:r>
        <w:t>25.</w:t>
      </w:r>
      <w:r>
        <w:tab/>
        <w:t>Как государство-участник использует частных контрактников в рамках функционирования пенитенциарных учреждений и при проведении допросов задержанных лиц и как набирается этот персонал?  Согласно полученной Комитетом информации подготовка по правам человека для лиц, работающих на контрактной основе, не проводится или весьма ограничена.  Просьба представить подробную информацию об их подготовке.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Статья 11</w:t>
      </w:r>
    </w:p>
    <w:p w:rsidR="00000000" w:rsidRDefault="00000000">
      <w:pPr>
        <w:jc w:val="center"/>
      </w:pPr>
    </w:p>
    <w:p w:rsidR="00000000" w:rsidRDefault="00000000">
      <w:r>
        <w:t>26.</w:t>
      </w:r>
      <w:r>
        <w:tab/>
        <w:t>Не может ли использование слова "крайний" в меморандуме от декабря 2004 года</w:t>
      </w:r>
      <w:r>
        <w:rPr>
          <w:rStyle w:val="FootnoteReference"/>
        </w:rPr>
        <w:footnoteReference w:id="30"/>
      </w:r>
      <w:r>
        <w:t xml:space="preserve"> привести к неоправданной дезориентации инструкторов и персонала с учетом того, что согласно докладу генерал-майора Фея, генерал-лейтенанта Джонса и генерала Керны "военные или гражданские лица, по</w:t>
      </w:r>
      <w:r>
        <w:noBreakHyphen/>
        <w:t>видимому, допустили злоупотребления в отношении иракских заключенных вследствие… дезориентирующих норм проведения допросов"</w:t>
      </w:r>
      <w:r>
        <w:rPr>
          <w:rStyle w:val="FootnoteReference"/>
        </w:rPr>
        <w:footnoteReference w:id="31"/>
      </w:r>
      <w:r>
        <w:t>.</w:t>
      </w:r>
    </w:p>
    <w:p w:rsidR="00000000" w:rsidRDefault="00000000"/>
    <w:p w:rsidR="00000000" w:rsidRDefault="00000000">
      <w:r>
        <w:t>27.</w:t>
      </w:r>
      <w:r>
        <w:tab/>
        <w:t>Просьба привести подробные примеры пересмотра правил, инструкций, методов и практики проведения допросов после того, как августовский меморандум 2002 года был заменен декабрьским меморандумом 2004 года</w:t>
      </w:r>
      <w:r>
        <w:rPr>
          <w:rStyle w:val="FootnoteReference"/>
        </w:rPr>
        <w:footnoteReference w:id="32"/>
      </w:r>
      <w:r>
        <w:t>.  Существуют ли какие-либо особые правила, инструкции и методы проведения допросов для конкретных учреждений или же на всех сотрудников распространяются одни и те же правила, включая пределы применения особых методов допроса?  Просьба сообщить Комитету о всех применяемых в настоящее время правилах, инструкциях и методах проведения допроса.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Статья 12</w:t>
      </w:r>
    </w:p>
    <w:p w:rsidR="00000000" w:rsidRDefault="00000000">
      <w:pPr>
        <w:jc w:val="center"/>
      </w:pPr>
    </w:p>
    <w:p w:rsidR="00000000" w:rsidRDefault="00000000">
      <w:r>
        <w:t>28.</w:t>
      </w:r>
      <w:r>
        <w:tab/>
        <w:t>Просьба представить информацию о программах, деятельности, ресурсах и результатах работы Отдела гражданских прав министерства юстиции.</w:t>
      </w:r>
    </w:p>
    <w:p w:rsidR="00000000" w:rsidRDefault="00000000"/>
    <w:p w:rsidR="00000000" w:rsidRDefault="00000000">
      <w:r>
        <w:t>29.</w:t>
      </w:r>
      <w:r>
        <w:tab/>
        <w:t>Каковы с октября 1999</w:t>
      </w:r>
      <w:r>
        <w:rPr>
          <w:lang w:val="en-US"/>
        </w:rPr>
        <w:t> </w:t>
      </w:r>
      <w:r>
        <w:t>года результаты применения Закона о гражданских правах лиц, содержащихся в учреждениях закрытого типа</w:t>
      </w:r>
      <w:r>
        <w:rPr>
          <w:rStyle w:val="FootnoteReference"/>
        </w:rPr>
        <w:footnoteReference w:id="33"/>
      </w:r>
      <w:r>
        <w:t>?  Сколько расследований завершилось возбуждением судебного преследования за пытки или жестокое, бесчеловечное или унижающее достоинство обращение и наказание или аналогичные преступления?  Какие меры были приняты для улучшения условий содержания под стражей?  Просьба представить подробную информацию.</w:t>
      </w:r>
    </w:p>
    <w:p w:rsidR="00000000" w:rsidRDefault="00000000"/>
    <w:p w:rsidR="00000000" w:rsidRDefault="00000000">
      <w:r>
        <w:t>30.</w:t>
      </w:r>
      <w:r>
        <w:tab/>
        <w:t>Просьба представить статистические данные о случаях смерти во время содержания под стражей в разбивке по местам заключения, полу, возрасту и этнической принадлежности умерших, а также причинам смерти.  Просьба представить подробную информацию о результатах расследований, проведенных в связи с этими случаями, в том числе о каких-либо конкретных рекомендациях, сделанных по результатам этих расследований.</w:t>
      </w:r>
    </w:p>
    <w:p w:rsidR="00000000" w:rsidRDefault="00000000"/>
    <w:p w:rsidR="00000000" w:rsidRDefault="00000000">
      <w:r>
        <w:t>31.</w:t>
      </w:r>
      <w:r>
        <w:tab/>
        <w:t xml:space="preserve">Просьба представить информацию в отношении целого ряда случаев смерти задержанных лиц, имевших место во время их нахождения под юрисдикцией государства-участника в Афганистане и Ираке, предположительно после применения к ним пыток.  Проводилось ли всестороннее и беспристрастное расследование этих случаев, преследовались ли подозреваемые в судебном порядке и понесли ли они наказание, соответствующее степени тяжести совершенных преступлений?  </w:t>
      </w:r>
    </w:p>
    <w:p w:rsidR="00000000" w:rsidRDefault="00000000"/>
    <w:p w:rsidR="00000000" w:rsidRDefault="00000000">
      <w:r>
        <w:t>32.</w:t>
      </w:r>
      <w:r>
        <w:tab/>
        <w:t>Просьба представить обновленную и подробную информацию о всех конкретных случаях применения пыток или жестокого, бесчеловечного или унижающего достоинство обращения и наказания или об аналогичных преступлениях, совершенных служащими государства-участника в Афганистане, Ираке и Гуантанамо, в том числе о количестве таких случаев, о том, в какой стадии расследования они находятся, какими властями расследуются и о результатах такого расследования.  Как, по мнению государства-участника, совершаются такие акты и какие меры принимаются для того, чтобы предотвратить повторение подобных актов в центрах задержания, находящихся под контролем государства-участника?</w:t>
      </w:r>
    </w:p>
    <w:p w:rsidR="00000000" w:rsidRDefault="00000000"/>
    <w:p w:rsidR="00000000" w:rsidRDefault="00000000">
      <w:r>
        <w:t>33.</w:t>
      </w:r>
      <w:r>
        <w:tab/>
        <w:t>Просьба прокомментировать информацию о том, что официальные расследования, проведенные в связи с утверждением о применении пыток и жестокого обращения в Афганистане и Ираке, и особенно в тюрьме Абу Граиб, не были в полной мере независимыми</w:t>
      </w:r>
      <w:r>
        <w:rPr>
          <w:rStyle w:val="FootnoteReference"/>
        </w:rPr>
        <w:footnoteReference w:id="34"/>
      </w:r>
      <w:r>
        <w:t>.  Проводились ли какие-либо расследования независимым судебным или невоенным органом?  Если нет, то планируются ли какие-либо независимые расследования в будущем?  Существуют ли какие-либо независимые организации, контролирующие упомянутые учреждения (национальные, международные или неправительственные)?  Просьба сообщить о результатах расследований, которые продолжали вестись на момент представления доклада, в том числе Службой уголовного расследования ВМС и Генеральным инспектором ВМС</w:t>
      </w:r>
      <w:r>
        <w:rPr>
          <w:rStyle w:val="FootnoteReference"/>
        </w:rPr>
        <w:footnoteReference w:id="35"/>
      </w:r>
      <w:r>
        <w:t>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Статьи 13 и 14</w:t>
      </w:r>
    </w:p>
    <w:p w:rsidR="00000000" w:rsidRDefault="00000000"/>
    <w:p w:rsidR="00000000" w:rsidRDefault="00000000">
      <w:r>
        <w:t>34.</w:t>
      </w:r>
      <w:r>
        <w:tab/>
        <w:t>Обладают ли трибуналы по рассмотрению статуса комбатантов и советы административного контроля</w:t>
      </w:r>
      <w:r>
        <w:rPr>
          <w:rStyle w:val="FootnoteReference"/>
        </w:rPr>
        <w:footnoteReference w:id="36"/>
      </w:r>
      <w:r>
        <w:t xml:space="preserve"> какой-либо юрисдикцией в отношении жалоб на пытки и жестокие, бесчеловечные или унижающие достоинство виды обращения и наказания?  Как обеспечивается их беспристрастность при рассмотрении таких случаев?  </w:t>
      </w:r>
    </w:p>
    <w:p w:rsidR="00000000" w:rsidRDefault="00000000"/>
    <w:p w:rsidR="00000000" w:rsidRDefault="00000000">
      <w:r>
        <w:t>35.</w:t>
      </w:r>
      <w:r>
        <w:tab/>
        <w:t>Просьба представить подробную информацию о том, как на практике Закон 2004 года "Справедливость для всех" способствует укреплению прав жертв пыток на возмещение ущерба</w:t>
      </w:r>
      <w:r>
        <w:rPr>
          <w:rStyle w:val="FootnoteReference"/>
        </w:rPr>
        <w:footnoteReference w:id="37"/>
      </w:r>
      <w:r>
        <w:t xml:space="preserve">?  Возросло ли число жалоб после принятия этого Закона?  Просьба представить статистические данные.  </w:t>
      </w:r>
    </w:p>
    <w:p w:rsidR="00000000" w:rsidRDefault="00000000"/>
    <w:p w:rsidR="00000000" w:rsidRDefault="00000000">
      <w:r>
        <w:t>36.</w:t>
      </w:r>
      <w:r>
        <w:tab/>
        <w:t xml:space="preserve">Какие средства правовой защиты в отношении актов пыток имеются в распоряжении задержанных, находящихся под юрисдикцией государства-участника за пределами его территории, и в какой орган они могут обратиться для получения компенсации?  Сколько задержанных на данный момент воспользовались этим правом?  Просьба представить статистические данные о жалобах на пытки или жестокое обращение в разбивке по полу, возрасту, месту нахождения истца и результатам расследования.  Была ли к настоящему времени выплачена компенсация, скольким жертвам и в каких размерах?  Просьба </w:t>
      </w:r>
    </w:p>
    <w:p w:rsidR="00000000" w:rsidRDefault="00000000">
      <w:r>
        <w:br w:type="page"/>
        <w:t>представить информацию о компенсации, выплаченной жертвам тюрьмы Абу-Граиб</w:t>
      </w:r>
      <w:r>
        <w:rPr>
          <w:rStyle w:val="FootnoteReference"/>
        </w:rPr>
        <w:footnoteReference w:id="38"/>
      </w:r>
      <w:r>
        <w:t>.</w:t>
      </w:r>
    </w:p>
    <w:p w:rsidR="00000000" w:rsidRDefault="00000000"/>
    <w:p w:rsidR="00000000" w:rsidRDefault="00000000">
      <w:r>
        <w:t>37.</w:t>
      </w:r>
      <w:r>
        <w:tab/>
        <w:t>Просьба объяснить, как Закон об изменении порядка обжалования действий тюремных служащих, который содержит положение о том, "что заключенный не может обращаться в федеральный суд с гражданским иском о возмещении психического или эмоционального ущерба, причиненного ему во время нахождения под стражей, без представления доказательства телесного повреждения"</w:t>
      </w:r>
      <w:r>
        <w:rPr>
          <w:rStyle w:val="FootnoteReference"/>
        </w:rPr>
        <w:footnoteReference w:id="39"/>
      </w:r>
      <w:r>
        <w:t xml:space="preserve">, совместим, в частности, со статьей 13 Конвенции с учетом того факта, что он ограничивает право жертв на подачу жалоб и расширяет для виновников возможность остаться безнаказанными.  </w:t>
      </w:r>
    </w:p>
    <w:p w:rsidR="00000000" w:rsidRDefault="00000000"/>
    <w:p w:rsidR="00000000" w:rsidRDefault="00000000">
      <w:r>
        <w:t>38.</w:t>
      </w:r>
      <w:r>
        <w:tab/>
        <w:t>Проходили ли лечение в каком-либо центре для жертв пыток в государстве-участнике жертвы пыток, совершенных служащими государства-участника</w:t>
      </w:r>
      <w:r>
        <w:rPr>
          <w:rStyle w:val="FootnoteReference"/>
        </w:rPr>
        <w:footnoteReference w:id="40"/>
      </w:r>
      <w:r>
        <w:t>?</w:t>
      </w:r>
    </w:p>
    <w:p w:rsidR="00000000" w:rsidRDefault="00000000"/>
    <w:p w:rsidR="00000000" w:rsidRDefault="00000000">
      <w:r>
        <w:t>39.</w:t>
      </w:r>
      <w:r>
        <w:tab/>
        <w:t>Просьба обновить информацию о случаях применения процедуры хабеас корпус, остающихся на рассмотрении окружных судов</w:t>
      </w:r>
      <w:r>
        <w:rPr>
          <w:rStyle w:val="FootnoteReference"/>
        </w:rPr>
        <w:footnoteReference w:id="41"/>
      </w:r>
      <w:r>
        <w:t xml:space="preserve">,  после решений, вынесенных Верховным судом по делу "Расул против Буша".  Обеспечивает ли государство-участник право на процедуру хабеас корпус задержанным лицам, находящимся под его контролем в других частях мира?  </w:t>
      </w:r>
    </w:p>
    <w:p w:rsidR="00000000" w:rsidRDefault="00000000"/>
    <w:p w:rsidR="00000000" w:rsidRDefault="00000000">
      <w:r>
        <w:t>40.</w:t>
      </w:r>
      <w:r>
        <w:tab/>
        <w:t xml:space="preserve">Изучает ли государство-участник вопрос о пересмотре своего решения не применять Женевские конвенции от 12 августа 1949 года к задержанным, которых оно считает "вражескими комбатантами", в Афганистане, Ираке, Гуантанамо или других местах, находящихся под юрисдикцией государства-участника?  Каков точно правовой статус этих лиц и какие международные договоры применимы к ним в целях защиты их прав человека?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15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41.</w:t>
      </w:r>
      <w:r>
        <w:tab/>
        <w:t xml:space="preserve">Просьба привести примеры каких-либо судебных дел, по которым суды признали заявления неприемлемыми на том основании, что они были получены под принуждением.  </w:t>
      </w:r>
    </w:p>
    <w:p w:rsidR="00000000" w:rsidRDefault="00000000"/>
    <w:p w:rsidR="00000000" w:rsidRDefault="00000000">
      <w:r>
        <w:t>42.</w:t>
      </w:r>
      <w:r>
        <w:tab/>
        <w:t>Как содержащееся в статье 15 Конвенции положение о запрещении использовать любое заявление, которое было сделано под пыткой, в качестве доказательства в ходе любого судебного разбирательства, за исключением случаев, когда оно используется против лица, обвиняемого в совершении пыток, конкретно осуществляется в трибуналах по рассмотрению статуса комбатантов и в советах административного контроля</w:t>
      </w:r>
      <w:r>
        <w:rPr>
          <w:rStyle w:val="FootnoteReference"/>
        </w:rPr>
        <w:footnoteReference w:id="42"/>
      </w:r>
      <w:r>
        <w:t xml:space="preserve">?  Просьба представить информацию о любых заявлениях, которые были признаны в этой связи неприемлемыми.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16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43.</w:t>
      </w:r>
      <w:r>
        <w:tab/>
        <w:t xml:space="preserve">Оговорка государства-участника к статье 16 ограничивает понятие жестокого, бесчеловечного или унижающего достоинство обращения или наказания теми видами обращения или наказания, которые запрещены пятой, восьмой и четырнадцатой поправками к Конституции.  Какие виды обращения или наказания на практике запрещаются и допускаются поправками, а не Конвенцией?  Просьба привести конкретные примеры.  </w:t>
      </w:r>
    </w:p>
    <w:p w:rsidR="00000000" w:rsidRDefault="00000000"/>
    <w:p w:rsidR="00000000" w:rsidRDefault="00000000">
      <w:r>
        <w:t>44.</w:t>
      </w:r>
      <w:r>
        <w:tab/>
        <w:t>С учетом оговорки государства-участника к статье 16, является ли эта статья полностью применимой за пределами территории государства-участника или на территориях, которые находятся под юрисдикцией государства-участника либо де-факто под его контролем</w:t>
      </w:r>
      <w:r>
        <w:rPr>
          <w:rStyle w:val="FootnoteReference"/>
        </w:rPr>
        <w:footnoteReference w:id="43"/>
      </w:r>
      <w:r>
        <w:t>?  Просьба разъяснить, что охватывается специальной морской и территориальной юрисдикцией.  Применяется ли статья 16 Конвенции к специальной морской и территориальной юрисдикции</w:t>
      </w:r>
      <w:r>
        <w:rPr>
          <w:rStyle w:val="FootnoteReference"/>
        </w:rPr>
        <w:footnoteReference w:id="44"/>
      </w:r>
      <w:r>
        <w:t>?  Является ли наказуемым по закону в государстве-участнике жестокое, бесчеловечное или унижающее достоинство обращение и наказание, примененное его представителями в отношении иностранных граждан вне территории государства-участника?</w:t>
      </w:r>
    </w:p>
    <w:p w:rsidR="00000000" w:rsidRDefault="00000000"/>
    <w:p w:rsidR="00000000" w:rsidRDefault="00000000">
      <w:r>
        <w:t>45.</w:t>
      </w:r>
      <w:r>
        <w:tab/>
        <w:t>Просьба привести примеры применения на практике национальных норм содержания под стражей, которые обеспечили заключенным-негражданам более приемлемые условия содержания под стражей</w:t>
      </w:r>
      <w:r>
        <w:rPr>
          <w:rStyle w:val="FootnoteReference"/>
        </w:rPr>
        <w:footnoteReference w:id="45"/>
      </w:r>
      <w:r>
        <w:t>.  Просьба представить информацию о мерах, принимаемых для рассмотрения жалоб на домогательства и сексуальное насилие в отношении женщин-иммигранток со стороны сотрудников пограничной службы.</w:t>
      </w:r>
    </w:p>
    <w:p w:rsidR="00000000" w:rsidRDefault="00000000"/>
    <w:p w:rsidR="00000000" w:rsidRDefault="00000000">
      <w:r>
        <w:t>46.</w:t>
      </w:r>
      <w:r>
        <w:tab/>
        <w:t>Согласно полученной Комитетом информации, имело место несколько случаев смерти после применения специальных устройств - "тазеров", что вызывает серьезное беспокойство в отношении безопасности применения этих приборов.  Просьба представить подробную информацию об их применении, в том числе о любых мерах, принятых в целях обеспечения безопасности их применения.</w:t>
      </w:r>
    </w:p>
    <w:p w:rsidR="00000000" w:rsidRDefault="00000000"/>
    <w:p w:rsidR="00000000" w:rsidRDefault="00000000">
      <w:r>
        <w:t>47.</w:t>
      </w:r>
      <w:r>
        <w:tab/>
        <w:t>Почему несовершеннолетние заключенные содержатся в федеральных пенитенциарных учреждениях или в тюрьмах штатов вместе со взрослыми и в каких условиях, с учетом того, что федеральный закон запрещает содержание под стражей несовершеннолетних вместе со взрослыми?  Сколько несовершеннолетних продолжают содержаться под стражей вместе со взрослыми в федеральных пенитенциарных учреждениях и в тюрьмах штатов</w:t>
      </w:r>
      <w:r>
        <w:rPr>
          <w:rStyle w:val="FootnoteReference"/>
        </w:rPr>
        <w:footnoteReference w:id="46"/>
      </w:r>
      <w:r>
        <w:t>?</w:t>
      </w:r>
    </w:p>
    <w:p w:rsidR="00000000" w:rsidRDefault="00000000"/>
    <w:p w:rsidR="00000000" w:rsidRDefault="00000000">
      <w:r>
        <w:t>48.</w:t>
      </w:r>
      <w:r>
        <w:tab/>
        <w:t>Согласно полученной Комитетом информации, заключенные-женщины содержатся в наручниках во время родов.  Почему государство-участник считает такую меру необходимой?  Просьба описать меры, принимаемые с целью запрещения содержания заключенных скованными одной цепью и использовать так называемую "привязную стойку"</w:t>
      </w:r>
      <w:r>
        <w:rPr>
          <w:rStyle w:val="FootnoteReference"/>
        </w:rPr>
        <w:footnoteReference w:id="47"/>
      </w:r>
      <w:r>
        <w:t>.  Какие меры принимаются для пересмотра условий содержания в тюрьмах со "сверхстрогим" режимом безопасности</w:t>
      </w:r>
      <w:r>
        <w:rPr>
          <w:rStyle w:val="FootnoteReference"/>
        </w:rPr>
        <w:footnoteReference w:id="48"/>
      </w:r>
      <w:r>
        <w:t>?</w:t>
      </w:r>
    </w:p>
    <w:p w:rsidR="00000000" w:rsidRDefault="00000000"/>
    <w:p w:rsidR="00000000" w:rsidRDefault="00000000">
      <w:r>
        <w:t>49.</w:t>
      </w:r>
      <w:r>
        <w:tab/>
        <w:t>Какие меры принимаются для предотвращения сексуального насилия в отношении заключенных, в том числе насилия между самими заключенными?  Какие конкретные меры принимаются для защиты заключенных из числа женщин, несовершеннолетних и иммигрантов от этих видов насилия?  Сколько жалоб подано заключенными и каковы результаты проведенных расследований;  если была выплачена компенсация, то в каком размере?</w:t>
      </w:r>
    </w:p>
    <w:p w:rsidR="00000000" w:rsidRDefault="00000000"/>
    <w:p w:rsidR="00000000" w:rsidRDefault="00000000">
      <w:r>
        <w:t>50.</w:t>
      </w:r>
      <w:r>
        <w:tab/>
        <w:t>Как регулируется применение одиночного заключения и как осуществляется контроль за психическим состоянием заключенных</w:t>
      </w:r>
      <w:r>
        <w:rPr>
          <w:rStyle w:val="FootnoteReference"/>
        </w:rPr>
        <w:footnoteReference w:id="49"/>
      </w:r>
      <w:r>
        <w:t>?  Как продолжительная изоляция и бессрочное содержание под стражей на основании предъявленных обвинений и без предъявления таковых совместимы с обязательством государства-участника по статье 16?</w:t>
      </w:r>
    </w:p>
    <w:p w:rsidR="00000000" w:rsidRDefault="00000000"/>
    <w:p w:rsidR="00000000" w:rsidRDefault="00000000">
      <w:r>
        <w:t>51.</w:t>
      </w:r>
      <w:r>
        <w:tab/>
        <w:t>Просьба представить информацию в связи с утверждениями о невыносимой боли, испытываемой во время процедуры казни с помощью смертоносной инъекции вследствие того, что болеутоляющее средство не применяется должным образом</w:t>
      </w:r>
      <w:r>
        <w:rPr>
          <w:rStyle w:val="FootnoteReference"/>
        </w:rPr>
        <w:footnoteReference w:id="50"/>
      </w:r>
      <w:r>
        <w:t>.  Как осуществляется контроль за процедурой казни, особенно казни с помощью смертоносной инъекции?</w:t>
      </w:r>
    </w:p>
    <w:p w:rsidR="00000000" w:rsidRDefault="00000000"/>
    <w:p w:rsidR="00000000" w:rsidRDefault="00000000">
      <w:r>
        <w:t>52.</w:t>
      </w:r>
      <w:r>
        <w:tab/>
        <w:t>Согласно полученной Комитетом информации, государство-участник разрешает использовать такие методы допроса, как беспрерывный 20-часовой допрос, удержание в неудобном положении, изоляция, сенсорная депривация, надевание колпака на голову, воздействие холодом или жарой, произвольное регулирование сна и питания, натравливание собак для внушения чувства страха, изъятие одежды, принудительное обривание, ведение допроса женщинами, физический контакт и изъятие принадлежностей для отправления религиозных обрядов.  Если это так, то каким образом государство-участник считает использование этих методов совместимым с его обязательствами по статье 16 Конвенции?  Просьба представить подробную информацию о методах допроса, разрешенных и применяемых в Гуантанамо, Афганистане, Ираке и в других местах содержания под стражей, находящихся под контролем государства-участника.  Есть ли какие-либо особые правила применения методов допроса, унизительных по гендерному или половому признаку?</w:t>
      </w:r>
    </w:p>
    <w:p w:rsidR="00000000" w:rsidRDefault="00000000"/>
    <w:p w:rsidR="00000000" w:rsidRDefault="00000000">
      <w:r>
        <w:t>53.</w:t>
      </w:r>
      <w:r>
        <w:tab/>
        <w:t>В государстве-участнике, имеющем федеральное устройство, именно федеральные органы несут ответственность за выполнение международных обязательств, взятых государством-участником в соответствии с Конвенцией.  Просьба представить подробную информацию о существующих в государстве-участнике механизмах по контролю за осуществлением Конвенции на уровне штатов в рамках выполнения его международных обязательств, вытекающих из Конвенции.  Просьба представить подробную информацию о поправках Маккейна и Грэхема-Левина, а также об изменениях, которые в соответствии с этими поправками отразятся на текущих законодательных, административных, судебных и других мерах по предотвращению жестокого, бесчеловечного или унижающего достоинство обращения и наказания.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  <w:t>Другие вопросы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r>
        <w:t>54.</w:t>
      </w:r>
      <w:r>
        <w:tab/>
        <w:t>Намеревается ли государство-участник сделать заявление в соответствии со статьей 22, признав компетенцию Комитета получать и рассматривать индивидуальные сообщения?</w:t>
      </w:r>
    </w:p>
    <w:p w:rsidR="00000000" w:rsidRDefault="00000000">
      <w:pPr>
        <w:spacing w:line="240" w:lineRule="auto"/>
      </w:pPr>
    </w:p>
    <w:p w:rsidR="00000000" w:rsidRDefault="00000000">
      <w:r>
        <w:t>55.</w:t>
      </w:r>
      <w:r>
        <w:tab/>
        <w:t>Намеревается ли государство-участник снять какие-либо из своих оговорок к Конвенции, поскольку они могут толковаться и применяться как ограничивающие применение Конвенции в полном объеме?</w:t>
      </w:r>
    </w:p>
    <w:p w:rsidR="00000000" w:rsidRDefault="00000000">
      <w:pPr>
        <w:spacing w:line="240" w:lineRule="auto"/>
      </w:pPr>
    </w:p>
    <w:p w:rsidR="00000000" w:rsidRDefault="00000000">
      <w:r>
        <w:t>56.</w:t>
      </w:r>
      <w:r>
        <w:tab/>
        <w:t>Собирается ли государство-участник ратифицировать Факультативный протокол к Конвенции?  Если да, то предприняло ли оно какие</w:t>
      </w:r>
      <w:r>
        <w:noBreakHyphen/>
        <w:t>либо шаги к созданию или назначению какого-либо национального механизма, который осуществлял бы периодическое посещение мест лишения свободы с целью предупреждения пыток и других жестоких, бесчеловечных или унижающих достоинство видов обращения и наказания?</w:t>
      </w:r>
    </w:p>
    <w:p w:rsidR="00000000" w:rsidRDefault="00000000">
      <w:pPr>
        <w:spacing w:line="240" w:lineRule="auto"/>
      </w:pPr>
    </w:p>
    <w:p w:rsidR="00000000" w:rsidRDefault="00000000">
      <w:r>
        <w:t>57.</w:t>
      </w:r>
      <w:r>
        <w:tab/>
        <w:t>Просьба указать, предусматривает ли законодательство государства-участника предупреждение и запрещение производства, торговли, импорта, экспорта и использования оборудования, специально предназначенного для пыток или других жестоких, бесчеловечных или унижающих достоинство видов обращения.  Если это так, то просьба предоставить информацию о содержании и осуществлении этих норм.  Если нет, то просьба указать, рассматривается ли вопрос о скорейшем принятии такого законодательства.</w:t>
      </w:r>
    </w:p>
    <w:p w:rsidR="00000000" w:rsidRDefault="00000000">
      <w:pPr>
        <w:spacing w:line="240" w:lineRule="auto"/>
      </w:pPr>
    </w:p>
    <w:p w:rsidR="00000000" w:rsidRDefault="00000000">
      <w:r>
        <w:t>58.</w:t>
      </w:r>
      <w:r>
        <w:tab/>
        <w:t>Просьба предоставить информацию о законодательных, административных и других мерах, принятых государством-участником в ответ на угрозу терроризма, и сообщить о том, отразились ли эти меры на правозащитных гарантиях в законодательстве и на практике и если да, то как.  Просьба описать соответствующие формы подготовки, которую проходят сотрудники правоприменительных органов, средства правовой защиты, имеющиеся в распоряжении лиц, на которых распространяются антитеррористические меры, число жалоб о несоблюдении международных стандартов и результаты рассмотрения этих жалоб.</w:t>
      </w:r>
    </w:p>
    <w:p w:rsidR="00000000" w:rsidRDefault="00000000">
      <w:pPr>
        <w:spacing w:line="240" w:lineRule="auto"/>
      </w:pPr>
    </w:p>
    <w:p w:rsidR="00000000" w:rsidRDefault="00000000">
      <w:r>
        <w:t>59.</w:t>
      </w:r>
      <w:r>
        <w:tab/>
        <w:t>Просьба предоставить информацию о законодательных и других мерах, принимаемых государством-участником в целях предупреждения насилия в семье, и о квалификации актов насилия в семье в качестве конкретных преступлений по уголовному праву.</w:t>
      </w:r>
    </w:p>
    <w:p w:rsidR="00000000" w:rsidRDefault="00000000">
      <w:pPr>
        <w:spacing w:line="240" w:lineRule="auto"/>
      </w:pPr>
    </w:p>
    <w:p w:rsidR="00000000" w:rsidRDefault="00000000">
      <w:pPr>
        <w:jc w:val="center"/>
        <w:rPr>
          <w:lang w:val="en-US"/>
        </w:rPr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/48/</w:t>
      </w:r>
      <w:r>
        <w:rPr>
          <w:lang w:val="en-US"/>
        </w:rPr>
        <w:t>Add</w:t>
      </w:r>
      <w:r>
        <w:t>.3 (документ, называемый в дальнейшем "докладом"), пункт 11.</w:t>
      </w:r>
    </w:p>
    <w:p w:rsidR="00000000" w:rsidRDefault="00000000">
      <w:pPr>
        <w:pStyle w:val="FootnoteText"/>
      </w:pPr>
    </w:p>
  </w:footnote>
  <w:footnote w:id="2">
    <w:p w:rsidR="00000000" w:rsidRDefault="0000000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 xml:space="preserve"> </w:t>
      </w:r>
      <w:r>
        <w:rPr>
          <w:lang w:val="en-US"/>
        </w:rPr>
        <w:tab/>
        <w:t xml:space="preserve">United States Department of Justice, Office of Legal Counsel.  Office of the Assistant Attorney General, </w:t>
      </w:r>
      <w:r>
        <w:rPr>
          <w:u w:val="single"/>
          <w:lang w:val="en-US"/>
        </w:rPr>
        <w:t>Memorandum for Alberto R. Gonzales</w:t>
      </w:r>
      <w:r>
        <w:rPr>
          <w:lang w:val="en-US"/>
        </w:rPr>
        <w:t>, August 1, 2002, p. 46.</w:t>
      </w:r>
    </w:p>
    <w:p w:rsidR="00000000" w:rsidRDefault="00000000">
      <w:pPr>
        <w:pStyle w:val="FootnoteText"/>
        <w:rPr>
          <w:lang w:val="en-US"/>
        </w:rPr>
      </w:pPr>
    </w:p>
  </w:footnote>
  <w:footnote w:id="3">
    <w:p w:rsidR="00000000" w:rsidRDefault="0000000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 xml:space="preserve"> </w:t>
      </w:r>
      <w:r>
        <w:rPr>
          <w:lang w:val="en-US"/>
        </w:rPr>
        <w:tab/>
        <w:t xml:space="preserve">United States Department of Justice, Office of Legal Counsel.  Office of the Assistant Attorney General, </w:t>
      </w:r>
      <w:r>
        <w:rPr>
          <w:u w:val="single"/>
          <w:lang w:val="en-US"/>
        </w:rPr>
        <w:t>Memorandum for James B. Comey Deputy Attorney General</w:t>
      </w:r>
      <w:r>
        <w:rPr>
          <w:lang w:val="en-US"/>
        </w:rPr>
        <w:t>, December 30, 2004.</w:t>
      </w:r>
    </w:p>
  </w:footnote>
  <w:footnote w:id="4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Пункт 13 и приложение 3 к докладу.</w:t>
      </w:r>
    </w:p>
  </w:footnote>
  <w:footnote w:id="5">
    <w:p w:rsidR="00000000" w:rsidRDefault="00000000">
      <w:pPr>
        <w:pStyle w:val="FootnoteText"/>
        <w:rPr>
          <w:lang w:val="en-US"/>
        </w:rPr>
      </w:pPr>
    </w:p>
    <w:p w:rsidR="00000000" w:rsidRDefault="0000000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u w:val="single"/>
          <w:lang w:val="en-US"/>
        </w:rPr>
        <w:t>Memorandum for James B. Comey</w:t>
      </w:r>
      <w:r>
        <w:rPr>
          <w:lang w:val="en-US"/>
        </w:rPr>
        <w:t>, op. cit., p. 6.</w:t>
      </w:r>
    </w:p>
  </w:footnote>
  <w:footnote w:id="6">
    <w:p w:rsidR="00000000" w:rsidRDefault="00000000">
      <w:pPr>
        <w:pStyle w:val="FootnoteText"/>
        <w:rPr>
          <w:lang w:val="en-US"/>
        </w:rPr>
      </w:pPr>
    </w:p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Там же.</w:t>
      </w:r>
    </w:p>
  </w:footnote>
  <w:footnote w:id="7">
    <w:p w:rsidR="00000000" w:rsidRDefault="00000000">
      <w:pPr>
        <w:pStyle w:val="FootnoteText"/>
      </w:pPr>
    </w:p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Там же, р. 7.</w:t>
      </w:r>
    </w:p>
  </w:footnote>
  <w:footnote w:id="8">
    <w:p w:rsidR="00000000" w:rsidRDefault="00000000">
      <w:pPr>
        <w:pStyle w:val="FootnoteText"/>
        <w:rPr>
          <w:lang w:val="en-US"/>
        </w:rPr>
      </w:pPr>
    </w:p>
    <w:p w:rsidR="00000000" w:rsidRDefault="0000000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 xml:space="preserve"> </w:t>
      </w:r>
      <w:r>
        <w:rPr>
          <w:lang w:val="en-US"/>
        </w:rPr>
        <w:tab/>
        <w:t xml:space="preserve">Burgers and Danelius, "The United Nations Convention against Torture:  A Handbook on the Convention against Torture and Other Cruel, Inhuman or Degrading Treatment or Punishment".  Martinus Nijhoff, 1988, p. 117 </w:t>
      </w:r>
      <w:r>
        <w:rPr>
          <w:i/>
          <w:iCs/>
          <w:lang w:val="en-US"/>
        </w:rPr>
        <w:t>in fine</w:t>
      </w:r>
      <w:r>
        <w:rPr>
          <w:lang w:val="en-US"/>
        </w:rPr>
        <w:t>.</w:t>
      </w:r>
    </w:p>
  </w:footnote>
  <w:footnote w:id="9">
    <w:p w:rsidR="00000000" w:rsidRDefault="00000000">
      <w:pPr>
        <w:pStyle w:val="FootnoteText"/>
        <w:rPr>
          <w:lang w:val="en-US"/>
        </w:rPr>
      </w:pPr>
    </w:p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Утверждена резолюцией 3452 (ХХХ) Генеральной Ассамблеи от 9 декабря 1975 года, статья 1.2</w:t>
      </w:r>
    </w:p>
  </w:footnote>
  <w:footnote w:id="10">
    <w:p w:rsidR="00000000" w:rsidRDefault="00000000">
      <w:pPr>
        <w:pStyle w:val="FootnoteText"/>
        <w:rPr>
          <w:lang w:val="en-US"/>
        </w:rPr>
      </w:pPr>
    </w:p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Приложение 4 к докладу.</w:t>
      </w:r>
    </w:p>
  </w:footnote>
  <w:footnote w:id="11">
    <w:p w:rsidR="00000000" w:rsidRDefault="00000000">
      <w:pPr>
        <w:pStyle w:val="FootnoteText"/>
        <w:rPr>
          <w:lang w:val="en-US"/>
        </w:rPr>
      </w:pPr>
    </w:p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базовый документ (</w:t>
      </w:r>
      <w:r>
        <w:rPr>
          <w:lang w:val="en-US"/>
        </w:rPr>
        <w:t>HRI</w:t>
      </w:r>
      <w:r>
        <w:t>/</w:t>
      </w:r>
      <w:r>
        <w:rPr>
          <w:lang w:val="en-US"/>
        </w:rPr>
        <w:t>CORE</w:t>
      </w:r>
      <w:r>
        <w:t>/1/</w:t>
      </w:r>
      <w:r>
        <w:rPr>
          <w:lang w:val="en-US"/>
        </w:rPr>
        <w:t>Add</w:t>
      </w:r>
      <w:r>
        <w:t>.49), пункт 141 и первоначальный доклад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/28/</w:t>
      </w:r>
      <w:r>
        <w:rPr>
          <w:lang w:val="en-US"/>
        </w:rPr>
        <w:t>Add</w:t>
      </w:r>
      <w:r>
        <w:t>.5), пункт 47.</w:t>
      </w:r>
    </w:p>
  </w:footnote>
  <w:footnote w:id="12">
    <w:p w:rsidR="00000000" w:rsidRDefault="00000000">
      <w:pPr>
        <w:pStyle w:val="FootnoteText"/>
      </w:pPr>
    </w:p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"Фактический контроль" государства-участника означает, например, территории или части территорий, где войска США действуют под командованием США.</w:t>
      </w:r>
    </w:p>
  </w:footnote>
  <w:footnote w:id="13">
    <w:p w:rsidR="00000000" w:rsidRDefault="00000000">
      <w:pPr>
        <w:pStyle w:val="FootnoteText"/>
      </w:pPr>
    </w:p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Первоначальный доклад.</w:t>
      </w:r>
    </w:p>
  </w:footnote>
  <w:footnote w:id="14">
    <w:p w:rsidR="00000000" w:rsidRDefault="00000000">
      <w:pPr>
        <w:pStyle w:val="FootnoteText"/>
        <w:rPr>
          <w:lang w:val="en-US"/>
        </w:rPr>
      </w:pPr>
    </w:p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Приложение 1 к докладу, стр. 80 и 113.</w:t>
      </w:r>
    </w:p>
  </w:footnote>
  <w:footnote w:id="15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Доклад Рабочей группы по насильственным или недобровольным исчезновениям (</w:t>
      </w:r>
      <w:r>
        <w:rPr>
          <w:lang w:val="en-US"/>
        </w:rPr>
        <w:t>E</w:t>
      </w:r>
      <w:r>
        <w:t>/</w:t>
      </w:r>
      <w:r>
        <w:rPr>
          <w:lang w:val="en-US"/>
        </w:rPr>
        <w:t>CN</w:t>
      </w:r>
      <w:r>
        <w:t>.4/2005/65), пункт 364.</w:t>
      </w:r>
    </w:p>
    <w:p w:rsidR="00000000" w:rsidRDefault="00000000">
      <w:pPr>
        <w:pStyle w:val="FootnoteText"/>
      </w:pPr>
    </w:p>
  </w:footnote>
  <w:footnote w:id="16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Выводы и рекомендации Комитета против пыток:  Соединенное Королевство Великобритании и Северной Ирландии - зависимые территории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CR</w:t>
      </w:r>
      <w:r>
        <w:t>/33/3) пункт 4 </w:t>
      </w:r>
      <w:r>
        <w:rPr>
          <w:lang w:val="en-US"/>
        </w:rPr>
        <w:t>b</w:t>
      </w:r>
      <w:r>
        <w:t>).</w:t>
      </w:r>
    </w:p>
    <w:p w:rsidR="00000000" w:rsidRDefault="00000000">
      <w:pPr>
        <w:pStyle w:val="FootnoteText"/>
      </w:pPr>
    </w:p>
  </w:footnote>
  <w:footnote w:id="17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сноску 12.</w:t>
      </w:r>
    </w:p>
    <w:p w:rsidR="00000000" w:rsidRDefault="00000000">
      <w:pPr>
        <w:pStyle w:val="FootnoteText"/>
      </w:pPr>
    </w:p>
  </w:footnote>
  <w:footnote w:id="18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Пункт 33 доклада.</w:t>
      </w:r>
    </w:p>
    <w:p w:rsidR="00000000" w:rsidRDefault="00000000">
      <w:pPr>
        <w:pStyle w:val="FootnoteText"/>
      </w:pPr>
    </w:p>
  </w:footnote>
  <w:footnote w:id="19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Доклад Специального докладчика по вопросу о пытках (</w:t>
      </w:r>
      <w:r>
        <w:rPr>
          <w:lang w:val="en-US"/>
        </w:rPr>
        <w:t>E</w:t>
      </w:r>
      <w:r>
        <w:t>/</w:t>
      </w:r>
      <w:r>
        <w:rPr>
          <w:lang w:val="en-US"/>
        </w:rPr>
        <w:t>CN</w:t>
      </w:r>
      <w:r>
        <w:t>.4/2004/56/</w:t>
      </w:r>
      <w:r>
        <w:rPr>
          <w:lang w:val="en-US"/>
        </w:rPr>
        <w:t>Add</w:t>
      </w:r>
      <w:r>
        <w:t>.1), пункты 1818-1833.</w:t>
      </w:r>
    </w:p>
  </w:footnote>
  <w:footnote w:id="20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Пункт 33 доклада.</w:t>
      </w:r>
    </w:p>
    <w:p w:rsidR="00000000" w:rsidRDefault="00000000">
      <w:pPr>
        <w:pStyle w:val="FootnoteText"/>
      </w:pPr>
    </w:p>
  </w:footnote>
  <w:footnote w:id="21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Пункт 43 доклада.</w:t>
      </w:r>
    </w:p>
    <w:p w:rsidR="00000000" w:rsidRDefault="00000000">
      <w:pPr>
        <w:pStyle w:val="FootnoteText"/>
      </w:pPr>
    </w:p>
  </w:footnote>
  <w:footnote w:id="22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Пункт 41 доклада.</w:t>
      </w:r>
    </w:p>
    <w:p w:rsidR="00000000" w:rsidRDefault="00000000">
      <w:pPr>
        <w:pStyle w:val="FootnoteText"/>
      </w:pPr>
    </w:p>
  </w:footnote>
  <w:footnote w:id="23">
    <w:p w:rsidR="00000000" w:rsidRDefault="0000000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 xml:space="preserve"> </w:t>
      </w:r>
      <w:r>
        <w:rPr>
          <w:lang w:val="en-US"/>
        </w:rPr>
        <w:tab/>
        <w:t xml:space="preserve">The State Department's annual Country Reports on Human Rights Practices, </w:t>
      </w:r>
      <w:hyperlink r:id="rId1" w:history="1">
        <w:r>
          <w:rPr>
            <w:rStyle w:val="Hyperlink"/>
            <w:u w:val="none"/>
            <w:lang w:val="en-US"/>
          </w:rPr>
          <w:t>http://www.state.gov/g/drl/rls/hrrpt/2004/c14136.htm</w:t>
        </w:r>
      </w:hyperlink>
      <w:r>
        <w:rPr>
          <w:lang w:val="en-US"/>
        </w:rPr>
        <w:t>.</w:t>
      </w:r>
    </w:p>
    <w:p w:rsidR="00000000" w:rsidRDefault="00000000">
      <w:pPr>
        <w:pStyle w:val="FootnoteText"/>
        <w:rPr>
          <w:lang w:val="en-US"/>
        </w:rPr>
      </w:pPr>
    </w:p>
  </w:footnote>
  <w:footnote w:id="24">
    <w:p w:rsidR="00000000" w:rsidRDefault="0000000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 xml:space="preserve"> </w:t>
      </w:r>
      <w:r>
        <w:rPr>
          <w:lang w:val="en-US"/>
        </w:rPr>
        <w:tab/>
        <w:t>United States Code, Title 18, part I, chapter 113C, § 2340.</w:t>
      </w:r>
    </w:p>
  </w:footnote>
  <w:footnote w:id="25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Пункт 16 доклада.</w:t>
      </w:r>
    </w:p>
    <w:p w:rsidR="00000000" w:rsidRDefault="00000000">
      <w:pPr>
        <w:pStyle w:val="FootnoteText"/>
      </w:pPr>
    </w:p>
  </w:footnote>
  <w:footnote w:id="26">
    <w:p w:rsidR="00000000" w:rsidRDefault="0000000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ab/>
        <w:t>Пункт 19 доклада.</w:t>
      </w:r>
    </w:p>
    <w:p w:rsidR="00000000" w:rsidRDefault="00000000">
      <w:pPr>
        <w:pStyle w:val="FootnoteText"/>
        <w:rPr>
          <w:lang w:val="en-US"/>
        </w:rPr>
      </w:pPr>
    </w:p>
  </w:footnote>
  <w:footnote w:id="27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Пункт 50 доклада.</w:t>
      </w:r>
    </w:p>
    <w:p w:rsidR="00000000" w:rsidRDefault="00000000">
      <w:pPr>
        <w:pStyle w:val="FootnoteText"/>
      </w:pPr>
    </w:p>
  </w:footnote>
  <w:footnote w:id="28">
    <w:p w:rsidR="00000000" w:rsidRDefault="0000000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US"/>
        </w:rPr>
        <w:t>U</w:t>
      </w:r>
      <w:r>
        <w:t>.</w:t>
      </w:r>
      <w:r>
        <w:rPr>
          <w:lang w:val="en-US"/>
        </w:rPr>
        <w:t>S</w:t>
      </w:r>
      <w:r>
        <w:t>.</w:t>
      </w:r>
      <w:r>
        <w:rPr>
          <w:lang w:val="en-US"/>
        </w:rPr>
        <w:t>C</w:t>
      </w:r>
      <w:r>
        <w:t xml:space="preserve">.  </w:t>
      </w:r>
      <w:r>
        <w:rPr>
          <w:lang w:val="en-US"/>
        </w:rPr>
        <w:t>Title 18, part I, chapter 113C, 2340A.</w:t>
      </w:r>
    </w:p>
    <w:p w:rsidR="00000000" w:rsidRDefault="00000000">
      <w:pPr>
        <w:pStyle w:val="FootnoteText"/>
        <w:rPr>
          <w:lang w:val="en-US"/>
        </w:rPr>
      </w:pPr>
    </w:p>
  </w:footnote>
  <w:footnote w:id="29">
    <w:p w:rsidR="00000000" w:rsidRDefault="0000000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t>Пункт</w:t>
      </w:r>
      <w:r>
        <w:rPr>
          <w:lang w:val="en-US"/>
        </w:rPr>
        <w:t xml:space="preserve"> 12 </w:t>
      </w:r>
      <w:r>
        <w:t>доклада</w:t>
      </w:r>
      <w:r>
        <w:rPr>
          <w:lang w:val="en-US"/>
        </w:rPr>
        <w:t>.</w:t>
      </w:r>
    </w:p>
    <w:p w:rsidR="00000000" w:rsidRDefault="00000000">
      <w:pPr>
        <w:pStyle w:val="FootnoteText"/>
        <w:rPr>
          <w:lang w:val="en-US"/>
        </w:rPr>
      </w:pPr>
    </w:p>
  </w:footnote>
  <w:footnote w:id="30">
    <w:p w:rsidR="00000000" w:rsidRDefault="0000000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 xml:space="preserve"> </w:t>
      </w:r>
      <w:r>
        <w:rPr>
          <w:lang w:val="en-US"/>
        </w:rPr>
        <w:tab/>
        <w:t>Memorandum for James B. Comey, op. cit.</w:t>
      </w:r>
    </w:p>
    <w:p w:rsidR="00000000" w:rsidRDefault="00000000">
      <w:pPr>
        <w:pStyle w:val="FootnoteText"/>
        <w:rPr>
          <w:lang w:val="en-US"/>
        </w:rPr>
      </w:pPr>
    </w:p>
  </w:footnote>
  <w:footnote w:id="31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Стр. 121 доклада (приложение 1).</w:t>
      </w:r>
    </w:p>
    <w:p w:rsidR="00000000" w:rsidRDefault="00000000">
      <w:pPr>
        <w:pStyle w:val="FootnoteText"/>
      </w:pPr>
    </w:p>
  </w:footnote>
  <w:footnote w:id="32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Пункт 62 доклада.</w:t>
      </w:r>
    </w:p>
    <w:p w:rsidR="00000000" w:rsidRDefault="00000000">
      <w:pPr>
        <w:pStyle w:val="FootnoteText"/>
      </w:pPr>
    </w:p>
  </w:footnote>
  <w:footnote w:id="33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Пункт 26 доклада.</w:t>
      </w:r>
    </w:p>
    <w:p w:rsidR="00000000" w:rsidRDefault="00000000">
      <w:pPr>
        <w:pStyle w:val="FootnoteText"/>
      </w:pPr>
    </w:p>
  </w:footnote>
  <w:footnote w:id="34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Стр. 119 доклада (приложение 1).</w:t>
      </w:r>
    </w:p>
    <w:p w:rsidR="00000000" w:rsidRDefault="00000000">
      <w:pPr>
        <w:pStyle w:val="FootnoteText"/>
      </w:pPr>
    </w:p>
  </w:footnote>
  <w:footnote w:id="35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Стр. 110 доклада.</w:t>
      </w:r>
    </w:p>
    <w:p w:rsidR="00000000" w:rsidRDefault="00000000">
      <w:pPr>
        <w:pStyle w:val="FootnoteText"/>
      </w:pPr>
    </w:p>
  </w:footnote>
  <w:footnote w:id="36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Стр. 86 доклада (приложение 1).</w:t>
      </w:r>
    </w:p>
    <w:p w:rsidR="00000000" w:rsidRDefault="00000000">
      <w:pPr>
        <w:pStyle w:val="FootnoteText"/>
      </w:pPr>
    </w:p>
  </w:footnote>
  <w:footnote w:id="37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Пункт 65 доклада.</w:t>
      </w:r>
    </w:p>
    <w:p w:rsidR="00000000" w:rsidRDefault="00000000">
      <w:pPr>
        <w:pStyle w:val="FootnoteText"/>
      </w:pPr>
    </w:p>
  </w:footnote>
  <w:footnote w:id="38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Стр. 127 доклада.  </w:t>
      </w:r>
    </w:p>
    <w:p w:rsidR="00000000" w:rsidRDefault="00000000">
      <w:pPr>
        <w:pStyle w:val="FootnoteText"/>
      </w:pPr>
    </w:p>
  </w:footnote>
  <w:footnote w:id="39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Пункт 153 доклада.</w:t>
      </w:r>
    </w:p>
    <w:p w:rsidR="00000000" w:rsidRDefault="00000000">
      <w:pPr>
        <w:pStyle w:val="FootnoteText"/>
      </w:pPr>
    </w:p>
  </w:footnote>
  <w:footnote w:id="40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Пункт 84 доклада.</w:t>
      </w:r>
    </w:p>
    <w:p w:rsidR="00000000" w:rsidRDefault="00000000">
      <w:pPr>
        <w:pStyle w:val="FootnoteText"/>
      </w:pPr>
    </w:p>
  </w:footnote>
  <w:footnote w:id="41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Стр. 95 доклада.</w:t>
      </w:r>
    </w:p>
    <w:p w:rsidR="00000000" w:rsidRDefault="00000000">
      <w:pPr>
        <w:pStyle w:val="FootnoteText"/>
      </w:pPr>
    </w:p>
  </w:footnote>
  <w:footnote w:id="42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Стр. 86 доклада (приложение 1).</w:t>
      </w:r>
    </w:p>
    <w:p w:rsidR="00000000" w:rsidRDefault="00000000">
      <w:pPr>
        <w:pStyle w:val="FootnoteText"/>
      </w:pPr>
    </w:p>
  </w:footnote>
  <w:footnote w:id="43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сноску 12.</w:t>
      </w:r>
    </w:p>
    <w:p w:rsidR="00000000" w:rsidRDefault="00000000">
      <w:pPr>
        <w:pStyle w:val="FootnoteText"/>
      </w:pPr>
    </w:p>
  </w:footnote>
  <w:footnote w:id="44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Пункт 45 доклада.</w:t>
      </w:r>
    </w:p>
    <w:p w:rsidR="00000000" w:rsidRDefault="00000000">
      <w:pPr>
        <w:pStyle w:val="FootnoteText"/>
      </w:pPr>
    </w:p>
  </w:footnote>
  <w:footnote w:id="45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Пункт 126 доклада.</w:t>
      </w:r>
    </w:p>
    <w:p w:rsidR="00000000" w:rsidRDefault="00000000">
      <w:pPr>
        <w:pStyle w:val="FootnoteText"/>
      </w:pPr>
    </w:p>
  </w:footnote>
  <w:footnote w:id="46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Пункт 116 доклада.</w:t>
      </w:r>
    </w:p>
    <w:p w:rsidR="00000000" w:rsidRDefault="00000000">
      <w:pPr>
        <w:pStyle w:val="FootnoteText"/>
      </w:pPr>
    </w:p>
  </w:footnote>
  <w:footnote w:id="47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Пункты 121 и 124 доклада.</w:t>
      </w:r>
    </w:p>
    <w:p w:rsidR="00000000" w:rsidRDefault="00000000">
      <w:pPr>
        <w:pStyle w:val="FootnoteText"/>
      </w:pPr>
    </w:p>
  </w:footnote>
  <w:footnote w:id="48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Пункт 95 доклада.</w:t>
      </w:r>
    </w:p>
    <w:p w:rsidR="00000000" w:rsidRDefault="00000000">
      <w:pPr>
        <w:pStyle w:val="FootnoteText"/>
      </w:pPr>
    </w:p>
  </w:footnote>
  <w:footnote w:id="49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Доклад Специального докладчика по вопросу о пытках (</w:t>
      </w:r>
      <w:r>
        <w:rPr>
          <w:lang w:val="en-US"/>
        </w:rPr>
        <w:t>E</w:t>
      </w:r>
      <w:r>
        <w:t>/</w:t>
      </w:r>
      <w:r>
        <w:rPr>
          <w:lang w:val="en-US"/>
        </w:rPr>
        <w:t>CN</w:t>
      </w:r>
      <w:r>
        <w:t>.4/2005/62/</w:t>
      </w:r>
      <w:r>
        <w:rPr>
          <w:lang w:val="en-US"/>
        </w:rPr>
        <w:t>Add</w:t>
      </w:r>
      <w:r>
        <w:t>.1), пункт 1857.</w:t>
      </w:r>
    </w:p>
    <w:p w:rsidR="00000000" w:rsidRDefault="00000000">
      <w:pPr>
        <w:pStyle w:val="FootnoteText"/>
      </w:pPr>
    </w:p>
  </w:footnote>
  <w:footnote w:id="50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Там же, пункт 1858.</w:t>
      </w:r>
    </w:p>
    <w:p w:rsidR="00000000" w:rsidRDefault="00000000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CAT/C/USA/Q/2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CAT/C/USA/Q/2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  <w:style w:type="character" w:styleId="Hyperlink">
    <w:name w:val="Hyperlink"/>
    <w:semiHidden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tate.gov/g/drl/rls/hrrpt/2004/c14136.ht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4495</Words>
  <Characters>25625</Characters>
  <Application>Microsoft Office Word</Application>
  <DocSecurity>4</DocSecurity>
  <Lines>213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31469</CharactersWithSpaces>
  <SharedDoc>false</SharedDoc>
  <HLinks>
    <vt:vector size="6" baseType="variant">
      <vt:variant>
        <vt:i4>5439512</vt:i4>
      </vt:variant>
      <vt:variant>
        <vt:i4>0</vt:i4>
      </vt:variant>
      <vt:variant>
        <vt:i4>0</vt:i4>
      </vt:variant>
      <vt:variant>
        <vt:i4>5</vt:i4>
      </vt:variant>
      <vt:variant>
        <vt:lpwstr>http://www.state.gov/g/drl/rls/hrrpt/2004/c14136.htm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Любовь Катаева</dc:creator>
  <cp:keywords/>
  <dc:description/>
  <cp:lastModifiedBy>Любовь Катаева</cp:lastModifiedBy>
  <cp:revision>3</cp:revision>
  <cp:lastPrinted>2006-03-07T14:07:00Z</cp:lastPrinted>
  <dcterms:created xsi:type="dcterms:W3CDTF">2006-03-07T14:07:00Z</dcterms:created>
  <dcterms:modified xsi:type="dcterms:W3CDTF">2006-03-07T14:07:00Z</dcterms:modified>
</cp:coreProperties>
</file>