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D3567C" w:rsidP="00D3567C">
            <w:pPr>
              <w:jc w:val="right"/>
            </w:pPr>
            <w:r w:rsidRPr="00D3567C">
              <w:rPr>
                <w:sz w:val="40"/>
              </w:rPr>
              <w:t>CERD</w:t>
            </w:r>
            <w:r>
              <w:t>/C/IRL/Q/3-4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3567C" w:rsidRDefault="00D3567C" w:rsidP="00593658">
            <w:pPr>
              <w:spacing w:before="240"/>
            </w:pPr>
            <w:r>
              <w:t>Distr. générale</w:t>
            </w:r>
          </w:p>
          <w:p w:rsidR="00D3567C" w:rsidRDefault="00D3567C" w:rsidP="00D3567C">
            <w:pPr>
              <w:spacing w:line="240" w:lineRule="exact"/>
            </w:pPr>
            <w:r>
              <w:t>20 janvier 2011</w:t>
            </w:r>
          </w:p>
          <w:p w:rsidR="00D3567C" w:rsidRDefault="00D3567C" w:rsidP="00D3567C">
            <w:pPr>
              <w:spacing w:line="240" w:lineRule="exact"/>
            </w:pPr>
            <w:r>
              <w:t>Français</w:t>
            </w:r>
          </w:p>
          <w:p w:rsidR="002E0D40" w:rsidRPr="00DB58B5" w:rsidRDefault="00D3567C" w:rsidP="00D3567C">
            <w:pPr>
              <w:spacing w:line="240" w:lineRule="exact"/>
            </w:pPr>
            <w:r>
              <w:t>Original: angla</w:t>
            </w:r>
            <w:r w:rsidR="000A7F3D">
              <w:t>is</w:t>
            </w:r>
          </w:p>
        </w:tc>
      </w:tr>
    </w:tbl>
    <w:p w:rsidR="00FF1DBD" w:rsidRDefault="0078670C" w:rsidP="00D3567C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</w:t>
      </w:r>
      <w:r w:rsidR="00D3567C">
        <w:rPr>
          <w:b/>
          <w:sz w:val="24"/>
          <w:szCs w:val="24"/>
        </w:rPr>
        <w:t>on de la discrimination raciale</w:t>
      </w:r>
    </w:p>
    <w:p w:rsidR="00DD16D0" w:rsidRPr="00AD5A30" w:rsidRDefault="00DD16D0" w:rsidP="00DD16D0">
      <w:pPr>
        <w:suppressAutoHyphens w:val="0"/>
        <w:spacing w:after="240" w:line="240" w:lineRule="auto"/>
      </w:pPr>
      <w:r w:rsidRPr="00DD16D0">
        <w:rPr>
          <w:b/>
        </w:rPr>
        <w:t>Soixante-dix-huitième session</w:t>
      </w:r>
      <w:r>
        <w:br/>
      </w:r>
      <w:r w:rsidRPr="00AD5A30">
        <w:t>14 février-11 mars 2011</w:t>
      </w:r>
    </w:p>
    <w:p w:rsidR="00DD16D0" w:rsidRPr="00AD5A30" w:rsidRDefault="00DD16D0" w:rsidP="00DD16D0">
      <w:pPr>
        <w:pStyle w:val="HChG"/>
      </w:pPr>
      <w:r>
        <w:tab/>
      </w:r>
      <w:r>
        <w:tab/>
      </w:r>
      <w:r w:rsidRPr="00AD5A30">
        <w:t>Application de la Convention internationale sur l</w:t>
      </w:r>
      <w:r>
        <w:t>’</w:t>
      </w:r>
      <w:r w:rsidRPr="00AD5A30">
        <w:t>élimination de toutes les formes de discrimination raciale</w:t>
      </w:r>
    </w:p>
    <w:p w:rsidR="00DD16D0" w:rsidRPr="00AD5A30" w:rsidRDefault="00DD16D0" w:rsidP="00DD16D0">
      <w:pPr>
        <w:pStyle w:val="H1G"/>
      </w:pPr>
      <w:r>
        <w:tab/>
      </w:r>
      <w:r>
        <w:tab/>
      </w:r>
      <w:r w:rsidRPr="00AD5A30">
        <w:t>Liste de thèmes à aborder dans le cadre de l</w:t>
      </w:r>
      <w:r>
        <w:t>’</w:t>
      </w:r>
      <w:r w:rsidRPr="00AD5A30">
        <w:t>examen des troisième et quatrième rapports périodiques de l</w:t>
      </w:r>
      <w:r>
        <w:t>’</w:t>
      </w:r>
      <w:r w:rsidRPr="00AD5A30">
        <w:t>Irlande (CERD/C/IRL/3-4)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9B4E9C" w:rsidTr="009B4E9C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B4E9C" w:rsidRDefault="009B4E9C" w:rsidP="009B4E9C"/>
        </w:tc>
      </w:tr>
      <w:tr w:rsidR="009B4E9C" w:rsidTr="009B4E9C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B4E9C" w:rsidRDefault="009B4E9C" w:rsidP="009B4E9C">
            <w:pPr>
              <w:spacing w:after="120"/>
              <w:jc w:val="both"/>
            </w:pPr>
            <w:r>
              <w:tab/>
            </w:r>
            <w:r w:rsidRPr="00AD5A30">
              <w:t xml:space="preserve">On trouvera ci-après une liste de thèmes </w:t>
            </w:r>
            <w:r>
              <w:t xml:space="preserve">établie </w:t>
            </w:r>
            <w:r w:rsidRPr="00AD5A30">
              <w:t xml:space="preserve">par le </w:t>
            </w:r>
            <w:r w:rsidRPr="00AD5A30">
              <w:rPr>
                <w:rFonts w:eastAsia="MS Mincho"/>
              </w:rPr>
              <w:t>Rapporteur de pays en vue de l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>examen des troisième et quatrième rapports périodiques de l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 xml:space="preserve">Irlande. Cette liste </w:t>
            </w:r>
            <w:r>
              <w:rPr>
                <w:rFonts w:eastAsia="MS Mincho"/>
              </w:rPr>
              <w:t xml:space="preserve">est destinée </w:t>
            </w:r>
            <w:r w:rsidRPr="00AD5A30">
              <w:rPr>
                <w:rFonts w:eastAsia="MS Mincho"/>
              </w:rPr>
              <w:t xml:space="preserve">à </w:t>
            </w:r>
            <w:r>
              <w:rPr>
                <w:rFonts w:eastAsia="MS Mincho"/>
              </w:rPr>
              <w:t xml:space="preserve">guider </w:t>
            </w:r>
            <w:r w:rsidRPr="00AD5A30">
              <w:rPr>
                <w:rFonts w:eastAsia="MS Mincho"/>
              </w:rPr>
              <w:t>le dialogue entre la délégation de l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 xml:space="preserve">État partie et le Comité et </w:t>
            </w:r>
            <w:r w:rsidRPr="00DD16D0">
              <w:rPr>
                <w:rFonts w:eastAsia="MS Mincho"/>
                <w:i/>
              </w:rPr>
              <w:t>n’appelle pas de réponses écrites</w:t>
            </w:r>
            <w:r w:rsidRPr="00AD5A30">
              <w:rPr>
                <w:rFonts w:eastAsia="MS Mincho"/>
              </w:rPr>
              <w:t>. Il ne s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>agit pas d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>une liste exhaustive et d</w:t>
            </w:r>
            <w:r>
              <w:rPr>
                <w:rFonts w:eastAsia="MS Mincho"/>
              </w:rPr>
              <w:t>’</w:t>
            </w:r>
            <w:r w:rsidRPr="00AD5A30">
              <w:rPr>
                <w:rFonts w:eastAsia="MS Mincho"/>
              </w:rPr>
              <w:t>autres questions seront soulevées au cours du dialogue.</w:t>
            </w:r>
          </w:p>
        </w:tc>
      </w:tr>
      <w:tr w:rsidR="009B4E9C" w:rsidTr="009B4E9C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E9C" w:rsidRDefault="009B4E9C" w:rsidP="009B4E9C"/>
        </w:tc>
      </w:tr>
    </w:tbl>
    <w:p w:rsidR="00DD16D0" w:rsidRPr="00AD5A30" w:rsidRDefault="00DD16D0" w:rsidP="00DD16D0">
      <w:pPr>
        <w:pStyle w:val="H23G"/>
        <w:rPr>
          <w:rFonts w:eastAsia="MS Mincho"/>
        </w:rPr>
      </w:pPr>
      <w:r>
        <w:rPr>
          <w:rFonts w:eastAsia="MS Mincho"/>
        </w:rPr>
        <w:tab/>
        <w:t>1.</w:t>
      </w:r>
      <w:r>
        <w:rPr>
          <w:rFonts w:eastAsia="MS Mincho"/>
        </w:rPr>
        <w:tab/>
      </w:r>
      <w:r w:rsidRPr="00AD5A30">
        <w:rPr>
          <w:rFonts w:eastAsia="MS Mincho"/>
        </w:rPr>
        <w:t>La Convention dans le droit interne et le cadre législatif et politique de sa</w:t>
      </w:r>
      <w:r>
        <w:rPr>
          <w:rFonts w:eastAsia="MS Mincho"/>
        </w:rPr>
        <w:t xml:space="preserve"> mise en œuvre (art. 1</w:t>
      </w:r>
      <w:r w:rsidRPr="00DD16D0">
        <w:rPr>
          <w:rFonts w:eastAsia="MS Mincho"/>
          <w:vertAlign w:val="superscript"/>
        </w:rPr>
        <w:t>er</w:t>
      </w:r>
      <w:r>
        <w:rPr>
          <w:rFonts w:eastAsia="MS Mincho"/>
        </w:rPr>
        <w:t>, 2 et 6)</w:t>
      </w:r>
    </w:p>
    <w:p w:rsidR="00DD16D0" w:rsidRPr="00AD5A30" w:rsidRDefault="00DD16D0" w:rsidP="00E119A0">
      <w:pPr>
        <w:pStyle w:val="SingleTxtG"/>
        <w:rPr>
          <w:rFonts w:eastAsia="MS Mincho"/>
        </w:rPr>
      </w:pPr>
      <w:r w:rsidRPr="00AD5A30">
        <w:rPr>
          <w:rFonts w:eastAsia="MS Mincho"/>
        </w:rPr>
        <w:tab/>
        <w:t>a)</w:t>
      </w:r>
      <w:r w:rsidRPr="00AD5A30">
        <w:rPr>
          <w:rFonts w:eastAsia="MS Mincho"/>
        </w:rPr>
        <w:tab/>
      </w:r>
      <w:r w:rsidR="00B7522D">
        <w:rPr>
          <w:rFonts w:eastAsia="MS Mincho"/>
        </w:rPr>
        <w:t>N</w:t>
      </w:r>
      <w:r w:rsidRPr="00AD5A30">
        <w:rPr>
          <w:rFonts w:eastAsia="MS Mincho"/>
        </w:rPr>
        <w:t>écessité d</w:t>
      </w:r>
      <w:r>
        <w:rPr>
          <w:rFonts w:eastAsia="MS Mincho"/>
        </w:rPr>
        <w:t>’</w:t>
      </w:r>
      <w:r w:rsidRPr="00AD5A30">
        <w:rPr>
          <w:rFonts w:eastAsia="MS Mincho"/>
        </w:rPr>
        <w:t xml:space="preserve">incorporer </w:t>
      </w:r>
      <w:r w:rsidR="00B7522D">
        <w:rPr>
          <w:rFonts w:eastAsia="MS Mincho"/>
        </w:rPr>
        <w:t xml:space="preserve">au </w:t>
      </w:r>
      <w:r w:rsidRPr="00AD5A30">
        <w:rPr>
          <w:rFonts w:eastAsia="MS Mincho"/>
        </w:rPr>
        <w:t>droit interne la Convention internationale sur l</w:t>
      </w:r>
      <w:r>
        <w:rPr>
          <w:rFonts w:eastAsia="MS Mincho"/>
        </w:rPr>
        <w:t>’</w:t>
      </w:r>
      <w:r w:rsidRPr="00AD5A30">
        <w:rPr>
          <w:rFonts w:eastAsia="MS Mincho"/>
        </w:rPr>
        <w:t>élimination de toutes les formes de discrimination raciale afin de compléter la législation existante de façon à accorder aux ressortissants et aux non-ressortissants une protection accrue contre la discrimination raciale (CERD/C/IRL/3-4, par</w:t>
      </w:r>
      <w:r w:rsidR="006C616B">
        <w:rPr>
          <w:rFonts w:eastAsia="MS Mincho"/>
        </w:rPr>
        <w:t>.</w:t>
      </w:r>
      <w:r w:rsidR="00F9732B">
        <w:rPr>
          <w:rFonts w:eastAsia="MS Mincho"/>
        </w:rPr>
        <w:t xml:space="preserve"> </w:t>
      </w:r>
      <w:r w:rsidR="006C616B">
        <w:rPr>
          <w:rFonts w:eastAsia="MS Mincho"/>
        </w:rPr>
        <w:t>49 et CERD/C/IRL/CO/</w:t>
      </w:r>
      <w:r w:rsidR="009B4E9C">
        <w:rPr>
          <w:rFonts w:eastAsia="MS Mincho"/>
        </w:rPr>
        <w:t xml:space="preserve"> </w:t>
      </w:r>
      <w:r w:rsidR="006C616B">
        <w:rPr>
          <w:rFonts w:eastAsia="MS Mincho"/>
        </w:rPr>
        <w:t>2/Add.1, p</w:t>
      </w:r>
      <w:r w:rsidRPr="00AD5A30">
        <w:rPr>
          <w:rFonts w:eastAsia="MS Mincho"/>
        </w:rPr>
        <w:t>ar.</w:t>
      </w:r>
      <w:r w:rsidR="006C616B">
        <w:rPr>
          <w:rFonts w:eastAsia="MS Mincho"/>
        </w:rPr>
        <w:t xml:space="preserve"> </w:t>
      </w:r>
      <w:r w:rsidRPr="00AD5A30">
        <w:rPr>
          <w:rFonts w:eastAsia="MS Mincho"/>
        </w:rPr>
        <w:t>19)</w:t>
      </w:r>
      <w:r>
        <w:rPr>
          <w:rFonts w:eastAsia="MS Mincho"/>
        </w:rPr>
        <w:t>;</w:t>
      </w:r>
    </w:p>
    <w:p w:rsidR="00DD16D0" w:rsidRDefault="00DD16D0" w:rsidP="00E119A0">
      <w:pPr>
        <w:pStyle w:val="SingleTxtG"/>
        <w:rPr>
          <w:rFonts w:eastAsia="MS Mincho"/>
        </w:rPr>
      </w:pPr>
      <w:r w:rsidRPr="00AD5A30">
        <w:rPr>
          <w:rFonts w:eastAsia="MS Mincho"/>
        </w:rPr>
        <w:tab/>
        <w:t>b)</w:t>
      </w:r>
      <w:r w:rsidRPr="00AD5A30">
        <w:rPr>
          <w:rFonts w:eastAsia="MS Mincho"/>
        </w:rPr>
        <w:tab/>
        <w:t xml:space="preserve">Informations </w:t>
      </w:r>
      <w:r w:rsidR="00B7522D">
        <w:rPr>
          <w:rFonts w:eastAsia="MS Mincho"/>
        </w:rPr>
        <w:t>à jour</w:t>
      </w:r>
      <w:r w:rsidRPr="00AD5A30">
        <w:rPr>
          <w:rFonts w:eastAsia="MS Mincho"/>
        </w:rPr>
        <w:t xml:space="preserve"> sur les mesures prises pour retirer la déclaration de l</w:t>
      </w:r>
      <w:r>
        <w:rPr>
          <w:rFonts w:eastAsia="MS Mincho"/>
        </w:rPr>
        <w:t>’</w:t>
      </w:r>
      <w:r w:rsidRPr="00AD5A30">
        <w:rPr>
          <w:rFonts w:eastAsia="MS Mincho"/>
        </w:rPr>
        <w:t>État partie concernant l</w:t>
      </w:r>
      <w:r>
        <w:rPr>
          <w:rFonts w:eastAsia="MS Mincho"/>
        </w:rPr>
        <w:t>’</w:t>
      </w:r>
      <w:r w:rsidRPr="00AD5A30">
        <w:rPr>
          <w:rFonts w:eastAsia="MS Mincho"/>
        </w:rPr>
        <w:t xml:space="preserve">article 4 de la Convention à la suite de travaux de recherche </w:t>
      </w:r>
      <w:r w:rsidR="00B7522D">
        <w:rPr>
          <w:rFonts w:eastAsia="MS Mincho"/>
        </w:rPr>
        <w:t xml:space="preserve">− </w:t>
      </w:r>
      <w:r w:rsidRPr="00AD5A30">
        <w:rPr>
          <w:rFonts w:eastAsia="MS Mincho"/>
        </w:rPr>
        <w:t>effectués à la demande du</w:t>
      </w:r>
      <w:r w:rsidR="002A4E3F">
        <w:rPr>
          <w:rFonts w:eastAsia="MS Mincho"/>
        </w:rPr>
        <w:t xml:space="preserve"> </w:t>
      </w:r>
      <w:r w:rsidRPr="00AD5A30">
        <w:rPr>
          <w:rFonts w:eastAsia="MS Mincho"/>
        </w:rPr>
        <w:t>Département de la justice, de l</w:t>
      </w:r>
      <w:r>
        <w:rPr>
          <w:rFonts w:eastAsia="MS Mincho"/>
        </w:rPr>
        <w:t>’</w:t>
      </w:r>
      <w:r w:rsidRPr="00AD5A30">
        <w:rPr>
          <w:rFonts w:eastAsia="MS Mincho"/>
        </w:rPr>
        <w:t xml:space="preserve">égalité et de la réforme du droit </w:t>
      </w:r>
      <w:r w:rsidR="00B7522D">
        <w:rPr>
          <w:rFonts w:eastAsia="MS Mincho"/>
        </w:rPr>
        <w:t xml:space="preserve">− visant à </w:t>
      </w:r>
      <w:r w:rsidRPr="00AD5A30">
        <w:rPr>
          <w:rFonts w:eastAsia="MS Mincho"/>
        </w:rPr>
        <w:t>évaluer l</w:t>
      </w:r>
      <w:r>
        <w:rPr>
          <w:rFonts w:eastAsia="MS Mincho"/>
        </w:rPr>
        <w:t>’</w:t>
      </w:r>
      <w:r w:rsidRPr="00AD5A30">
        <w:rPr>
          <w:rFonts w:eastAsia="MS Mincho"/>
        </w:rPr>
        <w:t>utilisation effective de la législation interne en vigueur pour lutter contre les infractions à motivation raciste (CERD/C/IRL/CO/2/Add.1, par</w:t>
      </w:r>
      <w:r w:rsidR="006C616B">
        <w:rPr>
          <w:rFonts w:eastAsia="MS Mincho"/>
        </w:rPr>
        <w:t>.</w:t>
      </w:r>
      <w:r w:rsidRPr="00AD5A30">
        <w:rPr>
          <w:rFonts w:eastAsia="MS Mincho"/>
        </w:rPr>
        <w:t xml:space="preserve"> 21 et 22)</w:t>
      </w:r>
      <w:r>
        <w:rPr>
          <w:rFonts w:eastAsia="MS Mincho"/>
        </w:rPr>
        <w:t>;</w:t>
      </w:r>
    </w:p>
    <w:p w:rsidR="00DD16D0" w:rsidRPr="00AD5A30" w:rsidRDefault="00DD16D0" w:rsidP="00E119A0">
      <w:pPr>
        <w:pStyle w:val="SingleTxtG"/>
      </w:pPr>
      <w:r w:rsidRPr="00AD5A30">
        <w:rPr>
          <w:rFonts w:eastAsia="MS Mincho"/>
        </w:rPr>
        <w:tab/>
        <w:t>c)</w:t>
      </w:r>
      <w:r w:rsidRPr="00AD5A30">
        <w:rPr>
          <w:rFonts w:eastAsia="MS Mincho"/>
        </w:rPr>
        <w:tab/>
      </w:r>
      <w:r w:rsidR="00B7522D">
        <w:rPr>
          <w:rFonts w:eastAsia="MS Mincho"/>
        </w:rPr>
        <w:t>A</w:t>
      </w:r>
      <w:r w:rsidRPr="00AD5A30">
        <w:rPr>
          <w:rFonts w:eastAsia="MS Mincho"/>
        </w:rPr>
        <w:t>bsence de législation interdisant le profilage racial par la police et d</w:t>
      </w:r>
      <w:r>
        <w:rPr>
          <w:rFonts w:eastAsia="MS Mincho"/>
        </w:rPr>
        <w:t>’</w:t>
      </w:r>
      <w:r w:rsidRPr="00AD5A30">
        <w:rPr>
          <w:rFonts w:eastAsia="MS Mincho"/>
        </w:rPr>
        <w:t>autres agents</w:t>
      </w:r>
      <w:r w:rsidRPr="00AD5A30">
        <w:t xml:space="preserve"> des forces de l</w:t>
      </w:r>
      <w:r>
        <w:t>’</w:t>
      </w:r>
      <w:r w:rsidRPr="00AD5A30">
        <w:t xml:space="preserve">ordre. </w:t>
      </w:r>
      <w:r w:rsidR="00B7522D">
        <w:t>M</w:t>
      </w:r>
      <w:r w:rsidRPr="00AD5A30">
        <w:t>otifs obligeant les étrangers à être en possession d</w:t>
      </w:r>
      <w:r>
        <w:t>’</w:t>
      </w:r>
      <w:r w:rsidRPr="00AD5A30">
        <w:t>une</w:t>
      </w:r>
      <w:r w:rsidR="002A4E3F">
        <w:t xml:space="preserve"> </w:t>
      </w:r>
      <w:r w:rsidRPr="00AD5A30">
        <w:t>carte d</w:t>
      </w:r>
      <w:r>
        <w:t>’</w:t>
      </w:r>
      <w:r w:rsidRPr="00AD5A30">
        <w:t>identité en toutes circonstances et à la présenter lorsqu</w:t>
      </w:r>
      <w:r>
        <w:t>’</w:t>
      </w:r>
      <w:r w:rsidRPr="00AD5A30">
        <w:t xml:space="preserve">ils sont </w:t>
      </w:r>
      <w:r w:rsidR="00B7522D">
        <w:t xml:space="preserve">contrôlés </w:t>
      </w:r>
      <w:r w:rsidRPr="00AD5A30">
        <w:t>par la police, obligation qui ne s</w:t>
      </w:r>
      <w:r>
        <w:t>’</w:t>
      </w:r>
      <w:r w:rsidRPr="00AD5A30">
        <w:t>applique pas aux citoyens irlandais (CERD/C/IRL/3-4, par. 228);</w:t>
      </w:r>
    </w:p>
    <w:p w:rsidR="00DD16D0" w:rsidRPr="00AD5A30" w:rsidRDefault="00DD16D0" w:rsidP="00F04BBF">
      <w:pPr>
        <w:pStyle w:val="SingleTxtG"/>
        <w:keepNext/>
        <w:keepLines/>
      </w:pPr>
      <w:r w:rsidRPr="00AD5A30">
        <w:tab/>
        <w:t>d)</w:t>
      </w:r>
      <w:r w:rsidRPr="00AD5A30">
        <w:tab/>
        <w:t xml:space="preserve">Informations </w:t>
      </w:r>
      <w:r w:rsidR="00B7522D">
        <w:t xml:space="preserve">à jour </w:t>
      </w:r>
      <w:r w:rsidRPr="00AD5A30">
        <w:t>concernant l</w:t>
      </w:r>
      <w:r>
        <w:t>’</w:t>
      </w:r>
      <w:r w:rsidRPr="00AD5A30">
        <w:t>examen de la loi sur l</w:t>
      </w:r>
      <w:r>
        <w:t>’</w:t>
      </w:r>
      <w:r w:rsidRPr="00AD5A30">
        <w:t>interdiction de l</w:t>
      </w:r>
      <w:r>
        <w:t>’</w:t>
      </w:r>
      <w:r w:rsidRPr="00AD5A30">
        <w:t>incitation à la haine de 1989 à la lumière des conclusions du Centre de justice pénale de l</w:t>
      </w:r>
      <w:r>
        <w:t>’</w:t>
      </w:r>
      <w:r w:rsidRPr="00AD5A30">
        <w:t xml:space="preserve">Université de Limerick. </w:t>
      </w:r>
      <w:r w:rsidR="00B7522D">
        <w:t>M</w:t>
      </w:r>
      <w:r w:rsidRPr="00AD5A30">
        <w:t xml:space="preserve">esures prises </w:t>
      </w:r>
      <w:r w:rsidR="00B7522D">
        <w:t xml:space="preserve">pour </w:t>
      </w:r>
      <w:r w:rsidRPr="00AD5A30">
        <w:t>garantir</w:t>
      </w:r>
      <w:r w:rsidR="002A4E3F">
        <w:t xml:space="preserve"> </w:t>
      </w:r>
      <w:r w:rsidRPr="00AD5A30">
        <w:t>que les juges tiennent compte des motifs racistes comme circonstance aggravante lorsqu</w:t>
      </w:r>
      <w:r>
        <w:t>’</w:t>
      </w:r>
      <w:r w:rsidRPr="00AD5A30">
        <w:t>ils imposent une peine (ibid., par. 51 à 53);</w:t>
      </w:r>
    </w:p>
    <w:p w:rsidR="00DD16D0" w:rsidRPr="00AD5A30" w:rsidRDefault="00DD16D0" w:rsidP="00E119A0">
      <w:pPr>
        <w:pStyle w:val="SingleTxtG"/>
      </w:pPr>
      <w:r w:rsidRPr="00AD5A30">
        <w:tab/>
        <w:t>e)</w:t>
      </w:r>
      <w:r w:rsidRPr="00AD5A30">
        <w:tab/>
      </w:r>
      <w:r w:rsidR="00B7522D">
        <w:t>M</w:t>
      </w:r>
      <w:r w:rsidRPr="00AD5A30">
        <w:t xml:space="preserve">esures prises pour </w:t>
      </w:r>
      <w:r w:rsidR="00B7522D">
        <w:t xml:space="preserve">faire en sorte </w:t>
      </w:r>
      <w:r w:rsidRPr="00AD5A30">
        <w:t xml:space="preserve">que les </w:t>
      </w:r>
      <w:r w:rsidR="00B7522D">
        <w:t xml:space="preserve">réductions </w:t>
      </w:r>
      <w:r w:rsidRPr="00AD5A30">
        <w:t>budgétaires actuelles visant des institutions telles que la Commission irlandaise des droits de l</w:t>
      </w:r>
      <w:r>
        <w:t>’</w:t>
      </w:r>
      <w:r w:rsidRPr="00AD5A30">
        <w:t>homme (32 %), le Bureau de l</w:t>
      </w:r>
      <w:r>
        <w:t>’</w:t>
      </w:r>
      <w:r w:rsidRPr="00AD5A30">
        <w:t>égalité (</w:t>
      </w:r>
      <w:r w:rsidR="00B7522D">
        <w:t>4</w:t>
      </w:r>
      <w:r w:rsidRPr="00AD5A30">
        <w:t>3</w:t>
      </w:r>
      <w:r w:rsidR="00D00323">
        <w:t xml:space="preserve"> </w:t>
      </w:r>
      <w:r w:rsidRPr="00AD5A30">
        <w:t>%) et le Comité consultatif national sur le racisme et les relations interculturelles (100 %) ne compromettent pas l</w:t>
      </w:r>
      <w:r w:rsidR="00B7522D">
        <w:t xml:space="preserve">a surveillance </w:t>
      </w:r>
      <w:r w:rsidRPr="00AD5A30">
        <w:t>du respect des obligations qui incombent à l</w:t>
      </w:r>
      <w:r>
        <w:t>’</w:t>
      </w:r>
      <w:r w:rsidRPr="00AD5A30">
        <w:t>État partie en vertu de la Convention (ibid., par. 190);</w:t>
      </w:r>
    </w:p>
    <w:p w:rsidR="00DD16D0" w:rsidRPr="00AD5A30" w:rsidRDefault="00DD16D0" w:rsidP="00E119A0">
      <w:pPr>
        <w:pStyle w:val="SingleTxtG"/>
      </w:pPr>
      <w:r w:rsidRPr="00AD5A30">
        <w:tab/>
        <w:t>f)</w:t>
      </w:r>
      <w:r w:rsidRPr="00AD5A30">
        <w:tab/>
        <w:t>Flou législatif c</w:t>
      </w:r>
      <w:r w:rsidR="00B7522D">
        <w:t xml:space="preserve">oncernant les motifs de refus de </w:t>
      </w:r>
      <w:r w:rsidRPr="00AD5A30">
        <w:t>l</w:t>
      </w:r>
      <w:r>
        <w:t>’</w:t>
      </w:r>
      <w:r w:rsidRPr="00AD5A30">
        <w:t>autorisation d</w:t>
      </w:r>
      <w:r>
        <w:t>’</w:t>
      </w:r>
      <w:r w:rsidRPr="00AD5A30">
        <w:t>entrer sur le territoire et l</w:t>
      </w:r>
      <w:r>
        <w:t>’</w:t>
      </w:r>
      <w:r w:rsidRPr="00AD5A30">
        <w:t>absence de procédures d</w:t>
      </w:r>
      <w:r>
        <w:t>’</w:t>
      </w:r>
      <w:r w:rsidR="00657F63">
        <w:t>appel ou de ré</w:t>
      </w:r>
      <w:r w:rsidRPr="00AD5A30">
        <w:t xml:space="preserve">examen pour </w:t>
      </w:r>
      <w:r w:rsidR="00657F63">
        <w:t xml:space="preserve">contester </w:t>
      </w:r>
      <w:r w:rsidRPr="00AD5A30">
        <w:t xml:space="preserve">les décisions des </w:t>
      </w:r>
      <w:r w:rsidR="00657F63">
        <w:t>s</w:t>
      </w:r>
      <w:r w:rsidRPr="00AD5A30">
        <w:t>ervices de l</w:t>
      </w:r>
      <w:r>
        <w:t>’</w:t>
      </w:r>
      <w:r w:rsidRPr="00AD5A30">
        <w:t xml:space="preserve">immigration </w:t>
      </w:r>
      <w:r w:rsidR="00657F63">
        <w:t xml:space="preserve">en la matière </w:t>
      </w:r>
      <w:r w:rsidRPr="00AD5A30">
        <w:t>(CERD/C/IRL/CO/2/Add.1, par. 94). Informations récentes concernant l</w:t>
      </w:r>
      <w:r>
        <w:t>’</w:t>
      </w:r>
      <w:r w:rsidRPr="00AD5A30">
        <w:t>état d</w:t>
      </w:r>
      <w:r>
        <w:t>’</w:t>
      </w:r>
      <w:r w:rsidRPr="00AD5A30">
        <w:t>avancement du projet de loi sur l</w:t>
      </w:r>
      <w:r>
        <w:t>’</w:t>
      </w:r>
      <w:r w:rsidRPr="00AD5A30">
        <w:t>immigration et la résidence (ibid., par.</w:t>
      </w:r>
      <w:r w:rsidR="00F9732B">
        <w:t xml:space="preserve"> </w:t>
      </w:r>
      <w:r w:rsidRPr="00AD5A30">
        <w:t>206).</w:t>
      </w:r>
    </w:p>
    <w:p w:rsidR="00DD16D0" w:rsidRPr="00AD5A30" w:rsidRDefault="00D00323" w:rsidP="00D00323">
      <w:pPr>
        <w:pStyle w:val="H23G"/>
      </w:pPr>
      <w:r>
        <w:tab/>
      </w:r>
      <w:r w:rsidR="00DD16D0" w:rsidRPr="00AD5A30">
        <w:t>2.</w:t>
      </w:r>
      <w:r w:rsidR="00DD16D0" w:rsidRPr="00AD5A30">
        <w:tab/>
        <w:t>Intégration, lutte contre les préjugés raciaux et situation des non-ressortissants (travailleurs migrants, demandeurs d</w:t>
      </w:r>
      <w:r w:rsidR="00DD16D0">
        <w:t>’</w:t>
      </w:r>
      <w:r w:rsidR="00DD16D0" w:rsidRPr="00AD5A30">
        <w:t>asil</w:t>
      </w:r>
      <w:r>
        <w:t>e et réfugiés) (art. 2, 5 et 6)</w:t>
      </w:r>
    </w:p>
    <w:p w:rsidR="00DD16D0" w:rsidRPr="00AD5A30" w:rsidRDefault="00657F63" w:rsidP="00E119A0">
      <w:pPr>
        <w:pStyle w:val="SingleTxtG"/>
      </w:pPr>
      <w:r>
        <w:tab/>
        <w:t>a)</w:t>
      </w:r>
      <w:r>
        <w:tab/>
        <w:t>M</w:t>
      </w:r>
      <w:r w:rsidR="00DD16D0" w:rsidRPr="00AD5A30">
        <w:t>esures prises pour mettre un terme au harcèlement et au mauvais traitement des migrants dans la rue et dans d</w:t>
      </w:r>
      <w:r w:rsidR="00DD16D0">
        <w:t>’</w:t>
      </w:r>
      <w:r w:rsidR="00DD16D0" w:rsidRPr="00AD5A30">
        <w:t>autres lieux publics et encourager l</w:t>
      </w:r>
      <w:r>
        <w:t xml:space="preserve">a dénonciation </w:t>
      </w:r>
      <w:r w:rsidR="00DD16D0" w:rsidRPr="00AD5A30">
        <w:t>d</w:t>
      </w:r>
      <w:r>
        <w:t xml:space="preserve">es </w:t>
      </w:r>
      <w:r w:rsidR="00DD16D0" w:rsidRPr="00AD5A30">
        <w:t>incidents racistes (CERD/C/</w:t>
      </w:r>
      <w:r>
        <w:t>IRL/3-4, par. 375 et 507). M</w:t>
      </w:r>
      <w:r w:rsidR="00DD16D0" w:rsidRPr="00AD5A30">
        <w:t>esures prises pour encourager les médias à diffuser des messages visant à lutter contre le</w:t>
      </w:r>
      <w:r w:rsidR="00E1348A">
        <w:t>s</w:t>
      </w:r>
      <w:r w:rsidR="00DD16D0" w:rsidRPr="00AD5A30">
        <w:t xml:space="preserve"> préjugé</w:t>
      </w:r>
      <w:r w:rsidR="00E1348A">
        <w:t>s raciaux</w:t>
      </w:r>
      <w:r w:rsidR="00DD16D0" w:rsidRPr="00AD5A30">
        <w:t xml:space="preserve"> et les stéréotypes xénophobes et à promouvoir la diversité culturelle (CERD/C/IRL/CO/2/Add.1, par. 28);</w:t>
      </w:r>
    </w:p>
    <w:p w:rsidR="00DD16D0" w:rsidRPr="00AD5A30" w:rsidRDefault="00DD16D0" w:rsidP="00E119A0">
      <w:pPr>
        <w:pStyle w:val="SingleTxtG"/>
      </w:pPr>
      <w:r w:rsidRPr="00AD5A30">
        <w:tab/>
        <w:t>b)</w:t>
      </w:r>
      <w:r w:rsidRPr="00AD5A30">
        <w:tab/>
      </w:r>
      <w:r w:rsidR="00657F63">
        <w:t>Mesures concrètes prises s</w:t>
      </w:r>
      <w:r w:rsidRPr="00AD5A30">
        <w:t>uite à l</w:t>
      </w:r>
      <w:r>
        <w:t>’</w:t>
      </w:r>
      <w:r w:rsidRPr="00AD5A30">
        <w:t xml:space="preserve">audit </w:t>
      </w:r>
      <w:r w:rsidR="00657F63">
        <w:t>sur le comportement de</w:t>
      </w:r>
      <w:r w:rsidRPr="00AD5A30">
        <w:t xml:space="preserve"> la police </w:t>
      </w:r>
      <w:r w:rsidR="00657F63">
        <w:t>dans le domaine d</w:t>
      </w:r>
      <w:r w:rsidRPr="00AD5A30">
        <w:t>es droits de l</w:t>
      </w:r>
      <w:r>
        <w:t>’</w:t>
      </w:r>
      <w:r w:rsidRPr="00AD5A30">
        <w:t>homme lancé en mars 2005, qui a permis d</w:t>
      </w:r>
      <w:r>
        <w:t>’</w:t>
      </w:r>
      <w:r w:rsidRPr="00AD5A30">
        <w:t xml:space="preserve">identifier certaines </w:t>
      </w:r>
      <w:r w:rsidR="00E1348A">
        <w:t xml:space="preserve">carences, s’agissant notamment du </w:t>
      </w:r>
      <w:r w:rsidRPr="00AD5A30">
        <w:t>traitement discriminatoire des étrangers</w:t>
      </w:r>
      <w:r w:rsidR="00F04BBF">
        <w:t>:</w:t>
      </w:r>
      <w:r w:rsidRPr="00AD5A30">
        <w:t xml:space="preserve"> a) pour sensibiliser les </w:t>
      </w:r>
      <w:r w:rsidR="00E1348A">
        <w:t xml:space="preserve">fonctionnaires </w:t>
      </w:r>
      <w:r w:rsidRPr="00AD5A30">
        <w:t xml:space="preserve">de police </w:t>
      </w:r>
      <w:r w:rsidR="00E1348A">
        <w:t xml:space="preserve">contre les </w:t>
      </w:r>
      <w:r w:rsidRPr="00AD5A30">
        <w:t>traitement</w:t>
      </w:r>
      <w:r w:rsidR="00E1348A">
        <w:t>s</w:t>
      </w:r>
      <w:r w:rsidRPr="00AD5A30">
        <w:t xml:space="preserve"> discriminatoire</w:t>
      </w:r>
      <w:r w:rsidR="00E1348A">
        <w:t>s</w:t>
      </w:r>
      <w:r w:rsidR="00F04BBF">
        <w:t>;</w:t>
      </w:r>
      <w:r w:rsidRPr="00AD5A30">
        <w:t xml:space="preserve"> et b)</w:t>
      </w:r>
      <w:r w:rsidR="00F9732B">
        <w:t xml:space="preserve"> </w:t>
      </w:r>
      <w:r w:rsidR="00F04BBF">
        <w:t xml:space="preserve">pour </w:t>
      </w:r>
      <w:r w:rsidRPr="00AD5A30">
        <w:t>ouvrir des enquêtes et poursuivre les auteurs présumés d</w:t>
      </w:r>
      <w:r>
        <w:t>’</w:t>
      </w:r>
      <w:r w:rsidRPr="00AD5A30">
        <w:t>infractions par l</w:t>
      </w:r>
      <w:r>
        <w:t>’</w:t>
      </w:r>
      <w:r w:rsidRPr="00AD5A30">
        <w:t>intermédiaire de la Commission de l</w:t>
      </w:r>
      <w:r>
        <w:t>’</w:t>
      </w:r>
      <w:r w:rsidR="000A7F3D" w:rsidRPr="00AD5A30">
        <w:t>O</w:t>
      </w:r>
      <w:r w:rsidRPr="00AD5A30">
        <w:t xml:space="preserve">mbudsman de la </w:t>
      </w:r>
      <w:r w:rsidR="000A7F3D" w:rsidRPr="00AD5A30">
        <w:t>P</w:t>
      </w:r>
      <w:r w:rsidRPr="00AD5A30">
        <w:t>olice nationale établie en vertu de la loi d</w:t>
      </w:r>
      <w:r w:rsidR="00D00323">
        <w:t xml:space="preserve">e 2005 sur la Police nationale </w:t>
      </w:r>
      <w:r w:rsidRPr="00AD5A30">
        <w:t>(CERD/C/IRL/3-4, par. 75 à 79 et 376</w:t>
      </w:r>
      <w:r w:rsidR="00E1348A">
        <w:t>;</w:t>
      </w:r>
      <w:r w:rsidRPr="00AD5A30">
        <w:t xml:space="preserve"> CERD/C/IRL/CO/2/Add.1, par.</w:t>
      </w:r>
      <w:r w:rsidR="000E7307">
        <w:t> </w:t>
      </w:r>
      <w:r w:rsidRPr="00AD5A30">
        <w:t>118 à 122 et 139);</w:t>
      </w:r>
    </w:p>
    <w:p w:rsidR="00DD16D0" w:rsidRPr="00AD5A30" w:rsidRDefault="00DD16D0" w:rsidP="00E119A0">
      <w:pPr>
        <w:pStyle w:val="SingleTxtG"/>
      </w:pPr>
      <w:r w:rsidRPr="00AD5A30">
        <w:tab/>
        <w:t>c)</w:t>
      </w:r>
      <w:r w:rsidRPr="00AD5A30">
        <w:tab/>
        <w:t xml:space="preserve">Informations concernant les raisons </w:t>
      </w:r>
      <w:r w:rsidR="00E1348A">
        <w:t xml:space="preserve">à l’origine </w:t>
      </w:r>
      <w:r w:rsidRPr="00AD5A30">
        <w:t xml:space="preserve">de la décision du Gouvernement, annoncée le 17 décembre 2008, </w:t>
      </w:r>
      <w:r w:rsidR="00E1348A">
        <w:t xml:space="preserve">consistant à </w:t>
      </w:r>
      <w:r w:rsidRPr="00AD5A30">
        <w:t>restreindre l</w:t>
      </w:r>
      <w:r>
        <w:t>’</w:t>
      </w:r>
      <w:r w:rsidRPr="00AD5A30">
        <w:t>accès au marché du travail irlandais aux ressortissants bulgares et roumains à compter du 1</w:t>
      </w:r>
      <w:r w:rsidRPr="00AD5A30">
        <w:rPr>
          <w:vertAlign w:val="superscript"/>
        </w:rPr>
        <w:t>er</w:t>
      </w:r>
      <w:r w:rsidRPr="00AD5A30">
        <w:t xml:space="preserve"> janvier 2009 (CERD/C/I</w:t>
      </w:r>
      <w:r w:rsidR="00D00323">
        <w:t>RL/3-4, par.</w:t>
      </w:r>
      <w:r w:rsidR="00F9732B">
        <w:t xml:space="preserve"> </w:t>
      </w:r>
      <w:r w:rsidRPr="00AD5A30">
        <w:t>297);</w:t>
      </w:r>
    </w:p>
    <w:p w:rsidR="00DD16D0" w:rsidRPr="00AD5A30" w:rsidRDefault="00DD16D0" w:rsidP="00E119A0">
      <w:pPr>
        <w:pStyle w:val="SingleTxtG"/>
      </w:pPr>
      <w:r w:rsidRPr="00AD5A30">
        <w:tab/>
        <w:t>d)</w:t>
      </w:r>
      <w:r w:rsidRPr="00AD5A30">
        <w:tab/>
        <w:t xml:space="preserve">Informations </w:t>
      </w:r>
      <w:r w:rsidR="00E1348A">
        <w:t xml:space="preserve">à jour </w:t>
      </w:r>
      <w:r w:rsidRPr="00AD5A30">
        <w:t>concernant le recrutement d</w:t>
      </w:r>
      <w:r>
        <w:t>’</w:t>
      </w:r>
      <w:r w:rsidRPr="00AD5A30">
        <w:t>étrangers dans la police suite à la révision des qualifications requises</w:t>
      </w:r>
      <w:r w:rsidR="000A7F3D">
        <w:t>,</w:t>
      </w:r>
      <w:r w:rsidRPr="00AD5A30">
        <w:t xml:space="preserve"> y compris l</w:t>
      </w:r>
      <w:r>
        <w:t>’</w:t>
      </w:r>
      <w:r w:rsidRPr="00AD5A30">
        <w:t xml:space="preserve">aptitude </w:t>
      </w:r>
      <w:r w:rsidR="00E1348A">
        <w:t xml:space="preserve">linguistique (ibid., par. 263 et </w:t>
      </w:r>
      <w:r w:rsidRPr="00AD5A30">
        <w:t>264 et CERD/C/IRL/CO/2/Add.1, par. 126 à 128 et 138);</w:t>
      </w:r>
    </w:p>
    <w:p w:rsidR="00DD16D0" w:rsidRPr="00AD5A30" w:rsidRDefault="00DD16D0" w:rsidP="00E119A0">
      <w:pPr>
        <w:pStyle w:val="SingleTxtG"/>
      </w:pPr>
      <w:r w:rsidRPr="00AD5A30">
        <w:tab/>
        <w:t>e)</w:t>
      </w:r>
      <w:r w:rsidRPr="00AD5A30">
        <w:tab/>
      </w:r>
      <w:r w:rsidR="00E1348A">
        <w:t>M</w:t>
      </w:r>
      <w:r w:rsidRPr="00AD5A30">
        <w:t xml:space="preserve">esures prises pour revoir la définition de la famille afin de garantir que </w:t>
      </w:r>
      <w:r w:rsidR="000A7F3D" w:rsidRPr="00AD5A30">
        <w:t>l</w:t>
      </w:r>
      <w:r w:rsidR="00E1348A">
        <w:t>e regroupement familial</w:t>
      </w:r>
      <w:r w:rsidRPr="00AD5A30">
        <w:t xml:space="preserve"> ne so</w:t>
      </w:r>
      <w:r w:rsidR="00E1348A">
        <w:t>it pas excessivement restrictif</w:t>
      </w:r>
      <w:r w:rsidRPr="00AD5A30">
        <w:t xml:space="preserve"> (CERD/C/IRL/3-4, par. 530);</w:t>
      </w:r>
    </w:p>
    <w:p w:rsidR="00DD16D0" w:rsidRDefault="00DD16D0" w:rsidP="00E119A0">
      <w:pPr>
        <w:pStyle w:val="SingleTxtG"/>
      </w:pPr>
      <w:r w:rsidRPr="00AD5A30">
        <w:tab/>
        <w:t>f)</w:t>
      </w:r>
      <w:r w:rsidRPr="00AD5A30">
        <w:tab/>
      </w:r>
      <w:r w:rsidR="00E1348A">
        <w:t>M</w:t>
      </w:r>
      <w:r w:rsidRPr="00AD5A30">
        <w:t>esures concrètes prises</w:t>
      </w:r>
      <w:r w:rsidR="00E1348A">
        <w:t xml:space="preserve">, eu égard au fait </w:t>
      </w:r>
      <w:r w:rsidR="00E1348A" w:rsidRPr="00AD5A30">
        <w:t>que la détention des demandeurs d</w:t>
      </w:r>
      <w:r w:rsidR="00E1348A">
        <w:t>’</w:t>
      </w:r>
      <w:r w:rsidR="00E1348A" w:rsidRPr="00AD5A30">
        <w:t>asile n</w:t>
      </w:r>
      <w:r w:rsidR="00E1348A">
        <w:t>’</w:t>
      </w:r>
      <w:r w:rsidR="00E1348A" w:rsidRPr="00AD5A30">
        <w:t>est pas systématique (CERD/C/IRL/CO/2/Add.1, par. 96)</w:t>
      </w:r>
      <w:r w:rsidR="00E1348A">
        <w:t>,</w:t>
      </w:r>
      <w:r w:rsidRPr="00AD5A30">
        <w:t xml:space="preserve"> pour </w:t>
      </w:r>
      <w:r w:rsidR="00E1348A">
        <w:t xml:space="preserve">faire en sorte </w:t>
      </w:r>
      <w:r w:rsidRPr="00AD5A30">
        <w:t>que les demandeurs d</w:t>
      </w:r>
      <w:r>
        <w:t>’</w:t>
      </w:r>
      <w:r w:rsidRPr="00AD5A30">
        <w:t>asile qui ne sont pas soupçonnés d</w:t>
      </w:r>
      <w:r>
        <w:t>’</w:t>
      </w:r>
      <w:r w:rsidRPr="00AD5A30">
        <w:t>avoir commis une infraction ni reconnus coupables d</w:t>
      </w:r>
      <w:r>
        <w:t>’</w:t>
      </w:r>
      <w:r w:rsidRPr="00AD5A30">
        <w:t xml:space="preserve">une infraction ne soient pas détenus en prison ou dans des postes de police mais dans des lieux de </w:t>
      </w:r>
      <w:r w:rsidR="00E1348A">
        <w:t>r</w:t>
      </w:r>
      <w:r w:rsidRPr="00AD5A30">
        <w:t>étention spéciaux prévus pour les demandeurs d</w:t>
      </w:r>
      <w:r>
        <w:t>’</w:t>
      </w:r>
      <w:r w:rsidR="000E7307">
        <w:t>asile (ibid., par. 9</w:t>
      </w:r>
      <w:r w:rsidRPr="00AD5A30">
        <w:t>1 à 94 et 96).</w:t>
      </w:r>
    </w:p>
    <w:p w:rsidR="00DD16D0" w:rsidRDefault="00E119A0" w:rsidP="00E119A0">
      <w:pPr>
        <w:pStyle w:val="H23G"/>
      </w:pPr>
      <w:r>
        <w:tab/>
        <w:t>3.</w:t>
      </w:r>
      <w:r>
        <w:tab/>
      </w:r>
      <w:r w:rsidR="00DD16D0" w:rsidRPr="00AD5A30">
        <w:t>Questions relati</w:t>
      </w:r>
      <w:r w:rsidR="002A4E3F">
        <w:t xml:space="preserve">ves aux minorités ethniques et </w:t>
      </w:r>
      <w:r w:rsidR="00DD16D0" w:rsidRPr="00AD5A30">
        <w:t>situation des communautés des gens du voyage (art.</w:t>
      </w:r>
      <w:r>
        <w:t xml:space="preserve"> </w:t>
      </w:r>
      <w:r w:rsidR="00DD16D0" w:rsidRPr="00AD5A30">
        <w:t>2, 3 et 5)</w:t>
      </w:r>
    </w:p>
    <w:p w:rsidR="00DD16D0" w:rsidRPr="00AD5A30" w:rsidRDefault="00E119A0" w:rsidP="00E119A0">
      <w:pPr>
        <w:pStyle w:val="SingleTxtG"/>
        <w:ind w:firstLine="567"/>
      </w:pPr>
      <w:r>
        <w:t>a)</w:t>
      </w:r>
      <w:r>
        <w:tab/>
      </w:r>
      <w:r w:rsidR="00DD16D0" w:rsidRPr="00AD5A30">
        <w:t xml:space="preserve">Informations </w:t>
      </w:r>
      <w:r w:rsidR="00E1348A">
        <w:t xml:space="preserve">à jour </w:t>
      </w:r>
      <w:r w:rsidR="00DD16D0" w:rsidRPr="00AD5A30">
        <w:t xml:space="preserve">sur la </w:t>
      </w:r>
      <w:r w:rsidR="00E1348A">
        <w:t>suite donnée aux</w:t>
      </w:r>
      <w:r w:rsidR="00DD16D0" w:rsidRPr="00AD5A30">
        <w:t xml:space="preserve"> recommandations formulées par le Groupe de haut niveau sur les problèmes des gens du voyage</w:t>
      </w:r>
      <w:r w:rsidR="00E1348A">
        <w:t>,</w:t>
      </w:r>
      <w:r w:rsidR="00DD16D0" w:rsidRPr="00AD5A30">
        <w:t xml:space="preserve"> approuvé</w:t>
      </w:r>
      <w:r w:rsidR="00E1348A">
        <w:t>es</w:t>
      </w:r>
      <w:r w:rsidR="00DD16D0" w:rsidRPr="00AD5A30">
        <w:t xml:space="preserve"> par le </w:t>
      </w:r>
      <w:r w:rsidR="000A7F3D" w:rsidRPr="00AD5A30">
        <w:t>G</w:t>
      </w:r>
      <w:r w:rsidR="00DD16D0" w:rsidRPr="00AD5A30">
        <w:t>ouvernement le 21 mars 2006, qui a n</w:t>
      </w:r>
      <w:r w:rsidR="00E1348A">
        <w:t xml:space="preserve">otamment recommandé de tenir de véritables consultations </w:t>
      </w:r>
      <w:r w:rsidR="00597B14">
        <w:t>(i</w:t>
      </w:r>
      <w:r w:rsidR="00DD16D0" w:rsidRPr="00AD5A30">
        <w:t>bid., par.</w:t>
      </w:r>
      <w:r w:rsidR="00597B14">
        <w:t xml:space="preserve"> </w:t>
      </w:r>
      <w:r w:rsidR="00DD16D0" w:rsidRPr="00AD5A30">
        <w:t>163).</w:t>
      </w:r>
    </w:p>
    <w:p w:rsidR="00E119A0" w:rsidRDefault="00E119A0" w:rsidP="00E119A0">
      <w:pPr>
        <w:pStyle w:val="SingleTxtG"/>
        <w:ind w:firstLine="567"/>
      </w:pPr>
      <w:r>
        <w:t>b)</w:t>
      </w:r>
      <w:r>
        <w:tab/>
      </w:r>
      <w:r w:rsidR="00E1348A">
        <w:t>P</w:t>
      </w:r>
      <w:r w:rsidR="00DD16D0" w:rsidRPr="00AD5A30">
        <w:t xml:space="preserve">rogrès </w:t>
      </w:r>
      <w:r w:rsidR="00E1348A">
        <w:t xml:space="preserve">accomplis dans les efforts pour faire en sorte </w:t>
      </w:r>
      <w:r w:rsidR="00DD16D0" w:rsidRPr="00AD5A30">
        <w:t>que l</w:t>
      </w:r>
      <w:r w:rsidR="00DD16D0">
        <w:t>’</w:t>
      </w:r>
      <w:r w:rsidR="00DD16D0" w:rsidRPr="00AD5A30">
        <w:t>auto-identification serve principalement à</w:t>
      </w:r>
      <w:r w:rsidR="002A4E3F">
        <w:t xml:space="preserve"> </w:t>
      </w:r>
      <w:r w:rsidR="00DD16D0" w:rsidRPr="00AD5A30">
        <w:t xml:space="preserve">déterminer si un peuple est une minorité ethnique. Informations </w:t>
      </w:r>
      <w:r w:rsidR="00E1348A">
        <w:t xml:space="preserve">à jour sur les efforts pour reconnaître </w:t>
      </w:r>
      <w:r w:rsidR="00DD16D0" w:rsidRPr="00AD5A30">
        <w:t>diverses communautés et groupes de gens du voyage en tant que minorités ethniques (CERD/C/IRL/3-4, par</w:t>
      </w:r>
      <w:r w:rsidR="00597B14">
        <w:t>.</w:t>
      </w:r>
      <w:r w:rsidR="00E1348A">
        <w:t> </w:t>
      </w:r>
      <w:r w:rsidR="00DD16D0" w:rsidRPr="00AD5A30">
        <w:t>8 et 11</w:t>
      </w:r>
      <w:r w:rsidR="00DD16D0">
        <w:t>;</w:t>
      </w:r>
      <w:r w:rsidR="00DD16D0" w:rsidRPr="00AD5A30">
        <w:t xml:space="preserve"> CERD/C/IRL/CO/2, par</w:t>
      </w:r>
      <w:r w:rsidR="00597B14">
        <w:t>.</w:t>
      </w:r>
      <w:r w:rsidR="00DD16D0" w:rsidRPr="00AD5A30">
        <w:t xml:space="preserve"> 20</w:t>
      </w:r>
      <w:r w:rsidR="00DD16D0">
        <w:t>;</w:t>
      </w:r>
      <w:r w:rsidR="00DD16D0" w:rsidRPr="00AD5A30">
        <w:t xml:space="preserve"> et CERD/C/IRL/CO/2/Add.1, par</w:t>
      </w:r>
      <w:r w:rsidR="00597B14">
        <w:t>.</w:t>
      </w:r>
      <w:r w:rsidR="00DD16D0" w:rsidRPr="00AD5A30">
        <w:t xml:space="preserve"> 158)</w:t>
      </w:r>
      <w:r w:rsidR="00DD16D0">
        <w:t>;</w:t>
      </w:r>
    </w:p>
    <w:p w:rsidR="00DD16D0" w:rsidRPr="00AD5A30" w:rsidRDefault="00E119A0" w:rsidP="00E119A0">
      <w:pPr>
        <w:pStyle w:val="SingleTxtG"/>
        <w:ind w:firstLine="567"/>
      </w:pPr>
      <w:r>
        <w:t>c)</w:t>
      </w:r>
      <w:r>
        <w:tab/>
      </w:r>
      <w:r w:rsidR="00E1348A">
        <w:t xml:space="preserve">Mesures concrètes </w:t>
      </w:r>
      <w:r w:rsidR="00DD16D0" w:rsidRPr="00AD5A30">
        <w:t xml:space="preserve">prises pour améliorer les conditions de vie des gens du voyage </w:t>
      </w:r>
      <w:r w:rsidR="00E1348A">
        <w:t>et des membres de leur famille</w:t>
      </w:r>
      <w:r w:rsidR="00DD16D0" w:rsidRPr="00AD5A30">
        <w:t xml:space="preserve"> </w:t>
      </w:r>
      <w:r w:rsidR="00E1348A">
        <w:t>c</w:t>
      </w:r>
      <w:r w:rsidR="00E1348A" w:rsidRPr="00AD5A30">
        <w:t>ompte tenu des failles reconnues par l</w:t>
      </w:r>
      <w:r w:rsidR="00E1348A">
        <w:t>’</w:t>
      </w:r>
      <w:r w:rsidR="00E1348A" w:rsidRPr="00AD5A30">
        <w:t xml:space="preserve">État </w:t>
      </w:r>
      <w:r w:rsidR="00F04BBF">
        <w:t>p</w:t>
      </w:r>
      <w:r w:rsidR="00E1348A" w:rsidRPr="00AD5A30">
        <w:t xml:space="preserve">artie </w:t>
      </w:r>
      <w:r w:rsidR="00E1348A">
        <w:t xml:space="preserve">dans </w:t>
      </w:r>
      <w:r w:rsidR="00E1348A" w:rsidRPr="00AD5A30">
        <w:t>l</w:t>
      </w:r>
      <w:r w:rsidR="00E1348A">
        <w:t>’</w:t>
      </w:r>
      <w:r w:rsidR="00E1348A" w:rsidRPr="00AD5A30">
        <w:t xml:space="preserve">application des politiques </w:t>
      </w:r>
      <w:r w:rsidR="00E1348A">
        <w:t xml:space="preserve">en leur faveur </w:t>
      </w:r>
      <w:r w:rsidR="00E1348A" w:rsidRPr="00AD5A30">
        <w:t>dans le domaine du logement, de l</w:t>
      </w:r>
      <w:r w:rsidR="00E1348A">
        <w:t>’</w:t>
      </w:r>
      <w:r w:rsidR="00E1348A" w:rsidRPr="00AD5A30">
        <w:t>éducation, de l</w:t>
      </w:r>
      <w:r w:rsidR="00E1348A">
        <w:t>’</w:t>
      </w:r>
      <w:r w:rsidR="00E1348A" w:rsidRPr="00AD5A30">
        <w:t>emploi, de la santé et</w:t>
      </w:r>
      <w:r w:rsidR="002A4E3F">
        <w:t xml:space="preserve"> </w:t>
      </w:r>
      <w:r w:rsidR="00E1348A" w:rsidRPr="00AD5A30">
        <w:t>de l</w:t>
      </w:r>
      <w:r w:rsidR="00E1348A">
        <w:t>’</w:t>
      </w:r>
      <w:r w:rsidR="00E1348A" w:rsidRPr="00AD5A30">
        <w:t>accès aux biens et services essentiels</w:t>
      </w:r>
      <w:r w:rsidR="006E79F6">
        <w:t xml:space="preserve"> </w:t>
      </w:r>
      <w:r w:rsidR="00DD16D0" w:rsidRPr="00AD5A30">
        <w:t>(CERD/C/IRL/CO/2Add.1, par. 160 et 161)</w:t>
      </w:r>
      <w:r w:rsidR="00DD16D0">
        <w:t>;</w:t>
      </w:r>
    </w:p>
    <w:p w:rsidR="00DD16D0" w:rsidRPr="00AD5A30" w:rsidRDefault="00E119A0" w:rsidP="00E119A0">
      <w:pPr>
        <w:pStyle w:val="SingleTxtG"/>
        <w:ind w:firstLine="567"/>
      </w:pPr>
      <w:r>
        <w:t>d)</w:t>
      </w:r>
      <w:r>
        <w:tab/>
      </w:r>
      <w:r w:rsidR="00E1348A">
        <w:t>M</w:t>
      </w:r>
      <w:r w:rsidR="00DD16D0" w:rsidRPr="00AD5A30">
        <w:t>esures prises pour améliorer la fréquentation scola</w:t>
      </w:r>
      <w:r w:rsidR="00E1348A">
        <w:t>ire des enfants du voyage. M</w:t>
      </w:r>
      <w:r w:rsidR="00DD16D0" w:rsidRPr="00AD5A30">
        <w:t>esures prises pour établir les causes profondes de l</w:t>
      </w:r>
      <w:r w:rsidR="00DD16D0">
        <w:t>’</w:t>
      </w:r>
      <w:r w:rsidR="00DD16D0" w:rsidRPr="00AD5A30">
        <w:t>abandon scolaire précoce, du taux d</w:t>
      </w:r>
      <w:r w:rsidR="00DD16D0">
        <w:t>’</w:t>
      </w:r>
      <w:r w:rsidR="00DD16D0" w:rsidRPr="00AD5A30">
        <w:t>assiduité plus faible et des résultats en anglais et en mathématiques inférieurs</w:t>
      </w:r>
      <w:r w:rsidR="00E1348A">
        <w:t xml:space="preserve"> parmi les gens du voyage</w:t>
      </w:r>
      <w:r w:rsidR="00202891">
        <w:t>,</w:t>
      </w:r>
      <w:r w:rsidR="00DD16D0" w:rsidRPr="00AD5A30">
        <w:t xml:space="preserve"> suite à l</w:t>
      </w:r>
      <w:r w:rsidR="00DD16D0">
        <w:t>’</w:t>
      </w:r>
      <w:r w:rsidR="00DD16D0" w:rsidRPr="00AD5A30">
        <w:t>enquête sur l</w:t>
      </w:r>
      <w:r w:rsidR="00DD16D0">
        <w:t>’</w:t>
      </w:r>
      <w:r w:rsidR="00DD16D0" w:rsidRPr="00AD5A30">
        <w:t>éd</w:t>
      </w:r>
      <w:r w:rsidR="00597B14">
        <w:t>ucation et les gens du voyage (i</w:t>
      </w:r>
      <w:r w:rsidR="00DD16D0" w:rsidRPr="00AD5A30">
        <w:t>bid., par.</w:t>
      </w:r>
      <w:r w:rsidR="00597B14">
        <w:t xml:space="preserve"> </w:t>
      </w:r>
      <w:r w:rsidR="00DD16D0" w:rsidRPr="00AD5A30">
        <w:t>169).</w:t>
      </w:r>
    </w:p>
    <w:p w:rsidR="00DD16D0" w:rsidRPr="00AD5A30" w:rsidRDefault="00E119A0" w:rsidP="00E119A0">
      <w:pPr>
        <w:pStyle w:val="H23G"/>
      </w:pPr>
      <w:r>
        <w:tab/>
        <w:t>4.</w:t>
      </w:r>
      <w:r>
        <w:tab/>
      </w:r>
      <w:r w:rsidR="00DD16D0" w:rsidRPr="00AD5A30">
        <w:t>Jouissance, dans des conditions d</w:t>
      </w:r>
      <w:r w:rsidR="00DD16D0">
        <w:t>’</w:t>
      </w:r>
      <w:r>
        <w:t xml:space="preserve">égalité, </w:t>
      </w:r>
      <w:r w:rsidR="00103FA5">
        <w:t>des droits socio</w:t>
      </w:r>
      <w:r w:rsidR="00DD16D0" w:rsidRPr="00AD5A30">
        <w:t>économiques (art.</w:t>
      </w:r>
      <w:r w:rsidR="00E1348A">
        <w:t> </w:t>
      </w:r>
      <w:r w:rsidR="00DD16D0" w:rsidRPr="00AD5A30">
        <w:t>2 et 5)</w:t>
      </w:r>
    </w:p>
    <w:p w:rsidR="00DD16D0" w:rsidRDefault="00E119A0" w:rsidP="00E119A0">
      <w:pPr>
        <w:pStyle w:val="SingleTxtG"/>
      </w:pPr>
      <w:r>
        <w:tab/>
      </w:r>
      <w:r w:rsidR="00DD16D0" w:rsidRPr="00AD5A30">
        <w:t>a)</w:t>
      </w:r>
      <w:r w:rsidR="00DD16D0" w:rsidRPr="00AD5A30">
        <w:tab/>
        <w:t xml:space="preserve">Informations </w:t>
      </w:r>
      <w:r w:rsidR="00E1348A">
        <w:t xml:space="preserve">à jour </w:t>
      </w:r>
      <w:r w:rsidR="00DD16D0" w:rsidRPr="00AD5A30">
        <w:t xml:space="preserve">sur les mesures prises pour </w:t>
      </w:r>
      <w:r w:rsidR="00E1348A">
        <w:t xml:space="preserve">faire en sorte </w:t>
      </w:r>
      <w:r>
        <w:t xml:space="preserve">que tous les élèves aient </w:t>
      </w:r>
      <w:r w:rsidR="00DD16D0" w:rsidRPr="00AD5A30">
        <w:t xml:space="preserve">un choix </w:t>
      </w:r>
      <w:r w:rsidR="00E1348A">
        <w:t>plus large d’</w:t>
      </w:r>
      <w:r w:rsidR="00DD16D0" w:rsidRPr="00AD5A30">
        <w:t>écoles laïques et veiller à ce que des institutions laïques de formation des enseignants soient disponibles afin que les futurs ensei</w:t>
      </w:r>
      <w:r>
        <w:t>gnants issus de milieux laïques</w:t>
      </w:r>
      <w:r w:rsidR="00DD16D0" w:rsidRPr="00AD5A30">
        <w:t xml:space="preserve"> et religieux minoritaires ne soient pas dissuadés d</w:t>
      </w:r>
      <w:r w:rsidR="00DD16D0">
        <w:t>’</w:t>
      </w:r>
      <w:r w:rsidR="00DD16D0" w:rsidRPr="00AD5A30">
        <w:t>accéder à la format</w:t>
      </w:r>
      <w:r w:rsidR="00597B14">
        <w:t>ion des enseignants (i</w:t>
      </w:r>
      <w:r>
        <w:t xml:space="preserve">bid., par. </w:t>
      </w:r>
      <w:r w:rsidR="00DD16D0" w:rsidRPr="00AD5A30">
        <w:t>146).</w:t>
      </w:r>
    </w:p>
    <w:p w:rsidR="00E1348A" w:rsidRPr="00E1348A" w:rsidRDefault="00E1348A" w:rsidP="00E1348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348A" w:rsidRPr="00E1348A" w:rsidSect="00D3567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579" w:rsidRDefault="00087579"/>
  </w:endnote>
  <w:endnote w:type="continuationSeparator" w:id="0">
    <w:p w:rsidR="00087579" w:rsidRDefault="00087579"/>
  </w:endnote>
  <w:endnote w:type="continuationNotice" w:id="1">
    <w:p w:rsidR="00087579" w:rsidRDefault="000875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7C" w:rsidRPr="00D3567C" w:rsidRDefault="00D3567C" w:rsidP="00D3567C">
    <w:pPr>
      <w:pStyle w:val="Footer"/>
      <w:tabs>
        <w:tab w:val="right" w:pos="9638"/>
      </w:tabs>
    </w:pPr>
    <w:r w:rsidRPr="00D3567C">
      <w:rPr>
        <w:b/>
        <w:sz w:val="18"/>
      </w:rPr>
      <w:fldChar w:fldCharType="begin"/>
    </w:r>
    <w:r w:rsidRPr="00D3567C">
      <w:rPr>
        <w:b/>
        <w:sz w:val="18"/>
      </w:rPr>
      <w:instrText xml:space="preserve"> PAGE  \* MERGEFORMAT </w:instrText>
    </w:r>
    <w:r w:rsidRPr="00D3567C">
      <w:rPr>
        <w:b/>
        <w:sz w:val="18"/>
      </w:rPr>
      <w:fldChar w:fldCharType="separate"/>
    </w:r>
    <w:r w:rsidR="004958FD">
      <w:rPr>
        <w:b/>
        <w:noProof/>
        <w:sz w:val="18"/>
      </w:rPr>
      <w:t>2</w:t>
    </w:r>
    <w:r w:rsidRPr="00D3567C">
      <w:rPr>
        <w:b/>
        <w:sz w:val="18"/>
      </w:rPr>
      <w:fldChar w:fldCharType="end"/>
    </w:r>
    <w:r>
      <w:rPr>
        <w:b/>
        <w:sz w:val="18"/>
      </w:rPr>
      <w:tab/>
    </w:r>
    <w:r>
      <w:t>GE.11-40354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7C" w:rsidRPr="00D3567C" w:rsidRDefault="00D3567C" w:rsidP="00D3567C">
    <w:pPr>
      <w:pStyle w:val="Footer"/>
      <w:tabs>
        <w:tab w:val="right" w:pos="9638"/>
      </w:tabs>
      <w:rPr>
        <w:b/>
        <w:sz w:val="18"/>
      </w:rPr>
    </w:pPr>
    <w:r>
      <w:t>GE.11-40354</w:t>
    </w:r>
    <w:r>
      <w:tab/>
    </w:r>
    <w:r w:rsidRPr="00D3567C">
      <w:rPr>
        <w:b/>
        <w:sz w:val="18"/>
      </w:rPr>
      <w:fldChar w:fldCharType="begin"/>
    </w:r>
    <w:r w:rsidRPr="00D3567C">
      <w:rPr>
        <w:b/>
        <w:sz w:val="18"/>
      </w:rPr>
      <w:instrText xml:space="preserve"> PAGE  \* MERGEFORMAT </w:instrText>
    </w:r>
    <w:r w:rsidRPr="00D3567C">
      <w:rPr>
        <w:b/>
        <w:sz w:val="18"/>
      </w:rPr>
      <w:fldChar w:fldCharType="separate"/>
    </w:r>
    <w:r w:rsidR="004958FD">
      <w:rPr>
        <w:b/>
        <w:noProof/>
        <w:sz w:val="18"/>
      </w:rPr>
      <w:t>3</w:t>
    </w:r>
    <w:r w:rsidRPr="00D356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966" w:rsidRDefault="00D3567C">
    <w:pPr>
      <w:pStyle w:val="Footer"/>
    </w:pPr>
    <w:r>
      <w:rPr>
        <w:sz w:val="20"/>
      </w:rPr>
      <w:t>GE.11-40354</w:t>
    </w:r>
    <w:r w:rsidR="002D196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090211    090211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579" w:rsidRPr="00D27D5E" w:rsidRDefault="0008757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87579" w:rsidRPr="00AA7FE7" w:rsidRDefault="00087579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087579" w:rsidRDefault="000875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7C" w:rsidRPr="00D3567C" w:rsidRDefault="00D3567C">
    <w:pPr>
      <w:pStyle w:val="Header"/>
    </w:pPr>
    <w:r>
      <w:t>CERD/C/IRL/Q/3-4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7C" w:rsidRPr="00D3567C" w:rsidRDefault="00D3567C" w:rsidP="00D3567C">
    <w:pPr>
      <w:pStyle w:val="Header"/>
      <w:jc w:val="right"/>
    </w:pPr>
    <w:r>
      <w:t>CERD/C/IRL/Q/3-4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966"/>
    <w:rsid w:val="0001104B"/>
    <w:rsid w:val="00016AC5"/>
    <w:rsid w:val="00054609"/>
    <w:rsid w:val="00087579"/>
    <w:rsid w:val="000A6F55"/>
    <w:rsid w:val="000A7F3D"/>
    <w:rsid w:val="000E7307"/>
    <w:rsid w:val="000E7579"/>
    <w:rsid w:val="000F41F2"/>
    <w:rsid w:val="00103FA5"/>
    <w:rsid w:val="001124E0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2891"/>
    <w:rsid w:val="00225A8C"/>
    <w:rsid w:val="002626D4"/>
    <w:rsid w:val="002659F1"/>
    <w:rsid w:val="00265CD7"/>
    <w:rsid w:val="00287E79"/>
    <w:rsid w:val="002928F9"/>
    <w:rsid w:val="002A4E3F"/>
    <w:rsid w:val="002A5D07"/>
    <w:rsid w:val="002D1966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4159D0"/>
    <w:rsid w:val="00472145"/>
    <w:rsid w:val="004958FD"/>
    <w:rsid w:val="00540389"/>
    <w:rsid w:val="00543D5E"/>
    <w:rsid w:val="00571F41"/>
    <w:rsid w:val="00593658"/>
    <w:rsid w:val="00597B14"/>
    <w:rsid w:val="005E5D1F"/>
    <w:rsid w:val="006034FC"/>
    <w:rsid w:val="00611D43"/>
    <w:rsid w:val="00612D48"/>
    <w:rsid w:val="00616B45"/>
    <w:rsid w:val="00630D9B"/>
    <w:rsid w:val="00631953"/>
    <w:rsid w:val="006439EC"/>
    <w:rsid w:val="0065337F"/>
    <w:rsid w:val="00657120"/>
    <w:rsid w:val="00657F63"/>
    <w:rsid w:val="00693E16"/>
    <w:rsid w:val="006B4590"/>
    <w:rsid w:val="006C340C"/>
    <w:rsid w:val="006C616B"/>
    <w:rsid w:val="006D7B0B"/>
    <w:rsid w:val="006E6AE5"/>
    <w:rsid w:val="006E79F6"/>
    <w:rsid w:val="006F39E4"/>
    <w:rsid w:val="0070347C"/>
    <w:rsid w:val="007176C1"/>
    <w:rsid w:val="0071781C"/>
    <w:rsid w:val="007231EF"/>
    <w:rsid w:val="0078670C"/>
    <w:rsid w:val="007F55CB"/>
    <w:rsid w:val="00844750"/>
    <w:rsid w:val="008B44C4"/>
    <w:rsid w:val="008D2259"/>
    <w:rsid w:val="008E7FAE"/>
    <w:rsid w:val="00911BF7"/>
    <w:rsid w:val="00977EC8"/>
    <w:rsid w:val="009B4E9C"/>
    <w:rsid w:val="009C17F5"/>
    <w:rsid w:val="009C1A5B"/>
    <w:rsid w:val="009D3A8C"/>
    <w:rsid w:val="009E7956"/>
    <w:rsid w:val="00A2492E"/>
    <w:rsid w:val="00A375C2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7522D"/>
    <w:rsid w:val="00BF0556"/>
    <w:rsid w:val="00C03431"/>
    <w:rsid w:val="00C261F8"/>
    <w:rsid w:val="00C33100"/>
    <w:rsid w:val="00CD1A71"/>
    <w:rsid w:val="00CD1FBB"/>
    <w:rsid w:val="00D00323"/>
    <w:rsid w:val="00D016B5"/>
    <w:rsid w:val="00D034F1"/>
    <w:rsid w:val="00D278FE"/>
    <w:rsid w:val="00D27D5E"/>
    <w:rsid w:val="00D3567C"/>
    <w:rsid w:val="00D37345"/>
    <w:rsid w:val="00DC156C"/>
    <w:rsid w:val="00DD16D0"/>
    <w:rsid w:val="00DE6D90"/>
    <w:rsid w:val="00DF002F"/>
    <w:rsid w:val="00E0244D"/>
    <w:rsid w:val="00E119A0"/>
    <w:rsid w:val="00E1348A"/>
    <w:rsid w:val="00E42D5E"/>
    <w:rsid w:val="00E81E94"/>
    <w:rsid w:val="00E82607"/>
    <w:rsid w:val="00E8690C"/>
    <w:rsid w:val="00EC5A42"/>
    <w:rsid w:val="00F04BBF"/>
    <w:rsid w:val="00F63BC6"/>
    <w:rsid w:val="00F9732B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paragraph" w:customStyle="1" w:styleId="Paragraphedeliste">
    <w:name w:val="Paragraphe de liste"/>
    <w:basedOn w:val="Normal"/>
    <w:qFormat/>
    <w:rsid w:val="00DD16D0"/>
    <w:pPr>
      <w:suppressAutoHyphens w:val="0"/>
      <w:spacing w:line="240" w:lineRule="auto"/>
      <w:ind w:left="720"/>
      <w:contextualSpacing/>
    </w:pPr>
    <w:rPr>
      <w:rFonts w:ascii="Cambria" w:eastAsia="Cambria" w:hAnsi="Cambria"/>
      <w:szCs w:val="24"/>
      <w:lang w:val="fr-FR"/>
    </w:rPr>
  </w:style>
  <w:style w:type="table" w:styleId="TableGrid">
    <w:name w:val="Table Grid"/>
    <w:basedOn w:val="TableNormal"/>
    <w:rsid w:val="009B4E9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1176</Words>
  <Characters>6545</Characters>
  <Application>Microsoft Office Word</Application>
  <DocSecurity>4</DocSecurity>
  <Lines>114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CERD/C/IRL/Q/3-4</vt:lpstr>
    </vt:vector>
  </TitlesOfParts>
  <Company>CSD</Company>
  <LinksUpToDate>false</LinksUpToDate>
  <CharactersWithSpaces>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CERD/C/IRL/Q/3-4</dc:title>
  <dc:subject>FINAL</dc:subject>
  <dc:creator>LAMY</dc:creator>
  <cp:keywords/>
  <dc:description/>
  <cp:lastModifiedBy>VIGNY</cp:lastModifiedBy>
  <cp:revision>2</cp:revision>
  <cp:lastPrinted>2011-02-09T11:05:00Z</cp:lastPrinted>
  <dcterms:created xsi:type="dcterms:W3CDTF">2011-02-09T14:12:00Z</dcterms:created>
  <dcterms:modified xsi:type="dcterms:W3CDTF">2011-02-09T14:12:00Z</dcterms:modified>
</cp:coreProperties>
</file>