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CC0096">
                <w:t>C/SR.2105</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CC0096">
              <w:rPr>
                <w:sz w:val="20"/>
                <w:lang w:val="en-US"/>
              </w:rPr>
              <w:fldChar w:fldCharType="separate"/>
            </w:r>
            <w:r w:rsidR="00CC0096">
              <w:rPr>
                <w:sz w:val="20"/>
                <w:lang w:val="en-US"/>
              </w:rPr>
              <w:t>05 January</w:t>
            </w:r>
            <w:r w:rsidRPr="00D65A62">
              <w:rPr>
                <w:sz w:val="20"/>
                <w:lang w:val="en-US"/>
              </w:rPr>
              <w:fldChar w:fldCharType="end"/>
            </w:r>
            <w:r w:rsidR="00CC0096">
              <w:rPr>
                <w:sz w:val="20"/>
                <w:lang w:val="en-US"/>
              </w:rPr>
              <w:t xml:space="preserve"> 2012</w:t>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B83EBA" w:rsidRPr="00CC0096">
              <w:rPr>
                <w:sz w:val="20"/>
              </w:rPr>
            </w:r>
            <w:r w:rsidRPr="00D65A62">
              <w:rPr>
                <w:sz w:val="20"/>
              </w:rPr>
              <w:fldChar w:fldCharType="end"/>
            </w:r>
            <w:bookmarkEnd w:id="1"/>
          </w:p>
          <w:p w:rsidR="007511D7" w:rsidRPr="00635870" w:rsidRDefault="007511D7" w:rsidP="002B43B0"/>
        </w:tc>
      </w:tr>
    </w:tbl>
    <w:p w:rsidR="00637557" w:rsidRPr="00E459A6" w:rsidRDefault="00637557" w:rsidP="00637557">
      <w:pPr>
        <w:spacing w:before="120"/>
        <w:rPr>
          <w:b/>
          <w:sz w:val="24"/>
          <w:szCs w:val="24"/>
        </w:rPr>
      </w:pPr>
      <w:r w:rsidRPr="00E459A6">
        <w:rPr>
          <w:b/>
          <w:sz w:val="24"/>
          <w:szCs w:val="24"/>
        </w:rPr>
        <w:t>Комитет по ликвидации расовой дискриминации</w:t>
      </w:r>
    </w:p>
    <w:p w:rsidR="00637557" w:rsidRPr="00E459A6" w:rsidRDefault="00637557" w:rsidP="00637557">
      <w:pPr>
        <w:rPr>
          <w:b/>
        </w:rPr>
      </w:pPr>
      <w:r w:rsidRPr="00E459A6">
        <w:rPr>
          <w:b/>
        </w:rPr>
        <w:t xml:space="preserve">Семьдесят </w:t>
      </w:r>
      <w:r>
        <w:rPr>
          <w:b/>
        </w:rPr>
        <w:t>девятая</w:t>
      </w:r>
      <w:r w:rsidRPr="00E459A6">
        <w:rPr>
          <w:b/>
        </w:rPr>
        <w:t xml:space="preserve"> сессия</w:t>
      </w:r>
    </w:p>
    <w:p w:rsidR="00637557" w:rsidRPr="00E459A6" w:rsidRDefault="00637557" w:rsidP="00637557">
      <w:pPr>
        <w:spacing w:before="120"/>
        <w:rPr>
          <w:b/>
        </w:rPr>
      </w:pPr>
      <w:r w:rsidRPr="00E459A6">
        <w:rPr>
          <w:b/>
        </w:rPr>
        <w:t xml:space="preserve">Краткий отчет о </w:t>
      </w:r>
      <w:r>
        <w:rPr>
          <w:b/>
        </w:rPr>
        <w:t>2105</w:t>
      </w:r>
      <w:r w:rsidRPr="00E459A6">
        <w:rPr>
          <w:b/>
        </w:rPr>
        <w:t>-м заседании,</w:t>
      </w:r>
    </w:p>
    <w:p w:rsidR="00637557" w:rsidRDefault="00637557" w:rsidP="00637557">
      <w:r>
        <w:t>состоявшемся во Дворце Вильсона в Женеве</w:t>
      </w:r>
      <w:r>
        <w:br/>
        <w:t>в четверг, 18 августа 2011 года, в 10 ч. 00 м.</w:t>
      </w:r>
    </w:p>
    <w:p w:rsidR="00637557" w:rsidRDefault="00637557" w:rsidP="00637557">
      <w:pPr>
        <w:spacing w:before="120"/>
      </w:pPr>
      <w:r w:rsidRPr="00E459A6">
        <w:rPr>
          <w:i/>
        </w:rPr>
        <w:t>Председатель</w:t>
      </w:r>
      <w:r w:rsidR="002E2AC8">
        <w:t>:</w:t>
      </w:r>
      <w:r w:rsidR="002E2AC8">
        <w:rPr>
          <w:lang w:val="en-US"/>
        </w:rPr>
        <w:tab/>
      </w:r>
      <w:r w:rsidRPr="00637557">
        <w:t>г</w:t>
      </w:r>
      <w:r>
        <w:t>-н Кемаль</w:t>
      </w:r>
    </w:p>
    <w:p w:rsidR="00637557" w:rsidRDefault="00637557" w:rsidP="00637557">
      <w:pPr>
        <w:suppressAutoHyphens/>
        <w:spacing w:before="360" w:after="240"/>
        <w:rPr>
          <w:sz w:val="28"/>
        </w:rPr>
      </w:pPr>
      <w:r>
        <w:rPr>
          <w:sz w:val="28"/>
        </w:rPr>
        <w:t>Содержание</w:t>
      </w:r>
    </w:p>
    <w:p w:rsidR="00637557" w:rsidRDefault="00637557" w:rsidP="00637557">
      <w:pPr>
        <w:pStyle w:val="SingleTxtGR"/>
      </w:pPr>
      <w:r>
        <w:t>Рассмотрение докладов, замечаний и информации, представляемых государс</w:t>
      </w:r>
      <w:r>
        <w:t>т</w:t>
      </w:r>
      <w:r>
        <w:t>вами-участниками в соответствии со статьей 9 Конвенции (</w:t>
      </w:r>
      <w:r>
        <w:rPr>
          <w:i/>
        </w:rPr>
        <w:t>продолжение</w:t>
      </w:r>
      <w:r>
        <w:t>)</w:t>
      </w:r>
    </w:p>
    <w:p w:rsidR="00637557" w:rsidRPr="000C25A8" w:rsidRDefault="00637557" w:rsidP="00A61125">
      <w:pPr>
        <w:pStyle w:val="SingleTxtGR"/>
        <w:ind w:left="1701" w:hanging="567"/>
        <w:jc w:val="left"/>
      </w:pPr>
      <w:r>
        <w:tab/>
      </w:r>
      <w:r>
        <w:rPr>
          <w:i/>
        </w:rPr>
        <w:t xml:space="preserve">Девятнадцатый − двадцать первый </w:t>
      </w:r>
      <w:r w:rsidRPr="00003168">
        <w:rPr>
          <w:i/>
        </w:rPr>
        <w:t>периодически</w:t>
      </w:r>
      <w:r>
        <w:rPr>
          <w:i/>
        </w:rPr>
        <w:t>е</w:t>
      </w:r>
      <w:r w:rsidRPr="00003168">
        <w:rPr>
          <w:i/>
        </w:rPr>
        <w:t xml:space="preserve"> доклад</w:t>
      </w:r>
      <w:r>
        <w:rPr>
          <w:i/>
        </w:rPr>
        <w:t>ы</w:t>
      </w:r>
      <w:r w:rsidRPr="00003168">
        <w:rPr>
          <w:i/>
        </w:rPr>
        <w:t xml:space="preserve"> </w:t>
      </w:r>
      <w:r>
        <w:rPr>
          <w:i/>
        </w:rPr>
        <w:t xml:space="preserve">Украины </w:t>
      </w:r>
      <w:r w:rsidRPr="000C25A8">
        <w:t>(продолжение)</w:t>
      </w:r>
    </w:p>
    <w:p w:rsidR="00637557" w:rsidRPr="00AC6D2B" w:rsidRDefault="00637557" w:rsidP="00637557">
      <w:pPr>
        <w:pStyle w:val="SingleTxtGR"/>
        <w:pageBreakBefore/>
        <w:rPr>
          <w:i/>
        </w:rPr>
      </w:pPr>
      <w:r w:rsidRPr="00AC6D2B">
        <w:rPr>
          <w:i/>
        </w:rPr>
        <w:t>Заседание открывается в 10 ч. 10 м.</w:t>
      </w:r>
    </w:p>
    <w:p w:rsidR="00637557" w:rsidRPr="00003168" w:rsidRDefault="00637557" w:rsidP="00637557">
      <w:pPr>
        <w:pStyle w:val="SingleTxtGR"/>
        <w:jc w:val="left"/>
      </w:pPr>
      <w:r w:rsidRPr="003D7257">
        <w:rPr>
          <w:rStyle w:val="H23GR"/>
        </w:rPr>
        <w:t xml:space="preserve">Рассмотрение докладов, </w:t>
      </w:r>
      <w:r w:rsidRPr="002D2832">
        <w:rPr>
          <w:b/>
        </w:rPr>
        <w:t>замечаний</w:t>
      </w:r>
      <w:r w:rsidRPr="003D7257">
        <w:rPr>
          <w:rStyle w:val="H23GR"/>
        </w:rPr>
        <w:t xml:space="preserve"> и информации, представляемых </w:t>
      </w:r>
      <w:r>
        <w:rPr>
          <w:rStyle w:val="H23GR"/>
        </w:rPr>
        <w:br/>
      </w:r>
      <w:r w:rsidRPr="003D7257">
        <w:rPr>
          <w:rStyle w:val="H23GR"/>
        </w:rPr>
        <w:t>г</w:t>
      </w:r>
      <w:r w:rsidRPr="003D7257">
        <w:rPr>
          <w:rStyle w:val="H23GR"/>
        </w:rPr>
        <w:t>о</w:t>
      </w:r>
      <w:r w:rsidRPr="003D7257">
        <w:rPr>
          <w:rStyle w:val="H23GR"/>
        </w:rPr>
        <w:t>сударствами-участниками в соответствии со статьей 9 Конвенции</w:t>
      </w:r>
      <w:r>
        <w:rPr>
          <w:rStyle w:val="H23GR"/>
        </w:rPr>
        <w:t xml:space="preserve"> </w:t>
      </w:r>
      <w:r>
        <w:rPr>
          <w:rStyle w:val="H23GR"/>
        </w:rPr>
        <w:br/>
      </w:r>
      <w:r w:rsidRPr="00003168">
        <w:t>(</w:t>
      </w:r>
      <w:r w:rsidRPr="00003168">
        <w:rPr>
          <w:i/>
        </w:rPr>
        <w:t>продо</w:t>
      </w:r>
      <w:r w:rsidRPr="00003168">
        <w:rPr>
          <w:i/>
        </w:rPr>
        <w:t>л</w:t>
      </w:r>
      <w:r w:rsidRPr="00003168">
        <w:rPr>
          <w:i/>
        </w:rPr>
        <w:t>жение</w:t>
      </w:r>
      <w:r w:rsidRPr="00003168">
        <w:t>)</w:t>
      </w:r>
    </w:p>
    <w:p w:rsidR="00637557" w:rsidRPr="000C25A8" w:rsidRDefault="00637557" w:rsidP="00637557">
      <w:pPr>
        <w:pStyle w:val="SingleTxtGR"/>
        <w:jc w:val="left"/>
      </w:pPr>
      <w:r>
        <w:rPr>
          <w:i/>
        </w:rPr>
        <w:t xml:space="preserve">Девятнадцатый − двадцать первый </w:t>
      </w:r>
      <w:r w:rsidRPr="00003168">
        <w:rPr>
          <w:i/>
        </w:rPr>
        <w:t>периодически</w:t>
      </w:r>
      <w:r>
        <w:rPr>
          <w:i/>
        </w:rPr>
        <w:t>е</w:t>
      </w:r>
      <w:r w:rsidRPr="00003168">
        <w:rPr>
          <w:i/>
        </w:rPr>
        <w:t xml:space="preserve"> доклад</w:t>
      </w:r>
      <w:r>
        <w:rPr>
          <w:i/>
        </w:rPr>
        <w:t>ы</w:t>
      </w:r>
      <w:r w:rsidRPr="00003168">
        <w:rPr>
          <w:i/>
        </w:rPr>
        <w:t xml:space="preserve"> </w:t>
      </w:r>
      <w:r>
        <w:rPr>
          <w:i/>
        </w:rPr>
        <w:t xml:space="preserve">Украины </w:t>
      </w:r>
      <w:r>
        <w:rPr>
          <w:i/>
        </w:rPr>
        <w:br/>
      </w:r>
      <w:r w:rsidRPr="000C25A8">
        <w:t>(пр</w:t>
      </w:r>
      <w:r w:rsidRPr="000C25A8">
        <w:t>о</w:t>
      </w:r>
      <w:r w:rsidRPr="000C25A8">
        <w:t>должение)</w:t>
      </w:r>
    </w:p>
    <w:p w:rsidR="00637557" w:rsidRPr="00003168" w:rsidRDefault="00637557" w:rsidP="00637557">
      <w:pPr>
        <w:pStyle w:val="SingleTxtGR"/>
        <w:rPr>
          <w:i/>
        </w:rPr>
      </w:pPr>
      <w:r w:rsidRPr="00003168">
        <w:t>1.</w:t>
      </w:r>
      <w:r w:rsidRPr="00003168">
        <w:tab/>
      </w:r>
      <w:r w:rsidRPr="00003168">
        <w:rPr>
          <w:i/>
        </w:rPr>
        <w:t xml:space="preserve">По приглашению </w:t>
      </w:r>
      <w:r>
        <w:rPr>
          <w:i/>
        </w:rPr>
        <w:t>П</w:t>
      </w:r>
      <w:r w:rsidRPr="00003168">
        <w:rPr>
          <w:i/>
        </w:rPr>
        <w:t xml:space="preserve">редседателя члены делегации </w:t>
      </w:r>
      <w:r>
        <w:rPr>
          <w:i/>
        </w:rPr>
        <w:t>Украины</w:t>
      </w:r>
      <w:r w:rsidRPr="00320A6C">
        <w:rPr>
          <w:i/>
        </w:rPr>
        <w:t xml:space="preserve"> </w:t>
      </w:r>
      <w:r w:rsidRPr="00003168">
        <w:rPr>
          <w:i/>
        </w:rPr>
        <w:t>занимают места за столом Комитета.</w:t>
      </w:r>
    </w:p>
    <w:p w:rsidR="00637557" w:rsidRPr="00AC6D2B" w:rsidRDefault="00637557" w:rsidP="00637557">
      <w:pPr>
        <w:pStyle w:val="SingleTxtGR"/>
      </w:pPr>
      <w:r w:rsidRPr="00003168">
        <w:t>2.</w:t>
      </w:r>
      <w:r w:rsidRPr="00003168">
        <w:tab/>
      </w:r>
      <w:r w:rsidRPr="00003168">
        <w:rPr>
          <w:b/>
        </w:rPr>
        <w:t xml:space="preserve">Г-н </w:t>
      </w:r>
      <w:r>
        <w:rPr>
          <w:b/>
        </w:rPr>
        <w:t>Юрьев</w:t>
      </w:r>
      <w:r>
        <w:t xml:space="preserve"> (Украина), отвечая на вопрос, затронутый на предыдущем з</w:t>
      </w:r>
      <w:r>
        <w:t>а</w:t>
      </w:r>
      <w:r>
        <w:t>седании, говорит, что недостаточно четкое определение мандатов центральных исполнительных органов, отвечающих за борьбу с расовой дискриминацией, привело к определенному дублированию функций. Поэтому Президент ин</w:t>
      </w:r>
      <w:r>
        <w:t>и</w:t>
      </w:r>
      <w:r>
        <w:t>циировал административную реформу, которая началась в декабре 2010 года и продолжается до сих пор. В рамках новой структуры ответственность за обе</w:t>
      </w:r>
      <w:r>
        <w:t>с</w:t>
      </w:r>
      <w:r>
        <w:t>печение прав религиозных меньшинств передана от Государственного комитета по делам национальностей и религий в Министерство культуры и туризма. В</w:t>
      </w:r>
      <w:r>
        <w:t>о</w:t>
      </w:r>
      <w:r>
        <w:t>просы, связанные с защитой прав беженцев и просителей убежища, были пер</w:t>
      </w:r>
      <w:r>
        <w:t>е</w:t>
      </w:r>
      <w:r>
        <w:t>даны в ведение Государственного департамента по делам гражданства, мигр</w:t>
      </w:r>
      <w:r>
        <w:t>а</w:t>
      </w:r>
      <w:r>
        <w:t>ции и регистрации физических лиц. Первый этап реформы был завершен с п</w:t>
      </w:r>
      <w:r>
        <w:t>е</w:t>
      </w:r>
      <w:r>
        <w:t>рестройкой центральных исполнительных ор</w:t>
      </w:r>
      <w:r w:rsidR="002E2AC8">
        <w:t>ганов. Сейчас идет второй этап,</w:t>
      </w:r>
      <w:r w:rsidR="002E2AC8" w:rsidRPr="002E2AC8">
        <w:br/>
      </w:r>
      <w:r>
        <w:t>в ходе которого основное внимание уделяется местным органам власти.</w:t>
      </w:r>
    </w:p>
    <w:p w:rsidR="00637557" w:rsidRDefault="00637557" w:rsidP="00637557">
      <w:pPr>
        <w:pStyle w:val="SingleTxtGR"/>
      </w:pPr>
      <w:r w:rsidRPr="00003168">
        <w:t>3.</w:t>
      </w:r>
      <w:r w:rsidRPr="00003168">
        <w:tab/>
      </w:r>
      <w:r>
        <w:t>До декабря 2010 года деятельностью Межведомственной рабочей группы по вопросам противодействия ксенофобии, межэтнической и расовой нетерп</w:t>
      </w:r>
      <w:r>
        <w:t>и</w:t>
      </w:r>
      <w:r>
        <w:t>мости руководил Государственный комитет по делам национальностей и рел</w:t>
      </w:r>
      <w:r>
        <w:t>и</w:t>
      </w:r>
      <w:r>
        <w:t>гий. Мандат Рабочей группы был продлен до 2012 года, и было предложено, чтобы эта Группа продолжала свою деятельность под эгидой Министерства культуры и туризма. Предлагалось также создать отдельный орган; предусма</w:t>
      </w:r>
      <w:r>
        <w:t>т</w:t>
      </w:r>
      <w:r>
        <w:t>ривается возможность того, что в законопроекте по борьбе с дискриминацией будет определен орган, который возьмет на себя функции этой Рабочей группы. Группа добилась позитивных результатов, обеспечивая эффективную координ</w:t>
      </w:r>
      <w:r>
        <w:t>а</w:t>
      </w:r>
      <w:r>
        <w:t>цию усилий государственных ведомств и неправительственных организаций (НПО) в деле борьбы с ксенофобией и межэтнической и расовой нетерпим</w:t>
      </w:r>
      <w:r>
        <w:t>о</w:t>
      </w:r>
      <w:r>
        <w:t xml:space="preserve">стью. </w:t>
      </w:r>
    </w:p>
    <w:p w:rsidR="00637557" w:rsidRDefault="002E2AC8" w:rsidP="00637557">
      <w:pPr>
        <w:pStyle w:val="SingleTxtGR"/>
      </w:pPr>
      <w:r>
        <w:t>4.</w:t>
      </w:r>
      <w:r>
        <w:tab/>
        <w:t>В пунктах 49</w:t>
      </w:r>
      <w:r w:rsidRPr="002E2AC8">
        <w:t>−</w:t>
      </w:r>
      <w:r w:rsidR="00637557">
        <w:t>55 периодического доклада (CERD/C/UKR/19–21) соде</w:t>
      </w:r>
      <w:r w:rsidR="00637557">
        <w:t>р</w:t>
      </w:r>
      <w:r w:rsidR="00637557">
        <w:t>жится информация о принимаемых законодательных мерах по искоренению подстрекательства к расовой дискриминации или самих актов расовой дискр</w:t>
      </w:r>
      <w:r w:rsidR="00637557">
        <w:t>и</w:t>
      </w:r>
      <w:r w:rsidR="00637557">
        <w:t>минации, прежде всего о статье 24 Конституции и статье 161 Уголовного коде</w:t>
      </w:r>
      <w:r w:rsidR="00637557">
        <w:t>к</w:t>
      </w:r>
      <w:r w:rsidR="00637557">
        <w:t>са. В пункте 9 доклада перечислены другие нормативно-правовые акты, кот</w:t>
      </w:r>
      <w:r w:rsidR="00637557">
        <w:t>о</w:t>
      </w:r>
      <w:r w:rsidR="00637557">
        <w:t>рые запрещают расовую дискриминацию, в частности Закон о местных органах власти, Закон о печатных средствах массовой информации (печати) в Украине, Закон о телевидении и радиовещании, Закон об информации и Закон о свободе совести и религиозных организациях. В мае 2011 года Президент поручил М</w:t>
      </w:r>
      <w:r w:rsidR="00637557">
        <w:t>и</w:t>
      </w:r>
      <w:r w:rsidR="00637557">
        <w:t>нистерству юстиции выработать стратегию по борьбе с расовой дискриминац</w:t>
      </w:r>
      <w:r w:rsidR="00637557">
        <w:t>и</w:t>
      </w:r>
      <w:r w:rsidR="00637557">
        <w:t>ей. В ходе подготовки стратегии стало очевидным, что требуются поправки к законодательству, включая принятие законопроекта о борьбе с дискриминацией. Как только Президент утвердит стратегию по борьбе с расовой дискриминац</w:t>
      </w:r>
      <w:r w:rsidR="00637557">
        <w:t>и</w:t>
      </w:r>
      <w:r w:rsidR="00637557">
        <w:t>ей, Министерство юстиции сможет завершить работу над антидискриминац</w:t>
      </w:r>
      <w:r w:rsidR="00637557">
        <w:t>и</w:t>
      </w:r>
      <w:r w:rsidR="00637557">
        <w:t>онным законопроектом.</w:t>
      </w:r>
    </w:p>
    <w:p w:rsidR="00637557" w:rsidRDefault="00637557" w:rsidP="002E2AC8">
      <w:pPr>
        <w:pStyle w:val="SingleTxtGR"/>
        <w:pageBreakBefore/>
      </w:pPr>
      <w:r>
        <w:t>5.</w:t>
      </w:r>
      <w:r>
        <w:tab/>
      </w:r>
      <w:r>
        <w:rPr>
          <w:b/>
        </w:rPr>
        <w:t>Г-жа Шпиняк</w:t>
      </w:r>
      <w:r>
        <w:t xml:space="preserve"> (Украина), также отвечая на вопросы, затронутые на пр</w:t>
      </w:r>
      <w:r>
        <w:t>е</w:t>
      </w:r>
      <w:r>
        <w:t>дыдущем заседании, говорит, что в декабре 2011 года была создана Государс</w:t>
      </w:r>
      <w:r>
        <w:t>т</w:t>
      </w:r>
      <w:r>
        <w:t>венная миграционная служба в целях создания механизма по регулированию миграционных потоков. Миграционная служба отвечает за проведение полит</w:t>
      </w:r>
      <w:r>
        <w:t>и</w:t>
      </w:r>
      <w:r>
        <w:t>ки в области эмиграции и иммиграции, включая борьбу с незаконной иммигр</w:t>
      </w:r>
      <w:r>
        <w:t>а</w:t>
      </w:r>
      <w:r>
        <w:t>цией и всеми вопросами, связанными с гражданством, регистрацией, беженц</w:t>
      </w:r>
      <w:r>
        <w:t>а</w:t>
      </w:r>
      <w:r>
        <w:t>ми и другими мигрантами. На сегодняшний день Служба ведет целенаправле</w:t>
      </w:r>
      <w:r>
        <w:t>н</w:t>
      </w:r>
      <w:r>
        <w:t>ную работу по разработке законодательства и созданию соответствующих у</w:t>
      </w:r>
      <w:r>
        <w:t>ч</w:t>
      </w:r>
      <w:r>
        <w:t>реждений. В мае 2011 года была принята Государственная концепция миграц</w:t>
      </w:r>
      <w:r>
        <w:t>и</w:t>
      </w:r>
      <w:r>
        <w:t>онной политики в целях эффективного регулирования миграционных проце</w:t>
      </w:r>
      <w:r>
        <w:t>с</w:t>
      </w:r>
      <w:r>
        <w:t>сов. Управление Верховного комиссара Организации Объединенных Наций по делам беженцев (УВКБ) провело семинары для обучения сотрудников миграц</w:t>
      </w:r>
      <w:r>
        <w:t>и</w:t>
      </w:r>
      <w:r>
        <w:t>онной службы и оказания им содействия в подготовке рекомендаций и инстру</w:t>
      </w:r>
      <w:r>
        <w:t>к</w:t>
      </w:r>
      <w:r>
        <w:t>ций для внутреннего пользования. Многие сотрудники, которые ранее работали в службе по делам беженцев при Государственном комитете по делам наци</w:t>
      </w:r>
      <w:r>
        <w:t>о</w:t>
      </w:r>
      <w:r>
        <w:t>нальностей и религий, также приняли участие в учебных курсах, в частности проводимых Международным центром развития миграционной политики. Гос</w:t>
      </w:r>
      <w:r>
        <w:t>у</w:t>
      </w:r>
      <w:r>
        <w:t>дарственная миграционная служба принимает также участие в реализации пр</w:t>
      </w:r>
      <w:r>
        <w:t>о</w:t>
      </w:r>
      <w:r>
        <w:t xml:space="preserve">екта </w:t>
      </w:r>
      <w:r w:rsidRPr="0012180D">
        <w:rPr>
          <w:i/>
        </w:rPr>
        <w:t xml:space="preserve">Twinning </w:t>
      </w:r>
      <w:r>
        <w:t>при поддержке Европейского союза, предусматривающего разв</w:t>
      </w:r>
      <w:r>
        <w:t>и</w:t>
      </w:r>
      <w:r>
        <w:t>тие институциональных возможностей в сфере миграции. В рамках этого пр</w:t>
      </w:r>
      <w:r>
        <w:t>о</w:t>
      </w:r>
      <w:r>
        <w:t>екта сотрудники Службы будут иметь возможность повысить свою квалифик</w:t>
      </w:r>
      <w:r>
        <w:t>а</w:t>
      </w:r>
      <w:r>
        <w:t>цию.</w:t>
      </w:r>
    </w:p>
    <w:p w:rsidR="00637557" w:rsidRDefault="00637557" w:rsidP="00637557">
      <w:pPr>
        <w:pStyle w:val="SingleTxtGR"/>
      </w:pPr>
      <w:r>
        <w:t>6.</w:t>
      </w:r>
      <w:r>
        <w:tab/>
        <w:t xml:space="preserve">Процедура предоставления статуса беженца существует с 1996 года. С тех пор политика была направлена на создание таких условий для просителей </w:t>
      </w:r>
      <w:r w:rsidRPr="0012180D">
        <w:t xml:space="preserve">убежища и беженцев, которые бы отвечали международным обязательствам </w:t>
      </w:r>
      <w:r>
        <w:t>У</w:t>
      </w:r>
      <w:r>
        <w:t>к</w:t>
      </w:r>
      <w:r>
        <w:t>раины. Важным достижением на этом пути стало принятие в июле 2011 года Закона о беженцах и лицах, которые нуждаются в дополнительной или време</w:t>
      </w:r>
      <w:r>
        <w:t>н</w:t>
      </w:r>
      <w:r>
        <w:t>ной защите в Украине. Государственная миграционная служба работает в те</w:t>
      </w:r>
      <w:r>
        <w:t>с</w:t>
      </w:r>
      <w:r>
        <w:t>ном взаимодействии с Государственной пограничной службой и подраздел</w:t>
      </w:r>
      <w:r>
        <w:t>е</w:t>
      </w:r>
      <w:r>
        <w:t>ниями Министерства внутренних дел, которые направляют лиц, ищущих защ</w:t>
      </w:r>
      <w:r>
        <w:t>и</w:t>
      </w:r>
      <w:r>
        <w:t>ту в Украине, в соответствующие органы по вопросам миграции. Разработана совместная инструкция для сотрудников правоохранительных органов и рабо</w:t>
      </w:r>
      <w:r>
        <w:t>т</w:t>
      </w:r>
      <w:r>
        <w:t>ников пограничной службы по вопросам работы с просителями убежища и л</w:t>
      </w:r>
      <w:r>
        <w:t>и</w:t>
      </w:r>
      <w:r>
        <w:t>цами, ходатайствующими о предоставлении статуса беженцев. За девять мес</w:t>
      </w:r>
      <w:r>
        <w:t>я</w:t>
      </w:r>
      <w:r>
        <w:t>цев 2010 года Пограничная служба передала 76 заявлений о предоставлении статуса беженца в региональные органы Миграционной службы, а 104 таких заявления были переданы через органы внутренних дел.</w:t>
      </w:r>
    </w:p>
    <w:p w:rsidR="00637557" w:rsidRDefault="00637557" w:rsidP="00637557">
      <w:pPr>
        <w:pStyle w:val="SingleTxtGR"/>
      </w:pPr>
      <w:r>
        <w:t>7.</w:t>
      </w:r>
      <w:r>
        <w:tab/>
        <w:t>С 2001 года действует двухступенчатая процедура определения статуса беженца. Сначала заявление поступает в территориальные органы Миграцио</w:t>
      </w:r>
      <w:r>
        <w:t>н</w:t>
      </w:r>
      <w:r>
        <w:t>ной службы, которые должны рассмотреть его в течение трех месяцев, в том числе провести собеседование с соответствующими лицами и провести анализ информации о положении в стране происхождения просителя убежища. Затем территориальные органы направляют свои рекомендации в головное подразд</w:t>
      </w:r>
      <w:r>
        <w:t>е</w:t>
      </w:r>
      <w:r>
        <w:t>ление Миграционной службы, где и принимается окончательное реше</w:t>
      </w:r>
      <w:r w:rsidR="002E2AC8">
        <w:t>ние</w:t>
      </w:r>
      <w:r w:rsidR="002E2AC8" w:rsidRPr="002E2AC8">
        <w:br/>
      </w:r>
      <w:r>
        <w:t>о предоставлении статуса беженца. Такая процедура оказалась оправданной, поскольку позволяет взвешенно и мотивированно оценивать заявления. Прос</w:t>
      </w:r>
      <w:r>
        <w:t>и</w:t>
      </w:r>
      <w:r>
        <w:t>тели убежища, которым было отказано в предоставлении статуса беженца, имеют право оспорить это решение в окружном административном суде по ме</w:t>
      </w:r>
      <w:r>
        <w:t>с</w:t>
      </w:r>
      <w:r>
        <w:t>ту жительства. Просителям предоставляются документы, которые обеспечив</w:t>
      </w:r>
      <w:r>
        <w:t>а</w:t>
      </w:r>
      <w:r>
        <w:t>ют их законный статус пребывания на территории Украины на протяжении всей пр</w:t>
      </w:r>
      <w:r>
        <w:t>о</w:t>
      </w:r>
      <w:r>
        <w:t xml:space="preserve">цедуры. </w:t>
      </w:r>
    </w:p>
    <w:p w:rsidR="00637557" w:rsidRDefault="00637557" w:rsidP="00637557">
      <w:pPr>
        <w:pStyle w:val="SingleTxtGR"/>
      </w:pPr>
      <w:r>
        <w:t>8.</w:t>
      </w:r>
      <w:r>
        <w:tab/>
        <w:t>Ежегодно рассматривается до 2 000 заявлений о предоставлении статуса беженца, и предполагается, что количество этих лиц возрастет с введением д</w:t>
      </w:r>
      <w:r>
        <w:t>о</w:t>
      </w:r>
      <w:r>
        <w:t>полнительных форм защиты. В двух пунктах временного размещения беженцев лица, которые ожидают принятия решения или которым был предоставлен ст</w:t>
      </w:r>
      <w:r>
        <w:t>а</w:t>
      </w:r>
      <w:r>
        <w:t>тус беженца, бесплатно обеспечиваются проживанием, питанием и медици</w:t>
      </w:r>
      <w:r>
        <w:t>н</w:t>
      </w:r>
      <w:r>
        <w:t>ским уходом, однако эти центры могут принять не более 340 человек. По этой причине преимущественное право при расселении предоставляется наиболее незащищенным категориям лиц. В Киевской области завершается реконстру</w:t>
      </w:r>
      <w:r>
        <w:t>к</w:t>
      </w:r>
      <w:r>
        <w:t>ция нового центра, который даст возможность обеспечить временным жильем около 200 человек. Из-за финансово-экономического кризиса работы по реко</w:t>
      </w:r>
      <w:r>
        <w:t>н</w:t>
      </w:r>
      <w:r>
        <w:t>струкции этого центра продвигаются медленно, однако бюджетные средства, выделенные на два других центра, не были урезаны. Ввиду того, что по состо</w:t>
      </w:r>
      <w:r>
        <w:t>я</w:t>
      </w:r>
      <w:r>
        <w:t>нию на 1 апреля 2011 года в Украине пребывало не менее 2 435 официально признанных беженцев, существует явная необходимость в дополнительных возможностях по их расселению. Местные органы власти и НПО создали базу данных об имеющемся жилье в Одесской области, и несколько семей беженцев согласились на переезд по программе интеграции в сельскую местность этого региона. Правительство планирует обратиться к международному сообществу за финансовой помощью в целях обеспечения дополнительного жилья для б</w:t>
      </w:r>
      <w:r>
        <w:t>е</w:t>
      </w:r>
      <w:r>
        <w:t xml:space="preserve">женцев и просителей убежища. </w:t>
      </w:r>
    </w:p>
    <w:p w:rsidR="00637557" w:rsidRDefault="00637557" w:rsidP="00637557">
      <w:pPr>
        <w:pStyle w:val="SingleTxtGR"/>
      </w:pPr>
      <w:r>
        <w:t>9.</w:t>
      </w:r>
      <w:r>
        <w:tab/>
        <w:t>Согласно украинскому законодательству через три года после получения статуса беженца человек имеет право на получение гражданства Украины. Г</w:t>
      </w:r>
      <w:r>
        <w:t>о</w:t>
      </w:r>
      <w:r>
        <w:t>сударство, со своей стороны, заинтересовано в успешной интеграции беженцев в общество в надежде на то, что в будущем они станут полноправными гражд</w:t>
      </w:r>
      <w:r>
        <w:t>а</w:t>
      </w:r>
      <w:r>
        <w:t>нами и будут принимать активное участие в жизни общества. Региональное представительство УВКБ оказывает значительную помощь интеграционным программам, прежде всего за счет организации языковых курсов. Дети беже</w:t>
      </w:r>
      <w:r>
        <w:t>н</w:t>
      </w:r>
      <w:r>
        <w:t>цев могут изучать украинский и английский языки, посещать компьютерные курсы в социальных центрах для беженцев, которые организуются НПО. Бол</w:t>
      </w:r>
      <w:r>
        <w:t>ь</w:t>
      </w:r>
      <w:r>
        <w:t>шинство детей беженцев посещают общеобразовательные школы; при необх</w:t>
      </w:r>
      <w:r>
        <w:t>о</w:t>
      </w:r>
      <w:r>
        <w:t>димости с ними работают школьные психологи и социальные педагоги в целях облегчения их интеграции. Новый закон о беженцах и лицах, которые нуждаю</w:t>
      </w:r>
      <w:r>
        <w:t>т</w:t>
      </w:r>
      <w:r>
        <w:t>ся в дополнительной или временной защите в Украине, гарантирует получение детьми статуса беженца одновременно с родителями.</w:t>
      </w:r>
    </w:p>
    <w:p w:rsidR="00637557" w:rsidRDefault="00637557" w:rsidP="00637557">
      <w:pPr>
        <w:pStyle w:val="SingleTxtGR"/>
      </w:pPr>
      <w:r>
        <w:t>10.</w:t>
      </w:r>
      <w:r>
        <w:tab/>
        <w:t>Возрастает число прибывающих в страну несовершеннолетних просит</w:t>
      </w:r>
      <w:r>
        <w:t>е</w:t>
      </w:r>
      <w:r>
        <w:t>лей убежища без сопровождения. С 2010 года Миграционная служба взаим</w:t>
      </w:r>
      <w:r>
        <w:t>о</w:t>
      </w:r>
      <w:r>
        <w:t>действует с Датским советом по делам беженцев в рамках проекта по обеспеч</w:t>
      </w:r>
      <w:r>
        <w:t>е</w:t>
      </w:r>
      <w:r>
        <w:t>нию правовой и социальной защиты детей-беженцев и детей, ищущих убеж</w:t>
      </w:r>
      <w:r>
        <w:t>и</w:t>
      </w:r>
      <w:r>
        <w:t>ща, в Украине. В Закарпатской области открыт центр приема и размещения н</w:t>
      </w:r>
      <w:r>
        <w:t>е</w:t>
      </w:r>
      <w:r>
        <w:t>совершеннолетних просителей убежища без сопровождения, рассчитанный на 30 человек. Он укомплектован квалифицированными психологами и социал</w:t>
      </w:r>
      <w:r>
        <w:t>ь</w:t>
      </w:r>
      <w:r>
        <w:t>ными педагогами. В настоящее время Миграционная служба разрабатывает межведомственную инструкцию по работе с несовершеннолетними просител</w:t>
      </w:r>
      <w:r>
        <w:t>я</w:t>
      </w:r>
      <w:r>
        <w:t>ми убежища в целях повышения координации соответствующих органов вл</w:t>
      </w:r>
      <w:r>
        <w:t>а</w:t>
      </w:r>
      <w:r>
        <w:t xml:space="preserve">сти. В Киеве осенью этого года будет проведена конференция по стандартам защиты несовершеннолетних просителей убежища без сопровождения в рамках председательства Украины в Комитете министров Совета Европы. </w:t>
      </w:r>
    </w:p>
    <w:p w:rsidR="00637557" w:rsidRDefault="00637557" w:rsidP="00637557">
      <w:pPr>
        <w:pStyle w:val="SingleTxtGR"/>
      </w:pPr>
      <w:r>
        <w:t>11.</w:t>
      </w:r>
      <w:r>
        <w:tab/>
        <w:t>Отвечая на вопросы, затронутые членами Комитета в отношении прож</w:t>
      </w:r>
      <w:r>
        <w:t>и</w:t>
      </w:r>
      <w:r>
        <w:t>вающих в Украине рома, она говорит, что единственным источником официал</w:t>
      </w:r>
      <w:r>
        <w:t>ь</w:t>
      </w:r>
      <w:r>
        <w:t>ной информации о численности национальных меньшинств в стране являются данные всеукраинской переписи населения 2001 года. По данным этой переп</w:t>
      </w:r>
      <w:r>
        <w:t>и</w:t>
      </w:r>
      <w:r>
        <w:t>си, в стране проживают 47 600 рома, что составляет 0,1% от всего населения страны, причем местами их наиболее компактного проживания являются Зака</w:t>
      </w:r>
      <w:r>
        <w:t>р</w:t>
      </w:r>
      <w:r>
        <w:t>патская, Донецкая и Одесская области.</w:t>
      </w:r>
    </w:p>
    <w:p w:rsidR="00637557" w:rsidRDefault="00637557" w:rsidP="00637557">
      <w:pPr>
        <w:pStyle w:val="SingleTxtGR"/>
      </w:pPr>
      <w:r>
        <w:t>12.</w:t>
      </w:r>
      <w:r>
        <w:tab/>
        <w:t>В целях создания благоприятных условий для изучения языка и культуры рома Министерство образования издало учебно-методические указания для преподавателей начальной и средней школы, которые, среди прочего, пред</w:t>
      </w:r>
      <w:r>
        <w:t>у</w:t>
      </w:r>
      <w:r>
        <w:t>сматривают изучение языка рома. Кроме того, язык рома преподается в трех субботних и воскресных школах в Донецкой и Одесской областях, а члены о</w:t>
      </w:r>
      <w:r>
        <w:t>б</w:t>
      </w:r>
      <w:r>
        <w:t>ластных культурно-просветительских обществ обучают детей рома их родному языку и культуре. В некоторых школах в Закарпатской области в программу также входит курс истории, культуры и быта народа рома. Кроме того, работн</w:t>
      </w:r>
      <w:r>
        <w:t>и</w:t>
      </w:r>
      <w:r>
        <w:t>ки сферы образования подготовили учебные программы, предусматривающие уроки истории меньшинства рома в целях обеспечения толерантного отношения к его представителям. Подготовлены также учебные материалы об истории х</w:t>
      </w:r>
      <w:r>
        <w:t>о</w:t>
      </w:r>
      <w:r>
        <w:t xml:space="preserve">локоста в отношении рома. </w:t>
      </w:r>
    </w:p>
    <w:p w:rsidR="00637557" w:rsidRDefault="00637557" w:rsidP="00637557">
      <w:pPr>
        <w:pStyle w:val="SingleTxtGR"/>
      </w:pPr>
      <w:r>
        <w:t>13.</w:t>
      </w:r>
      <w:r>
        <w:tab/>
        <w:t>Дети из числа рома обучаются вместе с детьми представителей других этнических групп. Однако дети рома часто пропускают занятия, а родители п</w:t>
      </w:r>
      <w:r>
        <w:t>о</w:t>
      </w:r>
      <w:r>
        <w:t>рой не проявляют должного внимания к их учебе. В частности, педагоги отм</w:t>
      </w:r>
      <w:r>
        <w:t>е</w:t>
      </w:r>
      <w:r>
        <w:t>чают, что родители таких детей не занимаются должной подготовкой детей к школе и дети рома начинают учебу в школе с ограниченным запасом слов или с трудом выражают свои мысли. Поэтому учителя должны уделять особое вн</w:t>
      </w:r>
      <w:r>
        <w:t>и</w:t>
      </w:r>
      <w:r>
        <w:t>мание таким детям, с тем чтобы помочь им легче освоиться в классе. Предпр</w:t>
      </w:r>
      <w:r>
        <w:t>и</w:t>
      </w:r>
      <w:r>
        <w:t>нимаются усилия и по более активному вовлечению их родителей в учебно-воспитательный процесс.</w:t>
      </w:r>
    </w:p>
    <w:p w:rsidR="00637557" w:rsidRDefault="00637557" w:rsidP="00637557">
      <w:pPr>
        <w:pStyle w:val="SingleTxtGR"/>
      </w:pPr>
      <w:r>
        <w:t>14.</w:t>
      </w:r>
      <w:r>
        <w:tab/>
        <w:t>Кроме того, для того чтобы помочь созданию для детей рома условий, способствующих нормальной учебе, украинские власти открыли учебные зав</w:t>
      </w:r>
      <w:r>
        <w:t>е</w:t>
      </w:r>
      <w:r>
        <w:t xml:space="preserve">дения с круглосуточным пребыванием детей, где они могут проживать в случае необходимости. </w:t>
      </w:r>
    </w:p>
    <w:p w:rsidR="00637557" w:rsidRDefault="00637557" w:rsidP="00637557">
      <w:pPr>
        <w:pStyle w:val="SingleTxtGR"/>
      </w:pPr>
      <w:r>
        <w:t>15.</w:t>
      </w:r>
      <w:r>
        <w:tab/>
        <w:t>Власти принимают меры для регистрации всех граждан Украины, в час</w:t>
      </w:r>
      <w:r>
        <w:t>т</w:t>
      </w:r>
      <w:r>
        <w:t>ности путем их паспортизации. В паспорт гражданина Украины не включена графа "национальность". Тем не менее, в ходе консультаций с руководителями групп рома было установлено, что в стране без документов проживают приме</w:t>
      </w:r>
      <w:r>
        <w:t>р</w:t>
      </w:r>
      <w:r>
        <w:t>но 2 800 представителей рома, включая значительное число детей.</w:t>
      </w:r>
    </w:p>
    <w:p w:rsidR="00637557" w:rsidRDefault="00637557" w:rsidP="00637557">
      <w:pPr>
        <w:pStyle w:val="SingleTxtGR"/>
      </w:pPr>
      <w:r>
        <w:t>16.</w:t>
      </w:r>
      <w:r>
        <w:tab/>
        <w:t>Государственная миграционная служба старается укреплять отношения сотрудничества с представителями меньшинства рома и будет продолжать свои усилия в целях предотвращения дискриминации в отношении этого и других меньшинств.</w:t>
      </w:r>
    </w:p>
    <w:p w:rsidR="00637557" w:rsidRDefault="00637557" w:rsidP="00637557">
      <w:pPr>
        <w:pStyle w:val="SingleTxtGR"/>
      </w:pPr>
      <w:r>
        <w:t>17.</w:t>
      </w:r>
      <w:r>
        <w:tab/>
        <w:t>В стране официально зарегистрировано 88 национально-культурных а</w:t>
      </w:r>
      <w:r>
        <w:t>с</w:t>
      </w:r>
      <w:r>
        <w:t>социаций рома, некоторые из которых сотрудничают с европейскими учрежд</w:t>
      </w:r>
      <w:r>
        <w:t>е</w:t>
      </w:r>
      <w:r>
        <w:t xml:space="preserve">ниями по вопросам рома в целях обеспечения полной реализации рома своих прав и решения конкретных проблем, стоящих перед их общинами. Кроме того, Украина планирует ряд мероприятий в рамках Плана действий Совета Европы относительно Украины. В их число входят меры по устранению стереотипов и предрассудков в отношении народа рома, расширению возможностей в области образования для меньшинства рома и содействию его социальной интеграции. </w:t>
      </w:r>
    </w:p>
    <w:p w:rsidR="00637557" w:rsidRDefault="00637557" w:rsidP="00637557">
      <w:pPr>
        <w:pStyle w:val="SingleTxtGR"/>
      </w:pPr>
      <w:r>
        <w:t>18.</w:t>
      </w:r>
      <w:r>
        <w:tab/>
        <w:t>История холокоста в отношении рома изучается в общеобразовательных школах Украины. Кроме того, проводятся мероприятия в память о жертвах х</w:t>
      </w:r>
      <w:r>
        <w:t>о</w:t>
      </w:r>
      <w:r>
        <w:t>локоста в отношении рома на государственном уровне, в том числе на террит</w:t>
      </w:r>
      <w:r>
        <w:t>о</w:t>
      </w:r>
      <w:r>
        <w:t>рии историко-мемориального заповедника "Бабий Яр". Помимо этого, поскол</w:t>
      </w:r>
      <w:r>
        <w:t>ь</w:t>
      </w:r>
      <w:r>
        <w:t>ку в 2011 году исполняется семидесятая годовщина трагедии "Бабьего Яра"</w:t>
      </w:r>
      <w:r w:rsidR="002E2AC8">
        <w:t>,</w:t>
      </w:r>
      <w:r w:rsidR="002E2AC8" w:rsidRPr="002E2AC8">
        <w:br/>
      </w:r>
      <w:r>
        <w:t>в общеобразовательных школах Украины будут проведены тематические восп</w:t>
      </w:r>
      <w:r>
        <w:t>и</w:t>
      </w:r>
      <w:r>
        <w:t>тательные уроки в соответствии с планом мероприятий, утвержденным кабин</w:t>
      </w:r>
      <w:r>
        <w:t>е</w:t>
      </w:r>
      <w:r>
        <w:t>том министров.</w:t>
      </w:r>
    </w:p>
    <w:p w:rsidR="00637557" w:rsidRDefault="00637557" w:rsidP="00637557">
      <w:pPr>
        <w:pStyle w:val="SingleTxtGR"/>
      </w:pPr>
      <w:r>
        <w:t>19.</w:t>
      </w:r>
      <w:r>
        <w:tab/>
      </w:r>
      <w:r>
        <w:rPr>
          <w:b/>
        </w:rPr>
        <w:t>Г-н Тихонов</w:t>
      </w:r>
      <w:r>
        <w:t xml:space="preserve"> (Украина), отвечая на вопросы членов Комитета в связи с нападениями на иностранцев в Украине, говорит, что как иностранцы, так и граждане Украины пользуются защитой в соответствии со статьей 161 Уголо</w:t>
      </w:r>
      <w:r>
        <w:t>в</w:t>
      </w:r>
      <w:r>
        <w:t>ного кодекса; таким образом, иностранцев, включая беженцев, можно рассма</w:t>
      </w:r>
      <w:r>
        <w:t>т</w:t>
      </w:r>
      <w:r>
        <w:t>ривать в качестве жертв нападений по признаку расы, гражданства или религ</w:t>
      </w:r>
      <w:r>
        <w:t>и</w:t>
      </w:r>
      <w:r>
        <w:t>озных убеждений.</w:t>
      </w:r>
    </w:p>
    <w:p w:rsidR="00637557" w:rsidRDefault="00637557" w:rsidP="00637557">
      <w:pPr>
        <w:pStyle w:val="SingleTxtGR"/>
      </w:pPr>
      <w:r>
        <w:t>20.</w:t>
      </w:r>
      <w:r>
        <w:tab/>
        <w:t>Как и в других европейских государствах, существуют экстремистские группы и радикальные организации, которые осуществляют нападения на пре</w:t>
      </w:r>
      <w:r>
        <w:t>д</w:t>
      </w:r>
      <w:r>
        <w:t xml:space="preserve">ставителей этнических меньшинств и иностранных студентов. Существуют также сайты в Интернете, которые пропагандируют неонацистскую идеологию. </w:t>
      </w:r>
    </w:p>
    <w:p w:rsidR="00637557" w:rsidRDefault="00637557" w:rsidP="00637557">
      <w:pPr>
        <w:pStyle w:val="SingleTxtGR"/>
      </w:pPr>
      <w:r>
        <w:t>21.</w:t>
      </w:r>
      <w:r>
        <w:tab/>
        <w:t>В целом, жители Украины весьма терпимы по отношению к другим гра</w:t>
      </w:r>
      <w:r>
        <w:t>ж</w:t>
      </w:r>
      <w:r>
        <w:t>данам. В то же время радикальные группы, включая Украинскую национальную ассамблею и организацию "Патриоты Украины", пытаются распространять пр</w:t>
      </w:r>
      <w:r>
        <w:t>а</w:t>
      </w:r>
      <w:r>
        <w:t>воэкстремистские взгляды. Министерство внутренних дел внимательно следит за этим явлением, и недавно создало подразделение по борьбе с преступлени</w:t>
      </w:r>
      <w:r>
        <w:t>я</w:t>
      </w:r>
      <w:r>
        <w:t>ми в сфере компьютерной информации. Это подразделение применяет совр</w:t>
      </w:r>
      <w:r>
        <w:t>е</w:t>
      </w:r>
      <w:r>
        <w:t>менные технологии для выявления лиц, занимающихся пропагандой этнической и расовой ненависти или отвергающих образ жизни, религию или верования некоторых общин. Украина также сотрудничает с правоохранительными орг</w:t>
      </w:r>
      <w:r>
        <w:t>а</w:t>
      </w:r>
      <w:r>
        <w:t>нами других стран в целях выявления групп, которые регистрируют такие ве</w:t>
      </w:r>
      <w:r>
        <w:t>б</w:t>
      </w:r>
      <w:r>
        <w:t>сайты за границей.</w:t>
      </w:r>
    </w:p>
    <w:p w:rsidR="00637557" w:rsidRDefault="00637557" w:rsidP="00637557">
      <w:pPr>
        <w:pStyle w:val="SingleTxtGR"/>
      </w:pPr>
      <w:r>
        <w:t>22.</w:t>
      </w:r>
      <w:r>
        <w:tab/>
        <w:t>Национальная экспертная комиссия по вопросам защиты общественной морали принимает решения по вопросу о том, соответствует ли содержание т</w:t>
      </w:r>
      <w:r>
        <w:t>о</w:t>
      </w:r>
      <w:r>
        <w:t>го или иного сайта в Интернете украинскому законодательству, и его решения могут быть использованы в качестве основания для возбуждения уголовного преследования в отношении лиц, распространяющих незаконные материалы. В 2010 году следственные органы возбудили дела в связи с более чем 160 пр</w:t>
      </w:r>
      <w:r>
        <w:t>а</w:t>
      </w:r>
      <w:r>
        <w:t>вонарушениями по статье 300 Уголовного кодекса, которая запрещает, среди прочего, распространение материалов, пропагандирующих культ насилия и жестокости, расовую, национальную или религиозную нетерпимость и дискр</w:t>
      </w:r>
      <w:r>
        <w:t>и</w:t>
      </w:r>
      <w:r>
        <w:t xml:space="preserve">минацию. </w:t>
      </w:r>
    </w:p>
    <w:p w:rsidR="00637557" w:rsidRDefault="00637557" w:rsidP="00637557">
      <w:pPr>
        <w:pStyle w:val="SingleTxtGR"/>
      </w:pPr>
      <w:r>
        <w:t>23.</w:t>
      </w:r>
      <w:r>
        <w:tab/>
        <w:t xml:space="preserve">Граждане и неграждане неславянской внешности подвергаются особой угрозе нападений со стороны неформальных незарегистрированных групп </w:t>
      </w:r>
      <w:r w:rsidR="002E2AC8">
        <w:t>"</w:t>
      </w:r>
      <w:r>
        <w:t>скинхедов</w:t>
      </w:r>
      <w:r w:rsidR="002E2AC8">
        <w:t>"</w:t>
      </w:r>
      <w:r>
        <w:t>. Такие группы исповедуют различные идеологии правого толка, хотя все они придерживаются политических взглядов на основе концепции р</w:t>
      </w:r>
      <w:r>
        <w:t>а</w:t>
      </w:r>
      <w:r>
        <w:t>совой чистоты. Появление таких групп является недавним явлением в Украине, которому способствовал доступ к зарубежным сайтам в сети Интернет.</w:t>
      </w:r>
    </w:p>
    <w:p w:rsidR="00637557" w:rsidRDefault="00637557" w:rsidP="00637557">
      <w:pPr>
        <w:pStyle w:val="SingleTxtGR"/>
      </w:pPr>
      <w:r>
        <w:t>24.</w:t>
      </w:r>
      <w:r>
        <w:tab/>
        <w:t xml:space="preserve">Группы </w:t>
      </w:r>
      <w:r w:rsidRPr="00710B9B">
        <w:t>“</w:t>
      </w:r>
      <w:r>
        <w:t>скинхедов</w:t>
      </w:r>
      <w:r w:rsidRPr="00710B9B">
        <w:t>”</w:t>
      </w:r>
      <w:r>
        <w:t xml:space="preserve"> совершали жестокие нападения на выходцев из А</w:t>
      </w:r>
      <w:r>
        <w:t>ф</w:t>
      </w:r>
      <w:r>
        <w:t>рики и Азии и были причастны к нескольким убийствам иностранцев. Такие группы особенно активно действуют в столице, однако существуют и в других городах. Правоохранительные органы весьма озабочены таким развитием соб</w:t>
      </w:r>
      <w:r>
        <w:t>ы</w:t>
      </w:r>
      <w:r>
        <w:t>тий и принимают все возможные меры для защиты украинцев и иностранцев от нападений. Во всех территориальных управлениях по охране порядка созданы специальные подразделения для расследования правонарушений, совершаемых против иностранцев, а в законодательство Украины были внесены поправки, способствующие своевременному обмену информацией о любых таких напад</w:t>
      </w:r>
      <w:r>
        <w:t>е</w:t>
      </w:r>
      <w:r>
        <w:t>ниях.</w:t>
      </w:r>
    </w:p>
    <w:p w:rsidR="00637557" w:rsidRDefault="00637557" w:rsidP="00637557">
      <w:pPr>
        <w:pStyle w:val="SingleTxtGR"/>
      </w:pPr>
      <w:r>
        <w:t>25.</w:t>
      </w:r>
      <w:r>
        <w:tab/>
        <w:t>Кроме того, был осуществлен широкий круг профилактических мер</w:t>
      </w:r>
      <w:r>
        <w:t>о</w:t>
      </w:r>
      <w:r>
        <w:t>приятий, включая создание базы данных с фотографиями и отпечатками пал</w:t>
      </w:r>
      <w:r>
        <w:t>ь</w:t>
      </w:r>
      <w:r>
        <w:t xml:space="preserve">цев лиц, причастных к движению </w:t>
      </w:r>
      <w:r w:rsidRPr="00710B9B">
        <w:t>“</w:t>
      </w:r>
      <w:r>
        <w:t>скинхедов</w:t>
      </w:r>
      <w:r w:rsidRPr="00710B9B">
        <w:t>”</w:t>
      </w:r>
      <w:r>
        <w:t xml:space="preserve">. Таких лиц регулярно вызывают для того, чтобы допросить об их деятельности, а в целях изменения поведения членов групп </w:t>
      </w:r>
      <w:r w:rsidRPr="00710B9B">
        <w:t>“</w:t>
      </w:r>
      <w:r>
        <w:t>скинхедов</w:t>
      </w:r>
      <w:r w:rsidRPr="00710B9B">
        <w:t>”</w:t>
      </w:r>
      <w:r>
        <w:t xml:space="preserve"> сотрудники правоохранительных органов работают с их семьями. Сотрудники полиции, занимающиеся несовершеннолетними пр</w:t>
      </w:r>
      <w:r>
        <w:t>а</w:t>
      </w:r>
      <w:r>
        <w:t xml:space="preserve">вонарушителями, также беседуют с членами движения </w:t>
      </w:r>
      <w:r w:rsidRPr="00710B9B">
        <w:t>“</w:t>
      </w:r>
      <w:r>
        <w:t>скинхедов</w:t>
      </w:r>
      <w:r w:rsidRPr="00710B9B">
        <w:t>”</w:t>
      </w:r>
      <w:r>
        <w:t>, пытаясь изменить их мировоззрение. Кроме того, в целях обеспечения быстрого реаг</w:t>
      </w:r>
      <w:r>
        <w:t>и</w:t>
      </w:r>
      <w:r>
        <w:t>рования полиции на случаи применения насилия полицейские машины чаще патрулируют те районы, где проживает значительное число иностранцев.</w:t>
      </w:r>
    </w:p>
    <w:p w:rsidR="00637557" w:rsidRDefault="00637557" w:rsidP="00637557">
      <w:pPr>
        <w:pStyle w:val="SingleTxtGR"/>
      </w:pPr>
      <w:r>
        <w:t>26.</w:t>
      </w:r>
      <w:r>
        <w:tab/>
        <w:t>Для содействия эффективному расследованию преступлений против ин</w:t>
      </w:r>
      <w:r>
        <w:t>о</w:t>
      </w:r>
      <w:r>
        <w:t>странцев, совершаемых на почве ненависти, украинские правоохранительные органы также поддерживают контакты с посольствами других государств, раз</w:t>
      </w:r>
      <w:r>
        <w:t>ъ</w:t>
      </w:r>
      <w:r>
        <w:t>ясняя специфику правовой системы Украины и призывая их доводить до свед</w:t>
      </w:r>
      <w:r>
        <w:t>е</w:t>
      </w:r>
      <w:r>
        <w:t>ния своих граждан важность незамедлительного сообщения о любых сове</w:t>
      </w:r>
      <w:r>
        <w:t>р</w:t>
      </w:r>
      <w:r>
        <w:t>шенных против них преступлениях. Полицейские также встречаются с ин</w:t>
      </w:r>
      <w:r>
        <w:t>о</w:t>
      </w:r>
      <w:r>
        <w:t>странными студентами, обучающимися в Украине, и разъясняют, как соверш</w:t>
      </w:r>
      <w:r>
        <w:t>а</w:t>
      </w:r>
      <w:r>
        <w:t>ются преступления на почве ненависти с применением насилия и что они должны делать, если подозревают, что против них планируется такое напад</w:t>
      </w:r>
      <w:r>
        <w:t>е</w:t>
      </w:r>
      <w:r>
        <w:t>ние. Была также установлена линия прямой связи, по которой иностранцы м</w:t>
      </w:r>
      <w:r>
        <w:t>о</w:t>
      </w:r>
      <w:r>
        <w:t xml:space="preserve">гут быстро связаться с властями. </w:t>
      </w:r>
    </w:p>
    <w:p w:rsidR="00637557" w:rsidRDefault="00637557" w:rsidP="00637557">
      <w:pPr>
        <w:pStyle w:val="SingleTxtGR"/>
      </w:pPr>
      <w:r>
        <w:t>27.</w:t>
      </w:r>
      <w:r>
        <w:tab/>
        <w:t>Совместно с Институтом восточноевропейского развития разработаны памятки-рекомендации для иностранцев, находящихся на территории Украины, а также рекомендации и критерии для сотрудников полиции, с тем чтобы п</w:t>
      </w:r>
      <w:r>
        <w:t>о</w:t>
      </w:r>
      <w:r>
        <w:t>мочь им выявлять членов экстремистских организаций. Министерство внутре</w:t>
      </w:r>
      <w:r>
        <w:t>н</w:t>
      </w:r>
      <w:r>
        <w:t xml:space="preserve">них дел использует тайных агентов для предупреждения будущих нападений в соответствии с украинским законодательством по проведению оперативно-следственных мероприятий и борьбе с организованной преступностью. Такие мероприятия были весьма успешными, и, хотя нападения групп </w:t>
      </w:r>
      <w:r w:rsidRPr="00710B9B">
        <w:t>“</w:t>
      </w:r>
      <w:r>
        <w:t>скинхедов</w:t>
      </w:r>
      <w:r w:rsidRPr="00710B9B">
        <w:t>”</w:t>
      </w:r>
      <w:r>
        <w:t xml:space="preserve"> не прекратились, правозащитные организации сообщили о резком снижении числа нападений на почве расовой ненависти.</w:t>
      </w:r>
    </w:p>
    <w:p w:rsidR="00637557" w:rsidRDefault="00637557" w:rsidP="00637557">
      <w:pPr>
        <w:pStyle w:val="SingleTxtGR"/>
      </w:pPr>
      <w:r>
        <w:t>28.</w:t>
      </w:r>
      <w:r>
        <w:tab/>
        <w:t>Переходя к вопросу о спорте, он говорит, что в украинском спорте пра</w:t>
      </w:r>
      <w:r>
        <w:t>к</w:t>
      </w:r>
      <w:r>
        <w:t>тически не отмечаются случаи расизма и многие африканские игроки и другие иностранцы выступают за ведущие клубы страны. В то же время хулиганы из числа футбольных болельщиков, которые совершают преступления до, во время и после футбольных матчей, особенно в городах, где выступают украинские к</w:t>
      </w:r>
      <w:r>
        <w:t>о</w:t>
      </w:r>
      <w:r>
        <w:t>манды высшей лиги, составляют особую группу радикально настроенной мол</w:t>
      </w:r>
      <w:r>
        <w:t>о</w:t>
      </w:r>
      <w:r>
        <w:t>дежи. Это вызывает серьезную озабоченность Министерства внутренних дел, которое стремится выявлять такие движения и их лидеров и осуществлять пр</w:t>
      </w:r>
      <w:r>
        <w:t>о</w:t>
      </w:r>
      <w:r>
        <w:t>филактические мероприятия по пресечению любой незаконной деятельности.</w:t>
      </w:r>
    </w:p>
    <w:p w:rsidR="00637557" w:rsidRDefault="00637557" w:rsidP="00637557">
      <w:pPr>
        <w:pStyle w:val="SingleTxtGR"/>
      </w:pPr>
      <w:r>
        <w:t>29.</w:t>
      </w:r>
      <w:r>
        <w:tab/>
        <w:t>В связи с проведением в Украине в 2012 году Чемпионата Европы по футболу Министерством была создана постоянная рабочая группа лиц, учас</w:t>
      </w:r>
      <w:r>
        <w:t>т</w:t>
      </w:r>
      <w:r>
        <w:t>вующих в подготовке этого мероприятия, в целях выявления потенциальных проблем и содействия предупреждению и расследованию любых нападений на болельщиков иностранных команд со стороны экстремистских групп. Ожидае</w:t>
      </w:r>
      <w:r>
        <w:t>т</w:t>
      </w:r>
      <w:r>
        <w:t>ся, что Чемпионат 2012 года посетит большое число иностранцев, и за украи</w:t>
      </w:r>
      <w:r>
        <w:t>н</w:t>
      </w:r>
      <w:r>
        <w:t>скими и иностранными радикально настроенными болельщиками будет осущ</w:t>
      </w:r>
      <w:r>
        <w:t>е</w:t>
      </w:r>
      <w:r>
        <w:t>ствляться контроль. В этой связи поддерживается постоянная координация м</w:t>
      </w:r>
      <w:r>
        <w:t>е</w:t>
      </w:r>
      <w:r>
        <w:t>жду Министерством и другими правоохранительными органами. Украина также изучает опыт других государств, включая Южную Африку, которая успешно провела у себя в 2010 году Чемпионат мира по футболу, и взаимодействует с этими государствами, в том числе по линии Международной организации уг</w:t>
      </w:r>
      <w:r>
        <w:t>о</w:t>
      </w:r>
      <w:r>
        <w:t>ловной полиции (ИНТЕРПОЛ) и Европейского полицейского ведомства (Евр</w:t>
      </w:r>
      <w:r>
        <w:t>о</w:t>
      </w:r>
      <w:r>
        <w:t>пол) в целях обеспечения полной безопасности на всех спортивных объектах в ходе Чемпионата.</w:t>
      </w:r>
    </w:p>
    <w:p w:rsidR="00637557" w:rsidRDefault="00637557" w:rsidP="00637557">
      <w:pPr>
        <w:pStyle w:val="SingleTxtGR"/>
      </w:pPr>
      <w:r>
        <w:t>30.</w:t>
      </w:r>
      <w:r>
        <w:tab/>
      </w:r>
      <w:r>
        <w:rPr>
          <w:b/>
        </w:rPr>
        <w:t>Г-н Автономов</w:t>
      </w:r>
      <w:r>
        <w:t xml:space="preserve"> положительно оценивает тот факт, что Украина сделала заявление в соответствии со статьей 14 Международной конвенции о ликвид</w:t>
      </w:r>
      <w:r>
        <w:t>а</w:t>
      </w:r>
      <w:r>
        <w:t>ции всех форм расовой дискриминации и ратифицировала поправку к статье 8, хотя, к сожалению, она еще не вступила в силу. Украина последовательно в</w:t>
      </w:r>
      <w:r>
        <w:t>ы</w:t>
      </w:r>
      <w:r>
        <w:t>полняет положения Конвенции.</w:t>
      </w:r>
    </w:p>
    <w:p w:rsidR="00637557" w:rsidRDefault="00637557" w:rsidP="00637557">
      <w:pPr>
        <w:pStyle w:val="SingleTxtGR"/>
      </w:pPr>
      <w:r>
        <w:t>31.</w:t>
      </w:r>
      <w:r>
        <w:tab/>
        <w:t>Когда он упомянул о неофашистских и экстремистских организациях, он не имел в виду, что они существуют только в Украине. Эта проблема гораздо шире. Наиболее опасными организациями являются, пожалуй, те, которые не выступают с прямыми призывами к насилию, а создают обстановку, способс</w:t>
      </w:r>
      <w:r>
        <w:t>т</w:t>
      </w:r>
      <w:r>
        <w:t>вующую насилию, путем искажения таких универсальных принципов, как пр</w:t>
      </w:r>
      <w:r>
        <w:t>а</w:t>
      </w:r>
      <w:r>
        <w:t xml:space="preserve">восудие, правопорядок, семья и государство. </w:t>
      </w:r>
    </w:p>
    <w:p w:rsidR="00637557" w:rsidRPr="00EE3F97" w:rsidRDefault="00637557" w:rsidP="00637557">
      <w:pPr>
        <w:pStyle w:val="SingleTxtGR"/>
      </w:pPr>
      <w:r>
        <w:t>32.</w:t>
      </w:r>
      <w:r>
        <w:tab/>
        <w:t>Организации такого толка в Украине говорят на общем языке с аналоги</w:t>
      </w:r>
      <w:r>
        <w:t>ч</w:t>
      </w:r>
      <w:r>
        <w:t xml:space="preserve">ными группами в других странах, в частности в Российской Федерации. </w:t>
      </w:r>
    </w:p>
    <w:p w:rsidR="00637557" w:rsidRDefault="00637557" w:rsidP="00637557">
      <w:pPr>
        <w:pStyle w:val="SingleTxtGR"/>
      </w:pPr>
      <w:r>
        <w:t>33.</w:t>
      </w:r>
      <w:r>
        <w:tab/>
      </w:r>
      <w:r>
        <w:rPr>
          <w:b/>
        </w:rPr>
        <w:t>Г-н Маймескул</w:t>
      </w:r>
      <w:r>
        <w:t xml:space="preserve"> (Украина) говорит, что подобные явления отнюдь не т</w:t>
      </w:r>
      <w:r>
        <w:t>и</w:t>
      </w:r>
      <w:r>
        <w:t>пичны для украинского общества. Власти следят за событиями и принимают меры для предупреждения любых проблем.</w:t>
      </w:r>
    </w:p>
    <w:p w:rsidR="00637557" w:rsidRDefault="00637557" w:rsidP="00637557">
      <w:pPr>
        <w:pStyle w:val="SingleTxtGR"/>
      </w:pPr>
      <w:r>
        <w:t>34.</w:t>
      </w:r>
      <w:r>
        <w:tab/>
      </w:r>
      <w:r>
        <w:rPr>
          <w:b/>
        </w:rPr>
        <w:t>Г-н Эвомсан</w:t>
      </w:r>
      <w:r>
        <w:t xml:space="preserve"> говорит, что он вовсе не имел в виду предположить, что у</w:t>
      </w:r>
      <w:r>
        <w:t>к</w:t>
      </w:r>
      <w:r>
        <w:t>раинское общество является менее толерантным, чем другие, однако хотел бы привлечь внимание к расизму и ксенофобии, которые присущи не только У</w:t>
      </w:r>
      <w:r>
        <w:t>к</w:t>
      </w:r>
      <w:r>
        <w:t>раине, но и распространяются по всей Европе. Для того чтобы понять это явл</w:t>
      </w:r>
      <w:r>
        <w:t>е</w:t>
      </w:r>
      <w:r>
        <w:t>ние, важно знать его причины, и он интересуется, не являются ли одной из пр</w:t>
      </w:r>
      <w:r>
        <w:t>и</w:t>
      </w:r>
      <w:r>
        <w:t>чин просчеты в проводимой политике.</w:t>
      </w:r>
    </w:p>
    <w:p w:rsidR="00637557" w:rsidRDefault="00637557" w:rsidP="00637557">
      <w:pPr>
        <w:pStyle w:val="SingleTxtGR"/>
      </w:pPr>
      <w:r>
        <w:t>35.</w:t>
      </w:r>
      <w:r>
        <w:tab/>
      </w:r>
      <w:r>
        <w:rPr>
          <w:b/>
        </w:rPr>
        <w:t>Г-н Тихонов</w:t>
      </w:r>
      <w:r>
        <w:t xml:space="preserve"> (Украина) говорит, что описанные инциденты носят изол</w:t>
      </w:r>
      <w:r>
        <w:t>и</w:t>
      </w:r>
      <w:r>
        <w:t>рованный характер и не образуют какой-то общей тенденции. Украина не о</w:t>
      </w:r>
      <w:r>
        <w:t>с</w:t>
      </w:r>
      <w:r>
        <w:t>тавляет без внимания высказывания, представляющие собой пропаганду нен</w:t>
      </w:r>
      <w:r>
        <w:t>а</w:t>
      </w:r>
      <w:r>
        <w:t>висти. Лица, обвиняемые в этом преступлении, преследуются по статье 161 Уголовного кодекса. Была представлена информация относительно пяти таких дел.</w:t>
      </w:r>
    </w:p>
    <w:p w:rsidR="00637557" w:rsidRDefault="00637557" w:rsidP="00637557">
      <w:pPr>
        <w:pStyle w:val="SingleTxtGR"/>
      </w:pPr>
      <w:r>
        <w:t>36.</w:t>
      </w:r>
      <w:r>
        <w:tab/>
      </w:r>
      <w:r>
        <w:rPr>
          <w:b/>
        </w:rPr>
        <w:t>Г-н Кут</w:t>
      </w:r>
      <w:r>
        <w:t xml:space="preserve"> отмечает, что, согласно докладу Украины (CERD/C/UKR/19–21), в 2001 году в Крыму проживали 671 караим и 204 крымчака, средний возраст которых составлял порядка 60 лет. Их численность слишком незначительна, чтобы рассматривать их в качестве меньшинства. Необходимо выработать сп</w:t>
      </w:r>
      <w:r>
        <w:t>е</w:t>
      </w:r>
      <w:r>
        <w:t xml:space="preserve">циальный подход и меры в их интересах, поскольку существует угроза того, что они вымрут и их уникальные культура и традиции будут утрачены. Нужно, по крайней мере, сохранить сведения об их вкладе в человеческую историю. </w:t>
      </w:r>
    </w:p>
    <w:p w:rsidR="00637557" w:rsidRDefault="00637557" w:rsidP="00637557">
      <w:pPr>
        <w:pStyle w:val="SingleTxtGR"/>
      </w:pPr>
      <w:r>
        <w:t>37.</w:t>
      </w:r>
      <w:r>
        <w:tab/>
        <w:t>Он интересуется, какие меры предусматриваются для борьбы с расизмом в спорте. Во многих странах Европы это явление связано с правоэкстремис</w:t>
      </w:r>
      <w:r>
        <w:t>т</w:t>
      </w:r>
      <w:r>
        <w:t>скими движениями.</w:t>
      </w:r>
    </w:p>
    <w:p w:rsidR="00637557" w:rsidRDefault="00637557" w:rsidP="00637557">
      <w:pPr>
        <w:pStyle w:val="SingleTxtGR"/>
      </w:pPr>
      <w:r>
        <w:t>38.</w:t>
      </w:r>
      <w:r>
        <w:tab/>
      </w:r>
      <w:r>
        <w:rPr>
          <w:b/>
        </w:rPr>
        <w:t>Г-жа Шпиняк</w:t>
      </w:r>
      <w:r>
        <w:t xml:space="preserve"> (Украина) говорит, что статистические данные о караимах и крымчаках являются верными, однако существуют и представители более м</w:t>
      </w:r>
      <w:r>
        <w:t>о</w:t>
      </w:r>
      <w:r>
        <w:t>лодого поколения. Государство принимает меры для сохранения их языков. С</w:t>
      </w:r>
      <w:r>
        <w:t>у</w:t>
      </w:r>
      <w:r>
        <w:t>ществуют три школы для караимов и две – для крымчаков, в которых насчит</w:t>
      </w:r>
      <w:r>
        <w:t>ы</w:t>
      </w:r>
      <w:r>
        <w:t xml:space="preserve">вается, соответственно, 25 и 24 учащихся. </w:t>
      </w:r>
    </w:p>
    <w:p w:rsidR="00637557" w:rsidRDefault="00637557" w:rsidP="00637557">
      <w:pPr>
        <w:pStyle w:val="SingleTxtGR"/>
      </w:pPr>
      <w:r>
        <w:t>39.</w:t>
      </w:r>
      <w:r>
        <w:tab/>
        <w:t>Государственный комитет по делам национальностей и религий предпр</w:t>
      </w:r>
      <w:r>
        <w:t>и</w:t>
      </w:r>
      <w:r>
        <w:t>нял попытку внести исправления в Закон о языках меньшинств, с тем чтобы включить в их число караимский и крымчакский языки. К сожалению, этот К</w:t>
      </w:r>
      <w:r>
        <w:t>о</w:t>
      </w:r>
      <w:r>
        <w:t>митет был распущен, однако его работа будет продолжена новым ведомством, которое будет заниматься политикой в отношении языков.</w:t>
      </w:r>
    </w:p>
    <w:p w:rsidR="00637557" w:rsidRDefault="00637557" w:rsidP="00637557">
      <w:pPr>
        <w:pStyle w:val="SingleTxtGR"/>
      </w:pPr>
      <w:r>
        <w:t>40.</w:t>
      </w:r>
      <w:r>
        <w:tab/>
      </w:r>
      <w:r>
        <w:rPr>
          <w:b/>
        </w:rPr>
        <w:t>Г-н Тихонов</w:t>
      </w:r>
      <w:r>
        <w:t xml:space="preserve"> (Украина) говорит, что расизм совершенно чужд украинск</w:t>
      </w:r>
      <w:r>
        <w:t>о</w:t>
      </w:r>
      <w:r>
        <w:t>му спорту. Он может вспомнить лишь об одном правонарушении, совершенном в отношении спортсмена, за прошедшие четыре года. Речь идет об акте насилия в отношении африканского баскетболиста в Киеве, однако этот акт не был в</w:t>
      </w:r>
      <w:r>
        <w:t>ы</w:t>
      </w:r>
      <w:r>
        <w:t>зван расовыми мотивами. Если расизм в спорте возникнет, будут разработаны нормы для его пресечения.</w:t>
      </w:r>
    </w:p>
    <w:p w:rsidR="00637557" w:rsidRDefault="00637557" w:rsidP="00637557">
      <w:pPr>
        <w:pStyle w:val="SingleTxtGR"/>
      </w:pPr>
      <w:r>
        <w:t>41.</w:t>
      </w:r>
      <w:r>
        <w:tab/>
      </w:r>
      <w:r>
        <w:rPr>
          <w:b/>
        </w:rPr>
        <w:t>Г-н Диакону</w:t>
      </w:r>
      <w:r>
        <w:t xml:space="preserve"> спрашивает, действуют ли соглашения о культурном с</w:t>
      </w:r>
      <w:r>
        <w:t>о</w:t>
      </w:r>
      <w:r>
        <w:t>трудничестве в интересах групп меньшинств, которые Украина заключила с с</w:t>
      </w:r>
      <w:r>
        <w:t>о</w:t>
      </w:r>
      <w:r>
        <w:t>седними государствами, и регулярно ли собираются комиссии, учрежденные для наблюдения за выполнением этих соглашений.</w:t>
      </w:r>
    </w:p>
    <w:p w:rsidR="00637557" w:rsidRDefault="00637557" w:rsidP="00637557">
      <w:pPr>
        <w:pStyle w:val="SingleTxtGR"/>
      </w:pPr>
      <w:r>
        <w:t>42.</w:t>
      </w:r>
      <w:r>
        <w:tab/>
        <w:t>Судебная система Украины не содержит положений о признании админ</w:t>
      </w:r>
      <w:r>
        <w:t>и</w:t>
      </w:r>
      <w:r>
        <w:t>стративной или гражданской ответственности в случаях расовой дискримин</w:t>
      </w:r>
      <w:r>
        <w:t>а</w:t>
      </w:r>
      <w:r>
        <w:t>ции. Такие случаи могут рассматриваться лишь как правонарушения по Уг</w:t>
      </w:r>
      <w:r>
        <w:t>о</w:t>
      </w:r>
      <w:r>
        <w:t>ловному кодексу. Однако сфера применения гражданского права значительно шире и может быть использована для признания более широкого круга проя</w:t>
      </w:r>
      <w:r>
        <w:t>в</w:t>
      </w:r>
      <w:r>
        <w:t>лений дискриминации, как уже происходило во многих других европейских странах.</w:t>
      </w:r>
    </w:p>
    <w:p w:rsidR="00637557" w:rsidRDefault="00637557" w:rsidP="00637557">
      <w:pPr>
        <w:pStyle w:val="SingleTxtGR"/>
      </w:pPr>
      <w:r>
        <w:t>43.</w:t>
      </w:r>
      <w:r>
        <w:tab/>
        <w:t>В докладе Европейской комиссии по борьбе против расизма и нетерпим</w:t>
      </w:r>
      <w:r>
        <w:t>о</w:t>
      </w:r>
      <w:r>
        <w:t>сти упоминался вебсайт Министерства внутренних дел, где содержались оско</w:t>
      </w:r>
      <w:r>
        <w:t>р</w:t>
      </w:r>
      <w:r>
        <w:t>бительные и дискриминационные высказывания в отношении народа рома. Он спрашивает, может ли делегация представить какую-либо информацию по эт</w:t>
      </w:r>
      <w:r>
        <w:t>о</w:t>
      </w:r>
      <w:r>
        <w:t xml:space="preserve">му вопросу. </w:t>
      </w:r>
    </w:p>
    <w:p w:rsidR="00637557" w:rsidRDefault="00637557" w:rsidP="00637557">
      <w:pPr>
        <w:pStyle w:val="SingleTxtGR"/>
      </w:pPr>
      <w:r>
        <w:t>44.</w:t>
      </w:r>
      <w:r>
        <w:tab/>
        <w:t>Он интересуется, намерена ли Украина ратифицировать Конвенцию о статусе апатридов 1954 года и Конвенцию о сокращении безгражданства 1961 года. Комитет мог бы вынести Украине рекомендацию рассмотреть вопрос о ратификации этих договоров.</w:t>
      </w:r>
    </w:p>
    <w:p w:rsidR="00637557" w:rsidRDefault="00637557" w:rsidP="00637557">
      <w:pPr>
        <w:pStyle w:val="SingleTxtGR"/>
      </w:pPr>
      <w:r>
        <w:t>45.</w:t>
      </w:r>
      <w:r>
        <w:tab/>
      </w:r>
      <w:r>
        <w:rPr>
          <w:b/>
        </w:rPr>
        <w:t>Г-жа Шпиняк</w:t>
      </w:r>
      <w:r>
        <w:t xml:space="preserve"> (Украина) говорит, что комиссии, учрежденные для н</w:t>
      </w:r>
      <w:r>
        <w:t>а</w:t>
      </w:r>
      <w:r>
        <w:t>блюдения за выполнением культурных соглашений, которые Украина заключила с соседними государствами, собираются и эффективно защищают права мен</w:t>
      </w:r>
      <w:r>
        <w:t>ь</w:t>
      </w:r>
      <w:r>
        <w:t>шинств.</w:t>
      </w:r>
    </w:p>
    <w:p w:rsidR="00637557" w:rsidRDefault="00637557" w:rsidP="00637557">
      <w:pPr>
        <w:pStyle w:val="SingleTxtGR"/>
      </w:pPr>
      <w:r>
        <w:t>46.</w:t>
      </w:r>
      <w:r>
        <w:tab/>
      </w:r>
      <w:r>
        <w:rPr>
          <w:b/>
        </w:rPr>
        <w:t xml:space="preserve">Г-н Юрьев </w:t>
      </w:r>
      <w:r>
        <w:t>(Украина) подтверждает, что единственной действующей правовой нормой, предусматривающей наказание за акты дискриминации, я</w:t>
      </w:r>
      <w:r>
        <w:t>в</w:t>
      </w:r>
      <w:r>
        <w:t>ляется статья 161 Уголовного кодекса. С конституционной точки зрения нево</w:t>
      </w:r>
      <w:r>
        <w:t>з</w:t>
      </w:r>
      <w:r>
        <w:t>можно возбудить гражданский или административный иск по поводу актов ди</w:t>
      </w:r>
      <w:r>
        <w:t>с</w:t>
      </w:r>
      <w:r>
        <w:t>криминации. Если будет принят законопроект о борьбе с дискриминацией, можно будет внести изменения в административное и гражданское право и и</w:t>
      </w:r>
      <w:r>
        <w:t>с</w:t>
      </w:r>
      <w:r>
        <w:t xml:space="preserve">пользовать их положения в случае совершения актов дискриминации. </w:t>
      </w:r>
    </w:p>
    <w:p w:rsidR="00637557" w:rsidRDefault="00637557" w:rsidP="00637557">
      <w:pPr>
        <w:pStyle w:val="SingleTxtGR"/>
      </w:pPr>
      <w:r>
        <w:t>47</w:t>
      </w:r>
      <w:r w:rsidR="002E2AC8">
        <w:t>.</w:t>
      </w:r>
      <w:r>
        <w:tab/>
      </w:r>
      <w:r>
        <w:rPr>
          <w:b/>
        </w:rPr>
        <w:t>Г-н Тихонов</w:t>
      </w:r>
      <w:r>
        <w:t xml:space="preserve"> (Украина) говорит, что в настоящее время высказывания, разжигающие ненависть, наказуемы лишь как уголовное правонарушение. Уже имели место несколько случаев привлечения за это к ответственности. До изм</w:t>
      </w:r>
      <w:r>
        <w:t>е</w:t>
      </w:r>
      <w:r>
        <w:t>нения законодательства в отношении пропаганды ненависти не могут прим</w:t>
      </w:r>
      <w:r>
        <w:t>е</w:t>
      </w:r>
      <w:r>
        <w:t xml:space="preserve">няться нормы административного и гражданского кодексов. </w:t>
      </w:r>
    </w:p>
    <w:p w:rsidR="00637557" w:rsidRDefault="00637557" w:rsidP="00637557">
      <w:pPr>
        <w:pStyle w:val="SingleTxtGR"/>
      </w:pPr>
      <w:r>
        <w:t>48</w:t>
      </w:r>
      <w:r w:rsidR="002E2AC8">
        <w:t>.</w:t>
      </w:r>
      <w:r>
        <w:tab/>
      </w:r>
      <w:r>
        <w:rPr>
          <w:b/>
        </w:rPr>
        <w:t>Г-н Маймескул</w:t>
      </w:r>
      <w:r>
        <w:t xml:space="preserve"> (Украина) говорит, что Украина включит информацию о возможной ратификации Конвенции о статусе апатридов и Конвенции о сокр</w:t>
      </w:r>
      <w:r>
        <w:t>а</w:t>
      </w:r>
      <w:r>
        <w:t>щении безгражданства в свой следующий периодический доклад Комитету.</w:t>
      </w:r>
    </w:p>
    <w:p w:rsidR="00637557" w:rsidRDefault="00637557" w:rsidP="00637557">
      <w:pPr>
        <w:pStyle w:val="SingleTxtGR"/>
      </w:pPr>
      <w:r>
        <w:t>49.</w:t>
      </w:r>
      <w:r>
        <w:tab/>
      </w:r>
      <w:r>
        <w:rPr>
          <w:b/>
        </w:rPr>
        <w:t>Г-н де Гут</w:t>
      </w:r>
      <w:r>
        <w:t xml:space="preserve"> говорит, что он с большим интересом выслушал комментарии делегации относительно причин роста экстремизма, распространения расис</w:t>
      </w:r>
      <w:r>
        <w:t>т</w:t>
      </w:r>
      <w:r>
        <w:t>ских организаций и увеличения числа нападений на иностранцев, особенно на иностранных студентов, в Украине. С этими явлениями сталкиваются многие государства – участники Конвенции, и Комитет пытался выявить лежащие в их основе факторы. Например, Интернет позволяет экстремистским организациям распространять свои идеи, проникнутые ксенофобией. Однако следует также выделить роль политических деятелей и политических партий. Свобода слова очень часто и безосновательно используется для оправдания пропаганды нен</w:t>
      </w:r>
      <w:r>
        <w:t>а</w:t>
      </w:r>
      <w:r>
        <w:t>висти в политическом контексте. В общей рекомендации № 15, принятой Ком</w:t>
      </w:r>
      <w:r>
        <w:t>и</w:t>
      </w:r>
      <w:r>
        <w:t>тетом в 1993 году, ясно указывается, что право на свободу убеждений полн</w:t>
      </w:r>
      <w:r>
        <w:t>о</w:t>
      </w:r>
      <w:r>
        <w:t>стью совместимо с необходимостью привлечения к ответственности за распр</w:t>
      </w:r>
      <w:r>
        <w:t>о</w:t>
      </w:r>
      <w:r>
        <w:t>странение идей, основанных на расовом превосходстве. Он полагает, что прав</w:t>
      </w:r>
      <w:r>
        <w:t>и</w:t>
      </w:r>
      <w:r>
        <w:t>тельство Украины примет меры для привлечения к ответственности политич</w:t>
      </w:r>
      <w:r>
        <w:t>е</w:t>
      </w:r>
      <w:r>
        <w:t>ских деятелей за заявления, которые подпадают под эту категорию.</w:t>
      </w:r>
    </w:p>
    <w:p w:rsidR="00637557" w:rsidRDefault="00637557" w:rsidP="00637557">
      <w:pPr>
        <w:pStyle w:val="SingleTxtGR"/>
      </w:pPr>
      <w:r>
        <w:t>50.</w:t>
      </w:r>
      <w:r>
        <w:tab/>
        <w:t>Другим фактором является отсутствие законов по борьбе с расизмом. Он рекомендует, чтобы парламент Украины как можно скорее принял законопроект о борьбе с дискриминацией. Гражданский кодекс должен также предусматр</w:t>
      </w:r>
      <w:r>
        <w:t>и</w:t>
      </w:r>
      <w:r>
        <w:t>вать возмещение лицам, которые стали жертвами расистских преступлений.</w:t>
      </w:r>
    </w:p>
    <w:p w:rsidR="00637557" w:rsidRDefault="00637557" w:rsidP="00637557">
      <w:pPr>
        <w:pStyle w:val="SingleTxtGR"/>
      </w:pPr>
      <w:r>
        <w:t>51.</w:t>
      </w:r>
      <w:r>
        <w:tab/>
      </w:r>
      <w:r>
        <w:rPr>
          <w:b/>
        </w:rPr>
        <w:t>Г-н Маймескул</w:t>
      </w:r>
      <w:r>
        <w:t xml:space="preserve"> (Украина) говорит, что правительство предпринимает активные действия по борьбе с проявлениями экстремизма. Он заверяет Ком</w:t>
      </w:r>
      <w:r>
        <w:t>и</w:t>
      </w:r>
      <w:r>
        <w:t>тет в том, что в следующем периодическом докладе будет содержаться подро</w:t>
      </w:r>
      <w:r>
        <w:t>б</w:t>
      </w:r>
      <w:r>
        <w:t>ная информация, отражающая прогресс в этой области.</w:t>
      </w:r>
    </w:p>
    <w:p w:rsidR="00637557" w:rsidRDefault="00637557" w:rsidP="00637557">
      <w:pPr>
        <w:pStyle w:val="SingleTxtGR"/>
      </w:pPr>
      <w:r>
        <w:t>52.</w:t>
      </w:r>
      <w:r>
        <w:tab/>
      </w:r>
      <w:r>
        <w:rPr>
          <w:b/>
        </w:rPr>
        <w:t>Председатель</w:t>
      </w:r>
      <w:r>
        <w:t xml:space="preserve"> говорит, что резкий переход от режима централизованной власти и директивной экономики к децентрализованной системе, в которой и</w:t>
      </w:r>
      <w:r>
        <w:t>н</w:t>
      </w:r>
      <w:r>
        <w:t>дивидуум пользуется свободой выбора, также повлек за собой некоторые нег</w:t>
      </w:r>
      <w:r>
        <w:t>а</w:t>
      </w:r>
      <w:r>
        <w:t xml:space="preserve">тивные тенденции, в том числе безудержное стремление к обогащению. </w:t>
      </w:r>
    </w:p>
    <w:p w:rsidR="00637557" w:rsidRDefault="00637557" w:rsidP="00637557">
      <w:pPr>
        <w:pStyle w:val="SingleTxtGR"/>
      </w:pPr>
      <w:r>
        <w:t>53.</w:t>
      </w:r>
      <w:r>
        <w:tab/>
        <w:t>Возможность выражать свои идеи в Интернете анонимно может спосо</w:t>
      </w:r>
      <w:r>
        <w:t>б</w:t>
      </w:r>
      <w:r>
        <w:t>ствовать заявлениям, разжигающим ненависть, злобным нападкам и даже пр</w:t>
      </w:r>
      <w:r>
        <w:t>е</w:t>
      </w:r>
      <w:r>
        <w:t>ступлениям в сфере информационных технологий.</w:t>
      </w:r>
    </w:p>
    <w:p w:rsidR="00637557" w:rsidRDefault="00637557" w:rsidP="00637557">
      <w:pPr>
        <w:pStyle w:val="SingleTxtGR"/>
      </w:pPr>
      <w:r>
        <w:t>54.</w:t>
      </w:r>
      <w:r>
        <w:tab/>
        <w:t>Во многих случаях спортивные соревнования также сопровождаются а</w:t>
      </w:r>
      <w:r>
        <w:t>г</w:t>
      </w:r>
      <w:r>
        <w:t>рессивными расистскими выходками.</w:t>
      </w:r>
    </w:p>
    <w:p w:rsidR="00637557" w:rsidRDefault="00637557" w:rsidP="00637557">
      <w:pPr>
        <w:pStyle w:val="SingleTxtGR"/>
      </w:pPr>
      <w:r>
        <w:t>55.</w:t>
      </w:r>
      <w:r>
        <w:tab/>
      </w:r>
      <w:r>
        <w:rPr>
          <w:b/>
        </w:rPr>
        <w:t>Г-н Маймескул</w:t>
      </w:r>
      <w:r>
        <w:t xml:space="preserve"> (Украина) говорит, что, хотя Украина является страной с глубокими традициями, которые существуют уже тысячелетия, она, как это ни парадоксально, является независимым государством всего лишь 20 лет. Свобода и независимость имеют свои плюсы и минусы, однако очевидно, что они явл</w:t>
      </w:r>
      <w:r>
        <w:t>я</w:t>
      </w:r>
      <w:r>
        <w:t xml:space="preserve">ются более предпочтительной альтернативой. </w:t>
      </w:r>
    </w:p>
    <w:p w:rsidR="00637557" w:rsidRDefault="00637557" w:rsidP="00637557">
      <w:pPr>
        <w:pStyle w:val="SingleTxtGR"/>
      </w:pPr>
      <w:r>
        <w:t>56.</w:t>
      </w:r>
      <w:r>
        <w:tab/>
      </w:r>
      <w:r>
        <w:rPr>
          <w:b/>
        </w:rPr>
        <w:t>Г-н Торнберри</w:t>
      </w:r>
      <w:r>
        <w:t xml:space="preserve"> (Докладчик по стране) говорит, что в ходе диалога Ком</w:t>
      </w:r>
      <w:r>
        <w:t>и</w:t>
      </w:r>
      <w:r>
        <w:t>тета с делегацией был затронут широкий круг вопросов. В том, что касается планируемых реформ в целях укрепления институтов государственной власти и организационных структур, он говорит, что Конвенция не предусматривает к</w:t>
      </w:r>
      <w:r>
        <w:t>а</w:t>
      </w:r>
      <w:r>
        <w:t>ких-то рекомендаций в этой связи. Он приветствует идею создания специальн</w:t>
      </w:r>
      <w:r>
        <w:t>о</w:t>
      </w:r>
      <w:r>
        <w:t>го органа для координации действий по пресечению расовой дискриминации. Важнейшее значение имеют также институциональное присутствие и прозра</w:t>
      </w:r>
      <w:r>
        <w:t>ч</w:t>
      </w:r>
      <w:r>
        <w:t>ность и принятие ко</w:t>
      </w:r>
      <w:r>
        <w:t>м</w:t>
      </w:r>
      <w:r>
        <w:t xml:space="preserve">плексных правовых мер. </w:t>
      </w:r>
    </w:p>
    <w:p w:rsidR="00637557" w:rsidRDefault="00637557" w:rsidP="00637557">
      <w:pPr>
        <w:pStyle w:val="SingleTxtGR"/>
      </w:pPr>
      <w:r>
        <w:t>57.</w:t>
      </w:r>
      <w:r>
        <w:tab/>
        <w:t>Ратификация международных договоров является суверенным решением, которое принимает каждое государство-участник. В то же время Комитет пр</w:t>
      </w:r>
      <w:r>
        <w:t>и</w:t>
      </w:r>
      <w:r>
        <w:t>дает особое значение некоторым договорам, которые касаются вопросов, св</w:t>
      </w:r>
      <w:r>
        <w:t>я</w:t>
      </w:r>
      <w:r>
        <w:t xml:space="preserve">занных с Конвенцией. </w:t>
      </w:r>
    </w:p>
    <w:p w:rsidR="00637557" w:rsidRDefault="00637557" w:rsidP="00637557">
      <w:pPr>
        <w:pStyle w:val="SingleTxtGR"/>
      </w:pPr>
      <w:r>
        <w:t>58.</w:t>
      </w:r>
      <w:r>
        <w:tab/>
        <w:t>Он надеется, что законопроект о борьбе с дискриминацией будет вскоре принят. Поскольку Комитет с интересом наблюдает за его продвижением, этот законопроект будет включен в качестве одного из приоритетных вопросов при рассмотрении последующего доклада через год. Отдельно взятый закон не им</w:t>
      </w:r>
      <w:r>
        <w:t>е</w:t>
      </w:r>
      <w:r>
        <w:t>ет достаточного веса, однако он считает, что такой закон мог бы стать полезным средством привлечения внимания ко всему кругу соответствующих проблем. Архивы Комитета и других международных органов содержат немало рекоме</w:t>
      </w:r>
      <w:r>
        <w:t>н</w:t>
      </w:r>
      <w:r>
        <w:t>даций относительно требований, предъявляемых к эффективному антидискр</w:t>
      </w:r>
      <w:r>
        <w:t>и</w:t>
      </w:r>
      <w:r>
        <w:t>минационному законодательству, включая необходимость в административной и гражданской ответственности в дополнение к уголовной.</w:t>
      </w:r>
    </w:p>
    <w:p w:rsidR="00637557" w:rsidRDefault="00637557" w:rsidP="00637557">
      <w:pPr>
        <w:pStyle w:val="SingleTxtGR"/>
      </w:pPr>
      <w:r>
        <w:t>59.</w:t>
      </w:r>
      <w:r>
        <w:tab/>
        <w:t>Весьма важно найти равновесие между пропагандой ненависти и защ</w:t>
      </w:r>
      <w:r>
        <w:t>и</w:t>
      </w:r>
      <w:r>
        <w:t>той принципов свободы слова. Поскольку статья 4 Конвенции содержит отн</w:t>
      </w:r>
      <w:r>
        <w:t>о</w:t>
      </w:r>
      <w:r>
        <w:t>сительно твердую формулировку по этому вопросу, он поддерживает г-на де Гута, который указал государству-участнику на общую рекомендацию Комит</w:t>
      </w:r>
      <w:r>
        <w:t>е</w:t>
      </w:r>
      <w:r>
        <w:t>та № 15, и, кроме того, привлекает внимание к замечанию общего порядка № 34 о праве на свободу мнений и их свободное выражение, принятое Комитетом по правам человека в июле 2011 года. В том, что касается пропаганды ненависти в отношении меньшинств и других уязвимых групп, он рекомендует обратиться к документу, озаглавленному "Кемденские принципы по свободе выражения мн</w:t>
      </w:r>
      <w:r>
        <w:t>е</w:t>
      </w:r>
      <w:r>
        <w:t>ний и равенству" и опубликованному НПО "Статья 19".</w:t>
      </w:r>
    </w:p>
    <w:p w:rsidR="00637557" w:rsidRDefault="00637557" w:rsidP="00637557">
      <w:pPr>
        <w:pStyle w:val="SingleTxtGR"/>
      </w:pPr>
      <w:r>
        <w:t>60.</w:t>
      </w:r>
      <w:r>
        <w:tab/>
        <w:t>Он согласен с г-ном де Гуттом в том, что заявления политических деят</w:t>
      </w:r>
      <w:r>
        <w:t>е</w:t>
      </w:r>
      <w:r>
        <w:t>лей могут задавать тон во всем обществе.</w:t>
      </w:r>
    </w:p>
    <w:p w:rsidR="00637557" w:rsidRDefault="00637557" w:rsidP="00637557">
      <w:pPr>
        <w:pStyle w:val="SingleTxtGR"/>
      </w:pPr>
      <w:r>
        <w:t>61.</w:t>
      </w:r>
      <w:r>
        <w:tab/>
        <w:t>Он приветствует создание Государственной миграционной службы и идею оказания поддержки процессу интеграции мигрантов как потенциальных будущих граждан Украины. Он также приветствует проведение семинара по в</w:t>
      </w:r>
      <w:r>
        <w:t>о</w:t>
      </w:r>
      <w:r>
        <w:t>просу о несовершеннолетних без сопровождения.</w:t>
      </w:r>
    </w:p>
    <w:p w:rsidR="00637557" w:rsidRDefault="00637557" w:rsidP="00637557">
      <w:pPr>
        <w:pStyle w:val="SingleTxtGR"/>
      </w:pPr>
      <w:r>
        <w:t>62.</w:t>
      </w:r>
      <w:r>
        <w:tab/>
        <w:t>При обсуждении проблем таких уязвимых групп, как рома, порой не уд</w:t>
      </w:r>
      <w:r>
        <w:t>е</w:t>
      </w:r>
      <w:r>
        <w:t>ляется достаточного внимания</w:t>
      </w:r>
      <w:r w:rsidRPr="001C763C">
        <w:t xml:space="preserve"> </w:t>
      </w:r>
      <w:r>
        <w:t>вопросу о языке. Он высоко оценивает Гаагские рекомендации Организации по безопасности и сотрудничеству в Европе (ОБСЕ) о правах национальных меньшинств на образование, принятые в Осло рекоме</w:t>
      </w:r>
      <w:r>
        <w:t>н</w:t>
      </w:r>
      <w:r>
        <w:t>дации ОБСЕ в отношении языковых прав национальных меньшинств и рек</w:t>
      </w:r>
      <w:r>
        <w:t>о</w:t>
      </w:r>
      <w:r>
        <w:t>мендации первого Форума Организации Объединенных Наций по проблемам меньшинств. Вопрос об образовании рома является особенно сложным. Неясно, какой тип школы является наиболее подходящим для этой общины. Обычные школы могут восприниматься детьми рома как чужеродная среда, и они могут подвергаться дискриминации со стороны учителей и одноклассников. Он с и</w:t>
      </w:r>
      <w:r>
        <w:t>н</w:t>
      </w:r>
      <w:r>
        <w:t>тересом отм</w:t>
      </w:r>
      <w:r>
        <w:t>е</w:t>
      </w:r>
      <w:r>
        <w:t>чает идею посредников между школами и общинами.</w:t>
      </w:r>
    </w:p>
    <w:p w:rsidR="00637557" w:rsidRDefault="00637557" w:rsidP="00637557">
      <w:pPr>
        <w:pStyle w:val="SingleTxtGR"/>
      </w:pPr>
      <w:r>
        <w:t>63.</w:t>
      </w:r>
      <w:r>
        <w:tab/>
        <w:t>Хотя в Украине мало экстремистских организаций, он бы приветствовал некоторое разъяснение относительно процедур их регистрации или роспуска.</w:t>
      </w:r>
    </w:p>
    <w:p w:rsidR="00637557" w:rsidRDefault="00637557" w:rsidP="00637557">
      <w:pPr>
        <w:pStyle w:val="SingleTxtGR"/>
      </w:pPr>
      <w:r>
        <w:t>64.</w:t>
      </w:r>
      <w:r>
        <w:tab/>
        <w:t>Социальные сети в Интернете регламентируются теми же принципами свободы слова, что и другие средства массовой информации, однако они выз</w:t>
      </w:r>
      <w:r>
        <w:t>ы</w:t>
      </w:r>
      <w:r>
        <w:t>вают особую озабоченность. Он сомневается, может ли относиться к таким с</w:t>
      </w:r>
      <w:r>
        <w:t>о</w:t>
      </w:r>
      <w:r>
        <w:t>циальным форумам, как "Фейсбук" и "Твиттер", фраза из статьи 4 b) Конве</w:t>
      </w:r>
      <w:r>
        <w:t>н</w:t>
      </w:r>
      <w:r>
        <w:t>ции, касающаяся пропагандистских организаций. Здесь скорее применимы др</w:t>
      </w:r>
      <w:r>
        <w:t>у</w:t>
      </w:r>
      <w:r>
        <w:t>гие ссылки в статье 4 на пропагандистскую деятельность. В любом случае с</w:t>
      </w:r>
      <w:r>
        <w:t>о</w:t>
      </w:r>
      <w:r>
        <w:t>циальные форумы также могут выполнять воспитательную функцию, и можно надеяться, что здравые доводы возьмут верх. В этом контексте он привлекает внимание к недавним беспорядкам в Соединенном Королевстве, где социал</w:t>
      </w:r>
      <w:r>
        <w:t>ь</w:t>
      </w:r>
      <w:r>
        <w:t xml:space="preserve">ные сети в конечном счете сыграли позитивную роль в сплочении населения. </w:t>
      </w:r>
    </w:p>
    <w:p w:rsidR="00637557" w:rsidRDefault="00637557" w:rsidP="00637557">
      <w:pPr>
        <w:pStyle w:val="SingleTxtGR"/>
      </w:pPr>
      <w:r>
        <w:t>65.</w:t>
      </w:r>
      <w:r>
        <w:tab/>
        <w:t>Он отмечает, что Чемпионат Европы по футболу в 2012 году чреват сер</w:t>
      </w:r>
      <w:r>
        <w:t>ь</w:t>
      </w:r>
      <w:r>
        <w:t>езными возможностями возникновения межэтнических трений, причем не тол</w:t>
      </w:r>
      <w:r>
        <w:t>ь</w:t>
      </w:r>
      <w:r>
        <w:t xml:space="preserve">ко между украинскими болельщиками. </w:t>
      </w:r>
    </w:p>
    <w:p w:rsidR="00637557" w:rsidRDefault="00637557" w:rsidP="00637557">
      <w:pPr>
        <w:pStyle w:val="SingleTxtGR"/>
      </w:pPr>
      <w:r>
        <w:t>66.</w:t>
      </w:r>
      <w:r>
        <w:tab/>
        <w:t>В связи с замечаниями г-на Кута о караимах и крымчаках он считает, что здесь будут приемлемыми специальные меры, сходные с теми, которые пред</w:t>
      </w:r>
      <w:r>
        <w:t>у</w:t>
      </w:r>
      <w:r>
        <w:t>смотрены в общей рекомендации № 32. Потенциал групп населения, которые находятся сейчас в упадке, и возможность их процветания зависят, в конечном счете, от воли их членов. Поддержка со стороны государства может остановить этот процесс, а подход с учетом правозащитной составляющей может помочь этим группам справиться с переменами. Однако по достижении определенного рубежа сохранение их как живой культуры может оказаться крайне сло</w:t>
      </w:r>
      <w:r>
        <w:t>ж</w:t>
      </w:r>
      <w:r>
        <w:t xml:space="preserve">ным. </w:t>
      </w:r>
    </w:p>
    <w:p w:rsidR="00637557" w:rsidRDefault="00637557" w:rsidP="00637557">
      <w:pPr>
        <w:pStyle w:val="SingleTxtGR"/>
      </w:pPr>
      <w:r>
        <w:t>67.</w:t>
      </w:r>
      <w:r>
        <w:tab/>
        <w:t>Базу статистических данных по межэтническим отношениям необходимо расширять таким образом, чтобы это соответствовало принципам конфиденц</w:t>
      </w:r>
      <w:r>
        <w:t>и</w:t>
      </w:r>
      <w:r>
        <w:t>альности, анонимности и защиты данных личного характера.</w:t>
      </w:r>
    </w:p>
    <w:p w:rsidR="00637557" w:rsidRDefault="00637557" w:rsidP="00637557">
      <w:pPr>
        <w:pStyle w:val="SingleTxtGR"/>
      </w:pPr>
      <w:r>
        <w:t>68.</w:t>
      </w:r>
      <w:r>
        <w:tab/>
        <w:t>В целом перед государством-участником стоят сложные с концептуальной и практической точек зрения вопросы. Украине предстоит решить немало задач, включая изменение структуры населения. Когда страны с относительно ст</w:t>
      </w:r>
      <w:r>
        <w:t>а</w:t>
      </w:r>
      <w:r>
        <w:t>бильным населением начинают привлекать значительное число иммигрантов, возникает необходимость решения новых проблем. Признаком эффективного управления в этой области является способность к самооценке и конструкти</w:t>
      </w:r>
      <w:r>
        <w:t>в</w:t>
      </w:r>
      <w:r>
        <w:t xml:space="preserve">ному подходу. </w:t>
      </w:r>
    </w:p>
    <w:p w:rsidR="00637557" w:rsidRDefault="00637557" w:rsidP="00637557">
      <w:pPr>
        <w:pStyle w:val="SingleTxtGR"/>
      </w:pPr>
      <w:r>
        <w:t>69.</w:t>
      </w:r>
      <w:r>
        <w:tab/>
      </w:r>
      <w:r>
        <w:rPr>
          <w:b/>
        </w:rPr>
        <w:t>Г-н Маймескул</w:t>
      </w:r>
      <w:r>
        <w:t xml:space="preserve"> (Украина) говорит, что Украина будет поддерживать ко</w:t>
      </w:r>
      <w:r>
        <w:t>н</w:t>
      </w:r>
      <w:r>
        <w:t>структивные отношения с Комитетом и по-прежнему предпринимать все усилия для выполнения своих международных обязательств.</w:t>
      </w:r>
    </w:p>
    <w:p w:rsidR="00637557" w:rsidRPr="0090230B" w:rsidRDefault="00637557" w:rsidP="00637557">
      <w:pPr>
        <w:pStyle w:val="H4GR"/>
      </w:pPr>
      <w:r>
        <w:tab/>
      </w:r>
      <w:r>
        <w:tab/>
      </w:r>
      <w:r w:rsidRPr="00F87ED0">
        <w:t xml:space="preserve">Заседание закрывается в 12 ч. </w:t>
      </w:r>
      <w:r>
        <w:t>40</w:t>
      </w:r>
      <w:r w:rsidRPr="00F87ED0">
        <w:t xml:space="preserve"> м.</w:t>
      </w:r>
    </w:p>
    <w:sectPr w:rsidR="00637557" w:rsidRPr="0090230B"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656" w:rsidRDefault="00957656">
      <w:r>
        <w:rPr>
          <w:lang w:val="en-US"/>
        </w:rPr>
        <w:tab/>
      </w:r>
      <w:r>
        <w:separator/>
      </w:r>
    </w:p>
  </w:endnote>
  <w:endnote w:type="continuationSeparator" w:id="0">
    <w:p w:rsidR="00957656" w:rsidRDefault="00957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EBA" w:rsidRPr="009A6F4A" w:rsidRDefault="00B83EBA">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A413B4">
      <w:rPr>
        <w:rStyle w:val="PageNumber"/>
        <w:noProof/>
      </w:rPr>
      <w:t>12</w:t>
    </w:r>
    <w:r>
      <w:rPr>
        <w:rStyle w:val="PageNumber"/>
      </w:rPr>
      <w:fldChar w:fldCharType="end"/>
    </w:r>
    <w:r>
      <w:rPr>
        <w:lang w:val="en-US"/>
      </w:rPr>
      <w:tab/>
      <w:t>GE.11-44804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EBA" w:rsidRPr="009A6F4A" w:rsidRDefault="00B83EBA">
    <w:pPr>
      <w:pStyle w:val="Footer"/>
      <w:rPr>
        <w:lang w:val="en-US"/>
      </w:rPr>
    </w:pPr>
    <w:r>
      <w:rPr>
        <w:lang w:val="en-US"/>
      </w:rPr>
      <w:t>GE.11-44804</w:t>
    </w:r>
    <w:r>
      <w:rPr>
        <w:lang w:val="en-US"/>
      </w:rPr>
      <w:tab/>
    </w:r>
    <w:r>
      <w:rPr>
        <w:rStyle w:val="PageNumber"/>
      </w:rPr>
      <w:fldChar w:fldCharType="begin"/>
    </w:r>
    <w:r>
      <w:rPr>
        <w:rStyle w:val="PageNumber"/>
      </w:rPr>
      <w:instrText xml:space="preserve"> PAGE </w:instrText>
    </w:r>
    <w:r>
      <w:rPr>
        <w:rStyle w:val="PageNumber"/>
      </w:rPr>
      <w:fldChar w:fldCharType="separate"/>
    </w:r>
    <w:r w:rsidR="00A413B4">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EBA" w:rsidRPr="00637557" w:rsidRDefault="00B83EBA" w:rsidP="00637557">
    <w:pPr>
      <w:pStyle w:val="Footer"/>
      <w:pBdr>
        <w:bottom w:val="single" w:sz="4" w:space="1" w:color="auto"/>
      </w:pBdr>
      <w:rPr>
        <w:sz w:val="20"/>
        <w:lang w:val="en-US"/>
      </w:rPr>
    </w:pPr>
  </w:p>
  <w:p w:rsidR="00B83EBA" w:rsidRPr="00637557" w:rsidRDefault="00B83EBA" w:rsidP="00637557">
    <w:pPr>
      <w:pStyle w:val="SingleTxtGR"/>
      <w:spacing w:before="120"/>
      <w:rPr>
        <w:sz w:val="18"/>
        <w:szCs w:val="18"/>
      </w:rPr>
    </w:pPr>
    <w:r w:rsidRPr="00637557">
      <w:rPr>
        <w:sz w:val="18"/>
        <w:szCs w:val="18"/>
      </w:rPr>
      <w:t>В настоящий отчет могут вноситься поправки.</w:t>
    </w:r>
  </w:p>
  <w:p w:rsidR="00B83EBA" w:rsidRPr="00637557" w:rsidRDefault="00B83EBA" w:rsidP="00637557">
    <w:pPr>
      <w:pStyle w:val="SingleTxtGR"/>
      <w:rPr>
        <w:sz w:val="18"/>
        <w:szCs w:val="18"/>
      </w:rPr>
    </w:pPr>
    <w:r w:rsidRPr="00637557">
      <w:rPr>
        <w:sz w:val="18"/>
        <w:szCs w:val="18"/>
      </w:rPr>
      <w:t>Поправки должны представляться на одном из рабочих языков. Они должны быть изл</w:t>
    </w:r>
    <w:r w:rsidRPr="00637557">
      <w:rPr>
        <w:sz w:val="18"/>
        <w:szCs w:val="18"/>
      </w:rPr>
      <w:t>о</w:t>
    </w:r>
    <w:r w:rsidRPr="00637557">
      <w:rPr>
        <w:sz w:val="18"/>
        <w:szCs w:val="18"/>
      </w:rPr>
      <w:t>жены в пояснительной записке, а также внесены в один из экземпляров отчета. Попра</w:t>
    </w:r>
    <w:r w:rsidRPr="00637557">
      <w:rPr>
        <w:sz w:val="18"/>
        <w:szCs w:val="18"/>
      </w:rPr>
      <w:t>в</w:t>
    </w:r>
    <w:r w:rsidRPr="00637557">
      <w:rPr>
        <w:sz w:val="18"/>
        <w:szCs w:val="18"/>
      </w:rPr>
      <w:t xml:space="preserve">ки должны направляться </w:t>
    </w:r>
    <w:r w:rsidRPr="00637557">
      <w:rPr>
        <w:i/>
        <w:iCs/>
        <w:sz w:val="18"/>
        <w:szCs w:val="18"/>
      </w:rPr>
      <w:t>в течение одной недели с момента выпуска настоящего док</w:t>
    </w:r>
    <w:r w:rsidRPr="00637557">
      <w:rPr>
        <w:i/>
        <w:iCs/>
        <w:sz w:val="18"/>
        <w:szCs w:val="18"/>
      </w:rPr>
      <w:t>у</w:t>
    </w:r>
    <w:r w:rsidRPr="00637557">
      <w:rPr>
        <w:i/>
        <w:iCs/>
        <w:sz w:val="18"/>
        <w:szCs w:val="18"/>
      </w:rPr>
      <w:t>мента</w:t>
    </w:r>
    <w:r w:rsidRPr="00637557">
      <w:rPr>
        <w:sz w:val="18"/>
        <w:szCs w:val="18"/>
      </w:rPr>
      <w:t xml:space="preserve"> в </w:t>
    </w:r>
    <w:r w:rsidRPr="00637557">
      <w:rPr>
        <w:bCs/>
        <w:sz w:val="18"/>
        <w:szCs w:val="18"/>
      </w:rPr>
      <w:t>Группу редакционного контроля</w:t>
    </w:r>
    <w:r w:rsidRPr="00637557">
      <w:rPr>
        <w:sz w:val="18"/>
        <w:szCs w:val="18"/>
      </w:rPr>
      <w:t>, комната Е.4108, Дворец Наций, Женева.</w:t>
    </w:r>
  </w:p>
  <w:p w:rsidR="00B83EBA" w:rsidRPr="00637557" w:rsidRDefault="00B83EBA" w:rsidP="00A61125">
    <w:pPr>
      <w:pStyle w:val="SingleTxtGR"/>
      <w:spacing w:after="240"/>
      <w:rPr>
        <w:sz w:val="18"/>
        <w:szCs w:val="18"/>
      </w:rPr>
    </w:pPr>
    <w:r w:rsidRPr="00637557">
      <w:rPr>
        <w:sz w:val="18"/>
        <w:szCs w:val="18"/>
      </w:rPr>
      <w:t>Поправки к отчетам об открытых заседаниях Комите</w:t>
    </w:r>
    <w:r>
      <w:rPr>
        <w:sz w:val="18"/>
        <w:szCs w:val="18"/>
      </w:rPr>
      <w:t>та на этой сессии будут сведены</w:t>
    </w:r>
    <w:r w:rsidRPr="00637557">
      <w:rPr>
        <w:sz w:val="18"/>
        <w:szCs w:val="18"/>
      </w:rPr>
      <w:br/>
      <w:t>в единое исправление, которое будет издано вскоре после окончания сессии.</w:t>
    </w:r>
  </w:p>
  <w:p w:rsidR="00B83EBA" w:rsidRPr="009A6F4A" w:rsidRDefault="00B83EBA">
    <w:pPr>
      <w:pStyle w:val="Footer"/>
      <w:rPr>
        <w:sz w:val="20"/>
        <w:lang w:val="en-US"/>
      </w:rPr>
    </w:pPr>
    <w:r>
      <w:rPr>
        <w:sz w:val="20"/>
        <w:lang w:val="en-US"/>
      </w:rPr>
      <w:t>GE.11-44804  (R)  050112  050112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656" w:rsidRPr="00F71F63" w:rsidRDefault="0095765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57656" w:rsidRPr="00F71F63" w:rsidRDefault="00957656" w:rsidP="00635E86">
      <w:pPr>
        <w:tabs>
          <w:tab w:val="right" w:pos="2155"/>
        </w:tabs>
        <w:spacing w:after="80" w:line="240" w:lineRule="auto"/>
        <w:rPr>
          <w:u w:val="single"/>
          <w:lang w:val="en-US"/>
        </w:rPr>
      </w:pPr>
      <w:r w:rsidRPr="00F71F63">
        <w:rPr>
          <w:u w:val="single"/>
          <w:lang w:val="en-US"/>
        </w:rPr>
        <w:tab/>
      </w:r>
    </w:p>
    <w:p w:rsidR="00957656" w:rsidRPr="00635E86" w:rsidRDefault="00957656"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EBA" w:rsidRPr="005A734F" w:rsidRDefault="00B83EBA">
    <w:pPr>
      <w:pStyle w:val="Header"/>
      <w:rPr>
        <w:lang w:val="en-US"/>
      </w:rPr>
    </w:pPr>
    <w:r>
      <w:rPr>
        <w:lang w:val="en-US"/>
      </w:rPr>
      <w:t>CERD/C/SR.2105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EBA" w:rsidRPr="009A6F4A" w:rsidRDefault="00B83EBA">
    <w:pPr>
      <w:pStyle w:val="Header"/>
      <w:rPr>
        <w:lang w:val="en-US"/>
      </w:rPr>
    </w:pPr>
    <w:r>
      <w:rPr>
        <w:lang w:val="en-US"/>
      </w:rPr>
      <w:tab/>
      <w:t>CERD/C/SR.2105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0096"/>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463F7"/>
    <w:rsid w:val="0015769C"/>
    <w:rsid w:val="00173E64"/>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B43B0"/>
    <w:rsid w:val="002C5036"/>
    <w:rsid w:val="002C6A71"/>
    <w:rsid w:val="002C6D5F"/>
    <w:rsid w:val="002D15EA"/>
    <w:rsid w:val="002D6C07"/>
    <w:rsid w:val="002E0CE6"/>
    <w:rsid w:val="002E1163"/>
    <w:rsid w:val="002E2AC8"/>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1A1"/>
    <w:rsid w:val="00474F42"/>
    <w:rsid w:val="0048244D"/>
    <w:rsid w:val="004A0DE8"/>
    <w:rsid w:val="004A4CB7"/>
    <w:rsid w:val="004A57B5"/>
    <w:rsid w:val="004B19DA"/>
    <w:rsid w:val="004B77A8"/>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3755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2A04"/>
    <w:rsid w:val="006E6860"/>
    <w:rsid w:val="006E7183"/>
    <w:rsid w:val="006F5FBF"/>
    <w:rsid w:val="0070327E"/>
    <w:rsid w:val="00707B5F"/>
    <w:rsid w:val="00735602"/>
    <w:rsid w:val="007511D7"/>
    <w:rsid w:val="0075279B"/>
    <w:rsid w:val="00753748"/>
    <w:rsid w:val="00762446"/>
    <w:rsid w:val="00762EE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656"/>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413B4"/>
    <w:rsid w:val="00A61125"/>
    <w:rsid w:val="00A800D1"/>
    <w:rsid w:val="00A92699"/>
    <w:rsid w:val="00AB5BF0"/>
    <w:rsid w:val="00AC1C95"/>
    <w:rsid w:val="00AC2CCB"/>
    <w:rsid w:val="00AC443A"/>
    <w:rsid w:val="00AE60E2"/>
    <w:rsid w:val="00B0169F"/>
    <w:rsid w:val="00B05F21"/>
    <w:rsid w:val="00B14EA9"/>
    <w:rsid w:val="00B30A3C"/>
    <w:rsid w:val="00B81305"/>
    <w:rsid w:val="00B83EBA"/>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C0096"/>
    <w:rsid w:val="00CE3D6F"/>
    <w:rsid w:val="00CE79A5"/>
    <w:rsid w:val="00CF0042"/>
    <w:rsid w:val="00CF262F"/>
    <w:rsid w:val="00D025D5"/>
    <w:rsid w:val="00D26B13"/>
    <w:rsid w:val="00D26CC1"/>
    <w:rsid w:val="00D30662"/>
    <w:rsid w:val="00D3131D"/>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23GR">
    <w:name w:val="_ H_2/3_GR Знак"/>
    <w:link w:val="H23GR0"/>
    <w:rsid w:val="00637557"/>
    <w:rPr>
      <w:b/>
      <w:spacing w:val="4"/>
      <w:w w:val="103"/>
      <w:kern w:val="14"/>
      <w:lang w:val="ru-RU"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0">
    <w:name w:val="_ H_2/3_GR"/>
    <w:basedOn w:val="Normal"/>
    <w:next w:val="Normal"/>
    <w:link w:val="H23GR"/>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4595</Words>
  <Characters>31249</Characters>
  <Application>Microsoft Office Word</Application>
  <DocSecurity>4</DocSecurity>
  <Lines>548</Lines>
  <Paragraphs>101</Paragraphs>
  <ScaleCrop>false</ScaleCrop>
  <HeadingPairs>
    <vt:vector size="2" baseType="variant">
      <vt:variant>
        <vt:lpstr>Название</vt:lpstr>
      </vt:variant>
      <vt:variant>
        <vt:i4>1</vt:i4>
      </vt:variant>
    </vt:vector>
  </HeadingPairs>
  <TitlesOfParts>
    <vt:vector size="1" baseType="lpstr">
      <vt:lpstr>44804</vt:lpstr>
    </vt:vector>
  </TitlesOfParts>
  <Company>CSD</Company>
  <LinksUpToDate>false</LinksUpToDate>
  <CharactersWithSpaces>35743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44804</dc:title>
  <dc:subject/>
  <dc:creator>Anna Kisseleva</dc:creator>
  <cp:keywords/>
  <dc:description/>
  <cp:lastModifiedBy>Anna Kisseleva</cp:lastModifiedBy>
  <cp:revision>7</cp:revision>
  <cp:lastPrinted>2012-01-05T14:09:00Z</cp:lastPrinted>
  <dcterms:created xsi:type="dcterms:W3CDTF">2012-01-05T14:09:00Z</dcterms:created>
  <dcterms:modified xsi:type="dcterms:W3CDTF">2012-01-05T14:10:00Z</dcterms:modified>
</cp:coreProperties>
</file>