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8B2" w:rsidRDefault="005178B2">
      <w:pPr>
        <w:spacing w:line="60" w:lineRule="exact"/>
        <w:rPr>
          <w:sz w:val="6"/>
        </w:rPr>
        <w:sectPr w:rsidR="005178B2">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5178B2" w:rsidRDefault="005178B2">
      <w:pPr>
        <w:spacing w:line="60" w:lineRule="exact"/>
        <w:rPr>
          <w:sz w:val="6"/>
        </w:rPr>
      </w:pPr>
    </w:p>
    <w:p w:rsidR="005178B2" w:rsidRDefault="005178B2">
      <w:pPr>
        <w:pStyle w:val="H1"/>
        <w:spacing w:before="60" w:after="60"/>
        <w:rPr>
          <w:rFonts w:hint="eastAsia"/>
        </w:rPr>
      </w:pPr>
      <w:r>
        <w:rPr>
          <w:rFonts w:hint="eastAsia"/>
        </w:rPr>
        <w:t>消除对妇女歧视委员会</w:t>
      </w:r>
    </w:p>
    <w:p w:rsidR="005178B2" w:rsidRDefault="005178B2">
      <w:pPr>
        <w:pStyle w:val="H23"/>
        <w:spacing w:before="60" w:after="60"/>
        <w:rPr>
          <w:rFonts w:hint="eastAsia"/>
        </w:rPr>
      </w:pPr>
      <w:r>
        <w:rPr>
          <w:rFonts w:hint="eastAsia"/>
        </w:rPr>
        <w:t>第二十届会议</w:t>
      </w:r>
    </w:p>
    <w:p w:rsidR="005178B2" w:rsidRDefault="005178B2">
      <w:pPr>
        <w:spacing w:before="60" w:after="60" w:line="120" w:lineRule="exact"/>
        <w:rPr>
          <w:sz w:val="12"/>
        </w:rPr>
      </w:pPr>
    </w:p>
    <w:p w:rsidR="005178B2" w:rsidRDefault="005178B2">
      <w:pPr>
        <w:spacing w:before="60" w:after="60" w:line="120" w:lineRule="exact"/>
        <w:rPr>
          <w:sz w:val="10"/>
        </w:rPr>
      </w:pPr>
    </w:p>
    <w:p w:rsidR="005178B2" w:rsidRDefault="005178B2">
      <w:pPr>
        <w:pStyle w:val="H23"/>
        <w:spacing w:before="60" w:after="60"/>
        <w:rPr>
          <w:rFonts w:hint="eastAsia"/>
        </w:rPr>
      </w:pPr>
      <w:r>
        <w:rPr>
          <w:rFonts w:hint="eastAsia"/>
        </w:rPr>
        <w:t>第416次会议简要记录</w:t>
      </w:r>
    </w:p>
    <w:p w:rsidR="005178B2" w:rsidRDefault="005178B2">
      <w:pPr>
        <w:spacing w:before="60" w:after="60"/>
        <w:rPr>
          <w:rFonts w:hint="eastAsia"/>
        </w:rPr>
      </w:pPr>
      <w:r>
        <w:rPr>
          <w:rFonts w:hint="eastAsia"/>
        </w:rPr>
        <w:t>1999年1月28日，星期四，下午3时在纽约总部举行</w:t>
      </w:r>
    </w:p>
    <w:p w:rsidR="005178B2" w:rsidRDefault="005178B2">
      <w:pPr>
        <w:spacing w:line="120" w:lineRule="exact"/>
        <w:rPr>
          <w:rFonts w:hint="eastAsia"/>
          <w:sz w:val="10"/>
        </w:rPr>
      </w:pPr>
    </w:p>
    <w:p w:rsidR="005178B2" w:rsidRDefault="005178B2">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冈萨雷斯女士</w:t>
      </w:r>
    </w:p>
    <w:p w:rsidR="005178B2" w:rsidRDefault="005178B2">
      <w:pPr>
        <w:tabs>
          <w:tab w:val="left" w:pos="1267"/>
          <w:tab w:val="right" w:leader="dot" w:pos="8568"/>
        </w:tabs>
        <w:spacing w:line="120" w:lineRule="exact"/>
        <w:ind w:right="1267"/>
        <w:rPr>
          <w:color w:val="000000"/>
          <w:sz w:val="10"/>
        </w:rPr>
      </w:pPr>
    </w:p>
    <w:p w:rsidR="005178B2" w:rsidRDefault="005178B2">
      <w:pPr>
        <w:tabs>
          <w:tab w:val="left" w:pos="1267"/>
          <w:tab w:val="right" w:leader="dot" w:pos="8568"/>
        </w:tabs>
        <w:spacing w:line="120" w:lineRule="exact"/>
        <w:ind w:right="1267"/>
        <w:rPr>
          <w:color w:val="000000"/>
          <w:sz w:val="10"/>
        </w:rPr>
      </w:pPr>
    </w:p>
    <w:p w:rsidR="005178B2" w:rsidRDefault="005178B2">
      <w:pPr>
        <w:tabs>
          <w:tab w:val="left" w:pos="1267"/>
          <w:tab w:val="right" w:leader="dot" w:pos="8568"/>
        </w:tabs>
        <w:spacing w:line="120" w:lineRule="exact"/>
        <w:ind w:right="1267"/>
        <w:rPr>
          <w:color w:val="000000"/>
          <w:sz w:val="10"/>
        </w:rPr>
      </w:pPr>
    </w:p>
    <w:p w:rsidR="005178B2" w:rsidRDefault="005178B2">
      <w:pPr>
        <w:pStyle w:val="HCh"/>
        <w:rPr>
          <w:rFonts w:eastAsia="SimSun" w:hint="eastAsia"/>
        </w:rPr>
      </w:pPr>
      <w:r>
        <w:rPr>
          <w:rFonts w:eastAsia="SimSun" w:hint="eastAsia"/>
        </w:rPr>
        <w:t>目录</w:t>
      </w:r>
    </w:p>
    <w:p w:rsidR="005178B2" w:rsidRDefault="005178B2">
      <w:pPr>
        <w:pStyle w:val="HCh"/>
        <w:spacing w:line="240" w:lineRule="auto"/>
        <w:rPr>
          <w:rFonts w:eastAsia="SimSun"/>
          <w:sz w:val="14"/>
        </w:rPr>
      </w:pPr>
    </w:p>
    <w:p w:rsidR="005178B2" w:rsidRDefault="005178B2">
      <w:pPr>
        <w:pStyle w:val="SingleTxt"/>
        <w:rPr>
          <w:rFonts w:hint="eastAsia"/>
        </w:rPr>
      </w:pPr>
      <w:r>
        <w:rPr>
          <w:rFonts w:hint="eastAsia"/>
        </w:rPr>
        <w:t>审议缔约国根据《公约》第十八条提交的报告（</w:t>
      </w:r>
      <w:r>
        <w:rPr>
          <w:rFonts w:ascii="KaiTi_GB2312" w:eastAsia="KaiTi_GB2312" w:hint="eastAsia"/>
          <w:color w:val="0000FF"/>
        </w:rPr>
        <w:t>续</w:t>
      </w:r>
      <w:r>
        <w:rPr>
          <w:rFonts w:hint="eastAsia"/>
        </w:rPr>
        <w:t>）</w:t>
      </w:r>
    </w:p>
    <w:p w:rsidR="005178B2" w:rsidRDefault="005178B2">
      <w:pPr>
        <w:pStyle w:val="SingleTxt"/>
        <w:ind w:left="1695"/>
        <w:rPr>
          <w:rFonts w:ascii="KaiTi_GB2312" w:eastAsia="KaiTi_GB2312"/>
          <w:color w:val="0000FF"/>
        </w:rPr>
      </w:pPr>
      <w:r>
        <w:rPr>
          <w:rFonts w:ascii="KaiTi_GB2312" w:eastAsia="KaiTi_GB2312" w:hint="eastAsia"/>
          <w:color w:val="0000FF"/>
        </w:rPr>
        <w:t>希腊的合并第二次和第三次定期报告（续）</w:t>
      </w:r>
    </w:p>
    <w:p w:rsidR="005178B2" w:rsidRDefault="005178B2">
      <w:pPr>
        <w:pStyle w:val="SingleTxt"/>
        <w:spacing w:after="0" w:line="60" w:lineRule="exact"/>
        <w:ind w:left="1695"/>
        <w:sectPr w:rsidR="005178B2">
          <w:type w:val="continuous"/>
          <w:pgSz w:w="12242" w:h="15842" w:code="1"/>
          <w:pgMar w:top="1742" w:right="1195" w:bottom="1898" w:left="1195" w:header="576" w:footer="1030" w:gutter="0"/>
          <w:pgNumType w:start="1"/>
          <w:cols w:space="425"/>
          <w:noEndnote/>
          <w:docGrid w:type="lines" w:linePitch="312"/>
        </w:sectPr>
      </w:pPr>
      <w:r>
        <w:br w:type="page"/>
      </w:r>
    </w:p>
    <w:p w:rsidR="005178B2" w:rsidRDefault="005178B2">
      <w:pPr>
        <w:pStyle w:val="DualTxt"/>
        <w:tabs>
          <w:tab w:val="clear" w:pos="432"/>
          <w:tab w:val="left" w:pos="431"/>
        </w:tabs>
        <w:spacing w:line="328" w:lineRule="atLeast"/>
        <w:ind w:left="431"/>
        <w:rPr>
          <w:rFonts w:ascii="KaiTi_GB2312" w:eastAsia="KaiTi_GB2312" w:hint="eastAsia"/>
          <w:color w:val="0000FF"/>
        </w:rPr>
      </w:pPr>
      <w:r>
        <w:rPr>
          <w:rFonts w:hint="eastAsia"/>
        </w:rPr>
        <w:tab/>
      </w:r>
      <w:r>
        <w:rPr>
          <w:rFonts w:ascii="KaiTi_GB2312" w:eastAsia="KaiTi_GB2312" w:hint="eastAsia"/>
          <w:color w:val="0000FF"/>
        </w:rPr>
        <w:t>下午3时零5分宣布开会</w:t>
      </w:r>
    </w:p>
    <w:p w:rsidR="005178B2" w:rsidRDefault="005178B2">
      <w:pPr>
        <w:pStyle w:val="DualTxt"/>
        <w:tabs>
          <w:tab w:val="clear" w:pos="432"/>
          <w:tab w:val="left" w:pos="431"/>
        </w:tabs>
        <w:spacing w:line="328" w:lineRule="atLeast"/>
        <w:ind w:left="431"/>
        <w:rPr>
          <w:rFonts w:ascii="SimHei" w:eastAsia="SimHei" w:hint="eastAsia"/>
          <w:color w:val="FF0000"/>
          <w:spacing w:val="-6"/>
        </w:rPr>
      </w:pPr>
      <w:r>
        <w:rPr>
          <w:rFonts w:ascii="SimHei" w:eastAsia="SimHei" w:hint="eastAsia"/>
          <w:color w:val="FF0000"/>
          <w:spacing w:val="-6"/>
        </w:rPr>
        <w:t>审议缔约国根据《公约》第十八条提交的报告</w:t>
      </w:r>
      <w:r>
        <w:rPr>
          <w:rFonts w:ascii="KaiTi_GB2312" w:eastAsia="KaiTi_GB2312" w:hint="eastAsia"/>
          <w:color w:val="0000FF"/>
          <w:spacing w:val="-6"/>
        </w:rPr>
        <w:t>（续）</w:t>
      </w:r>
    </w:p>
    <w:p w:rsidR="005178B2" w:rsidRDefault="005178B2">
      <w:pPr>
        <w:pStyle w:val="DualTxt"/>
        <w:tabs>
          <w:tab w:val="clear" w:pos="432"/>
          <w:tab w:val="left" w:pos="431"/>
        </w:tabs>
        <w:spacing w:line="328" w:lineRule="atLeast"/>
        <w:ind w:left="864"/>
        <w:rPr>
          <w:rFonts w:hint="eastAsia"/>
          <w:spacing w:val="6"/>
        </w:rPr>
      </w:pPr>
      <w:r>
        <w:rPr>
          <w:rFonts w:ascii="KaiTi_GB2312" w:eastAsia="KaiTi_GB2312" w:hint="eastAsia"/>
          <w:color w:val="0000FF"/>
          <w:spacing w:val="-10"/>
        </w:rPr>
        <w:t>希腊的合并第二次和第三次定期报告</w:t>
      </w:r>
      <w:r>
        <w:rPr>
          <w:spacing w:val="-10"/>
        </w:rPr>
        <w:t>(</w:t>
      </w:r>
      <w:r>
        <w:rPr>
          <w:rFonts w:ascii="KaiTi_GB2312" w:eastAsia="KaiTi_GB2312" w:hint="eastAsia"/>
          <w:color w:val="0000FF"/>
          <w:spacing w:val="-10"/>
        </w:rPr>
        <w:t>续</w:t>
      </w:r>
      <w:r>
        <w:rPr>
          <w:rFonts w:hint="eastAsia"/>
          <w:spacing w:val="-10"/>
        </w:rPr>
        <w:t>)</w:t>
      </w:r>
      <w:r>
        <w:rPr>
          <w:spacing w:val="-6"/>
        </w:rPr>
        <w:t>(</w:t>
      </w:r>
      <w:r>
        <w:rPr>
          <w:rFonts w:hint="eastAsia"/>
          <w:spacing w:val="6"/>
        </w:rPr>
        <w:t>CEDAW/C/GRC/2-3；CEDAW/C/1999/  I/CRP.1/Add.3)</w:t>
      </w:r>
    </w:p>
    <w:p w:rsidR="005178B2" w:rsidRDefault="005178B2">
      <w:pPr>
        <w:pStyle w:val="DualTxt"/>
        <w:tabs>
          <w:tab w:val="clear" w:pos="432"/>
          <w:tab w:val="left" w:pos="431"/>
        </w:tabs>
        <w:spacing w:line="328" w:lineRule="atLeast"/>
        <w:ind w:left="431"/>
        <w:rPr>
          <w:rFonts w:hint="eastAsia"/>
        </w:rPr>
      </w:pPr>
      <w:r>
        <w:rPr>
          <w:rFonts w:hint="eastAsia"/>
        </w:rPr>
        <w:t>1.</w:t>
      </w:r>
      <w:r>
        <w:rPr>
          <w:rFonts w:hint="eastAsia"/>
        </w:rPr>
        <w:tab/>
        <w:t>应主席邀请，Karali-Dimitriadi女士和Zervou女士（希腊）出席委员会会议。</w:t>
      </w:r>
    </w:p>
    <w:p w:rsidR="005178B2" w:rsidRDefault="005178B2">
      <w:pPr>
        <w:pStyle w:val="DualTxt"/>
        <w:tabs>
          <w:tab w:val="clear" w:pos="432"/>
          <w:tab w:val="left" w:pos="431"/>
        </w:tabs>
        <w:spacing w:line="328" w:lineRule="atLeast"/>
        <w:ind w:left="431"/>
        <w:rPr>
          <w:rFonts w:hint="eastAsia"/>
        </w:rPr>
      </w:pPr>
      <w:r>
        <w:rPr>
          <w:rFonts w:hint="eastAsia"/>
        </w:rPr>
        <w:t>2.</w:t>
      </w:r>
      <w:r>
        <w:rPr>
          <w:rFonts w:hint="eastAsia"/>
        </w:rPr>
        <w:tab/>
      </w:r>
      <w:r>
        <w:rPr>
          <w:rFonts w:ascii="SimHei" w:eastAsia="SimHei" w:hint="eastAsia"/>
          <w:color w:val="FF0000"/>
        </w:rPr>
        <w:t>Corti女士</w:t>
      </w:r>
      <w:r>
        <w:rPr>
          <w:rFonts w:hint="eastAsia"/>
        </w:rPr>
        <w:t>说，为了衡量所取得的进展，委员会需要得到有关希腊妇女过去状况的资料。希腊颁布了一系列旨在提高妇女地位的进步法律，并设立了独立机构，它们与民间社会、非政府组织和企业界合作宣传妇女问题。在家庭法领域取得很大进展，尤其是考虑到希腊男子对妇女的根深蒂固的态度。她尤其高兴地注意到希腊已认识到《北京行动纲要》的关键要素是执行《消除对妇女一切形式歧视公约》。</w:t>
      </w:r>
    </w:p>
    <w:p w:rsidR="005178B2" w:rsidRDefault="005178B2">
      <w:pPr>
        <w:pStyle w:val="DualTxt"/>
        <w:tabs>
          <w:tab w:val="clear" w:pos="432"/>
          <w:tab w:val="left" w:pos="431"/>
        </w:tabs>
        <w:spacing w:after="120" w:line="328" w:lineRule="atLeast"/>
        <w:ind w:left="431"/>
        <w:rPr>
          <w:rFonts w:hint="eastAsia"/>
        </w:rPr>
      </w:pPr>
      <w:r>
        <w:rPr>
          <w:rFonts w:hint="eastAsia"/>
        </w:rPr>
        <w:t>3.</w:t>
      </w:r>
      <w:r>
        <w:rPr>
          <w:rFonts w:hint="eastAsia"/>
        </w:rPr>
        <w:tab/>
        <w:t>希腊正面临着困难的经济形势，许多不利影响都波及妇女。虽说建立了促进妇女就业机制，但结果仍不能令人满意。总体而言，希腊虽颁布了促进妇女权利的法律，但希腊妇女的实际状况没有多大改善。</w:t>
      </w:r>
    </w:p>
    <w:p w:rsidR="005178B2" w:rsidRDefault="005178B2">
      <w:pPr>
        <w:pStyle w:val="DualTxt"/>
        <w:tabs>
          <w:tab w:val="clear" w:pos="432"/>
          <w:tab w:val="left" w:pos="431"/>
        </w:tabs>
        <w:spacing w:line="328" w:lineRule="atLeast"/>
        <w:ind w:left="431"/>
        <w:rPr>
          <w:rFonts w:hint="eastAsia"/>
        </w:rPr>
      </w:pPr>
      <w:r>
        <w:rPr>
          <w:rFonts w:hint="eastAsia"/>
        </w:rPr>
        <w:t>4.</w:t>
      </w:r>
      <w:r>
        <w:rPr>
          <w:rFonts w:hint="eastAsia"/>
        </w:rPr>
        <w:tab/>
        <w:t>她要求得到更多的移徙妇女状况资料，尤其是有关塞萨洛尼基（萨洛尼卡）市内及周围地区的阿尔巴尼亚和第三世界移民的资料。她要求得到关于希腊如何对待罗姆人、阿尔巴尼亚人、土耳其人和其他少数族裔、尤其是妇女的资料。关于第六条，她想知道的是，鉴于没有一个中央机构追踪了解希腊全国的卖淫业情况，希腊政府打算如何确保落实该条款就妓女问题所作的规定。她想知道的是，为什么因侵犯性自由罪和经济剥削性生活罪而被起诉的似乎大都是妇女。还必须触及女性文盲率偏高的问题，尤其是在年轻人、农村人口、老年妇女和山区或边远地区的妇女中。她认为，反对使用避孕药具，这一传统态度可能导致了希腊的高流产率。还必须处理高离婚率及其对妇女、儿童的影响问题。</w:t>
      </w:r>
    </w:p>
    <w:p w:rsidR="005178B2" w:rsidRDefault="005178B2">
      <w:pPr>
        <w:pStyle w:val="DualTxt"/>
        <w:tabs>
          <w:tab w:val="clear" w:pos="432"/>
          <w:tab w:val="left" w:pos="431"/>
        </w:tabs>
        <w:ind w:left="431"/>
        <w:rPr>
          <w:rFonts w:hint="eastAsia"/>
        </w:rPr>
      </w:pPr>
      <w:r>
        <w:rPr>
          <w:rFonts w:hint="eastAsia"/>
        </w:rPr>
        <w:t>5.</w:t>
      </w:r>
      <w:r>
        <w:rPr>
          <w:rFonts w:hint="eastAsia"/>
        </w:rPr>
        <w:tab/>
        <w:t>她感到鼓舞的是，希腊批准了许多有关妇女权利问题的公约，包括国际劳工组织（劳工组织）的一些公约。她希望希腊能在下次报告中汇报在提高妇女地位领域继续取得进展，尤其是有更多妇女担任决策职务的情况。</w:t>
      </w:r>
    </w:p>
    <w:p w:rsidR="005178B2" w:rsidRDefault="005178B2">
      <w:pPr>
        <w:pStyle w:val="DualTxt"/>
        <w:tabs>
          <w:tab w:val="clear" w:pos="432"/>
          <w:tab w:val="left" w:pos="431"/>
        </w:tabs>
        <w:ind w:left="431"/>
        <w:rPr>
          <w:rFonts w:hint="eastAsia"/>
        </w:rPr>
      </w:pPr>
      <w:r>
        <w:rPr>
          <w:rFonts w:hint="eastAsia"/>
        </w:rPr>
        <w:t>6.</w:t>
      </w:r>
      <w:r>
        <w:rPr>
          <w:rFonts w:hint="eastAsia"/>
        </w:rPr>
        <w:tab/>
      </w:r>
      <w:r>
        <w:rPr>
          <w:rFonts w:ascii="SimHei" w:eastAsia="SimHei" w:hint="eastAsia"/>
          <w:color w:val="FF0000"/>
        </w:rPr>
        <w:t>Abaka女士</w:t>
      </w:r>
      <w:r>
        <w:rPr>
          <w:rFonts w:hint="eastAsia"/>
        </w:rPr>
        <w:t>提及第五条，对配偶强奸仅被视为不光彩攻击行为表示关切。她强调指出，强奸是严重违反人权行为。她还感到关切的是，精神暴力未被视为犯罪行为，而精神暴力有时比肉体暴力更具危害性。她提请希腊代表团注意委员会一般性建议第19项以及1993年《联合国消除对妇女的暴力行为宣言》。</w:t>
      </w:r>
    </w:p>
    <w:p w:rsidR="005178B2" w:rsidRDefault="005178B2">
      <w:pPr>
        <w:pStyle w:val="DualTxt"/>
        <w:tabs>
          <w:tab w:val="clear" w:pos="432"/>
          <w:tab w:val="left" w:pos="431"/>
        </w:tabs>
        <w:spacing w:after="160"/>
        <w:ind w:left="431"/>
        <w:rPr>
          <w:rFonts w:hint="eastAsia"/>
        </w:rPr>
      </w:pPr>
      <w:r>
        <w:rPr>
          <w:rFonts w:hint="eastAsia"/>
        </w:rPr>
        <w:t>7.</w:t>
      </w:r>
      <w:r>
        <w:rPr>
          <w:rFonts w:hint="eastAsia"/>
        </w:rPr>
        <w:tab/>
        <w:t>关于第十二条，她强调指出，必须使妇女了解多次流产的身心后果，这不仅关系到作流产的妇女本身，而且还关系到其家人。流产并不只是另一种计划生育方式，尤其是在可以得到避孕药具的情况下。男子积极参与计划生育方案有助于降低流产率。私人诊所内非法流产很多，令人不安，有损私营医疗保健部门的形象。必须密切监督私人诊所和医院，因为不卫生的做法可能导致疾病扩散，尤其是艾滋病毒/艾滋病。</w:t>
      </w:r>
    </w:p>
    <w:p w:rsidR="005178B2" w:rsidRDefault="005178B2">
      <w:pPr>
        <w:pStyle w:val="DualTxt"/>
        <w:tabs>
          <w:tab w:val="clear" w:pos="432"/>
          <w:tab w:val="left" w:pos="431"/>
        </w:tabs>
        <w:spacing w:after="160"/>
        <w:ind w:left="431"/>
        <w:rPr>
          <w:rFonts w:hint="eastAsia"/>
        </w:rPr>
      </w:pPr>
      <w:r>
        <w:rPr>
          <w:rFonts w:hint="eastAsia"/>
        </w:rPr>
        <w:t>8.</w:t>
      </w:r>
      <w:r>
        <w:rPr>
          <w:rFonts w:hint="eastAsia"/>
        </w:rPr>
        <w:tab/>
      </w:r>
      <w:r>
        <w:rPr>
          <w:rFonts w:ascii="SimHei" w:eastAsia="SimHei" w:hint="eastAsia"/>
          <w:color w:val="FF0000"/>
        </w:rPr>
        <w:t>Ferrer女士</w:t>
      </w:r>
      <w:r>
        <w:rPr>
          <w:rFonts w:hint="eastAsia"/>
        </w:rPr>
        <w:t>说，平等问题总秘书处应与那些有助于总秘书处工作的非政府组织保持密切接触。规定公共组织的部委和理事会必须至少有一名妇女代表的那项法律虽说被宣布为不符合宪法，但它却是推动妇女更多参与行政管理的一个非常积极的途径，故应予重新考虑。她感到关切的是，区、县的平等问题委员会已被取消，而主管平等问题的部门领导不具有明确界定的处理平等问题职责。她询问是否正采取任何措施以恢复这些委员会和（或）由类似机构取代。</w:t>
      </w:r>
    </w:p>
    <w:p w:rsidR="005178B2" w:rsidRDefault="005178B2">
      <w:pPr>
        <w:pStyle w:val="DualTxt"/>
        <w:tabs>
          <w:tab w:val="clear" w:pos="432"/>
          <w:tab w:val="left" w:pos="431"/>
        </w:tabs>
        <w:ind w:left="431"/>
        <w:rPr>
          <w:rFonts w:hint="eastAsia"/>
        </w:rPr>
      </w:pPr>
      <w:r>
        <w:rPr>
          <w:rFonts w:hint="eastAsia"/>
        </w:rPr>
        <w:t>9.</w:t>
      </w:r>
      <w:r>
        <w:rPr>
          <w:rFonts w:hint="eastAsia"/>
        </w:rPr>
        <w:tab/>
      </w:r>
      <w:r>
        <w:rPr>
          <w:rFonts w:ascii="SimHei" w:eastAsia="SimHei" w:hint="eastAsia"/>
          <w:color w:val="FF0000"/>
        </w:rPr>
        <w:t>Khan女士</w:t>
      </w:r>
      <w:r>
        <w:rPr>
          <w:rFonts w:hint="eastAsia"/>
        </w:rPr>
        <w:t>说，希腊政府优先关注针对妇女的暴力、为妇女创造就业、减少男女间歧视等问题，这给她留下了深刻印象。她同样深受感触的是希腊努力将妇女纳入社会发展，使她们为经济作出更多贡献。希腊努力将妇女在家中所作的无报酬工作的价值量化，这是独特做法，对妇女纳入经济主流具有特别重要的意义。她欢迎希腊批准若干劳工组织公约及采取措施消除就业领域的歧视。令人鼓舞的是，73％的新职位都给了妇女，即便其中大多数似乎都是起职位置。她想知道因现代化而失业的农村妇女可得到怎样的职业培训和就业机会；她尤其想知道是否为农村文盲妇女提供此类机会。</w:t>
      </w:r>
    </w:p>
    <w:p w:rsidR="005178B2" w:rsidRDefault="005178B2">
      <w:pPr>
        <w:pStyle w:val="DualTxt"/>
        <w:tabs>
          <w:tab w:val="clear" w:pos="432"/>
          <w:tab w:val="left" w:pos="431"/>
        </w:tabs>
        <w:ind w:left="431"/>
        <w:rPr>
          <w:rFonts w:hint="eastAsia"/>
        </w:rPr>
      </w:pPr>
      <w:r>
        <w:rPr>
          <w:rFonts w:hint="eastAsia"/>
        </w:rPr>
        <w:t>10.</w:t>
      </w:r>
      <w:r>
        <w:rPr>
          <w:rFonts w:hint="eastAsia"/>
        </w:rPr>
        <w:tab/>
        <w:t>尽管订有机会均等政策，男女之间在工资和养恤金方面仍有差距，必须采取措施予以消除。希腊妇女的状况仍有许多需改善之处，尤其是在劳务市场领域。希腊制定了消除对妇女歧视的工具，它必须努力地充分利用这些工具，并须特别关注农村妇女的困境。</w:t>
      </w:r>
    </w:p>
    <w:p w:rsidR="005178B2" w:rsidRDefault="005178B2">
      <w:pPr>
        <w:pStyle w:val="DualTxt"/>
        <w:tabs>
          <w:tab w:val="clear" w:pos="432"/>
          <w:tab w:val="left" w:pos="431"/>
        </w:tabs>
        <w:ind w:left="431"/>
        <w:rPr>
          <w:rFonts w:hint="eastAsia"/>
        </w:rPr>
      </w:pPr>
      <w:r>
        <w:rPr>
          <w:rFonts w:hint="eastAsia"/>
        </w:rPr>
        <w:t>11.</w:t>
      </w:r>
      <w:r>
        <w:rPr>
          <w:rFonts w:hint="eastAsia"/>
        </w:rPr>
        <w:tab/>
      </w:r>
      <w:r>
        <w:rPr>
          <w:rFonts w:ascii="SimHei" w:eastAsia="SimHei" w:hint="eastAsia"/>
          <w:color w:val="FF0000"/>
        </w:rPr>
        <w:t>Acar女士</w:t>
      </w:r>
      <w:r>
        <w:rPr>
          <w:rFonts w:hint="eastAsia"/>
        </w:rPr>
        <w:t>说，希腊努力确保男女平等，消除就业歧视，为整个区域树立了榜样。她称赞希腊政府努力推动妇女更多加入劳动力大军，努力提高公众对平等问题的认识。希腊政府在其法律中引入了无性别歧视和反对歧视的价值观，并予以实施，尤其是在执法人员和大众媒体中实施，这也令人称道。</w:t>
      </w:r>
    </w:p>
    <w:p w:rsidR="005178B2" w:rsidRDefault="005178B2">
      <w:pPr>
        <w:pStyle w:val="DualTxt"/>
        <w:tabs>
          <w:tab w:val="clear" w:pos="432"/>
          <w:tab w:val="left" w:pos="431"/>
        </w:tabs>
        <w:ind w:left="431"/>
        <w:rPr>
          <w:rFonts w:hint="eastAsia"/>
        </w:rPr>
      </w:pPr>
      <w:r>
        <w:rPr>
          <w:rFonts w:hint="eastAsia"/>
        </w:rPr>
        <w:t>12.</w:t>
      </w:r>
      <w:r>
        <w:rPr>
          <w:rFonts w:hint="eastAsia"/>
        </w:rPr>
        <w:tab/>
        <w:t>希腊的下次报告应更全面地陈述3个问题。第一，希腊应说明是否已修改学校课程，尤其要说明是否已删除性别歧视性质的教材。第二，鉴于必须改变希腊人民的观念，抛弃宗法社会，因此，如果希腊的大学目前没有为妇女而设的学位方案和妇女中心，便应设立。第三，希腊应向委员会通报，希腊是否有处理特定妇女群体工作，尤其是罗姆人等少数族裔妇女工作的非政府妇女组织，在编写本报告时是否与这些群体进行了协商。</w:t>
      </w:r>
    </w:p>
    <w:p w:rsidR="005178B2" w:rsidRDefault="005178B2">
      <w:pPr>
        <w:pStyle w:val="DualTxt"/>
        <w:tabs>
          <w:tab w:val="clear" w:pos="432"/>
          <w:tab w:val="left" w:pos="431"/>
        </w:tabs>
        <w:spacing w:after="120"/>
        <w:ind w:left="431"/>
        <w:rPr>
          <w:rFonts w:hint="eastAsia"/>
        </w:rPr>
      </w:pPr>
      <w:r>
        <w:rPr>
          <w:rFonts w:hint="eastAsia"/>
        </w:rPr>
        <w:t>13.</w:t>
      </w:r>
      <w:r>
        <w:rPr>
          <w:rFonts w:hint="eastAsia"/>
        </w:rPr>
        <w:tab/>
      </w:r>
      <w:r>
        <w:rPr>
          <w:rFonts w:ascii="SimHei" w:eastAsia="SimHei" w:hint="eastAsia"/>
          <w:color w:val="FF0000"/>
        </w:rPr>
        <w:t>Shalev女士</w:t>
      </w:r>
      <w:r>
        <w:rPr>
          <w:rFonts w:hint="eastAsia"/>
        </w:rPr>
        <w:t>欢迎希腊政府订立制止对妇女的暴力行为的方案。医务人员有资格收集法医证据，而且往往是首先接触暴力受害者，因此可为该方案取得成功作出重要贡献。</w:t>
      </w:r>
    </w:p>
    <w:p w:rsidR="005178B2" w:rsidRDefault="005178B2">
      <w:pPr>
        <w:pStyle w:val="DualTxt"/>
        <w:tabs>
          <w:tab w:val="clear" w:pos="432"/>
          <w:tab w:val="left" w:pos="431"/>
        </w:tabs>
        <w:spacing w:after="120"/>
        <w:ind w:left="431"/>
        <w:rPr>
          <w:rFonts w:hint="eastAsia"/>
        </w:rPr>
      </w:pPr>
      <w:r>
        <w:rPr>
          <w:rFonts w:hint="eastAsia"/>
        </w:rPr>
        <w:t>14.</w:t>
      </w:r>
      <w:r>
        <w:rPr>
          <w:rFonts w:hint="eastAsia"/>
        </w:rPr>
        <w:tab/>
        <w:t>关于妇女健康问题的信息，应按性别收集公共卫生数据，因为男女患染疾病的途径不同，症状往往也不同。掌握此类数据有助于增强政府分配资源的能力，以期更有效地因应妇女的特定保健需要。</w:t>
      </w:r>
    </w:p>
    <w:p w:rsidR="005178B2" w:rsidRDefault="005178B2">
      <w:pPr>
        <w:pStyle w:val="DualTxt"/>
        <w:tabs>
          <w:tab w:val="clear" w:pos="432"/>
          <w:tab w:val="left" w:pos="431"/>
        </w:tabs>
        <w:spacing w:after="120"/>
        <w:ind w:left="431"/>
        <w:rPr>
          <w:rFonts w:hint="eastAsia"/>
        </w:rPr>
      </w:pPr>
      <w:r>
        <w:rPr>
          <w:rFonts w:hint="eastAsia"/>
        </w:rPr>
        <w:t>15.</w:t>
      </w:r>
      <w:r>
        <w:rPr>
          <w:rFonts w:hint="eastAsia"/>
        </w:rPr>
        <w:tab/>
        <w:t>希腊妇女生育率偏低的原因可能部分在于流产普遍，而后一现象可能是因为现行的国家医疗保险计划不涵盖避孕药具。她对希腊每年的合法流产数目之少感到惊讶，尤其是考虑到医疗保险计划是涵盖流产的。她想知道的是，妇女是否了解她们享有接受流产的法定权利，所提供的护理质量是否达到可以接受的水平，是否尊重作流产的妇女的隐私。</w:t>
      </w:r>
    </w:p>
    <w:p w:rsidR="005178B2" w:rsidRDefault="005178B2">
      <w:pPr>
        <w:pStyle w:val="DualTxt"/>
        <w:tabs>
          <w:tab w:val="clear" w:pos="432"/>
          <w:tab w:val="left" w:pos="431"/>
        </w:tabs>
        <w:spacing w:after="120"/>
        <w:ind w:left="431"/>
        <w:rPr>
          <w:rFonts w:hint="eastAsia"/>
        </w:rPr>
      </w:pPr>
      <w:r>
        <w:rPr>
          <w:rFonts w:hint="eastAsia"/>
        </w:rPr>
        <w:t>16.</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问道，是否已采取充分措施，以确保第1414/84号法令所设的平等事务办公室得到充分资金和良好管理。</w:t>
      </w:r>
    </w:p>
    <w:p w:rsidR="005178B2" w:rsidRDefault="005178B2">
      <w:pPr>
        <w:pStyle w:val="DualTxt"/>
        <w:tabs>
          <w:tab w:val="clear" w:pos="432"/>
          <w:tab w:val="left" w:pos="431"/>
        </w:tabs>
        <w:spacing w:after="120"/>
        <w:ind w:left="431"/>
        <w:rPr>
          <w:rFonts w:hint="eastAsia"/>
        </w:rPr>
      </w:pPr>
      <w:r>
        <w:rPr>
          <w:rFonts w:hint="eastAsia"/>
        </w:rPr>
        <w:t>17.</w:t>
      </w:r>
      <w:r>
        <w:rPr>
          <w:rFonts w:hint="eastAsia"/>
        </w:rPr>
        <w:tab/>
        <w:t>关于《公约》第四条第1款，她说，不清楚采取了哪些临时特别措施以加速实现事实上的男女平等。应了解是否已通过了附有量化目标及其实现时间表的具体的平等权利行动计划。</w:t>
      </w:r>
    </w:p>
    <w:p w:rsidR="005178B2" w:rsidRDefault="005178B2">
      <w:pPr>
        <w:pStyle w:val="DualTxt"/>
        <w:tabs>
          <w:tab w:val="clear" w:pos="432"/>
          <w:tab w:val="left" w:pos="431"/>
        </w:tabs>
        <w:ind w:left="431"/>
        <w:rPr>
          <w:rFonts w:hint="eastAsia"/>
        </w:rPr>
      </w:pPr>
      <w:r>
        <w:rPr>
          <w:rFonts w:hint="eastAsia"/>
        </w:rPr>
        <w:t>18.</w:t>
      </w:r>
      <w:r>
        <w:rPr>
          <w:rFonts w:hint="eastAsia"/>
        </w:rPr>
        <w:tab/>
      </w:r>
      <w:r>
        <w:rPr>
          <w:rFonts w:ascii="SimHei" w:eastAsia="SimHei" w:hint="eastAsia"/>
          <w:color w:val="FF0000"/>
        </w:rPr>
        <w:t>Goonesekere女士</w:t>
      </w:r>
      <w:r>
        <w:rPr>
          <w:rFonts w:hint="eastAsia"/>
        </w:rPr>
        <w:t>说，希腊政府采用综合办法努力实现男女间实际平等，这给她留下了深刻印象。但考虑到妇女常常不愿以个人方式就歧视行为寻求宪法规定的补偿措施，希腊政府不妨研究南非宪法是如何通过公共诉讼途径将寻求此类补偿措施提升到广泛公共利益的高度。</w:t>
      </w:r>
    </w:p>
    <w:p w:rsidR="005178B2" w:rsidRDefault="005178B2">
      <w:pPr>
        <w:pStyle w:val="DualTxt"/>
        <w:tabs>
          <w:tab w:val="clear" w:pos="432"/>
          <w:tab w:val="left" w:pos="431"/>
        </w:tabs>
        <w:ind w:left="431"/>
        <w:rPr>
          <w:rFonts w:hint="eastAsia"/>
        </w:rPr>
      </w:pPr>
      <w:r>
        <w:rPr>
          <w:rFonts w:hint="eastAsia"/>
        </w:rPr>
        <w:t>19.</w:t>
      </w:r>
      <w:r>
        <w:rPr>
          <w:rFonts w:hint="eastAsia"/>
        </w:rPr>
        <w:tab/>
        <w:t>希腊政府还应审查其关于强奸罪的国内立法。强奸罪不仅仅是侵犯妇女性自由的行为，而且是侵犯妇女人身安全的行为。还应强化惩处贩卖妇女罪行的立法，尤其是鉴于卖淫已不再被定为犯罪行为。</w:t>
      </w:r>
    </w:p>
    <w:p w:rsidR="005178B2" w:rsidRDefault="005178B2">
      <w:pPr>
        <w:pStyle w:val="DualTxt"/>
        <w:tabs>
          <w:tab w:val="clear" w:pos="432"/>
          <w:tab w:val="left" w:pos="431"/>
        </w:tabs>
        <w:ind w:left="431"/>
        <w:rPr>
          <w:rFonts w:hint="eastAsia"/>
        </w:rPr>
      </w:pPr>
      <w:r>
        <w:rPr>
          <w:rFonts w:hint="eastAsia"/>
        </w:rPr>
        <w:t>20.</w:t>
      </w:r>
      <w:r>
        <w:rPr>
          <w:rFonts w:hint="eastAsia"/>
        </w:rPr>
        <w:tab/>
        <w:t>最后，她欢迎希腊在今后提供以下方面的更多信息：妇女将其希腊国籍延伸至其子女的权利；正采取哪些措施，以使男子承担更多在经济上支助子女的职责。</w:t>
      </w:r>
    </w:p>
    <w:p w:rsidR="005178B2" w:rsidRDefault="005178B2">
      <w:pPr>
        <w:pStyle w:val="DualTxt"/>
        <w:tabs>
          <w:tab w:val="clear" w:pos="432"/>
          <w:tab w:val="left" w:pos="431"/>
        </w:tabs>
        <w:ind w:left="431"/>
        <w:rPr>
          <w:rFonts w:hint="eastAsia"/>
        </w:rPr>
      </w:pPr>
      <w:r>
        <w:rPr>
          <w:rFonts w:hint="eastAsia"/>
        </w:rPr>
        <w:t>21.</w:t>
      </w:r>
      <w:r>
        <w:rPr>
          <w:rFonts w:hint="eastAsia"/>
        </w:rPr>
        <w:tab/>
      </w:r>
      <w:r>
        <w:rPr>
          <w:rFonts w:ascii="SimHei" w:eastAsia="SimHei" w:hint="eastAsia"/>
          <w:color w:val="FF0000"/>
        </w:rPr>
        <w:t xml:space="preserve">Kim </w:t>
      </w:r>
      <w:r>
        <w:rPr>
          <w:rFonts w:hint="eastAsia"/>
        </w:rPr>
        <w:t>Yung-chung</w:t>
      </w:r>
      <w:r>
        <w:rPr>
          <w:rFonts w:ascii="SimHei" w:eastAsia="SimHei" w:hint="eastAsia"/>
          <w:color w:val="FF0000"/>
        </w:rPr>
        <w:t>女士</w:t>
      </w:r>
      <w:r>
        <w:rPr>
          <w:rFonts w:hint="eastAsia"/>
        </w:rPr>
        <w:t>问道，是否设有任何机制以监测在改变媒体对妇女的定型观念方面取得的进展，是否已采取任何法律行动以确保有关该领域的现行法律得以遵守。她感到遗憾的是，缺乏关于针对妇女的暴力行为的数据，并询问希腊是否计划在该领域采取调查研究行动。</w:t>
      </w:r>
    </w:p>
    <w:p w:rsidR="005178B2" w:rsidRDefault="005178B2">
      <w:pPr>
        <w:pStyle w:val="DualTxt"/>
        <w:tabs>
          <w:tab w:val="clear" w:pos="432"/>
          <w:tab w:val="left" w:pos="431"/>
        </w:tabs>
        <w:ind w:left="431"/>
        <w:rPr>
          <w:rFonts w:hint="eastAsia"/>
        </w:rPr>
      </w:pPr>
      <w:r>
        <w:rPr>
          <w:rFonts w:hint="eastAsia"/>
        </w:rPr>
        <w:t>22.</w:t>
      </w:r>
      <w:r>
        <w:rPr>
          <w:rFonts w:hint="eastAsia"/>
        </w:rPr>
        <w:tab/>
      </w:r>
      <w:r>
        <w:rPr>
          <w:rFonts w:ascii="SimHei" w:eastAsia="SimHei" w:hint="eastAsia"/>
          <w:color w:val="FF0000"/>
        </w:rPr>
        <w:t>Karali-Dimitriadi女士</w:t>
      </w:r>
      <w:r>
        <w:rPr>
          <w:rFonts w:hint="eastAsia"/>
        </w:rPr>
        <w:t>（希腊）说，希腊已采取若干措施打击性剥削和贩卖活动，包括为脆弱群体提供庇护所和其他服务；加强各机构间活动的协调；开展公共宣传运动，并在萨洛尼卡为女性新移民实施一个试点方案。</w:t>
      </w:r>
    </w:p>
    <w:p w:rsidR="005178B2" w:rsidRDefault="005178B2">
      <w:pPr>
        <w:pStyle w:val="DualTxt"/>
        <w:tabs>
          <w:tab w:val="clear" w:pos="432"/>
          <w:tab w:val="left" w:pos="431"/>
        </w:tabs>
        <w:ind w:left="431"/>
        <w:rPr>
          <w:rFonts w:hint="eastAsia"/>
        </w:rPr>
      </w:pPr>
      <w:r>
        <w:rPr>
          <w:rFonts w:hint="eastAsia"/>
        </w:rPr>
        <w:t>23.</w:t>
      </w:r>
      <w:r>
        <w:rPr>
          <w:rFonts w:hint="eastAsia"/>
        </w:rPr>
        <w:tab/>
        <w:t>非常重视强奸问题，包括配偶强奸，平等问题总秘书处已设立一个机构，以审查这方面的法律。希腊的第四次定期报告将提供该领域进展情况信息。</w:t>
      </w:r>
    </w:p>
    <w:p w:rsidR="005178B2" w:rsidRDefault="005178B2">
      <w:pPr>
        <w:pStyle w:val="DualTxt"/>
        <w:tabs>
          <w:tab w:val="clear" w:pos="432"/>
          <w:tab w:val="left" w:pos="431"/>
        </w:tabs>
        <w:ind w:left="431"/>
        <w:rPr>
          <w:rFonts w:hint="eastAsia"/>
          <w:spacing w:val="-4"/>
        </w:rPr>
      </w:pPr>
      <w:r>
        <w:rPr>
          <w:rFonts w:hint="eastAsia"/>
        </w:rPr>
        <w:t>24.</w:t>
      </w:r>
      <w:r>
        <w:rPr>
          <w:rFonts w:hint="eastAsia"/>
        </w:rPr>
        <w:tab/>
      </w:r>
      <w:r>
        <w:rPr>
          <w:rFonts w:hint="eastAsia"/>
          <w:spacing w:val="-4"/>
        </w:rPr>
        <w:t>希腊不再有高文盲率，这应归功于以老年妇女和边远地区妇女等特定群体为目标的扫盲计划。</w:t>
      </w:r>
    </w:p>
    <w:p w:rsidR="005178B2" w:rsidRDefault="005178B2">
      <w:pPr>
        <w:pStyle w:val="DualTxt"/>
        <w:tabs>
          <w:tab w:val="clear" w:pos="432"/>
          <w:tab w:val="left" w:pos="431"/>
        </w:tabs>
        <w:ind w:left="431"/>
        <w:rPr>
          <w:rFonts w:hint="eastAsia"/>
        </w:rPr>
      </w:pPr>
      <w:r>
        <w:rPr>
          <w:rFonts w:hint="eastAsia"/>
        </w:rPr>
        <w:t>25.</w:t>
      </w:r>
      <w:r>
        <w:rPr>
          <w:rFonts w:hint="eastAsia"/>
        </w:rPr>
        <w:tab/>
        <w:t>免费向所有妇女提供乳腺癌检查、计划生育服务、避孕药具信息等医疗保健服务，无论她们是希腊国民、少数族裔，或是难民。已开展运动，推动避孕套的使用，并使年轻人更多了解艾滋病毒/艾滋病及其他性传播疾病。</w:t>
      </w:r>
    </w:p>
    <w:p w:rsidR="005178B2" w:rsidRDefault="005178B2">
      <w:pPr>
        <w:pStyle w:val="DualTxt"/>
        <w:tabs>
          <w:tab w:val="clear" w:pos="432"/>
          <w:tab w:val="left" w:pos="431"/>
        </w:tabs>
        <w:ind w:left="431"/>
      </w:pPr>
      <w:r>
        <w:rPr>
          <w:rFonts w:hint="eastAsia"/>
        </w:rPr>
        <w:t>26.</w:t>
      </w:r>
      <w:r>
        <w:rPr>
          <w:rFonts w:hint="eastAsia"/>
        </w:rPr>
        <w:tab/>
        <w:t>希腊代表团无意暗示私人诊所提供的流产</w:t>
      </w:r>
    </w:p>
    <w:p w:rsidR="005178B2" w:rsidRDefault="005178B2">
      <w:pPr>
        <w:pStyle w:val="DualTxt"/>
        <w:tabs>
          <w:tab w:val="clear" w:pos="432"/>
          <w:tab w:val="left" w:pos="431"/>
        </w:tabs>
        <w:spacing w:after="120" w:line="318" w:lineRule="exact"/>
        <w:ind w:left="431"/>
        <w:rPr>
          <w:rFonts w:hint="eastAsia"/>
        </w:rPr>
      </w:pPr>
      <w:r>
        <w:br w:type="column"/>
      </w:r>
      <w:r>
        <w:rPr>
          <w:rFonts w:hint="eastAsia"/>
        </w:rPr>
        <w:t>服务不达标准，但对年轻妇女和少女中的高流产率表示关切。在此方面的优先事项是实施新法律，使连接希腊全国各个相关机构与平等问题总秘书处和平等问题研究中心的信息和通信网络进一步现代化。</w:t>
      </w:r>
    </w:p>
    <w:p w:rsidR="005178B2" w:rsidRDefault="005178B2">
      <w:pPr>
        <w:pStyle w:val="DualTxt"/>
        <w:tabs>
          <w:tab w:val="clear" w:pos="432"/>
          <w:tab w:val="left" w:pos="431"/>
        </w:tabs>
        <w:spacing w:after="120" w:line="318" w:lineRule="exact"/>
        <w:ind w:left="431"/>
        <w:rPr>
          <w:rFonts w:hint="eastAsia"/>
        </w:rPr>
      </w:pPr>
      <w:r>
        <w:rPr>
          <w:rFonts w:hint="eastAsia"/>
        </w:rPr>
        <w:t>27.</w:t>
      </w:r>
      <w:r>
        <w:rPr>
          <w:rFonts w:hint="eastAsia"/>
        </w:rPr>
        <w:tab/>
        <w:t>卫生统计数据表明，妇女得心脏病、癌症和其他严重健康问题的风险大大高于男子，而这里说的其他严重健康问题在过去大多涉及男子。除了颁布法律和确保相关机构间的协调，政府还借助媒体和其他倡议以提高妇女和医疗保健专业人员对妇女健康问题的认识。</w:t>
      </w:r>
    </w:p>
    <w:p w:rsidR="005178B2" w:rsidRDefault="005178B2">
      <w:pPr>
        <w:pStyle w:val="DualTxt"/>
        <w:tabs>
          <w:tab w:val="clear" w:pos="432"/>
          <w:tab w:val="left" w:pos="431"/>
        </w:tabs>
        <w:spacing w:after="120" w:line="318" w:lineRule="exact"/>
        <w:ind w:left="431"/>
        <w:rPr>
          <w:rFonts w:hint="eastAsia"/>
          <w:spacing w:val="-4"/>
        </w:rPr>
      </w:pPr>
      <w:r>
        <w:rPr>
          <w:rFonts w:hint="eastAsia"/>
        </w:rPr>
        <w:t>28.</w:t>
      </w:r>
      <w:r>
        <w:rPr>
          <w:rFonts w:hint="eastAsia"/>
        </w:rPr>
        <w:tab/>
      </w:r>
      <w:r>
        <w:rPr>
          <w:rFonts w:ascii="SimHei" w:eastAsia="SimHei" w:hint="eastAsia"/>
          <w:color w:val="FF0000"/>
        </w:rPr>
        <w:t>Zervou女士</w:t>
      </w:r>
      <w:r>
        <w:rPr>
          <w:rFonts w:hint="eastAsia"/>
        </w:rPr>
        <w:t>（</w:t>
      </w:r>
      <w:r>
        <w:rPr>
          <w:rFonts w:hint="eastAsia"/>
          <w:spacing w:val="8"/>
        </w:rPr>
        <w:t>希腊）说，就业妇女中有16.5％是大学毕业生，而就业男子中的大学毕业生比例</w:t>
      </w:r>
      <w:r>
        <w:rPr>
          <w:rFonts w:hint="eastAsia"/>
        </w:rPr>
        <w:t>则为12％。1993年至1996年期间，做非技术</w:t>
      </w:r>
      <w:r>
        <w:rPr>
          <w:rFonts w:hint="eastAsia"/>
          <w:spacing w:val="-4"/>
        </w:rPr>
        <w:t>工种的妇女人数增加了17％，但在其他部门工作的妇女人数也有所增加（高级管理部门中增加14％，科学和大学教学部门中增加13％）。</w:t>
      </w:r>
    </w:p>
    <w:p w:rsidR="005178B2" w:rsidRDefault="005178B2">
      <w:pPr>
        <w:pStyle w:val="DualTxt"/>
        <w:tabs>
          <w:tab w:val="clear" w:pos="432"/>
          <w:tab w:val="left" w:pos="431"/>
        </w:tabs>
        <w:spacing w:after="120" w:line="318" w:lineRule="exact"/>
        <w:ind w:left="431"/>
        <w:rPr>
          <w:rFonts w:hint="eastAsia"/>
        </w:rPr>
      </w:pPr>
      <w:r>
        <w:rPr>
          <w:rFonts w:hint="eastAsia"/>
        </w:rPr>
        <w:t>29.</w:t>
      </w:r>
      <w:r>
        <w:rPr>
          <w:rFonts w:hint="eastAsia"/>
        </w:rPr>
        <w:tab/>
      </w:r>
      <w:r>
        <w:rPr>
          <w:rFonts w:ascii="SimHei" w:eastAsia="SimHei" w:hint="eastAsia"/>
          <w:color w:val="FF0000"/>
        </w:rPr>
        <w:t>Karali-Dimitriadi女士</w:t>
      </w:r>
      <w:r>
        <w:rPr>
          <w:rFonts w:hint="eastAsia"/>
        </w:rPr>
        <w:t>（希腊）说，希腊将在下次报告中全面答复其余问题。</w:t>
      </w:r>
    </w:p>
    <w:p w:rsidR="005178B2" w:rsidRDefault="005178B2">
      <w:pPr>
        <w:pStyle w:val="DualTxt"/>
        <w:tabs>
          <w:tab w:val="clear" w:pos="432"/>
          <w:tab w:val="left" w:pos="431"/>
        </w:tabs>
        <w:spacing w:after="120" w:line="318" w:lineRule="exact"/>
        <w:ind w:left="431"/>
        <w:rPr>
          <w:rFonts w:hint="eastAsia"/>
        </w:rPr>
      </w:pPr>
      <w:r>
        <w:rPr>
          <w:rFonts w:hint="eastAsia"/>
        </w:rPr>
        <w:t>30.</w:t>
      </w:r>
      <w:r>
        <w:rPr>
          <w:rFonts w:hint="eastAsia"/>
        </w:rPr>
        <w:tab/>
      </w:r>
      <w:r>
        <w:rPr>
          <w:rFonts w:ascii="SimHei" w:eastAsia="SimHei" w:hint="eastAsia"/>
          <w:color w:val="FF0000"/>
        </w:rPr>
        <w:t>主席</w:t>
      </w:r>
      <w:r>
        <w:rPr>
          <w:rFonts w:hint="eastAsia"/>
        </w:rPr>
        <w:t>称赞希腊通过立法改变大众媒体中的妇女形象。下一个步骤应是监测该项法律的实施情况。其他优先行动领域包括妇女的健康、流产、针对妇女的家庭暴力和其他形式暴力、恋童癖和色情制品等问题。她希望希腊在国内广泛散发各次报告及委员会的评论意见。</w:t>
      </w:r>
    </w:p>
    <w:p w:rsidR="005178B2" w:rsidRDefault="005178B2">
      <w:pPr>
        <w:pStyle w:val="DualTxt"/>
        <w:tabs>
          <w:tab w:val="clear" w:pos="432"/>
          <w:tab w:val="left" w:pos="431"/>
        </w:tabs>
        <w:spacing w:after="120" w:line="318" w:lineRule="exact"/>
        <w:ind w:left="431"/>
        <w:rPr>
          <w:rFonts w:ascii="KaiTi_GB2312" w:eastAsia="KaiTi_GB2312" w:hint="eastAsia"/>
          <w:color w:val="0000FF"/>
        </w:rPr>
      </w:pPr>
      <w:r>
        <w:rPr>
          <w:rFonts w:ascii="KaiTi_GB2312" w:eastAsia="KaiTi_GB2312" w:hint="eastAsia"/>
          <w:color w:val="0000FF"/>
        </w:rPr>
        <w:tab/>
        <w:t>下午4时30分散会</w:t>
      </w:r>
    </w:p>
    <w:sectPr w:rsidR="005178B2">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178B2" w:rsidRDefault="005178B2">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NO&gt;&gt;N0224315C&lt;&lt;ODS JOB NO&gt;&gt;</w:t>
      </w:r>
    </w:p>
    <w:p w:rsidR="005178B2" w:rsidRDefault="005178B2">
      <w:pPr>
        <w:pStyle w:val="CommentText"/>
      </w:pPr>
      <w:r>
        <w:t>&lt;&lt;ODS DOC SYMBOL1&gt;&gt;CEDAW/C/SR.416&lt;&lt;ODS DOC SYMBOL1&gt;&gt;</w:t>
      </w:r>
    </w:p>
    <w:p w:rsidR="005178B2" w:rsidRDefault="005178B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1564D">
      <w:pPr>
        <w:spacing w:line="240" w:lineRule="auto"/>
      </w:pPr>
      <w:r>
        <w:separator/>
      </w:r>
    </w:p>
  </w:endnote>
  <w:endnote w:type="continuationSeparator" w:id="0">
    <w:p w:rsidR="00000000" w:rsidRDefault="000156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178B2">
      <w:tblPrEx>
        <w:tblCellMar>
          <w:top w:w="0" w:type="dxa"/>
          <w:bottom w:w="0" w:type="dxa"/>
        </w:tblCellMar>
      </w:tblPrEx>
      <w:tc>
        <w:tcPr>
          <w:tcW w:w="5034" w:type="dxa"/>
          <w:vAlign w:val="bottom"/>
        </w:tcPr>
        <w:p w:rsidR="005178B2" w:rsidRDefault="005178B2">
          <w:pPr>
            <w:pStyle w:val="Footer"/>
          </w:pPr>
          <w:r>
            <w:fldChar w:fldCharType="begin"/>
          </w:r>
          <w:r>
            <w:instrText xml:space="preserve"> PAGE  \* MERGEFORMAT </w:instrText>
          </w:r>
          <w:r>
            <w:fldChar w:fldCharType="separate"/>
          </w:r>
          <w:r>
            <w:t>2</w:t>
          </w:r>
          <w:r>
            <w:fldChar w:fldCharType="end"/>
          </w:r>
        </w:p>
      </w:tc>
      <w:tc>
        <w:tcPr>
          <w:tcW w:w="5034" w:type="dxa"/>
          <w:vAlign w:val="bottom"/>
        </w:tcPr>
        <w:p w:rsidR="005178B2" w:rsidRDefault="005178B2">
          <w:pPr>
            <w:pStyle w:val="Footer"/>
            <w:jc w:val="right"/>
          </w:pPr>
        </w:p>
      </w:tc>
    </w:tr>
  </w:tbl>
  <w:p w:rsidR="005178B2" w:rsidRDefault="005178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178B2">
      <w:tblPrEx>
        <w:tblCellMar>
          <w:top w:w="0" w:type="dxa"/>
          <w:bottom w:w="0" w:type="dxa"/>
        </w:tblCellMar>
      </w:tblPrEx>
      <w:tc>
        <w:tcPr>
          <w:tcW w:w="5034" w:type="dxa"/>
          <w:vAlign w:val="bottom"/>
        </w:tcPr>
        <w:p w:rsidR="005178B2" w:rsidRDefault="005178B2">
          <w:pPr>
            <w:pStyle w:val="Footer"/>
          </w:pPr>
        </w:p>
      </w:tc>
      <w:tc>
        <w:tcPr>
          <w:tcW w:w="5034" w:type="dxa"/>
          <w:vAlign w:val="bottom"/>
        </w:tcPr>
        <w:p w:rsidR="005178B2" w:rsidRDefault="005178B2">
          <w:pPr>
            <w:pStyle w:val="Footer"/>
            <w:jc w:val="right"/>
          </w:pPr>
          <w:r>
            <w:fldChar w:fldCharType="begin"/>
          </w:r>
          <w:r>
            <w:instrText xml:space="preserve"> PAGE  \* MERGEFORMAT </w:instrText>
          </w:r>
          <w:r>
            <w:fldChar w:fldCharType="separate"/>
          </w:r>
          <w:r>
            <w:t>3</w:t>
          </w:r>
          <w:r>
            <w:fldChar w:fldCharType="end"/>
          </w:r>
        </w:p>
      </w:tc>
    </w:tr>
  </w:tbl>
  <w:p w:rsidR="005178B2" w:rsidRDefault="005178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8B2" w:rsidRDefault="005178B2">
    <w:pPr>
      <w:pStyle w:val="Footer"/>
    </w:pPr>
  </w:p>
  <w:p w:rsidR="005178B2" w:rsidRDefault="005178B2">
    <w:pPr>
      <w:pStyle w:val="Footer"/>
      <w:pBdr>
        <w:top w:val="single" w:sz="2" w:space="0" w:color="000000"/>
      </w:pBdr>
      <w:rPr>
        <w:sz w:val="2"/>
      </w:rPr>
    </w:pPr>
  </w:p>
  <w:p w:rsidR="005178B2" w:rsidRDefault="005178B2">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5178B2" w:rsidRDefault="005178B2">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5178B2" w:rsidRDefault="005178B2">
    <w:pPr>
      <w:pStyle w:val="FootnoteText"/>
      <w:spacing w:after="140"/>
      <w:ind w:left="1267" w:right="1267" w:firstLine="0"/>
      <w:rPr>
        <w:rFonts w:hint="eastAsia"/>
        <w:snapToGrid w:val="0"/>
      </w:rPr>
    </w:pPr>
    <w:r>
      <w:rPr>
        <w:rFonts w:hint="eastAsia"/>
        <w:noProof w:val="0"/>
        <w:snapToGrid w:val="0"/>
        <w:spacing w:val="5"/>
        <w:w w:val="104"/>
        <w:sz w:val="17"/>
      </w:rPr>
      <w:t>对本届会议各次会议记录的任何更正将并入一份更正汇编，在届会结束后不久印发</w:t>
    </w:r>
    <w:r>
      <w:rPr>
        <w:rFonts w:hint="eastAsia"/>
        <w:snapToGrid w:val="0"/>
      </w:rPr>
      <w:t>。</w:t>
    </w:r>
  </w:p>
  <w:p w:rsidR="005178B2" w:rsidRDefault="005178B2">
    <w:pPr>
      <w:pStyle w:val="Footer"/>
      <w:rPr>
        <w:b w:val="0"/>
        <w:snapToGrid w:val="0"/>
        <w:sz w:val="21"/>
      </w:rPr>
    </w:pPr>
    <w:r>
      <w:rPr>
        <w:b w:val="0"/>
        <w:snapToGrid w:val="0"/>
        <w:sz w:val="21"/>
      </w:rPr>
      <w:t>02-24315 (C)</w:t>
    </w:r>
  </w:p>
  <w:p w:rsidR="005178B2" w:rsidRDefault="005178B2">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*0224315*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1564D">
      <w:pPr>
        <w:spacing w:line="240" w:lineRule="auto"/>
      </w:pPr>
      <w:r>
        <w:separator/>
      </w:r>
    </w:p>
  </w:footnote>
  <w:footnote w:type="continuationSeparator" w:id="0">
    <w:p w:rsidR="00000000" w:rsidRDefault="0001564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8B2" w:rsidRDefault="005178B2">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178B2">
                  <w:tblPrEx>
                    <w:tblCellMar>
                      <w:top w:w="0" w:type="dxa"/>
                      <w:bottom w:w="0" w:type="dxa"/>
                    </w:tblCellMar>
                  </w:tblPrEx>
                  <w:trPr>
                    <w:trHeight w:hRule="exact" w:val="864"/>
                  </w:trPr>
                  <w:tc>
                    <w:tcPr>
                      <w:tcW w:w="4838" w:type="dxa"/>
                      <w:vAlign w:val="bottom"/>
                    </w:tcPr>
                    <w:p w:rsidR="005178B2" w:rsidRDefault="005178B2">
                      <w:pPr>
                        <w:pStyle w:val="Header"/>
                        <w:spacing w:after="80"/>
                        <w:rPr>
                          <w:b/>
                          <w:sz w:val="17"/>
                        </w:rPr>
                      </w:pPr>
                      <w:r>
                        <w:rPr>
                          <w:b/>
                          <w:sz w:val="17"/>
                        </w:rPr>
                        <w:t>CEDAW/C/SR.416</w:t>
                      </w:r>
                    </w:p>
                  </w:tc>
                  <w:tc>
                    <w:tcPr>
                      <w:tcW w:w="5048" w:type="dxa"/>
                      <w:vAlign w:val="bottom"/>
                    </w:tcPr>
                    <w:p w:rsidR="005178B2" w:rsidRDefault="005178B2">
                      <w:pPr>
                        <w:pStyle w:val="Header"/>
                      </w:pPr>
                    </w:p>
                  </w:tc>
                </w:tr>
              </w:tbl>
              <w:p w:rsidR="005178B2" w:rsidRDefault="005178B2"/>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8B2" w:rsidRDefault="005178B2">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178B2">
                  <w:tblPrEx>
                    <w:tblCellMar>
                      <w:top w:w="0" w:type="dxa"/>
                      <w:bottom w:w="0" w:type="dxa"/>
                    </w:tblCellMar>
                  </w:tblPrEx>
                  <w:trPr>
                    <w:trHeight w:hRule="exact" w:val="864"/>
                  </w:trPr>
                  <w:tc>
                    <w:tcPr>
                      <w:tcW w:w="4838" w:type="dxa"/>
                      <w:vAlign w:val="bottom"/>
                    </w:tcPr>
                    <w:p w:rsidR="005178B2" w:rsidRDefault="005178B2">
                      <w:pPr>
                        <w:pStyle w:val="Header"/>
                      </w:pPr>
                    </w:p>
                  </w:tc>
                  <w:tc>
                    <w:tcPr>
                      <w:tcW w:w="5048" w:type="dxa"/>
                      <w:vAlign w:val="bottom"/>
                    </w:tcPr>
                    <w:p w:rsidR="005178B2" w:rsidRDefault="005178B2">
                      <w:pPr>
                        <w:pStyle w:val="Header"/>
                        <w:spacing w:after="80"/>
                        <w:jc w:val="right"/>
                        <w:rPr>
                          <w:b/>
                          <w:sz w:val="17"/>
                        </w:rPr>
                      </w:pPr>
                      <w:r>
                        <w:rPr>
                          <w:b/>
                          <w:sz w:val="17"/>
                        </w:rPr>
                        <w:t>CEDAW/C/SR.416</w:t>
                      </w:r>
                    </w:p>
                  </w:tc>
                </w:tr>
              </w:tbl>
              <w:p w:rsidR="005178B2" w:rsidRDefault="005178B2"/>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178B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178B2" w:rsidRDefault="005178B2">
          <w:pPr>
            <w:pStyle w:val="Header"/>
            <w:spacing w:after="120"/>
          </w:pPr>
        </w:p>
      </w:tc>
      <w:tc>
        <w:tcPr>
          <w:tcW w:w="1872" w:type="dxa"/>
          <w:tcBorders>
            <w:top w:val="nil"/>
            <w:left w:val="nil"/>
            <w:bottom w:val="single" w:sz="4" w:space="0" w:color="auto"/>
            <w:right w:val="nil"/>
          </w:tcBorders>
          <w:vAlign w:val="bottom"/>
        </w:tcPr>
        <w:p w:rsidR="005178B2" w:rsidRDefault="005178B2">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5178B2" w:rsidRDefault="005178B2">
          <w:pPr>
            <w:pStyle w:val="Header"/>
            <w:spacing w:after="120"/>
          </w:pPr>
        </w:p>
      </w:tc>
      <w:tc>
        <w:tcPr>
          <w:tcW w:w="6523" w:type="dxa"/>
          <w:gridSpan w:val="3"/>
          <w:tcBorders>
            <w:top w:val="nil"/>
            <w:left w:val="nil"/>
            <w:bottom w:val="single" w:sz="4" w:space="0" w:color="auto"/>
            <w:right w:val="nil"/>
          </w:tcBorders>
          <w:vAlign w:val="bottom"/>
        </w:tcPr>
        <w:p w:rsidR="005178B2" w:rsidRDefault="005178B2">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/C/SR.416</w:t>
          </w:r>
        </w:p>
      </w:tc>
    </w:tr>
    <w:tr w:rsidR="005178B2">
      <w:tblPrEx>
        <w:tblCellMar>
          <w:top w:w="0" w:type="dxa"/>
          <w:bottom w:w="0" w:type="dxa"/>
        </w:tblCellMar>
      </w:tblPrEx>
      <w:trPr>
        <w:trHeight w:hRule="exact" w:val="2880"/>
      </w:trPr>
      <w:tc>
        <w:tcPr>
          <w:tcW w:w="1267" w:type="dxa"/>
          <w:tcBorders>
            <w:left w:val="nil"/>
            <w:bottom w:val="single" w:sz="12" w:space="0" w:color="auto"/>
            <w:right w:val="nil"/>
          </w:tcBorders>
        </w:tcPr>
        <w:p w:rsidR="005178B2" w:rsidRDefault="005178B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178B2" w:rsidRDefault="005178B2">
          <w:pPr>
            <w:pStyle w:val="Header"/>
            <w:spacing w:before="109"/>
            <w:ind w:left="-72"/>
          </w:pPr>
        </w:p>
      </w:tc>
      <w:tc>
        <w:tcPr>
          <w:tcW w:w="5227" w:type="dxa"/>
          <w:gridSpan w:val="3"/>
          <w:tcBorders>
            <w:left w:val="nil"/>
            <w:bottom w:val="single" w:sz="12" w:space="0" w:color="auto"/>
            <w:right w:val="nil"/>
          </w:tcBorders>
        </w:tcPr>
        <w:p w:rsidR="005178B2" w:rsidRDefault="005178B2">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5178B2" w:rsidRDefault="005178B2">
          <w:pPr>
            <w:pStyle w:val="Header"/>
            <w:spacing w:before="109"/>
          </w:pPr>
        </w:p>
      </w:tc>
      <w:tc>
        <w:tcPr>
          <w:tcW w:w="3180" w:type="dxa"/>
          <w:gridSpan w:val="2"/>
          <w:tcBorders>
            <w:left w:val="nil"/>
            <w:bottom w:val="single" w:sz="12" w:space="0" w:color="auto"/>
            <w:right w:val="nil"/>
          </w:tcBorders>
        </w:tcPr>
        <w:p w:rsidR="005178B2" w:rsidRDefault="005178B2">
          <w:pPr>
            <w:spacing w:before="240" w:line="240" w:lineRule="exact"/>
            <w:rPr>
              <w:rFonts w:ascii="Times New Roman"/>
            </w:rPr>
          </w:pPr>
          <w:r>
            <w:rPr>
              <w:rFonts w:ascii="Times New Roman"/>
            </w:rPr>
            <w:t>Distr.: General</w:t>
          </w:r>
        </w:p>
        <w:p w:rsidR="005178B2" w:rsidRDefault="005178B2">
          <w:pPr>
            <w:spacing w:line="240" w:lineRule="exact"/>
            <w:rPr>
              <w:rFonts w:ascii="Times New Roman"/>
            </w:rPr>
          </w:pPr>
          <w:r>
            <w:rPr>
              <w:rFonts w:ascii="Times New Roman"/>
            </w:rPr>
            <w:t>1</w:t>
          </w:r>
          <w:r>
            <w:rPr>
              <w:rFonts w:ascii="Times New Roman" w:hint="eastAsia"/>
            </w:rPr>
            <w:t>8</w:t>
          </w:r>
          <w:r>
            <w:rPr>
              <w:rFonts w:ascii="Times New Roman"/>
            </w:rPr>
            <w:t xml:space="preserve"> December 2003</w:t>
          </w:r>
        </w:p>
        <w:p w:rsidR="005178B2" w:rsidRDefault="005178B2">
          <w:pPr>
            <w:spacing w:line="240" w:lineRule="exact"/>
            <w:rPr>
              <w:rFonts w:ascii="Times New Roman"/>
            </w:rPr>
          </w:pPr>
          <w:r>
            <w:rPr>
              <w:rFonts w:ascii="Times New Roman"/>
            </w:rPr>
            <w:t>Chinese</w:t>
          </w:r>
        </w:p>
        <w:p w:rsidR="005178B2" w:rsidRDefault="005178B2">
          <w:pPr>
            <w:spacing w:line="240" w:lineRule="exact"/>
            <w:rPr>
              <w:rFonts w:ascii="Times New Roman"/>
            </w:rPr>
          </w:pPr>
          <w:r>
            <w:rPr>
              <w:rFonts w:ascii="Times New Roman"/>
            </w:rPr>
            <w:t>Original: English</w:t>
          </w:r>
        </w:p>
      </w:tc>
    </w:tr>
  </w:tbl>
  <w:p w:rsidR="005178B2" w:rsidRDefault="005178B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12/2003 10:08 AM"/>
    <w:docVar w:name="DocCategory" w:val="SROthers"/>
    <w:docVar w:name="DocType" w:val="Final"/>
    <w:docVar w:name="JobNo" w:val="0224315C"/>
    <w:docVar w:name="OandT" w:val="Wang xq"/>
    <w:docVar w:name="Symbol1" w:val="CEDAW/C/SR.416"/>
    <w:docVar w:name="Symbol2" w:val="-"/>
  </w:docVars>
  <w:rsids>
    <w:rsidRoot w:val="005178B2"/>
    <w:rsid w:val="0001564D"/>
    <w:rsid w:val="005178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5178B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100</TotalTime>
  <Pages>3</Pages>
  <Words>598</Words>
  <Characters>3414</Characters>
  <Application>Microsoft Office Word</Application>
  <DocSecurity>4</DocSecurity>
  <Lines>28</Lines>
  <Paragraphs>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18</cp:revision>
  <cp:lastPrinted>2003-12-18T11:23:00Z</cp:lastPrinted>
  <dcterms:created xsi:type="dcterms:W3CDTF">2003-12-16T09:08:00Z</dcterms:created>
  <dcterms:modified xsi:type="dcterms:W3CDTF">2003-12-18T11:09:00Z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0224315</vt:lpwstr>
  </property>
  <property fmtid="{D5CDD505-2E9C-101B-9397-08002B2CF9AE}" pid="3" name="Symbol1">
    <vt:lpwstr>CEDAW/C/SR.416</vt:lpwstr>
  </property>
  <property fmtid="{D5CDD505-2E9C-101B-9397-08002B2CF9AE}" pid="4" name="Symbol2">
    <vt:lpwstr/>
  </property>
  <property fmtid="{D5CDD505-2E9C-101B-9397-08002B2CF9AE}" pid="5" name="Translator">
    <vt:lpwstr/>
  </property>
  <property fmtid="{D5CDD505-2E9C-101B-9397-08002B2CF9AE}" pid="6" name="Operator">
    <vt:lpwstr>Wang xq</vt:lpwstr>
  </property>
  <property fmtid="{D5CDD505-2E9C-101B-9397-08002B2CF9AE}" pid="7" name="DraftPages">
    <vt:lpwstr> </vt:lpwstr>
  </property>
  <property fmtid="{D5CDD505-2E9C-101B-9397-08002B2CF9AE}" pid="8" name="Comment">
    <vt:lpwstr/>
  </property>
</Properties>
</file>