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6606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rPr>
          <w:lang w:val="es-ES_tradnl"/>
        </w:rPr>
      </w:pPr>
      <w:r>
        <w:rPr>
          <w:lang w:val="es-ES_tradnl"/>
        </w:rPr>
        <w:t>Distr.</w:t>
      </w:r>
      <w:r>
        <w:rPr>
          <w:lang w:val="es-ES_tradnl"/>
        </w:rPr>
        <w:br/>
        <w:t>GENERAL</w:t>
      </w:r>
    </w:p>
    <w:p w:rsidR="00000000" w:rsidRDefault="00000000">
      <w:pPr>
        <w:spacing w:after="240"/>
        <w:ind w:left="6840"/>
        <w:rPr>
          <w:lang w:val="es-ES_tradnl"/>
        </w:rPr>
      </w:pPr>
      <w:r>
        <w:rPr>
          <w:lang w:val="es-ES_tradnl"/>
        </w:rPr>
        <w:t>CRC/GC/2003/5</w:t>
      </w:r>
      <w:r>
        <w:rPr>
          <w:lang w:val="es-ES_tradnl"/>
        </w:rPr>
        <w:br/>
        <w:t>27 de noviembre de 2003</w:t>
      </w:r>
    </w:p>
    <w:p w:rsidR="00000000" w:rsidRDefault="00000000">
      <w:pPr>
        <w:spacing w:after="600"/>
        <w:ind w:left="6840"/>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LOS DERECHOS DEL NIÑO</w:t>
      </w:r>
      <w:r>
        <w:rPr>
          <w:lang w:val="es-ES_tradnl"/>
        </w:rPr>
        <w:br/>
        <w:t>34º período de sesiones</w:t>
      </w:r>
      <w:r>
        <w:rPr>
          <w:lang w:val="es-ES_tradnl"/>
        </w:rPr>
        <w:br/>
        <w:t>19 de septiembre a 3 de octubre de 2003</w:t>
      </w:r>
    </w:p>
    <w:p w:rsidR="00000000" w:rsidRDefault="00000000">
      <w:pPr>
        <w:spacing w:after="240"/>
        <w:jc w:val="center"/>
        <w:rPr>
          <w:b/>
          <w:bCs/>
          <w:lang w:val="es-ES_tradnl"/>
        </w:rPr>
      </w:pPr>
      <w:r>
        <w:rPr>
          <w:b/>
          <w:bCs/>
          <w:lang w:val="es-ES_tradnl"/>
        </w:rPr>
        <w:t>OBSERVACIÓN GENERAL Nº 5 (2003)</w:t>
      </w:r>
    </w:p>
    <w:p w:rsidR="00000000" w:rsidRDefault="00000000">
      <w:pPr>
        <w:spacing w:after="480"/>
        <w:jc w:val="center"/>
        <w:rPr>
          <w:b/>
          <w:bCs/>
          <w:lang w:val="es-ES_tradnl"/>
        </w:rPr>
      </w:pPr>
      <w:r>
        <w:rPr>
          <w:b/>
          <w:bCs/>
          <w:lang w:val="es-ES_tradnl"/>
        </w:rPr>
        <w:t>Medidas generales de aplicación de la Convención sobre los Derechos del Niño</w:t>
      </w:r>
      <w:r>
        <w:rPr>
          <w:b/>
          <w:bCs/>
          <w:lang w:val="es-ES_tradnl"/>
        </w:rPr>
        <w:br/>
        <w:t>(artículos 4 y 42 y párrafo 6 del artículo 44)</w:t>
      </w:r>
    </w:p>
    <w:p w:rsidR="00000000" w:rsidRDefault="00000000">
      <w:pPr>
        <w:spacing w:after="240"/>
        <w:jc w:val="center"/>
        <w:rPr>
          <w:b/>
          <w:bCs/>
          <w:lang w:val="es-ES_tradnl"/>
        </w:rPr>
      </w:pPr>
      <w:r>
        <w:rPr>
          <w:b/>
          <w:bCs/>
          <w:lang w:val="es-ES_tradnl"/>
        </w:rPr>
        <w:t>NOTA PRELIMINAR</w:t>
      </w:r>
    </w:p>
    <w:p w:rsidR="00000000" w:rsidRDefault="00000000">
      <w:pPr>
        <w:spacing w:after="240"/>
        <w:ind w:firstLine="567"/>
        <w:rPr>
          <w:lang w:val="es-ES_tradnl"/>
        </w:rPr>
      </w:pPr>
      <w:r>
        <w:rPr>
          <w:lang w:val="es-ES_tradnl"/>
        </w:rPr>
        <w:t>El Comité de los Derechos del Niño ha preparado esta Observación general para describir la obligación de los Estados Partes de adoptar lo que han denominado "medidas generales de aplicación".  Los diversos elementos de ese concepto son complejos, y el Comité subraya que, para desarrollar esta descripción, probablemente formulará más adelante observaciones generales más detalladas sobre esos diferentes elementos.  En su Observación general Nº 2 (2002), titulada "El papel de las instituciones nacionales independientes de derechos humanos en la promoción y protección de los derechos del niño", ya ha ampliado ese concepto.</w:t>
      </w:r>
    </w:p>
    <w:p w:rsidR="00000000" w:rsidRDefault="00000000">
      <w:pPr>
        <w:spacing w:after="240"/>
        <w:jc w:val="center"/>
        <w:rPr>
          <w:b/>
          <w:bCs/>
          <w:lang w:val="es-ES_tradnl"/>
        </w:rPr>
      </w:pPr>
      <w:r>
        <w:rPr>
          <w:lang w:val="es-ES_tradnl"/>
        </w:rPr>
        <w:t>"</w:t>
      </w:r>
      <w:r>
        <w:rPr>
          <w:b/>
          <w:bCs/>
          <w:lang w:val="es-ES_tradnl"/>
        </w:rPr>
        <w:t>Artículo 4</w:t>
      </w:r>
    </w:p>
    <w:p w:rsidR="00000000" w:rsidRDefault="00000000">
      <w:pPr>
        <w:spacing w:after="1320"/>
        <w:ind w:left="567" w:firstLine="567"/>
        <w:rPr>
          <w:lang w:val="es-ES_tradnl"/>
        </w:rPr>
      </w:pPr>
      <w:r>
        <w:rPr>
          <w:lang w:val="es-ES_tradnl"/>
        </w:rPr>
        <w:t>Los Estados Partes adoptarán todas las medidas administrativas, legislativas y de otra índole para dar efectividad a los derechos reconocidos en la presente Convención.  En lo que respecta a los derechos económicos, sociales y culturales, los Estados Partes adoptarán esas medidas hasta el máximo de los recursos de que dispongan y, cuando sea necesario, dentro del marco de la cooperación internacional."</w:t>
      </w:r>
    </w:p>
    <w:p w:rsidR="00000000" w:rsidRDefault="00000000">
      <w:pPr>
        <w:rPr>
          <w:lang w:val="en-GB"/>
        </w:rPr>
      </w:pPr>
      <w:r>
        <w:rPr>
          <w:lang w:val="en-GB"/>
        </w:rPr>
        <w:t>GE.03-45517 (S)    191293    221203</w:t>
      </w:r>
    </w:p>
    <w:p w:rsidR="00000000" w:rsidRDefault="00000000">
      <w:pPr>
        <w:spacing w:after="240"/>
        <w:jc w:val="center"/>
        <w:rPr>
          <w:b/>
          <w:bCs/>
          <w:lang w:val="es-ES_tradnl"/>
        </w:rPr>
      </w:pPr>
      <w:r>
        <w:rPr>
          <w:b/>
          <w:bCs/>
          <w:lang w:val="en-GB"/>
        </w:rPr>
        <w:t xml:space="preserve">I.  </w:t>
      </w:r>
      <w:r>
        <w:rPr>
          <w:b/>
          <w:bCs/>
          <w:lang w:val="es-ES_tradnl"/>
        </w:rPr>
        <w:t>INTRODUCCIÓN</w:t>
      </w:r>
    </w:p>
    <w:p w:rsidR="00000000" w:rsidRDefault="00000000">
      <w:pPr>
        <w:spacing w:after="240"/>
        <w:rPr>
          <w:lang w:val="es-ES_tradnl"/>
        </w:rPr>
      </w:pPr>
      <w:r>
        <w:rPr>
          <w:lang w:val="es-ES_tradnl"/>
        </w:rPr>
        <w:t>1.</w:t>
      </w:r>
      <w:r>
        <w:rPr>
          <w:lang w:val="es-ES_tradnl"/>
        </w:rPr>
        <w:tab/>
        <w:t>Cuando un Estado ratifica la Convención sobre los Derechos del Niño, asume, en virtud del derecho internacional, la obligación de aplicarla.  La aplicación es el proceso en virtud del cual los Estados Partes toman medidas para garantizar la efectividad de todos los derechos reconocidos en la Convención a todos los niños situados dentro de su jurisdicción</w:t>
      </w:r>
      <w:r>
        <w:rPr>
          <w:rStyle w:val="FootnoteReference"/>
          <w:lang w:val="es-ES_tradnl"/>
        </w:rPr>
        <w:footnoteReference w:id="1"/>
      </w:r>
      <w:r>
        <w:rPr>
          <w:lang w:val="es-ES_tradnl"/>
        </w:rPr>
        <w:t>.  El artículo 4 exige que los Estados Partes adopten "todas las medidas administrativas, legislativas y de otra índole" para dar efectividad a los derechos reconocidos en la Convención.  El Estado es quien asume obligaciones en virtud de la Convención, pero en la aplicación de ésta, es decir, en la labor de traducir en la realidad los derechos humanos de los niños, tienen que participar todos los sectores de la sociedad y, desde luego, los propios niños.  Es fundamental hacer que toda la legislación interna sea plenamente compatible con la Convención y que los principios y las disposiciones de ésta puedan aplicarse directamente y sean susceptibles de la debida ejecución coercitiva.  Además, el Comité de los Derechos del Niño ha identificado toda una serie de medidas que se necesitan para la aplicación efectiva de la Convención, entre ellas el establecimiento de estructuras especiales y la realización de actividades de supervisión y formación, así como de otras actividades, en el gobierno, en el parlamento y en la judicatura, en todos los niveles</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2.</w:t>
      </w:r>
      <w:r>
        <w:rPr>
          <w:lang w:val="es-ES_tradnl"/>
        </w:rPr>
        <w:tab/>
        <w:t>En su examen periódico de los informes presentados por los Estados Partes con arreglo a la Convención, el Comité presta particular atención a lo que ha denominado "medidas generales de aplicación".  En las observaciones finales que formuló tras ese examen, el Comité hace recomendaciones específicas sobre esas medidas generales.  El Comité espera que los Estados Partes describan, en sus futuros informes periódicos, las medidas adoptadas en cumplimiento de esas recomendaciones.  En las orientaciones generales del Comité para la presentación de informes, los artículos de la Convención se reúnen en grupos</w:t>
      </w:r>
      <w:r>
        <w:rPr>
          <w:rStyle w:val="FootnoteReference"/>
          <w:lang w:val="es-ES_tradnl"/>
        </w:rPr>
        <w:footnoteReference w:id="3"/>
      </w:r>
      <w:r>
        <w:rPr>
          <w:lang w:val="es-ES_tradnl"/>
        </w:rPr>
        <w:t xml:space="preserve">.  El primer grupo es el relativo a las "medidas generales de aplicación", y en él se reúnen el artículo 4, el artículo 42 (obligación de dar a conocer ampliamente el contenido de la Convención a los niños y a los adultos; véase el párrafo 66 </w:t>
      </w:r>
      <w:r>
        <w:rPr>
          <w:i/>
          <w:iCs/>
          <w:lang w:val="es-ES_tradnl"/>
        </w:rPr>
        <w:t>infra</w:t>
      </w:r>
      <w:r>
        <w:rPr>
          <w:lang w:val="es-ES_tradnl"/>
        </w:rPr>
        <w:t xml:space="preserve">) y el párrafo 6 del artículo 44 (obligación de dar amplia difusión a los informes en el Estado Parte; véase el párrafo 71 </w:t>
      </w:r>
      <w:r>
        <w:rPr>
          <w:i/>
          <w:iCs/>
          <w:lang w:val="es-ES_tradnl"/>
        </w:rPr>
        <w:t>infra</w:t>
      </w:r>
      <w:r>
        <w:rPr>
          <w:lang w:val="es-ES_tradnl"/>
        </w:rPr>
        <w:t>).</w:t>
      </w:r>
    </w:p>
    <w:p w:rsidR="00000000" w:rsidRDefault="00000000">
      <w:pPr>
        <w:spacing w:after="240"/>
        <w:rPr>
          <w:lang w:val="es-ES_tradnl"/>
        </w:rPr>
      </w:pPr>
      <w:r>
        <w:rPr>
          <w:lang w:val="es-ES_tradnl"/>
        </w:rPr>
        <w:t>3.</w:t>
      </w:r>
      <w:r>
        <w:rPr>
          <w:lang w:val="es-ES_tradnl"/>
        </w:rPr>
        <w:tab/>
        <w:t>Además de estas disposiciones, hay otras obligaciones generales en materia de aplicación que se exponen en el artículo 2:  "Los Estados Partes respetarán los derechos enunciados en la presente Convención y asegurarán su aplicación a cada niño sujeto a su jurisdicción, sin distinción alguna [...]".</w:t>
      </w:r>
    </w:p>
    <w:p w:rsidR="00000000" w:rsidRDefault="00000000">
      <w:pPr>
        <w:spacing w:after="240"/>
        <w:rPr>
          <w:lang w:val="es-ES_tradnl"/>
        </w:rPr>
      </w:pPr>
      <w:r>
        <w:rPr>
          <w:lang w:val="es-ES_tradnl"/>
        </w:rPr>
        <w:t>4.</w:t>
      </w:r>
      <w:r>
        <w:rPr>
          <w:lang w:val="es-ES_tradnl"/>
        </w:rPr>
        <w:tab/>
        <w:t>Asimismo, conforme al párrafo 2 del artículo 3, "Los Estados Partes se comprometen a asegurar al niño la protección y el cuidado que sean necesarios para su bienestar, teniendo en cuenta los derechos y deberes de sus padres, tutores u otras personas responsables de él ante la ley y, con ese fin, tomarán todas las medidas legislativas y administrativas adecuadas".</w:t>
      </w:r>
    </w:p>
    <w:p w:rsidR="00000000" w:rsidRDefault="00000000">
      <w:pPr>
        <w:spacing w:after="240"/>
        <w:rPr>
          <w:lang w:val="es-ES_tradnl"/>
        </w:rPr>
      </w:pPr>
      <w:r>
        <w:rPr>
          <w:lang w:val="es-ES_tradnl"/>
        </w:rPr>
        <w:t>5.</w:t>
      </w:r>
      <w:r>
        <w:rPr>
          <w:lang w:val="es-ES_tradnl"/>
        </w:rPr>
        <w:tab/>
        <w:t>En el derecho internacional relativo a los derechos humanos hay artículos similares al artículo 4 de la Convención, en los que se exponen las obligaciones generales en materia de aplicación, tales como el artículo 2 del Pacto Internacional de Derechos Civiles y Políticos y el artículo 2 del Pacto Internacional de Derechos Económicos, Sociales y Culturales.  El Comité de Derechos Humanos y el Comité de Derechos Económicos, Sociales y Culturales han formulado observaciones generales sobre esas disposiciones, observaciones que deben considerarse como complementarias de la presente Observación general y a las que se hace referencia más abajo</w:t>
      </w:r>
      <w:r>
        <w:rPr>
          <w:rStyle w:val="FootnoteReference"/>
          <w:lang w:val="es-ES_tradnl"/>
        </w:rPr>
        <w:footnoteReference w:id="4"/>
      </w:r>
      <w:r>
        <w:rPr>
          <w:lang w:val="es-ES_tradnl"/>
        </w:rPr>
        <w:t>.</w:t>
      </w:r>
    </w:p>
    <w:p w:rsidR="00000000" w:rsidRDefault="00000000">
      <w:pPr>
        <w:spacing w:after="240"/>
        <w:rPr>
          <w:lang w:val="es-ES_tradnl"/>
        </w:rPr>
      </w:pPr>
      <w:r>
        <w:rPr>
          <w:lang w:val="es-ES_tradnl"/>
        </w:rPr>
        <w:t>6.</w:t>
      </w:r>
      <w:r>
        <w:rPr>
          <w:lang w:val="es-ES_tradnl"/>
        </w:rPr>
        <w:tab/>
        <w:t xml:space="preserve">El artículo 4, aunque refleja la obligación general de los Estados Partes en lo que se refiere a la aplicación, establece en su segunda frase una distinción entre, por una parte, los derechos civiles y políticos y, por otra, los derechos económicos, sociales y culturales:  "En lo que respecta a los derechos económicos,.sociales y culturales, los Estados Partes adoptarán esas medidas hasta el máximo de los recursos de que dispongan y, cuando sea necesario, dentro del marco de la cooperación internacional".  No hay ninguna división sencilla o digna de fe de los derechos humanos en general, o de los derechos reconocidos por la Convención en particular, en esas dos categorías de derechos.   En las orientaciones del Comité para la presentación de informes se agrupan los artículos 7, 8, 13 a 17 y el apartado a) del artículo 37 bajo el epígrafe "Derechos y libertades civiles", pero el contexto indica que esos no son los únicos derechos civiles y políticos reconocidos en la Convención.  De hecho, está claro que otros muchos artículos, entre ellos los artículos 2, 3, 6 y 12 de la Convención, contienen elementos que constituyen derechos civiles o políticos, lo que refleja la interdependencia y la indivisibilidad de todos los derechos humanos.  El disfrute de los derechos económicos, sociales y culturales está indisolublemente unido al disfrute de los derechos civiles y políticos.  Como se señala en el párrafo 25 </w:t>
      </w:r>
      <w:r>
        <w:rPr>
          <w:i/>
          <w:iCs/>
          <w:lang w:val="es-ES_tradnl"/>
        </w:rPr>
        <w:t xml:space="preserve">infra, </w:t>
      </w:r>
      <w:r>
        <w:rPr>
          <w:lang w:val="es-ES_tradnl"/>
        </w:rPr>
        <w:t>el Comité cree que se debe reconocer la posibilidad de invocar ante los tribunales los derechos económicos, sociales y culturales, así como los derechos civiles y políticos.</w:t>
      </w:r>
    </w:p>
    <w:p w:rsidR="00000000" w:rsidRDefault="00000000">
      <w:pPr>
        <w:spacing w:after="240"/>
        <w:rPr>
          <w:lang w:val="es-ES_tradnl"/>
        </w:rPr>
      </w:pPr>
      <w:r>
        <w:rPr>
          <w:lang w:val="es-ES_tradnl"/>
        </w:rPr>
        <w:t>7.</w:t>
      </w:r>
      <w:r>
        <w:rPr>
          <w:lang w:val="es-ES_tradnl"/>
        </w:rPr>
        <w:tab/>
        <w:t xml:space="preserve">La segunda frase del artículo 4 refleja la aceptación realista de que la falta de recursos, financieros y de otra índole, puede entorpecer la plena aplicación de los derechos económicos, sociales y culturales en algunos Estados; esto introduce la idea de la "realización progresiva" de tales derechos:  los Estados tienen que poder demostrar que han adoptado medidas "hasta el máximo de los recursos de que dispongan" y, cuando sea necesario, que han solicitado la cooperación internacional.  Los Estados, cuando ratifican la Convención, asumen la obligación no sólo de aplicarla dentro de su jurisdicción, sino también de contribuir, mediante la cooperación internacional, a que se aplique en todo el mundo (véase el párrafo 60 </w:t>
      </w:r>
      <w:r>
        <w:rPr>
          <w:i/>
          <w:iCs/>
          <w:lang w:val="es-ES_tradnl"/>
        </w:rPr>
        <w:t>infra</w:t>
      </w:r>
      <w:r>
        <w:rPr>
          <w:lang w:val="es-ES_tradnl"/>
        </w:rPr>
        <w:t>).</w:t>
      </w:r>
    </w:p>
    <w:p w:rsidR="00000000" w:rsidRDefault="00000000">
      <w:pPr>
        <w:spacing w:after="240"/>
        <w:rPr>
          <w:lang w:val="es-ES_tradnl"/>
        </w:rPr>
      </w:pPr>
      <w:r>
        <w:rPr>
          <w:lang w:val="es-ES_tradnl"/>
        </w:rPr>
        <w:t>8.</w:t>
      </w:r>
      <w:r>
        <w:rPr>
          <w:lang w:val="es-ES_tradnl"/>
        </w:rPr>
        <w:tab/>
        <w:t>La frase es similar a la utilizada en el Pacto Internacional de Derechos Económicos, Sociales y Culturales, y el Comité está plenamente de acuerdo con el Comité de Derechos Económicos, Sociales y Culturales en que, "aunque se demuestre que los recursos disponibles son insuficientes, sigue en pie la obligación de que el Estado Parte se empeñe en asegurar el disfrute más amplio posible de los derechos pertinentes dadas las circunstancias reinantes"</w:t>
      </w:r>
      <w:r>
        <w:rPr>
          <w:rStyle w:val="FootnoteReference"/>
          <w:lang w:val="es-ES_tradnl"/>
        </w:rPr>
        <w:footnoteReference w:id="5"/>
      </w:r>
      <w:r>
        <w:rPr>
          <w:lang w:val="es-ES_tradnl"/>
        </w:rPr>
        <w:t>.  Sean cuales fueren sus circunstancias económicas, los Estados están obligados a adoptar todas las medidas posibles para dar efectividad a los derechos del niño, prestando especial atención a los grupos más desfavorecidos.</w:t>
      </w:r>
    </w:p>
    <w:p w:rsidR="00000000" w:rsidRDefault="00000000">
      <w:pPr>
        <w:spacing w:after="240"/>
        <w:rPr>
          <w:lang w:val="es-ES_tradnl"/>
        </w:rPr>
      </w:pPr>
      <w:r>
        <w:rPr>
          <w:lang w:val="es-ES_tradnl"/>
        </w:rPr>
        <w:t>9.</w:t>
      </w:r>
      <w:r>
        <w:rPr>
          <w:lang w:val="es-ES_tradnl"/>
        </w:rPr>
        <w:tab/>
        <w:t>Las medidas generales de aplicación identificadas por el Comité y descritas en esta Observación general tienen por finalidad promover el pleno disfrute de todos los derechos reconocidos en la Convención por todos los niños, mediante la promulgación de disposiciones legislativas, el establecimiento de órganos de coordinación y supervisión, tanto gubernamentales como independientes, la reunión de datos de gran alcance, la concienciación, la formación y la formulación y aplicación de las políticas, los servicios y los programas apropiados.  Uno de los resultados satisfactorios de la adopción y de la ratificación casi universal de la Convención ha sido la creación, en el plano nacional, de toda una serie de nuevos órganos, estructuras y actividades orientados y adaptados a los niños:  dependencias encargadas de los derechos del niño en el gobierno, ministros que se ocupan de los niños, comités interministeriales sobre los niños, comités parlamentarios, análisis de las repercusiones sobre los niños, presupuestos para los niños, informes sobre la situación de los derechos de los niños, coaliciones de organizaciones no gubernamentales (ONG) sobre los derechos de los niños, defensores de los niños, comisionados de derechos de los niños, etc.</w:t>
      </w:r>
    </w:p>
    <w:p w:rsidR="00000000" w:rsidRDefault="00000000">
      <w:pPr>
        <w:spacing w:after="240"/>
        <w:rPr>
          <w:lang w:val="es-ES_tradnl"/>
        </w:rPr>
      </w:pPr>
      <w:r>
        <w:rPr>
          <w:lang w:val="es-ES_tradnl"/>
        </w:rPr>
        <w:t>10.</w:t>
      </w:r>
      <w:r>
        <w:rPr>
          <w:lang w:val="es-ES_tradnl"/>
        </w:rPr>
        <w:tab/>
        <w:t>Esos cambios, aunque algunos de ellos pueden parecer superficiales en gran parte, indican, al menos, que ha cambiado la percepción que se tiene del lugar del niño en la sociedad, que se está dispuesto a dar mayor prioridad política a los niños y que se está cobrando mayor conciencia de las repercusiones que la buena gestión de los asuntos públicos tiene sobre los niños y sobre sus derechos humanos.</w:t>
      </w:r>
    </w:p>
    <w:p w:rsidR="00000000" w:rsidRDefault="00000000">
      <w:pPr>
        <w:spacing w:after="240"/>
        <w:rPr>
          <w:lang w:val="es-ES_tradnl"/>
        </w:rPr>
      </w:pPr>
      <w:r>
        <w:rPr>
          <w:lang w:val="es-ES_tradnl"/>
        </w:rPr>
        <w:t>11.</w:t>
      </w:r>
      <w:r>
        <w:rPr>
          <w:lang w:val="es-ES_tradnl"/>
        </w:rPr>
        <w:tab/>
        <w:t>El Comité subraya que, en el contexto de la Convención, los Estados han de considerar que su función consiste en cumplir unas claras obligaciones jurídicas para con todos y cada uno de los niños.  La puesta en práctica de los derechos humanos de los niños no ha de considerarse como un proceso caritativo que consista en hacer favores a los niños.</w:t>
      </w:r>
    </w:p>
    <w:p w:rsidR="00000000" w:rsidRDefault="00000000">
      <w:pPr>
        <w:spacing w:after="240"/>
        <w:rPr>
          <w:lang w:val="es-ES_tradnl"/>
        </w:rPr>
      </w:pPr>
      <w:r>
        <w:rPr>
          <w:lang w:val="es-ES_tradnl"/>
        </w:rPr>
        <w:t>12.</w:t>
      </w:r>
      <w:r>
        <w:rPr>
          <w:lang w:val="es-ES_tradnl"/>
        </w:rPr>
        <w:tab/>
        <w:t>La adopción de una perspectiva basada en los derechos del niño, mediante la acción del gobierno, del parlamento y de la judicatura, es necesaria para la aplicación efectiva de toda la Convención, particularmente habida cuenta de los siguientes artículos de la Convención identificados por el Comité como principios generales.</w:t>
      </w:r>
    </w:p>
    <w:p w:rsidR="00000000" w:rsidRDefault="00000000">
      <w:pPr>
        <w:spacing w:after="240"/>
        <w:ind w:left="567"/>
        <w:rPr>
          <w:lang w:val="es-ES_tradnl"/>
        </w:rPr>
      </w:pPr>
      <w:r>
        <w:rPr>
          <w:b/>
          <w:bCs/>
          <w:lang w:val="es-ES_tradnl"/>
        </w:rPr>
        <w:t>Artículo 2 - Obligación de los Estados de respetar los derechos enunciados en la Convención y de asegurar su aplicación a cada niño sujeto a su jurisdicción, sin distinción alguna.</w:t>
      </w:r>
      <w:r>
        <w:rPr>
          <w:lang w:val="es-ES_tradnl"/>
        </w:rPr>
        <w:t xml:space="preserve">  Esta obligación de no discriminación exige que los Estados identifiquen activamente a los niños y grupos de niños cuando el reconocimiento y la efectividad de sus derechos pueda exigir la adopción de medidas especiales.  Por ejemplo, el Comité subraya en particular, la necesidad de que los datos que se reúnan se desglosen para poder identificar las discriminaciones existentes o potenciales.  La lucha contra la discriminación puede exigir que se modifique la legislación, que se introduzcan cambios en la administración, que se modifique la asignación de recursos y que se adopten medidas educativas para hacer que cambien las actitudes.  Hay que poner de relieve que la aplicación del principio no discriminatorio de la igualdad de acceso a los derechos no significa que haya que dar un trato idéntico.  En una Observación general del Comité de Derechos Humanos se ha subrayado la importancia de tomar medidas especiales para reducir o eliminar las condiciones que llevan a la discriminación</w:t>
      </w:r>
      <w:r>
        <w:rPr>
          <w:rStyle w:val="FootnoteReference"/>
          <w:lang w:val="es-ES_tradnl"/>
        </w:rPr>
        <w:footnoteReference w:id="6"/>
      </w:r>
      <w:r>
        <w:rPr>
          <w:lang w:val="es-ES_tradnl"/>
        </w:rPr>
        <w:t>.</w:t>
      </w:r>
    </w:p>
    <w:p w:rsidR="00000000" w:rsidRDefault="00000000">
      <w:pPr>
        <w:spacing w:after="240"/>
        <w:ind w:left="567"/>
        <w:rPr>
          <w:lang w:val="es-ES_tradnl"/>
        </w:rPr>
      </w:pPr>
      <w:r>
        <w:rPr>
          <w:b/>
          <w:bCs/>
          <w:lang w:val="es-ES_tradnl"/>
        </w:rPr>
        <w:t xml:space="preserve">Artículo 3, párrafo 1 - El interés superior del niño como consideración primordial en todas las medidas concernientes a los niños.  </w:t>
      </w:r>
      <w:r>
        <w:rPr>
          <w:lang w:val="es-ES_tradnl"/>
        </w:rPr>
        <w:t>El artículo se refiere a las medidas que tomen "las instituciones públicas o privadas de bienestar social, los tribunales, las autoridades administrativas o los órganos legislativos".  El principio exige la adopción de medidas activas por el gobierno, el parlamento y la judicatura.  Todos los órganos o instituciones legislativos, administrativos y judiciales han de aplicar el principio del interés superior del niño estudiando sistemáticamente cómo los derechos y los intereses del niño se ven afectados o se verán afectados por las decisiones y las medidas que adopten; por ejemplo, una ley o una política propuestas o existentes, una medida administrativa o una decisión de los tribunales, incluyendo las que no se refieren directamente a los niños pero los afectan indirectamente.</w:t>
      </w:r>
    </w:p>
    <w:p w:rsidR="00000000" w:rsidRDefault="00000000">
      <w:pPr>
        <w:spacing w:after="240"/>
        <w:ind w:left="567"/>
        <w:rPr>
          <w:lang w:val="es-ES_tradnl"/>
        </w:rPr>
      </w:pPr>
      <w:r>
        <w:rPr>
          <w:b/>
          <w:bCs/>
          <w:lang w:val="es-ES_tradnl"/>
        </w:rPr>
        <w:t>Artículo 6 - El derecho intrínseco del niño a la vida y la obligación de los Estados Partes de garantizar en la máxima medida posible la supervivencia y el desarrollo del niño.</w:t>
      </w:r>
      <w:r>
        <w:rPr>
          <w:lang w:val="es-ES_tradnl"/>
        </w:rPr>
        <w:t xml:space="preserve">  El Comité espera que los Estados interpreten el término "desarrollo" en su sentido más amplio, como concepto holístico que abarca el desarrollo físico, mental, espiritual, moral, psicológico y social del niño.  Las medidas de aplicación deben estar dirigidas a conseguir el desarrollo óptimo de todos los niños.</w:t>
      </w:r>
    </w:p>
    <w:p w:rsidR="00000000" w:rsidRDefault="00000000">
      <w:pPr>
        <w:spacing w:after="240"/>
        <w:ind w:left="567"/>
        <w:rPr>
          <w:lang w:val="es-ES_tradnl"/>
        </w:rPr>
      </w:pPr>
      <w:r>
        <w:rPr>
          <w:b/>
          <w:bCs/>
          <w:lang w:val="es-ES_tradnl"/>
        </w:rPr>
        <w:t xml:space="preserve">Artículo 12 - El derecho del niño a expresar su opinión libremente en "todos los asuntos que afectan al niño" y a que se tengan debidamente en cuenta esas opiniones.  </w:t>
      </w:r>
      <w:r>
        <w:rPr>
          <w:lang w:val="es-ES_tradnl"/>
        </w:rPr>
        <w:t>Este principio, que pone de relieve la función del niño como participante activo en la promoción, protección y vigilancia de sus derechos, se aplica igualmente a todas las medidas adoptadas por los Estados para aplicar la Convención.</w:t>
      </w:r>
    </w:p>
    <w:p w:rsidR="00000000" w:rsidRDefault="00000000">
      <w:pPr>
        <w:spacing w:after="240"/>
        <w:ind w:left="567" w:firstLine="567"/>
        <w:rPr>
          <w:lang w:val="es-ES_tradnl"/>
        </w:rPr>
      </w:pPr>
      <w:r>
        <w:rPr>
          <w:lang w:val="es-ES_tradnl"/>
        </w:rPr>
        <w:t>La apertura de los procesos de adopción de decisiones oficiales a los niños constituye un reto positivo al que el Comité estima que los Estados están respondiendo cada vez más.  Como pocos Estados han reducido ya la mayoría de edad electoral a menos de 18 años, es aún más necesario lograr que la opinión de los niños sin derecho de voto sea respetada en el gobierno y en el parlamento.  Si se quiere que las consultas sean útiles, es preciso dar acceso tanto a los documentos como a los procedimientos.  Ahora bien, es relativamente fácil aparentar que se escucha a los niños, pero para atribuir la debida importancia a la opinión de los niños se necesita un auténtico cambio.  El escuchar a los niños no debe considerarse como un fin en sí mismo, sino más bien como un medio de que los Estados hagan que sus interacciones con los niños y las medidas que adopten en favor de los niños estén cada vez más orientadas a la puesta en práctica de los derechos de los niños.</w:t>
      </w:r>
    </w:p>
    <w:p w:rsidR="00000000" w:rsidRDefault="00000000">
      <w:pPr>
        <w:spacing w:after="480"/>
        <w:ind w:left="567" w:firstLine="567"/>
        <w:rPr>
          <w:lang w:val="es-ES_tradnl"/>
        </w:rPr>
      </w:pPr>
      <w:r>
        <w:rPr>
          <w:lang w:val="es-ES_tradnl"/>
        </w:rPr>
        <w:t>Los acontecimientos únicos o regulares como los parlamentos de los niños pueden ser alentadores y suscitar la concienciación general.  Ahora bien, el artículo 12 exige que las disposiciones sean sistemáticas y permanentes.  La participación de los niños y las consultas con los niños tienen también que tratar de no ser meramente simbólicas y han de estar dirigidas a determinar unas opiniones que sean representativas.  El énfasis que se hace en el párrafo 1 del artículo 12 en "los asuntos que afectan al niño" implica que se trate de conocer la opinión de determinados grupos de niños sobre cuestiones concretas; por ejemplo la opinión de los niños que tienen experiencia con el sistema de justicia de menores sobre las propuestas de modificación de las leyes aplicables en esa esfera, o la opinión de los niños adoptados y de los niños que se encuentran en familias de adopción sobre las leyes y las políticas en materia de adopción.  Es importante que los gobiernos establezcan una relación directa con los niños, y no simplemente una relación por conducto de ONG o de instituciones de derechos humanos.  En los primeros años de vigencia de la Convención, las ONG desempeñaron una importante función innovadora al adoptar estrategias en las que se daba participación a los niños, pero interesa tanto a los gobiernos como a los niños que se establezcan los contactos directos apropiados.</w:t>
      </w:r>
    </w:p>
    <w:p w:rsidR="00000000" w:rsidRDefault="00000000">
      <w:pPr>
        <w:spacing w:after="240"/>
        <w:jc w:val="center"/>
        <w:rPr>
          <w:b/>
          <w:bCs/>
          <w:lang w:val="es-ES_tradnl"/>
        </w:rPr>
      </w:pPr>
      <w:r>
        <w:rPr>
          <w:b/>
          <w:bCs/>
          <w:lang w:val="es-ES_tradnl"/>
        </w:rPr>
        <w:t>II.  EXAMEN DE LAS RESERVAS</w:t>
      </w:r>
    </w:p>
    <w:p w:rsidR="00000000" w:rsidRDefault="00000000">
      <w:pPr>
        <w:spacing w:after="240"/>
        <w:rPr>
          <w:lang w:val="es-ES_tradnl"/>
        </w:rPr>
      </w:pPr>
      <w:r>
        <w:rPr>
          <w:lang w:val="es-ES_tradnl"/>
        </w:rPr>
        <w:t>13.</w:t>
      </w:r>
      <w:r>
        <w:rPr>
          <w:lang w:val="es-ES_tradnl"/>
        </w:rPr>
        <w:tab/>
        <w:t>En sus orientaciones para la presentación de informes relativos a las medidas generales de aplicación, el Comité empieza invitando a cada Estado Parte a que indique si considera necesario mantener las reservas que haya hecho, en su caso, o si tiene la intención de retirarlas</w:t>
      </w:r>
      <w:r>
        <w:rPr>
          <w:rStyle w:val="FootnoteReference"/>
          <w:lang w:val="es-ES_tradnl"/>
        </w:rPr>
        <w:footnoteReference w:id="7"/>
      </w:r>
      <w:r>
        <w:rPr>
          <w:lang w:val="es-ES_tradnl"/>
        </w:rPr>
        <w:t xml:space="preserve">.  Los Estados Partes en la Convención tienen derecho a formular reservas en el momento de su ratificación o de su adhesión (art. 51).  El objetivo del Comité de lograr que se respeten plena e incondicionalmente los derechos humanos de los niños sólo puede alcanzarse si los Estados retiran sus reservas.  El Comité, durante su examen de los informes, recomienda invariablemente que se examinen y se retiren las reservas.  Cuando un Estado, después de examinar una reserva, </w:t>
      </w:r>
    </w:p>
    <w:p w:rsidR="00000000" w:rsidRDefault="00000000">
      <w:pPr>
        <w:spacing w:after="240"/>
        <w:rPr>
          <w:lang w:val="es-ES_tradnl"/>
        </w:rPr>
      </w:pPr>
      <w:r>
        <w:rPr>
          <w:lang w:val="es-ES_tradnl"/>
        </w:rPr>
        <w:br w:type="page"/>
        <w:t>decide mantenerla, el Comité pide que en el siguiente informe periódico de ese Estado se explique plenamente esa decisión.  El Comité señala a la atención de los Estados Partes el aliento dado por la Conferencia Mundial de Derechos Humanos al examen y a la retirada de las reservas</w:t>
      </w:r>
      <w:r>
        <w:rPr>
          <w:rStyle w:val="FootnoteReference"/>
          <w:lang w:val="es-ES_tradnl"/>
        </w:rPr>
        <w:footnoteReference w:id="8"/>
      </w:r>
      <w:r>
        <w:rPr>
          <w:lang w:val="es-ES_tradnl"/>
        </w:rPr>
        <w:t>.</w:t>
      </w:r>
    </w:p>
    <w:p w:rsidR="00000000" w:rsidRDefault="00000000">
      <w:pPr>
        <w:spacing w:after="240"/>
        <w:rPr>
          <w:lang w:val="es-ES_tradnl"/>
        </w:rPr>
      </w:pPr>
      <w:r>
        <w:rPr>
          <w:lang w:val="es-ES_tradnl"/>
        </w:rPr>
        <w:t>14.</w:t>
      </w:r>
      <w:r>
        <w:rPr>
          <w:lang w:val="es-ES_tradnl"/>
        </w:rPr>
        <w:tab/>
        <w:t>El artículo 2 de la Convención de Viena sobre el Derecho de los Tratados define la "reserva" como "una declaración unilateral, cualquiera que sea su enunciado o denominación, hecha por un Estado al firmar, ratificar, aceptar o aprobar un tratado o al adherirse a él, con objeto de excluir o modificar los efectos jurídicos de ciertas disposiciones del tratado en su aplicación a ese Estado".  La Convención de Viena dispone que los Estados podrán, en el momento de la ratificación de un tratado o de la adhesión a un tratado, formular una reserva, a menos que ésta sea "incompatible con el objeto y el fin del tratado" (art. 19).</w:t>
      </w:r>
    </w:p>
    <w:p w:rsidR="00000000" w:rsidRDefault="00000000">
      <w:pPr>
        <w:spacing w:after="240"/>
        <w:rPr>
          <w:lang w:val="es-ES_tradnl"/>
        </w:rPr>
      </w:pPr>
      <w:r>
        <w:rPr>
          <w:lang w:val="es-ES_tradnl"/>
        </w:rPr>
        <w:t>15.</w:t>
      </w:r>
      <w:r>
        <w:rPr>
          <w:lang w:val="es-ES_tradnl"/>
        </w:rPr>
        <w:tab/>
        <w:t>El párrafo 2 del artículo 51 de la Convención sobre los Derechos del Niño refleja esa disposición:  "No se aceptará ninguna reserva incompatible con el objeto y el propósito de la presente Convención".  Preocupa profundamente al Comité que algunos Estados hayan formulado reservas que evidentemente infringen el párrafo 2 del artículo 51, por ejemplo señalando que el respeto de la Convención está limitado por la Constitución o la legislación vigentes del Estado, incluyendo en algunos casos el derecho religioso.  El artículo 27 de la Convención de Viena sobre el Derecho de los Tratados dispone que "Una parte no podrá invocar las disposiciones de su derecho interno como justificación del incumplimiento de un tratado".</w:t>
      </w:r>
    </w:p>
    <w:p w:rsidR="00000000" w:rsidRDefault="00000000">
      <w:pPr>
        <w:spacing w:after="480"/>
        <w:rPr>
          <w:lang w:val="es-ES_tradnl"/>
        </w:rPr>
      </w:pPr>
      <w:r>
        <w:rPr>
          <w:lang w:val="es-ES_tradnl"/>
        </w:rPr>
        <w:t>16.</w:t>
      </w:r>
      <w:r>
        <w:rPr>
          <w:lang w:val="es-ES_tradnl"/>
        </w:rPr>
        <w:tab/>
        <w:t>El Comité señala que, en algunos casos, los Estados Partes han presentado objeciones formales a esas reservas tan amplias de otros Estados Partes.  El Comité encomia cualquier medida que contribuya a asegurar el respeto más amplio posible de la Convención en todos los Estados Partes.</w:t>
      </w:r>
    </w:p>
    <w:p w:rsidR="00000000" w:rsidRDefault="00000000">
      <w:pPr>
        <w:spacing w:after="240"/>
        <w:ind w:left="380" w:hanging="380"/>
        <w:jc w:val="center"/>
        <w:rPr>
          <w:b/>
          <w:bCs/>
          <w:lang w:val="es-ES_tradnl"/>
        </w:rPr>
      </w:pPr>
      <w:r>
        <w:rPr>
          <w:b/>
          <w:bCs/>
          <w:lang w:val="es-ES_tradnl"/>
        </w:rPr>
        <w:t>III.  RATIFICACIÓN DE OTROS INSTRUMENTOS INTERNACIONALES</w:t>
      </w:r>
      <w:r>
        <w:rPr>
          <w:b/>
          <w:bCs/>
          <w:lang w:val="es-ES_tradnl"/>
        </w:rPr>
        <w:br/>
        <w:t>CLAVE RELATIVOS A LOS DERECHOS HUMANOS</w:t>
      </w:r>
    </w:p>
    <w:p w:rsidR="00000000" w:rsidRDefault="00000000">
      <w:pPr>
        <w:spacing w:after="480"/>
        <w:rPr>
          <w:lang w:val="es-ES_tradnl"/>
        </w:rPr>
      </w:pPr>
      <w:r>
        <w:rPr>
          <w:lang w:val="es-ES_tradnl"/>
        </w:rPr>
        <w:t>17.</w:t>
      </w:r>
      <w:r>
        <w:rPr>
          <w:lang w:val="es-ES_tradnl"/>
        </w:rPr>
        <w:tab/>
        <w:t>En su examen de las medidas generales de aplicación, y teniendo en cuenta los principios de la indivisibilidad y la interdependencia de los derechos humanos, el Comité insta invariablemente a los Estados Partes a que, si todavía no lo han hecho, ratifiquen los dos Protocolos Facultativos de la Convención sobre los Derechos del Niño (sobre la participación de niños en los conflictos armados y sobre la venta de niños, la prostitución infantil y la utilización de niños en la pornografía), así como los otros seis principales instrumentos internacionales relativos a los derechos humanos.  Durante su diálogo con los Estados Partes, el Comité los alienta frecuentemente a que consideren la posibilidad de ratificar otros instrumentos internacionales pertinentes.  En el anexo de esta Observación general figura una lista no exhaustiva de esos instrumentos, lista que el Comité actualizará periódicamente.</w:t>
      </w:r>
    </w:p>
    <w:p w:rsidR="00000000" w:rsidRDefault="00000000">
      <w:pPr>
        <w:keepNext/>
        <w:spacing w:after="240"/>
        <w:jc w:val="center"/>
        <w:rPr>
          <w:b/>
          <w:bCs/>
          <w:lang w:val="es-ES_tradnl"/>
        </w:rPr>
      </w:pPr>
      <w:r>
        <w:rPr>
          <w:b/>
          <w:bCs/>
          <w:lang w:val="es-ES_tradnl"/>
        </w:rPr>
        <w:t>IV.  DISPOSICIONES LEGISLATIVAS</w:t>
      </w:r>
    </w:p>
    <w:p w:rsidR="00000000" w:rsidRDefault="00000000">
      <w:pPr>
        <w:keepNext/>
        <w:spacing w:after="240"/>
        <w:rPr>
          <w:lang w:val="es-ES_tradnl"/>
        </w:rPr>
      </w:pPr>
      <w:r>
        <w:rPr>
          <w:lang w:val="es-ES_tradnl"/>
        </w:rPr>
        <w:t>18.</w:t>
      </w:r>
      <w:r>
        <w:rPr>
          <w:lang w:val="es-ES_tradnl"/>
        </w:rPr>
        <w:tab/>
        <w:t>El Comité considera que la revisión general de toda la legislación interna y las directrices administrativas conexas para garantizar el pleno cumplimiento de la Convención constituye una obligación.  La experiencia adquirida durante el examen no sólo del informe inicial sino también  ahora de los informes periódicos segundo y tercero presentados en virtud de la Convención indica que el proceso de revisión a nivel nacional se ha iniciado, en la mayoría de los casos, pero debe ser más riguroso.  En la revisión se debe examinar la Convención no sólo artículo por artículo sino también globalmente, y se debe reconocer la interdependencia y la indivisibilidad de los derechos humanos.  La revisión debe ser continua en vez de única, y en ella se debe examinar tanto la legislación propuesta como la legislación en vigor.  Aunque es importante que ese proceso de revisión se incorpore a las actividades de todos los departamentos gubernamentales competentes, también conviene que lleven a cabo una revisión independiente los comités y reuniones de los parlamentos, las instituciones nacionales de derechos humanos, las ONG, los intelectuales, y los niños y jóvenes afectados, entre otras entidades y personas.</w:t>
      </w:r>
    </w:p>
    <w:p w:rsidR="00000000" w:rsidRDefault="00000000">
      <w:pPr>
        <w:spacing w:after="240"/>
        <w:rPr>
          <w:lang w:val="es-ES_tradnl"/>
        </w:rPr>
      </w:pPr>
      <w:r>
        <w:rPr>
          <w:lang w:val="es-ES_tradnl"/>
        </w:rPr>
        <w:t>19.</w:t>
      </w:r>
      <w:r>
        <w:rPr>
          <w:lang w:val="es-ES_tradnl"/>
        </w:rPr>
        <w:tab/>
        <w:t>Los Estados Partes tienen que hacer, por todos los medios adecuados, que las disposiciones de la Convención surtan efecto jurídico en el ordenamiento jurídico interno.  Esto sigue siendo un problema para muchos Estados Partes.  Es especialmente importante aclarar el ámbito de aplicación de la Convención en los Estados en los que ésta se aplica directamente en el derecho interno y en otros en los que se afirma que la Convención tiene "rango de disposición constitucional" o ha sido incorporada en el derecho interno.</w:t>
      </w:r>
    </w:p>
    <w:p w:rsidR="00000000" w:rsidRDefault="00000000">
      <w:pPr>
        <w:spacing w:after="240"/>
        <w:rPr>
          <w:lang w:val="es-ES_tradnl"/>
        </w:rPr>
      </w:pPr>
      <w:r>
        <w:rPr>
          <w:lang w:val="es-ES_tradnl"/>
        </w:rPr>
        <w:t>20.</w:t>
      </w:r>
      <w:r>
        <w:rPr>
          <w:lang w:val="es-ES_tradnl"/>
        </w:rPr>
        <w:tab/>
        <w:t xml:space="preserve">El Comité acoge con satisfacción la incorporación de la Convención al derecho interno, incorporación que es el procedimiento tradicional de aplicación de los instrumentos internacionales de derechos humanos en algunos Estados, pero no en todos ellos.  La incorporación debe significar que las disposiciones de la Convención pueden ser invocadas directamente ante los tribunales y ser aplicada por las autoridades nacionales y que la Convención prevalece en caso de conflicto con la legislación interna o la práctica común.  La incorporación, por sí sola no evita la necesidad de hacer que todo el derecho interno pertinente, incluso el derecho local o consuetudinario, se ajuste a la Convención.  En caso de conflicto en la legislación, siempre debe prevalecer la Convención, conforme al artículo 27 de la Convención de Viena sobre el Derecho de los Tratados.  Cuando un Estado delegue poderes para legislar en los gobiernos regionales o territoriales federados, deberá exigir asimismo a esos gobiernos subsidiarios que legislen en el marco de la Convención y garanticen su aplicación efectiva (véanse también los párrafos 40 y siguientes </w:t>
      </w:r>
      <w:r>
        <w:rPr>
          <w:i/>
          <w:iCs/>
          <w:lang w:val="es-ES_tradnl"/>
        </w:rPr>
        <w:t>infra</w:t>
      </w:r>
      <w:r>
        <w:rPr>
          <w:lang w:val="es-ES_tradnl"/>
        </w:rPr>
        <w:t>).</w:t>
      </w:r>
    </w:p>
    <w:p w:rsidR="00000000" w:rsidRDefault="00000000">
      <w:pPr>
        <w:spacing w:after="240"/>
        <w:rPr>
          <w:lang w:val="es-ES_tradnl"/>
        </w:rPr>
      </w:pPr>
      <w:r>
        <w:rPr>
          <w:lang w:val="es-ES_tradnl"/>
        </w:rPr>
        <w:t>21.</w:t>
      </w:r>
      <w:r>
        <w:rPr>
          <w:lang w:val="es-ES_tradnl"/>
        </w:rPr>
        <w:tab/>
        <w:t>Algunos Estados han indicado al Comité que la inclusión en su Constitución de garantías de los derechos para "todos" es suficiente para garantizar el respeto de esos derechos en el caso de los niños.  El criterio para saber si es así consiste en determinar si, en el caso de los niños, los derechos aplicables tienen efectividad realmente y se pueden invocar directamente ante los tribunales.  El Comité acoge con satisfacción la inclusión de artículos sobre los derechos del niño en las constituciones nacionales, reflejando así los principios clave de la Convención, lo que contribuye a subrayar la idea esencial de la Convención:  que los niños, al igual que los adultos, son titulares de los derechos humanos.  Sin embargo, esa inclusión no garantiza automáticamente que se respeten los derechos de los niños.  A fin de promover la plena aplicación de esos derechos, incluido, cuando proceda, el ejercicio de los derechos por los propios niños, puede ser necesario adoptar disposiciones adicionales, legislativas o de otra índole.</w:t>
      </w:r>
    </w:p>
    <w:p w:rsidR="00000000" w:rsidRDefault="00000000">
      <w:pPr>
        <w:spacing w:after="240"/>
        <w:rPr>
          <w:lang w:val="es-ES_tradnl"/>
        </w:rPr>
      </w:pPr>
      <w:r>
        <w:rPr>
          <w:lang w:val="es-ES_tradnl"/>
        </w:rPr>
        <w:t>22.</w:t>
      </w:r>
      <w:r>
        <w:rPr>
          <w:lang w:val="es-ES_tradnl"/>
        </w:rPr>
        <w:tab/>
        <w:t xml:space="preserve">El Comité destaca, en particular, la importancia de que el derecho interno refleje los principios generales establecidos en la Convención (arts. 2, 3, 6; véase el párrafo 12 </w:t>
      </w:r>
      <w:r>
        <w:rPr>
          <w:i/>
          <w:iCs/>
          <w:lang w:val="es-ES_tradnl"/>
        </w:rPr>
        <w:t>supra</w:t>
      </w:r>
      <w:r>
        <w:rPr>
          <w:lang w:val="es-ES_tradnl"/>
        </w:rPr>
        <w:t>).  El Comité acoge con satisfacción la refundición de la legislación relativa a los derechos del niño, que puede subrayar y poner de relieve los principios de la Convención.  Sin embargo, el Comité señala que es fundamental además que todas las leyes "sectoriales" pertinentes (sobre la educación, la salud, la justicia, etc.) reflejen de manera coherente los principios y las normas de la Convención.</w:t>
      </w:r>
    </w:p>
    <w:p w:rsidR="00000000" w:rsidRDefault="00000000">
      <w:pPr>
        <w:spacing w:after="480"/>
        <w:rPr>
          <w:lang w:val="es-ES_tradnl"/>
        </w:rPr>
      </w:pPr>
      <w:r>
        <w:rPr>
          <w:lang w:val="es-ES_tradnl"/>
        </w:rPr>
        <w:t>23.</w:t>
      </w:r>
      <w:r>
        <w:rPr>
          <w:lang w:val="es-ES_tradnl"/>
        </w:rPr>
        <w:tab/>
        <w:t>El Comité alienta a todos los Estados Partes a que promulguen y apliquen dentro de su jurisdicción disposiciones jurídicas que sean más conducentes a la realización de los derechos del niño que las contenidas en la Convención, teniendo en cuenta el artículo 41.  El Comité subraya que los demás instrumentos internacionales relativos a los derechos humanos se aplican a todas las personas de menos de 18 años de edad.</w:t>
      </w:r>
    </w:p>
    <w:p w:rsidR="00000000" w:rsidRDefault="00000000">
      <w:pPr>
        <w:spacing w:after="240"/>
        <w:jc w:val="center"/>
        <w:rPr>
          <w:b/>
          <w:bCs/>
          <w:lang w:val="es-ES_tradnl"/>
        </w:rPr>
      </w:pPr>
      <w:r>
        <w:rPr>
          <w:b/>
          <w:bCs/>
          <w:lang w:val="es-ES_tradnl"/>
        </w:rPr>
        <w:t>V.  POSIBILIDAD DE INVOCAR LOS DERECHOS</w:t>
      </w:r>
      <w:r>
        <w:rPr>
          <w:b/>
          <w:bCs/>
          <w:lang w:val="es-ES_tradnl"/>
        </w:rPr>
        <w:br/>
        <w:t>ANTE LOS TRIBUNALES</w:t>
      </w:r>
    </w:p>
    <w:p w:rsidR="00000000" w:rsidRDefault="00000000">
      <w:pPr>
        <w:spacing w:after="240"/>
        <w:rPr>
          <w:lang w:val="es-ES_tradnl"/>
        </w:rPr>
      </w:pPr>
      <w:r>
        <w:rPr>
          <w:lang w:val="es-ES_tradnl"/>
        </w:rPr>
        <w:t>24.</w:t>
      </w:r>
      <w:r>
        <w:rPr>
          <w:lang w:val="es-ES_tradnl"/>
        </w:rPr>
        <w:tab/>
        <w:t>Para que los derechos cobren sentido, se debe disponer de recursos efectivos para reparar sus violaciones.  Esta exigencia está implícita en la Convención, y se hace referencia a ella sistemáticamente en los otros seis principales instrumentos internacionales relativos a los derechos humanos.  La situación especial y dependiente de los niños les crea dificultades reales cuando los niños quieren interponer recursos por la violación de sus derechos.  Por consiguiente, los Estados deben tratar particularmente de lograr que los niños y sus representantes puedan recurrir a procedimientos eficaces que tengan en cuenta las circunstancias de los niños.  Ello debería incluir el suministro de información adaptada a las necesidades del niño, el asesoramiento, la promoción, incluido el apoyo a la autopromoción, y el acceso a procedimientos independientes de denuncia y a los tribunales con la asistencia letrada y de otra índole necesaria.  Cuando se comprueba que se han violado los derechos, debería existir una reparación apropiada, incluyendo una indemnización, y, cuando sea necesario, la adopción de medidas para promover la recuperación física y psicológica, la rehabilitación y la reintegración, según lo dispuesto en el artículo 39.</w:t>
      </w:r>
    </w:p>
    <w:p w:rsidR="00000000" w:rsidRDefault="00000000">
      <w:pPr>
        <w:spacing w:after="480"/>
        <w:rPr>
          <w:lang w:val="es-ES_tradnl"/>
        </w:rPr>
      </w:pPr>
      <w:r>
        <w:rPr>
          <w:lang w:val="es-ES_tradnl"/>
        </w:rPr>
        <w:t>25.</w:t>
      </w:r>
      <w:r>
        <w:rPr>
          <w:lang w:val="es-ES_tradnl"/>
        </w:rPr>
        <w:tab/>
        <w:t xml:space="preserve">Como se ha señalado en el párrafo 6 </w:t>
      </w:r>
      <w:r>
        <w:rPr>
          <w:i/>
          <w:iCs/>
          <w:lang w:val="es-ES_tradnl"/>
        </w:rPr>
        <w:t>supra</w:t>
      </w:r>
      <w:r>
        <w:rPr>
          <w:lang w:val="es-ES_tradnl"/>
        </w:rPr>
        <w:t>, el Comité subraya que los derechos económicos, sociales y culturales, así como los derechos civiles y políticos, deben poder invocarse ante los tribunales  Es esencial que en la legislación nacional se establezcan derechos lo suficientemente concretos como para que los recursos por su infracción sean efectivos.</w:t>
      </w:r>
    </w:p>
    <w:p w:rsidR="00000000" w:rsidRDefault="00000000">
      <w:pPr>
        <w:spacing w:after="240"/>
        <w:ind w:left="425" w:hanging="425"/>
        <w:jc w:val="center"/>
        <w:rPr>
          <w:b/>
          <w:bCs/>
          <w:lang w:val="es-ES_tradnl"/>
        </w:rPr>
      </w:pPr>
      <w:r>
        <w:rPr>
          <w:b/>
          <w:bCs/>
          <w:lang w:val="es-ES_tradnl"/>
        </w:rPr>
        <w:t>VI.  DISPOSICIONES ADMINISTRATIVAS Y</w:t>
      </w:r>
      <w:r>
        <w:rPr>
          <w:b/>
          <w:bCs/>
          <w:lang w:val="es-ES_tradnl"/>
        </w:rPr>
        <w:br/>
        <w:t>DE OTRA ÍNDOLE</w:t>
      </w:r>
    </w:p>
    <w:p w:rsidR="00000000" w:rsidRDefault="00000000">
      <w:pPr>
        <w:spacing w:after="240"/>
        <w:rPr>
          <w:lang w:val="es-ES_tradnl"/>
        </w:rPr>
      </w:pPr>
      <w:r>
        <w:rPr>
          <w:lang w:val="es-ES_tradnl"/>
        </w:rPr>
        <w:t>26.</w:t>
      </w:r>
      <w:r>
        <w:rPr>
          <w:lang w:val="es-ES_tradnl"/>
        </w:rPr>
        <w:tab/>
        <w:t>El Comité no puede prescribir en detalle las medidas que cada Estado Parte considerará apropiadas para garantizar la aplicación efectiva de la Convención.  Sin embargo, basándose en la experiencia adquirida en su primer decenio durante el examen de los informes de los Estados Partes, así como en su diálogo continuo con los gobiernos, con los organismos y organismos conexos de las Naciones Unidas, con las ONG y con otros órganos competentes, el Comité ha recogido en el presente documento algunos consejos esenciales para los Estados.</w:t>
      </w:r>
    </w:p>
    <w:p w:rsidR="00000000" w:rsidRDefault="00000000">
      <w:pPr>
        <w:spacing w:after="240"/>
        <w:rPr>
          <w:lang w:val="es-ES_tradnl"/>
        </w:rPr>
      </w:pPr>
      <w:r>
        <w:rPr>
          <w:lang w:val="es-ES_tradnl"/>
        </w:rPr>
        <w:t>27.</w:t>
      </w:r>
      <w:r>
        <w:rPr>
          <w:lang w:val="es-ES_tradnl"/>
        </w:rPr>
        <w:tab/>
        <w:t>El Comité cree que la aplicación efectiva de la Convención exige una coordinación intersectorial visible para reconocer y realizar los derechos del niño en toda la administración pública, entre los diferentes niveles de la administración y entre la administración y la sociedad civil, incluidos especialmente los propios niños y jóvenes.  Invariablemente, muchos departamentos gubernamentales diferentes y otros órganos gubernamentales o cuasi gubernamentales influyen en las vidas de los niños y en el goce de sus derechos.  Hay pocos departamentos gubernamentales, si es que hay alguno, que no tengan efectos, directos o indirectos, en la vida de los niños.  Es necesaria una vigilancia rigurosa de la aplicación, vigilancia que debería incorporarse al proceso de gobierno a todos los niveles, pero también una vigilancia independiente por parte de las instituciones nacionales de derechos humanos, las ONG y otras entidades.</w:t>
      </w:r>
    </w:p>
    <w:p w:rsidR="00000000" w:rsidRDefault="00000000">
      <w:pPr>
        <w:spacing w:after="240"/>
        <w:jc w:val="center"/>
        <w:rPr>
          <w:b/>
          <w:bCs/>
          <w:lang w:val="es-ES_tradnl"/>
        </w:rPr>
      </w:pPr>
      <w:r>
        <w:rPr>
          <w:b/>
          <w:bCs/>
          <w:lang w:val="es-ES_tradnl"/>
        </w:rPr>
        <w:t>A.  Elaboración de una amplia estrategia nacional</w:t>
      </w:r>
      <w:r>
        <w:rPr>
          <w:b/>
          <w:bCs/>
          <w:lang w:val="es-ES_tradnl"/>
        </w:rPr>
        <w:br/>
        <w:t>basada en la Convención</w:t>
      </w:r>
    </w:p>
    <w:p w:rsidR="00000000" w:rsidRDefault="00000000">
      <w:pPr>
        <w:spacing w:after="240"/>
        <w:rPr>
          <w:lang w:val="es-ES_tradnl"/>
        </w:rPr>
      </w:pPr>
      <w:r>
        <w:rPr>
          <w:lang w:val="es-ES_tradnl"/>
        </w:rPr>
        <w:t>28.</w:t>
      </w:r>
      <w:r>
        <w:rPr>
          <w:lang w:val="es-ES_tradnl"/>
        </w:rPr>
        <w:tab/>
        <w:t>La administración pública, en su conjunto y en todos sus niveles, si se quiere que promueva y respete los derechos del niño, debe trabajar sobre la base de una estrategia nacional unificadora, amplia, fundada en los derechos y basada en la Convención.</w:t>
      </w:r>
    </w:p>
    <w:p w:rsidR="00000000" w:rsidRDefault="00000000">
      <w:pPr>
        <w:spacing w:after="240"/>
      </w:pPr>
      <w:r>
        <w:rPr>
          <w:lang w:val="es-ES_tradnl"/>
        </w:rPr>
        <w:t>29.</w:t>
      </w:r>
      <w:r>
        <w:rPr>
          <w:lang w:val="es-ES_tradnl"/>
        </w:rPr>
        <w:tab/>
        <w:t>El Comité encomia la elaboración de una amplia estrategia nacional, o plan nacional de acción en favor de los niños, basada en la Convención.  El Comité espera que los Estados Partes tengan en cuenta las recomendaciones formuladas en sus observaciones finales sobre los informes periódicos cuando elaboren y revisen sus estrategias nacionales.  Esa estrategia, si se quiere que sea eficaz, ha de guardar relación con la situación de todos los niños y con todos los derechos reconocidos en la Convención.  La estrategia deberá elaborarse mediante un proceso de consulta, incluso con los niños y los jóvenes y con las personas que viven y trabajan con ellos.  Como se ha señalado más arriba (párr. 12), para celebrar consultas serias con los niños es necesario que haya una documentación y unos y procesos especiales que tengan en cuenta la sensibilidad del niño; no se trata simplemente de hacer extensivo a los niños el acceso a los procesos de los adultos.</w:t>
      </w:r>
    </w:p>
    <w:p w:rsidR="00000000" w:rsidRDefault="00000000">
      <w:pPr>
        <w:spacing w:after="240"/>
        <w:rPr>
          <w:lang w:val="es-ES_tradnl"/>
        </w:rPr>
      </w:pPr>
      <w:r>
        <w:rPr>
          <w:lang w:val="es-ES_tradnl"/>
        </w:rPr>
        <w:t>30.</w:t>
      </w:r>
      <w:r>
        <w:rPr>
          <w:lang w:val="es-ES_tradnl"/>
        </w:rPr>
        <w:tab/>
        <w:t>Será necesario concentrarse especialmente en determinar los grupos de niños marginados y desfavorecidos y darles prioridad.  El principio de no discriminación enunciado en la Convención exige que todos los derechos garantizados por la Convención se reconozcan para todos los niños dentro de la jurisdicción de los Estados.  Como se ha señalado más arriba (párr. 12), el principio de no discriminación no impide que se adopten medidas especiales para disminuir la discriminación.</w:t>
      </w:r>
    </w:p>
    <w:p w:rsidR="00000000" w:rsidRDefault="00000000">
      <w:pPr>
        <w:spacing w:after="240"/>
        <w:rPr>
          <w:lang w:val="es-ES_tradnl"/>
        </w:rPr>
      </w:pPr>
      <w:r>
        <w:rPr>
          <w:lang w:val="es-ES_tradnl"/>
        </w:rPr>
        <w:t>31.</w:t>
      </w:r>
      <w:r>
        <w:rPr>
          <w:lang w:val="es-ES_tradnl"/>
        </w:rPr>
        <w:tab/>
        <w:t>Para conferir autoridad a la estrategia, es necesario que ésta se apruebe al más alto nivel de gobierno.  Asimismo, es preciso que se vincule a la planificación nacional del desarrollo y se incluya en los presupuestos nacionales; de otro modo, la estrategia puede quedar marginada fuera de los principales procesos de adopción de decisiones.</w:t>
      </w:r>
    </w:p>
    <w:p w:rsidR="00000000" w:rsidRDefault="00000000">
      <w:pPr>
        <w:spacing w:after="240"/>
        <w:rPr>
          <w:lang w:val="es-ES_tradnl"/>
        </w:rPr>
      </w:pPr>
      <w:r>
        <w:rPr>
          <w:lang w:val="es-ES_tradnl"/>
        </w:rPr>
        <w:t>32.</w:t>
      </w:r>
      <w:r>
        <w:rPr>
          <w:lang w:val="es-ES_tradnl"/>
        </w:rPr>
        <w:tab/>
        <w:t>La estrategia no debe ser simplemente una lista de buenas intenciones, sino que debe comprender una descripción de un proceso sostenible destinado a dar efectividad a los derechos de los niños en todo el Estado y debe ir más allá de las declaraciones de política y de principio para fijar unos objetivos reales y asequibles en relación con toda la gama de derechos económicos, sociales, culturales, civiles y políticos para todos los niños.  La amplia estrategia nacional puede traducirse en planes nacionales de acción sectoriales, por ejemplo para la educación y la salud, en los que se establezcan objetivos específicos, se prevean medidas de aplicación selectivas y se asignen recursos financieros y humanos.  La estrategia establecerá inevitablemente prioridades, pero no se deben descuidar ni diluir en modo alguno las obligaciones concretas que los Estados Partes han asumido en virtud de la Convención.  Para aplicar la estrategia se debe disponer de los fondos necesarios, tanto humanos como financieros.</w:t>
      </w:r>
    </w:p>
    <w:p w:rsidR="00000000" w:rsidRDefault="00000000">
      <w:pPr>
        <w:spacing w:after="240"/>
        <w:rPr>
          <w:lang w:val="es-ES_tradnl"/>
        </w:rPr>
      </w:pPr>
      <w:r>
        <w:rPr>
          <w:lang w:val="es-ES_tradnl"/>
        </w:rPr>
        <w:t>33.</w:t>
      </w:r>
      <w:r>
        <w:rPr>
          <w:lang w:val="es-ES_tradnl"/>
        </w:rPr>
        <w:tab/>
        <w:t>La elaboración de una estrategia nacional no es una tarea que se lleve a cabo una sola vez.  Una vez preparada, la estrategia deberá ser ampliamente difundida en toda la administración pública y entre la población, incluidos los niños (una traducida a versiones adaptadas a las necesidades del niño, así como a los idiomas apropiados, y una vez presentada en las formas adecuadas).  La estrategia deberá incluir disposiciones para la supervisión y el examen continuo, para la actualización periódica y para la presentación de informes periódicos al parlamento y a la población.</w:t>
      </w:r>
    </w:p>
    <w:p w:rsidR="00000000" w:rsidRDefault="00000000">
      <w:pPr>
        <w:spacing w:after="240"/>
        <w:rPr>
          <w:lang w:val="es-ES_tradnl"/>
        </w:rPr>
      </w:pPr>
      <w:r>
        <w:rPr>
          <w:lang w:val="es-ES_tradnl"/>
        </w:rPr>
        <w:t>34.</w:t>
      </w:r>
      <w:r>
        <w:rPr>
          <w:lang w:val="es-ES_tradnl"/>
        </w:rPr>
        <w:tab/>
        <w:t>Los "planes nacionales de acción" a cuya elaboración se alentó a los Estados tras la primera Cumbre Mundial en favor de la Infancia, celebrada en 1990, guardaban relación con los compromisos particulares establecidos por los países que asistieron a la Cumbre</w:t>
      </w:r>
      <w:r>
        <w:rPr>
          <w:rStyle w:val="FootnoteReference"/>
          <w:lang w:val="es-ES_tradnl"/>
        </w:rPr>
        <w:footnoteReference w:id="9"/>
      </w:r>
      <w:r>
        <w:rPr>
          <w:lang w:val="es-ES_tradnl"/>
        </w:rPr>
        <w:t>.  En 1993, en la Declaración y el Programa de Acción de Viena, aprobados por la Conferencia Mundial de Derechos Humanos, se instó a los Estados a que integraran la Convención sobre los Derechos del Niño en sus planes nacionales de acción en materia de derechos humanos</w:t>
      </w:r>
      <w:r>
        <w:rPr>
          <w:rStyle w:val="FootnoteReference"/>
          <w:lang w:val="es-ES_tradnl"/>
        </w:rPr>
        <w:footnoteReference w:id="10"/>
      </w:r>
      <w:r>
        <w:rPr>
          <w:lang w:val="es-ES_tradnl"/>
        </w:rPr>
        <w:t>.</w:t>
      </w:r>
    </w:p>
    <w:p w:rsidR="00000000" w:rsidRDefault="00000000">
      <w:pPr>
        <w:spacing w:after="240"/>
        <w:rPr>
          <w:lang w:val="es-ES_tradnl"/>
        </w:rPr>
      </w:pPr>
      <w:r>
        <w:rPr>
          <w:lang w:val="es-ES_tradnl"/>
        </w:rPr>
        <w:t>35.</w:t>
      </w:r>
      <w:r>
        <w:rPr>
          <w:lang w:val="es-ES_tradnl"/>
        </w:rPr>
        <w:tab/>
        <w:t>En el documento final del período extraordinario de sesiones de la Asamblea General de las Naciones Unidas sobre la infancia, celebrado en 2002, también se exhorta a los Estados a que "formulen o refuercen, con carácter urgente, de ser posible para fines de 2003, planes de acción nacionales y, si procede, regionales, con un calendario concreto de objetivos y metas mensurables que se basen en el presente Plan de Acción [...]"</w:t>
      </w:r>
      <w:r>
        <w:rPr>
          <w:rStyle w:val="FootnoteReference"/>
          <w:lang w:val="es-ES_tradnl"/>
        </w:rPr>
        <w:footnoteReference w:id="11"/>
      </w:r>
      <w:r>
        <w:rPr>
          <w:lang w:val="es-ES_tradnl"/>
        </w:rPr>
        <w:t xml:space="preserve">.  El Comité acoge con satisfacción los compromisos contraídos por los Estados para lograr los objetivos y metas establecidos en el período extraordinario de sesiones sobre la infancia y consignados en el documento final, </w:t>
      </w:r>
      <w:r>
        <w:rPr>
          <w:i/>
          <w:iCs/>
          <w:lang w:val="es-ES_tradnl"/>
        </w:rPr>
        <w:t>Un mundo apropiado para los niños</w:t>
      </w:r>
      <w:r>
        <w:rPr>
          <w:lang w:val="es-ES_tradnl"/>
        </w:rPr>
        <w:t xml:space="preserve">.  Sin embargo, el Comité subraya que el hecho de contraer compromisos especiales en reuniones mundiales no reduce en modo alguno las obligaciones jurídicas contraídas por los Estados Partes en virtud de la Convención.  De igual forma, la preparación de planes de acción concretos en respuesta al período extraordinario de sesiones no disminuye la necesidad de una amplia estrategia de aplicación de la Convención.  </w:t>
      </w:r>
    </w:p>
    <w:p w:rsidR="00000000" w:rsidRDefault="00000000">
      <w:pPr>
        <w:spacing w:after="240"/>
        <w:rPr>
          <w:lang w:val="es-ES_tradnl"/>
        </w:rPr>
      </w:pPr>
      <w:r>
        <w:rPr>
          <w:lang w:val="es-ES_tradnl"/>
        </w:rPr>
        <w:br w:type="page"/>
        <w:t>Los Estados deberían integrar su respuesta al período extraordinario de sesiones de 2002 y a otras conferencias mundiales pertinentes en su estrategia global de aplicación de la Convención en su conjunto.</w:t>
      </w:r>
    </w:p>
    <w:p w:rsidR="00000000" w:rsidRDefault="00000000">
      <w:pPr>
        <w:spacing w:after="240"/>
        <w:rPr>
          <w:lang w:val="es-ES_tradnl"/>
        </w:rPr>
      </w:pPr>
      <w:r>
        <w:rPr>
          <w:lang w:val="es-ES_tradnl"/>
        </w:rPr>
        <w:t>36.</w:t>
      </w:r>
      <w:r>
        <w:rPr>
          <w:lang w:val="es-ES_tradnl"/>
        </w:rPr>
        <w:tab/>
        <w:t>El documento final alienta asimismo a los Estados Partes a que "consideren la posibilidad de incluir en los informes que presenten al Comité de los Derechos del Niño información sobre las medidas adoptadas y los resultados obtenidos en la aplicación del presente Plan de Acción"</w:t>
      </w:r>
      <w:r>
        <w:rPr>
          <w:rStyle w:val="FootnoteReference"/>
          <w:lang w:val="es-ES_tradnl"/>
        </w:rPr>
        <w:footnoteReference w:id="12"/>
      </w:r>
      <w:r>
        <w:rPr>
          <w:lang w:val="es-ES_tradnl"/>
        </w:rPr>
        <w:t>.  El Comité aprueba esta propuesta, se compromete a supervisar los progresos realizados para cumplir los compromisos contraídos en el período extraordinario de sesiones y dará nuevas orientaciones en sus directrices revisadas para la preparación de los informes periódicos que se han de presentar en virtud de la Convención.</w:t>
      </w:r>
    </w:p>
    <w:p w:rsidR="00000000" w:rsidRDefault="00000000">
      <w:pPr>
        <w:spacing w:after="240"/>
        <w:jc w:val="center"/>
        <w:rPr>
          <w:b/>
          <w:bCs/>
          <w:lang w:val="es-ES_tradnl"/>
        </w:rPr>
      </w:pPr>
      <w:r>
        <w:rPr>
          <w:b/>
          <w:bCs/>
          <w:lang w:val="es-ES_tradnl"/>
        </w:rPr>
        <w:t>B.  Coordinación de la aplicación de los derechos del niño</w:t>
      </w:r>
    </w:p>
    <w:p w:rsidR="00000000" w:rsidRDefault="00000000">
      <w:pPr>
        <w:spacing w:after="240"/>
        <w:rPr>
          <w:lang w:val="es-ES_tradnl"/>
        </w:rPr>
      </w:pPr>
      <w:r>
        <w:rPr>
          <w:lang w:val="es-ES_tradnl"/>
        </w:rPr>
        <w:t>37.</w:t>
      </w:r>
      <w:r>
        <w:rPr>
          <w:lang w:val="es-ES_tradnl"/>
        </w:rPr>
        <w:tab/>
        <w:t>Durante el examen de los informes de los Estados Partes, el Comité ha considerado casi invariablemente necesario alentar una mayor coordinación de los poderes públicos con miras a garantizar la aplicación efectiva:  coordinación entre los departamentos de la administración central, entre las diferentes provincias y regiones, entre la administración central y otros niveles de la administración y entre los poderes públicos y la sociedad civil.  La finalidad de la coordinación es velar por que se respeten todos los principios y normas enunciados en la Convención para todos los niños sometidos a la jurisdicción del Estado; hacer que las obligaciones dimanantes de la ratificación de la Convención o de la adhesión a ésta sean reconocidas no sólo por los principales departamentos cuyas actividades tienen considerables repercusiones sobre los niños (en las esferas de la educación, de la salud, del bienestar, etc.), sino también por todos los poderes públicos, incluidos, por ejemplo, los departamentos que se ocupan de las finanzas, de la planificación, del empleo y de la defensa, en todos los niveles.</w:t>
      </w:r>
    </w:p>
    <w:p w:rsidR="00000000" w:rsidRDefault="00000000">
      <w:pPr>
        <w:spacing w:after="240"/>
        <w:rPr>
          <w:lang w:val="es-ES_tradnl"/>
        </w:rPr>
      </w:pPr>
      <w:r>
        <w:rPr>
          <w:lang w:val="es-ES_tradnl"/>
        </w:rPr>
        <w:t>38.</w:t>
      </w:r>
      <w:r>
        <w:rPr>
          <w:lang w:val="es-ES_tradnl"/>
        </w:rPr>
        <w:tab/>
        <w:t xml:space="preserve">El Comité considera que, dado que es un órgano creado en virtud de un tratado, no es aconsejable que intente prescribir unas disposiciones concretas que puedan ser apropiadas para los sistemas de gobierno, muy diferentes, de los distintos Estados Partes.  Existen muchos modos oficiales y oficiosos de lograr una coordinación efectiva, por ejemplo los comités interministeriales e interdepartamentales para la infancia.  El Comité propone que los Estados Partes, si no lo han hecho todavía, revisen los mecanismos del gobierno desde el punto de vista de la aplicación de la Convención y, en particular, de los cuatro artículos que establecen los principios generales (véase el párrafo 12 </w:t>
      </w:r>
      <w:r>
        <w:rPr>
          <w:i/>
          <w:iCs/>
          <w:lang w:val="es-ES_tradnl"/>
        </w:rPr>
        <w:t>supra</w:t>
      </w:r>
      <w:r>
        <w:rPr>
          <w:lang w:val="es-ES_tradnl"/>
        </w:rPr>
        <w:t>).</w:t>
      </w:r>
    </w:p>
    <w:p w:rsidR="00000000" w:rsidRDefault="00000000">
      <w:pPr>
        <w:spacing w:after="240"/>
        <w:rPr>
          <w:lang w:val="es-ES_tradnl"/>
        </w:rPr>
      </w:pPr>
      <w:r>
        <w:rPr>
          <w:lang w:val="es-ES_tradnl"/>
        </w:rPr>
        <w:t>39.</w:t>
      </w:r>
      <w:r>
        <w:rPr>
          <w:lang w:val="es-ES_tradnl"/>
        </w:rPr>
        <w:tab/>
        <w:t>Muchos Estados Partes han establecido ventajosamente un departamento o dependencia concreto cercano al centro del gobierno, en algunos casos en la oficina del Presidente o Primer Ministro o en el gabinete, con el objetivo de coordinar la aplicación de los derechos y la política relativa a la infancia.  Como se ha señalado anteriormente, las medidas adoptadas por prácticamente todos los departamentos gubernamentales tienen repercusiones sobre la vida de los niños.  No es posible concentrar en un único departamento las funciones de todos los servicios que se ocupan de los niños, y, en cualquier caso, hacerlo podría entrañar el peligro de marginar más a los niños en el gobierno.  En cambio, una dependencia especial, si se le confiere autoridad de alto nivel (informar directamente, por ejemplo, al Primer Ministro, al Presidente o un comité del gabinete sobre las cuestiones relacionadas con la infancia), puede contribuir tanto a la consecución del objetivo general de hacer que los niños sean más visibles en el gobierno como a la coordinación para lograr que los derechos del niño se respeten en todo el gobierno y a todos los niveles del gobierno.  Esa dependencia podría estar facultada para elaborar la estrategia general sobre la infancia y supervisar su aplicación, así como para coordinar la presentación de informes en virtud de la Convención.</w:t>
      </w:r>
    </w:p>
    <w:p w:rsidR="00000000" w:rsidRDefault="00000000">
      <w:pPr>
        <w:spacing w:after="240"/>
        <w:jc w:val="center"/>
        <w:rPr>
          <w:b/>
          <w:bCs/>
          <w:lang w:val="es-ES_tradnl"/>
        </w:rPr>
      </w:pPr>
      <w:r>
        <w:rPr>
          <w:b/>
          <w:bCs/>
          <w:lang w:val="es-ES_tradnl"/>
        </w:rPr>
        <w:t>C.  Descentralización, federalización y delegación</w:t>
      </w:r>
    </w:p>
    <w:p w:rsidR="00000000" w:rsidRDefault="00000000">
      <w:pPr>
        <w:spacing w:after="240"/>
        <w:rPr>
          <w:lang w:val="es-ES_tradnl"/>
        </w:rPr>
      </w:pPr>
      <w:r>
        <w:rPr>
          <w:lang w:val="es-ES_tradnl"/>
        </w:rPr>
        <w:t>40.</w:t>
      </w:r>
      <w:r>
        <w:rPr>
          <w:lang w:val="es-ES_tradnl"/>
        </w:rPr>
        <w:tab/>
        <w:t>El Comité ha considerado necesario insistir ante muchos Estados en que la descentralización del poder, mediante la transferencia y la delegación de facultades gubernamentales, no reduce en modo alguno la responsabilidad directa del gobierno del Estado Parte de cumplir sus obligaciones para con todos los niños sometidos a su jurisdicción, sea cual fuera la estructura del Estado.</w:t>
      </w:r>
    </w:p>
    <w:p w:rsidR="00000000" w:rsidRDefault="00000000">
      <w:pPr>
        <w:spacing w:after="240"/>
        <w:rPr>
          <w:lang w:val="es-ES_tradnl"/>
        </w:rPr>
      </w:pPr>
      <w:r>
        <w:rPr>
          <w:lang w:val="es-ES_tradnl"/>
        </w:rPr>
        <w:t>41.</w:t>
      </w:r>
      <w:r>
        <w:rPr>
          <w:lang w:val="es-ES_tradnl"/>
        </w:rPr>
        <w:tab/>
        <w:t>El Comité reitera que, en toda las circunstancias, el Estado que ratificó la Convención o se adhirió a ella sigue siendo responsable de garantizar su plena aplicación en todos los territorios sometidos a su jurisdicción.  En todo proceso de transferencia de competencias, los Estados Partes tienen que asegurarse de que las autoridades a las que se traspasan las competencias disponen realmente de los recursos financieros, humanos y de otra índole necesarios para desempeñar eficazmente las funciones relativas a la aplicación de la Convención.  Los gobiernos de los Estados Partes han de conservar las facultades necesarias para exigir el pleno cumplimiento de la Convención por las administraciones autónomas o las autoridades locales y han de establecer mecanismos permanentes de vigilancia para que la Convención se respete y se aplique a todos los niños sometidos a su jurisdicción, sin discriminación.  Además, han de existir salvaguardias para que la descentralización o la transferencia de competencias no conduzca a una discriminación en el goce de los derechos de los niños en las diferentes regiones.</w:t>
      </w:r>
    </w:p>
    <w:p w:rsidR="00000000" w:rsidRDefault="00000000">
      <w:pPr>
        <w:spacing w:after="240"/>
        <w:jc w:val="center"/>
        <w:rPr>
          <w:b/>
          <w:bCs/>
          <w:lang w:val="es-ES_tradnl"/>
        </w:rPr>
      </w:pPr>
      <w:r>
        <w:rPr>
          <w:b/>
          <w:bCs/>
          <w:lang w:val="es-ES_tradnl"/>
        </w:rPr>
        <w:t>D.  Privatización</w:t>
      </w:r>
    </w:p>
    <w:p w:rsidR="00000000" w:rsidRDefault="00000000">
      <w:pPr>
        <w:spacing w:after="240"/>
        <w:rPr>
          <w:lang w:val="es-ES_tradnl"/>
        </w:rPr>
      </w:pPr>
      <w:r>
        <w:rPr>
          <w:lang w:val="es-ES_tradnl"/>
        </w:rPr>
        <w:t>42.</w:t>
      </w:r>
      <w:r>
        <w:rPr>
          <w:lang w:val="es-ES_tradnl"/>
        </w:rPr>
        <w:tab/>
        <w:t>El proceso de privatización de los servicios puede tener graves repercusiones sobre el reconocimiento y la realización de los derechos del niño.  El Comité dedicó su día de debate general de 2002 al tema "El sector privado como proveedor de servicios y su función en la realización de los derechos del niño", y definió el sector privado en el sentido de que abarca las empresas, las ONG y otras asociaciones privadas con y sin fines de lucro.  Tras ese día de debate general, el Comité adoptó recomendaciones concretas que señaló a la atención de los Estados Partes</w:t>
      </w:r>
      <w:r>
        <w:rPr>
          <w:rStyle w:val="FootnoteReference"/>
          <w:lang w:val="es-ES_tradnl"/>
        </w:rPr>
        <w:footnoteReference w:id="13"/>
      </w:r>
      <w:r>
        <w:rPr>
          <w:lang w:val="es-ES_tradnl"/>
        </w:rPr>
        <w:t>.</w:t>
      </w:r>
    </w:p>
    <w:p w:rsidR="00000000" w:rsidRDefault="00000000">
      <w:pPr>
        <w:spacing w:after="240"/>
        <w:rPr>
          <w:lang w:val="es-ES_tradnl"/>
        </w:rPr>
      </w:pPr>
      <w:r>
        <w:rPr>
          <w:lang w:val="es-ES_tradnl"/>
        </w:rPr>
        <w:t>43.</w:t>
      </w:r>
      <w:r>
        <w:rPr>
          <w:lang w:val="es-ES_tradnl"/>
        </w:rPr>
        <w:tab/>
        <w:t>El Comité subraya que los Estados Partes en la Convención tienen la obligación jurídica de respetar y promover los derechos del niño con arreglo a lo dispuesto en la Convención, lo que incluye la obligación de velar por que los proveedores privados de servicios actúen de conformidad con sus disposiciones, creándose así obligaciones indirectas para esas entidades.</w:t>
      </w:r>
    </w:p>
    <w:p w:rsidR="00000000" w:rsidRDefault="00000000">
      <w:pPr>
        <w:spacing w:after="240"/>
        <w:rPr>
          <w:lang w:val="es-ES_tradnl"/>
        </w:rPr>
      </w:pPr>
      <w:r>
        <w:rPr>
          <w:lang w:val="es-ES_tradnl"/>
        </w:rPr>
        <w:t>44.</w:t>
      </w:r>
      <w:r>
        <w:rPr>
          <w:lang w:val="es-ES_tradnl"/>
        </w:rPr>
        <w:tab/>
        <w:t>El Comité pone de relieve que el hecho de permitir que el sector privado preste servicios, dirija instituciones, etc. no reduce en modo alguno la obligación del Estado de garantizar el reconocimiento y la realización plenos de todos los derechos enunciados en la Convención a todos los niños sometidos a su jurisdicción (párrafo 1 del artículo 2 y párrafo 2 del artículo 3).  El párrafo 1 del artículo 3 dispone que, en todas las medidas concernientes a los niños que tomen las instituciones públicas o privadas, una consideración primordial a que se atenderá será el interés superior del niño.  El párrafo 3 del artículo 3 exige el establecimiento de las normas apropiadas por los órganos competentes (órganos con la competencia jurídica adecuada), particularmente en la esfera de la salud, sobre el volumen y la idoneidad de su personal.  Ello requiere una inspección rigurosa para asegurar el cumplimiento de la Convención.  El Comité propone que se establezca un mecanismo o proceso permanente de supervisión para velar por que todos los proveedores públicos y privados de servicios respeten la Convención.</w:t>
      </w:r>
    </w:p>
    <w:p w:rsidR="00000000" w:rsidRDefault="00000000">
      <w:pPr>
        <w:spacing w:after="240"/>
        <w:ind w:left="390" w:hanging="390"/>
        <w:jc w:val="center"/>
        <w:rPr>
          <w:b/>
          <w:bCs/>
          <w:lang w:val="es-ES_tradnl"/>
        </w:rPr>
      </w:pPr>
      <w:r>
        <w:rPr>
          <w:b/>
          <w:bCs/>
          <w:lang w:val="es-ES_tradnl"/>
        </w:rPr>
        <w:t>E.  Vigilancia de la aplicación:  necesidad de valorar</w:t>
      </w:r>
      <w:r>
        <w:rPr>
          <w:b/>
          <w:bCs/>
          <w:lang w:val="es-ES_tradnl"/>
        </w:rPr>
        <w:br/>
        <w:t>y evaluar los efectos sobre los niños</w:t>
      </w:r>
    </w:p>
    <w:p w:rsidR="00000000" w:rsidRDefault="00000000">
      <w:pPr>
        <w:spacing w:after="240"/>
        <w:rPr>
          <w:lang w:val="es-ES_tradnl"/>
        </w:rPr>
      </w:pPr>
      <w:r>
        <w:rPr>
          <w:lang w:val="es-ES_tradnl"/>
        </w:rPr>
        <w:t>45.</w:t>
      </w:r>
      <w:r>
        <w:rPr>
          <w:lang w:val="es-ES_tradnl"/>
        </w:rPr>
        <w:tab/>
        <w:t>Para que el interés superior del niño (párrafo 1 del artículo 3) sea una consideración primordial a la que se atienda, y para que todas las disposiciones de la Convención se respeten al promulgar disposiciones legislativas y formular políticas en todos los niveles de los poderes públicos, así como al aplicar esas disposiciones legislativas y esas políticas en todos los niveles, se requiere un proceso continuo de valoración de los efectos sobre los niños (previendo las consecuencias de cualquier proyecto de ley o propuesta de política o de asignación presupuestaria que afecte a los niños y al disfrute de sus derechos) y de evaluación de los efectos sobre los niños (juzgando las consecuencias reales de la aplicación).  Este proceso tiene que incorporarse, a todos los niveles de gobierno y lo antes posible, en la formulación de políticas.</w:t>
      </w:r>
    </w:p>
    <w:p w:rsidR="00000000" w:rsidRDefault="00000000">
      <w:pPr>
        <w:spacing w:after="240"/>
        <w:rPr>
          <w:lang w:val="es-ES_tradnl"/>
        </w:rPr>
      </w:pPr>
      <w:r>
        <w:rPr>
          <w:lang w:val="es-ES_tradnl"/>
        </w:rPr>
        <w:t>46.</w:t>
      </w:r>
      <w:r>
        <w:rPr>
          <w:lang w:val="es-ES_tradnl"/>
        </w:rPr>
        <w:tab/>
        <w:t>La autovigilancia y la evaluación son una obligación para los gobiernos.  No obstante, el Comité considera asimismo esencial que exista una vigilancia independiente de los progresos logrados en la aplicación por parte, por ejemplo, de los comités parlamentarios, las ONG, las instituciones académicas, las asociaciones profesionales, los grupos de jóvenes y las instituciones independientes que se ocupan de los derechos humanos (véase el párrafo 65 </w:t>
      </w:r>
      <w:r>
        <w:rPr>
          <w:i/>
          <w:iCs/>
          <w:lang w:val="es-ES_tradnl"/>
        </w:rPr>
        <w:t>infra</w:t>
      </w:r>
      <w:r>
        <w:rPr>
          <w:lang w:val="es-ES_tradnl"/>
        </w:rPr>
        <w:t>).</w:t>
      </w:r>
    </w:p>
    <w:p w:rsidR="00000000" w:rsidRDefault="00000000">
      <w:pPr>
        <w:spacing w:after="240"/>
        <w:rPr>
          <w:lang w:val="es-ES_tradnl"/>
        </w:rPr>
      </w:pPr>
      <w:r>
        <w:rPr>
          <w:lang w:val="es-ES_tradnl"/>
        </w:rPr>
        <w:t>47.</w:t>
      </w:r>
      <w:r>
        <w:rPr>
          <w:lang w:val="es-ES_tradnl"/>
        </w:rPr>
        <w:tab/>
        <w:t>El Comité encomia a algunos Estados que han promulgado disposiciones legislativas que exigen que se preparen y presenten al parlamento y a la población informes oficiales sobre el análisis de los efectos.  Cada Estado debería considerar de qué manera puede garantizar el cumplimiento del párrafo 1 del artículo 3 y hacerlo de modo que promueva más la integración visible de los niños en la formulación de políticas y la sensibilización sobre sus derechos.</w:t>
      </w:r>
    </w:p>
    <w:p w:rsidR="00000000" w:rsidRDefault="00000000">
      <w:pPr>
        <w:spacing w:after="240"/>
        <w:jc w:val="center"/>
        <w:rPr>
          <w:b/>
          <w:bCs/>
          <w:lang w:val="es-ES_tradnl"/>
        </w:rPr>
      </w:pPr>
      <w:r>
        <w:rPr>
          <w:b/>
          <w:bCs/>
          <w:lang w:val="es-ES_tradnl"/>
        </w:rPr>
        <w:t>F.  Reunión de datos y análisis y elaboración de indicadores</w:t>
      </w:r>
    </w:p>
    <w:p w:rsidR="00000000" w:rsidRDefault="00000000">
      <w:pPr>
        <w:spacing w:after="240"/>
        <w:rPr>
          <w:lang w:val="es-ES_tradnl"/>
        </w:rPr>
      </w:pPr>
      <w:r>
        <w:rPr>
          <w:lang w:val="es-ES_tradnl"/>
        </w:rPr>
        <w:t>48.</w:t>
      </w:r>
      <w:r>
        <w:rPr>
          <w:lang w:val="es-ES_tradnl"/>
        </w:rPr>
        <w:tab/>
        <w:t>La reunión de datos suficientes y fiables sobre los niños, desglosados para poder determinar si hay discriminaciones o disparidades en la realización de sus derechos, es parte esencial de la aplicación.  El Comité recuerda a los Estados Partes que es necesario que la reunión de datos abarque toda la infancia, hasta los 18 años.  También es necesario que la recopilación de datos se coordine en todo el territorio a fin de que los indicadores sean aplicables a nivel nacional.  Los Estados deben colaborar con los institutos de investigación pertinentes y fijarse como objetivo el establecimiento de un panorama completo de los progresos alcanzados en la aplicación, con estudios cualitativos y cuantitativos.  Las directrices en materia de presentación de informes aplicables a los informes periódicos exigen que se recojan datos estadísticos desglosados detallados y otra información que abarque todas las esferas de la Convención.  Es fundamental no sólo establecer sistemas eficaces de reunión de datos, sino también hacer que los datos recopilados se evalúen y utilicen para valorar los progresos realizados en la aplicación, para determinar los problemas existentes y para informar sobre toda la evolución de las políticas relativas a la infancia.  La evaluación requiere la elaboración de indicadores sobre todos los derechos garantizados por la Convención.</w:t>
      </w:r>
    </w:p>
    <w:p w:rsidR="00000000" w:rsidRDefault="00000000">
      <w:pPr>
        <w:spacing w:after="240"/>
        <w:rPr>
          <w:lang w:val="es-ES_tradnl"/>
        </w:rPr>
      </w:pPr>
      <w:r>
        <w:rPr>
          <w:lang w:val="es-ES_tradnl"/>
        </w:rPr>
        <w:t>49.</w:t>
      </w:r>
      <w:r>
        <w:rPr>
          <w:lang w:val="es-ES_tradnl"/>
        </w:rPr>
        <w:tab/>
        <w:t>El Comité encomia a los Estados Partes que han empezado a publicar amplios informes anuales sobre la situación de los derechos del niño en su jurisdicción.  La publicación y la extensa difusión de esos informes, así como los debates sobre ellos, incluso en el parlamento, puede llevar a la amplia participación pública en la aplicación.  Las traducciones, incluidas las versiones adaptadas a los niños, son fundamentales para lograr la participación de los niños y de los grupos minoritarios en el proceso.</w:t>
      </w:r>
    </w:p>
    <w:p w:rsidR="00000000" w:rsidRDefault="00000000">
      <w:pPr>
        <w:spacing w:after="240"/>
        <w:rPr>
          <w:lang w:val="es-ES_tradnl"/>
        </w:rPr>
      </w:pPr>
      <w:r>
        <w:rPr>
          <w:lang w:val="es-ES_tradnl"/>
        </w:rPr>
        <w:t>50.</w:t>
      </w:r>
      <w:r>
        <w:rPr>
          <w:lang w:val="es-ES_tradnl"/>
        </w:rPr>
        <w:tab/>
        <w:t>El Comité subraya que, en muchos casos, sólo los propios niños están en condiciones de decir si se reconocen y realizan plenamente sus derechos.  Es probable que las entrevistas con los niños y la utilización de los niños como investigadores (con las salvaguardias adecuadas) constituya una importante manera de averiguar, por ejemplo, hasta qué punto sus derechos civiles, incluido el derecho fundamental consagrado en el artículo 12 a que se escuchen y tengan debidamente en cuenta sus opiniones, se respetan en la familia, la escuela, etc.</w:t>
      </w:r>
    </w:p>
    <w:p w:rsidR="00000000" w:rsidRDefault="00000000">
      <w:pPr>
        <w:spacing w:after="240"/>
        <w:jc w:val="center"/>
        <w:rPr>
          <w:b/>
          <w:bCs/>
          <w:lang w:val="es-ES_tradnl"/>
        </w:rPr>
      </w:pPr>
      <w:r>
        <w:rPr>
          <w:b/>
          <w:bCs/>
          <w:lang w:val="es-ES_tradnl"/>
        </w:rPr>
        <w:t>G.  Visibilidad de los niños en los presupuestos</w:t>
      </w:r>
    </w:p>
    <w:p w:rsidR="00000000" w:rsidRDefault="00000000">
      <w:pPr>
        <w:spacing w:after="240"/>
        <w:rPr>
          <w:lang w:val="es-ES_tradnl"/>
        </w:rPr>
      </w:pPr>
      <w:r>
        <w:rPr>
          <w:lang w:val="es-ES_tradnl"/>
        </w:rPr>
        <w:t>51.</w:t>
      </w:r>
      <w:r>
        <w:rPr>
          <w:lang w:val="es-ES_tradnl"/>
        </w:rPr>
        <w:tab/>
        <w:t>En sus directrices para la presentación de informes y en el examen de los informes de los Estados Partes, el Comité ha prestado mucha atención a la determinación y el análisis de los recursos destinados a los niños en los presupuestos nacionales y en otros presupuestos</w:t>
      </w:r>
      <w:r>
        <w:rPr>
          <w:rStyle w:val="FootnoteReference"/>
          <w:lang w:val="es-ES_tradnl"/>
        </w:rPr>
        <w:footnoteReference w:id="14"/>
      </w:r>
      <w:r>
        <w:rPr>
          <w:lang w:val="es-ES_tradnl"/>
        </w:rPr>
        <w:t>.  Ningún Estado puede decir si para dar efectividad a los derechos económicos, sociales y culturales está adoptando medidas "hasta el máximo de los recursos de que disponga", como lo dispone el artículo 4, a menos que pueda determinar la proporción de los presupuestos nacionales y de otros presupuestos que se destinan al sector social y, dentro de éste, a los niños, tanto directa como indirectamente.  Algunos Estados han afirmado que no es posible analizar así los presupuestos nacionales.  Sin embargo, otros lo han hecho y publican "presupuestos para la infancia" anuales.  El Comité necesita saber qué medidas se han adoptado en todos los niveles de gobierno para que la planificación y la adopción de decisiones, en particular presupuestarias, en los sectores económico y social, se lleven a cabo teniendo como consideración primordial el interés superior del niño, y para que los niños, incluidos especialmente los grupos de niños marginados y desfavorecidos, estén protegidos contra a los efectos negativos de las políticas económicas o de los declives financieros.</w:t>
      </w:r>
    </w:p>
    <w:p w:rsidR="00000000" w:rsidRDefault="00000000">
      <w:pPr>
        <w:spacing w:after="240"/>
        <w:rPr>
          <w:lang w:val="es-ES_tradnl"/>
        </w:rPr>
      </w:pPr>
      <w:r>
        <w:rPr>
          <w:lang w:val="es-ES_tradnl"/>
        </w:rPr>
        <w:t>52.</w:t>
      </w:r>
      <w:r>
        <w:rPr>
          <w:lang w:val="es-ES_tradnl"/>
        </w:rPr>
        <w:tab/>
        <w:t>El Comité, subrayando que las políticas económicas no son nunca neutrales en sus consecuencias sobre los derechos del niño, expresa su profunda preocupación por los frecuentes efectos negativos que tienen sobre los niños los programas de ajuste estructural y la transición a una economía de mercado.  Las obligaciones relativas a la aplicación establecidas en el artículo 4 y en otras disposiciones de la Convención exigen una rigurosa vigilancia de los efectos de esos cambios y el ajuste de las políticas para proteger los derechos económicos, sociales y culturales del niño.</w:t>
      </w:r>
    </w:p>
    <w:p w:rsidR="00000000" w:rsidRDefault="00000000">
      <w:pPr>
        <w:spacing w:after="240"/>
        <w:jc w:val="center"/>
        <w:rPr>
          <w:b/>
          <w:bCs/>
          <w:lang w:val="es-ES_tradnl"/>
        </w:rPr>
      </w:pPr>
      <w:r>
        <w:rPr>
          <w:b/>
          <w:bCs/>
          <w:lang w:val="es-ES_tradnl"/>
        </w:rPr>
        <w:t>H.  Formación y fomento de la capacidad</w:t>
      </w:r>
    </w:p>
    <w:p w:rsidR="00000000" w:rsidRDefault="00000000">
      <w:pPr>
        <w:spacing w:after="240"/>
        <w:rPr>
          <w:lang w:val="es-ES_tradnl"/>
        </w:rPr>
      </w:pPr>
      <w:r>
        <w:rPr>
          <w:lang w:val="es-ES_tradnl"/>
        </w:rPr>
        <w:t>53.</w:t>
      </w:r>
      <w:r>
        <w:rPr>
          <w:lang w:val="es-ES_tradnl"/>
        </w:rPr>
        <w:tab/>
        <w:t>El Comité pone de relieve la obligación de los Estados de promover la formación y el fomento de la capacidad de todos los que participan en el proceso de aplicación (funcionarios del Estado, parlamentarios y miembros de la judicatura) y de todos los que trabajan con los niños y para los niños.  Entre ellos figuran, por ejemplo, los dirigentes comunitarios y religiosos, los maestros, los trabajadores sociales y otros profesionales, incluidos los que trabajan con niños en instituciones y lugares de detención, la policía y las fuerzas armadas, incluidas las fuerzas de mantenimiento de la paz, las personas que trabajan en los medios de difusión y otros muchos.  La formación tiene que ser sistemática y continua e incluir la capacitación inicial y el reciclaje.  La formación tiene por objeto destacar la situación del niño como titular de derechos humanos, hacer que se conozca y se comprenda mejor la Convención y fomentar el respeto activo de todas sus disposiciones.  El Comité espera que la Convención se vea reflejada en los programas de formación profesional, en los códigos de conducta y en los programas de estudio en todos los niveles.  Por supuesto, se debe promover la comprensión y el conocimiento de los derechos humanos entre los propios niños, mediante el programa de estudios en la escuela y de otras maneras (véanse también el párrafo 69 </w:t>
      </w:r>
      <w:r>
        <w:rPr>
          <w:i/>
          <w:iCs/>
          <w:lang w:val="es-ES_tradnl"/>
        </w:rPr>
        <w:t>infra</w:t>
      </w:r>
      <w:r>
        <w:rPr>
          <w:lang w:val="es-ES_tradnl"/>
        </w:rPr>
        <w:t xml:space="preserve"> y la Observación general del Comité  Nº 1 (2001) sobre los propósitos de la educación).</w:t>
      </w:r>
    </w:p>
    <w:p w:rsidR="00000000" w:rsidRDefault="00000000">
      <w:pPr>
        <w:spacing w:after="240"/>
        <w:rPr>
          <w:lang w:val="es-ES_tradnl"/>
        </w:rPr>
      </w:pPr>
      <w:r>
        <w:rPr>
          <w:lang w:val="es-ES_tradnl"/>
        </w:rPr>
        <w:t>54.</w:t>
      </w:r>
      <w:r>
        <w:rPr>
          <w:lang w:val="es-ES_tradnl"/>
        </w:rPr>
        <w:tab/>
        <w:t>Las directrices del Comité para la preparación de los informes periódicos mencionan muchos aspectos de la capacitación, incluida la capacitación de especialistas, que son fundamentales para que todos los niños disfruten de sus derechos.  La Convención destaca, en su preámbulo y en muchos artículos, la importancia de la familia.  Es particularmente importante que la promoción de los derechos del niño se integre en la preparación para la paternidad y en la formación de los padres.</w:t>
      </w:r>
    </w:p>
    <w:p w:rsidR="00000000" w:rsidRDefault="00000000">
      <w:pPr>
        <w:spacing w:after="240"/>
        <w:rPr>
          <w:lang w:val="es-ES_tradnl"/>
        </w:rPr>
      </w:pPr>
      <w:r>
        <w:rPr>
          <w:lang w:val="es-ES_tradnl"/>
        </w:rPr>
        <w:t>55.</w:t>
      </w:r>
      <w:r>
        <w:rPr>
          <w:lang w:val="es-ES_tradnl"/>
        </w:rPr>
        <w:tab/>
        <w:t>Se debería proceder a una evaluación periódica de la eficacia de la capacitación en la que se examinase no sólo el conocimiento de la Convención y de sus disposiciones sino también la medida en que ésta ha contribuido a crear actitudes y prácticas que promuevan activamente el disfrute de los derechos del niño.</w:t>
      </w:r>
    </w:p>
    <w:p w:rsidR="00000000" w:rsidRDefault="00000000">
      <w:pPr>
        <w:spacing w:after="240"/>
        <w:jc w:val="center"/>
        <w:rPr>
          <w:b/>
          <w:bCs/>
          <w:lang w:val="es-ES_tradnl"/>
        </w:rPr>
      </w:pPr>
      <w:r>
        <w:rPr>
          <w:b/>
          <w:bCs/>
          <w:lang w:val="es-ES_tradnl"/>
        </w:rPr>
        <w:t>I.  Cooperación con la sociedad civil</w:t>
      </w:r>
    </w:p>
    <w:p w:rsidR="00000000" w:rsidRDefault="00000000">
      <w:pPr>
        <w:spacing w:after="240"/>
        <w:rPr>
          <w:lang w:val="es-ES_tradnl"/>
        </w:rPr>
      </w:pPr>
      <w:r>
        <w:rPr>
          <w:lang w:val="es-ES_tradnl"/>
        </w:rPr>
        <w:t>56.</w:t>
      </w:r>
      <w:r>
        <w:rPr>
          <w:lang w:val="es-ES_tradnl"/>
        </w:rPr>
        <w:tab/>
        <w:t xml:space="preserve">La aplicación de la Convención es una obligación para los Estados Partes, pero es necesario que participen todos los sectores de la sociedad, incluidos los propios niños.  El Comité reconoce que la obligación de respetar y garantizar los derechos del niño se extiende en la práctica más allá del Estado y de los servicios e instituciones controlados por el Estado para incluir a los niños, a sus padres, a las familias más extensas y a otros adultos, así como servicios y organizaciones no estatales.  El Comité está de acuerdo, por ejemplo, con la Observación general Nº 14 (2000) del Comité de Derechos Económicos, Sociales y Culturales sobre el derecho al disfrute del más alto nivel posible de salud, en cuyo párrafo 42 se establece que:  "Si bien sólo los Estados son Partes en el Pacto y, por consiguiente, son los que, en definitiva, tienen la obligación de rendir cuentas por cumplimiento de éste, todos los integrantes de la sociedad </w:t>
      </w:r>
      <w:r>
        <w:rPr>
          <w:lang w:val="es-ES_tradnl"/>
        </w:rPr>
        <w:noBreakHyphen/>
        <w:t>particulares, incluidos los profesionales de la salud, las familias, las comunidades locales, las organizaciones intergubernamentales y no gubernamentales, las organizaciones de la sociedad civil y el sector de la empresa privada</w:t>
      </w:r>
      <w:r>
        <w:rPr>
          <w:lang w:val="es-ES_tradnl"/>
        </w:rPr>
        <w:noBreakHyphen/>
        <w:t xml:space="preserve"> tienen responsabilidades en cuanto a la realización del derecho a la salud.  Por consiguiente, los Estados Partes deben crear un clima que facilite el cumplimiento de esas responsabilidades".</w:t>
      </w:r>
    </w:p>
    <w:p w:rsidR="00000000" w:rsidRDefault="00000000">
      <w:pPr>
        <w:spacing w:after="240"/>
        <w:rPr>
          <w:lang w:val="es-ES_tradnl"/>
        </w:rPr>
      </w:pPr>
      <w:r>
        <w:rPr>
          <w:lang w:val="es-ES_tradnl"/>
        </w:rPr>
        <w:t>57.</w:t>
      </w:r>
      <w:r>
        <w:rPr>
          <w:lang w:val="es-ES_tradnl"/>
        </w:rPr>
        <w:tab/>
        <w:t>El artículo 12 de la Convención, como ya se ha subrayado (véase el párrafo 12 </w:t>
      </w:r>
      <w:r>
        <w:rPr>
          <w:i/>
          <w:iCs/>
          <w:lang w:val="es-ES_tradnl"/>
        </w:rPr>
        <w:t>supra</w:t>
      </w:r>
      <w:r>
        <w:rPr>
          <w:lang w:val="es-ES_tradnl"/>
        </w:rPr>
        <w:t>), exige que se tengan debidamente en cuenta las opiniones del niño en todos los asuntos que le afectan, lo que incluye claramente la aplicación de "su" Convención.</w:t>
      </w:r>
    </w:p>
    <w:p w:rsidR="00000000" w:rsidRDefault="00000000">
      <w:pPr>
        <w:spacing w:after="240"/>
        <w:rPr>
          <w:lang w:val="es-ES_tradnl"/>
        </w:rPr>
      </w:pPr>
      <w:r>
        <w:rPr>
          <w:lang w:val="es-ES_tradnl"/>
        </w:rPr>
        <w:t>58.</w:t>
      </w:r>
      <w:r>
        <w:rPr>
          <w:lang w:val="es-ES_tradnl"/>
        </w:rPr>
        <w:tab/>
        <w:t>El Estado debe colaborar estrechamente con las ONG en el sentido más amplio, al tiempo que respeta su autonomía.  Esas ONG comprenden, por ejemplo, las ONG de derechos humanos, las organizaciones dirigidas por niños y jóvenes, los grupos de jóvenes, los grupos de padres y de familias, los grupos religiosos, las instituciones académicas y las asociaciones profesionales.  Las ONG desempeñaron una función esencial en la redacción de la Convención, y su participación en el proceso de aplicación es vital.</w:t>
      </w:r>
    </w:p>
    <w:p w:rsidR="00000000" w:rsidRDefault="00000000">
      <w:pPr>
        <w:spacing w:after="240"/>
        <w:rPr>
          <w:lang w:val="es-ES_tradnl"/>
        </w:rPr>
      </w:pPr>
      <w:r>
        <w:rPr>
          <w:lang w:val="es-ES_tradnl"/>
        </w:rPr>
        <w:t>59.</w:t>
      </w:r>
      <w:r>
        <w:rPr>
          <w:lang w:val="es-ES_tradnl"/>
        </w:rPr>
        <w:tab/>
        <w:t>El Comité acoge con satisfacción la creación de coaliciones y alianzas de ONG dedicadas a la promoción, protección y vigilancia de los derechos del niño e insta a los gobiernos a que les den un apoyo imparcial y a que establezcan relaciones oficiales y oficiosas positivas con ellos.  La participación de las ONG en el proceso de preparación de informes en virtud de la Convención, en el marco de la definición de "órganos competentes" dada en el apartado a) del artículo 45, ha dado en muchos casos un impulso real al proceso de aplicación y de preparación de informes.  El Grupo de las Organizaciones no Gubernamentales encargado de la Convención sobre los Derechos del Niño ha influido de forma muy favorable, importante y positiva en el proceso de preparación de informes y en otros aspectos de la labor del Comité.  El Comité subraya en sus orientaciones para la preparación de informes que el proceso de preparar un informe "debe ser tal que estimule y facilite la participación popular y el control de las políticas gubernamentales por parte del público"</w:t>
      </w:r>
      <w:r>
        <w:rPr>
          <w:rStyle w:val="FootnoteReference"/>
          <w:lang w:val="es-ES_tradnl"/>
        </w:rPr>
        <w:footnoteReference w:id="15"/>
      </w:r>
      <w:r>
        <w:rPr>
          <w:lang w:val="es-ES_tradnl"/>
        </w:rPr>
        <w:t>.  Los medios de difusión pueden prestar una valiosa colaboración en el proceso de aplicación (véase también el párrafo 70).</w:t>
      </w:r>
    </w:p>
    <w:p w:rsidR="00000000" w:rsidRDefault="00000000">
      <w:pPr>
        <w:spacing w:after="240"/>
        <w:jc w:val="center"/>
        <w:rPr>
          <w:b/>
          <w:bCs/>
          <w:lang w:val="es-ES_tradnl"/>
        </w:rPr>
      </w:pPr>
      <w:r>
        <w:rPr>
          <w:b/>
          <w:bCs/>
          <w:lang w:val="es-ES_tradnl"/>
        </w:rPr>
        <w:t>J.  Cooperación internacional</w:t>
      </w:r>
    </w:p>
    <w:p w:rsidR="00000000" w:rsidRDefault="00000000">
      <w:pPr>
        <w:spacing w:after="240"/>
        <w:rPr>
          <w:lang w:val="es-ES_tradnl"/>
        </w:rPr>
      </w:pPr>
      <w:r>
        <w:rPr>
          <w:lang w:val="es-ES_tradnl"/>
        </w:rPr>
        <w:t>60.</w:t>
      </w:r>
      <w:r>
        <w:rPr>
          <w:lang w:val="es-ES_tradnl"/>
        </w:rPr>
        <w:tab/>
        <w:t>El artículo 4 pone de relieve que la aplicación de la Convención es una actividad de cooperación para todos los Estados del mundo.  Este artículo y otros artículos de la Convención hacen hincapié en la necesidad de cooperación internacional</w:t>
      </w:r>
      <w:r>
        <w:rPr>
          <w:rStyle w:val="FootnoteReference"/>
          <w:lang w:val="es-ES_tradnl"/>
        </w:rPr>
        <w:footnoteReference w:id="16"/>
      </w:r>
      <w:r>
        <w:rPr>
          <w:lang w:val="es-ES_tradnl"/>
        </w:rPr>
        <w:t>.  La Carta de las Naciones Unidas (arts. 55 y 56) establece los objetivos generales en materia de cooperación internacional económica y social y los Miembros se comprometen en virtud de la Carta "a tomar medidas conjuntas o separadamente, en cooperación con la Organización" para la realización de estos propósitos.  En la Declaración del Milenio de las Naciones Unidas y en reuniones mundiales, entre ellas el período extraordinario de sesiones de la Asamblea General de las Naciones Unidas sobre la infancia, los Estados se han comprometido, en particular, a realizar actividades de cooperación internacional para eliminar la pobreza.</w:t>
      </w:r>
    </w:p>
    <w:p w:rsidR="00000000" w:rsidRDefault="00000000">
      <w:pPr>
        <w:spacing w:after="240"/>
        <w:rPr>
          <w:lang w:val="es-ES_tradnl"/>
        </w:rPr>
      </w:pPr>
      <w:r>
        <w:rPr>
          <w:lang w:val="es-ES_tradnl"/>
        </w:rPr>
        <w:t>61.</w:t>
      </w:r>
      <w:r>
        <w:rPr>
          <w:lang w:val="es-ES_tradnl"/>
        </w:rPr>
        <w:tab/>
        <w:t>El Comité señala a los Estados Partes que la Convención debe constituir el marco de la asistencia internacional para el desarrollo relacionada directa o indirectamente con los niños y que los programas de los Estados donantes deben basarse en los derechos.  El Comité insta a los Estados a que alcancen las metas acordadas internacionalmente, incluida la meta de la asistencia internacional para el desarrollo fijada por las Naciones Unidas en el 0,7% del producto interno bruto.  Se reiteró ese objetivo, junto con otras metas, en el Consenso de Monterrey de la Conferencia Internacional sobre la Financiación para el Desarrollo celebrada en 2002</w:t>
      </w:r>
      <w:r>
        <w:rPr>
          <w:rStyle w:val="FootnoteReference"/>
          <w:lang w:val="es-ES_tradnl"/>
        </w:rPr>
        <w:footnoteReference w:id="17"/>
      </w:r>
      <w:r>
        <w:rPr>
          <w:lang w:val="es-ES_tradnl"/>
        </w:rPr>
        <w:t>.  El Comité alienta a los Estados Partes que reciban ayuda y asistencia internacionales a que destinen una parte considerable de esa ayuda específicamente a los niños.  El Comité espera que los Estados Partes puedan determinar anualmente la cuantía y la proporción del apoyo internacional que se destina a la realización de los derechos del niño.</w:t>
      </w:r>
    </w:p>
    <w:p w:rsidR="00000000" w:rsidRDefault="00000000">
      <w:pPr>
        <w:spacing w:after="240"/>
        <w:rPr>
          <w:lang w:val="es-ES_tradnl"/>
        </w:rPr>
      </w:pPr>
      <w:r>
        <w:rPr>
          <w:lang w:val="es-ES_tradnl"/>
        </w:rPr>
        <w:t>62.</w:t>
      </w:r>
      <w:r>
        <w:rPr>
          <w:lang w:val="es-ES_tradnl"/>
        </w:rPr>
        <w:tab/>
        <w:t>El Comité apoya los objetivos de la iniciativa 20/20 para lograr el acceso universal a unos servicios sociales básicos de buena calidad de manera sostenible, como responsabilidad compartida de los países en desarrollo y de los países donantes.  El Comité observa que las reuniones internacionales celebradas para examinar los progresos alcanzados han concluido que muchos Estados tendrán dificultades para dar efectividad a los derechos económicos y sociales fundamentales a menos que se asignen a ello más recursos y que se mejore la eficacia de la asignación de recursos.  El Comité toma nota de las medidas adoptadas para reducir la pobreza en los países más endeudados mediante el documento de estrategia de lucha contra la pobreza, y alienta esas medidas.  Como estrategia central impulsada por los países para alcanzar los objetivos de desarrollo del Milenio, el documento de estrategia de lucha contra la pobreza debe centrarse particularmente en los derechos del niño.  El Comité insta a los gobiernos, a los donantes y a la sociedad civil a que velen por que se conceda especial prioridad a los niños en la elaboración de documentos de estrategia de lucha contra la pobreza y en los enfoques sectoriales del desarrollo.  Tanto los documentos de estrategia de lucha contra la pobreza como los enfoques sectoriales del desarrollo deben reflejar los principios de los derechos del niño, con un enfoque holístico y centrado en el niño que lo reconozca como titular de derechos y con la incorporación de metas y objetivos de desarrollo que sean pertinentes para los niños.</w:t>
      </w:r>
    </w:p>
    <w:p w:rsidR="00000000" w:rsidRDefault="00000000">
      <w:pPr>
        <w:spacing w:after="240"/>
        <w:rPr>
          <w:lang w:val="es-ES_tradnl"/>
        </w:rPr>
      </w:pPr>
      <w:r>
        <w:rPr>
          <w:lang w:val="es-ES_tradnl"/>
        </w:rPr>
        <w:t>63.</w:t>
      </w:r>
      <w:r>
        <w:rPr>
          <w:lang w:val="es-ES_tradnl"/>
        </w:rPr>
        <w:tab/>
        <w:t>El Comité alienta a los Estados a que presten y utilicen, según proceda, asistencia técnica en el proceso de aplicación de la Convención.  El Fondo de las Naciones Unidas para la Infancia (UNICEF), la Oficina del Alto Comisionado para los Derechos Humanos (ACNUDH) y otros organismos de las Naciones Unidas y organismos conexos de las Naciones Unidas pueden prestar asistencia técnica en lo que se refiere a muchos aspectos de la aplicación.  Se alienta a los Estados Partes a que indiquen su interés por la asistencia técnica en los informes que presenten en virtud de la Convención.</w:t>
      </w:r>
    </w:p>
    <w:p w:rsidR="00000000" w:rsidRDefault="00000000">
      <w:pPr>
        <w:spacing w:after="240"/>
        <w:rPr>
          <w:lang w:val="es-ES_tradnl"/>
        </w:rPr>
      </w:pPr>
      <w:r>
        <w:rPr>
          <w:lang w:val="es-ES_tradnl"/>
        </w:rPr>
        <w:t>64.</w:t>
      </w:r>
      <w:r>
        <w:rPr>
          <w:lang w:val="es-ES_tradnl"/>
        </w:rPr>
        <w:tab/>
        <w:t>Al promover la cooperación internacional y la asistencia técnica, todos los organismos de las Naciones Unidas y organismos conexos de las Naciones Unidas deben guiarse por la Convención y dar un lugar central a los derechos del niño en todas sus actividades.  Esos organismos deberían tratar, dentro de su ámbito de influencia, de que la cooperación internacional se destine a ayudar a los Estados a cumplir las obligaciones que han contraído en virtud de la Convención.  De igual modo, el Grupo del Banco Mundial, el Fondo Monetario Internacional y la Organización Mundial del Comercio deberían velar por que sus actividades relacionadas con la cooperación internacional y el desarrollo económico tengan como consideración primordial el interés superior del niño y promuevan la plena aplicación de la Convención.</w:t>
      </w:r>
    </w:p>
    <w:p w:rsidR="00000000" w:rsidRDefault="00000000">
      <w:pPr>
        <w:spacing w:after="240"/>
        <w:jc w:val="center"/>
        <w:rPr>
          <w:b/>
          <w:bCs/>
          <w:lang w:val="es-ES_tradnl"/>
        </w:rPr>
      </w:pPr>
      <w:r>
        <w:rPr>
          <w:b/>
          <w:bCs/>
          <w:lang w:val="es-ES_tradnl"/>
        </w:rPr>
        <w:t>K.  Instituciones independientes de derechos humanos</w:t>
      </w:r>
    </w:p>
    <w:p w:rsidR="00000000" w:rsidRDefault="00000000">
      <w:pPr>
        <w:autoSpaceDE w:val="0"/>
        <w:autoSpaceDN w:val="0"/>
        <w:adjustRightInd w:val="0"/>
        <w:spacing w:after="240"/>
        <w:rPr>
          <w:lang w:val="es-ES_tradnl"/>
        </w:rPr>
      </w:pPr>
      <w:r>
        <w:rPr>
          <w:lang w:val="es-ES_tradnl"/>
        </w:rPr>
        <w:t>65.</w:t>
      </w:r>
      <w:r>
        <w:rPr>
          <w:lang w:val="es-ES_tradnl"/>
        </w:rPr>
        <w:tab/>
        <w:t xml:space="preserve">En su Observación general Nº 2 (2002), titulada "El papel de las instituciones nacionales independientes de derechos humanos en la promoción y protección de los derechos del niño", el Comité "considera que el establecimiento de tales órganos forma parte del compromiso asumido por los Estados Partes al ratificar la Convención de garantizar su aplicación y promover la realización universal de los derechos del niño".  Las instituciones independientes de derechos humanos complementan las estructuras estatales efectivas que se ocupan de la infancia; el elemento esencial es la independencia:  "El papel de las instituciones nacionales de derechos humanos es vigilar de manera independiente el cumplimiento por el Estado de las obligaciones contraídas en virtud de la Convención y los progresos logrados en la aplicación de la Convención y hacer todo lo posible para que se respeten plenamente los derechos del niño.  Si bien ello puede requerir que la institución elabore proyectos para mejorar la promoción y protección de los derechos del niño, no debe dar lugar a que el gobierno delegue sus obligaciones de vigilancia en la institución </w:t>
      </w:r>
      <w:r>
        <w:rPr>
          <w:szCs w:val="20"/>
        </w:rPr>
        <w:t>nacional</w:t>
      </w:r>
      <w:r>
        <w:rPr>
          <w:lang w:val="es-ES_tradnl"/>
        </w:rPr>
        <w:t>.  Es esencial que las instituciones se mantengan totalmente libres de establecer su propio programa y determinar sus propias actividades"</w:t>
      </w:r>
      <w:r>
        <w:rPr>
          <w:rStyle w:val="FootnoteReference"/>
          <w:lang w:val="es-ES_tradnl"/>
        </w:rPr>
        <w:footnoteReference w:id="18"/>
      </w:r>
      <w:r>
        <w:rPr>
          <w:lang w:val="es-ES_tradnl"/>
        </w:rPr>
        <w:t>.  La Observación general Nº 2 da orientaciones detalladas sobre el establecimiento y el funcionamiento de las instituciones independientes de derechos humanos que se ocupan de la infancia.</w:t>
      </w:r>
    </w:p>
    <w:p w:rsidR="00000000" w:rsidRDefault="00000000">
      <w:pPr>
        <w:pStyle w:val="Heading1"/>
        <w:keepNext w:val="0"/>
        <w:spacing w:after="240" w:line="240" w:lineRule="auto"/>
        <w:ind w:left="567"/>
        <w:rPr>
          <w:b w:val="0"/>
          <w:bCs w:val="0"/>
        </w:rPr>
      </w:pPr>
      <w:r>
        <w:t xml:space="preserve">Artículo 42 - Dar a conocer la Convención a los adultos y a los niños.  </w:t>
      </w:r>
      <w:r>
        <w:rPr>
          <w:b w:val="0"/>
          <w:bCs w:val="0"/>
        </w:rPr>
        <w:t>"Los Estados Partes se comprometen a dar a conocer ampliamente los principios y disposiciones de la Convención por medios eficaces y apropiados, tanto a los adultos como a los niños".</w:t>
      </w:r>
    </w:p>
    <w:p w:rsidR="00000000" w:rsidRDefault="00000000">
      <w:pPr>
        <w:autoSpaceDE w:val="0"/>
        <w:autoSpaceDN w:val="0"/>
        <w:adjustRightInd w:val="0"/>
        <w:spacing w:after="240"/>
        <w:rPr>
          <w:szCs w:val="20"/>
        </w:rPr>
      </w:pPr>
      <w:r>
        <w:rPr>
          <w:szCs w:val="20"/>
        </w:rPr>
        <w:t>66.</w:t>
      </w:r>
      <w:r>
        <w:rPr>
          <w:szCs w:val="20"/>
        </w:rPr>
        <w:tab/>
        <w:t>Las personas necesitan saber qué derechos tienen.  Tradicionalmente, en la mayoría de las sociedades, si no en todas, no se ha considerado a los niños como titulares de derechos.  Por lo tanto, el artículo 42 reviste una importancia especial.  Si los adultos que rodean a los niños, sus padres y otros parientes, los maestros y las personas que se ocupan de ellos no comprenden las repercusiones de la Convención, y sobre todo su confirmación de la igualdad de condición de los niños como titulares de derechos, es muy improbable que los derechos consagrados en la Convención se realicen para muchos niños.</w:t>
      </w:r>
    </w:p>
    <w:p w:rsidR="00000000" w:rsidRDefault="00000000">
      <w:pPr>
        <w:autoSpaceDE w:val="0"/>
        <w:autoSpaceDN w:val="0"/>
        <w:adjustRightInd w:val="0"/>
        <w:spacing w:after="240"/>
        <w:rPr>
          <w:szCs w:val="20"/>
        </w:rPr>
      </w:pPr>
      <w:r>
        <w:rPr>
          <w:szCs w:val="20"/>
        </w:rPr>
        <w:t>67.</w:t>
      </w:r>
      <w:r>
        <w:rPr>
          <w:szCs w:val="20"/>
        </w:rPr>
        <w:tab/>
        <w:t>El Comité propone que los Estados formulen una amplia estrategia para dar a conocer la Convención en toda la sociedad.  Esto debería incluir información sobre los órganos, tanto gubernamentales como independientes, que participan en la aplicación y en la vigilancia y sobre la manera en que se puede tomar contacto con ellos.  Al nivel más básico, es necesario que el texto de la Convención tenga amplia difusión en todos los idiomas (y el Comité elogia la recopilación de traducciones oficiales y extraoficiales de la Convención realizada por el ACNUDH).  Es necesario que haya una estrategia para la divulgación de la Convención entre los analfabetos.  El UNICEF y las ONG han creado en muchos países versiones de la Convención al alcance de los niños de diversas edades, proceso que el Comité acoge con satisfacción y alienta; esos organismos también deberían informar a los niños sobre las fuentes de ayuda y de asesoramiento con que cuentan.</w:t>
      </w:r>
    </w:p>
    <w:p w:rsidR="00000000" w:rsidRDefault="00000000">
      <w:pPr>
        <w:autoSpaceDE w:val="0"/>
        <w:autoSpaceDN w:val="0"/>
        <w:adjustRightInd w:val="0"/>
        <w:spacing w:after="240"/>
        <w:rPr>
          <w:szCs w:val="20"/>
        </w:rPr>
      </w:pPr>
      <w:r>
        <w:rPr>
          <w:szCs w:val="20"/>
        </w:rPr>
        <w:t>68.</w:t>
      </w:r>
      <w:r>
        <w:rPr>
          <w:szCs w:val="20"/>
        </w:rPr>
        <w:tab/>
        <w:t>Los niños necesitan conocer sus derechos, y el Comité atribuye especial importancia a la inclusión de los estudios sobre la Convención y sobre los derechos humanos en general en el programa de estudios de las escuelas en todas sus etapas.  A este respecto, hay que tener presente la Observación general Nº 1 (2001) del Comité, titulada "</w:t>
      </w:r>
      <w:r>
        <w:t xml:space="preserve">Propósitos de la </w:t>
      </w:r>
      <w:r>
        <w:rPr>
          <w:lang w:val="es-ES_tradnl"/>
        </w:rPr>
        <w:t>educación (art. 29, párr. 1).  En el párrafo 1 del artículo 29 se afirma que la educación del niño deberá estar encaminada a "Inculcar al niño el respeto de los derechos humanos y las libertades fundamentales".  En la Observación general se subraya lo siguiente:  "</w:t>
      </w:r>
      <w:r>
        <w:t xml:space="preserve">La educación en la esfera de los derechos humanos debe facilitar información sobre el contenido de los tratados de </w:t>
      </w:r>
      <w:r>
        <w:rPr>
          <w:szCs w:val="20"/>
        </w:rPr>
        <w:t>derechos</w:t>
      </w:r>
      <w:r>
        <w:t xml:space="preserve"> humanos, pero los niños también deben aprender lo que son esos derechos observando la aplicación en la práctica de las normas de derechos humanos, ya sea en el hogar, en la escuela o en la comunidad.  La educación en la esfera de los derechos humanos debe constituir un proceso integral que se prolongue toda la vida y empiece con la manifestación de valores de derechos humanos en la vida y las experiencias cotidianas de los niños"</w:t>
      </w:r>
      <w:r>
        <w:rPr>
          <w:rStyle w:val="FootnoteReference"/>
        </w:rPr>
        <w:footnoteReference w:id="19"/>
      </w:r>
      <w:r>
        <w:t>.</w:t>
      </w:r>
    </w:p>
    <w:p w:rsidR="00000000" w:rsidRDefault="00000000">
      <w:pPr>
        <w:spacing w:after="240"/>
        <w:rPr>
          <w:lang w:val="es-ES_tradnl"/>
        </w:rPr>
      </w:pPr>
      <w:r>
        <w:rPr>
          <w:szCs w:val="20"/>
        </w:rPr>
        <w:t>69.</w:t>
      </w:r>
      <w:r>
        <w:rPr>
          <w:szCs w:val="20"/>
        </w:rPr>
        <w:tab/>
        <w:t>De manera similar, los estudios sobre la Convención tienen que estar integrados en la formación inicial y en la formación en el empleo de todos los que se dedican a trabajar con los niños y para los niños (véase más arriba, párr. 53).  El Comité recuerda a los Estados Partes las recomendaciones que formuló tras su reunión sobre medidas generales de aplicación celebrada para conmemorar el décimo aniversario de la adopción de la Convención, en la que recordó que "</w:t>
      </w:r>
      <w:r>
        <w:rPr>
          <w:lang w:val="es-ES_tradnl"/>
        </w:rPr>
        <w:t>la difusión y las campañas de sensibilización sobre los derechos del niño alcanzan su máxima eficacia cuando se conciben como un proceso de cambio social, de interacción y de diálogo y no cuando se pretende sentar cátedra.  Todos los sectores de la sociedad, incluidos los niños y jóvenes, deberían participar en las campañas de sensibilización.  Los niños, incluidos los adolescentes, tienen derecho a participar en las campañas de sensibilización sobre sus derechos hasta donde lo permitan sus facultades en evolución"</w:t>
      </w:r>
      <w:r>
        <w:rPr>
          <w:rStyle w:val="FootnoteReference"/>
          <w:lang w:val="es-ES_tradnl"/>
        </w:rPr>
        <w:footnoteReference w:id="20"/>
      </w:r>
      <w:r>
        <w:rPr>
          <w:lang w:val="es-ES_tradnl"/>
        </w:rPr>
        <w:t>.</w:t>
      </w:r>
    </w:p>
    <w:p w:rsidR="00000000" w:rsidRDefault="00000000">
      <w:pPr>
        <w:spacing w:after="240"/>
        <w:ind w:left="567"/>
        <w:rPr>
          <w:lang w:val="es-ES_tradnl"/>
        </w:rPr>
      </w:pPr>
      <w:r>
        <w:rPr>
          <w:lang w:val="es-ES_tradnl"/>
        </w:rPr>
        <w:tab/>
        <w:t xml:space="preserve">"El Comité recomienda que se hagan todos los esfuerzos necesarios para que la formación en materia de derechos del niño tenga carácter práctico y sistemático y se integre en la formación profesional normal a fin de sacar el máximo partido de sus efectos y sostenibilidad.  La formación en materia de derechos humanos debe utilizar métodos de </w:t>
      </w:r>
    </w:p>
    <w:p w:rsidR="00000000" w:rsidRDefault="00000000">
      <w:pPr>
        <w:spacing w:after="240"/>
        <w:ind w:left="567"/>
        <w:rPr>
          <w:lang w:val="es-ES_tradnl"/>
        </w:rPr>
      </w:pPr>
      <w:r>
        <w:rPr>
          <w:lang w:val="es-ES_tradnl"/>
        </w:rPr>
        <w:br w:type="page"/>
        <w:t>participación e impartir a los profesionales los conocimientos y las actitudes necesarias para interactuar con los niños y jóvenes sin menoscabo de sus derechos, su dignidad ni el respeto por su propia persona."</w:t>
      </w:r>
      <w:r>
        <w:rPr>
          <w:rStyle w:val="FootnoteReference"/>
          <w:lang w:val="es-ES_tradnl"/>
        </w:rPr>
        <w:footnoteReference w:id="21"/>
      </w:r>
    </w:p>
    <w:p w:rsidR="00000000" w:rsidRDefault="00000000">
      <w:pPr>
        <w:spacing w:after="240"/>
      </w:pPr>
      <w:r>
        <w:t>70.</w:t>
      </w:r>
      <w:r>
        <w:tab/>
        <w:t>Los medios de difusión pueden desempeñar un papel crucial en la divulgación y comprensión de la Convención, y el Comité promueve su participación voluntaria en ese proceso, participación que puede ser estimulada por los gobiernos y las ONG</w:t>
      </w:r>
      <w:r>
        <w:rPr>
          <w:rStyle w:val="FootnoteReference"/>
        </w:rPr>
        <w:footnoteReference w:id="22"/>
      </w:r>
      <w:r>
        <w:t>.</w:t>
      </w:r>
    </w:p>
    <w:p w:rsidR="00000000" w:rsidRDefault="00000000">
      <w:pPr>
        <w:spacing w:after="240"/>
        <w:ind w:left="567"/>
        <w:rPr>
          <w:bCs/>
        </w:rPr>
      </w:pPr>
      <w:r>
        <w:rPr>
          <w:b/>
          <w:bCs/>
        </w:rPr>
        <w:t xml:space="preserve">Artículo 44 6) - Dar amplia difusión a los informes preparados con arreglo a la Convención.  </w:t>
      </w:r>
      <w:r>
        <w:rPr>
          <w:bCs/>
        </w:rPr>
        <w:t>"Los Estados Partes darán a sus informes una amplia difusión entre el público de sus países respectivos".</w:t>
      </w:r>
    </w:p>
    <w:p w:rsidR="00000000" w:rsidRDefault="00000000">
      <w:pPr>
        <w:autoSpaceDE w:val="0"/>
        <w:autoSpaceDN w:val="0"/>
        <w:adjustRightInd w:val="0"/>
        <w:spacing w:after="240"/>
        <w:rPr>
          <w:szCs w:val="20"/>
        </w:rPr>
      </w:pPr>
      <w:r>
        <w:rPr>
          <w:szCs w:val="20"/>
        </w:rPr>
        <w:t>71.</w:t>
      </w:r>
      <w:r>
        <w:rPr>
          <w:szCs w:val="20"/>
        </w:rPr>
        <w:tab/>
        <w:t>Si la presentación de informes en virtud de la Convención ha de desempeñar el importante papel que le corresponde en el proceso de aplicación a nivel nacional, es necesario que los adultos y los niños de todo el Estado Parte la conozcan.  El proceso de preparación de informes proporciona una forma singular de rendir cuentas en el plano internacional sobre la manera en que los Estados tratan a los niños y sus derechos.  Sin embargo, a menos que los informes se divulguen y se debatan constructivamente a nivel nacional, es poco probable que ese proceso tenga consecuencias notables sobre las vidas de los niños.</w:t>
      </w:r>
    </w:p>
    <w:p w:rsidR="00000000" w:rsidRDefault="00000000">
      <w:pPr>
        <w:autoSpaceDE w:val="0"/>
        <w:autoSpaceDN w:val="0"/>
        <w:adjustRightInd w:val="0"/>
        <w:spacing w:after="240"/>
        <w:rPr>
          <w:szCs w:val="20"/>
        </w:rPr>
      </w:pPr>
      <w:r>
        <w:rPr>
          <w:szCs w:val="20"/>
        </w:rPr>
        <w:t>72.</w:t>
      </w:r>
      <w:r>
        <w:rPr>
          <w:szCs w:val="20"/>
        </w:rPr>
        <w:tab/>
        <w:t>La Convención exige explícitamente a los Estados que den a sus informes amplia difusión entre el público; ello debería hacerse al presentarlos al Comité.  Los informes deberían ser verdaderamente accesibles, por ejemplo mediante su traducción a todos los idiomas, su presentación en formas apropiadas para los niños y para las personas discapacitadas, etc.  Internet puede ayudar en gran medida a esa divulgación, y se insta enérgicamente a los gobiernos y a los parlamentos a que publiquen los informes en sus sitios en la Red.</w:t>
      </w:r>
    </w:p>
    <w:p w:rsidR="00000000" w:rsidRDefault="00000000">
      <w:pPr>
        <w:autoSpaceDE w:val="0"/>
        <w:autoSpaceDN w:val="0"/>
        <w:adjustRightInd w:val="0"/>
        <w:spacing w:after="240"/>
        <w:rPr>
          <w:szCs w:val="20"/>
        </w:rPr>
      </w:pPr>
      <w:r>
        <w:rPr>
          <w:szCs w:val="20"/>
        </w:rPr>
        <w:t>73.</w:t>
      </w:r>
      <w:r>
        <w:rPr>
          <w:szCs w:val="20"/>
        </w:rPr>
        <w:tab/>
        <w:t>El Comité insta a los Estados a que den amplia difusión al resto de la documentación relativa al examen de los informes que presenten con arreglo a la Convención, a fin de promover un debate constructivo e informar sobre el proceso de aplicación a todos los niveles.  En particular, las observaciones finales del Comité deberían divulgarse entre el público, incluidos los niños, y ser objeto de un debate detallado en el Parlamento.  Las organizaciones, en particular las ONG, independientes que se ocupan de los derechos humanos pueden desempeñar un papel fundamental al dar una mayor difusión al debate.  Las actas resumidas del examen de los representantes del Gobierno por el Comité ayudan a comprender el proceso y las exigencias del Comité y también deberían difundirse y debatirse.</w:t>
      </w:r>
    </w:p>
    <w:p w:rsidR="00000000" w:rsidRDefault="00000000">
      <w:pPr>
        <w:autoSpaceDE w:val="0"/>
        <w:autoSpaceDN w:val="0"/>
        <w:adjustRightInd w:val="0"/>
        <w:spacing w:after="240"/>
        <w:jc w:val="center"/>
        <w:rPr>
          <w:b/>
          <w:bCs/>
          <w:szCs w:val="20"/>
        </w:rPr>
      </w:pPr>
      <w:r>
        <w:rPr>
          <w:szCs w:val="20"/>
        </w:rPr>
        <w:br w:type="page"/>
      </w:r>
      <w:r>
        <w:rPr>
          <w:b/>
          <w:bCs/>
          <w:szCs w:val="20"/>
        </w:rPr>
        <w:t>Anexo I</w:t>
      </w:r>
    </w:p>
    <w:p w:rsidR="00000000" w:rsidRDefault="00000000">
      <w:pPr>
        <w:pStyle w:val="BodyText"/>
        <w:spacing w:after="240"/>
      </w:pPr>
      <w:r>
        <w:t>RATIFICACIÓN DE OTROS INSTRUMENTOS INTERNACIONALES</w:t>
      </w:r>
      <w:r>
        <w:br/>
        <w:t>CLAVE RELATIVOS A LOS DERECHOS HUMANOS</w:t>
      </w:r>
    </w:p>
    <w:p w:rsidR="00000000" w:rsidRDefault="00000000">
      <w:pPr>
        <w:spacing w:after="240"/>
        <w:rPr>
          <w:szCs w:val="20"/>
        </w:rPr>
      </w:pPr>
      <w:r>
        <w:rPr>
          <w:szCs w:val="20"/>
        </w:rPr>
        <w:tab/>
        <w:t xml:space="preserve">Como se observó en el párrafo 17 de la presente Observación general, el Comité de los Derechos del Niño, en su examen de las medidas generales de aplicación, y teniendo en cuenta los principios de la indivisibilidad y la interdependencia de los derechos humanos, insta invariablemente a los Estados Partes a que, si todavía no lo han hecho, ratifiquen los dos Protocolos Facultativos de la Convención sobre los Derechos del Niño (sobre la </w:t>
      </w:r>
      <w:r>
        <w:t xml:space="preserve">participación de niños en los conflictos armados y sobre la </w:t>
      </w:r>
      <w:r>
        <w:rPr>
          <w:szCs w:val="20"/>
        </w:rPr>
        <w:t>venta de niños, la prostitución infantil y la utilización de niños en la pornografía), así como los otros seis principales instrumentos internacionales relativos a los derechos humanos.  Durante su diálogo con los Estados Partes, el Comité los alienta frecuentemente a que examinen la posibilidad de ratificar otros instrumentos internacionales pertinentes.  A continuación se da una lista no exhaustiva de esos instrumentos.  El Comité actualizará periódicamente esa lista.</w:t>
      </w:r>
    </w:p>
    <w:p w:rsidR="00000000" w:rsidRDefault="00000000">
      <w:pPr>
        <w:autoSpaceDE w:val="0"/>
        <w:autoSpaceDN w:val="0"/>
        <w:adjustRightInd w:val="0"/>
        <w:spacing w:after="240"/>
        <w:ind w:left="567"/>
        <w:rPr>
          <w:szCs w:val="20"/>
        </w:rPr>
      </w:pPr>
      <w:r>
        <w:rPr>
          <w:szCs w:val="20"/>
        </w:rPr>
        <w:t>Protocolo Facultativo del Pacto Internacional de Derechos Civiles y Políticos;</w:t>
      </w:r>
    </w:p>
    <w:p w:rsidR="00000000" w:rsidRDefault="00000000">
      <w:pPr>
        <w:autoSpaceDE w:val="0"/>
        <w:autoSpaceDN w:val="0"/>
        <w:adjustRightInd w:val="0"/>
        <w:spacing w:after="240"/>
        <w:ind w:left="567"/>
        <w:rPr>
          <w:szCs w:val="20"/>
        </w:rPr>
      </w:pPr>
      <w:r>
        <w:rPr>
          <w:szCs w:val="20"/>
        </w:rPr>
        <w:t>Segundo Protocolo Facultativo del Pacto Internacional de Derechos Civiles y Políticos, relativo a la abolición de la pena de muerte;</w:t>
      </w:r>
    </w:p>
    <w:p w:rsidR="00000000" w:rsidRDefault="00000000">
      <w:pPr>
        <w:autoSpaceDE w:val="0"/>
        <w:autoSpaceDN w:val="0"/>
        <w:adjustRightInd w:val="0"/>
        <w:spacing w:after="240"/>
        <w:ind w:left="567"/>
        <w:rPr>
          <w:szCs w:val="20"/>
        </w:rPr>
      </w:pPr>
      <w:r>
        <w:rPr>
          <w:szCs w:val="20"/>
        </w:rPr>
        <w:t>Protocolo Facultativo de la Convención sobre la eliminación de todas las formas de discriminación contra la mujer;</w:t>
      </w:r>
    </w:p>
    <w:p w:rsidR="00000000" w:rsidRDefault="00000000">
      <w:pPr>
        <w:autoSpaceDE w:val="0"/>
        <w:autoSpaceDN w:val="0"/>
        <w:adjustRightInd w:val="0"/>
        <w:spacing w:after="240"/>
        <w:ind w:left="567"/>
        <w:rPr>
          <w:szCs w:val="20"/>
        </w:rPr>
      </w:pPr>
      <w:r>
        <w:rPr>
          <w:szCs w:val="20"/>
        </w:rPr>
        <w:t>Protocolo Facultativo de la Convención contra la Tortura y Otros Tratos o Penas Crueles, Inhumanos o Degradantes;</w:t>
      </w:r>
    </w:p>
    <w:p w:rsidR="00000000" w:rsidRDefault="00000000">
      <w:pPr>
        <w:autoSpaceDE w:val="0"/>
        <w:autoSpaceDN w:val="0"/>
        <w:adjustRightInd w:val="0"/>
        <w:spacing w:after="240"/>
        <w:ind w:left="567"/>
        <w:rPr>
          <w:szCs w:val="20"/>
        </w:rPr>
      </w:pPr>
      <w:r>
        <w:rPr>
          <w:szCs w:val="20"/>
        </w:rPr>
        <w:t>Convención relativa a la lucha contra las discriminaciones en la esfera de la enseñanza;</w:t>
      </w:r>
    </w:p>
    <w:p w:rsidR="00000000" w:rsidRDefault="00000000">
      <w:pPr>
        <w:autoSpaceDE w:val="0"/>
        <w:autoSpaceDN w:val="0"/>
        <w:adjustRightInd w:val="0"/>
        <w:spacing w:after="240"/>
        <w:ind w:left="567"/>
        <w:rPr>
          <w:szCs w:val="20"/>
        </w:rPr>
      </w:pPr>
      <w:r>
        <w:rPr>
          <w:szCs w:val="20"/>
        </w:rPr>
        <w:t>Convenio Nº 29 de la OIT sobre el trabajo forzoso, de 1930;</w:t>
      </w:r>
    </w:p>
    <w:p w:rsidR="00000000" w:rsidRDefault="00000000">
      <w:pPr>
        <w:autoSpaceDE w:val="0"/>
        <w:autoSpaceDN w:val="0"/>
        <w:adjustRightInd w:val="0"/>
        <w:spacing w:after="240"/>
        <w:ind w:left="567"/>
        <w:rPr>
          <w:szCs w:val="20"/>
        </w:rPr>
      </w:pPr>
      <w:r>
        <w:rPr>
          <w:szCs w:val="20"/>
        </w:rPr>
        <w:t>Convenio Nº 105 de la OIT sobre la abolición del trabajo forzoso, de 1957;</w:t>
      </w:r>
    </w:p>
    <w:p w:rsidR="00000000" w:rsidRDefault="00000000">
      <w:pPr>
        <w:autoSpaceDE w:val="0"/>
        <w:autoSpaceDN w:val="0"/>
        <w:adjustRightInd w:val="0"/>
        <w:spacing w:after="240"/>
        <w:ind w:left="567"/>
        <w:rPr>
          <w:szCs w:val="20"/>
        </w:rPr>
      </w:pPr>
      <w:r>
        <w:rPr>
          <w:szCs w:val="20"/>
        </w:rPr>
        <w:t>Convenio Nº 138 de la OIT sobre la edad mínima de admisión al empleo, de 1973;</w:t>
      </w:r>
    </w:p>
    <w:p w:rsidR="00000000" w:rsidRDefault="00000000">
      <w:pPr>
        <w:autoSpaceDE w:val="0"/>
        <w:autoSpaceDN w:val="0"/>
        <w:adjustRightInd w:val="0"/>
        <w:spacing w:after="240"/>
        <w:ind w:left="567"/>
        <w:rPr>
          <w:szCs w:val="20"/>
        </w:rPr>
      </w:pPr>
      <w:r>
        <w:rPr>
          <w:szCs w:val="20"/>
        </w:rPr>
        <w:t>Convenio Nº 182 de la OIT sobre la prohibición de las peores formas de trabajo infantil, de 1999;</w:t>
      </w:r>
    </w:p>
    <w:p w:rsidR="00000000" w:rsidRDefault="00000000">
      <w:pPr>
        <w:autoSpaceDE w:val="0"/>
        <w:autoSpaceDN w:val="0"/>
        <w:adjustRightInd w:val="0"/>
        <w:spacing w:after="240"/>
        <w:ind w:left="567"/>
        <w:rPr>
          <w:szCs w:val="20"/>
        </w:rPr>
      </w:pPr>
      <w:r>
        <w:rPr>
          <w:szCs w:val="20"/>
        </w:rPr>
        <w:t>Convenio Nº 183 de la OIT sobre la protección de la maternidad, de 2000;</w:t>
      </w:r>
    </w:p>
    <w:p w:rsidR="00000000" w:rsidRDefault="00000000">
      <w:pPr>
        <w:autoSpaceDE w:val="0"/>
        <w:autoSpaceDN w:val="0"/>
        <w:adjustRightInd w:val="0"/>
        <w:spacing w:after="240"/>
        <w:ind w:left="567"/>
        <w:rPr>
          <w:szCs w:val="20"/>
        </w:rPr>
      </w:pPr>
      <w:r>
        <w:rPr>
          <w:szCs w:val="20"/>
        </w:rPr>
        <w:t>Convención sobre el Estatuto de los Refugiados, de 1951, enmendada por el Protocolo sobre el Estatuto de los Refugiados, de 1967;</w:t>
      </w:r>
    </w:p>
    <w:p w:rsidR="00000000" w:rsidRDefault="00000000">
      <w:pPr>
        <w:autoSpaceDE w:val="0"/>
        <w:autoSpaceDN w:val="0"/>
        <w:adjustRightInd w:val="0"/>
        <w:spacing w:after="240"/>
        <w:ind w:left="567"/>
        <w:rPr>
          <w:szCs w:val="20"/>
        </w:rPr>
      </w:pPr>
      <w:r>
        <w:rPr>
          <w:szCs w:val="20"/>
        </w:rPr>
        <w:t>Convenio para la represión de la trata de personas y de la explotación de la prostitución ajena (1949);</w:t>
      </w:r>
    </w:p>
    <w:p w:rsidR="00000000" w:rsidRDefault="00000000">
      <w:pPr>
        <w:autoSpaceDE w:val="0"/>
        <w:autoSpaceDN w:val="0"/>
        <w:adjustRightInd w:val="0"/>
        <w:spacing w:after="240"/>
        <w:ind w:left="567"/>
        <w:rPr>
          <w:szCs w:val="20"/>
        </w:rPr>
      </w:pPr>
      <w:r>
        <w:rPr>
          <w:szCs w:val="20"/>
        </w:rPr>
        <w:t>Convención sobre la Esclavitud (1926);</w:t>
      </w:r>
    </w:p>
    <w:p w:rsidR="00000000" w:rsidRDefault="00000000">
      <w:pPr>
        <w:pStyle w:val="Header"/>
        <w:tabs>
          <w:tab w:val="clear" w:pos="4252"/>
        </w:tabs>
        <w:autoSpaceDE w:val="0"/>
        <w:autoSpaceDN w:val="0"/>
        <w:adjustRightInd w:val="0"/>
        <w:spacing w:after="240"/>
        <w:ind w:left="567"/>
        <w:rPr>
          <w:szCs w:val="20"/>
        </w:rPr>
      </w:pPr>
      <w:r>
        <w:rPr>
          <w:szCs w:val="20"/>
        </w:rPr>
        <w:t>Protocolo para modificar la Convención sobre la Esclavitud (1953);</w:t>
      </w:r>
    </w:p>
    <w:p w:rsidR="00000000" w:rsidRDefault="00000000">
      <w:pPr>
        <w:autoSpaceDE w:val="0"/>
        <w:autoSpaceDN w:val="0"/>
        <w:adjustRightInd w:val="0"/>
        <w:spacing w:after="240"/>
        <w:ind w:left="567"/>
        <w:rPr>
          <w:szCs w:val="20"/>
        </w:rPr>
      </w:pPr>
      <w:r>
        <w:rPr>
          <w:szCs w:val="20"/>
        </w:rPr>
        <w:t>Convención suplementaria sobre la abolición de la esclavitud, la trata de esclavos y las instituciones y prácticas análogas a la esclavitud (1956);</w:t>
      </w:r>
    </w:p>
    <w:p w:rsidR="00000000" w:rsidRDefault="00000000">
      <w:pPr>
        <w:autoSpaceDE w:val="0"/>
        <w:autoSpaceDN w:val="0"/>
        <w:adjustRightInd w:val="0"/>
        <w:spacing w:after="240"/>
        <w:ind w:left="567"/>
        <w:rPr>
          <w:szCs w:val="20"/>
        </w:rPr>
      </w:pPr>
      <w:r>
        <w:rPr>
          <w:szCs w:val="20"/>
        </w:rPr>
        <w:t>Protocolo para prevenir, reprimir y sancionar la trata de personas, especialmente mujeres y niños, que complementa la Convención de las Naciones Unidas contra la Delincuencia Organizada Trasnacional, de 2000;</w:t>
      </w:r>
    </w:p>
    <w:p w:rsidR="00000000" w:rsidRDefault="00000000">
      <w:pPr>
        <w:autoSpaceDE w:val="0"/>
        <w:autoSpaceDN w:val="0"/>
        <w:adjustRightInd w:val="0"/>
        <w:spacing w:after="240"/>
        <w:ind w:left="567"/>
        <w:rPr>
          <w:szCs w:val="20"/>
        </w:rPr>
      </w:pPr>
      <w:r>
        <w:rPr>
          <w:szCs w:val="20"/>
        </w:rPr>
        <w:t>Convenio de Ginebra relativo a la protección debida a las personas civiles en tiempo de guerra;</w:t>
      </w:r>
    </w:p>
    <w:p w:rsidR="00000000" w:rsidRDefault="00000000">
      <w:pPr>
        <w:autoSpaceDE w:val="0"/>
        <w:autoSpaceDN w:val="0"/>
        <w:adjustRightInd w:val="0"/>
        <w:spacing w:after="240"/>
        <w:ind w:left="567"/>
        <w:rPr>
          <w:szCs w:val="20"/>
        </w:rPr>
      </w:pPr>
      <w:r>
        <w:rPr>
          <w:szCs w:val="20"/>
        </w:rPr>
        <w:t>Protocolo adicional a los Convenios de Ginebra del 12 de agosto de 1949 relativo a la protección de las víctimas de los conflictos armados internacionales (Protocolo I);</w:t>
      </w:r>
    </w:p>
    <w:p w:rsidR="00000000" w:rsidRDefault="00000000">
      <w:pPr>
        <w:autoSpaceDE w:val="0"/>
        <w:autoSpaceDN w:val="0"/>
        <w:adjustRightInd w:val="0"/>
        <w:spacing w:after="240"/>
        <w:ind w:left="567"/>
        <w:rPr>
          <w:szCs w:val="20"/>
        </w:rPr>
      </w:pPr>
      <w:r>
        <w:rPr>
          <w:szCs w:val="20"/>
        </w:rPr>
        <w:t>Protocolo adicional a los Convenios de Ginebra del 12 de agosto de 1949 relativo a la protección de las víctimas de los conflictos armados sin carácter internacional (Protocolo II);</w:t>
      </w:r>
    </w:p>
    <w:p w:rsidR="00000000" w:rsidRDefault="00000000">
      <w:pPr>
        <w:autoSpaceDE w:val="0"/>
        <w:autoSpaceDN w:val="0"/>
        <w:adjustRightInd w:val="0"/>
        <w:spacing w:after="240"/>
        <w:ind w:left="567"/>
        <w:rPr>
          <w:szCs w:val="20"/>
        </w:rPr>
      </w:pPr>
      <w:r>
        <w:rPr>
          <w:szCs w:val="20"/>
        </w:rPr>
        <w:t>Convención sobre la Prohibición del Empleo, Almacenamiento, Producción y Transferencia de Minas Antipersonal y sobre su Destrucción;</w:t>
      </w:r>
    </w:p>
    <w:p w:rsidR="00000000" w:rsidRDefault="00000000">
      <w:pPr>
        <w:autoSpaceDE w:val="0"/>
        <w:autoSpaceDN w:val="0"/>
        <w:adjustRightInd w:val="0"/>
        <w:spacing w:after="240"/>
        <w:ind w:left="567"/>
        <w:rPr>
          <w:szCs w:val="20"/>
        </w:rPr>
      </w:pPr>
      <w:r>
        <w:rPr>
          <w:szCs w:val="20"/>
        </w:rPr>
        <w:t>Estatuto de la Corte Penal Internacional;</w:t>
      </w:r>
    </w:p>
    <w:p w:rsidR="00000000" w:rsidRDefault="00000000">
      <w:pPr>
        <w:autoSpaceDE w:val="0"/>
        <w:autoSpaceDN w:val="0"/>
        <w:adjustRightInd w:val="0"/>
        <w:spacing w:after="240"/>
        <w:ind w:left="567"/>
        <w:rPr>
          <w:szCs w:val="20"/>
        </w:rPr>
      </w:pPr>
      <w:r>
        <w:rPr>
          <w:szCs w:val="20"/>
        </w:rPr>
        <w:t xml:space="preserve">Convenio de La Haya sobre la Protección de los Niños y la Cooperación en materia de Adopción Internacional; </w:t>
      </w:r>
    </w:p>
    <w:p w:rsidR="00000000" w:rsidRDefault="00000000">
      <w:pPr>
        <w:autoSpaceDE w:val="0"/>
        <w:autoSpaceDN w:val="0"/>
        <w:adjustRightInd w:val="0"/>
        <w:spacing w:after="240"/>
        <w:ind w:left="567"/>
        <w:rPr>
          <w:szCs w:val="20"/>
        </w:rPr>
      </w:pPr>
      <w:r>
        <w:rPr>
          <w:szCs w:val="20"/>
        </w:rPr>
        <w:t>Convención de La Haya sobre los aspectos civiles del secuestro internacional de niños;</w:t>
      </w:r>
    </w:p>
    <w:p w:rsidR="00000000" w:rsidRDefault="00000000">
      <w:pPr>
        <w:autoSpaceDE w:val="0"/>
        <w:autoSpaceDN w:val="0"/>
        <w:adjustRightInd w:val="0"/>
        <w:spacing w:after="240"/>
        <w:ind w:left="567"/>
        <w:rPr>
          <w:bCs/>
        </w:rPr>
      </w:pPr>
      <w:r>
        <w:rPr>
          <w:szCs w:val="20"/>
        </w:rPr>
        <w:t>Convenio relativo a la competencia, la ley aplicable, el reconocimiento, la ejecución y la cooperación en materia de responsabilidad parental y de medidas de protección de los niños, de 1996.</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El Comité recuerda a los Estados Partes que, a los efectos de la Convención, por niño se entiende "todo ser humano menor de 18 años de edad, salvo que, en virtud de la ley que le sea aplicable, haya alcanzado antes la mayoría de edad" (art. 1).</w:t>
      </w:r>
    </w:p>
  </w:footnote>
  <w:footnote w:id="2">
    <w:p w:rsidR="00000000" w:rsidRDefault="00000000">
      <w:pPr>
        <w:pStyle w:val="FootnoteText"/>
        <w:spacing w:line="240" w:lineRule="auto"/>
      </w:pPr>
      <w:r>
        <w:rPr>
          <w:rStyle w:val="FootnoteReference"/>
        </w:rPr>
        <w:footnoteRef/>
      </w:r>
      <w:r>
        <w:t xml:space="preserve"> En 1999, el Comité de los Derechos del Niño celebró un seminario de dos días de duración para conmemorar el décimo aniversario de la adopción de la Convención sobre los Derechos del Niño por la Asamblea General de las Naciones Unidas.  El seminario se centró en las medidas generales de aplicación, después de lo cual el Comité aprobó unas conclusiones y recomendaciones detalladas (véase CRC/C/90, párr. 291).</w:t>
      </w:r>
    </w:p>
  </w:footnote>
  <w:footnote w:id="3">
    <w:p w:rsidR="00000000" w:rsidRDefault="00000000">
      <w:pPr>
        <w:pStyle w:val="FootnoteText"/>
        <w:spacing w:line="240" w:lineRule="auto"/>
      </w:pPr>
      <w:r>
        <w:rPr>
          <w:rStyle w:val="FootnoteReference"/>
        </w:rPr>
        <w:footnoteRef/>
      </w:r>
      <w:r>
        <w:t xml:space="preserve"> Orientaciones generales respecto de la forma y el contenido de los informes que han de presentar los Estados Partes con arreglo al apartado a) del párrafo 1 del artículo 44 de la Convención (CRC/C/5, 30 de octubre de 1991); Orientaciones generales respecto de la forma y el contenido de los informes que han de presentar los Estados Partes con arreglo al apartado b) del párrafo 1 del artículo 44 de la Convención (CRC/C/58, 20 de noviembre de 1996).</w:t>
      </w:r>
    </w:p>
  </w:footnote>
  <w:footnote w:id="4">
    <w:p w:rsidR="00000000" w:rsidRDefault="00000000">
      <w:pPr>
        <w:pStyle w:val="FootnoteText"/>
        <w:spacing w:line="240" w:lineRule="auto"/>
      </w:pPr>
      <w:r>
        <w:rPr>
          <w:rStyle w:val="FootnoteReference"/>
        </w:rPr>
        <w:footnoteRef/>
      </w:r>
      <w:r>
        <w:t xml:space="preserve"> Comité de Derechos Humanos, Observación general Nº 3 (13º período de sesiones, 1981), Aplicación del Pacto a nivel nacional (art. 2); Comité de Derechos Económicos, Sociales y Culturales, Observación general Nº 3 (quinto período de sesiones, 1990), La índole de las obligaciones de los Estados Partes (párrafo 1 del artículo 2); asimismo, Observación general Nº 9 (19º período de sesiones, 1998), La aplicación interna del Pacto, donde se desarrollan ciertos elementos de la Observación general Nº 3.  La Oficina del Alto Comisionado de las Naciones Unidas para los Derechos Humanos publica regularmente una recopilación de las observaciones generales y recomendaciones generales de los órganos creados en virtud de tratados (HRI/GEN/1/Rev.6).</w:t>
      </w:r>
    </w:p>
  </w:footnote>
  <w:footnote w:id="5">
    <w:p w:rsidR="00000000" w:rsidRDefault="00000000">
      <w:pPr>
        <w:pStyle w:val="FootnoteText"/>
        <w:spacing w:line="240" w:lineRule="auto"/>
      </w:pPr>
      <w:r>
        <w:rPr>
          <w:rStyle w:val="FootnoteReference"/>
        </w:rPr>
        <w:footnoteRef/>
      </w:r>
      <w:r>
        <w:t xml:space="preserve"> Observación general Nº 3, HRI/GEN/1/Rev.6, párr. 11, pág. 19.</w:t>
      </w:r>
    </w:p>
  </w:footnote>
  <w:footnote w:id="6">
    <w:p w:rsidR="00000000" w:rsidRDefault="00000000">
      <w:pPr>
        <w:pStyle w:val="FootnoteText"/>
        <w:spacing w:line="240" w:lineRule="auto"/>
      </w:pPr>
      <w:r>
        <w:rPr>
          <w:rStyle w:val="FootnoteReference"/>
        </w:rPr>
        <w:footnoteRef/>
      </w:r>
      <w:r>
        <w:t xml:space="preserve"> Comité de Derechos Humanos, Observación general Nº 18 (1989), HRI/GEN/1/Rev. 6, págs. 168 y ss.</w:t>
      </w:r>
    </w:p>
  </w:footnote>
  <w:footnote w:id="7">
    <w:p w:rsidR="00000000" w:rsidRDefault="00000000">
      <w:pPr>
        <w:pStyle w:val="FootnoteText"/>
        <w:spacing w:line="240" w:lineRule="auto"/>
      </w:pPr>
      <w:r>
        <w:rPr>
          <w:rStyle w:val="FootnoteReference"/>
        </w:rPr>
        <w:footnoteRef/>
      </w:r>
      <w:r>
        <w:t xml:space="preserve"> Orientaciones generales respecto de la forma y el contenido de los informes que han de presentar los Estados Partes con arreglo al apartado b) del párrafo 1 del artículo 44 de la Convención, CRC/C/58, 20 de noviembre de 1996, párr. 11.</w:t>
      </w:r>
    </w:p>
  </w:footnote>
  <w:footnote w:id="8">
    <w:p w:rsidR="00000000" w:rsidRDefault="00000000">
      <w:pPr>
        <w:pStyle w:val="FootnoteText"/>
        <w:spacing w:line="240" w:lineRule="auto"/>
      </w:pPr>
      <w:r>
        <w:rPr>
          <w:rStyle w:val="FootnoteReference"/>
        </w:rPr>
        <w:footnoteRef/>
      </w:r>
      <w:r>
        <w:t xml:space="preserve"> Conferencia Mundial de Derechos Humanos, Viena, 14 a 25 de junio de 1993, Declaración y Programa de Acción de Viena, A/CONF.157/23.</w:t>
      </w:r>
    </w:p>
  </w:footnote>
  <w:footnote w:id="9">
    <w:p w:rsidR="00000000" w:rsidRDefault="00000000">
      <w:pPr>
        <w:pStyle w:val="FootnoteText"/>
        <w:spacing w:line="240" w:lineRule="auto"/>
      </w:pPr>
      <w:r>
        <w:rPr>
          <w:rStyle w:val="FootnoteReference"/>
        </w:rPr>
        <w:footnoteRef/>
      </w:r>
      <w:r>
        <w:t xml:space="preserve"> Cumbre Mundial en favor de la Infancia, "Declaración Mundial sobre la Supervivencia, la Protección y el Desarrollo del Niño y Plan de Acción para la Aplicación de la Declaración Mundial sobre la Supervivencia, la Protección y el Desarrollo del Niño en el decenio de 1990", CF/WSC/1990/WS-001, Naciones Unidas, Nueva York, 30 de septiembre de 1990.</w:t>
      </w:r>
    </w:p>
  </w:footnote>
  <w:footnote w:id="10">
    <w:p w:rsidR="00000000" w:rsidRDefault="00000000">
      <w:pPr>
        <w:pStyle w:val="FootnoteText"/>
        <w:spacing w:line="240" w:lineRule="auto"/>
      </w:pPr>
      <w:r>
        <w:rPr>
          <w:rStyle w:val="FootnoteReference"/>
        </w:rPr>
        <w:footnoteRef/>
      </w:r>
      <w:r>
        <w:t xml:space="preserve"> Conferencia Mundial de Derechos Humanos, Viena, 14 a 25 de junio de 1993, "Declaración y Programa de Acción de Viena", A/CONF.157/23.</w:t>
      </w:r>
    </w:p>
  </w:footnote>
  <w:footnote w:id="11">
    <w:p w:rsidR="00000000" w:rsidRDefault="00000000">
      <w:pPr>
        <w:pStyle w:val="FootnoteText"/>
        <w:spacing w:line="240" w:lineRule="auto"/>
      </w:pPr>
      <w:r>
        <w:rPr>
          <w:rStyle w:val="FootnoteReference"/>
        </w:rPr>
        <w:footnoteRef/>
      </w:r>
      <w:r>
        <w:t xml:space="preserve"> </w:t>
      </w:r>
      <w:r>
        <w:rPr>
          <w:i/>
          <w:iCs/>
        </w:rPr>
        <w:t>Un mundo apropiado para los niños</w:t>
      </w:r>
      <w:r>
        <w:t>, documento final del período extraordinario de sesiones de la Asamblea General de las Naciones Unidas sobre la infancia, 2002, párr. 59.</w:t>
      </w:r>
    </w:p>
  </w:footnote>
  <w:footnote w:id="12">
    <w:p w:rsidR="00000000" w:rsidRDefault="00000000">
      <w:pPr>
        <w:pStyle w:val="FootnoteText"/>
        <w:spacing w:line="240" w:lineRule="auto"/>
      </w:pPr>
      <w:r>
        <w:rPr>
          <w:rStyle w:val="FootnoteReference"/>
        </w:rPr>
        <w:footnoteRef/>
      </w:r>
      <w:r>
        <w:t xml:space="preserve"> Ibíd., apartado a) del párrafo 61.</w:t>
      </w:r>
    </w:p>
  </w:footnote>
  <w:footnote w:id="13">
    <w:p w:rsidR="00000000" w:rsidRDefault="00000000">
      <w:pPr>
        <w:pStyle w:val="FootnoteText"/>
        <w:spacing w:line="240" w:lineRule="auto"/>
      </w:pPr>
      <w:r>
        <w:rPr>
          <w:rStyle w:val="FootnoteReference"/>
        </w:rPr>
        <w:footnoteRef/>
      </w:r>
      <w:r>
        <w:t xml:space="preserve"> Comité de los Derechos del Niño, informe sobre el 31º período de sesiones, septiembre a octubre de 2002, Día de debate general sobre "El sector privado como proveedor de servicios y su función en la realización de los derechos del niño", párrs. 630 a 653.</w:t>
      </w:r>
    </w:p>
  </w:footnote>
  <w:footnote w:id="14">
    <w:p w:rsidR="00000000" w:rsidRDefault="00000000">
      <w:pPr>
        <w:pStyle w:val="FootnoteText"/>
        <w:spacing w:line="240" w:lineRule="auto"/>
      </w:pPr>
      <w:r>
        <w:rPr>
          <w:rStyle w:val="FootnoteReference"/>
        </w:rPr>
        <w:footnoteRef/>
      </w:r>
      <w:r>
        <w:t xml:space="preserve"> Orientaciones generales respecto de la forma y el contenido de los informes que han de presentar los Estados Partes con arreglo al apartado b) del párrafo 1 del artículo 44 de la Convención, CRC/C/58, 20 de noviembre de 1996, párr. 20.</w:t>
      </w:r>
    </w:p>
  </w:footnote>
  <w:footnote w:id="15">
    <w:p w:rsidR="00000000" w:rsidRDefault="00000000">
      <w:pPr>
        <w:pStyle w:val="FootnoteText"/>
        <w:spacing w:line="240" w:lineRule="auto"/>
      </w:pPr>
      <w:r>
        <w:rPr>
          <w:rStyle w:val="FootnoteReference"/>
        </w:rPr>
        <w:footnoteRef/>
      </w:r>
      <w:r>
        <w:t xml:space="preserve"> Ibíd., párr. 3.</w:t>
      </w:r>
    </w:p>
  </w:footnote>
  <w:footnote w:id="16">
    <w:p w:rsidR="00000000" w:rsidRDefault="00000000">
      <w:pPr>
        <w:pStyle w:val="FootnoteText"/>
        <w:spacing w:line="240" w:lineRule="auto"/>
      </w:pPr>
      <w:r>
        <w:rPr>
          <w:rStyle w:val="FootnoteReference"/>
        </w:rPr>
        <w:footnoteRef/>
      </w:r>
      <w:r>
        <w:t xml:space="preserve"> Los siguientes artículos de la Convención hacen referencia explícita a la cooperación internacional:  el párrafo 2 del artículo 7, el párrafo 2 del artículo 11, el apartado b) del artículo 17; el apartado e) del artículo 21, el párrafo 2 del artículo 22, el párrafo 4 del artículo 23 y el párrafo 4 del artículo 24, el párrafo 4 del artículo 27, el párrafo 3 del artículo 28 y los artículos 34 y 35.</w:t>
      </w:r>
    </w:p>
  </w:footnote>
  <w:footnote w:id="17">
    <w:p w:rsidR="00000000" w:rsidRDefault="00000000">
      <w:pPr>
        <w:pStyle w:val="FootnoteText"/>
        <w:spacing w:line="240" w:lineRule="auto"/>
      </w:pPr>
      <w:r>
        <w:rPr>
          <w:rStyle w:val="FootnoteReference"/>
        </w:rPr>
        <w:footnoteRef/>
      </w:r>
      <w:r>
        <w:t xml:space="preserve"> Informe de la Conferencia Internacional sobre la Financiación para el Desarrollo, Monterrey (México), 18 a 22 de marzo de 2002 (A/CONF.198/11).</w:t>
      </w:r>
    </w:p>
  </w:footnote>
  <w:footnote w:id="18">
    <w:p w:rsidR="00000000" w:rsidRDefault="00000000">
      <w:pPr>
        <w:pStyle w:val="FootnoteText"/>
        <w:spacing w:line="240" w:lineRule="auto"/>
        <w:rPr>
          <w:lang w:val="es-ES_tradnl"/>
        </w:rPr>
      </w:pPr>
      <w:r>
        <w:rPr>
          <w:rStyle w:val="FootnoteReference"/>
        </w:rPr>
        <w:footnoteRef/>
      </w:r>
      <w:r>
        <w:rPr>
          <w:lang w:val="es-ES_tradnl"/>
        </w:rPr>
        <w:t xml:space="preserve"> HRI/GEN/1/Rev.6, párr.25, pág. 295.</w:t>
      </w:r>
    </w:p>
  </w:footnote>
  <w:footnote w:id="19">
    <w:p w:rsidR="00000000" w:rsidRDefault="00000000">
      <w:pPr>
        <w:pStyle w:val="FootnoteText"/>
        <w:spacing w:line="240" w:lineRule="auto"/>
      </w:pPr>
      <w:r>
        <w:rPr>
          <w:rStyle w:val="FootnoteReference"/>
        </w:rPr>
        <w:footnoteRef/>
      </w:r>
      <w:r>
        <w:t xml:space="preserve"> Ibíd., párr. 15, pág. 286.</w:t>
      </w:r>
    </w:p>
  </w:footnote>
  <w:footnote w:id="20">
    <w:p w:rsidR="00000000" w:rsidRDefault="00000000">
      <w:pPr>
        <w:pStyle w:val="FootnoteText"/>
        <w:spacing w:line="240" w:lineRule="auto"/>
      </w:pPr>
      <w:r>
        <w:rPr>
          <w:rStyle w:val="FootnoteReference"/>
        </w:rPr>
        <w:footnoteRef/>
      </w:r>
      <w:r>
        <w:t xml:space="preserve"> Véase el documento CRC/C/90, párr. 291 k).</w:t>
      </w:r>
    </w:p>
  </w:footnote>
  <w:footnote w:id="21">
    <w:p w:rsidR="00000000" w:rsidRDefault="00000000">
      <w:pPr>
        <w:pStyle w:val="FootnoteText"/>
        <w:spacing w:line="240" w:lineRule="auto"/>
      </w:pPr>
      <w:r>
        <w:rPr>
          <w:rStyle w:val="FootnoteReference"/>
        </w:rPr>
        <w:footnoteRef/>
      </w:r>
      <w:r>
        <w:t xml:space="preserve"> Ibíd., párr. 291 l).</w:t>
      </w:r>
    </w:p>
  </w:footnote>
  <w:footnote w:id="22">
    <w:p w:rsidR="00000000" w:rsidRDefault="00000000">
      <w:pPr>
        <w:pStyle w:val="FootnoteText"/>
        <w:spacing w:line="240" w:lineRule="auto"/>
      </w:pPr>
      <w:r>
        <w:rPr>
          <w:rStyle w:val="FootnoteReference"/>
        </w:rPr>
        <w:footnoteRef/>
      </w:r>
      <w:r>
        <w:t xml:space="preserve"> En 1996 el Comité celebró un día de debate general sobre “El niño y los medios de comunicación”, en el que aprobó unas recomendaciones detalladas (véase CRC/C/57, párrs. 242 y ss.).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CRC/GC/2003/5</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CRC/GC/2003/5</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23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360" w:lineRule="auto"/>
      <w:outlineLvl w:val="0"/>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autoSpaceDE w:val="0"/>
      <w:autoSpaceDN w:val="0"/>
      <w:adjustRightInd w:val="0"/>
      <w:jc w:val="center"/>
    </w:pPr>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23</Pages>
  <Words>10115</Words>
  <Characters>57661</Characters>
  <Application>Microsoft Office Word</Application>
  <DocSecurity>4</DocSecurity>
  <Lines>480</Lines>
  <Paragraphs>115</Paragraphs>
  <ScaleCrop>false</ScaleCrop>
  <HeadingPairs>
    <vt:vector size="2" baseType="variant">
      <vt:variant>
        <vt:lpstr>Título</vt:lpstr>
      </vt:variant>
      <vt:variant>
        <vt:i4>1</vt:i4>
      </vt:variant>
    </vt:vector>
  </HeadingPairs>
  <TitlesOfParts>
    <vt:vector size="1" baseType="lpstr">
      <vt:lpstr>CRC/GC/2003/5 - 03-45517</vt:lpstr>
    </vt:vector>
  </TitlesOfParts>
  <Company>ONU</Company>
  <LinksUpToDate>false</LinksUpToDate>
  <CharactersWithSpaces>70811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CRC/GC/2003/5 - 03-45517</dc:title>
  <dc:subject/>
  <dc:creator>RSM</dc:creator>
  <cp:keywords/>
  <dc:description/>
  <cp:lastModifiedBy>PDF</cp:lastModifiedBy>
  <cp:revision>2</cp:revision>
  <cp:lastPrinted>2003-12-22T09:30:00Z</cp:lastPrinted>
  <dcterms:created xsi:type="dcterms:W3CDTF">2003-12-22T09:43:00Z</dcterms:created>
  <dcterms:modified xsi:type="dcterms:W3CDTF">2003-12-22T09:43:00Z</dcterms:modified>
</cp:coreProperties>
</file>