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01EC273" w14:textId="77777777" w:rsidTr="007951FE">
        <w:trPr>
          <w:trHeight w:hRule="exact" w:val="851"/>
        </w:trPr>
        <w:tc>
          <w:tcPr>
            <w:tcW w:w="1280" w:type="dxa"/>
            <w:tcBorders>
              <w:bottom w:val="single" w:sz="4" w:space="0" w:color="auto"/>
            </w:tcBorders>
          </w:tcPr>
          <w:p w14:paraId="22DD97A6" w14:textId="77777777" w:rsidR="002D5AAC" w:rsidRDefault="002D5AAC" w:rsidP="00B97CD3">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2A0F85B6"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08958C1" w14:textId="2E571357" w:rsidR="002D5AAC" w:rsidRDefault="00B97CD3" w:rsidP="00B97CD3">
            <w:pPr>
              <w:jc w:val="right"/>
            </w:pPr>
            <w:r w:rsidRPr="00B97CD3">
              <w:rPr>
                <w:sz w:val="40"/>
              </w:rPr>
              <w:t>CRC</w:t>
            </w:r>
            <w:r>
              <w:t>/C/MLI/3-5</w:t>
            </w:r>
          </w:p>
        </w:tc>
      </w:tr>
      <w:tr w:rsidR="002D5AAC" w14:paraId="5E0D090A" w14:textId="77777777" w:rsidTr="007951FE">
        <w:trPr>
          <w:trHeight w:hRule="exact" w:val="2835"/>
        </w:trPr>
        <w:tc>
          <w:tcPr>
            <w:tcW w:w="1280" w:type="dxa"/>
            <w:tcBorders>
              <w:top w:val="single" w:sz="4" w:space="0" w:color="auto"/>
              <w:bottom w:val="single" w:sz="12" w:space="0" w:color="auto"/>
            </w:tcBorders>
          </w:tcPr>
          <w:p w14:paraId="5716838D" w14:textId="77777777" w:rsidR="002D5AAC" w:rsidRDefault="007D431B" w:rsidP="007F3812">
            <w:pPr>
              <w:spacing w:before="120"/>
              <w:jc w:val="center"/>
            </w:pPr>
            <w:r>
              <w:rPr>
                <w:noProof/>
              </w:rPr>
              <w:drawing>
                <wp:inline distT="0" distB="0" distL="0" distR="0" wp14:anchorId="41CADE57" wp14:editId="1EC095C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5C1A6E5"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0A248BB" w14:textId="77777777" w:rsidR="002D5AAC" w:rsidRDefault="00B97CD3" w:rsidP="007F3812">
            <w:pPr>
              <w:spacing w:before="240"/>
            </w:pPr>
            <w:proofErr w:type="spellStart"/>
            <w:r>
              <w:t>Distr</w:t>
            </w:r>
            <w:proofErr w:type="spellEnd"/>
            <w:r>
              <w:t>. general</w:t>
            </w:r>
          </w:p>
          <w:p w14:paraId="348C27F9" w14:textId="391E8F6D" w:rsidR="00B97CD3" w:rsidRDefault="007951FE" w:rsidP="00B97CD3">
            <w:pPr>
              <w:spacing w:line="240" w:lineRule="exact"/>
            </w:pPr>
            <w:r>
              <w:t xml:space="preserve">12 </w:t>
            </w:r>
            <w:r w:rsidR="00B97CD3">
              <w:t xml:space="preserve">de </w:t>
            </w:r>
            <w:r>
              <w:t xml:space="preserve">junio </w:t>
            </w:r>
            <w:r w:rsidR="00B97CD3">
              <w:t>de 2023</w:t>
            </w:r>
          </w:p>
          <w:p w14:paraId="0FE6E9B4" w14:textId="77777777" w:rsidR="00B97CD3" w:rsidRDefault="00B97CD3" w:rsidP="00B97CD3">
            <w:pPr>
              <w:spacing w:line="240" w:lineRule="exact"/>
            </w:pPr>
            <w:r>
              <w:t>Español</w:t>
            </w:r>
          </w:p>
          <w:p w14:paraId="6361D0D1" w14:textId="77777777" w:rsidR="00B97CD3" w:rsidRDefault="00B97CD3" w:rsidP="00B97CD3">
            <w:pPr>
              <w:spacing w:line="240" w:lineRule="exact"/>
            </w:pPr>
            <w:r>
              <w:t xml:space="preserve">Original: </w:t>
            </w:r>
            <w:r w:rsidR="007951FE">
              <w:t>francés</w:t>
            </w:r>
          </w:p>
          <w:p w14:paraId="412C5D88" w14:textId="3AD7AF19" w:rsidR="007951FE" w:rsidRDefault="007951FE" w:rsidP="00B97CD3">
            <w:pPr>
              <w:spacing w:line="240" w:lineRule="exact"/>
            </w:pPr>
            <w:r>
              <w:t>Español, francés e inglés únicamente</w:t>
            </w:r>
          </w:p>
        </w:tc>
      </w:tr>
    </w:tbl>
    <w:p w14:paraId="6E83D642" w14:textId="77777777" w:rsidR="007951FE" w:rsidRPr="004A38BB" w:rsidRDefault="007951FE" w:rsidP="004A38BB">
      <w:pPr>
        <w:spacing w:before="120"/>
        <w:rPr>
          <w:b/>
          <w:bCs/>
          <w:sz w:val="24"/>
          <w:szCs w:val="24"/>
        </w:rPr>
      </w:pPr>
      <w:r w:rsidRPr="004A38BB">
        <w:rPr>
          <w:b/>
          <w:bCs/>
          <w:sz w:val="24"/>
          <w:szCs w:val="24"/>
        </w:rPr>
        <w:t>Comité de los Derechos del Niño</w:t>
      </w:r>
    </w:p>
    <w:p w14:paraId="52BF88C7" w14:textId="49D8DEBF" w:rsidR="007951FE" w:rsidRPr="007951FE" w:rsidRDefault="004A38BB" w:rsidP="004A38BB">
      <w:pPr>
        <w:pStyle w:val="HMG"/>
      </w:pPr>
      <w:r>
        <w:tab/>
      </w:r>
      <w:r w:rsidR="007951FE" w:rsidRPr="007951FE">
        <w:tab/>
        <w:t>Informes periódicos tercero a quinto combinados que Malí debía presentar en 2012 en virtud del artículo 44 de la Convención</w:t>
      </w:r>
      <w:r w:rsidR="007951FE" w:rsidRPr="004A38BB">
        <w:rPr>
          <w:b w:val="0"/>
          <w:bCs/>
          <w:sz w:val="20"/>
          <w:szCs w:val="10"/>
        </w:rPr>
        <w:footnoteReference w:customMarkFollows="1" w:id="1"/>
        <w:t>*</w:t>
      </w:r>
    </w:p>
    <w:p w14:paraId="18EF1C3A" w14:textId="77777777" w:rsidR="007951FE" w:rsidRPr="007951FE" w:rsidRDefault="007951FE" w:rsidP="004A38BB">
      <w:pPr>
        <w:pStyle w:val="SingleTxtG"/>
        <w:jc w:val="right"/>
      </w:pPr>
      <w:r w:rsidRPr="007951FE">
        <w:t>[Fecha de recepción: 18 de junio de 2020]</w:t>
      </w:r>
    </w:p>
    <w:p w14:paraId="281AA00F" w14:textId="77777777" w:rsidR="007951FE" w:rsidRPr="007951FE" w:rsidRDefault="007951FE" w:rsidP="007951FE">
      <w:pPr>
        <w:pStyle w:val="SingleTxtG"/>
      </w:pPr>
      <w:r w:rsidRPr="007951FE">
        <w:br w:type="page"/>
      </w:r>
    </w:p>
    <w:p w14:paraId="2676454F" w14:textId="2588B84A" w:rsidR="004A38BB" w:rsidRDefault="004A38BB" w:rsidP="004A38BB">
      <w:pPr>
        <w:pStyle w:val="SingleTxtG"/>
        <w:ind w:left="0" w:right="0"/>
        <w:jc w:val="left"/>
        <w:rPr>
          <w:sz w:val="28"/>
        </w:rPr>
      </w:pPr>
      <w:r>
        <w:rPr>
          <w:sz w:val="28"/>
        </w:rPr>
        <w:lastRenderedPageBreak/>
        <w:t>Índice</w:t>
      </w:r>
    </w:p>
    <w:p w14:paraId="0912C38E" w14:textId="79D130AB" w:rsidR="004A38BB" w:rsidRDefault="004A38BB" w:rsidP="004A38BB">
      <w:pPr>
        <w:pStyle w:val="SingleTxtG"/>
        <w:tabs>
          <w:tab w:val="clear" w:pos="1701"/>
          <w:tab w:val="clear" w:pos="2268"/>
          <w:tab w:val="clear" w:pos="2835"/>
          <w:tab w:val="right" w:pos="9638"/>
        </w:tabs>
        <w:ind w:left="283" w:right="0"/>
        <w:jc w:val="left"/>
        <w:rPr>
          <w:sz w:val="18"/>
        </w:rPr>
      </w:pPr>
      <w:r>
        <w:rPr>
          <w:i/>
          <w:sz w:val="18"/>
        </w:rPr>
        <w:tab/>
        <w:t>Página</w:t>
      </w:r>
    </w:p>
    <w:p w14:paraId="57C213EA" w14:textId="3D2C94FF" w:rsidR="00E556CA" w:rsidRPr="00E556CA" w:rsidRDefault="00E556CA" w:rsidP="00E556C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Introducción</w:t>
      </w:r>
      <w:r>
        <w:tab/>
      </w:r>
      <w:r>
        <w:tab/>
      </w:r>
      <w:r w:rsidR="00F626DE">
        <w:t>3</w:t>
      </w:r>
    </w:p>
    <w:p w14:paraId="20935075" w14:textId="725CE170" w:rsidR="00E556CA" w:rsidRDefault="00E556CA" w:rsidP="00E556C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Parte I. Aplicación de la Convención sobre los Derechos del Niño</w:t>
      </w:r>
      <w:r>
        <w:tab/>
      </w:r>
      <w:r>
        <w:tab/>
      </w:r>
      <w:r w:rsidR="00F626DE">
        <w:t>3</w:t>
      </w:r>
    </w:p>
    <w:p w14:paraId="35557595" w14:textId="7041679E" w:rsidR="00E556CA" w:rsidRDefault="00E556CA" w:rsidP="00E556C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E556CA">
        <w:tab/>
        <w:t>I.</w:t>
      </w:r>
      <w:r>
        <w:tab/>
        <w:t>Medidas generales de aplicación</w:t>
      </w:r>
      <w:r>
        <w:tab/>
      </w:r>
      <w:r>
        <w:tab/>
      </w:r>
      <w:r w:rsidR="00F626DE">
        <w:t>4</w:t>
      </w:r>
    </w:p>
    <w:p w14:paraId="6DCE9E27" w14:textId="183101D3" w:rsidR="00E556CA" w:rsidRDefault="00E556CA" w:rsidP="00E556C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E556CA">
        <w:tab/>
        <w:t>II.</w:t>
      </w:r>
      <w:r>
        <w:tab/>
        <w:t>Definición de niño</w:t>
      </w:r>
      <w:r>
        <w:tab/>
      </w:r>
      <w:r>
        <w:tab/>
      </w:r>
      <w:r w:rsidR="00F626DE">
        <w:t>9</w:t>
      </w:r>
    </w:p>
    <w:p w14:paraId="2017DDEA" w14:textId="7CD5B0E5" w:rsidR="00E556CA" w:rsidRDefault="00E556CA" w:rsidP="00E556C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E556CA">
        <w:tab/>
        <w:t>III.</w:t>
      </w:r>
      <w:r>
        <w:tab/>
        <w:t>Principios generales</w:t>
      </w:r>
      <w:r>
        <w:tab/>
      </w:r>
      <w:r>
        <w:tab/>
      </w:r>
      <w:r w:rsidR="00F626DE">
        <w:t>10</w:t>
      </w:r>
    </w:p>
    <w:p w14:paraId="66329184" w14:textId="15DBEA88" w:rsidR="00E556CA" w:rsidRDefault="00E556CA" w:rsidP="00E556C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IV.</w:t>
      </w:r>
      <w:r>
        <w:tab/>
        <w:t>Derechos y libertades civiles</w:t>
      </w:r>
      <w:r>
        <w:tab/>
      </w:r>
      <w:r>
        <w:tab/>
      </w:r>
      <w:r w:rsidR="00F626DE">
        <w:t>11</w:t>
      </w:r>
    </w:p>
    <w:p w14:paraId="12F67795" w14:textId="7AA60D20" w:rsidR="00E556CA" w:rsidRDefault="00E556CA" w:rsidP="00E556C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V.</w:t>
      </w:r>
      <w:r>
        <w:tab/>
        <w:t>Entorno familiar y modalidades alternativas de cuidado</w:t>
      </w:r>
      <w:r>
        <w:tab/>
      </w:r>
      <w:r>
        <w:tab/>
      </w:r>
      <w:r w:rsidR="00F626DE">
        <w:t>15</w:t>
      </w:r>
    </w:p>
    <w:p w14:paraId="1E361E65" w14:textId="2896CF2E" w:rsidR="00E556CA" w:rsidRDefault="00E556CA" w:rsidP="00E556C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VI.</w:t>
      </w:r>
      <w:r>
        <w:tab/>
        <w:t>Salud básica y bienestar</w:t>
      </w:r>
      <w:r>
        <w:tab/>
      </w:r>
      <w:r>
        <w:tab/>
      </w:r>
      <w:r w:rsidR="00F626DE">
        <w:t>17</w:t>
      </w:r>
    </w:p>
    <w:p w14:paraId="68B04463" w14:textId="03143E8C" w:rsidR="00E556CA" w:rsidRPr="00E556CA" w:rsidRDefault="00E556CA" w:rsidP="00E556C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E556CA">
        <w:tab/>
        <w:t>VII.</w:t>
      </w:r>
      <w:r w:rsidRPr="00E556CA">
        <w:tab/>
        <w:t>Educación, esparcimiento y actividades culturales</w:t>
      </w:r>
      <w:r>
        <w:tab/>
      </w:r>
      <w:r>
        <w:tab/>
      </w:r>
      <w:r w:rsidR="00F626DE">
        <w:t>26</w:t>
      </w:r>
    </w:p>
    <w:p w14:paraId="21A24121" w14:textId="1766DB4E" w:rsidR="00E556CA" w:rsidRPr="00E556CA" w:rsidRDefault="00E556CA" w:rsidP="00E556C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E556CA">
        <w:tab/>
        <w:t>VIII.</w:t>
      </w:r>
      <w:r w:rsidRPr="00E556CA">
        <w:tab/>
        <w:t>Medidas especiales de protección</w:t>
      </w:r>
      <w:r>
        <w:tab/>
      </w:r>
      <w:r>
        <w:tab/>
      </w:r>
      <w:r w:rsidR="00F626DE">
        <w:t>31</w:t>
      </w:r>
    </w:p>
    <w:p w14:paraId="20459E1F" w14:textId="4619A803" w:rsidR="00E556CA" w:rsidRDefault="00E556CA" w:rsidP="00E556C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Parte II. Seguimiento de las observaciones finales del Comité de los Derechos del Niño</w:t>
      </w:r>
      <w:r>
        <w:tab/>
      </w:r>
      <w:r>
        <w:tab/>
      </w:r>
      <w:r w:rsidR="00F626DE">
        <w:t>38</w:t>
      </w:r>
    </w:p>
    <w:p w14:paraId="42DB2C3C" w14:textId="395D9872" w:rsidR="00E556CA" w:rsidRDefault="00E556CA" w:rsidP="00E556C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Conclusión</w:t>
      </w:r>
      <w:r>
        <w:tab/>
      </w:r>
      <w:r>
        <w:tab/>
      </w:r>
      <w:r w:rsidR="00F626DE">
        <w:t>46</w:t>
      </w:r>
    </w:p>
    <w:p w14:paraId="29FE702B" w14:textId="77777777" w:rsidR="004A38BB" w:rsidRPr="004A38BB" w:rsidRDefault="004A38BB" w:rsidP="004A38B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p>
    <w:p w14:paraId="3A660FF9" w14:textId="77777777" w:rsidR="007951FE" w:rsidRPr="007951FE" w:rsidRDefault="007951FE" w:rsidP="007951FE">
      <w:pPr>
        <w:pStyle w:val="SingleTxtG"/>
        <w:rPr>
          <w:lang w:val="fr-CH"/>
        </w:rPr>
      </w:pPr>
      <w:r w:rsidRPr="007951FE">
        <w:rPr>
          <w:lang w:val="fr-CH"/>
        </w:rPr>
        <w:br w:type="page"/>
      </w:r>
    </w:p>
    <w:p w14:paraId="52A85F72" w14:textId="6DC493BD" w:rsidR="007951FE" w:rsidRPr="007951FE" w:rsidRDefault="00401826" w:rsidP="00401826">
      <w:pPr>
        <w:pStyle w:val="HChG"/>
        <w:rPr>
          <w:lang w:val="fr-CH"/>
        </w:rPr>
      </w:pPr>
      <w:r>
        <w:lastRenderedPageBreak/>
        <w:tab/>
      </w:r>
      <w:r w:rsidR="007951FE" w:rsidRPr="007951FE">
        <w:tab/>
        <w:t>Introducción</w:t>
      </w:r>
    </w:p>
    <w:p w14:paraId="2062709B" w14:textId="77777777" w:rsidR="007951FE" w:rsidRPr="007951FE" w:rsidRDefault="007951FE" w:rsidP="007951FE">
      <w:pPr>
        <w:pStyle w:val="SingleTxtG"/>
      </w:pPr>
      <w:r w:rsidRPr="007951FE">
        <w:t>1.</w:t>
      </w:r>
      <w:r w:rsidRPr="007951FE">
        <w:tab/>
        <w:t>Con la ratificación de la Convención sobre los Derechos del Niño el 20 de septiembre de 1990, Malí demostró su voluntad de convertir la promoción de la infancia en una de las prioridades para el desarrollo del país. Esta apuesta se vio confirmada en 1992 con la aprobación del Plan de Acción para la Supervivencia, el Desarrollo y la Protección de la Infancia y la ratificación del Protocolo Facultativo de la Convención sobre los Derechos del Niño relativo a la venta de niños, la prostitución infantil y la utilización de niños en la pornografía y del Protocolo Facultativo relativo a la participación de niños en los conflictos armados. También se ha mejorado la legislación nacional aprobando nuevas leyes, como la Ley de la Edad de Imputabilidad Penal y de Creación de Tribunales de Menores, que recoge las directrices que rigen la administración de la justicia juvenil. A nivel institucional, se han adoptado medidas destinadas a aprobar políticas y programas y crear o reforzar estructuras públicas relacionadas con la promoción y protección de la infancia.</w:t>
      </w:r>
    </w:p>
    <w:p w14:paraId="7B86BC21" w14:textId="31C335EF" w:rsidR="007951FE" w:rsidRPr="007951FE" w:rsidRDefault="007951FE" w:rsidP="007951FE">
      <w:pPr>
        <w:pStyle w:val="SingleTxtG"/>
      </w:pPr>
      <w:r w:rsidRPr="007951FE">
        <w:t>2.</w:t>
      </w:r>
      <w:r w:rsidRPr="007951FE">
        <w:tab/>
        <w:t>Malí presentó su segundo informe al Comité de los Derechos del Niño en virtud del artículo 44 de la Convención sobre los Derechos del Niño</w:t>
      </w:r>
      <w:r w:rsidRPr="007951FE">
        <w:rPr>
          <w:sz w:val="18"/>
          <w:szCs w:val="18"/>
          <w:vertAlign w:val="superscript"/>
        </w:rPr>
        <w:footnoteReference w:id="2"/>
      </w:r>
      <w:r w:rsidRPr="007951FE">
        <w:t xml:space="preserve">. El Comité examinó el informe en sus sesiones 1206ª y 1207ª (véanse </w:t>
      </w:r>
      <w:hyperlink r:id="rId9" w:history="1">
        <w:r w:rsidR="00DA35AF">
          <w:rPr>
            <w:rStyle w:val="Hipervnculo"/>
          </w:rPr>
          <w:t>CRC/C/</w:t>
        </w:r>
        <w:proofErr w:type="spellStart"/>
        <w:r w:rsidR="00DA35AF">
          <w:rPr>
            <w:rStyle w:val="Hipervnculo"/>
          </w:rPr>
          <w:t>SR.1206</w:t>
        </w:r>
        <w:proofErr w:type="spellEnd"/>
      </w:hyperlink>
      <w:r w:rsidRPr="007951FE">
        <w:t xml:space="preserve"> y </w:t>
      </w:r>
      <w:hyperlink r:id="rId10" w:history="1">
        <w:r w:rsidR="00DA35AF">
          <w:rPr>
            <w:rStyle w:val="Hipervnculo"/>
          </w:rPr>
          <w:t>CRC/C/</w:t>
        </w:r>
        <w:proofErr w:type="spellStart"/>
        <w:r w:rsidR="00DA35AF">
          <w:rPr>
            <w:rStyle w:val="Hipervnculo"/>
          </w:rPr>
          <w:t>SR.1207</w:t>
        </w:r>
        <w:proofErr w:type="spellEnd"/>
      </w:hyperlink>
      <w:r w:rsidRPr="007951FE">
        <w:t>), celebradas el</w:t>
      </w:r>
      <w:r w:rsidR="006F1EF0">
        <w:t> </w:t>
      </w:r>
      <w:r w:rsidRPr="007951FE">
        <w:t>18</w:t>
      </w:r>
      <w:r w:rsidR="006F1EF0">
        <w:t> </w:t>
      </w:r>
      <w:r w:rsidRPr="007951FE">
        <w:t>de enero de 2007. Tras este examen, aprobó en su 1228ª sesión, que tuvo lugar el 2 de febrero de 2007, las observaciones finales, en las que expresó una serie de motivos de preocupación y recomendaciones. En respuesta a estas observaciones, el Gobierno de Malí, por medio del Ministerio de Promoción de la Mujer, el Niño y la Familia, elaboró un plan de acción en abril de 2008.</w:t>
      </w:r>
    </w:p>
    <w:p w14:paraId="7AEC2550" w14:textId="179A7D9A" w:rsidR="007951FE" w:rsidRPr="007951FE" w:rsidRDefault="007951FE" w:rsidP="00F374AD">
      <w:pPr>
        <w:pStyle w:val="SingleTxtG"/>
      </w:pPr>
      <w:r w:rsidRPr="007951FE">
        <w:t>3.</w:t>
      </w:r>
      <w:r w:rsidRPr="007951FE">
        <w:tab/>
        <w:t xml:space="preserve">Una de las recomendaciones del Comité de los Derechos del Niño hace referencia a los próximos informes que Malí debe presentar: </w:t>
      </w:r>
      <w:r w:rsidR="00F374AD">
        <w:t>“</w:t>
      </w:r>
      <w:r w:rsidRPr="007951FE">
        <w:t>El Comité invita al Estado parte [Malí] a que presente un informe consolidado, que combine los informes periódicos tercero, cuarto y quinto, a más tardar el 19 de octubre de 2012, fecha en que debe presentarse el quinto informe</w:t>
      </w:r>
      <w:r w:rsidR="00F374AD">
        <w:t>”</w:t>
      </w:r>
      <w:r w:rsidRPr="007951FE">
        <w:t>. Sin embargo, los sucesos ocurridos en Malí a partir de marzo de 2012 provocaron disfunciones en la maquinaria administrativa y la suspensión de los acuerdos de cooperación, por lo que no era el momento adecuado para abordar una actividad de este tipo.</w:t>
      </w:r>
    </w:p>
    <w:p w14:paraId="50605A7C" w14:textId="77777777" w:rsidR="007951FE" w:rsidRPr="007951FE" w:rsidRDefault="007951FE" w:rsidP="007951FE">
      <w:pPr>
        <w:pStyle w:val="SingleTxtG"/>
      </w:pPr>
      <w:r w:rsidRPr="007951FE">
        <w:t>4.</w:t>
      </w:r>
      <w:r w:rsidRPr="007951FE">
        <w:tab/>
        <w:t>Con la normalización de la situación en el país, el Gobierno procedió a la elaboración del documento en el que se recogen los informes tercero, cuarto y quinto combinados de Malí relativos a la aplicación de la Convención de las Naciones Unidas sobre los Derechos del Niño.</w:t>
      </w:r>
    </w:p>
    <w:p w14:paraId="1B7C1A98" w14:textId="77777777" w:rsidR="007951FE" w:rsidRPr="007951FE" w:rsidRDefault="007951FE" w:rsidP="007951FE">
      <w:pPr>
        <w:pStyle w:val="SingleTxtG"/>
      </w:pPr>
      <w:r w:rsidRPr="007951FE">
        <w:t>5.</w:t>
      </w:r>
      <w:r w:rsidRPr="007951FE">
        <w:tab/>
        <w:t>Este documento consta de dos partes:</w:t>
      </w:r>
    </w:p>
    <w:p w14:paraId="03150101" w14:textId="3642E058" w:rsidR="007951FE" w:rsidRPr="007951FE" w:rsidRDefault="007951FE" w:rsidP="00401826">
      <w:pPr>
        <w:pStyle w:val="Bullet1G"/>
      </w:pPr>
      <w:r w:rsidRPr="007951FE">
        <w:t>Aplicación de la Convención sobre los Derechos del Niño.</w:t>
      </w:r>
    </w:p>
    <w:p w14:paraId="57D4374A" w14:textId="68B9B450" w:rsidR="007951FE" w:rsidRPr="007951FE" w:rsidRDefault="007951FE" w:rsidP="00401826">
      <w:pPr>
        <w:pStyle w:val="Bullet1G"/>
      </w:pPr>
      <w:r w:rsidRPr="007951FE">
        <w:t>Seguimiento de las observaciones finales del Comité de los Derechos del Niño.</w:t>
      </w:r>
    </w:p>
    <w:p w14:paraId="0359E702" w14:textId="5EAF9397" w:rsidR="007951FE" w:rsidRPr="007951FE" w:rsidRDefault="00401826" w:rsidP="00401826">
      <w:pPr>
        <w:pStyle w:val="HChG"/>
      </w:pPr>
      <w:r>
        <w:tab/>
      </w:r>
      <w:r w:rsidR="007951FE" w:rsidRPr="007951FE">
        <w:tab/>
        <w:t>Parte I</w:t>
      </w:r>
      <w:r>
        <w:br/>
      </w:r>
      <w:r w:rsidR="007951FE" w:rsidRPr="007951FE">
        <w:t>Aplicación de la Convención sobre los Derechos del Niño</w:t>
      </w:r>
    </w:p>
    <w:p w14:paraId="2AFFE908" w14:textId="3DE747B3" w:rsidR="007951FE" w:rsidRPr="007951FE" w:rsidRDefault="007951FE" w:rsidP="007951FE">
      <w:pPr>
        <w:pStyle w:val="SingleTxtG"/>
      </w:pPr>
      <w:r w:rsidRPr="007951FE">
        <w:t>6.</w:t>
      </w:r>
      <w:r w:rsidRPr="007951FE">
        <w:tab/>
        <w:t>En cumplimiento de las orientaciones que el Comité de los Derechos del Niño aprobó en su 39</w:t>
      </w:r>
      <w:r w:rsidR="00F374AD">
        <w:t>º</w:t>
      </w:r>
      <w:r w:rsidRPr="007951FE">
        <w:t xml:space="preserve"> período de sesiones, celebrado el 3 de junio de 2005, este apartado abarcará los siguientes ámbitos:</w:t>
      </w:r>
    </w:p>
    <w:p w14:paraId="369B9F50" w14:textId="10BDF6FA" w:rsidR="007951FE" w:rsidRPr="007951FE" w:rsidRDefault="00401826" w:rsidP="007951FE">
      <w:pPr>
        <w:pStyle w:val="SingleTxtG"/>
      </w:pPr>
      <w:r>
        <w:tab/>
      </w:r>
      <w:r w:rsidR="007951FE" w:rsidRPr="007951FE">
        <w:t>a)</w:t>
      </w:r>
      <w:r w:rsidR="007951FE" w:rsidRPr="007951FE">
        <w:tab/>
        <w:t>Medidas generales de aplicación;</w:t>
      </w:r>
    </w:p>
    <w:p w14:paraId="0B3B9DE0" w14:textId="62B8969B" w:rsidR="007951FE" w:rsidRPr="007951FE" w:rsidRDefault="00401826" w:rsidP="007951FE">
      <w:pPr>
        <w:pStyle w:val="SingleTxtG"/>
      </w:pPr>
      <w:r>
        <w:tab/>
      </w:r>
      <w:r w:rsidR="007951FE" w:rsidRPr="007951FE">
        <w:t>b)</w:t>
      </w:r>
      <w:r w:rsidR="007951FE" w:rsidRPr="007951FE">
        <w:tab/>
        <w:t>Definición de niño;</w:t>
      </w:r>
    </w:p>
    <w:p w14:paraId="09245DBD" w14:textId="5E76A494" w:rsidR="007951FE" w:rsidRPr="007951FE" w:rsidRDefault="00401826" w:rsidP="007951FE">
      <w:pPr>
        <w:pStyle w:val="SingleTxtG"/>
      </w:pPr>
      <w:r>
        <w:tab/>
      </w:r>
      <w:r w:rsidR="007951FE" w:rsidRPr="007951FE">
        <w:t>c)</w:t>
      </w:r>
      <w:r w:rsidR="007951FE" w:rsidRPr="007951FE">
        <w:tab/>
        <w:t>Principios generales;</w:t>
      </w:r>
    </w:p>
    <w:p w14:paraId="532CDA73" w14:textId="0894ADAB" w:rsidR="007951FE" w:rsidRPr="007951FE" w:rsidRDefault="00401826" w:rsidP="007951FE">
      <w:pPr>
        <w:pStyle w:val="SingleTxtG"/>
      </w:pPr>
      <w:r>
        <w:tab/>
      </w:r>
      <w:r w:rsidR="007951FE" w:rsidRPr="007951FE">
        <w:t>d)</w:t>
      </w:r>
      <w:r w:rsidR="007951FE" w:rsidRPr="007951FE">
        <w:tab/>
        <w:t>Derechos y libertades civiles;</w:t>
      </w:r>
    </w:p>
    <w:p w14:paraId="7AC54FDB" w14:textId="4AD71BD0" w:rsidR="007951FE" w:rsidRPr="007951FE" w:rsidRDefault="00401826" w:rsidP="007951FE">
      <w:pPr>
        <w:pStyle w:val="SingleTxtG"/>
      </w:pPr>
      <w:r>
        <w:lastRenderedPageBreak/>
        <w:tab/>
      </w:r>
      <w:r w:rsidR="007951FE" w:rsidRPr="007951FE">
        <w:t>e)</w:t>
      </w:r>
      <w:r w:rsidR="007951FE" w:rsidRPr="007951FE">
        <w:tab/>
        <w:t>Entorno familiar y modalidades alternativas de cuidado;</w:t>
      </w:r>
    </w:p>
    <w:p w14:paraId="7E957BD7" w14:textId="3952D839" w:rsidR="007951FE" w:rsidRPr="007951FE" w:rsidRDefault="00401826" w:rsidP="007951FE">
      <w:pPr>
        <w:pStyle w:val="SingleTxtG"/>
      </w:pPr>
      <w:r>
        <w:tab/>
      </w:r>
      <w:r w:rsidR="007951FE" w:rsidRPr="007951FE">
        <w:t>f)</w:t>
      </w:r>
      <w:r w:rsidR="007951FE" w:rsidRPr="007951FE">
        <w:tab/>
        <w:t>Salud básica y bienestar;</w:t>
      </w:r>
    </w:p>
    <w:p w14:paraId="47BCEDE7" w14:textId="3A3DDE7F" w:rsidR="007951FE" w:rsidRPr="007951FE" w:rsidRDefault="00401826" w:rsidP="007951FE">
      <w:pPr>
        <w:pStyle w:val="SingleTxtG"/>
      </w:pPr>
      <w:r>
        <w:tab/>
      </w:r>
      <w:r w:rsidR="007951FE" w:rsidRPr="007951FE">
        <w:t>g)</w:t>
      </w:r>
      <w:r w:rsidR="007951FE" w:rsidRPr="007951FE">
        <w:tab/>
        <w:t>Educación, esparcimiento y actividades culturales;</w:t>
      </w:r>
    </w:p>
    <w:p w14:paraId="35FF8811" w14:textId="728D752A" w:rsidR="007951FE" w:rsidRPr="007951FE" w:rsidRDefault="00401826" w:rsidP="007951FE">
      <w:pPr>
        <w:pStyle w:val="SingleTxtG"/>
      </w:pPr>
      <w:r>
        <w:tab/>
      </w:r>
      <w:r w:rsidR="007951FE" w:rsidRPr="007951FE">
        <w:t>h)</w:t>
      </w:r>
      <w:r w:rsidR="007951FE" w:rsidRPr="007951FE">
        <w:tab/>
        <w:t>Medidas especiales de protección;</w:t>
      </w:r>
    </w:p>
    <w:p w14:paraId="2713C327" w14:textId="37D4D3F4" w:rsidR="007951FE" w:rsidRPr="007951FE" w:rsidRDefault="00401826" w:rsidP="007951FE">
      <w:pPr>
        <w:pStyle w:val="SingleTxtG"/>
      </w:pPr>
      <w:r>
        <w:tab/>
      </w:r>
      <w:r w:rsidR="007951FE" w:rsidRPr="007951FE">
        <w:t>i)</w:t>
      </w:r>
      <w:r w:rsidR="007951FE" w:rsidRPr="007951FE">
        <w:tab/>
        <w:t>Protocolos facultativos de la Convención sobre los Derechos del Niño (Protocolo Facultativo relativo a la venta de niños, la prostitución infantil y la utilización de niños en la pornografía y Protocolo Facultativo relativo a la participación de niños en los conflictos armados).</w:t>
      </w:r>
    </w:p>
    <w:p w14:paraId="3C3273E1" w14:textId="77777777" w:rsidR="007951FE" w:rsidRPr="007951FE" w:rsidRDefault="007951FE" w:rsidP="007951FE">
      <w:pPr>
        <w:pStyle w:val="SingleTxtG"/>
      </w:pPr>
      <w:r w:rsidRPr="007951FE">
        <w:t>7.</w:t>
      </w:r>
      <w:r w:rsidRPr="007951FE">
        <w:tab/>
        <w:t>En el examen se presentarán las medidas adoptadas y los progresos realizados, además de las dificultades, y se profundizará en las perspectivas de futuro.</w:t>
      </w:r>
    </w:p>
    <w:p w14:paraId="769447DE" w14:textId="77777777" w:rsidR="007951FE" w:rsidRPr="007951FE" w:rsidRDefault="007951FE" w:rsidP="007951FE">
      <w:pPr>
        <w:pStyle w:val="SingleTxtG"/>
      </w:pPr>
      <w:r w:rsidRPr="007951FE">
        <w:t>8.</w:t>
      </w:r>
      <w:r w:rsidRPr="007951FE">
        <w:tab/>
        <w:t>En lo que respecta a la recomendación de aplicar los dos protocolos facultativos, el Estado de Malí señala que ambos serán tratados en informes separados.</w:t>
      </w:r>
    </w:p>
    <w:p w14:paraId="3195F447" w14:textId="77777777" w:rsidR="007951FE" w:rsidRPr="007951FE" w:rsidRDefault="007951FE" w:rsidP="007951FE">
      <w:pPr>
        <w:pStyle w:val="SingleTxtG"/>
      </w:pPr>
      <w:r w:rsidRPr="007951FE">
        <w:t>9.</w:t>
      </w:r>
      <w:r w:rsidRPr="007951FE">
        <w:tab/>
        <w:t>Las principales fuentes de datos utilizadas, en especial para datos estadísticos sobre educación, desarrollo, salud y determinados aspectos relacionados con la protección, han sido la Encuesta de Indicadores Múltiples por Conglomerados (</w:t>
      </w:r>
      <w:proofErr w:type="spellStart"/>
      <w:r w:rsidRPr="007951FE">
        <w:t>MICS</w:t>
      </w:r>
      <w:proofErr w:type="spellEnd"/>
      <w:r w:rsidRPr="007951FE">
        <w:t>) de 2010 y la V Encuesta Demográfica y de Salud de Malí (</w:t>
      </w:r>
      <w:proofErr w:type="spellStart"/>
      <w:r w:rsidRPr="007951FE">
        <w:t>EDSM</w:t>
      </w:r>
      <w:proofErr w:type="spellEnd"/>
      <w:r w:rsidRPr="007951FE">
        <w:t>).</w:t>
      </w:r>
    </w:p>
    <w:p w14:paraId="60C91F88" w14:textId="77777777" w:rsidR="007951FE" w:rsidRPr="007951FE" w:rsidRDefault="007951FE" w:rsidP="00401826">
      <w:pPr>
        <w:pStyle w:val="HChG"/>
      </w:pPr>
      <w:bookmarkStart w:id="0" w:name="_Toc414372882"/>
      <w:bookmarkStart w:id="1" w:name="_Toc414377607"/>
      <w:bookmarkStart w:id="2" w:name="_Toc35441072"/>
      <w:r w:rsidRPr="007951FE">
        <w:rPr>
          <w:bCs/>
        </w:rPr>
        <w:tab/>
        <w:t>I.</w:t>
      </w:r>
      <w:r w:rsidRPr="007951FE">
        <w:tab/>
        <w:t>Medidas generales de aplicación</w:t>
      </w:r>
      <w:bookmarkEnd w:id="0"/>
      <w:bookmarkEnd w:id="1"/>
      <w:bookmarkEnd w:id="2"/>
    </w:p>
    <w:p w14:paraId="1ECB9926" w14:textId="77777777" w:rsidR="007951FE" w:rsidRPr="007951FE" w:rsidRDefault="007951FE" w:rsidP="007951FE">
      <w:pPr>
        <w:pStyle w:val="SingleTxtG"/>
      </w:pPr>
      <w:r w:rsidRPr="007951FE">
        <w:t>10.</w:t>
      </w:r>
      <w:r w:rsidRPr="007951FE">
        <w:tab/>
        <w:t>El Estado de Malí ha adoptado una serie de medidas legislativas, institucionales y presupuestarias para proteger y promover los derechos del niño reconocidos en la Convención sobre los Derechos del Niño.</w:t>
      </w:r>
    </w:p>
    <w:p w14:paraId="03BEFA22" w14:textId="77777777" w:rsidR="007951FE" w:rsidRPr="007951FE" w:rsidRDefault="007951FE" w:rsidP="00401826">
      <w:pPr>
        <w:pStyle w:val="H23G"/>
      </w:pPr>
      <w:bookmarkStart w:id="3" w:name="_Toc414372884"/>
      <w:bookmarkStart w:id="4" w:name="_Toc414373113"/>
      <w:bookmarkStart w:id="5" w:name="_Toc414377609"/>
      <w:bookmarkStart w:id="6" w:name="_Toc35441073"/>
      <w:r w:rsidRPr="007951FE">
        <w:tab/>
        <w:t>1.1</w:t>
      </w:r>
      <w:r w:rsidRPr="007951FE">
        <w:tab/>
        <w:t>Medidas legislativas</w:t>
      </w:r>
      <w:bookmarkEnd w:id="3"/>
      <w:bookmarkEnd w:id="4"/>
      <w:bookmarkEnd w:id="5"/>
      <w:bookmarkEnd w:id="6"/>
    </w:p>
    <w:p w14:paraId="508EAE16" w14:textId="4C96BDFF" w:rsidR="007951FE" w:rsidRPr="007951FE" w:rsidRDefault="007951FE" w:rsidP="00401826">
      <w:pPr>
        <w:pStyle w:val="Bullet1G"/>
      </w:pPr>
      <w:r w:rsidRPr="007951FE">
        <w:t>La Ley núm. 2011-087, de 30 de diciembre de 2011, del Código de la Persona y la Familia, que introdujo mejoras significativas en la protección y promoción de los derechos del niño, como el respeto a su integridad física y la inscripción de los nacimientos.</w:t>
      </w:r>
    </w:p>
    <w:p w14:paraId="0CB963A1" w14:textId="02DD8D3E" w:rsidR="007951FE" w:rsidRPr="007951FE" w:rsidRDefault="007951FE" w:rsidP="00401826">
      <w:pPr>
        <w:pStyle w:val="Bullet1G"/>
      </w:pPr>
      <w:r w:rsidRPr="007951FE">
        <w:t>La Ley núm. 2011-037, de 15 de julio de 2011, de la Organización Judicial de Malí, por la que se crean 53 juzgados de menores.</w:t>
      </w:r>
    </w:p>
    <w:p w14:paraId="3F2FBE9A" w14:textId="3982EFE8" w:rsidR="007951FE" w:rsidRPr="007951FE" w:rsidRDefault="007951FE" w:rsidP="00401826">
      <w:pPr>
        <w:pStyle w:val="Bullet1G"/>
      </w:pPr>
      <w:r w:rsidRPr="007951FE">
        <w:t>La Ley núm. 09-42, de 19 de noviembre de 2009, de Revisión de las Leyes de la Comisión Nacional de Derechos Humanos (CNDH) de Malí, para reforzar su capacidad de proteger y promover los derechos humanos. Debido a la misión y competencias que tiene asignadas, la CNDH de Malí sirve de órgano de apelación para todos los ciudadanos, incluidos los niños.</w:t>
      </w:r>
    </w:p>
    <w:p w14:paraId="25AFECBE" w14:textId="31A495D1" w:rsidR="007951FE" w:rsidRPr="007951FE" w:rsidRDefault="007951FE" w:rsidP="00401826">
      <w:pPr>
        <w:pStyle w:val="Bullet1G"/>
      </w:pPr>
      <w:r w:rsidRPr="007951FE">
        <w:t>La Ley núm. 10-050, de 23 de diciembre de 2010, de Creación de la Unidad Nacional de Lucha contra el Trabajo Infantil.</w:t>
      </w:r>
    </w:p>
    <w:p w14:paraId="691A03D9" w14:textId="2F3C539A" w:rsidR="007951FE" w:rsidRPr="007951FE" w:rsidRDefault="007951FE" w:rsidP="00401826">
      <w:pPr>
        <w:pStyle w:val="Bullet1G"/>
      </w:pPr>
      <w:r w:rsidRPr="007951FE">
        <w:t>El Decreto núm. 10-628/P-</w:t>
      </w:r>
      <w:proofErr w:type="spellStart"/>
      <w:r w:rsidRPr="007951FE">
        <w:t>RM</w:t>
      </w:r>
      <w:proofErr w:type="spellEnd"/>
      <w:r w:rsidRPr="007951FE">
        <w:t>, de 29 de noviembre de 2010, por el que se establece la gratuidad de los medios de prevención y tratamiento del paludismo entre los niños de 0 a 5 años y las mujeres embarazadas en los establecimientos de salud.</w:t>
      </w:r>
    </w:p>
    <w:p w14:paraId="261278F8" w14:textId="569790E2" w:rsidR="007951FE" w:rsidRPr="007951FE" w:rsidRDefault="007951FE" w:rsidP="00401826">
      <w:pPr>
        <w:pStyle w:val="Bullet1G"/>
      </w:pPr>
      <w:r w:rsidRPr="007951FE">
        <w:t>El Decreto núm. 06-118/P-</w:t>
      </w:r>
      <w:proofErr w:type="spellStart"/>
      <w:r w:rsidRPr="007951FE">
        <w:t>RM</w:t>
      </w:r>
      <w:proofErr w:type="spellEnd"/>
      <w:r w:rsidRPr="007951FE">
        <w:t>, de 16 de marzo de 2006, por el que se detallan las responsabilidades del Delegado para la Protección de la Infancia.</w:t>
      </w:r>
    </w:p>
    <w:p w14:paraId="2DB79378" w14:textId="3EF95F53" w:rsidR="007951FE" w:rsidRPr="007951FE" w:rsidRDefault="007951FE" w:rsidP="00401826">
      <w:pPr>
        <w:pStyle w:val="Bullet1G"/>
      </w:pPr>
      <w:r w:rsidRPr="007951FE">
        <w:t>El Decreto núm. 06-006/P-</w:t>
      </w:r>
      <w:proofErr w:type="spellStart"/>
      <w:r w:rsidRPr="007951FE">
        <w:t>RM</w:t>
      </w:r>
      <w:proofErr w:type="spellEnd"/>
      <w:r w:rsidRPr="007951FE">
        <w:t>, de 11 de enero de 2006, por el que se establecen la organización y las modalidades de funcionamiento del Centro de Acogida y Acogimiento Familiar.</w:t>
      </w:r>
    </w:p>
    <w:p w14:paraId="76A1201B" w14:textId="77777777" w:rsidR="007951FE" w:rsidRPr="007951FE" w:rsidRDefault="007951FE" w:rsidP="007951FE">
      <w:pPr>
        <w:pStyle w:val="SingleTxtG"/>
      </w:pPr>
      <w:r w:rsidRPr="007951FE">
        <w:t>11.</w:t>
      </w:r>
      <w:r w:rsidRPr="007951FE">
        <w:tab/>
        <w:t>También se han adoptado algunas leyes de carácter económico y social, entre ellas:</w:t>
      </w:r>
    </w:p>
    <w:p w14:paraId="1E59B0E2" w14:textId="7AA52F9A" w:rsidR="007951FE" w:rsidRPr="007951FE" w:rsidRDefault="007951FE" w:rsidP="00401826">
      <w:pPr>
        <w:pStyle w:val="Bullet1G"/>
      </w:pPr>
      <w:r w:rsidRPr="007951FE">
        <w:t>La Ley núm. 07-020, de 27 de febrero de 2007, de Creación de Unidades de Planificación y Estadística, entre otras en los ámbitos de la salud, el desarrollo social y la promoción de la familia, la educación, la justicia, la administración territorial y la seguridad.</w:t>
      </w:r>
    </w:p>
    <w:p w14:paraId="71E3985A" w14:textId="22D84B23" w:rsidR="007951FE" w:rsidRPr="007951FE" w:rsidRDefault="007951FE" w:rsidP="00401826">
      <w:pPr>
        <w:pStyle w:val="Bullet1G"/>
      </w:pPr>
      <w:r w:rsidRPr="007951FE">
        <w:lastRenderedPageBreak/>
        <w:t>La Ley núm. 12-05/</w:t>
      </w:r>
      <w:proofErr w:type="spellStart"/>
      <w:r w:rsidRPr="007951FE">
        <w:t>AN-RM</w:t>
      </w:r>
      <w:proofErr w:type="spellEnd"/>
      <w:r w:rsidRPr="007951FE">
        <w:t xml:space="preserve">, de 5 de enero de 2012, de Creación del Fondo de Apoyo al </w:t>
      </w:r>
      <w:proofErr w:type="spellStart"/>
      <w:r w:rsidRPr="007951FE">
        <w:t>Autoempoderamiento</w:t>
      </w:r>
      <w:proofErr w:type="spellEnd"/>
      <w:r w:rsidRPr="007951FE">
        <w:t xml:space="preserve"> de las Mujeres y al Desarrollo de los Niños.</w:t>
      </w:r>
    </w:p>
    <w:p w14:paraId="4358B51F" w14:textId="1D4EF89A" w:rsidR="007951FE" w:rsidRPr="007951FE" w:rsidRDefault="007951FE" w:rsidP="00401826">
      <w:pPr>
        <w:pStyle w:val="Bullet1G"/>
      </w:pPr>
      <w:r w:rsidRPr="007951FE">
        <w:t>La Ley núm. 09-015, de 26 de junio de 2009, de Creación del Seguro Obligatorio de Enfermedad, destinada a garantizar la cobertura de los gastos de asistencia sanitaria por enfermedad y maternidad de los asegurados y sus familiares. Este plan de seguro, en el que las cuotas se pagan a medias entre los beneficiarios (el 3,06 % del salario los funcionarios en activo y el 0,70 % los jubilados) y sus empleadores (el 4,48 % del salario si es el Estado y el 3,50 % si se trata de un empleador privado), dará cobertura a cerca del 16 % de la población maliense. El seguro cubre a los empleados del sector formal, es decir, a los funcionarios en activo o jubilados y a las personas a su cargo, incluidos los funcionarios de las administraciones locales, los trabajadores que se rigen por el Código de Trabajo que se encuentren en activo o estén jubilados y las personas a su cargo, y los parlamentarios en activo o jubilados y las personas a su cargo.</w:t>
      </w:r>
    </w:p>
    <w:p w14:paraId="3D294CFD" w14:textId="1FBED866" w:rsidR="007951FE" w:rsidRPr="007951FE" w:rsidRDefault="007951FE" w:rsidP="00401826">
      <w:pPr>
        <w:pStyle w:val="Bullet1G"/>
      </w:pPr>
      <w:r w:rsidRPr="007951FE">
        <w:t>El Decreto núm. 09-555 P-</w:t>
      </w:r>
      <w:proofErr w:type="spellStart"/>
      <w:r w:rsidRPr="007951FE">
        <w:t>RM</w:t>
      </w:r>
      <w:proofErr w:type="spellEnd"/>
      <w:r w:rsidRPr="007951FE">
        <w:t>, de 12 de octubre de 2009, por el que se establecen las condiciones de aplicación de la Ley de Creación del Plan de Seguro Médico.</w:t>
      </w:r>
    </w:p>
    <w:p w14:paraId="747B60DF" w14:textId="187BBAA1" w:rsidR="007951FE" w:rsidRPr="007951FE" w:rsidRDefault="007951FE" w:rsidP="00401826">
      <w:pPr>
        <w:pStyle w:val="Bullet1G"/>
      </w:pPr>
      <w:r w:rsidRPr="007951FE">
        <w:t>El Decreto núm. 06-282/P-</w:t>
      </w:r>
      <w:proofErr w:type="spellStart"/>
      <w:r w:rsidRPr="007951FE">
        <w:t>RM</w:t>
      </w:r>
      <w:proofErr w:type="spellEnd"/>
      <w:r w:rsidRPr="007951FE">
        <w:t>, de 11 de julio de 2006, por el que se crea el Consejo Nacional de la Familia, una de cuyas misiones es proponer medidas para mejorar las condiciones y situación de las familias mediante la gestión de los conflictos familiares.</w:t>
      </w:r>
    </w:p>
    <w:p w14:paraId="3C40387C" w14:textId="77777777" w:rsidR="007951FE" w:rsidRPr="007951FE" w:rsidRDefault="007951FE" w:rsidP="007951FE">
      <w:pPr>
        <w:pStyle w:val="SingleTxtG"/>
      </w:pPr>
      <w:r w:rsidRPr="007951FE">
        <w:t>12.</w:t>
      </w:r>
      <w:r w:rsidRPr="007951FE">
        <w:tab/>
        <w:t>En el ámbito subregional e internacional, Malí ha suscrito los siguientes textos legales:</w:t>
      </w:r>
    </w:p>
    <w:p w14:paraId="06C3AF10" w14:textId="0F2E3D18" w:rsidR="007951FE" w:rsidRPr="007951FE" w:rsidRDefault="007951FE" w:rsidP="00401826">
      <w:pPr>
        <w:pStyle w:val="Bullet1G"/>
      </w:pPr>
      <w:r w:rsidRPr="007951FE">
        <w:t>Los Principios y Directrices sobre los Niños Asociados a Fuerzas Armadas o Grupos Armados (Principios de París), de 2007.</w:t>
      </w:r>
    </w:p>
    <w:p w14:paraId="1C1FAD44" w14:textId="6EF795CE" w:rsidR="007951FE" w:rsidRPr="007951FE" w:rsidRDefault="007951FE" w:rsidP="00401826">
      <w:pPr>
        <w:pStyle w:val="Bullet1G"/>
      </w:pPr>
      <w:r w:rsidRPr="007951FE">
        <w:t>Los Compromisos de París para Proteger a los Niños y Niñas Reclutados o Utilizados Ilícitamente por Fuerzas Armadas o Grupos Armados, aprobados en 2007.</w:t>
      </w:r>
    </w:p>
    <w:p w14:paraId="0646C2E1" w14:textId="0ED6EFE7" w:rsidR="007951FE" w:rsidRPr="007951FE" w:rsidRDefault="007951FE" w:rsidP="00401826">
      <w:pPr>
        <w:pStyle w:val="Bullet1G"/>
      </w:pPr>
      <w:r w:rsidRPr="007951FE">
        <w:t>El Acuerdo Multilateral de Cooperación en Materia de Lucha contra la Trata de Niños en África Occidental, firmado en Abiyán en julio de 2005.</w:t>
      </w:r>
    </w:p>
    <w:p w14:paraId="63AED58D" w14:textId="2A8685D6" w:rsidR="007951FE" w:rsidRPr="007951FE" w:rsidRDefault="007951FE" w:rsidP="00401826">
      <w:pPr>
        <w:pStyle w:val="Bullet1G"/>
      </w:pPr>
      <w:r w:rsidRPr="007951FE">
        <w:t>El Acuerdo Multilateral de Cooperación Regional en Materia de Lucha contra la Trata de Personas, en especial de Mujeres y Niños, en África Occidental y Central, firmado en Abuya en julio de 2006.</w:t>
      </w:r>
    </w:p>
    <w:p w14:paraId="45437BAE" w14:textId="77777777" w:rsidR="007951FE" w:rsidRPr="007951FE" w:rsidRDefault="007951FE" w:rsidP="00401826">
      <w:pPr>
        <w:pStyle w:val="H4G"/>
      </w:pPr>
      <w:bookmarkStart w:id="7" w:name="_Toc414372885"/>
      <w:bookmarkStart w:id="8" w:name="_Toc414373114"/>
      <w:bookmarkStart w:id="9" w:name="_Toc414377610"/>
      <w:bookmarkStart w:id="10" w:name="_Toc35441074"/>
      <w:r w:rsidRPr="007951FE">
        <w:tab/>
        <w:t>1.1.1</w:t>
      </w:r>
      <w:r w:rsidRPr="007951FE">
        <w:tab/>
        <w:t>Marco institucional</w:t>
      </w:r>
      <w:bookmarkEnd w:id="7"/>
      <w:bookmarkEnd w:id="8"/>
      <w:bookmarkEnd w:id="9"/>
      <w:bookmarkEnd w:id="10"/>
    </w:p>
    <w:p w14:paraId="48ECACE9" w14:textId="491821C0" w:rsidR="007951FE" w:rsidRPr="007951FE" w:rsidRDefault="00401826" w:rsidP="00401826">
      <w:pPr>
        <w:pStyle w:val="H56G"/>
      </w:pPr>
      <w:r>
        <w:tab/>
      </w:r>
      <w:r w:rsidR="007951FE" w:rsidRPr="007951FE">
        <w:tab/>
        <w:t>Estructuras técnicas</w:t>
      </w:r>
    </w:p>
    <w:p w14:paraId="3AB2334C" w14:textId="77777777" w:rsidR="007951FE" w:rsidRPr="007951FE" w:rsidRDefault="007951FE" w:rsidP="007951FE">
      <w:pPr>
        <w:pStyle w:val="SingleTxtG"/>
      </w:pPr>
      <w:r w:rsidRPr="007951FE">
        <w:t>13.</w:t>
      </w:r>
      <w:r w:rsidRPr="007951FE">
        <w:tab/>
        <w:t>El tipo de intervenciones previstas determina la misión de cada estructura. Existen dos tipos de estructuras: las estratégicas y las operativas.</w:t>
      </w:r>
    </w:p>
    <w:p w14:paraId="6166BD7A" w14:textId="77777777" w:rsidR="007951FE" w:rsidRPr="007951FE" w:rsidRDefault="007951FE" w:rsidP="007951FE">
      <w:pPr>
        <w:pStyle w:val="SingleTxtG"/>
      </w:pPr>
      <w:r w:rsidRPr="007951FE">
        <w:t>14.</w:t>
      </w:r>
      <w:r w:rsidRPr="007951FE">
        <w:tab/>
        <w:t>Las estructuras estratégicas, de orientación, planificación y coordinación se encargan de desarrollar los elementos de la política nacional en sus respectivos ámbitos, así como de supervisar y coordinar la ejecución de dicha política. Estas estructuras se organizan en direcciones nacionales o generales, como:</w:t>
      </w:r>
    </w:p>
    <w:p w14:paraId="3D7FED7A" w14:textId="4EC81F4C" w:rsidR="007951FE" w:rsidRPr="007951FE" w:rsidRDefault="007951FE" w:rsidP="00401826">
      <w:pPr>
        <w:pStyle w:val="Bullet1G"/>
      </w:pPr>
      <w:r w:rsidRPr="007951FE">
        <w:t>La Dirección Nacional de Promoción del Niño y la Familia.</w:t>
      </w:r>
    </w:p>
    <w:p w14:paraId="6FC63A55" w14:textId="470BECCD" w:rsidR="007951FE" w:rsidRPr="007951FE" w:rsidRDefault="007951FE" w:rsidP="00401826">
      <w:pPr>
        <w:pStyle w:val="Bullet1G"/>
      </w:pPr>
      <w:r w:rsidRPr="007951FE">
        <w:t>La Dirección Nacional de Promoción de la Mujer.</w:t>
      </w:r>
    </w:p>
    <w:p w14:paraId="22B8C6FE" w14:textId="1DCC06BC" w:rsidR="007951FE" w:rsidRPr="007951FE" w:rsidRDefault="007951FE" w:rsidP="00401826">
      <w:pPr>
        <w:pStyle w:val="Bullet1G"/>
      </w:pPr>
      <w:r w:rsidRPr="007951FE">
        <w:t>La Dirección Nacional de Planificación del Desarrollo.</w:t>
      </w:r>
    </w:p>
    <w:p w14:paraId="25B6B858" w14:textId="0A1DF235" w:rsidR="007951FE" w:rsidRPr="007951FE" w:rsidRDefault="007951FE" w:rsidP="00401826">
      <w:pPr>
        <w:pStyle w:val="Bullet1G"/>
      </w:pPr>
      <w:r w:rsidRPr="007951FE">
        <w:t>La Dirección Nacional de Población.</w:t>
      </w:r>
    </w:p>
    <w:p w14:paraId="6DCAD90A" w14:textId="1F1BD75D" w:rsidR="007951FE" w:rsidRPr="007951FE" w:rsidRDefault="007951FE" w:rsidP="00401826">
      <w:pPr>
        <w:pStyle w:val="Bullet1G"/>
      </w:pPr>
      <w:r w:rsidRPr="007951FE">
        <w:t>La Dirección Nacional de Salud.</w:t>
      </w:r>
    </w:p>
    <w:p w14:paraId="19F54301" w14:textId="4E7E0021" w:rsidR="007951FE" w:rsidRPr="007951FE" w:rsidRDefault="007951FE" w:rsidP="00401826">
      <w:pPr>
        <w:pStyle w:val="Bullet1G"/>
      </w:pPr>
      <w:r w:rsidRPr="007951FE">
        <w:t>La Dirección Nacional de Desarrollo Social.</w:t>
      </w:r>
    </w:p>
    <w:p w14:paraId="71184644" w14:textId="3ACD6009" w:rsidR="007951FE" w:rsidRPr="007951FE" w:rsidRDefault="007951FE" w:rsidP="00401826">
      <w:pPr>
        <w:pStyle w:val="Bullet1G"/>
      </w:pPr>
      <w:r w:rsidRPr="007951FE">
        <w:t>La Dirección Nacional de Protección Social y Economía Solidaria.</w:t>
      </w:r>
    </w:p>
    <w:p w14:paraId="4B4C94CA" w14:textId="7384C684" w:rsidR="007951FE" w:rsidRPr="007951FE" w:rsidRDefault="007951FE" w:rsidP="00401826">
      <w:pPr>
        <w:pStyle w:val="Bullet1G"/>
      </w:pPr>
      <w:r w:rsidRPr="007951FE">
        <w:t>La Dirección Nacional de Educación Básica.</w:t>
      </w:r>
    </w:p>
    <w:p w14:paraId="53F4ED69" w14:textId="46F66FD4" w:rsidR="007951FE" w:rsidRPr="007951FE" w:rsidRDefault="007951FE" w:rsidP="00401826">
      <w:pPr>
        <w:pStyle w:val="Bullet1G"/>
      </w:pPr>
      <w:r w:rsidRPr="007951FE">
        <w:t>La Dirección Nacional de Educación Preescolar.</w:t>
      </w:r>
    </w:p>
    <w:p w14:paraId="7644C1CA" w14:textId="14EAB1D8" w:rsidR="007951FE" w:rsidRPr="007951FE" w:rsidRDefault="007951FE" w:rsidP="00401826">
      <w:pPr>
        <w:pStyle w:val="Bullet1G"/>
      </w:pPr>
      <w:r w:rsidRPr="007951FE">
        <w:t>La Dirección Nacional de Enseñanza Secundaria General.</w:t>
      </w:r>
    </w:p>
    <w:p w14:paraId="46CB4AC2" w14:textId="69928C65" w:rsidR="007951FE" w:rsidRPr="007951FE" w:rsidRDefault="007951FE" w:rsidP="00401826">
      <w:pPr>
        <w:pStyle w:val="Bullet1G"/>
      </w:pPr>
      <w:r w:rsidRPr="007951FE">
        <w:lastRenderedPageBreak/>
        <w:t>La Dirección Nacional de Formación Técnica y Profesional.</w:t>
      </w:r>
    </w:p>
    <w:p w14:paraId="7FFFCF5C" w14:textId="2A9A6BF8" w:rsidR="007951FE" w:rsidRPr="007951FE" w:rsidRDefault="007951FE" w:rsidP="00401826">
      <w:pPr>
        <w:pStyle w:val="Bullet1G"/>
      </w:pPr>
      <w:r w:rsidRPr="007951FE">
        <w:t>La Dirección Nacional de Juventud.</w:t>
      </w:r>
    </w:p>
    <w:p w14:paraId="13C3094A" w14:textId="2F8C9935" w:rsidR="007951FE" w:rsidRPr="007951FE" w:rsidRDefault="007951FE" w:rsidP="00401826">
      <w:pPr>
        <w:pStyle w:val="Bullet1G"/>
      </w:pPr>
      <w:r w:rsidRPr="007951FE">
        <w:t>La Dirección General de la Policía Nacional.</w:t>
      </w:r>
    </w:p>
    <w:p w14:paraId="3C4821F1" w14:textId="5027E0C1" w:rsidR="007951FE" w:rsidRPr="007951FE" w:rsidRDefault="007951FE" w:rsidP="00401826">
      <w:pPr>
        <w:pStyle w:val="Bullet1G"/>
      </w:pPr>
      <w:r w:rsidRPr="007951FE">
        <w:t>La Dirección General de la Gendarmería Nacional.</w:t>
      </w:r>
    </w:p>
    <w:p w14:paraId="364AEE06" w14:textId="02E91274" w:rsidR="007951FE" w:rsidRPr="007951FE" w:rsidRDefault="007951FE" w:rsidP="00401826">
      <w:pPr>
        <w:pStyle w:val="Bullet1G"/>
      </w:pPr>
      <w:r w:rsidRPr="007951FE">
        <w:t>La Dirección Nacional de Administración Penitenciaria y Educación Vigilada</w:t>
      </w:r>
      <w:r w:rsidR="006F1EF0">
        <w:t>.</w:t>
      </w:r>
    </w:p>
    <w:p w14:paraId="739A1CFD" w14:textId="2B599220" w:rsidR="007951FE" w:rsidRPr="007951FE" w:rsidRDefault="007951FE" w:rsidP="00401826">
      <w:pPr>
        <w:pStyle w:val="Bullet1G"/>
      </w:pPr>
      <w:r w:rsidRPr="007951FE">
        <w:t>La Dirección Nacional de Asuntos Jurídicos y Judiciales y de los Juzgados y Tribunales.</w:t>
      </w:r>
    </w:p>
    <w:p w14:paraId="7A571AAE" w14:textId="77777777" w:rsidR="007951FE" w:rsidRPr="007951FE" w:rsidRDefault="007951FE" w:rsidP="007951FE">
      <w:pPr>
        <w:pStyle w:val="SingleTxtG"/>
      </w:pPr>
      <w:r w:rsidRPr="007951FE">
        <w:t>15.</w:t>
      </w:r>
      <w:r w:rsidRPr="007951FE">
        <w:tab/>
        <w:t>Algunas de estas estructuras tienen oficinas regionales y locales.</w:t>
      </w:r>
    </w:p>
    <w:p w14:paraId="7AA78051" w14:textId="77777777" w:rsidR="007951FE" w:rsidRPr="007951FE" w:rsidRDefault="007951FE" w:rsidP="007951FE">
      <w:pPr>
        <w:pStyle w:val="SingleTxtG"/>
      </w:pPr>
      <w:r w:rsidRPr="007951FE">
        <w:t>16.</w:t>
      </w:r>
      <w:r w:rsidRPr="007951FE">
        <w:tab/>
        <w:t>Con la reforma de 2009 de la Dirección Nacional de Promoción del Niño y la Familia y de sus departamentos regionales y subregionales se reforzó la función de planificación de la promoción y protección de los niños y las adolescentes de los departamentos centrales y regionales.</w:t>
      </w:r>
    </w:p>
    <w:p w14:paraId="06F28E0D" w14:textId="538E402B" w:rsidR="007951FE" w:rsidRPr="007951FE" w:rsidRDefault="007951FE" w:rsidP="00401826">
      <w:pPr>
        <w:pStyle w:val="H56G"/>
      </w:pPr>
      <w:r w:rsidRPr="007951FE">
        <w:tab/>
      </w:r>
      <w:r w:rsidR="00401826">
        <w:tab/>
      </w:r>
      <w:r w:rsidRPr="007951FE">
        <w:t>Políticas y programas nacionales de desarrollo</w:t>
      </w:r>
    </w:p>
    <w:p w14:paraId="22404E7C" w14:textId="77777777" w:rsidR="007951FE" w:rsidRPr="007951FE" w:rsidRDefault="007951FE" w:rsidP="007951FE">
      <w:pPr>
        <w:pStyle w:val="SingleTxtG"/>
      </w:pPr>
      <w:r w:rsidRPr="007951FE">
        <w:t>17.</w:t>
      </w:r>
      <w:r w:rsidRPr="007951FE">
        <w:tab/>
        <w:t>Entre 2006 y 2012 se aprobaron varios programas y medidas políticas de promoción y protección de la infancia en Malí, además del Marco Estratégico para el Crecimiento y la Reducción de la Pobreza, para dos ciclos: 2007-2011 y 2012-2017. El Marco Estratégico para 2012-2017 es uno de los documentos nacionales de referencia del ámbito de la promoción y protección de la infancia y pretende, entre otras cosas, agilizar la materialización de los Objetivos de Desarrollo del Milenio (</w:t>
      </w:r>
      <w:proofErr w:type="spellStart"/>
      <w:r w:rsidRPr="007951FE">
        <w:t>ODM</w:t>
      </w:r>
      <w:proofErr w:type="spellEnd"/>
      <w:r w:rsidRPr="007951FE">
        <w:t>) a través del desarrollo inclusivo basado en la reducción de la pobreza y la desigualdad.</w:t>
      </w:r>
    </w:p>
    <w:p w14:paraId="180FA2A5" w14:textId="77777777" w:rsidR="007951FE" w:rsidRPr="007951FE" w:rsidRDefault="007951FE" w:rsidP="007951FE">
      <w:pPr>
        <w:pStyle w:val="SingleTxtG"/>
      </w:pPr>
      <w:r w:rsidRPr="007951FE">
        <w:t>18.</w:t>
      </w:r>
      <w:r w:rsidRPr="007951FE">
        <w:tab/>
        <w:t>Los dos documentos marco recopilan la totalidad de las políticas, estrategias y programas sectoriales.</w:t>
      </w:r>
    </w:p>
    <w:p w14:paraId="2ADF653D" w14:textId="77777777" w:rsidR="007951FE" w:rsidRPr="007951FE" w:rsidRDefault="007951FE" w:rsidP="007951FE">
      <w:pPr>
        <w:pStyle w:val="SingleTxtG"/>
      </w:pPr>
      <w:r w:rsidRPr="007951FE">
        <w:t>19.</w:t>
      </w:r>
      <w:r w:rsidRPr="007951FE">
        <w:tab/>
        <w:t>El Marco Estratégico para el Crecimiento y la Reducción de la Pobreza 2012-2017 agrupa las directrices de las diversas políticas nacionales de promoción y protección de la infancia, de género y de lucha contra la ablación.</w:t>
      </w:r>
    </w:p>
    <w:p w14:paraId="573BB212" w14:textId="77777777" w:rsidR="007951FE" w:rsidRPr="007951FE" w:rsidRDefault="007951FE" w:rsidP="007951FE">
      <w:pPr>
        <w:pStyle w:val="SingleTxtG"/>
      </w:pPr>
      <w:r w:rsidRPr="007951FE">
        <w:t>20.</w:t>
      </w:r>
      <w:r w:rsidRPr="007951FE">
        <w:tab/>
        <w:t>Las políticas de promoción y protección de la infancia también contaron con el apoyo de diversos programas estratégicos para su aplicación, entre ellos:</w:t>
      </w:r>
    </w:p>
    <w:p w14:paraId="282B3F5F" w14:textId="44711BCF" w:rsidR="007951FE" w:rsidRPr="007951FE" w:rsidRDefault="007951FE" w:rsidP="00401826">
      <w:pPr>
        <w:pStyle w:val="Bullet1G"/>
      </w:pPr>
      <w:r w:rsidRPr="007951FE">
        <w:t>El Plan Decenal de Desarrollo Sanitario y Social.</w:t>
      </w:r>
    </w:p>
    <w:p w14:paraId="1E2AE965" w14:textId="5FD2A76F" w:rsidR="007951FE" w:rsidRPr="007951FE" w:rsidRDefault="007951FE" w:rsidP="00401826">
      <w:pPr>
        <w:pStyle w:val="Bullet1G"/>
      </w:pPr>
      <w:r w:rsidRPr="007951FE">
        <w:t>Los programas de inversión en el sector educativo.</w:t>
      </w:r>
    </w:p>
    <w:p w14:paraId="6F487EE9" w14:textId="306E2198" w:rsidR="007951FE" w:rsidRPr="007951FE" w:rsidRDefault="007951FE" w:rsidP="00401826">
      <w:pPr>
        <w:pStyle w:val="Bullet1G"/>
      </w:pPr>
      <w:r w:rsidRPr="007951FE">
        <w:t>El Programa Decenal de Desarrollo de la Justicia.</w:t>
      </w:r>
    </w:p>
    <w:p w14:paraId="4B39ABD4" w14:textId="0C0B937F" w:rsidR="007951FE" w:rsidRPr="007951FE" w:rsidRDefault="00401826" w:rsidP="00401826">
      <w:pPr>
        <w:pStyle w:val="H56G"/>
      </w:pPr>
      <w:r>
        <w:tab/>
      </w:r>
      <w:r w:rsidR="007951FE" w:rsidRPr="007951FE">
        <w:tab/>
        <w:t>Programas de cooperación bilateral</w:t>
      </w:r>
    </w:p>
    <w:p w14:paraId="7E81AF2A" w14:textId="77777777" w:rsidR="007951FE" w:rsidRPr="007951FE" w:rsidRDefault="007951FE" w:rsidP="007951FE">
      <w:pPr>
        <w:pStyle w:val="SingleTxtG"/>
      </w:pPr>
      <w:r w:rsidRPr="007951FE">
        <w:t>21.</w:t>
      </w:r>
      <w:r w:rsidRPr="007951FE">
        <w:tab/>
        <w:t xml:space="preserve">El Gobierno de Malí y el UNICEF disponen de un programa de cooperación para el período 2008-2012, que entronca con los </w:t>
      </w:r>
      <w:proofErr w:type="spellStart"/>
      <w:r w:rsidRPr="007951FE">
        <w:t>ODM</w:t>
      </w:r>
      <w:proofErr w:type="spellEnd"/>
      <w:r w:rsidRPr="007951FE">
        <w:t xml:space="preserve"> (primero a sexto) y tiene por objetivo hacer posible que los niños y las mujeres, especialmente los más vulnerables, disfruten plenamente de todos sus derechos.</w:t>
      </w:r>
    </w:p>
    <w:p w14:paraId="5029E594" w14:textId="341FCDC6" w:rsidR="007951FE" w:rsidRPr="007951FE" w:rsidRDefault="007951FE" w:rsidP="007951FE">
      <w:pPr>
        <w:pStyle w:val="SingleTxtG"/>
      </w:pPr>
      <w:r w:rsidRPr="007951FE">
        <w:t>22.</w:t>
      </w:r>
      <w:r w:rsidRPr="007951FE">
        <w:tab/>
        <w:t xml:space="preserve">Los resultados que se espera alcanzar con este programa están estrechamente relacionados con los del Marco de Asistencia de las Naciones Unidas para el Desarrollo para Malí (2008-2012) y deben contribuir a hacer realidad las prioridades nacionales establecidas en el Marco Estratégico para el Crecimiento y la Reducción de la Pobreza (2007-2011). El programa se ha guiado en sus intervenciones por la Convención sobre los Derechos del Niño, y en particular por los objetivos recogidos en </w:t>
      </w:r>
      <w:r w:rsidR="00F374AD">
        <w:t>“</w:t>
      </w:r>
      <w:r w:rsidRPr="007951FE">
        <w:t>Un mundo apropiado para los niños</w:t>
      </w:r>
      <w:r w:rsidR="00F374AD">
        <w:t>”</w:t>
      </w:r>
      <w:r w:rsidRPr="007951FE">
        <w:t>, las cuales también coinciden con las cinco esferas prioritarias del plan estratégico de mediano plazo (2006-2009) del UNICEF.</w:t>
      </w:r>
    </w:p>
    <w:p w14:paraId="72593A66" w14:textId="77777777" w:rsidR="007951FE" w:rsidRPr="007951FE" w:rsidRDefault="007951FE" w:rsidP="007951FE">
      <w:pPr>
        <w:pStyle w:val="SingleTxtG"/>
      </w:pPr>
      <w:r w:rsidRPr="007951FE">
        <w:t>23.</w:t>
      </w:r>
      <w:r w:rsidRPr="007951FE">
        <w:tab/>
        <w:t>En concreto, el programa de cooperación contribuirá a lograr los siguientes resultados previstos en el Marco de Asistencia de las Naciones Unidas para el Desarrollo:</w:t>
      </w:r>
    </w:p>
    <w:p w14:paraId="642260E0" w14:textId="6954929E" w:rsidR="007951FE" w:rsidRPr="007951FE" w:rsidRDefault="007951FE" w:rsidP="00401826">
      <w:pPr>
        <w:pStyle w:val="Bullet1G"/>
      </w:pPr>
      <w:r w:rsidRPr="007951FE">
        <w:t>Un mayor conocimiento y respeto de los derechos humanos en Malí, que favorecerá la gobernanza democrática y el estado de derecho:</w:t>
      </w:r>
    </w:p>
    <w:p w14:paraId="15EB5B1A" w14:textId="213F7F12" w:rsidR="007951FE" w:rsidRPr="007951FE" w:rsidRDefault="007951FE" w:rsidP="00401826">
      <w:pPr>
        <w:pStyle w:val="Bullet2G"/>
      </w:pPr>
      <w:r w:rsidRPr="007951FE">
        <w:t>Se documenta, actualiza y analiza la situación de los niños y las mujeres</w:t>
      </w:r>
      <w:r w:rsidR="00401826">
        <w:t>.</w:t>
      </w:r>
    </w:p>
    <w:p w14:paraId="0112B33D" w14:textId="19592916" w:rsidR="007951FE" w:rsidRPr="007951FE" w:rsidRDefault="007951FE" w:rsidP="00401826">
      <w:pPr>
        <w:pStyle w:val="Bullet2G"/>
      </w:pPr>
      <w:r w:rsidRPr="007951FE">
        <w:lastRenderedPageBreak/>
        <w:t>Se aplican políticas nacionales en favor de los niños y las mujeres y leyes nacionales que se ajustan a los convenios internacionales.</w:t>
      </w:r>
    </w:p>
    <w:p w14:paraId="4572E6E1" w14:textId="7655C563" w:rsidR="007951FE" w:rsidRPr="007951FE" w:rsidRDefault="007951FE" w:rsidP="00401826">
      <w:pPr>
        <w:pStyle w:val="Bullet1G"/>
      </w:pPr>
      <w:r w:rsidRPr="007951FE">
        <w:t>La mejora del acceso de los grupos más vulnerables a servicios sociales básicos de calidad:</w:t>
      </w:r>
    </w:p>
    <w:p w14:paraId="641016A9" w14:textId="55520F58" w:rsidR="007951FE" w:rsidRPr="007951FE" w:rsidRDefault="007951FE" w:rsidP="00401826">
      <w:pPr>
        <w:pStyle w:val="Bullet2G"/>
      </w:pPr>
      <w:r w:rsidRPr="007951FE">
        <w:t>Los niños de 0 a 5 años y las mujeres embarazadas reciben una atención de la salud de calidad en las regiones en las que interviene el programa</w:t>
      </w:r>
      <w:r w:rsidR="00401826">
        <w:t>.</w:t>
      </w:r>
    </w:p>
    <w:p w14:paraId="58423D4A" w14:textId="1307F36E" w:rsidR="007951FE" w:rsidRPr="007951FE" w:rsidRDefault="007951FE" w:rsidP="00401826">
      <w:pPr>
        <w:pStyle w:val="Bullet2G"/>
      </w:pPr>
      <w:r w:rsidRPr="007951FE">
        <w:t>Se ofrece tratamiento a los menores de 5 años con malnutrición en las regiones más afectadas</w:t>
      </w:r>
      <w:r w:rsidR="00401826">
        <w:t>.</w:t>
      </w:r>
    </w:p>
    <w:p w14:paraId="00362F4E" w14:textId="64D549B0" w:rsidR="007951FE" w:rsidRPr="007951FE" w:rsidRDefault="007951FE" w:rsidP="00401826">
      <w:pPr>
        <w:pStyle w:val="Bullet2G"/>
      </w:pPr>
      <w:r w:rsidRPr="007951FE">
        <w:t xml:space="preserve">Ha mejorado la cobertura del suministro de agua potable y de las instalaciones de saneamiento de las escuelas, los centros de salud y las zonas donde la </w:t>
      </w:r>
      <w:proofErr w:type="spellStart"/>
      <w:r w:rsidRPr="007951FE">
        <w:t>dracunculosis</w:t>
      </w:r>
      <w:proofErr w:type="spellEnd"/>
      <w:r w:rsidRPr="007951FE">
        <w:t xml:space="preserve"> es endémica</w:t>
      </w:r>
      <w:r w:rsidR="00401826">
        <w:t>.</w:t>
      </w:r>
    </w:p>
    <w:p w14:paraId="39C17AA2" w14:textId="666F109D" w:rsidR="007951FE" w:rsidRPr="007951FE" w:rsidRDefault="007951FE" w:rsidP="00401826">
      <w:pPr>
        <w:pStyle w:val="Bullet2G"/>
      </w:pPr>
      <w:r w:rsidRPr="007951FE">
        <w:t>La tasa de escolarización de las niñas en el primer año es del 95 %, y la de finalización del primer ciclo, del 80 %</w:t>
      </w:r>
      <w:r w:rsidR="00401826">
        <w:t>.</w:t>
      </w:r>
    </w:p>
    <w:p w14:paraId="4E8A74A4" w14:textId="11493631" w:rsidR="007951FE" w:rsidRPr="007951FE" w:rsidRDefault="007951FE" w:rsidP="00401826">
      <w:pPr>
        <w:pStyle w:val="Bullet2G"/>
      </w:pPr>
      <w:r w:rsidRPr="007951FE">
        <w:t xml:space="preserve">Los grupos más vulnerables de niños (niños </w:t>
      </w:r>
      <w:proofErr w:type="spellStart"/>
      <w:r w:rsidRPr="007951FE">
        <w:t>talibés</w:t>
      </w:r>
      <w:proofErr w:type="spellEnd"/>
      <w:r w:rsidRPr="007951FE">
        <w:t>, niñas trabajadoras domésticas, niños en situación de calle, niños con discapacidad) tienen acceso a una educación básica adaptada a sus necesidades.</w:t>
      </w:r>
    </w:p>
    <w:p w14:paraId="30A98CFF" w14:textId="77777777" w:rsidR="007951FE" w:rsidRPr="007951FE" w:rsidRDefault="007951FE" w:rsidP="00401826">
      <w:pPr>
        <w:pStyle w:val="H4G"/>
      </w:pPr>
      <w:bookmarkStart w:id="11" w:name="_Toc414372886"/>
      <w:bookmarkStart w:id="12" w:name="_Toc414373115"/>
      <w:bookmarkStart w:id="13" w:name="_Toc414377611"/>
      <w:bookmarkStart w:id="14" w:name="_Toc35441075"/>
      <w:r w:rsidRPr="007951FE">
        <w:tab/>
        <w:t>1.1.2</w:t>
      </w:r>
      <w:r w:rsidRPr="007951FE">
        <w:tab/>
        <w:t>Gasto público en los sectores sociales en 2012</w:t>
      </w:r>
      <w:bookmarkEnd w:id="11"/>
      <w:bookmarkEnd w:id="12"/>
      <w:bookmarkEnd w:id="13"/>
      <w:bookmarkEnd w:id="14"/>
    </w:p>
    <w:p w14:paraId="7392EF2C" w14:textId="4493D7D7" w:rsidR="007951FE" w:rsidRPr="007951FE" w:rsidRDefault="007951FE" w:rsidP="007951FE">
      <w:pPr>
        <w:pStyle w:val="SingleTxtG"/>
      </w:pPr>
      <w:r w:rsidRPr="007951FE">
        <w:t>24.</w:t>
      </w:r>
      <w:r w:rsidRPr="007951FE">
        <w:tab/>
        <w:t xml:space="preserve">En 2012, la economía de Malí entró en recesión, con un crecimiento negativo del </w:t>
      </w:r>
      <w:r w:rsidR="00F63F63">
        <w:noBreakHyphen/>
      </w:r>
      <w:r w:rsidRPr="007951FE">
        <w:t>1,5 %, frente a la previsión inicial del +5,6 %. La tasa de pobreza se elevó ese año al</w:t>
      </w:r>
      <w:r w:rsidR="00F63F63">
        <w:t> </w:t>
      </w:r>
      <w:r w:rsidRPr="007951FE">
        <w:t>42,7 %, frente al 41,7 % de 2011, como consecuencia de la triple crisis alimentaria, política y de seguridad. Gran parte de la economía quedó paralizada en 2012 y también se suspendió la cooperación internacional. Ese mismo año, el producto interno bruto registró un crecimiento real del -1,5 %, debido a los malos resultados de los sectores secundario (-2,2 %) y terciario (-8,8 %). El sector primario, por su parte, tuvo un crecimiento del 8,1 %.</w:t>
      </w:r>
    </w:p>
    <w:p w14:paraId="66EE5156" w14:textId="12FBE50B" w:rsidR="007951FE" w:rsidRPr="007951FE" w:rsidRDefault="007951FE" w:rsidP="007951FE">
      <w:pPr>
        <w:pStyle w:val="SingleTxtG"/>
      </w:pPr>
      <w:r w:rsidRPr="007951FE">
        <w:t>25.</w:t>
      </w:r>
      <w:r w:rsidRPr="007951FE">
        <w:tab/>
        <w:t>La crisis multifactorial que estalló en enero de 2012 se saldó con 237.000 desplazados y 410.000 refugiados, y dejó a unos 4,6 millones de malienses en riesgo de inseguridad alimentaria. Pese a la recesión y a la suspensión de la ayuda exterior, el Gobierno mantuvo su previsión de gasto en los sectores sociales (educación, sanidad, protección social) en el</w:t>
      </w:r>
      <w:r w:rsidR="00F63F63">
        <w:t> </w:t>
      </w:r>
      <w:r w:rsidRPr="007951FE">
        <w:t xml:space="preserve">33,45 % del gasto total. En los últimos años los indicadores sociales han mejorado, pero los avances logrados con vistas a alcanzar los </w:t>
      </w:r>
      <w:proofErr w:type="spellStart"/>
      <w:r w:rsidRPr="007951FE">
        <w:t>ODM</w:t>
      </w:r>
      <w:proofErr w:type="spellEnd"/>
      <w:r w:rsidRPr="007951FE">
        <w:t xml:space="preserve"> en 2015 siguen siendo modestos. Malí va por buen camino para alcanzar los objetivos segundo, sexto y séptimo, relativos a la enseñanza primaria universal, la lucha contra el VIH/sida, el paludismo y otras enfermedades, y la protección del medio ambiente, incluido el abastecimiento de agua potable. Sin embargo, sigue siendo poco probable que se pueda cumplir el resto de los </w:t>
      </w:r>
      <w:proofErr w:type="spellStart"/>
      <w:r w:rsidRPr="007951FE">
        <w:t>ODM</w:t>
      </w:r>
      <w:proofErr w:type="spellEnd"/>
      <w:r w:rsidRPr="007951FE">
        <w:t>. Los avances logrados se vieron mermados por el saqueo de centros de salud, farmacias y escuelas por los grupos armados que ocuparon las regiones del norte.</w:t>
      </w:r>
    </w:p>
    <w:p w14:paraId="5FB32EE0" w14:textId="77777777" w:rsidR="007951FE" w:rsidRPr="007951FE" w:rsidRDefault="007951FE" w:rsidP="00401826">
      <w:pPr>
        <w:pStyle w:val="H23G"/>
      </w:pPr>
      <w:bookmarkStart w:id="15" w:name="_Toc414372887"/>
      <w:bookmarkStart w:id="16" w:name="_Toc414377612"/>
      <w:bookmarkStart w:id="17" w:name="_Toc35441076"/>
      <w:r w:rsidRPr="007951FE">
        <w:tab/>
        <w:t>1.2</w:t>
      </w:r>
      <w:r w:rsidRPr="007951FE">
        <w:tab/>
        <w:t>Restricciones y límites</w:t>
      </w:r>
      <w:bookmarkEnd w:id="15"/>
      <w:bookmarkEnd w:id="16"/>
      <w:bookmarkEnd w:id="17"/>
    </w:p>
    <w:p w14:paraId="781A3105" w14:textId="0F32FFCF" w:rsidR="007951FE" w:rsidRPr="007951FE" w:rsidRDefault="00401826" w:rsidP="00401826">
      <w:pPr>
        <w:pStyle w:val="H4G"/>
      </w:pPr>
      <w:r>
        <w:tab/>
      </w:r>
      <w:r w:rsidR="007951FE" w:rsidRPr="007951FE">
        <w:tab/>
        <w:t>Marco jurídico inadecuado e ineficaz</w:t>
      </w:r>
    </w:p>
    <w:p w14:paraId="1FD7915E" w14:textId="77777777" w:rsidR="007951FE" w:rsidRPr="007951FE" w:rsidRDefault="007951FE" w:rsidP="007951FE">
      <w:pPr>
        <w:pStyle w:val="SingleTxtG"/>
      </w:pPr>
      <w:r w:rsidRPr="007951FE">
        <w:t>26.</w:t>
      </w:r>
      <w:r w:rsidRPr="007951FE">
        <w:tab/>
        <w:t>El examen del ordenamiento jurídico interno revela que, pese a las reformas legislativas e institucionales adoptadas, existen numerosas limitaciones que merman la eficacia de las leyes y reglamentos de protección y promoción de los derechos del niño.</w:t>
      </w:r>
    </w:p>
    <w:p w14:paraId="2BF08310" w14:textId="77777777" w:rsidR="007951FE" w:rsidRPr="007951FE" w:rsidRDefault="007951FE" w:rsidP="007951FE">
      <w:pPr>
        <w:pStyle w:val="SingleTxtG"/>
      </w:pPr>
      <w:r w:rsidRPr="007951FE">
        <w:t>27.</w:t>
      </w:r>
      <w:r w:rsidRPr="007951FE">
        <w:tab/>
        <w:t>En el caso de los niños vulnerables, las limitaciones legales se ven agravadas por determinadas consideraciones culturales y por una percepción social negativa acerca de su vulnerabilidad. Debido a algunas consideraciones socioculturales desfavorables a la protección y promoción de los derechos de las niñas, no ha sido posible unificar en el Código de la Persona y la Familia la edad mínima para contraer matrimonio en 18 años. La debilidad de las políticas y programas relacionados con la escolarización y retención de las niñas es un factor que favorece los matrimonios infantiles, tanto en las zonas rurales como en las urbanas.</w:t>
      </w:r>
    </w:p>
    <w:p w14:paraId="44E0D454" w14:textId="77777777" w:rsidR="007951FE" w:rsidRPr="007951FE" w:rsidRDefault="007951FE" w:rsidP="007951FE">
      <w:pPr>
        <w:pStyle w:val="SingleTxtG"/>
      </w:pPr>
      <w:r w:rsidRPr="007951FE">
        <w:t>28.</w:t>
      </w:r>
      <w:r w:rsidRPr="007951FE">
        <w:tab/>
        <w:t>El Código Penal sigue sin tipificar cuestiones como la ablación, la prostitución, el turismo sexual, la trata de menores con fines sexuales o la explotación sexual de los niños con fines comerciales.</w:t>
      </w:r>
    </w:p>
    <w:p w14:paraId="003E7A5A" w14:textId="328C5A67" w:rsidR="007951FE" w:rsidRPr="007951FE" w:rsidRDefault="00401826" w:rsidP="00401826">
      <w:pPr>
        <w:pStyle w:val="H4G"/>
      </w:pPr>
      <w:r>
        <w:lastRenderedPageBreak/>
        <w:tab/>
      </w:r>
      <w:r w:rsidR="007951FE" w:rsidRPr="007951FE">
        <w:tab/>
        <w:t>Datos insuficientes</w:t>
      </w:r>
    </w:p>
    <w:p w14:paraId="77E88E62" w14:textId="77777777" w:rsidR="007951FE" w:rsidRPr="007951FE" w:rsidRDefault="007951FE" w:rsidP="007951FE">
      <w:pPr>
        <w:pStyle w:val="SingleTxtG"/>
      </w:pPr>
      <w:r w:rsidRPr="007951FE">
        <w:t>29.</w:t>
      </w:r>
      <w:r w:rsidRPr="007951FE">
        <w:tab/>
        <w:t xml:space="preserve">La situación específica de los niños vulnerables sigue estando marcada por la falta de datos cuantitativos y cualitativos. Con el fin de resolver este problema, en la región de </w:t>
      </w:r>
      <w:proofErr w:type="spellStart"/>
      <w:r w:rsidRPr="007951FE">
        <w:t>Ségou</w:t>
      </w:r>
      <w:proofErr w:type="spellEnd"/>
      <w:r w:rsidRPr="007951FE">
        <w:t xml:space="preserve"> se creó y se puso a prueba una base de datos experimental sobre la protección de los niños. Por desgracia, su despliegue a escala nacional se vio interrumpido por la crisis de 2012 y por falta de financiación. Sin embargo, se están desarrollando diversas iniciativas para crear un sistema de información sobre la protección de los niños.</w:t>
      </w:r>
    </w:p>
    <w:p w14:paraId="2FAB2E94" w14:textId="19B4080B" w:rsidR="007951FE" w:rsidRPr="007951FE" w:rsidRDefault="00401826" w:rsidP="00401826">
      <w:pPr>
        <w:pStyle w:val="H4G"/>
      </w:pPr>
      <w:r>
        <w:tab/>
      </w:r>
      <w:r w:rsidR="007951FE" w:rsidRPr="007951FE">
        <w:tab/>
        <w:t>Falta de concreción de la voluntad política</w:t>
      </w:r>
    </w:p>
    <w:p w14:paraId="5526B80F" w14:textId="77777777" w:rsidR="007951FE" w:rsidRPr="007951FE" w:rsidRDefault="007951FE" w:rsidP="007951FE">
      <w:pPr>
        <w:pStyle w:val="SingleTxtG"/>
      </w:pPr>
      <w:r w:rsidRPr="007951FE">
        <w:t>30.</w:t>
      </w:r>
      <w:r w:rsidRPr="007951FE">
        <w:tab/>
        <w:t>Pese a la voluntad política expresada a todos los niveles, la situación operativa es muy delicada en lo que respecta a los recursos humanos y financieros. Si se comparan las cifras de personal con las necesidades de profesionales, se observa un déficit de trabajadores sociales especializados. También se da una distribución geográfica desigual, la cual afecta especialmente a los departamentos descentralizados u operativos.</w:t>
      </w:r>
    </w:p>
    <w:p w14:paraId="496FFE8D" w14:textId="77777777" w:rsidR="007951FE" w:rsidRPr="007951FE" w:rsidRDefault="007951FE" w:rsidP="007951FE">
      <w:pPr>
        <w:pStyle w:val="SingleTxtG"/>
      </w:pPr>
      <w:r w:rsidRPr="007951FE">
        <w:t>31.</w:t>
      </w:r>
      <w:r w:rsidRPr="007951FE">
        <w:tab/>
        <w:t>En lo que respecta a la asignación presupuestaria, las partidas destinadas al Ministerio de Promoción de la Mujer, el Niño y la Familia y al Ministerio de Trabajo y Acción Humanitaria siguen siendo bajas, con el 0,30 % y el 1,20 % del total, respectivamente.</w:t>
      </w:r>
    </w:p>
    <w:p w14:paraId="68853EA9" w14:textId="46206213" w:rsidR="007951FE" w:rsidRPr="007951FE" w:rsidRDefault="00401826" w:rsidP="00401826">
      <w:pPr>
        <w:pStyle w:val="H4G"/>
      </w:pPr>
      <w:r>
        <w:tab/>
      </w:r>
      <w:r w:rsidR="007951FE" w:rsidRPr="007951FE">
        <w:tab/>
        <w:t>Coordinación de actuaciones poco eficaz</w:t>
      </w:r>
    </w:p>
    <w:p w14:paraId="5AC1D89F" w14:textId="77777777" w:rsidR="007951FE" w:rsidRPr="007951FE" w:rsidRDefault="007951FE" w:rsidP="007951FE">
      <w:pPr>
        <w:pStyle w:val="SingleTxtG"/>
      </w:pPr>
      <w:r w:rsidRPr="007951FE">
        <w:t>32.</w:t>
      </w:r>
      <w:r w:rsidRPr="007951FE">
        <w:tab/>
        <w:t>Todos los asociados comparten la voluntad real de trabajar de manera conjunta, pero esta colaboración se ve obstaculizada por las dificultades existentes en las estructuras y en la interacción entre ellas. En este contexto, resulta difícil llevar a cabo tareas de coordinación, seguimiento y control de los programas y actividades.</w:t>
      </w:r>
    </w:p>
    <w:p w14:paraId="59A035EF" w14:textId="1E7AFBEE" w:rsidR="007951FE" w:rsidRPr="007951FE" w:rsidRDefault="00401826" w:rsidP="00401826">
      <w:pPr>
        <w:pStyle w:val="H4G"/>
      </w:pPr>
      <w:r>
        <w:tab/>
      </w:r>
      <w:r w:rsidR="007951FE" w:rsidRPr="007951FE">
        <w:tab/>
        <w:t xml:space="preserve">Insuficiente implicación del sector privado en la promoción y protección </w:t>
      </w:r>
      <w:r>
        <w:br/>
      </w:r>
      <w:r w:rsidR="007951FE" w:rsidRPr="007951FE">
        <w:t>de la infancia</w:t>
      </w:r>
    </w:p>
    <w:p w14:paraId="7241FA6C" w14:textId="6750F6A6" w:rsidR="007951FE" w:rsidRPr="007951FE" w:rsidRDefault="007951FE" w:rsidP="007951FE">
      <w:pPr>
        <w:pStyle w:val="SingleTxtG"/>
      </w:pPr>
      <w:r w:rsidRPr="007951FE">
        <w:t>33.</w:t>
      </w:r>
      <w:r w:rsidRPr="007951FE">
        <w:tab/>
        <w:t xml:space="preserve">El Gobierno de Malí es consciente del potencial que tiene el sector privado para promover los derechos del niño como palanca de crecimiento económico y creación de riqueza y empleo. El estudio </w:t>
      </w:r>
      <w:r w:rsidR="00F374AD">
        <w:t>“</w:t>
      </w:r>
      <w:r w:rsidRPr="007951FE">
        <w:t>Impacto del sector privado en los derechos del niño en Malí: cartografía y análisis del sector privado con vistas a impulsar la responsabilidad social empresarial para promover los derechos del niño</w:t>
      </w:r>
      <w:r w:rsidR="00F374AD">
        <w:t>”</w:t>
      </w:r>
      <w:r w:rsidRPr="007951FE">
        <w:t xml:space="preserve"> de 2011 arroja resultados sombríos. De hecho, el 66 % de las empresas nunca ha oído hablar del término </w:t>
      </w:r>
      <w:r w:rsidRPr="007951FE">
        <w:rPr>
          <w:i/>
          <w:iCs/>
        </w:rPr>
        <w:t>responsabilidad social empresarial</w:t>
      </w:r>
      <w:r w:rsidRPr="007951FE">
        <w:t>.</w:t>
      </w:r>
    </w:p>
    <w:p w14:paraId="6830F0F3" w14:textId="77777777" w:rsidR="007951FE" w:rsidRPr="007951FE" w:rsidRDefault="007951FE" w:rsidP="007951FE">
      <w:pPr>
        <w:pStyle w:val="SingleTxtG"/>
      </w:pPr>
      <w:r w:rsidRPr="007951FE">
        <w:t>34.</w:t>
      </w:r>
      <w:r w:rsidRPr="007951FE">
        <w:tab/>
        <w:t>El Estado tiene la voluntad de que las empresas contribuyan más a la financiación de las actuaciones en favor de la infancia. Para ello será necesario:</w:t>
      </w:r>
    </w:p>
    <w:p w14:paraId="389893E3" w14:textId="2FC64C1C" w:rsidR="007951FE" w:rsidRPr="007951FE" w:rsidRDefault="007951FE" w:rsidP="00401826">
      <w:pPr>
        <w:pStyle w:val="Bullet1G"/>
      </w:pPr>
      <w:r w:rsidRPr="007951FE">
        <w:t>Promover la integración de la responsabilidad social empresarial en las estrategias de las empresas y asegurarse de que estas apuesten por la promoción de los derechos del niño.</w:t>
      </w:r>
    </w:p>
    <w:p w14:paraId="506E3DBC" w14:textId="10E919E6" w:rsidR="007951FE" w:rsidRPr="007951FE" w:rsidRDefault="007951FE" w:rsidP="00401826">
      <w:pPr>
        <w:pStyle w:val="Bullet1G"/>
      </w:pPr>
      <w:r w:rsidRPr="007951FE">
        <w:t>Establecer un marco institucional que favorezca la promoción de la responsabilidad social empresarial en beneficio de los niños.</w:t>
      </w:r>
    </w:p>
    <w:p w14:paraId="30434012" w14:textId="03CC84E6" w:rsidR="007951FE" w:rsidRPr="007951FE" w:rsidRDefault="007951FE" w:rsidP="00401826">
      <w:pPr>
        <w:pStyle w:val="Bullet1G"/>
      </w:pPr>
      <w:r w:rsidRPr="007951FE">
        <w:t>Crear una plataforma de diálogo intersectorial en favor de la infancia.</w:t>
      </w:r>
    </w:p>
    <w:p w14:paraId="1EFDC629" w14:textId="6EB47D6E" w:rsidR="007951FE" w:rsidRPr="007951FE" w:rsidRDefault="007951FE" w:rsidP="00401826">
      <w:pPr>
        <w:pStyle w:val="Bullet1G"/>
      </w:pPr>
      <w:r w:rsidRPr="007951FE">
        <w:t>Poner en marcha proyectos piloto sectoriales destinados a proponer mejoras en el desarrollo de los derechos del niño.</w:t>
      </w:r>
    </w:p>
    <w:p w14:paraId="08A7E1A6" w14:textId="77777777" w:rsidR="007951FE" w:rsidRPr="007951FE" w:rsidRDefault="007951FE" w:rsidP="00401826">
      <w:pPr>
        <w:pStyle w:val="H23G"/>
      </w:pPr>
      <w:bookmarkStart w:id="18" w:name="_Toc414372888"/>
      <w:bookmarkStart w:id="19" w:name="_Toc414377613"/>
      <w:bookmarkStart w:id="20" w:name="_Toc35441077"/>
      <w:r w:rsidRPr="007951FE">
        <w:tab/>
        <w:t>1.3</w:t>
      </w:r>
      <w:r w:rsidRPr="007951FE">
        <w:tab/>
        <w:t>Perspectivas de futuro</w:t>
      </w:r>
      <w:bookmarkEnd w:id="18"/>
      <w:bookmarkEnd w:id="19"/>
      <w:bookmarkEnd w:id="20"/>
    </w:p>
    <w:p w14:paraId="2B884D1C" w14:textId="77777777" w:rsidR="007951FE" w:rsidRPr="007951FE" w:rsidRDefault="007951FE" w:rsidP="007951FE">
      <w:pPr>
        <w:pStyle w:val="SingleTxtG"/>
      </w:pPr>
      <w:r w:rsidRPr="007951FE">
        <w:t>35.</w:t>
      </w:r>
      <w:r w:rsidRPr="007951FE">
        <w:tab/>
        <w:t>Aparecen resumidas en el Marco Estratégico para el Crecimiento y la Reducción de la Pobreza y en la Política Nacional y Plan de Acción para la Promoción y la Protección de la Infancia, que se encuentra en vías de aprobación.</w:t>
      </w:r>
    </w:p>
    <w:p w14:paraId="270300AB" w14:textId="77777777" w:rsidR="007951FE" w:rsidRPr="007951FE" w:rsidRDefault="007951FE" w:rsidP="007951FE">
      <w:pPr>
        <w:pStyle w:val="SingleTxtG"/>
      </w:pPr>
      <w:r w:rsidRPr="007951FE">
        <w:t>36.</w:t>
      </w:r>
      <w:r w:rsidRPr="007951FE">
        <w:tab/>
        <w:t>El Marco Estratégico para el Crecimiento y la Reducción de la Pobreza 2012-2017 se elaboró a partir de las prioridades detectadas en la evaluación de sus dos primeros ciclos, a saber:</w:t>
      </w:r>
    </w:p>
    <w:p w14:paraId="393D5D43" w14:textId="22690072" w:rsidR="007951FE" w:rsidRPr="007951FE" w:rsidRDefault="007951FE" w:rsidP="00401826">
      <w:pPr>
        <w:pStyle w:val="Bullet1G"/>
      </w:pPr>
      <w:r w:rsidRPr="007951FE">
        <w:t>La diversificación económica orientada a acelerar el crecimiento y reducir la pobreza y las desigualdades (regionales y de género).</w:t>
      </w:r>
    </w:p>
    <w:p w14:paraId="022FB593" w14:textId="6B77B51C" w:rsidR="007951FE" w:rsidRPr="007951FE" w:rsidRDefault="007951FE" w:rsidP="00401826">
      <w:pPr>
        <w:pStyle w:val="Bullet1G"/>
      </w:pPr>
      <w:r w:rsidRPr="007951FE">
        <w:lastRenderedPageBreak/>
        <w:t>El control del crecimiento de la población.</w:t>
      </w:r>
    </w:p>
    <w:p w14:paraId="7B5580E5" w14:textId="45D2902F" w:rsidR="007951FE" w:rsidRPr="007951FE" w:rsidRDefault="007951FE" w:rsidP="00401826">
      <w:pPr>
        <w:pStyle w:val="Bullet1G"/>
      </w:pPr>
      <w:r w:rsidRPr="007951FE">
        <w:t>La creación de empleo juvenil.</w:t>
      </w:r>
    </w:p>
    <w:p w14:paraId="1A3ECFC0" w14:textId="1A3879F4" w:rsidR="007951FE" w:rsidRPr="007951FE" w:rsidRDefault="007951FE" w:rsidP="00401826">
      <w:pPr>
        <w:pStyle w:val="Bullet1G"/>
      </w:pPr>
      <w:r w:rsidRPr="007951FE">
        <w:t>El medio ambiente y el cambio climático.</w:t>
      </w:r>
    </w:p>
    <w:p w14:paraId="76B4BB35" w14:textId="5AB265F5" w:rsidR="007951FE" w:rsidRPr="007951FE" w:rsidRDefault="007951FE" w:rsidP="00401826">
      <w:pPr>
        <w:pStyle w:val="Bullet1G"/>
      </w:pPr>
      <w:r w:rsidRPr="007951FE">
        <w:t>La consolidación de la paz y la seguridad.</w:t>
      </w:r>
    </w:p>
    <w:p w14:paraId="0E7EE4E1" w14:textId="1EF9D895" w:rsidR="007951FE" w:rsidRPr="007951FE" w:rsidRDefault="007951FE" w:rsidP="00401826">
      <w:pPr>
        <w:pStyle w:val="Bullet1G"/>
      </w:pPr>
      <w:r w:rsidRPr="007951FE">
        <w:t>El refuerzo de la buena gobernanza (política, económica, ambiental y judicial).</w:t>
      </w:r>
    </w:p>
    <w:p w14:paraId="351F52B2" w14:textId="18031510" w:rsidR="007951FE" w:rsidRPr="007951FE" w:rsidRDefault="007951FE" w:rsidP="00401826">
      <w:pPr>
        <w:pStyle w:val="Bullet1G"/>
      </w:pPr>
      <w:r w:rsidRPr="007951FE">
        <w:t xml:space="preserve">El logro de los </w:t>
      </w:r>
      <w:proofErr w:type="spellStart"/>
      <w:r w:rsidRPr="007951FE">
        <w:t>ODM</w:t>
      </w:r>
      <w:proofErr w:type="spellEnd"/>
      <w:r w:rsidRPr="007951FE">
        <w:t xml:space="preserve"> para 2015.</w:t>
      </w:r>
    </w:p>
    <w:p w14:paraId="0DB45108" w14:textId="796FF7F7" w:rsidR="007951FE" w:rsidRPr="007951FE" w:rsidRDefault="007951FE" w:rsidP="00401826">
      <w:pPr>
        <w:pStyle w:val="Bullet1G"/>
      </w:pPr>
      <w:r w:rsidRPr="007951FE">
        <w:t>La creación de capacidades.</w:t>
      </w:r>
    </w:p>
    <w:p w14:paraId="599555A1" w14:textId="77777777" w:rsidR="007951FE" w:rsidRPr="007951FE" w:rsidRDefault="007951FE" w:rsidP="007951FE">
      <w:pPr>
        <w:pStyle w:val="SingleTxtG"/>
      </w:pPr>
      <w:r w:rsidRPr="007951FE">
        <w:t>37.</w:t>
      </w:r>
      <w:r w:rsidRPr="007951FE">
        <w:tab/>
        <w:t>El objetivo del Marco Estratégico para el Crecimiento y la Reducción de la Pobreza 2012-2017 es convertir a Malí en un país emergente y en una potencia agrícola, con una buena calidad de vida para su población, tanto masculina como femenina. Esto requiere un crecimiento fuerte, sostenible y redistributivo, un entorno macroeconómico sólido y la transformación y diversificación del tejido económico.</w:t>
      </w:r>
    </w:p>
    <w:p w14:paraId="5102E465" w14:textId="77777777" w:rsidR="007951FE" w:rsidRPr="007951FE" w:rsidRDefault="007951FE" w:rsidP="007951FE">
      <w:pPr>
        <w:pStyle w:val="SingleTxtG"/>
      </w:pPr>
      <w:r w:rsidRPr="007951FE">
        <w:t>38.</w:t>
      </w:r>
      <w:r w:rsidRPr="007951FE">
        <w:tab/>
        <w:t>La Política Nacional de Promoción y Protección de la Infancia será el documento de referencia para las cuestiones específicamente relacionadas con los niños. Con su apuesta por construir una sociedad democrática en la que se garantice el desarrollo de los niños a través del disfrute y el pleno ejercicio de sus derechos y deberes y en la que los progenitores, la comunidad, las autoridades locales y el Estado asuman la responsabilidad permanente de prepararlos para ejercer una ciudadanía efectiva basada en los valores socioculturales positivos del país, esta política supone una garantía más sólida de la aplicación efectiva de la Convención sobre los Derechos del Niño en Malí, por cuanto se basa en una serie de principios rectores que le sirven de apoyo de forma sistemática. Esta política apuesta por:</w:t>
      </w:r>
    </w:p>
    <w:p w14:paraId="7700C789" w14:textId="5788B8CA" w:rsidR="007951FE" w:rsidRPr="007951FE" w:rsidRDefault="00401826" w:rsidP="007951FE">
      <w:pPr>
        <w:pStyle w:val="SingleTxtG"/>
      </w:pPr>
      <w:r>
        <w:tab/>
      </w:r>
      <w:r w:rsidR="007951FE" w:rsidRPr="007951FE">
        <w:t>a)</w:t>
      </w:r>
      <w:r w:rsidR="007951FE" w:rsidRPr="007951FE">
        <w:tab/>
        <w:t>Dar prioridad al enfoque basado en los derechos en todos los programas de promoción y protección de la infancia;</w:t>
      </w:r>
    </w:p>
    <w:p w14:paraId="73F3D298" w14:textId="3325F32D" w:rsidR="007951FE" w:rsidRPr="007951FE" w:rsidRDefault="00401826" w:rsidP="007951FE">
      <w:pPr>
        <w:pStyle w:val="SingleTxtG"/>
      </w:pPr>
      <w:r>
        <w:tab/>
      </w:r>
      <w:r w:rsidR="007951FE" w:rsidRPr="007951FE">
        <w:t>b)</w:t>
      </w:r>
      <w:r w:rsidR="007951FE" w:rsidRPr="007951FE">
        <w:tab/>
        <w:t>Dar prioridad al interés superior del niño a la hora de buscar soluciones a los problemas que le afectan;</w:t>
      </w:r>
    </w:p>
    <w:p w14:paraId="6BE30CEC" w14:textId="51EEDE5D" w:rsidR="007951FE" w:rsidRPr="007951FE" w:rsidRDefault="00401826" w:rsidP="007951FE">
      <w:pPr>
        <w:pStyle w:val="SingleTxtG"/>
      </w:pPr>
      <w:r>
        <w:tab/>
      </w:r>
      <w:r w:rsidR="007951FE" w:rsidRPr="007951FE">
        <w:t>c)</w:t>
      </w:r>
      <w:r w:rsidR="007951FE" w:rsidRPr="007951FE">
        <w:tab/>
        <w:t>Reconocer el papel primordial del Estado en la promoción y construcción de un entorno de protección;</w:t>
      </w:r>
    </w:p>
    <w:p w14:paraId="0073B5BF" w14:textId="53D56788" w:rsidR="007951FE" w:rsidRPr="007951FE" w:rsidRDefault="00401826" w:rsidP="007951FE">
      <w:pPr>
        <w:pStyle w:val="SingleTxtG"/>
      </w:pPr>
      <w:r>
        <w:tab/>
      </w:r>
      <w:r w:rsidR="007951FE" w:rsidRPr="007951FE">
        <w:t>d)</w:t>
      </w:r>
      <w:r w:rsidR="007951FE" w:rsidRPr="007951FE">
        <w:tab/>
        <w:t>Adoptar un enfoque integrador y de colaboración basado en la acción concertada de todos los elementos de la sociedad (apoyo, movilización y participación), en todas las regiones.</w:t>
      </w:r>
    </w:p>
    <w:p w14:paraId="7210052C" w14:textId="77777777" w:rsidR="007951FE" w:rsidRPr="007951FE" w:rsidRDefault="007951FE" w:rsidP="00401826">
      <w:pPr>
        <w:pStyle w:val="HChG"/>
      </w:pPr>
      <w:bookmarkStart w:id="21" w:name="_Toc414372889"/>
      <w:bookmarkStart w:id="22" w:name="_Toc414377614"/>
      <w:bookmarkStart w:id="23" w:name="_Toc35441078"/>
      <w:r w:rsidRPr="007951FE">
        <w:rPr>
          <w:bCs/>
        </w:rPr>
        <w:tab/>
        <w:t>II.</w:t>
      </w:r>
      <w:r w:rsidRPr="007951FE">
        <w:tab/>
        <w:t>Definición de niño</w:t>
      </w:r>
      <w:bookmarkEnd w:id="21"/>
      <w:bookmarkEnd w:id="22"/>
      <w:bookmarkEnd w:id="23"/>
    </w:p>
    <w:p w14:paraId="6BA3704E" w14:textId="55758207" w:rsidR="007951FE" w:rsidRPr="007951FE" w:rsidRDefault="007951FE" w:rsidP="007951FE">
      <w:pPr>
        <w:pStyle w:val="SingleTxtG"/>
      </w:pPr>
      <w:r w:rsidRPr="007951FE">
        <w:t>39.</w:t>
      </w:r>
      <w:r w:rsidRPr="007951FE">
        <w:tab/>
        <w:t xml:space="preserve">El artículo 1 de la Convención sobre los Derechos del Niño define al niño como </w:t>
      </w:r>
      <w:r w:rsidR="00F374AD">
        <w:t>“</w:t>
      </w:r>
      <w:r w:rsidRPr="007951FE">
        <w:t>todo ser humano menor de 18 años de edad, salvo que, en virtud de la ley que le sea aplicable, haya alcanzado antes la mayoría de edad</w:t>
      </w:r>
      <w:r w:rsidR="00F374AD">
        <w:t>”</w:t>
      </w:r>
      <w:r w:rsidRPr="007951FE">
        <w:t>. Malí, por su parte, ratificó la Convención sin formular ninguna reserva sobre este artículo.</w:t>
      </w:r>
    </w:p>
    <w:p w14:paraId="7818475C" w14:textId="0A911254" w:rsidR="007951FE" w:rsidRPr="007951FE" w:rsidRDefault="00401826" w:rsidP="00401826">
      <w:pPr>
        <w:pStyle w:val="H23G"/>
      </w:pPr>
      <w:r>
        <w:tab/>
      </w:r>
      <w:r w:rsidR="007951FE" w:rsidRPr="007951FE">
        <w:tab/>
        <w:t>Medidas adoptadas y avances logrados</w:t>
      </w:r>
      <w:bookmarkStart w:id="24" w:name="_Toc414372890"/>
      <w:bookmarkStart w:id="25" w:name="_Toc414377615"/>
      <w:bookmarkStart w:id="26" w:name="_Toc35441079"/>
      <w:bookmarkEnd w:id="24"/>
      <w:bookmarkEnd w:id="25"/>
      <w:bookmarkEnd w:id="26"/>
    </w:p>
    <w:p w14:paraId="56768B55" w14:textId="3FE3A259" w:rsidR="007951FE" w:rsidRPr="007951FE" w:rsidRDefault="00401826" w:rsidP="00401826">
      <w:pPr>
        <w:pStyle w:val="H4G"/>
      </w:pPr>
      <w:r>
        <w:tab/>
      </w:r>
      <w:r w:rsidR="007951FE" w:rsidRPr="007951FE">
        <w:tab/>
        <w:t>Definición de niño</w:t>
      </w:r>
    </w:p>
    <w:p w14:paraId="1CCC1FE9" w14:textId="1AD7FFFC" w:rsidR="007951FE" w:rsidRPr="007951FE" w:rsidRDefault="00401826" w:rsidP="00401826">
      <w:pPr>
        <w:pStyle w:val="H56G"/>
      </w:pPr>
      <w:r>
        <w:tab/>
      </w:r>
      <w:r w:rsidR="007951FE" w:rsidRPr="007951FE">
        <w:tab/>
        <w:t>Avances logrados</w:t>
      </w:r>
    </w:p>
    <w:p w14:paraId="5DF0F3ED" w14:textId="77777777" w:rsidR="007951FE" w:rsidRPr="007951FE" w:rsidRDefault="007951FE" w:rsidP="007951FE">
      <w:pPr>
        <w:pStyle w:val="SingleTxtG"/>
      </w:pPr>
      <w:r w:rsidRPr="007951FE">
        <w:t>40.</w:t>
      </w:r>
      <w:r w:rsidRPr="007951FE">
        <w:tab/>
        <w:t>El artículo 609 del Código de la Persona y la Familia define al niño como toda persona que no haya cumplido los 18 años de edad.</w:t>
      </w:r>
    </w:p>
    <w:p w14:paraId="7FCAB378" w14:textId="7558015E" w:rsidR="007951FE" w:rsidRPr="007951FE" w:rsidRDefault="00401826" w:rsidP="00401826">
      <w:pPr>
        <w:pStyle w:val="H56G"/>
      </w:pPr>
      <w:bookmarkStart w:id="27" w:name="_Toc414372891"/>
      <w:bookmarkStart w:id="28" w:name="_Toc414373120"/>
      <w:bookmarkStart w:id="29" w:name="_Toc414377616"/>
      <w:r>
        <w:tab/>
      </w:r>
      <w:r w:rsidR="007951FE" w:rsidRPr="007951FE">
        <w:tab/>
        <w:t>Restricciones y límites</w:t>
      </w:r>
      <w:bookmarkEnd w:id="27"/>
      <w:bookmarkEnd w:id="28"/>
      <w:bookmarkEnd w:id="29"/>
    </w:p>
    <w:p w14:paraId="1E5403C6" w14:textId="4EAA6FDD" w:rsidR="007951FE" w:rsidRPr="007951FE" w:rsidRDefault="007951FE" w:rsidP="007951FE">
      <w:pPr>
        <w:pStyle w:val="SingleTxtG"/>
      </w:pPr>
      <w:r w:rsidRPr="007951FE">
        <w:t>41.</w:t>
      </w:r>
      <w:r w:rsidRPr="007951FE">
        <w:tab/>
        <w:t>A efectos de la Convención, la infancia termina a los 18 años, salvo en los Estados en los que la mayoría de edad legal sea más temprana. Con arreglo al Código de la Persona y la Familia, la edad mínima de las mujeres para contraer matrimonio en Malí es de 16 años, y de</w:t>
      </w:r>
      <w:r w:rsidR="00F63F63">
        <w:t> </w:t>
      </w:r>
      <w:r w:rsidRPr="007951FE">
        <w:t>15 si cuentan con consentimiento paterno.</w:t>
      </w:r>
    </w:p>
    <w:p w14:paraId="18217C1A" w14:textId="4C3972D3" w:rsidR="007951FE" w:rsidRPr="007951FE" w:rsidRDefault="00401826" w:rsidP="00401826">
      <w:pPr>
        <w:pStyle w:val="H56G"/>
      </w:pPr>
      <w:bookmarkStart w:id="30" w:name="_Toc24623582"/>
      <w:bookmarkStart w:id="31" w:name="_Toc24623697"/>
      <w:bookmarkStart w:id="32" w:name="_Toc24623800"/>
      <w:bookmarkStart w:id="33" w:name="_Toc24625477"/>
      <w:bookmarkStart w:id="34" w:name="_Toc24625588"/>
      <w:bookmarkStart w:id="35" w:name="_Toc414372892"/>
      <w:bookmarkStart w:id="36" w:name="_Toc414373121"/>
      <w:bookmarkStart w:id="37" w:name="_Toc414377617"/>
      <w:bookmarkEnd w:id="30"/>
      <w:bookmarkEnd w:id="31"/>
      <w:bookmarkEnd w:id="32"/>
      <w:bookmarkEnd w:id="33"/>
      <w:bookmarkEnd w:id="34"/>
      <w:r>
        <w:lastRenderedPageBreak/>
        <w:tab/>
      </w:r>
      <w:r w:rsidR="007951FE" w:rsidRPr="007951FE">
        <w:tab/>
        <w:t>Perspectivas de futuro</w:t>
      </w:r>
      <w:bookmarkEnd w:id="35"/>
      <w:bookmarkEnd w:id="36"/>
      <w:bookmarkEnd w:id="37"/>
    </w:p>
    <w:p w14:paraId="57A2BBA0" w14:textId="77777777" w:rsidR="007951FE" w:rsidRPr="007951FE" w:rsidRDefault="007951FE" w:rsidP="007951FE">
      <w:pPr>
        <w:pStyle w:val="SingleTxtG"/>
      </w:pPr>
      <w:r w:rsidRPr="007951FE">
        <w:t>42.</w:t>
      </w:r>
      <w:r w:rsidRPr="007951FE">
        <w:tab/>
        <w:t>Entre las medidas incluidas en el marco del nuevo Plan Nacional de Protección de la Infancia, está previsto aprobar una estrategia nacional de lucha contra el matrimonio precoz para elevar a los 18 años la edad del primer matrimonio de las jóvenes.</w:t>
      </w:r>
    </w:p>
    <w:p w14:paraId="1904BC39" w14:textId="77777777" w:rsidR="007951FE" w:rsidRPr="007951FE" w:rsidRDefault="007951FE" w:rsidP="00401826">
      <w:pPr>
        <w:pStyle w:val="HChG"/>
      </w:pPr>
      <w:bookmarkStart w:id="38" w:name="_Toc414372893"/>
      <w:bookmarkStart w:id="39" w:name="_Toc414377618"/>
      <w:bookmarkStart w:id="40" w:name="_Toc35441080"/>
      <w:r w:rsidRPr="007951FE">
        <w:rPr>
          <w:bCs/>
        </w:rPr>
        <w:tab/>
        <w:t>III.</w:t>
      </w:r>
      <w:r w:rsidRPr="007951FE">
        <w:tab/>
        <w:t>Principios generales</w:t>
      </w:r>
      <w:bookmarkEnd w:id="38"/>
      <w:bookmarkEnd w:id="39"/>
      <w:bookmarkEnd w:id="40"/>
    </w:p>
    <w:p w14:paraId="65B59B0A" w14:textId="77777777" w:rsidR="007951FE" w:rsidRPr="007951FE" w:rsidRDefault="007951FE" w:rsidP="007951FE">
      <w:pPr>
        <w:pStyle w:val="SingleTxtG"/>
      </w:pPr>
      <w:r w:rsidRPr="007951FE">
        <w:t>43.</w:t>
      </w:r>
      <w:r w:rsidRPr="007951FE">
        <w:tab/>
        <w:t>Los cuatro principios generales son la no discriminación, el interés superior del niño, la supervivencia y el desarrollo y el respeto de las opiniones del niño (o el derecho de participación del niño). Estos principios son interdependientes y no se les puede aplicar ninguna excepción, ni siquiera en situaciones de emergencia.</w:t>
      </w:r>
    </w:p>
    <w:p w14:paraId="0309C1A7" w14:textId="77777777" w:rsidR="007951FE" w:rsidRPr="007951FE" w:rsidRDefault="007951FE" w:rsidP="00401826">
      <w:pPr>
        <w:pStyle w:val="H23G"/>
      </w:pPr>
      <w:r w:rsidRPr="007951FE">
        <w:rPr>
          <w:bCs/>
        </w:rPr>
        <w:tab/>
        <w:t>3.1</w:t>
      </w:r>
      <w:r w:rsidRPr="007951FE">
        <w:tab/>
        <w:t>Avances logrados</w:t>
      </w:r>
    </w:p>
    <w:p w14:paraId="2856D02D" w14:textId="77777777" w:rsidR="007951FE" w:rsidRPr="007951FE" w:rsidRDefault="007951FE" w:rsidP="00401826">
      <w:pPr>
        <w:pStyle w:val="H4G"/>
      </w:pPr>
      <w:r w:rsidRPr="007951FE">
        <w:tab/>
        <w:t>3.1.1</w:t>
      </w:r>
      <w:r w:rsidRPr="007951FE">
        <w:tab/>
        <w:t>No discriminación</w:t>
      </w:r>
    </w:p>
    <w:p w14:paraId="257D2425" w14:textId="77777777" w:rsidR="007951FE" w:rsidRPr="007951FE" w:rsidRDefault="007951FE" w:rsidP="007951FE">
      <w:pPr>
        <w:pStyle w:val="SingleTxtG"/>
      </w:pPr>
      <w:r w:rsidRPr="007951FE">
        <w:t>44.</w:t>
      </w:r>
      <w:r w:rsidRPr="007951FE">
        <w:tab/>
        <w:t>De conformidad con lo dispuesto en el artículo 2 de la Constitución de Malí, el Código de la Persona y la Familia reconoce en su artículo 3 el principio de no discriminación.</w:t>
      </w:r>
    </w:p>
    <w:p w14:paraId="4CE06918" w14:textId="77777777" w:rsidR="007951FE" w:rsidRPr="007951FE" w:rsidRDefault="007951FE" w:rsidP="007951FE">
      <w:pPr>
        <w:pStyle w:val="SingleTxtG"/>
      </w:pPr>
      <w:r w:rsidRPr="007951FE">
        <w:t>45.</w:t>
      </w:r>
      <w:r w:rsidRPr="007951FE">
        <w:tab/>
        <w:t>Con la Política Nacional de Género se pretende construir una sociedad democrática que garantice la realización de todas las mujeres y todos los hombres mediante el pleno ejercicio de sus derechos fundamentales iguales, la participación activa en la sociedad y el acceso equitativo a los recursos, para hacer de Malí un país emergente, con un fuerte crecimiento, que esté orgulloso de sus valores de justicia, paz, solidaridad y cohesión social.</w:t>
      </w:r>
    </w:p>
    <w:p w14:paraId="582CACC3" w14:textId="77777777" w:rsidR="007951FE" w:rsidRPr="007951FE" w:rsidRDefault="007951FE" w:rsidP="007951FE">
      <w:pPr>
        <w:pStyle w:val="SingleTxtG"/>
      </w:pPr>
      <w:r w:rsidRPr="007951FE">
        <w:t>46.</w:t>
      </w:r>
      <w:r w:rsidRPr="007951FE">
        <w:tab/>
        <w:t>Según los resultados del Estudio sobre Conocimientos, Habilidades y Prácticas relativos a los Derechos del Niño y la Mujer, la mayoría de los progenitores, tanto de las zonas rurales (66,7 %) como de las urbanas (71,2 %), inscriben a todos los hijos e hijas sin distinción de sexo.</w:t>
      </w:r>
    </w:p>
    <w:p w14:paraId="44EC9606" w14:textId="77777777" w:rsidR="007951FE" w:rsidRPr="007951FE" w:rsidRDefault="007951FE" w:rsidP="007951FE">
      <w:pPr>
        <w:pStyle w:val="SingleTxtG"/>
      </w:pPr>
      <w:r w:rsidRPr="007951FE">
        <w:t>47.</w:t>
      </w:r>
      <w:r w:rsidRPr="007951FE">
        <w:tab/>
        <w:t>La mayoría de los padres y madres encuestados tienen una visión paritaria sobre las niñas y niños: más del 60 % la aplica en cuestiones como la inscripción de los nacimientos, la vacunación, la alimentación, la escolarización o la protección.</w:t>
      </w:r>
    </w:p>
    <w:p w14:paraId="43442E35" w14:textId="77777777" w:rsidR="007951FE" w:rsidRPr="007951FE" w:rsidRDefault="007951FE" w:rsidP="00401826">
      <w:pPr>
        <w:pStyle w:val="H4G"/>
      </w:pPr>
      <w:r w:rsidRPr="007951FE">
        <w:tab/>
        <w:t>3.1.2</w:t>
      </w:r>
      <w:r w:rsidRPr="007951FE">
        <w:tab/>
        <w:t>Interés superior del niño</w:t>
      </w:r>
    </w:p>
    <w:p w14:paraId="29AD92C7" w14:textId="77777777" w:rsidR="007951FE" w:rsidRPr="007951FE" w:rsidRDefault="007951FE" w:rsidP="007951FE">
      <w:pPr>
        <w:pStyle w:val="SingleTxtG"/>
      </w:pPr>
      <w:r w:rsidRPr="007951FE">
        <w:t>48.</w:t>
      </w:r>
      <w:r w:rsidRPr="007951FE">
        <w:tab/>
        <w:t>En lo que respecta a la inscripción de los hijos nacidos fuera del matrimonio, el artículo 160 del Código de la Persona y la Familia establece que el certificado de nacimiento no debe contener ninguna mención específica que indique que el nacimiento fue ilegítimo.</w:t>
      </w:r>
    </w:p>
    <w:p w14:paraId="02E4A8E0" w14:textId="77777777" w:rsidR="007951FE" w:rsidRPr="007951FE" w:rsidRDefault="007951FE" w:rsidP="007951FE">
      <w:pPr>
        <w:pStyle w:val="SingleTxtG"/>
      </w:pPr>
      <w:r w:rsidRPr="007951FE">
        <w:t>49.</w:t>
      </w:r>
      <w:r w:rsidRPr="007951FE">
        <w:tab/>
        <w:t>El Código de la Persona y la Familia otorga la nacionalidad maliense a todo niño nacido en Malí de padres desconocidos (art. 225). El niño podrá conservar esta nacionalidad incluso si, siendo menor de edad, se determina su filiación respecto a un extranjero y adquiere su nacionalidad, de conformidad con el derecho interno del país de dicho extranjero. Además, los niños pueden renunciar a la nacionalidad maliense con arreglo a derecho en los seis meses siguientes a alcanzar la mayoría de edad. Asimismo, el Código concede automáticamente la nacionalidad maliense a los niños cuando al menos uno de sus progenitores haya adquirido dicha nacionalidad.</w:t>
      </w:r>
    </w:p>
    <w:p w14:paraId="192F3EEB" w14:textId="77777777" w:rsidR="007951FE" w:rsidRPr="007951FE" w:rsidRDefault="007951FE" w:rsidP="007951FE">
      <w:pPr>
        <w:pStyle w:val="SingleTxtG"/>
      </w:pPr>
      <w:r w:rsidRPr="007951FE">
        <w:t>50.</w:t>
      </w:r>
      <w:r w:rsidRPr="007951FE">
        <w:tab/>
        <w:t>Al decidir sobre la custodia en caso de divorcio, debe siempre tenerse en cuenta el interés superior del niño.</w:t>
      </w:r>
    </w:p>
    <w:p w14:paraId="3B9FD5B3" w14:textId="71AB96FD" w:rsidR="008A5E67" w:rsidRPr="008A5E67" w:rsidRDefault="00401826" w:rsidP="00401826">
      <w:pPr>
        <w:pStyle w:val="H4G"/>
      </w:pPr>
      <w:r>
        <w:tab/>
      </w:r>
      <w:r w:rsidR="008A5E67" w:rsidRPr="008A5E67">
        <w:t>3.1.3</w:t>
      </w:r>
      <w:r w:rsidR="008A5E67" w:rsidRPr="008A5E67">
        <w:tab/>
        <w:t>Derecho a la vida, a la supervivencia y al desarrollo</w:t>
      </w:r>
    </w:p>
    <w:p w14:paraId="7DD61A27" w14:textId="77777777" w:rsidR="008A5E67" w:rsidRPr="008A5E67" w:rsidRDefault="008A5E67" w:rsidP="008A5E67">
      <w:pPr>
        <w:pStyle w:val="SingleTxtG"/>
      </w:pPr>
      <w:r w:rsidRPr="008A5E67">
        <w:t>51.</w:t>
      </w:r>
      <w:r w:rsidRPr="008A5E67">
        <w:tab/>
        <w:t>Malí ha seguido aplicando sus programas decenales de educación y salud. Estos programas han tenido efectos positivos, como se desprende de los resultados presentados en los distintos cuadros y gráficos.</w:t>
      </w:r>
    </w:p>
    <w:p w14:paraId="19B63A1D" w14:textId="7DB399CA" w:rsidR="008A5E67" w:rsidRPr="008A5E67" w:rsidRDefault="00401826" w:rsidP="00401826">
      <w:pPr>
        <w:pStyle w:val="H4G"/>
      </w:pPr>
      <w:r>
        <w:lastRenderedPageBreak/>
        <w:tab/>
      </w:r>
      <w:r w:rsidR="008A5E67" w:rsidRPr="008A5E67">
        <w:t>3.1.4</w:t>
      </w:r>
      <w:r w:rsidR="008A5E67" w:rsidRPr="008A5E67">
        <w:tab/>
        <w:t>Respeto a la opinión del niño</w:t>
      </w:r>
    </w:p>
    <w:p w14:paraId="7EE02C65" w14:textId="77777777" w:rsidR="008A5E67" w:rsidRPr="008A5E67" w:rsidRDefault="008A5E67" w:rsidP="008A5E67">
      <w:pPr>
        <w:pStyle w:val="SingleTxtG"/>
      </w:pPr>
      <w:r w:rsidRPr="008A5E67">
        <w:t>52.</w:t>
      </w:r>
      <w:r w:rsidRPr="008A5E67">
        <w:tab/>
        <w:t xml:space="preserve">Malí proclama firmemente el valor del niño como persona a carta cabal con derecho a acceder a la información y a expresar su opinión libremente en todos los asuntos que lo conciernen de acuerdo con su grado de madurez y discernimiento. </w:t>
      </w:r>
    </w:p>
    <w:p w14:paraId="791411EE" w14:textId="77777777" w:rsidR="008A5E67" w:rsidRPr="008A5E67" w:rsidRDefault="008A5E67" w:rsidP="008A5E67">
      <w:pPr>
        <w:pStyle w:val="SingleTxtG"/>
      </w:pPr>
      <w:r w:rsidRPr="008A5E67">
        <w:t>53.</w:t>
      </w:r>
      <w:r w:rsidRPr="008A5E67">
        <w:tab/>
        <w:t xml:space="preserve">De los resultados del Estudio sobre Conocimientos, Habilidades y Prácticas relativos a los Derechos del Niño y la Mujer se desprende que la participación de los niños en las decisiones que los afectan está por debajo de la media (49,2 %). Las tendencias por lugar de residencia son más marcadas en las zonas urbanas (60 %) que en las rurales (40,2 %). </w:t>
      </w:r>
    </w:p>
    <w:p w14:paraId="1200BF64" w14:textId="5EABD95F" w:rsidR="008A5E67" w:rsidRPr="008A5E67" w:rsidRDefault="008A5E67" w:rsidP="008A5E67">
      <w:pPr>
        <w:pStyle w:val="SingleTxtG"/>
      </w:pPr>
      <w:r w:rsidRPr="008A5E67">
        <w:t>54.</w:t>
      </w:r>
      <w:r w:rsidRPr="008A5E67">
        <w:tab/>
        <w:t xml:space="preserve">La iniciativa </w:t>
      </w:r>
      <w:r w:rsidR="00F374AD">
        <w:t>“</w:t>
      </w:r>
      <w:r w:rsidRPr="008A5E67">
        <w:t>Escuela amiga de los niños y las niñas</w:t>
      </w:r>
      <w:r w:rsidR="00F374AD">
        <w:t>”</w:t>
      </w:r>
      <w:r w:rsidRPr="008A5E67">
        <w:t xml:space="preserve"> ha fomentado la participación activa de la infancia a través de 399 gobiernos infantiles en algunos centros escolares. </w:t>
      </w:r>
    </w:p>
    <w:p w14:paraId="41BB1068" w14:textId="77777777" w:rsidR="008A5E67" w:rsidRPr="008A5E67" w:rsidRDefault="008A5E67" w:rsidP="008A5E67">
      <w:pPr>
        <w:pStyle w:val="SingleTxtG"/>
      </w:pPr>
      <w:r w:rsidRPr="008A5E67">
        <w:t>55.</w:t>
      </w:r>
      <w:r w:rsidRPr="008A5E67">
        <w:tab/>
        <w:t xml:space="preserve">El Parlamento de los Niños, creado en 1996, interpela a las autoridades y lleva a cabo actividades de promoción de los derechos del niño. </w:t>
      </w:r>
    </w:p>
    <w:p w14:paraId="40713EA6" w14:textId="1AFAB6FD" w:rsidR="008A5E67" w:rsidRPr="008A5E67" w:rsidRDefault="00401826" w:rsidP="00401826">
      <w:pPr>
        <w:pStyle w:val="H23G"/>
      </w:pPr>
      <w:bookmarkStart w:id="41" w:name="_Toc414372895"/>
      <w:bookmarkStart w:id="42" w:name="_Toc414373124"/>
      <w:bookmarkStart w:id="43" w:name="_Toc414377620"/>
      <w:r>
        <w:rPr>
          <w:bCs/>
        </w:rPr>
        <w:tab/>
      </w:r>
      <w:r w:rsidR="008A5E67" w:rsidRPr="008A5E67">
        <w:rPr>
          <w:bCs/>
        </w:rPr>
        <w:t>3.2</w:t>
      </w:r>
      <w:r w:rsidR="008A5E67" w:rsidRPr="008A5E67">
        <w:tab/>
        <w:t>Restricciones y límites</w:t>
      </w:r>
      <w:bookmarkEnd w:id="41"/>
      <w:bookmarkEnd w:id="42"/>
      <w:bookmarkEnd w:id="43"/>
    </w:p>
    <w:p w14:paraId="537D2A1D" w14:textId="1A58BD52" w:rsidR="008A5E67" w:rsidRPr="008A5E67" w:rsidRDefault="008A5E67" w:rsidP="008A5E67">
      <w:pPr>
        <w:pStyle w:val="SingleTxtG"/>
      </w:pPr>
      <w:r w:rsidRPr="008A5E67">
        <w:t>56.</w:t>
      </w:r>
      <w:r w:rsidRPr="008A5E67">
        <w:tab/>
        <w:t>Según los resultados del Estudio sobre Conocimientos, Habilidades y Prácticas relativos a los Derechos del Niño y la Mujer, los propios niños señalaron el analfabetismo (86,4 %), el desconocimiento de los derechos (85,6 %) y el peso de la tradición (71,2 %) como los principales obstáculos al disfrute de sus derechos. También mencionaron el incumplimiento de los textos legales (49,1 %), la actitud negativa de los obligacionistas (49,9</w:t>
      </w:r>
      <w:r w:rsidR="00401826">
        <w:t> </w:t>
      </w:r>
      <w:r w:rsidRPr="008A5E67">
        <w:t>%) y la falta de acceso a los textos legales (41,2 %).</w:t>
      </w:r>
    </w:p>
    <w:p w14:paraId="03C58324" w14:textId="77777777" w:rsidR="008A5E67" w:rsidRPr="008A5E67" w:rsidRDefault="008A5E67" w:rsidP="008A5E67">
      <w:pPr>
        <w:pStyle w:val="SingleTxtG"/>
      </w:pPr>
      <w:r w:rsidRPr="008A5E67">
        <w:t>57.</w:t>
      </w:r>
      <w:r w:rsidRPr="008A5E67">
        <w:tab/>
        <w:t xml:space="preserve">Además del Estudio sobre Conocimientos, Habilidades y Prácticas relativos a los Derechos del Niño y la Mujer, la </w:t>
      </w:r>
      <w:proofErr w:type="spellStart"/>
      <w:r w:rsidRPr="008A5E67">
        <w:t>MICS</w:t>
      </w:r>
      <w:proofErr w:type="spellEnd"/>
      <w:r w:rsidRPr="008A5E67">
        <w:t xml:space="preserve"> 2010 y la </w:t>
      </w:r>
      <w:proofErr w:type="spellStart"/>
      <w:r w:rsidRPr="008A5E67">
        <w:t>EDSM</w:t>
      </w:r>
      <w:proofErr w:type="spellEnd"/>
      <w:r w:rsidRPr="008A5E67">
        <w:t xml:space="preserve"> V también revelan que el bajo nivel de instrucción de los padres constituye un obstáculo a la efectividad plena de los derechos del niño, especialmente en lo que respecta a la violencia (castigos corporales) y al registro de nacimientos.</w:t>
      </w:r>
    </w:p>
    <w:p w14:paraId="4B449F12" w14:textId="77777777" w:rsidR="008A5E67" w:rsidRPr="008A5E67" w:rsidRDefault="008A5E67" w:rsidP="008A5E67">
      <w:pPr>
        <w:pStyle w:val="SingleTxtG"/>
      </w:pPr>
      <w:r w:rsidRPr="008A5E67">
        <w:t>58.</w:t>
      </w:r>
      <w:r w:rsidRPr="008A5E67">
        <w:tab/>
        <w:t>Esos elevados porcentajes de las distintas restricciones antes mencionadas son motivo de preocupación. Por lo tanto, se necesita una amplia concienciación de la población y el compromiso de las partes interesadas (organizaciones de la sociedad civil, asociados técnicos y financieros) para invertir la tendencia.</w:t>
      </w:r>
    </w:p>
    <w:p w14:paraId="229748B6" w14:textId="5963B6D3" w:rsidR="008A5E67" w:rsidRPr="008A5E67" w:rsidRDefault="00401826" w:rsidP="00401826">
      <w:pPr>
        <w:pStyle w:val="H23G"/>
      </w:pPr>
      <w:bookmarkStart w:id="44" w:name="_Toc414372896"/>
      <w:bookmarkStart w:id="45" w:name="_Toc414373125"/>
      <w:bookmarkStart w:id="46" w:name="_Toc414377621"/>
      <w:r>
        <w:tab/>
      </w:r>
      <w:r w:rsidR="008A5E67" w:rsidRPr="008A5E67">
        <w:t>3.3</w:t>
      </w:r>
      <w:r w:rsidR="008A5E67" w:rsidRPr="008A5E67">
        <w:tab/>
        <w:t>De cara al futuro</w:t>
      </w:r>
      <w:bookmarkEnd w:id="44"/>
      <w:bookmarkEnd w:id="45"/>
      <w:bookmarkEnd w:id="46"/>
    </w:p>
    <w:p w14:paraId="20CD396C" w14:textId="77777777" w:rsidR="008A5E67" w:rsidRPr="008A5E67" w:rsidRDefault="008A5E67" w:rsidP="008A5E67">
      <w:pPr>
        <w:pStyle w:val="SingleTxtG"/>
      </w:pPr>
      <w:r w:rsidRPr="008A5E67">
        <w:t>59.</w:t>
      </w:r>
      <w:r w:rsidRPr="008A5E67">
        <w:tab/>
        <w:t xml:space="preserve">El Marco Estratégico para el Crecimiento y la Reducción de la Pobreza (2012-2017), el proyecto de Política y Plan de Acción para la Promoción y la Protección de la Infancia, el Plan Decenal de Desarrollo Sociosanitario (2014-2023), el Programa de Inversión en el Sector de la Enseñanza (2010-2012, prorrogado) y la Política Nacional de Género, entre otros, incluyen en su enfoque el respeto de los principios generales de los derechos del niño. </w:t>
      </w:r>
    </w:p>
    <w:p w14:paraId="7C20ACC3" w14:textId="77777777" w:rsidR="008A5E67" w:rsidRPr="008A5E67" w:rsidRDefault="008A5E67" w:rsidP="008A5E67">
      <w:pPr>
        <w:pStyle w:val="SingleTxtG"/>
      </w:pPr>
      <w:r w:rsidRPr="008A5E67">
        <w:t>60.</w:t>
      </w:r>
      <w:r w:rsidRPr="008A5E67">
        <w:tab/>
        <w:t xml:space="preserve">En su enfoque, el proyecto de Política Nacional de Promoción y Protección de la Infancia considera el desarrollo infantil como un concepto holístico que hace referencia a numerosos artículos de la Convención sobre los Derechos del Niño. </w:t>
      </w:r>
    </w:p>
    <w:p w14:paraId="0C90AE74" w14:textId="148F86ED" w:rsidR="008A5E67" w:rsidRPr="008A5E67" w:rsidRDefault="00401826" w:rsidP="00401826">
      <w:pPr>
        <w:pStyle w:val="HChG"/>
      </w:pPr>
      <w:bookmarkStart w:id="47" w:name="_Toc414372897"/>
      <w:bookmarkStart w:id="48" w:name="_Toc414377622"/>
      <w:bookmarkStart w:id="49" w:name="_Toc35441081"/>
      <w:r>
        <w:tab/>
      </w:r>
      <w:r w:rsidR="008A5E67" w:rsidRPr="008A5E67">
        <w:t>IV.</w:t>
      </w:r>
      <w:r w:rsidR="008A5E67" w:rsidRPr="008A5E67">
        <w:tab/>
        <w:t>Derechos y libertades civiles</w:t>
      </w:r>
      <w:bookmarkEnd w:id="47"/>
      <w:bookmarkEnd w:id="48"/>
      <w:bookmarkEnd w:id="49"/>
    </w:p>
    <w:p w14:paraId="25814420" w14:textId="77777777" w:rsidR="008A5E67" w:rsidRPr="008A5E67" w:rsidRDefault="008A5E67" w:rsidP="008A5E67">
      <w:pPr>
        <w:pStyle w:val="SingleTxtG"/>
      </w:pPr>
      <w:r w:rsidRPr="008A5E67">
        <w:t>61.</w:t>
      </w:r>
      <w:r w:rsidRPr="008A5E67">
        <w:tab/>
        <w:t xml:space="preserve">Los derechos comprendidos en la categoría de derechos y libertades civiles se enuncian en el artículo 7, el artículo 8, los artículos 13 a 17 y el artículo 37, párrafo a), de la Convención sobre los Derechos del Niño. </w:t>
      </w:r>
    </w:p>
    <w:p w14:paraId="6B1F4B00" w14:textId="6137E113" w:rsidR="008A5E67" w:rsidRPr="008A5E67" w:rsidRDefault="00401826" w:rsidP="00401826">
      <w:pPr>
        <w:pStyle w:val="H23G"/>
      </w:pPr>
      <w:bookmarkStart w:id="50" w:name="_Toc414372898"/>
      <w:bookmarkStart w:id="51" w:name="_Toc414377623"/>
      <w:bookmarkStart w:id="52" w:name="_Toc35441082"/>
      <w:r>
        <w:tab/>
      </w:r>
      <w:r w:rsidR="008A5E67" w:rsidRPr="008A5E67">
        <w:t>4.1</w:t>
      </w:r>
      <w:r w:rsidR="008A5E67" w:rsidRPr="008A5E67">
        <w:tab/>
        <w:t>Medidas adoptadas y avances logrados</w:t>
      </w:r>
      <w:bookmarkEnd w:id="50"/>
      <w:bookmarkEnd w:id="51"/>
      <w:bookmarkEnd w:id="52"/>
    </w:p>
    <w:p w14:paraId="2A8D34DD" w14:textId="5236F4E5" w:rsidR="008A5E67" w:rsidRPr="008A5E67" w:rsidRDefault="00401826" w:rsidP="00401826">
      <w:pPr>
        <w:pStyle w:val="H4G"/>
      </w:pPr>
      <w:bookmarkStart w:id="53" w:name="_Toc414372899"/>
      <w:bookmarkStart w:id="54" w:name="_Toc414373128"/>
      <w:bookmarkStart w:id="55" w:name="_Toc414377624"/>
      <w:bookmarkStart w:id="56" w:name="_Toc35441083"/>
      <w:r>
        <w:rPr>
          <w:iCs/>
        </w:rPr>
        <w:tab/>
      </w:r>
      <w:r w:rsidR="008A5E67" w:rsidRPr="008A5E67">
        <w:rPr>
          <w:iCs/>
        </w:rPr>
        <w:t>4.1.1</w:t>
      </w:r>
      <w:r w:rsidR="008A5E67" w:rsidRPr="008A5E67">
        <w:tab/>
        <w:t>Apellido</w:t>
      </w:r>
      <w:bookmarkEnd w:id="53"/>
      <w:bookmarkEnd w:id="54"/>
      <w:bookmarkEnd w:id="55"/>
      <w:bookmarkEnd w:id="56"/>
    </w:p>
    <w:p w14:paraId="0631D17D" w14:textId="77777777" w:rsidR="008A5E67" w:rsidRPr="008A5E67" w:rsidRDefault="008A5E67" w:rsidP="008A5E67">
      <w:pPr>
        <w:pStyle w:val="SingleTxtG"/>
      </w:pPr>
      <w:r w:rsidRPr="008A5E67">
        <w:t>62.</w:t>
      </w:r>
      <w:r w:rsidRPr="008A5E67">
        <w:tab/>
        <w:t xml:space="preserve">Las condiciones que rigen la adquisición, la conservación y la pérdida del apellido figuran en los artículos 27 a 35 del Código de la Persona y la Familia. El apellido se adquiere por filiación, matrimonio o decisión de la autoridad administrativa o judicial (art. 30). </w:t>
      </w:r>
      <w:r w:rsidRPr="008A5E67">
        <w:lastRenderedPageBreak/>
        <w:t xml:space="preserve">Asimismo, cualquier persona que justifique un interés legítimo puede solicitar un cambio de apellido o de nombre (art. 40 del Código). </w:t>
      </w:r>
    </w:p>
    <w:p w14:paraId="403E5BA9" w14:textId="3BD3ADC3" w:rsidR="008A5E67" w:rsidRPr="008A5E67" w:rsidRDefault="00401826" w:rsidP="00401826">
      <w:pPr>
        <w:pStyle w:val="H4G"/>
      </w:pPr>
      <w:bookmarkStart w:id="57" w:name="_Toc414372900"/>
      <w:bookmarkStart w:id="58" w:name="_Toc414373129"/>
      <w:bookmarkStart w:id="59" w:name="_Toc414377625"/>
      <w:bookmarkStart w:id="60" w:name="_Toc35441084"/>
      <w:r>
        <w:tab/>
      </w:r>
      <w:r w:rsidR="008A5E67" w:rsidRPr="008A5E67">
        <w:t>4.1.2</w:t>
      </w:r>
      <w:r w:rsidR="008A5E67" w:rsidRPr="008A5E67">
        <w:tab/>
        <w:t>Nacionalidad</w:t>
      </w:r>
      <w:bookmarkEnd w:id="57"/>
      <w:bookmarkEnd w:id="58"/>
      <w:bookmarkEnd w:id="59"/>
      <w:bookmarkEnd w:id="60"/>
    </w:p>
    <w:p w14:paraId="334F4587" w14:textId="77777777" w:rsidR="008A5E67" w:rsidRPr="008A5E67" w:rsidRDefault="008A5E67" w:rsidP="008A5E67">
      <w:pPr>
        <w:pStyle w:val="SingleTxtG"/>
      </w:pPr>
      <w:r w:rsidRPr="008A5E67">
        <w:t>63.</w:t>
      </w:r>
      <w:r w:rsidRPr="008A5E67">
        <w:tab/>
        <w:t>El artículo 219 del Código de la Persona y la Familia establece que se aplican las disposiciones relativas a la nacionalidad contenidas en los tratados y acuerdos internacionales debidamente ratificados por Malí y publicados. En cuanto a la nacionalidad de origen, el artículo 244 del mismo Código establece que un niño es maliense, independientemente de que haya nacido en Malí o en el extranjero, si su padre o su madre es maliense y el otro progenitor es extranjero, a menos que renuncie a la nacionalidad maliense en los seis meses siguientes a su mayoría de edad, de conformidad con los artículos 255 y 256 de este Código.</w:t>
      </w:r>
    </w:p>
    <w:p w14:paraId="032B0B70" w14:textId="07F1D796" w:rsidR="008A5E67" w:rsidRPr="008A5E67" w:rsidRDefault="00401826" w:rsidP="00401826">
      <w:pPr>
        <w:pStyle w:val="H4G"/>
      </w:pPr>
      <w:bookmarkStart w:id="61" w:name="_Toc414372901"/>
      <w:bookmarkStart w:id="62" w:name="_Toc414373130"/>
      <w:bookmarkStart w:id="63" w:name="_Toc414377626"/>
      <w:bookmarkStart w:id="64" w:name="_Toc35441085"/>
      <w:r>
        <w:tab/>
      </w:r>
      <w:r w:rsidR="008A5E67" w:rsidRPr="008A5E67">
        <w:t>4.1.3</w:t>
      </w:r>
      <w:r w:rsidR="008A5E67" w:rsidRPr="008A5E67">
        <w:tab/>
        <w:t>Castigos corporales</w:t>
      </w:r>
      <w:bookmarkEnd w:id="61"/>
      <w:bookmarkEnd w:id="62"/>
      <w:bookmarkEnd w:id="63"/>
      <w:bookmarkEnd w:id="64"/>
    </w:p>
    <w:p w14:paraId="25626E6D" w14:textId="77777777" w:rsidR="008A5E67" w:rsidRPr="008A5E67" w:rsidRDefault="008A5E67" w:rsidP="008A5E67">
      <w:pPr>
        <w:pStyle w:val="SingleTxtG"/>
      </w:pPr>
      <w:r w:rsidRPr="008A5E67">
        <w:t>64.</w:t>
      </w:r>
      <w:r w:rsidRPr="008A5E67">
        <w:tab/>
        <w:t xml:space="preserve">El marco jurídico nacional garantiza el derecho a la educación gratuita (Constitución, Ley de Orientación sobre la Educación de 1999) y a la protección (Código de Protección del Niño de 2002). Los castigos corporales fueron prohibidos por una orden ministerial de 1994. La violencia sexual está tipificada en el Código Penal. En el reglamento interno de la escuela se establece un amplio marco para las relaciones entre el profesorado y el alumnado y se prohíben los castigos corporales, pero no se abordan las cuestiones de violencia sexual o psicológica. En materia de protección, el Plan de Acción para Combatir la Violencia contra las Mujeres y las Niñas (2006-2011) prevé varias estrategias y medidas para combatir la violencia ejercida contra las niñas en el entorno escolar. </w:t>
      </w:r>
    </w:p>
    <w:p w14:paraId="4C3321EB" w14:textId="77777777" w:rsidR="008A5E67" w:rsidRPr="008A5E67" w:rsidRDefault="008A5E67" w:rsidP="008A5E67">
      <w:pPr>
        <w:pStyle w:val="SingleTxtG"/>
      </w:pPr>
      <w:r w:rsidRPr="008A5E67">
        <w:t>65.</w:t>
      </w:r>
      <w:r w:rsidRPr="008A5E67">
        <w:tab/>
        <w:t xml:space="preserve">La formación del profesorado incluye elementos de legislación escolar y deontología profesional, pero estos últimos se suelen pasar por alto en los cursos de corta duración. El enfoque de género en el programa de formación del profesorado se tiene en cuenta en el marco de la formación continua. </w:t>
      </w:r>
    </w:p>
    <w:p w14:paraId="60A90870" w14:textId="77777777" w:rsidR="008A5E67" w:rsidRPr="008A5E67" w:rsidRDefault="008A5E67" w:rsidP="008A5E67">
      <w:pPr>
        <w:pStyle w:val="SingleTxtG"/>
      </w:pPr>
      <w:r w:rsidRPr="008A5E67">
        <w:t>66.</w:t>
      </w:r>
      <w:r w:rsidRPr="008A5E67">
        <w:tab/>
        <w:t xml:space="preserve">Las políticas nacionales de educación, cuyo objetivo es aumentar la escolarización y el éxito académico, abordan la cuestión de la violencia escolar en el III Programa de Inversión en el Sector de la Enseñanza (2010-2012), particularmente en relación con la escolarización de las niñas. </w:t>
      </w:r>
    </w:p>
    <w:p w14:paraId="4FB5A93F" w14:textId="7DD26AF2" w:rsidR="008A5E67" w:rsidRPr="008A5E67" w:rsidRDefault="00401826" w:rsidP="00401826">
      <w:pPr>
        <w:pStyle w:val="H4G"/>
      </w:pPr>
      <w:bookmarkStart w:id="65" w:name="_Toc414372902"/>
      <w:bookmarkStart w:id="66" w:name="_Toc414373131"/>
      <w:bookmarkStart w:id="67" w:name="_Toc414377627"/>
      <w:bookmarkStart w:id="68" w:name="_Toc35441086"/>
      <w:r>
        <w:tab/>
      </w:r>
      <w:r w:rsidR="008A5E67" w:rsidRPr="008A5E67">
        <w:t>4.1.4</w:t>
      </w:r>
      <w:r w:rsidR="008A5E67" w:rsidRPr="008A5E67">
        <w:tab/>
        <w:t>Preservación de la identidad</w:t>
      </w:r>
      <w:bookmarkEnd w:id="65"/>
      <w:bookmarkEnd w:id="66"/>
      <w:bookmarkEnd w:id="67"/>
      <w:bookmarkEnd w:id="68"/>
    </w:p>
    <w:p w14:paraId="072AB9B2" w14:textId="77777777" w:rsidR="008A5E67" w:rsidRPr="008A5E67" w:rsidRDefault="008A5E67" w:rsidP="008A5E67">
      <w:pPr>
        <w:pStyle w:val="SingleTxtG"/>
      </w:pPr>
      <w:r w:rsidRPr="008A5E67">
        <w:t>67.</w:t>
      </w:r>
      <w:r w:rsidRPr="008A5E67">
        <w:tab/>
        <w:t>El apellido adquirido es inmutable, imprescriptible e inalienable (art. 30 del Código de la Persona y la Familia).</w:t>
      </w:r>
    </w:p>
    <w:p w14:paraId="0D22930C" w14:textId="01ADBFAB" w:rsidR="008A5E67" w:rsidRPr="008A5E67" w:rsidRDefault="00401826" w:rsidP="00401826">
      <w:pPr>
        <w:pStyle w:val="H4G"/>
      </w:pPr>
      <w:bookmarkStart w:id="69" w:name="_Toc414372903"/>
      <w:bookmarkStart w:id="70" w:name="_Toc414373132"/>
      <w:bookmarkStart w:id="71" w:name="_Toc414377628"/>
      <w:bookmarkStart w:id="72" w:name="_Toc35441087"/>
      <w:r>
        <w:tab/>
      </w:r>
      <w:r w:rsidR="008A5E67" w:rsidRPr="008A5E67">
        <w:t>4.1.5</w:t>
      </w:r>
      <w:r w:rsidR="008A5E67" w:rsidRPr="008A5E67">
        <w:tab/>
        <w:t>Libertad de expresión</w:t>
      </w:r>
      <w:bookmarkEnd w:id="69"/>
      <w:bookmarkEnd w:id="70"/>
      <w:bookmarkEnd w:id="71"/>
      <w:bookmarkEnd w:id="72"/>
    </w:p>
    <w:p w14:paraId="026FDB60" w14:textId="77777777" w:rsidR="008A5E67" w:rsidRPr="008A5E67" w:rsidRDefault="008A5E67" w:rsidP="008A5E67">
      <w:pPr>
        <w:pStyle w:val="SingleTxtG"/>
        <w:rPr>
          <w:bCs/>
        </w:rPr>
      </w:pPr>
      <w:r w:rsidRPr="008A5E67">
        <w:t>68.</w:t>
      </w:r>
      <w:r w:rsidRPr="008A5E67">
        <w:tab/>
        <w:t xml:space="preserve">Este derecho está reconocido por el artículo 4 de la Constitución y el artículo 9 del Código de Protección del Niño. La radio, que sigue siendo uno de los principales medios de comunicación en Malí, sobre todo en las zonas rurales, ha desarrollado proyectos que permiten a los niños expresarse. La Unión de Organizaciones de Radiodifusión y Televisión Libres de Malí, en colaboración con el UNICEF, ha desarrollado también el proyecto </w:t>
      </w:r>
      <w:proofErr w:type="spellStart"/>
      <w:r w:rsidRPr="008A5E67">
        <w:t>Oxyjeunes</w:t>
      </w:r>
      <w:proofErr w:type="spellEnd"/>
      <w:r w:rsidRPr="008A5E67">
        <w:t xml:space="preserve">, que inicia a los niños en las técnicas de reportaje, producción y presentación de informativos televisados y de documentales e incluso en la redacción y presentación de programas de radio. Según los resultados del Estudio sobre Conocimientos, Habilidades y Prácticas relativos a los Derechos del Niño y la Mujer, el 55,5 % de los niños cree que se viola su derecho a la libertad de expresión. Según el informe de 2011 de la Dirección Nacional de Juventud, Malí cuenta con 136 centros para la juventud, donde los jóvenes y los adolescentes pueden obtener información y debatir sobre el respeto de sus derechos. </w:t>
      </w:r>
    </w:p>
    <w:p w14:paraId="183FA534" w14:textId="4D974E5A" w:rsidR="008A5E67" w:rsidRPr="008A5E67" w:rsidRDefault="00401826" w:rsidP="00401826">
      <w:pPr>
        <w:pStyle w:val="H4G"/>
      </w:pPr>
      <w:bookmarkStart w:id="73" w:name="_Toc414372905"/>
      <w:bookmarkStart w:id="74" w:name="_Toc414373134"/>
      <w:bookmarkStart w:id="75" w:name="_Toc414377630"/>
      <w:bookmarkStart w:id="76" w:name="_Toc35441088"/>
      <w:r>
        <w:tab/>
      </w:r>
      <w:r w:rsidR="008A5E67" w:rsidRPr="008A5E67">
        <w:t>4.1.6</w:t>
      </w:r>
      <w:r w:rsidR="008A5E67" w:rsidRPr="008A5E67">
        <w:tab/>
        <w:t>Libertad de pensamiento, de conciencia y de religión</w:t>
      </w:r>
      <w:bookmarkEnd w:id="73"/>
      <w:bookmarkEnd w:id="74"/>
      <w:bookmarkEnd w:id="75"/>
      <w:bookmarkEnd w:id="76"/>
    </w:p>
    <w:p w14:paraId="5CB17FA0" w14:textId="77777777" w:rsidR="008A5E67" w:rsidRPr="008A5E67" w:rsidRDefault="008A5E67" w:rsidP="008A5E67">
      <w:pPr>
        <w:pStyle w:val="SingleTxtG"/>
        <w:rPr>
          <w:bCs/>
        </w:rPr>
      </w:pPr>
      <w:r w:rsidRPr="008A5E67">
        <w:t>69.</w:t>
      </w:r>
      <w:r w:rsidRPr="008A5E67">
        <w:tab/>
        <w:t>El artículo 4 de la Constitución reconoce formalmente estos derechos y protege su ejercicio. Malí es un país laico en el que cohabitan principalmente las religiones cristiana y musulmana. Según el Estudio sobre Conocimientos, Habilidades y Prácticas relativos a los Derechos del Niño y la Mujer, solo el 36,4 % de los niños reconoce su libertad de religión.</w:t>
      </w:r>
    </w:p>
    <w:p w14:paraId="207A15C3" w14:textId="35F9C6E4" w:rsidR="008A5E67" w:rsidRPr="008A5E67" w:rsidRDefault="00401826" w:rsidP="00401826">
      <w:pPr>
        <w:pStyle w:val="H4G"/>
      </w:pPr>
      <w:bookmarkStart w:id="77" w:name="_Toc414372906"/>
      <w:bookmarkStart w:id="78" w:name="_Toc414373135"/>
      <w:bookmarkStart w:id="79" w:name="_Toc414377631"/>
      <w:bookmarkStart w:id="80" w:name="_Toc35441089"/>
      <w:r>
        <w:lastRenderedPageBreak/>
        <w:tab/>
      </w:r>
      <w:r w:rsidR="008A5E67" w:rsidRPr="008A5E67">
        <w:t>4.1.7</w:t>
      </w:r>
      <w:r w:rsidR="008A5E67" w:rsidRPr="008A5E67">
        <w:tab/>
        <w:t>Libertad de asociación y de celebrar reuniones pacíficas</w:t>
      </w:r>
      <w:bookmarkEnd w:id="77"/>
      <w:bookmarkEnd w:id="78"/>
      <w:bookmarkEnd w:id="79"/>
      <w:bookmarkEnd w:id="80"/>
    </w:p>
    <w:p w14:paraId="06A19E41" w14:textId="77777777" w:rsidR="008A5E67" w:rsidRPr="008A5E67" w:rsidRDefault="008A5E67" w:rsidP="008A5E67">
      <w:pPr>
        <w:pStyle w:val="SingleTxtG"/>
        <w:rPr>
          <w:bCs/>
        </w:rPr>
      </w:pPr>
      <w:r w:rsidRPr="008A5E67">
        <w:t>70.</w:t>
      </w:r>
      <w:r w:rsidRPr="008A5E67">
        <w:tab/>
        <w:t xml:space="preserve">El artículo 5 de la Constitución dispone que el Estado reconoce y garantiza, en las condiciones que establece la ley, la libertad de circulación, la libertad de residencia y la libertad de asociación y de reunión. Con el fin de garantizar el ejercicio efectivo de los derechos del niño en Malí, se crean organizaciones y clubes infantiles. Para llevar a cabo sus misiones, estos se benefician del apoyo necesario de los asociados. </w:t>
      </w:r>
    </w:p>
    <w:p w14:paraId="0140D0E0" w14:textId="77777777" w:rsidR="008A5E67" w:rsidRPr="008A5E67" w:rsidRDefault="008A5E67" w:rsidP="008A5E67">
      <w:pPr>
        <w:pStyle w:val="SingleTxtG"/>
        <w:rPr>
          <w:bCs/>
        </w:rPr>
      </w:pPr>
      <w:r w:rsidRPr="008A5E67">
        <w:t>71.</w:t>
      </w:r>
      <w:r w:rsidRPr="008A5E67">
        <w:tab/>
        <w:t xml:space="preserve">El directorio nacional de asociaciones y agrupaciones infantiles y juveniles elaborado en febrero de 2012 recoge 462 estructuras de participación infantil. </w:t>
      </w:r>
    </w:p>
    <w:p w14:paraId="2E99C9C3" w14:textId="7D0AAEA7" w:rsidR="008A5E67" w:rsidRPr="008A5E67" w:rsidRDefault="00401826" w:rsidP="00401826">
      <w:pPr>
        <w:pStyle w:val="H4G"/>
      </w:pPr>
      <w:bookmarkStart w:id="81" w:name="_Toc414372907"/>
      <w:bookmarkStart w:id="82" w:name="_Toc414373136"/>
      <w:bookmarkStart w:id="83" w:name="_Toc414377632"/>
      <w:bookmarkStart w:id="84" w:name="_Toc35441090"/>
      <w:r>
        <w:tab/>
      </w:r>
      <w:r w:rsidR="008A5E67" w:rsidRPr="008A5E67">
        <w:t>4.1.8</w:t>
      </w:r>
      <w:r w:rsidR="008A5E67" w:rsidRPr="008A5E67">
        <w:tab/>
        <w:t>Protección de la vida privada</w:t>
      </w:r>
      <w:bookmarkEnd w:id="81"/>
      <w:bookmarkEnd w:id="82"/>
      <w:bookmarkEnd w:id="83"/>
      <w:bookmarkEnd w:id="84"/>
    </w:p>
    <w:p w14:paraId="5CDE1402" w14:textId="77777777" w:rsidR="008A5E67" w:rsidRPr="008A5E67" w:rsidRDefault="008A5E67" w:rsidP="008A5E67">
      <w:pPr>
        <w:pStyle w:val="SingleTxtG"/>
        <w:rPr>
          <w:bCs/>
        </w:rPr>
      </w:pPr>
      <w:r w:rsidRPr="008A5E67">
        <w:t>72.</w:t>
      </w:r>
      <w:r w:rsidRPr="008A5E67">
        <w:tab/>
        <w:t xml:space="preserve">Según el artículo 6 de la Constitución, el domicilio, la esfera privada y familiar, el secreto de la correspondencia y las comunicaciones son inviolables. Solo pueden vulnerarse en las condiciones previstas por la ley. </w:t>
      </w:r>
    </w:p>
    <w:p w14:paraId="4EB271B8" w14:textId="33E745E3" w:rsidR="008A5E67" w:rsidRPr="008A5E67" w:rsidRDefault="00401826" w:rsidP="00401826">
      <w:pPr>
        <w:pStyle w:val="H4G"/>
      </w:pPr>
      <w:bookmarkStart w:id="85" w:name="_Toc414372908"/>
      <w:bookmarkStart w:id="86" w:name="_Toc414373137"/>
      <w:bookmarkStart w:id="87" w:name="_Toc414377633"/>
      <w:bookmarkStart w:id="88" w:name="_Toc35441091"/>
      <w:r>
        <w:tab/>
      </w:r>
      <w:r w:rsidR="008A5E67" w:rsidRPr="008A5E67">
        <w:t>4.1.9</w:t>
      </w:r>
      <w:r w:rsidR="008A5E67" w:rsidRPr="008A5E67">
        <w:tab/>
        <w:t>Acceso a la información adecuada</w:t>
      </w:r>
      <w:bookmarkEnd w:id="85"/>
      <w:bookmarkEnd w:id="86"/>
      <w:bookmarkEnd w:id="87"/>
      <w:bookmarkEnd w:id="88"/>
    </w:p>
    <w:p w14:paraId="2EC19209" w14:textId="7210BCB8" w:rsidR="008A5E67" w:rsidRPr="008A5E67" w:rsidRDefault="008A5E67" w:rsidP="008A5E67">
      <w:pPr>
        <w:pStyle w:val="SingleTxtG"/>
        <w:rPr>
          <w:bCs/>
        </w:rPr>
      </w:pPr>
      <w:r w:rsidRPr="008A5E67">
        <w:t>73.</w:t>
      </w:r>
      <w:r w:rsidRPr="008A5E67">
        <w:tab/>
        <w:t>El Estudio sobre Conocimientos, Habilidades y Prácticas relativos a los Derechos del Niño y la Mujer trató de averiguar cómo se informa a los niños sobre sus derechos. En respuesta a esta pregunta formulada a los niños, las fuentes de información más citadas son esencialmente los medios de comunicación (81,5 %), la escuela (65,2 %), los padres (37,6</w:t>
      </w:r>
      <w:r w:rsidR="00401826">
        <w:t> </w:t>
      </w:r>
      <w:r w:rsidRPr="008A5E67">
        <w:t xml:space="preserve">%) y los lugares de culto (22,1 %). </w:t>
      </w:r>
    </w:p>
    <w:p w14:paraId="530C3637" w14:textId="00AC85E6" w:rsidR="008A5E67" w:rsidRPr="008A5E67" w:rsidRDefault="00401826" w:rsidP="00401826">
      <w:pPr>
        <w:pStyle w:val="H4G"/>
      </w:pPr>
      <w:bookmarkStart w:id="89" w:name="_Toc414372910"/>
      <w:bookmarkStart w:id="90" w:name="_Toc414373139"/>
      <w:bookmarkStart w:id="91" w:name="_Toc414377635"/>
      <w:bookmarkStart w:id="92" w:name="_Toc35441092"/>
      <w:r>
        <w:tab/>
      </w:r>
      <w:r w:rsidR="008A5E67" w:rsidRPr="008A5E67">
        <w:t>4.1.10</w:t>
      </w:r>
      <w:r w:rsidR="008A5E67" w:rsidRPr="008A5E67">
        <w:tab/>
        <w:t>Derecho a no ser sometido a tortura ni a penas o tratos crueles</w:t>
      </w:r>
      <w:bookmarkEnd w:id="89"/>
      <w:bookmarkEnd w:id="90"/>
      <w:bookmarkEnd w:id="91"/>
      <w:bookmarkEnd w:id="92"/>
    </w:p>
    <w:p w14:paraId="1688B8BF" w14:textId="77777777" w:rsidR="008A5E67" w:rsidRPr="008A5E67" w:rsidRDefault="008A5E67" w:rsidP="008A5E67">
      <w:pPr>
        <w:pStyle w:val="SingleTxtG"/>
        <w:rPr>
          <w:bCs/>
        </w:rPr>
      </w:pPr>
      <w:r w:rsidRPr="008A5E67">
        <w:t>74.</w:t>
      </w:r>
      <w:r w:rsidRPr="008A5E67">
        <w:tab/>
        <w:t>La tortura y las penas y los tratos crueles son punibles en virtud del artículo 3 de la Constitución, que estipula que nadie será sometido a tortura ni a abusos físicos o tratos inhumanos, degradantes o humillantes, y que todo individuo o agente del Estado que cometa tales actos, por iniciativa propia o siguiendo instrucciones ajenas, será castigado con arreglo a la ley.</w:t>
      </w:r>
    </w:p>
    <w:p w14:paraId="162425EC" w14:textId="77777777" w:rsidR="008A5E67" w:rsidRPr="008A5E67" w:rsidRDefault="008A5E67" w:rsidP="008A5E67">
      <w:pPr>
        <w:pStyle w:val="SingleTxtG"/>
        <w:rPr>
          <w:bCs/>
        </w:rPr>
      </w:pPr>
      <w:r w:rsidRPr="008A5E67">
        <w:t>75.</w:t>
      </w:r>
      <w:r w:rsidRPr="008A5E67">
        <w:tab/>
        <w:t>Según el Estudio sobre Conocimientos, Habilidades y Prácticas relativos a los Derechos del Niño y la Mujer, el 90,8 % de los niños afirma haber sufrido violencia física (93 % en las zonas rurales y 86,1 % en las zonas urbanas). Según los niños, los lugares donde se vulneran estos derechos son, por orden de importancia, la familia, la escuela y los lugares de aprendizaje. Ante estos casos de violación de sus derechos, el 75,7 % dijo no haber utilizado ningún recurso (77,6 % en las zonas rurales y 71,6 % en las zonas urbanas).</w:t>
      </w:r>
    </w:p>
    <w:p w14:paraId="499B109C" w14:textId="2BFF043A" w:rsidR="00C262CE" w:rsidRDefault="008A5E67" w:rsidP="00401826">
      <w:pPr>
        <w:pStyle w:val="SingleTxtG"/>
        <w:jc w:val="left"/>
        <w:rPr>
          <w:b/>
        </w:rPr>
      </w:pPr>
      <w:bookmarkStart w:id="93" w:name="_Toc287962306"/>
      <w:bookmarkStart w:id="94" w:name="_Toc289247998"/>
      <w:bookmarkStart w:id="95" w:name="_Toc289329823"/>
      <w:bookmarkStart w:id="96" w:name="_Toc289330595"/>
      <w:bookmarkStart w:id="97" w:name="_Toc289330978"/>
      <w:bookmarkStart w:id="98" w:name="_Toc289331351"/>
      <w:bookmarkStart w:id="99" w:name="_Toc289343151"/>
      <w:bookmarkStart w:id="100" w:name="_Toc289343469"/>
      <w:bookmarkStart w:id="101" w:name="_Toc295117508"/>
      <w:bookmarkStart w:id="102" w:name="_Toc295117763"/>
      <w:bookmarkStart w:id="103" w:name="_Toc295118586"/>
      <w:bookmarkStart w:id="104" w:name="_Toc386794680"/>
      <w:bookmarkStart w:id="105" w:name="_Toc386807804"/>
      <w:bookmarkStart w:id="106" w:name="_Toc414372911"/>
      <w:bookmarkStart w:id="107" w:name="_Toc414373140"/>
      <w:bookmarkStart w:id="108" w:name="_Toc414377636"/>
      <w:r w:rsidRPr="008A5E67">
        <w:rPr>
          <w:bCs/>
        </w:rPr>
        <w:t>Cuadro 1</w:t>
      </w:r>
      <w:r w:rsidR="00401826">
        <w:rPr>
          <w:bCs/>
        </w:rPr>
        <w:br/>
      </w:r>
      <w:r w:rsidRPr="008A5E67">
        <w:rPr>
          <w:b/>
        </w:rPr>
        <w:t xml:space="preserve">Desglose de personas detenidas por infracciones contra los niños, </w:t>
      </w:r>
      <w:r w:rsidR="00401826">
        <w:rPr>
          <w:b/>
        </w:rPr>
        <w:br/>
      </w:r>
      <w:r w:rsidRPr="008A5E67">
        <w:rPr>
          <w:b/>
        </w:rPr>
        <w:t>por sexo y por año</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978"/>
        <w:gridCol w:w="850"/>
        <w:gridCol w:w="709"/>
        <w:gridCol w:w="709"/>
        <w:gridCol w:w="850"/>
        <w:gridCol w:w="708"/>
        <w:gridCol w:w="566"/>
      </w:tblGrid>
      <w:tr w:rsidR="00401826" w:rsidRPr="00401826" w14:paraId="4D974F9C" w14:textId="77777777" w:rsidTr="00C262CE">
        <w:trPr>
          <w:trHeight w:val="240"/>
          <w:tblHeader/>
        </w:trPr>
        <w:tc>
          <w:tcPr>
            <w:tcW w:w="2020" w:type="pct"/>
            <w:tcBorders>
              <w:top w:val="single" w:sz="4" w:space="0" w:color="auto"/>
              <w:bottom w:val="single" w:sz="4" w:space="0" w:color="auto"/>
            </w:tcBorders>
            <w:shd w:val="clear" w:color="auto" w:fill="auto"/>
            <w:vAlign w:val="bottom"/>
          </w:tcPr>
          <w:p w14:paraId="0DC2B1C6" w14:textId="0F2BA59D" w:rsidR="008A5E67" w:rsidRPr="008A5E67" w:rsidRDefault="008A5E67" w:rsidP="00C262CE">
            <w:pPr>
              <w:pStyle w:val="SingleTxtG"/>
              <w:tabs>
                <w:tab w:val="clear" w:pos="1701"/>
                <w:tab w:val="clear" w:pos="2268"/>
                <w:tab w:val="clear" w:pos="2835"/>
              </w:tabs>
              <w:spacing w:before="80" w:after="80" w:line="200" w:lineRule="exact"/>
              <w:ind w:left="0" w:right="0"/>
              <w:jc w:val="left"/>
              <w:rPr>
                <w:bCs/>
                <w:i/>
                <w:sz w:val="16"/>
              </w:rPr>
            </w:pPr>
            <w:r w:rsidRPr="008A5E67">
              <w:rPr>
                <w:i/>
                <w:iCs/>
                <w:sz w:val="16"/>
              </w:rPr>
              <w:t>Año</w:t>
            </w:r>
          </w:p>
        </w:tc>
        <w:tc>
          <w:tcPr>
            <w:tcW w:w="1539" w:type="pct"/>
            <w:gridSpan w:val="3"/>
            <w:tcBorders>
              <w:top w:val="single" w:sz="4" w:space="0" w:color="auto"/>
              <w:bottom w:val="single" w:sz="4" w:space="0" w:color="auto"/>
              <w:right w:val="single" w:sz="18" w:space="0" w:color="FFFFFF" w:themeColor="background1"/>
            </w:tcBorders>
            <w:shd w:val="clear" w:color="auto" w:fill="auto"/>
            <w:vAlign w:val="bottom"/>
          </w:tcPr>
          <w:p w14:paraId="012AAFC8" w14:textId="77777777" w:rsidR="008A5E67" w:rsidRPr="008A5E67" w:rsidRDefault="008A5E67" w:rsidP="00C262CE">
            <w:pPr>
              <w:pStyle w:val="SingleTxtG"/>
              <w:tabs>
                <w:tab w:val="clear" w:pos="1701"/>
                <w:tab w:val="clear" w:pos="2268"/>
                <w:tab w:val="clear" w:pos="2835"/>
              </w:tabs>
              <w:spacing w:before="80" w:after="80" w:line="200" w:lineRule="exact"/>
              <w:ind w:left="113" w:right="0"/>
              <w:jc w:val="center"/>
              <w:rPr>
                <w:bCs/>
                <w:i/>
                <w:sz w:val="16"/>
              </w:rPr>
            </w:pPr>
            <w:r w:rsidRPr="008A5E67">
              <w:rPr>
                <w:i/>
                <w:iCs/>
                <w:sz w:val="16"/>
              </w:rPr>
              <w:t>2008</w:t>
            </w:r>
          </w:p>
        </w:tc>
        <w:tc>
          <w:tcPr>
            <w:tcW w:w="1441" w:type="pct"/>
            <w:gridSpan w:val="3"/>
            <w:tcBorders>
              <w:top w:val="single" w:sz="4" w:space="0" w:color="auto"/>
              <w:left w:val="single" w:sz="18" w:space="0" w:color="FFFFFF" w:themeColor="background1"/>
              <w:bottom w:val="single" w:sz="4" w:space="0" w:color="auto"/>
            </w:tcBorders>
            <w:shd w:val="clear" w:color="auto" w:fill="auto"/>
            <w:vAlign w:val="bottom"/>
          </w:tcPr>
          <w:p w14:paraId="5DA63DA2" w14:textId="77777777" w:rsidR="008A5E67" w:rsidRPr="008A5E67" w:rsidRDefault="008A5E67" w:rsidP="00C262CE">
            <w:pPr>
              <w:pStyle w:val="SingleTxtG"/>
              <w:tabs>
                <w:tab w:val="clear" w:pos="1701"/>
                <w:tab w:val="clear" w:pos="2268"/>
                <w:tab w:val="clear" w:pos="2835"/>
              </w:tabs>
              <w:spacing w:before="80" w:after="80" w:line="200" w:lineRule="exact"/>
              <w:ind w:left="113" w:right="0"/>
              <w:jc w:val="center"/>
              <w:rPr>
                <w:bCs/>
                <w:i/>
                <w:sz w:val="16"/>
              </w:rPr>
            </w:pPr>
            <w:r w:rsidRPr="008A5E67">
              <w:rPr>
                <w:i/>
                <w:iCs/>
                <w:sz w:val="16"/>
              </w:rPr>
              <w:t>2009</w:t>
            </w:r>
          </w:p>
        </w:tc>
      </w:tr>
      <w:tr w:rsidR="00C262CE" w:rsidRPr="00401826" w14:paraId="6AB5BDF6" w14:textId="77777777" w:rsidTr="00C262CE">
        <w:trPr>
          <w:trHeight w:val="240"/>
          <w:tblHeader/>
        </w:trPr>
        <w:tc>
          <w:tcPr>
            <w:tcW w:w="2020" w:type="pct"/>
            <w:tcBorders>
              <w:top w:val="single" w:sz="4" w:space="0" w:color="auto"/>
              <w:bottom w:val="single" w:sz="12" w:space="0" w:color="auto"/>
            </w:tcBorders>
            <w:shd w:val="clear" w:color="auto" w:fill="auto"/>
            <w:vAlign w:val="bottom"/>
          </w:tcPr>
          <w:p w14:paraId="40D5FE38" w14:textId="313D13C1" w:rsidR="008A5E67" w:rsidRPr="008A5E67" w:rsidRDefault="00C262CE" w:rsidP="00401826">
            <w:pPr>
              <w:pStyle w:val="SingleTxtG"/>
              <w:tabs>
                <w:tab w:val="clear" w:pos="1701"/>
                <w:tab w:val="clear" w:pos="2268"/>
                <w:tab w:val="clear" w:pos="2835"/>
              </w:tabs>
              <w:spacing w:before="40" w:after="40" w:line="220" w:lineRule="exact"/>
              <w:ind w:left="0" w:right="0"/>
              <w:jc w:val="left"/>
              <w:rPr>
                <w:bCs/>
                <w:sz w:val="18"/>
              </w:rPr>
            </w:pPr>
            <w:r w:rsidRPr="008A5E67">
              <w:rPr>
                <w:i/>
                <w:iCs/>
                <w:sz w:val="16"/>
              </w:rPr>
              <w:t>Tipo de infracción</w:t>
            </w:r>
          </w:p>
        </w:tc>
        <w:tc>
          <w:tcPr>
            <w:tcW w:w="577" w:type="pct"/>
            <w:tcBorders>
              <w:top w:val="single" w:sz="4" w:space="0" w:color="auto"/>
              <w:bottom w:val="single" w:sz="12" w:space="0" w:color="auto"/>
            </w:tcBorders>
            <w:shd w:val="clear" w:color="auto" w:fill="auto"/>
            <w:vAlign w:val="bottom"/>
          </w:tcPr>
          <w:p w14:paraId="6C868F6B" w14:textId="77777777" w:rsidR="008A5E67" w:rsidRPr="008A5E67" w:rsidRDefault="008A5E67" w:rsidP="00C262CE">
            <w:pPr>
              <w:pStyle w:val="SingleTxtG"/>
              <w:tabs>
                <w:tab w:val="clear" w:pos="1701"/>
                <w:tab w:val="clear" w:pos="2268"/>
                <w:tab w:val="clear" w:pos="2835"/>
              </w:tabs>
              <w:spacing w:before="80" w:after="80" w:line="200" w:lineRule="exact"/>
              <w:ind w:left="113" w:right="0"/>
              <w:jc w:val="right"/>
              <w:rPr>
                <w:i/>
                <w:iCs/>
                <w:sz w:val="16"/>
              </w:rPr>
            </w:pPr>
            <w:r w:rsidRPr="008A5E67">
              <w:rPr>
                <w:i/>
                <w:iCs/>
                <w:sz w:val="16"/>
              </w:rPr>
              <w:t>Hombres</w:t>
            </w:r>
          </w:p>
        </w:tc>
        <w:tc>
          <w:tcPr>
            <w:tcW w:w="481" w:type="pct"/>
            <w:tcBorders>
              <w:top w:val="single" w:sz="4" w:space="0" w:color="auto"/>
              <w:bottom w:val="single" w:sz="12" w:space="0" w:color="auto"/>
            </w:tcBorders>
            <w:shd w:val="clear" w:color="auto" w:fill="auto"/>
            <w:vAlign w:val="bottom"/>
          </w:tcPr>
          <w:p w14:paraId="0138FD5A" w14:textId="77777777" w:rsidR="008A5E67" w:rsidRPr="008A5E67" w:rsidRDefault="008A5E67" w:rsidP="00C262CE">
            <w:pPr>
              <w:pStyle w:val="SingleTxtG"/>
              <w:tabs>
                <w:tab w:val="clear" w:pos="1701"/>
                <w:tab w:val="clear" w:pos="2268"/>
                <w:tab w:val="clear" w:pos="2835"/>
              </w:tabs>
              <w:spacing w:before="80" w:after="80" w:line="200" w:lineRule="exact"/>
              <w:ind w:left="113" w:right="0"/>
              <w:jc w:val="right"/>
              <w:rPr>
                <w:i/>
                <w:iCs/>
                <w:sz w:val="16"/>
              </w:rPr>
            </w:pPr>
            <w:r w:rsidRPr="008A5E67">
              <w:rPr>
                <w:i/>
                <w:iCs/>
                <w:sz w:val="16"/>
              </w:rPr>
              <w:t>Mujeres</w:t>
            </w:r>
          </w:p>
        </w:tc>
        <w:tc>
          <w:tcPr>
            <w:tcW w:w="481" w:type="pct"/>
            <w:tcBorders>
              <w:top w:val="single" w:sz="4" w:space="0" w:color="auto"/>
              <w:bottom w:val="single" w:sz="12" w:space="0" w:color="auto"/>
              <w:right w:val="single" w:sz="18" w:space="0" w:color="FFFFFF" w:themeColor="background1"/>
            </w:tcBorders>
            <w:shd w:val="clear" w:color="auto" w:fill="auto"/>
            <w:vAlign w:val="bottom"/>
          </w:tcPr>
          <w:p w14:paraId="025C1461" w14:textId="77777777" w:rsidR="008A5E67" w:rsidRPr="008A5E67" w:rsidRDefault="008A5E67" w:rsidP="00C262CE">
            <w:pPr>
              <w:pStyle w:val="SingleTxtG"/>
              <w:tabs>
                <w:tab w:val="clear" w:pos="1701"/>
                <w:tab w:val="clear" w:pos="2268"/>
                <w:tab w:val="clear" w:pos="2835"/>
              </w:tabs>
              <w:spacing w:before="80" w:after="80" w:line="200" w:lineRule="exact"/>
              <w:ind w:left="113" w:right="0"/>
              <w:jc w:val="right"/>
              <w:rPr>
                <w:i/>
                <w:iCs/>
                <w:sz w:val="16"/>
              </w:rPr>
            </w:pPr>
            <w:r w:rsidRPr="008A5E67">
              <w:rPr>
                <w:i/>
                <w:iCs/>
                <w:sz w:val="16"/>
              </w:rPr>
              <w:t>Total</w:t>
            </w:r>
          </w:p>
        </w:tc>
        <w:tc>
          <w:tcPr>
            <w:tcW w:w="577" w:type="pct"/>
            <w:tcBorders>
              <w:top w:val="single" w:sz="4" w:space="0" w:color="auto"/>
              <w:left w:val="single" w:sz="18" w:space="0" w:color="FFFFFF" w:themeColor="background1"/>
              <w:bottom w:val="single" w:sz="12" w:space="0" w:color="auto"/>
            </w:tcBorders>
            <w:shd w:val="clear" w:color="auto" w:fill="auto"/>
            <w:vAlign w:val="bottom"/>
          </w:tcPr>
          <w:p w14:paraId="218686F0" w14:textId="77777777" w:rsidR="008A5E67" w:rsidRPr="008A5E67" w:rsidRDefault="008A5E67" w:rsidP="00C262CE">
            <w:pPr>
              <w:pStyle w:val="SingleTxtG"/>
              <w:tabs>
                <w:tab w:val="clear" w:pos="1701"/>
                <w:tab w:val="clear" w:pos="2268"/>
                <w:tab w:val="clear" w:pos="2835"/>
              </w:tabs>
              <w:spacing w:before="80" w:after="80" w:line="200" w:lineRule="exact"/>
              <w:ind w:left="113" w:right="0"/>
              <w:jc w:val="right"/>
              <w:rPr>
                <w:i/>
                <w:iCs/>
                <w:sz w:val="16"/>
              </w:rPr>
            </w:pPr>
            <w:r w:rsidRPr="008A5E67">
              <w:rPr>
                <w:i/>
                <w:iCs/>
                <w:sz w:val="16"/>
              </w:rPr>
              <w:t>Hombres</w:t>
            </w:r>
          </w:p>
        </w:tc>
        <w:tc>
          <w:tcPr>
            <w:tcW w:w="480" w:type="pct"/>
            <w:tcBorders>
              <w:top w:val="single" w:sz="4" w:space="0" w:color="auto"/>
              <w:bottom w:val="single" w:sz="12" w:space="0" w:color="auto"/>
            </w:tcBorders>
            <w:shd w:val="clear" w:color="auto" w:fill="auto"/>
            <w:vAlign w:val="bottom"/>
          </w:tcPr>
          <w:p w14:paraId="40F35EEB" w14:textId="77777777" w:rsidR="008A5E67" w:rsidRPr="008A5E67" w:rsidRDefault="008A5E67" w:rsidP="00C262CE">
            <w:pPr>
              <w:pStyle w:val="SingleTxtG"/>
              <w:tabs>
                <w:tab w:val="clear" w:pos="1701"/>
                <w:tab w:val="clear" w:pos="2268"/>
                <w:tab w:val="clear" w:pos="2835"/>
              </w:tabs>
              <w:spacing w:before="80" w:after="80" w:line="200" w:lineRule="exact"/>
              <w:ind w:left="113" w:right="0"/>
              <w:jc w:val="right"/>
              <w:rPr>
                <w:i/>
                <w:iCs/>
                <w:sz w:val="16"/>
              </w:rPr>
            </w:pPr>
            <w:r w:rsidRPr="008A5E67">
              <w:rPr>
                <w:i/>
                <w:iCs/>
                <w:sz w:val="16"/>
              </w:rPr>
              <w:t>Mujeres</w:t>
            </w:r>
          </w:p>
        </w:tc>
        <w:tc>
          <w:tcPr>
            <w:tcW w:w="384" w:type="pct"/>
            <w:tcBorders>
              <w:top w:val="single" w:sz="4" w:space="0" w:color="auto"/>
              <w:bottom w:val="single" w:sz="12" w:space="0" w:color="auto"/>
            </w:tcBorders>
            <w:shd w:val="clear" w:color="auto" w:fill="auto"/>
            <w:vAlign w:val="bottom"/>
          </w:tcPr>
          <w:p w14:paraId="538D31A1" w14:textId="77777777" w:rsidR="008A5E67" w:rsidRPr="008A5E67" w:rsidRDefault="008A5E67" w:rsidP="00C262CE">
            <w:pPr>
              <w:pStyle w:val="SingleTxtG"/>
              <w:tabs>
                <w:tab w:val="clear" w:pos="1701"/>
                <w:tab w:val="clear" w:pos="2268"/>
                <w:tab w:val="clear" w:pos="2835"/>
              </w:tabs>
              <w:spacing w:before="80" w:after="80" w:line="200" w:lineRule="exact"/>
              <w:ind w:left="113" w:right="0"/>
              <w:jc w:val="right"/>
              <w:rPr>
                <w:i/>
                <w:iCs/>
                <w:sz w:val="16"/>
              </w:rPr>
            </w:pPr>
            <w:r w:rsidRPr="008A5E67">
              <w:rPr>
                <w:i/>
                <w:iCs/>
                <w:sz w:val="16"/>
              </w:rPr>
              <w:t>Total</w:t>
            </w:r>
          </w:p>
        </w:tc>
      </w:tr>
      <w:tr w:rsidR="00C262CE" w:rsidRPr="00401826" w14:paraId="7D63CB85" w14:textId="77777777" w:rsidTr="00C262CE">
        <w:trPr>
          <w:trHeight w:val="240"/>
        </w:trPr>
        <w:tc>
          <w:tcPr>
            <w:tcW w:w="2020" w:type="pct"/>
            <w:tcBorders>
              <w:top w:val="single" w:sz="12" w:space="0" w:color="auto"/>
            </w:tcBorders>
            <w:shd w:val="clear" w:color="auto" w:fill="auto"/>
          </w:tcPr>
          <w:p w14:paraId="5945635A" w14:textId="77777777" w:rsidR="008A5E67" w:rsidRPr="008A5E67" w:rsidRDefault="008A5E67" w:rsidP="00401826">
            <w:pPr>
              <w:pStyle w:val="SingleTxtG"/>
              <w:tabs>
                <w:tab w:val="clear" w:pos="1701"/>
                <w:tab w:val="clear" w:pos="2268"/>
                <w:tab w:val="clear" w:pos="2835"/>
              </w:tabs>
              <w:spacing w:before="40" w:after="40" w:line="220" w:lineRule="exact"/>
              <w:ind w:left="0" w:right="0"/>
              <w:jc w:val="left"/>
              <w:rPr>
                <w:bCs/>
                <w:sz w:val="18"/>
              </w:rPr>
            </w:pPr>
            <w:r w:rsidRPr="008A5E67">
              <w:rPr>
                <w:sz w:val="18"/>
              </w:rPr>
              <w:t>Abandono</w:t>
            </w:r>
          </w:p>
        </w:tc>
        <w:tc>
          <w:tcPr>
            <w:tcW w:w="577" w:type="pct"/>
            <w:tcBorders>
              <w:top w:val="single" w:sz="12" w:space="0" w:color="auto"/>
            </w:tcBorders>
            <w:shd w:val="clear" w:color="auto" w:fill="auto"/>
            <w:vAlign w:val="bottom"/>
          </w:tcPr>
          <w:p w14:paraId="56015D7E"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27</w:t>
            </w:r>
          </w:p>
        </w:tc>
        <w:tc>
          <w:tcPr>
            <w:tcW w:w="481" w:type="pct"/>
            <w:tcBorders>
              <w:top w:val="single" w:sz="12" w:space="0" w:color="auto"/>
            </w:tcBorders>
            <w:shd w:val="clear" w:color="auto" w:fill="auto"/>
            <w:vAlign w:val="bottom"/>
          </w:tcPr>
          <w:p w14:paraId="0D6C96E6"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76</w:t>
            </w:r>
          </w:p>
        </w:tc>
        <w:tc>
          <w:tcPr>
            <w:tcW w:w="481" w:type="pct"/>
            <w:tcBorders>
              <w:top w:val="single" w:sz="12" w:space="0" w:color="auto"/>
            </w:tcBorders>
            <w:shd w:val="clear" w:color="auto" w:fill="auto"/>
            <w:vAlign w:val="bottom"/>
          </w:tcPr>
          <w:p w14:paraId="19E5AD27"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bCs/>
                <w:sz w:val="18"/>
              </w:rPr>
              <w:t>103</w:t>
            </w:r>
          </w:p>
        </w:tc>
        <w:tc>
          <w:tcPr>
            <w:tcW w:w="577" w:type="pct"/>
            <w:tcBorders>
              <w:top w:val="single" w:sz="12" w:space="0" w:color="auto"/>
            </w:tcBorders>
            <w:shd w:val="clear" w:color="auto" w:fill="auto"/>
            <w:vAlign w:val="bottom"/>
          </w:tcPr>
          <w:p w14:paraId="1B308278"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9</w:t>
            </w:r>
          </w:p>
        </w:tc>
        <w:tc>
          <w:tcPr>
            <w:tcW w:w="480" w:type="pct"/>
            <w:tcBorders>
              <w:top w:val="single" w:sz="12" w:space="0" w:color="auto"/>
            </w:tcBorders>
            <w:shd w:val="clear" w:color="auto" w:fill="auto"/>
            <w:vAlign w:val="bottom"/>
          </w:tcPr>
          <w:p w14:paraId="2F09EC25"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64</w:t>
            </w:r>
          </w:p>
        </w:tc>
        <w:tc>
          <w:tcPr>
            <w:tcW w:w="384" w:type="pct"/>
            <w:tcBorders>
              <w:top w:val="single" w:sz="12" w:space="0" w:color="auto"/>
            </w:tcBorders>
            <w:shd w:val="clear" w:color="auto" w:fill="auto"/>
            <w:vAlign w:val="bottom"/>
          </w:tcPr>
          <w:p w14:paraId="2AB503E9"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bCs/>
                <w:sz w:val="18"/>
              </w:rPr>
              <w:t>73</w:t>
            </w:r>
          </w:p>
        </w:tc>
      </w:tr>
      <w:tr w:rsidR="00401826" w:rsidRPr="008A5E67" w14:paraId="61F5150D" w14:textId="77777777" w:rsidTr="00C262CE">
        <w:trPr>
          <w:trHeight w:val="240"/>
        </w:trPr>
        <w:tc>
          <w:tcPr>
            <w:tcW w:w="2020" w:type="pct"/>
            <w:shd w:val="clear" w:color="auto" w:fill="auto"/>
          </w:tcPr>
          <w:p w14:paraId="7883B143" w14:textId="77777777" w:rsidR="008A5E67" w:rsidRPr="008A5E67" w:rsidRDefault="008A5E67" w:rsidP="00401826">
            <w:pPr>
              <w:pStyle w:val="SingleTxtG"/>
              <w:tabs>
                <w:tab w:val="clear" w:pos="1701"/>
                <w:tab w:val="clear" w:pos="2268"/>
                <w:tab w:val="clear" w:pos="2835"/>
              </w:tabs>
              <w:spacing w:before="40" w:after="40" w:line="220" w:lineRule="exact"/>
              <w:ind w:left="0" w:right="0"/>
              <w:jc w:val="left"/>
              <w:rPr>
                <w:bCs/>
                <w:sz w:val="18"/>
              </w:rPr>
            </w:pPr>
            <w:r w:rsidRPr="008A5E67">
              <w:rPr>
                <w:sz w:val="18"/>
              </w:rPr>
              <w:t>Asesinato</w:t>
            </w:r>
          </w:p>
        </w:tc>
        <w:tc>
          <w:tcPr>
            <w:tcW w:w="577" w:type="pct"/>
            <w:shd w:val="clear" w:color="auto" w:fill="auto"/>
            <w:vAlign w:val="bottom"/>
          </w:tcPr>
          <w:p w14:paraId="6F345298"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4</w:t>
            </w:r>
          </w:p>
        </w:tc>
        <w:tc>
          <w:tcPr>
            <w:tcW w:w="481" w:type="pct"/>
            <w:shd w:val="clear" w:color="auto" w:fill="auto"/>
            <w:vAlign w:val="bottom"/>
          </w:tcPr>
          <w:p w14:paraId="455189C7"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6</w:t>
            </w:r>
          </w:p>
        </w:tc>
        <w:tc>
          <w:tcPr>
            <w:tcW w:w="481" w:type="pct"/>
            <w:shd w:val="clear" w:color="auto" w:fill="auto"/>
            <w:vAlign w:val="bottom"/>
          </w:tcPr>
          <w:p w14:paraId="641F7B2C"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bCs/>
                <w:sz w:val="18"/>
              </w:rPr>
              <w:t>10</w:t>
            </w:r>
          </w:p>
        </w:tc>
        <w:tc>
          <w:tcPr>
            <w:tcW w:w="577" w:type="pct"/>
            <w:shd w:val="clear" w:color="auto" w:fill="auto"/>
            <w:vAlign w:val="bottom"/>
          </w:tcPr>
          <w:p w14:paraId="26C525B2"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0</w:t>
            </w:r>
          </w:p>
        </w:tc>
        <w:tc>
          <w:tcPr>
            <w:tcW w:w="480" w:type="pct"/>
            <w:shd w:val="clear" w:color="auto" w:fill="auto"/>
            <w:vAlign w:val="bottom"/>
          </w:tcPr>
          <w:p w14:paraId="7443E7EA"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8</w:t>
            </w:r>
          </w:p>
        </w:tc>
        <w:tc>
          <w:tcPr>
            <w:tcW w:w="384" w:type="pct"/>
            <w:shd w:val="clear" w:color="auto" w:fill="auto"/>
            <w:vAlign w:val="bottom"/>
          </w:tcPr>
          <w:p w14:paraId="6C24FC6F"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bCs/>
                <w:sz w:val="18"/>
              </w:rPr>
              <w:t>8</w:t>
            </w:r>
          </w:p>
        </w:tc>
      </w:tr>
      <w:tr w:rsidR="00401826" w:rsidRPr="008A5E67" w14:paraId="5E1C68FD" w14:textId="77777777" w:rsidTr="00C262CE">
        <w:trPr>
          <w:trHeight w:val="240"/>
        </w:trPr>
        <w:tc>
          <w:tcPr>
            <w:tcW w:w="2020" w:type="pct"/>
            <w:shd w:val="clear" w:color="auto" w:fill="auto"/>
          </w:tcPr>
          <w:p w14:paraId="12356EC3" w14:textId="77777777" w:rsidR="008A5E67" w:rsidRPr="008A5E67" w:rsidRDefault="008A5E67" w:rsidP="00401826">
            <w:pPr>
              <w:pStyle w:val="SingleTxtG"/>
              <w:tabs>
                <w:tab w:val="clear" w:pos="1701"/>
                <w:tab w:val="clear" w:pos="2268"/>
                <w:tab w:val="clear" w:pos="2835"/>
              </w:tabs>
              <w:spacing w:before="40" w:after="40" w:line="220" w:lineRule="exact"/>
              <w:ind w:left="0" w:right="0"/>
              <w:jc w:val="left"/>
              <w:rPr>
                <w:bCs/>
                <w:sz w:val="18"/>
              </w:rPr>
            </w:pPr>
            <w:r w:rsidRPr="008A5E67">
              <w:rPr>
                <w:sz w:val="18"/>
              </w:rPr>
              <w:t>Amenazas y agresión</w:t>
            </w:r>
          </w:p>
        </w:tc>
        <w:tc>
          <w:tcPr>
            <w:tcW w:w="577" w:type="pct"/>
            <w:shd w:val="clear" w:color="auto" w:fill="auto"/>
            <w:vAlign w:val="bottom"/>
          </w:tcPr>
          <w:p w14:paraId="26E6FCEB"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38</w:t>
            </w:r>
          </w:p>
        </w:tc>
        <w:tc>
          <w:tcPr>
            <w:tcW w:w="481" w:type="pct"/>
            <w:shd w:val="clear" w:color="auto" w:fill="auto"/>
            <w:vAlign w:val="bottom"/>
          </w:tcPr>
          <w:p w14:paraId="06818131"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11</w:t>
            </w:r>
          </w:p>
        </w:tc>
        <w:tc>
          <w:tcPr>
            <w:tcW w:w="481" w:type="pct"/>
            <w:shd w:val="clear" w:color="auto" w:fill="auto"/>
            <w:vAlign w:val="bottom"/>
          </w:tcPr>
          <w:p w14:paraId="3145E2A8"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bCs/>
                <w:sz w:val="18"/>
              </w:rPr>
              <w:t>49</w:t>
            </w:r>
          </w:p>
        </w:tc>
        <w:tc>
          <w:tcPr>
            <w:tcW w:w="577" w:type="pct"/>
            <w:shd w:val="clear" w:color="auto" w:fill="auto"/>
            <w:vAlign w:val="bottom"/>
          </w:tcPr>
          <w:p w14:paraId="6115272A"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66</w:t>
            </w:r>
          </w:p>
        </w:tc>
        <w:tc>
          <w:tcPr>
            <w:tcW w:w="480" w:type="pct"/>
            <w:shd w:val="clear" w:color="auto" w:fill="auto"/>
            <w:vAlign w:val="bottom"/>
          </w:tcPr>
          <w:p w14:paraId="038C51D3"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15</w:t>
            </w:r>
          </w:p>
        </w:tc>
        <w:tc>
          <w:tcPr>
            <w:tcW w:w="384" w:type="pct"/>
            <w:shd w:val="clear" w:color="auto" w:fill="auto"/>
            <w:vAlign w:val="bottom"/>
          </w:tcPr>
          <w:p w14:paraId="392BBDC8"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bCs/>
                <w:sz w:val="18"/>
              </w:rPr>
              <w:t>81</w:t>
            </w:r>
          </w:p>
        </w:tc>
      </w:tr>
      <w:tr w:rsidR="00401826" w:rsidRPr="008A5E67" w14:paraId="6ADB75B7" w14:textId="77777777" w:rsidTr="00C262CE">
        <w:trPr>
          <w:trHeight w:val="240"/>
        </w:trPr>
        <w:tc>
          <w:tcPr>
            <w:tcW w:w="2020" w:type="pct"/>
            <w:shd w:val="clear" w:color="auto" w:fill="auto"/>
          </w:tcPr>
          <w:p w14:paraId="02F488C2" w14:textId="77777777" w:rsidR="008A5E67" w:rsidRPr="008A5E67" w:rsidRDefault="008A5E67" w:rsidP="00401826">
            <w:pPr>
              <w:pStyle w:val="SingleTxtG"/>
              <w:tabs>
                <w:tab w:val="clear" w:pos="1701"/>
                <w:tab w:val="clear" w:pos="2268"/>
                <w:tab w:val="clear" w:pos="2835"/>
              </w:tabs>
              <w:spacing w:before="40" w:after="40" w:line="220" w:lineRule="exact"/>
              <w:ind w:left="0" w:right="0"/>
              <w:jc w:val="left"/>
              <w:rPr>
                <w:bCs/>
                <w:sz w:val="18"/>
              </w:rPr>
            </w:pPr>
            <w:r w:rsidRPr="008A5E67">
              <w:rPr>
                <w:sz w:val="18"/>
              </w:rPr>
              <w:t>Lesiones involuntarias</w:t>
            </w:r>
          </w:p>
        </w:tc>
        <w:tc>
          <w:tcPr>
            <w:tcW w:w="577" w:type="pct"/>
            <w:shd w:val="clear" w:color="auto" w:fill="auto"/>
            <w:vAlign w:val="bottom"/>
          </w:tcPr>
          <w:p w14:paraId="7A2F1B97"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28</w:t>
            </w:r>
          </w:p>
        </w:tc>
        <w:tc>
          <w:tcPr>
            <w:tcW w:w="481" w:type="pct"/>
            <w:shd w:val="clear" w:color="auto" w:fill="auto"/>
            <w:vAlign w:val="bottom"/>
          </w:tcPr>
          <w:p w14:paraId="7C427AFF"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16</w:t>
            </w:r>
          </w:p>
        </w:tc>
        <w:tc>
          <w:tcPr>
            <w:tcW w:w="481" w:type="pct"/>
            <w:shd w:val="clear" w:color="auto" w:fill="auto"/>
            <w:vAlign w:val="bottom"/>
          </w:tcPr>
          <w:p w14:paraId="1D75853F"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bCs/>
                <w:sz w:val="18"/>
              </w:rPr>
              <w:t>44</w:t>
            </w:r>
          </w:p>
        </w:tc>
        <w:tc>
          <w:tcPr>
            <w:tcW w:w="577" w:type="pct"/>
            <w:shd w:val="clear" w:color="auto" w:fill="auto"/>
            <w:vAlign w:val="bottom"/>
          </w:tcPr>
          <w:p w14:paraId="4085780F"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26</w:t>
            </w:r>
          </w:p>
        </w:tc>
        <w:tc>
          <w:tcPr>
            <w:tcW w:w="480" w:type="pct"/>
            <w:shd w:val="clear" w:color="auto" w:fill="auto"/>
            <w:vAlign w:val="bottom"/>
          </w:tcPr>
          <w:p w14:paraId="5B5BBDCD"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32</w:t>
            </w:r>
          </w:p>
        </w:tc>
        <w:tc>
          <w:tcPr>
            <w:tcW w:w="384" w:type="pct"/>
            <w:shd w:val="clear" w:color="auto" w:fill="auto"/>
            <w:vAlign w:val="bottom"/>
          </w:tcPr>
          <w:p w14:paraId="698D3FF4"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bCs/>
                <w:sz w:val="18"/>
              </w:rPr>
              <w:t>58</w:t>
            </w:r>
          </w:p>
        </w:tc>
      </w:tr>
      <w:tr w:rsidR="00401826" w:rsidRPr="008A5E67" w14:paraId="0EAD975E" w14:textId="77777777" w:rsidTr="00C262CE">
        <w:trPr>
          <w:trHeight w:val="240"/>
        </w:trPr>
        <w:tc>
          <w:tcPr>
            <w:tcW w:w="2020" w:type="pct"/>
            <w:shd w:val="clear" w:color="auto" w:fill="auto"/>
          </w:tcPr>
          <w:p w14:paraId="003FD3E9" w14:textId="77777777" w:rsidR="008A5E67" w:rsidRPr="008A5E67" w:rsidRDefault="008A5E67" w:rsidP="00401826">
            <w:pPr>
              <w:pStyle w:val="SingleTxtG"/>
              <w:tabs>
                <w:tab w:val="clear" w:pos="1701"/>
                <w:tab w:val="clear" w:pos="2268"/>
                <w:tab w:val="clear" w:pos="2835"/>
              </w:tabs>
              <w:spacing w:before="40" w:after="40" w:line="220" w:lineRule="exact"/>
              <w:ind w:left="0" w:right="0"/>
              <w:jc w:val="left"/>
              <w:rPr>
                <w:bCs/>
                <w:sz w:val="18"/>
              </w:rPr>
            </w:pPr>
            <w:r w:rsidRPr="008A5E67">
              <w:rPr>
                <w:sz w:val="18"/>
              </w:rPr>
              <w:t>Infanticidio</w:t>
            </w:r>
          </w:p>
        </w:tc>
        <w:tc>
          <w:tcPr>
            <w:tcW w:w="577" w:type="pct"/>
            <w:shd w:val="clear" w:color="auto" w:fill="auto"/>
            <w:vAlign w:val="bottom"/>
          </w:tcPr>
          <w:p w14:paraId="2BB150D0"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3</w:t>
            </w:r>
          </w:p>
        </w:tc>
        <w:tc>
          <w:tcPr>
            <w:tcW w:w="481" w:type="pct"/>
            <w:shd w:val="clear" w:color="auto" w:fill="auto"/>
            <w:vAlign w:val="bottom"/>
          </w:tcPr>
          <w:p w14:paraId="4C75F3C2"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21</w:t>
            </w:r>
          </w:p>
        </w:tc>
        <w:tc>
          <w:tcPr>
            <w:tcW w:w="481" w:type="pct"/>
            <w:shd w:val="clear" w:color="auto" w:fill="auto"/>
            <w:vAlign w:val="bottom"/>
          </w:tcPr>
          <w:p w14:paraId="64154A8B"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bCs/>
                <w:sz w:val="18"/>
              </w:rPr>
              <w:t>24</w:t>
            </w:r>
          </w:p>
        </w:tc>
        <w:tc>
          <w:tcPr>
            <w:tcW w:w="577" w:type="pct"/>
            <w:shd w:val="clear" w:color="auto" w:fill="auto"/>
            <w:vAlign w:val="bottom"/>
          </w:tcPr>
          <w:p w14:paraId="1FD99402"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1</w:t>
            </w:r>
          </w:p>
        </w:tc>
        <w:tc>
          <w:tcPr>
            <w:tcW w:w="480" w:type="pct"/>
            <w:shd w:val="clear" w:color="auto" w:fill="auto"/>
            <w:vAlign w:val="bottom"/>
          </w:tcPr>
          <w:p w14:paraId="790FDE93"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21</w:t>
            </w:r>
          </w:p>
        </w:tc>
        <w:tc>
          <w:tcPr>
            <w:tcW w:w="384" w:type="pct"/>
            <w:shd w:val="clear" w:color="auto" w:fill="auto"/>
            <w:vAlign w:val="bottom"/>
          </w:tcPr>
          <w:p w14:paraId="70DAA30A"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bCs/>
                <w:sz w:val="18"/>
              </w:rPr>
              <w:t>22</w:t>
            </w:r>
          </w:p>
        </w:tc>
      </w:tr>
      <w:tr w:rsidR="00401826" w:rsidRPr="008A5E67" w14:paraId="76E264BC" w14:textId="77777777" w:rsidTr="00C262CE">
        <w:trPr>
          <w:trHeight w:val="240"/>
        </w:trPr>
        <w:tc>
          <w:tcPr>
            <w:tcW w:w="2020" w:type="pct"/>
            <w:shd w:val="clear" w:color="auto" w:fill="auto"/>
          </w:tcPr>
          <w:p w14:paraId="3494B7CF" w14:textId="77777777" w:rsidR="008A5E67" w:rsidRPr="008A5E67" w:rsidRDefault="008A5E67" w:rsidP="00401826">
            <w:pPr>
              <w:pStyle w:val="SingleTxtG"/>
              <w:tabs>
                <w:tab w:val="clear" w:pos="1701"/>
                <w:tab w:val="clear" w:pos="2268"/>
                <w:tab w:val="clear" w:pos="2835"/>
              </w:tabs>
              <w:spacing w:before="40" w:after="40" w:line="220" w:lineRule="exact"/>
              <w:ind w:left="0" w:right="0"/>
              <w:jc w:val="left"/>
              <w:rPr>
                <w:bCs/>
                <w:sz w:val="18"/>
              </w:rPr>
            </w:pPr>
            <w:r w:rsidRPr="008A5E67">
              <w:rPr>
                <w:sz w:val="18"/>
              </w:rPr>
              <w:t>Homicidio intencional</w:t>
            </w:r>
          </w:p>
        </w:tc>
        <w:tc>
          <w:tcPr>
            <w:tcW w:w="577" w:type="pct"/>
            <w:shd w:val="clear" w:color="auto" w:fill="auto"/>
            <w:vAlign w:val="bottom"/>
          </w:tcPr>
          <w:p w14:paraId="485C3EB0"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1</w:t>
            </w:r>
          </w:p>
        </w:tc>
        <w:tc>
          <w:tcPr>
            <w:tcW w:w="481" w:type="pct"/>
            <w:shd w:val="clear" w:color="auto" w:fill="auto"/>
            <w:vAlign w:val="bottom"/>
          </w:tcPr>
          <w:p w14:paraId="15DDD283"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0</w:t>
            </w:r>
          </w:p>
        </w:tc>
        <w:tc>
          <w:tcPr>
            <w:tcW w:w="481" w:type="pct"/>
            <w:shd w:val="clear" w:color="auto" w:fill="auto"/>
            <w:vAlign w:val="bottom"/>
          </w:tcPr>
          <w:p w14:paraId="79E1A6A1"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bCs/>
                <w:sz w:val="18"/>
              </w:rPr>
              <w:t>1</w:t>
            </w:r>
          </w:p>
        </w:tc>
        <w:tc>
          <w:tcPr>
            <w:tcW w:w="577" w:type="pct"/>
            <w:shd w:val="clear" w:color="auto" w:fill="auto"/>
            <w:vAlign w:val="bottom"/>
          </w:tcPr>
          <w:p w14:paraId="60C273C9"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1</w:t>
            </w:r>
          </w:p>
        </w:tc>
        <w:tc>
          <w:tcPr>
            <w:tcW w:w="480" w:type="pct"/>
            <w:shd w:val="clear" w:color="auto" w:fill="auto"/>
            <w:vAlign w:val="bottom"/>
          </w:tcPr>
          <w:p w14:paraId="1EE0C541"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5</w:t>
            </w:r>
          </w:p>
        </w:tc>
        <w:tc>
          <w:tcPr>
            <w:tcW w:w="384" w:type="pct"/>
            <w:shd w:val="clear" w:color="auto" w:fill="auto"/>
            <w:vAlign w:val="bottom"/>
          </w:tcPr>
          <w:p w14:paraId="2FFC2349"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bCs/>
                <w:sz w:val="18"/>
              </w:rPr>
              <w:t>6</w:t>
            </w:r>
          </w:p>
        </w:tc>
      </w:tr>
      <w:tr w:rsidR="00401826" w:rsidRPr="008A5E67" w14:paraId="1200D884" w14:textId="77777777" w:rsidTr="00C262CE">
        <w:trPr>
          <w:trHeight w:val="240"/>
        </w:trPr>
        <w:tc>
          <w:tcPr>
            <w:tcW w:w="2020" w:type="pct"/>
            <w:shd w:val="clear" w:color="auto" w:fill="auto"/>
          </w:tcPr>
          <w:p w14:paraId="663F697F" w14:textId="77777777" w:rsidR="008A5E67" w:rsidRPr="008A5E67" w:rsidRDefault="008A5E67" w:rsidP="00401826">
            <w:pPr>
              <w:pStyle w:val="SingleTxtG"/>
              <w:tabs>
                <w:tab w:val="clear" w:pos="1701"/>
                <w:tab w:val="clear" w:pos="2268"/>
                <w:tab w:val="clear" w:pos="2835"/>
              </w:tabs>
              <w:spacing w:before="40" w:after="40" w:line="220" w:lineRule="exact"/>
              <w:ind w:left="0" w:right="0"/>
              <w:jc w:val="left"/>
              <w:rPr>
                <w:bCs/>
                <w:sz w:val="18"/>
              </w:rPr>
            </w:pPr>
            <w:r w:rsidRPr="008A5E67">
              <w:rPr>
                <w:sz w:val="18"/>
              </w:rPr>
              <w:t>Trato negligente</w:t>
            </w:r>
          </w:p>
        </w:tc>
        <w:tc>
          <w:tcPr>
            <w:tcW w:w="577" w:type="pct"/>
            <w:shd w:val="clear" w:color="auto" w:fill="auto"/>
            <w:vAlign w:val="bottom"/>
          </w:tcPr>
          <w:p w14:paraId="29BF07E0"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11</w:t>
            </w:r>
          </w:p>
        </w:tc>
        <w:tc>
          <w:tcPr>
            <w:tcW w:w="481" w:type="pct"/>
            <w:shd w:val="clear" w:color="auto" w:fill="auto"/>
            <w:vAlign w:val="bottom"/>
          </w:tcPr>
          <w:p w14:paraId="209DF4F1"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20</w:t>
            </w:r>
          </w:p>
        </w:tc>
        <w:tc>
          <w:tcPr>
            <w:tcW w:w="481" w:type="pct"/>
            <w:shd w:val="clear" w:color="auto" w:fill="auto"/>
            <w:vAlign w:val="bottom"/>
          </w:tcPr>
          <w:p w14:paraId="66CA8FD9"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bCs/>
                <w:sz w:val="18"/>
              </w:rPr>
              <w:t>31</w:t>
            </w:r>
          </w:p>
        </w:tc>
        <w:tc>
          <w:tcPr>
            <w:tcW w:w="577" w:type="pct"/>
            <w:shd w:val="clear" w:color="auto" w:fill="auto"/>
            <w:vAlign w:val="bottom"/>
          </w:tcPr>
          <w:p w14:paraId="03FD70EC"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11</w:t>
            </w:r>
          </w:p>
        </w:tc>
        <w:tc>
          <w:tcPr>
            <w:tcW w:w="480" w:type="pct"/>
            <w:shd w:val="clear" w:color="auto" w:fill="auto"/>
            <w:vAlign w:val="bottom"/>
          </w:tcPr>
          <w:p w14:paraId="2CE1AF3B"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16</w:t>
            </w:r>
          </w:p>
        </w:tc>
        <w:tc>
          <w:tcPr>
            <w:tcW w:w="384" w:type="pct"/>
            <w:shd w:val="clear" w:color="auto" w:fill="auto"/>
            <w:vAlign w:val="bottom"/>
          </w:tcPr>
          <w:p w14:paraId="690C2553"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bCs/>
                <w:sz w:val="18"/>
              </w:rPr>
              <w:t>27</w:t>
            </w:r>
          </w:p>
        </w:tc>
      </w:tr>
      <w:tr w:rsidR="00401826" w:rsidRPr="008A5E67" w14:paraId="234796AA" w14:textId="77777777" w:rsidTr="00C262CE">
        <w:trPr>
          <w:trHeight w:val="240"/>
        </w:trPr>
        <w:tc>
          <w:tcPr>
            <w:tcW w:w="2020" w:type="pct"/>
            <w:shd w:val="clear" w:color="auto" w:fill="auto"/>
          </w:tcPr>
          <w:p w14:paraId="457F00FE" w14:textId="77777777" w:rsidR="008A5E67" w:rsidRPr="008A5E67" w:rsidRDefault="008A5E67" w:rsidP="00401826">
            <w:pPr>
              <w:pStyle w:val="SingleTxtG"/>
              <w:tabs>
                <w:tab w:val="clear" w:pos="1701"/>
                <w:tab w:val="clear" w:pos="2268"/>
                <w:tab w:val="clear" w:pos="2835"/>
              </w:tabs>
              <w:spacing w:before="40" w:after="40" w:line="220" w:lineRule="exact"/>
              <w:ind w:left="0" w:right="0"/>
              <w:jc w:val="left"/>
              <w:rPr>
                <w:bCs/>
                <w:sz w:val="18"/>
              </w:rPr>
            </w:pPr>
            <w:r w:rsidRPr="008A5E67">
              <w:rPr>
                <w:sz w:val="18"/>
              </w:rPr>
              <w:t>Privación ilegal de libertad</w:t>
            </w:r>
          </w:p>
        </w:tc>
        <w:tc>
          <w:tcPr>
            <w:tcW w:w="577" w:type="pct"/>
            <w:shd w:val="clear" w:color="auto" w:fill="auto"/>
            <w:vAlign w:val="bottom"/>
          </w:tcPr>
          <w:p w14:paraId="3455DD3A"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4</w:t>
            </w:r>
          </w:p>
        </w:tc>
        <w:tc>
          <w:tcPr>
            <w:tcW w:w="481" w:type="pct"/>
            <w:shd w:val="clear" w:color="auto" w:fill="auto"/>
            <w:vAlign w:val="bottom"/>
          </w:tcPr>
          <w:p w14:paraId="5D14C273"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1</w:t>
            </w:r>
          </w:p>
        </w:tc>
        <w:tc>
          <w:tcPr>
            <w:tcW w:w="481" w:type="pct"/>
            <w:shd w:val="clear" w:color="auto" w:fill="auto"/>
            <w:vAlign w:val="bottom"/>
          </w:tcPr>
          <w:p w14:paraId="0074A174"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bCs/>
                <w:sz w:val="18"/>
              </w:rPr>
              <w:t>5</w:t>
            </w:r>
          </w:p>
        </w:tc>
        <w:tc>
          <w:tcPr>
            <w:tcW w:w="577" w:type="pct"/>
            <w:shd w:val="clear" w:color="auto" w:fill="auto"/>
            <w:vAlign w:val="bottom"/>
          </w:tcPr>
          <w:p w14:paraId="1562934B"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6</w:t>
            </w:r>
          </w:p>
        </w:tc>
        <w:tc>
          <w:tcPr>
            <w:tcW w:w="480" w:type="pct"/>
            <w:shd w:val="clear" w:color="auto" w:fill="auto"/>
            <w:vAlign w:val="bottom"/>
          </w:tcPr>
          <w:p w14:paraId="01B967E9"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2</w:t>
            </w:r>
          </w:p>
        </w:tc>
        <w:tc>
          <w:tcPr>
            <w:tcW w:w="384" w:type="pct"/>
            <w:shd w:val="clear" w:color="auto" w:fill="auto"/>
            <w:vAlign w:val="bottom"/>
          </w:tcPr>
          <w:p w14:paraId="40D41572"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bCs/>
                <w:sz w:val="18"/>
              </w:rPr>
              <w:t>8</w:t>
            </w:r>
          </w:p>
        </w:tc>
      </w:tr>
      <w:tr w:rsidR="00401826" w:rsidRPr="008A5E67" w14:paraId="46A79DF3" w14:textId="77777777" w:rsidTr="00C262CE">
        <w:trPr>
          <w:trHeight w:val="240"/>
        </w:trPr>
        <w:tc>
          <w:tcPr>
            <w:tcW w:w="2020" w:type="pct"/>
            <w:shd w:val="clear" w:color="auto" w:fill="auto"/>
          </w:tcPr>
          <w:p w14:paraId="0C6BBB32" w14:textId="77777777" w:rsidR="008A5E67" w:rsidRPr="008A5E67" w:rsidRDefault="008A5E67" w:rsidP="00401826">
            <w:pPr>
              <w:pStyle w:val="SingleTxtG"/>
              <w:tabs>
                <w:tab w:val="clear" w:pos="1701"/>
                <w:tab w:val="clear" w:pos="2268"/>
                <w:tab w:val="clear" w:pos="2835"/>
              </w:tabs>
              <w:spacing w:before="40" w:after="40" w:line="220" w:lineRule="exact"/>
              <w:ind w:left="0" w:right="0"/>
              <w:jc w:val="left"/>
              <w:rPr>
                <w:bCs/>
                <w:sz w:val="18"/>
              </w:rPr>
            </w:pPr>
            <w:r w:rsidRPr="008A5E67">
              <w:rPr>
                <w:sz w:val="18"/>
              </w:rPr>
              <w:t>Trata/tráfico de personas</w:t>
            </w:r>
          </w:p>
        </w:tc>
        <w:tc>
          <w:tcPr>
            <w:tcW w:w="577" w:type="pct"/>
            <w:shd w:val="clear" w:color="auto" w:fill="auto"/>
            <w:vAlign w:val="bottom"/>
          </w:tcPr>
          <w:p w14:paraId="1BF932ED"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8</w:t>
            </w:r>
          </w:p>
        </w:tc>
        <w:tc>
          <w:tcPr>
            <w:tcW w:w="481" w:type="pct"/>
            <w:shd w:val="clear" w:color="auto" w:fill="auto"/>
            <w:vAlign w:val="bottom"/>
          </w:tcPr>
          <w:p w14:paraId="422365B2"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10</w:t>
            </w:r>
          </w:p>
        </w:tc>
        <w:tc>
          <w:tcPr>
            <w:tcW w:w="481" w:type="pct"/>
            <w:shd w:val="clear" w:color="auto" w:fill="auto"/>
            <w:vAlign w:val="bottom"/>
          </w:tcPr>
          <w:p w14:paraId="63012EF6"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bCs/>
                <w:sz w:val="18"/>
              </w:rPr>
              <w:t>18</w:t>
            </w:r>
          </w:p>
        </w:tc>
        <w:tc>
          <w:tcPr>
            <w:tcW w:w="577" w:type="pct"/>
            <w:shd w:val="clear" w:color="auto" w:fill="auto"/>
            <w:vAlign w:val="bottom"/>
          </w:tcPr>
          <w:p w14:paraId="3F737047"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11</w:t>
            </w:r>
          </w:p>
        </w:tc>
        <w:tc>
          <w:tcPr>
            <w:tcW w:w="480" w:type="pct"/>
            <w:shd w:val="clear" w:color="auto" w:fill="auto"/>
            <w:vAlign w:val="bottom"/>
          </w:tcPr>
          <w:p w14:paraId="4AA736A0"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15</w:t>
            </w:r>
          </w:p>
        </w:tc>
        <w:tc>
          <w:tcPr>
            <w:tcW w:w="384" w:type="pct"/>
            <w:shd w:val="clear" w:color="auto" w:fill="auto"/>
            <w:vAlign w:val="bottom"/>
          </w:tcPr>
          <w:p w14:paraId="0BE76202"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bCs/>
                <w:sz w:val="18"/>
              </w:rPr>
              <w:t>26</w:t>
            </w:r>
          </w:p>
        </w:tc>
      </w:tr>
      <w:tr w:rsidR="00401826" w:rsidRPr="008A5E67" w14:paraId="71C79805" w14:textId="77777777" w:rsidTr="00C262CE">
        <w:trPr>
          <w:trHeight w:val="240"/>
        </w:trPr>
        <w:tc>
          <w:tcPr>
            <w:tcW w:w="2020" w:type="pct"/>
            <w:shd w:val="clear" w:color="auto" w:fill="auto"/>
          </w:tcPr>
          <w:p w14:paraId="27634819" w14:textId="77777777" w:rsidR="008A5E67" w:rsidRPr="008A5E67" w:rsidRDefault="008A5E67" w:rsidP="00401826">
            <w:pPr>
              <w:pStyle w:val="SingleTxtG"/>
              <w:tabs>
                <w:tab w:val="clear" w:pos="1701"/>
                <w:tab w:val="clear" w:pos="2268"/>
                <w:tab w:val="clear" w:pos="2835"/>
              </w:tabs>
              <w:spacing w:before="40" w:after="40" w:line="220" w:lineRule="exact"/>
              <w:ind w:left="0" w:right="0"/>
              <w:jc w:val="left"/>
              <w:rPr>
                <w:bCs/>
                <w:sz w:val="18"/>
              </w:rPr>
            </w:pPr>
            <w:r w:rsidRPr="008A5E67">
              <w:rPr>
                <w:sz w:val="18"/>
              </w:rPr>
              <w:t>Violación</w:t>
            </w:r>
          </w:p>
        </w:tc>
        <w:tc>
          <w:tcPr>
            <w:tcW w:w="577" w:type="pct"/>
            <w:shd w:val="clear" w:color="auto" w:fill="auto"/>
            <w:vAlign w:val="bottom"/>
          </w:tcPr>
          <w:p w14:paraId="26D1B23D"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48</w:t>
            </w:r>
          </w:p>
        </w:tc>
        <w:tc>
          <w:tcPr>
            <w:tcW w:w="481" w:type="pct"/>
            <w:shd w:val="clear" w:color="auto" w:fill="auto"/>
            <w:vAlign w:val="bottom"/>
          </w:tcPr>
          <w:p w14:paraId="55AF88C1"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4</w:t>
            </w:r>
          </w:p>
        </w:tc>
        <w:tc>
          <w:tcPr>
            <w:tcW w:w="481" w:type="pct"/>
            <w:shd w:val="clear" w:color="auto" w:fill="auto"/>
            <w:vAlign w:val="bottom"/>
          </w:tcPr>
          <w:p w14:paraId="4A1E2F9A"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bCs/>
                <w:sz w:val="18"/>
              </w:rPr>
              <w:t>52</w:t>
            </w:r>
          </w:p>
        </w:tc>
        <w:tc>
          <w:tcPr>
            <w:tcW w:w="577" w:type="pct"/>
            <w:shd w:val="clear" w:color="auto" w:fill="auto"/>
            <w:vAlign w:val="bottom"/>
          </w:tcPr>
          <w:p w14:paraId="0314F879"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74</w:t>
            </w:r>
          </w:p>
        </w:tc>
        <w:tc>
          <w:tcPr>
            <w:tcW w:w="480" w:type="pct"/>
            <w:shd w:val="clear" w:color="auto" w:fill="auto"/>
            <w:vAlign w:val="bottom"/>
          </w:tcPr>
          <w:p w14:paraId="568CDF0C"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2</w:t>
            </w:r>
          </w:p>
        </w:tc>
        <w:tc>
          <w:tcPr>
            <w:tcW w:w="384" w:type="pct"/>
            <w:shd w:val="clear" w:color="auto" w:fill="auto"/>
            <w:vAlign w:val="bottom"/>
          </w:tcPr>
          <w:p w14:paraId="7555A5D3"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bCs/>
                <w:sz w:val="18"/>
              </w:rPr>
              <w:t>76</w:t>
            </w:r>
          </w:p>
        </w:tc>
      </w:tr>
      <w:tr w:rsidR="00401826" w:rsidRPr="008A5E67" w14:paraId="4270293A" w14:textId="77777777" w:rsidTr="00C262CE">
        <w:trPr>
          <w:trHeight w:val="240"/>
        </w:trPr>
        <w:tc>
          <w:tcPr>
            <w:tcW w:w="2020" w:type="pct"/>
            <w:shd w:val="clear" w:color="auto" w:fill="auto"/>
          </w:tcPr>
          <w:p w14:paraId="111FE823" w14:textId="77777777" w:rsidR="008A5E67" w:rsidRPr="008A5E67" w:rsidRDefault="008A5E67" w:rsidP="00401826">
            <w:pPr>
              <w:pStyle w:val="SingleTxtG"/>
              <w:tabs>
                <w:tab w:val="clear" w:pos="1701"/>
                <w:tab w:val="clear" w:pos="2268"/>
                <w:tab w:val="clear" w:pos="2835"/>
              </w:tabs>
              <w:spacing w:before="40" w:after="40" w:line="220" w:lineRule="exact"/>
              <w:ind w:left="0" w:right="0"/>
              <w:jc w:val="left"/>
              <w:rPr>
                <w:bCs/>
                <w:sz w:val="18"/>
              </w:rPr>
            </w:pPr>
            <w:r w:rsidRPr="008A5E67">
              <w:rPr>
                <w:sz w:val="18"/>
              </w:rPr>
              <w:t>Secuestro de niños</w:t>
            </w:r>
          </w:p>
        </w:tc>
        <w:tc>
          <w:tcPr>
            <w:tcW w:w="577" w:type="pct"/>
            <w:shd w:val="clear" w:color="auto" w:fill="auto"/>
            <w:vAlign w:val="bottom"/>
          </w:tcPr>
          <w:p w14:paraId="101944FC"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0</w:t>
            </w:r>
          </w:p>
        </w:tc>
        <w:tc>
          <w:tcPr>
            <w:tcW w:w="481" w:type="pct"/>
            <w:shd w:val="clear" w:color="auto" w:fill="auto"/>
            <w:vAlign w:val="bottom"/>
          </w:tcPr>
          <w:p w14:paraId="347828DA"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0</w:t>
            </w:r>
          </w:p>
        </w:tc>
        <w:tc>
          <w:tcPr>
            <w:tcW w:w="481" w:type="pct"/>
            <w:shd w:val="clear" w:color="auto" w:fill="auto"/>
            <w:vAlign w:val="bottom"/>
          </w:tcPr>
          <w:p w14:paraId="00C3FA9B"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bCs/>
                <w:sz w:val="18"/>
              </w:rPr>
              <w:t>0</w:t>
            </w:r>
          </w:p>
        </w:tc>
        <w:tc>
          <w:tcPr>
            <w:tcW w:w="577" w:type="pct"/>
            <w:shd w:val="clear" w:color="auto" w:fill="auto"/>
            <w:vAlign w:val="bottom"/>
          </w:tcPr>
          <w:p w14:paraId="7971C3C1"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0</w:t>
            </w:r>
          </w:p>
        </w:tc>
        <w:tc>
          <w:tcPr>
            <w:tcW w:w="480" w:type="pct"/>
            <w:shd w:val="clear" w:color="auto" w:fill="auto"/>
            <w:vAlign w:val="bottom"/>
          </w:tcPr>
          <w:p w14:paraId="1C6FACD7"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sz w:val="18"/>
              </w:rPr>
              <w:t>0</w:t>
            </w:r>
          </w:p>
        </w:tc>
        <w:tc>
          <w:tcPr>
            <w:tcW w:w="384" w:type="pct"/>
            <w:shd w:val="clear" w:color="auto" w:fill="auto"/>
            <w:vAlign w:val="bottom"/>
          </w:tcPr>
          <w:p w14:paraId="03467E83" w14:textId="77777777" w:rsidR="008A5E67" w:rsidRPr="008A5E67" w:rsidRDefault="008A5E67" w:rsidP="00401826">
            <w:pPr>
              <w:pStyle w:val="SingleTxtG"/>
              <w:tabs>
                <w:tab w:val="clear" w:pos="1701"/>
                <w:tab w:val="clear" w:pos="2268"/>
                <w:tab w:val="clear" w:pos="2835"/>
              </w:tabs>
              <w:spacing w:before="40" w:after="40" w:line="220" w:lineRule="exact"/>
              <w:ind w:left="113" w:right="0"/>
              <w:jc w:val="right"/>
              <w:rPr>
                <w:sz w:val="18"/>
              </w:rPr>
            </w:pPr>
            <w:r w:rsidRPr="008A5E67">
              <w:rPr>
                <w:bCs/>
                <w:sz w:val="18"/>
              </w:rPr>
              <w:t>0</w:t>
            </w:r>
          </w:p>
        </w:tc>
      </w:tr>
      <w:tr w:rsidR="00401826" w:rsidRPr="008A5E67" w14:paraId="5BC33953" w14:textId="77777777" w:rsidTr="00C262CE">
        <w:trPr>
          <w:trHeight w:val="240"/>
        </w:trPr>
        <w:tc>
          <w:tcPr>
            <w:tcW w:w="2020" w:type="pct"/>
            <w:shd w:val="clear" w:color="auto" w:fill="auto"/>
          </w:tcPr>
          <w:p w14:paraId="63EA7468" w14:textId="77777777" w:rsidR="008A5E67" w:rsidRPr="008A5E67" w:rsidRDefault="008A5E67" w:rsidP="00C54E0E">
            <w:pPr>
              <w:pStyle w:val="SingleTxtG"/>
              <w:keepNext/>
              <w:tabs>
                <w:tab w:val="clear" w:pos="1701"/>
                <w:tab w:val="clear" w:pos="2268"/>
                <w:tab w:val="clear" w:pos="2835"/>
              </w:tabs>
              <w:spacing w:before="40" w:after="40" w:line="220" w:lineRule="exact"/>
              <w:ind w:left="0" w:right="0"/>
              <w:jc w:val="left"/>
              <w:rPr>
                <w:bCs/>
                <w:sz w:val="18"/>
              </w:rPr>
            </w:pPr>
            <w:r w:rsidRPr="008A5E67">
              <w:rPr>
                <w:sz w:val="18"/>
              </w:rPr>
              <w:lastRenderedPageBreak/>
              <w:t>Captación de menores</w:t>
            </w:r>
          </w:p>
        </w:tc>
        <w:tc>
          <w:tcPr>
            <w:tcW w:w="577" w:type="pct"/>
            <w:shd w:val="clear" w:color="auto" w:fill="auto"/>
            <w:vAlign w:val="bottom"/>
          </w:tcPr>
          <w:p w14:paraId="34809E90" w14:textId="77777777" w:rsidR="008A5E67" w:rsidRPr="008A5E67" w:rsidRDefault="008A5E67" w:rsidP="00C54E0E">
            <w:pPr>
              <w:pStyle w:val="SingleTxtG"/>
              <w:keepNext/>
              <w:tabs>
                <w:tab w:val="clear" w:pos="1701"/>
                <w:tab w:val="clear" w:pos="2268"/>
                <w:tab w:val="clear" w:pos="2835"/>
              </w:tabs>
              <w:spacing w:before="40" w:after="40" w:line="220" w:lineRule="exact"/>
              <w:ind w:left="113" w:right="0"/>
              <w:jc w:val="right"/>
              <w:rPr>
                <w:sz w:val="18"/>
              </w:rPr>
            </w:pPr>
            <w:r w:rsidRPr="008A5E67">
              <w:rPr>
                <w:sz w:val="18"/>
              </w:rPr>
              <w:t>3</w:t>
            </w:r>
          </w:p>
        </w:tc>
        <w:tc>
          <w:tcPr>
            <w:tcW w:w="481" w:type="pct"/>
            <w:shd w:val="clear" w:color="auto" w:fill="auto"/>
            <w:vAlign w:val="bottom"/>
          </w:tcPr>
          <w:p w14:paraId="454FB98D" w14:textId="77777777" w:rsidR="008A5E67" w:rsidRPr="008A5E67" w:rsidRDefault="008A5E67" w:rsidP="00C54E0E">
            <w:pPr>
              <w:pStyle w:val="SingleTxtG"/>
              <w:keepNext/>
              <w:tabs>
                <w:tab w:val="clear" w:pos="1701"/>
                <w:tab w:val="clear" w:pos="2268"/>
                <w:tab w:val="clear" w:pos="2835"/>
              </w:tabs>
              <w:spacing w:before="40" w:after="40" w:line="220" w:lineRule="exact"/>
              <w:ind w:left="113" w:right="0"/>
              <w:jc w:val="right"/>
              <w:rPr>
                <w:sz w:val="18"/>
              </w:rPr>
            </w:pPr>
            <w:r w:rsidRPr="008A5E67">
              <w:rPr>
                <w:sz w:val="18"/>
              </w:rPr>
              <w:t>0</w:t>
            </w:r>
          </w:p>
        </w:tc>
        <w:tc>
          <w:tcPr>
            <w:tcW w:w="481" w:type="pct"/>
            <w:shd w:val="clear" w:color="auto" w:fill="auto"/>
            <w:vAlign w:val="bottom"/>
          </w:tcPr>
          <w:p w14:paraId="1E8E3BC1" w14:textId="77777777" w:rsidR="008A5E67" w:rsidRPr="008A5E67" w:rsidRDefault="008A5E67" w:rsidP="00C54E0E">
            <w:pPr>
              <w:pStyle w:val="SingleTxtG"/>
              <w:keepNext/>
              <w:tabs>
                <w:tab w:val="clear" w:pos="1701"/>
                <w:tab w:val="clear" w:pos="2268"/>
                <w:tab w:val="clear" w:pos="2835"/>
              </w:tabs>
              <w:spacing w:before="40" w:after="40" w:line="220" w:lineRule="exact"/>
              <w:ind w:left="113" w:right="0"/>
              <w:jc w:val="right"/>
              <w:rPr>
                <w:sz w:val="18"/>
              </w:rPr>
            </w:pPr>
            <w:r w:rsidRPr="008A5E67">
              <w:rPr>
                <w:bCs/>
                <w:sz w:val="18"/>
              </w:rPr>
              <w:t>3</w:t>
            </w:r>
          </w:p>
        </w:tc>
        <w:tc>
          <w:tcPr>
            <w:tcW w:w="577" w:type="pct"/>
            <w:shd w:val="clear" w:color="auto" w:fill="auto"/>
            <w:vAlign w:val="bottom"/>
          </w:tcPr>
          <w:p w14:paraId="5197134F" w14:textId="77777777" w:rsidR="008A5E67" w:rsidRPr="008A5E67" w:rsidRDefault="008A5E67" w:rsidP="00C54E0E">
            <w:pPr>
              <w:pStyle w:val="SingleTxtG"/>
              <w:keepNext/>
              <w:tabs>
                <w:tab w:val="clear" w:pos="1701"/>
                <w:tab w:val="clear" w:pos="2268"/>
                <w:tab w:val="clear" w:pos="2835"/>
              </w:tabs>
              <w:spacing w:before="40" w:after="40" w:line="220" w:lineRule="exact"/>
              <w:ind w:left="113" w:right="0"/>
              <w:jc w:val="right"/>
              <w:rPr>
                <w:sz w:val="18"/>
              </w:rPr>
            </w:pPr>
            <w:r w:rsidRPr="008A5E67">
              <w:rPr>
                <w:sz w:val="18"/>
              </w:rPr>
              <w:t>0</w:t>
            </w:r>
          </w:p>
        </w:tc>
        <w:tc>
          <w:tcPr>
            <w:tcW w:w="480" w:type="pct"/>
            <w:shd w:val="clear" w:color="auto" w:fill="auto"/>
            <w:vAlign w:val="bottom"/>
          </w:tcPr>
          <w:p w14:paraId="2BCCA062" w14:textId="77777777" w:rsidR="008A5E67" w:rsidRPr="008A5E67" w:rsidRDefault="008A5E67" w:rsidP="00C54E0E">
            <w:pPr>
              <w:pStyle w:val="SingleTxtG"/>
              <w:keepNext/>
              <w:tabs>
                <w:tab w:val="clear" w:pos="1701"/>
                <w:tab w:val="clear" w:pos="2268"/>
                <w:tab w:val="clear" w:pos="2835"/>
              </w:tabs>
              <w:spacing w:before="40" w:after="40" w:line="220" w:lineRule="exact"/>
              <w:ind w:left="113" w:right="0"/>
              <w:jc w:val="right"/>
              <w:rPr>
                <w:sz w:val="18"/>
              </w:rPr>
            </w:pPr>
            <w:r w:rsidRPr="008A5E67">
              <w:rPr>
                <w:sz w:val="18"/>
              </w:rPr>
              <w:t>0</w:t>
            </w:r>
          </w:p>
        </w:tc>
        <w:tc>
          <w:tcPr>
            <w:tcW w:w="384" w:type="pct"/>
            <w:shd w:val="clear" w:color="auto" w:fill="auto"/>
            <w:vAlign w:val="bottom"/>
          </w:tcPr>
          <w:p w14:paraId="64318B8B" w14:textId="77777777" w:rsidR="008A5E67" w:rsidRPr="008A5E67" w:rsidRDefault="008A5E67" w:rsidP="00C54E0E">
            <w:pPr>
              <w:pStyle w:val="SingleTxtG"/>
              <w:keepNext/>
              <w:tabs>
                <w:tab w:val="clear" w:pos="1701"/>
                <w:tab w:val="clear" w:pos="2268"/>
                <w:tab w:val="clear" w:pos="2835"/>
              </w:tabs>
              <w:spacing w:before="40" w:after="40" w:line="220" w:lineRule="exact"/>
              <w:ind w:left="113" w:right="0"/>
              <w:jc w:val="right"/>
              <w:rPr>
                <w:sz w:val="18"/>
              </w:rPr>
            </w:pPr>
            <w:r w:rsidRPr="008A5E67">
              <w:rPr>
                <w:bCs/>
                <w:sz w:val="18"/>
              </w:rPr>
              <w:t>0</w:t>
            </w:r>
          </w:p>
        </w:tc>
      </w:tr>
      <w:tr w:rsidR="00C262CE" w:rsidRPr="00401826" w14:paraId="016C79D1" w14:textId="77777777" w:rsidTr="00C262CE">
        <w:trPr>
          <w:trHeight w:val="240"/>
        </w:trPr>
        <w:tc>
          <w:tcPr>
            <w:tcW w:w="2020" w:type="pct"/>
            <w:tcBorders>
              <w:bottom w:val="single" w:sz="4" w:space="0" w:color="auto"/>
            </w:tcBorders>
            <w:shd w:val="clear" w:color="auto" w:fill="auto"/>
          </w:tcPr>
          <w:p w14:paraId="6B7AF938" w14:textId="77777777" w:rsidR="008A5E67" w:rsidRPr="008A5E67" w:rsidRDefault="008A5E67" w:rsidP="00C54E0E">
            <w:pPr>
              <w:pStyle w:val="SingleTxtG"/>
              <w:keepNext/>
              <w:tabs>
                <w:tab w:val="clear" w:pos="1701"/>
                <w:tab w:val="clear" w:pos="2268"/>
                <w:tab w:val="clear" w:pos="2835"/>
              </w:tabs>
              <w:spacing w:before="40" w:after="40" w:line="220" w:lineRule="exact"/>
              <w:ind w:left="0" w:right="0"/>
              <w:jc w:val="left"/>
              <w:rPr>
                <w:bCs/>
                <w:sz w:val="18"/>
              </w:rPr>
            </w:pPr>
            <w:r w:rsidRPr="008A5E67">
              <w:rPr>
                <w:sz w:val="18"/>
              </w:rPr>
              <w:t>Maltrato infantil</w:t>
            </w:r>
          </w:p>
        </w:tc>
        <w:tc>
          <w:tcPr>
            <w:tcW w:w="577" w:type="pct"/>
            <w:tcBorders>
              <w:bottom w:val="single" w:sz="4" w:space="0" w:color="auto"/>
            </w:tcBorders>
            <w:shd w:val="clear" w:color="auto" w:fill="auto"/>
            <w:vAlign w:val="bottom"/>
          </w:tcPr>
          <w:p w14:paraId="67B7D1E7" w14:textId="77777777" w:rsidR="008A5E67" w:rsidRPr="008A5E67" w:rsidRDefault="008A5E67" w:rsidP="00C54E0E">
            <w:pPr>
              <w:pStyle w:val="SingleTxtG"/>
              <w:keepNext/>
              <w:tabs>
                <w:tab w:val="clear" w:pos="1701"/>
                <w:tab w:val="clear" w:pos="2268"/>
                <w:tab w:val="clear" w:pos="2835"/>
              </w:tabs>
              <w:spacing w:before="40" w:after="40" w:line="220" w:lineRule="exact"/>
              <w:ind w:left="113" w:right="0"/>
              <w:jc w:val="right"/>
              <w:rPr>
                <w:sz w:val="18"/>
              </w:rPr>
            </w:pPr>
            <w:r w:rsidRPr="008A5E67">
              <w:rPr>
                <w:sz w:val="18"/>
              </w:rPr>
              <w:t>3</w:t>
            </w:r>
          </w:p>
        </w:tc>
        <w:tc>
          <w:tcPr>
            <w:tcW w:w="481" w:type="pct"/>
            <w:tcBorders>
              <w:bottom w:val="single" w:sz="4" w:space="0" w:color="auto"/>
            </w:tcBorders>
            <w:shd w:val="clear" w:color="auto" w:fill="auto"/>
            <w:vAlign w:val="bottom"/>
          </w:tcPr>
          <w:p w14:paraId="11FC6ECD" w14:textId="77777777" w:rsidR="008A5E67" w:rsidRPr="008A5E67" w:rsidRDefault="008A5E67" w:rsidP="00C54E0E">
            <w:pPr>
              <w:pStyle w:val="SingleTxtG"/>
              <w:keepNext/>
              <w:tabs>
                <w:tab w:val="clear" w:pos="1701"/>
                <w:tab w:val="clear" w:pos="2268"/>
                <w:tab w:val="clear" w:pos="2835"/>
              </w:tabs>
              <w:spacing w:before="40" w:after="40" w:line="220" w:lineRule="exact"/>
              <w:ind w:left="113" w:right="0"/>
              <w:jc w:val="right"/>
              <w:rPr>
                <w:sz w:val="18"/>
              </w:rPr>
            </w:pPr>
            <w:r w:rsidRPr="008A5E67">
              <w:rPr>
                <w:sz w:val="18"/>
              </w:rPr>
              <w:t>0</w:t>
            </w:r>
          </w:p>
        </w:tc>
        <w:tc>
          <w:tcPr>
            <w:tcW w:w="481" w:type="pct"/>
            <w:tcBorders>
              <w:bottom w:val="single" w:sz="4" w:space="0" w:color="auto"/>
            </w:tcBorders>
            <w:shd w:val="clear" w:color="auto" w:fill="auto"/>
            <w:vAlign w:val="bottom"/>
          </w:tcPr>
          <w:p w14:paraId="1C3366D2" w14:textId="77777777" w:rsidR="008A5E67" w:rsidRPr="008A5E67" w:rsidRDefault="008A5E67" w:rsidP="00C54E0E">
            <w:pPr>
              <w:pStyle w:val="SingleTxtG"/>
              <w:keepNext/>
              <w:tabs>
                <w:tab w:val="clear" w:pos="1701"/>
                <w:tab w:val="clear" w:pos="2268"/>
                <w:tab w:val="clear" w:pos="2835"/>
              </w:tabs>
              <w:spacing w:before="40" w:after="40" w:line="220" w:lineRule="exact"/>
              <w:ind w:left="113" w:right="0"/>
              <w:jc w:val="right"/>
              <w:rPr>
                <w:sz w:val="18"/>
              </w:rPr>
            </w:pPr>
            <w:r w:rsidRPr="008A5E67">
              <w:rPr>
                <w:bCs/>
                <w:sz w:val="18"/>
              </w:rPr>
              <w:t>3</w:t>
            </w:r>
          </w:p>
        </w:tc>
        <w:tc>
          <w:tcPr>
            <w:tcW w:w="577" w:type="pct"/>
            <w:tcBorders>
              <w:bottom w:val="single" w:sz="4" w:space="0" w:color="auto"/>
            </w:tcBorders>
            <w:shd w:val="clear" w:color="auto" w:fill="auto"/>
            <w:vAlign w:val="bottom"/>
          </w:tcPr>
          <w:p w14:paraId="7AFC508A" w14:textId="77777777" w:rsidR="008A5E67" w:rsidRPr="008A5E67" w:rsidRDefault="008A5E67" w:rsidP="00C54E0E">
            <w:pPr>
              <w:pStyle w:val="SingleTxtG"/>
              <w:keepNext/>
              <w:tabs>
                <w:tab w:val="clear" w:pos="1701"/>
                <w:tab w:val="clear" w:pos="2268"/>
                <w:tab w:val="clear" w:pos="2835"/>
              </w:tabs>
              <w:spacing w:before="40" w:after="40" w:line="220" w:lineRule="exact"/>
              <w:ind w:left="113" w:right="0"/>
              <w:jc w:val="right"/>
              <w:rPr>
                <w:sz w:val="18"/>
              </w:rPr>
            </w:pPr>
            <w:r w:rsidRPr="008A5E67">
              <w:rPr>
                <w:sz w:val="18"/>
              </w:rPr>
              <w:t>0</w:t>
            </w:r>
          </w:p>
        </w:tc>
        <w:tc>
          <w:tcPr>
            <w:tcW w:w="480" w:type="pct"/>
            <w:tcBorders>
              <w:bottom w:val="single" w:sz="4" w:space="0" w:color="auto"/>
            </w:tcBorders>
            <w:shd w:val="clear" w:color="auto" w:fill="auto"/>
            <w:vAlign w:val="bottom"/>
          </w:tcPr>
          <w:p w14:paraId="3CAABE8F" w14:textId="77777777" w:rsidR="008A5E67" w:rsidRPr="008A5E67" w:rsidRDefault="008A5E67" w:rsidP="00C54E0E">
            <w:pPr>
              <w:pStyle w:val="SingleTxtG"/>
              <w:keepNext/>
              <w:tabs>
                <w:tab w:val="clear" w:pos="1701"/>
                <w:tab w:val="clear" w:pos="2268"/>
                <w:tab w:val="clear" w:pos="2835"/>
              </w:tabs>
              <w:spacing w:before="40" w:after="40" w:line="220" w:lineRule="exact"/>
              <w:ind w:left="113" w:right="0"/>
              <w:jc w:val="right"/>
              <w:rPr>
                <w:sz w:val="18"/>
              </w:rPr>
            </w:pPr>
            <w:r w:rsidRPr="008A5E67">
              <w:rPr>
                <w:sz w:val="18"/>
              </w:rPr>
              <w:t>3</w:t>
            </w:r>
          </w:p>
        </w:tc>
        <w:tc>
          <w:tcPr>
            <w:tcW w:w="384" w:type="pct"/>
            <w:tcBorders>
              <w:bottom w:val="single" w:sz="4" w:space="0" w:color="auto"/>
            </w:tcBorders>
            <w:shd w:val="clear" w:color="auto" w:fill="auto"/>
            <w:vAlign w:val="bottom"/>
          </w:tcPr>
          <w:p w14:paraId="7D5D5AAC" w14:textId="77777777" w:rsidR="008A5E67" w:rsidRPr="008A5E67" w:rsidRDefault="008A5E67" w:rsidP="00C54E0E">
            <w:pPr>
              <w:pStyle w:val="SingleTxtG"/>
              <w:keepNext/>
              <w:tabs>
                <w:tab w:val="clear" w:pos="1701"/>
                <w:tab w:val="clear" w:pos="2268"/>
                <w:tab w:val="clear" w:pos="2835"/>
              </w:tabs>
              <w:spacing w:before="40" w:after="40" w:line="220" w:lineRule="exact"/>
              <w:ind w:left="113" w:right="0"/>
              <w:jc w:val="right"/>
              <w:rPr>
                <w:sz w:val="18"/>
              </w:rPr>
            </w:pPr>
            <w:r w:rsidRPr="008A5E67">
              <w:rPr>
                <w:bCs/>
                <w:sz w:val="18"/>
              </w:rPr>
              <w:t>3</w:t>
            </w:r>
          </w:p>
        </w:tc>
      </w:tr>
      <w:tr w:rsidR="00C262CE" w:rsidRPr="00C262CE" w14:paraId="7437A759" w14:textId="77777777" w:rsidTr="00C262CE">
        <w:trPr>
          <w:trHeight w:val="240"/>
        </w:trPr>
        <w:tc>
          <w:tcPr>
            <w:tcW w:w="2020" w:type="pct"/>
            <w:tcBorders>
              <w:top w:val="single" w:sz="4" w:space="0" w:color="auto"/>
              <w:bottom w:val="single" w:sz="12" w:space="0" w:color="auto"/>
            </w:tcBorders>
            <w:shd w:val="clear" w:color="auto" w:fill="auto"/>
          </w:tcPr>
          <w:p w14:paraId="3989E7D2" w14:textId="77777777" w:rsidR="008A5E67" w:rsidRPr="008A5E67" w:rsidRDefault="008A5E67" w:rsidP="00C262CE">
            <w:pPr>
              <w:pStyle w:val="SingleTxtG"/>
              <w:tabs>
                <w:tab w:val="clear" w:pos="1701"/>
                <w:tab w:val="clear" w:pos="2268"/>
                <w:tab w:val="clear" w:pos="2835"/>
              </w:tabs>
              <w:spacing w:before="80" w:after="80" w:line="220" w:lineRule="exact"/>
              <w:ind w:left="284" w:right="0"/>
              <w:jc w:val="left"/>
              <w:rPr>
                <w:b/>
                <w:sz w:val="18"/>
              </w:rPr>
            </w:pPr>
            <w:r w:rsidRPr="008A5E67">
              <w:rPr>
                <w:b/>
                <w:sz w:val="18"/>
              </w:rPr>
              <w:t>Total</w:t>
            </w:r>
          </w:p>
        </w:tc>
        <w:tc>
          <w:tcPr>
            <w:tcW w:w="577" w:type="pct"/>
            <w:tcBorders>
              <w:top w:val="single" w:sz="4" w:space="0" w:color="auto"/>
              <w:bottom w:val="single" w:sz="12" w:space="0" w:color="auto"/>
            </w:tcBorders>
            <w:shd w:val="clear" w:color="auto" w:fill="auto"/>
            <w:vAlign w:val="bottom"/>
          </w:tcPr>
          <w:p w14:paraId="7A8F3329" w14:textId="77777777" w:rsidR="008A5E67" w:rsidRPr="008A5E67" w:rsidRDefault="008A5E67" w:rsidP="00C262CE">
            <w:pPr>
              <w:pStyle w:val="SingleTxtG"/>
              <w:tabs>
                <w:tab w:val="clear" w:pos="1701"/>
                <w:tab w:val="clear" w:pos="2268"/>
                <w:tab w:val="clear" w:pos="2835"/>
              </w:tabs>
              <w:spacing w:before="80" w:after="80" w:line="220" w:lineRule="exact"/>
              <w:ind w:left="113" w:right="0"/>
              <w:jc w:val="right"/>
              <w:rPr>
                <w:b/>
                <w:sz w:val="18"/>
              </w:rPr>
            </w:pPr>
            <w:r w:rsidRPr="008A5E67">
              <w:rPr>
                <w:b/>
                <w:sz w:val="18"/>
              </w:rPr>
              <w:t>178</w:t>
            </w:r>
          </w:p>
        </w:tc>
        <w:tc>
          <w:tcPr>
            <w:tcW w:w="481" w:type="pct"/>
            <w:tcBorders>
              <w:top w:val="single" w:sz="4" w:space="0" w:color="auto"/>
              <w:bottom w:val="single" w:sz="12" w:space="0" w:color="auto"/>
            </w:tcBorders>
            <w:shd w:val="clear" w:color="auto" w:fill="auto"/>
            <w:vAlign w:val="bottom"/>
          </w:tcPr>
          <w:p w14:paraId="62AAA953" w14:textId="77777777" w:rsidR="008A5E67" w:rsidRPr="008A5E67" w:rsidRDefault="008A5E67" w:rsidP="00C262CE">
            <w:pPr>
              <w:pStyle w:val="SingleTxtG"/>
              <w:tabs>
                <w:tab w:val="clear" w:pos="1701"/>
                <w:tab w:val="clear" w:pos="2268"/>
                <w:tab w:val="clear" w:pos="2835"/>
              </w:tabs>
              <w:spacing w:before="80" w:after="80" w:line="220" w:lineRule="exact"/>
              <w:ind w:left="113" w:right="0"/>
              <w:jc w:val="right"/>
              <w:rPr>
                <w:b/>
                <w:sz w:val="18"/>
              </w:rPr>
            </w:pPr>
            <w:r w:rsidRPr="008A5E67">
              <w:rPr>
                <w:b/>
                <w:sz w:val="18"/>
              </w:rPr>
              <w:t>165</w:t>
            </w:r>
          </w:p>
        </w:tc>
        <w:tc>
          <w:tcPr>
            <w:tcW w:w="481" w:type="pct"/>
            <w:tcBorders>
              <w:top w:val="single" w:sz="4" w:space="0" w:color="auto"/>
              <w:bottom w:val="single" w:sz="12" w:space="0" w:color="auto"/>
            </w:tcBorders>
            <w:shd w:val="clear" w:color="auto" w:fill="auto"/>
            <w:vAlign w:val="bottom"/>
          </w:tcPr>
          <w:p w14:paraId="482EB1B0" w14:textId="77777777" w:rsidR="008A5E67" w:rsidRPr="008A5E67" w:rsidRDefault="008A5E67" w:rsidP="00C262CE">
            <w:pPr>
              <w:pStyle w:val="SingleTxtG"/>
              <w:tabs>
                <w:tab w:val="clear" w:pos="1701"/>
                <w:tab w:val="clear" w:pos="2268"/>
                <w:tab w:val="clear" w:pos="2835"/>
              </w:tabs>
              <w:spacing w:before="80" w:after="80" w:line="220" w:lineRule="exact"/>
              <w:ind w:left="113" w:right="0"/>
              <w:jc w:val="right"/>
              <w:rPr>
                <w:b/>
                <w:sz w:val="18"/>
              </w:rPr>
            </w:pPr>
            <w:r w:rsidRPr="008A5E67">
              <w:rPr>
                <w:b/>
                <w:sz w:val="18"/>
              </w:rPr>
              <w:t>333</w:t>
            </w:r>
          </w:p>
        </w:tc>
        <w:tc>
          <w:tcPr>
            <w:tcW w:w="577" w:type="pct"/>
            <w:tcBorders>
              <w:top w:val="single" w:sz="4" w:space="0" w:color="auto"/>
              <w:bottom w:val="single" w:sz="12" w:space="0" w:color="auto"/>
            </w:tcBorders>
            <w:shd w:val="clear" w:color="auto" w:fill="auto"/>
            <w:vAlign w:val="bottom"/>
          </w:tcPr>
          <w:p w14:paraId="4263934A" w14:textId="77777777" w:rsidR="008A5E67" w:rsidRPr="008A5E67" w:rsidRDefault="008A5E67" w:rsidP="00C262CE">
            <w:pPr>
              <w:pStyle w:val="SingleTxtG"/>
              <w:tabs>
                <w:tab w:val="clear" w:pos="1701"/>
                <w:tab w:val="clear" w:pos="2268"/>
                <w:tab w:val="clear" w:pos="2835"/>
              </w:tabs>
              <w:spacing w:before="80" w:after="80" w:line="220" w:lineRule="exact"/>
              <w:ind w:left="113" w:right="0"/>
              <w:jc w:val="right"/>
              <w:rPr>
                <w:b/>
                <w:sz w:val="18"/>
              </w:rPr>
            </w:pPr>
            <w:r w:rsidRPr="008A5E67">
              <w:rPr>
                <w:b/>
                <w:sz w:val="18"/>
              </w:rPr>
              <w:t>205</w:t>
            </w:r>
          </w:p>
        </w:tc>
        <w:tc>
          <w:tcPr>
            <w:tcW w:w="480" w:type="pct"/>
            <w:tcBorders>
              <w:top w:val="single" w:sz="4" w:space="0" w:color="auto"/>
              <w:bottom w:val="single" w:sz="12" w:space="0" w:color="auto"/>
            </w:tcBorders>
            <w:shd w:val="clear" w:color="auto" w:fill="auto"/>
            <w:vAlign w:val="bottom"/>
          </w:tcPr>
          <w:p w14:paraId="01165C5F" w14:textId="77777777" w:rsidR="008A5E67" w:rsidRPr="008A5E67" w:rsidRDefault="008A5E67" w:rsidP="00C262CE">
            <w:pPr>
              <w:pStyle w:val="SingleTxtG"/>
              <w:tabs>
                <w:tab w:val="clear" w:pos="1701"/>
                <w:tab w:val="clear" w:pos="2268"/>
                <w:tab w:val="clear" w:pos="2835"/>
              </w:tabs>
              <w:spacing w:before="80" w:after="80" w:line="220" w:lineRule="exact"/>
              <w:ind w:left="113" w:right="0"/>
              <w:jc w:val="right"/>
              <w:rPr>
                <w:b/>
                <w:sz w:val="18"/>
              </w:rPr>
            </w:pPr>
            <w:r w:rsidRPr="008A5E67">
              <w:rPr>
                <w:b/>
                <w:sz w:val="18"/>
              </w:rPr>
              <w:t>183</w:t>
            </w:r>
          </w:p>
        </w:tc>
        <w:tc>
          <w:tcPr>
            <w:tcW w:w="384" w:type="pct"/>
            <w:tcBorders>
              <w:top w:val="single" w:sz="4" w:space="0" w:color="auto"/>
              <w:bottom w:val="single" w:sz="12" w:space="0" w:color="auto"/>
            </w:tcBorders>
            <w:shd w:val="clear" w:color="auto" w:fill="auto"/>
            <w:vAlign w:val="bottom"/>
          </w:tcPr>
          <w:p w14:paraId="51E25DDC" w14:textId="77777777" w:rsidR="008A5E67" w:rsidRPr="008A5E67" w:rsidRDefault="008A5E67" w:rsidP="00C262CE">
            <w:pPr>
              <w:pStyle w:val="SingleTxtG"/>
              <w:tabs>
                <w:tab w:val="clear" w:pos="1701"/>
                <w:tab w:val="clear" w:pos="2268"/>
                <w:tab w:val="clear" w:pos="2835"/>
              </w:tabs>
              <w:spacing w:before="80" w:after="80" w:line="220" w:lineRule="exact"/>
              <w:ind w:left="113" w:right="0"/>
              <w:jc w:val="right"/>
              <w:rPr>
                <w:b/>
                <w:sz w:val="18"/>
              </w:rPr>
            </w:pPr>
            <w:r w:rsidRPr="008A5E67">
              <w:rPr>
                <w:b/>
                <w:sz w:val="18"/>
              </w:rPr>
              <w:t>388</w:t>
            </w:r>
          </w:p>
        </w:tc>
      </w:tr>
    </w:tbl>
    <w:p w14:paraId="161BF240" w14:textId="77777777" w:rsidR="008A5E67" w:rsidRPr="008A5E67" w:rsidRDefault="008A5E67" w:rsidP="00C262CE">
      <w:pPr>
        <w:pStyle w:val="SingleTxtG"/>
        <w:spacing w:before="120" w:after="240"/>
        <w:ind w:firstLine="170"/>
        <w:jc w:val="left"/>
        <w:rPr>
          <w:b/>
          <w:bCs/>
          <w:sz w:val="18"/>
          <w:szCs w:val="18"/>
          <w:lang w:val="fr-CH"/>
        </w:rPr>
      </w:pPr>
      <w:r w:rsidRPr="008A5E67">
        <w:rPr>
          <w:i/>
          <w:iCs/>
          <w:sz w:val="18"/>
          <w:szCs w:val="18"/>
          <w:lang w:val="fr-CH"/>
        </w:rPr>
        <w:t>Fuente</w:t>
      </w:r>
      <w:r w:rsidRPr="008A5E67">
        <w:rPr>
          <w:i/>
          <w:sz w:val="18"/>
          <w:szCs w:val="18"/>
          <w:lang w:val="fr-CH"/>
        </w:rPr>
        <w:t>:</w:t>
      </w:r>
      <w:r w:rsidRPr="008A5E67">
        <w:rPr>
          <w:sz w:val="18"/>
          <w:szCs w:val="18"/>
          <w:lang w:val="fr-CH"/>
        </w:rPr>
        <w:t xml:space="preserve"> </w:t>
      </w:r>
      <w:r w:rsidRPr="008A5E67">
        <w:rPr>
          <w:sz w:val="18"/>
          <w:szCs w:val="18"/>
          <w:lang w:val="fr-FR"/>
        </w:rPr>
        <w:t xml:space="preserve">Centro </w:t>
      </w:r>
      <w:proofErr w:type="spellStart"/>
      <w:r w:rsidRPr="008A5E67">
        <w:rPr>
          <w:sz w:val="18"/>
          <w:szCs w:val="18"/>
          <w:lang w:val="fr-FR"/>
        </w:rPr>
        <w:t>Nacional</w:t>
      </w:r>
      <w:proofErr w:type="spellEnd"/>
      <w:r w:rsidRPr="008A5E67">
        <w:rPr>
          <w:sz w:val="18"/>
          <w:szCs w:val="18"/>
          <w:lang w:val="fr-FR"/>
        </w:rPr>
        <w:t xml:space="preserve"> de </w:t>
      </w:r>
      <w:proofErr w:type="spellStart"/>
      <w:r w:rsidRPr="008A5E67">
        <w:rPr>
          <w:sz w:val="18"/>
          <w:szCs w:val="18"/>
          <w:lang w:val="fr-FR"/>
        </w:rPr>
        <w:t>Documentación</w:t>
      </w:r>
      <w:proofErr w:type="spellEnd"/>
      <w:r w:rsidRPr="008A5E67">
        <w:rPr>
          <w:sz w:val="18"/>
          <w:szCs w:val="18"/>
          <w:lang w:val="fr-FR"/>
        </w:rPr>
        <w:t xml:space="preserve"> e </w:t>
      </w:r>
      <w:proofErr w:type="spellStart"/>
      <w:r w:rsidRPr="008A5E67">
        <w:rPr>
          <w:sz w:val="18"/>
          <w:szCs w:val="18"/>
          <w:lang w:val="fr-FR"/>
        </w:rPr>
        <w:t>Información</w:t>
      </w:r>
      <w:proofErr w:type="spellEnd"/>
      <w:r w:rsidRPr="008A5E67">
        <w:rPr>
          <w:sz w:val="18"/>
          <w:szCs w:val="18"/>
          <w:lang w:val="fr-FR"/>
        </w:rPr>
        <w:t xml:space="preserve"> sobre la </w:t>
      </w:r>
      <w:proofErr w:type="spellStart"/>
      <w:r w:rsidRPr="008A5E67">
        <w:rPr>
          <w:sz w:val="18"/>
          <w:szCs w:val="18"/>
          <w:lang w:val="fr-FR"/>
        </w:rPr>
        <w:t>Mujer</w:t>
      </w:r>
      <w:proofErr w:type="spellEnd"/>
      <w:r w:rsidRPr="008A5E67">
        <w:rPr>
          <w:sz w:val="18"/>
          <w:szCs w:val="18"/>
          <w:lang w:val="fr-FR"/>
        </w:rPr>
        <w:t xml:space="preserve"> y el Niño</w:t>
      </w:r>
      <w:r w:rsidRPr="008A5E67">
        <w:rPr>
          <w:sz w:val="18"/>
          <w:szCs w:val="18"/>
          <w:lang w:val="fr-CH"/>
        </w:rPr>
        <w:t xml:space="preserve">, informe </w:t>
      </w:r>
      <w:r w:rsidRPr="008A5E67">
        <w:rPr>
          <w:i/>
          <w:iCs/>
          <w:sz w:val="18"/>
          <w:szCs w:val="18"/>
          <w:lang w:val="fr-CH"/>
        </w:rPr>
        <w:t>État des lieux des enfants en conflit avec la loi et victimes d'infractions 2010</w:t>
      </w:r>
      <w:r w:rsidRPr="008A5E67">
        <w:rPr>
          <w:sz w:val="18"/>
          <w:szCs w:val="18"/>
          <w:lang w:val="fr-CH"/>
        </w:rPr>
        <w:t>.</w:t>
      </w:r>
    </w:p>
    <w:p w14:paraId="492950E6" w14:textId="77777777" w:rsidR="008A5E67" w:rsidRPr="008A5E67" w:rsidRDefault="008A5E67" w:rsidP="008A5E67">
      <w:pPr>
        <w:pStyle w:val="SingleTxtG"/>
        <w:rPr>
          <w:bCs/>
        </w:rPr>
      </w:pPr>
      <w:r w:rsidRPr="008A5E67">
        <w:t>76.</w:t>
      </w:r>
      <w:r w:rsidRPr="008A5E67">
        <w:tab/>
        <w:t xml:space="preserve">Si se comparan cuántos adultos fueron detenidos (537) y cuántos de ellos fueron objeto de procedimientos judiciales (290), se observa que algo más de la mitad de los detenidos fueron remitidos a los tribunales y, por ende, enjuiciados. </w:t>
      </w:r>
    </w:p>
    <w:p w14:paraId="5111649D" w14:textId="7757039B" w:rsidR="008A5E67" w:rsidRPr="008A5E67" w:rsidRDefault="00C262CE" w:rsidP="00C262CE">
      <w:pPr>
        <w:pStyle w:val="H4G"/>
      </w:pPr>
      <w:bookmarkStart w:id="109" w:name="_Toc414372914"/>
      <w:bookmarkStart w:id="110" w:name="_Toc414373143"/>
      <w:bookmarkStart w:id="111" w:name="_Toc414377639"/>
      <w:bookmarkStart w:id="112" w:name="_Toc35441093"/>
      <w:r>
        <w:tab/>
      </w:r>
      <w:r w:rsidR="008A5E67" w:rsidRPr="008A5E67">
        <w:t>4.1.11</w:t>
      </w:r>
      <w:r w:rsidR="008A5E67" w:rsidRPr="008A5E67">
        <w:tab/>
        <w:t>Registro civil/Inscripción de los nacimientos</w:t>
      </w:r>
      <w:bookmarkEnd w:id="109"/>
      <w:bookmarkEnd w:id="110"/>
      <w:bookmarkEnd w:id="111"/>
      <w:bookmarkEnd w:id="112"/>
    </w:p>
    <w:p w14:paraId="234DCBCE" w14:textId="5885ACDC" w:rsidR="008A5E67" w:rsidRPr="008A5E67" w:rsidRDefault="008A5E67" w:rsidP="008A5E67">
      <w:pPr>
        <w:pStyle w:val="SingleTxtG"/>
      </w:pPr>
      <w:r w:rsidRPr="008A5E67">
        <w:t>77.</w:t>
      </w:r>
      <w:r w:rsidRPr="008A5E67">
        <w:tab/>
        <w:t xml:space="preserve">La Dirección Nacional del Registro Civil se creó para impulsar la modernización de los servicios civiles, como la inscripción de los nacimientos, mediante la adopción de un sistema de inscripción en el registro civil y de un marco jurídico y reglamentario; el establecimiento de la base de datos del registro civil; el fomento de la capacidad de los registradores del registro civil; la mejora del acceso a los servicios del registro civil; la defensa y la comunicación del apoyo institucional. La encuesta </w:t>
      </w:r>
      <w:proofErr w:type="spellStart"/>
      <w:r w:rsidRPr="008A5E67">
        <w:t>MICS</w:t>
      </w:r>
      <w:proofErr w:type="spellEnd"/>
      <w:r w:rsidRPr="008A5E67">
        <w:t xml:space="preserve"> 2010 muestra que se inscribió al nacer al 81 % de los niños de Malí menores de </w:t>
      </w:r>
      <w:r w:rsidR="00DC4C43">
        <w:t>5</w:t>
      </w:r>
      <w:r w:rsidRPr="008A5E67">
        <w:t xml:space="preserve"> años, con una diferencia insignificante entre ambos sexos. Esto implica que el 19 % de los niños carecen de identidad civil y se ven privados de los servicios y la protección a los que tienen derecho. A pesar del incremento del número de centros de declaración, de la implantación de un sistema comunitario para facilitar la transmisión de las declaraciones de nacimiento a los centros del registro civil y de las campañas de información y concienciación emprendidas por el Estado y sus asociados, la tasa de inscripción de niños al nacer aún debe mejorar.</w:t>
      </w:r>
    </w:p>
    <w:p w14:paraId="7A905F78" w14:textId="603253D5" w:rsidR="008A5E67" w:rsidRPr="008A5E67" w:rsidRDefault="00C262CE" w:rsidP="00C262CE">
      <w:pPr>
        <w:pStyle w:val="H23G"/>
      </w:pPr>
      <w:bookmarkStart w:id="113" w:name="_Toc414372916"/>
      <w:bookmarkStart w:id="114" w:name="_Toc414377641"/>
      <w:bookmarkStart w:id="115" w:name="_Toc35441094"/>
      <w:r>
        <w:rPr>
          <w:bCs/>
        </w:rPr>
        <w:tab/>
      </w:r>
      <w:r w:rsidR="008A5E67" w:rsidRPr="008A5E67">
        <w:rPr>
          <w:bCs/>
        </w:rPr>
        <w:t>4.2</w:t>
      </w:r>
      <w:r w:rsidR="008A5E67" w:rsidRPr="008A5E67">
        <w:tab/>
        <w:t>Restricciones y límites</w:t>
      </w:r>
      <w:bookmarkEnd w:id="113"/>
      <w:bookmarkEnd w:id="114"/>
      <w:bookmarkEnd w:id="115"/>
    </w:p>
    <w:p w14:paraId="0FAB834C" w14:textId="77777777" w:rsidR="008A5E67" w:rsidRPr="008A5E67" w:rsidRDefault="008A5E67" w:rsidP="008A5E67">
      <w:pPr>
        <w:pStyle w:val="SingleTxtG"/>
        <w:rPr>
          <w:bCs/>
        </w:rPr>
      </w:pPr>
      <w:r w:rsidRPr="008A5E67">
        <w:t>78.</w:t>
      </w:r>
      <w:r w:rsidRPr="008A5E67">
        <w:tab/>
        <w:t>Las restricciones y los límites a la libertad y los derechos civiles de los niños en Malí son los siguientes:</w:t>
      </w:r>
    </w:p>
    <w:p w14:paraId="41D8A219" w14:textId="7D4AB851" w:rsidR="008A5E67" w:rsidRPr="008A5E67" w:rsidRDefault="008A5E67" w:rsidP="00C262CE">
      <w:pPr>
        <w:pStyle w:val="Bullet1G"/>
      </w:pPr>
      <w:r w:rsidRPr="008A5E67">
        <w:t>El peso de los usos y las costumbres.</w:t>
      </w:r>
    </w:p>
    <w:p w14:paraId="2ECF685C" w14:textId="48B7E155" w:rsidR="008A5E67" w:rsidRPr="008A5E67" w:rsidRDefault="00C262CE" w:rsidP="00C262CE">
      <w:pPr>
        <w:pStyle w:val="Bullet1G"/>
      </w:pPr>
      <w:r>
        <w:t>L</w:t>
      </w:r>
      <w:r w:rsidR="008A5E67" w:rsidRPr="008A5E67">
        <w:t>a ausencia de sistematización en la inscripción de nacimientos.</w:t>
      </w:r>
    </w:p>
    <w:p w14:paraId="65E34BA4" w14:textId="514C49D4" w:rsidR="008A5E67" w:rsidRPr="008A5E67" w:rsidRDefault="00C262CE" w:rsidP="00C262CE">
      <w:pPr>
        <w:pStyle w:val="H23G"/>
      </w:pPr>
      <w:bookmarkStart w:id="116" w:name="_Toc414372917"/>
      <w:bookmarkStart w:id="117" w:name="_Toc414377642"/>
      <w:bookmarkStart w:id="118" w:name="_Toc35441095"/>
      <w:r>
        <w:tab/>
      </w:r>
      <w:r w:rsidR="008A5E67" w:rsidRPr="008A5E67">
        <w:t>4.3</w:t>
      </w:r>
      <w:r w:rsidR="008A5E67" w:rsidRPr="008A5E67">
        <w:tab/>
        <w:t>De cara al futuro</w:t>
      </w:r>
      <w:bookmarkEnd w:id="116"/>
      <w:bookmarkEnd w:id="117"/>
      <w:bookmarkEnd w:id="118"/>
    </w:p>
    <w:p w14:paraId="5BD9B196" w14:textId="77777777" w:rsidR="008A5E67" w:rsidRPr="008A5E67" w:rsidRDefault="008A5E67" w:rsidP="008A5E67">
      <w:pPr>
        <w:pStyle w:val="SingleTxtG"/>
        <w:rPr>
          <w:bCs/>
        </w:rPr>
      </w:pPr>
      <w:r w:rsidRPr="008A5E67">
        <w:t>79.</w:t>
      </w:r>
      <w:r w:rsidRPr="008A5E67">
        <w:tab/>
        <w:t>Las perspectivas en materia de libertades y derechos civiles de los niños son, entre otras, las siguientes:</w:t>
      </w:r>
    </w:p>
    <w:p w14:paraId="497EAD9F" w14:textId="7ACC703F" w:rsidR="008A5E67" w:rsidRPr="008A5E67" w:rsidRDefault="008A5E67" w:rsidP="00C262CE">
      <w:pPr>
        <w:pStyle w:val="Bullet1G"/>
      </w:pPr>
      <w:r w:rsidRPr="008A5E67">
        <w:t>En el ámbito del refuerzo del registro civil:</w:t>
      </w:r>
    </w:p>
    <w:p w14:paraId="1BD77658" w14:textId="3977E15F" w:rsidR="008A5E67" w:rsidRPr="008A5E67" w:rsidRDefault="008A5E67" w:rsidP="00C262CE">
      <w:pPr>
        <w:pStyle w:val="Bullet2G"/>
      </w:pPr>
      <w:r w:rsidRPr="008A5E67">
        <w:t>La puesta en funcionamiento de la Dirección Nacional del Registro Civil creada en virtud de la Ley núm. 011/069, de 25 de noviembre de 2011, por la que se ratifica la Orden núm. 2011/013/P-</w:t>
      </w:r>
      <w:proofErr w:type="spellStart"/>
      <w:r w:rsidRPr="008A5E67">
        <w:t>RM</w:t>
      </w:r>
      <w:proofErr w:type="spellEnd"/>
      <w:r w:rsidRPr="008A5E67">
        <w:t>, de 20 de septiembre de 2011, por la que se crea la Dirección Nacional del Registro Civil.</w:t>
      </w:r>
    </w:p>
    <w:p w14:paraId="33E3CFAF" w14:textId="7760E1A6" w:rsidR="008A5E67" w:rsidRPr="008A5E67" w:rsidRDefault="008A5E67" w:rsidP="00C262CE">
      <w:pPr>
        <w:pStyle w:val="Bullet2G"/>
      </w:pPr>
      <w:r w:rsidRPr="008A5E67">
        <w:t>El apoyo a la expedición de actas de nacimiento a todos los malienses censados que carezcan de ellas, mediante una ley especial ya aprobada por el Gobierno.</w:t>
      </w:r>
    </w:p>
    <w:p w14:paraId="45A32B84" w14:textId="386CE93F" w:rsidR="008A5E67" w:rsidRPr="008A5E67" w:rsidRDefault="008A5E67" w:rsidP="00C262CE">
      <w:pPr>
        <w:pStyle w:val="Bullet2G"/>
      </w:pPr>
      <w:r w:rsidRPr="008A5E67">
        <w:t>El establecimiento de un sistema de registro civil adaptado al modo de vida nómada.</w:t>
      </w:r>
    </w:p>
    <w:p w14:paraId="1FC9309C" w14:textId="5F5296C4" w:rsidR="008A5E67" w:rsidRPr="008A5E67" w:rsidRDefault="008A5E67" w:rsidP="00C262CE">
      <w:pPr>
        <w:pStyle w:val="Bullet1G"/>
      </w:pPr>
      <w:r w:rsidRPr="008A5E67">
        <w:t>En el ámbito de la participación infantil:</w:t>
      </w:r>
    </w:p>
    <w:p w14:paraId="045A995B" w14:textId="79094BCF" w:rsidR="008A5E67" w:rsidRPr="008A5E67" w:rsidRDefault="008A5E67" w:rsidP="00C262CE">
      <w:pPr>
        <w:pStyle w:val="Bullet2G"/>
      </w:pPr>
      <w:r w:rsidRPr="008A5E67">
        <w:t>La capitalización de los resultados del directorio nacional de asociaciones y agrupaciones infantiles y juveniles, efectuado en febrero de 2012.</w:t>
      </w:r>
    </w:p>
    <w:p w14:paraId="22B9F2E1" w14:textId="5E37E181" w:rsidR="008A5E67" w:rsidRPr="008A5E67" w:rsidRDefault="008A5E67" w:rsidP="00C262CE">
      <w:pPr>
        <w:pStyle w:val="Bullet2G"/>
      </w:pPr>
      <w:r w:rsidRPr="008A5E67">
        <w:t>El fortalecimiento institucional del Parlamento de los Niños de Malí mediante un estudio de referencia.</w:t>
      </w:r>
    </w:p>
    <w:p w14:paraId="52A76BC4" w14:textId="65B30FCB" w:rsidR="008A5E67" w:rsidRPr="008A5E67" w:rsidRDefault="00C262CE" w:rsidP="00C262CE">
      <w:pPr>
        <w:pStyle w:val="HChG"/>
      </w:pPr>
      <w:bookmarkStart w:id="119" w:name="_Toc414372918"/>
      <w:bookmarkStart w:id="120" w:name="_Toc414377643"/>
      <w:bookmarkStart w:id="121" w:name="_Toc35441096"/>
      <w:r>
        <w:lastRenderedPageBreak/>
        <w:tab/>
      </w:r>
      <w:r w:rsidR="008A5E67" w:rsidRPr="008A5E67">
        <w:t>V.</w:t>
      </w:r>
      <w:r w:rsidR="008A5E67" w:rsidRPr="008A5E67">
        <w:tab/>
        <w:t>Entorno familiar y modalidades alternativas de cuidado</w:t>
      </w:r>
      <w:bookmarkEnd w:id="119"/>
      <w:bookmarkEnd w:id="120"/>
      <w:bookmarkEnd w:id="121"/>
    </w:p>
    <w:p w14:paraId="7BDE29B9" w14:textId="09D204E1" w:rsidR="008A5E67" w:rsidRPr="008A5E67" w:rsidRDefault="008A5E67" w:rsidP="008A5E67">
      <w:pPr>
        <w:pStyle w:val="SingleTxtG"/>
      </w:pPr>
      <w:r w:rsidRPr="008A5E67">
        <w:t>80.</w:t>
      </w:r>
      <w:r w:rsidRPr="008A5E67">
        <w:tab/>
        <w:t xml:space="preserve">En la Convención sobre los Derechos del Niño se hace hincapié en la función esencial que debe desempeñar la familia </w:t>
      </w:r>
      <w:r w:rsidR="00000344">
        <w:t>—</w:t>
      </w:r>
      <w:r w:rsidRPr="008A5E67">
        <w:t>y en particular los padres</w:t>
      </w:r>
      <w:r w:rsidR="00000344">
        <w:t>—</w:t>
      </w:r>
      <w:r w:rsidRPr="008A5E67">
        <w:t xml:space="preserve"> en la protección de los derechos del niño. </w:t>
      </w:r>
    </w:p>
    <w:p w14:paraId="14F39126" w14:textId="2171BD75" w:rsidR="008A5E67" w:rsidRPr="008A5E67" w:rsidRDefault="00C262CE" w:rsidP="00C262CE">
      <w:pPr>
        <w:pStyle w:val="H23G"/>
      </w:pPr>
      <w:bookmarkStart w:id="122" w:name="_Toc414372919"/>
      <w:bookmarkStart w:id="123" w:name="_Toc414377644"/>
      <w:bookmarkStart w:id="124" w:name="_Toc35441097"/>
      <w:r>
        <w:tab/>
      </w:r>
      <w:r w:rsidR="008A5E67" w:rsidRPr="008A5E67">
        <w:t>5.1</w:t>
      </w:r>
      <w:r w:rsidR="008A5E67" w:rsidRPr="008A5E67">
        <w:tab/>
        <w:t>Medidas adoptadas y avances logrados</w:t>
      </w:r>
      <w:bookmarkEnd w:id="122"/>
      <w:bookmarkEnd w:id="123"/>
      <w:bookmarkEnd w:id="124"/>
    </w:p>
    <w:p w14:paraId="5F142ADB" w14:textId="6AED4392" w:rsidR="008A5E67" w:rsidRPr="008A5E67" w:rsidRDefault="00C262CE" w:rsidP="00C262CE">
      <w:pPr>
        <w:pStyle w:val="H4G"/>
      </w:pPr>
      <w:bookmarkStart w:id="125" w:name="_Toc414372920"/>
      <w:bookmarkStart w:id="126" w:name="_Toc414373149"/>
      <w:bookmarkStart w:id="127" w:name="_Toc414377645"/>
      <w:bookmarkStart w:id="128" w:name="_Toc35441098"/>
      <w:r>
        <w:rPr>
          <w:iCs/>
        </w:rPr>
        <w:tab/>
      </w:r>
      <w:r w:rsidR="008A5E67" w:rsidRPr="008A5E67">
        <w:rPr>
          <w:iCs/>
        </w:rPr>
        <w:t>5.1.1</w:t>
      </w:r>
      <w:r w:rsidR="008A5E67" w:rsidRPr="008A5E67">
        <w:tab/>
        <w:t>Marco político y jurídico</w:t>
      </w:r>
      <w:bookmarkEnd w:id="125"/>
      <w:bookmarkEnd w:id="126"/>
      <w:bookmarkEnd w:id="127"/>
      <w:bookmarkEnd w:id="128"/>
    </w:p>
    <w:p w14:paraId="23BCFB69" w14:textId="77777777" w:rsidR="008A5E67" w:rsidRPr="008A5E67" w:rsidRDefault="008A5E67" w:rsidP="008A5E67">
      <w:pPr>
        <w:pStyle w:val="SingleTxtG"/>
      </w:pPr>
      <w:r w:rsidRPr="008A5E67">
        <w:t>81.</w:t>
      </w:r>
      <w:r w:rsidRPr="008A5E67">
        <w:tab/>
        <w:t xml:space="preserve">Las políticas relativas a la infancia dan prioridad a la protección de los niños abandonados o que viven en situaciones de desamparo y que requieren medidas especiales. </w:t>
      </w:r>
    </w:p>
    <w:p w14:paraId="2405BB8B" w14:textId="77777777" w:rsidR="008A5E67" w:rsidRPr="008A5E67" w:rsidRDefault="008A5E67" w:rsidP="008A5E67">
      <w:pPr>
        <w:pStyle w:val="SingleTxtG"/>
      </w:pPr>
      <w:r w:rsidRPr="008A5E67">
        <w:t>82.</w:t>
      </w:r>
      <w:r w:rsidRPr="008A5E67">
        <w:tab/>
        <w:t>El Código de la Persona y la Familia se hace eco de las cuestiones relacionadas con el entorno familiar y las modalidades alternativas de cuidado. Las mejoras en ese ámbito se explican por la incorporación en dicho Código de ciertos principios de las convenciones ratificadas por Malí. Entre las innovaciones introducidas en la ley aprobada figuran las siguientes:</w:t>
      </w:r>
    </w:p>
    <w:p w14:paraId="0AF89984" w14:textId="23E31F46" w:rsidR="008A5E67" w:rsidRPr="008A5E67" w:rsidRDefault="008A5E67" w:rsidP="00C262CE">
      <w:pPr>
        <w:pStyle w:val="Bullet1G"/>
      </w:pPr>
      <w:r w:rsidRPr="008A5E67">
        <w:t>La mejora de la condición del menor.</w:t>
      </w:r>
    </w:p>
    <w:p w14:paraId="7E262482" w14:textId="60991573" w:rsidR="008A5E67" w:rsidRPr="008A5E67" w:rsidRDefault="008A5E67" w:rsidP="00C262CE">
      <w:pPr>
        <w:pStyle w:val="Bullet1G"/>
      </w:pPr>
      <w:r w:rsidRPr="008A5E67">
        <w:t>La definición del nombre y el apellido.</w:t>
      </w:r>
    </w:p>
    <w:p w14:paraId="18537AFA" w14:textId="783DEAE4" w:rsidR="008A5E67" w:rsidRPr="008A5E67" w:rsidRDefault="008A5E67" w:rsidP="00C262CE">
      <w:pPr>
        <w:pStyle w:val="Bullet1G"/>
      </w:pPr>
      <w:r w:rsidRPr="008A5E67">
        <w:t>La sustitución de la patria potestad por la autoridad parental.</w:t>
      </w:r>
    </w:p>
    <w:p w14:paraId="55A18416" w14:textId="77777777" w:rsidR="008A5E67" w:rsidRPr="008A5E67" w:rsidRDefault="008A5E67" w:rsidP="008A5E67">
      <w:pPr>
        <w:pStyle w:val="SingleTxtG"/>
      </w:pPr>
      <w:r w:rsidRPr="008A5E67">
        <w:t>83.</w:t>
      </w:r>
      <w:r w:rsidRPr="008A5E67">
        <w:tab/>
        <w:t xml:space="preserve">El Convenio de La Haya relativo a la Protección del Niño y a la Cooperación en materia de Adopción Internacional de 1993 se ocupa de la adopción a escala internacional. Entró en vigor en Malí en septiembre de 2006. </w:t>
      </w:r>
    </w:p>
    <w:p w14:paraId="305533D5" w14:textId="77777777" w:rsidR="008A5E67" w:rsidRPr="008A5E67" w:rsidRDefault="008A5E67" w:rsidP="008A5E67">
      <w:pPr>
        <w:pStyle w:val="SingleTxtG"/>
      </w:pPr>
      <w:r w:rsidRPr="008A5E67">
        <w:t>84.</w:t>
      </w:r>
      <w:r w:rsidRPr="008A5E67">
        <w:tab/>
        <w:t>La creación, la organización y las modalidades de funcionamiento de las instituciones infantiles se rigen por los siguientes textos legislativos:</w:t>
      </w:r>
    </w:p>
    <w:p w14:paraId="4FB2452D" w14:textId="49FD76CF" w:rsidR="008A5E67" w:rsidRPr="008A5E67" w:rsidRDefault="008A5E67" w:rsidP="00C262CE">
      <w:pPr>
        <w:pStyle w:val="Bullet1G"/>
      </w:pPr>
      <w:r w:rsidRPr="008A5E67">
        <w:t>La Orden núm. 90-37/P-</w:t>
      </w:r>
      <w:proofErr w:type="spellStart"/>
      <w:r w:rsidRPr="008A5E67">
        <w:t>RM</w:t>
      </w:r>
      <w:proofErr w:type="spellEnd"/>
      <w:r w:rsidRPr="008A5E67">
        <w:t xml:space="preserve">, de 5 de junio de 1990, por la que se crea el Centro de Acogida y Acogimiento Familiar. </w:t>
      </w:r>
    </w:p>
    <w:p w14:paraId="05149E2D" w14:textId="3F20FB57" w:rsidR="008A5E67" w:rsidRPr="008A5E67" w:rsidRDefault="008A5E67" w:rsidP="00C262CE">
      <w:pPr>
        <w:pStyle w:val="Bullet1G"/>
      </w:pPr>
      <w:r w:rsidRPr="008A5E67">
        <w:t>El Decreto núm. 06-006/P-</w:t>
      </w:r>
      <w:proofErr w:type="spellStart"/>
      <w:r w:rsidRPr="008A5E67">
        <w:t>RM</w:t>
      </w:r>
      <w:proofErr w:type="spellEnd"/>
      <w:r w:rsidRPr="008A5E67">
        <w:t>, de 11 de enero de 2006, por el que se establecen la organización y las modalidades de funcionamiento del Centro de Acogida y Acogimiento Familiar.</w:t>
      </w:r>
    </w:p>
    <w:p w14:paraId="0304DB20" w14:textId="798B3B2C" w:rsidR="008A5E67" w:rsidRPr="008A5E67" w:rsidRDefault="008A5E67" w:rsidP="00C262CE">
      <w:pPr>
        <w:pStyle w:val="Bullet1G"/>
      </w:pPr>
      <w:r w:rsidRPr="008A5E67">
        <w:t>El Decreto núm. 06-024/P-</w:t>
      </w:r>
      <w:proofErr w:type="spellStart"/>
      <w:r w:rsidRPr="008A5E67">
        <w:t>RM</w:t>
      </w:r>
      <w:proofErr w:type="spellEnd"/>
      <w:r w:rsidRPr="008A5E67">
        <w:t>, de 12 de enero de 2006, por el que se establece el marco orgánico del Centro de Acogida y Acogimiento Familiar.</w:t>
      </w:r>
    </w:p>
    <w:p w14:paraId="6C5705A2" w14:textId="13FF3817" w:rsidR="008A5E67" w:rsidRPr="008A5E67" w:rsidRDefault="008A5E67" w:rsidP="00C262CE">
      <w:pPr>
        <w:pStyle w:val="Bullet1G"/>
      </w:pPr>
      <w:r w:rsidRPr="008A5E67">
        <w:t>El Decreto núm. 99-450-P-</w:t>
      </w:r>
      <w:proofErr w:type="spellStart"/>
      <w:r w:rsidRPr="008A5E67">
        <w:t>RM</w:t>
      </w:r>
      <w:proofErr w:type="spellEnd"/>
      <w:r w:rsidRPr="008A5E67">
        <w:t>, de 31 de diciembre de 1999, por el que se establecen las condiciones de creación y se determinan las modalidades de funcionamiento de las Instituciones Privadas de Acogida y Acogimiento de Niños (</w:t>
      </w:r>
      <w:proofErr w:type="spellStart"/>
      <w:r w:rsidRPr="008A5E67">
        <w:t>IPAPE</w:t>
      </w:r>
      <w:proofErr w:type="spellEnd"/>
      <w:r w:rsidRPr="008A5E67">
        <w:t xml:space="preserve">). </w:t>
      </w:r>
    </w:p>
    <w:p w14:paraId="617FFBBB" w14:textId="3D20A79A" w:rsidR="008A5E67" w:rsidRPr="008A5E67" w:rsidRDefault="008A5E67" w:rsidP="00C262CE">
      <w:pPr>
        <w:pStyle w:val="Bullet1G"/>
      </w:pPr>
      <w:r w:rsidRPr="008A5E67">
        <w:t>El Decreto núm. 02 067-P-</w:t>
      </w:r>
      <w:proofErr w:type="spellStart"/>
      <w:r w:rsidRPr="008A5E67">
        <w:t>RM</w:t>
      </w:r>
      <w:proofErr w:type="spellEnd"/>
      <w:r w:rsidRPr="008A5E67">
        <w:t>, de 12 de enero de 2002, por el que se establecen las condiciones de creación y se determinan las modalidades de funcionamiento de las Instituciones Privadas de Acogida, Atención, Orientación y/o Alojamiento de Niños (</w:t>
      </w:r>
      <w:proofErr w:type="spellStart"/>
      <w:r w:rsidRPr="008A5E67">
        <w:t>IPAEOHE</w:t>
      </w:r>
      <w:proofErr w:type="spellEnd"/>
      <w:r w:rsidRPr="008A5E67">
        <w:t>).</w:t>
      </w:r>
    </w:p>
    <w:p w14:paraId="05E92AA6" w14:textId="00EC5655" w:rsidR="008A5E67" w:rsidRPr="008A5E67" w:rsidRDefault="008A5E67" w:rsidP="00C262CE">
      <w:pPr>
        <w:pStyle w:val="Bullet1G"/>
      </w:pPr>
      <w:r w:rsidRPr="008A5E67">
        <w:t>El Decreto núm. 06-282/P-</w:t>
      </w:r>
      <w:proofErr w:type="spellStart"/>
      <w:r w:rsidRPr="008A5E67">
        <w:t>RM</w:t>
      </w:r>
      <w:proofErr w:type="spellEnd"/>
      <w:r w:rsidRPr="008A5E67">
        <w:t>, de 11 de julio de 2006, por el que se crea el Consejo Nacional de la Familia.</w:t>
      </w:r>
    </w:p>
    <w:p w14:paraId="5D15E37E" w14:textId="297579E1" w:rsidR="008A5E67" w:rsidRPr="008A5E67" w:rsidRDefault="00C262CE" w:rsidP="00C262CE">
      <w:pPr>
        <w:pStyle w:val="H4G"/>
      </w:pPr>
      <w:bookmarkStart w:id="129" w:name="_Toc414372921"/>
      <w:bookmarkStart w:id="130" w:name="_Toc414373150"/>
      <w:bookmarkStart w:id="131" w:name="_Toc414377646"/>
      <w:bookmarkStart w:id="132" w:name="_Toc35441099"/>
      <w:r>
        <w:tab/>
      </w:r>
      <w:r w:rsidR="008A5E67" w:rsidRPr="008A5E67">
        <w:t>5.1.2</w:t>
      </w:r>
      <w:r w:rsidR="008A5E67" w:rsidRPr="008A5E67">
        <w:tab/>
        <w:t xml:space="preserve">Reconocimiento de los principios del </w:t>
      </w:r>
      <w:r w:rsidR="00F374AD">
        <w:t>“</w:t>
      </w:r>
      <w:r w:rsidR="008A5E67" w:rsidRPr="008A5E67">
        <w:t>interés superior del niño</w:t>
      </w:r>
      <w:r w:rsidR="00F374AD">
        <w:t>”</w:t>
      </w:r>
      <w:r w:rsidR="008A5E67" w:rsidRPr="008A5E67">
        <w:t xml:space="preserve"> y del </w:t>
      </w:r>
      <w:r w:rsidR="00F374AD">
        <w:t>“</w:t>
      </w:r>
      <w:r w:rsidR="008A5E67" w:rsidRPr="008A5E67">
        <w:t xml:space="preserve">respeto </w:t>
      </w:r>
      <w:r>
        <w:br/>
      </w:r>
      <w:r w:rsidR="008A5E67" w:rsidRPr="008A5E67">
        <w:t>a la opinión del niño</w:t>
      </w:r>
      <w:r w:rsidR="00F374AD">
        <w:t>”</w:t>
      </w:r>
      <w:r w:rsidR="008A5E67" w:rsidRPr="008A5E67">
        <w:t xml:space="preserve"> al tratar las cuestiones relativas al entorno familiar y las modalidades alternativas de cuidado</w:t>
      </w:r>
      <w:bookmarkEnd w:id="129"/>
      <w:bookmarkEnd w:id="130"/>
      <w:bookmarkEnd w:id="131"/>
      <w:bookmarkEnd w:id="132"/>
    </w:p>
    <w:p w14:paraId="2BC533AA" w14:textId="77777777" w:rsidR="008A5E67" w:rsidRPr="008A5E67" w:rsidRDefault="008A5E67" w:rsidP="008A5E67">
      <w:pPr>
        <w:pStyle w:val="SingleTxtG"/>
      </w:pPr>
      <w:r w:rsidRPr="008A5E67">
        <w:t>85.</w:t>
      </w:r>
      <w:r w:rsidRPr="008A5E67">
        <w:tab/>
        <w:t xml:space="preserve">En Malí existe una modalidad de protección de la infancia que se basa en la asunción por la comunidad social de una mayor responsabilidad en cuanto a la observación de la situación de los niños en el entorno en el que viven. En virtud de esa modalidad, se impone a todos los miembros de la comunidad el deber de implicarse en la educación de los niños. </w:t>
      </w:r>
    </w:p>
    <w:p w14:paraId="475BC0E5" w14:textId="77777777" w:rsidR="008A5E67" w:rsidRPr="008A5E67" w:rsidRDefault="008A5E67" w:rsidP="008A5E67">
      <w:pPr>
        <w:pStyle w:val="SingleTxtG"/>
      </w:pPr>
      <w:r w:rsidRPr="008A5E67">
        <w:t>86.</w:t>
      </w:r>
      <w:r w:rsidRPr="008A5E67">
        <w:tab/>
        <w:t xml:space="preserve">Para proteger a los niños en situaciones difíciles, se recomiendan medidas de índole social, cuyo objetivo es promover la prevención y la reintegración y fomentar la corrección de comportamientos inaceptables hacia los niños. Se trata de medidas de rehabilitación o de </w:t>
      </w:r>
      <w:r w:rsidRPr="008A5E67">
        <w:lastRenderedPageBreak/>
        <w:t>reeducación física y psicológica y de reintegración social y familiar. Se aplican preferentemente aquellas medidas que tiendan a mantener al niño en la familia.</w:t>
      </w:r>
    </w:p>
    <w:p w14:paraId="2603FD9D" w14:textId="77777777" w:rsidR="008A5E67" w:rsidRPr="008A5E67" w:rsidRDefault="008A5E67" w:rsidP="008A5E67">
      <w:pPr>
        <w:pStyle w:val="SingleTxtG"/>
      </w:pPr>
      <w:r w:rsidRPr="008A5E67">
        <w:t>87.</w:t>
      </w:r>
      <w:r w:rsidRPr="008A5E67">
        <w:tab/>
        <w:t>Además de ser una medida de último recurso, el internamiento del niño en una institución debe tener carácter temporal (véase el cuadro 9).</w:t>
      </w:r>
    </w:p>
    <w:p w14:paraId="6A9B930A" w14:textId="5658A64E" w:rsidR="008A5E67" w:rsidRPr="008A5E67" w:rsidRDefault="008A5E67" w:rsidP="00C262CE">
      <w:pPr>
        <w:pStyle w:val="SingleTxtG"/>
        <w:jc w:val="left"/>
        <w:rPr>
          <w:b/>
        </w:rPr>
      </w:pPr>
      <w:bookmarkStart w:id="133" w:name="_Toc414372922"/>
      <w:bookmarkStart w:id="134" w:name="_Toc414373151"/>
      <w:bookmarkStart w:id="135" w:name="_Toc414377647"/>
      <w:r w:rsidRPr="008A5E67">
        <w:t xml:space="preserve">Cuadro 2 </w:t>
      </w:r>
      <w:r w:rsidR="00C262CE">
        <w:br/>
      </w:r>
      <w:r w:rsidRPr="008A5E67">
        <w:rPr>
          <w:b/>
          <w:bCs/>
        </w:rPr>
        <w:t xml:space="preserve">Dotación de efectivos en instituciones educativas de protección y/o reeducación </w:t>
      </w:r>
      <w:r w:rsidR="00C262CE">
        <w:rPr>
          <w:b/>
          <w:bCs/>
        </w:rPr>
        <w:br/>
      </w:r>
      <w:r w:rsidRPr="008A5E67">
        <w:rPr>
          <w:b/>
          <w:bCs/>
        </w:rPr>
        <w:t>para niños en 2012</w:t>
      </w:r>
      <w:bookmarkEnd w:id="133"/>
      <w:bookmarkEnd w:id="134"/>
      <w:bookmarkEnd w:id="135"/>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06"/>
        <w:gridCol w:w="1788"/>
        <w:gridCol w:w="1788"/>
        <w:gridCol w:w="1788"/>
      </w:tblGrid>
      <w:tr w:rsidR="00C262CE" w:rsidRPr="00C262CE" w14:paraId="020A7407" w14:textId="77777777" w:rsidTr="00C262CE">
        <w:trPr>
          <w:trHeight w:val="240"/>
          <w:tblHeader/>
        </w:trPr>
        <w:tc>
          <w:tcPr>
            <w:tcW w:w="1361" w:type="pct"/>
            <w:tcBorders>
              <w:top w:val="single" w:sz="4" w:space="0" w:color="auto"/>
              <w:bottom w:val="single" w:sz="12" w:space="0" w:color="auto"/>
            </w:tcBorders>
            <w:shd w:val="clear" w:color="auto" w:fill="auto"/>
            <w:noWrap/>
            <w:vAlign w:val="bottom"/>
            <w:hideMark/>
          </w:tcPr>
          <w:p w14:paraId="6D64C50B" w14:textId="77777777" w:rsidR="008A5E67" w:rsidRPr="008A5E67" w:rsidRDefault="008A5E67" w:rsidP="00C262CE">
            <w:pPr>
              <w:pStyle w:val="SingleTxtG"/>
              <w:tabs>
                <w:tab w:val="clear" w:pos="1701"/>
                <w:tab w:val="clear" w:pos="2268"/>
                <w:tab w:val="clear" w:pos="2835"/>
              </w:tabs>
              <w:spacing w:before="80" w:after="80" w:line="200" w:lineRule="exact"/>
              <w:ind w:left="0" w:right="0"/>
              <w:jc w:val="left"/>
              <w:rPr>
                <w:bCs/>
                <w:i/>
                <w:iCs/>
                <w:sz w:val="16"/>
              </w:rPr>
            </w:pPr>
            <w:r w:rsidRPr="008A5E67">
              <w:rPr>
                <w:i/>
                <w:iCs/>
                <w:sz w:val="16"/>
              </w:rPr>
              <w:t>Razón social/Institución</w:t>
            </w:r>
          </w:p>
        </w:tc>
        <w:tc>
          <w:tcPr>
            <w:tcW w:w="1213" w:type="pct"/>
            <w:tcBorders>
              <w:top w:val="single" w:sz="4" w:space="0" w:color="auto"/>
              <w:bottom w:val="single" w:sz="12" w:space="0" w:color="auto"/>
            </w:tcBorders>
            <w:shd w:val="clear" w:color="auto" w:fill="auto"/>
            <w:noWrap/>
            <w:vAlign w:val="bottom"/>
            <w:hideMark/>
          </w:tcPr>
          <w:p w14:paraId="4DE822BE" w14:textId="77777777" w:rsidR="008A5E67" w:rsidRPr="008A5E67" w:rsidRDefault="008A5E67" w:rsidP="00C262CE">
            <w:pPr>
              <w:pStyle w:val="SingleTxtG"/>
              <w:tabs>
                <w:tab w:val="clear" w:pos="1701"/>
                <w:tab w:val="clear" w:pos="2268"/>
                <w:tab w:val="clear" w:pos="2835"/>
              </w:tabs>
              <w:spacing w:before="80" w:after="80" w:line="200" w:lineRule="exact"/>
              <w:ind w:left="113" w:right="0"/>
              <w:jc w:val="right"/>
              <w:rPr>
                <w:bCs/>
                <w:i/>
                <w:iCs/>
                <w:sz w:val="16"/>
              </w:rPr>
            </w:pPr>
            <w:r w:rsidRPr="008A5E67">
              <w:rPr>
                <w:i/>
                <w:iCs/>
                <w:sz w:val="16"/>
              </w:rPr>
              <w:t>Privada</w:t>
            </w:r>
          </w:p>
        </w:tc>
        <w:tc>
          <w:tcPr>
            <w:tcW w:w="1213" w:type="pct"/>
            <w:tcBorders>
              <w:top w:val="single" w:sz="4" w:space="0" w:color="auto"/>
              <w:bottom w:val="single" w:sz="12" w:space="0" w:color="auto"/>
            </w:tcBorders>
            <w:shd w:val="clear" w:color="auto" w:fill="auto"/>
            <w:noWrap/>
            <w:vAlign w:val="bottom"/>
            <w:hideMark/>
          </w:tcPr>
          <w:p w14:paraId="5D89B4A7" w14:textId="77777777" w:rsidR="008A5E67" w:rsidRPr="008A5E67" w:rsidRDefault="008A5E67" w:rsidP="00C262CE">
            <w:pPr>
              <w:pStyle w:val="SingleTxtG"/>
              <w:tabs>
                <w:tab w:val="clear" w:pos="1701"/>
                <w:tab w:val="clear" w:pos="2268"/>
                <w:tab w:val="clear" w:pos="2835"/>
              </w:tabs>
              <w:spacing w:before="80" w:after="80" w:line="200" w:lineRule="exact"/>
              <w:ind w:left="113" w:right="0"/>
              <w:jc w:val="right"/>
              <w:rPr>
                <w:bCs/>
                <w:i/>
                <w:sz w:val="16"/>
              </w:rPr>
            </w:pPr>
            <w:r w:rsidRPr="008A5E67">
              <w:rPr>
                <w:i/>
                <w:iCs/>
                <w:sz w:val="16"/>
              </w:rPr>
              <w:t>Pública</w:t>
            </w:r>
          </w:p>
        </w:tc>
        <w:tc>
          <w:tcPr>
            <w:tcW w:w="1213" w:type="pct"/>
            <w:tcBorders>
              <w:top w:val="single" w:sz="4" w:space="0" w:color="auto"/>
              <w:bottom w:val="single" w:sz="12" w:space="0" w:color="auto"/>
            </w:tcBorders>
            <w:shd w:val="clear" w:color="auto" w:fill="auto"/>
            <w:noWrap/>
            <w:vAlign w:val="bottom"/>
            <w:hideMark/>
          </w:tcPr>
          <w:p w14:paraId="06E45E83" w14:textId="77777777" w:rsidR="008A5E67" w:rsidRPr="008A5E67" w:rsidRDefault="008A5E67" w:rsidP="00C262CE">
            <w:pPr>
              <w:pStyle w:val="SingleTxtG"/>
              <w:tabs>
                <w:tab w:val="clear" w:pos="1701"/>
                <w:tab w:val="clear" w:pos="2268"/>
                <w:tab w:val="clear" w:pos="2835"/>
              </w:tabs>
              <w:spacing w:before="80" w:after="80" w:line="200" w:lineRule="exact"/>
              <w:ind w:left="113" w:right="0"/>
              <w:jc w:val="right"/>
              <w:rPr>
                <w:bCs/>
                <w:i/>
                <w:iCs/>
                <w:sz w:val="16"/>
              </w:rPr>
            </w:pPr>
            <w:r w:rsidRPr="008A5E67">
              <w:rPr>
                <w:bCs/>
                <w:i/>
                <w:iCs/>
                <w:sz w:val="16"/>
              </w:rPr>
              <w:t>Total</w:t>
            </w:r>
          </w:p>
        </w:tc>
      </w:tr>
      <w:tr w:rsidR="00C262CE" w:rsidRPr="008A5E67" w14:paraId="12E2CAF9" w14:textId="77777777" w:rsidTr="00C262CE">
        <w:trPr>
          <w:trHeight w:val="240"/>
        </w:trPr>
        <w:tc>
          <w:tcPr>
            <w:tcW w:w="1361" w:type="pct"/>
            <w:tcBorders>
              <w:top w:val="single" w:sz="12" w:space="0" w:color="auto"/>
            </w:tcBorders>
            <w:shd w:val="clear" w:color="auto" w:fill="auto"/>
            <w:noWrap/>
            <w:hideMark/>
          </w:tcPr>
          <w:p w14:paraId="6611D901" w14:textId="77777777" w:rsidR="008A5E67" w:rsidRPr="008A5E67" w:rsidRDefault="008A5E67" w:rsidP="00C262CE">
            <w:pPr>
              <w:pStyle w:val="SingleTxtG"/>
              <w:tabs>
                <w:tab w:val="clear" w:pos="1701"/>
                <w:tab w:val="clear" w:pos="2268"/>
                <w:tab w:val="clear" w:pos="2835"/>
              </w:tabs>
              <w:spacing w:before="40" w:after="40" w:line="220" w:lineRule="exact"/>
              <w:ind w:left="0" w:right="0"/>
              <w:jc w:val="left"/>
              <w:rPr>
                <w:bCs/>
                <w:sz w:val="18"/>
              </w:rPr>
            </w:pPr>
            <w:proofErr w:type="spellStart"/>
            <w:r w:rsidRPr="008A5E67">
              <w:rPr>
                <w:sz w:val="18"/>
              </w:rPr>
              <w:t>IPAPE</w:t>
            </w:r>
            <w:proofErr w:type="spellEnd"/>
          </w:p>
        </w:tc>
        <w:tc>
          <w:tcPr>
            <w:tcW w:w="1213" w:type="pct"/>
            <w:tcBorders>
              <w:top w:val="single" w:sz="12" w:space="0" w:color="auto"/>
            </w:tcBorders>
            <w:shd w:val="clear" w:color="auto" w:fill="auto"/>
            <w:noWrap/>
            <w:vAlign w:val="bottom"/>
            <w:hideMark/>
          </w:tcPr>
          <w:p w14:paraId="55BED880"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8</w:t>
            </w:r>
          </w:p>
        </w:tc>
        <w:tc>
          <w:tcPr>
            <w:tcW w:w="1213" w:type="pct"/>
            <w:tcBorders>
              <w:top w:val="single" w:sz="12" w:space="0" w:color="auto"/>
            </w:tcBorders>
            <w:shd w:val="clear" w:color="auto" w:fill="auto"/>
            <w:noWrap/>
            <w:vAlign w:val="bottom"/>
            <w:hideMark/>
          </w:tcPr>
          <w:p w14:paraId="15848EE1"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w:t>
            </w:r>
          </w:p>
        </w:tc>
        <w:tc>
          <w:tcPr>
            <w:tcW w:w="1213" w:type="pct"/>
            <w:tcBorders>
              <w:top w:val="single" w:sz="12" w:space="0" w:color="auto"/>
            </w:tcBorders>
            <w:shd w:val="clear" w:color="auto" w:fill="auto"/>
            <w:noWrap/>
            <w:vAlign w:val="bottom"/>
            <w:hideMark/>
          </w:tcPr>
          <w:p w14:paraId="196A0231"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bCs/>
                <w:sz w:val="18"/>
              </w:rPr>
              <w:t>9</w:t>
            </w:r>
          </w:p>
        </w:tc>
      </w:tr>
      <w:tr w:rsidR="00C262CE" w:rsidRPr="008A5E67" w14:paraId="7DCA989F" w14:textId="77777777" w:rsidTr="0074605D">
        <w:trPr>
          <w:trHeight w:val="240"/>
        </w:trPr>
        <w:tc>
          <w:tcPr>
            <w:tcW w:w="1361" w:type="pct"/>
            <w:tcBorders>
              <w:bottom w:val="single" w:sz="4" w:space="0" w:color="auto"/>
            </w:tcBorders>
            <w:shd w:val="clear" w:color="auto" w:fill="auto"/>
            <w:noWrap/>
            <w:hideMark/>
          </w:tcPr>
          <w:p w14:paraId="21917CA3" w14:textId="77777777" w:rsidR="008A5E67" w:rsidRPr="008A5E67" w:rsidRDefault="008A5E67" w:rsidP="00C262CE">
            <w:pPr>
              <w:pStyle w:val="SingleTxtG"/>
              <w:tabs>
                <w:tab w:val="clear" w:pos="1701"/>
                <w:tab w:val="clear" w:pos="2268"/>
                <w:tab w:val="clear" w:pos="2835"/>
              </w:tabs>
              <w:spacing w:before="40" w:after="40" w:line="220" w:lineRule="exact"/>
              <w:ind w:left="0" w:right="0"/>
              <w:jc w:val="left"/>
              <w:rPr>
                <w:bCs/>
                <w:sz w:val="18"/>
              </w:rPr>
            </w:pPr>
            <w:proofErr w:type="spellStart"/>
            <w:r w:rsidRPr="008A5E67">
              <w:rPr>
                <w:sz w:val="18"/>
              </w:rPr>
              <w:t>IPAEOHE</w:t>
            </w:r>
            <w:proofErr w:type="spellEnd"/>
          </w:p>
        </w:tc>
        <w:tc>
          <w:tcPr>
            <w:tcW w:w="1213" w:type="pct"/>
            <w:tcBorders>
              <w:bottom w:val="single" w:sz="4" w:space="0" w:color="auto"/>
            </w:tcBorders>
            <w:shd w:val="clear" w:color="auto" w:fill="auto"/>
            <w:noWrap/>
            <w:vAlign w:val="bottom"/>
            <w:hideMark/>
          </w:tcPr>
          <w:p w14:paraId="65674C4F"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59</w:t>
            </w:r>
          </w:p>
        </w:tc>
        <w:tc>
          <w:tcPr>
            <w:tcW w:w="1213" w:type="pct"/>
            <w:tcBorders>
              <w:bottom w:val="single" w:sz="4" w:space="0" w:color="auto"/>
            </w:tcBorders>
            <w:shd w:val="clear" w:color="auto" w:fill="auto"/>
            <w:noWrap/>
            <w:vAlign w:val="bottom"/>
            <w:hideMark/>
          </w:tcPr>
          <w:p w14:paraId="46E75D66"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0</w:t>
            </w:r>
          </w:p>
        </w:tc>
        <w:tc>
          <w:tcPr>
            <w:tcW w:w="1213" w:type="pct"/>
            <w:tcBorders>
              <w:bottom w:val="single" w:sz="4" w:space="0" w:color="auto"/>
            </w:tcBorders>
            <w:shd w:val="clear" w:color="auto" w:fill="auto"/>
            <w:noWrap/>
            <w:vAlign w:val="bottom"/>
            <w:hideMark/>
          </w:tcPr>
          <w:p w14:paraId="34F6DEB5"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bCs/>
                <w:sz w:val="18"/>
              </w:rPr>
              <w:t>59</w:t>
            </w:r>
          </w:p>
        </w:tc>
      </w:tr>
      <w:tr w:rsidR="00C262CE" w:rsidRPr="008A5E67" w14:paraId="669B56A0" w14:textId="77777777" w:rsidTr="0074605D">
        <w:trPr>
          <w:trHeight w:val="240"/>
        </w:trPr>
        <w:tc>
          <w:tcPr>
            <w:tcW w:w="1361" w:type="pct"/>
            <w:tcBorders>
              <w:top w:val="single" w:sz="4" w:space="0" w:color="auto"/>
              <w:bottom w:val="single" w:sz="12" w:space="0" w:color="auto"/>
            </w:tcBorders>
            <w:shd w:val="clear" w:color="auto" w:fill="auto"/>
            <w:noWrap/>
            <w:hideMark/>
          </w:tcPr>
          <w:p w14:paraId="604E07EB" w14:textId="77777777" w:rsidR="008A5E67" w:rsidRPr="008A5E67" w:rsidRDefault="008A5E67" w:rsidP="0074605D">
            <w:pPr>
              <w:pStyle w:val="SingleTxtG"/>
              <w:tabs>
                <w:tab w:val="clear" w:pos="1701"/>
                <w:tab w:val="clear" w:pos="2268"/>
                <w:tab w:val="clear" w:pos="2835"/>
              </w:tabs>
              <w:spacing w:before="80" w:after="80" w:line="220" w:lineRule="exact"/>
              <w:ind w:left="284" w:right="0"/>
              <w:jc w:val="left"/>
              <w:rPr>
                <w:b/>
                <w:sz w:val="18"/>
              </w:rPr>
            </w:pPr>
            <w:r w:rsidRPr="008A5E67">
              <w:rPr>
                <w:b/>
                <w:sz w:val="18"/>
              </w:rPr>
              <w:t>Total</w:t>
            </w:r>
          </w:p>
        </w:tc>
        <w:tc>
          <w:tcPr>
            <w:tcW w:w="1213" w:type="pct"/>
            <w:tcBorders>
              <w:top w:val="single" w:sz="4" w:space="0" w:color="auto"/>
              <w:bottom w:val="single" w:sz="12" w:space="0" w:color="auto"/>
            </w:tcBorders>
            <w:shd w:val="clear" w:color="auto" w:fill="auto"/>
            <w:noWrap/>
            <w:vAlign w:val="bottom"/>
            <w:hideMark/>
          </w:tcPr>
          <w:p w14:paraId="2C929B76" w14:textId="77777777" w:rsidR="008A5E67" w:rsidRPr="008A5E67" w:rsidRDefault="008A5E67" w:rsidP="0074605D">
            <w:pPr>
              <w:pStyle w:val="SingleTxtG"/>
              <w:tabs>
                <w:tab w:val="clear" w:pos="1701"/>
                <w:tab w:val="clear" w:pos="2268"/>
                <w:tab w:val="clear" w:pos="2835"/>
              </w:tabs>
              <w:spacing w:before="80" w:after="80" w:line="220" w:lineRule="exact"/>
              <w:ind w:left="113" w:right="0"/>
              <w:jc w:val="right"/>
              <w:rPr>
                <w:b/>
                <w:sz w:val="18"/>
              </w:rPr>
            </w:pPr>
            <w:r w:rsidRPr="008A5E67">
              <w:rPr>
                <w:b/>
                <w:sz w:val="18"/>
              </w:rPr>
              <w:t>67</w:t>
            </w:r>
          </w:p>
        </w:tc>
        <w:tc>
          <w:tcPr>
            <w:tcW w:w="1213" w:type="pct"/>
            <w:tcBorders>
              <w:top w:val="single" w:sz="4" w:space="0" w:color="auto"/>
              <w:bottom w:val="single" w:sz="12" w:space="0" w:color="auto"/>
            </w:tcBorders>
            <w:shd w:val="clear" w:color="auto" w:fill="auto"/>
            <w:noWrap/>
            <w:vAlign w:val="bottom"/>
            <w:hideMark/>
          </w:tcPr>
          <w:p w14:paraId="0F62D696" w14:textId="77777777" w:rsidR="008A5E67" w:rsidRPr="008A5E67" w:rsidRDefault="008A5E67" w:rsidP="0074605D">
            <w:pPr>
              <w:pStyle w:val="SingleTxtG"/>
              <w:tabs>
                <w:tab w:val="clear" w:pos="1701"/>
                <w:tab w:val="clear" w:pos="2268"/>
                <w:tab w:val="clear" w:pos="2835"/>
              </w:tabs>
              <w:spacing w:before="80" w:after="80" w:line="220" w:lineRule="exact"/>
              <w:ind w:left="113" w:right="0"/>
              <w:jc w:val="right"/>
              <w:rPr>
                <w:b/>
                <w:sz w:val="18"/>
              </w:rPr>
            </w:pPr>
            <w:r w:rsidRPr="008A5E67">
              <w:rPr>
                <w:b/>
                <w:sz w:val="18"/>
              </w:rPr>
              <w:t>1</w:t>
            </w:r>
          </w:p>
        </w:tc>
        <w:tc>
          <w:tcPr>
            <w:tcW w:w="1213" w:type="pct"/>
            <w:tcBorders>
              <w:top w:val="single" w:sz="4" w:space="0" w:color="auto"/>
              <w:bottom w:val="single" w:sz="12" w:space="0" w:color="auto"/>
            </w:tcBorders>
            <w:shd w:val="clear" w:color="auto" w:fill="auto"/>
            <w:noWrap/>
            <w:vAlign w:val="bottom"/>
            <w:hideMark/>
          </w:tcPr>
          <w:p w14:paraId="5DCEEE5D" w14:textId="77777777" w:rsidR="008A5E67" w:rsidRPr="008A5E67" w:rsidRDefault="008A5E67" w:rsidP="0074605D">
            <w:pPr>
              <w:pStyle w:val="SingleTxtG"/>
              <w:tabs>
                <w:tab w:val="clear" w:pos="1701"/>
                <w:tab w:val="clear" w:pos="2268"/>
                <w:tab w:val="clear" w:pos="2835"/>
              </w:tabs>
              <w:spacing w:before="80" w:after="80" w:line="220" w:lineRule="exact"/>
              <w:ind w:left="113" w:right="0"/>
              <w:jc w:val="right"/>
              <w:rPr>
                <w:b/>
                <w:sz w:val="18"/>
              </w:rPr>
            </w:pPr>
            <w:r w:rsidRPr="008A5E67">
              <w:rPr>
                <w:b/>
                <w:sz w:val="18"/>
              </w:rPr>
              <w:t>68</w:t>
            </w:r>
          </w:p>
        </w:tc>
      </w:tr>
    </w:tbl>
    <w:p w14:paraId="70572717" w14:textId="77777777" w:rsidR="008A5E67" w:rsidRPr="008A5E67" w:rsidRDefault="008A5E67" w:rsidP="00AE189C">
      <w:pPr>
        <w:pStyle w:val="SingleTxtG"/>
        <w:spacing w:before="120" w:after="240"/>
        <w:ind w:firstLine="170"/>
        <w:jc w:val="left"/>
        <w:rPr>
          <w:bCs/>
          <w:i/>
          <w:iCs/>
          <w:sz w:val="18"/>
          <w:szCs w:val="18"/>
        </w:rPr>
      </w:pPr>
      <w:r w:rsidRPr="008A5E67">
        <w:rPr>
          <w:i/>
          <w:iCs/>
          <w:sz w:val="18"/>
          <w:szCs w:val="18"/>
        </w:rPr>
        <w:t>Fuente</w:t>
      </w:r>
      <w:r w:rsidRPr="008A5E67">
        <w:rPr>
          <w:i/>
          <w:sz w:val="18"/>
          <w:szCs w:val="18"/>
        </w:rPr>
        <w:t>:</w:t>
      </w:r>
      <w:r w:rsidRPr="008A5E67">
        <w:rPr>
          <w:sz w:val="18"/>
          <w:szCs w:val="18"/>
        </w:rPr>
        <w:t xml:space="preserve"> Informe anual de la Dirección Nacional de Promoción del Niño y la Familia.</w:t>
      </w:r>
    </w:p>
    <w:p w14:paraId="5A839DEE" w14:textId="21F0D268" w:rsidR="008A5E67" w:rsidRPr="008A5E67" w:rsidRDefault="00C262CE" w:rsidP="00C262CE">
      <w:pPr>
        <w:pStyle w:val="H4G"/>
      </w:pPr>
      <w:bookmarkStart w:id="136" w:name="_Toc414372923"/>
      <w:bookmarkStart w:id="137" w:name="_Toc414373152"/>
      <w:bookmarkStart w:id="138" w:name="_Toc414377648"/>
      <w:bookmarkStart w:id="139" w:name="_Toc35441100"/>
      <w:r>
        <w:tab/>
      </w:r>
      <w:r w:rsidR="008A5E67" w:rsidRPr="008A5E67">
        <w:t>5.1.3</w:t>
      </w:r>
      <w:r w:rsidR="008A5E67" w:rsidRPr="008A5E67">
        <w:tab/>
        <w:t>Adopción</w:t>
      </w:r>
      <w:bookmarkEnd w:id="136"/>
      <w:bookmarkEnd w:id="137"/>
      <w:bookmarkEnd w:id="138"/>
      <w:bookmarkEnd w:id="139"/>
    </w:p>
    <w:p w14:paraId="064EA7FA" w14:textId="77777777" w:rsidR="008A5E67" w:rsidRPr="008A5E67" w:rsidRDefault="008A5E67" w:rsidP="008A5E67">
      <w:pPr>
        <w:pStyle w:val="SingleTxtG"/>
        <w:rPr>
          <w:bCs/>
        </w:rPr>
      </w:pPr>
      <w:r w:rsidRPr="008A5E67">
        <w:t>88.</w:t>
      </w:r>
      <w:r w:rsidRPr="008A5E67">
        <w:tab/>
        <w:t xml:space="preserve">Entre 2008 y 2012, el promedio anual de adopciones ascendió a 152 niños, de los cuales una gran parte fueron adoptados por personas de otras nacionalidades. Sin embargo, conviene recordar que en el Código de la Persona y la Familia (art. 540) se prohíbe a los extranjeros adoptar niños malienses. Esta medida podría explicar el aumento del número de niños internados. </w:t>
      </w:r>
    </w:p>
    <w:p w14:paraId="0F319869" w14:textId="1C91BCF3" w:rsidR="008A5E67" w:rsidRPr="008A5E67" w:rsidRDefault="008A5E67" w:rsidP="00C262CE">
      <w:pPr>
        <w:pStyle w:val="SingleTxtG"/>
        <w:jc w:val="left"/>
        <w:rPr>
          <w:b/>
        </w:rPr>
      </w:pPr>
      <w:bookmarkStart w:id="140" w:name="_Toc414372924"/>
      <w:bookmarkStart w:id="141" w:name="_Toc414373153"/>
      <w:bookmarkStart w:id="142" w:name="_Toc414377649"/>
      <w:r w:rsidRPr="008A5E67">
        <w:t>Cuadro 3</w:t>
      </w:r>
      <w:r w:rsidR="00C262CE">
        <w:br/>
      </w:r>
      <w:r w:rsidRPr="008A5E67">
        <w:rPr>
          <w:b/>
          <w:bCs/>
        </w:rPr>
        <w:t xml:space="preserve">Situación de los niños adoptados entre 2008 y 2012 </w:t>
      </w:r>
      <w:bookmarkEnd w:id="140"/>
      <w:bookmarkEnd w:id="141"/>
      <w:bookmarkEnd w:id="142"/>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312"/>
        <w:gridCol w:w="1212"/>
        <w:gridCol w:w="1212"/>
        <w:gridCol w:w="1212"/>
        <w:gridCol w:w="1212"/>
        <w:gridCol w:w="1210"/>
      </w:tblGrid>
      <w:tr w:rsidR="00C262CE" w:rsidRPr="00C262CE" w14:paraId="7BB73BE3" w14:textId="77777777" w:rsidTr="00C262CE">
        <w:trPr>
          <w:trHeight w:val="240"/>
          <w:tblHeader/>
        </w:trPr>
        <w:tc>
          <w:tcPr>
            <w:tcW w:w="891" w:type="pct"/>
            <w:shd w:val="clear" w:color="auto" w:fill="auto"/>
            <w:vAlign w:val="bottom"/>
          </w:tcPr>
          <w:p w14:paraId="7CB0AE49" w14:textId="526B5590" w:rsidR="008A5E67" w:rsidRPr="008A5E67" w:rsidRDefault="008A5E67" w:rsidP="00C262CE">
            <w:pPr>
              <w:pStyle w:val="SingleTxtG"/>
              <w:tabs>
                <w:tab w:val="clear" w:pos="1701"/>
                <w:tab w:val="clear" w:pos="2268"/>
                <w:tab w:val="clear" w:pos="2835"/>
              </w:tabs>
              <w:spacing w:before="80" w:after="80" w:line="200" w:lineRule="exact"/>
              <w:ind w:left="0" w:right="0"/>
              <w:jc w:val="left"/>
              <w:rPr>
                <w:bCs/>
                <w:i/>
                <w:iCs/>
                <w:sz w:val="16"/>
              </w:rPr>
            </w:pPr>
            <w:r w:rsidRPr="008A5E67">
              <w:rPr>
                <w:i/>
                <w:iCs/>
                <w:sz w:val="16"/>
              </w:rPr>
              <w:t>Años</w:t>
            </w:r>
          </w:p>
        </w:tc>
        <w:tc>
          <w:tcPr>
            <w:tcW w:w="822" w:type="pct"/>
            <w:shd w:val="clear" w:color="auto" w:fill="auto"/>
            <w:noWrap/>
            <w:vAlign w:val="bottom"/>
          </w:tcPr>
          <w:p w14:paraId="211B24ED" w14:textId="77777777" w:rsidR="008A5E67" w:rsidRPr="008A5E67" w:rsidRDefault="008A5E67" w:rsidP="00C262CE">
            <w:pPr>
              <w:pStyle w:val="SingleTxtG"/>
              <w:tabs>
                <w:tab w:val="clear" w:pos="1701"/>
                <w:tab w:val="clear" w:pos="2268"/>
                <w:tab w:val="clear" w:pos="2835"/>
              </w:tabs>
              <w:spacing w:before="80" w:after="80" w:line="200" w:lineRule="exact"/>
              <w:ind w:left="113" w:right="0"/>
              <w:jc w:val="right"/>
              <w:rPr>
                <w:bCs/>
                <w:i/>
                <w:iCs/>
                <w:sz w:val="16"/>
              </w:rPr>
            </w:pPr>
            <w:r w:rsidRPr="008A5E67">
              <w:rPr>
                <w:i/>
                <w:iCs/>
                <w:sz w:val="16"/>
              </w:rPr>
              <w:t>2008</w:t>
            </w:r>
          </w:p>
        </w:tc>
        <w:tc>
          <w:tcPr>
            <w:tcW w:w="822" w:type="pct"/>
            <w:shd w:val="clear" w:color="auto" w:fill="auto"/>
            <w:vAlign w:val="bottom"/>
          </w:tcPr>
          <w:p w14:paraId="29645C0F" w14:textId="77777777" w:rsidR="008A5E67" w:rsidRPr="008A5E67" w:rsidRDefault="008A5E67" w:rsidP="00C262CE">
            <w:pPr>
              <w:pStyle w:val="SingleTxtG"/>
              <w:tabs>
                <w:tab w:val="clear" w:pos="1701"/>
                <w:tab w:val="clear" w:pos="2268"/>
                <w:tab w:val="clear" w:pos="2835"/>
              </w:tabs>
              <w:spacing w:before="80" w:after="80" w:line="200" w:lineRule="exact"/>
              <w:ind w:left="113" w:right="0"/>
              <w:jc w:val="right"/>
              <w:rPr>
                <w:bCs/>
                <w:i/>
                <w:iCs/>
                <w:sz w:val="16"/>
              </w:rPr>
            </w:pPr>
            <w:r w:rsidRPr="008A5E67">
              <w:rPr>
                <w:i/>
                <w:iCs/>
                <w:sz w:val="16"/>
              </w:rPr>
              <w:t>2009</w:t>
            </w:r>
          </w:p>
        </w:tc>
        <w:tc>
          <w:tcPr>
            <w:tcW w:w="822" w:type="pct"/>
            <w:shd w:val="clear" w:color="auto" w:fill="auto"/>
            <w:vAlign w:val="bottom"/>
          </w:tcPr>
          <w:p w14:paraId="0A2C7BA0" w14:textId="77777777" w:rsidR="008A5E67" w:rsidRPr="008A5E67" w:rsidRDefault="008A5E67" w:rsidP="00C262CE">
            <w:pPr>
              <w:pStyle w:val="SingleTxtG"/>
              <w:tabs>
                <w:tab w:val="clear" w:pos="1701"/>
                <w:tab w:val="clear" w:pos="2268"/>
                <w:tab w:val="clear" w:pos="2835"/>
              </w:tabs>
              <w:spacing w:before="80" w:after="80" w:line="200" w:lineRule="exact"/>
              <w:ind w:left="113" w:right="0"/>
              <w:jc w:val="right"/>
              <w:rPr>
                <w:bCs/>
                <w:i/>
                <w:iCs/>
                <w:sz w:val="16"/>
              </w:rPr>
            </w:pPr>
            <w:r w:rsidRPr="008A5E67">
              <w:rPr>
                <w:i/>
                <w:iCs/>
                <w:sz w:val="16"/>
              </w:rPr>
              <w:t>2010</w:t>
            </w:r>
          </w:p>
        </w:tc>
        <w:tc>
          <w:tcPr>
            <w:tcW w:w="822" w:type="pct"/>
            <w:shd w:val="clear" w:color="auto" w:fill="auto"/>
            <w:vAlign w:val="bottom"/>
          </w:tcPr>
          <w:p w14:paraId="678F6A3C" w14:textId="77777777" w:rsidR="008A5E67" w:rsidRPr="008A5E67" w:rsidRDefault="008A5E67" w:rsidP="00C262CE">
            <w:pPr>
              <w:pStyle w:val="SingleTxtG"/>
              <w:tabs>
                <w:tab w:val="clear" w:pos="1701"/>
                <w:tab w:val="clear" w:pos="2268"/>
                <w:tab w:val="clear" w:pos="2835"/>
              </w:tabs>
              <w:spacing w:before="80" w:after="80" w:line="200" w:lineRule="exact"/>
              <w:ind w:left="113" w:right="0"/>
              <w:jc w:val="right"/>
              <w:rPr>
                <w:bCs/>
                <w:i/>
                <w:iCs/>
                <w:sz w:val="16"/>
              </w:rPr>
            </w:pPr>
            <w:r w:rsidRPr="008A5E67">
              <w:rPr>
                <w:i/>
                <w:iCs/>
                <w:sz w:val="16"/>
              </w:rPr>
              <w:t>2011</w:t>
            </w:r>
          </w:p>
        </w:tc>
        <w:tc>
          <w:tcPr>
            <w:tcW w:w="822" w:type="pct"/>
            <w:shd w:val="clear" w:color="auto" w:fill="auto"/>
            <w:vAlign w:val="bottom"/>
          </w:tcPr>
          <w:p w14:paraId="03EB7A15" w14:textId="77777777" w:rsidR="008A5E67" w:rsidRPr="008A5E67" w:rsidRDefault="008A5E67" w:rsidP="00C262CE">
            <w:pPr>
              <w:pStyle w:val="SingleTxtG"/>
              <w:tabs>
                <w:tab w:val="clear" w:pos="1701"/>
                <w:tab w:val="clear" w:pos="2268"/>
                <w:tab w:val="clear" w:pos="2835"/>
              </w:tabs>
              <w:spacing w:before="80" w:after="80" w:line="200" w:lineRule="exact"/>
              <w:ind w:left="113" w:right="0"/>
              <w:jc w:val="right"/>
              <w:rPr>
                <w:bCs/>
                <w:i/>
                <w:iCs/>
                <w:sz w:val="16"/>
              </w:rPr>
            </w:pPr>
            <w:r w:rsidRPr="008A5E67">
              <w:rPr>
                <w:i/>
                <w:iCs/>
                <w:sz w:val="16"/>
              </w:rPr>
              <w:t>2012</w:t>
            </w:r>
          </w:p>
        </w:tc>
      </w:tr>
      <w:tr w:rsidR="00C262CE" w:rsidRPr="008A5E67" w14:paraId="2547E049" w14:textId="77777777" w:rsidTr="00C262CE">
        <w:trPr>
          <w:trHeight w:val="240"/>
          <w:tblHeader/>
        </w:trPr>
        <w:tc>
          <w:tcPr>
            <w:tcW w:w="891" w:type="pct"/>
            <w:shd w:val="clear" w:color="auto" w:fill="auto"/>
            <w:vAlign w:val="bottom"/>
          </w:tcPr>
          <w:p w14:paraId="3F815F83" w14:textId="53AA96E3" w:rsidR="008A5E67" w:rsidRPr="008A5E67" w:rsidRDefault="0074605D" w:rsidP="00C262CE">
            <w:pPr>
              <w:pStyle w:val="SingleTxtG"/>
              <w:tabs>
                <w:tab w:val="clear" w:pos="1701"/>
                <w:tab w:val="clear" w:pos="2268"/>
                <w:tab w:val="clear" w:pos="2835"/>
              </w:tabs>
              <w:spacing w:before="40" w:after="40" w:line="220" w:lineRule="exact"/>
              <w:ind w:left="0" w:right="0"/>
              <w:jc w:val="left"/>
              <w:rPr>
                <w:bCs/>
                <w:sz w:val="18"/>
              </w:rPr>
            </w:pPr>
            <w:r w:rsidRPr="008A5E67">
              <w:rPr>
                <w:i/>
                <w:iCs/>
                <w:sz w:val="16"/>
              </w:rPr>
              <w:t>Niños</w:t>
            </w:r>
          </w:p>
        </w:tc>
        <w:tc>
          <w:tcPr>
            <w:tcW w:w="822" w:type="pct"/>
            <w:shd w:val="clear" w:color="auto" w:fill="auto"/>
            <w:vAlign w:val="bottom"/>
          </w:tcPr>
          <w:p w14:paraId="6139FBBB"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195</w:t>
            </w:r>
          </w:p>
        </w:tc>
        <w:tc>
          <w:tcPr>
            <w:tcW w:w="822" w:type="pct"/>
            <w:shd w:val="clear" w:color="auto" w:fill="auto"/>
            <w:vAlign w:val="bottom"/>
          </w:tcPr>
          <w:p w14:paraId="087B184B"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120</w:t>
            </w:r>
          </w:p>
        </w:tc>
        <w:tc>
          <w:tcPr>
            <w:tcW w:w="822" w:type="pct"/>
            <w:shd w:val="clear" w:color="auto" w:fill="auto"/>
            <w:vAlign w:val="bottom"/>
          </w:tcPr>
          <w:p w14:paraId="755FA32D"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155</w:t>
            </w:r>
          </w:p>
        </w:tc>
        <w:tc>
          <w:tcPr>
            <w:tcW w:w="822" w:type="pct"/>
            <w:shd w:val="clear" w:color="auto" w:fill="auto"/>
            <w:vAlign w:val="bottom"/>
          </w:tcPr>
          <w:p w14:paraId="7103DC72"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182</w:t>
            </w:r>
          </w:p>
        </w:tc>
        <w:tc>
          <w:tcPr>
            <w:tcW w:w="822" w:type="pct"/>
            <w:shd w:val="clear" w:color="auto" w:fill="auto"/>
            <w:vAlign w:val="bottom"/>
          </w:tcPr>
          <w:p w14:paraId="3C2CFF38"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bCs/>
                <w:sz w:val="18"/>
              </w:rPr>
              <w:t>109</w:t>
            </w:r>
          </w:p>
        </w:tc>
      </w:tr>
    </w:tbl>
    <w:p w14:paraId="51741B4C" w14:textId="77777777" w:rsidR="008A5E67" w:rsidRPr="008A5E67" w:rsidRDefault="008A5E67" w:rsidP="0074605D">
      <w:pPr>
        <w:pStyle w:val="SingleTxtG"/>
        <w:spacing w:before="120" w:after="240"/>
        <w:ind w:firstLine="170"/>
        <w:jc w:val="left"/>
        <w:rPr>
          <w:bCs/>
          <w:iCs/>
          <w:sz w:val="18"/>
          <w:szCs w:val="18"/>
        </w:rPr>
      </w:pPr>
      <w:r w:rsidRPr="008A5E67">
        <w:rPr>
          <w:i/>
          <w:iCs/>
          <w:sz w:val="18"/>
          <w:szCs w:val="18"/>
        </w:rPr>
        <w:t>Fuente</w:t>
      </w:r>
      <w:r w:rsidRPr="008A5E67">
        <w:rPr>
          <w:i/>
          <w:sz w:val="18"/>
          <w:szCs w:val="18"/>
        </w:rPr>
        <w:t>:</w:t>
      </w:r>
      <w:r w:rsidRPr="008A5E67">
        <w:rPr>
          <w:sz w:val="18"/>
          <w:szCs w:val="18"/>
        </w:rPr>
        <w:t xml:space="preserve"> Informe de la </w:t>
      </w:r>
      <w:proofErr w:type="spellStart"/>
      <w:r w:rsidRPr="008A5E67">
        <w:rPr>
          <w:sz w:val="16"/>
          <w:szCs w:val="16"/>
          <w:lang w:val="fr-FR"/>
        </w:rPr>
        <w:t>Dirección</w:t>
      </w:r>
      <w:proofErr w:type="spellEnd"/>
      <w:r w:rsidRPr="008A5E67">
        <w:rPr>
          <w:sz w:val="18"/>
          <w:szCs w:val="18"/>
        </w:rPr>
        <w:t xml:space="preserve"> Nacional de Promoción del Niño y la Familia.</w:t>
      </w:r>
    </w:p>
    <w:p w14:paraId="6E481716" w14:textId="32A65BF3" w:rsidR="008A5E67" w:rsidRPr="008A5E67" w:rsidRDefault="00C262CE" w:rsidP="00C262CE">
      <w:pPr>
        <w:pStyle w:val="H4G"/>
      </w:pPr>
      <w:bookmarkStart w:id="143" w:name="_Toc414372925"/>
      <w:bookmarkStart w:id="144" w:name="_Toc414373154"/>
      <w:bookmarkStart w:id="145" w:name="_Toc414377650"/>
      <w:bookmarkStart w:id="146" w:name="_Toc35441101"/>
      <w:r>
        <w:tab/>
      </w:r>
      <w:r w:rsidR="008A5E67" w:rsidRPr="008A5E67">
        <w:t>5.1.4</w:t>
      </w:r>
      <w:r w:rsidR="008A5E67" w:rsidRPr="008A5E67">
        <w:tab/>
        <w:t>Maltrato físico y trato negligente</w:t>
      </w:r>
      <w:bookmarkEnd w:id="143"/>
      <w:bookmarkEnd w:id="144"/>
      <w:bookmarkEnd w:id="145"/>
      <w:bookmarkEnd w:id="146"/>
    </w:p>
    <w:p w14:paraId="5EAA9715" w14:textId="77777777" w:rsidR="008A5E67" w:rsidRPr="008A5E67" w:rsidRDefault="008A5E67" w:rsidP="008A5E67">
      <w:pPr>
        <w:pStyle w:val="SingleTxtG"/>
        <w:rPr>
          <w:bCs/>
        </w:rPr>
      </w:pPr>
      <w:r w:rsidRPr="008A5E67">
        <w:t>89.</w:t>
      </w:r>
      <w:r w:rsidRPr="008A5E67">
        <w:tab/>
        <w:t xml:space="preserve">El Código Penal y el Código de Protección del Niño castigan severamente a los autores de infracciones contra menores. </w:t>
      </w:r>
    </w:p>
    <w:p w14:paraId="5172F6A4" w14:textId="77777777" w:rsidR="008A5E67" w:rsidRPr="008A5E67" w:rsidRDefault="008A5E67" w:rsidP="008A5E67">
      <w:pPr>
        <w:pStyle w:val="SingleTxtG"/>
        <w:rPr>
          <w:bCs/>
        </w:rPr>
      </w:pPr>
      <w:r w:rsidRPr="008A5E67">
        <w:t>90.</w:t>
      </w:r>
      <w:r w:rsidRPr="008A5E67">
        <w:tab/>
        <w:t xml:space="preserve">El artículo 325 del Código Penal castiga con multas y penas de prisión a los autores de carencia o negligencia grave contra los niños. </w:t>
      </w:r>
    </w:p>
    <w:p w14:paraId="426CCEA4" w14:textId="77777777" w:rsidR="008A5E67" w:rsidRPr="008A5E67" w:rsidRDefault="008A5E67" w:rsidP="008A5E67">
      <w:pPr>
        <w:pStyle w:val="SingleTxtG"/>
      </w:pPr>
      <w:r w:rsidRPr="008A5E67">
        <w:t>91.</w:t>
      </w:r>
      <w:r w:rsidRPr="008A5E67">
        <w:tab/>
        <w:t xml:space="preserve">La Brigada de Protección de la Moral y de la Infancia ha habilitado una línea de atención telefónica para denunciar situaciones de peligro, maltrato o violencia contra los niños. </w:t>
      </w:r>
    </w:p>
    <w:p w14:paraId="634033FB" w14:textId="77777777" w:rsidR="008A5E67" w:rsidRPr="008A5E67" w:rsidRDefault="008A5E67" w:rsidP="008A5E67">
      <w:pPr>
        <w:pStyle w:val="SingleTxtG"/>
        <w:rPr>
          <w:bCs/>
        </w:rPr>
      </w:pPr>
      <w:r w:rsidRPr="008A5E67">
        <w:t>92.</w:t>
      </w:r>
      <w:r w:rsidRPr="008A5E67">
        <w:tab/>
        <w:t xml:space="preserve">En Malí existe un mecanismo de atención a los niños víctimas de violencia, malos tratos, explotación y trato negligente. </w:t>
      </w:r>
    </w:p>
    <w:p w14:paraId="31170C2F" w14:textId="61CD7D1D" w:rsidR="008A5E67" w:rsidRPr="008A5E67" w:rsidRDefault="00C262CE" w:rsidP="00C262CE">
      <w:pPr>
        <w:pStyle w:val="H4G"/>
      </w:pPr>
      <w:bookmarkStart w:id="147" w:name="_Toc414372926"/>
      <w:bookmarkStart w:id="148" w:name="_Toc414373155"/>
      <w:bookmarkStart w:id="149" w:name="_Toc414377651"/>
      <w:bookmarkStart w:id="150" w:name="_Toc35441102"/>
      <w:r>
        <w:rPr>
          <w:iCs/>
        </w:rPr>
        <w:tab/>
      </w:r>
      <w:r w:rsidR="008A5E67" w:rsidRPr="008A5E67">
        <w:rPr>
          <w:iCs/>
        </w:rPr>
        <w:t>5.1.5</w:t>
      </w:r>
      <w:r w:rsidR="008A5E67" w:rsidRPr="008A5E67">
        <w:tab/>
        <w:t xml:space="preserve">Acuerdos, tratados y convenciones bilaterales y multilaterales de los </w:t>
      </w:r>
      <w:r>
        <w:br/>
      </w:r>
      <w:r w:rsidR="008A5E67" w:rsidRPr="008A5E67">
        <w:t>que el Estado es parte</w:t>
      </w:r>
      <w:bookmarkEnd w:id="147"/>
      <w:bookmarkEnd w:id="148"/>
      <w:bookmarkEnd w:id="149"/>
      <w:bookmarkEnd w:id="150"/>
    </w:p>
    <w:p w14:paraId="5C3B4568" w14:textId="5539ED4B" w:rsidR="008A5E67" w:rsidRPr="008A5E67" w:rsidRDefault="008A5E67" w:rsidP="008A5E67">
      <w:pPr>
        <w:pStyle w:val="SingleTxtG"/>
        <w:rPr>
          <w:bCs/>
        </w:rPr>
      </w:pPr>
      <w:r w:rsidRPr="008A5E67">
        <w:t>93.</w:t>
      </w:r>
      <w:r w:rsidRPr="008A5E67">
        <w:tab/>
        <w:t>Acuerdo de Cooperación para Combatir la Trata de Niños en África Occidental, Abiyán (</w:t>
      </w:r>
      <w:proofErr w:type="spellStart"/>
      <w:r w:rsidRPr="008A5E67">
        <w:t>Côte</w:t>
      </w:r>
      <w:proofErr w:type="spellEnd"/>
      <w:r w:rsidRPr="008A5E67">
        <w:t xml:space="preserve"> </w:t>
      </w:r>
      <w:proofErr w:type="spellStart"/>
      <w:r w:rsidRPr="008A5E67">
        <w:t>d</w:t>
      </w:r>
      <w:r w:rsidR="00F374AD">
        <w:t>’</w:t>
      </w:r>
      <w:r w:rsidRPr="008A5E67">
        <w:t>Ivoire</w:t>
      </w:r>
      <w:proofErr w:type="spellEnd"/>
      <w:r w:rsidRPr="008A5E67">
        <w:t>), julio de 2005.</w:t>
      </w:r>
    </w:p>
    <w:p w14:paraId="68E29AEB" w14:textId="77777777" w:rsidR="008A5E67" w:rsidRPr="008A5E67" w:rsidRDefault="008A5E67" w:rsidP="008A5E67">
      <w:pPr>
        <w:pStyle w:val="SingleTxtG"/>
        <w:rPr>
          <w:bCs/>
        </w:rPr>
      </w:pPr>
      <w:r w:rsidRPr="008A5E67">
        <w:t>94.</w:t>
      </w:r>
      <w:r w:rsidRPr="008A5E67">
        <w:tab/>
        <w:t>Acuerdo de Cooperación para Combatir la Trata de Personas, en especial de Mujeres y Niños, en África Occidental y Central, Abuya (Nigeria), julio de 2006.</w:t>
      </w:r>
    </w:p>
    <w:p w14:paraId="585E180A" w14:textId="77777777" w:rsidR="008A5E67" w:rsidRPr="008A5E67" w:rsidRDefault="008A5E67" w:rsidP="008A5E67">
      <w:pPr>
        <w:pStyle w:val="SingleTxtG"/>
        <w:rPr>
          <w:bCs/>
        </w:rPr>
      </w:pPr>
      <w:r w:rsidRPr="008A5E67">
        <w:t>95.</w:t>
      </w:r>
      <w:r w:rsidRPr="008A5E67">
        <w:tab/>
        <w:t>Acuerdo bilateral con Guinea, 16 de junio de 2005.</w:t>
      </w:r>
    </w:p>
    <w:p w14:paraId="2CCD1C57" w14:textId="2345A844" w:rsidR="008A5E67" w:rsidRPr="008A5E67" w:rsidRDefault="00C262CE" w:rsidP="00C262CE">
      <w:pPr>
        <w:pStyle w:val="H23G"/>
      </w:pPr>
      <w:bookmarkStart w:id="151" w:name="_Toc414372927"/>
      <w:bookmarkStart w:id="152" w:name="_Toc414377652"/>
      <w:bookmarkStart w:id="153" w:name="_Toc35441103"/>
      <w:r>
        <w:rPr>
          <w:bCs/>
        </w:rPr>
        <w:tab/>
      </w:r>
      <w:r w:rsidR="008A5E67" w:rsidRPr="008A5E67">
        <w:rPr>
          <w:bCs/>
        </w:rPr>
        <w:t>5.2</w:t>
      </w:r>
      <w:r w:rsidR="008A5E67" w:rsidRPr="008A5E67">
        <w:tab/>
        <w:t>Restricciones y límites</w:t>
      </w:r>
      <w:bookmarkEnd w:id="151"/>
      <w:bookmarkEnd w:id="152"/>
      <w:bookmarkEnd w:id="153"/>
    </w:p>
    <w:p w14:paraId="53C4EDE0" w14:textId="77777777" w:rsidR="008A5E67" w:rsidRPr="008A5E67" w:rsidRDefault="008A5E67" w:rsidP="008A5E67">
      <w:pPr>
        <w:pStyle w:val="SingleTxtG"/>
        <w:rPr>
          <w:bCs/>
        </w:rPr>
      </w:pPr>
      <w:r w:rsidRPr="008A5E67">
        <w:t>96.</w:t>
      </w:r>
      <w:r w:rsidRPr="008A5E67">
        <w:tab/>
        <w:t>La crisis de 2012 puso de manifiesto una serie de deficiencias en el marco jurídico e institucional en lo que respecta a la protección y la atención de los niños en situaciones de emergencia.</w:t>
      </w:r>
    </w:p>
    <w:p w14:paraId="44E69406" w14:textId="0FB32AE8" w:rsidR="008A5E67" w:rsidRPr="008A5E67" w:rsidRDefault="00C262CE" w:rsidP="00C262CE">
      <w:pPr>
        <w:pStyle w:val="H23G"/>
      </w:pPr>
      <w:bookmarkStart w:id="154" w:name="_Toc414372928"/>
      <w:bookmarkStart w:id="155" w:name="_Toc414377653"/>
      <w:bookmarkStart w:id="156" w:name="_Toc35441104"/>
      <w:r>
        <w:lastRenderedPageBreak/>
        <w:tab/>
      </w:r>
      <w:r w:rsidR="008A5E67" w:rsidRPr="008A5E67">
        <w:t>5.3</w:t>
      </w:r>
      <w:r w:rsidR="008A5E67" w:rsidRPr="008A5E67">
        <w:tab/>
        <w:t>De cara al futuro</w:t>
      </w:r>
      <w:bookmarkEnd w:id="154"/>
      <w:bookmarkEnd w:id="155"/>
      <w:bookmarkEnd w:id="156"/>
    </w:p>
    <w:p w14:paraId="5CC9885D" w14:textId="77777777" w:rsidR="008A5E67" w:rsidRPr="008A5E67" w:rsidRDefault="008A5E67" w:rsidP="008A5E67">
      <w:pPr>
        <w:pStyle w:val="SingleTxtG"/>
        <w:rPr>
          <w:bCs/>
        </w:rPr>
      </w:pPr>
      <w:r w:rsidRPr="008A5E67">
        <w:t>97.</w:t>
      </w:r>
      <w:r w:rsidRPr="008A5E67">
        <w:tab/>
        <w:t xml:space="preserve">La aplicación de la Política Nacional de Promoción y Protección de la Infancia, aprobada el 16 de julio de 2014 por el Gobierno, garantizará que todos los niños se beneficien de las medidas contra la vulnerabilidad social. </w:t>
      </w:r>
    </w:p>
    <w:p w14:paraId="3A813DFD" w14:textId="77777777" w:rsidR="008A5E67" w:rsidRPr="008A5E67" w:rsidRDefault="008A5E67" w:rsidP="008A5E67">
      <w:pPr>
        <w:pStyle w:val="SingleTxtG"/>
        <w:rPr>
          <w:bCs/>
        </w:rPr>
      </w:pPr>
      <w:r w:rsidRPr="008A5E67">
        <w:t>98.</w:t>
      </w:r>
      <w:r w:rsidRPr="008A5E67">
        <w:tab/>
        <w:t>La aplicación de la Política Nacional de Atención a Huérfanos y Niños Vulnerables por causa del VIH/Sida tiene por objetivo proporcionar una atención integrada a los huérfanos y otros niños vulnerables por causa del VIH/sida mediante la creación de un entorno jurídico, socioeconómico y cultural favorable.</w:t>
      </w:r>
    </w:p>
    <w:p w14:paraId="0B33E376" w14:textId="53626C5C" w:rsidR="008A5E67" w:rsidRPr="008A5E67" w:rsidRDefault="00C262CE" w:rsidP="00C262CE">
      <w:pPr>
        <w:pStyle w:val="HChG"/>
      </w:pPr>
      <w:bookmarkStart w:id="157" w:name="_Toc414372929"/>
      <w:bookmarkStart w:id="158" w:name="_Toc414377654"/>
      <w:bookmarkStart w:id="159" w:name="_Toc35441105"/>
      <w:r>
        <w:tab/>
      </w:r>
      <w:r w:rsidR="008A5E67" w:rsidRPr="008A5E67">
        <w:t>VI.</w:t>
      </w:r>
      <w:r w:rsidR="008A5E67" w:rsidRPr="008A5E67">
        <w:tab/>
        <w:t>Salud básica y bienestar</w:t>
      </w:r>
      <w:bookmarkEnd w:id="157"/>
      <w:bookmarkEnd w:id="158"/>
      <w:bookmarkEnd w:id="159"/>
    </w:p>
    <w:p w14:paraId="60A9E375" w14:textId="77777777" w:rsidR="008A5E67" w:rsidRPr="008A5E67" w:rsidRDefault="008A5E67" w:rsidP="008A5E67">
      <w:pPr>
        <w:pStyle w:val="SingleTxtG"/>
      </w:pPr>
      <w:r w:rsidRPr="008A5E67">
        <w:t>99.</w:t>
      </w:r>
      <w:r w:rsidRPr="008A5E67">
        <w:tab/>
        <w:t xml:space="preserve">Malí ha bregado por reforzar los derechos de los niños en el ámbito de la salud, tanto física como mental: el derecho a recibir tratamiento; los recursos de rehabilitación; el derecho a la seguridad social; el derecho de las madres a la atención de la salud. </w:t>
      </w:r>
    </w:p>
    <w:p w14:paraId="7087E52E" w14:textId="4DECBB04" w:rsidR="008A5E67" w:rsidRPr="008A5E67" w:rsidRDefault="00C262CE" w:rsidP="00C262CE">
      <w:pPr>
        <w:pStyle w:val="H23G"/>
      </w:pPr>
      <w:bookmarkStart w:id="160" w:name="_Toc414372930"/>
      <w:bookmarkStart w:id="161" w:name="_Toc414377655"/>
      <w:bookmarkStart w:id="162" w:name="_Toc35441106"/>
      <w:r>
        <w:tab/>
      </w:r>
      <w:r w:rsidR="008A5E67" w:rsidRPr="008A5E67">
        <w:t>6.1</w:t>
      </w:r>
      <w:r w:rsidR="008A5E67" w:rsidRPr="008A5E67">
        <w:tab/>
        <w:t>Medidas adoptadas y avances logrados</w:t>
      </w:r>
      <w:bookmarkEnd w:id="160"/>
      <w:bookmarkEnd w:id="161"/>
      <w:bookmarkEnd w:id="162"/>
    </w:p>
    <w:p w14:paraId="28700235" w14:textId="794137FD" w:rsidR="008A5E67" w:rsidRPr="008A5E67" w:rsidRDefault="00C262CE" w:rsidP="00C262CE">
      <w:pPr>
        <w:pStyle w:val="H4G"/>
      </w:pPr>
      <w:bookmarkStart w:id="163" w:name="_Toc414372931"/>
      <w:bookmarkStart w:id="164" w:name="_Toc414373160"/>
      <w:bookmarkStart w:id="165" w:name="_Toc414377656"/>
      <w:bookmarkStart w:id="166" w:name="_Toc35441107"/>
      <w:r>
        <w:tab/>
      </w:r>
      <w:r w:rsidR="008A5E67" w:rsidRPr="008A5E67">
        <w:t>6.1.1</w:t>
      </w:r>
      <w:r w:rsidR="008A5E67" w:rsidRPr="008A5E67">
        <w:tab/>
        <w:t>Aplicación de políticas de salud y de protección social</w:t>
      </w:r>
      <w:bookmarkEnd w:id="163"/>
      <w:bookmarkEnd w:id="164"/>
      <w:bookmarkEnd w:id="165"/>
      <w:bookmarkEnd w:id="166"/>
    </w:p>
    <w:p w14:paraId="6C1185B1" w14:textId="5CA786E2" w:rsidR="008A5E67" w:rsidRPr="008A5E67" w:rsidRDefault="008A5E67" w:rsidP="008A5E67">
      <w:pPr>
        <w:pStyle w:val="SingleTxtG"/>
        <w:rPr>
          <w:bCs/>
        </w:rPr>
      </w:pPr>
      <w:r w:rsidRPr="008A5E67">
        <w:t>100.</w:t>
      </w:r>
      <w:r w:rsidRPr="008A5E67">
        <w:tab/>
        <w:t xml:space="preserve">El Plan Decenal de Desarrollo Sociosanitario 1998-2007 se ejecutó a través del </w:t>
      </w:r>
      <w:proofErr w:type="spellStart"/>
      <w:r w:rsidRPr="008A5E67">
        <w:t>PRODESS</w:t>
      </w:r>
      <w:proofErr w:type="spellEnd"/>
      <w:r w:rsidRPr="008A5E67">
        <w:t xml:space="preserve"> I (1998-2002), el </w:t>
      </w:r>
      <w:proofErr w:type="spellStart"/>
      <w:r w:rsidRPr="008A5E67">
        <w:t>PRODESS</w:t>
      </w:r>
      <w:proofErr w:type="spellEnd"/>
      <w:r w:rsidRPr="008A5E67">
        <w:t xml:space="preserve"> II (2005-2009) y la prórroga del </w:t>
      </w:r>
      <w:proofErr w:type="spellStart"/>
      <w:r w:rsidRPr="008A5E67">
        <w:t>PRODESS</w:t>
      </w:r>
      <w:proofErr w:type="spellEnd"/>
      <w:r w:rsidRPr="008A5E67">
        <w:t xml:space="preserve"> II (2009</w:t>
      </w:r>
      <w:r w:rsidR="002E5164">
        <w:noBreakHyphen/>
      </w:r>
      <w:r w:rsidRPr="008A5E67">
        <w:t xml:space="preserve">2011). Estos programas tuvieron en cuenta el compromiso de Malí con los </w:t>
      </w:r>
      <w:proofErr w:type="spellStart"/>
      <w:r w:rsidRPr="008A5E67">
        <w:t>ODM</w:t>
      </w:r>
      <w:proofErr w:type="spellEnd"/>
      <w:r w:rsidRPr="008A5E67">
        <w:t xml:space="preserve"> y la Declaración de París sobre la Eficacia de la Ayuda al Desarrollo y las modalidades resultantes, como la Armonización para la Salud en África y la Alianza Sanitaria Internacional. La firma del </w:t>
      </w:r>
      <w:r w:rsidR="00F374AD">
        <w:t>“</w:t>
      </w:r>
      <w:r w:rsidRPr="008A5E67">
        <w:t>pacto</w:t>
      </w:r>
      <w:r w:rsidR="00F374AD">
        <w:t>”</w:t>
      </w:r>
      <w:r w:rsidRPr="008A5E67">
        <w:t xml:space="preserve"> nacional (2009) supuso un gran paso adelante en los esfuerzos por crear un marco único y armonizado para una mayor movilización y un mejor uso de la ayuda en el sector, con miras a acelerar la consecución de los </w:t>
      </w:r>
      <w:proofErr w:type="spellStart"/>
      <w:r w:rsidRPr="008A5E67">
        <w:t>ODM</w:t>
      </w:r>
      <w:proofErr w:type="spellEnd"/>
      <w:r w:rsidRPr="008A5E67">
        <w:t>.</w:t>
      </w:r>
    </w:p>
    <w:p w14:paraId="7742BA5A" w14:textId="77777777" w:rsidR="008A5E67" w:rsidRPr="008A5E67" w:rsidRDefault="008A5E67" w:rsidP="00C262CE">
      <w:pPr>
        <w:pStyle w:val="H56G"/>
      </w:pPr>
      <w:r w:rsidRPr="008A5E67">
        <w:tab/>
      </w:r>
      <w:r w:rsidRPr="008A5E67">
        <w:tab/>
        <w:t>Mejora general, moderada y gradual de los indicadores</w:t>
      </w:r>
    </w:p>
    <w:p w14:paraId="55F413FE" w14:textId="5C9DC2E5" w:rsidR="008A5E67" w:rsidRPr="008A5E67" w:rsidRDefault="008A5E67" w:rsidP="008A5E67">
      <w:pPr>
        <w:pStyle w:val="SingleTxtG"/>
        <w:rPr>
          <w:bCs/>
        </w:rPr>
      </w:pPr>
      <w:r w:rsidRPr="008A5E67">
        <w:t>101.</w:t>
      </w:r>
      <w:r w:rsidRPr="008A5E67">
        <w:tab/>
        <w:t xml:space="preserve">Según la </w:t>
      </w:r>
      <w:proofErr w:type="spellStart"/>
      <w:r w:rsidRPr="008A5E67">
        <w:t>EDSM</w:t>
      </w:r>
      <w:proofErr w:type="spellEnd"/>
      <w:r w:rsidRPr="008A5E67">
        <w:t xml:space="preserve"> IV (2006) y la </w:t>
      </w:r>
      <w:proofErr w:type="spellStart"/>
      <w:r w:rsidRPr="008A5E67">
        <w:t>EDSM</w:t>
      </w:r>
      <w:proofErr w:type="spellEnd"/>
      <w:r w:rsidRPr="008A5E67">
        <w:t xml:space="preserve"> V (2012-2013), la tasa de mortalidad de menores de </w:t>
      </w:r>
      <w:r w:rsidR="00DC4C43">
        <w:t>5</w:t>
      </w:r>
      <w:r w:rsidRPr="008A5E67">
        <w:t xml:space="preserve"> años descendió del 191 ‰ en 2006 al 95 ‰ en 2012.</w:t>
      </w:r>
    </w:p>
    <w:p w14:paraId="0FAFD683" w14:textId="43A7C7B0" w:rsidR="008A5E67" w:rsidRPr="008A5E67" w:rsidRDefault="008A5E67" w:rsidP="008A5E67">
      <w:pPr>
        <w:pStyle w:val="SingleTxtG"/>
        <w:rPr>
          <w:bCs/>
        </w:rPr>
      </w:pPr>
      <w:r w:rsidRPr="008A5E67">
        <w:t>102.</w:t>
      </w:r>
      <w:r w:rsidRPr="008A5E67">
        <w:tab/>
        <w:t xml:space="preserve">La insuficiencia ponderal de los niños menores de </w:t>
      </w:r>
      <w:r w:rsidR="00DC4C43">
        <w:t xml:space="preserve">5 </w:t>
      </w:r>
      <w:r w:rsidRPr="008A5E67">
        <w:t>años pasó del 33,3 % en 2001 al</w:t>
      </w:r>
      <w:r w:rsidR="00DC4C43">
        <w:t> </w:t>
      </w:r>
      <w:r w:rsidRPr="008A5E67">
        <w:t xml:space="preserve">32 % en 2006 y al 18 % en 2010. </w:t>
      </w:r>
    </w:p>
    <w:p w14:paraId="67C50DE5" w14:textId="77777777" w:rsidR="008A5E67" w:rsidRPr="008A5E67" w:rsidRDefault="008A5E67" w:rsidP="008A5E67">
      <w:pPr>
        <w:pStyle w:val="SingleTxtG"/>
        <w:rPr>
          <w:bCs/>
        </w:rPr>
      </w:pPr>
      <w:r w:rsidRPr="008A5E67">
        <w:t>103.</w:t>
      </w:r>
      <w:r w:rsidRPr="008A5E67">
        <w:tab/>
        <w:t>El espaciamiento de los nacimientos se mantiene en un nivel muy bajo; la proporción de mujeres en unión que utilizan un método anticonceptivo moderno pasó del 4,5 % al 9,2 % entre 1996 y 2010, mientras que las necesidades insatisfechas se estiman en el 31 %. Este nivel de prevalencia tendrá poco efecto sobre la elevada tasa anual de crecimiento demográfico (3,6 %) registrada por el Censo General de Población y Vivienda (2009).</w:t>
      </w:r>
    </w:p>
    <w:p w14:paraId="0DB2EDC6" w14:textId="2BEC1723" w:rsidR="008A5E67" w:rsidRPr="008A5E67" w:rsidRDefault="008A5E67" w:rsidP="008A5E67">
      <w:pPr>
        <w:pStyle w:val="SingleTxtG"/>
        <w:rPr>
          <w:bCs/>
        </w:rPr>
      </w:pPr>
      <w:r w:rsidRPr="008A5E67">
        <w:t>104.</w:t>
      </w:r>
      <w:r w:rsidRPr="008A5E67">
        <w:tab/>
        <w:t xml:space="preserve">Una reducción de las disparidades en determinados indicadores entre los más ricos y los más pobres. Por ejemplo, la insuficiencia ponderal entre los niños menores de </w:t>
      </w:r>
      <w:r w:rsidR="00DC4C43">
        <w:t>5</w:t>
      </w:r>
      <w:r w:rsidRPr="008A5E67">
        <w:t xml:space="preserve"> años asciende al 17 % en el caso de los más ricos, frente al 30,8 % en el caso de los más pobres.</w:t>
      </w:r>
    </w:p>
    <w:p w14:paraId="245887C5" w14:textId="686CC8DE" w:rsidR="008A5E67" w:rsidRPr="008A5E67" w:rsidRDefault="008A5E67" w:rsidP="008A5E67">
      <w:pPr>
        <w:pStyle w:val="SingleTxtG"/>
        <w:rPr>
          <w:bCs/>
        </w:rPr>
      </w:pPr>
      <w:r w:rsidRPr="008A5E67">
        <w:t>105.</w:t>
      </w:r>
      <w:r w:rsidRPr="008A5E67">
        <w:tab/>
        <w:t xml:space="preserve">No obstante, cabe señalar que esas diferencias se han reducido en lo que respecta a los indicadores de mortalidad de niños menores de </w:t>
      </w:r>
      <w:r w:rsidR="00DC4C43">
        <w:t>5</w:t>
      </w:r>
      <w:r w:rsidRPr="008A5E67">
        <w:t xml:space="preserve"> años.</w:t>
      </w:r>
    </w:p>
    <w:p w14:paraId="735D44F0" w14:textId="77777777" w:rsidR="008A5E67" w:rsidRPr="008A5E67" w:rsidRDefault="008A5E67" w:rsidP="00C262CE">
      <w:pPr>
        <w:pStyle w:val="H56G"/>
      </w:pPr>
      <w:r w:rsidRPr="008A5E67">
        <w:tab/>
      </w:r>
      <w:r w:rsidRPr="008A5E67">
        <w:tab/>
        <w:t>Importante expansión geográfica de la red de centros de salud comunitarios</w:t>
      </w:r>
    </w:p>
    <w:p w14:paraId="5C2AAA1D" w14:textId="77777777" w:rsidR="008A5E67" w:rsidRPr="008A5E67" w:rsidRDefault="008A5E67" w:rsidP="008A5E67">
      <w:pPr>
        <w:pStyle w:val="SingleTxtG"/>
        <w:rPr>
          <w:bCs/>
        </w:rPr>
      </w:pPr>
      <w:r w:rsidRPr="008A5E67">
        <w:t>106.</w:t>
      </w:r>
      <w:r w:rsidRPr="008A5E67">
        <w:tab/>
        <w:t>El porcentaje de la población que vive a menos de 5 km de un centro de salud descendió del 57 % en 2009 al 56 % en 2012. Se ha reforzado el paquete mínimo de actividades mediante nuevas estrategias.</w:t>
      </w:r>
    </w:p>
    <w:p w14:paraId="34D2A9FE" w14:textId="5CE323DB" w:rsidR="008A5E67" w:rsidRPr="008A5E67" w:rsidRDefault="008A5E67" w:rsidP="00F63F63">
      <w:pPr>
        <w:pStyle w:val="SingleTxtG"/>
        <w:keepNext/>
        <w:jc w:val="left"/>
        <w:rPr>
          <w:b/>
        </w:rPr>
      </w:pPr>
      <w:bookmarkStart w:id="167" w:name="_Toc414372932"/>
      <w:bookmarkStart w:id="168" w:name="_Toc414373161"/>
      <w:bookmarkStart w:id="169" w:name="_Toc414377657"/>
      <w:r w:rsidRPr="008A5E67">
        <w:rPr>
          <w:bCs/>
        </w:rPr>
        <w:lastRenderedPageBreak/>
        <w:t>Cuadro 4</w:t>
      </w:r>
      <w:r w:rsidR="00C262CE">
        <w:rPr>
          <w:bCs/>
        </w:rPr>
        <w:br/>
      </w:r>
      <w:r w:rsidRPr="008A5E67">
        <w:rPr>
          <w:b/>
        </w:rPr>
        <w:t>Acceso de la población a los centros de salud comunitarios, de 2005 a 2012</w:t>
      </w:r>
      <w:bookmarkEnd w:id="167"/>
      <w:bookmarkEnd w:id="168"/>
      <w:bookmarkEnd w:id="169"/>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994"/>
        <w:gridCol w:w="3188"/>
        <w:gridCol w:w="3188"/>
      </w:tblGrid>
      <w:tr w:rsidR="00C262CE" w:rsidRPr="00C262CE" w14:paraId="7D37689A" w14:textId="77777777" w:rsidTr="00C262CE">
        <w:trPr>
          <w:trHeight w:val="240"/>
          <w:tblHeader/>
        </w:trPr>
        <w:tc>
          <w:tcPr>
            <w:tcW w:w="674" w:type="pct"/>
            <w:tcBorders>
              <w:top w:val="single" w:sz="4" w:space="0" w:color="auto"/>
              <w:bottom w:val="single" w:sz="12" w:space="0" w:color="auto"/>
            </w:tcBorders>
            <w:shd w:val="clear" w:color="auto" w:fill="auto"/>
            <w:vAlign w:val="bottom"/>
          </w:tcPr>
          <w:p w14:paraId="10D0350A" w14:textId="77777777" w:rsidR="008A5E67" w:rsidRPr="008A5E67" w:rsidRDefault="008A5E67" w:rsidP="00F63F63">
            <w:pPr>
              <w:pStyle w:val="SingleTxtG"/>
              <w:keepNext/>
              <w:tabs>
                <w:tab w:val="clear" w:pos="1701"/>
                <w:tab w:val="clear" w:pos="2268"/>
                <w:tab w:val="clear" w:pos="2835"/>
              </w:tabs>
              <w:spacing w:before="80" w:after="80" w:line="200" w:lineRule="exact"/>
              <w:ind w:left="0" w:right="0"/>
              <w:jc w:val="left"/>
              <w:rPr>
                <w:bCs/>
                <w:i/>
                <w:iCs/>
                <w:sz w:val="16"/>
              </w:rPr>
            </w:pPr>
            <w:r w:rsidRPr="008A5E67">
              <w:rPr>
                <w:i/>
                <w:iCs/>
                <w:sz w:val="16"/>
              </w:rPr>
              <w:t>Año</w:t>
            </w:r>
          </w:p>
        </w:tc>
        <w:tc>
          <w:tcPr>
            <w:tcW w:w="2163" w:type="pct"/>
            <w:tcBorders>
              <w:top w:val="single" w:sz="4" w:space="0" w:color="auto"/>
              <w:bottom w:val="single" w:sz="12" w:space="0" w:color="auto"/>
            </w:tcBorders>
            <w:shd w:val="clear" w:color="auto" w:fill="auto"/>
            <w:vAlign w:val="bottom"/>
          </w:tcPr>
          <w:p w14:paraId="1E8F8A37" w14:textId="77777777" w:rsidR="008A5E67" w:rsidRPr="008A5E67" w:rsidRDefault="008A5E67" w:rsidP="00F63F63">
            <w:pPr>
              <w:pStyle w:val="SingleTxtG"/>
              <w:keepNext/>
              <w:tabs>
                <w:tab w:val="clear" w:pos="1701"/>
                <w:tab w:val="clear" w:pos="2268"/>
                <w:tab w:val="clear" w:pos="2835"/>
              </w:tabs>
              <w:spacing w:before="80" w:after="80" w:line="200" w:lineRule="exact"/>
              <w:ind w:left="113" w:right="0"/>
              <w:jc w:val="right"/>
              <w:rPr>
                <w:bCs/>
                <w:i/>
                <w:iCs/>
                <w:sz w:val="16"/>
              </w:rPr>
            </w:pPr>
            <w:r w:rsidRPr="008A5E67">
              <w:rPr>
                <w:i/>
                <w:iCs/>
                <w:sz w:val="16"/>
              </w:rPr>
              <w:t>Tasa de accesibilidad en un radio de 5 km</w:t>
            </w:r>
          </w:p>
        </w:tc>
        <w:tc>
          <w:tcPr>
            <w:tcW w:w="2164" w:type="pct"/>
            <w:tcBorders>
              <w:top w:val="single" w:sz="4" w:space="0" w:color="auto"/>
              <w:bottom w:val="single" w:sz="12" w:space="0" w:color="auto"/>
            </w:tcBorders>
            <w:shd w:val="clear" w:color="auto" w:fill="auto"/>
            <w:vAlign w:val="bottom"/>
          </w:tcPr>
          <w:p w14:paraId="03B621B2" w14:textId="77777777" w:rsidR="008A5E67" w:rsidRPr="008A5E67" w:rsidRDefault="008A5E67" w:rsidP="00F63F63">
            <w:pPr>
              <w:pStyle w:val="SingleTxtG"/>
              <w:keepNext/>
              <w:tabs>
                <w:tab w:val="clear" w:pos="1701"/>
                <w:tab w:val="clear" w:pos="2268"/>
                <w:tab w:val="clear" w:pos="2835"/>
              </w:tabs>
              <w:spacing w:before="80" w:after="80" w:line="200" w:lineRule="exact"/>
              <w:ind w:left="113" w:right="0"/>
              <w:jc w:val="right"/>
              <w:rPr>
                <w:bCs/>
                <w:i/>
                <w:iCs/>
                <w:sz w:val="16"/>
              </w:rPr>
            </w:pPr>
            <w:r w:rsidRPr="008A5E67">
              <w:rPr>
                <w:i/>
                <w:iCs/>
                <w:sz w:val="16"/>
              </w:rPr>
              <w:t>Tasa de accesibilidad en un radio de 15 km</w:t>
            </w:r>
          </w:p>
        </w:tc>
      </w:tr>
      <w:tr w:rsidR="00C262CE" w:rsidRPr="008A5E67" w14:paraId="1BE7F670" w14:textId="77777777" w:rsidTr="00C262CE">
        <w:trPr>
          <w:trHeight w:val="240"/>
        </w:trPr>
        <w:tc>
          <w:tcPr>
            <w:tcW w:w="674" w:type="pct"/>
            <w:tcBorders>
              <w:top w:val="single" w:sz="12" w:space="0" w:color="auto"/>
            </w:tcBorders>
            <w:shd w:val="clear" w:color="auto" w:fill="auto"/>
          </w:tcPr>
          <w:p w14:paraId="51B4CBF6" w14:textId="77777777" w:rsidR="008A5E67" w:rsidRPr="008A5E67" w:rsidRDefault="008A5E67" w:rsidP="00F63F63">
            <w:pPr>
              <w:pStyle w:val="SingleTxtG"/>
              <w:keepNext/>
              <w:tabs>
                <w:tab w:val="clear" w:pos="1701"/>
                <w:tab w:val="clear" w:pos="2268"/>
                <w:tab w:val="clear" w:pos="2835"/>
              </w:tabs>
              <w:spacing w:before="40" w:after="40" w:line="220" w:lineRule="exact"/>
              <w:ind w:left="0" w:right="0"/>
              <w:jc w:val="left"/>
              <w:rPr>
                <w:bCs/>
                <w:sz w:val="18"/>
              </w:rPr>
            </w:pPr>
            <w:r w:rsidRPr="008A5E67">
              <w:rPr>
                <w:sz w:val="18"/>
              </w:rPr>
              <w:t>2005</w:t>
            </w:r>
          </w:p>
        </w:tc>
        <w:tc>
          <w:tcPr>
            <w:tcW w:w="2163" w:type="pct"/>
            <w:tcBorders>
              <w:top w:val="single" w:sz="12" w:space="0" w:color="auto"/>
            </w:tcBorders>
            <w:shd w:val="clear" w:color="auto" w:fill="auto"/>
            <w:vAlign w:val="bottom"/>
          </w:tcPr>
          <w:p w14:paraId="20018B7D" w14:textId="77777777" w:rsidR="008A5E67" w:rsidRPr="008A5E67" w:rsidRDefault="008A5E67" w:rsidP="00F63F63">
            <w:pPr>
              <w:pStyle w:val="SingleTxtG"/>
              <w:keepNext/>
              <w:tabs>
                <w:tab w:val="clear" w:pos="1701"/>
                <w:tab w:val="clear" w:pos="2268"/>
                <w:tab w:val="clear" w:pos="2835"/>
              </w:tabs>
              <w:spacing w:before="40" w:after="40" w:line="220" w:lineRule="exact"/>
              <w:ind w:left="113" w:right="0"/>
              <w:jc w:val="right"/>
              <w:rPr>
                <w:sz w:val="18"/>
              </w:rPr>
            </w:pPr>
            <w:r w:rsidRPr="008A5E67">
              <w:rPr>
                <w:sz w:val="18"/>
              </w:rPr>
              <w:t>50</w:t>
            </w:r>
          </w:p>
        </w:tc>
        <w:tc>
          <w:tcPr>
            <w:tcW w:w="2164" w:type="pct"/>
            <w:tcBorders>
              <w:top w:val="single" w:sz="12" w:space="0" w:color="auto"/>
            </w:tcBorders>
            <w:shd w:val="clear" w:color="auto" w:fill="auto"/>
            <w:vAlign w:val="bottom"/>
          </w:tcPr>
          <w:p w14:paraId="7650FC32" w14:textId="77777777" w:rsidR="008A5E67" w:rsidRPr="008A5E67" w:rsidRDefault="008A5E67" w:rsidP="00F63F63">
            <w:pPr>
              <w:pStyle w:val="SingleTxtG"/>
              <w:keepNext/>
              <w:tabs>
                <w:tab w:val="clear" w:pos="1701"/>
                <w:tab w:val="clear" w:pos="2268"/>
                <w:tab w:val="clear" w:pos="2835"/>
              </w:tabs>
              <w:spacing w:before="40" w:after="40" w:line="220" w:lineRule="exact"/>
              <w:ind w:left="113" w:right="0"/>
              <w:jc w:val="right"/>
              <w:rPr>
                <w:bCs/>
                <w:sz w:val="18"/>
              </w:rPr>
            </w:pPr>
            <w:r w:rsidRPr="008A5E67">
              <w:rPr>
                <w:sz w:val="18"/>
              </w:rPr>
              <w:t>n. d.</w:t>
            </w:r>
          </w:p>
        </w:tc>
      </w:tr>
      <w:tr w:rsidR="00C262CE" w:rsidRPr="008A5E67" w14:paraId="2FDD1F7E" w14:textId="77777777" w:rsidTr="00C262CE">
        <w:trPr>
          <w:trHeight w:val="240"/>
        </w:trPr>
        <w:tc>
          <w:tcPr>
            <w:tcW w:w="674" w:type="pct"/>
            <w:shd w:val="clear" w:color="auto" w:fill="auto"/>
          </w:tcPr>
          <w:p w14:paraId="2CE5EC4C" w14:textId="77777777" w:rsidR="008A5E67" w:rsidRPr="008A5E67" w:rsidRDefault="008A5E67" w:rsidP="00F63F63">
            <w:pPr>
              <w:pStyle w:val="SingleTxtG"/>
              <w:keepNext/>
              <w:tabs>
                <w:tab w:val="clear" w:pos="1701"/>
                <w:tab w:val="clear" w:pos="2268"/>
                <w:tab w:val="clear" w:pos="2835"/>
              </w:tabs>
              <w:spacing w:before="40" w:after="40" w:line="220" w:lineRule="exact"/>
              <w:ind w:left="0" w:right="0"/>
              <w:jc w:val="left"/>
              <w:rPr>
                <w:bCs/>
                <w:sz w:val="18"/>
              </w:rPr>
            </w:pPr>
            <w:r w:rsidRPr="008A5E67">
              <w:rPr>
                <w:sz w:val="18"/>
              </w:rPr>
              <w:t>2006</w:t>
            </w:r>
          </w:p>
        </w:tc>
        <w:tc>
          <w:tcPr>
            <w:tcW w:w="2163" w:type="pct"/>
            <w:shd w:val="clear" w:color="auto" w:fill="auto"/>
            <w:vAlign w:val="bottom"/>
          </w:tcPr>
          <w:p w14:paraId="0BA6EFA3" w14:textId="77777777" w:rsidR="008A5E67" w:rsidRPr="008A5E67" w:rsidRDefault="008A5E67" w:rsidP="00F63F63">
            <w:pPr>
              <w:pStyle w:val="SingleTxtG"/>
              <w:keepNext/>
              <w:tabs>
                <w:tab w:val="clear" w:pos="1701"/>
                <w:tab w:val="clear" w:pos="2268"/>
                <w:tab w:val="clear" w:pos="2835"/>
              </w:tabs>
              <w:spacing w:before="40" w:after="40" w:line="220" w:lineRule="exact"/>
              <w:ind w:left="113" w:right="0"/>
              <w:jc w:val="right"/>
              <w:rPr>
                <w:sz w:val="18"/>
              </w:rPr>
            </w:pPr>
            <w:r w:rsidRPr="008A5E67">
              <w:rPr>
                <w:sz w:val="18"/>
              </w:rPr>
              <w:t>51</w:t>
            </w:r>
          </w:p>
        </w:tc>
        <w:tc>
          <w:tcPr>
            <w:tcW w:w="2164" w:type="pct"/>
            <w:shd w:val="clear" w:color="auto" w:fill="auto"/>
            <w:vAlign w:val="bottom"/>
          </w:tcPr>
          <w:p w14:paraId="1E43F365" w14:textId="77777777" w:rsidR="008A5E67" w:rsidRPr="008A5E67" w:rsidRDefault="008A5E67" w:rsidP="00F63F63">
            <w:pPr>
              <w:pStyle w:val="SingleTxtG"/>
              <w:keepNext/>
              <w:tabs>
                <w:tab w:val="clear" w:pos="1701"/>
                <w:tab w:val="clear" w:pos="2268"/>
                <w:tab w:val="clear" w:pos="2835"/>
              </w:tabs>
              <w:spacing w:before="40" w:after="40" w:line="220" w:lineRule="exact"/>
              <w:ind w:left="113" w:right="0"/>
              <w:jc w:val="right"/>
              <w:rPr>
                <w:bCs/>
                <w:sz w:val="18"/>
              </w:rPr>
            </w:pPr>
            <w:r w:rsidRPr="008A5E67">
              <w:rPr>
                <w:sz w:val="18"/>
              </w:rPr>
              <w:t>76</w:t>
            </w:r>
          </w:p>
        </w:tc>
      </w:tr>
      <w:tr w:rsidR="00C262CE" w:rsidRPr="008A5E67" w14:paraId="3AEF803E" w14:textId="77777777" w:rsidTr="00C262CE">
        <w:trPr>
          <w:trHeight w:val="240"/>
        </w:trPr>
        <w:tc>
          <w:tcPr>
            <w:tcW w:w="674" w:type="pct"/>
            <w:shd w:val="clear" w:color="auto" w:fill="auto"/>
          </w:tcPr>
          <w:p w14:paraId="510DE848" w14:textId="77777777" w:rsidR="008A5E67" w:rsidRPr="008A5E67" w:rsidRDefault="008A5E67" w:rsidP="00C262CE">
            <w:pPr>
              <w:pStyle w:val="SingleTxtG"/>
              <w:tabs>
                <w:tab w:val="clear" w:pos="1701"/>
                <w:tab w:val="clear" w:pos="2268"/>
                <w:tab w:val="clear" w:pos="2835"/>
              </w:tabs>
              <w:spacing w:before="40" w:after="40" w:line="220" w:lineRule="exact"/>
              <w:ind w:left="0" w:right="0"/>
              <w:jc w:val="left"/>
              <w:rPr>
                <w:bCs/>
                <w:sz w:val="18"/>
              </w:rPr>
            </w:pPr>
            <w:r w:rsidRPr="008A5E67">
              <w:rPr>
                <w:sz w:val="18"/>
              </w:rPr>
              <w:t>2007</w:t>
            </w:r>
          </w:p>
        </w:tc>
        <w:tc>
          <w:tcPr>
            <w:tcW w:w="2163" w:type="pct"/>
            <w:shd w:val="clear" w:color="auto" w:fill="auto"/>
            <w:vAlign w:val="bottom"/>
          </w:tcPr>
          <w:p w14:paraId="1D950540"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58</w:t>
            </w:r>
          </w:p>
        </w:tc>
        <w:tc>
          <w:tcPr>
            <w:tcW w:w="2164" w:type="pct"/>
            <w:shd w:val="clear" w:color="auto" w:fill="auto"/>
            <w:vAlign w:val="bottom"/>
          </w:tcPr>
          <w:p w14:paraId="78F71BB9"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bCs/>
                <w:sz w:val="18"/>
              </w:rPr>
            </w:pPr>
            <w:r w:rsidRPr="008A5E67">
              <w:rPr>
                <w:sz w:val="18"/>
              </w:rPr>
              <w:t>79</w:t>
            </w:r>
          </w:p>
        </w:tc>
      </w:tr>
      <w:tr w:rsidR="00C262CE" w:rsidRPr="008A5E67" w14:paraId="6B81D89A" w14:textId="77777777" w:rsidTr="00C262CE">
        <w:trPr>
          <w:trHeight w:val="240"/>
        </w:trPr>
        <w:tc>
          <w:tcPr>
            <w:tcW w:w="674" w:type="pct"/>
            <w:shd w:val="clear" w:color="auto" w:fill="auto"/>
          </w:tcPr>
          <w:p w14:paraId="1117A411" w14:textId="77777777" w:rsidR="008A5E67" w:rsidRPr="008A5E67" w:rsidRDefault="008A5E67" w:rsidP="00C262CE">
            <w:pPr>
              <w:pStyle w:val="SingleTxtG"/>
              <w:tabs>
                <w:tab w:val="clear" w:pos="1701"/>
                <w:tab w:val="clear" w:pos="2268"/>
                <w:tab w:val="clear" w:pos="2835"/>
              </w:tabs>
              <w:spacing w:before="40" w:after="40" w:line="220" w:lineRule="exact"/>
              <w:ind w:left="0" w:right="0"/>
              <w:jc w:val="left"/>
              <w:rPr>
                <w:bCs/>
                <w:sz w:val="18"/>
              </w:rPr>
            </w:pPr>
            <w:r w:rsidRPr="008A5E67">
              <w:rPr>
                <w:sz w:val="18"/>
              </w:rPr>
              <w:t>2008</w:t>
            </w:r>
          </w:p>
        </w:tc>
        <w:tc>
          <w:tcPr>
            <w:tcW w:w="2163" w:type="pct"/>
            <w:shd w:val="clear" w:color="auto" w:fill="auto"/>
            <w:vAlign w:val="bottom"/>
          </w:tcPr>
          <w:p w14:paraId="52FDD5F9"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58</w:t>
            </w:r>
          </w:p>
        </w:tc>
        <w:tc>
          <w:tcPr>
            <w:tcW w:w="2164" w:type="pct"/>
            <w:shd w:val="clear" w:color="auto" w:fill="auto"/>
            <w:vAlign w:val="bottom"/>
          </w:tcPr>
          <w:p w14:paraId="6F069B54"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bCs/>
                <w:sz w:val="18"/>
              </w:rPr>
            </w:pPr>
            <w:r w:rsidRPr="008A5E67">
              <w:rPr>
                <w:sz w:val="18"/>
              </w:rPr>
              <w:t>80</w:t>
            </w:r>
          </w:p>
        </w:tc>
      </w:tr>
      <w:tr w:rsidR="00C262CE" w:rsidRPr="008A5E67" w14:paraId="6223F21A" w14:textId="77777777" w:rsidTr="00C262CE">
        <w:trPr>
          <w:trHeight w:val="240"/>
        </w:trPr>
        <w:tc>
          <w:tcPr>
            <w:tcW w:w="674" w:type="pct"/>
            <w:shd w:val="clear" w:color="auto" w:fill="auto"/>
          </w:tcPr>
          <w:p w14:paraId="6F5F8C25" w14:textId="77777777" w:rsidR="008A5E67" w:rsidRPr="008A5E67" w:rsidRDefault="008A5E67" w:rsidP="00C262CE">
            <w:pPr>
              <w:pStyle w:val="SingleTxtG"/>
              <w:tabs>
                <w:tab w:val="clear" w:pos="1701"/>
                <w:tab w:val="clear" w:pos="2268"/>
                <w:tab w:val="clear" w:pos="2835"/>
              </w:tabs>
              <w:spacing w:before="40" w:after="40" w:line="220" w:lineRule="exact"/>
              <w:ind w:left="0" w:right="0"/>
              <w:jc w:val="left"/>
              <w:rPr>
                <w:bCs/>
                <w:sz w:val="18"/>
              </w:rPr>
            </w:pPr>
            <w:r w:rsidRPr="008A5E67">
              <w:rPr>
                <w:sz w:val="18"/>
              </w:rPr>
              <w:t>2009</w:t>
            </w:r>
          </w:p>
        </w:tc>
        <w:tc>
          <w:tcPr>
            <w:tcW w:w="2163" w:type="pct"/>
            <w:shd w:val="clear" w:color="auto" w:fill="auto"/>
            <w:vAlign w:val="bottom"/>
          </w:tcPr>
          <w:p w14:paraId="3F905F8D"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57</w:t>
            </w:r>
          </w:p>
        </w:tc>
        <w:tc>
          <w:tcPr>
            <w:tcW w:w="2164" w:type="pct"/>
            <w:shd w:val="clear" w:color="auto" w:fill="auto"/>
            <w:vAlign w:val="bottom"/>
          </w:tcPr>
          <w:p w14:paraId="20AE84A8"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bCs/>
                <w:sz w:val="18"/>
              </w:rPr>
            </w:pPr>
            <w:r w:rsidRPr="008A5E67">
              <w:rPr>
                <w:sz w:val="18"/>
              </w:rPr>
              <w:t>88</w:t>
            </w:r>
          </w:p>
        </w:tc>
      </w:tr>
      <w:tr w:rsidR="00C262CE" w:rsidRPr="008A5E67" w14:paraId="65816995" w14:textId="77777777" w:rsidTr="00C262CE">
        <w:trPr>
          <w:trHeight w:val="240"/>
        </w:trPr>
        <w:tc>
          <w:tcPr>
            <w:tcW w:w="674" w:type="pct"/>
            <w:shd w:val="clear" w:color="auto" w:fill="auto"/>
          </w:tcPr>
          <w:p w14:paraId="180BBDD1" w14:textId="77777777" w:rsidR="008A5E67" w:rsidRPr="008A5E67" w:rsidRDefault="008A5E67" w:rsidP="00C262CE">
            <w:pPr>
              <w:pStyle w:val="SingleTxtG"/>
              <w:tabs>
                <w:tab w:val="clear" w:pos="1701"/>
                <w:tab w:val="clear" w:pos="2268"/>
                <w:tab w:val="clear" w:pos="2835"/>
              </w:tabs>
              <w:spacing w:before="40" w:after="40" w:line="220" w:lineRule="exact"/>
              <w:ind w:left="0" w:right="0"/>
              <w:jc w:val="left"/>
              <w:rPr>
                <w:bCs/>
                <w:sz w:val="18"/>
              </w:rPr>
            </w:pPr>
            <w:r w:rsidRPr="008A5E67">
              <w:rPr>
                <w:sz w:val="18"/>
              </w:rPr>
              <w:t>2010</w:t>
            </w:r>
          </w:p>
        </w:tc>
        <w:tc>
          <w:tcPr>
            <w:tcW w:w="2163" w:type="pct"/>
            <w:shd w:val="clear" w:color="auto" w:fill="auto"/>
            <w:vAlign w:val="bottom"/>
          </w:tcPr>
          <w:p w14:paraId="157DC3C2"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58</w:t>
            </w:r>
          </w:p>
        </w:tc>
        <w:tc>
          <w:tcPr>
            <w:tcW w:w="2164" w:type="pct"/>
            <w:shd w:val="clear" w:color="auto" w:fill="auto"/>
            <w:vAlign w:val="bottom"/>
          </w:tcPr>
          <w:p w14:paraId="14CBB23C"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bCs/>
                <w:sz w:val="18"/>
              </w:rPr>
            </w:pPr>
            <w:r w:rsidRPr="008A5E67">
              <w:rPr>
                <w:sz w:val="18"/>
              </w:rPr>
              <w:t>89</w:t>
            </w:r>
          </w:p>
        </w:tc>
      </w:tr>
      <w:tr w:rsidR="00C262CE" w:rsidRPr="008A5E67" w14:paraId="1869AC54" w14:textId="77777777" w:rsidTr="00C262CE">
        <w:trPr>
          <w:trHeight w:val="240"/>
        </w:trPr>
        <w:tc>
          <w:tcPr>
            <w:tcW w:w="674" w:type="pct"/>
            <w:shd w:val="clear" w:color="auto" w:fill="auto"/>
          </w:tcPr>
          <w:p w14:paraId="30BC6567" w14:textId="77777777" w:rsidR="008A5E67" w:rsidRPr="008A5E67" w:rsidRDefault="008A5E67" w:rsidP="00C262CE">
            <w:pPr>
              <w:pStyle w:val="SingleTxtG"/>
              <w:tabs>
                <w:tab w:val="clear" w:pos="1701"/>
                <w:tab w:val="clear" w:pos="2268"/>
                <w:tab w:val="clear" w:pos="2835"/>
              </w:tabs>
              <w:spacing w:before="40" w:after="40" w:line="220" w:lineRule="exact"/>
              <w:ind w:left="0" w:right="0"/>
              <w:jc w:val="left"/>
              <w:rPr>
                <w:bCs/>
                <w:sz w:val="18"/>
              </w:rPr>
            </w:pPr>
            <w:r w:rsidRPr="008A5E67">
              <w:rPr>
                <w:sz w:val="18"/>
              </w:rPr>
              <w:t>2011</w:t>
            </w:r>
          </w:p>
        </w:tc>
        <w:tc>
          <w:tcPr>
            <w:tcW w:w="2163" w:type="pct"/>
            <w:shd w:val="clear" w:color="auto" w:fill="auto"/>
            <w:vAlign w:val="bottom"/>
          </w:tcPr>
          <w:p w14:paraId="468AE5F4"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59</w:t>
            </w:r>
          </w:p>
        </w:tc>
        <w:tc>
          <w:tcPr>
            <w:tcW w:w="2164" w:type="pct"/>
            <w:shd w:val="clear" w:color="auto" w:fill="auto"/>
            <w:vAlign w:val="bottom"/>
          </w:tcPr>
          <w:p w14:paraId="59A48AB2"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bCs/>
                <w:sz w:val="18"/>
              </w:rPr>
            </w:pPr>
            <w:r w:rsidRPr="008A5E67">
              <w:rPr>
                <w:sz w:val="18"/>
              </w:rPr>
              <w:t>90</w:t>
            </w:r>
          </w:p>
        </w:tc>
      </w:tr>
      <w:tr w:rsidR="00C262CE" w:rsidRPr="008A5E67" w14:paraId="4C0DAED5" w14:textId="77777777" w:rsidTr="00C262CE">
        <w:trPr>
          <w:trHeight w:val="240"/>
        </w:trPr>
        <w:tc>
          <w:tcPr>
            <w:tcW w:w="674" w:type="pct"/>
            <w:tcBorders>
              <w:bottom w:val="single" w:sz="12" w:space="0" w:color="auto"/>
            </w:tcBorders>
            <w:shd w:val="clear" w:color="auto" w:fill="auto"/>
          </w:tcPr>
          <w:p w14:paraId="2904C7F1" w14:textId="77777777" w:rsidR="008A5E67" w:rsidRPr="008A5E67" w:rsidRDefault="008A5E67" w:rsidP="00C262CE">
            <w:pPr>
              <w:pStyle w:val="SingleTxtG"/>
              <w:tabs>
                <w:tab w:val="clear" w:pos="1701"/>
                <w:tab w:val="clear" w:pos="2268"/>
                <w:tab w:val="clear" w:pos="2835"/>
              </w:tabs>
              <w:spacing w:before="40" w:after="40" w:line="220" w:lineRule="exact"/>
              <w:ind w:left="0" w:right="0"/>
              <w:jc w:val="left"/>
              <w:rPr>
                <w:bCs/>
                <w:sz w:val="18"/>
              </w:rPr>
            </w:pPr>
            <w:r w:rsidRPr="008A5E67">
              <w:rPr>
                <w:sz w:val="18"/>
              </w:rPr>
              <w:t>2012</w:t>
            </w:r>
          </w:p>
        </w:tc>
        <w:tc>
          <w:tcPr>
            <w:tcW w:w="2163" w:type="pct"/>
            <w:tcBorders>
              <w:bottom w:val="single" w:sz="12" w:space="0" w:color="auto"/>
            </w:tcBorders>
            <w:shd w:val="clear" w:color="auto" w:fill="auto"/>
            <w:vAlign w:val="bottom"/>
          </w:tcPr>
          <w:p w14:paraId="37772F95"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bCs/>
                <w:sz w:val="18"/>
              </w:rPr>
            </w:pPr>
            <w:r w:rsidRPr="008A5E67">
              <w:rPr>
                <w:sz w:val="18"/>
              </w:rPr>
              <w:t>56</w:t>
            </w:r>
          </w:p>
        </w:tc>
        <w:tc>
          <w:tcPr>
            <w:tcW w:w="2164" w:type="pct"/>
            <w:tcBorders>
              <w:bottom w:val="single" w:sz="12" w:space="0" w:color="auto"/>
            </w:tcBorders>
            <w:shd w:val="clear" w:color="auto" w:fill="auto"/>
            <w:vAlign w:val="bottom"/>
          </w:tcPr>
          <w:p w14:paraId="72694875"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bCs/>
                <w:sz w:val="18"/>
              </w:rPr>
            </w:pPr>
            <w:r w:rsidRPr="008A5E67">
              <w:rPr>
                <w:sz w:val="18"/>
              </w:rPr>
              <w:t>85</w:t>
            </w:r>
          </w:p>
        </w:tc>
      </w:tr>
    </w:tbl>
    <w:p w14:paraId="43F904CF" w14:textId="77777777" w:rsidR="008A5E67" w:rsidRPr="008A5E67" w:rsidRDefault="008A5E67" w:rsidP="00AE189C">
      <w:pPr>
        <w:pStyle w:val="SingleTxtG"/>
        <w:spacing w:before="120" w:after="240"/>
        <w:ind w:firstLine="170"/>
        <w:jc w:val="left"/>
        <w:rPr>
          <w:sz w:val="18"/>
          <w:szCs w:val="18"/>
        </w:rPr>
      </w:pPr>
      <w:r w:rsidRPr="008A5E67">
        <w:rPr>
          <w:i/>
          <w:iCs/>
          <w:sz w:val="18"/>
          <w:szCs w:val="18"/>
        </w:rPr>
        <w:t>Fuente</w:t>
      </w:r>
      <w:r w:rsidRPr="008A5E67">
        <w:rPr>
          <w:i/>
          <w:sz w:val="18"/>
          <w:szCs w:val="18"/>
        </w:rPr>
        <w:t>:</w:t>
      </w:r>
      <w:r w:rsidRPr="008A5E67">
        <w:rPr>
          <w:sz w:val="18"/>
          <w:szCs w:val="18"/>
        </w:rPr>
        <w:t xml:space="preserve"> Dirección Nacional </w:t>
      </w:r>
      <w:r w:rsidRPr="008A5E67">
        <w:rPr>
          <w:sz w:val="16"/>
          <w:szCs w:val="16"/>
          <w:lang w:val="fr-FR"/>
        </w:rPr>
        <w:t>de</w:t>
      </w:r>
      <w:r w:rsidRPr="008A5E67">
        <w:rPr>
          <w:sz w:val="18"/>
          <w:szCs w:val="18"/>
        </w:rPr>
        <w:t xml:space="preserve"> Salud, </w:t>
      </w:r>
      <w:proofErr w:type="spellStart"/>
      <w:r w:rsidRPr="008A5E67">
        <w:rPr>
          <w:i/>
          <w:iCs/>
          <w:sz w:val="18"/>
          <w:szCs w:val="18"/>
        </w:rPr>
        <w:t>Annuaire</w:t>
      </w:r>
      <w:proofErr w:type="spellEnd"/>
      <w:r w:rsidRPr="008A5E67">
        <w:rPr>
          <w:i/>
          <w:iCs/>
          <w:sz w:val="18"/>
          <w:szCs w:val="18"/>
        </w:rPr>
        <w:t xml:space="preserve"> </w:t>
      </w:r>
      <w:proofErr w:type="spellStart"/>
      <w:r w:rsidRPr="008A5E67">
        <w:rPr>
          <w:i/>
          <w:iCs/>
          <w:sz w:val="18"/>
          <w:szCs w:val="18"/>
        </w:rPr>
        <w:t>statistique</w:t>
      </w:r>
      <w:proofErr w:type="spellEnd"/>
      <w:r w:rsidRPr="008A5E67">
        <w:rPr>
          <w:i/>
          <w:iCs/>
          <w:sz w:val="18"/>
          <w:szCs w:val="18"/>
        </w:rPr>
        <w:t>,</w:t>
      </w:r>
      <w:r w:rsidRPr="008A5E67">
        <w:rPr>
          <w:sz w:val="18"/>
          <w:szCs w:val="18"/>
        </w:rPr>
        <w:t xml:space="preserve"> </w:t>
      </w:r>
      <w:proofErr w:type="spellStart"/>
      <w:r w:rsidRPr="008A5E67">
        <w:rPr>
          <w:sz w:val="18"/>
          <w:szCs w:val="18"/>
        </w:rPr>
        <w:t>SLIS</w:t>
      </w:r>
      <w:proofErr w:type="spellEnd"/>
      <w:r w:rsidRPr="008A5E67">
        <w:rPr>
          <w:sz w:val="18"/>
          <w:szCs w:val="18"/>
        </w:rPr>
        <w:t xml:space="preserve"> 2012.</w:t>
      </w:r>
    </w:p>
    <w:p w14:paraId="433A5476" w14:textId="35056B35" w:rsidR="008A5E67" w:rsidRPr="008A5E67" w:rsidRDefault="008A5E67" w:rsidP="008A5E67">
      <w:pPr>
        <w:pStyle w:val="SingleTxtG"/>
        <w:rPr>
          <w:bCs/>
        </w:rPr>
      </w:pPr>
      <w:r w:rsidRPr="008A5E67">
        <w:t>107.</w:t>
      </w:r>
      <w:r w:rsidRPr="008A5E67">
        <w:tab/>
        <w:t>La tasa de accesibilidad de la población a los centros de salud comunitarios pasó del</w:t>
      </w:r>
      <w:r w:rsidR="00C54E0E">
        <w:t> </w:t>
      </w:r>
      <w:r w:rsidRPr="008A5E67">
        <w:t>50 % en 2005 al 56 % en 2012 para un radio de 5 km y del 76 % en 2006 al 85 % en 2012 para un radio de 15 km.</w:t>
      </w:r>
    </w:p>
    <w:p w14:paraId="2FC715D9" w14:textId="77777777" w:rsidR="008A5E67" w:rsidRPr="008A5E67" w:rsidRDefault="008A5E67" w:rsidP="00C262CE">
      <w:pPr>
        <w:pStyle w:val="H56G"/>
      </w:pPr>
      <w:r w:rsidRPr="008A5E67">
        <w:tab/>
      </w:r>
      <w:r w:rsidRPr="008A5E67">
        <w:tab/>
        <w:t>Mejora del rendimiento del sistema de salud</w:t>
      </w:r>
    </w:p>
    <w:p w14:paraId="039DFDA7" w14:textId="20D0F482" w:rsidR="008A5E67" w:rsidRPr="008A5E67" w:rsidRDefault="008A5E67" w:rsidP="008A5E67">
      <w:pPr>
        <w:pStyle w:val="SingleTxtG"/>
        <w:rPr>
          <w:bCs/>
        </w:rPr>
      </w:pPr>
      <w:r w:rsidRPr="008A5E67">
        <w:t>108.</w:t>
      </w:r>
      <w:r w:rsidRPr="008A5E67">
        <w:tab/>
        <w:t xml:space="preserve">La actualización del sistema de derivación se ha llevado a cabo en casi todos los centros de salud de referencia. La prestación de atención obstétrica de urgencia sirvió para impulsar la mejora de la eficacia del sistema de derivación. Se ha producido un aumento significativo de la tasa de partos por cesárea, que pasó de menos del 1 % a finales de los años </w:t>
      </w:r>
      <w:r w:rsidR="00DC4C43">
        <w:t>noventa</w:t>
      </w:r>
      <w:r w:rsidRPr="008A5E67">
        <w:t xml:space="preserve"> al 2,4 % en 2012. </w:t>
      </w:r>
    </w:p>
    <w:p w14:paraId="4E8B1BDF" w14:textId="0774C58D" w:rsidR="008A5E67" w:rsidRPr="008A5E67" w:rsidRDefault="008A5E67" w:rsidP="00C54E0E">
      <w:pPr>
        <w:pStyle w:val="SingleTxtG"/>
        <w:ind w:left="0"/>
        <w:jc w:val="left"/>
        <w:rPr>
          <w:sz w:val="16"/>
          <w:szCs w:val="16"/>
        </w:rPr>
      </w:pPr>
      <w:bookmarkStart w:id="170" w:name="_Toc386807820"/>
      <w:bookmarkStart w:id="171" w:name="_Toc414372933"/>
      <w:bookmarkStart w:id="172" w:name="_Toc414373162"/>
      <w:bookmarkStart w:id="173" w:name="_Toc414377658"/>
      <w:r w:rsidRPr="008A5E67">
        <w:t>Cuadro 5</w:t>
      </w:r>
      <w:r w:rsidR="00C262CE">
        <w:br/>
      </w:r>
      <w:r w:rsidRPr="008A5E67">
        <w:rPr>
          <w:b/>
          <w:bCs/>
        </w:rPr>
        <w:t xml:space="preserve">Causas de la defunción materna después de practicarse una cesárea, de 2006 a 2012 </w:t>
      </w:r>
      <w:r w:rsidR="00C262CE">
        <w:rPr>
          <w:b/>
          <w:bCs/>
        </w:rPr>
        <w:br/>
      </w:r>
      <w:r w:rsidRPr="008A5E67">
        <w:rPr>
          <w:sz w:val="16"/>
          <w:szCs w:val="16"/>
        </w:rPr>
        <w:t>(</w:t>
      </w:r>
      <w:r w:rsidR="00C262CE" w:rsidRPr="00C262CE">
        <w:rPr>
          <w:sz w:val="16"/>
          <w:szCs w:val="16"/>
        </w:rPr>
        <w:t>E</w:t>
      </w:r>
      <w:r w:rsidRPr="008A5E67">
        <w:rPr>
          <w:sz w:val="16"/>
          <w:szCs w:val="16"/>
        </w:rPr>
        <w:t xml:space="preserve">n número y </w:t>
      </w:r>
      <w:bookmarkEnd w:id="170"/>
      <w:bookmarkEnd w:id="171"/>
      <w:bookmarkEnd w:id="172"/>
      <w:bookmarkEnd w:id="173"/>
      <w:r w:rsidRPr="008A5E67">
        <w:rPr>
          <w:sz w:val="16"/>
          <w:szCs w:val="16"/>
        </w:rPr>
        <w:t>porcentaje)</w:t>
      </w:r>
    </w:p>
    <w:tbl>
      <w:tblPr>
        <w:tblStyle w:val="Tablaconcuadrcula"/>
        <w:tblW w:w="5000" w:type="pct"/>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18"/>
        <w:gridCol w:w="709"/>
        <w:gridCol w:w="707"/>
        <w:gridCol w:w="567"/>
        <w:gridCol w:w="426"/>
        <w:gridCol w:w="569"/>
        <w:gridCol w:w="428"/>
        <w:gridCol w:w="709"/>
        <w:gridCol w:w="424"/>
        <w:gridCol w:w="569"/>
        <w:gridCol w:w="424"/>
        <w:gridCol w:w="567"/>
        <w:gridCol w:w="428"/>
        <w:gridCol w:w="706"/>
        <w:gridCol w:w="430"/>
        <w:gridCol w:w="557"/>
      </w:tblGrid>
      <w:tr w:rsidR="00C54E0E" w:rsidRPr="00C262CE" w14:paraId="6CA267F6" w14:textId="77777777" w:rsidTr="00BC1ADB">
        <w:trPr>
          <w:trHeight w:val="240"/>
        </w:trPr>
        <w:tc>
          <w:tcPr>
            <w:tcW w:w="736" w:type="pct"/>
            <w:tcBorders>
              <w:top w:val="single" w:sz="4" w:space="0" w:color="auto"/>
              <w:bottom w:val="single" w:sz="4" w:space="0" w:color="auto"/>
              <w:right w:val="single" w:sz="18" w:space="0" w:color="FFFFFF" w:themeColor="background1"/>
            </w:tcBorders>
            <w:shd w:val="clear" w:color="auto" w:fill="auto"/>
            <w:vAlign w:val="bottom"/>
          </w:tcPr>
          <w:p w14:paraId="29759FA4" w14:textId="2336784D" w:rsidR="00C54E0E" w:rsidRPr="008A5E67" w:rsidRDefault="00C54E0E" w:rsidP="007C2B1A">
            <w:pPr>
              <w:pStyle w:val="SingleTxtG"/>
              <w:tabs>
                <w:tab w:val="clear" w:pos="1701"/>
                <w:tab w:val="clear" w:pos="2268"/>
                <w:tab w:val="clear" w:pos="2835"/>
              </w:tabs>
              <w:spacing w:before="80" w:after="80" w:line="200" w:lineRule="exact"/>
              <w:ind w:left="0" w:right="0"/>
              <w:jc w:val="left"/>
              <w:rPr>
                <w:i/>
                <w:iCs/>
                <w:sz w:val="16"/>
              </w:rPr>
            </w:pPr>
            <w:r w:rsidRPr="008A5E67">
              <w:rPr>
                <w:i/>
                <w:iCs/>
                <w:sz w:val="16"/>
              </w:rPr>
              <w:t>Causa de la defunción</w:t>
            </w:r>
          </w:p>
        </w:tc>
        <w:tc>
          <w:tcPr>
            <w:tcW w:w="735" w:type="pct"/>
            <w:gridSpan w:val="2"/>
            <w:tcBorders>
              <w:top w:val="single" w:sz="4" w:space="0" w:color="auto"/>
              <w:left w:val="single" w:sz="18" w:space="0" w:color="FFFFFF" w:themeColor="background1"/>
              <w:right w:val="single" w:sz="18" w:space="0" w:color="FFFFFF" w:themeColor="background1"/>
            </w:tcBorders>
            <w:shd w:val="clear" w:color="auto" w:fill="auto"/>
            <w:vAlign w:val="bottom"/>
          </w:tcPr>
          <w:p w14:paraId="083C0618" w14:textId="40239173" w:rsidR="00C54E0E" w:rsidRPr="008A5E67" w:rsidRDefault="00C54E0E" w:rsidP="007C2B1A">
            <w:pPr>
              <w:pStyle w:val="SingleTxtG"/>
              <w:tabs>
                <w:tab w:val="clear" w:pos="1701"/>
                <w:tab w:val="clear" w:pos="2268"/>
                <w:tab w:val="clear" w:pos="2835"/>
              </w:tabs>
              <w:spacing w:before="80" w:after="80" w:line="200" w:lineRule="exact"/>
              <w:ind w:left="0" w:right="0"/>
              <w:jc w:val="center"/>
              <w:rPr>
                <w:i/>
                <w:iCs/>
                <w:sz w:val="16"/>
              </w:rPr>
            </w:pPr>
            <w:r w:rsidRPr="008A5E67">
              <w:rPr>
                <w:i/>
                <w:iCs/>
                <w:sz w:val="16"/>
              </w:rPr>
              <w:t>Eclampsia, complicaciones por hipertensión arterial</w:t>
            </w:r>
          </w:p>
        </w:tc>
        <w:tc>
          <w:tcPr>
            <w:tcW w:w="515" w:type="pct"/>
            <w:gridSpan w:val="2"/>
            <w:tcBorders>
              <w:top w:val="single" w:sz="4" w:space="0" w:color="auto"/>
              <w:left w:val="single" w:sz="18" w:space="0" w:color="FFFFFF" w:themeColor="background1"/>
              <w:right w:val="single" w:sz="18" w:space="0" w:color="FFFFFF" w:themeColor="background1"/>
            </w:tcBorders>
            <w:shd w:val="clear" w:color="auto" w:fill="auto"/>
            <w:vAlign w:val="bottom"/>
          </w:tcPr>
          <w:p w14:paraId="1C160A81" w14:textId="3F860172" w:rsidR="00C54E0E" w:rsidRPr="008A5E67" w:rsidRDefault="00C54E0E" w:rsidP="007C2B1A">
            <w:pPr>
              <w:pStyle w:val="SingleTxtG"/>
              <w:tabs>
                <w:tab w:val="clear" w:pos="1701"/>
                <w:tab w:val="clear" w:pos="2268"/>
                <w:tab w:val="clear" w:pos="2835"/>
              </w:tabs>
              <w:spacing w:before="80" w:after="80" w:line="200" w:lineRule="exact"/>
              <w:ind w:left="0" w:right="0"/>
              <w:jc w:val="center"/>
              <w:rPr>
                <w:i/>
                <w:iCs/>
                <w:sz w:val="16"/>
              </w:rPr>
            </w:pPr>
            <w:r w:rsidRPr="008A5E67">
              <w:rPr>
                <w:i/>
                <w:iCs/>
                <w:sz w:val="16"/>
              </w:rPr>
              <w:t>Hemorragia</w:t>
            </w:r>
          </w:p>
        </w:tc>
        <w:tc>
          <w:tcPr>
            <w:tcW w:w="517" w:type="pct"/>
            <w:gridSpan w:val="2"/>
            <w:tcBorders>
              <w:top w:val="single" w:sz="4" w:space="0" w:color="auto"/>
              <w:left w:val="single" w:sz="18" w:space="0" w:color="FFFFFF" w:themeColor="background1"/>
              <w:right w:val="single" w:sz="18" w:space="0" w:color="FFFFFF" w:themeColor="background1"/>
            </w:tcBorders>
            <w:shd w:val="clear" w:color="auto" w:fill="auto"/>
            <w:vAlign w:val="bottom"/>
          </w:tcPr>
          <w:p w14:paraId="00ADC800" w14:textId="4EF1267B" w:rsidR="00C54E0E" w:rsidRPr="008A5E67" w:rsidRDefault="00C54E0E" w:rsidP="007C2B1A">
            <w:pPr>
              <w:pStyle w:val="SingleTxtG"/>
              <w:tabs>
                <w:tab w:val="clear" w:pos="1701"/>
                <w:tab w:val="clear" w:pos="2268"/>
                <w:tab w:val="clear" w:pos="2835"/>
              </w:tabs>
              <w:spacing w:before="80" w:after="80" w:line="200" w:lineRule="exact"/>
              <w:ind w:left="0" w:right="0"/>
              <w:jc w:val="center"/>
              <w:rPr>
                <w:i/>
                <w:iCs/>
                <w:sz w:val="16"/>
              </w:rPr>
            </w:pPr>
            <w:r w:rsidRPr="008A5E67">
              <w:rPr>
                <w:i/>
                <w:iCs/>
                <w:sz w:val="16"/>
              </w:rPr>
              <w:t>Infecciones</w:t>
            </w:r>
          </w:p>
        </w:tc>
        <w:tc>
          <w:tcPr>
            <w:tcW w:w="588" w:type="pct"/>
            <w:gridSpan w:val="2"/>
            <w:tcBorders>
              <w:top w:val="single" w:sz="4" w:space="0" w:color="auto"/>
              <w:left w:val="single" w:sz="18" w:space="0" w:color="FFFFFF" w:themeColor="background1"/>
              <w:right w:val="single" w:sz="18" w:space="0" w:color="FFFFFF" w:themeColor="background1"/>
            </w:tcBorders>
            <w:shd w:val="clear" w:color="auto" w:fill="auto"/>
            <w:vAlign w:val="bottom"/>
          </w:tcPr>
          <w:p w14:paraId="5BCD46FF" w14:textId="75CECCE7" w:rsidR="00C54E0E" w:rsidRPr="008A5E67" w:rsidRDefault="00C54E0E" w:rsidP="007C2B1A">
            <w:pPr>
              <w:pStyle w:val="SingleTxtG"/>
              <w:tabs>
                <w:tab w:val="clear" w:pos="1701"/>
                <w:tab w:val="clear" w:pos="2268"/>
                <w:tab w:val="clear" w:pos="2835"/>
              </w:tabs>
              <w:spacing w:before="80" w:after="80" w:line="200" w:lineRule="exact"/>
              <w:ind w:left="0" w:right="0"/>
              <w:jc w:val="center"/>
              <w:rPr>
                <w:i/>
                <w:iCs/>
                <w:sz w:val="16"/>
              </w:rPr>
            </w:pPr>
            <w:r w:rsidRPr="008A5E67">
              <w:rPr>
                <w:i/>
                <w:iCs/>
                <w:sz w:val="16"/>
              </w:rPr>
              <w:t>Ruptura uterina</w:t>
            </w:r>
          </w:p>
        </w:tc>
        <w:tc>
          <w:tcPr>
            <w:tcW w:w="515" w:type="pct"/>
            <w:gridSpan w:val="2"/>
            <w:tcBorders>
              <w:top w:val="single" w:sz="4" w:space="0" w:color="auto"/>
              <w:left w:val="single" w:sz="18" w:space="0" w:color="FFFFFF" w:themeColor="background1"/>
              <w:right w:val="single" w:sz="18" w:space="0" w:color="FFFFFF" w:themeColor="background1"/>
            </w:tcBorders>
            <w:shd w:val="clear" w:color="auto" w:fill="auto"/>
            <w:vAlign w:val="bottom"/>
          </w:tcPr>
          <w:p w14:paraId="6D1AE220" w14:textId="3555BF40" w:rsidR="00C54E0E" w:rsidRPr="008A5E67" w:rsidRDefault="00C54E0E" w:rsidP="007C2B1A">
            <w:pPr>
              <w:pStyle w:val="SingleTxtG"/>
              <w:tabs>
                <w:tab w:val="clear" w:pos="1701"/>
                <w:tab w:val="clear" w:pos="2268"/>
                <w:tab w:val="clear" w:pos="2835"/>
              </w:tabs>
              <w:spacing w:before="80" w:after="80" w:line="200" w:lineRule="exact"/>
              <w:ind w:left="0" w:right="0"/>
              <w:jc w:val="center"/>
              <w:rPr>
                <w:i/>
                <w:iCs/>
                <w:sz w:val="16"/>
              </w:rPr>
            </w:pPr>
            <w:r>
              <w:rPr>
                <w:i/>
                <w:iCs/>
                <w:sz w:val="16"/>
              </w:rPr>
              <w:t>Anemia</w:t>
            </w:r>
          </w:p>
        </w:tc>
        <w:tc>
          <w:tcPr>
            <w:tcW w:w="516" w:type="pct"/>
            <w:gridSpan w:val="2"/>
            <w:tcBorders>
              <w:top w:val="single" w:sz="4" w:space="0" w:color="auto"/>
              <w:left w:val="single" w:sz="18" w:space="0" w:color="FFFFFF" w:themeColor="background1"/>
              <w:right w:val="single" w:sz="18" w:space="0" w:color="FFFFFF" w:themeColor="background1"/>
            </w:tcBorders>
            <w:shd w:val="clear" w:color="auto" w:fill="auto"/>
            <w:vAlign w:val="bottom"/>
          </w:tcPr>
          <w:p w14:paraId="3308E6CD" w14:textId="7A2E9F9D" w:rsidR="00C54E0E" w:rsidRPr="008A5E67" w:rsidRDefault="00C54E0E" w:rsidP="007C2B1A">
            <w:pPr>
              <w:pStyle w:val="SingleTxtG"/>
              <w:tabs>
                <w:tab w:val="clear" w:pos="1701"/>
                <w:tab w:val="clear" w:pos="2268"/>
                <w:tab w:val="clear" w:pos="2835"/>
              </w:tabs>
              <w:spacing w:before="80" w:after="80" w:line="200" w:lineRule="exact"/>
              <w:ind w:left="0" w:right="0"/>
              <w:jc w:val="center"/>
              <w:rPr>
                <w:i/>
                <w:iCs/>
                <w:sz w:val="16"/>
              </w:rPr>
            </w:pPr>
            <w:r w:rsidRPr="008A5E67">
              <w:rPr>
                <w:i/>
                <w:iCs/>
                <w:sz w:val="16"/>
              </w:rPr>
              <w:t>Otras</w:t>
            </w:r>
          </w:p>
        </w:tc>
        <w:tc>
          <w:tcPr>
            <w:tcW w:w="589" w:type="pct"/>
            <w:gridSpan w:val="2"/>
            <w:tcBorders>
              <w:top w:val="single" w:sz="4" w:space="0" w:color="auto"/>
              <w:left w:val="single" w:sz="18" w:space="0" w:color="FFFFFF" w:themeColor="background1"/>
            </w:tcBorders>
            <w:shd w:val="clear" w:color="auto" w:fill="auto"/>
            <w:vAlign w:val="bottom"/>
          </w:tcPr>
          <w:p w14:paraId="2F1B91F8" w14:textId="555E3080" w:rsidR="00C54E0E" w:rsidRPr="008A5E67" w:rsidRDefault="00C54E0E" w:rsidP="007C2B1A">
            <w:pPr>
              <w:pStyle w:val="SingleTxtG"/>
              <w:tabs>
                <w:tab w:val="clear" w:pos="1701"/>
                <w:tab w:val="clear" w:pos="2268"/>
                <w:tab w:val="clear" w:pos="2835"/>
              </w:tabs>
              <w:spacing w:before="80" w:after="80" w:line="200" w:lineRule="exact"/>
              <w:ind w:left="0" w:right="0"/>
              <w:jc w:val="center"/>
              <w:rPr>
                <w:i/>
                <w:iCs/>
                <w:sz w:val="16"/>
              </w:rPr>
            </w:pPr>
            <w:r w:rsidRPr="008A5E67">
              <w:rPr>
                <w:i/>
                <w:iCs/>
                <w:sz w:val="16"/>
              </w:rPr>
              <w:t>Desconocida</w:t>
            </w:r>
          </w:p>
        </w:tc>
        <w:tc>
          <w:tcPr>
            <w:tcW w:w="289" w:type="pct"/>
            <w:vMerge w:val="restart"/>
            <w:tcBorders>
              <w:top w:val="single" w:sz="4" w:space="0" w:color="auto"/>
            </w:tcBorders>
            <w:shd w:val="clear" w:color="auto" w:fill="auto"/>
            <w:vAlign w:val="bottom"/>
          </w:tcPr>
          <w:p w14:paraId="4FBBA47E" w14:textId="09A332BC" w:rsidR="00C54E0E" w:rsidRPr="008A5E67" w:rsidRDefault="00C54E0E" w:rsidP="007A513F">
            <w:pPr>
              <w:pStyle w:val="SingleTxtG"/>
              <w:tabs>
                <w:tab w:val="clear" w:pos="1701"/>
                <w:tab w:val="clear" w:pos="2268"/>
                <w:tab w:val="clear" w:pos="2835"/>
              </w:tabs>
              <w:spacing w:before="80" w:after="80" w:line="220" w:lineRule="exact"/>
              <w:ind w:left="0" w:right="0"/>
              <w:jc w:val="right"/>
              <w:rPr>
                <w:bCs/>
                <w:iCs/>
                <w:sz w:val="18"/>
              </w:rPr>
            </w:pPr>
            <w:r w:rsidRPr="008A5E67">
              <w:rPr>
                <w:bCs/>
                <w:i/>
                <w:iCs/>
                <w:sz w:val="16"/>
              </w:rPr>
              <w:t>Tota</w:t>
            </w:r>
            <w:r>
              <w:rPr>
                <w:bCs/>
                <w:i/>
                <w:iCs/>
                <w:sz w:val="16"/>
              </w:rPr>
              <w:t>l</w:t>
            </w:r>
          </w:p>
        </w:tc>
      </w:tr>
      <w:tr w:rsidR="00C54E0E" w:rsidRPr="00C262CE" w14:paraId="02CCFA7E" w14:textId="77777777" w:rsidTr="00BC1ADB">
        <w:trPr>
          <w:trHeight w:val="240"/>
        </w:trPr>
        <w:tc>
          <w:tcPr>
            <w:tcW w:w="736" w:type="pct"/>
            <w:tcBorders>
              <w:top w:val="single" w:sz="4" w:space="0" w:color="auto"/>
              <w:bottom w:val="single" w:sz="12" w:space="0" w:color="auto"/>
              <w:right w:val="single" w:sz="18" w:space="0" w:color="FFFFFF" w:themeColor="background1"/>
            </w:tcBorders>
            <w:shd w:val="clear" w:color="auto" w:fill="auto"/>
            <w:vAlign w:val="bottom"/>
          </w:tcPr>
          <w:p w14:paraId="68CE04E9" w14:textId="77777777" w:rsidR="00C54E0E" w:rsidRPr="008A5E67" w:rsidRDefault="00C54E0E" w:rsidP="007C2B1A">
            <w:pPr>
              <w:pStyle w:val="SingleTxtG"/>
              <w:tabs>
                <w:tab w:val="clear" w:pos="1701"/>
                <w:tab w:val="clear" w:pos="2268"/>
                <w:tab w:val="clear" w:pos="2835"/>
              </w:tabs>
              <w:spacing w:before="80" w:after="80" w:line="200" w:lineRule="exact"/>
              <w:ind w:left="0" w:right="0"/>
              <w:jc w:val="left"/>
              <w:rPr>
                <w:i/>
                <w:iCs/>
                <w:sz w:val="16"/>
              </w:rPr>
            </w:pPr>
            <w:r w:rsidRPr="008A5E67">
              <w:rPr>
                <w:i/>
                <w:iCs/>
                <w:sz w:val="16"/>
              </w:rPr>
              <w:t>Año</w:t>
            </w:r>
          </w:p>
        </w:tc>
        <w:tc>
          <w:tcPr>
            <w:tcW w:w="368" w:type="pct"/>
            <w:tcBorders>
              <w:top w:val="single" w:sz="4" w:space="0" w:color="auto"/>
              <w:left w:val="single" w:sz="18" w:space="0" w:color="FFFFFF" w:themeColor="background1"/>
              <w:bottom w:val="single" w:sz="12" w:space="0" w:color="auto"/>
            </w:tcBorders>
            <w:shd w:val="clear" w:color="auto" w:fill="auto"/>
            <w:vAlign w:val="bottom"/>
          </w:tcPr>
          <w:p w14:paraId="429F40E0" w14:textId="77777777" w:rsidR="00C54E0E" w:rsidRPr="008A5E67" w:rsidRDefault="00C54E0E" w:rsidP="0074605D">
            <w:pPr>
              <w:pStyle w:val="SingleTxtG"/>
              <w:tabs>
                <w:tab w:val="clear" w:pos="1701"/>
                <w:tab w:val="clear" w:pos="2268"/>
                <w:tab w:val="clear" w:pos="2835"/>
              </w:tabs>
              <w:spacing w:before="80" w:after="80" w:line="200" w:lineRule="exact"/>
              <w:ind w:left="113" w:right="0"/>
              <w:jc w:val="right"/>
              <w:rPr>
                <w:i/>
                <w:iCs/>
                <w:sz w:val="16"/>
              </w:rPr>
            </w:pPr>
            <w:r w:rsidRPr="008A5E67">
              <w:rPr>
                <w:i/>
                <w:iCs/>
                <w:sz w:val="16"/>
              </w:rPr>
              <w:t>Casos</w:t>
            </w:r>
          </w:p>
        </w:tc>
        <w:tc>
          <w:tcPr>
            <w:tcW w:w="367" w:type="pct"/>
            <w:tcBorders>
              <w:top w:val="single" w:sz="4" w:space="0" w:color="auto"/>
              <w:bottom w:val="single" w:sz="12" w:space="0" w:color="auto"/>
              <w:right w:val="single" w:sz="18" w:space="0" w:color="FFFFFF" w:themeColor="background1"/>
            </w:tcBorders>
            <w:shd w:val="clear" w:color="auto" w:fill="auto"/>
            <w:vAlign w:val="bottom"/>
          </w:tcPr>
          <w:p w14:paraId="7288B03B" w14:textId="77777777" w:rsidR="00C54E0E" w:rsidRPr="008A5E67" w:rsidRDefault="00C54E0E" w:rsidP="0074605D">
            <w:pPr>
              <w:pStyle w:val="SingleTxtG"/>
              <w:tabs>
                <w:tab w:val="clear" w:pos="1701"/>
                <w:tab w:val="clear" w:pos="2268"/>
                <w:tab w:val="clear" w:pos="2835"/>
              </w:tabs>
              <w:spacing w:before="80" w:after="80" w:line="200" w:lineRule="exact"/>
              <w:ind w:left="113" w:right="0"/>
              <w:jc w:val="right"/>
              <w:rPr>
                <w:i/>
                <w:iCs/>
                <w:sz w:val="16"/>
              </w:rPr>
            </w:pPr>
            <w:r w:rsidRPr="008A5E67">
              <w:rPr>
                <w:i/>
                <w:iCs/>
                <w:sz w:val="16"/>
              </w:rPr>
              <w:t xml:space="preserve"> %</w:t>
            </w:r>
          </w:p>
        </w:tc>
        <w:tc>
          <w:tcPr>
            <w:tcW w:w="294" w:type="pct"/>
            <w:tcBorders>
              <w:top w:val="single" w:sz="4" w:space="0" w:color="auto"/>
              <w:left w:val="single" w:sz="18" w:space="0" w:color="FFFFFF" w:themeColor="background1"/>
              <w:bottom w:val="single" w:sz="12" w:space="0" w:color="auto"/>
            </w:tcBorders>
            <w:shd w:val="clear" w:color="auto" w:fill="auto"/>
            <w:vAlign w:val="bottom"/>
          </w:tcPr>
          <w:p w14:paraId="00DDC5FE" w14:textId="77777777" w:rsidR="00C54E0E" w:rsidRPr="008A5E67" w:rsidRDefault="00C54E0E" w:rsidP="0074605D">
            <w:pPr>
              <w:pStyle w:val="SingleTxtG"/>
              <w:tabs>
                <w:tab w:val="clear" w:pos="1701"/>
                <w:tab w:val="clear" w:pos="2268"/>
                <w:tab w:val="clear" w:pos="2835"/>
              </w:tabs>
              <w:spacing w:before="80" w:after="80" w:line="200" w:lineRule="exact"/>
              <w:ind w:left="113" w:right="0"/>
              <w:jc w:val="right"/>
              <w:rPr>
                <w:i/>
                <w:iCs/>
                <w:sz w:val="16"/>
              </w:rPr>
            </w:pPr>
            <w:r w:rsidRPr="008A5E67">
              <w:rPr>
                <w:i/>
                <w:iCs/>
                <w:sz w:val="16"/>
              </w:rPr>
              <w:t>Casos</w:t>
            </w:r>
          </w:p>
        </w:tc>
        <w:tc>
          <w:tcPr>
            <w:tcW w:w="221" w:type="pct"/>
            <w:tcBorders>
              <w:top w:val="single" w:sz="4" w:space="0" w:color="auto"/>
              <w:bottom w:val="single" w:sz="12" w:space="0" w:color="auto"/>
              <w:right w:val="single" w:sz="18" w:space="0" w:color="FFFFFF" w:themeColor="background1"/>
            </w:tcBorders>
            <w:shd w:val="clear" w:color="auto" w:fill="auto"/>
            <w:vAlign w:val="bottom"/>
          </w:tcPr>
          <w:p w14:paraId="57014CCE" w14:textId="77777777" w:rsidR="00C54E0E" w:rsidRPr="008A5E67" w:rsidRDefault="00C54E0E" w:rsidP="0074605D">
            <w:pPr>
              <w:pStyle w:val="SingleTxtG"/>
              <w:tabs>
                <w:tab w:val="clear" w:pos="1701"/>
                <w:tab w:val="clear" w:pos="2268"/>
                <w:tab w:val="clear" w:pos="2835"/>
              </w:tabs>
              <w:spacing w:before="80" w:after="80" w:line="200" w:lineRule="exact"/>
              <w:ind w:left="113" w:right="0"/>
              <w:jc w:val="right"/>
              <w:rPr>
                <w:i/>
                <w:iCs/>
                <w:sz w:val="16"/>
              </w:rPr>
            </w:pPr>
            <w:r w:rsidRPr="008A5E67">
              <w:rPr>
                <w:i/>
                <w:iCs/>
                <w:sz w:val="16"/>
              </w:rPr>
              <w:t xml:space="preserve"> %</w:t>
            </w:r>
          </w:p>
        </w:tc>
        <w:tc>
          <w:tcPr>
            <w:tcW w:w="295" w:type="pct"/>
            <w:tcBorders>
              <w:top w:val="single" w:sz="4" w:space="0" w:color="auto"/>
              <w:left w:val="single" w:sz="18" w:space="0" w:color="FFFFFF" w:themeColor="background1"/>
              <w:bottom w:val="single" w:sz="12" w:space="0" w:color="auto"/>
            </w:tcBorders>
            <w:shd w:val="clear" w:color="auto" w:fill="auto"/>
            <w:vAlign w:val="bottom"/>
          </w:tcPr>
          <w:p w14:paraId="67EC6921" w14:textId="77777777" w:rsidR="00C54E0E" w:rsidRPr="008A5E67" w:rsidRDefault="00C54E0E" w:rsidP="0074605D">
            <w:pPr>
              <w:pStyle w:val="SingleTxtG"/>
              <w:tabs>
                <w:tab w:val="clear" w:pos="1701"/>
                <w:tab w:val="clear" w:pos="2268"/>
                <w:tab w:val="clear" w:pos="2835"/>
              </w:tabs>
              <w:spacing w:before="80" w:after="80" w:line="200" w:lineRule="exact"/>
              <w:ind w:left="113" w:right="0"/>
              <w:jc w:val="right"/>
              <w:rPr>
                <w:i/>
                <w:iCs/>
                <w:sz w:val="16"/>
              </w:rPr>
            </w:pPr>
            <w:r w:rsidRPr="008A5E67">
              <w:rPr>
                <w:i/>
                <w:iCs/>
                <w:sz w:val="16"/>
              </w:rPr>
              <w:t>Casos</w:t>
            </w:r>
          </w:p>
        </w:tc>
        <w:tc>
          <w:tcPr>
            <w:tcW w:w="222" w:type="pct"/>
            <w:tcBorders>
              <w:top w:val="single" w:sz="4" w:space="0" w:color="auto"/>
              <w:bottom w:val="single" w:sz="12" w:space="0" w:color="auto"/>
              <w:right w:val="single" w:sz="18" w:space="0" w:color="FFFFFF" w:themeColor="background1"/>
            </w:tcBorders>
            <w:shd w:val="clear" w:color="auto" w:fill="auto"/>
            <w:vAlign w:val="bottom"/>
          </w:tcPr>
          <w:p w14:paraId="738A0AAD" w14:textId="77777777" w:rsidR="00C54E0E" w:rsidRPr="008A5E67" w:rsidRDefault="00C54E0E" w:rsidP="0074605D">
            <w:pPr>
              <w:pStyle w:val="SingleTxtG"/>
              <w:tabs>
                <w:tab w:val="clear" w:pos="1701"/>
                <w:tab w:val="clear" w:pos="2268"/>
                <w:tab w:val="clear" w:pos="2835"/>
              </w:tabs>
              <w:spacing w:before="80" w:after="80" w:line="200" w:lineRule="exact"/>
              <w:ind w:left="113" w:right="0"/>
              <w:jc w:val="right"/>
              <w:rPr>
                <w:i/>
                <w:iCs/>
                <w:sz w:val="16"/>
              </w:rPr>
            </w:pPr>
            <w:r w:rsidRPr="008A5E67">
              <w:rPr>
                <w:i/>
                <w:iCs/>
                <w:sz w:val="16"/>
              </w:rPr>
              <w:t xml:space="preserve"> %</w:t>
            </w:r>
          </w:p>
        </w:tc>
        <w:tc>
          <w:tcPr>
            <w:tcW w:w="368" w:type="pct"/>
            <w:tcBorders>
              <w:top w:val="single" w:sz="4" w:space="0" w:color="auto"/>
              <w:left w:val="single" w:sz="18" w:space="0" w:color="FFFFFF" w:themeColor="background1"/>
              <w:bottom w:val="single" w:sz="12" w:space="0" w:color="auto"/>
            </w:tcBorders>
            <w:shd w:val="clear" w:color="auto" w:fill="auto"/>
            <w:vAlign w:val="bottom"/>
          </w:tcPr>
          <w:p w14:paraId="11C87A13" w14:textId="77777777" w:rsidR="00C54E0E" w:rsidRPr="008A5E67" w:rsidRDefault="00C54E0E" w:rsidP="0074605D">
            <w:pPr>
              <w:pStyle w:val="SingleTxtG"/>
              <w:tabs>
                <w:tab w:val="clear" w:pos="1701"/>
                <w:tab w:val="clear" w:pos="2268"/>
                <w:tab w:val="clear" w:pos="2835"/>
              </w:tabs>
              <w:spacing w:before="80" w:after="80" w:line="200" w:lineRule="exact"/>
              <w:ind w:left="113" w:right="0"/>
              <w:jc w:val="right"/>
              <w:rPr>
                <w:i/>
                <w:iCs/>
                <w:sz w:val="16"/>
              </w:rPr>
            </w:pPr>
            <w:r w:rsidRPr="008A5E67">
              <w:rPr>
                <w:i/>
                <w:iCs/>
                <w:sz w:val="16"/>
              </w:rPr>
              <w:t>Casos</w:t>
            </w:r>
          </w:p>
        </w:tc>
        <w:tc>
          <w:tcPr>
            <w:tcW w:w="220" w:type="pct"/>
            <w:tcBorders>
              <w:top w:val="single" w:sz="4" w:space="0" w:color="auto"/>
              <w:bottom w:val="single" w:sz="12" w:space="0" w:color="auto"/>
              <w:right w:val="single" w:sz="18" w:space="0" w:color="FFFFFF" w:themeColor="background1"/>
            </w:tcBorders>
            <w:shd w:val="clear" w:color="auto" w:fill="auto"/>
            <w:vAlign w:val="bottom"/>
          </w:tcPr>
          <w:p w14:paraId="52FFDBAE" w14:textId="77777777" w:rsidR="00C54E0E" w:rsidRPr="008A5E67" w:rsidRDefault="00C54E0E" w:rsidP="0074605D">
            <w:pPr>
              <w:pStyle w:val="SingleTxtG"/>
              <w:tabs>
                <w:tab w:val="clear" w:pos="1701"/>
                <w:tab w:val="clear" w:pos="2268"/>
                <w:tab w:val="clear" w:pos="2835"/>
              </w:tabs>
              <w:spacing w:before="80" w:after="80" w:line="200" w:lineRule="exact"/>
              <w:ind w:left="113" w:right="0"/>
              <w:jc w:val="right"/>
              <w:rPr>
                <w:i/>
                <w:iCs/>
                <w:sz w:val="16"/>
              </w:rPr>
            </w:pPr>
            <w:r w:rsidRPr="008A5E67">
              <w:rPr>
                <w:i/>
                <w:iCs/>
                <w:sz w:val="16"/>
              </w:rPr>
              <w:t xml:space="preserve"> %</w:t>
            </w:r>
          </w:p>
        </w:tc>
        <w:tc>
          <w:tcPr>
            <w:tcW w:w="295" w:type="pct"/>
            <w:tcBorders>
              <w:top w:val="single" w:sz="4" w:space="0" w:color="auto"/>
              <w:left w:val="single" w:sz="18" w:space="0" w:color="FFFFFF" w:themeColor="background1"/>
              <w:bottom w:val="single" w:sz="12" w:space="0" w:color="auto"/>
            </w:tcBorders>
            <w:shd w:val="clear" w:color="auto" w:fill="auto"/>
            <w:vAlign w:val="bottom"/>
          </w:tcPr>
          <w:p w14:paraId="3C9B8591" w14:textId="77777777" w:rsidR="00C54E0E" w:rsidRPr="008A5E67" w:rsidRDefault="00C54E0E" w:rsidP="0074605D">
            <w:pPr>
              <w:pStyle w:val="SingleTxtG"/>
              <w:tabs>
                <w:tab w:val="clear" w:pos="1701"/>
                <w:tab w:val="clear" w:pos="2268"/>
                <w:tab w:val="clear" w:pos="2835"/>
              </w:tabs>
              <w:spacing w:before="80" w:after="80" w:line="200" w:lineRule="exact"/>
              <w:ind w:left="113" w:right="0"/>
              <w:jc w:val="right"/>
              <w:rPr>
                <w:i/>
                <w:iCs/>
                <w:sz w:val="16"/>
              </w:rPr>
            </w:pPr>
            <w:r w:rsidRPr="008A5E67">
              <w:rPr>
                <w:i/>
                <w:iCs/>
                <w:sz w:val="16"/>
              </w:rPr>
              <w:t>Casos</w:t>
            </w:r>
          </w:p>
        </w:tc>
        <w:tc>
          <w:tcPr>
            <w:tcW w:w="220" w:type="pct"/>
            <w:tcBorders>
              <w:top w:val="single" w:sz="4" w:space="0" w:color="auto"/>
              <w:bottom w:val="single" w:sz="12" w:space="0" w:color="auto"/>
              <w:right w:val="single" w:sz="18" w:space="0" w:color="FFFFFF" w:themeColor="background1"/>
            </w:tcBorders>
            <w:shd w:val="clear" w:color="auto" w:fill="auto"/>
            <w:vAlign w:val="bottom"/>
          </w:tcPr>
          <w:p w14:paraId="355FDFF9" w14:textId="77777777" w:rsidR="00C54E0E" w:rsidRPr="008A5E67" w:rsidRDefault="00C54E0E" w:rsidP="0074605D">
            <w:pPr>
              <w:pStyle w:val="SingleTxtG"/>
              <w:tabs>
                <w:tab w:val="clear" w:pos="1701"/>
                <w:tab w:val="clear" w:pos="2268"/>
                <w:tab w:val="clear" w:pos="2835"/>
              </w:tabs>
              <w:spacing w:before="80" w:after="80" w:line="200" w:lineRule="exact"/>
              <w:ind w:left="113" w:right="0"/>
              <w:jc w:val="right"/>
              <w:rPr>
                <w:i/>
                <w:iCs/>
                <w:sz w:val="16"/>
              </w:rPr>
            </w:pPr>
            <w:r w:rsidRPr="008A5E67">
              <w:rPr>
                <w:i/>
                <w:iCs/>
                <w:sz w:val="16"/>
              </w:rPr>
              <w:t xml:space="preserve"> %</w:t>
            </w:r>
          </w:p>
        </w:tc>
        <w:tc>
          <w:tcPr>
            <w:tcW w:w="294" w:type="pct"/>
            <w:tcBorders>
              <w:top w:val="single" w:sz="4" w:space="0" w:color="auto"/>
              <w:left w:val="single" w:sz="18" w:space="0" w:color="FFFFFF" w:themeColor="background1"/>
              <w:bottom w:val="single" w:sz="12" w:space="0" w:color="auto"/>
            </w:tcBorders>
            <w:shd w:val="clear" w:color="auto" w:fill="auto"/>
            <w:vAlign w:val="bottom"/>
          </w:tcPr>
          <w:p w14:paraId="3A201432" w14:textId="77777777" w:rsidR="00C54E0E" w:rsidRPr="008A5E67" w:rsidRDefault="00C54E0E" w:rsidP="0074605D">
            <w:pPr>
              <w:pStyle w:val="SingleTxtG"/>
              <w:tabs>
                <w:tab w:val="clear" w:pos="1701"/>
                <w:tab w:val="clear" w:pos="2268"/>
                <w:tab w:val="clear" w:pos="2835"/>
              </w:tabs>
              <w:spacing w:before="80" w:after="80" w:line="200" w:lineRule="exact"/>
              <w:ind w:left="113" w:right="0"/>
              <w:jc w:val="right"/>
              <w:rPr>
                <w:i/>
                <w:iCs/>
                <w:sz w:val="16"/>
              </w:rPr>
            </w:pPr>
            <w:r w:rsidRPr="008A5E67">
              <w:rPr>
                <w:i/>
                <w:iCs/>
                <w:sz w:val="16"/>
              </w:rPr>
              <w:t>Casos</w:t>
            </w:r>
          </w:p>
        </w:tc>
        <w:tc>
          <w:tcPr>
            <w:tcW w:w="222" w:type="pct"/>
            <w:tcBorders>
              <w:top w:val="single" w:sz="4" w:space="0" w:color="auto"/>
              <w:bottom w:val="single" w:sz="12" w:space="0" w:color="auto"/>
              <w:right w:val="single" w:sz="18" w:space="0" w:color="FFFFFF" w:themeColor="background1"/>
            </w:tcBorders>
            <w:shd w:val="clear" w:color="auto" w:fill="auto"/>
            <w:vAlign w:val="bottom"/>
          </w:tcPr>
          <w:p w14:paraId="7BB3999A" w14:textId="77777777" w:rsidR="00C54E0E" w:rsidRPr="008A5E67" w:rsidRDefault="00C54E0E" w:rsidP="0074605D">
            <w:pPr>
              <w:pStyle w:val="SingleTxtG"/>
              <w:tabs>
                <w:tab w:val="clear" w:pos="1701"/>
                <w:tab w:val="clear" w:pos="2268"/>
                <w:tab w:val="clear" w:pos="2835"/>
              </w:tabs>
              <w:spacing w:before="80" w:after="80" w:line="200" w:lineRule="exact"/>
              <w:ind w:left="113" w:right="0"/>
              <w:jc w:val="right"/>
              <w:rPr>
                <w:i/>
                <w:iCs/>
                <w:sz w:val="16"/>
              </w:rPr>
            </w:pPr>
            <w:r w:rsidRPr="008A5E67">
              <w:rPr>
                <w:i/>
                <w:iCs/>
                <w:sz w:val="16"/>
              </w:rPr>
              <w:t xml:space="preserve"> %</w:t>
            </w:r>
          </w:p>
        </w:tc>
        <w:tc>
          <w:tcPr>
            <w:tcW w:w="366" w:type="pct"/>
            <w:tcBorders>
              <w:top w:val="single" w:sz="4" w:space="0" w:color="auto"/>
              <w:left w:val="single" w:sz="18" w:space="0" w:color="FFFFFF" w:themeColor="background1"/>
              <w:bottom w:val="single" w:sz="12" w:space="0" w:color="auto"/>
            </w:tcBorders>
            <w:shd w:val="clear" w:color="auto" w:fill="auto"/>
            <w:vAlign w:val="bottom"/>
          </w:tcPr>
          <w:p w14:paraId="3418A82D" w14:textId="77777777" w:rsidR="00C54E0E" w:rsidRPr="008A5E67" w:rsidRDefault="00C54E0E" w:rsidP="0074605D">
            <w:pPr>
              <w:pStyle w:val="SingleTxtG"/>
              <w:tabs>
                <w:tab w:val="clear" w:pos="1701"/>
                <w:tab w:val="clear" w:pos="2268"/>
                <w:tab w:val="clear" w:pos="2835"/>
              </w:tabs>
              <w:spacing w:before="80" w:after="80" w:line="200" w:lineRule="exact"/>
              <w:ind w:left="113" w:right="0"/>
              <w:jc w:val="right"/>
              <w:rPr>
                <w:i/>
                <w:iCs/>
                <w:sz w:val="16"/>
              </w:rPr>
            </w:pPr>
            <w:r w:rsidRPr="008A5E67">
              <w:rPr>
                <w:i/>
                <w:iCs/>
                <w:sz w:val="16"/>
              </w:rPr>
              <w:t>Casos</w:t>
            </w:r>
          </w:p>
        </w:tc>
        <w:tc>
          <w:tcPr>
            <w:tcW w:w="223" w:type="pct"/>
            <w:tcBorders>
              <w:top w:val="single" w:sz="4" w:space="0" w:color="auto"/>
              <w:bottom w:val="single" w:sz="12" w:space="0" w:color="auto"/>
            </w:tcBorders>
            <w:shd w:val="clear" w:color="auto" w:fill="auto"/>
            <w:vAlign w:val="bottom"/>
          </w:tcPr>
          <w:p w14:paraId="30F88A4F" w14:textId="77777777" w:rsidR="00C54E0E" w:rsidRPr="008A5E67" w:rsidRDefault="00C54E0E" w:rsidP="0074605D">
            <w:pPr>
              <w:pStyle w:val="SingleTxtG"/>
              <w:tabs>
                <w:tab w:val="clear" w:pos="1701"/>
                <w:tab w:val="clear" w:pos="2268"/>
                <w:tab w:val="clear" w:pos="2835"/>
              </w:tabs>
              <w:spacing w:before="80" w:after="80" w:line="200" w:lineRule="exact"/>
              <w:ind w:left="113" w:right="0"/>
              <w:jc w:val="right"/>
              <w:rPr>
                <w:i/>
                <w:iCs/>
                <w:sz w:val="16"/>
              </w:rPr>
            </w:pPr>
            <w:r w:rsidRPr="008A5E67">
              <w:rPr>
                <w:i/>
                <w:iCs/>
                <w:sz w:val="16"/>
              </w:rPr>
              <w:t xml:space="preserve"> %</w:t>
            </w:r>
          </w:p>
        </w:tc>
        <w:tc>
          <w:tcPr>
            <w:tcW w:w="289" w:type="pct"/>
            <w:vMerge/>
            <w:tcBorders>
              <w:bottom w:val="single" w:sz="12" w:space="0" w:color="auto"/>
            </w:tcBorders>
            <w:shd w:val="clear" w:color="auto" w:fill="auto"/>
            <w:vAlign w:val="bottom"/>
          </w:tcPr>
          <w:p w14:paraId="49DEC8DF" w14:textId="77777777" w:rsidR="00C54E0E" w:rsidRPr="008A5E67" w:rsidRDefault="00C54E0E" w:rsidP="00C262CE">
            <w:pPr>
              <w:pStyle w:val="SingleTxtG"/>
              <w:tabs>
                <w:tab w:val="clear" w:pos="1701"/>
                <w:tab w:val="clear" w:pos="2268"/>
                <w:tab w:val="clear" w:pos="2835"/>
              </w:tabs>
              <w:spacing w:before="40" w:after="40" w:line="220" w:lineRule="exact"/>
              <w:ind w:left="113" w:right="0"/>
              <w:jc w:val="right"/>
              <w:rPr>
                <w:bCs/>
                <w:iCs/>
                <w:sz w:val="18"/>
              </w:rPr>
            </w:pPr>
          </w:p>
        </w:tc>
      </w:tr>
      <w:tr w:rsidR="00FA7071" w:rsidRPr="00C262CE" w14:paraId="382848BF" w14:textId="77777777" w:rsidTr="00C54E0E">
        <w:trPr>
          <w:trHeight w:val="240"/>
        </w:trPr>
        <w:tc>
          <w:tcPr>
            <w:tcW w:w="736" w:type="pct"/>
            <w:tcBorders>
              <w:top w:val="single" w:sz="12" w:space="0" w:color="auto"/>
            </w:tcBorders>
            <w:shd w:val="clear" w:color="auto" w:fill="auto"/>
          </w:tcPr>
          <w:p w14:paraId="0CB26155" w14:textId="77777777" w:rsidR="008A5E67" w:rsidRPr="008A5E67" w:rsidRDefault="008A5E67" w:rsidP="00C262CE">
            <w:pPr>
              <w:pStyle w:val="SingleTxtG"/>
              <w:tabs>
                <w:tab w:val="clear" w:pos="1701"/>
                <w:tab w:val="clear" w:pos="2268"/>
                <w:tab w:val="clear" w:pos="2835"/>
              </w:tabs>
              <w:spacing w:before="40" w:after="40" w:line="220" w:lineRule="exact"/>
              <w:ind w:left="0" w:right="0"/>
              <w:jc w:val="left"/>
              <w:rPr>
                <w:sz w:val="18"/>
              </w:rPr>
            </w:pPr>
            <w:r w:rsidRPr="008A5E67">
              <w:rPr>
                <w:sz w:val="18"/>
              </w:rPr>
              <w:t>2006</w:t>
            </w:r>
          </w:p>
        </w:tc>
        <w:tc>
          <w:tcPr>
            <w:tcW w:w="368" w:type="pct"/>
            <w:tcBorders>
              <w:top w:val="single" w:sz="12" w:space="0" w:color="auto"/>
            </w:tcBorders>
            <w:shd w:val="clear" w:color="auto" w:fill="auto"/>
            <w:vAlign w:val="bottom"/>
          </w:tcPr>
          <w:p w14:paraId="324CBE24"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40</w:t>
            </w:r>
          </w:p>
        </w:tc>
        <w:tc>
          <w:tcPr>
            <w:tcW w:w="367" w:type="pct"/>
            <w:tcBorders>
              <w:top w:val="single" w:sz="12" w:space="0" w:color="auto"/>
            </w:tcBorders>
            <w:shd w:val="clear" w:color="auto" w:fill="auto"/>
            <w:vAlign w:val="bottom"/>
          </w:tcPr>
          <w:p w14:paraId="452747C1"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17</w:t>
            </w:r>
          </w:p>
        </w:tc>
        <w:tc>
          <w:tcPr>
            <w:tcW w:w="294" w:type="pct"/>
            <w:tcBorders>
              <w:top w:val="single" w:sz="12" w:space="0" w:color="auto"/>
            </w:tcBorders>
            <w:shd w:val="clear" w:color="auto" w:fill="auto"/>
            <w:vAlign w:val="bottom"/>
          </w:tcPr>
          <w:p w14:paraId="0EF89C28"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48</w:t>
            </w:r>
          </w:p>
        </w:tc>
        <w:tc>
          <w:tcPr>
            <w:tcW w:w="221" w:type="pct"/>
            <w:tcBorders>
              <w:top w:val="single" w:sz="12" w:space="0" w:color="auto"/>
            </w:tcBorders>
            <w:shd w:val="clear" w:color="auto" w:fill="auto"/>
            <w:vAlign w:val="bottom"/>
          </w:tcPr>
          <w:p w14:paraId="728B6F03"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21</w:t>
            </w:r>
          </w:p>
        </w:tc>
        <w:tc>
          <w:tcPr>
            <w:tcW w:w="295" w:type="pct"/>
            <w:tcBorders>
              <w:top w:val="single" w:sz="12" w:space="0" w:color="auto"/>
            </w:tcBorders>
            <w:shd w:val="clear" w:color="auto" w:fill="auto"/>
            <w:vAlign w:val="bottom"/>
          </w:tcPr>
          <w:p w14:paraId="6A2EC70A"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31</w:t>
            </w:r>
          </w:p>
        </w:tc>
        <w:tc>
          <w:tcPr>
            <w:tcW w:w="222" w:type="pct"/>
            <w:tcBorders>
              <w:top w:val="single" w:sz="12" w:space="0" w:color="auto"/>
            </w:tcBorders>
            <w:shd w:val="clear" w:color="auto" w:fill="auto"/>
            <w:vAlign w:val="bottom"/>
          </w:tcPr>
          <w:p w14:paraId="1F96BBB4"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14</w:t>
            </w:r>
          </w:p>
        </w:tc>
        <w:tc>
          <w:tcPr>
            <w:tcW w:w="368" w:type="pct"/>
            <w:tcBorders>
              <w:top w:val="single" w:sz="12" w:space="0" w:color="auto"/>
            </w:tcBorders>
            <w:shd w:val="clear" w:color="auto" w:fill="auto"/>
            <w:vAlign w:val="bottom"/>
          </w:tcPr>
          <w:p w14:paraId="74AB9F89"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47</w:t>
            </w:r>
          </w:p>
        </w:tc>
        <w:tc>
          <w:tcPr>
            <w:tcW w:w="220" w:type="pct"/>
            <w:tcBorders>
              <w:top w:val="single" w:sz="12" w:space="0" w:color="auto"/>
            </w:tcBorders>
            <w:shd w:val="clear" w:color="auto" w:fill="auto"/>
            <w:vAlign w:val="bottom"/>
          </w:tcPr>
          <w:p w14:paraId="77143EFB"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21</w:t>
            </w:r>
          </w:p>
        </w:tc>
        <w:tc>
          <w:tcPr>
            <w:tcW w:w="295" w:type="pct"/>
            <w:tcBorders>
              <w:top w:val="single" w:sz="12" w:space="0" w:color="auto"/>
            </w:tcBorders>
            <w:shd w:val="clear" w:color="auto" w:fill="auto"/>
            <w:vAlign w:val="bottom"/>
          </w:tcPr>
          <w:p w14:paraId="5EC118E5"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27</w:t>
            </w:r>
          </w:p>
        </w:tc>
        <w:tc>
          <w:tcPr>
            <w:tcW w:w="220" w:type="pct"/>
            <w:tcBorders>
              <w:top w:val="single" w:sz="12" w:space="0" w:color="auto"/>
            </w:tcBorders>
            <w:shd w:val="clear" w:color="auto" w:fill="auto"/>
            <w:vAlign w:val="bottom"/>
          </w:tcPr>
          <w:p w14:paraId="30E4F0D2"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12</w:t>
            </w:r>
          </w:p>
        </w:tc>
        <w:tc>
          <w:tcPr>
            <w:tcW w:w="294" w:type="pct"/>
            <w:tcBorders>
              <w:top w:val="single" w:sz="12" w:space="0" w:color="auto"/>
            </w:tcBorders>
            <w:shd w:val="clear" w:color="auto" w:fill="auto"/>
            <w:vAlign w:val="bottom"/>
          </w:tcPr>
          <w:p w14:paraId="59F763C8"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25</w:t>
            </w:r>
          </w:p>
        </w:tc>
        <w:tc>
          <w:tcPr>
            <w:tcW w:w="222" w:type="pct"/>
            <w:tcBorders>
              <w:top w:val="single" w:sz="12" w:space="0" w:color="auto"/>
            </w:tcBorders>
            <w:shd w:val="clear" w:color="auto" w:fill="auto"/>
            <w:vAlign w:val="bottom"/>
          </w:tcPr>
          <w:p w14:paraId="02BBD20B"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11</w:t>
            </w:r>
          </w:p>
        </w:tc>
        <w:tc>
          <w:tcPr>
            <w:tcW w:w="366" w:type="pct"/>
            <w:tcBorders>
              <w:top w:val="single" w:sz="12" w:space="0" w:color="auto"/>
            </w:tcBorders>
            <w:shd w:val="clear" w:color="auto" w:fill="auto"/>
            <w:vAlign w:val="bottom"/>
          </w:tcPr>
          <w:p w14:paraId="7A759010"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11</w:t>
            </w:r>
          </w:p>
        </w:tc>
        <w:tc>
          <w:tcPr>
            <w:tcW w:w="223" w:type="pct"/>
            <w:tcBorders>
              <w:top w:val="single" w:sz="12" w:space="0" w:color="auto"/>
            </w:tcBorders>
            <w:shd w:val="clear" w:color="auto" w:fill="auto"/>
            <w:vAlign w:val="bottom"/>
          </w:tcPr>
          <w:p w14:paraId="0B24AC21"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5</w:t>
            </w:r>
          </w:p>
        </w:tc>
        <w:tc>
          <w:tcPr>
            <w:tcW w:w="289" w:type="pct"/>
            <w:tcBorders>
              <w:top w:val="single" w:sz="12" w:space="0" w:color="auto"/>
            </w:tcBorders>
            <w:shd w:val="clear" w:color="auto" w:fill="auto"/>
            <w:vAlign w:val="bottom"/>
          </w:tcPr>
          <w:p w14:paraId="18EC3134"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bCs/>
                <w:sz w:val="18"/>
              </w:rPr>
            </w:pPr>
            <w:r w:rsidRPr="008A5E67">
              <w:rPr>
                <w:bCs/>
                <w:sz w:val="18"/>
              </w:rPr>
              <w:t>229</w:t>
            </w:r>
          </w:p>
        </w:tc>
      </w:tr>
      <w:tr w:rsidR="00FA7071" w:rsidRPr="00C262CE" w14:paraId="06C78B37" w14:textId="77777777" w:rsidTr="00FA7071">
        <w:trPr>
          <w:trHeight w:val="240"/>
        </w:trPr>
        <w:tc>
          <w:tcPr>
            <w:tcW w:w="736" w:type="pct"/>
            <w:shd w:val="clear" w:color="auto" w:fill="auto"/>
          </w:tcPr>
          <w:p w14:paraId="7C7B8B58" w14:textId="77777777" w:rsidR="008A5E67" w:rsidRPr="008A5E67" w:rsidRDefault="008A5E67" w:rsidP="00C262CE">
            <w:pPr>
              <w:pStyle w:val="SingleTxtG"/>
              <w:tabs>
                <w:tab w:val="clear" w:pos="1701"/>
                <w:tab w:val="clear" w:pos="2268"/>
                <w:tab w:val="clear" w:pos="2835"/>
              </w:tabs>
              <w:spacing w:before="40" w:after="40" w:line="220" w:lineRule="exact"/>
              <w:ind w:left="0" w:right="0"/>
              <w:jc w:val="left"/>
              <w:rPr>
                <w:sz w:val="18"/>
              </w:rPr>
            </w:pPr>
            <w:r w:rsidRPr="008A5E67">
              <w:rPr>
                <w:sz w:val="18"/>
              </w:rPr>
              <w:t>2007</w:t>
            </w:r>
          </w:p>
        </w:tc>
        <w:tc>
          <w:tcPr>
            <w:tcW w:w="368" w:type="pct"/>
            <w:shd w:val="clear" w:color="auto" w:fill="auto"/>
            <w:vAlign w:val="bottom"/>
          </w:tcPr>
          <w:p w14:paraId="2A9DA582"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54</w:t>
            </w:r>
          </w:p>
        </w:tc>
        <w:tc>
          <w:tcPr>
            <w:tcW w:w="367" w:type="pct"/>
            <w:shd w:val="clear" w:color="auto" w:fill="auto"/>
            <w:vAlign w:val="bottom"/>
          </w:tcPr>
          <w:p w14:paraId="7CE32D7C"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21</w:t>
            </w:r>
          </w:p>
        </w:tc>
        <w:tc>
          <w:tcPr>
            <w:tcW w:w="294" w:type="pct"/>
            <w:shd w:val="clear" w:color="auto" w:fill="auto"/>
            <w:vAlign w:val="bottom"/>
          </w:tcPr>
          <w:p w14:paraId="3254F645"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32</w:t>
            </w:r>
          </w:p>
        </w:tc>
        <w:tc>
          <w:tcPr>
            <w:tcW w:w="221" w:type="pct"/>
            <w:shd w:val="clear" w:color="auto" w:fill="auto"/>
            <w:vAlign w:val="bottom"/>
          </w:tcPr>
          <w:p w14:paraId="0078713D"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13</w:t>
            </w:r>
          </w:p>
        </w:tc>
        <w:tc>
          <w:tcPr>
            <w:tcW w:w="295" w:type="pct"/>
            <w:shd w:val="clear" w:color="auto" w:fill="auto"/>
            <w:vAlign w:val="bottom"/>
          </w:tcPr>
          <w:p w14:paraId="279CDF2B"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49</w:t>
            </w:r>
          </w:p>
        </w:tc>
        <w:tc>
          <w:tcPr>
            <w:tcW w:w="222" w:type="pct"/>
            <w:shd w:val="clear" w:color="auto" w:fill="auto"/>
            <w:vAlign w:val="bottom"/>
          </w:tcPr>
          <w:p w14:paraId="482A3C54"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19</w:t>
            </w:r>
          </w:p>
        </w:tc>
        <w:tc>
          <w:tcPr>
            <w:tcW w:w="368" w:type="pct"/>
            <w:shd w:val="clear" w:color="auto" w:fill="auto"/>
            <w:vAlign w:val="bottom"/>
          </w:tcPr>
          <w:p w14:paraId="17594157"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42</w:t>
            </w:r>
          </w:p>
        </w:tc>
        <w:tc>
          <w:tcPr>
            <w:tcW w:w="220" w:type="pct"/>
            <w:shd w:val="clear" w:color="auto" w:fill="auto"/>
            <w:vAlign w:val="bottom"/>
          </w:tcPr>
          <w:p w14:paraId="562C6817"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17</w:t>
            </w:r>
          </w:p>
        </w:tc>
        <w:tc>
          <w:tcPr>
            <w:tcW w:w="295" w:type="pct"/>
            <w:shd w:val="clear" w:color="auto" w:fill="auto"/>
            <w:vAlign w:val="bottom"/>
          </w:tcPr>
          <w:p w14:paraId="00A2311F"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31</w:t>
            </w:r>
          </w:p>
        </w:tc>
        <w:tc>
          <w:tcPr>
            <w:tcW w:w="220" w:type="pct"/>
            <w:shd w:val="clear" w:color="auto" w:fill="auto"/>
            <w:vAlign w:val="bottom"/>
          </w:tcPr>
          <w:p w14:paraId="694321EA"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12</w:t>
            </w:r>
          </w:p>
        </w:tc>
        <w:tc>
          <w:tcPr>
            <w:tcW w:w="294" w:type="pct"/>
            <w:shd w:val="clear" w:color="auto" w:fill="auto"/>
            <w:vAlign w:val="bottom"/>
          </w:tcPr>
          <w:p w14:paraId="4F78FBEE"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39</w:t>
            </w:r>
          </w:p>
        </w:tc>
        <w:tc>
          <w:tcPr>
            <w:tcW w:w="222" w:type="pct"/>
            <w:shd w:val="clear" w:color="auto" w:fill="auto"/>
            <w:vAlign w:val="bottom"/>
          </w:tcPr>
          <w:p w14:paraId="6F65AA4E"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15</w:t>
            </w:r>
          </w:p>
        </w:tc>
        <w:tc>
          <w:tcPr>
            <w:tcW w:w="366" w:type="pct"/>
            <w:shd w:val="clear" w:color="auto" w:fill="auto"/>
            <w:vAlign w:val="bottom"/>
          </w:tcPr>
          <w:p w14:paraId="2A43722A"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7</w:t>
            </w:r>
          </w:p>
        </w:tc>
        <w:tc>
          <w:tcPr>
            <w:tcW w:w="223" w:type="pct"/>
            <w:shd w:val="clear" w:color="auto" w:fill="auto"/>
            <w:vAlign w:val="bottom"/>
          </w:tcPr>
          <w:p w14:paraId="787F8A99"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3</w:t>
            </w:r>
          </w:p>
        </w:tc>
        <w:tc>
          <w:tcPr>
            <w:tcW w:w="289" w:type="pct"/>
            <w:shd w:val="clear" w:color="auto" w:fill="auto"/>
            <w:vAlign w:val="bottom"/>
          </w:tcPr>
          <w:p w14:paraId="4FF50B83"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bCs/>
                <w:sz w:val="18"/>
              </w:rPr>
            </w:pPr>
            <w:r w:rsidRPr="008A5E67">
              <w:rPr>
                <w:bCs/>
                <w:sz w:val="18"/>
              </w:rPr>
              <w:t>254</w:t>
            </w:r>
          </w:p>
        </w:tc>
      </w:tr>
      <w:tr w:rsidR="00FA7071" w:rsidRPr="00C262CE" w14:paraId="4D2B566F" w14:textId="77777777" w:rsidTr="00FA7071">
        <w:trPr>
          <w:trHeight w:val="240"/>
        </w:trPr>
        <w:tc>
          <w:tcPr>
            <w:tcW w:w="736" w:type="pct"/>
            <w:shd w:val="clear" w:color="auto" w:fill="auto"/>
          </w:tcPr>
          <w:p w14:paraId="303482AA" w14:textId="77777777" w:rsidR="008A5E67" w:rsidRPr="008A5E67" w:rsidRDefault="008A5E67" w:rsidP="00C262CE">
            <w:pPr>
              <w:pStyle w:val="SingleTxtG"/>
              <w:tabs>
                <w:tab w:val="clear" w:pos="1701"/>
                <w:tab w:val="clear" w:pos="2268"/>
                <w:tab w:val="clear" w:pos="2835"/>
              </w:tabs>
              <w:spacing w:before="40" w:after="40" w:line="220" w:lineRule="exact"/>
              <w:ind w:left="0" w:right="0"/>
              <w:jc w:val="left"/>
              <w:rPr>
                <w:sz w:val="18"/>
              </w:rPr>
            </w:pPr>
            <w:r w:rsidRPr="008A5E67">
              <w:rPr>
                <w:sz w:val="18"/>
              </w:rPr>
              <w:t>2008</w:t>
            </w:r>
          </w:p>
        </w:tc>
        <w:tc>
          <w:tcPr>
            <w:tcW w:w="368" w:type="pct"/>
            <w:shd w:val="clear" w:color="auto" w:fill="auto"/>
            <w:vAlign w:val="bottom"/>
          </w:tcPr>
          <w:p w14:paraId="69858ABF"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47</w:t>
            </w:r>
          </w:p>
        </w:tc>
        <w:tc>
          <w:tcPr>
            <w:tcW w:w="367" w:type="pct"/>
            <w:shd w:val="clear" w:color="auto" w:fill="auto"/>
            <w:vAlign w:val="bottom"/>
          </w:tcPr>
          <w:p w14:paraId="4328BD2B"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23</w:t>
            </w:r>
          </w:p>
        </w:tc>
        <w:tc>
          <w:tcPr>
            <w:tcW w:w="294" w:type="pct"/>
            <w:shd w:val="clear" w:color="auto" w:fill="auto"/>
            <w:vAlign w:val="bottom"/>
          </w:tcPr>
          <w:p w14:paraId="0CEDF729"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38</w:t>
            </w:r>
          </w:p>
        </w:tc>
        <w:tc>
          <w:tcPr>
            <w:tcW w:w="221" w:type="pct"/>
            <w:shd w:val="clear" w:color="auto" w:fill="auto"/>
            <w:vAlign w:val="bottom"/>
          </w:tcPr>
          <w:p w14:paraId="202F9FE3"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19</w:t>
            </w:r>
          </w:p>
        </w:tc>
        <w:tc>
          <w:tcPr>
            <w:tcW w:w="295" w:type="pct"/>
            <w:shd w:val="clear" w:color="auto" w:fill="auto"/>
            <w:vAlign w:val="bottom"/>
          </w:tcPr>
          <w:p w14:paraId="5E157F96"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36</w:t>
            </w:r>
          </w:p>
        </w:tc>
        <w:tc>
          <w:tcPr>
            <w:tcW w:w="222" w:type="pct"/>
            <w:shd w:val="clear" w:color="auto" w:fill="auto"/>
            <w:vAlign w:val="bottom"/>
          </w:tcPr>
          <w:p w14:paraId="79CC7934"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18</w:t>
            </w:r>
          </w:p>
        </w:tc>
        <w:tc>
          <w:tcPr>
            <w:tcW w:w="368" w:type="pct"/>
            <w:shd w:val="clear" w:color="auto" w:fill="auto"/>
            <w:vAlign w:val="bottom"/>
          </w:tcPr>
          <w:p w14:paraId="3452A652"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33</w:t>
            </w:r>
          </w:p>
        </w:tc>
        <w:tc>
          <w:tcPr>
            <w:tcW w:w="220" w:type="pct"/>
            <w:shd w:val="clear" w:color="auto" w:fill="auto"/>
            <w:vAlign w:val="bottom"/>
          </w:tcPr>
          <w:p w14:paraId="61C356F4"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16</w:t>
            </w:r>
          </w:p>
        </w:tc>
        <w:tc>
          <w:tcPr>
            <w:tcW w:w="295" w:type="pct"/>
            <w:shd w:val="clear" w:color="auto" w:fill="auto"/>
            <w:vAlign w:val="bottom"/>
          </w:tcPr>
          <w:p w14:paraId="1DEBAD34"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18</w:t>
            </w:r>
          </w:p>
        </w:tc>
        <w:tc>
          <w:tcPr>
            <w:tcW w:w="220" w:type="pct"/>
            <w:shd w:val="clear" w:color="auto" w:fill="auto"/>
            <w:vAlign w:val="bottom"/>
          </w:tcPr>
          <w:p w14:paraId="75606034"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9</w:t>
            </w:r>
          </w:p>
        </w:tc>
        <w:tc>
          <w:tcPr>
            <w:tcW w:w="294" w:type="pct"/>
            <w:shd w:val="clear" w:color="auto" w:fill="auto"/>
            <w:vAlign w:val="bottom"/>
          </w:tcPr>
          <w:p w14:paraId="0D57B390"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27</w:t>
            </w:r>
          </w:p>
        </w:tc>
        <w:tc>
          <w:tcPr>
            <w:tcW w:w="222" w:type="pct"/>
            <w:shd w:val="clear" w:color="auto" w:fill="auto"/>
            <w:vAlign w:val="bottom"/>
          </w:tcPr>
          <w:p w14:paraId="78905AC6"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13</w:t>
            </w:r>
          </w:p>
        </w:tc>
        <w:tc>
          <w:tcPr>
            <w:tcW w:w="366" w:type="pct"/>
            <w:shd w:val="clear" w:color="auto" w:fill="auto"/>
            <w:vAlign w:val="bottom"/>
          </w:tcPr>
          <w:p w14:paraId="54F7585D"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6</w:t>
            </w:r>
          </w:p>
        </w:tc>
        <w:tc>
          <w:tcPr>
            <w:tcW w:w="223" w:type="pct"/>
            <w:shd w:val="clear" w:color="auto" w:fill="auto"/>
            <w:vAlign w:val="bottom"/>
          </w:tcPr>
          <w:p w14:paraId="3005BA22"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3</w:t>
            </w:r>
          </w:p>
        </w:tc>
        <w:tc>
          <w:tcPr>
            <w:tcW w:w="289" w:type="pct"/>
            <w:shd w:val="clear" w:color="auto" w:fill="auto"/>
            <w:vAlign w:val="bottom"/>
          </w:tcPr>
          <w:p w14:paraId="66C275BA"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bCs/>
                <w:sz w:val="18"/>
              </w:rPr>
            </w:pPr>
            <w:r w:rsidRPr="008A5E67">
              <w:rPr>
                <w:bCs/>
                <w:sz w:val="18"/>
              </w:rPr>
              <w:t>205</w:t>
            </w:r>
          </w:p>
        </w:tc>
      </w:tr>
      <w:tr w:rsidR="00FA7071" w:rsidRPr="00C262CE" w14:paraId="205DD560" w14:textId="77777777" w:rsidTr="00FA7071">
        <w:trPr>
          <w:trHeight w:val="240"/>
        </w:trPr>
        <w:tc>
          <w:tcPr>
            <w:tcW w:w="736" w:type="pct"/>
            <w:shd w:val="clear" w:color="auto" w:fill="auto"/>
          </w:tcPr>
          <w:p w14:paraId="129FAF74" w14:textId="77777777" w:rsidR="008A5E67" w:rsidRPr="008A5E67" w:rsidRDefault="008A5E67" w:rsidP="00C262CE">
            <w:pPr>
              <w:pStyle w:val="SingleTxtG"/>
              <w:tabs>
                <w:tab w:val="clear" w:pos="1701"/>
                <w:tab w:val="clear" w:pos="2268"/>
                <w:tab w:val="clear" w:pos="2835"/>
              </w:tabs>
              <w:spacing w:before="40" w:after="40" w:line="220" w:lineRule="exact"/>
              <w:ind w:left="0" w:right="0"/>
              <w:jc w:val="left"/>
              <w:rPr>
                <w:sz w:val="18"/>
              </w:rPr>
            </w:pPr>
            <w:r w:rsidRPr="008A5E67">
              <w:rPr>
                <w:sz w:val="18"/>
              </w:rPr>
              <w:t>2009</w:t>
            </w:r>
          </w:p>
        </w:tc>
        <w:tc>
          <w:tcPr>
            <w:tcW w:w="368" w:type="pct"/>
            <w:shd w:val="clear" w:color="auto" w:fill="auto"/>
            <w:vAlign w:val="bottom"/>
          </w:tcPr>
          <w:p w14:paraId="131AA16D"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38</w:t>
            </w:r>
          </w:p>
        </w:tc>
        <w:tc>
          <w:tcPr>
            <w:tcW w:w="367" w:type="pct"/>
            <w:shd w:val="clear" w:color="auto" w:fill="auto"/>
            <w:vAlign w:val="bottom"/>
          </w:tcPr>
          <w:p w14:paraId="7FAF937B"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20</w:t>
            </w:r>
          </w:p>
        </w:tc>
        <w:tc>
          <w:tcPr>
            <w:tcW w:w="294" w:type="pct"/>
            <w:shd w:val="clear" w:color="auto" w:fill="auto"/>
            <w:vAlign w:val="bottom"/>
          </w:tcPr>
          <w:p w14:paraId="0DB9E16E"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46</w:t>
            </w:r>
          </w:p>
        </w:tc>
        <w:tc>
          <w:tcPr>
            <w:tcW w:w="221" w:type="pct"/>
            <w:shd w:val="clear" w:color="auto" w:fill="auto"/>
            <w:vAlign w:val="bottom"/>
          </w:tcPr>
          <w:p w14:paraId="2F09E34C"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24</w:t>
            </w:r>
          </w:p>
        </w:tc>
        <w:tc>
          <w:tcPr>
            <w:tcW w:w="295" w:type="pct"/>
            <w:shd w:val="clear" w:color="auto" w:fill="auto"/>
            <w:vAlign w:val="bottom"/>
          </w:tcPr>
          <w:p w14:paraId="2961A624"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28</w:t>
            </w:r>
          </w:p>
        </w:tc>
        <w:tc>
          <w:tcPr>
            <w:tcW w:w="222" w:type="pct"/>
            <w:shd w:val="clear" w:color="auto" w:fill="auto"/>
            <w:vAlign w:val="bottom"/>
          </w:tcPr>
          <w:p w14:paraId="222F6A27"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15</w:t>
            </w:r>
          </w:p>
        </w:tc>
        <w:tc>
          <w:tcPr>
            <w:tcW w:w="368" w:type="pct"/>
            <w:shd w:val="clear" w:color="auto" w:fill="auto"/>
            <w:vAlign w:val="bottom"/>
          </w:tcPr>
          <w:p w14:paraId="1008210E"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30</w:t>
            </w:r>
          </w:p>
        </w:tc>
        <w:tc>
          <w:tcPr>
            <w:tcW w:w="220" w:type="pct"/>
            <w:shd w:val="clear" w:color="auto" w:fill="auto"/>
            <w:vAlign w:val="bottom"/>
          </w:tcPr>
          <w:p w14:paraId="22E8C31F"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16</w:t>
            </w:r>
          </w:p>
        </w:tc>
        <w:tc>
          <w:tcPr>
            <w:tcW w:w="295" w:type="pct"/>
            <w:shd w:val="clear" w:color="auto" w:fill="auto"/>
            <w:vAlign w:val="bottom"/>
          </w:tcPr>
          <w:p w14:paraId="5692361B"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20</w:t>
            </w:r>
          </w:p>
        </w:tc>
        <w:tc>
          <w:tcPr>
            <w:tcW w:w="220" w:type="pct"/>
            <w:shd w:val="clear" w:color="auto" w:fill="auto"/>
            <w:vAlign w:val="bottom"/>
          </w:tcPr>
          <w:p w14:paraId="42328C57"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11</w:t>
            </w:r>
          </w:p>
        </w:tc>
        <w:tc>
          <w:tcPr>
            <w:tcW w:w="294" w:type="pct"/>
            <w:shd w:val="clear" w:color="auto" w:fill="auto"/>
            <w:vAlign w:val="bottom"/>
          </w:tcPr>
          <w:p w14:paraId="283EB9FA"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19</w:t>
            </w:r>
          </w:p>
        </w:tc>
        <w:tc>
          <w:tcPr>
            <w:tcW w:w="222" w:type="pct"/>
            <w:shd w:val="clear" w:color="auto" w:fill="auto"/>
            <w:vAlign w:val="bottom"/>
          </w:tcPr>
          <w:p w14:paraId="09717388"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10</w:t>
            </w:r>
          </w:p>
        </w:tc>
        <w:tc>
          <w:tcPr>
            <w:tcW w:w="366" w:type="pct"/>
            <w:shd w:val="clear" w:color="auto" w:fill="auto"/>
            <w:vAlign w:val="bottom"/>
          </w:tcPr>
          <w:p w14:paraId="6069D55D"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9</w:t>
            </w:r>
          </w:p>
        </w:tc>
        <w:tc>
          <w:tcPr>
            <w:tcW w:w="223" w:type="pct"/>
            <w:shd w:val="clear" w:color="auto" w:fill="auto"/>
            <w:vAlign w:val="bottom"/>
          </w:tcPr>
          <w:p w14:paraId="572B2A06"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5</w:t>
            </w:r>
          </w:p>
        </w:tc>
        <w:tc>
          <w:tcPr>
            <w:tcW w:w="289" w:type="pct"/>
            <w:shd w:val="clear" w:color="auto" w:fill="auto"/>
            <w:vAlign w:val="bottom"/>
          </w:tcPr>
          <w:p w14:paraId="2DF80ED5"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bCs/>
                <w:sz w:val="18"/>
              </w:rPr>
            </w:pPr>
            <w:r w:rsidRPr="008A5E67">
              <w:rPr>
                <w:bCs/>
                <w:sz w:val="18"/>
              </w:rPr>
              <w:t>190</w:t>
            </w:r>
          </w:p>
        </w:tc>
      </w:tr>
      <w:tr w:rsidR="00FA7071" w:rsidRPr="00C262CE" w14:paraId="67F3A67C" w14:textId="77777777" w:rsidTr="00FA7071">
        <w:trPr>
          <w:trHeight w:val="240"/>
        </w:trPr>
        <w:tc>
          <w:tcPr>
            <w:tcW w:w="736" w:type="pct"/>
            <w:shd w:val="clear" w:color="auto" w:fill="auto"/>
          </w:tcPr>
          <w:p w14:paraId="4ACF8F1A" w14:textId="77777777" w:rsidR="008A5E67" w:rsidRPr="008A5E67" w:rsidRDefault="008A5E67" w:rsidP="00C262CE">
            <w:pPr>
              <w:pStyle w:val="SingleTxtG"/>
              <w:tabs>
                <w:tab w:val="clear" w:pos="1701"/>
                <w:tab w:val="clear" w:pos="2268"/>
                <w:tab w:val="clear" w:pos="2835"/>
              </w:tabs>
              <w:spacing w:before="40" w:after="40" w:line="220" w:lineRule="exact"/>
              <w:ind w:left="0" w:right="0"/>
              <w:jc w:val="left"/>
              <w:rPr>
                <w:sz w:val="18"/>
              </w:rPr>
            </w:pPr>
            <w:r w:rsidRPr="008A5E67">
              <w:rPr>
                <w:sz w:val="18"/>
              </w:rPr>
              <w:t>2010</w:t>
            </w:r>
          </w:p>
        </w:tc>
        <w:tc>
          <w:tcPr>
            <w:tcW w:w="368" w:type="pct"/>
            <w:shd w:val="clear" w:color="auto" w:fill="auto"/>
            <w:vAlign w:val="bottom"/>
          </w:tcPr>
          <w:p w14:paraId="17B1C060"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49</w:t>
            </w:r>
          </w:p>
        </w:tc>
        <w:tc>
          <w:tcPr>
            <w:tcW w:w="367" w:type="pct"/>
            <w:shd w:val="clear" w:color="auto" w:fill="auto"/>
            <w:vAlign w:val="bottom"/>
          </w:tcPr>
          <w:p w14:paraId="192DD3E1"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23</w:t>
            </w:r>
          </w:p>
        </w:tc>
        <w:tc>
          <w:tcPr>
            <w:tcW w:w="294" w:type="pct"/>
            <w:shd w:val="clear" w:color="auto" w:fill="auto"/>
            <w:vAlign w:val="bottom"/>
          </w:tcPr>
          <w:p w14:paraId="0E2630A3"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54</w:t>
            </w:r>
          </w:p>
        </w:tc>
        <w:tc>
          <w:tcPr>
            <w:tcW w:w="221" w:type="pct"/>
            <w:shd w:val="clear" w:color="auto" w:fill="auto"/>
            <w:vAlign w:val="bottom"/>
          </w:tcPr>
          <w:p w14:paraId="6A24A525"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26</w:t>
            </w:r>
          </w:p>
        </w:tc>
        <w:tc>
          <w:tcPr>
            <w:tcW w:w="295" w:type="pct"/>
            <w:shd w:val="clear" w:color="auto" w:fill="auto"/>
            <w:vAlign w:val="bottom"/>
          </w:tcPr>
          <w:p w14:paraId="1AE064AB"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25</w:t>
            </w:r>
          </w:p>
        </w:tc>
        <w:tc>
          <w:tcPr>
            <w:tcW w:w="222" w:type="pct"/>
            <w:shd w:val="clear" w:color="auto" w:fill="auto"/>
            <w:vAlign w:val="bottom"/>
          </w:tcPr>
          <w:p w14:paraId="2D82C100"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12</w:t>
            </w:r>
          </w:p>
        </w:tc>
        <w:tc>
          <w:tcPr>
            <w:tcW w:w="368" w:type="pct"/>
            <w:shd w:val="clear" w:color="auto" w:fill="auto"/>
            <w:vAlign w:val="bottom"/>
          </w:tcPr>
          <w:p w14:paraId="0C32DE6A"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17</w:t>
            </w:r>
          </w:p>
        </w:tc>
        <w:tc>
          <w:tcPr>
            <w:tcW w:w="220" w:type="pct"/>
            <w:shd w:val="clear" w:color="auto" w:fill="auto"/>
            <w:vAlign w:val="bottom"/>
          </w:tcPr>
          <w:p w14:paraId="168B51F1"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8</w:t>
            </w:r>
          </w:p>
        </w:tc>
        <w:tc>
          <w:tcPr>
            <w:tcW w:w="295" w:type="pct"/>
            <w:shd w:val="clear" w:color="auto" w:fill="auto"/>
            <w:vAlign w:val="bottom"/>
          </w:tcPr>
          <w:p w14:paraId="79D33E53"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24</w:t>
            </w:r>
          </w:p>
        </w:tc>
        <w:tc>
          <w:tcPr>
            <w:tcW w:w="220" w:type="pct"/>
            <w:shd w:val="clear" w:color="auto" w:fill="auto"/>
            <w:vAlign w:val="bottom"/>
          </w:tcPr>
          <w:p w14:paraId="380AE3B3"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11</w:t>
            </w:r>
          </w:p>
        </w:tc>
        <w:tc>
          <w:tcPr>
            <w:tcW w:w="294" w:type="pct"/>
            <w:shd w:val="clear" w:color="auto" w:fill="auto"/>
            <w:vAlign w:val="bottom"/>
          </w:tcPr>
          <w:p w14:paraId="14CE1316"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32</w:t>
            </w:r>
          </w:p>
        </w:tc>
        <w:tc>
          <w:tcPr>
            <w:tcW w:w="222" w:type="pct"/>
            <w:shd w:val="clear" w:color="auto" w:fill="auto"/>
            <w:vAlign w:val="bottom"/>
          </w:tcPr>
          <w:p w14:paraId="40BEEA4A"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15</w:t>
            </w:r>
          </w:p>
        </w:tc>
        <w:tc>
          <w:tcPr>
            <w:tcW w:w="366" w:type="pct"/>
            <w:shd w:val="clear" w:color="auto" w:fill="auto"/>
            <w:vAlign w:val="bottom"/>
          </w:tcPr>
          <w:p w14:paraId="772EF4AB"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11</w:t>
            </w:r>
          </w:p>
        </w:tc>
        <w:tc>
          <w:tcPr>
            <w:tcW w:w="223" w:type="pct"/>
            <w:shd w:val="clear" w:color="auto" w:fill="auto"/>
            <w:vAlign w:val="bottom"/>
          </w:tcPr>
          <w:p w14:paraId="5F6D3184"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5</w:t>
            </w:r>
          </w:p>
        </w:tc>
        <w:tc>
          <w:tcPr>
            <w:tcW w:w="289" w:type="pct"/>
            <w:shd w:val="clear" w:color="auto" w:fill="auto"/>
            <w:vAlign w:val="bottom"/>
          </w:tcPr>
          <w:p w14:paraId="7B117648"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bCs/>
                <w:sz w:val="18"/>
              </w:rPr>
            </w:pPr>
            <w:r w:rsidRPr="008A5E67">
              <w:rPr>
                <w:bCs/>
                <w:sz w:val="18"/>
              </w:rPr>
              <w:t>211</w:t>
            </w:r>
          </w:p>
        </w:tc>
      </w:tr>
      <w:tr w:rsidR="00FA7071" w:rsidRPr="00C262CE" w14:paraId="2B6B9D3C" w14:textId="77777777" w:rsidTr="00FA7071">
        <w:trPr>
          <w:trHeight w:val="240"/>
        </w:trPr>
        <w:tc>
          <w:tcPr>
            <w:tcW w:w="736" w:type="pct"/>
            <w:shd w:val="clear" w:color="auto" w:fill="auto"/>
          </w:tcPr>
          <w:p w14:paraId="0946C67B" w14:textId="77777777" w:rsidR="008A5E67" w:rsidRPr="008A5E67" w:rsidRDefault="008A5E67" w:rsidP="00C262CE">
            <w:pPr>
              <w:pStyle w:val="SingleTxtG"/>
              <w:tabs>
                <w:tab w:val="clear" w:pos="1701"/>
                <w:tab w:val="clear" w:pos="2268"/>
                <w:tab w:val="clear" w:pos="2835"/>
              </w:tabs>
              <w:spacing w:before="40" w:after="40" w:line="220" w:lineRule="exact"/>
              <w:ind w:left="0" w:right="0"/>
              <w:jc w:val="left"/>
              <w:rPr>
                <w:sz w:val="18"/>
              </w:rPr>
            </w:pPr>
            <w:r w:rsidRPr="008A5E67">
              <w:rPr>
                <w:sz w:val="18"/>
              </w:rPr>
              <w:t>2011</w:t>
            </w:r>
          </w:p>
        </w:tc>
        <w:tc>
          <w:tcPr>
            <w:tcW w:w="368" w:type="pct"/>
            <w:shd w:val="clear" w:color="auto" w:fill="auto"/>
            <w:vAlign w:val="bottom"/>
          </w:tcPr>
          <w:p w14:paraId="7B391194"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39</w:t>
            </w:r>
          </w:p>
        </w:tc>
        <w:tc>
          <w:tcPr>
            <w:tcW w:w="367" w:type="pct"/>
            <w:shd w:val="clear" w:color="auto" w:fill="auto"/>
            <w:vAlign w:val="bottom"/>
          </w:tcPr>
          <w:p w14:paraId="5764641C"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20</w:t>
            </w:r>
          </w:p>
        </w:tc>
        <w:tc>
          <w:tcPr>
            <w:tcW w:w="294" w:type="pct"/>
            <w:shd w:val="clear" w:color="auto" w:fill="auto"/>
            <w:vAlign w:val="bottom"/>
          </w:tcPr>
          <w:p w14:paraId="41615E10"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56</w:t>
            </w:r>
          </w:p>
        </w:tc>
        <w:tc>
          <w:tcPr>
            <w:tcW w:w="221" w:type="pct"/>
            <w:shd w:val="clear" w:color="auto" w:fill="auto"/>
            <w:vAlign w:val="bottom"/>
          </w:tcPr>
          <w:p w14:paraId="4F626820"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29</w:t>
            </w:r>
          </w:p>
        </w:tc>
        <w:tc>
          <w:tcPr>
            <w:tcW w:w="295" w:type="pct"/>
            <w:shd w:val="clear" w:color="auto" w:fill="auto"/>
            <w:vAlign w:val="bottom"/>
          </w:tcPr>
          <w:p w14:paraId="0D416513"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22</w:t>
            </w:r>
          </w:p>
        </w:tc>
        <w:tc>
          <w:tcPr>
            <w:tcW w:w="222" w:type="pct"/>
            <w:shd w:val="clear" w:color="auto" w:fill="auto"/>
            <w:vAlign w:val="bottom"/>
          </w:tcPr>
          <w:p w14:paraId="20CF4E64"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11</w:t>
            </w:r>
          </w:p>
        </w:tc>
        <w:tc>
          <w:tcPr>
            <w:tcW w:w="368" w:type="pct"/>
            <w:shd w:val="clear" w:color="auto" w:fill="auto"/>
            <w:vAlign w:val="bottom"/>
          </w:tcPr>
          <w:p w14:paraId="4BFF068E"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19</w:t>
            </w:r>
          </w:p>
        </w:tc>
        <w:tc>
          <w:tcPr>
            <w:tcW w:w="220" w:type="pct"/>
            <w:shd w:val="clear" w:color="auto" w:fill="auto"/>
            <w:vAlign w:val="bottom"/>
          </w:tcPr>
          <w:p w14:paraId="11AB4038"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10</w:t>
            </w:r>
          </w:p>
        </w:tc>
        <w:tc>
          <w:tcPr>
            <w:tcW w:w="295" w:type="pct"/>
            <w:shd w:val="clear" w:color="auto" w:fill="auto"/>
            <w:vAlign w:val="bottom"/>
          </w:tcPr>
          <w:p w14:paraId="71CB5485"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26</w:t>
            </w:r>
          </w:p>
        </w:tc>
        <w:tc>
          <w:tcPr>
            <w:tcW w:w="220" w:type="pct"/>
            <w:shd w:val="clear" w:color="auto" w:fill="auto"/>
            <w:vAlign w:val="bottom"/>
          </w:tcPr>
          <w:p w14:paraId="20766AA7"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13</w:t>
            </w:r>
          </w:p>
        </w:tc>
        <w:tc>
          <w:tcPr>
            <w:tcW w:w="294" w:type="pct"/>
            <w:shd w:val="clear" w:color="auto" w:fill="auto"/>
            <w:vAlign w:val="bottom"/>
          </w:tcPr>
          <w:p w14:paraId="79E657B7"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24</w:t>
            </w:r>
          </w:p>
        </w:tc>
        <w:tc>
          <w:tcPr>
            <w:tcW w:w="222" w:type="pct"/>
            <w:shd w:val="clear" w:color="auto" w:fill="auto"/>
            <w:vAlign w:val="bottom"/>
          </w:tcPr>
          <w:p w14:paraId="14BFF986"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12</w:t>
            </w:r>
          </w:p>
        </w:tc>
        <w:tc>
          <w:tcPr>
            <w:tcW w:w="366" w:type="pct"/>
            <w:shd w:val="clear" w:color="auto" w:fill="auto"/>
            <w:vAlign w:val="bottom"/>
          </w:tcPr>
          <w:p w14:paraId="23D44ED7"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8</w:t>
            </w:r>
          </w:p>
        </w:tc>
        <w:tc>
          <w:tcPr>
            <w:tcW w:w="223" w:type="pct"/>
            <w:shd w:val="clear" w:color="auto" w:fill="auto"/>
            <w:vAlign w:val="bottom"/>
          </w:tcPr>
          <w:p w14:paraId="22E15AAF"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4</w:t>
            </w:r>
          </w:p>
        </w:tc>
        <w:tc>
          <w:tcPr>
            <w:tcW w:w="289" w:type="pct"/>
            <w:shd w:val="clear" w:color="auto" w:fill="auto"/>
            <w:vAlign w:val="bottom"/>
          </w:tcPr>
          <w:p w14:paraId="3A60B77A"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bCs/>
                <w:sz w:val="18"/>
              </w:rPr>
            </w:pPr>
            <w:r w:rsidRPr="008A5E67">
              <w:rPr>
                <w:bCs/>
                <w:sz w:val="18"/>
              </w:rPr>
              <w:t>193</w:t>
            </w:r>
          </w:p>
        </w:tc>
      </w:tr>
      <w:tr w:rsidR="00FA7071" w:rsidRPr="00C262CE" w14:paraId="42918290" w14:textId="77777777" w:rsidTr="00FA7071">
        <w:trPr>
          <w:trHeight w:val="240"/>
        </w:trPr>
        <w:tc>
          <w:tcPr>
            <w:tcW w:w="736" w:type="pct"/>
            <w:tcBorders>
              <w:bottom w:val="single" w:sz="4" w:space="0" w:color="auto"/>
            </w:tcBorders>
            <w:shd w:val="clear" w:color="auto" w:fill="auto"/>
          </w:tcPr>
          <w:p w14:paraId="5A7BDF70" w14:textId="77777777" w:rsidR="008A5E67" w:rsidRPr="008A5E67" w:rsidRDefault="008A5E67" w:rsidP="00C262CE">
            <w:pPr>
              <w:pStyle w:val="SingleTxtG"/>
              <w:tabs>
                <w:tab w:val="clear" w:pos="1701"/>
                <w:tab w:val="clear" w:pos="2268"/>
                <w:tab w:val="clear" w:pos="2835"/>
              </w:tabs>
              <w:spacing w:before="40" w:after="40" w:line="220" w:lineRule="exact"/>
              <w:ind w:left="0" w:right="0"/>
              <w:jc w:val="left"/>
              <w:rPr>
                <w:sz w:val="18"/>
              </w:rPr>
            </w:pPr>
            <w:r w:rsidRPr="008A5E67">
              <w:rPr>
                <w:sz w:val="18"/>
              </w:rPr>
              <w:t>2012</w:t>
            </w:r>
          </w:p>
        </w:tc>
        <w:tc>
          <w:tcPr>
            <w:tcW w:w="368" w:type="pct"/>
            <w:tcBorders>
              <w:bottom w:val="single" w:sz="4" w:space="0" w:color="auto"/>
            </w:tcBorders>
            <w:shd w:val="clear" w:color="auto" w:fill="auto"/>
            <w:vAlign w:val="bottom"/>
          </w:tcPr>
          <w:p w14:paraId="5D37A0F4"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41</w:t>
            </w:r>
          </w:p>
        </w:tc>
        <w:tc>
          <w:tcPr>
            <w:tcW w:w="367" w:type="pct"/>
            <w:tcBorders>
              <w:bottom w:val="single" w:sz="4" w:space="0" w:color="auto"/>
            </w:tcBorders>
            <w:shd w:val="clear" w:color="auto" w:fill="auto"/>
            <w:vAlign w:val="bottom"/>
          </w:tcPr>
          <w:p w14:paraId="3A26A59B"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20</w:t>
            </w:r>
          </w:p>
        </w:tc>
        <w:tc>
          <w:tcPr>
            <w:tcW w:w="294" w:type="pct"/>
            <w:tcBorders>
              <w:bottom w:val="single" w:sz="4" w:space="0" w:color="auto"/>
            </w:tcBorders>
            <w:shd w:val="clear" w:color="auto" w:fill="auto"/>
            <w:vAlign w:val="bottom"/>
          </w:tcPr>
          <w:p w14:paraId="77ABF389"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40</w:t>
            </w:r>
          </w:p>
        </w:tc>
        <w:tc>
          <w:tcPr>
            <w:tcW w:w="221" w:type="pct"/>
            <w:tcBorders>
              <w:bottom w:val="single" w:sz="4" w:space="0" w:color="auto"/>
            </w:tcBorders>
            <w:shd w:val="clear" w:color="auto" w:fill="auto"/>
            <w:vAlign w:val="bottom"/>
          </w:tcPr>
          <w:p w14:paraId="1AAAD2DF"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20</w:t>
            </w:r>
          </w:p>
        </w:tc>
        <w:tc>
          <w:tcPr>
            <w:tcW w:w="295" w:type="pct"/>
            <w:tcBorders>
              <w:bottom w:val="single" w:sz="4" w:space="0" w:color="auto"/>
            </w:tcBorders>
            <w:shd w:val="clear" w:color="auto" w:fill="auto"/>
            <w:vAlign w:val="bottom"/>
          </w:tcPr>
          <w:p w14:paraId="2668717B"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15</w:t>
            </w:r>
          </w:p>
        </w:tc>
        <w:tc>
          <w:tcPr>
            <w:tcW w:w="222" w:type="pct"/>
            <w:tcBorders>
              <w:bottom w:val="single" w:sz="4" w:space="0" w:color="auto"/>
            </w:tcBorders>
            <w:shd w:val="clear" w:color="auto" w:fill="auto"/>
            <w:vAlign w:val="bottom"/>
          </w:tcPr>
          <w:p w14:paraId="0FD64591"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7</w:t>
            </w:r>
          </w:p>
        </w:tc>
        <w:tc>
          <w:tcPr>
            <w:tcW w:w="368" w:type="pct"/>
            <w:tcBorders>
              <w:bottom w:val="single" w:sz="4" w:space="0" w:color="auto"/>
            </w:tcBorders>
            <w:shd w:val="clear" w:color="auto" w:fill="auto"/>
            <w:vAlign w:val="bottom"/>
          </w:tcPr>
          <w:p w14:paraId="2A3782E6"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32</w:t>
            </w:r>
          </w:p>
        </w:tc>
        <w:tc>
          <w:tcPr>
            <w:tcW w:w="220" w:type="pct"/>
            <w:tcBorders>
              <w:bottom w:val="single" w:sz="4" w:space="0" w:color="auto"/>
            </w:tcBorders>
            <w:shd w:val="clear" w:color="auto" w:fill="auto"/>
            <w:vAlign w:val="bottom"/>
          </w:tcPr>
          <w:p w14:paraId="2EA58660"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16</w:t>
            </w:r>
          </w:p>
        </w:tc>
        <w:tc>
          <w:tcPr>
            <w:tcW w:w="295" w:type="pct"/>
            <w:tcBorders>
              <w:bottom w:val="single" w:sz="4" w:space="0" w:color="auto"/>
            </w:tcBorders>
            <w:shd w:val="clear" w:color="auto" w:fill="auto"/>
            <w:vAlign w:val="bottom"/>
          </w:tcPr>
          <w:p w14:paraId="1F20DC08"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30</w:t>
            </w:r>
          </w:p>
        </w:tc>
        <w:tc>
          <w:tcPr>
            <w:tcW w:w="220" w:type="pct"/>
            <w:tcBorders>
              <w:bottom w:val="single" w:sz="4" w:space="0" w:color="auto"/>
            </w:tcBorders>
            <w:shd w:val="clear" w:color="auto" w:fill="auto"/>
            <w:vAlign w:val="bottom"/>
          </w:tcPr>
          <w:p w14:paraId="4AA5D980"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15</w:t>
            </w:r>
          </w:p>
        </w:tc>
        <w:tc>
          <w:tcPr>
            <w:tcW w:w="294" w:type="pct"/>
            <w:tcBorders>
              <w:bottom w:val="single" w:sz="4" w:space="0" w:color="auto"/>
            </w:tcBorders>
            <w:shd w:val="clear" w:color="auto" w:fill="auto"/>
            <w:vAlign w:val="bottom"/>
          </w:tcPr>
          <w:p w14:paraId="5795DEFD"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33</w:t>
            </w:r>
          </w:p>
        </w:tc>
        <w:tc>
          <w:tcPr>
            <w:tcW w:w="222" w:type="pct"/>
            <w:tcBorders>
              <w:bottom w:val="single" w:sz="4" w:space="0" w:color="auto"/>
            </w:tcBorders>
            <w:shd w:val="clear" w:color="auto" w:fill="auto"/>
            <w:vAlign w:val="bottom"/>
          </w:tcPr>
          <w:p w14:paraId="2B98616F"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16</w:t>
            </w:r>
          </w:p>
        </w:tc>
        <w:tc>
          <w:tcPr>
            <w:tcW w:w="366" w:type="pct"/>
            <w:tcBorders>
              <w:bottom w:val="single" w:sz="4" w:space="0" w:color="auto"/>
            </w:tcBorders>
            <w:shd w:val="clear" w:color="auto" w:fill="auto"/>
            <w:vAlign w:val="bottom"/>
          </w:tcPr>
          <w:p w14:paraId="0FDEAAC8"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6</w:t>
            </w:r>
          </w:p>
        </w:tc>
        <w:tc>
          <w:tcPr>
            <w:tcW w:w="223" w:type="pct"/>
            <w:tcBorders>
              <w:bottom w:val="single" w:sz="4" w:space="0" w:color="auto"/>
            </w:tcBorders>
            <w:shd w:val="clear" w:color="auto" w:fill="auto"/>
            <w:vAlign w:val="bottom"/>
          </w:tcPr>
          <w:p w14:paraId="6C4A6AC2"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sz w:val="18"/>
              </w:rPr>
            </w:pPr>
            <w:r w:rsidRPr="008A5E67">
              <w:rPr>
                <w:sz w:val="18"/>
              </w:rPr>
              <w:t>3</w:t>
            </w:r>
          </w:p>
        </w:tc>
        <w:tc>
          <w:tcPr>
            <w:tcW w:w="289" w:type="pct"/>
            <w:tcBorders>
              <w:bottom w:val="single" w:sz="4" w:space="0" w:color="auto"/>
            </w:tcBorders>
            <w:shd w:val="clear" w:color="auto" w:fill="auto"/>
            <w:vAlign w:val="bottom"/>
          </w:tcPr>
          <w:p w14:paraId="7DEE85D7" w14:textId="77777777" w:rsidR="008A5E67" w:rsidRPr="008A5E67" w:rsidRDefault="008A5E67" w:rsidP="00C262CE">
            <w:pPr>
              <w:pStyle w:val="SingleTxtG"/>
              <w:tabs>
                <w:tab w:val="clear" w:pos="1701"/>
                <w:tab w:val="clear" w:pos="2268"/>
                <w:tab w:val="clear" w:pos="2835"/>
              </w:tabs>
              <w:spacing w:before="40" w:after="40" w:line="220" w:lineRule="exact"/>
              <w:ind w:left="113" w:right="0"/>
              <w:jc w:val="right"/>
              <w:rPr>
                <w:bCs/>
                <w:sz w:val="18"/>
              </w:rPr>
            </w:pPr>
            <w:r w:rsidRPr="008A5E67">
              <w:rPr>
                <w:bCs/>
                <w:sz w:val="18"/>
              </w:rPr>
              <w:t>201</w:t>
            </w:r>
          </w:p>
        </w:tc>
      </w:tr>
      <w:tr w:rsidR="00FA7071" w:rsidRPr="00C262CE" w14:paraId="3AD1D30C" w14:textId="77777777" w:rsidTr="00FA7071">
        <w:trPr>
          <w:trHeight w:val="240"/>
        </w:trPr>
        <w:tc>
          <w:tcPr>
            <w:tcW w:w="736" w:type="pct"/>
            <w:tcBorders>
              <w:top w:val="single" w:sz="4" w:space="0" w:color="auto"/>
              <w:bottom w:val="single" w:sz="12" w:space="0" w:color="auto"/>
            </w:tcBorders>
            <w:shd w:val="clear" w:color="auto" w:fill="auto"/>
            <w:vAlign w:val="bottom"/>
          </w:tcPr>
          <w:p w14:paraId="634AB915" w14:textId="77777777" w:rsidR="008A5E67" w:rsidRPr="008A5E67" w:rsidRDefault="008A5E67" w:rsidP="007C2B1A">
            <w:pPr>
              <w:pStyle w:val="SingleTxtG"/>
              <w:tabs>
                <w:tab w:val="clear" w:pos="1701"/>
                <w:tab w:val="clear" w:pos="2268"/>
                <w:tab w:val="clear" w:pos="2835"/>
              </w:tabs>
              <w:spacing w:before="80" w:after="80" w:line="220" w:lineRule="exact"/>
              <w:ind w:left="284" w:right="0"/>
              <w:jc w:val="left"/>
              <w:rPr>
                <w:b/>
                <w:sz w:val="18"/>
              </w:rPr>
            </w:pPr>
            <w:r w:rsidRPr="008A5E67">
              <w:rPr>
                <w:b/>
                <w:sz w:val="18"/>
              </w:rPr>
              <w:t>Total</w:t>
            </w:r>
          </w:p>
        </w:tc>
        <w:tc>
          <w:tcPr>
            <w:tcW w:w="368" w:type="pct"/>
            <w:tcBorders>
              <w:top w:val="single" w:sz="4" w:space="0" w:color="auto"/>
              <w:bottom w:val="single" w:sz="12" w:space="0" w:color="auto"/>
            </w:tcBorders>
            <w:shd w:val="clear" w:color="auto" w:fill="auto"/>
            <w:vAlign w:val="bottom"/>
          </w:tcPr>
          <w:p w14:paraId="44AB549D" w14:textId="77777777" w:rsidR="008A5E67" w:rsidRPr="008A5E67" w:rsidRDefault="008A5E67" w:rsidP="0074605D">
            <w:pPr>
              <w:pStyle w:val="SingleTxtG"/>
              <w:tabs>
                <w:tab w:val="clear" w:pos="1701"/>
                <w:tab w:val="clear" w:pos="2268"/>
                <w:tab w:val="clear" w:pos="2835"/>
              </w:tabs>
              <w:spacing w:before="80" w:after="80" w:line="220" w:lineRule="exact"/>
              <w:ind w:left="113" w:right="0"/>
              <w:jc w:val="right"/>
              <w:rPr>
                <w:b/>
                <w:sz w:val="18"/>
              </w:rPr>
            </w:pPr>
            <w:r w:rsidRPr="008A5E67">
              <w:rPr>
                <w:b/>
                <w:sz w:val="18"/>
              </w:rPr>
              <w:t>308</w:t>
            </w:r>
          </w:p>
        </w:tc>
        <w:tc>
          <w:tcPr>
            <w:tcW w:w="367" w:type="pct"/>
            <w:tcBorders>
              <w:top w:val="single" w:sz="4" w:space="0" w:color="auto"/>
              <w:bottom w:val="single" w:sz="12" w:space="0" w:color="auto"/>
            </w:tcBorders>
            <w:shd w:val="clear" w:color="auto" w:fill="auto"/>
            <w:vAlign w:val="bottom"/>
          </w:tcPr>
          <w:p w14:paraId="7BD9D9C8" w14:textId="77777777" w:rsidR="008A5E67" w:rsidRPr="008A5E67" w:rsidRDefault="008A5E67" w:rsidP="0074605D">
            <w:pPr>
              <w:pStyle w:val="SingleTxtG"/>
              <w:tabs>
                <w:tab w:val="clear" w:pos="1701"/>
                <w:tab w:val="clear" w:pos="2268"/>
                <w:tab w:val="clear" w:pos="2835"/>
              </w:tabs>
              <w:spacing w:before="80" w:after="80" w:line="220" w:lineRule="exact"/>
              <w:ind w:left="113" w:right="0"/>
              <w:jc w:val="right"/>
              <w:rPr>
                <w:b/>
                <w:sz w:val="18"/>
              </w:rPr>
            </w:pPr>
            <w:r w:rsidRPr="008A5E67">
              <w:rPr>
                <w:b/>
                <w:sz w:val="18"/>
              </w:rPr>
              <w:t>21</w:t>
            </w:r>
          </w:p>
        </w:tc>
        <w:tc>
          <w:tcPr>
            <w:tcW w:w="294" w:type="pct"/>
            <w:tcBorders>
              <w:top w:val="single" w:sz="4" w:space="0" w:color="auto"/>
              <w:bottom w:val="single" w:sz="12" w:space="0" w:color="auto"/>
            </w:tcBorders>
            <w:shd w:val="clear" w:color="auto" w:fill="auto"/>
            <w:vAlign w:val="bottom"/>
          </w:tcPr>
          <w:p w14:paraId="6F84CA2F" w14:textId="77777777" w:rsidR="008A5E67" w:rsidRPr="008A5E67" w:rsidRDefault="008A5E67" w:rsidP="0074605D">
            <w:pPr>
              <w:pStyle w:val="SingleTxtG"/>
              <w:tabs>
                <w:tab w:val="clear" w:pos="1701"/>
                <w:tab w:val="clear" w:pos="2268"/>
                <w:tab w:val="clear" w:pos="2835"/>
              </w:tabs>
              <w:spacing w:before="80" w:after="80" w:line="220" w:lineRule="exact"/>
              <w:ind w:left="113" w:right="0"/>
              <w:jc w:val="right"/>
              <w:rPr>
                <w:b/>
                <w:sz w:val="18"/>
              </w:rPr>
            </w:pPr>
            <w:r w:rsidRPr="008A5E67">
              <w:rPr>
                <w:b/>
                <w:sz w:val="18"/>
              </w:rPr>
              <w:t>314</w:t>
            </w:r>
          </w:p>
        </w:tc>
        <w:tc>
          <w:tcPr>
            <w:tcW w:w="221" w:type="pct"/>
            <w:tcBorders>
              <w:top w:val="single" w:sz="4" w:space="0" w:color="auto"/>
              <w:bottom w:val="single" w:sz="12" w:space="0" w:color="auto"/>
            </w:tcBorders>
            <w:shd w:val="clear" w:color="auto" w:fill="auto"/>
            <w:vAlign w:val="bottom"/>
          </w:tcPr>
          <w:p w14:paraId="544D6914" w14:textId="77777777" w:rsidR="008A5E67" w:rsidRPr="008A5E67" w:rsidRDefault="008A5E67" w:rsidP="0074605D">
            <w:pPr>
              <w:pStyle w:val="SingleTxtG"/>
              <w:tabs>
                <w:tab w:val="clear" w:pos="1701"/>
                <w:tab w:val="clear" w:pos="2268"/>
                <w:tab w:val="clear" w:pos="2835"/>
              </w:tabs>
              <w:spacing w:before="80" w:after="80" w:line="220" w:lineRule="exact"/>
              <w:ind w:left="113" w:right="0"/>
              <w:jc w:val="right"/>
              <w:rPr>
                <w:b/>
                <w:sz w:val="18"/>
              </w:rPr>
            </w:pPr>
            <w:r w:rsidRPr="008A5E67">
              <w:rPr>
                <w:b/>
                <w:sz w:val="18"/>
              </w:rPr>
              <w:t>21</w:t>
            </w:r>
          </w:p>
        </w:tc>
        <w:tc>
          <w:tcPr>
            <w:tcW w:w="295" w:type="pct"/>
            <w:tcBorders>
              <w:top w:val="single" w:sz="4" w:space="0" w:color="auto"/>
              <w:bottom w:val="single" w:sz="12" w:space="0" w:color="auto"/>
            </w:tcBorders>
            <w:shd w:val="clear" w:color="auto" w:fill="auto"/>
            <w:vAlign w:val="bottom"/>
          </w:tcPr>
          <w:p w14:paraId="38C515C8" w14:textId="77777777" w:rsidR="008A5E67" w:rsidRPr="008A5E67" w:rsidRDefault="008A5E67" w:rsidP="0074605D">
            <w:pPr>
              <w:pStyle w:val="SingleTxtG"/>
              <w:tabs>
                <w:tab w:val="clear" w:pos="1701"/>
                <w:tab w:val="clear" w:pos="2268"/>
                <w:tab w:val="clear" w:pos="2835"/>
              </w:tabs>
              <w:spacing w:before="80" w:after="80" w:line="220" w:lineRule="exact"/>
              <w:ind w:left="113" w:right="0"/>
              <w:jc w:val="right"/>
              <w:rPr>
                <w:b/>
                <w:sz w:val="18"/>
              </w:rPr>
            </w:pPr>
            <w:r w:rsidRPr="008A5E67">
              <w:rPr>
                <w:b/>
                <w:sz w:val="18"/>
              </w:rPr>
              <w:t>206</w:t>
            </w:r>
          </w:p>
        </w:tc>
        <w:tc>
          <w:tcPr>
            <w:tcW w:w="222" w:type="pct"/>
            <w:tcBorders>
              <w:top w:val="single" w:sz="4" w:space="0" w:color="auto"/>
              <w:bottom w:val="single" w:sz="12" w:space="0" w:color="auto"/>
            </w:tcBorders>
            <w:shd w:val="clear" w:color="auto" w:fill="auto"/>
            <w:vAlign w:val="bottom"/>
          </w:tcPr>
          <w:p w14:paraId="7BE17A9C" w14:textId="77777777" w:rsidR="008A5E67" w:rsidRPr="008A5E67" w:rsidRDefault="008A5E67" w:rsidP="0074605D">
            <w:pPr>
              <w:pStyle w:val="SingleTxtG"/>
              <w:tabs>
                <w:tab w:val="clear" w:pos="1701"/>
                <w:tab w:val="clear" w:pos="2268"/>
                <w:tab w:val="clear" w:pos="2835"/>
              </w:tabs>
              <w:spacing w:before="80" w:after="80" w:line="220" w:lineRule="exact"/>
              <w:ind w:left="113" w:right="0"/>
              <w:jc w:val="right"/>
              <w:rPr>
                <w:b/>
                <w:sz w:val="18"/>
              </w:rPr>
            </w:pPr>
            <w:r w:rsidRPr="008A5E67">
              <w:rPr>
                <w:b/>
                <w:sz w:val="18"/>
              </w:rPr>
              <w:t>14</w:t>
            </w:r>
          </w:p>
        </w:tc>
        <w:tc>
          <w:tcPr>
            <w:tcW w:w="368" w:type="pct"/>
            <w:tcBorders>
              <w:top w:val="single" w:sz="4" w:space="0" w:color="auto"/>
              <w:bottom w:val="single" w:sz="12" w:space="0" w:color="auto"/>
            </w:tcBorders>
            <w:shd w:val="clear" w:color="auto" w:fill="auto"/>
            <w:vAlign w:val="bottom"/>
          </w:tcPr>
          <w:p w14:paraId="1429B487" w14:textId="77777777" w:rsidR="008A5E67" w:rsidRPr="008A5E67" w:rsidRDefault="008A5E67" w:rsidP="0074605D">
            <w:pPr>
              <w:pStyle w:val="SingleTxtG"/>
              <w:tabs>
                <w:tab w:val="clear" w:pos="1701"/>
                <w:tab w:val="clear" w:pos="2268"/>
                <w:tab w:val="clear" w:pos="2835"/>
              </w:tabs>
              <w:spacing w:before="80" w:after="80" w:line="220" w:lineRule="exact"/>
              <w:ind w:left="113" w:right="0"/>
              <w:jc w:val="right"/>
              <w:rPr>
                <w:b/>
                <w:sz w:val="18"/>
              </w:rPr>
            </w:pPr>
            <w:r w:rsidRPr="008A5E67">
              <w:rPr>
                <w:b/>
                <w:sz w:val="18"/>
              </w:rPr>
              <w:t>220</w:t>
            </w:r>
          </w:p>
        </w:tc>
        <w:tc>
          <w:tcPr>
            <w:tcW w:w="220" w:type="pct"/>
            <w:tcBorders>
              <w:top w:val="single" w:sz="4" w:space="0" w:color="auto"/>
              <w:bottom w:val="single" w:sz="12" w:space="0" w:color="auto"/>
            </w:tcBorders>
            <w:shd w:val="clear" w:color="auto" w:fill="auto"/>
            <w:vAlign w:val="bottom"/>
          </w:tcPr>
          <w:p w14:paraId="1EFF4A47" w14:textId="77777777" w:rsidR="008A5E67" w:rsidRPr="008A5E67" w:rsidRDefault="008A5E67" w:rsidP="0074605D">
            <w:pPr>
              <w:pStyle w:val="SingleTxtG"/>
              <w:tabs>
                <w:tab w:val="clear" w:pos="1701"/>
                <w:tab w:val="clear" w:pos="2268"/>
                <w:tab w:val="clear" w:pos="2835"/>
              </w:tabs>
              <w:spacing w:before="80" w:after="80" w:line="220" w:lineRule="exact"/>
              <w:ind w:left="113" w:right="0"/>
              <w:jc w:val="right"/>
              <w:rPr>
                <w:b/>
                <w:sz w:val="18"/>
              </w:rPr>
            </w:pPr>
            <w:r w:rsidRPr="008A5E67">
              <w:rPr>
                <w:b/>
                <w:sz w:val="18"/>
              </w:rPr>
              <w:t>15</w:t>
            </w:r>
          </w:p>
        </w:tc>
        <w:tc>
          <w:tcPr>
            <w:tcW w:w="295" w:type="pct"/>
            <w:tcBorders>
              <w:top w:val="single" w:sz="4" w:space="0" w:color="auto"/>
              <w:bottom w:val="single" w:sz="12" w:space="0" w:color="auto"/>
            </w:tcBorders>
            <w:shd w:val="clear" w:color="auto" w:fill="auto"/>
            <w:vAlign w:val="bottom"/>
          </w:tcPr>
          <w:p w14:paraId="42D15837" w14:textId="77777777" w:rsidR="008A5E67" w:rsidRPr="008A5E67" w:rsidRDefault="008A5E67" w:rsidP="0074605D">
            <w:pPr>
              <w:pStyle w:val="SingleTxtG"/>
              <w:tabs>
                <w:tab w:val="clear" w:pos="1701"/>
                <w:tab w:val="clear" w:pos="2268"/>
                <w:tab w:val="clear" w:pos="2835"/>
              </w:tabs>
              <w:spacing w:before="80" w:after="80" w:line="220" w:lineRule="exact"/>
              <w:ind w:left="113" w:right="0"/>
              <w:jc w:val="right"/>
              <w:rPr>
                <w:b/>
                <w:sz w:val="18"/>
              </w:rPr>
            </w:pPr>
            <w:r w:rsidRPr="008A5E67">
              <w:rPr>
                <w:b/>
                <w:sz w:val="18"/>
              </w:rPr>
              <w:t>176</w:t>
            </w:r>
          </w:p>
        </w:tc>
        <w:tc>
          <w:tcPr>
            <w:tcW w:w="220" w:type="pct"/>
            <w:tcBorders>
              <w:top w:val="single" w:sz="4" w:space="0" w:color="auto"/>
              <w:bottom w:val="single" w:sz="12" w:space="0" w:color="auto"/>
            </w:tcBorders>
            <w:shd w:val="clear" w:color="auto" w:fill="auto"/>
            <w:vAlign w:val="bottom"/>
          </w:tcPr>
          <w:p w14:paraId="74320853" w14:textId="77777777" w:rsidR="008A5E67" w:rsidRPr="008A5E67" w:rsidRDefault="008A5E67" w:rsidP="0074605D">
            <w:pPr>
              <w:pStyle w:val="SingleTxtG"/>
              <w:tabs>
                <w:tab w:val="clear" w:pos="1701"/>
                <w:tab w:val="clear" w:pos="2268"/>
                <w:tab w:val="clear" w:pos="2835"/>
              </w:tabs>
              <w:spacing w:before="80" w:after="80" w:line="220" w:lineRule="exact"/>
              <w:ind w:left="113" w:right="0"/>
              <w:jc w:val="right"/>
              <w:rPr>
                <w:b/>
                <w:sz w:val="18"/>
              </w:rPr>
            </w:pPr>
            <w:r w:rsidRPr="008A5E67">
              <w:rPr>
                <w:b/>
                <w:sz w:val="18"/>
              </w:rPr>
              <w:t>12</w:t>
            </w:r>
          </w:p>
        </w:tc>
        <w:tc>
          <w:tcPr>
            <w:tcW w:w="294" w:type="pct"/>
            <w:tcBorders>
              <w:top w:val="single" w:sz="4" w:space="0" w:color="auto"/>
              <w:bottom w:val="single" w:sz="12" w:space="0" w:color="auto"/>
            </w:tcBorders>
            <w:shd w:val="clear" w:color="auto" w:fill="auto"/>
            <w:vAlign w:val="bottom"/>
          </w:tcPr>
          <w:p w14:paraId="3E7649E5" w14:textId="77777777" w:rsidR="008A5E67" w:rsidRPr="008A5E67" w:rsidRDefault="008A5E67" w:rsidP="0074605D">
            <w:pPr>
              <w:pStyle w:val="SingleTxtG"/>
              <w:tabs>
                <w:tab w:val="clear" w:pos="1701"/>
                <w:tab w:val="clear" w:pos="2268"/>
                <w:tab w:val="clear" w:pos="2835"/>
              </w:tabs>
              <w:spacing w:before="80" w:after="80" w:line="220" w:lineRule="exact"/>
              <w:ind w:left="113" w:right="0"/>
              <w:jc w:val="right"/>
              <w:rPr>
                <w:b/>
                <w:sz w:val="18"/>
              </w:rPr>
            </w:pPr>
            <w:r w:rsidRPr="008A5E67">
              <w:rPr>
                <w:b/>
                <w:sz w:val="18"/>
              </w:rPr>
              <w:t>199</w:t>
            </w:r>
          </w:p>
        </w:tc>
        <w:tc>
          <w:tcPr>
            <w:tcW w:w="222" w:type="pct"/>
            <w:tcBorders>
              <w:top w:val="single" w:sz="4" w:space="0" w:color="auto"/>
              <w:bottom w:val="single" w:sz="12" w:space="0" w:color="auto"/>
            </w:tcBorders>
            <w:shd w:val="clear" w:color="auto" w:fill="auto"/>
            <w:vAlign w:val="bottom"/>
          </w:tcPr>
          <w:p w14:paraId="5AFDA5D7" w14:textId="77777777" w:rsidR="008A5E67" w:rsidRPr="008A5E67" w:rsidRDefault="008A5E67" w:rsidP="0074605D">
            <w:pPr>
              <w:pStyle w:val="SingleTxtG"/>
              <w:tabs>
                <w:tab w:val="clear" w:pos="1701"/>
                <w:tab w:val="clear" w:pos="2268"/>
                <w:tab w:val="clear" w:pos="2835"/>
              </w:tabs>
              <w:spacing w:before="80" w:after="80" w:line="220" w:lineRule="exact"/>
              <w:ind w:left="113" w:right="0"/>
              <w:jc w:val="right"/>
              <w:rPr>
                <w:b/>
                <w:sz w:val="18"/>
              </w:rPr>
            </w:pPr>
            <w:r w:rsidRPr="008A5E67">
              <w:rPr>
                <w:b/>
                <w:sz w:val="18"/>
              </w:rPr>
              <w:t>13</w:t>
            </w:r>
          </w:p>
        </w:tc>
        <w:tc>
          <w:tcPr>
            <w:tcW w:w="366" w:type="pct"/>
            <w:tcBorders>
              <w:top w:val="single" w:sz="4" w:space="0" w:color="auto"/>
              <w:bottom w:val="single" w:sz="12" w:space="0" w:color="auto"/>
            </w:tcBorders>
            <w:shd w:val="clear" w:color="auto" w:fill="auto"/>
            <w:vAlign w:val="bottom"/>
          </w:tcPr>
          <w:p w14:paraId="4FD0062A" w14:textId="77777777" w:rsidR="008A5E67" w:rsidRPr="008A5E67" w:rsidRDefault="008A5E67" w:rsidP="0074605D">
            <w:pPr>
              <w:pStyle w:val="SingleTxtG"/>
              <w:tabs>
                <w:tab w:val="clear" w:pos="1701"/>
                <w:tab w:val="clear" w:pos="2268"/>
                <w:tab w:val="clear" w:pos="2835"/>
              </w:tabs>
              <w:spacing w:before="80" w:after="80" w:line="220" w:lineRule="exact"/>
              <w:ind w:left="113" w:right="0"/>
              <w:jc w:val="right"/>
              <w:rPr>
                <w:b/>
                <w:sz w:val="18"/>
              </w:rPr>
            </w:pPr>
            <w:r w:rsidRPr="008A5E67">
              <w:rPr>
                <w:b/>
                <w:sz w:val="18"/>
              </w:rPr>
              <w:t>58</w:t>
            </w:r>
          </w:p>
        </w:tc>
        <w:tc>
          <w:tcPr>
            <w:tcW w:w="223" w:type="pct"/>
            <w:tcBorders>
              <w:top w:val="single" w:sz="4" w:space="0" w:color="auto"/>
              <w:bottom w:val="single" w:sz="12" w:space="0" w:color="auto"/>
            </w:tcBorders>
            <w:shd w:val="clear" w:color="auto" w:fill="auto"/>
            <w:vAlign w:val="bottom"/>
          </w:tcPr>
          <w:p w14:paraId="7A896A06" w14:textId="77777777" w:rsidR="008A5E67" w:rsidRPr="008A5E67" w:rsidRDefault="008A5E67" w:rsidP="0074605D">
            <w:pPr>
              <w:pStyle w:val="SingleTxtG"/>
              <w:tabs>
                <w:tab w:val="clear" w:pos="1701"/>
                <w:tab w:val="clear" w:pos="2268"/>
                <w:tab w:val="clear" w:pos="2835"/>
              </w:tabs>
              <w:spacing w:before="80" w:after="80" w:line="220" w:lineRule="exact"/>
              <w:ind w:left="113" w:right="0"/>
              <w:jc w:val="right"/>
              <w:rPr>
                <w:b/>
                <w:sz w:val="18"/>
              </w:rPr>
            </w:pPr>
            <w:r w:rsidRPr="008A5E67">
              <w:rPr>
                <w:b/>
                <w:sz w:val="18"/>
              </w:rPr>
              <w:t>4</w:t>
            </w:r>
          </w:p>
        </w:tc>
        <w:tc>
          <w:tcPr>
            <w:tcW w:w="289" w:type="pct"/>
            <w:tcBorders>
              <w:top w:val="single" w:sz="4" w:space="0" w:color="auto"/>
              <w:bottom w:val="single" w:sz="12" w:space="0" w:color="auto"/>
            </w:tcBorders>
            <w:shd w:val="clear" w:color="auto" w:fill="auto"/>
            <w:vAlign w:val="bottom"/>
          </w:tcPr>
          <w:p w14:paraId="04B5502F" w14:textId="219448CE" w:rsidR="008A5E67" w:rsidRPr="008A5E67" w:rsidRDefault="008A5E67" w:rsidP="0074605D">
            <w:pPr>
              <w:pStyle w:val="SingleTxtG"/>
              <w:tabs>
                <w:tab w:val="clear" w:pos="1701"/>
                <w:tab w:val="clear" w:pos="2268"/>
                <w:tab w:val="clear" w:pos="2835"/>
              </w:tabs>
              <w:spacing w:before="80" w:after="80" w:line="220" w:lineRule="exact"/>
              <w:ind w:left="113" w:right="0"/>
              <w:jc w:val="right"/>
              <w:rPr>
                <w:b/>
                <w:sz w:val="18"/>
              </w:rPr>
            </w:pPr>
            <w:r w:rsidRPr="008A5E67">
              <w:rPr>
                <w:b/>
                <w:sz w:val="18"/>
              </w:rPr>
              <w:t>1</w:t>
            </w:r>
            <w:r w:rsidR="008741F3">
              <w:rPr>
                <w:b/>
                <w:sz w:val="18"/>
              </w:rPr>
              <w:t xml:space="preserve"> </w:t>
            </w:r>
            <w:r w:rsidRPr="008A5E67">
              <w:rPr>
                <w:b/>
                <w:sz w:val="18"/>
              </w:rPr>
              <w:t>483</w:t>
            </w:r>
          </w:p>
        </w:tc>
      </w:tr>
    </w:tbl>
    <w:p w14:paraId="1E9A4123" w14:textId="77777777" w:rsidR="008A5E67" w:rsidRPr="008A5E67" w:rsidRDefault="008A5E67" w:rsidP="00FA7071">
      <w:pPr>
        <w:pStyle w:val="SingleTxtG"/>
        <w:spacing w:before="120" w:after="240"/>
        <w:ind w:left="0" w:right="0" w:firstLine="170"/>
        <w:jc w:val="left"/>
        <w:rPr>
          <w:i/>
          <w:sz w:val="18"/>
          <w:szCs w:val="18"/>
        </w:rPr>
      </w:pPr>
      <w:r w:rsidRPr="008A5E67">
        <w:rPr>
          <w:i/>
          <w:iCs/>
          <w:sz w:val="18"/>
          <w:szCs w:val="18"/>
        </w:rPr>
        <w:t>Fuente</w:t>
      </w:r>
      <w:r w:rsidRPr="008A5E67">
        <w:rPr>
          <w:i/>
          <w:sz w:val="18"/>
          <w:szCs w:val="18"/>
        </w:rPr>
        <w:t>:</w:t>
      </w:r>
      <w:r w:rsidRPr="008A5E67">
        <w:rPr>
          <w:sz w:val="18"/>
          <w:szCs w:val="18"/>
        </w:rPr>
        <w:t xml:space="preserve"> Dirección Nacional de Salud, </w:t>
      </w:r>
      <w:proofErr w:type="spellStart"/>
      <w:r w:rsidRPr="008A5E67">
        <w:rPr>
          <w:i/>
          <w:iCs/>
          <w:sz w:val="18"/>
          <w:szCs w:val="18"/>
        </w:rPr>
        <w:t>Annuaire</w:t>
      </w:r>
      <w:proofErr w:type="spellEnd"/>
      <w:r w:rsidRPr="008A5E67">
        <w:rPr>
          <w:i/>
          <w:iCs/>
          <w:sz w:val="18"/>
          <w:szCs w:val="18"/>
        </w:rPr>
        <w:t xml:space="preserve"> </w:t>
      </w:r>
      <w:proofErr w:type="spellStart"/>
      <w:r w:rsidRPr="008A5E67">
        <w:rPr>
          <w:i/>
          <w:iCs/>
          <w:sz w:val="18"/>
          <w:szCs w:val="18"/>
        </w:rPr>
        <w:t>statistique</w:t>
      </w:r>
      <w:proofErr w:type="spellEnd"/>
      <w:r w:rsidRPr="008A5E67">
        <w:rPr>
          <w:i/>
          <w:iCs/>
          <w:sz w:val="18"/>
          <w:szCs w:val="18"/>
        </w:rPr>
        <w:t>,</w:t>
      </w:r>
      <w:r w:rsidRPr="008A5E67">
        <w:rPr>
          <w:sz w:val="18"/>
          <w:szCs w:val="18"/>
        </w:rPr>
        <w:t xml:space="preserve"> </w:t>
      </w:r>
      <w:proofErr w:type="spellStart"/>
      <w:r w:rsidRPr="008A5E67">
        <w:rPr>
          <w:sz w:val="18"/>
          <w:szCs w:val="18"/>
        </w:rPr>
        <w:t>SLIS</w:t>
      </w:r>
      <w:proofErr w:type="spellEnd"/>
      <w:r w:rsidRPr="008A5E67">
        <w:rPr>
          <w:sz w:val="18"/>
          <w:szCs w:val="18"/>
        </w:rPr>
        <w:t xml:space="preserve"> 2012.</w:t>
      </w:r>
    </w:p>
    <w:p w14:paraId="1EC1A406" w14:textId="18134A9F" w:rsidR="008A5E67" w:rsidRPr="008A5E67" w:rsidRDefault="008A5E67" w:rsidP="00C262CE">
      <w:pPr>
        <w:pStyle w:val="H56G"/>
      </w:pPr>
      <w:r w:rsidRPr="008A5E67">
        <w:tab/>
      </w:r>
      <w:r w:rsidRPr="008A5E67">
        <w:tab/>
        <w:t xml:space="preserve">Rendición de cuentas de las partes interesadas y refuerzo de la solidaridad </w:t>
      </w:r>
      <w:r w:rsidR="00C262CE">
        <w:br/>
      </w:r>
      <w:r w:rsidRPr="008A5E67">
        <w:t>para garantizar el acceso universal a la atención de la salud</w:t>
      </w:r>
    </w:p>
    <w:p w14:paraId="05BE3886" w14:textId="77777777" w:rsidR="008A5E67" w:rsidRPr="008A5E67" w:rsidRDefault="008A5E67" w:rsidP="008A5E67">
      <w:pPr>
        <w:pStyle w:val="SingleTxtG"/>
        <w:rPr>
          <w:bCs/>
        </w:rPr>
      </w:pPr>
      <w:r w:rsidRPr="008A5E67">
        <w:t>109.</w:t>
      </w:r>
      <w:r w:rsidRPr="008A5E67">
        <w:tab/>
        <w:t xml:space="preserve">Más del 50 % de las asociaciones de salud comunitarias ha firmado la convención con los municipios respectivos en el contexto de la descentralización. </w:t>
      </w:r>
    </w:p>
    <w:p w14:paraId="6D8B24F3" w14:textId="455728F3" w:rsidR="008A5E67" w:rsidRPr="008A5E67" w:rsidRDefault="008A5E67" w:rsidP="008A5E67">
      <w:pPr>
        <w:pStyle w:val="SingleTxtG"/>
        <w:rPr>
          <w:bCs/>
        </w:rPr>
      </w:pPr>
      <w:r w:rsidRPr="008A5E67">
        <w:t>110.</w:t>
      </w:r>
      <w:r w:rsidRPr="008A5E67">
        <w:tab/>
        <w:t xml:space="preserve">El gasto total anual per cápita en salud pasó de 18 USD en 1998 a 38 USD en 2009. Los hogares contribuyen al menos en un 52 % al gasto total. La contribución del sector de la salud al PIB pasó del 1,4 % en 2002 al 2 % en 2009, y la proporción correspondiente en el presupuesto nacional aumentó respectivamente del 6,4 % al 8,16 % en el mismo período, aún lejos del compromiso adquirido por los jefes de Estado africanos en Abuya. La adopción </w:t>
      </w:r>
      <w:r w:rsidRPr="008A5E67">
        <w:lastRenderedPageBreak/>
        <w:t>en</w:t>
      </w:r>
      <w:r w:rsidR="007A513F">
        <w:t> </w:t>
      </w:r>
      <w:r w:rsidRPr="008A5E67">
        <w:t xml:space="preserve">2009 de la Política de Desarrollo de los Recursos Humanos en la esfera de la Salud y de sus diversos planes ha permitido mejorar la plataforma técnica. </w:t>
      </w:r>
    </w:p>
    <w:p w14:paraId="0E1567EE" w14:textId="77777777" w:rsidR="008A5E67" w:rsidRPr="008A5E67" w:rsidRDefault="008A5E67" w:rsidP="00C262CE">
      <w:pPr>
        <w:pStyle w:val="H56G"/>
      </w:pPr>
      <w:r w:rsidRPr="008A5E67">
        <w:tab/>
      </w:r>
      <w:r w:rsidRPr="008A5E67">
        <w:tab/>
        <w:t>Acceso a los servicios de salud</w:t>
      </w:r>
    </w:p>
    <w:p w14:paraId="6640CD6E" w14:textId="77777777" w:rsidR="008A5E67" w:rsidRPr="008A5E67" w:rsidRDefault="008A5E67" w:rsidP="008A5E67">
      <w:pPr>
        <w:pStyle w:val="SingleTxtG"/>
        <w:rPr>
          <w:bCs/>
        </w:rPr>
      </w:pPr>
      <w:r w:rsidRPr="008A5E67">
        <w:t>111.</w:t>
      </w:r>
      <w:r w:rsidRPr="008A5E67">
        <w:tab/>
        <w:t>La reforma hospitalaria confirió a los hospitales la condición de establecimiento público hospitalario con autonomía de gestión.</w:t>
      </w:r>
    </w:p>
    <w:p w14:paraId="5F15E919" w14:textId="1ECDA076" w:rsidR="008A5E67" w:rsidRPr="008A5E67" w:rsidRDefault="008A5E67" w:rsidP="008A5E67">
      <w:pPr>
        <w:pStyle w:val="SingleTxtG"/>
        <w:rPr>
          <w:bCs/>
        </w:rPr>
      </w:pPr>
      <w:r w:rsidRPr="008A5E67">
        <w:t>112.</w:t>
      </w:r>
      <w:r w:rsidRPr="008A5E67">
        <w:tab/>
        <w:t xml:space="preserve">El sistema de derivación/evacuación para emergencias obstétricas se creó a través del programa de salud perinatal. Está en proceso de implantación y no está operativo en todos los círculos. Para armonizar las intervenciones, en mayo de 2000 se elaboró un </w:t>
      </w:r>
      <w:r w:rsidR="00F374AD">
        <w:t>“</w:t>
      </w:r>
      <w:r w:rsidRPr="008A5E67">
        <w:t>Marco Conceptual para la Organización del Sistema de Derivación/Evacuación en Malí</w:t>
      </w:r>
      <w:r w:rsidR="00F374AD">
        <w:t>”</w:t>
      </w:r>
      <w:r w:rsidRPr="008A5E67">
        <w:t>. El informe sobre las revisiones de la atención obstétrica y neonatal de emergencia de 2006 a 2012 muestra que todos los centros de salud de referencia ofrecen atención obstétrica y neonatal de emergencia integral, mientras que solo 81 de los 1.134 centros de salud comunitarios (es decir, el 7,14 %) cuentan con cobertura de atención obstétrica y neonatal de emergencia básica.</w:t>
      </w:r>
    </w:p>
    <w:p w14:paraId="669C52C0" w14:textId="77777777" w:rsidR="008A5E67" w:rsidRPr="008A5E67" w:rsidRDefault="008A5E67" w:rsidP="008A5E67">
      <w:pPr>
        <w:pStyle w:val="SingleTxtG"/>
      </w:pPr>
      <w:r w:rsidRPr="008A5E67">
        <w:t>113.</w:t>
      </w:r>
      <w:r w:rsidRPr="008A5E67">
        <w:tab/>
        <w:t>A pesar de la buena cobertura actual de atención obstétrica y neonatal de emergencia integral en Malí, aún queda trabajo por hacer para cumplir las normas del sistema de las Naciones Unidas, que fijan el objetivo de contar con una estructura de atención obstétrica y neonatal de emergencia integral por cada 500.000 habitantes y con cuatro estructuras de atención obstétrica y neonatal de emergencia básica por cada estructura de atención obstétrica y neonatal de emergencia integral.</w:t>
      </w:r>
    </w:p>
    <w:p w14:paraId="161F7475" w14:textId="77777777" w:rsidR="008A5E67" w:rsidRPr="008A5E67" w:rsidRDefault="008A5E67" w:rsidP="008A5E67">
      <w:pPr>
        <w:pStyle w:val="SingleTxtG"/>
        <w:rPr>
          <w:bCs/>
        </w:rPr>
      </w:pPr>
      <w:r w:rsidRPr="008A5E67">
        <w:t>114.</w:t>
      </w:r>
      <w:r w:rsidRPr="008A5E67">
        <w:tab/>
        <w:t xml:space="preserve">La aplicación de la Política Farmacéutica Nacional adoptada en 1999 ha contribuido a estructurar el sector farmacéutico y ha mejorado la disponibilidad y la utilización razonable de medicamentos esenciales. </w:t>
      </w:r>
      <w:bookmarkStart w:id="174" w:name="_Toc301249991"/>
      <w:bookmarkStart w:id="175" w:name="_Toc334169781"/>
    </w:p>
    <w:p w14:paraId="4FC364C6" w14:textId="77777777" w:rsidR="008A5E67" w:rsidRPr="008A5E67" w:rsidRDefault="008A5E67" w:rsidP="00C262CE">
      <w:pPr>
        <w:pStyle w:val="H56G"/>
      </w:pPr>
      <w:bookmarkStart w:id="176" w:name="_Toc386794690"/>
      <w:bookmarkStart w:id="177" w:name="_Toc386807822"/>
      <w:bookmarkStart w:id="178" w:name="_Toc414372934"/>
      <w:bookmarkStart w:id="179" w:name="_Toc414373163"/>
      <w:bookmarkStart w:id="180" w:name="_Toc414377659"/>
      <w:r w:rsidRPr="008A5E67">
        <w:tab/>
      </w:r>
      <w:r w:rsidRPr="008A5E67">
        <w:tab/>
        <w:t>Atención prenatal y parto</w:t>
      </w:r>
      <w:bookmarkEnd w:id="174"/>
      <w:bookmarkEnd w:id="175"/>
      <w:bookmarkEnd w:id="176"/>
      <w:bookmarkEnd w:id="177"/>
      <w:bookmarkEnd w:id="178"/>
      <w:bookmarkEnd w:id="179"/>
      <w:bookmarkEnd w:id="180"/>
    </w:p>
    <w:p w14:paraId="15FDE995" w14:textId="6DC62F6A" w:rsidR="008A5E67" w:rsidRPr="008A5E67" w:rsidRDefault="008A5E67" w:rsidP="008A5E67">
      <w:pPr>
        <w:pStyle w:val="SingleTxtG"/>
        <w:rPr>
          <w:bCs/>
        </w:rPr>
      </w:pPr>
      <w:r w:rsidRPr="008A5E67">
        <w:t>115.</w:t>
      </w:r>
      <w:r w:rsidRPr="008A5E67">
        <w:tab/>
        <w:t xml:space="preserve">La atención prenatal apropiada durante el parto es importante para velar por la buena salud de la madre y el niño. Según la </w:t>
      </w:r>
      <w:proofErr w:type="spellStart"/>
      <w:r w:rsidRPr="008A5E67">
        <w:t>EDSM</w:t>
      </w:r>
      <w:proofErr w:type="spellEnd"/>
      <w:r w:rsidRPr="008A5E67">
        <w:t xml:space="preserve"> V, el 74 % de las mujeres consultó a un profesional de la salud durante su último embarazo, proporción que había aumentado ligeramente desde la </w:t>
      </w:r>
      <w:proofErr w:type="spellStart"/>
      <w:r w:rsidRPr="008A5E67">
        <w:t>EDSM</w:t>
      </w:r>
      <w:proofErr w:type="spellEnd"/>
      <w:r w:rsidRPr="008A5E67">
        <w:t xml:space="preserve"> IV de 2006 (70 %). Las mujeres que viven en zonas urbanas (93</w:t>
      </w:r>
      <w:r w:rsidR="007A513F">
        <w:t> </w:t>
      </w:r>
      <w:r w:rsidRPr="008A5E67">
        <w:t>%) consultaron a un profesional de la salud con más asiduidad que las que viven en zonas rurales (69 %).</w:t>
      </w:r>
    </w:p>
    <w:p w14:paraId="48F6B0F3" w14:textId="77777777" w:rsidR="008A5E67" w:rsidRPr="008A5E67" w:rsidRDefault="008A5E67" w:rsidP="00C262CE">
      <w:pPr>
        <w:pStyle w:val="H56G"/>
      </w:pPr>
      <w:r w:rsidRPr="008A5E67">
        <w:tab/>
      </w:r>
      <w:r w:rsidRPr="008A5E67">
        <w:tab/>
        <w:t>Salud maternoinfantil</w:t>
      </w:r>
    </w:p>
    <w:p w14:paraId="07897F3C" w14:textId="6E10E5F5" w:rsidR="008A5E67" w:rsidRPr="008A5E67" w:rsidRDefault="008A5E67" w:rsidP="00C262CE">
      <w:pPr>
        <w:pStyle w:val="SingleTxtG"/>
        <w:keepNext/>
        <w:keepLines/>
        <w:jc w:val="left"/>
        <w:rPr>
          <w:b/>
        </w:rPr>
      </w:pPr>
      <w:bookmarkStart w:id="181" w:name="_Toc386807824"/>
      <w:bookmarkStart w:id="182" w:name="_Toc414372936"/>
      <w:bookmarkStart w:id="183" w:name="_Toc414373165"/>
      <w:bookmarkStart w:id="184" w:name="_Toc414377661"/>
      <w:r w:rsidRPr="008A5E67">
        <w:rPr>
          <w:bCs/>
        </w:rPr>
        <w:t>Gráfico 1</w:t>
      </w:r>
      <w:r w:rsidR="00C262CE">
        <w:rPr>
          <w:bCs/>
        </w:rPr>
        <w:br/>
      </w:r>
      <w:r w:rsidRPr="008A5E67">
        <w:rPr>
          <w:b/>
        </w:rPr>
        <w:t xml:space="preserve">Indicadores de salud maternoinfantil, </w:t>
      </w:r>
      <w:proofErr w:type="spellStart"/>
      <w:r w:rsidRPr="008A5E67">
        <w:rPr>
          <w:b/>
        </w:rPr>
        <w:t>EDSM</w:t>
      </w:r>
      <w:proofErr w:type="spellEnd"/>
      <w:r w:rsidRPr="008A5E67">
        <w:rPr>
          <w:b/>
        </w:rPr>
        <w:t xml:space="preserve"> IV (2006) y </w:t>
      </w:r>
      <w:proofErr w:type="spellStart"/>
      <w:r w:rsidRPr="008A5E67">
        <w:rPr>
          <w:b/>
        </w:rPr>
        <w:t>EDSM</w:t>
      </w:r>
      <w:proofErr w:type="spellEnd"/>
      <w:r w:rsidRPr="008A5E67">
        <w:rPr>
          <w:b/>
        </w:rPr>
        <w:t xml:space="preserve"> V (2012-2013)</w:t>
      </w:r>
      <w:bookmarkEnd w:id="181"/>
      <w:bookmarkEnd w:id="182"/>
      <w:bookmarkEnd w:id="183"/>
      <w:bookmarkEnd w:id="184"/>
    </w:p>
    <w:p w14:paraId="40E2DE63" w14:textId="77777777" w:rsidR="008A5E67" w:rsidRPr="008A5E67" w:rsidRDefault="008A5E67" w:rsidP="008A5E67">
      <w:pPr>
        <w:pStyle w:val="SingleTxtG"/>
      </w:pPr>
      <w:r w:rsidRPr="008A5E67">
        <w:rPr>
          <w:noProof/>
        </w:rPr>
        <w:drawing>
          <wp:inline distT="0" distB="0" distL="0" distR="0" wp14:anchorId="715CEE1A" wp14:editId="59029A62">
            <wp:extent cx="4622723" cy="3040708"/>
            <wp:effectExtent l="0" t="0" r="6985"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0096" cy="3078446"/>
                    </a:xfrm>
                    <a:prstGeom prst="rect">
                      <a:avLst/>
                    </a:prstGeom>
                    <a:noFill/>
                    <a:ln>
                      <a:noFill/>
                    </a:ln>
                  </pic:spPr>
                </pic:pic>
              </a:graphicData>
            </a:graphic>
          </wp:inline>
        </w:drawing>
      </w:r>
    </w:p>
    <w:p w14:paraId="2400BD14" w14:textId="77777777" w:rsidR="008A5E67" w:rsidRPr="008A5E67" w:rsidRDefault="008A5E67" w:rsidP="00C262CE">
      <w:pPr>
        <w:pStyle w:val="SingleTxtG"/>
        <w:spacing w:before="240"/>
        <w:rPr>
          <w:bCs/>
        </w:rPr>
      </w:pPr>
      <w:r w:rsidRPr="008A5E67">
        <w:lastRenderedPageBreak/>
        <w:t>116.</w:t>
      </w:r>
      <w:r w:rsidRPr="008A5E67">
        <w:tab/>
        <w:t xml:space="preserve">Los resultados de la </w:t>
      </w:r>
      <w:proofErr w:type="spellStart"/>
      <w:r w:rsidRPr="008A5E67">
        <w:t>EDSM</w:t>
      </w:r>
      <w:proofErr w:type="spellEnd"/>
      <w:r w:rsidRPr="008A5E67">
        <w:t xml:space="preserve"> V muestran que el 55 % de los nacimientos tuvo lugar en un establecimiento de salud, frente al 45 % en 2006.</w:t>
      </w:r>
    </w:p>
    <w:p w14:paraId="4B625C57" w14:textId="77777777" w:rsidR="008A5E67" w:rsidRPr="008A5E67" w:rsidRDefault="008A5E67" w:rsidP="008A5E67">
      <w:pPr>
        <w:pStyle w:val="SingleTxtG"/>
      </w:pPr>
      <w:r w:rsidRPr="008A5E67">
        <w:t>117.</w:t>
      </w:r>
      <w:r w:rsidRPr="008A5E67">
        <w:tab/>
        <w:t xml:space="preserve">El 59 % de los partos fue atendido por personal cualificado. Esta proporción ha aumentado desde 2006, cuando se estimaba en un 49 %. </w:t>
      </w:r>
      <w:bookmarkStart w:id="185" w:name="_Toc301249992"/>
      <w:bookmarkStart w:id="186" w:name="_Toc334169782"/>
    </w:p>
    <w:p w14:paraId="177D58AA" w14:textId="77777777" w:rsidR="008A5E67" w:rsidRPr="008A5E67" w:rsidRDefault="008A5E67" w:rsidP="00C262CE">
      <w:pPr>
        <w:pStyle w:val="H56G"/>
      </w:pPr>
      <w:r w:rsidRPr="008A5E67">
        <w:tab/>
      </w:r>
      <w:r w:rsidRPr="008A5E67">
        <w:tab/>
        <w:t>Vacunación infantil</w:t>
      </w:r>
      <w:bookmarkEnd w:id="185"/>
      <w:bookmarkEnd w:id="186"/>
    </w:p>
    <w:p w14:paraId="3EBF2A2E" w14:textId="4CC5C3CD" w:rsidR="008A5E67" w:rsidRPr="008A5E67" w:rsidRDefault="008A5E67" w:rsidP="008A5E67">
      <w:pPr>
        <w:pStyle w:val="SingleTxtG"/>
        <w:rPr>
          <w:bCs/>
        </w:rPr>
      </w:pPr>
      <w:r w:rsidRPr="008A5E67">
        <w:t>118.</w:t>
      </w:r>
      <w:r w:rsidRPr="008A5E67">
        <w:tab/>
        <w:t>Según las cartillas de vacunación presentadas y/o las declaraciones de las madres, el</w:t>
      </w:r>
      <w:r w:rsidR="007A513F">
        <w:t> </w:t>
      </w:r>
      <w:r w:rsidRPr="008A5E67">
        <w:t>39 % de los niños de entre 12 y 23 meses ha sido vacunado completamente y el 12% no ha recibido ninguna vacuna. El 72 % de los niños de 12 a 23 meses ha sido vacunado contra el sarampión y el 63 % ha recibido la tercera dosis contra la difteria, el tétanos y la tos ferina. La tasa de desperdicio es del 21 %.</w:t>
      </w:r>
    </w:p>
    <w:p w14:paraId="46C1F7EF" w14:textId="622FF45B" w:rsidR="008A5E67" w:rsidRPr="008A5E67" w:rsidRDefault="00C262CE" w:rsidP="00C262CE">
      <w:pPr>
        <w:pStyle w:val="H4G"/>
      </w:pPr>
      <w:bookmarkStart w:id="187" w:name="_Toc414372937"/>
      <w:bookmarkStart w:id="188" w:name="_Toc414373166"/>
      <w:bookmarkStart w:id="189" w:name="_Toc414377662"/>
      <w:bookmarkStart w:id="190" w:name="_Toc35441108"/>
      <w:r>
        <w:rPr>
          <w:iCs/>
        </w:rPr>
        <w:tab/>
      </w:r>
      <w:r w:rsidR="008A5E67" w:rsidRPr="008A5E67">
        <w:rPr>
          <w:iCs/>
        </w:rPr>
        <w:t>6.1.2</w:t>
      </w:r>
      <w:r w:rsidR="008A5E67" w:rsidRPr="008A5E67">
        <w:tab/>
        <w:t>Situación nutricional</w:t>
      </w:r>
      <w:bookmarkEnd w:id="187"/>
      <w:bookmarkEnd w:id="188"/>
      <w:bookmarkEnd w:id="189"/>
      <w:bookmarkEnd w:id="190"/>
    </w:p>
    <w:p w14:paraId="1A5161C5" w14:textId="77777777" w:rsidR="008A5E67" w:rsidRPr="008A5E67" w:rsidRDefault="008A5E67" w:rsidP="00C262CE">
      <w:pPr>
        <w:pStyle w:val="H56G"/>
      </w:pPr>
      <w:bookmarkStart w:id="191" w:name="_Toc301249994"/>
      <w:bookmarkStart w:id="192" w:name="_Toc334169787"/>
      <w:bookmarkStart w:id="193" w:name="_Toc386794691"/>
      <w:bookmarkStart w:id="194" w:name="_Toc386807825"/>
      <w:bookmarkStart w:id="195" w:name="_Toc414372938"/>
      <w:bookmarkStart w:id="196" w:name="_Toc414373167"/>
      <w:bookmarkStart w:id="197" w:name="_Toc414377663"/>
      <w:r w:rsidRPr="008A5E67">
        <w:tab/>
      </w:r>
      <w:r w:rsidRPr="008A5E67">
        <w:tab/>
        <w:t>Lactancia y alimentación complementaria</w:t>
      </w:r>
      <w:bookmarkEnd w:id="191"/>
      <w:bookmarkEnd w:id="192"/>
      <w:bookmarkEnd w:id="193"/>
      <w:bookmarkEnd w:id="194"/>
      <w:bookmarkEnd w:id="195"/>
      <w:bookmarkEnd w:id="196"/>
      <w:bookmarkEnd w:id="197"/>
    </w:p>
    <w:p w14:paraId="3F208328" w14:textId="77777777" w:rsidR="008A5E67" w:rsidRPr="008A5E67" w:rsidRDefault="008A5E67" w:rsidP="008A5E67">
      <w:pPr>
        <w:pStyle w:val="SingleTxtG"/>
        <w:rPr>
          <w:bCs/>
        </w:rPr>
      </w:pPr>
      <w:r w:rsidRPr="008A5E67">
        <w:t>119.</w:t>
      </w:r>
      <w:r w:rsidRPr="008A5E67">
        <w:tab/>
        <w:t>Los resultados de la encuesta (</w:t>
      </w:r>
      <w:proofErr w:type="spellStart"/>
      <w:r w:rsidRPr="008A5E67">
        <w:t>EDSM</w:t>
      </w:r>
      <w:proofErr w:type="spellEnd"/>
      <w:r w:rsidRPr="008A5E67">
        <w:t xml:space="preserve"> V) muestran que la proporción de niños amamantados es del 96 % para los menores de 6 meses y del 89 % para los que tienen entre 12 y 15 meses. Sin embargo, solo el 33 % se alimenta exclusivamente de leche materna. Todavía no se sigue la recomendación de introducir alimentos sólidos complementarios a partir de los 6 meses. Además, se utiliza el biberón para alimentar a una proporción significativa de los niños (6 % para los que tienen una edad de entre 0 y 5 meses). </w:t>
      </w:r>
    </w:p>
    <w:p w14:paraId="5D545F09" w14:textId="77777777" w:rsidR="008A5E67" w:rsidRPr="008A5E67" w:rsidRDefault="008A5E67" w:rsidP="00C262CE">
      <w:pPr>
        <w:pStyle w:val="H56G"/>
      </w:pPr>
      <w:bookmarkStart w:id="198" w:name="_Toc386794692"/>
      <w:bookmarkStart w:id="199" w:name="_Toc386807826"/>
      <w:bookmarkStart w:id="200" w:name="_Toc414372939"/>
      <w:bookmarkStart w:id="201" w:name="_Toc414373168"/>
      <w:bookmarkStart w:id="202" w:name="_Toc414377664"/>
      <w:r w:rsidRPr="008A5E67">
        <w:tab/>
      </w:r>
      <w:r w:rsidRPr="008A5E67">
        <w:tab/>
        <w:t>Estado nutricional de los niños</w:t>
      </w:r>
      <w:bookmarkEnd w:id="198"/>
      <w:bookmarkEnd w:id="199"/>
      <w:bookmarkEnd w:id="200"/>
      <w:bookmarkEnd w:id="201"/>
      <w:bookmarkEnd w:id="202"/>
    </w:p>
    <w:p w14:paraId="08CEBD61" w14:textId="77777777" w:rsidR="008A5E67" w:rsidRPr="008A5E67" w:rsidRDefault="008A5E67" w:rsidP="008A5E67">
      <w:pPr>
        <w:pStyle w:val="SingleTxtG"/>
        <w:rPr>
          <w:bCs/>
        </w:rPr>
      </w:pPr>
      <w:r w:rsidRPr="008A5E67">
        <w:t>120.</w:t>
      </w:r>
      <w:r w:rsidRPr="008A5E67">
        <w:tab/>
        <w:t xml:space="preserve">Los niños malnutridos corren un alto riesgo de morbilidad y mortalidad. La malnutrición también afecta al desarrollo mental del niño. </w:t>
      </w:r>
    </w:p>
    <w:p w14:paraId="10265441" w14:textId="24937ABC" w:rsidR="008A5E67" w:rsidRPr="008A5E67" w:rsidRDefault="008A5E67" w:rsidP="00C262CE">
      <w:pPr>
        <w:pStyle w:val="SingleTxtG"/>
        <w:keepNext/>
        <w:jc w:val="left"/>
        <w:rPr>
          <w:b/>
        </w:rPr>
      </w:pPr>
      <w:bookmarkStart w:id="203" w:name="_Toc386807827"/>
      <w:bookmarkStart w:id="204" w:name="_Toc414372940"/>
      <w:bookmarkStart w:id="205" w:name="_Toc414373169"/>
      <w:bookmarkStart w:id="206" w:name="_Toc414377665"/>
      <w:r w:rsidRPr="008A5E67">
        <w:t>Gráfico 2</w:t>
      </w:r>
      <w:r w:rsidR="00C262CE">
        <w:br/>
      </w:r>
      <w:r w:rsidRPr="008A5E67">
        <w:rPr>
          <w:b/>
          <w:bCs/>
        </w:rPr>
        <w:t xml:space="preserve">Prevalencia de la malnutrición en niños menores de </w:t>
      </w:r>
      <w:r w:rsidR="00DC4C43">
        <w:rPr>
          <w:b/>
          <w:bCs/>
        </w:rPr>
        <w:t>5</w:t>
      </w:r>
      <w:r w:rsidRPr="008A5E67">
        <w:rPr>
          <w:b/>
          <w:bCs/>
        </w:rPr>
        <w:t xml:space="preserve"> años</w:t>
      </w:r>
      <w:bookmarkEnd w:id="203"/>
      <w:bookmarkEnd w:id="204"/>
      <w:bookmarkEnd w:id="205"/>
      <w:bookmarkEnd w:id="206"/>
    </w:p>
    <w:p w14:paraId="297B0DF8" w14:textId="77777777" w:rsidR="008A5E67" w:rsidRPr="008A5E67" w:rsidRDefault="008A5E67" w:rsidP="008A5E67">
      <w:pPr>
        <w:pStyle w:val="SingleTxtG"/>
        <w:rPr>
          <w:bCs/>
        </w:rPr>
      </w:pPr>
      <w:r w:rsidRPr="008A5E67">
        <w:rPr>
          <w:noProof/>
        </w:rPr>
        <w:drawing>
          <wp:inline distT="0" distB="0" distL="0" distR="0" wp14:anchorId="1EBAC618" wp14:editId="34594490">
            <wp:extent cx="3587281" cy="2231858"/>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48851" cy="2270164"/>
                    </a:xfrm>
                    <a:prstGeom prst="rect">
                      <a:avLst/>
                    </a:prstGeom>
                    <a:noFill/>
                    <a:ln>
                      <a:noFill/>
                    </a:ln>
                  </pic:spPr>
                </pic:pic>
              </a:graphicData>
            </a:graphic>
          </wp:inline>
        </w:drawing>
      </w:r>
    </w:p>
    <w:p w14:paraId="70D39A17" w14:textId="77777777" w:rsidR="008A5E67" w:rsidRPr="008A5E67" w:rsidRDefault="008A5E67" w:rsidP="00AE189C">
      <w:pPr>
        <w:pStyle w:val="SingleTxtG"/>
        <w:spacing w:before="120" w:after="240"/>
        <w:ind w:firstLine="170"/>
        <w:jc w:val="left"/>
        <w:rPr>
          <w:sz w:val="18"/>
          <w:szCs w:val="18"/>
          <w:lang w:val="fr-FR"/>
        </w:rPr>
      </w:pPr>
      <w:r w:rsidRPr="008A5E67">
        <w:rPr>
          <w:i/>
          <w:sz w:val="18"/>
          <w:szCs w:val="18"/>
          <w:lang w:val="fr-FR"/>
        </w:rPr>
        <w:t>Fuente:</w:t>
      </w:r>
      <w:r w:rsidRPr="008A5E67">
        <w:rPr>
          <w:sz w:val="18"/>
          <w:szCs w:val="18"/>
          <w:lang w:val="fr-FR"/>
        </w:rPr>
        <w:t xml:space="preserve"> </w:t>
      </w:r>
      <w:proofErr w:type="spellStart"/>
      <w:r w:rsidRPr="008A5E67">
        <w:rPr>
          <w:sz w:val="18"/>
          <w:szCs w:val="18"/>
          <w:lang w:val="fr-FR"/>
        </w:rPr>
        <w:t>EDSM</w:t>
      </w:r>
      <w:proofErr w:type="spellEnd"/>
      <w:r w:rsidRPr="008A5E67">
        <w:rPr>
          <w:sz w:val="18"/>
          <w:szCs w:val="18"/>
          <w:lang w:val="fr-FR"/>
        </w:rPr>
        <w:t xml:space="preserve"> V.</w:t>
      </w:r>
    </w:p>
    <w:p w14:paraId="11FB0072" w14:textId="77777777" w:rsidR="008A5E67" w:rsidRPr="008A5E67" w:rsidRDefault="008A5E67" w:rsidP="008A5E67">
      <w:pPr>
        <w:pStyle w:val="SingleTxtG"/>
        <w:rPr>
          <w:bCs/>
        </w:rPr>
      </w:pPr>
      <w:r w:rsidRPr="008A5E67">
        <w:t>121.</w:t>
      </w:r>
      <w:r w:rsidRPr="008A5E67">
        <w:tab/>
        <w:t xml:space="preserve">En conjunto, el 38,3 % de los niños sufre malnutrición crónica, el 19 % en un grado grave. El nivel de retraso del crecimiento aumenta rápidamente con la edad. Los niños cuyo peso en relación con la estatura es inferior al doble de la desviación típica de la mediana de la población de referencia presentan emaciación o delgadez. </w:t>
      </w:r>
    </w:p>
    <w:p w14:paraId="654CD5DA" w14:textId="77777777" w:rsidR="008A5E67" w:rsidRPr="008A5E67" w:rsidRDefault="008A5E67" w:rsidP="008A5E67">
      <w:pPr>
        <w:pStyle w:val="SingleTxtG"/>
      </w:pPr>
      <w:r w:rsidRPr="008A5E67">
        <w:t>122.</w:t>
      </w:r>
      <w:r w:rsidRPr="008A5E67">
        <w:tab/>
        <w:t xml:space="preserve">Según la </w:t>
      </w:r>
      <w:proofErr w:type="spellStart"/>
      <w:r w:rsidRPr="008A5E67">
        <w:t>EDSM</w:t>
      </w:r>
      <w:proofErr w:type="spellEnd"/>
      <w:r w:rsidRPr="008A5E67">
        <w:t xml:space="preserve"> V (2012-2013), en torno al 26 % de los niños tiene un peso insuficiente, de los cuales casi la mitad (9 %) presenta una insuficiencia ponderal grave. La insuficiencia ponderal es casi la misma para los niños (24 %) que para las niñas (27 %), pero es más elevada en las zonas rurales (28 %) que en las urbanas (17 %). </w:t>
      </w:r>
    </w:p>
    <w:p w14:paraId="4FB4F9A1" w14:textId="0BE44A86" w:rsidR="008A5E67" w:rsidRPr="008A5E67" w:rsidRDefault="00C262CE" w:rsidP="00C262CE">
      <w:pPr>
        <w:pStyle w:val="H4G"/>
      </w:pPr>
      <w:bookmarkStart w:id="207" w:name="_Toc414372941"/>
      <w:bookmarkStart w:id="208" w:name="_Toc414373170"/>
      <w:bookmarkStart w:id="209" w:name="_Toc414377666"/>
      <w:bookmarkStart w:id="210" w:name="_Toc35441109"/>
      <w:r>
        <w:lastRenderedPageBreak/>
        <w:tab/>
      </w:r>
      <w:r w:rsidR="008A5E67" w:rsidRPr="008A5E67">
        <w:t>6.1.3</w:t>
      </w:r>
      <w:r w:rsidR="008A5E67" w:rsidRPr="008A5E67">
        <w:tab/>
        <w:t>Acceso al agua potable</w:t>
      </w:r>
      <w:bookmarkEnd w:id="207"/>
      <w:bookmarkEnd w:id="208"/>
      <w:bookmarkEnd w:id="209"/>
      <w:bookmarkEnd w:id="210"/>
    </w:p>
    <w:p w14:paraId="6CD96728" w14:textId="35E19EBA" w:rsidR="008A5E67" w:rsidRPr="008A5E67" w:rsidRDefault="008A5E67" w:rsidP="008A5E67">
      <w:pPr>
        <w:pStyle w:val="SingleTxtG"/>
        <w:rPr>
          <w:bCs/>
        </w:rPr>
      </w:pPr>
      <w:r w:rsidRPr="008A5E67">
        <w:t>123.</w:t>
      </w:r>
      <w:r w:rsidRPr="008A5E67">
        <w:tab/>
        <w:t>Por agua potable se entiende el agua procedente del grifo, de perforaciones y de pozos mejorados o protegidos. Según esta definición, la tasa de acceso era del 78,3 % en 2006 y del</w:t>
      </w:r>
      <w:r w:rsidR="007A513F">
        <w:t> </w:t>
      </w:r>
      <w:r w:rsidRPr="008A5E67">
        <w:t xml:space="preserve">72,4 % en 2010. El acceso al agua potable en las zonas urbanas se mantuvo casi estable entre 2006 (95,7 %) y 2010 (93,9 %). En cambio, en las zonas rurales se experimentó una variación entre el año 2006 (71,6 %) y el año 2010 (60,6 %). </w:t>
      </w:r>
      <w:bookmarkStart w:id="211" w:name="_Toc386807828"/>
    </w:p>
    <w:p w14:paraId="136EE3D3" w14:textId="7885B789" w:rsidR="008A5E67" w:rsidRPr="008A5E67" w:rsidRDefault="008A5E67" w:rsidP="00C262CE">
      <w:pPr>
        <w:pStyle w:val="SingleTxtG"/>
        <w:jc w:val="left"/>
        <w:rPr>
          <w:b/>
        </w:rPr>
      </w:pPr>
      <w:bookmarkStart w:id="212" w:name="_Toc414372942"/>
      <w:bookmarkStart w:id="213" w:name="_Toc414373171"/>
      <w:bookmarkStart w:id="214" w:name="_Toc414377667"/>
      <w:r w:rsidRPr="008A5E67">
        <w:rPr>
          <w:bCs/>
        </w:rPr>
        <w:t>Gráfico 3</w:t>
      </w:r>
      <w:r w:rsidR="00C262CE">
        <w:rPr>
          <w:bCs/>
        </w:rPr>
        <w:br/>
      </w:r>
      <w:r w:rsidRPr="008A5E67">
        <w:rPr>
          <w:b/>
        </w:rPr>
        <w:t>Porcentaje de hogares con acceso a agua potable, por zona</w:t>
      </w:r>
      <w:bookmarkEnd w:id="211"/>
      <w:bookmarkEnd w:id="212"/>
      <w:bookmarkEnd w:id="213"/>
      <w:bookmarkEnd w:id="214"/>
    </w:p>
    <w:p w14:paraId="2026C216" w14:textId="77777777" w:rsidR="008A5E67" w:rsidRPr="008A5E67" w:rsidRDefault="008A5E67" w:rsidP="008A5E67">
      <w:pPr>
        <w:pStyle w:val="SingleTxtG"/>
      </w:pPr>
      <w:r w:rsidRPr="008A5E67">
        <w:rPr>
          <w:noProof/>
        </w:rPr>
        <w:drawing>
          <wp:inline distT="0" distB="0" distL="0" distR="0" wp14:anchorId="1ECFCBA7" wp14:editId="24C47865">
            <wp:extent cx="3784600" cy="2097013"/>
            <wp:effectExtent l="0" t="0" r="635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04258" cy="2107905"/>
                    </a:xfrm>
                    <a:prstGeom prst="rect">
                      <a:avLst/>
                    </a:prstGeom>
                    <a:noFill/>
                    <a:ln>
                      <a:noFill/>
                    </a:ln>
                  </pic:spPr>
                </pic:pic>
              </a:graphicData>
            </a:graphic>
          </wp:inline>
        </w:drawing>
      </w:r>
    </w:p>
    <w:p w14:paraId="09F094D2" w14:textId="77777777" w:rsidR="008A5E67" w:rsidRPr="008A5E67" w:rsidRDefault="008A5E67" w:rsidP="00AE189C">
      <w:pPr>
        <w:pStyle w:val="SingleTxtG"/>
        <w:spacing w:before="120" w:after="240"/>
        <w:ind w:firstLine="170"/>
        <w:jc w:val="left"/>
        <w:rPr>
          <w:sz w:val="18"/>
          <w:szCs w:val="18"/>
          <w:lang w:val="fr-FR"/>
        </w:rPr>
      </w:pPr>
      <w:r w:rsidRPr="008A5E67">
        <w:rPr>
          <w:i/>
          <w:sz w:val="18"/>
          <w:szCs w:val="18"/>
          <w:lang w:val="fr-FR"/>
        </w:rPr>
        <w:t>Fuente:</w:t>
      </w:r>
      <w:r w:rsidRPr="008A5E67">
        <w:rPr>
          <w:sz w:val="18"/>
          <w:szCs w:val="18"/>
          <w:lang w:val="fr-FR"/>
        </w:rPr>
        <w:t xml:space="preserve"> </w:t>
      </w:r>
      <w:proofErr w:type="spellStart"/>
      <w:r w:rsidRPr="008A5E67">
        <w:rPr>
          <w:sz w:val="18"/>
          <w:szCs w:val="18"/>
          <w:lang w:val="fr-FR"/>
        </w:rPr>
        <w:t>MICS</w:t>
      </w:r>
      <w:proofErr w:type="spellEnd"/>
      <w:r w:rsidRPr="008A5E67">
        <w:rPr>
          <w:sz w:val="18"/>
          <w:szCs w:val="18"/>
          <w:lang w:val="fr-FR"/>
        </w:rPr>
        <w:t xml:space="preserve"> 2010.</w:t>
      </w:r>
    </w:p>
    <w:p w14:paraId="6D89F30F" w14:textId="3CDEFB54" w:rsidR="008A5E67" w:rsidRPr="008A5E67" w:rsidRDefault="00C262CE" w:rsidP="00C262CE">
      <w:pPr>
        <w:pStyle w:val="H4G"/>
      </w:pPr>
      <w:bookmarkStart w:id="215" w:name="_Toc414372944"/>
      <w:bookmarkStart w:id="216" w:name="_Toc414373173"/>
      <w:bookmarkStart w:id="217" w:name="_Toc414377669"/>
      <w:bookmarkStart w:id="218" w:name="_Toc35441110"/>
      <w:r>
        <w:tab/>
      </w:r>
      <w:r w:rsidR="008A5E67" w:rsidRPr="008A5E67">
        <w:t>6.1.4</w:t>
      </w:r>
      <w:r w:rsidR="008A5E67" w:rsidRPr="008A5E67">
        <w:tab/>
        <w:t>Higiene y aguas residuales</w:t>
      </w:r>
      <w:bookmarkEnd w:id="215"/>
      <w:bookmarkEnd w:id="216"/>
      <w:bookmarkEnd w:id="217"/>
      <w:bookmarkEnd w:id="218"/>
    </w:p>
    <w:p w14:paraId="603E7E2F" w14:textId="77777777" w:rsidR="008A5E67" w:rsidRPr="008A5E67" w:rsidRDefault="008A5E67" w:rsidP="008A5E67">
      <w:pPr>
        <w:pStyle w:val="SingleTxtG"/>
        <w:rPr>
          <w:bCs/>
        </w:rPr>
      </w:pPr>
      <w:r w:rsidRPr="008A5E67">
        <w:t>124.</w:t>
      </w:r>
      <w:r w:rsidRPr="008A5E67">
        <w:tab/>
        <w:t>En 2010, los hogares malienses hacían un uso mayoritario de fosas/letrinas (75,6 %). Esa cifra ascendía al 83,4 % en las zonas urbanas, frente al 71,3 % en las rurales. En cuanto a las instalaciones modernas, se utilizan sobre todo en las zonas urbanas (12,0 %) y en los hogares más ricos (17,3 %). Sin embargo, a excepción de Bamako, se constató que entre 2001 y 2010 la población, independientemente de la zona de residencia, recurría cada vez más a la naturaleza como lugar donde hacer sus necesidades.</w:t>
      </w:r>
    </w:p>
    <w:p w14:paraId="1CDF9318" w14:textId="64DF388B" w:rsidR="008A5E67" w:rsidRPr="008A5E67" w:rsidRDefault="008A5E67" w:rsidP="00C262CE">
      <w:pPr>
        <w:pStyle w:val="SingleTxtG"/>
        <w:jc w:val="left"/>
        <w:rPr>
          <w:b/>
        </w:rPr>
      </w:pPr>
      <w:bookmarkStart w:id="219" w:name="_Toc386807831"/>
      <w:bookmarkStart w:id="220" w:name="_Toc414372945"/>
      <w:bookmarkStart w:id="221" w:name="_Toc414373174"/>
      <w:bookmarkStart w:id="222" w:name="_Toc414377670"/>
      <w:r w:rsidRPr="008A5E67">
        <w:rPr>
          <w:bCs/>
        </w:rPr>
        <w:t>Gráfico 4</w:t>
      </w:r>
      <w:r w:rsidR="00C262CE">
        <w:rPr>
          <w:bCs/>
        </w:rPr>
        <w:br/>
      </w:r>
      <w:r w:rsidRPr="008A5E67">
        <w:rPr>
          <w:b/>
        </w:rPr>
        <w:t xml:space="preserve">Porcentaje de hogares que recurren a la naturaleza, por zona </w:t>
      </w:r>
      <w:r w:rsidR="00C54E0E">
        <w:rPr>
          <w:b/>
        </w:rPr>
        <w:br/>
      </w:r>
      <w:r w:rsidRPr="008A5E67">
        <w:rPr>
          <w:b/>
        </w:rPr>
        <w:t>y en conjunto</w:t>
      </w:r>
      <w:bookmarkEnd w:id="219"/>
      <w:bookmarkEnd w:id="220"/>
      <w:bookmarkEnd w:id="221"/>
      <w:bookmarkEnd w:id="222"/>
    </w:p>
    <w:p w14:paraId="481AC1BB" w14:textId="77777777" w:rsidR="008A5E67" w:rsidRPr="008A5E67" w:rsidRDefault="008A5E67" w:rsidP="008A5E67">
      <w:pPr>
        <w:pStyle w:val="SingleTxtG"/>
      </w:pPr>
      <w:r w:rsidRPr="008A5E67">
        <w:rPr>
          <w:noProof/>
        </w:rPr>
        <w:drawing>
          <wp:inline distT="0" distB="0" distL="0" distR="0" wp14:anchorId="204B9369" wp14:editId="0E62D905">
            <wp:extent cx="4102100" cy="198638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77119" cy="2022712"/>
                    </a:xfrm>
                    <a:prstGeom prst="rect">
                      <a:avLst/>
                    </a:prstGeom>
                    <a:noFill/>
                    <a:ln>
                      <a:noFill/>
                    </a:ln>
                  </pic:spPr>
                </pic:pic>
              </a:graphicData>
            </a:graphic>
          </wp:inline>
        </w:drawing>
      </w:r>
    </w:p>
    <w:p w14:paraId="4586FDBF" w14:textId="77777777" w:rsidR="008A5E67" w:rsidRPr="008A5E67" w:rsidRDefault="008A5E67" w:rsidP="00AE189C">
      <w:pPr>
        <w:pStyle w:val="SingleTxtG"/>
        <w:spacing w:before="120" w:after="240"/>
        <w:ind w:firstLine="170"/>
        <w:jc w:val="left"/>
        <w:rPr>
          <w:sz w:val="18"/>
          <w:szCs w:val="18"/>
          <w:lang w:val="fr-FR"/>
        </w:rPr>
      </w:pPr>
      <w:r w:rsidRPr="008A5E67">
        <w:rPr>
          <w:i/>
          <w:sz w:val="18"/>
          <w:szCs w:val="18"/>
          <w:lang w:val="fr-FR"/>
        </w:rPr>
        <w:t>Fuente:</w:t>
      </w:r>
      <w:r w:rsidRPr="008A5E67">
        <w:rPr>
          <w:sz w:val="18"/>
          <w:szCs w:val="18"/>
          <w:lang w:val="fr-FR"/>
        </w:rPr>
        <w:t xml:space="preserve"> </w:t>
      </w:r>
      <w:proofErr w:type="spellStart"/>
      <w:r w:rsidRPr="008A5E67">
        <w:rPr>
          <w:sz w:val="18"/>
          <w:szCs w:val="18"/>
          <w:lang w:val="fr-FR"/>
        </w:rPr>
        <w:t>MICS</w:t>
      </w:r>
      <w:proofErr w:type="spellEnd"/>
      <w:r w:rsidRPr="008A5E67">
        <w:rPr>
          <w:sz w:val="18"/>
          <w:szCs w:val="18"/>
          <w:lang w:val="fr-FR"/>
        </w:rPr>
        <w:t xml:space="preserve"> 2010.</w:t>
      </w:r>
    </w:p>
    <w:p w14:paraId="62CBFDE3" w14:textId="2A7B0AC1" w:rsidR="0017609B" w:rsidRPr="0017609B" w:rsidRDefault="0017609B" w:rsidP="002E5164">
      <w:pPr>
        <w:pStyle w:val="H4G"/>
        <w:rPr>
          <w:lang w:val="es-ES_tradnl"/>
        </w:rPr>
      </w:pPr>
      <w:bookmarkStart w:id="223" w:name="_Toc414372948"/>
      <w:bookmarkStart w:id="224" w:name="_Toc414373177"/>
      <w:bookmarkStart w:id="225" w:name="_Toc414377673"/>
      <w:bookmarkStart w:id="226" w:name="_Toc35441111"/>
      <w:r w:rsidRPr="0017609B">
        <w:rPr>
          <w:lang w:val="es-ES_tradnl"/>
        </w:rPr>
        <w:tab/>
        <w:t>6.1.5</w:t>
      </w:r>
      <w:r w:rsidRPr="0017609B">
        <w:rPr>
          <w:lang w:val="es-ES_tradnl"/>
        </w:rPr>
        <w:tab/>
        <w:t>VIH/sida</w:t>
      </w:r>
      <w:bookmarkEnd w:id="223"/>
      <w:bookmarkEnd w:id="224"/>
      <w:bookmarkEnd w:id="225"/>
      <w:bookmarkEnd w:id="226"/>
    </w:p>
    <w:p w14:paraId="46D7DB29" w14:textId="77777777" w:rsidR="0017609B" w:rsidRPr="0017609B" w:rsidRDefault="0017609B" w:rsidP="0017609B">
      <w:pPr>
        <w:pStyle w:val="SingleTxtG"/>
        <w:rPr>
          <w:bCs/>
          <w:lang w:val="es-ES_tradnl"/>
        </w:rPr>
      </w:pPr>
      <w:r w:rsidRPr="0017609B">
        <w:rPr>
          <w:lang w:val="es-ES_tradnl"/>
        </w:rPr>
        <w:t>125.</w:t>
      </w:r>
      <w:r w:rsidRPr="0017609B">
        <w:rPr>
          <w:lang w:val="es-ES_tradnl"/>
        </w:rPr>
        <w:tab/>
        <w:t xml:space="preserve">La prevalencia del VIH/sida en Malí pasó del 1,3 % de la población en 2006 al 1,1 % en 2012 y, según los datos de la </w:t>
      </w:r>
      <w:proofErr w:type="spellStart"/>
      <w:r w:rsidRPr="0017609B">
        <w:rPr>
          <w:lang w:val="es-ES_tradnl"/>
        </w:rPr>
        <w:t>EDSM</w:t>
      </w:r>
      <w:proofErr w:type="spellEnd"/>
      <w:r w:rsidRPr="0017609B">
        <w:rPr>
          <w:lang w:val="es-ES_tradnl"/>
        </w:rPr>
        <w:t xml:space="preserve"> V (2012-2013), es más elevada entre las mujeres: 1,3 % frente al 0,8% entre los hombres y el 0,7 % entre los jóvenes de 15 a 24 años.</w:t>
      </w:r>
    </w:p>
    <w:p w14:paraId="61FF8ABC" w14:textId="77777777" w:rsidR="0017609B" w:rsidRPr="0017609B" w:rsidRDefault="0017609B" w:rsidP="0017609B">
      <w:pPr>
        <w:pStyle w:val="SingleTxtG"/>
        <w:rPr>
          <w:bCs/>
          <w:lang w:val="es-ES_tradnl"/>
        </w:rPr>
      </w:pPr>
      <w:r w:rsidRPr="0017609B">
        <w:rPr>
          <w:lang w:val="es-ES_tradnl"/>
        </w:rPr>
        <w:lastRenderedPageBreak/>
        <w:t>126.</w:t>
      </w:r>
      <w:r w:rsidRPr="0017609B">
        <w:rPr>
          <w:lang w:val="es-ES_tradnl"/>
        </w:rPr>
        <w:tab/>
        <w:t>De conformidad con los Principios de la Política Nacional, Malí está aplicando una estrategia de atención integrada para huérfanos y niños vulnerables por causa del VIH/sida. Las estrategias de intervención comprenden, entre otros, los ejes siguientes:</w:t>
      </w:r>
    </w:p>
    <w:p w14:paraId="237A3C25" w14:textId="71E1013B" w:rsidR="0017609B" w:rsidRPr="0017609B" w:rsidRDefault="0017609B" w:rsidP="00C262CE">
      <w:pPr>
        <w:pStyle w:val="Bullet1G"/>
        <w:rPr>
          <w:lang w:val="es-ES_tradnl"/>
        </w:rPr>
      </w:pPr>
      <w:r w:rsidRPr="0017609B">
        <w:rPr>
          <w:lang w:val="es-ES_tradnl"/>
        </w:rPr>
        <w:t>La prevención y la concienciación.</w:t>
      </w:r>
    </w:p>
    <w:p w14:paraId="236215DC" w14:textId="75751DB8" w:rsidR="0017609B" w:rsidRPr="0017609B" w:rsidRDefault="0017609B" w:rsidP="00C262CE">
      <w:pPr>
        <w:pStyle w:val="Bullet1G"/>
        <w:rPr>
          <w:bCs/>
          <w:lang w:val="es-ES_tradnl"/>
        </w:rPr>
      </w:pPr>
      <w:r w:rsidRPr="0017609B">
        <w:rPr>
          <w:lang w:val="es-ES_tradnl"/>
        </w:rPr>
        <w:t xml:space="preserve">La atención médica y psicosocial y el cribado de los niños y las madres seropositivos. </w:t>
      </w:r>
    </w:p>
    <w:p w14:paraId="04ED582A" w14:textId="5142A6CC" w:rsidR="0017609B" w:rsidRPr="0017609B" w:rsidRDefault="0017609B" w:rsidP="00C262CE">
      <w:pPr>
        <w:pStyle w:val="Bullet1G"/>
        <w:rPr>
          <w:bCs/>
          <w:lang w:val="es-ES_tradnl"/>
        </w:rPr>
      </w:pPr>
      <w:r w:rsidRPr="0017609B">
        <w:rPr>
          <w:lang w:val="es-ES_tradnl"/>
        </w:rPr>
        <w:t>La salvaguardia de la ética y los derechos del niño.</w:t>
      </w:r>
    </w:p>
    <w:p w14:paraId="205C026D" w14:textId="4978FCE7" w:rsidR="0017609B" w:rsidRPr="0017609B" w:rsidRDefault="0017609B" w:rsidP="00C262CE">
      <w:pPr>
        <w:pStyle w:val="Bullet1G"/>
        <w:rPr>
          <w:bCs/>
          <w:lang w:val="es-ES_tradnl"/>
        </w:rPr>
      </w:pPr>
      <w:r w:rsidRPr="0017609B">
        <w:rPr>
          <w:lang w:val="es-ES_tradnl"/>
        </w:rPr>
        <w:t>La participación de los huérfanos y niños vulnerables y sus comunidades en la lucha contra el VIH/sida.</w:t>
      </w:r>
    </w:p>
    <w:p w14:paraId="04D5C7CC" w14:textId="1BC538E3" w:rsidR="0017609B" w:rsidRPr="0017609B" w:rsidRDefault="0017609B" w:rsidP="00C262CE">
      <w:pPr>
        <w:pStyle w:val="SingleTxtG"/>
        <w:jc w:val="left"/>
        <w:rPr>
          <w:b/>
          <w:lang w:val="es-ES_tradnl"/>
        </w:rPr>
      </w:pPr>
      <w:bookmarkStart w:id="227" w:name="_Toc386807835"/>
      <w:bookmarkStart w:id="228" w:name="_Toc414372950"/>
      <w:bookmarkStart w:id="229" w:name="_Toc414373179"/>
      <w:bookmarkStart w:id="230" w:name="_Toc414377675"/>
      <w:r w:rsidRPr="0017609B">
        <w:rPr>
          <w:lang w:val="es-ES_tradnl"/>
        </w:rPr>
        <w:t xml:space="preserve">Cuadro 6 </w:t>
      </w:r>
      <w:r w:rsidRPr="0017609B">
        <w:rPr>
          <w:lang w:val="es-ES_tradnl"/>
        </w:rPr>
        <w:br/>
      </w:r>
      <w:r w:rsidRPr="0017609B">
        <w:rPr>
          <w:b/>
          <w:bCs/>
          <w:lang w:val="es-ES_tradnl"/>
        </w:rPr>
        <w:t xml:space="preserve">Distribución de pacientes en tratamiento </w:t>
      </w:r>
      <w:proofErr w:type="spellStart"/>
      <w:r w:rsidRPr="0017609B">
        <w:rPr>
          <w:b/>
          <w:bCs/>
          <w:lang w:val="es-ES_tradnl"/>
        </w:rPr>
        <w:t>antirretrovírico</w:t>
      </w:r>
      <w:proofErr w:type="spellEnd"/>
      <w:r w:rsidRPr="0017609B">
        <w:rPr>
          <w:b/>
          <w:bCs/>
          <w:lang w:val="es-ES_tradnl"/>
        </w:rPr>
        <w:t xml:space="preserve"> por categoría </w:t>
      </w:r>
      <w:r w:rsidR="00C262CE">
        <w:rPr>
          <w:b/>
          <w:bCs/>
          <w:lang w:val="es-ES_tradnl"/>
        </w:rPr>
        <w:br/>
      </w:r>
      <w:r w:rsidRPr="0017609B">
        <w:rPr>
          <w:b/>
          <w:bCs/>
          <w:lang w:val="es-ES_tradnl"/>
        </w:rPr>
        <w:t xml:space="preserve">y región y por periodicidad del seguimiento en 2012 </w:t>
      </w:r>
      <w:r w:rsidR="00411636">
        <w:rPr>
          <w:b/>
          <w:bCs/>
          <w:lang w:val="es-ES_tradnl"/>
        </w:rPr>
        <w:br/>
      </w:r>
      <w:r w:rsidRPr="0017609B">
        <w:rPr>
          <w:sz w:val="16"/>
          <w:szCs w:val="16"/>
          <w:lang w:val="es-ES_tradnl"/>
        </w:rPr>
        <w:t>(</w:t>
      </w:r>
      <w:r w:rsidR="00411636" w:rsidRPr="00411636">
        <w:rPr>
          <w:sz w:val="16"/>
          <w:szCs w:val="16"/>
          <w:lang w:val="es-ES_tradnl"/>
        </w:rPr>
        <w:t>E</w:t>
      </w:r>
      <w:r w:rsidRPr="0017609B">
        <w:rPr>
          <w:sz w:val="16"/>
          <w:szCs w:val="16"/>
          <w:lang w:val="es-ES_tradnl"/>
        </w:rPr>
        <w:t xml:space="preserve">n número y </w:t>
      </w:r>
      <w:bookmarkEnd w:id="227"/>
      <w:bookmarkEnd w:id="228"/>
      <w:bookmarkEnd w:id="229"/>
      <w:bookmarkEnd w:id="230"/>
      <w:r w:rsidRPr="0017609B">
        <w:rPr>
          <w:sz w:val="16"/>
          <w:szCs w:val="16"/>
          <w:lang w:val="es-ES_tradnl"/>
        </w:rPr>
        <w:t>porcentaje)</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367"/>
        <w:gridCol w:w="1184"/>
        <w:gridCol w:w="1188"/>
        <w:gridCol w:w="1184"/>
        <w:gridCol w:w="1188"/>
        <w:gridCol w:w="1259"/>
      </w:tblGrid>
      <w:tr w:rsidR="00411636" w:rsidRPr="00411636" w14:paraId="0D980717" w14:textId="77777777" w:rsidTr="007A513F">
        <w:trPr>
          <w:trHeight w:val="240"/>
          <w:tblHeader/>
        </w:trPr>
        <w:tc>
          <w:tcPr>
            <w:tcW w:w="927" w:type="pct"/>
            <w:vMerge w:val="restart"/>
            <w:tcBorders>
              <w:top w:val="single" w:sz="4" w:space="0" w:color="auto"/>
              <w:bottom w:val="single" w:sz="12" w:space="0" w:color="auto"/>
            </w:tcBorders>
            <w:shd w:val="clear" w:color="auto" w:fill="auto"/>
            <w:vAlign w:val="bottom"/>
          </w:tcPr>
          <w:p w14:paraId="185E996E" w14:textId="77777777" w:rsidR="0017609B" w:rsidRPr="0017609B" w:rsidRDefault="0017609B" w:rsidP="00411636">
            <w:pPr>
              <w:pStyle w:val="SingleTxtG"/>
              <w:tabs>
                <w:tab w:val="clear" w:pos="1701"/>
                <w:tab w:val="clear" w:pos="2268"/>
                <w:tab w:val="clear" w:pos="2835"/>
              </w:tabs>
              <w:spacing w:before="80" w:after="80" w:line="200" w:lineRule="exact"/>
              <w:ind w:left="0" w:right="0"/>
              <w:jc w:val="left"/>
              <w:rPr>
                <w:bCs/>
                <w:i/>
                <w:sz w:val="16"/>
                <w:lang w:val="es-ES_tradnl"/>
              </w:rPr>
            </w:pPr>
            <w:r w:rsidRPr="0017609B">
              <w:rPr>
                <w:i/>
                <w:iCs/>
                <w:sz w:val="16"/>
                <w:lang w:val="es-ES_tradnl"/>
              </w:rPr>
              <w:t>Región</w:t>
            </w:r>
            <w:r w:rsidRPr="0017609B">
              <w:rPr>
                <w:i/>
                <w:sz w:val="16"/>
                <w:lang w:val="es-ES_tradnl"/>
              </w:rPr>
              <w:t xml:space="preserve"> </w:t>
            </w:r>
          </w:p>
        </w:tc>
        <w:tc>
          <w:tcPr>
            <w:tcW w:w="1609" w:type="pct"/>
            <w:gridSpan w:val="2"/>
            <w:tcBorders>
              <w:top w:val="single" w:sz="4" w:space="0" w:color="auto"/>
              <w:bottom w:val="single" w:sz="4" w:space="0" w:color="auto"/>
              <w:right w:val="single" w:sz="18" w:space="0" w:color="FFFFFF" w:themeColor="background1"/>
            </w:tcBorders>
            <w:shd w:val="clear" w:color="auto" w:fill="auto"/>
            <w:noWrap/>
            <w:vAlign w:val="bottom"/>
          </w:tcPr>
          <w:p w14:paraId="0030CCE8" w14:textId="2B9323FB" w:rsidR="0017609B" w:rsidRPr="0017609B" w:rsidRDefault="0017609B" w:rsidP="00C54E0E">
            <w:pPr>
              <w:pStyle w:val="SingleTxtG"/>
              <w:tabs>
                <w:tab w:val="clear" w:pos="1701"/>
                <w:tab w:val="clear" w:pos="2268"/>
                <w:tab w:val="clear" w:pos="2835"/>
              </w:tabs>
              <w:spacing w:before="80" w:after="80" w:line="200" w:lineRule="exact"/>
              <w:ind w:left="0" w:right="0"/>
              <w:jc w:val="center"/>
              <w:rPr>
                <w:bCs/>
                <w:i/>
                <w:sz w:val="16"/>
                <w:lang w:val="es-ES_tradnl"/>
              </w:rPr>
            </w:pPr>
            <w:r w:rsidRPr="0017609B">
              <w:rPr>
                <w:i/>
                <w:iCs/>
                <w:sz w:val="16"/>
                <w:lang w:val="es-ES_tradnl"/>
              </w:rPr>
              <w:t xml:space="preserve">Inicio del tratamiento </w:t>
            </w:r>
            <w:r w:rsidR="007A513F">
              <w:rPr>
                <w:i/>
                <w:iCs/>
                <w:sz w:val="16"/>
                <w:lang w:val="es-ES_tradnl"/>
              </w:rPr>
              <w:br/>
            </w:r>
            <w:proofErr w:type="spellStart"/>
            <w:r w:rsidRPr="0017609B">
              <w:rPr>
                <w:i/>
                <w:iCs/>
                <w:sz w:val="16"/>
                <w:lang w:val="es-ES_tradnl"/>
              </w:rPr>
              <w:t>antirretrovírico</w:t>
            </w:r>
            <w:proofErr w:type="spellEnd"/>
          </w:p>
        </w:tc>
        <w:tc>
          <w:tcPr>
            <w:tcW w:w="1609" w:type="pct"/>
            <w:gridSpan w:val="2"/>
            <w:tcBorders>
              <w:top w:val="single" w:sz="4" w:space="0" w:color="auto"/>
              <w:left w:val="single" w:sz="18" w:space="0" w:color="FFFFFF" w:themeColor="background1"/>
              <w:bottom w:val="single" w:sz="4" w:space="0" w:color="auto"/>
            </w:tcBorders>
            <w:shd w:val="clear" w:color="auto" w:fill="auto"/>
            <w:noWrap/>
            <w:vAlign w:val="bottom"/>
          </w:tcPr>
          <w:p w14:paraId="6B319FBE" w14:textId="4DF597B7" w:rsidR="0017609B" w:rsidRPr="0017609B" w:rsidRDefault="0017609B" w:rsidP="00C54E0E">
            <w:pPr>
              <w:pStyle w:val="SingleTxtG"/>
              <w:tabs>
                <w:tab w:val="clear" w:pos="1701"/>
                <w:tab w:val="clear" w:pos="2268"/>
                <w:tab w:val="clear" w:pos="2835"/>
              </w:tabs>
              <w:spacing w:before="80" w:after="80" w:line="200" w:lineRule="exact"/>
              <w:ind w:left="0" w:right="0"/>
              <w:jc w:val="center"/>
              <w:rPr>
                <w:bCs/>
                <w:i/>
                <w:sz w:val="16"/>
                <w:lang w:val="es-ES_tradnl"/>
              </w:rPr>
            </w:pPr>
            <w:r w:rsidRPr="0017609B">
              <w:rPr>
                <w:i/>
                <w:iCs/>
                <w:sz w:val="16"/>
                <w:lang w:val="es-ES_tradnl"/>
              </w:rPr>
              <w:t xml:space="preserve">Seguimiento periódico del </w:t>
            </w:r>
            <w:r w:rsidR="00C54E0E">
              <w:rPr>
                <w:i/>
                <w:iCs/>
                <w:sz w:val="16"/>
                <w:lang w:val="es-ES_tradnl"/>
              </w:rPr>
              <w:br/>
            </w:r>
            <w:r w:rsidRPr="0017609B">
              <w:rPr>
                <w:i/>
                <w:iCs/>
                <w:sz w:val="16"/>
                <w:lang w:val="es-ES_tradnl"/>
              </w:rPr>
              <w:t xml:space="preserve">tratamiento </w:t>
            </w:r>
            <w:proofErr w:type="spellStart"/>
            <w:r w:rsidRPr="0017609B">
              <w:rPr>
                <w:i/>
                <w:iCs/>
                <w:sz w:val="16"/>
                <w:lang w:val="es-ES_tradnl"/>
              </w:rPr>
              <w:t>antirretrovírico</w:t>
            </w:r>
            <w:proofErr w:type="spellEnd"/>
          </w:p>
        </w:tc>
        <w:tc>
          <w:tcPr>
            <w:tcW w:w="854" w:type="pct"/>
            <w:vMerge w:val="restart"/>
            <w:tcBorders>
              <w:top w:val="single" w:sz="4" w:space="0" w:color="auto"/>
              <w:bottom w:val="single" w:sz="12" w:space="0" w:color="auto"/>
            </w:tcBorders>
            <w:shd w:val="clear" w:color="auto" w:fill="auto"/>
            <w:vAlign w:val="bottom"/>
          </w:tcPr>
          <w:p w14:paraId="69CA3675" w14:textId="77777777" w:rsidR="0017609B" w:rsidRPr="0017609B" w:rsidRDefault="0017609B" w:rsidP="00411636">
            <w:pPr>
              <w:pStyle w:val="SingleTxtG"/>
              <w:tabs>
                <w:tab w:val="clear" w:pos="1701"/>
                <w:tab w:val="clear" w:pos="2268"/>
                <w:tab w:val="clear" w:pos="2835"/>
              </w:tabs>
              <w:spacing w:before="80" w:after="80" w:line="200" w:lineRule="exact"/>
              <w:ind w:left="113" w:right="0"/>
              <w:jc w:val="right"/>
              <w:rPr>
                <w:bCs/>
                <w:i/>
                <w:sz w:val="16"/>
                <w:lang w:val="es-ES_tradnl"/>
              </w:rPr>
            </w:pPr>
            <w:r w:rsidRPr="0017609B">
              <w:rPr>
                <w:i/>
                <w:iCs/>
                <w:sz w:val="16"/>
                <w:lang w:val="es-ES_tradnl"/>
              </w:rPr>
              <w:t>Adhesión al seguimiento</w:t>
            </w:r>
          </w:p>
        </w:tc>
      </w:tr>
      <w:tr w:rsidR="00411636" w:rsidRPr="0017609B" w14:paraId="7BE531FF" w14:textId="77777777" w:rsidTr="007A513F">
        <w:trPr>
          <w:trHeight w:val="240"/>
          <w:tblHeader/>
        </w:trPr>
        <w:tc>
          <w:tcPr>
            <w:tcW w:w="927" w:type="pct"/>
            <w:vMerge/>
            <w:tcBorders>
              <w:top w:val="single" w:sz="12" w:space="0" w:color="auto"/>
              <w:bottom w:val="single" w:sz="12" w:space="0" w:color="auto"/>
            </w:tcBorders>
            <w:shd w:val="clear" w:color="auto" w:fill="auto"/>
            <w:noWrap/>
            <w:vAlign w:val="bottom"/>
          </w:tcPr>
          <w:p w14:paraId="1C54B601" w14:textId="77777777" w:rsidR="0017609B" w:rsidRPr="0017609B" w:rsidRDefault="0017609B" w:rsidP="00411636">
            <w:pPr>
              <w:pStyle w:val="SingleTxtG"/>
              <w:tabs>
                <w:tab w:val="clear" w:pos="1701"/>
                <w:tab w:val="clear" w:pos="2268"/>
                <w:tab w:val="clear" w:pos="2835"/>
              </w:tabs>
              <w:spacing w:before="40" w:after="40" w:line="220" w:lineRule="exact"/>
              <w:ind w:left="0" w:right="0"/>
              <w:jc w:val="left"/>
              <w:rPr>
                <w:bCs/>
                <w:sz w:val="18"/>
                <w:lang w:val="es-ES_tradnl"/>
              </w:rPr>
            </w:pPr>
          </w:p>
        </w:tc>
        <w:tc>
          <w:tcPr>
            <w:tcW w:w="803" w:type="pct"/>
            <w:tcBorders>
              <w:top w:val="single" w:sz="4" w:space="0" w:color="auto"/>
              <w:bottom w:val="single" w:sz="12" w:space="0" w:color="auto"/>
            </w:tcBorders>
            <w:shd w:val="clear" w:color="auto" w:fill="auto"/>
            <w:vAlign w:val="bottom"/>
          </w:tcPr>
          <w:p w14:paraId="78D70420" w14:textId="77777777" w:rsidR="0017609B" w:rsidRPr="0017609B" w:rsidRDefault="0017609B" w:rsidP="00C54E0E">
            <w:pPr>
              <w:pStyle w:val="SingleTxtG"/>
              <w:tabs>
                <w:tab w:val="clear" w:pos="1701"/>
                <w:tab w:val="clear" w:pos="2268"/>
                <w:tab w:val="clear" w:pos="2835"/>
              </w:tabs>
              <w:spacing w:before="80" w:after="80" w:line="200" w:lineRule="exact"/>
              <w:ind w:left="113" w:right="0"/>
              <w:jc w:val="right"/>
              <w:rPr>
                <w:i/>
                <w:iCs/>
                <w:sz w:val="16"/>
                <w:lang w:val="es-ES_tradnl"/>
              </w:rPr>
            </w:pPr>
            <w:r w:rsidRPr="0017609B">
              <w:rPr>
                <w:i/>
                <w:iCs/>
                <w:sz w:val="16"/>
                <w:lang w:val="es-ES_tradnl"/>
              </w:rPr>
              <w:t>Adultos</w:t>
            </w:r>
          </w:p>
        </w:tc>
        <w:tc>
          <w:tcPr>
            <w:tcW w:w="806" w:type="pct"/>
            <w:tcBorders>
              <w:top w:val="single" w:sz="4" w:space="0" w:color="auto"/>
              <w:bottom w:val="single" w:sz="12" w:space="0" w:color="auto"/>
              <w:right w:val="single" w:sz="18" w:space="0" w:color="FFFFFF" w:themeColor="background1"/>
            </w:tcBorders>
            <w:shd w:val="clear" w:color="auto" w:fill="auto"/>
            <w:vAlign w:val="bottom"/>
          </w:tcPr>
          <w:p w14:paraId="6BC62F91" w14:textId="77777777" w:rsidR="0017609B" w:rsidRPr="0017609B" w:rsidRDefault="0017609B" w:rsidP="00C54E0E">
            <w:pPr>
              <w:pStyle w:val="SingleTxtG"/>
              <w:tabs>
                <w:tab w:val="clear" w:pos="1701"/>
                <w:tab w:val="clear" w:pos="2268"/>
                <w:tab w:val="clear" w:pos="2835"/>
              </w:tabs>
              <w:spacing w:before="80" w:after="80" w:line="200" w:lineRule="exact"/>
              <w:ind w:left="113" w:right="0"/>
              <w:jc w:val="right"/>
              <w:rPr>
                <w:i/>
                <w:iCs/>
                <w:sz w:val="16"/>
                <w:lang w:val="es-ES_tradnl"/>
              </w:rPr>
            </w:pPr>
            <w:r w:rsidRPr="0017609B">
              <w:rPr>
                <w:i/>
                <w:iCs/>
                <w:sz w:val="16"/>
                <w:lang w:val="es-ES_tradnl"/>
              </w:rPr>
              <w:t>Niños</w:t>
            </w:r>
          </w:p>
        </w:tc>
        <w:tc>
          <w:tcPr>
            <w:tcW w:w="803" w:type="pct"/>
            <w:tcBorders>
              <w:top w:val="single" w:sz="4" w:space="0" w:color="auto"/>
              <w:left w:val="single" w:sz="18" w:space="0" w:color="FFFFFF" w:themeColor="background1"/>
              <w:bottom w:val="single" w:sz="12" w:space="0" w:color="auto"/>
            </w:tcBorders>
            <w:shd w:val="clear" w:color="auto" w:fill="auto"/>
            <w:vAlign w:val="bottom"/>
          </w:tcPr>
          <w:p w14:paraId="2D1BB5E7" w14:textId="77777777" w:rsidR="0017609B" w:rsidRPr="0017609B" w:rsidRDefault="0017609B" w:rsidP="00C54E0E">
            <w:pPr>
              <w:pStyle w:val="SingleTxtG"/>
              <w:tabs>
                <w:tab w:val="clear" w:pos="1701"/>
                <w:tab w:val="clear" w:pos="2268"/>
                <w:tab w:val="clear" w:pos="2835"/>
              </w:tabs>
              <w:spacing w:before="80" w:after="80" w:line="200" w:lineRule="exact"/>
              <w:ind w:left="113" w:right="0"/>
              <w:jc w:val="right"/>
              <w:rPr>
                <w:i/>
                <w:iCs/>
                <w:sz w:val="16"/>
                <w:lang w:val="es-ES_tradnl"/>
              </w:rPr>
            </w:pPr>
            <w:r w:rsidRPr="0017609B">
              <w:rPr>
                <w:i/>
                <w:iCs/>
                <w:sz w:val="16"/>
                <w:lang w:val="es-ES_tradnl"/>
              </w:rPr>
              <w:t>Adultos</w:t>
            </w:r>
          </w:p>
        </w:tc>
        <w:tc>
          <w:tcPr>
            <w:tcW w:w="806" w:type="pct"/>
            <w:tcBorders>
              <w:top w:val="single" w:sz="4" w:space="0" w:color="auto"/>
              <w:bottom w:val="single" w:sz="12" w:space="0" w:color="auto"/>
            </w:tcBorders>
            <w:shd w:val="clear" w:color="auto" w:fill="auto"/>
            <w:vAlign w:val="bottom"/>
          </w:tcPr>
          <w:p w14:paraId="1B1E2BDF" w14:textId="77777777" w:rsidR="0017609B" w:rsidRPr="0017609B" w:rsidRDefault="0017609B" w:rsidP="00C54E0E">
            <w:pPr>
              <w:pStyle w:val="SingleTxtG"/>
              <w:tabs>
                <w:tab w:val="clear" w:pos="1701"/>
                <w:tab w:val="clear" w:pos="2268"/>
                <w:tab w:val="clear" w:pos="2835"/>
              </w:tabs>
              <w:spacing w:before="80" w:after="80" w:line="200" w:lineRule="exact"/>
              <w:ind w:left="113" w:right="0"/>
              <w:jc w:val="right"/>
              <w:rPr>
                <w:i/>
                <w:iCs/>
                <w:sz w:val="16"/>
                <w:lang w:val="es-ES_tradnl"/>
              </w:rPr>
            </w:pPr>
            <w:r w:rsidRPr="0017609B">
              <w:rPr>
                <w:i/>
                <w:iCs/>
                <w:sz w:val="16"/>
                <w:lang w:val="es-ES_tradnl"/>
              </w:rPr>
              <w:t>Niños</w:t>
            </w:r>
          </w:p>
        </w:tc>
        <w:tc>
          <w:tcPr>
            <w:tcW w:w="854" w:type="pct"/>
            <w:vMerge/>
            <w:tcBorders>
              <w:top w:val="single" w:sz="12" w:space="0" w:color="auto"/>
              <w:bottom w:val="single" w:sz="12" w:space="0" w:color="auto"/>
            </w:tcBorders>
            <w:shd w:val="clear" w:color="auto" w:fill="auto"/>
            <w:vAlign w:val="bottom"/>
          </w:tcPr>
          <w:p w14:paraId="6F85D264"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bCs/>
                <w:sz w:val="18"/>
                <w:lang w:val="es-ES_tradnl"/>
              </w:rPr>
            </w:pPr>
          </w:p>
        </w:tc>
      </w:tr>
      <w:tr w:rsidR="00411636" w:rsidRPr="0017609B" w14:paraId="3D36DCC5" w14:textId="77777777" w:rsidTr="00C54E0E">
        <w:trPr>
          <w:trHeight w:val="240"/>
        </w:trPr>
        <w:tc>
          <w:tcPr>
            <w:tcW w:w="927" w:type="pct"/>
            <w:tcBorders>
              <w:top w:val="single" w:sz="12" w:space="0" w:color="auto"/>
            </w:tcBorders>
            <w:shd w:val="clear" w:color="auto" w:fill="auto"/>
          </w:tcPr>
          <w:p w14:paraId="22BC0497" w14:textId="77777777" w:rsidR="0017609B" w:rsidRPr="0017609B" w:rsidRDefault="0017609B" w:rsidP="00411636">
            <w:pPr>
              <w:pStyle w:val="SingleTxtG"/>
              <w:tabs>
                <w:tab w:val="clear" w:pos="1701"/>
                <w:tab w:val="clear" w:pos="2268"/>
                <w:tab w:val="clear" w:pos="2835"/>
              </w:tabs>
              <w:spacing w:before="40" w:after="40" w:line="220" w:lineRule="exact"/>
              <w:ind w:left="0" w:right="0"/>
              <w:jc w:val="left"/>
              <w:rPr>
                <w:sz w:val="18"/>
                <w:lang w:val="es-ES_tradnl"/>
              </w:rPr>
            </w:pPr>
            <w:r w:rsidRPr="0017609B">
              <w:rPr>
                <w:sz w:val="18"/>
                <w:lang w:val="es-ES_tradnl"/>
              </w:rPr>
              <w:t xml:space="preserve">Kayes </w:t>
            </w:r>
          </w:p>
        </w:tc>
        <w:tc>
          <w:tcPr>
            <w:tcW w:w="803" w:type="pct"/>
            <w:tcBorders>
              <w:top w:val="single" w:sz="12" w:space="0" w:color="auto"/>
            </w:tcBorders>
            <w:shd w:val="clear" w:color="auto" w:fill="auto"/>
            <w:vAlign w:val="bottom"/>
          </w:tcPr>
          <w:p w14:paraId="2208DF90" w14:textId="5D0F3A24"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2</w:t>
            </w:r>
            <w:r w:rsidR="00FA7071">
              <w:rPr>
                <w:sz w:val="18"/>
                <w:lang w:val="es-ES_tradnl"/>
              </w:rPr>
              <w:t xml:space="preserve"> </w:t>
            </w:r>
            <w:r w:rsidRPr="0017609B">
              <w:rPr>
                <w:sz w:val="18"/>
                <w:lang w:val="es-ES_tradnl"/>
              </w:rPr>
              <w:t>620</w:t>
            </w:r>
          </w:p>
        </w:tc>
        <w:tc>
          <w:tcPr>
            <w:tcW w:w="806" w:type="pct"/>
            <w:tcBorders>
              <w:top w:val="single" w:sz="12" w:space="0" w:color="auto"/>
            </w:tcBorders>
            <w:shd w:val="clear" w:color="auto" w:fill="auto"/>
            <w:vAlign w:val="bottom"/>
          </w:tcPr>
          <w:p w14:paraId="49754E76"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166</w:t>
            </w:r>
          </w:p>
        </w:tc>
        <w:tc>
          <w:tcPr>
            <w:tcW w:w="803" w:type="pct"/>
            <w:tcBorders>
              <w:top w:val="single" w:sz="12" w:space="0" w:color="auto"/>
            </w:tcBorders>
            <w:shd w:val="clear" w:color="auto" w:fill="auto"/>
            <w:noWrap/>
            <w:vAlign w:val="bottom"/>
          </w:tcPr>
          <w:p w14:paraId="344FD2B8" w14:textId="65854669"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1</w:t>
            </w:r>
            <w:r w:rsidR="00FA7071">
              <w:rPr>
                <w:sz w:val="18"/>
                <w:lang w:val="es-ES_tradnl"/>
              </w:rPr>
              <w:t xml:space="preserve"> </w:t>
            </w:r>
            <w:r w:rsidRPr="0017609B">
              <w:rPr>
                <w:sz w:val="18"/>
                <w:lang w:val="es-ES_tradnl"/>
              </w:rPr>
              <w:t>915</w:t>
            </w:r>
          </w:p>
        </w:tc>
        <w:tc>
          <w:tcPr>
            <w:tcW w:w="806" w:type="pct"/>
            <w:tcBorders>
              <w:top w:val="single" w:sz="12" w:space="0" w:color="auto"/>
            </w:tcBorders>
            <w:shd w:val="clear" w:color="auto" w:fill="auto"/>
            <w:noWrap/>
            <w:vAlign w:val="bottom"/>
          </w:tcPr>
          <w:p w14:paraId="7553AC1D"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140</w:t>
            </w:r>
          </w:p>
        </w:tc>
        <w:tc>
          <w:tcPr>
            <w:tcW w:w="854" w:type="pct"/>
            <w:tcBorders>
              <w:top w:val="single" w:sz="12" w:space="0" w:color="auto"/>
            </w:tcBorders>
            <w:shd w:val="clear" w:color="auto" w:fill="auto"/>
            <w:noWrap/>
            <w:vAlign w:val="bottom"/>
          </w:tcPr>
          <w:p w14:paraId="25FEDB7C"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73,8</w:t>
            </w:r>
          </w:p>
        </w:tc>
      </w:tr>
      <w:tr w:rsidR="00411636" w:rsidRPr="0017609B" w14:paraId="1528A597" w14:textId="77777777" w:rsidTr="00411636">
        <w:trPr>
          <w:trHeight w:val="240"/>
        </w:trPr>
        <w:tc>
          <w:tcPr>
            <w:tcW w:w="927" w:type="pct"/>
            <w:shd w:val="clear" w:color="auto" w:fill="auto"/>
          </w:tcPr>
          <w:p w14:paraId="7CC0384C" w14:textId="77777777" w:rsidR="0017609B" w:rsidRPr="0017609B" w:rsidRDefault="0017609B" w:rsidP="00411636">
            <w:pPr>
              <w:pStyle w:val="SingleTxtG"/>
              <w:tabs>
                <w:tab w:val="clear" w:pos="1701"/>
                <w:tab w:val="clear" w:pos="2268"/>
                <w:tab w:val="clear" w:pos="2835"/>
              </w:tabs>
              <w:spacing w:before="40" w:after="40" w:line="220" w:lineRule="exact"/>
              <w:ind w:left="0" w:right="0"/>
              <w:jc w:val="left"/>
              <w:rPr>
                <w:sz w:val="18"/>
                <w:lang w:val="es-ES_tradnl"/>
              </w:rPr>
            </w:pPr>
            <w:proofErr w:type="spellStart"/>
            <w:r w:rsidRPr="0017609B">
              <w:rPr>
                <w:sz w:val="18"/>
                <w:lang w:val="es-ES_tradnl"/>
              </w:rPr>
              <w:t>Kulikoró</w:t>
            </w:r>
            <w:proofErr w:type="spellEnd"/>
          </w:p>
        </w:tc>
        <w:tc>
          <w:tcPr>
            <w:tcW w:w="803" w:type="pct"/>
            <w:shd w:val="clear" w:color="auto" w:fill="auto"/>
            <w:vAlign w:val="bottom"/>
          </w:tcPr>
          <w:p w14:paraId="753CA76E" w14:textId="3D8E393B"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2</w:t>
            </w:r>
            <w:r w:rsidR="00FA7071">
              <w:rPr>
                <w:sz w:val="18"/>
                <w:lang w:val="es-ES_tradnl"/>
              </w:rPr>
              <w:t xml:space="preserve"> </w:t>
            </w:r>
            <w:r w:rsidRPr="0017609B">
              <w:rPr>
                <w:sz w:val="18"/>
                <w:lang w:val="es-ES_tradnl"/>
              </w:rPr>
              <w:t>761</w:t>
            </w:r>
          </w:p>
        </w:tc>
        <w:tc>
          <w:tcPr>
            <w:tcW w:w="806" w:type="pct"/>
            <w:shd w:val="clear" w:color="auto" w:fill="auto"/>
            <w:vAlign w:val="bottom"/>
          </w:tcPr>
          <w:p w14:paraId="32F00F7D"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123</w:t>
            </w:r>
          </w:p>
        </w:tc>
        <w:tc>
          <w:tcPr>
            <w:tcW w:w="803" w:type="pct"/>
            <w:shd w:val="clear" w:color="auto" w:fill="auto"/>
            <w:noWrap/>
            <w:vAlign w:val="bottom"/>
          </w:tcPr>
          <w:p w14:paraId="3E8EF0DF" w14:textId="0BC49584"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1</w:t>
            </w:r>
            <w:r w:rsidR="00FA7071">
              <w:rPr>
                <w:sz w:val="18"/>
                <w:lang w:val="es-ES_tradnl"/>
              </w:rPr>
              <w:t xml:space="preserve"> </w:t>
            </w:r>
            <w:r w:rsidRPr="0017609B">
              <w:rPr>
                <w:sz w:val="18"/>
                <w:lang w:val="es-ES_tradnl"/>
              </w:rPr>
              <w:t>783</w:t>
            </w:r>
          </w:p>
        </w:tc>
        <w:tc>
          <w:tcPr>
            <w:tcW w:w="806" w:type="pct"/>
            <w:shd w:val="clear" w:color="auto" w:fill="auto"/>
            <w:noWrap/>
            <w:vAlign w:val="bottom"/>
          </w:tcPr>
          <w:p w14:paraId="0CBB7946"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115</w:t>
            </w:r>
          </w:p>
        </w:tc>
        <w:tc>
          <w:tcPr>
            <w:tcW w:w="854" w:type="pct"/>
            <w:shd w:val="clear" w:color="auto" w:fill="auto"/>
            <w:noWrap/>
            <w:vAlign w:val="bottom"/>
          </w:tcPr>
          <w:p w14:paraId="0F28393D"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65,8</w:t>
            </w:r>
          </w:p>
        </w:tc>
      </w:tr>
      <w:tr w:rsidR="00411636" w:rsidRPr="0017609B" w14:paraId="2CDA4360" w14:textId="77777777" w:rsidTr="00411636">
        <w:trPr>
          <w:trHeight w:val="240"/>
        </w:trPr>
        <w:tc>
          <w:tcPr>
            <w:tcW w:w="927" w:type="pct"/>
            <w:shd w:val="clear" w:color="auto" w:fill="auto"/>
          </w:tcPr>
          <w:p w14:paraId="53654FD2" w14:textId="77777777" w:rsidR="0017609B" w:rsidRPr="0017609B" w:rsidRDefault="0017609B" w:rsidP="00411636">
            <w:pPr>
              <w:pStyle w:val="SingleTxtG"/>
              <w:tabs>
                <w:tab w:val="clear" w:pos="1701"/>
                <w:tab w:val="clear" w:pos="2268"/>
                <w:tab w:val="clear" w:pos="2835"/>
              </w:tabs>
              <w:spacing w:before="40" w:after="40" w:line="220" w:lineRule="exact"/>
              <w:ind w:left="0" w:right="0"/>
              <w:jc w:val="left"/>
              <w:rPr>
                <w:sz w:val="18"/>
                <w:lang w:val="es-ES_tradnl"/>
              </w:rPr>
            </w:pPr>
            <w:proofErr w:type="spellStart"/>
            <w:r w:rsidRPr="0017609B">
              <w:rPr>
                <w:sz w:val="18"/>
                <w:lang w:val="es-ES_tradnl"/>
              </w:rPr>
              <w:t>Sikaso</w:t>
            </w:r>
            <w:proofErr w:type="spellEnd"/>
            <w:r w:rsidRPr="0017609B">
              <w:rPr>
                <w:sz w:val="18"/>
                <w:lang w:val="es-ES_tradnl"/>
              </w:rPr>
              <w:t xml:space="preserve"> </w:t>
            </w:r>
          </w:p>
        </w:tc>
        <w:tc>
          <w:tcPr>
            <w:tcW w:w="803" w:type="pct"/>
            <w:shd w:val="clear" w:color="auto" w:fill="auto"/>
            <w:vAlign w:val="bottom"/>
          </w:tcPr>
          <w:p w14:paraId="70B40D71" w14:textId="037A7A13"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5</w:t>
            </w:r>
            <w:r w:rsidR="00FA7071">
              <w:rPr>
                <w:sz w:val="18"/>
                <w:lang w:val="es-ES_tradnl"/>
              </w:rPr>
              <w:t xml:space="preserve"> </w:t>
            </w:r>
            <w:r w:rsidRPr="0017609B">
              <w:rPr>
                <w:sz w:val="18"/>
                <w:lang w:val="es-ES_tradnl"/>
              </w:rPr>
              <w:t>444</w:t>
            </w:r>
          </w:p>
        </w:tc>
        <w:tc>
          <w:tcPr>
            <w:tcW w:w="806" w:type="pct"/>
            <w:shd w:val="clear" w:color="auto" w:fill="auto"/>
            <w:vAlign w:val="bottom"/>
          </w:tcPr>
          <w:p w14:paraId="4674A64E"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292</w:t>
            </w:r>
          </w:p>
        </w:tc>
        <w:tc>
          <w:tcPr>
            <w:tcW w:w="803" w:type="pct"/>
            <w:shd w:val="clear" w:color="auto" w:fill="auto"/>
            <w:noWrap/>
            <w:vAlign w:val="bottom"/>
          </w:tcPr>
          <w:p w14:paraId="041CDABA" w14:textId="55ADB54B"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3</w:t>
            </w:r>
            <w:r w:rsidR="00FA7071">
              <w:rPr>
                <w:sz w:val="18"/>
                <w:lang w:val="es-ES_tradnl"/>
              </w:rPr>
              <w:t xml:space="preserve"> </w:t>
            </w:r>
            <w:r w:rsidRPr="0017609B">
              <w:rPr>
                <w:sz w:val="18"/>
                <w:lang w:val="es-ES_tradnl"/>
              </w:rPr>
              <w:t>417</w:t>
            </w:r>
          </w:p>
        </w:tc>
        <w:tc>
          <w:tcPr>
            <w:tcW w:w="806" w:type="pct"/>
            <w:shd w:val="clear" w:color="auto" w:fill="auto"/>
            <w:noWrap/>
            <w:vAlign w:val="bottom"/>
          </w:tcPr>
          <w:p w14:paraId="61FFC39F"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203</w:t>
            </w:r>
          </w:p>
        </w:tc>
        <w:tc>
          <w:tcPr>
            <w:tcW w:w="854" w:type="pct"/>
            <w:shd w:val="clear" w:color="auto" w:fill="auto"/>
            <w:noWrap/>
            <w:vAlign w:val="bottom"/>
          </w:tcPr>
          <w:p w14:paraId="2C00917D"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63,1</w:t>
            </w:r>
          </w:p>
        </w:tc>
      </w:tr>
      <w:tr w:rsidR="00411636" w:rsidRPr="0017609B" w14:paraId="28347E81" w14:textId="77777777" w:rsidTr="00411636">
        <w:trPr>
          <w:trHeight w:val="240"/>
        </w:trPr>
        <w:tc>
          <w:tcPr>
            <w:tcW w:w="927" w:type="pct"/>
            <w:shd w:val="clear" w:color="auto" w:fill="auto"/>
          </w:tcPr>
          <w:p w14:paraId="4C5780FB" w14:textId="77777777" w:rsidR="0017609B" w:rsidRPr="0017609B" w:rsidRDefault="0017609B" w:rsidP="00411636">
            <w:pPr>
              <w:pStyle w:val="SingleTxtG"/>
              <w:tabs>
                <w:tab w:val="clear" w:pos="1701"/>
                <w:tab w:val="clear" w:pos="2268"/>
                <w:tab w:val="clear" w:pos="2835"/>
              </w:tabs>
              <w:spacing w:before="40" w:after="40" w:line="220" w:lineRule="exact"/>
              <w:ind w:left="0" w:right="0"/>
              <w:jc w:val="left"/>
              <w:rPr>
                <w:sz w:val="18"/>
                <w:lang w:val="es-ES_tradnl"/>
              </w:rPr>
            </w:pPr>
            <w:r w:rsidRPr="0017609B">
              <w:rPr>
                <w:sz w:val="18"/>
                <w:lang w:val="es-ES_tradnl"/>
              </w:rPr>
              <w:t xml:space="preserve">Segú </w:t>
            </w:r>
          </w:p>
        </w:tc>
        <w:tc>
          <w:tcPr>
            <w:tcW w:w="803" w:type="pct"/>
            <w:shd w:val="clear" w:color="auto" w:fill="auto"/>
            <w:vAlign w:val="bottom"/>
          </w:tcPr>
          <w:p w14:paraId="53FC057C" w14:textId="6C0FBD8C"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4</w:t>
            </w:r>
            <w:r w:rsidR="00FA7071">
              <w:rPr>
                <w:sz w:val="18"/>
                <w:lang w:val="es-ES_tradnl"/>
              </w:rPr>
              <w:t xml:space="preserve"> </w:t>
            </w:r>
            <w:r w:rsidRPr="0017609B">
              <w:rPr>
                <w:sz w:val="18"/>
                <w:lang w:val="es-ES_tradnl"/>
              </w:rPr>
              <w:t>087</w:t>
            </w:r>
          </w:p>
        </w:tc>
        <w:tc>
          <w:tcPr>
            <w:tcW w:w="806" w:type="pct"/>
            <w:shd w:val="clear" w:color="auto" w:fill="auto"/>
            <w:vAlign w:val="bottom"/>
          </w:tcPr>
          <w:p w14:paraId="066B39E5"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208</w:t>
            </w:r>
          </w:p>
        </w:tc>
        <w:tc>
          <w:tcPr>
            <w:tcW w:w="803" w:type="pct"/>
            <w:shd w:val="clear" w:color="auto" w:fill="auto"/>
            <w:noWrap/>
            <w:vAlign w:val="bottom"/>
          </w:tcPr>
          <w:p w14:paraId="5A98C37B" w14:textId="141C42BB"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2</w:t>
            </w:r>
            <w:r w:rsidR="00FA7071">
              <w:rPr>
                <w:sz w:val="18"/>
                <w:lang w:val="es-ES_tradnl"/>
              </w:rPr>
              <w:t xml:space="preserve"> </w:t>
            </w:r>
            <w:r w:rsidRPr="0017609B">
              <w:rPr>
                <w:sz w:val="18"/>
                <w:lang w:val="es-ES_tradnl"/>
              </w:rPr>
              <w:t>140</w:t>
            </w:r>
          </w:p>
        </w:tc>
        <w:tc>
          <w:tcPr>
            <w:tcW w:w="806" w:type="pct"/>
            <w:shd w:val="clear" w:color="auto" w:fill="auto"/>
            <w:noWrap/>
            <w:vAlign w:val="bottom"/>
          </w:tcPr>
          <w:p w14:paraId="319035DA"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108</w:t>
            </w:r>
          </w:p>
        </w:tc>
        <w:tc>
          <w:tcPr>
            <w:tcW w:w="854" w:type="pct"/>
            <w:shd w:val="clear" w:color="auto" w:fill="auto"/>
            <w:noWrap/>
            <w:vAlign w:val="bottom"/>
          </w:tcPr>
          <w:p w14:paraId="046EC2D1"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52,3</w:t>
            </w:r>
          </w:p>
        </w:tc>
      </w:tr>
      <w:tr w:rsidR="00411636" w:rsidRPr="0017609B" w14:paraId="78B89AEB" w14:textId="77777777" w:rsidTr="00411636">
        <w:trPr>
          <w:trHeight w:val="240"/>
        </w:trPr>
        <w:tc>
          <w:tcPr>
            <w:tcW w:w="927" w:type="pct"/>
            <w:shd w:val="clear" w:color="auto" w:fill="auto"/>
          </w:tcPr>
          <w:p w14:paraId="00E5E5A5" w14:textId="77777777" w:rsidR="0017609B" w:rsidRPr="0017609B" w:rsidRDefault="0017609B" w:rsidP="00411636">
            <w:pPr>
              <w:pStyle w:val="SingleTxtG"/>
              <w:tabs>
                <w:tab w:val="clear" w:pos="1701"/>
                <w:tab w:val="clear" w:pos="2268"/>
                <w:tab w:val="clear" w:pos="2835"/>
              </w:tabs>
              <w:spacing w:before="40" w:after="40" w:line="220" w:lineRule="exact"/>
              <w:ind w:left="0" w:right="0"/>
              <w:jc w:val="left"/>
              <w:rPr>
                <w:sz w:val="18"/>
                <w:lang w:val="es-ES_tradnl"/>
              </w:rPr>
            </w:pPr>
            <w:proofErr w:type="spellStart"/>
            <w:r w:rsidRPr="0017609B">
              <w:rPr>
                <w:sz w:val="18"/>
                <w:lang w:val="es-ES_tradnl"/>
              </w:rPr>
              <w:t>Mopti</w:t>
            </w:r>
            <w:proofErr w:type="spellEnd"/>
            <w:r w:rsidRPr="0017609B">
              <w:rPr>
                <w:sz w:val="18"/>
                <w:lang w:val="es-ES_tradnl"/>
              </w:rPr>
              <w:t xml:space="preserve"> </w:t>
            </w:r>
          </w:p>
        </w:tc>
        <w:tc>
          <w:tcPr>
            <w:tcW w:w="803" w:type="pct"/>
            <w:shd w:val="clear" w:color="auto" w:fill="auto"/>
            <w:vAlign w:val="bottom"/>
          </w:tcPr>
          <w:p w14:paraId="0EA7A90F" w14:textId="76ED80D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2</w:t>
            </w:r>
            <w:r w:rsidR="00FA7071">
              <w:rPr>
                <w:sz w:val="18"/>
                <w:lang w:val="es-ES_tradnl"/>
              </w:rPr>
              <w:t xml:space="preserve"> </w:t>
            </w:r>
            <w:r w:rsidRPr="0017609B">
              <w:rPr>
                <w:sz w:val="18"/>
                <w:lang w:val="es-ES_tradnl"/>
              </w:rPr>
              <w:t>239</w:t>
            </w:r>
          </w:p>
        </w:tc>
        <w:tc>
          <w:tcPr>
            <w:tcW w:w="806" w:type="pct"/>
            <w:shd w:val="clear" w:color="auto" w:fill="auto"/>
            <w:vAlign w:val="bottom"/>
          </w:tcPr>
          <w:p w14:paraId="510D6E2E"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109</w:t>
            </w:r>
          </w:p>
        </w:tc>
        <w:tc>
          <w:tcPr>
            <w:tcW w:w="803" w:type="pct"/>
            <w:shd w:val="clear" w:color="auto" w:fill="auto"/>
            <w:noWrap/>
            <w:vAlign w:val="bottom"/>
          </w:tcPr>
          <w:p w14:paraId="0B48B5DD" w14:textId="6858FF8C"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1</w:t>
            </w:r>
            <w:r w:rsidR="00FA7071">
              <w:rPr>
                <w:sz w:val="18"/>
                <w:lang w:val="es-ES_tradnl"/>
              </w:rPr>
              <w:t xml:space="preserve"> </w:t>
            </w:r>
            <w:r w:rsidRPr="0017609B">
              <w:rPr>
                <w:sz w:val="18"/>
                <w:lang w:val="es-ES_tradnl"/>
              </w:rPr>
              <w:t>067</w:t>
            </w:r>
          </w:p>
        </w:tc>
        <w:tc>
          <w:tcPr>
            <w:tcW w:w="806" w:type="pct"/>
            <w:shd w:val="clear" w:color="auto" w:fill="auto"/>
            <w:noWrap/>
            <w:vAlign w:val="bottom"/>
          </w:tcPr>
          <w:p w14:paraId="7F75A4AA"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62</w:t>
            </w:r>
          </w:p>
        </w:tc>
        <w:tc>
          <w:tcPr>
            <w:tcW w:w="854" w:type="pct"/>
            <w:shd w:val="clear" w:color="auto" w:fill="auto"/>
            <w:noWrap/>
            <w:vAlign w:val="bottom"/>
          </w:tcPr>
          <w:p w14:paraId="5F3B159A"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48,1</w:t>
            </w:r>
          </w:p>
        </w:tc>
      </w:tr>
      <w:tr w:rsidR="00411636" w:rsidRPr="0017609B" w14:paraId="4A8F5870" w14:textId="77777777" w:rsidTr="00411636">
        <w:trPr>
          <w:trHeight w:val="240"/>
        </w:trPr>
        <w:tc>
          <w:tcPr>
            <w:tcW w:w="927" w:type="pct"/>
            <w:shd w:val="clear" w:color="auto" w:fill="auto"/>
          </w:tcPr>
          <w:p w14:paraId="5D1C31BD" w14:textId="77777777" w:rsidR="0017609B" w:rsidRPr="0017609B" w:rsidRDefault="0017609B" w:rsidP="00411636">
            <w:pPr>
              <w:pStyle w:val="SingleTxtG"/>
              <w:tabs>
                <w:tab w:val="clear" w:pos="1701"/>
                <w:tab w:val="clear" w:pos="2268"/>
                <w:tab w:val="clear" w:pos="2835"/>
              </w:tabs>
              <w:spacing w:before="40" w:after="40" w:line="220" w:lineRule="exact"/>
              <w:ind w:left="0" w:right="0"/>
              <w:jc w:val="left"/>
              <w:rPr>
                <w:sz w:val="18"/>
                <w:lang w:val="es-ES_tradnl"/>
              </w:rPr>
            </w:pPr>
            <w:r w:rsidRPr="0017609B">
              <w:rPr>
                <w:sz w:val="18"/>
                <w:lang w:val="es-ES_tradnl"/>
              </w:rPr>
              <w:t xml:space="preserve">Tombuctú </w:t>
            </w:r>
          </w:p>
        </w:tc>
        <w:tc>
          <w:tcPr>
            <w:tcW w:w="803" w:type="pct"/>
            <w:shd w:val="clear" w:color="auto" w:fill="auto"/>
            <w:vAlign w:val="bottom"/>
          </w:tcPr>
          <w:p w14:paraId="1DAD0FFB"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355</w:t>
            </w:r>
          </w:p>
        </w:tc>
        <w:tc>
          <w:tcPr>
            <w:tcW w:w="806" w:type="pct"/>
            <w:shd w:val="clear" w:color="auto" w:fill="auto"/>
            <w:vAlign w:val="bottom"/>
          </w:tcPr>
          <w:p w14:paraId="134ACE61"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14</w:t>
            </w:r>
          </w:p>
        </w:tc>
        <w:tc>
          <w:tcPr>
            <w:tcW w:w="803" w:type="pct"/>
            <w:shd w:val="clear" w:color="auto" w:fill="auto"/>
            <w:noWrap/>
            <w:vAlign w:val="bottom"/>
          </w:tcPr>
          <w:p w14:paraId="37DC0993"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75</w:t>
            </w:r>
          </w:p>
        </w:tc>
        <w:tc>
          <w:tcPr>
            <w:tcW w:w="806" w:type="pct"/>
            <w:shd w:val="clear" w:color="auto" w:fill="auto"/>
            <w:noWrap/>
            <w:vAlign w:val="bottom"/>
          </w:tcPr>
          <w:p w14:paraId="0F6817EF"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0</w:t>
            </w:r>
          </w:p>
        </w:tc>
        <w:tc>
          <w:tcPr>
            <w:tcW w:w="854" w:type="pct"/>
            <w:shd w:val="clear" w:color="auto" w:fill="auto"/>
            <w:noWrap/>
            <w:vAlign w:val="bottom"/>
          </w:tcPr>
          <w:p w14:paraId="276AE2E6"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20,3</w:t>
            </w:r>
          </w:p>
        </w:tc>
      </w:tr>
      <w:tr w:rsidR="00411636" w:rsidRPr="0017609B" w14:paraId="6ADA4225" w14:textId="77777777" w:rsidTr="00411636">
        <w:trPr>
          <w:trHeight w:val="240"/>
        </w:trPr>
        <w:tc>
          <w:tcPr>
            <w:tcW w:w="927" w:type="pct"/>
            <w:shd w:val="clear" w:color="auto" w:fill="auto"/>
          </w:tcPr>
          <w:p w14:paraId="78409414" w14:textId="77777777" w:rsidR="0017609B" w:rsidRPr="0017609B" w:rsidRDefault="0017609B" w:rsidP="00411636">
            <w:pPr>
              <w:pStyle w:val="SingleTxtG"/>
              <w:tabs>
                <w:tab w:val="clear" w:pos="1701"/>
                <w:tab w:val="clear" w:pos="2268"/>
                <w:tab w:val="clear" w:pos="2835"/>
              </w:tabs>
              <w:spacing w:before="40" w:after="40" w:line="220" w:lineRule="exact"/>
              <w:ind w:left="0" w:right="0"/>
              <w:jc w:val="left"/>
              <w:rPr>
                <w:sz w:val="18"/>
                <w:lang w:val="es-ES_tradnl"/>
              </w:rPr>
            </w:pPr>
            <w:r w:rsidRPr="0017609B">
              <w:rPr>
                <w:sz w:val="18"/>
                <w:lang w:val="es-ES_tradnl"/>
              </w:rPr>
              <w:t xml:space="preserve">Gao </w:t>
            </w:r>
          </w:p>
        </w:tc>
        <w:tc>
          <w:tcPr>
            <w:tcW w:w="803" w:type="pct"/>
            <w:shd w:val="clear" w:color="auto" w:fill="auto"/>
            <w:vAlign w:val="bottom"/>
          </w:tcPr>
          <w:p w14:paraId="607DC9D6"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305</w:t>
            </w:r>
          </w:p>
        </w:tc>
        <w:tc>
          <w:tcPr>
            <w:tcW w:w="806" w:type="pct"/>
            <w:shd w:val="clear" w:color="auto" w:fill="auto"/>
            <w:vAlign w:val="bottom"/>
          </w:tcPr>
          <w:p w14:paraId="54B4F946"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23</w:t>
            </w:r>
          </w:p>
        </w:tc>
        <w:tc>
          <w:tcPr>
            <w:tcW w:w="803" w:type="pct"/>
            <w:shd w:val="clear" w:color="auto" w:fill="auto"/>
            <w:noWrap/>
            <w:vAlign w:val="bottom"/>
          </w:tcPr>
          <w:p w14:paraId="3DCBC6CD"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115</w:t>
            </w:r>
          </w:p>
        </w:tc>
        <w:tc>
          <w:tcPr>
            <w:tcW w:w="806" w:type="pct"/>
            <w:shd w:val="clear" w:color="auto" w:fill="auto"/>
            <w:noWrap/>
            <w:vAlign w:val="bottom"/>
          </w:tcPr>
          <w:p w14:paraId="4D966E2E"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0</w:t>
            </w:r>
          </w:p>
        </w:tc>
        <w:tc>
          <w:tcPr>
            <w:tcW w:w="854" w:type="pct"/>
            <w:shd w:val="clear" w:color="auto" w:fill="auto"/>
            <w:noWrap/>
            <w:vAlign w:val="bottom"/>
          </w:tcPr>
          <w:p w14:paraId="1F0DAE09"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35,1</w:t>
            </w:r>
          </w:p>
        </w:tc>
      </w:tr>
      <w:tr w:rsidR="00411636" w:rsidRPr="0017609B" w14:paraId="2DDE16A6" w14:textId="77777777" w:rsidTr="00411636">
        <w:trPr>
          <w:trHeight w:val="240"/>
        </w:trPr>
        <w:tc>
          <w:tcPr>
            <w:tcW w:w="927" w:type="pct"/>
            <w:shd w:val="clear" w:color="auto" w:fill="auto"/>
          </w:tcPr>
          <w:p w14:paraId="52286C18" w14:textId="77777777" w:rsidR="0017609B" w:rsidRPr="0017609B" w:rsidRDefault="0017609B" w:rsidP="007A513F">
            <w:pPr>
              <w:pStyle w:val="SingleTxtG"/>
              <w:keepNext/>
              <w:tabs>
                <w:tab w:val="clear" w:pos="1701"/>
                <w:tab w:val="clear" w:pos="2268"/>
                <w:tab w:val="clear" w:pos="2835"/>
              </w:tabs>
              <w:spacing w:before="40" w:after="40" w:line="220" w:lineRule="exact"/>
              <w:ind w:left="0" w:right="0"/>
              <w:jc w:val="left"/>
              <w:rPr>
                <w:sz w:val="18"/>
                <w:lang w:val="es-ES_tradnl"/>
              </w:rPr>
            </w:pPr>
            <w:r w:rsidRPr="0017609B">
              <w:rPr>
                <w:sz w:val="18"/>
                <w:lang w:val="es-ES_tradnl"/>
              </w:rPr>
              <w:t xml:space="preserve">Kidal </w:t>
            </w:r>
          </w:p>
        </w:tc>
        <w:tc>
          <w:tcPr>
            <w:tcW w:w="803" w:type="pct"/>
            <w:shd w:val="clear" w:color="auto" w:fill="auto"/>
            <w:vAlign w:val="bottom"/>
          </w:tcPr>
          <w:p w14:paraId="73C7A8DC" w14:textId="77777777" w:rsidR="0017609B" w:rsidRPr="0017609B" w:rsidRDefault="0017609B" w:rsidP="007A513F">
            <w:pPr>
              <w:pStyle w:val="SingleTxtG"/>
              <w:keepNext/>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4</w:t>
            </w:r>
          </w:p>
        </w:tc>
        <w:tc>
          <w:tcPr>
            <w:tcW w:w="806" w:type="pct"/>
            <w:shd w:val="clear" w:color="auto" w:fill="auto"/>
            <w:vAlign w:val="bottom"/>
          </w:tcPr>
          <w:p w14:paraId="4DA5FF73" w14:textId="77777777" w:rsidR="0017609B" w:rsidRPr="0017609B" w:rsidRDefault="0017609B" w:rsidP="007A513F">
            <w:pPr>
              <w:pStyle w:val="SingleTxtG"/>
              <w:keepNext/>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0</w:t>
            </w:r>
          </w:p>
        </w:tc>
        <w:tc>
          <w:tcPr>
            <w:tcW w:w="803" w:type="pct"/>
            <w:shd w:val="clear" w:color="auto" w:fill="auto"/>
            <w:noWrap/>
            <w:vAlign w:val="bottom"/>
          </w:tcPr>
          <w:p w14:paraId="7445BE9C" w14:textId="77777777" w:rsidR="0017609B" w:rsidRPr="0017609B" w:rsidRDefault="0017609B" w:rsidP="007A513F">
            <w:pPr>
              <w:pStyle w:val="SingleTxtG"/>
              <w:keepNext/>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1</w:t>
            </w:r>
          </w:p>
        </w:tc>
        <w:tc>
          <w:tcPr>
            <w:tcW w:w="806" w:type="pct"/>
            <w:shd w:val="clear" w:color="auto" w:fill="auto"/>
            <w:noWrap/>
            <w:vAlign w:val="bottom"/>
          </w:tcPr>
          <w:p w14:paraId="32AE4CBA" w14:textId="77777777" w:rsidR="0017609B" w:rsidRPr="0017609B" w:rsidRDefault="0017609B" w:rsidP="007A513F">
            <w:pPr>
              <w:pStyle w:val="SingleTxtG"/>
              <w:keepNext/>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0</w:t>
            </w:r>
          </w:p>
        </w:tc>
        <w:tc>
          <w:tcPr>
            <w:tcW w:w="854" w:type="pct"/>
            <w:shd w:val="clear" w:color="auto" w:fill="auto"/>
            <w:noWrap/>
            <w:vAlign w:val="bottom"/>
          </w:tcPr>
          <w:p w14:paraId="63C23E54" w14:textId="77777777" w:rsidR="0017609B" w:rsidRPr="0017609B" w:rsidRDefault="0017609B" w:rsidP="007A513F">
            <w:pPr>
              <w:pStyle w:val="SingleTxtG"/>
              <w:keepNext/>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25,0</w:t>
            </w:r>
          </w:p>
        </w:tc>
      </w:tr>
      <w:tr w:rsidR="00411636" w:rsidRPr="0017609B" w14:paraId="42CE0637" w14:textId="77777777" w:rsidTr="00FA7071">
        <w:trPr>
          <w:trHeight w:val="240"/>
        </w:trPr>
        <w:tc>
          <w:tcPr>
            <w:tcW w:w="927" w:type="pct"/>
            <w:tcBorders>
              <w:bottom w:val="single" w:sz="4" w:space="0" w:color="auto"/>
            </w:tcBorders>
            <w:shd w:val="clear" w:color="auto" w:fill="auto"/>
          </w:tcPr>
          <w:p w14:paraId="3C17BAFE" w14:textId="77777777" w:rsidR="0017609B" w:rsidRPr="0017609B" w:rsidRDefault="0017609B" w:rsidP="007A513F">
            <w:pPr>
              <w:pStyle w:val="SingleTxtG"/>
              <w:keepNext/>
              <w:tabs>
                <w:tab w:val="clear" w:pos="1701"/>
                <w:tab w:val="clear" w:pos="2268"/>
                <w:tab w:val="clear" w:pos="2835"/>
              </w:tabs>
              <w:spacing w:before="40" w:after="40" w:line="220" w:lineRule="exact"/>
              <w:ind w:left="0" w:right="0"/>
              <w:jc w:val="left"/>
              <w:rPr>
                <w:sz w:val="18"/>
                <w:lang w:val="es-ES_tradnl"/>
              </w:rPr>
            </w:pPr>
            <w:r w:rsidRPr="0017609B">
              <w:rPr>
                <w:sz w:val="18"/>
                <w:lang w:val="es-ES_tradnl"/>
              </w:rPr>
              <w:t xml:space="preserve">Bamako </w:t>
            </w:r>
          </w:p>
        </w:tc>
        <w:tc>
          <w:tcPr>
            <w:tcW w:w="803" w:type="pct"/>
            <w:tcBorders>
              <w:bottom w:val="single" w:sz="4" w:space="0" w:color="auto"/>
            </w:tcBorders>
            <w:shd w:val="clear" w:color="auto" w:fill="auto"/>
            <w:vAlign w:val="bottom"/>
          </w:tcPr>
          <w:p w14:paraId="756D7032" w14:textId="4A9BA787" w:rsidR="0017609B" w:rsidRPr="0017609B" w:rsidRDefault="0017609B" w:rsidP="007A513F">
            <w:pPr>
              <w:pStyle w:val="SingleTxtG"/>
              <w:keepNext/>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25</w:t>
            </w:r>
            <w:r w:rsidR="00FA7071">
              <w:rPr>
                <w:sz w:val="18"/>
                <w:lang w:val="es-ES_tradnl"/>
              </w:rPr>
              <w:t xml:space="preserve"> </w:t>
            </w:r>
            <w:r w:rsidRPr="0017609B">
              <w:rPr>
                <w:sz w:val="18"/>
                <w:lang w:val="es-ES_tradnl"/>
              </w:rPr>
              <w:t>692</w:t>
            </w:r>
          </w:p>
        </w:tc>
        <w:tc>
          <w:tcPr>
            <w:tcW w:w="806" w:type="pct"/>
            <w:tcBorders>
              <w:bottom w:val="single" w:sz="4" w:space="0" w:color="auto"/>
            </w:tcBorders>
            <w:shd w:val="clear" w:color="auto" w:fill="auto"/>
            <w:vAlign w:val="bottom"/>
          </w:tcPr>
          <w:p w14:paraId="02762AC6" w14:textId="281EE9CD" w:rsidR="0017609B" w:rsidRPr="0017609B" w:rsidRDefault="0017609B" w:rsidP="007A513F">
            <w:pPr>
              <w:pStyle w:val="SingleTxtG"/>
              <w:keepNext/>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2</w:t>
            </w:r>
            <w:r w:rsidR="00FA7071">
              <w:rPr>
                <w:sz w:val="18"/>
                <w:lang w:val="es-ES_tradnl"/>
              </w:rPr>
              <w:t xml:space="preserve"> </w:t>
            </w:r>
            <w:r w:rsidRPr="0017609B">
              <w:rPr>
                <w:sz w:val="18"/>
                <w:lang w:val="es-ES_tradnl"/>
              </w:rPr>
              <w:t>082</w:t>
            </w:r>
          </w:p>
        </w:tc>
        <w:tc>
          <w:tcPr>
            <w:tcW w:w="803" w:type="pct"/>
            <w:tcBorders>
              <w:bottom w:val="single" w:sz="4" w:space="0" w:color="auto"/>
            </w:tcBorders>
            <w:shd w:val="clear" w:color="auto" w:fill="auto"/>
            <w:noWrap/>
            <w:vAlign w:val="bottom"/>
          </w:tcPr>
          <w:p w14:paraId="0A53A41B" w14:textId="1975BA29" w:rsidR="0017609B" w:rsidRPr="0017609B" w:rsidRDefault="0017609B" w:rsidP="007A513F">
            <w:pPr>
              <w:pStyle w:val="SingleTxtG"/>
              <w:keepNext/>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16</w:t>
            </w:r>
            <w:r w:rsidR="00FA7071">
              <w:rPr>
                <w:sz w:val="18"/>
                <w:lang w:val="es-ES_tradnl"/>
              </w:rPr>
              <w:t xml:space="preserve"> </w:t>
            </w:r>
            <w:r w:rsidRPr="0017609B">
              <w:rPr>
                <w:sz w:val="18"/>
                <w:lang w:val="es-ES_tradnl"/>
              </w:rPr>
              <w:t>326</w:t>
            </w:r>
          </w:p>
        </w:tc>
        <w:tc>
          <w:tcPr>
            <w:tcW w:w="806" w:type="pct"/>
            <w:tcBorders>
              <w:bottom w:val="single" w:sz="4" w:space="0" w:color="auto"/>
            </w:tcBorders>
            <w:shd w:val="clear" w:color="auto" w:fill="auto"/>
            <w:noWrap/>
            <w:vAlign w:val="bottom"/>
          </w:tcPr>
          <w:p w14:paraId="45CB5FCD" w14:textId="12EB9DE3" w:rsidR="0017609B" w:rsidRPr="0017609B" w:rsidRDefault="0017609B" w:rsidP="007A513F">
            <w:pPr>
              <w:pStyle w:val="SingleTxtG"/>
              <w:keepNext/>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1</w:t>
            </w:r>
            <w:r w:rsidR="00FA7071">
              <w:rPr>
                <w:sz w:val="18"/>
                <w:lang w:val="es-ES_tradnl"/>
              </w:rPr>
              <w:t xml:space="preserve"> </w:t>
            </w:r>
            <w:r w:rsidRPr="0017609B">
              <w:rPr>
                <w:sz w:val="18"/>
                <w:lang w:val="es-ES_tradnl"/>
              </w:rPr>
              <w:t>284</w:t>
            </w:r>
          </w:p>
        </w:tc>
        <w:tc>
          <w:tcPr>
            <w:tcW w:w="854" w:type="pct"/>
            <w:tcBorders>
              <w:bottom w:val="single" w:sz="4" w:space="0" w:color="auto"/>
            </w:tcBorders>
            <w:shd w:val="clear" w:color="auto" w:fill="auto"/>
            <w:noWrap/>
            <w:vAlign w:val="bottom"/>
          </w:tcPr>
          <w:p w14:paraId="26270A97" w14:textId="77777777" w:rsidR="0017609B" w:rsidRPr="0017609B" w:rsidRDefault="0017609B" w:rsidP="007A513F">
            <w:pPr>
              <w:pStyle w:val="SingleTxtG"/>
              <w:keepNext/>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63,4</w:t>
            </w:r>
          </w:p>
        </w:tc>
      </w:tr>
      <w:tr w:rsidR="00411636" w:rsidRPr="0017609B" w14:paraId="5AF88851" w14:textId="77777777" w:rsidTr="00FA7071">
        <w:trPr>
          <w:trHeight w:val="240"/>
        </w:trPr>
        <w:tc>
          <w:tcPr>
            <w:tcW w:w="927" w:type="pct"/>
            <w:tcBorders>
              <w:top w:val="single" w:sz="4" w:space="0" w:color="auto"/>
              <w:bottom w:val="single" w:sz="12" w:space="0" w:color="auto"/>
            </w:tcBorders>
            <w:shd w:val="clear" w:color="auto" w:fill="auto"/>
          </w:tcPr>
          <w:p w14:paraId="74D15121" w14:textId="77777777" w:rsidR="0017609B" w:rsidRPr="0017609B" w:rsidRDefault="0017609B" w:rsidP="00FA7071">
            <w:pPr>
              <w:pStyle w:val="SingleTxtG"/>
              <w:tabs>
                <w:tab w:val="clear" w:pos="1701"/>
                <w:tab w:val="clear" w:pos="2268"/>
                <w:tab w:val="clear" w:pos="2835"/>
              </w:tabs>
              <w:spacing w:before="80" w:after="80" w:line="220" w:lineRule="exact"/>
              <w:ind w:left="284" w:right="0"/>
              <w:jc w:val="left"/>
              <w:rPr>
                <w:b/>
                <w:sz w:val="18"/>
              </w:rPr>
            </w:pPr>
            <w:r w:rsidRPr="0017609B">
              <w:rPr>
                <w:b/>
                <w:sz w:val="18"/>
              </w:rPr>
              <w:t>Total</w:t>
            </w:r>
          </w:p>
        </w:tc>
        <w:tc>
          <w:tcPr>
            <w:tcW w:w="803" w:type="pct"/>
            <w:tcBorders>
              <w:top w:val="single" w:sz="4" w:space="0" w:color="auto"/>
              <w:bottom w:val="single" w:sz="12" w:space="0" w:color="auto"/>
            </w:tcBorders>
            <w:shd w:val="clear" w:color="auto" w:fill="auto"/>
            <w:vAlign w:val="bottom"/>
          </w:tcPr>
          <w:p w14:paraId="1D22676F" w14:textId="761C593D" w:rsidR="0017609B" w:rsidRPr="0017609B" w:rsidRDefault="0017609B" w:rsidP="0074605D">
            <w:pPr>
              <w:pStyle w:val="SingleTxtG"/>
              <w:tabs>
                <w:tab w:val="clear" w:pos="1701"/>
                <w:tab w:val="clear" w:pos="2268"/>
                <w:tab w:val="clear" w:pos="2835"/>
              </w:tabs>
              <w:spacing w:before="80" w:after="80" w:line="220" w:lineRule="exact"/>
              <w:ind w:left="113" w:right="0"/>
              <w:jc w:val="right"/>
              <w:rPr>
                <w:b/>
                <w:sz w:val="18"/>
              </w:rPr>
            </w:pPr>
            <w:r w:rsidRPr="0017609B">
              <w:rPr>
                <w:b/>
                <w:sz w:val="18"/>
              </w:rPr>
              <w:t>43</w:t>
            </w:r>
            <w:r w:rsidR="00FA7071">
              <w:rPr>
                <w:b/>
                <w:sz w:val="18"/>
              </w:rPr>
              <w:t xml:space="preserve"> </w:t>
            </w:r>
            <w:r w:rsidRPr="0017609B">
              <w:rPr>
                <w:b/>
                <w:sz w:val="18"/>
              </w:rPr>
              <w:t>507</w:t>
            </w:r>
          </w:p>
        </w:tc>
        <w:tc>
          <w:tcPr>
            <w:tcW w:w="806" w:type="pct"/>
            <w:tcBorders>
              <w:top w:val="single" w:sz="4" w:space="0" w:color="auto"/>
              <w:bottom w:val="single" w:sz="12" w:space="0" w:color="auto"/>
            </w:tcBorders>
            <w:shd w:val="clear" w:color="auto" w:fill="auto"/>
            <w:vAlign w:val="bottom"/>
          </w:tcPr>
          <w:p w14:paraId="4BE6DE52" w14:textId="48C5E0F3" w:rsidR="0017609B" w:rsidRPr="0017609B" w:rsidRDefault="0017609B" w:rsidP="0074605D">
            <w:pPr>
              <w:pStyle w:val="SingleTxtG"/>
              <w:tabs>
                <w:tab w:val="clear" w:pos="1701"/>
                <w:tab w:val="clear" w:pos="2268"/>
                <w:tab w:val="clear" w:pos="2835"/>
              </w:tabs>
              <w:spacing w:before="80" w:after="80" w:line="220" w:lineRule="exact"/>
              <w:ind w:left="113" w:right="0"/>
              <w:jc w:val="right"/>
              <w:rPr>
                <w:b/>
                <w:sz w:val="18"/>
              </w:rPr>
            </w:pPr>
            <w:r w:rsidRPr="0017609B">
              <w:rPr>
                <w:b/>
                <w:sz w:val="18"/>
              </w:rPr>
              <w:t>3</w:t>
            </w:r>
            <w:r w:rsidR="00FA7071">
              <w:rPr>
                <w:b/>
                <w:sz w:val="18"/>
              </w:rPr>
              <w:t xml:space="preserve"> </w:t>
            </w:r>
            <w:r w:rsidRPr="0017609B">
              <w:rPr>
                <w:b/>
                <w:sz w:val="18"/>
              </w:rPr>
              <w:t>017</w:t>
            </w:r>
          </w:p>
        </w:tc>
        <w:tc>
          <w:tcPr>
            <w:tcW w:w="803" w:type="pct"/>
            <w:tcBorders>
              <w:top w:val="single" w:sz="4" w:space="0" w:color="auto"/>
              <w:bottom w:val="single" w:sz="12" w:space="0" w:color="auto"/>
            </w:tcBorders>
            <w:shd w:val="clear" w:color="auto" w:fill="auto"/>
            <w:noWrap/>
            <w:vAlign w:val="bottom"/>
          </w:tcPr>
          <w:p w14:paraId="72EBD730" w14:textId="6E650669" w:rsidR="0017609B" w:rsidRPr="0017609B" w:rsidRDefault="0017609B" w:rsidP="0074605D">
            <w:pPr>
              <w:pStyle w:val="SingleTxtG"/>
              <w:tabs>
                <w:tab w:val="clear" w:pos="1701"/>
                <w:tab w:val="clear" w:pos="2268"/>
                <w:tab w:val="clear" w:pos="2835"/>
              </w:tabs>
              <w:spacing w:before="80" w:after="80" w:line="220" w:lineRule="exact"/>
              <w:ind w:left="113" w:right="0"/>
              <w:jc w:val="right"/>
              <w:rPr>
                <w:b/>
                <w:sz w:val="18"/>
              </w:rPr>
            </w:pPr>
            <w:r w:rsidRPr="0017609B">
              <w:rPr>
                <w:b/>
                <w:sz w:val="18"/>
              </w:rPr>
              <w:t>26</w:t>
            </w:r>
            <w:r w:rsidR="00FA7071">
              <w:rPr>
                <w:b/>
                <w:sz w:val="18"/>
              </w:rPr>
              <w:t xml:space="preserve"> </w:t>
            </w:r>
            <w:r w:rsidRPr="0017609B">
              <w:rPr>
                <w:b/>
                <w:sz w:val="18"/>
              </w:rPr>
              <w:t>839</w:t>
            </w:r>
          </w:p>
        </w:tc>
        <w:tc>
          <w:tcPr>
            <w:tcW w:w="806" w:type="pct"/>
            <w:tcBorders>
              <w:top w:val="single" w:sz="4" w:space="0" w:color="auto"/>
              <w:bottom w:val="single" w:sz="12" w:space="0" w:color="auto"/>
            </w:tcBorders>
            <w:shd w:val="clear" w:color="auto" w:fill="auto"/>
            <w:noWrap/>
            <w:vAlign w:val="bottom"/>
          </w:tcPr>
          <w:p w14:paraId="5CAB3FC0" w14:textId="711EB8F2" w:rsidR="0017609B" w:rsidRPr="0017609B" w:rsidRDefault="0017609B" w:rsidP="0074605D">
            <w:pPr>
              <w:pStyle w:val="SingleTxtG"/>
              <w:tabs>
                <w:tab w:val="clear" w:pos="1701"/>
                <w:tab w:val="clear" w:pos="2268"/>
                <w:tab w:val="clear" w:pos="2835"/>
              </w:tabs>
              <w:spacing w:before="80" w:after="80" w:line="220" w:lineRule="exact"/>
              <w:ind w:left="113" w:right="0"/>
              <w:jc w:val="right"/>
              <w:rPr>
                <w:b/>
                <w:sz w:val="18"/>
              </w:rPr>
            </w:pPr>
            <w:r w:rsidRPr="0017609B">
              <w:rPr>
                <w:b/>
                <w:sz w:val="18"/>
              </w:rPr>
              <w:t>1</w:t>
            </w:r>
            <w:r w:rsidR="00FA7071">
              <w:rPr>
                <w:b/>
                <w:sz w:val="18"/>
              </w:rPr>
              <w:t xml:space="preserve"> </w:t>
            </w:r>
            <w:r w:rsidRPr="0017609B">
              <w:rPr>
                <w:b/>
                <w:sz w:val="18"/>
              </w:rPr>
              <w:t>912</w:t>
            </w:r>
          </w:p>
        </w:tc>
        <w:tc>
          <w:tcPr>
            <w:tcW w:w="854" w:type="pct"/>
            <w:tcBorders>
              <w:top w:val="single" w:sz="4" w:space="0" w:color="auto"/>
              <w:bottom w:val="single" w:sz="12" w:space="0" w:color="auto"/>
            </w:tcBorders>
            <w:shd w:val="clear" w:color="auto" w:fill="auto"/>
            <w:noWrap/>
            <w:vAlign w:val="bottom"/>
          </w:tcPr>
          <w:p w14:paraId="30B99792" w14:textId="77777777" w:rsidR="0017609B" w:rsidRPr="0017609B" w:rsidRDefault="0017609B" w:rsidP="0074605D">
            <w:pPr>
              <w:pStyle w:val="SingleTxtG"/>
              <w:tabs>
                <w:tab w:val="clear" w:pos="1701"/>
                <w:tab w:val="clear" w:pos="2268"/>
                <w:tab w:val="clear" w:pos="2835"/>
              </w:tabs>
              <w:spacing w:before="80" w:after="80" w:line="220" w:lineRule="exact"/>
              <w:ind w:left="113" w:right="0"/>
              <w:jc w:val="right"/>
              <w:rPr>
                <w:b/>
                <w:sz w:val="18"/>
              </w:rPr>
            </w:pPr>
            <w:r w:rsidRPr="0017609B">
              <w:rPr>
                <w:b/>
                <w:sz w:val="18"/>
              </w:rPr>
              <w:t>61,8</w:t>
            </w:r>
          </w:p>
        </w:tc>
      </w:tr>
    </w:tbl>
    <w:p w14:paraId="0B9261D2" w14:textId="77777777" w:rsidR="0017609B" w:rsidRPr="0017609B" w:rsidRDefault="0017609B" w:rsidP="00AE189C">
      <w:pPr>
        <w:pStyle w:val="SingleTxtG"/>
        <w:spacing w:before="120" w:after="240"/>
        <w:ind w:firstLine="170"/>
        <w:jc w:val="left"/>
        <w:rPr>
          <w:i/>
          <w:sz w:val="18"/>
          <w:szCs w:val="18"/>
        </w:rPr>
      </w:pPr>
      <w:r w:rsidRPr="0017609B">
        <w:rPr>
          <w:i/>
          <w:iCs/>
          <w:sz w:val="18"/>
          <w:szCs w:val="18"/>
        </w:rPr>
        <w:t>Fuente</w:t>
      </w:r>
      <w:r w:rsidRPr="0017609B">
        <w:rPr>
          <w:i/>
          <w:sz w:val="18"/>
          <w:szCs w:val="18"/>
        </w:rPr>
        <w:t>:</w:t>
      </w:r>
      <w:r w:rsidRPr="0017609B">
        <w:rPr>
          <w:sz w:val="18"/>
          <w:szCs w:val="18"/>
        </w:rPr>
        <w:t xml:space="preserve"> </w:t>
      </w:r>
      <w:proofErr w:type="spellStart"/>
      <w:r w:rsidRPr="0017609B">
        <w:rPr>
          <w:sz w:val="16"/>
          <w:szCs w:val="16"/>
          <w:lang w:val="fr-FR"/>
        </w:rPr>
        <w:t>Dirección</w:t>
      </w:r>
      <w:proofErr w:type="spellEnd"/>
      <w:r w:rsidRPr="0017609B">
        <w:rPr>
          <w:sz w:val="18"/>
          <w:szCs w:val="18"/>
        </w:rPr>
        <w:t xml:space="preserve"> Nacional de Salud, </w:t>
      </w:r>
      <w:proofErr w:type="spellStart"/>
      <w:r w:rsidRPr="0017609B">
        <w:rPr>
          <w:i/>
          <w:iCs/>
          <w:sz w:val="18"/>
          <w:szCs w:val="18"/>
        </w:rPr>
        <w:t>Annuaire</w:t>
      </w:r>
      <w:proofErr w:type="spellEnd"/>
      <w:r w:rsidRPr="0017609B">
        <w:rPr>
          <w:i/>
          <w:iCs/>
          <w:sz w:val="18"/>
          <w:szCs w:val="18"/>
        </w:rPr>
        <w:t xml:space="preserve"> </w:t>
      </w:r>
      <w:proofErr w:type="spellStart"/>
      <w:r w:rsidRPr="0017609B">
        <w:rPr>
          <w:i/>
          <w:iCs/>
          <w:sz w:val="18"/>
          <w:szCs w:val="18"/>
        </w:rPr>
        <w:t>statistique</w:t>
      </w:r>
      <w:proofErr w:type="spellEnd"/>
      <w:r w:rsidRPr="0017609B">
        <w:rPr>
          <w:sz w:val="18"/>
          <w:szCs w:val="18"/>
        </w:rPr>
        <w:t xml:space="preserve">, </w:t>
      </w:r>
      <w:proofErr w:type="spellStart"/>
      <w:r w:rsidRPr="0017609B">
        <w:rPr>
          <w:sz w:val="18"/>
          <w:szCs w:val="18"/>
        </w:rPr>
        <w:t>SLIS</w:t>
      </w:r>
      <w:proofErr w:type="spellEnd"/>
      <w:r w:rsidRPr="0017609B">
        <w:rPr>
          <w:sz w:val="18"/>
          <w:szCs w:val="18"/>
        </w:rPr>
        <w:t xml:space="preserve"> 2012.</w:t>
      </w:r>
    </w:p>
    <w:p w14:paraId="09BF7954" w14:textId="50F95635" w:rsidR="0017609B" w:rsidRPr="0017609B" w:rsidRDefault="00411636" w:rsidP="00411636">
      <w:pPr>
        <w:pStyle w:val="H23G"/>
        <w:rPr>
          <w:lang w:val="es-ES_tradnl"/>
        </w:rPr>
      </w:pPr>
      <w:bookmarkStart w:id="231" w:name="_Toc386794694"/>
      <w:bookmarkStart w:id="232" w:name="_Toc386807840"/>
      <w:bookmarkStart w:id="233" w:name="_Toc414372953"/>
      <w:bookmarkStart w:id="234" w:name="_Toc414373182"/>
      <w:bookmarkStart w:id="235" w:name="_Toc414377678"/>
      <w:r>
        <w:tab/>
      </w:r>
      <w:r w:rsidR="0017609B" w:rsidRPr="0017609B">
        <w:tab/>
      </w:r>
      <w:r w:rsidR="0017609B" w:rsidRPr="0017609B">
        <w:rPr>
          <w:lang w:val="es-ES_tradnl"/>
        </w:rPr>
        <w:t>Información sobre el VIH/sida entre los adolescentes</w:t>
      </w:r>
      <w:bookmarkEnd w:id="231"/>
      <w:bookmarkEnd w:id="232"/>
      <w:bookmarkEnd w:id="233"/>
      <w:bookmarkEnd w:id="234"/>
      <w:bookmarkEnd w:id="235"/>
    </w:p>
    <w:p w14:paraId="119E3C4C" w14:textId="6B877450" w:rsidR="0017609B" w:rsidRPr="0017609B" w:rsidRDefault="0017609B" w:rsidP="0017609B">
      <w:pPr>
        <w:pStyle w:val="SingleTxtG"/>
        <w:rPr>
          <w:bCs/>
          <w:lang w:val="es-ES_tradnl"/>
        </w:rPr>
      </w:pPr>
      <w:r w:rsidRPr="0017609B">
        <w:rPr>
          <w:lang w:val="es-ES_tradnl"/>
        </w:rPr>
        <w:t>127.</w:t>
      </w:r>
      <w:r w:rsidRPr="0017609B">
        <w:rPr>
          <w:lang w:val="es-ES_tradnl"/>
        </w:rPr>
        <w:tab/>
        <w:t xml:space="preserve">Según los resultados de la </w:t>
      </w:r>
      <w:proofErr w:type="spellStart"/>
      <w:r w:rsidRPr="0017609B">
        <w:rPr>
          <w:lang w:val="es-ES_tradnl"/>
        </w:rPr>
        <w:t>EDSM</w:t>
      </w:r>
      <w:proofErr w:type="spellEnd"/>
      <w:r w:rsidRPr="0017609B">
        <w:rPr>
          <w:lang w:val="es-ES_tradnl"/>
        </w:rPr>
        <w:t xml:space="preserve"> V, el 83 % de las mujeres y el 96 % de los hombres afirmaron que habían oído hablar del VIH/sida. En el caso del grupo de edad que va de los</w:t>
      </w:r>
      <w:r w:rsidR="00DC4C43">
        <w:rPr>
          <w:lang w:val="es-ES_tradnl"/>
        </w:rPr>
        <w:t> </w:t>
      </w:r>
      <w:r w:rsidRPr="0017609B">
        <w:rPr>
          <w:lang w:val="es-ES_tradnl"/>
        </w:rPr>
        <w:t>15</w:t>
      </w:r>
      <w:r w:rsidR="00DC4C43">
        <w:rPr>
          <w:lang w:val="es-ES_tradnl"/>
        </w:rPr>
        <w:t> </w:t>
      </w:r>
      <w:r w:rsidRPr="0017609B">
        <w:rPr>
          <w:lang w:val="es-ES_tradnl"/>
        </w:rPr>
        <w:t xml:space="preserve">a los 19 años, ese porcentaje es del 82,1 % entre las mujeres y del 91,7 % entre los hombres. </w:t>
      </w:r>
    </w:p>
    <w:p w14:paraId="7E7BEC99" w14:textId="77777777" w:rsidR="0017609B" w:rsidRPr="0017609B" w:rsidRDefault="0017609B" w:rsidP="00411636">
      <w:pPr>
        <w:pStyle w:val="H4G"/>
        <w:rPr>
          <w:lang w:val="es-ES_tradnl"/>
        </w:rPr>
      </w:pPr>
      <w:bookmarkStart w:id="236" w:name="_Toc414377680"/>
      <w:bookmarkStart w:id="237" w:name="_Toc35441112"/>
      <w:bookmarkStart w:id="238" w:name="_Toc414372955"/>
      <w:bookmarkStart w:id="239" w:name="_Toc414373184"/>
      <w:r w:rsidRPr="0017609B">
        <w:rPr>
          <w:lang w:val="es-ES_tradnl"/>
        </w:rPr>
        <w:tab/>
        <w:t>6.1.6</w:t>
      </w:r>
      <w:r w:rsidRPr="0017609B">
        <w:rPr>
          <w:lang w:val="es-ES_tradnl"/>
        </w:rPr>
        <w:tab/>
        <w:t>Salud de los adolescentes</w:t>
      </w:r>
      <w:bookmarkStart w:id="240" w:name="_Toc386807838"/>
      <w:bookmarkEnd w:id="236"/>
      <w:bookmarkEnd w:id="237"/>
      <w:bookmarkEnd w:id="238"/>
      <w:bookmarkEnd w:id="239"/>
    </w:p>
    <w:bookmarkEnd w:id="240"/>
    <w:p w14:paraId="7330A43D" w14:textId="643FC3D2" w:rsidR="0017609B" w:rsidRPr="0017609B" w:rsidRDefault="0017609B" w:rsidP="0017609B">
      <w:pPr>
        <w:pStyle w:val="SingleTxtG"/>
        <w:rPr>
          <w:bCs/>
          <w:lang w:val="es-ES_tradnl"/>
        </w:rPr>
      </w:pPr>
      <w:r w:rsidRPr="0017609B">
        <w:rPr>
          <w:lang w:val="es-ES_tradnl"/>
        </w:rPr>
        <w:t>128.</w:t>
      </w:r>
      <w:r w:rsidRPr="0017609B">
        <w:rPr>
          <w:lang w:val="es-ES_tradnl"/>
        </w:rPr>
        <w:tab/>
        <w:t xml:space="preserve">Según la </w:t>
      </w:r>
      <w:proofErr w:type="spellStart"/>
      <w:r w:rsidRPr="0017609B">
        <w:rPr>
          <w:lang w:val="es-ES_tradnl"/>
        </w:rPr>
        <w:t>EDSM</w:t>
      </w:r>
      <w:proofErr w:type="spellEnd"/>
      <w:r w:rsidRPr="0017609B">
        <w:rPr>
          <w:lang w:val="es-ES_tradnl"/>
        </w:rPr>
        <w:t xml:space="preserve"> V, la tasa de fecundidad de las adolescentes de 15 a 19 años es del</w:t>
      </w:r>
      <w:r w:rsidR="00FA7071">
        <w:rPr>
          <w:lang w:val="es-ES_tradnl"/>
        </w:rPr>
        <w:t> </w:t>
      </w:r>
      <w:r w:rsidRPr="0017609B">
        <w:rPr>
          <w:lang w:val="es-ES_tradnl"/>
        </w:rPr>
        <w:t>12 % en las zonas urbanas y del 15 % en las zonas rurales.</w:t>
      </w:r>
    </w:p>
    <w:p w14:paraId="2C199F57" w14:textId="77777777" w:rsidR="0017609B" w:rsidRPr="0017609B" w:rsidRDefault="0017609B" w:rsidP="0017609B">
      <w:pPr>
        <w:pStyle w:val="SingleTxtG"/>
        <w:rPr>
          <w:b/>
          <w:bCs/>
          <w:lang w:val="es-ES_tradnl"/>
        </w:rPr>
      </w:pPr>
      <w:r w:rsidRPr="0017609B">
        <w:rPr>
          <w:lang w:val="es-ES_tradnl"/>
        </w:rPr>
        <w:t>129.</w:t>
      </w:r>
      <w:r w:rsidRPr="0017609B">
        <w:rPr>
          <w:lang w:val="es-ES_tradnl"/>
        </w:rPr>
        <w:tab/>
        <w:t xml:space="preserve">Se calcula que la tasa global de fecundidad es de 6,1 hijos por mujer y que es más elevada en las zonas rurales (una media de 6,5 hijos por mujer) que en las urbanas (5 hijos). </w:t>
      </w:r>
      <w:bookmarkStart w:id="241" w:name="_Toc301249990"/>
      <w:bookmarkStart w:id="242" w:name="_Toc334169780"/>
      <w:bookmarkStart w:id="243" w:name="_Toc386794693"/>
      <w:bookmarkStart w:id="244" w:name="_Toc386807839"/>
    </w:p>
    <w:p w14:paraId="6E0284B9" w14:textId="77777777" w:rsidR="0017609B" w:rsidRPr="0017609B" w:rsidRDefault="0017609B" w:rsidP="00FA7071">
      <w:pPr>
        <w:pStyle w:val="SingleTxtG"/>
        <w:keepNext/>
        <w:ind w:left="0" w:right="0"/>
        <w:jc w:val="left"/>
        <w:rPr>
          <w:b/>
          <w:lang w:val="es-ES_tradnl"/>
        </w:rPr>
      </w:pPr>
      <w:bookmarkStart w:id="245" w:name="_Toc414372957"/>
      <w:bookmarkStart w:id="246" w:name="_Toc414373186"/>
      <w:bookmarkStart w:id="247" w:name="_Toc414377682"/>
      <w:r w:rsidRPr="0017609B">
        <w:rPr>
          <w:lang w:val="es-ES_tradnl"/>
        </w:rPr>
        <w:lastRenderedPageBreak/>
        <w:t>Cuadro 7</w:t>
      </w:r>
      <w:r w:rsidRPr="0017609B">
        <w:rPr>
          <w:b/>
          <w:bCs/>
          <w:lang w:val="es-ES_tradnl"/>
        </w:rPr>
        <w:t xml:space="preserve"> </w:t>
      </w:r>
      <w:r w:rsidRPr="0017609B">
        <w:rPr>
          <w:b/>
          <w:bCs/>
          <w:lang w:val="es-ES_tradnl"/>
        </w:rPr>
        <w:br/>
        <w:t>Uso de la anticoncepción</w:t>
      </w:r>
      <w:r w:rsidRPr="0017609B">
        <w:rPr>
          <w:b/>
          <w:lang w:val="es-ES_tradnl"/>
        </w:rPr>
        <w:t xml:space="preserve"> </w:t>
      </w:r>
      <w:bookmarkEnd w:id="241"/>
      <w:bookmarkEnd w:id="242"/>
      <w:bookmarkEnd w:id="243"/>
      <w:bookmarkEnd w:id="244"/>
      <w:bookmarkEnd w:id="245"/>
      <w:bookmarkEnd w:id="246"/>
      <w:bookmarkEnd w:id="247"/>
    </w:p>
    <w:tbl>
      <w:tblPr>
        <w:tblW w:w="5001" w:type="pct"/>
        <w:tblBorders>
          <w:top w:val="single" w:sz="4" w:space="0" w:color="auto"/>
        </w:tblBorders>
        <w:tblLayout w:type="fixed"/>
        <w:tblCellMar>
          <w:left w:w="0" w:type="dxa"/>
          <w:right w:w="0" w:type="dxa"/>
        </w:tblCellMar>
        <w:tblLook w:val="0000" w:firstRow="0" w:lastRow="0" w:firstColumn="0" w:lastColumn="0" w:noHBand="0" w:noVBand="0"/>
      </w:tblPr>
      <w:tblGrid>
        <w:gridCol w:w="577"/>
        <w:gridCol w:w="558"/>
        <w:gridCol w:w="518"/>
        <w:gridCol w:w="478"/>
        <w:gridCol w:w="567"/>
        <w:gridCol w:w="711"/>
        <w:gridCol w:w="711"/>
        <w:gridCol w:w="711"/>
        <w:gridCol w:w="850"/>
        <w:gridCol w:w="549"/>
        <w:gridCol w:w="495"/>
        <w:gridCol w:w="517"/>
        <w:gridCol w:w="569"/>
        <w:gridCol w:w="434"/>
        <w:gridCol w:w="395"/>
        <w:gridCol w:w="501"/>
        <w:gridCol w:w="499"/>
      </w:tblGrid>
      <w:tr w:rsidR="00411636" w:rsidRPr="00411636" w14:paraId="3C134395" w14:textId="77777777" w:rsidTr="00FA7071">
        <w:trPr>
          <w:cantSplit/>
          <w:trHeight w:val="240"/>
          <w:tblHeader/>
        </w:trPr>
        <w:tc>
          <w:tcPr>
            <w:tcW w:w="5000" w:type="pct"/>
            <w:gridSpan w:val="17"/>
            <w:tcBorders>
              <w:top w:val="single" w:sz="4" w:space="0" w:color="auto"/>
              <w:bottom w:val="single" w:sz="4" w:space="0" w:color="auto"/>
            </w:tcBorders>
            <w:shd w:val="clear" w:color="auto" w:fill="auto"/>
            <w:vAlign w:val="bottom"/>
          </w:tcPr>
          <w:p w14:paraId="71AAAF48" w14:textId="77777777" w:rsidR="0017609B" w:rsidRPr="0017609B" w:rsidRDefault="0017609B" w:rsidP="00FA7071">
            <w:pPr>
              <w:pStyle w:val="SingleTxtG"/>
              <w:tabs>
                <w:tab w:val="clear" w:pos="1701"/>
                <w:tab w:val="clear" w:pos="2268"/>
                <w:tab w:val="clear" w:pos="2835"/>
              </w:tabs>
              <w:spacing w:before="80" w:after="80" w:line="200" w:lineRule="exact"/>
              <w:ind w:left="0" w:right="0"/>
              <w:jc w:val="center"/>
              <w:rPr>
                <w:i/>
                <w:sz w:val="16"/>
                <w:szCs w:val="16"/>
                <w:lang w:val="es-ES_tradnl"/>
              </w:rPr>
            </w:pPr>
            <w:bookmarkStart w:id="248" w:name="_Toc334008535"/>
            <w:bookmarkStart w:id="249" w:name="_Toc334619587"/>
            <w:r w:rsidRPr="0017609B">
              <w:rPr>
                <w:i/>
                <w:iCs/>
                <w:sz w:val="16"/>
                <w:szCs w:val="16"/>
                <w:lang w:val="es-ES_tradnl"/>
              </w:rPr>
              <w:t>Uso actual de la anticoncepción</w:t>
            </w:r>
            <w:bookmarkEnd w:id="248"/>
            <w:bookmarkEnd w:id="249"/>
          </w:p>
        </w:tc>
      </w:tr>
      <w:tr w:rsidR="00411636" w:rsidRPr="00411636" w14:paraId="11FE5B98" w14:textId="77777777" w:rsidTr="00FA7071">
        <w:trPr>
          <w:cantSplit/>
          <w:trHeight w:val="240"/>
          <w:tblHeader/>
        </w:trPr>
        <w:tc>
          <w:tcPr>
            <w:tcW w:w="5000" w:type="pct"/>
            <w:gridSpan w:val="17"/>
            <w:tcBorders>
              <w:top w:val="single" w:sz="4" w:space="0" w:color="auto"/>
              <w:bottom w:val="single" w:sz="4" w:space="0" w:color="auto"/>
            </w:tcBorders>
            <w:shd w:val="clear" w:color="auto" w:fill="auto"/>
          </w:tcPr>
          <w:p w14:paraId="4A1490A8" w14:textId="0D867C23" w:rsidR="0017609B" w:rsidRPr="0017609B" w:rsidRDefault="0017609B" w:rsidP="00701F23">
            <w:pPr>
              <w:pStyle w:val="SingleTxtG"/>
              <w:tabs>
                <w:tab w:val="clear" w:pos="1701"/>
                <w:tab w:val="clear" w:pos="2268"/>
                <w:tab w:val="clear" w:pos="2835"/>
              </w:tabs>
              <w:spacing w:before="80" w:after="80" w:line="200" w:lineRule="exact"/>
              <w:ind w:left="0" w:right="0"/>
              <w:jc w:val="left"/>
              <w:rPr>
                <w:i/>
                <w:iCs/>
                <w:sz w:val="16"/>
                <w:szCs w:val="16"/>
                <w:lang w:val="es-ES_tradnl"/>
              </w:rPr>
            </w:pPr>
            <w:r w:rsidRPr="0017609B">
              <w:rPr>
                <w:i/>
                <w:iCs/>
                <w:sz w:val="16"/>
                <w:szCs w:val="16"/>
                <w:lang w:val="es-ES_tradnl"/>
              </w:rPr>
              <w:t>Distribución (</w:t>
            </w:r>
            <w:r w:rsidR="000B1511">
              <w:rPr>
                <w:i/>
                <w:iCs/>
                <w:sz w:val="16"/>
                <w:szCs w:val="16"/>
                <w:lang w:val="es-ES_tradnl"/>
              </w:rPr>
              <w:t>porcentaje</w:t>
            </w:r>
            <w:r w:rsidRPr="0017609B">
              <w:rPr>
                <w:i/>
                <w:iCs/>
                <w:sz w:val="16"/>
                <w:szCs w:val="16"/>
                <w:lang w:val="es-ES_tradnl"/>
              </w:rPr>
              <w:t>) de mujeres de 15 a 49 años en unión, agrupadas por método anticonceptivo utilizado actualmente y por determinadas características sociodemográficas, Malí, 2012</w:t>
            </w:r>
          </w:p>
        </w:tc>
      </w:tr>
      <w:tr w:rsidR="00FA7071" w:rsidRPr="00411636" w14:paraId="66864E3C" w14:textId="77777777" w:rsidTr="008045B7">
        <w:trPr>
          <w:cantSplit/>
          <w:tblHeader/>
        </w:trPr>
        <w:tc>
          <w:tcPr>
            <w:tcW w:w="299" w:type="pct"/>
            <w:vMerge w:val="restart"/>
            <w:tcBorders>
              <w:top w:val="single" w:sz="4" w:space="0" w:color="auto"/>
            </w:tcBorders>
            <w:shd w:val="clear" w:color="auto" w:fill="auto"/>
            <w:textDirection w:val="btLr"/>
          </w:tcPr>
          <w:p w14:paraId="660C9289" w14:textId="77777777" w:rsidR="0017609B" w:rsidRPr="0017609B" w:rsidRDefault="0017609B" w:rsidP="008045B7">
            <w:pPr>
              <w:pStyle w:val="SingleTxtG"/>
              <w:tabs>
                <w:tab w:val="clear" w:pos="1701"/>
                <w:tab w:val="clear" w:pos="2268"/>
                <w:tab w:val="clear" w:pos="2835"/>
              </w:tabs>
              <w:spacing w:before="160" w:after="0" w:line="200" w:lineRule="exact"/>
              <w:ind w:left="0" w:right="0"/>
              <w:jc w:val="left"/>
              <w:rPr>
                <w:i/>
                <w:iCs/>
                <w:sz w:val="16"/>
                <w:szCs w:val="16"/>
                <w:lang w:val="es-ES_tradnl"/>
              </w:rPr>
            </w:pPr>
            <w:r w:rsidRPr="0017609B">
              <w:rPr>
                <w:i/>
                <w:iCs/>
                <w:sz w:val="16"/>
                <w:szCs w:val="16"/>
                <w:lang w:val="es-ES_tradnl"/>
              </w:rPr>
              <w:t>Características sociodemográficas</w:t>
            </w:r>
          </w:p>
        </w:tc>
        <w:tc>
          <w:tcPr>
            <w:tcW w:w="289" w:type="pct"/>
            <w:vMerge w:val="restart"/>
            <w:tcBorders>
              <w:top w:val="single" w:sz="4" w:space="0" w:color="auto"/>
            </w:tcBorders>
            <w:shd w:val="clear" w:color="auto" w:fill="auto"/>
            <w:textDirection w:val="btLr"/>
          </w:tcPr>
          <w:p w14:paraId="0B5E7414" w14:textId="10599E44" w:rsidR="0017609B" w:rsidRPr="0017609B" w:rsidRDefault="0017609B" w:rsidP="008045B7">
            <w:pPr>
              <w:pStyle w:val="SingleTxtG"/>
              <w:tabs>
                <w:tab w:val="clear" w:pos="1701"/>
                <w:tab w:val="clear" w:pos="2268"/>
                <w:tab w:val="clear" w:pos="2835"/>
              </w:tabs>
              <w:spacing w:before="360" w:after="0" w:line="200" w:lineRule="exact"/>
              <w:ind w:left="0" w:right="0"/>
              <w:jc w:val="left"/>
              <w:rPr>
                <w:i/>
                <w:iCs/>
                <w:sz w:val="16"/>
                <w:szCs w:val="16"/>
                <w:lang w:val="es-ES_tradnl"/>
              </w:rPr>
            </w:pPr>
            <w:r w:rsidRPr="0017609B">
              <w:rPr>
                <w:i/>
                <w:iCs/>
                <w:sz w:val="16"/>
                <w:szCs w:val="16"/>
                <w:lang w:val="es-ES_tradnl"/>
              </w:rPr>
              <w:t>Cualquier método</w:t>
            </w:r>
          </w:p>
        </w:tc>
        <w:tc>
          <w:tcPr>
            <w:tcW w:w="268" w:type="pct"/>
            <w:vMerge w:val="restart"/>
            <w:tcBorders>
              <w:top w:val="single" w:sz="4" w:space="0" w:color="auto"/>
            </w:tcBorders>
            <w:shd w:val="clear" w:color="auto" w:fill="auto"/>
            <w:textDirection w:val="btLr"/>
          </w:tcPr>
          <w:p w14:paraId="4197E2BB" w14:textId="77777777" w:rsidR="0017609B" w:rsidRPr="0017609B" w:rsidRDefault="0017609B" w:rsidP="008045B7">
            <w:pPr>
              <w:pStyle w:val="SingleTxtG"/>
              <w:tabs>
                <w:tab w:val="clear" w:pos="1701"/>
                <w:tab w:val="clear" w:pos="2268"/>
                <w:tab w:val="clear" w:pos="2835"/>
              </w:tabs>
              <w:spacing w:before="280" w:after="0" w:line="200" w:lineRule="exact"/>
              <w:ind w:left="0" w:right="0"/>
              <w:jc w:val="left"/>
              <w:rPr>
                <w:i/>
                <w:iCs/>
                <w:sz w:val="16"/>
                <w:szCs w:val="16"/>
                <w:lang w:val="es-ES_tradnl"/>
              </w:rPr>
            </w:pPr>
            <w:r w:rsidRPr="0017609B">
              <w:rPr>
                <w:i/>
                <w:iCs/>
                <w:sz w:val="16"/>
                <w:szCs w:val="16"/>
                <w:lang w:val="es-ES_tradnl"/>
              </w:rPr>
              <w:t>Un método moderno</w:t>
            </w:r>
          </w:p>
        </w:tc>
        <w:tc>
          <w:tcPr>
            <w:tcW w:w="248" w:type="pct"/>
            <w:vMerge w:val="restart"/>
            <w:tcBorders>
              <w:top w:val="single" w:sz="4" w:space="0" w:color="auto"/>
            </w:tcBorders>
            <w:shd w:val="clear" w:color="auto" w:fill="auto"/>
            <w:textDirection w:val="btLr"/>
          </w:tcPr>
          <w:p w14:paraId="7AE1F400" w14:textId="77777777" w:rsidR="0017609B" w:rsidRPr="0017609B" w:rsidRDefault="0017609B" w:rsidP="008045B7">
            <w:pPr>
              <w:pStyle w:val="SingleTxtG"/>
              <w:tabs>
                <w:tab w:val="clear" w:pos="1701"/>
                <w:tab w:val="clear" w:pos="2268"/>
                <w:tab w:val="clear" w:pos="2835"/>
              </w:tabs>
              <w:spacing w:before="80" w:after="0" w:line="200" w:lineRule="exact"/>
              <w:ind w:left="0" w:right="0"/>
              <w:jc w:val="left"/>
              <w:rPr>
                <w:i/>
                <w:iCs/>
                <w:sz w:val="16"/>
                <w:szCs w:val="16"/>
                <w:lang w:val="es-ES_tradnl"/>
              </w:rPr>
            </w:pPr>
            <w:r w:rsidRPr="0017609B">
              <w:rPr>
                <w:i/>
                <w:iCs/>
                <w:sz w:val="16"/>
                <w:szCs w:val="16"/>
                <w:lang w:val="es-ES_tradnl"/>
              </w:rPr>
              <w:t>Esterilización femenina</w:t>
            </w:r>
          </w:p>
        </w:tc>
        <w:tc>
          <w:tcPr>
            <w:tcW w:w="2383" w:type="pct"/>
            <w:gridSpan w:val="7"/>
            <w:tcBorders>
              <w:top w:val="single" w:sz="4" w:space="0" w:color="auto"/>
              <w:bottom w:val="single" w:sz="4" w:space="0" w:color="auto"/>
            </w:tcBorders>
            <w:shd w:val="clear" w:color="auto" w:fill="auto"/>
            <w:vAlign w:val="bottom"/>
          </w:tcPr>
          <w:p w14:paraId="495A9C8F" w14:textId="77777777" w:rsidR="0017609B" w:rsidRPr="0017609B" w:rsidRDefault="0017609B" w:rsidP="00FA7071">
            <w:pPr>
              <w:pStyle w:val="SingleTxtG"/>
              <w:tabs>
                <w:tab w:val="clear" w:pos="1701"/>
                <w:tab w:val="clear" w:pos="2268"/>
                <w:tab w:val="clear" w:pos="2835"/>
              </w:tabs>
              <w:spacing w:before="80" w:after="80" w:line="200" w:lineRule="exact"/>
              <w:ind w:left="0" w:right="0"/>
              <w:jc w:val="center"/>
              <w:rPr>
                <w:i/>
                <w:iCs/>
                <w:sz w:val="16"/>
                <w:szCs w:val="16"/>
                <w:lang w:val="es-ES_tradnl"/>
              </w:rPr>
            </w:pPr>
            <w:r w:rsidRPr="0017609B">
              <w:rPr>
                <w:i/>
                <w:iCs/>
                <w:sz w:val="16"/>
                <w:szCs w:val="16"/>
                <w:lang w:val="es-ES_tradnl"/>
              </w:rPr>
              <w:t>Método moderno</w:t>
            </w:r>
          </w:p>
        </w:tc>
        <w:tc>
          <w:tcPr>
            <w:tcW w:w="268" w:type="pct"/>
            <w:vMerge w:val="restart"/>
            <w:tcBorders>
              <w:top w:val="single" w:sz="4" w:space="0" w:color="auto"/>
            </w:tcBorders>
            <w:shd w:val="clear" w:color="auto" w:fill="auto"/>
            <w:textDirection w:val="btLr"/>
          </w:tcPr>
          <w:p w14:paraId="3434FDD4" w14:textId="77777777" w:rsidR="0017609B" w:rsidRPr="0017609B" w:rsidRDefault="0017609B" w:rsidP="00411636">
            <w:pPr>
              <w:pStyle w:val="SingleTxtG"/>
              <w:tabs>
                <w:tab w:val="clear" w:pos="1701"/>
                <w:tab w:val="clear" w:pos="2268"/>
                <w:tab w:val="clear" w:pos="2835"/>
              </w:tabs>
              <w:spacing w:before="80" w:after="80" w:line="200" w:lineRule="exact"/>
              <w:ind w:left="0" w:right="0"/>
              <w:jc w:val="left"/>
              <w:rPr>
                <w:i/>
                <w:iCs/>
                <w:sz w:val="16"/>
                <w:szCs w:val="16"/>
                <w:lang w:val="es-ES_tradnl"/>
              </w:rPr>
            </w:pPr>
            <w:r w:rsidRPr="0017609B">
              <w:rPr>
                <w:i/>
                <w:iCs/>
                <w:sz w:val="16"/>
                <w:szCs w:val="16"/>
                <w:lang w:val="es-ES_tradnl"/>
              </w:rPr>
              <w:t>Un método tradicional</w:t>
            </w:r>
          </w:p>
        </w:tc>
        <w:tc>
          <w:tcPr>
            <w:tcW w:w="520" w:type="pct"/>
            <w:gridSpan w:val="2"/>
            <w:tcBorders>
              <w:top w:val="single" w:sz="4" w:space="0" w:color="auto"/>
              <w:bottom w:val="single" w:sz="4" w:space="0" w:color="auto"/>
            </w:tcBorders>
            <w:shd w:val="clear" w:color="auto" w:fill="auto"/>
            <w:vAlign w:val="bottom"/>
          </w:tcPr>
          <w:p w14:paraId="6FFA8CB9" w14:textId="77777777" w:rsidR="0017609B" w:rsidRPr="0017609B" w:rsidRDefault="0017609B" w:rsidP="00FA7071">
            <w:pPr>
              <w:pStyle w:val="SingleTxtG"/>
              <w:tabs>
                <w:tab w:val="clear" w:pos="1701"/>
                <w:tab w:val="clear" w:pos="2268"/>
                <w:tab w:val="clear" w:pos="2835"/>
              </w:tabs>
              <w:spacing w:before="80" w:after="80" w:line="200" w:lineRule="exact"/>
              <w:ind w:left="0" w:right="0"/>
              <w:jc w:val="center"/>
              <w:rPr>
                <w:i/>
                <w:iCs/>
                <w:sz w:val="16"/>
                <w:szCs w:val="16"/>
                <w:lang w:val="es-ES_tradnl"/>
              </w:rPr>
            </w:pPr>
            <w:r w:rsidRPr="0017609B">
              <w:rPr>
                <w:i/>
                <w:iCs/>
                <w:sz w:val="16"/>
                <w:szCs w:val="16"/>
                <w:lang w:val="es-ES_tradnl"/>
              </w:rPr>
              <w:t>Método tradicional</w:t>
            </w:r>
          </w:p>
        </w:tc>
        <w:tc>
          <w:tcPr>
            <w:tcW w:w="205" w:type="pct"/>
            <w:vMerge w:val="restart"/>
            <w:tcBorders>
              <w:top w:val="single" w:sz="4" w:space="0" w:color="auto"/>
            </w:tcBorders>
            <w:shd w:val="clear" w:color="auto" w:fill="auto"/>
            <w:textDirection w:val="btLr"/>
          </w:tcPr>
          <w:p w14:paraId="79F585D2" w14:textId="77777777" w:rsidR="0017609B" w:rsidRPr="0017609B" w:rsidRDefault="0017609B" w:rsidP="008045B7">
            <w:pPr>
              <w:pStyle w:val="SingleTxtG"/>
              <w:tabs>
                <w:tab w:val="clear" w:pos="1701"/>
                <w:tab w:val="clear" w:pos="2268"/>
                <w:tab w:val="clear" w:pos="2835"/>
              </w:tabs>
              <w:spacing w:before="200" w:after="0" w:line="200" w:lineRule="exact"/>
              <w:ind w:left="0" w:right="0"/>
              <w:jc w:val="left"/>
              <w:rPr>
                <w:i/>
                <w:iCs/>
                <w:sz w:val="16"/>
                <w:szCs w:val="16"/>
                <w:lang w:val="es-ES_tradnl"/>
              </w:rPr>
            </w:pPr>
            <w:r w:rsidRPr="0017609B">
              <w:rPr>
                <w:i/>
                <w:iCs/>
                <w:sz w:val="16"/>
                <w:szCs w:val="16"/>
                <w:lang w:val="es-ES_tradnl"/>
              </w:rPr>
              <w:t>No usa actualmente</w:t>
            </w:r>
          </w:p>
        </w:tc>
        <w:tc>
          <w:tcPr>
            <w:tcW w:w="260" w:type="pct"/>
            <w:vMerge w:val="restart"/>
            <w:tcBorders>
              <w:top w:val="single" w:sz="4" w:space="0" w:color="auto"/>
            </w:tcBorders>
            <w:shd w:val="clear" w:color="auto" w:fill="auto"/>
            <w:textDirection w:val="btLr"/>
          </w:tcPr>
          <w:p w14:paraId="5B1BC9CA" w14:textId="77777777" w:rsidR="0017609B" w:rsidRPr="0017609B" w:rsidRDefault="0017609B" w:rsidP="008045B7">
            <w:pPr>
              <w:pStyle w:val="SingleTxtG"/>
              <w:tabs>
                <w:tab w:val="clear" w:pos="1701"/>
                <w:tab w:val="clear" w:pos="2268"/>
                <w:tab w:val="clear" w:pos="2835"/>
              </w:tabs>
              <w:spacing w:before="320" w:after="80" w:line="200" w:lineRule="exact"/>
              <w:ind w:left="0" w:right="0"/>
              <w:jc w:val="left"/>
              <w:rPr>
                <w:i/>
                <w:iCs/>
                <w:sz w:val="16"/>
                <w:szCs w:val="16"/>
                <w:lang w:val="es-ES_tradnl"/>
              </w:rPr>
            </w:pPr>
            <w:r w:rsidRPr="0017609B">
              <w:rPr>
                <w:i/>
                <w:iCs/>
                <w:sz w:val="16"/>
                <w:szCs w:val="16"/>
                <w:lang w:val="es-ES_tradnl"/>
              </w:rPr>
              <w:t>Total</w:t>
            </w:r>
          </w:p>
        </w:tc>
        <w:tc>
          <w:tcPr>
            <w:tcW w:w="259" w:type="pct"/>
            <w:vMerge w:val="restart"/>
            <w:tcBorders>
              <w:top w:val="single" w:sz="4" w:space="0" w:color="auto"/>
            </w:tcBorders>
            <w:shd w:val="clear" w:color="auto" w:fill="auto"/>
            <w:textDirection w:val="btLr"/>
          </w:tcPr>
          <w:p w14:paraId="54193801" w14:textId="77777777" w:rsidR="0017609B" w:rsidRPr="0017609B" w:rsidRDefault="0017609B" w:rsidP="008045B7">
            <w:pPr>
              <w:pStyle w:val="SingleTxtG"/>
              <w:tabs>
                <w:tab w:val="clear" w:pos="1701"/>
                <w:tab w:val="clear" w:pos="2268"/>
                <w:tab w:val="clear" w:pos="2835"/>
              </w:tabs>
              <w:spacing w:before="280" w:after="80" w:line="200" w:lineRule="exact"/>
              <w:ind w:left="0" w:right="0"/>
              <w:jc w:val="left"/>
              <w:rPr>
                <w:i/>
                <w:iCs/>
                <w:sz w:val="16"/>
                <w:szCs w:val="16"/>
                <w:lang w:val="es-ES_tradnl"/>
              </w:rPr>
            </w:pPr>
            <w:r w:rsidRPr="0017609B">
              <w:rPr>
                <w:i/>
                <w:iCs/>
                <w:sz w:val="16"/>
                <w:szCs w:val="16"/>
                <w:lang w:val="es-ES_tradnl"/>
              </w:rPr>
              <w:t>Número de mujeres</w:t>
            </w:r>
          </w:p>
        </w:tc>
      </w:tr>
      <w:tr w:rsidR="00FA7071" w:rsidRPr="00411636" w14:paraId="04F3ECF8" w14:textId="77777777" w:rsidTr="00C54E0E">
        <w:trPr>
          <w:cantSplit/>
          <w:trHeight w:val="861"/>
          <w:tblHeader/>
        </w:trPr>
        <w:tc>
          <w:tcPr>
            <w:tcW w:w="299" w:type="pct"/>
            <w:vMerge/>
            <w:tcBorders>
              <w:bottom w:val="single" w:sz="12" w:space="0" w:color="auto"/>
            </w:tcBorders>
            <w:shd w:val="clear" w:color="auto" w:fill="auto"/>
          </w:tcPr>
          <w:p w14:paraId="497445C3" w14:textId="77777777" w:rsidR="0017609B" w:rsidRPr="0017609B" w:rsidRDefault="0017609B" w:rsidP="00411636">
            <w:pPr>
              <w:pStyle w:val="SingleTxtG"/>
              <w:tabs>
                <w:tab w:val="clear" w:pos="1701"/>
                <w:tab w:val="clear" w:pos="2268"/>
                <w:tab w:val="clear" w:pos="2835"/>
              </w:tabs>
              <w:spacing w:before="40" w:after="40" w:line="220" w:lineRule="exact"/>
              <w:ind w:left="0" w:right="0"/>
              <w:jc w:val="left"/>
              <w:rPr>
                <w:sz w:val="16"/>
                <w:szCs w:val="16"/>
                <w:lang w:val="es-ES_tradnl"/>
              </w:rPr>
            </w:pPr>
          </w:p>
        </w:tc>
        <w:tc>
          <w:tcPr>
            <w:tcW w:w="289" w:type="pct"/>
            <w:vMerge/>
            <w:tcBorders>
              <w:bottom w:val="single" w:sz="12" w:space="0" w:color="auto"/>
            </w:tcBorders>
            <w:shd w:val="clear" w:color="auto" w:fill="auto"/>
          </w:tcPr>
          <w:p w14:paraId="0CA52E3F" w14:textId="77777777" w:rsidR="0017609B" w:rsidRPr="0017609B" w:rsidRDefault="0017609B" w:rsidP="00411636">
            <w:pPr>
              <w:pStyle w:val="SingleTxtG"/>
              <w:tabs>
                <w:tab w:val="clear" w:pos="1701"/>
                <w:tab w:val="clear" w:pos="2268"/>
                <w:tab w:val="clear" w:pos="2835"/>
              </w:tabs>
              <w:spacing w:before="40" w:after="40" w:line="220" w:lineRule="exact"/>
              <w:ind w:left="0" w:right="0"/>
              <w:jc w:val="left"/>
              <w:rPr>
                <w:sz w:val="16"/>
                <w:szCs w:val="16"/>
                <w:lang w:val="es-ES_tradnl"/>
              </w:rPr>
            </w:pPr>
          </w:p>
        </w:tc>
        <w:tc>
          <w:tcPr>
            <w:tcW w:w="268" w:type="pct"/>
            <w:vMerge/>
            <w:tcBorders>
              <w:bottom w:val="single" w:sz="12" w:space="0" w:color="auto"/>
            </w:tcBorders>
            <w:shd w:val="clear" w:color="auto" w:fill="auto"/>
          </w:tcPr>
          <w:p w14:paraId="37EBE9A6" w14:textId="77777777" w:rsidR="0017609B" w:rsidRPr="0017609B" w:rsidRDefault="0017609B" w:rsidP="00411636">
            <w:pPr>
              <w:pStyle w:val="SingleTxtG"/>
              <w:tabs>
                <w:tab w:val="clear" w:pos="1701"/>
                <w:tab w:val="clear" w:pos="2268"/>
                <w:tab w:val="clear" w:pos="2835"/>
              </w:tabs>
              <w:spacing w:before="40" w:after="40" w:line="220" w:lineRule="exact"/>
              <w:ind w:left="0" w:right="0"/>
              <w:jc w:val="left"/>
              <w:rPr>
                <w:sz w:val="16"/>
                <w:szCs w:val="16"/>
                <w:lang w:val="es-ES_tradnl"/>
              </w:rPr>
            </w:pPr>
          </w:p>
        </w:tc>
        <w:tc>
          <w:tcPr>
            <w:tcW w:w="248" w:type="pct"/>
            <w:vMerge/>
            <w:tcBorders>
              <w:bottom w:val="single" w:sz="12" w:space="0" w:color="auto"/>
            </w:tcBorders>
            <w:shd w:val="clear" w:color="auto" w:fill="auto"/>
          </w:tcPr>
          <w:p w14:paraId="706F5912" w14:textId="77777777" w:rsidR="0017609B" w:rsidRPr="0017609B" w:rsidRDefault="0017609B" w:rsidP="00411636">
            <w:pPr>
              <w:pStyle w:val="SingleTxtG"/>
              <w:tabs>
                <w:tab w:val="clear" w:pos="1701"/>
                <w:tab w:val="clear" w:pos="2268"/>
                <w:tab w:val="clear" w:pos="2835"/>
              </w:tabs>
              <w:spacing w:before="40" w:after="40" w:line="220" w:lineRule="exact"/>
              <w:ind w:left="0" w:right="0"/>
              <w:jc w:val="left"/>
              <w:rPr>
                <w:sz w:val="16"/>
                <w:szCs w:val="16"/>
                <w:lang w:val="es-ES_tradnl"/>
              </w:rPr>
            </w:pPr>
          </w:p>
        </w:tc>
        <w:tc>
          <w:tcPr>
            <w:tcW w:w="294" w:type="pct"/>
            <w:tcBorders>
              <w:top w:val="single" w:sz="4" w:space="0" w:color="auto"/>
              <w:bottom w:val="single" w:sz="12" w:space="0" w:color="auto"/>
            </w:tcBorders>
            <w:shd w:val="clear" w:color="auto" w:fill="auto"/>
            <w:vAlign w:val="bottom"/>
          </w:tcPr>
          <w:p w14:paraId="7AB90A96" w14:textId="77777777" w:rsidR="0017609B" w:rsidRPr="0017609B" w:rsidRDefault="0017609B" w:rsidP="008045B7">
            <w:pPr>
              <w:pStyle w:val="SingleTxtG"/>
              <w:tabs>
                <w:tab w:val="clear" w:pos="1701"/>
                <w:tab w:val="clear" w:pos="2268"/>
                <w:tab w:val="clear" w:pos="2835"/>
              </w:tabs>
              <w:spacing w:before="80" w:after="80" w:line="200" w:lineRule="exact"/>
              <w:ind w:left="0" w:right="0"/>
              <w:jc w:val="right"/>
              <w:rPr>
                <w:i/>
                <w:iCs/>
                <w:sz w:val="16"/>
                <w:szCs w:val="16"/>
                <w:lang w:val="es-ES_tradnl"/>
              </w:rPr>
            </w:pPr>
            <w:r w:rsidRPr="0017609B">
              <w:rPr>
                <w:i/>
                <w:iCs/>
                <w:sz w:val="16"/>
                <w:szCs w:val="16"/>
                <w:lang w:val="es-ES_tradnl"/>
              </w:rPr>
              <w:t>DIU</w:t>
            </w:r>
          </w:p>
        </w:tc>
        <w:tc>
          <w:tcPr>
            <w:tcW w:w="369" w:type="pct"/>
            <w:tcBorders>
              <w:top w:val="single" w:sz="4" w:space="0" w:color="auto"/>
              <w:bottom w:val="single" w:sz="12" w:space="0" w:color="auto"/>
            </w:tcBorders>
            <w:shd w:val="clear" w:color="auto" w:fill="auto"/>
            <w:vAlign w:val="bottom"/>
          </w:tcPr>
          <w:p w14:paraId="27D810DC" w14:textId="77777777" w:rsidR="0017609B" w:rsidRPr="0017609B" w:rsidRDefault="0017609B" w:rsidP="008045B7">
            <w:pPr>
              <w:pStyle w:val="SingleTxtG"/>
              <w:tabs>
                <w:tab w:val="clear" w:pos="1701"/>
                <w:tab w:val="clear" w:pos="2268"/>
                <w:tab w:val="clear" w:pos="2835"/>
              </w:tabs>
              <w:spacing w:before="80" w:after="80" w:line="200" w:lineRule="exact"/>
              <w:ind w:left="0" w:right="0"/>
              <w:jc w:val="right"/>
              <w:rPr>
                <w:i/>
                <w:iCs/>
                <w:sz w:val="16"/>
                <w:szCs w:val="16"/>
                <w:lang w:val="es-ES_tradnl"/>
              </w:rPr>
            </w:pPr>
            <w:r w:rsidRPr="0017609B">
              <w:rPr>
                <w:i/>
                <w:iCs/>
                <w:sz w:val="16"/>
                <w:szCs w:val="16"/>
                <w:lang w:val="es-ES_tradnl"/>
              </w:rPr>
              <w:t>Píldora</w:t>
            </w:r>
          </w:p>
        </w:tc>
        <w:tc>
          <w:tcPr>
            <w:tcW w:w="369" w:type="pct"/>
            <w:tcBorders>
              <w:top w:val="single" w:sz="4" w:space="0" w:color="auto"/>
              <w:bottom w:val="single" w:sz="12" w:space="0" w:color="auto"/>
            </w:tcBorders>
            <w:shd w:val="clear" w:color="auto" w:fill="auto"/>
            <w:vAlign w:val="bottom"/>
          </w:tcPr>
          <w:p w14:paraId="270B7ED9" w14:textId="77777777" w:rsidR="0017609B" w:rsidRPr="0017609B" w:rsidRDefault="0017609B" w:rsidP="008045B7">
            <w:pPr>
              <w:pStyle w:val="SingleTxtG"/>
              <w:tabs>
                <w:tab w:val="clear" w:pos="1701"/>
                <w:tab w:val="clear" w:pos="2268"/>
                <w:tab w:val="clear" w:pos="2835"/>
              </w:tabs>
              <w:spacing w:before="80" w:after="80" w:line="200" w:lineRule="exact"/>
              <w:ind w:left="0" w:right="0"/>
              <w:jc w:val="right"/>
              <w:rPr>
                <w:i/>
                <w:iCs/>
                <w:sz w:val="16"/>
                <w:szCs w:val="16"/>
                <w:lang w:val="es-ES_tradnl"/>
              </w:rPr>
            </w:pPr>
            <w:r w:rsidRPr="0017609B">
              <w:rPr>
                <w:i/>
                <w:iCs/>
                <w:sz w:val="16"/>
                <w:szCs w:val="16"/>
                <w:lang w:val="es-ES_tradnl"/>
              </w:rPr>
              <w:t>Inyectable</w:t>
            </w:r>
          </w:p>
        </w:tc>
        <w:tc>
          <w:tcPr>
            <w:tcW w:w="369" w:type="pct"/>
            <w:tcBorders>
              <w:top w:val="single" w:sz="4" w:space="0" w:color="auto"/>
              <w:bottom w:val="single" w:sz="12" w:space="0" w:color="auto"/>
            </w:tcBorders>
            <w:shd w:val="clear" w:color="auto" w:fill="auto"/>
            <w:vAlign w:val="bottom"/>
          </w:tcPr>
          <w:p w14:paraId="7F0E03C6" w14:textId="77777777" w:rsidR="0017609B" w:rsidRPr="0017609B" w:rsidRDefault="0017609B" w:rsidP="008045B7">
            <w:pPr>
              <w:pStyle w:val="SingleTxtG"/>
              <w:tabs>
                <w:tab w:val="clear" w:pos="1701"/>
                <w:tab w:val="clear" w:pos="2268"/>
                <w:tab w:val="clear" w:pos="2835"/>
              </w:tabs>
              <w:spacing w:before="80" w:after="80" w:line="200" w:lineRule="exact"/>
              <w:ind w:left="0" w:right="0"/>
              <w:jc w:val="right"/>
              <w:rPr>
                <w:i/>
                <w:iCs/>
                <w:sz w:val="16"/>
                <w:szCs w:val="16"/>
                <w:lang w:val="es-ES_tradnl"/>
              </w:rPr>
            </w:pPr>
            <w:r w:rsidRPr="0017609B">
              <w:rPr>
                <w:i/>
                <w:iCs/>
                <w:sz w:val="16"/>
                <w:szCs w:val="16"/>
                <w:lang w:val="es-ES_tradnl"/>
              </w:rPr>
              <w:t>Implante</w:t>
            </w:r>
          </w:p>
        </w:tc>
        <w:tc>
          <w:tcPr>
            <w:tcW w:w="441" w:type="pct"/>
            <w:tcBorders>
              <w:top w:val="single" w:sz="4" w:space="0" w:color="auto"/>
              <w:bottom w:val="single" w:sz="12" w:space="0" w:color="auto"/>
            </w:tcBorders>
            <w:shd w:val="clear" w:color="auto" w:fill="auto"/>
            <w:vAlign w:val="bottom"/>
          </w:tcPr>
          <w:p w14:paraId="57B3C4EE" w14:textId="77777777" w:rsidR="0017609B" w:rsidRPr="0017609B" w:rsidRDefault="0017609B" w:rsidP="008045B7">
            <w:pPr>
              <w:pStyle w:val="SingleTxtG"/>
              <w:tabs>
                <w:tab w:val="clear" w:pos="1701"/>
                <w:tab w:val="clear" w:pos="2268"/>
                <w:tab w:val="clear" w:pos="2835"/>
              </w:tabs>
              <w:spacing w:before="80" w:after="80" w:line="200" w:lineRule="exact"/>
              <w:ind w:left="0" w:right="0"/>
              <w:jc w:val="right"/>
              <w:rPr>
                <w:i/>
                <w:iCs/>
                <w:sz w:val="16"/>
                <w:szCs w:val="16"/>
                <w:lang w:val="es-ES_tradnl"/>
              </w:rPr>
            </w:pPr>
            <w:r w:rsidRPr="0017609B">
              <w:rPr>
                <w:i/>
                <w:iCs/>
                <w:sz w:val="16"/>
                <w:szCs w:val="16"/>
                <w:lang w:val="es-ES_tradnl"/>
              </w:rPr>
              <w:t>Preservativo masculino</w:t>
            </w:r>
          </w:p>
        </w:tc>
        <w:tc>
          <w:tcPr>
            <w:tcW w:w="285" w:type="pct"/>
            <w:tcBorders>
              <w:top w:val="single" w:sz="4" w:space="0" w:color="auto"/>
              <w:bottom w:val="single" w:sz="12" w:space="0" w:color="auto"/>
            </w:tcBorders>
            <w:shd w:val="clear" w:color="auto" w:fill="auto"/>
            <w:vAlign w:val="bottom"/>
          </w:tcPr>
          <w:p w14:paraId="2696BDFF" w14:textId="77777777" w:rsidR="0017609B" w:rsidRPr="0017609B" w:rsidRDefault="0017609B" w:rsidP="008045B7">
            <w:pPr>
              <w:pStyle w:val="SingleTxtG"/>
              <w:tabs>
                <w:tab w:val="clear" w:pos="1701"/>
                <w:tab w:val="clear" w:pos="2268"/>
                <w:tab w:val="clear" w:pos="2835"/>
              </w:tabs>
              <w:spacing w:before="80" w:after="80" w:line="200" w:lineRule="exact"/>
              <w:ind w:left="0" w:right="0"/>
              <w:jc w:val="right"/>
              <w:rPr>
                <w:i/>
                <w:iCs/>
                <w:sz w:val="16"/>
                <w:szCs w:val="16"/>
                <w:lang w:val="es-ES_tradnl"/>
              </w:rPr>
            </w:pPr>
            <w:proofErr w:type="spellStart"/>
            <w:r w:rsidRPr="0017609B">
              <w:rPr>
                <w:i/>
                <w:iCs/>
                <w:sz w:val="16"/>
                <w:szCs w:val="16"/>
                <w:lang w:val="es-ES_tradnl"/>
              </w:rPr>
              <w:t>MELA</w:t>
            </w:r>
            <w:r w:rsidRPr="0017609B">
              <w:rPr>
                <w:i/>
                <w:iCs/>
                <w:sz w:val="16"/>
                <w:szCs w:val="16"/>
                <w:vertAlign w:val="superscript"/>
                <w:lang w:val="es-ES_tradnl"/>
              </w:rPr>
              <w:t>1</w:t>
            </w:r>
            <w:proofErr w:type="spellEnd"/>
          </w:p>
        </w:tc>
        <w:tc>
          <w:tcPr>
            <w:tcW w:w="257" w:type="pct"/>
            <w:tcBorders>
              <w:top w:val="single" w:sz="4" w:space="0" w:color="auto"/>
              <w:bottom w:val="single" w:sz="12" w:space="0" w:color="auto"/>
            </w:tcBorders>
            <w:shd w:val="clear" w:color="auto" w:fill="auto"/>
            <w:vAlign w:val="bottom"/>
          </w:tcPr>
          <w:p w14:paraId="0003A9D2" w14:textId="77777777" w:rsidR="0017609B" w:rsidRPr="0017609B" w:rsidRDefault="0017609B" w:rsidP="008045B7">
            <w:pPr>
              <w:pStyle w:val="SingleTxtG"/>
              <w:tabs>
                <w:tab w:val="clear" w:pos="1701"/>
                <w:tab w:val="clear" w:pos="2268"/>
                <w:tab w:val="clear" w:pos="2835"/>
              </w:tabs>
              <w:spacing w:before="80" w:after="80" w:line="200" w:lineRule="exact"/>
              <w:ind w:left="0" w:right="0"/>
              <w:jc w:val="right"/>
              <w:rPr>
                <w:i/>
                <w:iCs/>
                <w:sz w:val="16"/>
                <w:szCs w:val="16"/>
                <w:lang w:val="es-ES_tradnl"/>
              </w:rPr>
            </w:pPr>
            <w:r w:rsidRPr="0017609B">
              <w:rPr>
                <w:i/>
                <w:iCs/>
                <w:sz w:val="16"/>
                <w:szCs w:val="16"/>
                <w:lang w:val="es-ES_tradnl"/>
              </w:rPr>
              <w:t>Otros</w:t>
            </w:r>
          </w:p>
        </w:tc>
        <w:tc>
          <w:tcPr>
            <w:tcW w:w="268" w:type="pct"/>
            <w:vMerge/>
            <w:tcBorders>
              <w:bottom w:val="single" w:sz="12" w:space="0" w:color="auto"/>
            </w:tcBorders>
            <w:shd w:val="clear" w:color="auto" w:fill="auto"/>
          </w:tcPr>
          <w:p w14:paraId="27968A06" w14:textId="77777777" w:rsidR="0017609B" w:rsidRPr="0017609B" w:rsidRDefault="0017609B" w:rsidP="00FA7071">
            <w:pPr>
              <w:pStyle w:val="SingleTxtG"/>
              <w:tabs>
                <w:tab w:val="clear" w:pos="1701"/>
                <w:tab w:val="clear" w:pos="2268"/>
                <w:tab w:val="clear" w:pos="2835"/>
              </w:tabs>
              <w:spacing w:before="80" w:after="80" w:line="200" w:lineRule="exact"/>
              <w:ind w:left="0" w:right="0"/>
              <w:jc w:val="left"/>
              <w:rPr>
                <w:i/>
                <w:iCs/>
                <w:sz w:val="16"/>
                <w:szCs w:val="16"/>
                <w:lang w:val="es-ES_tradnl"/>
              </w:rPr>
            </w:pPr>
          </w:p>
        </w:tc>
        <w:tc>
          <w:tcPr>
            <w:tcW w:w="295" w:type="pct"/>
            <w:tcBorders>
              <w:top w:val="single" w:sz="4" w:space="0" w:color="auto"/>
              <w:bottom w:val="single" w:sz="12" w:space="0" w:color="auto"/>
            </w:tcBorders>
            <w:shd w:val="clear" w:color="auto" w:fill="auto"/>
            <w:vAlign w:val="bottom"/>
          </w:tcPr>
          <w:p w14:paraId="5539CC84" w14:textId="77777777" w:rsidR="0017609B" w:rsidRPr="0017609B" w:rsidRDefault="0017609B" w:rsidP="008045B7">
            <w:pPr>
              <w:pStyle w:val="SingleTxtG"/>
              <w:tabs>
                <w:tab w:val="clear" w:pos="1701"/>
                <w:tab w:val="clear" w:pos="2268"/>
                <w:tab w:val="clear" w:pos="2835"/>
              </w:tabs>
              <w:spacing w:before="80" w:after="80" w:line="200" w:lineRule="exact"/>
              <w:ind w:left="0" w:right="0"/>
              <w:jc w:val="right"/>
              <w:rPr>
                <w:i/>
                <w:iCs/>
                <w:sz w:val="16"/>
                <w:szCs w:val="16"/>
                <w:lang w:val="es-ES_tradnl"/>
              </w:rPr>
            </w:pPr>
            <w:r w:rsidRPr="0017609B">
              <w:rPr>
                <w:i/>
                <w:iCs/>
                <w:sz w:val="16"/>
                <w:szCs w:val="16"/>
                <w:lang w:val="es-ES_tradnl"/>
              </w:rPr>
              <w:t>Collar</w:t>
            </w:r>
          </w:p>
        </w:tc>
        <w:tc>
          <w:tcPr>
            <w:tcW w:w="225" w:type="pct"/>
            <w:tcBorders>
              <w:top w:val="single" w:sz="4" w:space="0" w:color="auto"/>
              <w:bottom w:val="single" w:sz="12" w:space="0" w:color="auto"/>
            </w:tcBorders>
            <w:shd w:val="clear" w:color="auto" w:fill="auto"/>
            <w:vAlign w:val="bottom"/>
          </w:tcPr>
          <w:p w14:paraId="2567BE6E" w14:textId="77777777" w:rsidR="0017609B" w:rsidRPr="0017609B" w:rsidRDefault="0017609B" w:rsidP="008045B7">
            <w:pPr>
              <w:pStyle w:val="SingleTxtG"/>
              <w:tabs>
                <w:tab w:val="clear" w:pos="1701"/>
                <w:tab w:val="clear" w:pos="2268"/>
                <w:tab w:val="clear" w:pos="2835"/>
              </w:tabs>
              <w:spacing w:before="80" w:after="80" w:line="200" w:lineRule="exact"/>
              <w:ind w:left="0" w:right="0"/>
              <w:jc w:val="right"/>
              <w:rPr>
                <w:i/>
                <w:iCs/>
                <w:sz w:val="16"/>
                <w:szCs w:val="16"/>
                <w:lang w:val="es-ES_tradnl"/>
              </w:rPr>
            </w:pPr>
            <w:proofErr w:type="spellStart"/>
            <w:r w:rsidRPr="0017609B">
              <w:rPr>
                <w:i/>
                <w:iCs/>
                <w:sz w:val="16"/>
                <w:szCs w:val="16"/>
                <w:lang w:val="es-ES_tradnl"/>
              </w:rPr>
              <w:t>Otros</w:t>
            </w:r>
            <w:r w:rsidRPr="0017609B">
              <w:rPr>
                <w:i/>
                <w:iCs/>
                <w:sz w:val="16"/>
                <w:szCs w:val="16"/>
                <w:vertAlign w:val="superscript"/>
                <w:lang w:val="es-ES_tradnl"/>
              </w:rPr>
              <w:t>2</w:t>
            </w:r>
            <w:proofErr w:type="spellEnd"/>
          </w:p>
        </w:tc>
        <w:tc>
          <w:tcPr>
            <w:tcW w:w="205" w:type="pct"/>
            <w:vMerge/>
            <w:tcBorders>
              <w:bottom w:val="single" w:sz="12" w:space="0" w:color="auto"/>
            </w:tcBorders>
            <w:shd w:val="clear" w:color="auto" w:fill="auto"/>
          </w:tcPr>
          <w:p w14:paraId="18015549" w14:textId="77777777" w:rsidR="0017609B" w:rsidRPr="0017609B" w:rsidRDefault="0017609B" w:rsidP="00411636">
            <w:pPr>
              <w:pStyle w:val="SingleTxtG"/>
              <w:tabs>
                <w:tab w:val="clear" w:pos="1701"/>
                <w:tab w:val="clear" w:pos="2268"/>
                <w:tab w:val="clear" w:pos="2835"/>
              </w:tabs>
              <w:spacing w:before="40" w:after="40" w:line="220" w:lineRule="exact"/>
              <w:ind w:left="0" w:right="0"/>
              <w:jc w:val="left"/>
              <w:rPr>
                <w:sz w:val="16"/>
                <w:szCs w:val="16"/>
                <w:lang w:val="es-ES_tradnl"/>
              </w:rPr>
            </w:pPr>
          </w:p>
        </w:tc>
        <w:tc>
          <w:tcPr>
            <w:tcW w:w="260" w:type="pct"/>
            <w:vMerge/>
            <w:tcBorders>
              <w:bottom w:val="single" w:sz="12" w:space="0" w:color="auto"/>
            </w:tcBorders>
            <w:shd w:val="clear" w:color="auto" w:fill="auto"/>
          </w:tcPr>
          <w:p w14:paraId="06318466" w14:textId="77777777" w:rsidR="0017609B" w:rsidRPr="0017609B" w:rsidRDefault="0017609B" w:rsidP="00411636">
            <w:pPr>
              <w:pStyle w:val="SingleTxtG"/>
              <w:tabs>
                <w:tab w:val="clear" w:pos="1701"/>
                <w:tab w:val="clear" w:pos="2268"/>
                <w:tab w:val="clear" w:pos="2835"/>
              </w:tabs>
              <w:spacing w:before="40" w:after="40" w:line="220" w:lineRule="exact"/>
              <w:ind w:left="0" w:right="0"/>
              <w:jc w:val="left"/>
              <w:rPr>
                <w:sz w:val="16"/>
                <w:szCs w:val="16"/>
                <w:lang w:val="es-ES_tradnl"/>
              </w:rPr>
            </w:pPr>
          </w:p>
        </w:tc>
        <w:tc>
          <w:tcPr>
            <w:tcW w:w="259" w:type="pct"/>
            <w:vMerge/>
            <w:tcBorders>
              <w:bottom w:val="single" w:sz="12" w:space="0" w:color="auto"/>
            </w:tcBorders>
            <w:shd w:val="clear" w:color="auto" w:fill="auto"/>
          </w:tcPr>
          <w:p w14:paraId="34B0FD58" w14:textId="77777777" w:rsidR="0017609B" w:rsidRPr="0017609B" w:rsidRDefault="0017609B" w:rsidP="00411636">
            <w:pPr>
              <w:pStyle w:val="SingleTxtG"/>
              <w:tabs>
                <w:tab w:val="clear" w:pos="1701"/>
                <w:tab w:val="clear" w:pos="2268"/>
                <w:tab w:val="clear" w:pos="2835"/>
              </w:tabs>
              <w:spacing w:before="40" w:after="40" w:line="220" w:lineRule="exact"/>
              <w:ind w:left="0" w:right="0"/>
              <w:jc w:val="left"/>
              <w:rPr>
                <w:sz w:val="16"/>
                <w:szCs w:val="16"/>
                <w:lang w:val="es-ES_tradnl"/>
              </w:rPr>
            </w:pPr>
          </w:p>
        </w:tc>
      </w:tr>
      <w:tr w:rsidR="00411636" w:rsidRPr="00744130" w14:paraId="6D9DC0ED" w14:textId="77777777" w:rsidTr="00701F23">
        <w:trPr>
          <w:cantSplit/>
          <w:trHeight w:val="240"/>
        </w:trPr>
        <w:tc>
          <w:tcPr>
            <w:tcW w:w="5000" w:type="pct"/>
            <w:gridSpan w:val="17"/>
            <w:tcBorders>
              <w:top w:val="single" w:sz="12" w:space="0" w:color="auto"/>
              <w:bottom w:val="single" w:sz="4" w:space="0" w:color="auto"/>
            </w:tcBorders>
            <w:shd w:val="clear" w:color="auto" w:fill="auto"/>
          </w:tcPr>
          <w:p w14:paraId="1CD68AF6" w14:textId="77777777" w:rsidR="0017609B" w:rsidRPr="0017609B" w:rsidRDefault="0017609B" w:rsidP="00411636">
            <w:pPr>
              <w:pStyle w:val="SingleTxtG"/>
              <w:tabs>
                <w:tab w:val="clear" w:pos="1701"/>
                <w:tab w:val="clear" w:pos="2268"/>
                <w:tab w:val="clear" w:pos="2835"/>
              </w:tabs>
              <w:spacing w:before="40" w:after="40" w:line="220" w:lineRule="exact"/>
              <w:ind w:left="0" w:right="0"/>
              <w:jc w:val="left"/>
              <w:rPr>
                <w:b/>
                <w:bCs/>
                <w:sz w:val="18"/>
                <w:szCs w:val="18"/>
                <w:lang w:val="es-ES_tradnl"/>
              </w:rPr>
            </w:pPr>
            <w:r w:rsidRPr="0017609B">
              <w:rPr>
                <w:b/>
                <w:bCs/>
                <w:sz w:val="18"/>
                <w:szCs w:val="18"/>
                <w:lang w:val="es-ES_tradnl"/>
              </w:rPr>
              <w:t>Grupo de edad</w:t>
            </w:r>
          </w:p>
        </w:tc>
      </w:tr>
      <w:tr w:rsidR="00FA7071" w:rsidRPr="00744130" w14:paraId="62064EBB" w14:textId="77777777" w:rsidTr="00701F23">
        <w:trPr>
          <w:cantSplit/>
          <w:trHeight w:val="240"/>
        </w:trPr>
        <w:tc>
          <w:tcPr>
            <w:tcW w:w="299" w:type="pct"/>
            <w:tcBorders>
              <w:top w:val="single" w:sz="4" w:space="0" w:color="auto"/>
            </w:tcBorders>
            <w:shd w:val="clear" w:color="auto" w:fill="auto"/>
            <w:vAlign w:val="bottom"/>
          </w:tcPr>
          <w:p w14:paraId="57FF41D4"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15-19 </w:t>
            </w:r>
          </w:p>
        </w:tc>
        <w:tc>
          <w:tcPr>
            <w:tcW w:w="289" w:type="pct"/>
            <w:tcBorders>
              <w:top w:val="single" w:sz="4" w:space="0" w:color="auto"/>
            </w:tcBorders>
            <w:shd w:val="clear" w:color="auto" w:fill="auto"/>
            <w:tcMar>
              <w:right w:w="0" w:type="dxa"/>
            </w:tcMar>
            <w:vAlign w:val="bottom"/>
          </w:tcPr>
          <w:p w14:paraId="768D340F"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6,7 </w:t>
            </w:r>
          </w:p>
        </w:tc>
        <w:tc>
          <w:tcPr>
            <w:tcW w:w="268" w:type="pct"/>
            <w:tcBorders>
              <w:top w:val="single" w:sz="4" w:space="0" w:color="auto"/>
            </w:tcBorders>
            <w:shd w:val="clear" w:color="auto" w:fill="auto"/>
            <w:tcMar>
              <w:right w:w="0" w:type="dxa"/>
            </w:tcMar>
            <w:vAlign w:val="bottom"/>
          </w:tcPr>
          <w:p w14:paraId="22131FAF"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6,5 </w:t>
            </w:r>
          </w:p>
        </w:tc>
        <w:tc>
          <w:tcPr>
            <w:tcW w:w="248" w:type="pct"/>
            <w:tcBorders>
              <w:top w:val="single" w:sz="4" w:space="0" w:color="auto"/>
            </w:tcBorders>
            <w:shd w:val="clear" w:color="auto" w:fill="auto"/>
            <w:tcMar>
              <w:right w:w="0" w:type="dxa"/>
            </w:tcMar>
            <w:vAlign w:val="bottom"/>
          </w:tcPr>
          <w:p w14:paraId="52B33658"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294" w:type="pct"/>
            <w:tcBorders>
              <w:top w:val="single" w:sz="4" w:space="0" w:color="auto"/>
            </w:tcBorders>
            <w:shd w:val="clear" w:color="auto" w:fill="auto"/>
            <w:tcMar>
              <w:right w:w="0" w:type="dxa"/>
            </w:tcMar>
            <w:vAlign w:val="bottom"/>
          </w:tcPr>
          <w:p w14:paraId="4038A988"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369" w:type="pct"/>
            <w:tcBorders>
              <w:top w:val="single" w:sz="4" w:space="0" w:color="auto"/>
            </w:tcBorders>
            <w:shd w:val="clear" w:color="auto" w:fill="auto"/>
            <w:tcMar>
              <w:right w:w="0" w:type="dxa"/>
            </w:tcMar>
            <w:vAlign w:val="bottom"/>
          </w:tcPr>
          <w:p w14:paraId="58CC9EE5"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1,3 </w:t>
            </w:r>
          </w:p>
        </w:tc>
        <w:tc>
          <w:tcPr>
            <w:tcW w:w="369" w:type="pct"/>
            <w:tcBorders>
              <w:top w:val="single" w:sz="4" w:space="0" w:color="auto"/>
            </w:tcBorders>
            <w:shd w:val="clear" w:color="auto" w:fill="auto"/>
            <w:tcMar>
              <w:right w:w="0" w:type="dxa"/>
            </w:tcMar>
            <w:vAlign w:val="bottom"/>
          </w:tcPr>
          <w:p w14:paraId="3CF8A4E3"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3,8 </w:t>
            </w:r>
          </w:p>
        </w:tc>
        <w:tc>
          <w:tcPr>
            <w:tcW w:w="369" w:type="pct"/>
            <w:tcBorders>
              <w:top w:val="single" w:sz="4" w:space="0" w:color="auto"/>
            </w:tcBorders>
            <w:shd w:val="clear" w:color="auto" w:fill="auto"/>
            <w:tcMar>
              <w:right w:w="0" w:type="dxa"/>
            </w:tcMar>
            <w:vAlign w:val="bottom"/>
          </w:tcPr>
          <w:p w14:paraId="29DA6F4F"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1,4 </w:t>
            </w:r>
          </w:p>
        </w:tc>
        <w:tc>
          <w:tcPr>
            <w:tcW w:w="441" w:type="pct"/>
            <w:tcBorders>
              <w:top w:val="single" w:sz="4" w:space="0" w:color="auto"/>
            </w:tcBorders>
            <w:shd w:val="clear" w:color="auto" w:fill="auto"/>
            <w:tcMar>
              <w:right w:w="0" w:type="dxa"/>
            </w:tcMar>
            <w:vAlign w:val="bottom"/>
          </w:tcPr>
          <w:p w14:paraId="3BECF12E"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285" w:type="pct"/>
            <w:tcBorders>
              <w:top w:val="single" w:sz="4" w:space="0" w:color="auto"/>
            </w:tcBorders>
            <w:shd w:val="clear" w:color="auto" w:fill="auto"/>
            <w:tcMar>
              <w:right w:w="0" w:type="dxa"/>
            </w:tcMar>
            <w:vAlign w:val="bottom"/>
          </w:tcPr>
          <w:p w14:paraId="0BED567E"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257" w:type="pct"/>
            <w:tcBorders>
              <w:top w:val="single" w:sz="4" w:space="0" w:color="auto"/>
            </w:tcBorders>
            <w:shd w:val="clear" w:color="auto" w:fill="auto"/>
            <w:tcMar>
              <w:right w:w="0" w:type="dxa"/>
            </w:tcMar>
            <w:vAlign w:val="bottom"/>
          </w:tcPr>
          <w:p w14:paraId="2B1BDF04"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268" w:type="pct"/>
            <w:tcBorders>
              <w:top w:val="single" w:sz="4" w:space="0" w:color="auto"/>
            </w:tcBorders>
            <w:shd w:val="clear" w:color="auto" w:fill="auto"/>
            <w:tcMar>
              <w:right w:w="0" w:type="dxa"/>
            </w:tcMar>
            <w:vAlign w:val="bottom"/>
          </w:tcPr>
          <w:p w14:paraId="67475B9E"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0,2 </w:t>
            </w:r>
          </w:p>
        </w:tc>
        <w:tc>
          <w:tcPr>
            <w:tcW w:w="295" w:type="pct"/>
            <w:tcBorders>
              <w:top w:val="single" w:sz="4" w:space="0" w:color="auto"/>
            </w:tcBorders>
            <w:shd w:val="clear" w:color="auto" w:fill="auto"/>
            <w:tcMar>
              <w:right w:w="0" w:type="dxa"/>
            </w:tcMar>
            <w:vAlign w:val="bottom"/>
          </w:tcPr>
          <w:p w14:paraId="37929AF5"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225" w:type="pct"/>
            <w:tcBorders>
              <w:top w:val="single" w:sz="4" w:space="0" w:color="auto"/>
            </w:tcBorders>
            <w:shd w:val="clear" w:color="auto" w:fill="auto"/>
            <w:tcMar>
              <w:right w:w="0" w:type="dxa"/>
            </w:tcMar>
            <w:vAlign w:val="bottom"/>
          </w:tcPr>
          <w:p w14:paraId="0E4F8BB0"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0,2 </w:t>
            </w:r>
          </w:p>
        </w:tc>
        <w:tc>
          <w:tcPr>
            <w:tcW w:w="205" w:type="pct"/>
            <w:tcBorders>
              <w:top w:val="single" w:sz="4" w:space="0" w:color="auto"/>
            </w:tcBorders>
            <w:shd w:val="clear" w:color="auto" w:fill="auto"/>
            <w:tcMar>
              <w:right w:w="0" w:type="dxa"/>
            </w:tcMar>
            <w:vAlign w:val="bottom"/>
          </w:tcPr>
          <w:p w14:paraId="1CAE9AE2"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93,3 </w:t>
            </w:r>
          </w:p>
        </w:tc>
        <w:tc>
          <w:tcPr>
            <w:tcW w:w="260" w:type="pct"/>
            <w:tcBorders>
              <w:top w:val="single" w:sz="4" w:space="0" w:color="auto"/>
            </w:tcBorders>
            <w:shd w:val="clear" w:color="auto" w:fill="auto"/>
            <w:tcMar>
              <w:right w:w="0" w:type="dxa"/>
            </w:tcMar>
            <w:vAlign w:val="bottom"/>
          </w:tcPr>
          <w:p w14:paraId="71788F90"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100,0</w:t>
            </w:r>
          </w:p>
        </w:tc>
        <w:tc>
          <w:tcPr>
            <w:tcW w:w="259" w:type="pct"/>
            <w:tcBorders>
              <w:top w:val="single" w:sz="4" w:space="0" w:color="auto"/>
            </w:tcBorders>
            <w:shd w:val="clear" w:color="auto" w:fill="auto"/>
            <w:tcMar>
              <w:right w:w="29" w:type="dxa"/>
            </w:tcMar>
            <w:vAlign w:val="bottom"/>
          </w:tcPr>
          <w:p w14:paraId="392881BF"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813 </w:t>
            </w:r>
          </w:p>
        </w:tc>
      </w:tr>
      <w:tr w:rsidR="00FA7071" w:rsidRPr="00744130" w14:paraId="07700759" w14:textId="77777777" w:rsidTr="008045B7">
        <w:trPr>
          <w:cantSplit/>
          <w:trHeight w:val="240"/>
        </w:trPr>
        <w:tc>
          <w:tcPr>
            <w:tcW w:w="299" w:type="pct"/>
            <w:shd w:val="clear" w:color="auto" w:fill="auto"/>
            <w:vAlign w:val="bottom"/>
          </w:tcPr>
          <w:p w14:paraId="27074DAD"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20-24 </w:t>
            </w:r>
          </w:p>
        </w:tc>
        <w:tc>
          <w:tcPr>
            <w:tcW w:w="289" w:type="pct"/>
            <w:shd w:val="clear" w:color="auto" w:fill="auto"/>
            <w:tcMar>
              <w:right w:w="0" w:type="dxa"/>
            </w:tcMar>
            <w:vAlign w:val="bottom"/>
          </w:tcPr>
          <w:p w14:paraId="5E3BB558"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10,3 </w:t>
            </w:r>
          </w:p>
        </w:tc>
        <w:tc>
          <w:tcPr>
            <w:tcW w:w="268" w:type="pct"/>
            <w:shd w:val="clear" w:color="auto" w:fill="auto"/>
            <w:tcMar>
              <w:right w:w="0" w:type="dxa"/>
            </w:tcMar>
            <w:vAlign w:val="bottom"/>
          </w:tcPr>
          <w:p w14:paraId="33A8E675"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10,0 </w:t>
            </w:r>
          </w:p>
        </w:tc>
        <w:tc>
          <w:tcPr>
            <w:tcW w:w="248" w:type="pct"/>
            <w:shd w:val="clear" w:color="auto" w:fill="auto"/>
            <w:tcMar>
              <w:right w:w="0" w:type="dxa"/>
            </w:tcMar>
            <w:vAlign w:val="bottom"/>
          </w:tcPr>
          <w:p w14:paraId="719DE926"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294" w:type="pct"/>
            <w:shd w:val="clear" w:color="auto" w:fill="auto"/>
            <w:tcMar>
              <w:right w:w="0" w:type="dxa"/>
            </w:tcMar>
            <w:vAlign w:val="bottom"/>
          </w:tcPr>
          <w:p w14:paraId="52063E0E"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0,4 </w:t>
            </w:r>
          </w:p>
        </w:tc>
        <w:tc>
          <w:tcPr>
            <w:tcW w:w="369" w:type="pct"/>
            <w:shd w:val="clear" w:color="auto" w:fill="auto"/>
            <w:tcMar>
              <w:right w:w="0" w:type="dxa"/>
            </w:tcMar>
            <w:vAlign w:val="bottom"/>
          </w:tcPr>
          <w:p w14:paraId="5487849D"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3,0 </w:t>
            </w:r>
          </w:p>
        </w:tc>
        <w:tc>
          <w:tcPr>
            <w:tcW w:w="369" w:type="pct"/>
            <w:shd w:val="clear" w:color="auto" w:fill="auto"/>
            <w:tcMar>
              <w:right w:w="0" w:type="dxa"/>
            </w:tcMar>
            <w:vAlign w:val="bottom"/>
          </w:tcPr>
          <w:p w14:paraId="6DF75998"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3,9 </w:t>
            </w:r>
          </w:p>
        </w:tc>
        <w:tc>
          <w:tcPr>
            <w:tcW w:w="369" w:type="pct"/>
            <w:shd w:val="clear" w:color="auto" w:fill="auto"/>
            <w:tcMar>
              <w:right w:w="0" w:type="dxa"/>
            </w:tcMar>
            <w:vAlign w:val="bottom"/>
          </w:tcPr>
          <w:p w14:paraId="4534FEE6"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2,7 </w:t>
            </w:r>
          </w:p>
        </w:tc>
        <w:tc>
          <w:tcPr>
            <w:tcW w:w="441" w:type="pct"/>
            <w:shd w:val="clear" w:color="auto" w:fill="auto"/>
            <w:tcMar>
              <w:right w:w="0" w:type="dxa"/>
            </w:tcMar>
            <w:vAlign w:val="bottom"/>
          </w:tcPr>
          <w:p w14:paraId="1D239FF0"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285" w:type="pct"/>
            <w:shd w:val="clear" w:color="auto" w:fill="auto"/>
            <w:tcMar>
              <w:right w:w="0" w:type="dxa"/>
            </w:tcMar>
            <w:vAlign w:val="bottom"/>
          </w:tcPr>
          <w:p w14:paraId="7ABB809E"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257" w:type="pct"/>
            <w:shd w:val="clear" w:color="auto" w:fill="auto"/>
            <w:tcMar>
              <w:right w:w="0" w:type="dxa"/>
            </w:tcMar>
            <w:vAlign w:val="bottom"/>
          </w:tcPr>
          <w:p w14:paraId="064223B7"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268" w:type="pct"/>
            <w:shd w:val="clear" w:color="auto" w:fill="auto"/>
            <w:tcMar>
              <w:right w:w="0" w:type="dxa"/>
            </w:tcMar>
            <w:vAlign w:val="bottom"/>
          </w:tcPr>
          <w:p w14:paraId="3260CFC4"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0,3 </w:t>
            </w:r>
          </w:p>
        </w:tc>
        <w:tc>
          <w:tcPr>
            <w:tcW w:w="295" w:type="pct"/>
            <w:shd w:val="clear" w:color="auto" w:fill="auto"/>
            <w:tcMar>
              <w:right w:w="0" w:type="dxa"/>
            </w:tcMar>
            <w:vAlign w:val="bottom"/>
          </w:tcPr>
          <w:p w14:paraId="470F5317"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0,1 </w:t>
            </w:r>
          </w:p>
        </w:tc>
        <w:tc>
          <w:tcPr>
            <w:tcW w:w="225" w:type="pct"/>
            <w:shd w:val="clear" w:color="auto" w:fill="auto"/>
            <w:tcMar>
              <w:right w:w="0" w:type="dxa"/>
            </w:tcMar>
            <w:vAlign w:val="bottom"/>
          </w:tcPr>
          <w:p w14:paraId="31F37EBC"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0,2 </w:t>
            </w:r>
          </w:p>
        </w:tc>
        <w:tc>
          <w:tcPr>
            <w:tcW w:w="205" w:type="pct"/>
            <w:shd w:val="clear" w:color="auto" w:fill="auto"/>
            <w:tcMar>
              <w:right w:w="0" w:type="dxa"/>
            </w:tcMar>
            <w:vAlign w:val="bottom"/>
          </w:tcPr>
          <w:p w14:paraId="6551C2EB"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89,7 </w:t>
            </w:r>
          </w:p>
        </w:tc>
        <w:tc>
          <w:tcPr>
            <w:tcW w:w="260" w:type="pct"/>
            <w:shd w:val="clear" w:color="auto" w:fill="auto"/>
            <w:tcMar>
              <w:right w:w="0" w:type="dxa"/>
            </w:tcMar>
            <w:vAlign w:val="bottom"/>
          </w:tcPr>
          <w:p w14:paraId="0CAF9C4C"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100,0</w:t>
            </w:r>
          </w:p>
        </w:tc>
        <w:tc>
          <w:tcPr>
            <w:tcW w:w="259" w:type="pct"/>
            <w:shd w:val="clear" w:color="auto" w:fill="auto"/>
            <w:tcMar>
              <w:right w:w="29" w:type="dxa"/>
            </w:tcMar>
            <w:vAlign w:val="bottom"/>
          </w:tcPr>
          <w:p w14:paraId="480BCACD" w14:textId="66E5CC95"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1</w:t>
            </w:r>
            <w:r w:rsidR="008F7CDF" w:rsidRPr="00744130">
              <w:rPr>
                <w:sz w:val="18"/>
                <w:szCs w:val="18"/>
                <w:lang w:val="es-ES_tradnl"/>
              </w:rPr>
              <w:t xml:space="preserve"> </w:t>
            </w:r>
            <w:r w:rsidRPr="0017609B">
              <w:rPr>
                <w:sz w:val="18"/>
                <w:szCs w:val="18"/>
                <w:lang w:val="es-ES_tradnl"/>
              </w:rPr>
              <w:t xml:space="preserve">560 </w:t>
            </w:r>
          </w:p>
        </w:tc>
      </w:tr>
      <w:tr w:rsidR="00FA7071" w:rsidRPr="00744130" w14:paraId="5C178A73" w14:textId="77777777" w:rsidTr="008045B7">
        <w:trPr>
          <w:cantSplit/>
          <w:trHeight w:val="240"/>
        </w:trPr>
        <w:tc>
          <w:tcPr>
            <w:tcW w:w="299" w:type="pct"/>
            <w:shd w:val="clear" w:color="auto" w:fill="auto"/>
            <w:vAlign w:val="bottom"/>
          </w:tcPr>
          <w:p w14:paraId="6FD691E2"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25-29 </w:t>
            </w:r>
          </w:p>
        </w:tc>
        <w:tc>
          <w:tcPr>
            <w:tcW w:w="289" w:type="pct"/>
            <w:shd w:val="clear" w:color="auto" w:fill="auto"/>
            <w:tcMar>
              <w:right w:w="0" w:type="dxa"/>
            </w:tcMar>
            <w:vAlign w:val="bottom"/>
          </w:tcPr>
          <w:p w14:paraId="15A77FEB"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10,0 </w:t>
            </w:r>
          </w:p>
        </w:tc>
        <w:tc>
          <w:tcPr>
            <w:tcW w:w="268" w:type="pct"/>
            <w:shd w:val="clear" w:color="auto" w:fill="auto"/>
            <w:tcMar>
              <w:right w:w="0" w:type="dxa"/>
            </w:tcMar>
            <w:vAlign w:val="bottom"/>
          </w:tcPr>
          <w:p w14:paraId="55E314BD"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9,5 </w:t>
            </w:r>
          </w:p>
        </w:tc>
        <w:tc>
          <w:tcPr>
            <w:tcW w:w="248" w:type="pct"/>
            <w:shd w:val="clear" w:color="auto" w:fill="auto"/>
            <w:tcMar>
              <w:right w:w="0" w:type="dxa"/>
            </w:tcMar>
            <w:vAlign w:val="bottom"/>
          </w:tcPr>
          <w:p w14:paraId="039F839C"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294" w:type="pct"/>
            <w:shd w:val="clear" w:color="auto" w:fill="auto"/>
            <w:tcMar>
              <w:right w:w="0" w:type="dxa"/>
            </w:tcMar>
            <w:vAlign w:val="bottom"/>
          </w:tcPr>
          <w:p w14:paraId="1988AF32"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0,3 </w:t>
            </w:r>
          </w:p>
        </w:tc>
        <w:tc>
          <w:tcPr>
            <w:tcW w:w="369" w:type="pct"/>
            <w:shd w:val="clear" w:color="auto" w:fill="auto"/>
            <w:tcMar>
              <w:right w:w="0" w:type="dxa"/>
            </w:tcMar>
            <w:vAlign w:val="bottom"/>
          </w:tcPr>
          <w:p w14:paraId="2BB5DB7F"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3,5 </w:t>
            </w:r>
          </w:p>
        </w:tc>
        <w:tc>
          <w:tcPr>
            <w:tcW w:w="369" w:type="pct"/>
            <w:shd w:val="clear" w:color="auto" w:fill="auto"/>
            <w:tcMar>
              <w:right w:w="0" w:type="dxa"/>
            </w:tcMar>
            <w:vAlign w:val="bottom"/>
          </w:tcPr>
          <w:p w14:paraId="7AB251CD"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3,4 </w:t>
            </w:r>
          </w:p>
        </w:tc>
        <w:tc>
          <w:tcPr>
            <w:tcW w:w="369" w:type="pct"/>
            <w:shd w:val="clear" w:color="auto" w:fill="auto"/>
            <w:tcMar>
              <w:right w:w="0" w:type="dxa"/>
            </w:tcMar>
            <w:vAlign w:val="bottom"/>
          </w:tcPr>
          <w:p w14:paraId="25F92E4B"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2,1 </w:t>
            </w:r>
          </w:p>
        </w:tc>
        <w:tc>
          <w:tcPr>
            <w:tcW w:w="441" w:type="pct"/>
            <w:shd w:val="clear" w:color="auto" w:fill="auto"/>
            <w:tcMar>
              <w:right w:w="0" w:type="dxa"/>
            </w:tcMar>
            <w:vAlign w:val="bottom"/>
          </w:tcPr>
          <w:p w14:paraId="6371C0CC"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0,2 </w:t>
            </w:r>
          </w:p>
        </w:tc>
        <w:tc>
          <w:tcPr>
            <w:tcW w:w="285" w:type="pct"/>
            <w:shd w:val="clear" w:color="auto" w:fill="auto"/>
            <w:tcMar>
              <w:right w:w="0" w:type="dxa"/>
            </w:tcMar>
            <w:vAlign w:val="bottom"/>
          </w:tcPr>
          <w:p w14:paraId="1DFE2BE0"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257" w:type="pct"/>
            <w:shd w:val="clear" w:color="auto" w:fill="auto"/>
            <w:tcMar>
              <w:right w:w="0" w:type="dxa"/>
            </w:tcMar>
            <w:vAlign w:val="bottom"/>
          </w:tcPr>
          <w:p w14:paraId="3AE5FB14"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0,1 </w:t>
            </w:r>
          </w:p>
        </w:tc>
        <w:tc>
          <w:tcPr>
            <w:tcW w:w="268" w:type="pct"/>
            <w:shd w:val="clear" w:color="auto" w:fill="auto"/>
            <w:tcMar>
              <w:right w:w="0" w:type="dxa"/>
            </w:tcMar>
            <w:vAlign w:val="bottom"/>
          </w:tcPr>
          <w:p w14:paraId="23DE0BC7"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0,5 </w:t>
            </w:r>
          </w:p>
        </w:tc>
        <w:tc>
          <w:tcPr>
            <w:tcW w:w="295" w:type="pct"/>
            <w:shd w:val="clear" w:color="auto" w:fill="auto"/>
            <w:tcMar>
              <w:right w:w="0" w:type="dxa"/>
            </w:tcMar>
            <w:vAlign w:val="bottom"/>
          </w:tcPr>
          <w:p w14:paraId="18769F25"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225" w:type="pct"/>
            <w:shd w:val="clear" w:color="auto" w:fill="auto"/>
            <w:tcMar>
              <w:right w:w="0" w:type="dxa"/>
            </w:tcMar>
            <w:vAlign w:val="bottom"/>
          </w:tcPr>
          <w:p w14:paraId="19C41DB8"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0,4 </w:t>
            </w:r>
          </w:p>
        </w:tc>
        <w:tc>
          <w:tcPr>
            <w:tcW w:w="205" w:type="pct"/>
            <w:shd w:val="clear" w:color="auto" w:fill="auto"/>
            <w:tcMar>
              <w:right w:w="0" w:type="dxa"/>
            </w:tcMar>
            <w:vAlign w:val="bottom"/>
          </w:tcPr>
          <w:p w14:paraId="13B4D611"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90,0 </w:t>
            </w:r>
          </w:p>
        </w:tc>
        <w:tc>
          <w:tcPr>
            <w:tcW w:w="260" w:type="pct"/>
            <w:shd w:val="clear" w:color="auto" w:fill="auto"/>
            <w:tcMar>
              <w:right w:w="0" w:type="dxa"/>
            </w:tcMar>
            <w:vAlign w:val="bottom"/>
          </w:tcPr>
          <w:p w14:paraId="1B8502D3"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100,0</w:t>
            </w:r>
          </w:p>
        </w:tc>
        <w:tc>
          <w:tcPr>
            <w:tcW w:w="259" w:type="pct"/>
            <w:shd w:val="clear" w:color="auto" w:fill="auto"/>
            <w:tcMar>
              <w:right w:w="29" w:type="dxa"/>
            </w:tcMar>
            <w:vAlign w:val="bottom"/>
          </w:tcPr>
          <w:p w14:paraId="58CA186A" w14:textId="580385FE"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1</w:t>
            </w:r>
            <w:r w:rsidR="008F7CDF" w:rsidRPr="00744130">
              <w:rPr>
                <w:sz w:val="18"/>
                <w:szCs w:val="18"/>
                <w:lang w:val="es-ES_tradnl"/>
              </w:rPr>
              <w:t xml:space="preserve"> </w:t>
            </w:r>
            <w:r w:rsidRPr="0017609B">
              <w:rPr>
                <w:sz w:val="18"/>
                <w:szCs w:val="18"/>
                <w:lang w:val="es-ES_tradnl"/>
              </w:rPr>
              <w:t xml:space="preserve">981 </w:t>
            </w:r>
          </w:p>
        </w:tc>
      </w:tr>
      <w:tr w:rsidR="00FA7071" w:rsidRPr="00744130" w14:paraId="25419CCD" w14:textId="77777777" w:rsidTr="008045B7">
        <w:trPr>
          <w:cantSplit/>
          <w:trHeight w:val="240"/>
        </w:trPr>
        <w:tc>
          <w:tcPr>
            <w:tcW w:w="299" w:type="pct"/>
            <w:shd w:val="clear" w:color="auto" w:fill="auto"/>
            <w:vAlign w:val="bottom"/>
          </w:tcPr>
          <w:p w14:paraId="0E2745DB"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30-34 </w:t>
            </w:r>
          </w:p>
        </w:tc>
        <w:tc>
          <w:tcPr>
            <w:tcW w:w="289" w:type="pct"/>
            <w:shd w:val="clear" w:color="auto" w:fill="auto"/>
            <w:tcMar>
              <w:right w:w="0" w:type="dxa"/>
            </w:tcMar>
            <w:vAlign w:val="bottom"/>
          </w:tcPr>
          <w:p w14:paraId="13AFA180"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12,2 </w:t>
            </w:r>
          </w:p>
        </w:tc>
        <w:tc>
          <w:tcPr>
            <w:tcW w:w="268" w:type="pct"/>
            <w:shd w:val="clear" w:color="auto" w:fill="auto"/>
            <w:tcMar>
              <w:right w:w="0" w:type="dxa"/>
            </w:tcMar>
            <w:vAlign w:val="bottom"/>
          </w:tcPr>
          <w:p w14:paraId="53D37527"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11,8 </w:t>
            </w:r>
          </w:p>
        </w:tc>
        <w:tc>
          <w:tcPr>
            <w:tcW w:w="248" w:type="pct"/>
            <w:shd w:val="clear" w:color="auto" w:fill="auto"/>
            <w:tcMar>
              <w:right w:w="0" w:type="dxa"/>
            </w:tcMar>
            <w:vAlign w:val="bottom"/>
          </w:tcPr>
          <w:p w14:paraId="72424835"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0,1 </w:t>
            </w:r>
          </w:p>
        </w:tc>
        <w:tc>
          <w:tcPr>
            <w:tcW w:w="294" w:type="pct"/>
            <w:shd w:val="clear" w:color="auto" w:fill="auto"/>
            <w:tcMar>
              <w:right w:w="0" w:type="dxa"/>
            </w:tcMar>
            <w:vAlign w:val="bottom"/>
          </w:tcPr>
          <w:p w14:paraId="73D920CC"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0,6 </w:t>
            </w:r>
          </w:p>
        </w:tc>
        <w:tc>
          <w:tcPr>
            <w:tcW w:w="369" w:type="pct"/>
            <w:shd w:val="clear" w:color="auto" w:fill="auto"/>
            <w:tcMar>
              <w:right w:w="0" w:type="dxa"/>
            </w:tcMar>
            <w:vAlign w:val="bottom"/>
          </w:tcPr>
          <w:p w14:paraId="6BCC2293"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2,6 </w:t>
            </w:r>
          </w:p>
        </w:tc>
        <w:tc>
          <w:tcPr>
            <w:tcW w:w="369" w:type="pct"/>
            <w:shd w:val="clear" w:color="auto" w:fill="auto"/>
            <w:tcMar>
              <w:right w:w="0" w:type="dxa"/>
            </w:tcMar>
            <w:vAlign w:val="bottom"/>
          </w:tcPr>
          <w:p w14:paraId="115753F9"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5,1 </w:t>
            </w:r>
          </w:p>
        </w:tc>
        <w:tc>
          <w:tcPr>
            <w:tcW w:w="369" w:type="pct"/>
            <w:shd w:val="clear" w:color="auto" w:fill="auto"/>
            <w:tcMar>
              <w:right w:w="0" w:type="dxa"/>
            </w:tcMar>
            <w:vAlign w:val="bottom"/>
          </w:tcPr>
          <w:p w14:paraId="5E3D2097"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3,1 </w:t>
            </w:r>
          </w:p>
        </w:tc>
        <w:tc>
          <w:tcPr>
            <w:tcW w:w="441" w:type="pct"/>
            <w:shd w:val="clear" w:color="auto" w:fill="auto"/>
            <w:tcMar>
              <w:right w:w="0" w:type="dxa"/>
            </w:tcMar>
            <w:vAlign w:val="bottom"/>
          </w:tcPr>
          <w:p w14:paraId="6A183657"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0,3 </w:t>
            </w:r>
          </w:p>
        </w:tc>
        <w:tc>
          <w:tcPr>
            <w:tcW w:w="285" w:type="pct"/>
            <w:shd w:val="clear" w:color="auto" w:fill="auto"/>
            <w:tcMar>
              <w:right w:w="0" w:type="dxa"/>
            </w:tcMar>
            <w:vAlign w:val="bottom"/>
          </w:tcPr>
          <w:p w14:paraId="3DE9A09D"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257" w:type="pct"/>
            <w:shd w:val="clear" w:color="auto" w:fill="auto"/>
            <w:tcMar>
              <w:right w:w="0" w:type="dxa"/>
            </w:tcMar>
            <w:vAlign w:val="bottom"/>
          </w:tcPr>
          <w:p w14:paraId="46C38E49"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268" w:type="pct"/>
            <w:shd w:val="clear" w:color="auto" w:fill="auto"/>
            <w:tcMar>
              <w:right w:w="0" w:type="dxa"/>
            </w:tcMar>
            <w:vAlign w:val="bottom"/>
          </w:tcPr>
          <w:p w14:paraId="57366BE5"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0,4 </w:t>
            </w:r>
          </w:p>
        </w:tc>
        <w:tc>
          <w:tcPr>
            <w:tcW w:w="295" w:type="pct"/>
            <w:shd w:val="clear" w:color="auto" w:fill="auto"/>
            <w:tcMar>
              <w:right w:w="0" w:type="dxa"/>
            </w:tcMar>
            <w:vAlign w:val="bottom"/>
          </w:tcPr>
          <w:p w14:paraId="5DD6272D"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0,1 </w:t>
            </w:r>
          </w:p>
        </w:tc>
        <w:tc>
          <w:tcPr>
            <w:tcW w:w="225" w:type="pct"/>
            <w:shd w:val="clear" w:color="auto" w:fill="auto"/>
            <w:tcMar>
              <w:right w:w="0" w:type="dxa"/>
            </w:tcMar>
            <w:vAlign w:val="bottom"/>
          </w:tcPr>
          <w:p w14:paraId="7BA9D444"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0,2 </w:t>
            </w:r>
          </w:p>
        </w:tc>
        <w:tc>
          <w:tcPr>
            <w:tcW w:w="205" w:type="pct"/>
            <w:shd w:val="clear" w:color="auto" w:fill="auto"/>
            <w:tcMar>
              <w:right w:w="0" w:type="dxa"/>
            </w:tcMar>
            <w:vAlign w:val="bottom"/>
          </w:tcPr>
          <w:p w14:paraId="3D413CA0"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87,8 </w:t>
            </w:r>
          </w:p>
        </w:tc>
        <w:tc>
          <w:tcPr>
            <w:tcW w:w="260" w:type="pct"/>
            <w:shd w:val="clear" w:color="auto" w:fill="auto"/>
            <w:tcMar>
              <w:right w:w="0" w:type="dxa"/>
            </w:tcMar>
            <w:vAlign w:val="bottom"/>
          </w:tcPr>
          <w:p w14:paraId="0ABF8CC9"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100,0</w:t>
            </w:r>
          </w:p>
        </w:tc>
        <w:tc>
          <w:tcPr>
            <w:tcW w:w="259" w:type="pct"/>
            <w:shd w:val="clear" w:color="auto" w:fill="auto"/>
            <w:tcMar>
              <w:right w:w="29" w:type="dxa"/>
            </w:tcMar>
            <w:vAlign w:val="bottom"/>
          </w:tcPr>
          <w:p w14:paraId="7188B982" w14:textId="7E93476A"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1</w:t>
            </w:r>
            <w:r w:rsidR="008F7CDF" w:rsidRPr="00744130">
              <w:rPr>
                <w:sz w:val="18"/>
                <w:szCs w:val="18"/>
                <w:lang w:val="es-ES_tradnl"/>
              </w:rPr>
              <w:t xml:space="preserve"> </w:t>
            </w:r>
            <w:r w:rsidRPr="0017609B">
              <w:rPr>
                <w:sz w:val="18"/>
                <w:szCs w:val="18"/>
                <w:lang w:val="es-ES_tradnl"/>
              </w:rPr>
              <w:t xml:space="preserve">627 </w:t>
            </w:r>
          </w:p>
        </w:tc>
      </w:tr>
      <w:tr w:rsidR="00FA7071" w:rsidRPr="00744130" w14:paraId="6451D61F" w14:textId="77777777" w:rsidTr="008045B7">
        <w:trPr>
          <w:cantSplit/>
          <w:trHeight w:val="240"/>
        </w:trPr>
        <w:tc>
          <w:tcPr>
            <w:tcW w:w="299" w:type="pct"/>
            <w:shd w:val="clear" w:color="auto" w:fill="auto"/>
            <w:vAlign w:val="bottom"/>
          </w:tcPr>
          <w:p w14:paraId="61291F97"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35-39 </w:t>
            </w:r>
          </w:p>
        </w:tc>
        <w:tc>
          <w:tcPr>
            <w:tcW w:w="289" w:type="pct"/>
            <w:shd w:val="clear" w:color="auto" w:fill="auto"/>
            <w:tcMar>
              <w:right w:w="0" w:type="dxa"/>
            </w:tcMar>
            <w:vAlign w:val="bottom"/>
          </w:tcPr>
          <w:p w14:paraId="01ADC9C3"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12,4 </w:t>
            </w:r>
          </w:p>
        </w:tc>
        <w:tc>
          <w:tcPr>
            <w:tcW w:w="268" w:type="pct"/>
            <w:shd w:val="clear" w:color="auto" w:fill="auto"/>
            <w:tcMar>
              <w:right w:w="0" w:type="dxa"/>
            </w:tcMar>
            <w:vAlign w:val="bottom"/>
          </w:tcPr>
          <w:p w14:paraId="0321F285"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11,9 </w:t>
            </w:r>
          </w:p>
        </w:tc>
        <w:tc>
          <w:tcPr>
            <w:tcW w:w="248" w:type="pct"/>
            <w:shd w:val="clear" w:color="auto" w:fill="auto"/>
            <w:tcMar>
              <w:right w:w="0" w:type="dxa"/>
            </w:tcMar>
            <w:vAlign w:val="bottom"/>
          </w:tcPr>
          <w:p w14:paraId="48618008"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0,5 </w:t>
            </w:r>
          </w:p>
        </w:tc>
        <w:tc>
          <w:tcPr>
            <w:tcW w:w="294" w:type="pct"/>
            <w:shd w:val="clear" w:color="auto" w:fill="auto"/>
            <w:tcMar>
              <w:right w:w="0" w:type="dxa"/>
            </w:tcMar>
            <w:vAlign w:val="bottom"/>
          </w:tcPr>
          <w:p w14:paraId="5F7987B8"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0,5 </w:t>
            </w:r>
          </w:p>
        </w:tc>
        <w:tc>
          <w:tcPr>
            <w:tcW w:w="369" w:type="pct"/>
            <w:shd w:val="clear" w:color="auto" w:fill="auto"/>
            <w:tcMar>
              <w:right w:w="0" w:type="dxa"/>
            </w:tcMar>
            <w:vAlign w:val="bottom"/>
          </w:tcPr>
          <w:p w14:paraId="545887B7"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3,0 </w:t>
            </w:r>
          </w:p>
        </w:tc>
        <w:tc>
          <w:tcPr>
            <w:tcW w:w="369" w:type="pct"/>
            <w:shd w:val="clear" w:color="auto" w:fill="auto"/>
            <w:tcMar>
              <w:right w:w="0" w:type="dxa"/>
            </w:tcMar>
            <w:vAlign w:val="bottom"/>
          </w:tcPr>
          <w:p w14:paraId="635B6A92"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4,4 </w:t>
            </w:r>
          </w:p>
        </w:tc>
        <w:tc>
          <w:tcPr>
            <w:tcW w:w="369" w:type="pct"/>
            <w:shd w:val="clear" w:color="auto" w:fill="auto"/>
            <w:tcMar>
              <w:right w:w="0" w:type="dxa"/>
            </w:tcMar>
            <w:vAlign w:val="bottom"/>
          </w:tcPr>
          <w:p w14:paraId="45143CE1"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3,3 </w:t>
            </w:r>
          </w:p>
        </w:tc>
        <w:tc>
          <w:tcPr>
            <w:tcW w:w="441" w:type="pct"/>
            <w:shd w:val="clear" w:color="auto" w:fill="auto"/>
            <w:tcMar>
              <w:right w:w="0" w:type="dxa"/>
            </w:tcMar>
            <w:vAlign w:val="bottom"/>
          </w:tcPr>
          <w:p w14:paraId="34705569"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285" w:type="pct"/>
            <w:shd w:val="clear" w:color="auto" w:fill="auto"/>
            <w:tcMar>
              <w:right w:w="0" w:type="dxa"/>
            </w:tcMar>
            <w:vAlign w:val="bottom"/>
          </w:tcPr>
          <w:p w14:paraId="54897688"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257" w:type="pct"/>
            <w:shd w:val="clear" w:color="auto" w:fill="auto"/>
            <w:tcMar>
              <w:right w:w="0" w:type="dxa"/>
            </w:tcMar>
            <w:vAlign w:val="bottom"/>
          </w:tcPr>
          <w:p w14:paraId="389533FF"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0,1 </w:t>
            </w:r>
          </w:p>
        </w:tc>
        <w:tc>
          <w:tcPr>
            <w:tcW w:w="268" w:type="pct"/>
            <w:shd w:val="clear" w:color="auto" w:fill="auto"/>
            <w:tcMar>
              <w:right w:w="0" w:type="dxa"/>
            </w:tcMar>
            <w:vAlign w:val="bottom"/>
          </w:tcPr>
          <w:p w14:paraId="4EF88963"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0,5 </w:t>
            </w:r>
          </w:p>
        </w:tc>
        <w:tc>
          <w:tcPr>
            <w:tcW w:w="295" w:type="pct"/>
            <w:shd w:val="clear" w:color="auto" w:fill="auto"/>
            <w:tcMar>
              <w:right w:w="0" w:type="dxa"/>
            </w:tcMar>
            <w:vAlign w:val="bottom"/>
          </w:tcPr>
          <w:p w14:paraId="2FBB8D4F"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0,1 </w:t>
            </w:r>
          </w:p>
        </w:tc>
        <w:tc>
          <w:tcPr>
            <w:tcW w:w="225" w:type="pct"/>
            <w:shd w:val="clear" w:color="auto" w:fill="auto"/>
            <w:tcMar>
              <w:right w:w="0" w:type="dxa"/>
            </w:tcMar>
            <w:vAlign w:val="bottom"/>
          </w:tcPr>
          <w:p w14:paraId="4928CA38"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0,4 </w:t>
            </w:r>
          </w:p>
        </w:tc>
        <w:tc>
          <w:tcPr>
            <w:tcW w:w="205" w:type="pct"/>
            <w:shd w:val="clear" w:color="auto" w:fill="auto"/>
            <w:tcMar>
              <w:right w:w="0" w:type="dxa"/>
            </w:tcMar>
            <w:vAlign w:val="bottom"/>
          </w:tcPr>
          <w:p w14:paraId="3CE29ADD"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87,6 </w:t>
            </w:r>
          </w:p>
        </w:tc>
        <w:tc>
          <w:tcPr>
            <w:tcW w:w="260" w:type="pct"/>
            <w:shd w:val="clear" w:color="auto" w:fill="auto"/>
            <w:tcMar>
              <w:right w:w="0" w:type="dxa"/>
            </w:tcMar>
            <w:vAlign w:val="bottom"/>
          </w:tcPr>
          <w:p w14:paraId="5C5BE5ED"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100,0</w:t>
            </w:r>
          </w:p>
        </w:tc>
        <w:tc>
          <w:tcPr>
            <w:tcW w:w="259" w:type="pct"/>
            <w:shd w:val="clear" w:color="auto" w:fill="auto"/>
            <w:tcMar>
              <w:right w:w="29" w:type="dxa"/>
            </w:tcMar>
            <w:vAlign w:val="bottom"/>
          </w:tcPr>
          <w:p w14:paraId="4C90A68A" w14:textId="5220A961"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1</w:t>
            </w:r>
            <w:r w:rsidR="008F7CDF" w:rsidRPr="00744130">
              <w:rPr>
                <w:sz w:val="18"/>
                <w:szCs w:val="18"/>
                <w:lang w:val="es-ES_tradnl"/>
              </w:rPr>
              <w:t xml:space="preserve"> </w:t>
            </w:r>
            <w:r w:rsidRPr="0017609B">
              <w:rPr>
                <w:sz w:val="18"/>
                <w:szCs w:val="18"/>
                <w:lang w:val="es-ES_tradnl"/>
              </w:rPr>
              <w:t xml:space="preserve">302 </w:t>
            </w:r>
          </w:p>
        </w:tc>
      </w:tr>
      <w:tr w:rsidR="00FA7071" w:rsidRPr="00744130" w14:paraId="41312204" w14:textId="77777777" w:rsidTr="008045B7">
        <w:trPr>
          <w:cantSplit/>
          <w:trHeight w:val="240"/>
        </w:trPr>
        <w:tc>
          <w:tcPr>
            <w:tcW w:w="299" w:type="pct"/>
            <w:shd w:val="clear" w:color="auto" w:fill="auto"/>
            <w:vAlign w:val="bottom"/>
          </w:tcPr>
          <w:p w14:paraId="329042DF"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40-44 </w:t>
            </w:r>
          </w:p>
        </w:tc>
        <w:tc>
          <w:tcPr>
            <w:tcW w:w="289" w:type="pct"/>
            <w:shd w:val="clear" w:color="auto" w:fill="auto"/>
            <w:tcMar>
              <w:right w:w="0" w:type="dxa"/>
            </w:tcMar>
            <w:vAlign w:val="bottom"/>
          </w:tcPr>
          <w:p w14:paraId="63623628"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11,4 </w:t>
            </w:r>
          </w:p>
        </w:tc>
        <w:tc>
          <w:tcPr>
            <w:tcW w:w="268" w:type="pct"/>
            <w:shd w:val="clear" w:color="auto" w:fill="auto"/>
            <w:tcMar>
              <w:right w:w="0" w:type="dxa"/>
            </w:tcMar>
            <w:vAlign w:val="bottom"/>
          </w:tcPr>
          <w:p w14:paraId="49C491DE"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10,5 </w:t>
            </w:r>
          </w:p>
        </w:tc>
        <w:tc>
          <w:tcPr>
            <w:tcW w:w="248" w:type="pct"/>
            <w:shd w:val="clear" w:color="auto" w:fill="auto"/>
            <w:tcMar>
              <w:right w:w="0" w:type="dxa"/>
            </w:tcMar>
            <w:vAlign w:val="bottom"/>
          </w:tcPr>
          <w:p w14:paraId="151CDCB9"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0,1 </w:t>
            </w:r>
          </w:p>
        </w:tc>
        <w:tc>
          <w:tcPr>
            <w:tcW w:w="294" w:type="pct"/>
            <w:shd w:val="clear" w:color="auto" w:fill="auto"/>
            <w:tcMar>
              <w:right w:w="0" w:type="dxa"/>
            </w:tcMar>
            <w:vAlign w:val="bottom"/>
          </w:tcPr>
          <w:p w14:paraId="0F4C6E57"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0,3 </w:t>
            </w:r>
          </w:p>
        </w:tc>
        <w:tc>
          <w:tcPr>
            <w:tcW w:w="369" w:type="pct"/>
            <w:shd w:val="clear" w:color="auto" w:fill="auto"/>
            <w:tcMar>
              <w:right w:w="0" w:type="dxa"/>
            </w:tcMar>
            <w:vAlign w:val="bottom"/>
          </w:tcPr>
          <w:p w14:paraId="0231BDE0"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2,9 </w:t>
            </w:r>
          </w:p>
        </w:tc>
        <w:tc>
          <w:tcPr>
            <w:tcW w:w="369" w:type="pct"/>
            <w:shd w:val="clear" w:color="auto" w:fill="auto"/>
            <w:tcMar>
              <w:right w:w="0" w:type="dxa"/>
            </w:tcMar>
            <w:vAlign w:val="bottom"/>
          </w:tcPr>
          <w:p w14:paraId="494DEBAD"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4,7 </w:t>
            </w:r>
          </w:p>
        </w:tc>
        <w:tc>
          <w:tcPr>
            <w:tcW w:w="369" w:type="pct"/>
            <w:shd w:val="clear" w:color="auto" w:fill="auto"/>
            <w:tcMar>
              <w:right w:w="0" w:type="dxa"/>
            </w:tcMar>
            <w:vAlign w:val="bottom"/>
          </w:tcPr>
          <w:p w14:paraId="4D57399F"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2,3 </w:t>
            </w:r>
          </w:p>
        </w:tc>
        <w:tc>
          <w:tcPr>
            <w:tcW w:w="441" w:type="pct"/>
            <w:shd w:val="clear" w:color="auto" w:fill="auto"/>
            <w:tcMar>
              <w:right w:w="0" w:type="dxa"/>
            </w:tcMar>
            <w:vAlign w:val="bottom"/>
          </w:tcPr>
          <w:p w14:paraId="264A5737"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285" w:type="pct"/>
            <w:shd w:val="clear" w:color="auto" w:fill="auto"/>
            <w:tcMar>
              <w:right w:w="0" w:type="dxa"/>
            </w:tcMar>
            <w:vAlign w:val="bottom"/>
          </w:tcPr>
          <w:p w14:paraId="0D009347"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257" w:type="pct"/>
            <w:shd w:val="clear" w:color="auto" w:fill="auto"/>
            <w:tcMar>
              <w:right w:w="0" w:type="dxa"/>
            </w:tcMar>
            <w:vAlign w:val="bottom"/>
          </w:tcPr>
          <w:p w14:paraId="6A1ECA68"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268" w:type="pct"/>
            <w:shd w:val="clear" w:color="auto" w:fill="auto"/>
            <w:tcMar>
              <w:right w:w="0" w:type="dxa"/>
            </w:tcMar>
            <w:vAlign w:val="bottom"/>
          </w:tcPr>
          <w:p w14:paraId="3A47D9CA"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0,9 </w:t>
            </w:r>
          </w:p>
        </w:tc>
        <w:tc>
          <w:tcPr>
            <w:tcW w:w="295" w:type="pct"/>
            <w:shd w:val="clear" w:color="auto" w:fill="auto"/>
            <w:tcMar>
              <w:right w:w="0" w:type="dxa"/>
            </w:tcMar>
            <w:vAlign w:val="bottom"/>
          </w:tcPr>
          <w:p w14:paraId="717AE456"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0,2 </w:t>
            </w:r>
          </w:p>
        </w:tc>
        <w:tc>
          <w:tcPr>
            <w:tcW w:w="225" w:type="pct"/>
            <w:shd w:val="clear" w:color="auto" w:fill="auto"/>
            <w:tcMar>
              <w:right w:w="0" w:type="dxa"/>
            </w:tcMar>
            <w:vAlign w:val="bottom"/>
          </w:tcPr>
          <w:p w14:paraId="12969BCD"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0,6 </w:t>
            </w:r>
          </w:p>
        </w:tc>
        <w:tc>
          <w:tcPr>
            <w:tcW w:w="205" w:type="pct"/>
            <w:shd w:val="clear" w:color="auto" w:fill="auto"/>
            <w:tcMar>
              <w:right w:w="0" w:type="dxa"/>
            </w:tcMar>
            <w:vAlign w:val="bottom"/>
          </w:tcPr>
          <w:p w14:paraId="36E3B1F5"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88,6 </w:t>
            </w:r>
          </w:p>
        </w:tc>
        <w:tc>
          <w:tcPr>
            <w:tcW w:w="260" w:type="pct"/>
            <w:shd w:val="clear" w:color="auto" w:fill="auto"/>
            <w:tcMar>
              <w:right w:w="0" w:type="dxa"/>
            </w:tcMar>
            <w:vAlign w:val="bottom"/>
          </w:tcPr>
          <w:p w14:paraId="582EDD78"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100,0</w:t>
            </w:r>
          </w:p>
        </w:tc>
        <w:tc>
          <w:tcPr>
            <w:tcW w:w="259" w:type="pct"/>
            <w:shd w:val="clear" w:color="auto" w:fill="auto"/>
            <w:tcMar>
              <w:right w:w="29" w:type="dxa"/>
            </w:tcMar>
            <w:vAlign w:val="bottom"/>
          </w:tcPr>
          <w:p w14:paraId="18F319CA"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880 </w:t>
            </w:r>
          </w:p>
        </w:tc>
      </w:tr>
      <w:tr w:rsidR="00FA7071" w:rsidRPr="00744130" w14:paraId="1BC8D7DB" w14:textId="77777777" w:rsidTr="008045B7">
        <w:trPr>
          <w:cantSplit/>
          <w:trHeight w:val="240"/>
        </w:trPr>
        <w:tc>
          <w:tcPr>
            <w:tcW w:w="299" w:type="pct"/>
            <w:tcBorders>
              <w:bottom w:val="single" w:sz="4" w:space="0" w:color="auto"/>
            </w:tcBorders>
            <w:shd w:val="clear" w:color="auto" w:fill="auto"/>
            <w:vAlign w:val="bottom"/>
          </w:tcPr>
          <w:p w14:paraId="14F2BFCF"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45-49 </w:t>
            </w:r>
          </w:p>
        </w:tc>
        <w:tc>
          <w:tcPr>
            <w:tcW w:w="289" w:type="pct"/>
            <w:tcBorders>
              <w:bottom w:val="single" w:sz="4" w:space="0" w:color="auto"/>
            </w:tcBorders>
            <w:shd w:val="clear" w:color="auto" w:fill="auto"/>
            <w:tcMar>
              <w:right w:w="0" w:type="dxa"/>
            </w:tcMar>
            <w:vAlign w:val="bottom"/>
          </w:tcPr>
          <w:p w14:paraId="3FB51F32"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6,0 </w:t>
            </w:r>
          </w:p>
        </w:tc>
        <w:tc>
          <w:tcPr>
            <w:tcW w:w="268" w:type="pct"/>
            <w:tcBorders>
              <w:bottom w:val="single" w:sz="4" w:space="0" w:color="auto"/>
            </w:tcBorders>
            <w:shd w:val="clear" w:color="auto" w:fill="auto"/>
            <w:tcMar>
              <w:right w:w="0" w:type="dxa"/>
            </w:tcMar>
            <w:vAlign w:val="bottom"/>
          </w:tcPr>
          <w:p w14:paraId="227AA771"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5,5 </w:t>
            </w:r>
          </w:p>
        </w:tc>
        <w:tc>
          <w:tcPr>
            <w:tcW w:w="248" w:type="pct"/>
            <w:tcBorders>
              <w:bottom w:val="single" w:sz="4" w:space="0" w:color="auto"/>
            </w:tcBorders>
            <w:shd w:val="clear" w:color="auto" w:fill="auto"/>
            <w:tcMar>
              <w:right w:w="0" w:type="dxa"/>
            </w:tcMar>
            <w:vAlign w:val="bottom"/>
          </w:tcPr>
          <w:p w14:paraId="56767191"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0,1 </w:t>
            </w:r>
          </w:p>
        </w:tc>
        <w:tc>
          <w:tcPr>
            <w:tcW w:w="294" w:type="pct"/>
            <w:tcBorders>
              <w:bottom w:val="single" w:sz="4" w:space="0" w:color="auto"/>
            </w:tcBorders>
            <w:shd w:val="clear" w:color="auto" w:fill="auto"/>
            <w:tcMar>
              <w:right w:w="0" w:type="dxa"/>
            </w:tcMar>
            <w:vAlign w:val="bottom"/>
          </w:tcPr>
          <w:p w14:paraId="18EFA783"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369" w:type="pct"/>
            <w:tcBorders>
              <w:bottom w:val="single" w:sz="4" w:space="0" w:color="auto"/>
            </w:tcBorders>
            <w:shd w:val="clear" w:color="auto" w:fill="auto"/>
            <w:tcMar>
              <w:right w:w="0" w:type="dxa"/>
            </w:tcMar>
            <w:vAlign w:val="bottom"/>
          </w:tcPr>
          <w:p w14:paraId="3CFA0C48"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1,4 </w:t>
            </w:r>
          </w:p>
        </w:tc>
        <w:tc>
          <w:tcPr>
            <w:tcW w:w="369" w:type="pct"/>
            <w:tcBorders>
              <w:bottom w:val="single" w:sz="4" w:space="0" w:color="auto"/>
            </w:tcBorders>
            <w:shd w:val="clear" w:color="auto" w:fill="auto"/>
            <w:tcMar>
              <w:right w:w="0" w:type="dxa"/>
            </w:tcMar>
            <w:vAlign w:val="bottom"/>
          </w:tcPr>
          <w:p w14:paraId="5FB5E8C4"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2,0 </w:t>
            </w:r>
          </w:p>
        </w:tc>
        <w:tc>
          <w:tcPr>
            <w:tcW w:w="369" w:type="pct"/>
            <w:tcBorders>
              <w:bottom w:val="single" w:sz="4" w:space="0" w:color="auto"/>
            </w:tcBorders>
            <w:shd w:val="clear" w:color="auto" w:fill="auto"/>
            <w:tcMar>
              <w:right w:w="0" w:type="dxa"/>
            </w:tcMar>
            <w:vAlign w:val="bottom"/>
          </w:tcPr>
          <w:p w14:paraId="60AF9366"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1,5 </w:t>
            </w:r>
          </w:p>
        </w:tc>
        <w:tc>
          <w:tcPr>
            <w:tcW w:w="441" w:type="pct"/>
            <w:tcBorders>
              <w:bottom w:val="single" w:sz="4" w:space="0" w:color="auto"/>
            </w:tcBorders>
            <w:shd w:val="clear" w:color="auto" w:fill="auto"/>
            <w:tcMar>
              <w:right w:w="0" w:type="dxa"/>
            </w:tcMar>
            <w:vAlign w:val="bottom"/>
          </w:tcPr>
          <w:p w14:paraId="4AB694FC"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285" w:type="pct"/>
            <w:tcBorders>
              <w:bottom w:val="single" w:sz="4" w:space="0" w:color="auto"/>
            </w:tcBorders>
            <w:shd w:val="clear" w:color="auto" w:fill="auto"/>
            <w:tcMar>
              <w:right w:w="0" w:type="dxa"/>
            </w:tcMar>
            <w:vAlign w:val="bottom"/>
          </w:tcPr>
          <w:p w14:paraId="597E54B9"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257" w:type="pct"/>
            <w:tcBorders>
              <w:bottom w:val="single" w:sz="4" w:space="0" w:color="auto"/>
            </w:tcBorders>
            <w:shd w:val="clear" w:color="auto" w:fill="auto"/>
            <w:tcMar>
              <w:right w:w="0" w:type="dxa"/>
            </w:tcMar>
            <w:vAlign w:val="bottom"/>
          </w:tcPr>
          <w:p w14:paraId="5E851A7E"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268" w:type="pct"/>
            <w:tcBorders>
              <w:bottom w:val="single" w:sz="4" w:space="0" w:color="auto"/>
            </w:tcBorders>
            <w:shd w:val="clear" w:color="auto" w:fill="auto"/>
            <w:tcMar>
              <w:right w:w="0" w:type="dxa"/>
            </w:tcMar>
            <w:vAlign w:val="bottom"/>
          </w:tcPr>
          <w:p w14:paraId="33563315"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0,5 </w:t>
            </w:r>
          </w:p>
        </w:tc>
        <w:tc>
          <w:tcPr>
            <w:tcW w:w="295" w:type="pct"/>
            <w:tcBorders>
              <w:bottom w:val="single" w:sz="4" w:space="0" w:color="auto"/>
            </w:tcBorders>
            <w:shd w:val="clear" w:color="auto" w:fill="auto"/>
            <w:tcMar>
              <w:right w:w="0" w:type="dxa"/>
            </w:tcMar>
            <w:vAlign w:val="bottom"/>
          </w:tcPr>
          <w:p w14:paraId="0CF28845"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225" w:type="pct"/>
            <w:tcBorders>
              <w:bottom w:val="single" w:sz="4" w:space="0" w:color="auto"/>
            </w:tcBorders>
            <w:shd w:val="clear" w:color="auto" w:fill="auto"/>
            <w:tcMar>
              <w:right w:w="0" w:type="dxa"/>
            </w:tcMar>
            <w:vAlign w:val="bottom"/>
          </w:tcPr>
          <w:p w14:paraId="4F627829"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0,5 </w:t>
            </w:r>
          </w:p>
        </w:tc>
        <w:tc>
          <w:tcPr>
            <w:tcW w:w="205" w:type="pct"/>
            <w:tcBorders>
              <w:bottom w:val="single" w:sz="4" w:space="0" w:color="auto"/>
            </w:tcBorders>
            <w:shd w:val="clear" w:color="auto" w:fill="auto"/>
            <w:tcMar>
              <w:right w:w="0" w:type="dxa"/>
            </w:tcMar>
            <w:vAlign w:val="bottom"/>
          </w:tcPr>
          <w:p w14:paraId="0FA8A679"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94,0 </w:t>
            </w:r>
          </w:p>
        </w:tc>
        <w:tc>
          <w:tcPr>
            <w:tcW w:w="260" w:type="pct"/>
            <w:tcBorders>
              <w:bottom w:val="single" w:sz="4" w:space="0" w:color="auto"/>
            </w:tcBorders>
            <w:shd w:val="clear" w:color="auto" w:fill="auto"/>
            <w:tcMar>
              <w:right w:w="0" w:type="dxa"/>
            </w:tcMar>
            <w:vAlign w:val="bottom"/>
          </w:tcPr>
          <w:p w14:paraId="540720CF"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100,0</w:t>
            </w:r>
          </w:p>
        </w:tc>
        <w:tc>
          <w:tcPr>
            <w:tcW w:w="259" w:type="pct"/>
            <w:tcBorders>
              <w:bottom w:val="single" w:sz="4" w:space="0" w:color="auto"/>
            </w:tcBorders>
            <w:shd w:val="clear" w:color="auto" w:fill="auto"/>
            <w:tcMar>
              <w:right w:w="29" w:type="dxa"/>
            </w:tcMar>
            <w:vAlign w:val="bottom"/>
          </w:tcPr>
          <w:p w14:paraId="30828F86"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655 </w:t>
            </w:r>
          </w:p>
        </w:tc>
      </w:tr>
      <w:tr w:rsidR="00411636" w:rsidRPr="00744130" w14:paraId="3ECC7368" w14:textId="77777777" w:rsidTr="00FA7071">
        <w:trPr>
          <w:cantSplit/>
          <w:trHeight w:val="240"/>
        </w:trPr>
        <w:tc>
          <w:tcPr>
            <w:tcW w:w="5000" w:type="pct"/>
            <w:gridSpan w:val="17"/>
            <w:tcBorders>
              <w:top w:val="single" w:sz="4" w:space="0" w:color="auto"/>
              <w:bottom w:val="single" w:sz="4" w:space="0" w:color="auto"/>
            </w:tcBorders>
            <w:shd w:val="clear" w:color="auto" w:fill="auto"/>
          </w:tcPr>
          <w:p w14:paraId="030DADAD" w14:textId="77777777" w:rsidR="0017609B" w:rsidRPr="0017609B" w:rsidRDefault="0017609B" w:rsidP="00411636">
            <w:pPr>
              <w:pStyle w:val="SingleTxtG"/>
              <w:tabs>
                <w:tab w:val="clear" w:pos="1701"/>
                <w:tab w:val="clear" w:pos="2268"/>
                <w:tab w:val="clear" w:pos="2835"/>
              </w:tabs>
              <w:spacing w:before="40" w:after="40" w:line="220" w:lineRule="exact"/>
              <w:ind w:left="0" w:right="0"/>
              <w:jc w:val="left"/>
              <w:rPr>
                <w:b/>
                <w:bCs/>
                <w:sz w:val="18"/>
                <w:szCs w:val="18"/>
                <w:lang w:val="es-ES_tradnl"/>
              </w:rPr>
            </w:pPr>
            <w:r w:rsidRPr="0017609B">
              <w:rPr>
                <w:b/>
                <w:bCs/>
                <w:sz w:val="18"/>
                <w:szCs w:val="18"/>
                <w:lang w:val="es-ES_tradnl"/>
              </w:rPr>
              <w:t>Lugar de residencia</w:t>
            </w:r>
          </w:p>
        </w:tc>
      </w:tr>
      <w:tr w:rsidR="00FA7071" w:rsidRPr="00744130" w14:paraId="0D458B8A" w14:textId="77777777" w:rsidTr="008045B7">
        <w:trPr>
          <w:cantSplit/>
          <w:trHeight w:val="240"/>
        </w:trPr>
        <w:tc>
          <w:tcPr>
            <w:tcW w:w="299" w:type="pct"/>
            <w:tcBorders>
              <w:top w:val="single" w:sz="4" w:space="0" w:color="auto"/>
            </w:tcBorders>
            <w:shd w:val="clear" w:color="auto" w:fill="auto"/>
          </w:tcPr>
          <w:p w14:paraId="4474210B" w14:textId="77777777" w:rsidR="0017609B" w:rsidRPr="0017609B" w:rsidRDefault="0017609B" w:rsidP="00411636">
            <w:pPr>
              <w:pStyle w:val="SingleTxtG"/>
              <w:tabs>
                <w:tab w:val="clear" w:pos="1701"/>
                <w:tab w:val="clear" w:pos="2268"/>
                <w:tab w:val="clear" w:pos="2835"/>
              </w:tabs>
              <w:spacing w:before="40" w:after="40" w:line="220" w:lineRule="exact"/>
              <w:ind w:left="0" w:right="0"/>
              <w:jc w:val="left"/>
              <w:rPr>
                <w:sz w:val="18"/>
                <w:szCs w:val="18"/>
                <w:lang w:val="es-ES_tradnl"/>
              </w:rPr>
            </w:pPr>
            <w:r w:rsidRPr="0017609B">
              <w:rPr>
                <w:sz w:val="18"/>
                <w:szCs w:val="18"/>
                <w:lang w:val="es-ES_tradnl"/>
              </w:rPr>
              <w:t xml:space="preserve">Urbano </w:t>
            </w:r>
          </w:p>
        </w:tc>
        <w:tc>
          <w:tcPr>
            <w:tcW w:w="289" w:type="pct"/>
            <w:tcBorders>
              <w:top w:val="single" w:sz="4" w:space="0" w:color="auto"/>
            </w:tcBorders>
            <w:shd w:val="clear" w:color="auto" w:fill="auto"/>
            <w:tcMar>
              <w:right w:w="0" w:type="dxa"/>
            </w:tcMar>
            <w:vAlign w:val="bottom"/>
          </w:tcPr>
          <w:p w14:paraId="36247FAF"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22,8 </w:t>
            </w:r>
          </w:p>
        </w:tc>
        <w:tc>
          <w:tcPr>
            <w:tcW w:w="268" w:type="pct"/>
            <w:tcBorders>
              <w:top w:val="single" w:sz="4" w:space="0" w:color="auto"/>
            </w:tcBorders>
            <w:shd w:val="clear" w:color="auto" w:fill="auto"/>
            <w:tcMar>
              <w:right w:w="0" w:type="dxa"/>
            </w:tcMar>
            <w:vAlign w:val="bottom"/>
          </w:tcPr>
          <w:p w14:paraId="31432A80"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21,8 </w:t>
            </w:r>
          </w:p>
        </w:tc>
        <w:tc>
          <w:tcPr>
            <w:tcW w:w="248" w:type="pct"/>
            <w:tcBorders>
              <w:top w:val="single" w:sz="4" w:space="0" w:color="auto"/>
            </w:tcBorders>
            <w:shd w:val="clear" w:color="auto" w:fill="auto"/>
            <w:tcMar>
              <w:right w:w="0" w:type="dxa"/>
            </w:tcMar>
            <w:vAlign w:val="bottom"/>
          </w:tcPr>
          <w:p w14:paraId="78C246BD"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0,3 </w:t>
            </w:r>
          </w:p>
        </w:tc>
        <w:tc>
          <w:tcPr>
            <w:tcW w:w="294" w:type="pct"/>
            <w:tcBorders>
              <w:top w:val="single" w:sz="4" w:space="0" w:color="auto"/>
            </w:tcBorders>
            <w:shd w:val="clear" w:color="auto" w:fill="auto"/>
            <w:tcMar>
              <w:right w:w="0" w:type="dxa"/>
            </w:tcMar>
            <w:vAlign w:val="bottom"/>
          </w:tcPr>
          <w:p w14:paraId="5020C37C"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1,2 </w:t>
            </w:r>
          </w:p>
        </w:tc>
        <w:tc>
          <w:tcPr>
            <w:tcW w:w="369" w:type="pct"/>
            <w:tcBorders>
              <w:top w:val="single" w:sz="4" w:space="0" w:color="auto"/>
            </w:tcBorders>
            <w:shd w:val="clear" w:color="auto" w:fill="auto"/>
            <w:tcMar>
              <w:right w:w="0" w:type="dxa"/>
            </w:tcMar>
            <w:vAlign w:val="bottom"/>
          </w:tcPr>
          <w:p w14:paraId="13F84B95"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7,2 </w:t>
            </w:r>
          </w:p>
        </w:tc>
        <w:tc>
          <w:tcPr>
            <w:tcW w:w="369" w:type="pct"/>
            <w:tcBorders>
              <w:top w:val="single" w:sz="4" w:space="0" w:color="auto"/>
            </w:tcBorders>
            <w:shd w:val="clear" w:color="auto" w:fill="auto"/>
            <w:tcMar>
              <w:right w:w="0" w:type="dxa"/>
            </w:tcMar>
            <w:vAlign w:val="bottom"/>
          </w:tcPr>
          <w:p w14:paraId="37785D4F"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6,5 </w:t>
            </w:r>
          </w:p>
        </w:tc>
        <w:tc>
          <w:tcPr>
            <w:tcW w:w="369" w:type="pct"/>
            <w:tcBorders>
              <w:top w:val="single" w:sz="4" w:space="0" w:color="auto"/>
            </w:tcBorders>
            <w:shd w:val="clear" w:color="auto" w:fill="auto"/>
            <w:tcMar>
              <w:right w:w="0" w:type="dxa"/>
            </w:tcMar>
            <w:vAlign w:val="bottom"/>
          </w:tcPr>
          <w:p w14:paraId="1FA072CC"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5,9 </w:t>
            </w:r>
          </w:p>
        </w:tc>
        <w:tc>
          <w:tcPr>
            <w:tcW w:w="441" w:type="pct"/>
            <w:tcBorders>
              <w:top w:val="single" w:sz="4" w:space="0" w:color="auto"/>
            </w:tcBorders>
            <w:shd w:val="clear" w:color="auto" w:fill="auto"/>
            <w:tcMar>
              <w:right w:w="0" w:type="dxa"/>
            </w:tcMar>
            <w:vAlign w:val="bottom"/>
          </w:tcPr>
          <w:p w14:paraId="6960C071"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0,5 </w:t>
            </w:r>
          </w:p>
        </w:tc>
        <w:tc>
          <w:tcPr>
            <w:tcW w:w="285" w:type="pct"/>
            <w:tcBorders>
              <w:top w:val="single" w:sz="4" w:space="0" w:color="auto"/>
            </w:tcBorders>
            <w:shd w:val="clear" w:color="auto" w:fill="auto"/>
            <w:tcMar>
              <w:right w:w="0" w:type="dxa"/>
            </w:tcMar>
            <w:vAlign w:val="bottom"/>
          </w:tcPr>
          <w:p w14:paraId="3FC3A211"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257" w:type="pct"/>
            <w:tcBorders>
              <w:top w:val="single" w:sz="4" w:space="0" w:color="auto"/>
            </w:tcBorders>
            <w:shd w:val="clear" w:color="auto" w:fill="auto"/>
            <w:tcMar>
              <w:right w:w="0" w:type="dxa"/>
            </w:tcMar>
            <w:vAlign w:val="bottom"/>
          </w:tcPr>
          <w:p w14:paraId="4F2D390C"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0,1 </w:t>
            </w:r>
          </w:p>
        </w:tc>
        <w:tc>
          <w:tcPr>
            <w:tcW w:w="268" w:type="pct"/>
            <w:tcBorders>
              <w:top w:val="single" w:sz="4" w:space="0" w:color="auto"/>
            </w:tcBorders>
            <w:shd w:val="clear" w:color="auto" w:fill="auto"/>
            <w:tcMar>
              <w:right w:w="0" w:type="dxa"/>
            </w:tcMar>
            <w:vAlign w:val="bottom"/>
          </w:tcPr>
          <w:p w14:paraId="14F25728"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1,0 </w:t>
            </w:r>
          </w:p>
        </w:tc>
        <w:tc>
          <w:tcPr>
            <w:tcW w:w="295" w:type="pct"/>
            <w:tcBorders>
              <w:top w:val="single" w:sz="4" w:space="0" w:color="auto"/>
            </w:tcBorders>
            <w:shd w:val="clear" w:color="auto" w:fill="auto"/>
            <w:tcMar>
              <w:right w:w="0" w:type="dxa"/>
            </w:tcMar>
            <w:vAlign w:val="bottom"/>
          </w:tcPr>
          <w:p w14:paraId="30064C2F"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0,1 </w:t>
            </w:r>
          </w:p>
        </w:tc>
        <w:tc>
          <w:tcPr>
            <w:tcW w:w="225" w:type="pct"/>
            <w:tcBorders>
              <w:top w:val="single" w:sz="4" w:space="0" w:color="auto"/>
            </w:tcBorders>
            <w:shd w:val="clear" w:color="auto" w:fill="auto"/>
            <w:tcMar>
              <w:right w:w="0" w:type="dxa"/>
            </w:tcMar>
            <w:vAlign w:val="bottom"/>
          </w:tcPr>
          <w:p w14:paraId="7CA578D1"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0,8 </w:t>
            </w:r>
          </w:p>
        </w:tc>
        <w:tc>
          <w:tcPr>
            <w:tcW w:w="205" w:type="pct"/>
            <w:tcBorders>
              <w:top w:val="single" w:sz="4" w:space="0" w:color="auto"/>
            </w:tcBorders>
            <w:shd w:val="clear" w:color="auto" w:fill="auto"/>
            <w:tcMar>
              <w:right w:w="0" w:type="dxa"/>
            </w:tcMar>
            <w:vAlign w:val="bottom"/>
          </w:tcPr>
          <w:p w14:paraId="7318F0A5"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77,2 </w:t>
            </w:r>
          </w:p>
        </w:tc>
        <w:tc>
          <w:tcPr>
            <w:tcW w:w="260" w:type="pct"/>
            <w:tcBorders>
              <w:top w:val="single" w:sz="4" w:space="0" w:color="auto"/>
            </w:tcBorders>
            <w:shd w:val="clear" w:color="auto" w:fill="auto"/>
            <w:tcMar>
              <w:right w:w="0" w:type="dxa"/>
            </w:tcMar>
            <w:vAlign w:val="bottom"/>
          </w:tcPr>
          <w:p w14:paraId="1ED4DA90"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100,0</w:t>
            </w:r>
          </w:p>
        </w:tc>
        <w:tc>
          <w:tcPr>
            <w:tcW w:w="259" w:type="pct"/>
            <w:tcBorders>
              <w:top w:val="single" w:sz="4" w:space="0" w:color="auto"/>
            </w:tcBorders>
            <w:shd w:val="clear" w:color="auto" w:fill="auto"/>
            <w:tcMar>
              <w:right w:w="29" w:type="dxa"/>
            </w:tcMar>
            <w:vAlign w:val="bottom"/>
          </w:tcPr>
          <w:p w14:paraId="66D17A16" w14:textId="37E44D7C"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1</w:t>
            </w:r>
            <w:r w:rsidR="008F7CDF" w:rsidRPr="00744130">
              <w:rPr>
                <w:sz w:val="18"/>
                <w:szCs w:val="18"/>
                <w:lang w:val="es-ES_tradnl"/>
              </w:rPr>
              <w:t xml:space="preserve"> </w:t>
            </w:r>
            <w:r w:rsidRPr="0017609B">
              <w:rPr>
                <w:sz w:val="18"/>
                <w:szCs w:val="18"/>
                <w:lang w:val="es-ES_tradnl"/>
              </w:rPr>
              <w:t xml:space="preserve">824 </w:t>
            </w:r>
          </w:p>
        </w:tc>
      </w:tr>
      <w:tr w:rsidR="00FA7071" w:rsidRPr="00744130" w14:paraId="3C12B652" w14:textId="77777777" w:rsidTr="008045B7">
        <w:trPr>
          <w:cantSplit/>
          <w:trHeight w:val="240"/>
        </w:trPr>
        <w:tc>
          <w:tcPr>
            <w:tcW w:w="299" w:type="pct"/>
            <w:tcBorders>
              <w:bottom w:val="single" w:sz="12" w:space="0" w:color="auto"/>
            </w:tcBorders>
            <w:shd w:val="clear" w:color="auto" w:fill="auto"/>
          </w:tcPr>
          <w:p w14:paraId="4006F60A" w14:textId="77777777" w:rsidR="0017609B" w:rsidRPr="0017609B" w:rsidRDefault="0017609B" w:rsidP="00411636">
            <w:pPr>
              <w:pStyle w:val="SingleTxtG"/>
              <w:tabs>
                <w:tab w:val="clear" w:pos="1701"/>
                <w:tab w:val="clear" w:pos="2268"/>
                <w:tab w:val="clear" w:pos="2835"/>
              </w:tabs>
              <w:spacing w:before="40" w:after="40" w:line="220" w:lineRule="exact"/>
              <w:ind w:left="0" w:right="0"/>
              <w:jc w:val="left"/>
              <w:rPr>
                <w:sz w:val="18"/>
                <w:szCs w:val="18"/>
                <w:lang w:val="es-ES_tradnl"/>
              </w:rPr>
            </w:pPr>
            <w:r w:rsidRPr="0017609B">
              <w:rPr>
                <w:sz w:val="18"/>
                <w:szCs w:val="18"/>
                <w:lang w:val="es-ES_tradnl"/>
              </w:rPr>
              <w:t xml:space="preserve">Rural </w:t>
            </w:r>
          </w:p>
        </w:tc>
        <w:tc>
          <w:tcPr>
            <w:tcW w:w="289" w:type="pct"/>
            <w:tcBorders>
              <w:bottom w:val="single" w:sz="12" w:space="0" w:color="auto"/>
            </w:tcBorders>
            <w:shd w:val="clear" w:color="auto" w:fill="auto"/>
            <w:tcMar>
              <w:right w:w="0" w:type="dxa"/>
            </w:tcMar>
            <w:vAlign w:val="bottom"/>
          </w:tcPr>
          <w:p w14:paraId="6619AD5B"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7,1 </w:t>
            </w:r>
          </w:p>
        </w:tc>
        <w:tc>
          <w:tcPr>
            <w:tcW w:w="268" w:type="pct"/>
            <w:tcBorders>
              <w:bottom w:val="single" w:sz="12" w:space="0" w:color="auto"/>
            </w:tcBorders>
            <w:shd w:val="clear" w:color="auto" w:fill="auto"/>
            <w:tcMar>
              <w:right w:w="0" w:type="dxa"/>
            </w:tcMar>
            <w:vAlign w:val="bottom"/>
          </w:tcPr>
          <w:p w14:paraId="021C6018"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6,8 </w:t>
            </w:r>
          </w:p>
        </w:tc>
        <w:tc>
          <w:tcPr>
            <w:tcW w:w="248" w:type="pct"/>
            <w:tcBorders>
              <w:bottom w:val="single" w:sz="12" w:space="0" w:color="auto"/>
            </w:tcBorders>
            <w:shd w:val="clear" w:color="auto" w:fill="auto"/>
            <w:tcMar>
              <w:right w:w="0" w:type="dxa"/>
            </w:tcMar>
            <w:vAlign w:val="bottom"/>
          </w:tcPr>
          <w:p w14:paraId="159F18A4"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294" w:type="pct"/>
            <w:tcBorders>
              <w:bottom w:val="single" w:sz="12" w:space="0" w:color="auto"/>
            </w:tcBorders>
            <w:shd w:val="clear" w:color="auto" w:fill="auto"/>
            <w:tcMar>
              <w:right w:w="0" w:type="dxa"/>
            </w:tcMar>
            <w:vAlign w:val="bottom"/>
          </w:tcPr>
          <w:p w14:paraId="13810D98"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0,1 </w:t>
            </w:r>
          </w:p>
        </w:tc>
        <w:tc>
          <w:tcPr>
            <w:tcW w:w="369" w:type="pct"/>
            <w:tcBorders>
              <w:bottom w:val="single" w:sz="12" w:space="0" w:color="auto"/>
            </w:tcBorders>
            <w:shd w:val="clear" w:color="auto" w:fill="auto"/>
            <w:tcMar>
              <w:right w:w="0" w:type="dxa"/>
            </w:tcMar>
            <w:vAlign w:val="bottom"/>
          </w:tcPr>
          <w:p w14:paraId="58F34BAC"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1,6 </w:t>
            </w:r>
          </w:p>
        </w:tc>
        <w:tc>
          <w:tcPr>
            <w:tcW w:w="369" w:type="pct"/>
            <w:tcBorders>
              <w:bottom w:val="single" w:sz="12" w:space="0" w:color="auto"/>
            </w:tcBorders>
            <w:shd w:val="clear" w:color="auto" w:fill="auto"/>
            <w:tcMar>
              <w:right w:w="0" w:type="dxa"/>
            </w:tcMar>
            <w:vAlign w:val="bottom"/>
          </w:tcPr>
          <w:p w14:paraId="08AADBF5"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3,4 </w:t>
            </w:r>
          </w:p>
        </w:tc>
        <w:tc>
          <w:tcPr>
            <w:tcW w:w="369" w:type="pct"/>
            <w:tcBorders>
              <w:bottom w:val="single" w:sz="12" w:space="0" w:color="auto"/>
            </w:tcBorders>
            <w:shd w:val="clear" w:color="auto" w:fill="auto"/>
            <w:tcMar>
              <w:right w:w="0" w:type="dxa"/>
            </w:tcMar>
            <w:vAlign w:val="bottom"/>
          </w:tcPr>
          <w:p w14:paraId="1DC4EAA5"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1,6 </w:t>
            </w:r>
          </w:p>
        </w:tc>
        <w:tc>
          <w:tcPr>
            <w:tcW w:w="441" w:type="pct"/>
            <w:tcBorders>
              <w:bottom w:val="single" w:sz="12" w:space="0" w:color="auto"/>
            </w:tcBorders>
            <w:shd w:val="clear" w:color="auto" w:fill="auto"/>
            <w:tcMar>
              <w:right w:w="0" w:type="dxa"/>
            </w:tcMar>
            <w:vAlign w:val="bottom"/>
          </w:tcPr>
          <w:p w14:paraId="266A8EF7"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285" w:type="pct"/>
            <w:tcBorders>
              <w:bottom w:val="single" w:sz="12" w:space="0" w:color="auto"/>
            </w:tcBorders>
            <w:shd w:val="clear" w:color="auto" w:fill="auto"/>
            <w:tcMar>
              <w:right w:w="0" w:type="dxa"/>
            </w:tcMar>
            <w:vAlign w:val="bottom"/>
          </w:tcPr>
          <w:p w14:paraId="60FB5718"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257" w:type="pct"/>
            <w:tcBorders>
              <w:bottom w:val="single" w:sz="12" w:space="0" w:color="auto"/>
            </w:tcBorders>
            <w:shd w:val="clear" w:color="auto" w:fill="auto"/>
            <w:tcMar>
              <w:right w:w="0" w:type="dxa"/>
            </w:tcMar>
            <w:vAlign w:val="bottom"/>
          </w:tcPr>
          <w:p w14:paraId="25492ADB"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0,0 </w:t>
            </w:r>
          </w:p>
        </w:tc>
        <w:tc>
          <w:tcPr>
            <w:tcW w:w="268" w:type="pct"/>
            <w:tcBorders>
              <w:bottom w:val="single" w:sz="12" w:space="0" w:color="auto"/>
            </w:tcBorders>
            <w:shd w:val="clear" w:color="auto" w:fill="auto"/>
            <w:tcMar>
              <w:right w:w="0" w:type="dxa"/>
            </w:tcMar>
            <w:vAlign w:val="bottom"/>
          </w:tcPr>
          <w:p w14:paraId="02FDE60F"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0,3 </w:t>
            </w:r>
          </w:p>
        </w:tc>
        <w:tc>
          <w:tcPr>
            <w:tcW w:w="295" w:type="pct"/>
            <w:tcBorders>
              <w:bottom w:val="single" w:sz="12" w:space="0" w:color="auto"/>
            </w:tcBorders>
            <w:shd w:val="clear" w:color="auto" w:fill="auto"/>
            <w:tcMar>
              <w:right w:w="0" w:type="dxa"/>
            </w:tcMar>
            <w:vAlign w:val="bottom"/>
          </w:tcPr>
          <w:p w14:paraId="616F8066"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0,1 </w:t>
            </w:r>
          </w:p>
        </w:tc>
        <w:tc>
          <w:tcPr>
            <w:tcW w:w="225" w:type="pct"/>
            <w:tcBorders>
              <w:bottom w:val="single" w:sz="12" w:space="0" w:color="auto"/>
            </w:tcBorders>
            <w:shd w:val="clear" w:color="auto" w:fill="auto"/>
            <w:tcMar>
              <w:right w:w="0" w:type="dxa"/>
            </w:tcMar>
            <w:vAlign w:val="bottom"/>
          </w:tcPr>
          <w:p w14:paraId="0D9DB6AE"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0,3 </w:t>
            </w:r>
          </w:p>
        </w:tc>
        <w:tc>
          <w:tcPr>
            <w:tcW w:w="205" w:type="pct"/>
            <w:tcBorders>
              <w:bottom w:val="single" w:sz="12" w:space="0" w:color="auto"/>
            </w:tcBorders>
            <w:shd w:val="clear" w:color="auto" w:fill="auto"/>
            <w:tcMar>
              <w:right w:w="0" w:type="dxa"/>
            </w:tcMar>
            <w:vAlign w:val="bottom"/>
          </w:tcPr>
          <w:p w14:paraId="7675F1B9"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 xml:space="preserve">92,9 </w:t>
            </w:r>
          </w:p>
        </w:tc>
        <w:tc>
          <w:tcPr>
            <w:tcW w:w="260" w:type="pct"/>
            <w:tcBorders>
              <w:bottom w:val="single" w:sz="12" w:space="0" w:color="auto"/>
            </w:tcBorders>
            <w:shd w:val="clear" w:color="auto" w:fill="auto"/>
            <w:tcMar>
              <w:right w:w="0" w:type="dxa"/>
            </w:tcMar>
            <w:vAlign w:val="bottom"/>
          </w:tcPr>
          <w:p w14:paraId="25C72F1C" w14:textId="77777777"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100,0</w:t>
            </w:r>
          </w:p>
        </w:tc>
        <w:tc>
          <w:tcPr>
            <w:tcW w:w="259" w:type="pct"/>
            <w:tcBorders>
              <w:bottom w:val="single" w:sz="12" w:space="0" w:color="auto"/>
            </w:tcBorders>
            <w:shd w:val="clear" w:color="auto" w:fill="auto"/>
            <w:tcMar>
              <w:right w:w="29" w:type="dxa"/>
            </w:tcMar>
            <w:vAlign w:val="bottom"/>
          </w:tcPr>
          <w:p w14:paraId="65670409" w14:textId="016C0820" w:rsidR="0017609B" w:rsidRPr="0017609B" w:rsidRDefault="0017609B" w:rsidP="00FA7071">
            <w:pPr>
              <w:pStyle w:val="SingleTxtG"/>
              <w:tabs>
                <w:tab w:val="clear" w:pos="1701"/>
                <w:tab w:val="clear" w:pos="2268"/>
                <w:tab w:val="clear" w:pos="2835"/>
              </w:tabs>
              <w:spacing w:before="40" w:after="40" w:line="220" w:lineRule="exact"/>
              <w:ind w:left="0" w:right="0"/>
              <w:jc w:val="right"/>
              <w:rPr>
                <w:sz w:val="18"/>
                <w:szCs w:val="18"/>
                <w:lang w:val="es-ES_tradnl"/>
              </w:rPr>
            </w:pPr>
            <w:r w:rsidRPr="0017609B">
              <w:rPr>
                <w:sz w:val="18"/>
                <w:szCs w:val="18"/>
                <w:lang w:val="es-ES_tradnl"/>
              </w:rPr>
              <w:t>6</w:t>
            </w:r>
            <w:r w:rsidR="008F7CDF" w:rsidRPr="00744130">
              <w:rPr>
                <w:sz w:val="18"/>
                <w:szCs w:val="18"/>
                <w:lang w:val="es-ES_tradnl"/>
              </w:rPr>
              <w:t xml:space="preserve"> </w:t>
            </w:r>
            <w:r w:rsidRPr="0017609B">
              <w:rPr>
                <w:sz w:val="18"/>
                <w:szCs w:val="18"/>
                <w:lang w:val="es-ES_tradnl"/>
              </w:rPr>
              <w:t xml:space="preserve">995 </w:t>
            </w:r>
          </w:p>
        </w:tc>
      </w:tr>
    </w:tbl>
    <w:p w14:paraId="34E93497" w14:textId="77777777" w:rsidR="0017609B" w:rsidRPr="0017609B" w:rsidRDefault="0017609B" w:rsidP="00DC67C2">
      <w:pPr>
        <w:pStyle w:val="SingleTxtG"/>
        <w:spacing w:before="120" w:after="240"/>
        <w:ind w:left="0" w:firstLine="170"/>
        <w:jc w:val="left"/>
        <w:rPr>
          <w:sz w:val="18"/>
          <w:szCs w:val="18"/>
          <w:lang w:val="fr-FR"/>
        </w:rPr>
      </w:pPr>
      <w:r w:rsidRPr="0017609B">
        <w:rPr>
          <w:i/>
          <w:sz w:val="18"/>
          <w:szCs w:val="18"/>
          <w:lang w:val="fr-FR"/>
        </w:rPr>
        <w:t>Fuente:</w:t>
      </w:r>
      <w:r w:rsidRPr="0017609B">
        <w:rPr>
          <w:sz w:val="18"/>
          <w:szCs w:val="18"/>
          <w:lang w:val="fr-FR"/>
        </w:rPr>
        <w:t xml:space="preserve"> </w:t>
      </w:r>
      <w:proofErr w:type="spellStart"/>
      <w:r w:rsidRPr="0017609B">
        <w:rPr>
          <w:sz w:val="18"/>
          <w:szCs w:val="18"/>
          <w:lang w:val="fr-FR"/>
        </w:rPr>
        <w:t>EDSM</w:t>
      </w:r>
      <w:proofErr w:type="spellEnd"/>
      <w:r w:rsidRPr="0017609B">
        <w:rPr>
          <w:sz w:val="18"/>
          <w:szCs w:val="18"/>
          <w:lang w:val="fr-FR"/>
        </w:rPr>
        <w:t xml:space="preserve"> V.</w:t>
      </w:r>
    </w:p>
    <w:p w14:paraId="719365A9" w14:textId="77777777" w:rsidR="0017609B" w:rsidRPr="0017609B" w:rsidRDefault="0017609B" w:rsidP="0017609B">
      <w:pPr>
        <w:pStyle w:val="SingleTxtG"/>
        <w:rPr>
          <w:b/>
          <w:bCs/>
          <w:lang w:val="es-ES_tradnl"/>
        </w:rPr>
      </w:pPr>
      <w:r w:rsidRPr="0017609B">
        <w:rPr>
          <w:lang w:val="es-ES_tradnl"/>
        </w:rPr>
        <w:t>130.</w:t>
      </w:r>
      <w:r w:rsidRPr="0017609B">
        <w:rPr>
          <w:lang w:val="es-ES_tradnl"/>
        </w:rPr>
        <w:tab/>
        <w:t xml:space="preserve">El uso de métodos de control de la natalidad por parte de las mujeres de 15 a 49 años en unión no es muy elevado: el 10,3 % declaró que utilizaba algún tipo de método anticonceptivo en el momento en que se realizó la encuesta; la mayoría utilizaba un método moderno (9,9 % frente al 0,5 % de métodos tradicionales). La tendencia ha ido en aumento desde que se elaboró la </w:t>
      </w:r>
      <w:proofErr w:type="spellStart"/>
      <w:r w:rsidRPr="0017609B">
        <w:rPr>
          <w:lang w:val="es-ES_tradnl"/>
        </w:rPr>
        <w:t>EDSM</w:t>
      </w:r>
      <w:proofErr w:type="spellEnd"/>
      <w:r w:rsidRPr="0017609B">
        <w:rPr>
          <w:lang w:val="es-ES_tradnl"/>
        </w:rPr>
        <w:t xml:space="preserve"> IV, en 2006, pasando del 6,9 % en ese año al 9,9 % en la encuesta más reciente. </w:t>
      </w:r>
      <w:bookmarkStart w:id="250" w:name="_Toc414372958"/>
      <w:bookmarkStart w:id="251" w:name="_Toc414373187"/>
      <w:bookmarkStart w:id="252" w:name="_Toc414377683"/>
      <w:bookmarkStart w:id="253" w:name="_Toc35441113"/>
    </w:p>
    <w:p w14:paraId="3EAFF84F" w14:textId="04DC068F" w:rsidR="0017609B" w:rsidRPr="0017609B" w:rsidRDefault="00411636" w:rsidP="00411636">
      <w:pPr>
        <w:pStyle w:val="H56G"/>
        <w:rPr>
          <w:lang w:val="es-ES_tradnl"/>
        </w:rPr>
      </w:pPr>
      <w:r>
        <w:rPr>
          <w:lang w:val="es-ES_tradnl"/>
        </w:rPr>
        <w:tab/>
      </w:r>
      <w:r w:rsidR="0017609B" w:rsidRPr="0017609B">
        <w:rPr>
          <w:lang w:val="es-ES_tradnl"/>
        </w:rPr>
        <w:tab/>
        <w:t>Toxicomanía y alcoholismo entre los adolescentes</w:t>
      </w:r>
      <w:bookmarkEnd w:id="250"/>
      <w:bookmarkEnd w:id="251"/>
      <w:bookmarkEnd w:id="252"/>
      <w:bookmarkEnd w:id="253"/>
    </w:p>
    <w:p w14:paraId="7FD5C889" w14:textId="77777777" w:rsidR="0017609B" w:rsidRPr="0017609B" w:rsidRDefault="0017609B" w:rsidP="0017609B">
      <w:pPr>
        <w:pStyle w:val="SingleTxtG"/>
        <w:rPr>
          <w:bCs/>
          <w:lang w:val="es-ES_tradnl"/>
        </w:rPr>
      </w:pPr>
      <w:r w:rsidRPr="0017609B">
        <w:rPr>
          <w:lang w:val="es-ES_tradnl"/>
        </w:rPr>
        <w:t>131.</w:t>
      </w:r>
      <w:r w:rsidRPr="0017609B">
        <w:rPr>
          <w:lang w:val="es-ES_tradnl"/>
        </w:rPr>
        <w:tab/>
        <w:t xml:space="preserve">El estudio sobre el consumo excesivo de drogas y alcohol entre los adolescentes de Malí elaborado en 2010 revela que más de uno de cada cinco niños consume uno de los siguientes productos: alcohol, tabaco, cannabis y derivados del cannabis, medicamentos psicoactivos, estimulantes, alucinógenos o sustancias psicodélicas. También muestra que los adolescentes empiezan a consumir estas sustancias a una edad muy temprana (13 años en el caso de los niños y 12 en el de las niñas). La dependencia se inicia a los 14 o 15 años. </w:t>
      </w:r>
    </w:p>
    <w:p w14:paraId="477B27CE" w14:textId="77777777" w:rsidR="0017609B" w:rsidRPr="0017609B" w:rsidRDefault="0017609B" w:rsidP="0017609B">
      <w:pPr>
        <w:pStyle w:val="SingleTxtG"/>
        <w:rPr>
          <w:bCs/>
          <w:lang w:val="es-ES_tradnl"/>
        </w:rPr>
      </w:pPr>
      <w:r w:rsidRPr="0017609B">
        <w:rPr>
          <w:lang w:val="es-ES_tradnl"/>
        </w:rPr>
        <w:t>132.</w:t>
      </w:r>
      <w:r w:rsidRPr="0017609B">
        <w:rPr>
          <w:lang w:val="es-ES_tradnl"/>
        </w:rPr>
        <w:tab/>
        <w:t xml:space="preserve">La encuesta indica que el fenómeno se observa sobre todo en los lugares de reunión (escuelas, centros o grupos de niños del barrio). </w:t>
      </w:r>
    </w:p>
    <w:p w14:paraId="5AB2E360" w14:textId="4E141523" w:rsidR="0017609B" w:rsidRPr="0017609B" w:rsidRDefault="00411636" w:rsidP="00411636">
      <w:pPr>
        <w:pStyle w:val="H4G"/>
        <w:rPr>
          <w:lang w:val="es-ES_tradnl"/>
        </w:rPr>
      </w:pPr>
      <w:bookmarkStart w:id="254" w:name="_Toc414372959"/>
      <w:bookmarkStart w:id="255" w:name="_Toc414373188"/>
      <w:bookmarkStart w:id="256" w:name="_Toc414377684"/>
      <w:bookmarkStart w:id="257" w:name="_Toc35441114"/>
      <w:r>
        <w:rPr>
          <w:lang w:val="es-ES_tradnl"/>
        </w:rPr>
        <w:tab/>
      </w:r>
      <w:r w:rsidR="0017609B" w:rsidRPr="0017609B">
        <w:rPr>
          <w:lang w:val="es-ES_tradnl"/>
        </w:rPr>
        <w:t>6.1.7</w:t>
      </w:r>
      <w:r w:rsidR="0017609B" w:rsidRPr="0017609B">
        <w:rPr>
          <w:lang w:val="es-ES_tradnl"/>
        </w:rPr>
        <w:tab/>
        <w:t>Atención de los niños con discapacidad</w:t>
      </w:r>
      <w:bookmarkEnd w:id="254"/>
      <w:bookmarkEnd w:id="255"/>
      <w:bookmarkEnd w:id="256"/>
      <w:bookmarkEnd w:id="257"/>
    </w:p>
    <w:p w14:paraId="1BC9B60A" w14:textId="77777777" w:rsidR="0017609B" w:rsidRPr="0017609B" w:rsidRDefault="0017609B" w:rsidP="0017609B">
      <w:pPr>
        <w:pStyle w:val="SingleTxtG"/>
        <w:rPr>
          <w:lang w:val="es-ES_tradnl"/>
        </w:rPr>
      </w:pPr>
      <w:r w:rsidRPr="0017609B">
        <w:rPr>
          <w:lang w:val="es-ES_tradnl"/>
        </w:rPr>
        <w:t>133.</w:t>
      </w:r>
      <w:r w:rsidRPr="0017609B">
        <w:rPr>
          <w:lang w:val="es-ES_tradnl"/>
        </w:rPr>
        <w:tab/>
        <w:t>Los datos disponibles ponen de manifiesto que, a pesar de las importantes intervenciones que se han llevado a cabo en todo el país, el número de beneficiarios es bastante bajo, especialmente en lo que se refiere a los programas dirigidos a los niños.</w:t>
      </w:r>
    </w:p>
    <w:p w14:paraId="24596125" w14:textId="09BC9BEC" w:rsidR="0017609B" w:rsidRPr="0017609B" w:rsidRDefault="0017609B" w:rsidP="00744130">
      <w:pPr>
        <w:pStyle w:val="SingleTxtG"/>
        <w:keepNext/>
        <w:jc w:val="left"/>
        <w:rPr>
          <w:b/>
          <w:lang w:val="es-ES_tradnl"/>
        </w:rPr>
      </w:pPr>
      <w:bookmarkStart w:id="258" w:name="_Toc386807842"/>
      <w:bookmarkStart w:id="259" w:name="_Toc414372960"/>
      <w:bookmarkStart w:id="260" w:name="_Toc414373189"/>
      <w:bookmarkStart w:id="261" w:name="_Toc414377685"/>
      <w:r w:rsidRPr="0017609B">
        <w:rPr>
          <w:lang w:val="es-ES_tradnl"/>
        </w:rPr>
        <w:lastRenderedPageBreak/>
        <w:t>Cuadro 8</w:t>
      </w:r>
      <w:r w:rsidRPr="0017609B">
        <w:rPr>
          <w:b/>
          <w:bCs/>
          <w:lang w:val="es-ES_tradnl"/>
        </w:rPr>
        <w:t xml:space="preserve"> </w:t>
      </w:r>
      <w:r w:rsidRPr="0017609B">
        <w:rPr>
          <w:b/>
          <w:bCs/>
          <w:lang w:val="es-ES_tradnl"/>
        </w:rPr>
        <w:br/>
        <w:t>Situación de la atención de los niños con discapacidad en 2005 y 2012</w:t>
      </w:r>
      <w:bookmarkEnd w:id="258"/>
      <w:bookmarkEnd w:id="259"/>
      <w:bookmarkEnd w:id="260"/>
      <w:bookmarkEnd w:id="261"/>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745"/>
        <w:gridCol w:w="2333"/>
        <w:gridCol w:w="2292"/>
      </w:tblGrid>
      <w:tr w:rsidR="00411636" w:rsidRPr="00411636" w14:paraId="3F28BC8A" w14:textId="77777777" w:rsidTr="00411636">
        <w:trPr>
          <w:trHeight w:val="240"/>
          <w:tblHeader/>
        </w:trPr>
        <w:tc>
          <w:tcPr>
            <w:tcW w:w="1862" w:type="pct"/>
            <w:vMerge w:val="restart"/>
            <w:tcBorders>
              <w:top w:val="single" w:sz="4" w:space="0" w:color="auto"/>
              <w:bottom w:val="single" w:sz="12" w:space="0" w:color="auto"/>
            </w:tcBorders>
            <w:shd w:val="clear" w:color="auto" w:fill="auto"/>
            <w:vAlign w:val="bottom"/>
          </w:tcPr>
          <w:p w14:paraId="13F0952C" w14:textId="77777777" w:rsidR="0017609B" w:rsidRPr="0017609B" w:rsidRDefault="0017609B" w:rsidP="00744130">
            <w:pPr>
              <w:pStyle w:val="SingleTxtG"/>
              <w:keepNext/>
              <w:tabs>
                <w:tab w:val="clear" w:pos="1701"/>
                <w:tab w:val="clear" w:pos="2268"/>
                <w:tab w:val="clear" w:pos="2835"/>
              </w:tabs>
              <w:spacing w:before="80" w:after="80" w:line="200" w:lineRule="exact"/>
              <w:ind w:left="0" w:right="0"/>
              <w:jc w:val="left"/>
              <w:rPr>
                <w:i/>
                <w:sz w:val="16"/>
                <w:lang w:val="es-ES_tradnl"/>
              </w:rPr>
            </w:pPr>
            <w:bookmarkStart w:id="262" w:name="_Toc414372961"/>
            <w:bookmarkStart w:id="263" w:name="_Toc414373190"/>
            <w:bookmarkStart w:id="264" w:name="_Toc414377686"/>
            <w:r w:rsidRPr="0017609B">
              <w:rPr>
                <w:i/>
                <w:iCs/>
                <w:sz w:val="16"/>
                <w:lang w:val="es-ES_tradnl"/>
              </w:rPr>
              <w:t>Designación</w:t>
            </w:r>
            <w:r w:rsidRPr="0017609B">
              <w:rPr>
                <w:i/>
                <w:sz w:val="16"/>
                <w:lang w:val="es-ES_tradnl"/>
              </w:rPr>
              <w:t xml:space="preserve"> </w:t>
            </w:r>
            <w:bookmarkEnd w:id="262"/>
            <w:bookmarkEnd w:id="263"/>
            <w:bookmarkEnd w:id="264"/>
          </w:p>
        </w:tc>
        <w:tc>
          <w:tcPr>
            <w:tcW w:w="3138" w:type="pct"/>
            <w:gridSpan w:val="2"/>
            <w:tcBorders>
              <w:top w:val="single" w:sz="4" w:space="0" w:color="auto"/>
              <w:bottom w:val="single" w:sz="4" w:space="0" w:color="auto"/>
            </w:tcBorders>
            <w:shd w:val="clear" w:color="auto" w:fill="auto"/>
            <w:vAlign w:val="bottom"/>
          </w:tcPr>
          <w:p w14:paraId="0F976C77" w14:textId="77777777" w:rsidR="0017609B" w:rsidRPr="0017609B" w:rsidRDefault="0017609B" w:rsidP="00744130">
            <w:pPr>
              <w:pStyle w:val="SingleTxtG"/>
              <w:keepNext/>
              <w:tabs>
                <w:tab w:val="clear" w:pos="1701"/>
                <w:tab w:val="clear" w:pos="2268"/>
                <w:tab w:val="clear" w:pos="2835"/>
              </w:tabs>
              <w:spacing w:before="80" w:after="80" w:line="200" w:lineRule="exact"/>
              <w:ind w:left="113" w:right="0"/>
              <w:jc w:val="center"/>
              <w:rPr>
                <w:i/>
                <w:sz w:val="16"/>
                <w:lang w:val="es-ES_tradnl"/>
              </w:rPr>
            </w:pPr>
            <w:bookmarkStart w:id="265" w:name="_Toc414372962"/>
            <w:bookmarkStart w:id="266" w:name="_Toc414373191"/>
            <w:bookmarkStart w:id="267" w:name="_Toc414377687"/>
            <w:r w:rsidRPr="0017609B">
              <w:rPr>
                <w:i/>
                <w:iCs/>
                <w:sz w:val="16"/>
                <w:lang w:val="es-ES_tradnl"/>
              </w:rPr>
              <w:t>Años</w:t>
            </w:r>
            <w:bookmarkEnd w:id="265"/>
            <w:bookmarkEnd w:id="266"/>
            <w:bookmarkEnd w:id="267"/>
          </w:p>
        </w:tc>
      </w:tr>
      <w:tr w:rsidR="00411636" w:rsidRPr="0017609B" w14:paraId="2E660640" w14:textId="77777777" w:rsidTr="00701F23">
        <w:trPr>
          <w:trHeight w:val="240"/>
          <w:tblHeader/>
        </w:trPr>
        <w:tc>
          <w:tcPr>
            <w:tcW w:w="1862" w:type="pct"/>
            <w:vMerge/>
            <w:tcBorders>
              <w:top w:val="single" w:sz="12" w:space="0" w:color="auto"/>
              <w:bottom w:val="single" w:sz="12" w:space="0" w:color="auto"/>
            </w:tcBorders>
            <w:shd w:val="clear" w:color="auto" w:fill="auto"/>
            <w:vAlign w:val="bottom"/>
          </w:tcPr>
          <w:p w14:paraId="18D5D386" w14:textId="77777777" w:rsidR="0017609B" w:rsidRPr="0017609B" w:rsidRDefault="0017609B" w:rsidP="00744130">
            <w:pPr>
              <w:pStyle w:val="SingleTxtG"/>
              <w:keepNext/>
              <w:tabs>
                <w:tab w:val="clear" w:pos="1701"/>
                <w:tab w:val="clear" w:pos="2268"/>
                <w:tab w:val="clear" w:pos="2835"/>
              </w:tabs>
              <w:spacing w:before="40" w:after="40" w:line="220" w:lineRule="exact"/>
              <w:ind w:left="0" w:right="0"/>
              <w:jc w:val="left"/>
              <w:rPr>
                <w:sz w:val="18"/>
                <w:lang w:val="es-ES_tradnl"/>
              </w:rPr>
            </w:pPr>
          </w:p>
        </w:tc>
        <w:tc>
          <w:tcPr>
            <w:tcW w:w="1583" w:type="pct"/>
            <w:tcBorders>
              <w:top w:val="single" w:sz="4" w:space="0" w:color="auto"/>
              <w:bottom w:val="single" w:sz="12" w:space="0" w:color="auto"/>
            </w:tcBorders>
            <w:shd w:val="clear" w:color="auto" w:fill="auto"/>
            <w:vAlign w:val="bottom"/>
          </w:tcPr>
          <w:p w14:paraId="5E2089E7" w14:textId="77777777" w:rsidR="0017609B" w:rsidRPr="0017609B" w:rsidRDefault="0017609B" w:rsidP="00744130">
            <w:pPr>
              <w:pStyle w:val="SingleTxtG"/>
              <w:keepNext/>
              <w:tabs>
                <w:tab w:val="clear" w:pos="1701"/>
                <w:tab w:val="clear" w:pos="2268"/>
                <w:tab w:val="clear" w:pos="2835"/>
              </w:tabs>
              <w:spacing w:before="80" w:after="80" w:line="200" w:lineRule="exact"/>
              <w:ind w:left="113" w:right="0"/>
              <w:jc w:val="right"/>
              <w:rPr>
                <w:i/>
                <w:iCs/>
                <w:sz w:val="16"/>
                <w:lang w:val="es-ES_tradnl"/>
              </w:rPr>
            </w:pPr>
            <w:bookmarkStart w:id="268" w:name="_Toc414372963"/>
            <w:bookmarkStart w:id="269" w:name="_Toc414373192"/>
            <w:bookmarkStart w:id="270" w:name="_Toc414377688"/>
            <w:r w:rsidRPr="0017609B">
              <w:rPr>
                <w:i/>
                <w:iCs/>
                <w:sz w:val="16"/>
                <w:lang w:val="es-ES_tradnl"/>
              </w:rPr>
              <w:t>2005</w:t>
            </w:r>
            <w:bookmarkEnd w:id="268"/>
            <w:bookmarkEnd w:id="269"/>
            <w:bookmarkEnd w:id="270"/>
          </w:p>
        </w:tc>
        <w:tc>
          <w:tcPr>
            <w:tcW w:w="1556" w:type="pct"/>
            <w:tcBorders>
              <w:top w:val="single" w:sz="4" w:space="0" w:color="auto"/>
              <w:bottom w:val="single" w:sz="12" w:space="0" w:color="auto"/>
            </w:tcBorders>
            <w:shd w:val="clear" w:color="auto" w:fill="auto"/>
            <w:vAlign w:val="bottom"/>
          </w:tcPr>
          <w:p w14:paraId="21575509" w14:textId="77777777" w:rsidR="0017609B" w:rsidRPr="0017609B" w:rsidRDefault="0017609B" w:rsidP="00744130">
            <w:pPr>
              <w:pStyle w:val="SingleTxtG"/>
              <w:keepNext/>
              <w:tabs>
                <w:tab w:val="clear" w:pos="1701"/>
                <w:tab w:val="clear" w:pos="2268"/>
                <w:tab w:val="clear" w:pos="2835"/>
              </w:tabs>
              <w:spacing w:before="80" w:after="80" w:line="200" w:lineRule="exact"/>
              <w:ind w:left="113" w:right="0"/>
              <w:jc w:val="right"/>
              <w:rPr>
                <w:i/>
                <w:iCs/>
                <w:sz w:val="16"/>
                <w:lang w:val="es-ES_tradnl"/>
              </w:rPr>
            </w:pPr>
            <w:bookmarkStart w:id="271" w:name="_Toc414372964"/>
            <w:bookmarkStart w:id="272" w:name="_Toc414373193"/>
            <w:bookmarkStart w:id="273" w:name="_Toc414377689"/>
            <w:r w:rsidRPr="0017609B">
              <w:rPr>
                <w:i/>
                <w:iCs/>
                <w:sz w:val="16"/>
                <w:lang w:val="es-ES_tradnl"/>
              </w:rPr>
              <w:t>2012</w:t>
            </w:r>
            <w:bookmarkEnd w:id="271"/>
            <w:bookmarkEnd w:id="272"/>
            <w:bookmarkEnd w:id="273"/>
          </w:p>
        </w:tc>
      </w:tr>
      <w:tr w:rsidR="00411636" w:rsidRPr="0017609B" w14:paraId="7B065A5D" w14:textId="77777777" w:rsidTr="00701F23">
        <w:trPr>
          <w:trHeight w:val="240"/>
        </w:trPr>
        <w:tc>
          <w:tcPr>
            <w:tcW w:w="1862" w:type="pct"/>
            <w:tcBorders>
              <w:top w:val="single" w:sz="12" w:space="0" w:color="auto"/>
            </w:tcBorders>
            <w:shd w:val="clear" w:color="auto" w:fill="auto"/>
          </w:tcPr>
          <w:p w14:paraId="1B0A7FC6" w14:textId="77777777" w:rsidR="0017609B" w:rsidRPr="0017609B" w:rsidRDefault="0017609B" w:rsidP="00744130">
            <w:pPr>
              <w:pStyle w:val="SingleTxtG"/>
              <w:keepNext/>
              <w:tabs>
                <w:tab w:val="clear" w:pos="1701"/>
                <w:tab w:val="clear" w:pos="2268"/>
                <w:tab w:val="clear" w:pos="2835"/>
              </w:tabs>
              <w:spacing w:before="40" w:after="40" w:line="220" w:lineRule="exact"/>
              <w:ind w:left="0" w:right="0"/>
              <w:jc w:val="left"/>
              <w:rPr>
                <w:sz w:val="18"/>
                <w:lang w:val="es-ES_tradnl"/>
              </w:rPr>
            </w:pPr>
            <w:bookmarkStart w:id="274" w:name="_Toc414372965"/>
            <w:bookmarkStart w:id="275" w:name="_Toc414373194"/>
            <w:bookmarkStart w:id="276" w:name="_Toc414377690"/>
            <w:r w:rsidRPr="0017609B">
              <w:rPr>
                <w:sz w:val="18"/>
                <w:lang w:val="es-ES_tradnl"/>
              </w:rPr>
              <w:t>Número de registrados</w:t>
            </w:r>
            <w:bookmarkEnd w:id="274"/>
            <w:bookmarkEnd w:id="275"/>
            <w:bookmarkEnd w:id="276"/>
          </w:p>
        </w:tc>
        <w:tc>
          <w:tcPr>
            <w:tcW w:w="1583" w:type="pct"/>
            <w:tcBorders>
              <w:top w:val="single" w:sz="12" w:space="0" w:color="auto"/>
            </w:tcBorders>
            <w:shd w:val="clear" w:color="auto" w:fill="auto"/>
            <w:vAlign w:val="bottom"/>
          </w:tcPr>
          <w:p w14:paraId="7CD47D15" w14:textId="1574FF21" w:rsidR="0017609B" w:rsidRPr="0017609B" w:rsidRDefault="0017609B" w:rsidP="00744130">
            <w:pPr>
              <w:pStyle w:val="SingleTxtG"/>
              <w:keepNext/>
              <w:tabs>
                <w:tab w:val="clear" w:pos="1701"/>
                <w:tab w:val="clear" w:pos="2268"/>
                <w:tab w:val="clear" w:pos="2835"/>
              </w:tabs>
              <w:spacing w:before="40" w:after="40" w:line="220" w:lineRule="exact"/>
              <w:ind w:left="113" w:right="0"/>
              <w:jc w:val="right"/>
              <w:rPr>
                <w:sz w:val="18"/>
                <w:lang w:val="es-ES_tradnl"/>
              </w:rPr>
            </w:pPr>
            <w:bookmarkStart w:id="277" w:name="_Toc414372966"/>
            <w:bookmarkStart w:id="278" w:name="_Toc414373195"/>
            <w:bookmarkStart w:id="279" w:name="_Toc414377691"/>
            <w:r w:rsidRPr="0017609B">
              <w:rPr>
                <w:sz w:val="18"/>
                <w:lang w:val="es-ES_tradnl"/>
              </w:rPr>
              <w:t>13</w:t>
            </w:r>
            <w:r w:rsidR="00744130">
              <w:rPr>
                <w:sz w:val="18"/>
                <w:lang w:val="es-ES_tradnl"/>
              </w:rPr>
              <w:t xml:space="preserve"> </w:t>
            </w:r>
            <w:r w:rsidRPr="0017609B">
              <w:rPr>
                <w:sz w:val="18"/>
                <w:lang w:val="es-ES_tradnl"/>
              </w:rPr>
              <w:t>330</w:t>
            </w:r>
            <w:bookmarkEnd w:id="277"/>
            <w:bookmarkEnd w:id="278"/>
            <w:bookmarkEnd w:id="279"/>
          </w:p>
        </w:tc>
        <w:tc>
          <w:tcPr>
            <w:tcW w:w="1556" w:type="pct"/>
            <w:tcBorders>
              <w:top w:val="single" w:sz="12" w:space="0" w:color="auto"/>
            </w:tcBorders>
            <w:shd w:val="clear" w:color="auto" w:fill="auto"/>
            <w:vAlign w:val="bottom"/>
          </w:tcPr>
          <w:p w14:paraId="7ECF8AA2" w14:textId="0B60D52C" w:rsidR="0017609B" w:rsidRPr="0017609B" w:rsidRDefault="0017609B" w:rsidP="00744130">
            <w:pPr>
              <w:pStyle w:val="SingleTxtG"/>
              <w:keepNext/>
              <w:tabs>
                <w:tab w:val="clear" w:pos="1701"/>
                <w:tab w:val="clear" w:pos="2268"/>
                <w:tab w:val="clear" w:pos="2835"/>
              </w:tabs>
              <w:spacing w:before="40" w:after="40" w:line="220" w:lineRule="exact"/>
              <w:ind w:left="113" w:right="0"/>
              <w:jc w:val="right"/>
              <w:rPr>
                <w:sz w:val="18"/>
                <w:lang w:val="es-ES_tradnl"/>
              </w:rPr>
            </w:pPr>
            <w:bookmarkStart w:id="280" w:name="_Toc414372967"/>
            <w:bookmarkStart w:id="281" w:name="_Toc414373196"/>
            <w:bookmarkStart w:id="282" w:name="_Toc414377692"/>
            <w:r w:rsidRPr="0017609B">
              <w:rPr>
                <w:sz w:val="18"/>
                <w:lang w:val="es-ES_tradnl"/>
              </w:rPr>
              <w:t>1</w:t>
            </w:r>
            <w:r w:rsidR="00744130">
              <w:rPr>
                <w:sz w:val="18"/>
                <w:lang w:val="es-ES_tradnl"/>
              </w:rPr>
              <w:t xml:space="preserve"> </w:t>
            </w:r>
            <w:r w:rsidRPr="0017609B">
              <w:rPr>
                <w:sz w:val="18"/>
                <w:lang w:val="es-ES_tradnl"/>
              </w:rPr>
              <w:t>842</w:t>
            </w:r>
            <w:bookmarkEnd w:id="280"/>
            <w:bookmarkEnd w:id="281"/>
            <w:bookmarkEnd w:id="282"/>
          </w:p>
        </w:tc>
      </w:tr>
      <w:tr w:rsidR="00411636" w:rsidRPr="0017609B" w14:paraId="7C028AE5" w14:textId="77777777" w:rsidTr="00411636">
        <w:trPr>
          <w:trHeight w:val="240"/>
        </w:trPr>
        <w:tc>
          <w:tcPr>
            <w:tcW w:w="1862" w:type="pct"/>
            <w:shd w:val="clear" w:color="auto" w:fill="auto"/>
          </w:tcPr>
          <w:p w14:paraId="3DC5A92E" w14:textId="77777777" w:rsidR="0017609B" w:rsidRPr="0017609B" w:rsidRDefault="0017609B" w:rsidP="00411636">
            <w:pPr>
              <w:pStyle w:val="SingleTxtG"/>
              <w:tabs>
                <w:tab w:val="clear" w:pos="1701"/>
                <w:tab w:val="clear" w:pos="2268"/>
                <w:tab w:val="clear" w:pos="2835"/>
              </w:tabs>
              <w:spacing w:before="40" w:after="40" w:line="220" w:lineRule="exact"/>
              <w:ind w:left="0" w:right="0"/>
              <w:jc w:val="left"/>
              <w:rPr>
                <w:sz w:val="18"/>
                <w:lang w:val="es-ES_tradnl"/>
              </w:rPr>
            </w:pPr>
            <w:bookmarkStart w:id="283" w:name="_Toc414372968"/>
            <w:bookmarkStart w:id="284" w:name="_Toc414373197"/>
            <w:bookmarkStart w:id="285" w:name="_Toc414377693"/>
            <w:r w:rsidRPr="0017609B">
              <w:rPr>
                <w:sz w:val="18"/>
                <w:lang w:val="es-ES_tradnl"/>
              </w:rPr>
              <w:t>Número de escolarizados</w:t>
            </w:r>
            <w:bookmarkEnd w:id="283"/>
            <w:bookmarkEnd w:id="284"/>
            <w:bookmarkEnd w:id="285"/>
          </w:p>
        </w:tc>
        <w:tc>
          <w:tcPr>
            <w:tcW w:w="1583" w:type="pct"/>
            <w:shd w:val="clear" w:color="auto" w:fill="auto"/>
            <w:vAlign w:val="bottom"/>
          </w:tcPr>
          <w:p w14:paraId="62F82C3D" w14:textId="446C5760"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bookmarkStart w:id="286" w:name="_Toc414372969"/>
            <w:bookmarkStart w:id="287" w:name="_Toc414373198"/>
            <w:bookmarkStart w:id="288" w:name="_Toc414377694"/>
            <w:r w:rsidRPr="0017609B">
              <w:rPr>
                <w:sz w:val="18"/>
                <w:lang w:val="es-ES_tradnl"/>
              </w:rPr>
              <w:t>3</w:t>
            </w:r>
            <w:r w:rsidR="00744130">
              <w:rPr>
                <w:sz w:val="18"/>
                <w:lang w:val="es-ES_tradnl"/>
              </w:rPr>
              <w:t xml:space="preserve"> </w:t>
            </w:r>
            <w:r w:rsidRPr="0017609B">
              <w:rPr>
                <w:sz w:val="18"/>
                <w:lang w:val="es-ES_tradnl"/>
              </w:rPr>
              <w:t>818</w:t>
            </w:r>
            <w:bookmarkEnd w:id="286"/>
            <w:bookmarkEnd w:id="287"/>
            <w:bookmarkEnd w:id="288"/>
          </w:p>
        </w:tc>
        <w:tc>
          <w:tcPr>
            <w:tcW w:w="1556" w:type="pct"/>
            <w:shd w:val="clear" w:color="auto" w:fill="auto"/>
            <w:vAlign w:val="bottom"/>
          </w:tcPr>
          <w:p w14:paraId="65C61AE4"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bookmarkStart w:id="289" w:name="_Toc414372970"/>
            <w:bookmarkStart w:id="290" w:name="_Toc414373199"/>
            <w:bookmarkStart w:id="291" w:name="_Toc414377695"/>
            <w:r w:rsidRPr="0017609B">
              <w:rPr>
                <w:sz w:val="18"/>
                <w:lang w:val="es-ES_tradnl"/>
              </w:rPr>
              <w:t>121</w:t>
            </w:r>
            <w:bookmarkEnd w:id="289"/>
            <w:bookmarkEnd w:id="290"/>
            <w:bookmarkEnd w:id="291"/>
          </w:p>
        </w:tc>
      </w:tr>
      <w:tr w:rsidR="00411636" w:rsidRPr="0017609B" w14:paraId="0C9922F0" w14:textId="77777777" w:rsidTr="00411636">
        <w:trPr>
          <w:trHeight w:val="240"/>
        </w:trPr>
        <w:tc>
          <w:tcPr>
            <w:tcW w:w="1862" w:type="pct"/>
            <w:tcBorders>
              <w:bottom w:val="single" w:sz="12" w:space="0" w:color="auto"/>
            </w:tcBorders>
            <w:shd w:val="clear" w:color="auto" w:fill="auto"/>
          </w:tcPr>
          <w:p w14:paraId="08976CE1" w14:textId="77777777" w:rsidR="0017609B" w:rsidRPr="0017609B" w:rsidRDefault="0017609B" w:rsidP="00411636">
            <w:pPr>
              <w:pStyle w:val="SingleTxtG"/>
              <w:tabs>
                <w:tab w:val="clear" w:pos="1701"/>
                <w:tab w:val="clear" w:pos="2268"/>
                <w:tab w:val="clear" w:pos="2835"/>
              </w:tabs>
              <w:spacing w:before="40" w:after="40" w:line="220" w:lineRule="exact"/>
              <w:ind w:left="0" w:right="0"/>
              <w:jc w:val="left"/>
              <w:rPr>
                <w:sz w:val="18"/>
                <w:lang w:val="es-ES_tradnl"/>
              </w:rPr>
            </w:pPr>
            <w:r w:rsidRPr="0017609B">
              <w:rPr>
                <w:sz w:val="18"/>
                <w:lang w:val="es-ES_tradnl"/>
              </w:rPr>
              <w:t>Porcentaje de escolarizados</w:t>
            </w:r>
          </w:p>
        </w:tc>
        <w:tc>
          <w:tcPr>
            <w:tcW w:w="1583" w:type="pct"/>
            <w:tcBorders>
              <w:bottom w:val="single" w:sz="12" w:space="0" w:color="auto"/>
            </w:tcBorders>
            <w:shd w:val="clear" w:color="auto" w:fill="auto"/>
            <w:vAlign w:val="bottom"/>
          </w:tcPr>
          <w:p w14:paraId="3438A69E"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bookmarkStart w:id="292" w:name="_Toc414372971"/>
            <w:bookmarkStart w:id="293" w:name="_Toc414373200"/>
            <w:bookmarkStart w:id="294" w:name="_Toc414377696"/>
            <w:r w:rsidRPr="0017609B">
              <w:rPr>
                <w:sz w:val="18"/>
                <w:lang w:val="es-ES_tradnl"/>
              </w:rPr>
              <w:t>28,64</w:t>
            </w:r>
            <w:bookmarkEnd w:id="292"/>
            <w:bookmarkEnd w:id="293"/>
            <w:bookmarkEnd w:id="294"/>
          </w:p>
        </w:tc>
        <w:tc>
          <w:tcPr>
            <w:tcW w:w="1556" w:type="pct"/>
            <w:tcBorders>
              <w:bottom w:val="single" w:sz="12" w:space="0" w:color="auto"/>
            </w:tcBorders>
            <w:shd w:val="clear" w:color="auto" w:fill="auto"/>
            <w:vAlign w:val="bottom"/>
          </w:tcPr>
          <w:p w14:paraId="7C5CBBAF" w14:textId="77777777" w:rsidR="0017609B" w:rsidRPr="0017609B" w:rsidRDefault="0017609B" w:rsidP="00411636">
            <w:pPr>
              <w:pStyle w:val="SingleTxtG"/>
              <w:tabs>
                <w:tab w:val="clear" w:pos="1701"/>
                <w:tab w:val="clear" w:pos="2268"/>
                <w:tab w:val="clear" w:pos="2835"/>
              </w:tabs>
              <w:spacing w:before="40" w:after="40" w:line="220" w:lineRule="exact"/>
              <w:ind w:left="113" w:right="0"/>
              <w:jc w:val="right"/>
              <w:rPr>
                <w:sz w:val="18"/>
                <w:lang w:val="es-ES_tradnl"/>
              </w:rPr>
            </w:pPr>
            <w:bookmarkStart w:id="295" w:name="_Toc414372972"/>
            <w:bookmarkStart w:id="296" w:name="_Toc414373201"/>
            <w:bookmarkStart w:id="297" w:name="_Toc414377697"/>
            <w:r w:rsidRPr="0017609B">
              <w:rPr>
                <w:sz w:val="18"/>
                <w:lang w:val="es-ES_tradnl"/>
              </w:rPr>
              <w:t>6,56</w:t>
            </w:r>
            <w:bookmarkEnd w:id="295"/>
            <w:bookmarkEnd w:id="296"/>
            <w:bookmarkEnd w:id="297"/>
          </w:p>
        </w:tc>
      </w:tr>
    </w:tbl>
    <w:p w14:paraId="69DDF620" w14:textId="5E4F0EC3" w:rsidR="0017609B" w:rsidRPr="0017609B" w:rsidRDefault="0017609B" w:rsidP="00AE189C">
      <w:pPr>
        <w:pStyle w:val="SingleTxtG"/>
        <w:spacing w:before="120" w:after="240"/>
        <w:ind w:firstLine="170"/>
        <w:jc w:val="left"/>
        <w:rPr>
          <w:sz w:val="16"/>
          <w:szCs w:val="16"/>
          <w:lang w:val="fr-FR"/>
        </w:rPr>
      </w:pPr>
      <w:r w:rsidRPr="0017609B">
        <w:rPr>
          <w:i/>
          <w:sz w:val="16"/>
          <w:szCs w:val="16"/>
          <w:lang w:val="fr-FR"/>
        </w:rPr>
        <w:t>Fuente:</w:t>
      </w:r>
      <w:r w:rsidRPr="0017609B">
        <w:rPr>
          <w:sz w:val="16"/>
          <w:szCs w:val="16"/>
          <w:lang w:val="fr-FR"/>
        </w:rPr>
        <w:t xml:space="preserve"> </w:t>
      </w:r>
      <w:proofErr w:type="spellStart"/>
      <w:r w:rsidRPr="0017609B">
        <w:rPr>
          <w:sz w:val="16"/>
          <w:szCs w:val="16"/>
          <w:lang w:val="fr-FR"/>
        </w:rPr>
        <w:t>Reseña</w:t>
      </w:r>
      <w:proofErr w:type="spellEnd"/>
      <w:r w:rsidRPr="0017609B">
        <w:rPr>
          <w:sz w:val="16"/>
          <w:szCs w:val="16"/>
          <w:lang w:val="fr-FR"/>
        </w:rPr>
        <w:t xml:space="preserve"> de la </w:t>
      </w:r>
      <w:proofErr w:type="spellStart"/>
      <w:r w:rsidRPr="0017609B">
        <w:rPr>
          <w:sz w:val="16"/>
          <w:szCs w:val="16"/>
          <w:lang w:val="fr-FR"/>
        </w:rPr>
        <w:t>Dirección</w:t>
      </w:r>
      <w:proofErr w:type="spellEnd"/>
      <w:r w:rsidRPr="0017609B">
        <w:rPr>
          <w:sz w:val="16"/>
          <w:szCs w:val="16"/>
          <w:lang w:val="fr-FR"/>
        </w:rPr>
        <w:t xml:space="preserve"> </w:t>
      </w:r>
      <w:proofErr w:type="spellStart"/>
      <w:r w:rsidRPr="0017609B">
        <w:rPr>
          <w:sz w:val="16"/>
          <w:szCs w:val="16"/>
          <w:lang w:val="fr-FR"/>
        </w:rPr>
        <w:t>Regional</w:t>
      </w:r>
      <w:proofErr w:type="spellEnd"/>
      <w:r w:rsidRPr="0017609B">
        <w:rPr>
          <w:sz w:val="16"/>
          <w:szCs w:val="16"/>
          <w:lang w:val="fr-FR"/>
        </w:rPr>
        <w:t xml:space="preserve"> de </w:t>
      </w:r>
      <w:proofErr w:type="spellStart"/>
      <w:r w:rsidRPr="0017609B">
        <w:rPr>
          <w:sz w:val="16"/>
          <w:szCs w:val="16"/>
          <w:lang w:val="fr-FR"/>
        </w:rPr>
        <w:t>Desarrollo</w:t>
      </w:r>
      <w:proofErr w:type="spellEnd"/>
      <w:r w:rsidRPr="0017609B">
        <w:rPr>
          <w:sz w:val="16"/>
          <w:szCs w:val="16"/>
          <w:lang w:val="fr-FR"/>
        </w:rPr>
        <w:t xml:space="preserve"> Social y </w:t>
      </w:r>
      <w:proofErr w:type="spellStart"/>
      <w:r w:rsidRPr="0017609B">
        <w:rPr>
          <w:sz w:val="16"/>
          <w:szCs w:val="16"/>
          <w:lang w:val="fr-FR"/>
        </w:rPr>
        <w:t>Economía</w:t>
      </w:r>
      <w:proofErr w:type="spellEnd"/>
      <w:r w:rsidRPr="0017609B">
        <w:rPr>
          <w:sz w:val="16"/>
          <w:szCs w:val="16"/>
          <w:lang w:val="fr-FR"/>
        </w:rPr>
        <w:t xml:space="preserve"> </w:t>
      </w:r>
      <w:proofErr w:type="spellStart"/>
      <w:r w:rsidRPr="0017609B">
        <w:rPr>
          <w:sz w:val="16"/>
          <w:szCs w:val="16"/>
          <w:lang w:val="fr-FR"/>
        </w:rPr>
        <w:t>Solidaria</w:t>
      </w:r>
      <w:proofErr w:type="spellEnd"/>
      <w:r w:rsidRPr="0017609B">
        <w:rPr>
          <w:sz w:val="16"/>
          <w:szCs w:val="16"/>
          <w:lang w:val="fr-FR"/>
        </w:rPr>
        <w:t xml:space="preserve"> (2006</w:t>
      </w:r>
      <w:r w:rsidR="00411636" w:rsidRPr="00744130">
        <w:rPr>
          <w:sz w:val="16"/>
          <w:szCs w:val="16"/>
          <w:lang w:val="fr-FR"/>
        </w:rPr>
        <w:noBreakHyphen/>
      </w:r>
      <w:r w:rsidRPr="0017609B">
        <w:rPr>
          <w:sz w:val="16"/>
          <w:szCs w:val="16"/>
          <w:lang w:val="fr-FR"/>
        </w:rPr>
        <w:t>2013).</w:t>
      </w:r>
    </w:p>
    <w:p w14:paraId="03381886" w14:textId="77777777" w:rsidR="0017609B" w:rsidRPr="0017609B" w:rsidRDefault="0017609B" w:rsidP="0017609B">
      <w:pPr>
        <w:pStyle w:val="SingleTxtG"/>
        <w:rPr>
          <w:lang w:val="es-ES_tradnl"/>
        </w:rPr>
      </w:pPr>
      <w:r w:rsidRPr="0017609B">
        <w:rPr>
          <w:lang w:val="es-ES_tradnl"/>
        </w:rPr>
        <w:t>134.</w:t>
      </w:r>
      <w:r w:rsidRPr="0017609B">
        <w:rPr>
          <w:lang w:val="es-ES_tradnl"/>
        </w:rPr>
        <w:tab/>
        <w:t>En Malí, existen estructuras específicas de acogida y rehabilitación para niños y niñas con discapacidad.</w:t>
      </w:r>
    </w:p>
    <w:p w14:paraId="1A117990" w14:textId="77777777" w:rsidR="0017609B" w:rsidRPr="0017609B" w:rsidRDefault="0017609B" w:rsidP="00411636">
      <w:pPr>
        <w:pStyle w:val="H4G"/>
        <w:rPr>
          <w:lang w:val="es-ES_tradnl"/>
        </w:rPr>
      </w:pPr>
      <w:bookmarkStart w:id="298" w:name="_Toc414372973"/>
      <w:bookmarkStart w:id="299" w:name="_Toc414373202"/>
      <w:bookmarkStart w:id="300" w:name="_Toc414377698"/>
      <w:bookmarkStart w:id="301" w:name="_Toc35441115"/>
      <w:r w:rsidRPr="0017609B">
        <w:rPr>
          <w:lang w:val="es-ES_tradnl"/>
        </w:rPr>
        <w:tab/>
        <w:t>6.1.8</w:t>
      </w:r>
      <w:r w:rsidRPr="0017609B">
        <w:rPr>
          <w:lang w:val="es-ES_tradnl"/>
        </w:rPr>
        <w:tab/>
        <w:t>Seguridad social</w:t>
      </w:r>
      <w:bookmarkEnd w:id="298"/>
      <w:bookmarkEnd w:id="299"/>
      <w:bookmarkEnd w:id="300"/>
      <w:bookmarkEnd w:id="301"/>
    </w:p>
    <w:p w14:paraId="2B715B96" w14:textId="77777777" w:rsidR="0017609B" w:rsidRPr="0017609B" w:rsidRDefault="0017609B" w:rsidP="0017609B">
      <w:pPr>
        <w:pStyle w:val="SingleTxtG"/>
        <w:rPr>
          <w:bCs/>
          <w:lang w:val="es-ES_tradnl"/>
        </w:rPr>
      </w:pPr>
      <w:r w:rsidRPr="0017609B">
        <w:rPr>
          <w:lang w:val="es-ES_tradnl"/>
        </w:rPr>
        <w:t>135.</w:t>
      </w:r>
      <w:r w:rsidRPr="0017609B">
        <w:rPr>
          <w:lang w:val="es-ES_tradnl"/>
        </w:rPr>
        <w:tab/>
        <w:t>Se han realizado avances notables en la promoción de la solidaridad en los planos legislativo, reglamentario e institucional mediante el refuerzo de las formas de protección social, en particular el seguro de salud obligatorio, el régimen de asistencia médica y el apoyo al establecimiento de sociedades mutuales. Esos avances se han visto complementados con la creación de la Caja Nacional del Seguro Médico y la Agencia Nacional de Asistencia Médica. No obstante, la cobertura combinada de todos estos mecanismos sigue siendo baja, situándose en torno al 20 % de la población.</w:t>
      </w:r>
    </w:p>
    <w:p w14:paraId="36D364E8" w14:textId="77777777" w:rsidR="0017609B" w:rsidRPr="0017609B" w:rsidRDefault="0017609B" w:rsidP="0017609B">
      <w:pPr>
        <w:pStyle w:val="SingleTxtG"/>
        <w:rPr>
          <w:lang w:val="es-ES_tradnl"/>
        </w:rPr>
      </w:pPr>
      <w:r w:rsidRPr="0017609B">
        <w:rPr>
          <w:lang w:val="es-ES_tradnl"/>
        </w:rPr>
        <w:t>136.</w:t>
      </w:r>
      <w:r w:rsidRPr="0017609B">
        <w:rPr>
          <w:lang w:val="es-ES_tradnl"/>
        </w:rPr>
        <w:tab/>
        <w:t xml:space="preserve">Las reformas realizadas en la Caja de Seguridad Social de Malí (antigua Caja de Jubilaciones de Malí), consagradas en la Ley núm. 10-029, de 10 de julio de 2010, han permitido que esta entidad se haga cargo de otros ámbitos o regímenes, en especial la gestión delegada del seguro de salud obligatorio, accidentes laborales y enfermedades profesionales y de las pensiones complementarias por capitalización, entre otros. </w:t>
      </w:r>
    </w:p>
    <w:p w14:paraId="66D2E2D5" w14:textId="32CA2441" w:rsidR="0017609B" w:rsidRPr="0017609B" w:rsidRDefault="00411636" w:rsidP="00411636">
      <w:pPr>
        <w:pStyle w:val="H56G"/>
        <w:rPr>
          <w:lang w:val="es-ES_tradnl"/>
        </w:rPr>
      </w:pPr>
      <w:bookmarkStart w:id="302" w:name="_Toc414372974"/>
      <w:bookmarkStart w:id="303" w:name="_Toc414373203"/>
      <w:bookmarkStart w:id="304" w:name="_Toc414377699"/>
      <w:r>
        <w:rPr>
          <w:lang w:val="es-ES_tradnl"/>
        </w:rPr>
        <w:tab/>
      </w:r>
      <w:r w:rsidR="0017609B" w:rsidRPr="0017609B">
        <w:rPr>
          <w:lang w:val="es-ES_tradnl"/>
        </w:rPr>
        <w:tab/>
        <w:t>Seguro de salud obligatorio</w:t>
      </w:r>
      <w:bookmarkEnd w:id="302"/>
      <w:bookmarkEnd w:id="303"/>
      <w:bookmarkEnd w:id="304"/>
    </w:p>
    <w:p w14:paraId="4354FB51" w14:textId="77777777" w:rsidR="0017609B" w:rsidRPr="0017609B" w:rsidRDefault="0017609B" w:rsidP="0017609B">
      <w:pPr>
        <w:pStyle w:val="SingleTxtG"/>
        <w:rPr>
          <w:lang w:val="es-ES_tradnl"/>
        </w:rPr>
      </w:pPr>
      <w:r w:rsidRPr="0017609B">
        <w:rPr>
          <w:lang w:val="es-ES_tradnl"/>
        </w:rPr>
        <w:t>137.</w:t>
      </w:r>
      <w:r w:rsidRPr="0017609B">
        <w:rPr>
          <w:lang w:val="es-ES_tradnl"/>
        </w:rPr>
        <w:tab/>
        <w:t>El seguro de salud obligatorio, establecido mediante la Ley núm. 09-015, de 26 de junio de 2009, tiene por objeto cubrir los gastos de enfermedad y maternidad de los afiliados y sus familiares.</w:t>
      </w:r>
    </w:p>
    <w:p w14:paraId="2E3A2885" w14:textId="11875415" w:rsidR="0017609B" w:rsidRPr="0017609B" w:rsidRDefault="00411636" w:rsidP="00411636">
      <w:pPr>
        <w:pStyle w:val="H56G"/>
        <w:rPr>
          <w:lang w:val="es-ES_tradnl"/>
        </w:rPr>
      </w:pPr>
      <w:bookmarkStart w:id="305" w:name="_Toc414372977"/>
      <w:bookmarkStart w:id="306" w:name="_Toc414373206"/>
      <w:bookmarkStart w:id="307" w:name="_Toc414377702"/>
      <w:r>
        <w:rPr>
          <w:lang w:val="es-ES_tradnl"/>
        </w:rPr>
        <w:tab/>
      </w:r>
      <w:r w:rsidR="0017609B" w:rsidRPr="0017609B">
        <w:rPr>
          <w:lang w:val="es-ES_tradnl"/>
        </w:rPr>
        <w:tab/>
        <w:t>Régimen de asistencia médica</w:t>
      </w:r>
      <w:bookmarkEnd w:id="305"/>
      <w:bookmarkEnd w:id="306"/>
      <w:bookmarkEnd w:id="307"/>
    </w:p>
    <w:p w14:paraId="083144D8" w14:textId="77777777" w:rsidR="0017609B" w:rsidRPr="0017609B" w:rsidRDefault="0017609B" w:rsidP="0017609B">
      <w:pPr>
        <w:pStyle w:val="SingleTxtG"/>
        <w:rPr>
          <w:lang w:val="es-ES_tradnl"/>
        </w:rPr>
      </w:pPr>
      <w:r w:rsidRPr="0017609B">
        <w:rPr>
          <w:lang w:val="es-ES_tradnl"/>
        </w:rPr>
        <w:t>138.</w:t>
      </w:r>
      <w:r w:rsidRPr="0017609B">
        <w:rPr>
          <w:lang w:val="es-ES_tradnl"/>
        </w:rPr>
        <w:tab/>
        <w:t>El régimen de asistencia médica, que se introdujo con la Ley núm. 09-030, de 27 de julio de 2009, garantiza la cobertura médica a las personas sin ingresos. Se reconoce el derecho al régimen de asistencia médica con carácter temporal a las personas que no están sujetas al régimen del seguro de salud obligatorio y a las que carecen de cobertura sanitaria, como los internos en instituciones benéficas, orfanatos, establecimientos de rehabilitación y cualquier establecimiento público o privado sin ánimo de lucro que acoja a niños abandonados o a adultos sin familia.</w:t>
      </w:r>
    </w:p>
    <w:p w14:paraId="652AD3BB" w14:textId="77777777" w:rsidR="0017609B" w:rsidRPr="0017609B" w:rsidRDefault="0017609B" w:rsidP="00411636">
      <w:pPr>
        <w:pStyle w:val="H23G"/>
        <w:rPr>
          <w:lang w:val="es-ES_tradnl"/>
        </w:rPr>
      </w:pPr>
      <w:bookmarkStart w:id="308" w:name="_Toc414372978"/>
      <w:bookmarkStart w:id="309" w:name="_Toc414377703"/>
      <w:bookmarkStart w:id="310" w:name="_Toc35441116"/>
      <w:r w:rsidRPr="0017609B">
        <w:rPr>
          <w:lang w:val="es-ES_tradnl"/>
        </w:rPr>
        <w:tab/>
        <w:t>6.2</w:t>
      </w:r>
      <w:r w:rsidRPr="0017609B">
        <w:rPr>
          <w:lang w:val="es-ES_tradnl"/>
        </w:rPr>
        <w:tab/>
        <w:t>Restricciones y límites</w:t>
      </w:r>
      <w:bookmarkEnd w:id="308"/>
      <w:bookmarkEnd w:id="309"/>
      <w:bookmarkEnd w:id="310"/>
    </w:p>
    <w:p w14:paraId="37098ECA" w14:textId="77777777" w:rsidR="0017609B" w:rsidRPr="0017609B" w:rsidRDefault="0017609B" w:rsidP="00411636">
      <w:pPr>
        <w:pStyle w:val="H4G"/>
        <w:rPr>
          <w:lang w:val="es-ES_tradnl"/>
        </w:rPr>
      </w:pPr>
      <w:bookmarkStart w:id="311" w:name="_Toc414372979"/>
      <w:bookmarkStart w:id="312" w:name="_Toc414373208"/>
      <w:bookmarkStart w:id="313" w:name="_Toc414377704"/>
      <w:bookmarkStart w:id="314" w:name="_Toc35441117"/>
      <w:r w:rsidRPr="0017609B">
        <w:rPr>
          <w:lang w:val="es-ES_tradnl"/>
        </w:rPr>
        <w:tab/>
        <w:t>6.2.1</w:t>
      </w:r>
      <w:r w:rsidRPr="0017609B">
        <w:rPr>
          <w:lang w:val="es-ES_tradnl"/>
        </w:rPr>
        <w:tab/>
        <w:t>En el ámbito del acceso a los servicios y la atención de la salud</w:t>
      </w:r>
      <w:bookmarkEnd w:id="311"/>
      <w:bookmarkEnd w:id="312"/>
      <w:bookmarkEnd w:id="313"/>
      <w:bookmarkEnd w:id="314"/>
    </w:p>
    <w:p w14:paraId="04B7BDC5" w14:textId="77777777" w:rsidR="0017609B" w:rsidRPr="0017609B" w:rsidRDefault="0017609B" w:rsidP="0017609B">
      <w:pPr>
        <w:pStyle w:val="SingleTxtG"/>
        <w:rPr>
          <w:lang w:val="es-ES_tradnl"/>
        </w:rPr>
      </w:pPr>
      <w:r w:rsidRPr="0017609B">
        <w:rPr>
          <w:lang w:val="es-ES_tradnl"/>
        </w:rPr>
        <w:t>139.</w:t>
      </w:r>
      <w:r w:rsidRPr="0017609B">
        <w:rPr>
          <w:lang w:val="es-ES_tradnl"/>
        </w:rPr>
        <w:tab/>
        <w:t xml:space="preserve">A pesar de la ampliación del sistema de derivación/evacuación, no se alcanzó el objetivo fijado para las cesáreas. </w:t>
      </w:r>
    </w:p>
    <w:p w14:paraId="17F7CEA3" w14:textId="77777777" w:rsidR="0017609B" w:rsidRPr="0017609B" w:rsidRDefault="0017609B" w:rsidP="0017609B">
      <w:pPr>
        <w:pStyle w:val="SingleTxtG"/>
        <w:rPr>
          <w:lang w:val="es-ES_tradnl"/>
        </w:rPr>
      </w:pPr>
      <w:r w:rsidRPr="0017609B">
        <w:rPr>
          <w:lang w:val="es-ES_tradnl"/>
        </w:rPr>
        <w:t>140.</w:t>
      </w:r>
      <w:r w:rsidRPr="0017609B">
        <w:rPr>
          <w:lang w:val="es-ES_tradnl"/>
        </w:rPr>
        <w:tab/>
        <w:t>Además, a pesar de la definición que figura en las especificaciones técnicas, algunos de los equipos suministrados no cumplen las normas exigidas. A esto se añaden los problemas asociados al mantenimiento de esos equipos, que no se efectúa al nivel deseado, y a su renovación.</w:t>
      </w:r>
    </w:p>
    <w:p w14:paraId="18BF132B" w14:textId="77777777" w:rsidR="0017609B" w:rsidRPr="0017609B" w:rsidRDefault="0017609B" w:rsidP="0017609B">
      <w:pPr>
        <w:pStyle w:val="SingleTxtG"/>
        <w:rPr>
          <w:lang w:val="es-ES_tradnl"/>
        </w:rPr>
      </w:pPr>
      <w:r w:rsidRPr="0017609B">
        <w:rPr>
          <w:lang w:val="es-ES_tradnl"/>
        </w:rPr>
        <w:t>141.</w:t>
      </w:r>
      <w:r w:rsidRPr="0017609B">
        <w:rPr>
          <w:lang w:val="es-ES_tradnl"/>
        </w:rPr>
        <w:tab/>
        <w:t xml:space="preserve">La disponibilidad permanente de medicamentos esenciales, que es una de las condiciones del suministro de calidad, se garantiza mediante el cumplimiento del Programa Rector de Suministro y Distribución de Medicamentos Esenciales. Sin embargo, se producen </w:t>
      </w:r>
      <w:r w:rsidRPr="0017609B">
        <w:rPr>
          <w:lang w:val="es-ES_tradnl"/>
        </w:rPr>
        <w:lastRenderedPageBreak/>
        <w:t>algunos desabastecimientos que pueden explicarse por diversos motivos. La demanda de atención de la salud se caracteriza por los factores siguientes:</w:t>
      </w:r>
    </w:p>
    <w:p w14:paraId="754F04D3" w14:textId="220BEB39" w:rsidR="0017609B" w:rsidRPr="0017609B" w:rsidRDefault="0017609B" w:rsidP="00411636">
      <w:pPr>
        <w:pStyle w:val="Bullet1G"/>
        <w:rPr>
          <w:lang w:val="es-ES_tradnl"/>
        </w:rPr>
      </w:pPr>
      <w:r w:rsidRPr="0017609B">
        <w:rPr>
          <w:lang w:val="es-ES_tradnl"/>
        </w:rPr>
        <w:t>El bajo poder adquisitivo de la población.</w:t>
      </w:r>
    </w:p>
    <w:p w14:paraId="7379194C" w14:textId="7A8B7B30" w:rsidR="0017609B" w:rsidRPr="0017609B" w:rsidRDefault="0017609B" w:rsidP="00411636">
      <w:pPr>
        <w:pStyle w:val="Bullet1G"/>
        <w:rPr>
          <w:lang w:val="es-ES_tradnl"/>
        </w:rPr>
      </w:pPr>
      <w:r w:rsidRPr="0017609B">
        <w:rPr>
          <w:lang w:val="es-ES_tradnl"/>
        </w:rPr>
        <w:t>La accesibilidad geográfica y económica.</w:t>
      </w:r>
    </w:p>
    <w:p w14:paraId="07CC6230" w14:textId="77777777" w:rsidR="0017609B" w:rsidRPr="0017609B" w:rsidRDefault="0017609B" w:rsidP="00411636">
      <w:pPr>
        <w:pStyle w:val="H4G"/>
        <w:rPr>
          <w:lang w:val="es-ES_tradnl"/>
        </w:rPr>
      </w:pPr>
      <w:bookmarkStart w:id="315" w:name="_Toc414372980"/>
      <w:bookmarkStart w:id="316" w:name="_Toc414373209"/>
      <w:bookmarkStart w:id="317" w:name="_Toc414377705"/>
      <w:bookmarkStart w:id="318" w:name="_Toc35441118"/>
      <w:r w:rsidRPr="0017609B">
        <w:rPr>
          <w:lang w:val="es-ES_tradnl"/>
        </w:rPr>
        <w:tab/>
        <w:t>6.2.2</w:t>
      </w:r>
      <w:r w:rsidRPr="0017609B">
        <w:rPr>
          <w:lang w:val="es-ES_tradnl"/>
        </w:rPr>
        <w:tab/>
        <w:t>En el ámbito del sistema de derivación/evacuación</w:t>
      </w:r>
      <w:bookmarkEnd w:id="315"/>
      <w:bookmarkEnd w:id="316"/>
      <w:bookmarkEnd w:id="317"/>
      <w:bookmarkEnd w:id="318"/>
    </w:p>
    <w:p w14:paraId="46DF7C5E" w14:textId="77777777" w:rsidR="0017609B" w:rsidRPr="0017609B" w:rsidRDefault="0017609B" w:rsidP="0017609B">
      <w:pPr>
        <w:pStyle w:val="SingleTxtG"/>
        <w:rPr>
          <w:lang w:val="es-ES_tradnl"/>
        </w:rPr>
      </w:pPr>
      <w:r w:rsidRPr="0017609B">
        <w:rPr>
          <w:lang w:val="es-ES_tradnl"/>
        </w:rPr>
        <w:t>142.</w:t>
      </w:r>
      <w:r w:rsidRPr="0017609B">
        <w:rPr>
          <w:lang w:val="es-ES_tradnl"/>
        </w:rPr>
        <w:tab/>
        <w:t>Las deficiencias pueden resumirse como sigue:</w:t>
      </w:r>
    </w:p>
    <w:p w14:paraId="06B2ED15" w14:textId="71390769" w:rsidR="0017609B" w:rsidRPr="0017609B" w:rsidRDefault="0017609B" w:rsidP="00411636">
      <w:pPr>
        <w:pStyle w:val="Bullet1G"/>
        <w:rPr>
          <w:lang w:val="es-ES_tradnl"/>
        </w:rPr>
      </w:pPr>
      <w:r w:rsidRPr="0017609B">
        <w:rPr>
          <w:lang w:val="es-ES_tradnl"/>
        </w:rPr>
        <w:t xml:space="preserve">El pago de las cotizaciones presenta irregularidades. </w:t>
      </w:r>
    </w:p>
    <w:p w14:paraId="193DE452" w14:textId="6FAF06BC" w:rsidR="0017609B" w:rsidRPr="0017609B" w:rsidRDefault="0017609B" w:rsidP="00411636">
      <w:pPr>
        <w:pStyle w:val="Bullet1G"/>
        <w:rPr>
          <w:lang w:val="es-ES_tradnl"/>
        </w:rPr>
      </w:pPr>
      <w:r w:rsidRPr="0017609B">
        <w:rPr>
          <w:lang w:val="es-ES_tradnl"/>
        </w:rPr>
        <w:t>En el reparto de los costos no se incluye el traslado de las aldeas a los centros de salud comunitarios y de los centros de salud de referencia a los establecimientos públicos hospitalarios.</w:t>
      </w:r>
    </w:p>
    <w:p w14:paraId="766CDF46" w14:textId="7493F38E" w:rsidR="0017609B" w:rsidRPr="0017609B" w:rsidRDefault="0017609B" w:rsidP="00411636">
      <w:pPr>
        <w:pStyle w:val="Bullet1G"/>
        <w:rPr>
          <w:lang w:val="es-ES_tradnl"/>
        </w:rPr>
      </w:pPr>
      <w:r w:rsidRPr="0017609B">
        <w:rPr>
          <w:lang w:val="es-ES_tradnl"/>
        </w:rPr>
        <w:t xml:space="preserve">El marco conceptual no toma en consideración al recién nacido. </w:t>
      </w:r>
    </w:p>
    <w:p w14:paraId="49BE7731" w14:textId="1C7D4FEC" w:rsidR="0017609B" w:rsidRPr="0017609B" w:rsidRDefault="0017609B" w:rsidP="00411636">
      <w:pPr>
        <w:pStyle w:val="Bullet1G"/>
        <w:rPr>
          <w:lang w:val="es-ES_tradnl"/>
        </w:rPr>
      </w:pPr>
      <w:r w:rsidRPr="0017609B">
        <w:rPr>
          <w:lang w:val="es-ES_tradnl"/>
        </w:rPr>
        <w:t>Las mujeres que viven en las aldeas de las zonas no funcionales no son derivadas a otro centro de salud comunitario.</w:t>
      </w:r>
    </w:p>
    <w:p w14:paraId="2AEF68E5" w14:textId="77777777" w:rsidR="0017609B" w:rsidRPr="0017609B" w:rsidRDefault="0017609B" w:rsidP="00411636">
      <w:pPr>
        <w:pStyle w:val="H4G"/>
        <w:rPr>
          <w:lang w:val="es-ES_tradnl"/>
        </w:rPr>
      </w:pPr>
      <w:bookmarkStart w:id="319" w:name="_Toc414372983"/>
      <w:bookmarkStart w:id="320" w:name="_Toc414373212"/>
      <w:bookmarkStart w:id="321" w:name="_Toc414377708"/>
      <w:bookmarkStart w:id="322" w:name="_Toc35441119"/>
      <w:r w:rsidRPr="0017609B">
        <w:rPr>
          <w:lang w:val="es-ES_tradnl"/>
        </w:rPr>
        <w:tab/>
        <w:t>6.2.3</w:t>
      </w:r>
      <w:r w:rsidRPr="0017609B">
        <w:rPr>
          <w:lang w:val="es-ES_tradnl"/>
        </w:rPr>
        <w:tab/>
        <w:t>En el ámbito de los servicios sociales</w:t>
      </w:r>
      <w:bookmarkEnd w:id="319"/>
      <w:bookmarkEnd w:id="320"/>
      <w:bookmarkEnd w:id="321"/>
      <w:bookmarkEnd w:id="322"/>
    </w:p>
    <w:p w14:paraId="3D97E7B7" w14:textId="77777777" w:rsidR="0017609B" w:rsidRPr="0017609B" w:rsidRDefault="0017609B" w:rsidP="0017609B">
      <w:pPr>
        <w:pStyle w:val="SingleTxtG"/>
        <w:rPr>
          <w:lang w:val="es-ES_tradnl"/>
        </w:rPr>
      </w:pPr>
      <w:r w:rsidRPr="0017609B">
        <w:rPr>
          <w:lang w:val="es-ES_tradnl"/>
        </w:rPr>
        <w:t>143.</w:t>
      </w:r>
      <w:r w:rsidRPr="0017609B">
        <w:rPr>
          <w:lang w:val="es-ES_tradnl"/>
        </w:rPr>
        <w:tab/>
        <w:t xml:space="preserve">En el ámbito de la atención a los grupos vulnerables, las principales dificultades se resumen así: </w:t>
      </w:r>
    </w:p>
    <w:p w14:paraId="07A13F1C" w14:textId="0B3BFB3E" w:rsidR="0017609B" w:rsidRPr="0017609B" w:rsidRDefault="0017609B" w:rsidP="00411636">
      <w:pPr>
        <w:pStyle w:val="Bullet1G"/>
        <w:rPr>
          <w:lang w:val="es-ES_tradnl"/>
        </w:rPr>
      </w:pPr>
      <w:r w:rsidRPr="0017609B">
        <w:rPr>
          <w:lang w:val="es-ES_tradnl"/>
        </w:rPr>
        <w:t>El acceso de las personas vulnerables a los servicios sociales básicos.</w:t>
      </w:r>
    </w:p>
    <w:p w14:paraId="4FFED0AA" w14:textId="1716744D" w:rsidR="0017609B" w:rsidRPr="0017609B" w:rsidRDefault="0017609B" w:rsidP="00411636">
      <w:pPr>
        <w:pStyle w:val="Bullet1G"/>
        <w:rPr>
          <w:lang w:val="es-ES_tradnl"/>
        </w:rPr>
      </w:pPr>
      <w:r w:rsidRPr="0017609B">
        <w:rPr>
          <w:lang w:val="es-ES_tradnl"/>
        </w:rPr>
        <w:t xml:space="preserve">La insuficiencia de estructuras de atención destinadas a las personas vulnerables. </w:t>
      </w:r>
    </w:p>
    <w:p w14:paraId="7D97EC23" w14:textId="4E924FAE" w:rsidR="0017609B" w:rsidRPr="0017609B" w:rsidRDefault="0017609B" w:rsidP="00411636">
      <w:pPr>
        <w:pStyle w:val="Bullet1G"/>
        <w:rPr>
          <w:lang w:val="es-ES_tradnl"/>
        </w:rPr>
      </w:pPr>
      <w:r w:rsidRPr="0017609B">
        <w:rPr>
          <w:lang w:val="es-ES_tradnl"/>
        </w:rPr>
        <w:t xml:space="preserve">La práctica ausencia de mecanismos de coordinación de las diversas intervenciones. </w:t>
      </w:r>
    </w:p>
    <w:p w14:paraId="484AE783" w14:textId="6426D4D1" w:rsidR="0017609B" w:rsidRPr="0017609B" w:rsidRDefault="0017609B" w:rsidP="00411636">
      <w:pPr>
        <w:pStyle w:val="Bullet1G"/>
        <w:rPr>
          <w:lang w:val="es-ES_tradnl"/>
        </w:rPr>
      </w:pPr>
      <w:r w:rsidRPr="0017609B">
        <w:rPr>
          <w:lang w:val="es-ES_tradnl"/>
        </w:rPr>
        <w:t>La insuficiencia de datos sobre los grupos destinatarios.</w:t>
      </w:r>
    </w:p>
    <w:p w14:paraId="7CA05C89" w14:textId="77777777" w:rsidR="0017609B" w:rsidRPr="0017609B" w:rsidRDefault="0017609B" w:rsidP="00411636">
      <w:pPr>
        <w:pStyle w:val="H23G"/>
        <w:rPr>
          <w:lang w:val="es-ES_tradnl"/>
        </w:rPr>
      </w:pPr>
      <w:bookmarkStart w:id="323" w:name="_Toc414372984"/>
      <w:bookmarkStart w:id="324" w:name="_Toc414377709"/>
      <w:bookmarkStart w:id="325" w:name="_Toc35441120"/>
      <w:r w:rsidRPr="0017609B">
        <w:rPr>
          <w:lang w:val="es-ES_tradnl"/>
        </w:rPr>
        <w:tab/>
        <w:t>6.3</w:t>
      </w:r>
      <w:r w:rsidRPr="0017609B">
        <w:rPr>
          <w:lang w:val="es-ES_tradnl"/>
        </w:rPr>
        <w:tab/>
        <w:t>De cara al futuro</w:t>
      </w:r>
      <w:bookmarkEnd w:id="323"/>
      <w:bookmarkEnd w:id="324"/>
      <w:bookmarkEnd w:id="325"/>
    </w:p>
    <w:p w14:paraId="2F0AECB5" w14:textId="77777777" w:rsidR="0017609B" w:rsidRPr="0017609B" w:rsidRDefault="0017609B" w:rsidP="0017609B">
      <w:pPr>
        <w:pStyle w:val="SingleTxtG"/>
        <w:rPr>
          <w:lang w:val="es-ES_tradnl"/>
        </w:rPr>
      </w:pPr>
      <w:r w:rsidRPr="0017609B">
        <w:rPr>
          <w:lang w:val="es-ES_tradnl"/>
        </w:rPr>
        <w:t>144.</w:t>
      </w:r>
      <w:r w:rsidRPr="0017609B">
        <w:rPr>
          <w:lang w:val="es-ES_tradnl"/>
        </w:rPr>
        <w:tab/>
        <w:t>El objetivo es que el próximo Plan Decenal de Salud y Desarrollo Sociosanitario brinde una oportunidad para conseguir el acceso universal a la atención de la salud, mejorar la calidad de los servicios y lograr resultados en los ámbitos de la salud, la solidaridad y la promoción de la mujer y el niño. Con vistas a ello, se recomienda emprender las medidas que se enumeran a continuación.</w:t>
      </w:r>
    </w:p>
    <w:p w14:paraId="512795D3" w14:textId="77777777" w:rsidR="0017609B" w:rsidRPr="0017609B" w:rsidRDefault="0017609B" w:rsidP="0017609B">
      <w:pPr>
        <w:pStyle w:val="SingleTxtG"/>
        <w:rPr>
          <w:lang w:val="es-ES_tradnl"/>
        </w:rPr>
      </w:pPr>
      <w:bookmarkStart w:id="326" w:name="_Toc414372985"/>
      <w:bookmarkStart w:id="327" w:name="_Toc414373214"/>
      <w:bookmarkStart w:id="328" w:name="_Toc414377710"/>
      <w:r w:rsidRPr="0017609B">
        <w:rPr>
          <w:lang w:val="es-ES_tradnl"/>
        </w:rPr>
        <w:t>145.</w:t>
      </w:r>
      <w:r w:rsidRPr="0017609B">
        <w:rPr>
          <w:lang w:val="es-ES_tradnl"/>
        </w:rPr>
        <w:tab/>
        <w:t>Mejora del rendimiento del sistema sanitario mediante:</w:t>
      </w:r>
      <w:bookmarkEnd w:id="326"/>
      <w:bookmarkEnd w:id="327"/>
      <w:bookmarkEnd w:id="328"/>
    </w:p>
    <w:p w14:paraId="76AB90B9" w14:textId="47C2FD66" w:rsidR="0017609B" w:rsidRPr="0017609B" w:rsidRDefault="0017609B" w:rsidP="00411636">
      <w:pPr>
        <w:pStyle w:val="Bullet1G"/>
        <w:rPr>
          <w:lang w:val="es-ES_tradnl"/>
        </w:rPr>
      </w:pPr>
      <w:r w:rsidRPr="0017609B">
        <w:rPr>
          <w:lang w:val="es-ES_tradnl"/>
        </w:rPr>
        <w:t>El establecimiento de un sistema sanitario básico más cercano a la población, bien gestionado y que preste servicios de calidad.</w:t>
      </w:r>
    </w:p>
    <w:p w14:paraId="2EDBF794" w14:textId="31A2BE5F" w:rsidR="0017609B" w:rsidRPr="0017609B" w:rsidRDefault="0017609B" w:rsidP="00411636">
      <w:pPr>
        <w:pStyle w:val="Bullet1G"/>
        <w:rPr>
          <w:lang w:val="es-ES_tradnl"/>
        </w:rPr>
      </w:pPr>
      <w:r w:rsidRPr="0017609B">
        <w:rPr>
          <w:lang w:val="es-ES_tradnl"/>
        </w:rPr>
        <w:t>La mejora de la accesibilidad y eficacia del sistema de derivación.</w:t>
      </w:r>
    </w:p>
    <w:p w14:paraId="47B5B1AC" w14:textId="5AC3D48C" w:rsidR="0017609B" w:rsidRPr="0017609B" w:rsidRDefault="0017609B" w:rsidP="00411636">
      <w:pPr>
        <w:pStyle w:val="Bullet1G"/>
        <w:rPr>
          <w:lang w:val="es-ES_tradnl"/>
        </w:rPr>
      </w:pPr>
      <w:r w:rsidRPr="0017609B">
        <w:rPr>
          <w:lang w:val="es-ES_tradnl"/>
        </w:rPr>
        <w:t>La medicalización del primer nivel para mejorar el rendimiento y reducir las disparidades.</w:t>
      </w:r>
    </w:p>
    <w:p w14:paraId="206DE336" w14:textId="0012327D" w:rsidR="0017609B" w:rsidRPr="0017609B" w:rsidRDefault="0017609B" w:rsidP="00411636">
      <w:pPr>
        <w:pStyle w:val="Bullet1G"/>
        <w:rPr>
          <w:lang w:val="es-ES_tradnl"/>
        </w:rPr>
      </w:pPr>
      <w:r w:rsidRPr="0017609B">
        <w:rPr>
          <w:lang w:val="es-ES_tradnl"/>
        </w:rPr>
        <w:t>El refuerzo de la implantación de los hospitales en el sistema sanitario para una mayor eficacia y eficiencia.</w:t>
      </w:r>
    </w:p>
    <w:p w14:paraId="32B24C49" w14:textId="68440F1D" w:rsidR="0017609B" w:rsidRPr="0017609B" w:rsidRDefault="0017609B" w:rsidP="00411636">
      <w:pPr>
        <w:pStyle w:val="Bullet1G"/>
        <w:rPr>
          <w:lang w:val="es-ES_tradnl"/>
        </w:rPr>
      </w:pPr>
      <w:r w:rsidRPr="0017609B">
        <w:rPr>
          <w:lang w:val="es-ES_tradnl"/>
        </w:rPr>
        <w:t>El reconocimiento del sector privado como asociado.</w:t>
      </w:r>
    </w:p>
    <w:p w14:paraId="7D2552CD" w14:textId="4F84D4CA" w:rsidR="0017609B" w:rsidRPr="0017609B" w:rsidRDefault="0017609B" w:rsidP="00411636">
      <w:pPr>
        <w:pStyle w:val="Bullet1G"/>
        <w:rPr>
          <w:lang w:val="es-ES_tradnl"/>
        </w:rPr>
      </w:pPr>
      <w:r w:rsidRPr="0017609B">
        <w:rPr>
          <w:lang w:val="es-ES_tradnl"/>
        </w:rPr>
        <w:t>El fortalecimiento de la gobernanza del sector farmacéutico.</w:t>
      </w:r>
    </w:p>
    <w:p w14:paraId="1BE66ADA" w14:textId="0EF992EC" w:rsidR="0017609B" w:rsidRPr="0017609B" w:rsidRDefault="0017609B" w:rsidP="00411636">
      <w:pPr>
        <w:pStyle w:val="Bullet1G"/>
        <w:rPr>
          <w:lang w:val="es-ES_tradnl"/>
        </w:rPr>
      </w:pPr>
      <w:r w:rsidRPr="0017609B">
        <w:rPr>
          <w:lang w:val="es-ES_tradnl"/>
        </w:rPr>
        <w:t>El mantenimiento eficaz y eficiente de materiales y equipos.</w:t>
      </w:r>
    </w:p>
    <w:p w14:paraId="719DE1B8" w14:textId="77777777" w:rsidR="0017609B" w:rsidRPr="0017609B" w:rsidRDefault="0017609B" w:rsidP="0017609B">
      <w:pPr>
        <w:pStyle w:val="SingleTxtG"/>
        <w:rPr>
          <w:lang w:val="es-ES_tradnl"/>
        </w:rPr>
      </w:pPr>
      <w:bookmarkStart w:id="329" w:name="_Toc414372986"/>
      <w:bookmarkStart w:id="330" w:name="_Toc414373215"/>
      <w:bookmarkStart w:id="331" w:name="_Toc414377711"/>
      <w:r w:rsidRPr="0017609B">
        <w:rPr>
          <w:lang w:val="es-ES_tradnl"/>
        </w:rPr>
        <w:t>146.</w:t>
      </w:r>
      <w:r w:rsidRPr="0017609B">
        <w:rPr>
          <w:lang w:val="es-ES_tradnl"/>
        </w:rPr>
        <w:tab/>
        <w:t>Rendición de cuentas de las partes interesadas, refuerzo de la solidaridad y control del desarrollo del sector mediante:</w:t>
      </w:r>
      <w:bookmarkEnd w:id="329"/>
      <w:bookmarkEnd w:id="330"/>
      <w:bookmarkEnd w:id="331"/>
    </w:p>
    <w:p w14:paraId="50E93658" w14:textId="1FFCB1F4" w:rsidR="0017609B" w:rsidRPr="0017609B" w:rsidRDefault="0017609B" w:rsidP="00411636">
      <w:pPr>
        <w:pStyle w:val="Bullet1G"/>
        <w:rPr>
          <w:lang w:val="es-ES_tradnl"/>
        </w:rPr>
      </w:pPr>
      <w:r w:rsidRPr="0017609B">
        <w:rPr>
          <w:lang w:val="es-ES_tradnl"/>
        </w:rPr>
        <w:t>El refuerzo de la solidaridad en el acceso a la atención.</w:t>
      </w:r>
    </w:p>
    <w:p w14:paraId="1DD6BA64" w14:textId="08A70C1D" w:rsidR="0017609B" w:rsidRPr="0017609B" w:rsidRDefault="0017609B" w:rsidP="00411636">
      <w:pPr>
        <w:pStyle w:val="Bullet1G"/>
        <w:rPr>
          <w:lang w:val="es-ES_tradnl"/>
        </w:rPr>
      </w:pPr>
      <w:r w:rsidRPr="0017609B">
        <w:rPr>
          <w:lang w:val="es-ES_tradnl"/>
        </w:rPr>
        <w:t xml:space="preserve">Una mayor movilización de recursos financieros. </w:t>
      </w:r>
    </w:p>
    <w:p w14:paraId="51B961CC" w14:textId="0DD6CC90" w:rsidR="0017609B" w:rsidRPr="0017609B" w:rsidRDefault="0017609B" w:rsidP="00411636">
      <w:pPr>
        <w:pStyle w:val="Bullet1G"/>
        <w:rPr>
          <w:lang w:val="es-ES_tradnl"/>
        </w:rPr>
      </w:pPr>
      <w:r w:rsidRPr="0017609B">
        <w:rPr>
          <w:lang w:val="es-ES_tradnl"/>
        </w:rPr>
        <w:t>La rendición de cuentas de las partes interesadas.</w:t>
      </w:r>
    </w:p>
    <w:p w14:paraId="4FE9B649" w14:textId="34CC9E26" w:rsidR="0017609B" w:rsidRPr="0017609B" w:rsidRDefault="0017609B" w:rsidP="00411636">
      <w:pPr>
        <w:pStyle w:val="Bullet1G"/>
        <w:rPr>
          <w:lang w:val="es-ES_tradnl"/>
        </w:rPr>
      </w:pPr>
      <w:r w:rsidRPr="0017609B">
        <w:rPr>
          <w:lang w:val="es-ES_tradnl"/>
        </w:rPr>
        <w:lastRenderedPageBreak/>
        <w:t>El control del desarrollo de los recursos humanos y la mejora del rendimiento del personal.</w:t>
      </w:r>
    </w:p>
    <w:p w14:paraId="5402ECEE" w14:textId="1787877D" w:rsidR="0017609B" w:rsidRPr="0017609B" w:rsidRDefault="0017609B" w:rsidP="00411636">
      <w:pPr>
        <w:pStyle w:val="Bullet1G"/>
        <w:rPr>
          <w:lang w:val="es-ES_tradnl"/>
        </w:rPr>
      </w:pPr>
      <w:r w:rsidRPr="0017609B">
        <w:rPr>
          <w:lang w:val="es-ES_tradnl"/>
        </w:rPr>
        <w:t>El refuerzo de la contribución del sistema de información al seguimiento de los progresos alcanzados y la evaluación de los resultados.</w:t>
      </w:r>
    </w:p>
    <w:p w14:paraId="0F483B35" w14:textId="62F8D481" w:rsidR="0017609B" w:rsidRPr="0017609B" w:rsidRDefault="0017609B" w:rsidP="00411636">
      <w:pPr>
        <w:pStyle w:val="Bullet1G"/>
        <w:rPr>
          <w:lang w:val="es-ES_tradnl"/>
        </w:rPr>
      </w:pPr>
      <w:r w:rsidRPr="0017609B">
        <w:rPr>
          <w:lang w:val="es-ES_tradnl"/>
        </w:rPr>
        <w:t>El fortalecimiento de una planificación estratégica inclusiva.</w:t>
      </w:r>
    </w:p>
    <w:p w14:paraId="61142470" w14:textId="53A5C884" w:rsidR="0017609B" w:rsidRPr="0017609B" w:rsidRDefault="0017609B" w:rsidP="00411636">
      <w:pPr>
        <w:pStyle w:val="Bullet1G"/>
        <w:rPr>
          <w:lang w:val="es-ES_tradnl"/>
        </w:rPr>
      </w:pPr>
      <w:r w:rsidRPr="0017609B">
        <w:rPr>
          <w:lang w:val="es-ES_tradnl"/>
        </w:rPr>
        <w:t>La realización de estudios e investigaciones.</w:t>
      </w:r>
    </w:p>
    <w:p w14:paraId="5CC6C1C4" w14:textId="1B051CA8" w:rsidR="0017609B" w:rsidRPr="0017609B" w:rsidRDefault="0017609B" w:rsidP="00411636">
      <w:pPr>
        <w:pStyle w:val="Bullet1G"/>
        <w:rPr>
          <w:lang w:val="es-ES_tradnl"/>
        </w:rPr>
      </w:pPr>
      <w:r w:rsidRPr="0017609B">
        <w:rPr>
          <w:lang w:val="es-ES_tradnl"/>
        </w:rPr>
        <w:t>El manejo del problema del reto demográfico.</w:t>
      </w:r>
    </w:p>
    <w:p w14:paraId="50045751" w14:textId="77777777" w:rsidR="0017609B" w:rsidRPr="0017609B" w:rsidRDefault="0017609B" w:rsidP="00411636">
      <w:pPr>
        <w:pStyle w:val="HChG"/>
        <w:rPr>
          <w:lang w:val="es-ES_tradnl"/>
        </w:rPr>
      </w:pPr>
      <w:bookmarkStart w:id="332" w:name="_Toc414372987"/>
      <w:bookmarkStart w:id="333" w:name="_Toc414377712"/>
      <w:bookmarkStart w:id="334" w:name="_Toc35441121"/>
      <w:r w:rsidRPr="0017609B">
        <w:rPr>
          <w:lang w:val="es-ES_tradnl"/>
        </w:rPr>
        <w:tab/>
        <w:t>VII.</w:t>
      </w:r>
      <w:r w:rsidRPr="0017609B">
        <w:rPr>
          <w:lang w:val="es-ES_tradnl"/>
        </w:rPr>
        <w:tab/>
        <w:t>Educación, esparcimiento y actividades culturales</w:t>
      </w:r>
      <w:bookmarkEnd w:id="332"/>
      <w:bookmarkEnd w:id="333"/>
      <w:bookmarkEnd w:id="334"/>
    </w:p>
    <w:p w14:paraId="51969378" w14:textId="77777777" w:rsidR="0017609B" w:rsidRPr="0017609B" w:rsidRDefault="0017609B" w:rsidP="007054B7">
      <w:pPr>
        <w:pStyle w:val="H23G"/>
        <w:rPr>
          <w:lang w:val="es-ES_tradnl"/>
        </w:rPr>
      </w:pPr>
      <w:bookmarkStart w:id="335" w:name="_Toc414372988"/>
      <w:bookmarkStart w:id="336" w:name="_Toc414377713"/>
      <w:bookmarkStart w:id="337" w:name="_Toc35441122"/>
      <w:r w:rsidRPr="0017609B">
        <w:rPr>
          <w:lang w:val="es-ES_tradnl"/>
        </w:rPr>
        <w:tab/>
        <w:t>7.1</w:t>
      </w:r>
      <w:r w:rsidRPr="0017609B">
        <w:rPr>
          <w:lang w:val="es-ES_tradnl"/>
        </w:rPr>
        <w:tab/>
        <w:t>Medidas adoptadas y avances logrados</w:t>
      </w:r>
      <w:bookmarkEnd w:id="335"/>
      <w:bookmarkEnd w:id="336"/>
      <w:bookmarkEnd w:id="337"/>
    </w:p>
    <w:p w14:paraId="18A442A8" w14:textId="77777777" w:rsidR="0017609B" w:rsidRPr="0017609B" w:rsidRDefault="0017609B" w:rsidP="0017609B">
      <w:pPr>
        <w:pStyle w:val="SingleTxtG"/>
        <w:rPr>
          <w:lang w:val="es-ES_tradnl"/>
        </w:rPr>
      </w:pPr>
      <w:r w:rsidRPr="0017609B">
        <w:rPr>
          <w:lang w:val="es-ES_tradnl"/>
        </w:rPr>
        <w:t>147.</w:t>
      </w:r>
      <w:r w:rsidRPr="0017609B">
        <w:rPr>
          <w:lang w:val="es-ES_tradnl"/>
        </w:rPr>
        <w:tab/>
        <w:t xml:space="preserve">El desarrollo del sector educativo en Malí se basa en el Programa Decenal de Desarrollo de la Educación y la Cultura (2001-2011), cuyo plan operativo es el Programa de Inversión en el Sector de la Enseñanza. </w:t>
      </w:r>
    </w:p>
    <w:p w14:paraId="709DD542" w14:textId="77777777" w:rsidR="0017609B" w:rsidRPr="0017609B" w:rsidRDefault="0017609B" w:rsidP="0017609B">
      <w:pPr>
        <w:pStyle w:val="SingleTxtG"/>
        <w:rPr>
          <w:lang w:val="es-ES_tradnl"/>
        </w:rPr>
      </w:pPr>
      <w:r w:rsidRPr="0017609B">
        <w:rPr>
          <w:lang w:val="es-ES_tradnl"/>
        </w:rPr>
        <w:t>148.</w:t>
      </w:r>
      <w:r w:rsidRPr="0017609B">
        <w:rPr>
          <w:lang w:val="es-ES_tradnl"/>
        </w:rPr>
        <w:tab/>
        <w:t>La principal prioridad de ese programa de inversión era la educación básica, con miras a alcanzar la escolarización universal en 2012. Su objetivo último era contribuir al logro de los Objetivos de Desarrollo del Milenio y, al mismo tiempo, reducir las desigualdades. La Constitución de 25 de febrero de 1992 establece que la educación es gratuita y laica.</w:t>
      </w:r>
    </w:p>
    <w:p w14:paraId="720B47F3" w14:textId="77777777" w:rsidR="0017609B" w:rsidRPr="0017609B" w:rsidRDefault="0017609B" w:rsidP="0017609B">
      <w:pPr>
        <w:pStyle w:val="SingleTxtG"/>
        <w:rPr>
          <w:lang w:val="es-ES_tradnl"/>
        </w:rPr>
      </w:pPr>
      <w:r w:rsidRPr="0017609B">
        <w:rPr>
          <w:lang w:val="es-ES_tradnl"/>
        </w:rPr>
        <w:t>149.</w:t>
      </w:r>
      <w:r w:rsidRPr="0017609B">
        <w:rPr>
          <w:lang w:val="es-ES_tradnl"/>
        </w:rPr>
        <w:tab/>
        <w:t xml:space="preserve">La Ley núm. 99-046 </w:t>
      </w:r>
      <w:proofErr w:type="spellStart"/>
      <w:r w:rsidRPr="0017609B">
        <w:rPr>
          <w:lang w:val="es-ES_tradnl"/>
        </w:rPr>
        <w:t>AN-RM</w:t>
      </w:r>
      <w:proofErr w:type="spellEnd"/>
      <w:r w:rsidRPr="0017609B">
        <w:rPr>
          <w:lang w:val="es-ES_tradnl"/>
        </w:rPr>
        <w:t xml:space="preserve"> o Ley de Orientación sobre la Enseñanza, de 28 de diciembre de 1999, establece que todo ciudadano tiene garantizado el derecho a la educación. </w:t>
      </w:r>
    </w:p>
    <w:p w14:paraId="35D42299" w14:textId="77777777" w:rsidR="0017609B" w:rsidRPr="0017609B" w:rsidRDefault="0017609B" w:rsidP="0017609B">
      <w:pPr>
        <w:pStyle w:val="SingleTxtG"/>
        <w:rPr>
          <w:lang w:val="es-ES_tradnl"/>
        </w:rPr>
      </w:pPr>
      <w:r w:rsidRPr="0017609B">
        <w:rPr>
          <w:lang w:val="es-ES_tradnl"/>
        </w:rPr>
        <w:t>150.</w:t>
      </w:r>
      <w:r w:rsidRPr="0017609B">
        <w:rPr>
          <w:lang w:val="es-ES_tradnl"/>
        </w:rPr>
        <w:tab/>
        <w:t>El Gobierno destina cada año el 36 % del presupuesto nacional a ese sector.</w:t>
      </w:r>
    </w:p>
    <w:p w14:paraId="26402206" w14:textId="77777777" w:rsidR="0017609B" w:rsidRPr="0017609B" w:rsidRDefault="0017609B" w:rsidP="007054B7">
      <w:pPr>
        <w:pStyle w:val="H4G"/>
        <w:rPr>
          <w:lang w:val="es-ES_tradnl"/>
        </w:rPr>
      </w:pPr>
      <w:bookmarkStart w:id="338" w:name="_Toc414372989"/>
      <w:bookmarkStart w:id="339" w:name="_Toc414373218"/>
      <w:bookmarkStart w:id="340" w:name="_Toc414377714"/>
      <w:bookmarkStart w:id="341" w:name="_Toc35441123"/>
      <w:r w:rsidRPr="0017609B">
        <w:rPr>
          <w:lang w:val="es-ES_tradnl"/>
        </w:rPr>
        <w:tab/>
        <w:t>7.1.1</w:t>
      </w:r>
      <w:r w:rsidRPr="0017609B">
        <w:rPr>
          <w:lang w:val="es-ES_tradnl"/>
        </w:rPr>
        <w:tab/>
        <w:t>Principios y objetivos generales de la educación</w:t>
      </w:r>
      <w:bookmarkEnd w:id="338"/>
      <w:bookmarkEnd w:id="339"/>
      <w:bookmarkEnd w:id="340"/>
      <w:bookmarkEnd w:id="341"/>
    </w:p>
    <w:p w14:paraId="0565FCE0" w14:textId="77777777" w:rsidR="0017609B" w:rsidRPr="0017609B" w:rsidRDefault="0017609B" w:rsidP="0017609B">
      <w:pPr>
        <w:pStyle w:val="SingleTxtG"/>
        <w:rPr>
          <w:lang w:val="es-ES_tradnl"/>
        </w:rPr>
      </w:pPr>
      <w:r w:rsidRPr="0017609B">
        <w:rPr>
          <w:lang w:val="es-ES_tradnl"/>
        </w:rPr>
        <w:t>151.</w:t>
      </w:r>
      <w:r w:rsidRPr="0017609B">
        <w:rPr>
          <w:lang w:val="es-ES_tradnl"/>
        </w:rPr>
        <w:tab/>
        <w:t>El servicio público de educación está concebido y organizado teniendo en cuenta a los alumnos, los objetivos de desarrollo y los valores socioculturales.</w:t>
      </w:r>
    </w:p>
    <w:p w14:paraId="34A2D5CC" w14:textId="1D461D00" w:rsidR="0017609B" w:rsidRPr="0017609B" w:rsidRDefault="0017609B" w:rsidP="007054B7">
      <w:pPr>
        <w:pStyle w:val="H56G"/>
        <w:rPr>
          <w:lang w:val="es-ES_tradnl"/>
        </w:rPr>
      </w:pPr>
      <w:bookmarkStart w:id="342" w:name="_Toc414372992"/>
      <w:bookmarkStart w:id="343" w:name="_Toc414373221"/>
      <w:bookmarkStart w:id="344" w:name="_Toc414377717"/>
      <w:r w:rsidRPr="0017609B">
        <w:rPr>
          <w:lang w:val="es-ES_tradnl"/>
        </w:rPr>
        <w:tab/>
      </w:r>
      <w:r w:rsidR="007054B7">
        <w:rPr>
          <w:lang w:val="es-ES_tradnl"/>
        </w:rPr>
        <w:tab/>
      </w:r>
      <w:r w:rsidRPr="0017609B">
        <w:rPr>
          <w:lang w:val="es-ES_tradnl"/>
        </w:rPr>
        <w:t>Mejora de la calidad de la enseñanza</w:t>
      </w:r>
      <w:bookmarkEnd w:id="342"/>
      <w:bookmarkEnd w:id="343"/>
      <w:bookmarkEnd w:id="344"/>
    </w:p>
    <w:p w14:paraId="65F0C454" w14:textId="77777777" w:rsidR="0017609B" w:rsidRPr="0017609B" w:rsidRDefault="0017609B" w:rsidP="0017609B">
      <w:pPr>
        <w:pStyle w:val="SingleTxtG"/>
        <w:rPr>
          <w:lang w:val="es-ES_tradnl"/>
        </w:rPr>
      </w:pPr>
      <w:r w:rsidRPr="0017609B">
        <w:rPr>
          <w:lang w:val="es-ES_tradnl"/>
        </w:rPr>
        <w:t>152.</w:t>
      </w:r>
      <w:r w:rsidRPr="0017609B">
        <w:rPr>
          <w:lang w:val="es-ES_tradnl"/>
        </w:rPr>
        <w:tab/>
        <w:t xml:space="preserve">En 2010, la eficacia de la enseñanza mejoró gracias a un mayor número de libros por niño y a un mayor número de alumnos con buenos resultados académicos. Además, a los niños con un nivel educativo bajo o nulo se les da la oportunidad de adquirir una formación profesional. </w:t>
      </w:r>
    </w:p>
    <w:p w14:paraId="60A8C6D2" w14:textId="77777777" w:rsidR="0017609B" w:rsidRPr="0017609B" w:rsidRDefault="0017609B" w:rsidP="0017609B">
      <w:pPr>
        <w:pStyle w:val="SingleTxtG"/>
        <w:rPr>
          <w:lang w:val="es-ES_tradnl"/>
        </w:rPr>
      </w:pPr>
      <w:r w:rsidRPr="0017609B">
        <w:rPr>
          <w:lang w:val="es-ES_tradnl"/>
        </w:rPr>
        <w:t>153.</w:t>
      </w:r>
      <w:r w:rsidRPr="0017609B">
        <w:rPr>
          <w:lang w:val="es-ES_tradnl"/>
        </w:rPr>
        <w:tab/>
        <w:t xml:space="preserve">Esta mejora se traduce en profesores bien formados y más aulas. En estos momentos, hay 15 institutos de formación del profesorado. </w:t>
      </w:r>
    </w:p>
    <w:p w14:paraId="45E04D3E" w14:textId="77777777" w:rsidR="0017609B" w:rsidRPr="0017609B" w:rsidRDefault="0017609B" w:rsidP="0017609B">
      <w:pPr>
        <w:pStyle w:val="SingleTxtG"/>
        <w:rPr>
          <w:lang w:val="es-ES_tradnl"/>
        </w:rPr>
      </w:pPr>
      <w:r w:rsidRPr="0017609B">
        <w:rPr>
          <w:lang w:val="es-ES_tradnl"/>
        </w:rPr>
        <w:t>154.</w:t>
      </w:r>
      <w:r w:rsidRPr="0017609B">
        <w:rPr>
          <w:lang w:val="es-ES_tradnl"/>
        </w:rPr>
        <w:tab/>
        <w:t xml:space="preserve">El fuerte crecimiento demográfico, que se sitúa en torno al 3,6 %, exige que se construyan más aulas. Por término medio, una clase de una escuela pública acoge a 60 niños, si bien también es habitual que haya clases con 90 niños o más. </w:t>
      </w:r>
    </w:p>
    <w:p w14:paraId="49000D07" w14:textId="361CAAF7" w:rsidR="0017609B" w:rsidRPr="0017609B" w:rsidRDefault="0017609B" w:rsidP="007054B7">
      <w:pPr>
        <w:pStyle w:val="SingleTxtG"/>
        <w:jc w:val="left"/>
        <w:rPr>
          <w:b/>
          <w:lang w:val="es-ES_tradnl"/>
        </w:rPr>
      </w:pPr>
      <w:bookmarkStart w:id="345" w:name="_Toc386807848"/>
      <w:bookmarkStart w:id="346" w:name="_Toc414372993"/>
      <w:bookmarkStart w:id="347" w:name="_Toc414373222"/>
      <w:bookmarkStart w:id="348" w:name="_Toc414377718"/>
      <w:r w:rsidRPr="0017609B">
        <w:rPr>
          <w:lang w:val="es-ES_tradnl"/>
        </w:rPr>
        <w:t>Cuadro 9</w:t>
      </w:r>
      <w:r w:rsidRPr="0017609B">
        <w:rPr>
          <w:lang w:val="es-ES_tradnl"/>
        </w:rPr>
        <w:br/>
      </w:r>
      <w:r w:rsidRPr="0017609B">
        <w:rPr>
          <w:b/>
          <w:bCs/>
          <w:lang w:val="es-ES_tradnl"/>
        </w:rPr>
        <w:t xml:space="preserve">Proporción de alumnos por maestro, desglosada por tipo de escuela, </w:t>
      </w:r>
      <w:r w:rsidR="007054B7">
        <w:rPr>
          <w:b/>
          <w:bCs/>
          <w:lang w:val="es-ES_tradnl"/>
        </w:rPr>
        <w:br/>
      </w:r>
      <w:r w:rsidRPr="0017609B">
        <w:rPr>
          <w:b/>
          <w:bCs/>
          <w:lang w:val="es-ES_tradnl"/>
        </w:rPr>
        <w:t>en el primer ciclo (2010-2012)</w:t>
      </w:r>
      <w:bookmarkEnd w:id="345"/>
      <w:bookmarkEnd w:id="346"/>
      <w:bookmarkEnd w:id="347"/>
      <w:bookmarkEnd w:id="348"/>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13"/>
        <w:gridCol w:w="1753"/>
        <w:gridCol w:w="1753"/>
        <w:gridCol w:w="1751"/>
      </w:tblGrid>
      <w:tr w:rsidR="007054B7" w:rsidRPr="007054B7" w14:paraId="7328767F" w14:textId="77777777" w:rsidTr="007054B7">
        <w:trPr>
          <w:trHeight w:val="240"/>
          <w:tblHeader/>
        </w:trPr>
        <w:tc>
          <w:tcPr>
            <w:tcW w:w="1434" w:type="pct"/>
            <w:tcBorders>
              <w:top w:val="single" w:sz="4" w:space="0" w:color="auto"/>
              <w:bottom w:val="single" w:sz="12" w:space="0" w:color="auto"/>
            </w:tcBorders>
            <w:shd w:val="clear" w:color="auto" w:fill="auto"/>
            <w:vAlign w:val="bottom"/>
            <w:hideMark/>
          </w:tcPr>
          <w:p w14:paraId="2200A6A7" w14:textId="77777777" w:rsidR="0017609B" w:rsidRPr="0017609B" w:rsidRDefault="0017609B" w:rsidP="007054B7">
            <w:pPr>
              <w:pStyle w:val="SingleTxtG"/>
              <w:tabs>
                <w:tab w:val="clear" w:pos="1701"/>
                <w:tab w:val="clear" w:pos="2268"/>
                <w:tab w:val="clear" w:pos="2835"/>
              </w:tabs>
              <w:spacing w:before="80" w:after="80" w:line="200" w:lineRule="exact"/>
              <w:ind w:left="0" w:right="0"/>
              <w:jc w:val="left"/>
              <w:rPr>
                <w:bCs/>
                <w:i/>
                <w:sz w:val="16"/>
                <w:lang w:val="es-ES_tradnl"/>
              </w:rPr>
            </w:pPr>
            <w:r w:rsidRPr="0017609B">
              <w:rPr>
                <w:i/>
                <w:iCs/>
                <w:sz w:val="16"/>
                <w:lang w:val="es-ES_tradnl"/>
              </w:rPr>
              <w:t>Tipo de escuela</w:t>
            </w:r>
          </w:p>
        </w:tc>
        <w:tc>
          <w:tcPr>
            <w:tcW w:w="1189" w:type="pct"/>
            <w:tcBorders>
              <w:top w:val="single" w:sz="4" w:space="0" w:color="auto"/>
              <w:bottom w:val="single" w:sz="12" w:space="0" w:color="auto"/>
            </w:tcBorders>
            <w:shd w:val="clear" w:color="auto" w:fill="auto"/>
            <w:noWrap/>
            <w:vAlign w:val="bottom"/>
            <w:hideMark/>
          </w:tcPr>
          <w:p w14:paraId="0E0617BB" w14:textId="77777777" w:rsidR="0017609B" w:rsidRPr="0017609B" w:rsidRDefault="0017609B" w:rsidP="007054B7">
            <w:pPr>
              <w:pStyle w:val="SingleTxtG"/>
              <w:tabs>
                <w:tab w:val="clear" w:pos="1701"/>
                <w:tab w:val="clear" w:pos="2268"/>
                <w:tab w:val="clear" w:pos="2835"/>
              </w:tabs>
              <w:spacing w:before="80" w:after="80" w:line="200" w:lineRule="exact"/>
              <w:ind w:left="113" w:right="0"/>
              <w:jc w:val="right"/>
              <w:rPr>
                <w:bCs/>
                <w:i/>
                <w:sz w:val="16"/>
                <w:lang w:val="es-ES_tradnl"/>
              </w:rPr>
            </w:pPr>
            <w:r w:rsidRPr="0017609B">
              <w:rPr>
                <w:i/>
                <w:iCs/>
                <w:sz w:val="16"/>
                <w:lang w:val="es-ES_tradnl"/>
              </w:rPr>
              <w:t>2009-2010</w:t>
            </w:r>
          </w:p>
        </w:tc>
        <w:tc>
          <w:tcPr>
            <w:tcW w:w="1189" w:type="pct"/>
            <w:tcBorders>
              <w:top w:val="single" w:sz="4" w:space="0" w:color="auto"/>
              <w:bottom w:val="single" w:sz="12" w:space="0" w:color="auto"/>
            </w:tcBorders>
            <w:shd w:val="clear" w:color="auto" w:fill="auto"/>
            <w:noWrap/>
            <w:vAlign w:val="bottom"/>
            <w:hideMark/>
          </w:tcPr>
          <w:p w14:paraId="1AC92A37" w14:textId="77777777" w:rsidR="0017609B" w:rsidRPr="0017609B" w:rsidRDefault="0017609B" w:rsidP="007054B7">
            <w:pPr>
              <w:pStyle w:val="SingleTxtG"/>
              <w:tabs>
                <w:tab w:val="clear" w:pos="1701"/>
                <w:tab w:val="clear" w:pos="2268"/>
                <w:tab w:val="clear" w:pos="2835"/>
              </w:tabs>
              <w:spacing w:before="80" w:after="80" w:line="200" w:lineRule="exact"/>
              <w:ind w:left="113" w:right="0"/>
              <w:jc w:val="right"/>
              <w:rPr>
                <w:bCs/>
                <w:i/>
                <w:sz w:val="16"/>
                <w:lang w:val="es-ES_tradnl"/>
              </w:rPr>
            </w:pPr>
            <w:r w:rsidRPr="0017609B">
              <w:rPr>
                <w:i/>
                <w:iCs/>
                <w:sz w:val="16"/>
                <w:lang w:val="es-ES_tradnl"/>
              </w:rPr>
              <w:t>2010-2011</w:t>
            </w:r>
          </w:p>
        </w:tc>
        <w:tc>
          <w:tcPr>
            <w:tcW w:w="1189" w:type="pct"/>
            <w:tcBorders>
              <w:top w:val="single" w:sz="4" w:space="0" w:color="auto"/>
              <w:bottom w:val="single" w:sz="12" w:space="0" w:color="auto"/>
            </w:tcBorders>
            <w:shd w:val="clear" w:color="auto" w:fill="auto"/>
            <w:vAlign w:val="bottom"/>
          </w:tcPr>
          <w:p w14:paraId="32654C2F" w14:textId="77777777" w:rsidR="0017609B" w:rsidRPr="0017609B" w:rsidRDefault="0017609B" w:rsidP="007054B7">
            <w:pPr>
              <w:pStyle w:val="SingleTxtG"/>
              <w:tabs>
                <w:tab w:val="clear" w:pos="1701"/>
                <w:tab w:val="clear" w:pos="2268"/>
                <w:tab w:val="clear" w:pos="2835"/>
              </w:tabs>
              <w:spacing w:before="80" w:after="80" w:line="200" w:lineRule="exact"/>
              <w:ind w:left="113" w:right="0"/>
              <w:jc w:val="right"/>
              <w:rPr>
                <w:bCs/>
                <w:i/>
                <w:sz w:val="16"/>
                <w:lang w:val="es-ES_tradnl"/>
              </w:rPr>
            </w:pPr>
            <w:r w:rsidRPr="0017609B">
              <w:rPr>
                <w:i/>
                <w:iCs/>
                <w:sz w:val="16"/>
                <w:lang w:val="es-ES_tradnl"/>
              </w:rPr>
              <w:t>2011-2012</w:t>
            </w:r>
          </w:p>
        </w:tc>
      </w:tr>
      <w:tr w:rsidR="007054B7" w:rsidRPr="0017609B" w14:paraId="639F8BBC" w14:textId="77777777" w:rsidTr="007054B7">
        <w:trPr>
          <w:trHeight w:val="240"/>
        </w:trPr>
        <w:tc>
          <w:tcPr>
            <w:tcW w:w="1434" w:type="pct"/>
            <w:tcBorders>
              <w:top w:val="single" w:sz="12" w:space="0" w:color="auto"/>
            </w:tcBorders>
            <w:shd w:val="clear" w:color="auto" w:fill="auto"/>
            <w:noWrap/>
            <w:hideMark/>
          </w:tcPr>
          <w:p w14:paraId="7256D4A7" w14:textId="77777777" w:rsidR="0017609B" w:rsidRPr="0017609B" w:rsidRDefault="0017609B" w:rsidP="007054B7">
            <w:pPr>
              <w:pStyle w:val="SingleTxtG"/>
              <w:tabs>
                <w:tab w:val="clear" w:pos="1701"/>
                <w:tab w:val="clear" w:pos="2268"/>
                <w:tab w:val="clear" w:pos="2835"/>
              </w:tabs>
              <w:spacing w:before="40" w:after="40" w:line="220" w:lineRule="exact"/>
              <w:ind w:left="0" w:right="0"/>
              <w:jc w:val="left"/>
              <w:rPr>
                <w:bCs/>
                <w:sz w:val="18"/>
                <w:lang w:val="es-ES_tradnl"/>
              </w:rPr>
            </w:pPr>
            <w:r w:rsidRPr="0017609B">
              <w:rPr>
                <w:sz w:val="18"/>
                <w:lang w:val="es-ES_tradnl"/>
              </w:rPr>
              <w:t>Pública</w:t>
            </w:r>
          </w:p>
        </w:tc>
        <w:tc>
          <w:tcPr>
            <w:tcW w:w="1189" w:type="pct"/>
            <w:tcBorders>
              <w:top w:val="single" w:sz="12" w:space="0" w:color="auto"/>
            </w:tcBorders>
            <w:shd w:val="clear" w:color="auto" w:fill="auto"/>
            <w:noWrap/>
            <w:vAlign w:val="bottom"/>
            <w:hideMark/>
          </w:tcPr>
          <w:p w14:paraId="082907E0"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61</w:t>
            </w:r>
          </w:p>
        </w:tc>
        <w:tc>
          <w:tcPr>
            <w:tcW w:w="1189" w:type="pct"/>
            <w:tcBorders>
              <w:top w:val="single" w:sz="12" w:space="0" w:color="auto"/>
            </w:tcBorders>
            <w:shd w:val="clear" w:color="auto" w:fill="auto"/>
            <w:noWrap/>
            <w:vAlign w:val="bottom"/>
            <w:hideMark/>
          </w:tcPr>
          <w:p w14:paraId="291FE3EF"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60</w:t>
            </w:r>
          </w:p>
        </w:tc>
        <w:tc>
          <w:tcPr>
            <w:tcW w:w="1189" w:type="pct"/>
            <w:tcBorders>
              <w:top w:val="single" w:sz="12" w:space="0" w:color="auto"/>
            </w:tcBorders>
            <w:shd w:val="clear" w:color="auto" w:fill="auto"/>
            <w:vAlign w:val="bottom"/>
          </w:tcPr>
          <w:p w14:paraId="47780D35"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51</w:t>
            </w:r>
          </w:p>
        </w:tc>
      </w:tr>
      <w:tr w:rsidR="007054B7" w:rsidRPr="0017609B" w14:paraId="645FF192" w14:textId="77777777" w:rsidTr="007054B7">
        <w:trPr>
          <w:trHeight w:val="240"/>
        </w:trPr>
        <w:tc>
          <w:tcPr>
            <w:tcW w:w="1434" w:type="pct"/>
            <w:shd w:val="clear" w:color="auto" w:fill="auto"/>
            <w:noWrap/>
            <w:hideMark/>
          </w:tcPr>
          <w:p w14:paraId="7AC09132" w14:textId="77777777" w:rsidR="0017609B" w:rsidRPr="0017609B" w:rsidRDefault="0017609B" w:rsidP="007054B7">
            <w:pPr>
              <w:pStyle w:val="SingleTxtG"/>
              <w:tabs>
                <w:tab w:val="clear" w:pos="1701"/>
                <w:tab w:val="clear" w:pos="2268"/>
                <w:tab w:val="clear" w:pos="2835"/>
              </w:tabs>
              <w:spacing w:before="40" w:after="40" w:line="220" w:lineRule="exact"/>
              <w:ind w:left="0" w:right="0"/>
              <w:jc w:val="left"/>
              <w:rPr>
                <w:bCs/>
                <w:sz w:val="18"/>
                <w:lang w:val="es-ES_tradnl"/>
              </w:rPr>
            </w:pPr>
            <w:r w:rsidRPr="0017609B">
              <w:rPr>
                <w:sz w:val="18"/>
                <w:lang w:val="es-ES_tradnl"/>
              </w:rPr>
              <w:t>Privada</w:t>
            </w:r>
          </w:p>
        </w:tc>
        <w:tc>
          <w:tcPr>
            <w:tcW w:w="1189" w:type="pct"/>
            <w:shd w:val="clear" w:color="auto" w:fill="auto"/>
            <w:noWrap/>
            <w:vAlign w:val="bottom"/>
            <w:hideMark/>
          </w:tcPr>
          <w:p w14:paraId="488F2C91"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44</w:t>
            </w:r>
          </w:p>
        </w:tc>
        <w:tc>
          <w:tcPr>
            <w:tcW w:w="1189" w:type="pct"/>
            <w:shd w:val="clear" w:color="auto" w:fill="auto"/>
            <w:noWrap/>
            <w:vAlign w:val="bottom"/>
            <w:hideMark/>
          </w:tcPr>
          <w:p w14:paraId="37AD84D4"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40</w:t>
            </w:r>
          </w:p>
        </w:tc>
        <w:tc>
          <w:tcPr>
            <w:tcW w:w="1189" w:type="pct"/>
            <w:shd w:val="clear" w:color="auto" w:fill="auto"/>
            <w:vAlign w:val="bottom"/>
          </w:tcPr>
          <w:p w14:paraId="16CD7DCD"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32</w:t>
            </w:r>
          </w:p>
        </w:tc>
      </w:tr>
      <w:tr w:rsidR="007054B7" w:rsidRPr="0017609B" w14:paraId="2338644F" w14:textId="77777777" w:rsidTr="007054B7">
        <w:trPr>
          <w:trHeight w:val="240"/>
        </w:trPr>
        <w:tc>
          <w:tcPr>
            <w:tcW w:w="1434" w:type="pct"/>
            <w:shd w:val="clear" w:color="auto" w:fill="auto"/>
            <w:noWrap/>
            <w:hideMark/>
          </w:tcPr>
          <w:p w14:paraId="4FC34E8C" w14:textId="77777777" w:rsidR="0017609B" w:rsidRPr="0017609B" w:rsidRDefault="0017609B" w:rsidP="007054B7">
            <w:pPr>
              <w:pStyle w:val="SingleTxtG"/>
              <w:tabs>
                <w:tab w:val="clear" w:pos="1701"/>
                <w:tab w:val="clear" w:pos="2268"/>
                <w:tab w:val="clear" w:pos="2835"/>
              </w:tabs>
              <w:spacing w:before="40" w:after="40" w:line="220" w:lineRule="exact"/>
              <w:ind w:left="0" w:right="0"/>
              <w:jc w:val="left"/>
              <w:rPr>
                <w:bCs/>
                <w:sz w:val="18"/>
                <w:lang w:val="es-ES_tradnl"/>
              </w:rPr>
            </w:pPr>
            <w:r w:rsidRPr="0017609B">
              <w:rPr>
                <w:sz w:val="18"/>
                <w:lang w:val="es-ES_tradnl"/>
              </w:rPr>
              <w:t>Comunitaria</w:t>
            </w:r>
          </w:p>
        </w:tc>
        <w:tc>
          <w:tcPr>
            <w:tcW w:w="1189" w:type="pct"/>
            <w:shd w:val="clear" w:color="auto" w:fill="auto"/>
            <w:noWrap/>
            <w:vAlign w:val="bottom"/>
            <w:hideMark/>
          </w:tcPr>
          <w:p w14:paraId="12A928E7"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36</w:t>
            </w:r>
          </w:p>
        </w:tc>
        <w:tc>
          <w:tcPr>
            <w:tcW w:w="1189" w:type="pct"/>
            <w:shd w:val="clear" w:color="auto" w:fill="auto"/>
            <w:noWrap/>
            <w:vAlign w:val="bottom"/>
            <w:hideMark/>
          </w:tcPr>
          <w:p w14:paraId="7E92E9CD"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36</w:t>
            </w:r>
          </w:p>
        </w:tc>
        <w:tc>
          <w:tcPr>
            <w:tcW w:w="1189" w:type="pct"/>
            <w:shd w:val="clear" w:color="auto" w:fill="auto"/>
            <w:vAlign w:val="bottom"/>
          </w:tcPr>
          <w:p w14:paraId="65204D0A"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24</w:t>
            </w:r>
          </w:p>
        </w:tc>
      </w:tr>
      <w:tr w:rsidR="007054B7" w:rsidRPr="0017609B" w14:paraId="6B671E7F" w14:textId="77777777" w:rsidTr="00744130">
        <w:trPr>
          <w:trHeight w:val="240"/>
        </w:trPr>
        <w:tc>
          <w:tcPr>
            <w:tcW w:w="1434" w:type="pct"/>
            <w:tcBorders>
              <w:bottom w:val="single" w:sz="4" w:space="0" w:color="auto"/>
            </w:tcBorders>
            <w:shd w:val="clear" w:color="auto" w:fill="auto"/>
            <w:noWrap/>
            <w:hideMark/>
          </w:tcPr>
          <w:p w14:paraId="456CDED9" w14:textId="77777777" w:rsidR="0017609B" w:rsidRPr="0017609B" w:rsidRDefault="0017609B" w:rsidP="007054B7">
            <w:pPr>
              <w:pStyle w:val="SingleTxtG"/>
              <w:tabs>
                <w:tab w:val="clear" w:pos="1701"/>
                <w:tab w:val="clear" w:pos="2268"/>
                <w:tab w:val="clear" w:pos="2835"/>
              </w:tabs>
              <w:spacing w:before="40" w:after="40" w:line="220" w:lineRule="exact"/>
              <w:ind w:left="0" w:right="0"/>
              <w:jc w:val="left"/>
              <w:rPr>
                <w:bCs/>
                <w:sz w:val="18"/>
                <w:lang w:val="es-ES_tradnl"/>
              </w:rPr>
            </w:pPr>
            <w:r w:rsidRPr="0017609B">
              <w:rPr>
                <w:sz w:val="18"/>
                <w:lang w:val="es-ES_tradnl"/>
              </w:rPr>
              <w:t>Medersas</w:t>
            </w:r>
          </w:p>
        </w:tc>
        <w:tc>
          <w:tcPr>
            <w:tcW w:w="1189" w:type="pct"/>
            <w:tcBorders>
              <w:bottom w:val="single" w:sz="4" w:space="0" w:color="auto"/>
            </w:tcBorders>
            <w:shd w:val="clear" w:color="auto" w:fill="auto"/>
            <w:noWrap/>
            <w:vAlign w:val="bottom"/>
            <w:hideMark/>
          </w:tcPr>
          <w:p w14:paraId="7CAE14DA"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43</w:t>
            </w:r>
          </w:p>
        </w:tc>
        <w:tc>
          <w:tcPr>
            <w:tcW w:w="1189" w:type="pct"/>
            <w:tcBorders>
              <w:bottom w:val="single" w:sz="4" w:space="0" w:color="auto"/>
            </w:tcBorders>
            <w:shd w:val="clear" w:color="auto" w:fill="auto"/>
            <w:noWrap/>
            <w:vAlign w:val="bottom"/>
            <w:hideMark/>
          </w:tcPr>
          <w:p w14:paraId="3D62F039"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40</w:t>
            </w:r>
          </w:p>
        </w:tc>
        <w:tc>
          <w:tcPr>
            <w:tcW w:w="1189" w:type="pct"/>
            <w:tcBorders>
              <w:bottom w:val="single" w:sz="4" w:space="0" w:color="auto"/>
            </w:tcBorders>
            <w:shd w:val="clear" w:color="auto" w:fill="auto"/>
            <w:vAlign w:val="bottom"/>
          </w:tcPr>
          <w:p w14:paraId="17A68C75"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37</w:t>
            </w:r>
          </w:p>
        </w:tc>
      </w:tr>
      <w:tr w:rsidR="007054B7" w:rsidRPr="0017609B" w14:paraId="1556F355" w14:textId="77777777" w:rsidTr="00744130">
        <w:trPr>
          <w:trHeight w:val="240"/>
        </w:trPr>
        <w:tc>
          <w:tcPr>
            <w:tcW w:w="1434" w:type="pct"/>
            <w:tcBorders>
              <w:top w:val="single" w:sz="4" w:space="0" w:color="auto"/>
              <w:bottom w:val="single" w:sz="12" w:space="0" w:color="auto"/>
            </w:tcBorders>
            <w:shd w:val="clear" w:color="auto" w:fill="auto"/>
            <w:noWrap/>
            <w:hideMark/>
          </w:tcPr>
          <w:p w14:paraId="6E09DE9A" w14:textId="77777777" w:rsidR="0017609B" w:rsidRPr="0017609B" w:rsidRDefault="0017609B" w:rsidP="00744130">
            <w:pPr>
              <w:pStyle w:val="SingleTxtG"/>
              <w:tabs>
                <w:tab w:val="clear" w:pos="1701"/>
                <w:tab w:val="clear" w:pos="2268"/>
                <w:tab w:val="clear" w:pos="2835"/>
              </w:tabs>
              <w:spacing w:before="80" w:after="80" w:line="220" w:lineRule="exact"/>
              <w:ind w:left="284" w:right="0"/>
              <w:jc w:val="left"/>
              <w:rPr>
                <w:b/>
                <w:sz w:val="18"/>
              </w:rPr>
            </w:pPr>
            <w:r w:rsidRPr="0017609B">
              <w:rPr>
                <w:b/>
                <w:sz w:val="18"/>
              </w:rPr>
              <w:t>Total</w:t>
            </w:r>
          </w:p>
        </w:tc>
        <w:tc>
          <w:tcPr>
            <w:tcW w:w="1189" w:type="pct"/>
            <w:tcBorders>
              <w:top w:val="single" w:sz="4" w:space="0" w:color="auto"/>
              <w:bottom w:val="single" w:sz="12" w:space="0" w:color="auto"/>
            </w:tcBorders>
            <w:shd w:val="clear" w:color="auto" w:fill="auto"/>
            <w:noWrap/>
            <w:vAlign w:val="bottom"/>
            <w:hideMark/>
          </w:tcPr>
          <w:p w14:paraId="0BADAC84" w14:textId="77777777" w:rsidR="0017609B" w:rsidRPr="0017609B" w:rsidRDefault="0017609B" w:rsidP="0074605D">
            <w:pPr>
              <w:pStyle w:val="SingleTxtG"/>
              <w:tabs>
                <w:tab w:val="clear" w:pos="1701"/>
                <w:tab w:val="clear" w:pos="2268"/>
                <w:tab w:val="clear" w:pos="2835"/>
              </w:tabs>
              <w:spacing w:before="80" w:after="80" w:line="220" w:lineRule="exact"/>
              <w:ind w:left="113" w:right="0"/>
              <w:jc w:val="right"/>
              <w:rPr>
                <w:b/>
                <w:sz w:val="18"/>
              </w:rPr>
            </w:pPr>
            <w:r w:rsidRPr="0017609B">
              <w:rPr>
                <w:b/>
                <w:sz w:val="18"/>
              </w:rPr>
              <w:t>50</w:t>
            </w:r>
          </w:p>
        </w:tc>
        <w:tc>
          <w:tcPr>
            <w:tcW w:w="1189" w:type="pct"/>
            <w:tcBorders>
              <w:top w:val="single" w:sz="4" w:space="0" w:color="auto"/>
              <w:bottom w:val="single" w:sz="12" w:space="0" w:color="auto"/>
            </w:tcBorders>
            <w:shd w:val="clear" w:color="auto" w:fill="auto"/>
            <w:noWrap/>
            <w:vAlign w:val="bottom"/>
            <w:hideMark/>
          </w:tcPr>
          <w:p w14:paraId="20BFED17" w14:textId="77777777" w:rsidR="0017609B" w:rsidRPr="0017609B" w:rsidRDefault="0017609B" w:rsidP="0074605D">
            <w:pPr>
              <w:pStyle w:val="SingleTxtG"/>
              <w:tabs>
                <w:tab w:val="clear" w:pos="1701"/>
                <w:tab w:val="clear" w:pos="2268"/>
                <w:tab w:val="clear" w:pos="2835"/>
              </w:tabs>
              <w:spacing w:before="80" w:after="80" w:line="220" w:lineRule="exact"/>
              <w:ind w:left="113" w:right="0"/>
              <w:jc w:val="right"/>
              <w:rPr>
                <w:b/>
                <w:sz w:val="18"/>
              </w:rPr>
            </w:pPr>
            <w:r w:rsidRPr="0017609B">
              <w:rPr>
                <w:b/>
                <w:sz w:val="18"/>
              </w:rPr>
              <w:t>49</w:t>
            </w:r>
          </w:p>
        </w:tc>
        <w:tc>
          <w:tcPr>
            <w:tcW w:w="1189" w:type="pct"/>
            <w:tcBorders>
              <w:top w:val="single" w:sz="4" w:space="0" w:color="auto"/>
              <w:bottom w:val="single" w:sz="12" w:space="0" w:color="auto"/>
            </w:tcBorders>
            <w:shd w:val="clear" w:color="auto" w:fill="auto"/>
            <w:vAlign w:val="bottom"/>
          </w:tcPr>
          <w:p w14:paraId="7DF75A7A" w14:textId="77777777" w:rsidR="0017609B" w:rsidRPr="0017609B" w:rsidRDefault="0017609B" w:rsidP="0074605D">
            <w:pPr>
              <w:pStyle w:val="SingleTxtG"/>
              <w:tabs>
                <w:tab w:val="clear" w:pos="1701"/>
                <w:tab w:val="clear" w:pos="2268"/>
                <w:tab w:val="clear" w:pos="2835"/>
              </w:tabs>
              <w:spacing w:before="80" w:after="80" w:line="220" w:lineRule="exact"/>
              <w:ind w:left="113" w:right="0"/>
              <w:jc w:val="right"/>
              <w:rPr>
                <w:b/>
                <w:sz w:val="18"/>
              </w:rPr>
            </w:pPr>
            <w:r w:rsidRPr="0017609B">
              <w:rPr>
                <w:b/>
                <w:sz w:val="18"/>
              </w:rPr>
              <w:t>42</w:t>
            </w:r>
          </w:p>
        </w:tc>
      </w:tr>
    </w:tbl>
    <w:p w14:paraId="43C1C4D8" w14:textId="77777777" w:rsidR="0017609B" w:rsidRPr="0017609B" w:rsidRDefault="0017609B" w:rsidP="00AE189C">
      <w:pPr>
        <w:pStyle w:val="SingleTxtG"/>
        <w:spacing w:before="120" w:after="240"/>
        <w:ind w:firstLine="170"/>
        <w:jc w:val="left"/>
        <w:rPr>
          <w:i/>
          <w:sz w:val="18"/>
          <w:szCs w:val="18"/>
          <w:lang w:val="fr-FR"/>
        </w:rPr>
      </w:pPr>
      <w:r w:rsidRPr="0017609B">
        <w:rPr>
          <w:i/>
          <w:iCs/>
          <w:sz w:val="18"/>
          <w:szCs w:val="18"/>
          <w:lang w:val="fr-FR"/>
        </w:rPr>
        <w:t>Fuente</w:t>
      </w:r>
      <w:r w:rsidRPr="0017609B">
        <w:rPr>
          <w:i/>
          <w:sz w:val="18"/>
          <w:szCs w:val="18"/>
          <w:lang w:val="fr-FR"/>
        </w:rPr>
        <w:t>:</w:t>
      </w:r>
      <w:r w:rsidRPr="0017609B">
        <w:rPr>
          <w:sz w:val="18"/>
          <w:szCs w:val="18"/>
          <w:lang w:val="fr-FR"/>
        </w:rPr>
        <w:t xml:space="preserve"> </w:t>
      </w:r>
      <w:proofErr w:type="spellStart"/>
      <w:r w:rsidRPr="0017609B">
        <w:rPr>
          <w:sz w:val="16"/>
          <w:szCs w:val="16"/>
          <w:lang w:val="fr-FR"/>
        </w:rPr>
        <w:t>MEALN</w:t>
      </w:r>
      <w:proofErr w:type="spellEnd"/>
      <w:r w:rsidRPr="0017609B">
        <w:rPr>
          <w:sz w:val="18"/>
          <w:szCs w:val="18"/>
          <w:lang w:val="fr-FR"/>
        </w:rPr>
        <w:t xml:space="preserve">-CPS, </w:t>
      </w:r>
      <w:r w:rsidRPr="0017609B">
        <w:rPr>
          <w:i/>
          <w:iCs/>
          <w:sz w:val="18"/>
          <w:szCs w:val="18"/>
          <w:lang w:val="fr-FR"/>
        </w:rPr>
        <w:t>Annuaire statistique fondamental</w:t>
      </w:r>
      <w:r w:rsidRPr="0017609B">
        <w:rPr>
          <w:sz w:val="18"/>
          <w:szCs w:val="18"/>
          <w:lang w:val="fr-FR"/>
        </w:rPr>
        <w:t>, 2010-2011.</w:t>
      </w:r>
    </w:p>
    <w:p w14:paraId="7BA95873" w14:textId="04D78DD1" w:rsidR="0017609B" w:rsidRPr="0017609B" w:rsidRDefault="0017609B" w:rsidP="007054B7">
      <w:pPr>
        <w:pStyle w:val="SingleTxtG"/>
        <w:jc w:val="left"/>
        <w:rPr>
          <w:b/>
          <w:lang w:val="es-ES_tradnl"/>
        </w:rPr>
      </w:pPr>
      <w:bookmarkStart w:id="349" w:name="_Toc386807850"/>
      <w:bookmarkStart w:id="350" w:name="_Toc414372994"/>
      <w:bookmarkStart w:id="351" w:name="_Toc414373223"/>
      <w:bookmarkStart w:id="352" w:name="_Toc414377719"/>
      <w:r w:rsidRPr="0017609B">
        <w:rPr>
          <w:lang w:val="es-ES_tradnl"/>
        </w:rPr>
        <w:lastRenderedPageBreak/>
        <w:t xml:space="preserve">Gráfico 5 </w:t>
      </w:r>
      <w:r w:rsidRPr="0017609B">
        <w:rPr>
          <w:b/>
          <w:bCs/>
          <w:lang w:val="es-ES_tradnl"/>
        </w:rPr>
        <w:br/>
        <w:t>Evolución de la parte del presupuesto destinada a la educación (2009-2012)</w:t>
      </w:r>
      <w:bookmarkEnd w:id="349"/>
      <w:bookmarkEnd w:id="350"/>
      <w:bookmarkEnd w:id="351"/>
      <w:bookmarkEnd w:id="352"/>
    </w:p>
    <w:p w14:paraId="2AB326A5" w14:textId="77777777" w:rsidR="0017609B" w:rsidRPr="0017609B" w:rsidRDefault="0017609B" w:rsidP="0017609B">
      <w:pPr>
        <w:pStyle w:val="SingleTxtG"/>
        <w:rPr>
          <w:b/>
          <w:lang w:val="es-ES_tradnl"/>
        </w:rPr>
      </w:pPr>
      <w:r w:rsidRPr="0017609B">
        <w:rPr>
          <w:noProof/>
          <w:lang w:val="es-ES_tradnl"/>
        </w:rPr>
        <w:drawing>
          <wp:inline distT="0" distB="0" distL="0" distR="0" wp14:anchorId="57F88D94" wp14:editId="755C3BBB">
            <wp:extent cx="4244536" cy="2218267"/>
            <wp:effectExtent l="0" t="0" r="381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09575" cy="2252257"/>
                    </a:xfrm>
                    <a:prstGeom prst="rect">
                      <a:avLst/>
                    </a:prstGeom>
                    <a:noFill/>
                    <a:ln>
                      <a:noFill/>
                    </a:ln>
                  </pic:spPr>
                </pic:pic>
              </a:graphicData>
            </a:graphic>
          </wp:inline>
        </w:drawing>
      </w:r>
    </w:p>
    <w:p w14:paraId="35DE4CF4" w14:textId="615B523A" w:rsidR="0017609B" w:rsidRPr="0017609B" w:rsidRDefault="0017609B" w:rsidP="00AE189C">
      <w:pPr>
        <w:pStyle w:val="SingleTxtG"/>
        <w:spacing w:before="120" w:after="240"/>
        <w:ind w:firstLine="170"/>
        <w:jc w:val="left"/>
        <w:rPr>
          <w:sz w:val="18"/>
          <w:szCs w:val="18"/>
          <w:lang w:val="fr-FR"/>
        </w:rPr>
      </w:pPr>
      <w:r w:rsidRPr="0017609B">
        <w:rPr>
          <w:i/>
          <w:sz w:val="18"/>
          <w:szCs w:val="18"/>
          <w:lang w:val="fr-FR"/>
        </w:rPr>
        <w:t>Fuente:</w:t>
      </w:r>
      <w:r w:rsidRPr="0017609B">
        <w:rPr>
          <w:sz w:val="18"/>
          <w:szCs w:val="18"/>
          <w:lang w:val="fr-FR"/>
        </w:rPr>
        <w:t xml:space="preserve"> </w:t>
      </w:r>
      <w:r w:rsidR="00744130">
        <w:rPr>
          <w:sz w:val="18"/>
          <w:szCs w:val="18"/>
          <w:lang w:val="fr-FR"/>
        </w:rPr>
        <w:t>B</w:t>
      </w:r>
      <w:r w:rsidRPr="0017609B">
        <w:rPr>
          <w:sz w:val="18"/>
          <w:szCs w:val="18"/>
          <w:lang w:val="fr-FR"/>
        </w:rPr>
        <w:t xml:space="preserve">ase de </w:t>
      </w:r>
      <w:proofErr w:type="spellStart"/>
      <w:r w:rsidRPr="0017609B">
        <w:rPr>
          <w:sz w:val="18"/>
          <w:szCs w:val="18"/>
          <w:lang w:val="fr-FR"/>
        </w:rPr>
        <w:t>datos</w:t>
      </w:r>
      <w:proofErr w:type="spellEnd"/>
      <w:r w:rsidRPr="0017609B">
        <w:rPr>
          <w:sz w:val="18"/>
          <w:szCs w:val="18"/>
          <w:lang w:val="fr-FR"/>
        </w:rPr>
        <w:t xml:space="preserve"> MF-</w:t>
      </w:r>
      <w:proofErr w:type="spellStart"/>
      <w:r w:rsidRPr="0017609B">
        <w:rPr>
          <w:sz w:val="18"/>
          <w:szCs w:val="18"/>
          <w:lang w:val="fr-FR"/>
        </w:rPr>
        <w:t>DGB</w:t>
      </w:r>
      <w:proofErr w:type="spellEnd"/>
      <w:r w:rsidRPr="0017609B">
        <w:rPr>
          <w:sz w:val="18"/>
          <w:szCs w:val="18"/>
          <w:lang w:val="fr-FR"/>
        </w:rPr>
        <w:t>, 2012.</w:t>
      </w:r>
    </w:p>
    <w:p w14:paraId="2C3AEB48" w14:textId="69C399F3" w:rsidR="0017609B" w:rsidRPr="0017609B" w:rsidRDefault="007054B7" w:rsidP="007054B7">
      <w:pPr>
        <w:pStyle w:val="H56G"/>
        <w:rPr>
          <w:lang w:val="es-ES_tradnl"/>
        </w:rPr>
      </w:pPr>
      <w:bookmarkStart w:id="353" w:name="_Toc414372995"/>
      <w:bookmarkStart w:id="354" w:name="_Toc414373224"/>
      <w:bookmarkStart w:id="355" w:name="_Toc414377720"/>
      <w:r>
        <w:rPr>
          <w:lang w:val="es-ES_tradnl"/>
        </w:rPr>
        <w:tab/>
      </w:r>
      <w:r w:rsidR="0017609B" w:rsidRPr="0017609B">
        <w:rPr>
          <w:lang w:val="es-ES_tradnl"/>
        </w:rPr>
        <w:tab/>
        <w:t>Desarrollo: escolarización y alfabetización</w:t>
      </w:r>
      <w:bookmarkEnd w:id="353"/>
      <w:bookmarkEnd w:id="354"/>
      <w:bookmarkEnd w:id="355"/>
    </w:p>
    <w:p w14:paraId="6B60FD4C" w14:textId="0FF5EED9" w:rsidR="0017609B" w:rsidRPr="0017609B" w:rsidRDefault="007054B7" w:rsidP="007054B7">
      <w:pPr>
        <w:pStyle w:val="H56G"/>
        <w:rPr>
          <w:lang w:val="es-ES_tradnl"/>
        </w:rPr>
      </w:pPr>
      <w:bookmarkStart w:id="356" w:name="_Toc414372996"/>
      <w:bookmarkStart w:id="357" w:name="_Toc414373225"/>
      <w:bookmarkStart w:id="358" w:name="_Toc414377721"/>
      <w:r>
        <w:rPr>
          <w:lang w:val="es-ES_tradnl"/>
        </w:rPr>
        <w:tab/>
      </w:r>
      <w:r w:rsidR="0017609B" w:rsidRPr="0017609B">
        <w:rPr>
          <w:lang w:val="es-ES_tradnl"/>
        </w:rPr>
        <w:tab/>
        <w:t>Desarrollo en la primera infancia</w:t>
      </w:r>
      <w:r w:rsidR="0017609B" w:rsidRPr="0017609B">
        <w:rPr>
          <w:sz w:val="18"/>
          <w:szCs w:val="18"/>
          <w:vertAlign w:val="superscript"/>
          <w:lang w:val="es-ES_tradnl"/>
        </w:rPr>
        <w:footnoteReference w:id="3"/>
      </w:r>
      <w:bookmarkEnd w:id="356"/>
      <w:bookmarkEnd w:id="357"/>
      <w:bookmarkEnd w:id="358"/>
    </w:p>
    <w:p w14:paraId="02E24C24" w14:textId="77777777" w:rsidR="0017609B" w:rsidRPr="0017609B" w:rsidRDefault="0017609B" w:rsidP="0017609B">
      <w:pPr>
        <w:pStyle w:val="SingleTxtG"/>
        <w:rPr>
          <w:lang w:val="es-ES_tradnl"/>
        </w:rPr>
      </w:pPr>
      <w:r w:rsidRPr="0017609B">
        <w:rPr>
          <w:lang w:val="es-ES_tradnl"/>
        </w:rPr>
        <w:t>155.</w:t>
      </w:r>
      <w:r w:rsidRPr="0017609B">
        <w:rPr>
          <w:lang w:val="es-ES_tradnl"/>
        </w:rPr>
        <w:tab/>
        <w:t xml:space="preserve">En la encuesta </w:t>
      </w:r>
      <w:proofErr w:type="spellStart"/>
      <w:r w:rsidRPr="0017609B">
        <w:rPr>
          <w:lang w:val="es-ES_tradnl"/>
        </w:rPr>
        <w:t>MICS</w:t>
      </w:r>
      <w:proofErr w:type="spellEnd"/>
      <w:r w:rsidRPr="0017609B">
        <w:rPr>
          <w:lang w:val="es-ES_tradnl"/>
        </w:rPr>
        <w:t>-ELIM 2010 se evaluó el nivel de desarrollo que mostraban los niños en la primera infancia en cuatro ámbitos fundamentales: alfabetización y aritmética, desarrollo físico (capacidad y ausencia de enfermedades recurrentes), desarrollo socioemocional y aprendizaje (capacidad para seguir instrucciones sencillas, autonomía, etc.). El índice de desarrollo en la primera infancia es el porcentaje de niños de 36 a 59 meses que presentan un desarrollo adecuado en al menos tres de los cuatro ámbitos mencionados anteriormente. En Malí, ese porcentaje es del 46 %. La alfabetización y la aritmética registraron el porcentaje más bajo, con un 6 %, mientras que el desarrollo físico obtuvo el porcentaje más alto, con un 94 %</w:t>
      </w:r>
    </w:p>
    <w:p w14:paraId="3E8FBA8C" w14:textId="1C0E2241" w:rsidR="0017609B" w:rsidRPr="0017609B" w:rsidRDefault="007054B7" w:rsidP="007054B7">
      <w:pPr>
        <w:pStyle w:val="H56G"/>
        <w:rPr>
          <w:lang w:val="es-ES_tradnl"/>
        </w:rPr>
      </w:pPr>
      <w:r>
        <w:rPr>
          <w:lang w:val="es-ES_tradnl"/>
        </w:rPr>
        <w:tab/>
      </w:r>
      <w:r w:rsidR="0017609B" w:rsidRPr="0017609B">
        <w:rPr>
          <w:lang w:val="es-ES_tradnl"/>
        </w:rPr>
        <w:tab/>
        <w:t>Educación de los niños de edad preescolar</w:t>
      </w:r>
    </w:p>
    <w:p w14:paraId="2AF472EA" w14:textId="77777777" w:rsidR="0017609B" w:rsidRPr="0017609B" w:rsidRDefault="0017609B" w:rsidP="0017609B">
      <w:pPr>
        <w:pStyle w:val="SingleTxtG"/>
        <w:rPr>
          <w:lang w:val="es-ES_tradnl"/>
        </w:rPr>
      </w:pPr>
      <w:r w:rsidRPr="0017609B">
        <w:rPr>
          <w:lang w:val="es-ES_tradnl"/>
        </w:rPr>
        <w:t>156.</w:t>
      </w:r>
      <w:r w:rsidRPr="0017609B">
        <w:rPr>
          <w:lang w:val="es-ES_tradnl"/>
        </w:rPr>
        <w:tab/>
        <w:t xml:space="preserve">En Malí, solo el 10 % de los niños asiste a un programa preescolar. Las diferencias en este ámbito son muy notables, ya que el 40 % de los niños que asisten a este tipo de programas proceden de los hogares más ricos y casi ninguno, el 1 %, de los más pobres. </w:t>
      </w:r>
    </w:p>
    <w:p w14:paraId="7EE9549E" w14:textId="4C3FC496" w:rsidR="0017609B" w:rsidRPr="0017609B" w:rsidRDefault="007054B7" w:rsidP="007054B7">
      <w:pPr>
        <w:pStyle w:val="H56G"/>
        <w:rPr>
          <w:lang w:val="es-ES_tradnl"/>
        </w:rPr>
      </w:pPr>
      <w:bookmarkStart w:id="359" w:name="_Toc414372997"/>
      <w:bookmarkStart w:id="360" w:name="_Toc414373226"/>
      <w:bookmarkStart w:id="361" w:name="_Toc414377722"/>
      <w:r>
        <w:rPr>
          <w:lang w:val="es-ES_tradnl"/>
        </w:rPr>
        <w:tab/>
      </w:r>
      <w:r w:rsidR="0017609B" w:rsidRPr="0017609B">
        <w:rPr>
          <w:lang w:val="es-ES_tradnl"/>
        </w:rPr>
        <w:tab/>
        <w:t>Escolarización</w:t>
      </w:r>
      <w:r w:rsidR="0017609B" w:rsidRPr="0017609B">
        <w:rPr>
          <w:sz w:val="18"/>
          <w:szCs w:val="18"/>
          <w:vertAlign w:val="superscript"/>
          <w:lang w:val="es-ES_tradnl"/>
        </w:rPr>
        <w:footnoteReference w:id="4"/>
      </w:r>
      <w:bookmarkEnd w:id="359"/>
      <w:bookmarkEnd w:id="360"/>
      <w:bookmarkEnd w:id="361"/>
    </w:p>
    <w:p w14:paraId="58603AE4" w14:textId="01288B42" w:rsidR="0017609B" w:rsidRPr="0017609B" w:rsidRDefault="007054B7" w:rsidP="007054B7">
      <w:pPr>
        <w:pStyle w:val="H56G"/>
        <w:rPr>
          <w:lang w:val="es-ES_tradnl"/>
        </w:rPr>
      </w:pPr>
      <w:r>
        <w:rPr>
          <w:lang w:val="es-ES_tradnl"/>
        </w:rPr>
        <w:tab/>
      </w:r>
      <w:r w:rsidR="0017609B" w:rsidRPr="0017609B">
        <w:rPr>
          <w:lang w:val="es-ES_tradnl"/>
        </w:rPr>
        <w:tab/>
        <w:t>Primer ciclo</w:t>
      </w:r>
    </w:p>
    <w:p w14:paraId="7EC022A7" w14:textId="77777777" w:rsidR="0017609B" w:rsidRPr="0017609B" w:rsidRDefault="0017609B" w:rsidP="0017609B">
      <w:pPr>
        <w:pStyle w:val="SingleTxtG"/>
        <w:rPr>
          <w:lang w:val="es-ES_tradnl"/>
        </w:rPr>
      </w:pPr>
      <w:r w:rsidRPr="0017609B">
        <w:rPr>
          <w:lang w:val="es-ES_tradnl"/>
        </w:rPr>
        <w:t>157.</w:t>
      </w:r>
      <w:r w:rsidRPr="0017609B">
        <w:rPr>
          <w:lang w:val="es-ES_tradnl"/>
        </w:rPr>
        <w:tab/>
        <w:t>En 2010, la tasa bruta de matriculación escolar y la tasa neta de matriculación en el primer ciclo a escala nacional fueron del 75,4 % y el 54,3 %, respectivamente. Esos dos indicadores habían permanecido casi iguales con respecto a 2006 (75,4 % y 55, 2 %), pero variaban de forma considerable según la zona y, en menor medida, el sexo. En efecto, si se observa únicamente la tasa neta de matriculación, el indicador es más elevado en Bamako (50 %). La tasa neta de matriculación es del 56,7 % entre los niños y del 51,8 % entre las niñas.</w:t>
      </w:r>
    </w:p>
    <w:p w14:paraId="2BFE5B1A" w14:textId="0B7319FA" w:rsidR="0017609B" w:rsidRPr="0017609B" w:rsidRDefault="0017609B" w:rsidP="007054B7">
      <w:pPr>
        <w:pStyle w:val="SingleTxtG"/>
        <w:keepNext/>
        <w:keepLines/>
        <w:jc w:val="left"/>
        <w:rPr>
          <w:b/>
          <w:lang w:val="es-ES_tradnl"/>
        </w:rPr>
      </w:pPr>
      <w:bookmarkStart w:id="362" w:name="_Toc386807851"/>
      <w:bookmarkStart w:id="363" w:name="_Toc414372998"/>
      <w:bookmarkStart w:id="364" w:name="_Toc414373227"/>
      <w:bookmarkStart w:id="365" w:name="_Toc414377723"/>
      <w:r w:rsidRPr="0017609B">
        <w:rPr>
          <w:lang w:val="es-ES_tradnl"/>
        </w:rPr>
        <w:lastRenderedPageBreak/>
        <w:t xml:space="preserve">Gráfico 6 </w:t>
      </w:r>
      <w:r w:rsidRPr="0017609B">
        <w:rPr>
          <w:lang w:val="es-ES_tradnl"/>
        </w:rPr>
        <w:br/>
      </w:r>
      <w:r w:rsidRPr="0017609B">
        <w:rPr>
          <w:b/>
          <w:bCs/>
          <w:lang w:val="es-ES_tradnl"/>
        </w:rPr>
        <w:t>Tasa neta de matriculación en el primer ciclo por lugar de residencia</w:t>
      </w:r>
      <w:bookmarkEnd w:id="362"/>
      <w:bookmarkEnd w:id="363"/>
      <w:bookmarkEnd w:id="364"/>
      <w:bookmarkEnd w:id="365"/>
    </w:p>
    <w:p w14:paraId="57F9C6CA" w14:textId="77777777" w:rsidR="0017609B" w:rsidRPr="0017609B" w:rsidRDefault="0017609B" w:rsidP="0017609B">
      <w:pPr>
        <w:pStyle w:val="SingleTxtG"/>
        <w:rPr>
          <w:lang w:val="es-ES_tradnl"/>
        </w:rPr>
      </w:pPr>
      <w:r w:rsidRPr="0017609B">
        <w:rPr>
          <w:noProof/>
          <w:lang w:val="es-ES_tradnl"/>
        </w:rPr>
        <w:drawing>
          <wp:inline distT="0" distB="0" distL="0" distR="0" wp14:anchorId="6E6C7462" wp14:editId="51B9D2C1">
            <wp:extent cx="4462025" cy="18859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18066" cy="1909637"/>
                    </a:xfrm>
                    <a:prstGeom prst="rect">
                      <a:avLst/>
                    </a:prstGeom>
                    <a:noFill/>
                    <a:ln>
                      <a:noFill/>
                    </a:ln>
                  </pic:spPr>
                </pic:pic>
              </a:graphicData>
            </a:graphic>
          </wp:inline>
        </w:drawing>
      </w:r>
    </w:p>
    <w:p w14:paraId="244C2520" w14:textId="77777777" w:rsidR="0017609B" w:rsidRPr="0017609B" w:rsidRDefault="0017609B" w:rsidP="00AE189C">
      <w:pPr>
        <w:pStyle w:val="SingleTxtG"/>
        <w:spacing w:before="120" w:after="240"/>
        <w:ind w:firstLine="170"/>
        <w:jc w:val="left"/>
        <w:rPr>
          <w:sz w:val="18"/>
          <w:szCs w:val="18"/>
          <w:lang w:val="fr-FR"/>
        </w:rPr>
      </w:pPr>
      <w:r w:rsidRPr="0017609B">
        <w:rPr>
          <w:i/>
          <w:sz w:val="18"/>
          <w:szCs w:val="18"/>
          <w:lang w:val="fr-FR"/>
        </w:rPr>
        <w:t>Fuente:</w:t>
      </w:r>
      <w:r w:rsidRPr="0017609B">
        <w:rPr>
          <w:sz w:val="18"/>
          <w:szCs w:val="18"/>
          <w:lang w:val="fr-FR"/>
        </w:rPr>
        <w:t xml:space="preserve"> </w:t>
      </w:r>
      <w:proofErr w:type="spellStart"/>
      <w:r w:rsidRPr="0017609B">
        <w:rPr>
          <w:sz w:val="18"/>
          <w:szCs w:val="18"/>
          <w:lang w:val="fr-FR"/>
        </w:rPr>
        <w:t>MICS-ELIM</w:t>
      </w:r>
      <w:proofErr w:type="spellEnd"/>
      <w:r w:rsidRPr="0017609B">
        <w:rPr>
          <w:sz w:val="18"/>
          <w:szCs w:val="18"/>
          <w:lang w:val="fr-FR"/>
        </w:rPr>
        <w:t xml:space="preserve"> 2010.</w:t>
      </w:r>
    </w:p>
    <w:p w14:paraId="18390C20" w14:textId="68C32FA8" w:rsidR="0017609B" w:rsidRPr="0017609B" w:rsidRDefault="007054B7" w:rsidP="007054B7">
      <w:pPr>
        <w:pStyle w:val="H56G"/>
        <w:rPr>
          <w:lang w:val="es-ES_tradnl"/>
        </w:rPr>
      </w:pPr>
      <w:r>
        <w:rPr>
          <w:lang w:val="es-ES_tradnl"/>
        </w:rPr>
        <w:tab/>
      </w:r>
      <w:r w:rsidR="0017609B" w:rsidRPr="0017609B">
        <w:rPr>
          <w:lang w:val="es-ES_tradnl"/>
        </w:rPr>
        <w:tab/>
        <w:t>Segundo ciclo</w:t>
      </w:r>
    </w:p>
    <w:p w14:paraId="5F92F6BF" w14:textId="77777777" w:rsidR="0017609B" w:rsidRPr="0017609B" w:rsidRDefault="0017609B" w:rsidP="0017609B">
      <w:pPr>
        <w:pStyle w:val="SingleTxtG"/>
        <w:rPr>
          <w:lang w:val="es-ES_tradnl"/>
        </w:rPr>
      </w:pPr>
      <w:r w:rsidRPr="0017609B">
        <w:rPr>
          <w:lang w:val="es-ES_tradnl"/>
        </w:rPr>
        <w:t>158.</w:t>
      </w:r>
      <w:r w:rsidRPr="0017609B">
        <w:rPr>
          <w:lang w:val="es-ES_tradnl"/>
        </w:rPr>
        <w:tab/>
        <w:t>En lo que respecta al segundo ciclo, en 2010 mejoraron con respecto a 2006 tanto la tasa bruta como la tasa neta de matriculación a escala nacional, pasando del 36,9 % al 46,7 % y del 16,5 % al 22,8 %, respectivamente. La tasa neta de matriculación varía en función de la procedencia y del sexo.</w:t>
      </w:r>
    </w:p>
    <w:p w14:paraId="2410F666" w14:textId="7F62EB98" w:rsidR="0017609B" w:rsidRPr="0017609B" w:rsidRDefault="007054B7" w:rsidP="007054B7">
      <w:pPr>
        <w:pStyle w:val="H56G"/>
        <w:rPr>
          <w:lang w:val="es-ES_tradnl"/>
        </w:rPr>
      </w:pPr>
      <w:r>
        <w:rPr>
          <w:lang w:val="es-ES_tradnl"/>
        </w:rPr>
        <w:tab/>
      </w:r>
      <w:r w:rsidR="0017609B" w:rsidRPr="0017609B">
        <w:rPr>
          <w:lang w:val="es-ES_tradnl"/>
        </w:rPr>
        <w:tab/>
        <w:t>Enseñanza secundaria</w:t>
      </w:r>
    </w:p>
    <w:p w14:paraId="39C967F1" w14:textId="46CFDBA3" w:rsidR="0017609B" w:rsidRPr="0017609B" w:rsidRDefault="0017609B" w:rsidP="0017609B">
      <w:pPr>
        <w:pStyle w:val="SingleTxtG"/>
        <w:rPr>
          <w:lang w:val="es-ES_tradnl"/>
        </w:rPr>
      </w:pPr>
      <w:r w:rsidRPr="0017609B">
        <w:rPr>
          <w:lang w:val="es-ES_tradnl"/>
        </w:rPr>
        <w:t>159.</w:t>
      </w:r>
      <w:r w:rsidRPr="0017609B">
        <w:rPr>
          <w:lang w:val="es-ES_tradnl"/>
        </w:rPr>
        <w:tab/>
        <w:t>En el nivel de la enseñanza secundaria, en 2010, Malí tenía una tasa neta de matriculación del 13,2 %. Ese porcentaje representa un incremento notable con respecto a</w:t>
      </w:r>
      <w:r w:rsidR="00330F4E">
        <w:rPr>
          <w:lang w:val="es-ES_tradnl"/>
        </w:rPr>
        <w:t> </w:t>
      </w:r>
      <w:r w:rsidRPr="0017609B">
        <w:rPr>
          <w:lang w:val="es-ES_tradnl"/>
        </w:rPr>
        <w:t xml:space="preserve">2006, cuando era del 4,1 %. El esfuerzo dedicado a la escolarización en secundaria se constata en casi todas las regiones de Malí, si bien es más baja, un 7,3 %, en la parte septentrional (Tombuctú, Gao y Kidal). </w:t>
      </w:r>
    </w:p>
    <w:p w14:paraId="7EA56DED" w14:textId="77777777" w:rsidR="0017609B" w:rsidRPr="0017609B" w:rsidRDefault="0017609B" w:rsidP="0017609B">
      <w:pPr>
        <w:pStyle w:val="SingleTxtG"/>
        <w:rPr>
          <w:lang w:val="es-ES_tradnl"/>
        </w:rPr>
      </w:pPr>
      <w:r w:rsidRPr="0017609B">
        <w:rPr>
          <w:lang w:val="es-ES_tradnl"/>
        </w:rPr>
        <w:t>160.</w:t>
      </w:r>
      <w:r w:rsidRPr="0017609B">
        <w:rPr>
          <w:lang w:val="es-ES_tradnl"/>
        </w:rPr>
        <w:tab/>
        <w:t>En 2010, el 18,2 % de los alumnos matriculados en secundaria eran niños, mientras que el 8,8 % eran niñas. La brecha entre niñas y niños en este nivel educativo es muy pronunciada en todos los grupos regionales, y aún más en Bamako. Cabe señalar también que el nivel de vida de los hogares constituye un factor que influye en gran medida en la tasa de escolarización. Por ejemplo, el 22,6 % de los alumnos de secundaria proceden de los hogares más ricos, frente al 2,8 % de los más pobres.</w:t>
      </w:r>
    </w:p>
    <w:p w14:paraId="2B771416" w14:textId="119B8A10" w:rsidR="0017609B" w:rsidRPr="0017609B" w:rsidRDefault="0017609B" w:rsidP="007054B7">
      <w:pPr>
        <w:pStyle w:val="SingleTxtG"/>
        <w:jc w:val="left"/>
        <w:rPr>
          <w:b/>
          <w:lang w:val="es-ES_tradnl"/>
        </w:rPr>
      </w:pPr>
      <w:bookmarkStart w:id="366" w:name="_Toc386807857"/>
      <w:bookmarkStart w:id="367" w:name="_Toc414373006"/>
      <w:bookmarkStart w:id="368" w:name="_Toc414373235"/>
      <w:bookmarkStart w:id="369" w:name="_Toc414377731"/>
      <w:r w:rsidRPr="0017609B">
        <w:rPr>
          <w:lang w:val="es-ES_tradnl"/>
        </w:rPr>
        <w:t xml:space="preserve">Gráfico 7 </w:t>
      </w:r>
      <w:r w:rsidRPr="0017609B">
        <w:rPr>
          <w:lang w:val="es-ES_tradnl"/>
        </w:rPr>
        <w:br/>
      </w:r>
      <w:r w:rsidRPr="0017609B">
        <w:rPr>
          <w:b/>
          <w:bCs/>
          <w:lang w:val="es-ES_tradnl"/>
        </w:rPr>
        <w:t>Tasa neta de matriculación en secundaria por lugar de residencia</w:t>
      </w:r>
      <w:bookmarkEnd w:id="366"/>
      <w:bookmarkEnd w:id="367"/>
      <w:bookmarkEnd w:id="368"/>
      <w:bookmarkEnd w:id="369"/>
    </w:p>
    <w:p w14:paraId="124A548E" w14:textId="77777777" w:rsidR="0017609B" w:rsidRPr="0017609B" w:rsidRDefault="0017609B" w:rsidP="0017609B">
      <w:pPr>
        <w:pStyle w:val="SingleTxtG"/>
        <w:rPr>
          <w:i/>
          <w:lang w:val="es-ES_tradnl"/>
        </w:rPr>
      </w:pPr>
      <w:r w:rsidRPr="0017609B">
        <w:rPr>
          <w:noProof/>
          <w:lang w:val="es-ES_tradnl"/>
        </w:rPr>
        <w:drawing>
          <wp:inline distT="0" distB="0" distL="0" distR="0" wp14:anchorId="60D71964" wp14:editId="36F60505">
            <wp:extent cx="4648200" cy="1498038"/>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03437" cy="1515840"/>
                    </a:xfrm>
                    <a:prstGeom prst="rect">
                      <a:avLst/>
                    </a:prstGeom>
                    <a:noFill/>
                    <a:ln>
                      <a:noFill/>
                    </a:ln>
                  </pic:spPr>
                </pic:pic>
              </a:graphicData>
            </a:graphic>
          </wp:inline>
        </w:drawing>
      </w:r>
    </w:p>
    <w:p w14:paraId="489A86C7" w14:textId="77777777" w:rsidR="0017609B" w:rsidRPr="0017609B" w:rsidRDefault="0017609B" w:rsidP="00AE189C">
      <w:pPr>
        <w:pStyle w:val="SingleTxtG"/>
        <w:spacing w:before="120" w:after="240"/>
        <w:ind w:firstLine="170"/>
        <w:jc w:val="left"/>
        <w:rPr>
          <w:sz w:val="18"/>
          <w:szCs w:val="18"/>
          <w:lang w:val="fr-FR"/>
        </w:rPr>
      </w:pPr>
      <w:r w:rsidRPr="0017609B">
        <w:rPr>
          <w:i/>
          <w:sz w:val="18"/>
          <w:szCs w:val="18"/>
          <w:lang w:val="fr-FR"/>
        </w:rPr>
        <w:t>Fuente:</w:t>
      </w:r>
      <w:r w:rsidRPr="0017609B">
        <w:rPr>
          <w:sz w:val="18"/>
          <w:szCs w:val="18"/>
          <w:lang w:val="fr-FR"/>
        </w:rPr>
        <w:t xml:space="preserve"> </w:t>
      </w:r>
      <w:proofErr w:type="spellStart"/>
      <w:r w:rsidRPr="0017609B">
        <w:rPr>
          <w:sz w:val="18"/>
          <w:szCs w:val="18"/>
          <w:lang w:val="fr-FR"/>
        </w:rPr>
        <w:t>MICS-ELIM</w:t>
      </w:r>
      <w:proofErr w:type="spellEnd"/>
      <w:r w:rsidRPr="0017609B">
        <w:rPr>
          <w:sz w:val="18"/>
          <w:szCs w:val="18"/>
          <w:lang w:val="fr-FR"/>
        </w:rPr>
        <w:t xml:space="preserve"> 2010.</w:t>
      </w:r>
    </w:p>
    <w:p w14:paraId="6B316D29" w14:textId="77777777" w:rsidR="0017609B" w:rsidRPr="0017609B" w:rsidRDefault="0017609B" w:rsidP="0017609B">
      <w:pPr>
        <w:pStyle w:val="SingleTxtG"/>
        <w:rPr>
          <w:lang w:val="es-ES_tradnl"/>
        </w:rPr>
      </w:pPr>
      <w:r w:rsidRPr="0017609B">
        <w:rPr>
          <w:lang w:val="es-ES_tradnl"/>
        </w:rPr>
        <w:t>161.</w:t>
      </w:r>
      <w:r w:rsidRPr="0017609B">
        <w:rPr>
          <w:lang w:val="es-ES_tradnl"/>
        </w:rPr>
        <w:tab/>
        <w:t>En comparación con 2006, las tasas netas de matriculación en 2010 mejoraron en las zonas rurales frente a las urbanas. Esta mejora es mucho más pronunciada en el nivel de segundo ciclo que en otros niveles de estudio (véanse los gráficos a continuación).</w:t>
      </w:r>
    </w:p>
    <w:p w14:paraId="6235BB2C" w14:textId="4D9E23D3" w:rsidR="0017609B" w:rsidRPr="0017609B" w:rsidRDefault="0017609B" w:rsidP="007054B7">
      <w:pPr>
        <w:pStyle w:val="SingleTxtG"/>
        <w:keepNext/>
        <w:keepLines/>
        <w:jc w:val="left"/>
        <w:rPr>
          <w:b/>
          <w:lang w:val="es-ES_tradnl"/>
        </w:rPr>
      </w:pPr>
      <w:bookmarkStart w:id="370" w:name="_Toc386807860"/>
      <w:bookmarkStart w:id="371" w:name="_Toc414373009"/>
      <w:bookmarkStart w:id="372" w:name="_Toc414373238"/>
      <w:bookmarkStart w:id="373" w:name="_Toc414377734"/>
      <w:r w:rsidRPr="0017609B">
        <w:rPr>
          <w:lang w:val="es-ES_tradnl"/>
        </w:rPr>
        <w:lastRenderedPageBreak/>
        <w:t xml:space="preserve">Gráfico 8 </w:t>
      </w:r>
      <w:r w:rsidRPr="0017609B">
        <w:rPr>
          <w:lang w:val="es-ES_tradnl"/>
        </w:rPr>
        <w:br/>
      </w:r>
      <w:r w:rsidRPr="0017609B">
        <w:rPr>
          <w:b/>
          <w:bCs/>
          <w:lang w:val="es-ES_tradnl"/>
        </w:rPr>
        <w:t xml:space="preserve">Tasas de escolarización en el primer ciclo por sexo, región y grupo </w:t>
      </w:r>
      <w:r w:rsidR="007054B7">
        <w:rPr>
          <w:b/>
          <w:bCs/>
          <w:lang w:val="es-ES_tradnl"/>
        </w:rPr>
        <w:br/>
      </w:r>
      <w:r w:rsidRPr="0017609B">
        <w:rPr>
          <w:b/>
          <w:bCs/>
          <w:lang w:val="es-ES_tradnl"/>
        </w:rPr>
        <w:t>de regiones en 2010</w:t>
      </w:r>
      <w:bookmarkEnd w:id="370"/>
      <w:bookmarkEnd w:id="371"/>
      <w:bookmarkEnd w:id="372"/>
      <w:bookmarkEnd w:id="373"/>
    </w:p>
    <w:p w14:paraId="425A7BCC" w14:textId="77777777" w:rsidR="0017609B" w:rsidRPr="0017609B" w:rsidRDefault="0017609B" w:rsidP="0017609B">
      <w:pPr>
        <w:pStyle w:val="SingleTxtG"/>
        <w:rPr>
          <w:lang w:val="es-ES_tradnl"/>
        </w:rPr>
      </w:pPr>
      <w:r w:rsidRPr="0017609B">
        <w:rPr>
          <w:noProof/>
          <w:lang w:val="es-ES_tradnl"/>
        </w:rPr>
        <w:drawing>
          <wp:inline distT="0" distB="0" distL="0" distR="0" wp14:anchorId="172B55AE" wp14:editId="7482A4E9">
            <wp:extent cx="4322234" cy="1599076"/>
            <wp:effectExtent l="0" t="0" r="254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46153" cy="1607925"/>
                    </a:xfrm>
                    <a:prstGeom prst="rect">
                      <a:avLst/>
                    </a:prstGeom>
                    <a:noFill/>
                    <a:ln>
                      <a:noFill/>
                    </a:ln>
                  </pic:spPr>
                </pic:pic>
              </a:graphicData>
            </a:graphic>
          </wp:inline>
        </w:drawing>
      </w:r>
    </w:p>
    <w:p w14:paraId="244C21C5" w14:textId="77777777" w:rsidR="0017609B" w:rsidRPr="0017609B" w:rsidRDefault="0017609B" w:rsidP="00AE189C">
      <w:pPr>
        <w:pStyle w:val="SingleTxtG"/>
        <w:spacing w:before="120" w:after="240"/>
        <w:ind w:firstLine="170"/>
        <w:jc w:val="left"/>
        <w:rPr>
          <w:sz w:val="18"/>
          <w:szCs w:val="18"/>
          <w:lang w:val="fr-FR"/>
        </w:rPr>
      </w:pPr>
      <w:r w:rsidRPr="0017609B">
        <w:rPr>
          <w:i/>
          <w:sz w:val="18"/>
          <w:szCs w:val="18"/>
          <w:lang w:val="fr-FR"/>
        </w:rPr>
        <w:t>Fuente:</w:t>
      </w:r>
      <w:r w:rsidRPr="0017609B">
        <w:rPr>
          <w:sz w:val="18"/>
          <w:szCs w:val="18"/>
          <w:lang w:val="fr-FR"/>
        </w:rPr>
        <w:t xml:space="preserve"> </w:t>
      </w:r>
      <w:proofErr w:type="spellStart"/>
      <w:r w:rsidRPr="0017609B">
        <w:rPr>
          <w:sz w:val="18"/>
          <w:szCs w:val="18"/>
          <w:lang w:val="fr-FR"/>
        </w:rPr>
        <w:t>MICS-ELIM</w:t>
      </w:r>
      <w:proofErr w:type="spellEnd"/>
      <w:r w:rsidRPr="0017609B">
        <w:rPr>
          <w:sz w:val="18"/>
          <w:szCs w:val="18"/>
          <w:lang w:val="fr-FR"/>
        </w:rPr>
        <w:t xml:space="preserve"> 2010.</w:t>
      </w:r>
    </w:p>
    <w:p w14:paraId="17B8422F" w14:textId="215ED1AA" w:rsidR="0017609B" w:rsidRPr="0017609B" w:rsidRDefault="0017609B" w:rsidP="007054B7">
      <w:pPr>
        <w:pStyle w:val="SingleTxtG"/>
        <w:jc w:val="left"/>
        <w:rPr>
          <w:b/>
          <w:lang w:val="es-ES_tradnl"/>
        </w:rPr>
      </w:pPr>
      <w:bookmarkStart w:id="374" w:name="_Toc386807861"/>
      <w:bookmarkStart w:id="375" w:name="_Toc414373010"/>
      <w:bookmarkStart w:id="376" w:name="_Toc414373239"/>
      <w:bookmarkStart w:id="377" w:name="_Toc414377735"/>
      <w:r w:rsidRPr="0017609B">
        <w:rPr>
          <w:lang w:val="es-ES_tradnl"/>
        </w:rPr>
        <w:t xml:space="preserve">Gráfico 9 </w:t>
      </w:r>
      <w:r w:rsidRPr="0017609B">
        <w:rPr>
          <w:lang w:val="es-ES_tradnl"/>
        </w:rPr>
        <w:br/>
      </w:r>
      <w:r w:rsidRPr="0017609B">
        <w:rPr>
          <w:b/>
          <w:bCs/>
          <w:lang w:val="es-ES_tradnl"/>
        </w:rPr>
        <w:t xml:space="preserve">Tasas de escolarización en el segundo ciclo por sexo, región y grupo </w:t>
      </w:r>
      <w:r w:rsidR="007054B7">
        <w:rPr>
          <w:b/>
          <w:bCs/>
          <w:lang w:val="es-ES_tradnl"/>
        </w:rPr>
        <w:br/>
      </w:r>
      <w:r w:rsidRPr="0017609B">
        <w:rPr>
          <w:b/>
          <w:bCs/>
          <w:lang w:val="es-ES_tradnl"/>
        </w:rPr>
        <w:t>de regiones en 2010</w:t>
      </w:r>
      <w:bookmarkEnd w:id="374"/>
      <w:bookmarkEnd w:id="375"/>
      <w:bookmarkEnd w:id="376"/>
      <w:bookmarkEnd w:id="377"/>
    </w:p>
    <w:p w14:paraId="12CFC0B8" w14:textId="77777777" w:rsidR="0017609B" w:rsidRPr="0017609B" w:rsidRDefault="0017609B" w:rsidP="0017609B">
      <w:pPr>
        <w:pStyle w:val="SingleTxtG"/>
        <w:rPr>
          <w:lang w:val="es-ES_tradnl"/>
        </w:rPr>
      </w:pPr>
      <w:r w:rsidRPr="0017609B">
        <w:rPr>
          <w:noProof/>
          <w:lang w:val="es-ES_tradnl"/>
        </w:rPr>
        <w:drawing>
          <wp:inline distT="0" distB="0" distL="0" distR="0" wp14:anchorId="52FD8165" wp14:editId="6259D82E">
            <wp:extent cx="4305300" cy="166072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54889" cy="1679854"/>
                    </a:xfrm>
                    <a:prstGeom prst="rect">
                      <a:avLst/>
                    </a:prstGeom>
                    <a:noFill/>
                    <a:ln>
                      <a:noFill/>
                    </a:ln>
                  </pic:spPr>
                </pic:pic>
              </a:graphicData>
            </a:graphic>
          </wp:inline>
        </w:drawing>
      </w:r>
    </w:p>
    <w:p w14:paraId="47211CCC" w14:textId="77777777" w:rsidR="0017609B" w:rsidRPr="0017609B" w:rsidRDefault="0017609B" w:rsidP="00AE189C">
      <w:pPr>
        <w:pStyle w:val="SingleTxtG"/>
        <w:spacing w:before="120" w:after="240"/>
        <w:ind w:firstLine="170"/>
        <w:jc w:val="left"/>
        <w:rPr>
          <w:sz w:val="18"/>
          <w:szCs w:val="18"/>
          <w:lang w:val="fr-FR"/>
        </w:rPr>
      </w:pPr>
      <w:r w:rsidRPr="0017609B">
        <w:rPr>
          <w:i/>
          <w:sz w:val="18"/>
          <w:szCs w:val="18"/>
          <w:lang w:val="fr-FR"/>
        </w:rPr>
        <w:t>Fuente:</w:t>
      </w:r>
      <w:r w:rsidRPr="0017609B">
        <w:rPr>
          <w:sz w:val="18"/>
          <w:szCs w:val="18"/>
          <w:lang w:val="fr-FR"/>
        </w:rPr>
        <w:t xml:space="preserve"> </w:t>
      </w:r>
      <w:proofErr w:type="spellStart"/>
      <w:r w:rsidRPr="0017609B">
        <w:rPr>
          <w:sz w:val="18"/>
          <w:szCs w:val="18"/>
          <w:lang w:val="fr-FR"/>
        </w:rPr>
        <w:t>MICS-ELIM</w:t>
      </w:r>
      <w:proofErr w:type="spellEnd"/>
      <w:r w:rsidRPr="0017609B">
        <w:rPr>
          <w:sz w:val="18"/>
          <w:szCs w:val="18"/>
          <w:lang w:val="fr-FR"/>
        </w:rPr>
        <w:t xml:space="preserve"> 2010.</w:t>
      </w:r>
    </w:p>
    <w:p w14:paraId="5C5AA2A9" w14:textId="70E18CE9" w:rsidR="0017609B" w:rsidRPr="0017609B" w:rsidRDefault="0017609B" w:rsidP="007054B7">
      <w:pPr>
        <w:pStyle w:val="SingleTxtG"/>
        <w:jc w:val="left"/>
        <w:rPr>
          <w:b/>
          <w:lang w:val="es-ES_tradnl"/>
        </w:rPr>
      </w:pPr>
      <w:bookmarkStart w:id="378" w:name="_Toc386807862"/>
      <w:bookmarkStart w:id="379" w:name="_Toc414373011"/>
      <w:bookmarkStart w:id="380" w:name="_Toc414373240"/>
      <w:bookmarkStart w:id="381" w:name="_Toc414377736"/>
      <w:r w:rsidRPr="0017609B">
        <w:rPr>
          <w:lang w:val="es-ES_tradnl"/>
        </w:rPr>
        <w:t>Gráfico 10</w:t>
      </w:r>
      <w:r w:rsidRPr="0017609B">
        <w:rPr>
          <w:lang w:val="es-ES_tradnl"/>
        </w:rPr>
        <w:br/>
      </w:r>
      <w:r w:rsidRPr="0017609B">
        <w:rPr>
          <w:b/>
          <w:bCs/>
          <w:lang w:val="es-ES_tradnl"/>
        </w:rPr>
        <w:t xml:space="preserve">Tasas de escolarización en secundaria por sexo y grupo de regiones </w:t>
      </w:r>
      <w:r w:rsidR="007054B7">
        <w:rPr>
          <w:b/>
          <w:bCs/>
          <w:lang w:val="es-ES_tradnl"/>
        </w:rPr>
        <w:br/>
      </w:r>
      <w:r w:rsidRPr="0017609B">
        <w:rPr>
          <w:b/>
          <w:bCs/>
          <w:lang w:val="es-ES_tradnl"/>
        </w:rPr>
        <w:t>en 2010</w:t>
      </w:r>
      <w:bookmarkEnd w:id="378"/>
      <w:bookmarkEnd w:id="379"/>
      <w:bookmarkEnd w:id="380"/>
      <w:bookmarkEnd w:id="381"/>
    </w:p>
    <w:p w14:paraId="1C1F2475" w14:textId="77777777" w:rsidR="0017609B" w:rsidRPr="0017609B" w:rsidRDefault="0017609B" w:rsidP="0017609B">
      <w:pPr>
        <w:pStyle w:val="SingleTxtG"/>
        <w:rPr>
          <w:lang w:val="es-ES_tradnl"/>
        </w:rPr>
      </w:pPr>
      <w:r w:rsidRPr="0017609B">
        <w:rPr>
          <w:noProof/>
          <w:lang w:val="es-ES_tradnl"/>
        </w:rPr>
        <w:drawing>
          <wp:inline distT="0" distB="0" distL="0" distR="0" wp14:anchorId="2BC74A68" wp14:editId="177E4EA0">
            <wp:extent cx="4275667" cy="172284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24292" cy="1742434"/>
                    </a:xfrm>
                    <a:prstGeom prst="rect">
                      <a:avLst/>
                    </a:prstGeom>
                    <a:noFill/>
                    <a:ln>
                      <a:noFill/>
                    </a:ln>
                  </pic:spPr>
                </pic:pic>
              </a:graphicData>
            </a:graphic>
          </wp:inline>
        </w:drawing>
      </w:r>
    </w:p>
    <w:p w14:paraId="71C66807" w14:textId="77777777" w:rsidR="0017609B" w:rsidRPr="0017609B" w:rsidRDefault="0017609B" w:rsidP="00AE189C">
      <w:pPr>
        <w:pStyle w:val="SingleTxtG"/>
        <w:spacing w:before="120" w:after="240"/>
        <w:ind w:firstLine="170"/>
        <w:jc w:val="left"/>
        <w:rPr>
          <w:sz w:val="18"/>
          <w:szCs w:val="18"/>
          <w:lang w:val="fr-FR"/>
        </w:rPr>
      </w:pPr>
      <w:r w:rsidRPr="0017609B">
        <w:rPr>
          <w:i/>
          <w:sz w:val="18"/>
          <w:szCs w:val="18"/>
          <w:lang w:val="fr-FR"/>
        </w:rPr>
        <w:t>Fuente:</w:t>
      </w:r>
      <w:r w:rsidRPr="0017609B">
        <w:rPr>
          <w:sz w:val="18"/>
          <w:szCs w:val="18"/>
          <w:lang w:val="fr-FR"/>
        </w:rPr>
        <w:t xml:space="preserve"> </w:t>
      </w:r>
      <w:proofErr w:type="spellStart"/>
      <w:r w:rsidRPr="0017609B">
        <w:rPr>
          <w:sz w:val="18"/>
          <w:szCs w:val="18"/>
          <w:lang w:val="fr-FR"/>
        </w:rPr>
        <w:t>MICS-ELIM</w:t>
      </w:r>
      <w:proofErr w:type="spellEnd"/>
      <w:r w:rsidRPr="0017609B">
        <w:rPr>
          <w:sz w:val="18"/>
          <w:szCs w:val="18"/>
          <w:lang w:val="fr-FR"/>
        </w:rPr>
        <w:t xml:space="preserve"> 2010.</w:t>
      </w:r>
    </w:p>
    <w:p w14:paraId="6391D857" w14:textId="0EB26F58" w:rsidR="0017609B" w:rsidRPr="0017609B" w:rsidRDefault="0017609B" w:rsidP="007054B7">
      <w:pPr>
        <w:pStyle w:val="SingleTxtG"/>
        <w:keepNext/>
        <w:keepLines/>
        <w:jc w:val="left"/>
        <w:rPr>
          <w:b/>
          <w:lang w:val="es-ES_tradnl"/>
        </w:rPr>
      </w:pPr>
      <w:bookmarkStart w:id="382" w:name="_Toc386807863"/>
      <w:bookmarkStart w:id="383" w:name="_Toc414373012"/>
      <w:bookmarkStart w:id="384" w:name="_Toc414373241"/>
      <w:bookmarkStart w:id="385" w:name="_Toc414377737"/>
      <w:r w:rsidRPr="0017609B">
        <w:rPr>
          <w:lang w:val="es-ES_tradnl"/>
        </w:rPr>
        <w:lastRenderedPageBreak/>
        <w:t xml:space="preserve">Gráfico 11 </w:t>
      </w:r>
      <w:r w:rsidRPr="0017609B">
        <w:rPr>
          <w:lang w:val="es-ES_tradnl"/>
        </w:rPr>
        <w:br/>
      </w:r>
      <w:r w:rsidRPr="0017609B">
        <w:rPr>
          <w:b/>
          <w:bCs/>
          <w:lang w:val="es-ES_tradnl"/>
        </w:rPr>
        <w:t xml:space="preserve">Proporción de niñas y niños en el primer ciclo por región y grupo </w:t>
      </w:r>
      <w:r w:rsidR="007054B7">
        <w:rPr>
          <w:b/>
          <w:bCs/>
          <w:lang w:val="es-ES_tradnl"/>
        </w:rPr>
        <w:br/>
      </w:r>
      <w:r w:rsidRPr="0017609B">
        <w:rPr>
          <w:b/>
          <w:bCs/>
          <w:lang w:val="es-ES_tradnl"/>
        </w:rPr>
        <w:t>de regiones</w:t>
      </w:r>
      <w:bookmarkEnd w:id="382"/>
      <w:bookmarkEnd w:id="383"/>
      <w:bookmarkEnd w:id="384"/>
      <w:bookmarkEnd w:id="385"/>
    </w:p>
    <w:p w14:paraId="6D256EEC" w14:textId="77777777" w:rsidR="0017609B" w:rsidRPr="0017609B" w:rsidRDefault="0017609B" w:rsidP="0017609B">
      <w:pPr>
        <w:pStyle w:val="SingleTxtG"/>
        <w:rPr>
          <w:lang w:val="es-ES_tradnl"/>
        </w:rPr>
      </w:pPr>
      <w:r w:rsidRPr="0017609B">
        <w:rPr>
          <w:noProof/>
          <w:lang w:val="es-ES_tradnl"/>
        </w:rPr>
        <w:drawing>
          <wp:inline distT="0" distB="0" distL="0" distR="0" wp14:anchorId="639B179B" wp14:editId="4FE57A16">
            <wp:extent cx="4360334" cy="1725324"/>
            <wp:effectExtent l="0" t="0" r="254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00066" cy="1741045"/>
                    </a:xfrm>
                    <a:prstGeom prst="rect">
                      <a:avLst/>
                    </a:prstGeom>
                    <a:noFill/>
                    <a:ln>
                      <a:noFill/>
                    </a:ln>
                  </pic:spPr>
                </pic:pic>
              </a:graphicData>
            </a:graphic>
          </wp:inline>
        </w:drawing>
      </w:r>
    </w:p>
    <w:p w14:paraId="501D5476" w14:textId="77777777" w:rsidR="0017609B" w:rsidRPr="0017609B" w:rsidRDefault="0017609B" w:rsidP="00AE189C">
      <w:pPr>
        <w:pStyle w:val="SingleTxtG"/>
        <w:spacing w:before="120" w:after="240"/>
        <w:ind w:firstLine="170"/>
        <w:jc w:val="left"/>
        <w:rPr>
          <w:sz w:val="18"/>
          <w:szCs w:val="18"/>
          <w:lang w:val="fr-FR"/>
        </w:rPr>
      </w:pPr>
      <w:r w:rsidRPr="0017609B">
        <w:rPr>
          <w:i/>
          <w:sz w:val="18"/>
          <w:szCs w:val="18"/>
          <w:lang w:val="fr-FR"/>
        </w:rPr>
        <w:t>Fuente:</w:t>
      </w:r>
      <w:r w:rsidRPr="0017609B">
        <w:rPr>
          <w:sz w:val="18"/>
          <w:szCs w:val="18"/>
          <w:lang w:val="fr-FR"/>
        </w:rPr>
        <w:t xml:space="preserve"> </w:t>
      </w:r>
      <w:proofErr w:type="spellStart"/>
      <w:r w:rsidRPr="0017609B">
        <w:rPr>
          <w:sz w:val="18"/>
          <w:szCs w:val="18"/>
          <w:lang w:val="fr-FR"/>
        </w:rPr>
        <w:t>MICS-ELIM</w:t>
      </w:r>
      <w:proofErr w:type="spellEnd"/>
      <w:r w:rsidRPr="0017609B">
        <w:rPr>
          <w:sz w:val="18"/>
          <w:szCs w:val="18"/>
          <w:lang w:val="fr-FR"/>
        </w:rPr>
        <w:t xml:space="preserve"> 2010.</w:t>
      </w:r>
    </w:p>
    <w:p w14:paraId="103E0F1B" w14:textId="23ABBE5B" w:rsidR="0017609B" w:rsidRPr="0017609B" w:rsidRDefault="0017609B" w:rsidP="007054B7">
      <w:pPr>
        <w:pStyle w:val="SingleTxtG"/>
        <w:jc w:val="left"/>
        <w:rPr>
          <w:b/>
          <w:lang w:val="es-ES_tradnl"/>
        </w:rPr>
      </w:pPr>
      <w:bookmarkStart w:id="386" w:name="_Toc386807864"/>
      <w:bookmarkStart w:id="387" w:name="_Toc414373013"/>
      <w:bookmarkStart w:id="388" w:name="_Toc414373242"/>
      <w:bookmarkStart w:id="389" w:name="_Toc414377738"/>
      <w:r w:rsidRPr="0017609B">
        <w:rPr>
          <w:lang w:val="es-ES_tradnl"/>
        </w:rPr>
        <w:t>Gráfico 12</w:t>
      </w:r>
      <w:r w:rsidRPr="0017609B">
        <w:rPr>
          <w:lang w:val="es-ES_tradnl"/>
        </w:rPr>
        <w:br/>
      </w:r>
      <w:r w:rsidRPr="0017609B">
        <w:rPr>
          <w:b/>
          <w:bCs/>
          <w:lang w:val="es-ES_tradnl"/>
        </w:rPr>
        <w:t xml:space="preserve">Proporción de niñas y niños en el segundo ciclo por región y grupo </w:t>
      </w:r>
      <w:r w:rsidR="007054B7">
        <w:rPr>
          <w:b/>
          <w:bCs/>
          <w:lang w:val="es-ES_tradnl"/>
        </w:rPr>
        <w:br/>
      </w:r>
      <w:r w:rsidRPr="0017609B">
        <w:rPr>
          <w:b/>
          <w:bCs/>
          <w:lang w:val="es-ES_tradnl"/>
        </w:rPr>
        <w:t>de regiones</w:t>
      </w:r>
      <w:bookmarkEnd w:id="386"/>
      <w:bookmarkEnd w:id="387"/>
      <w:bookmarkEnd w:id="388"/>
      <w:bookmarkEnd w:id="389"/>
    </w:p>
    <w:p w14:paraId="37D6494A" w14:textId="77777777" w:rsidR="0017609B" w:rsidRPr="0017609B" w:rsidRDefault="0017609B" w:rsidP="0017609B">
      <w:pPr>
        <w:pStyle w:val="SingleTxtG"/>
        <w:rPr>
          <w:lang w:val="es-ES_tradnl"/>
        </w:rPr>
      </w:pPr>
      <w:r w:rsidRPr="0017609B">
        <w:rPr>
          <w:noProof/>
          <w:lang w:val="es-ES_tradnl"/>
        </w:rPr>
        <w:drawing>
          <wp:inline distT="0" distB="0" distL="0" distR="0" wp14:anchorId="31898399" wp14:editId="038A43C0">
            <wp:extent cx="4377267" cy="1383799"/>
            <wp:effectExtent l="0" t="0" r="4445"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08124" cy="1393554"/>
                    </a:xfrm>
                    <a:prstGeom prst="rect">
                      <a:avLst/>
                    </a:prstGeom>
                    <a:noFill/>
                    <a:ln>
                      <a:noFill/>
                    </a:ln>
                  </pic:spPr>
                </pic:pic>
              </a:graphicData>
            </a:graphic>
          </wp:inline>
        </w:drawing>
      </w:r>
    </w:p>
    <w:p w14:paraId="32C6647D" w14:textId="77777777" w:rsidR="0017609B" w:rsidRPr="0017609B" w:rsidRDefault="0017609B" w:rsidP="00AE189C">
      <w:pPr>
        <w:pStyle w:val="SingleTxtG"/>
        <w:spacing w:before="120" w:after="240"/>
        <w:ind w:firstLine="170"/>
        <w:jc w:val="left"/>
        <w:rPr>
          <w:sz w:val="18"/>
          <w:szCs w:val="18"/>
          <w:lang w:val="fr-FR"/>
        </w:rPr>
      </w:pPr>
      <w:r w:rsidRPr="0017609B">
        <w:rPr>
          <w:i/>
          <w:sz w:val="18"/>
          <w:szCs w:val="18"/>
          <w:lang w:val="fr-FR"/>
        </w:rPr>
        <w:t>Fuente:</w:t>
      </w:r>
      <w:r w:rsidRPr="0017609B">
        <w:rPr>
          <w:sz w:val="18"/>
          <w:szCs w:val="18"/>
          <w:lang w:val="fr-FR"/>
        </w:rPr>
        <w:t xml:space="preserve"> </w:t>
      </w:r>
      <w:proofErr w:type="spellStart"/>
      <w:r w:rsidRPr="0017609B">
        <w:rPr>
          <w:sz w:val="18"/>
          <w:szCs w:val="18"/>
          <w:lang w:val="fr-FR"/>
        </w:rPr>
        <w:t>MICS-ELIM</w:t>
      </w:r>
      <w:proofErr w:type="spellEnd"/>
      <w:r w:rsidRPr="0017609B">
        <w:rPr>
          <w:sz w:val="18"/>
          <w:szCs w:val="18"/>
          <w:lang w:val="fr-FR"/>
        </w:rPr>
        <w:t xml:space="preserve"> 2010.</w:t>
      </w:r>
    </w:p>
    <w:p w14:paraId="0009E9A1" w14:textId="64712BFF" w:rsidR="0017609B" w:rsidRPr="0017609B" w:rsidRDefault="0017609B" w:rsidP="007054B7">
      <w:pPr>
        <w:pStyle w:val="SingleTxtG"/>
        <w:jc w:val="left"/>
        <w:rPr>
          <w:b/>
          <w:lang w:val="es-ES_tradnl"/>
        </w:rPr>
      </w:pPr>
      <w:bookmarkStart w:id="390" w:name="_Toc386807865"/>
      <w:bookmarkStart w:id="391" w:name="_Toc414373014"/>
      <w:bookmarkStart w:id="392" w:name="_Toc414373243"/>
      <w:bookmarkStart w:id="393" w:name="_Toc414377739"/>
      <w:r w:rsidRPr="0017609B">
        <w:rPr>
          <w:lang w:val="es-ES_tradnl"/>
        </w:rPr>
        <w:t>Gráfico 13</w:t>
      </w:r>
      <w:r w:rsidRPr="0017609B">
        <w:rPr>
          <w:lang w:val="es-ES_tradnl"/>
        </w:rPr>
        <w:br/>
      </w:r>
      <w:r w:rsidRPr="0017609B">
        <w:rPr>
          <w:b/>
          <w:bCs/>
          <w:lang w:val="es-ES_tradnl"/>
        </w:rPr>
        <w:t xml:space="preserve">Proporción de niñas y niños en secundaria por región y grupo </w:t>
      </w:r>
      <w:r w:rsidR="007054B7">
        <w:rPr>
          <w:b/>
          <w:bCs/>
          <w:lang w:val="es-ES_tradnl"/>
        </w:rPr>
        <w:br/>
      </w:r>
      <w:r w:rsidRPr="0017609B">
        <w:rPr>
          <w:b/>
          <w:bCs/>
          <w:lang w:val="es-ES_tradnl"/>
        </w:rPr>
        <w:t>de regiones</w:t>
      </w:r>
      <w:bookmarkEnd w:id="390"/>
      <w:bookmarkEnd w:id="391"/>
      <w:bookmarkEnd w:id="392"/>
      <w:bookmarkEnd w:id="393"/>
    </w:p>
    <w:p w14:paraId="17546D47" w14:textId="77777777" w:rsidR="0017609B" w:rsidRPr="0017609B" w:rsidRDefault="0017609B" w:rsidP="0017609B">
      <w:pPr>
        <w:pStyle w:val="SingleTxtG"/>
        <w:rPr>
          <w:lang w:val="es-ES_tradnl"/>
        </w:rPr>
      </w:pPr>
      <w:r w:rsidRPr="0017609B">
        <w:rPr>
          <w:noProof/>
          <w:lang w:val="es-ES_tradnl"/>
        </w:rPr>
        <w:drawing>
          <wp:inline distT="0" distB="0" distL="0" distR="0" wp14:anchorId="6A55D4F2" wp14:editId="79D72A97">
            <wp:extent cx="4334934" cy="1782456"/>
            <wp:effectExtent l="0" t="0" r="889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91172" cy="1805580"/>
                    </a:xfrm>
                    <a:prstGeom prst="rect">
                      <a:avLst/>
                    </a:prstGeom>
                    <a:noFill/>
                    <a:ln>
                      <a:noFill/>
                    </a:ln>
                  </pic:spPr>
                </pic:pic>
              </a:graphicData>
            </a:graphic>
          </wp:inline>
        </w:drawing>
      </w:r>
    </w:p>
    <w:p w14:paraId="1CF10195" w14:textId="77777777" w:rsidR="0017609B" w:rsidRPr="0017609B" w:rsidRDefault="0017609B" w:rsidP="00AE189C">
      <w:pPr>
        <w:pStyle w:val="SingleTxtG"/>
        <w:spacing w:before="120" w:after="240"/>
        <w:ind w:firstLine="170"/>
        <w:jc w:val="left"/>
        <w:rPr>
          <w:sz w:val="18"/>
          <w:szCs w:val="18"/>
          <w:lang w:val="fr-FR"/>
        </w:rPr>
      </w:pPr>
      <w:r w:rsidRPr="0017609B">
        <w:rPr>
          <w:i/>
          <w:sz w:val="18"/>
          <w:szCs w:val="18"/>
          <w:lang w:val="fr-FR"/>
        </w:rPr>
        <w:t>Fuente:</w:t>
      </w:r>
      <w:r w:rsidRPr="0017609B">
        <w:rPr>
          <w:sz w:val="18"/>
          <w:szCs w:val="18"/>
          <w:lang w:val="fr-FR"/>
        </w:rPr>
        <w:t xml:space="preserve"> </w:t>
      </w:r>
      <w:proofErr w:type="spellStart"/>
      <w:r w:rsidRPr="0017609B">
        <w:rPr>
          <w:sz w:val="18"/>
          <w:szCs w:val="18"/>
          <w:lang w:val="fr-FR"/>
        </w:rPr>
        <w:t>MICS-ELIM</w:t>
      </w:r>
      <w:proofErr w:type="spellEnd"/>
      <w:r w:rsidRPr="0017609B">
        <w:rPr>
          <w:sz w:val="18"/>
          <w:szCs w:val="18"/>
          <w:lang w:val="fr-FR"/>
        </w:rPr>
        <w:t xml:space="preserve"> 2010.</w:t>
      </w:r>
    </w:p>
    <w:p w14:paraId="64D66885" w14:textId="77777777" w:rsidR="0017609B" w:rsidRPr="0017609B" w:rsidRDefault="0017609B" w:rsidP="007054B7">
      <w:pPr>
        <w:pStyle w:val="H4G"/>
        <w:rPr>
          <w:lang w:val="es-ES_tradnl"/>
        </w:rPr>
      </w:pPr>
      <w:bookmarkStart w:id="394" w:name="_Toc414373015"/>
      <w:bookmarkStart w:id="395" w:name="_Toc414373244"/>
      <w:bookmarkStart w:id="396" w:name="_Toc414377740"/>
      <w:bookmarkStart w:id="397" w:name="_Toc35441124"/>
      <w:r w:rsidRPr="0017609B">
        <w:rPr>
          <w:lang w:val="es-ES_tradnl"/>
        </w:rPr>
        <w:tab/>
        <w:t>7.1.2</w:t>
      </w:r>
      <w:r w:rsidRPr="0017609B">
        <w:rPr>
          <w:lang w:val="es-ES_tradnl"/>
        </w:rPr>
        <w:tab/>
        <w:t>Asistencia escolar</w:t>
      </w:r>
      <w:bookmarkEnd w:id="394"/>
      <w:bookmarkEnd w:id="395"/>
      <w:bookmarkEnd w:id="396"/>
      <w:bookmarkEnd w:id="397"/>
    </w:p>
    <w:p w14:paraId="10749135" w14:textId="77777777" w:rsidR="0017609B" w:rsidRPr="0017609B" w:rsidRDefault="0017609B" w:rsidP="0017609B">
      <w:pPr>
        <w:pStyle w:val="SingleTxtG"/>
        <w:rPr>
          <w:lang w:val="es-ES_tradnl"/>
        </w:rPr>
      </w:pPr>
      <w:r w:rsidRPr="0017609B">
        <w:rPr>
          <w:lang w:val="es-ES_tradnl"/>
        </w:rPr>
        <w:t>162.</w:t>
      </w:r>
      <w:r w:rsidRPr="0017609B">
        <w:rPr>
          <w:lang w:val="es-ES_tradnl"/>
        </w:rPr>
        <w:tab/>
        <w:t xml:space="preserve">Según los resultados de la encuesta </w:t>
      </w:r>
      <w:proofErr w:type="spellStart"/>
      <w:r w:rsidRPr="0017609B">
        <w:rPr>
          <w:lang w:val="es-ES_tradnl"/>
        </w:rPr>
        <w:t>MICS</w:t>
      </w:r>
      <w:proofErr w:type="spellEnd"/>
      <w:r w:rsidRPr="0017609B">
        <w:rPr>
          <w:lang w:val="es-ES_tradnl"/>
        </w:rPr>
        <w:t>-ELIM 2010, la tasa neta de asistencia escolar sigue siendo baja. Menos de 6 de cada 10 niños en edad escolar asisten realmente a la escuela primaria.</w:t>
      </w:r>
    </w:p>
    <w:p w14:paraId="62F35E64" w14:textId="77777777" w:rsidR="0017609B" w:rsidRPr="0017609B" w:rsidRDefault="0017609B" w:rsidP="007054B7">
      <w:pPr>
        <w:pStyle w:val="H4G"/>
        <w:rPr>
          <w:lang w:val="es-ES_tradnl"/>
        </w:rPr>
      </w:pPr>
      <w:bookmarkStart w:id="398" w:name="_Toc414373016"/>
      <w:bookmarkStart w:id="399" w:name="_Toc414373245"/>
      <w:bookmarkStart w:id="400" w:name="_Toc414377741"/>
      <w:bookmarkStart w:id="401" w:name="_Toc35441125"/>
      <w:r w:rsidRPr="0017609B">
        <w:rPr>
          <w:lang w:val="es-ES_tradnl"/>
        </w:rPr>
        <w:lastRenderedPageBreak/>
        <w:tab/>
        <w:t>7.1.3</w:t>
      </w:r>
      <w:r w:rsidRPr="0017609B">
        <w:rPr>
          <w:lang w:val="es-ES_tradnl"/>
        </w:rPr>
        <w:tab/>
        <w:t>Alfabetización de las jóvenes</w:t>
      </w:r>
      <w:r w:rsidRPr="0017609B">
        <w:rPr>
          <w:sz w:val="18"/>
          <w:szCs w:val="18"/>
          <w:vertAlign w:val="superscript"/>
          <w:lang w:val="es-ES_tradnl"/>
        </w:rPr>
        <w:footnoteReference w:id="5"/>
      </w:r>
      <w:bookmarkEnd w:id="398"/>
      <w:bookmarkEnd w:id="399"/>
      <w:bookmarkEnd w:id="400"/>
      <w:bookmarkEnd w:id="401"/>
    </w:p>
    <w:p w14:paraId="2D790EC0" w14:textId="77777777" w:rsidR="0017609B" w:rsidRPr="0017609B" w:rsidRDefault="0017609B" w:rsidP="0017609B">
      <w:pPr>
        <w:pStyle w:val="SingleTxtG"/>
        <w:rPr>
          <w:lang w:val="es-ES_tradnl"/>
        </w:rPr>
      </w:pPr>
      <w:r w:rsidRPr="0017609B">
        <w:rPr>
          <w:lang w:val="es-ES_tradnl"/>
        </w:rPr>
        <w:t>163.</w:t>
      </w:r>
      <w:r w:rsidRPr="0017609B">
        <w:rPr>
          <w:lang w:val="es-ES_tradnl"/>
        </w:rPr>
        <w:tab/>
        <w:t>El 23 % de las jóvenes de 15 a 24 años están alfabetizadas. Se registran diferencias en función del nivel de bienestar económico de los hogares.</w:t>
      </w:r>
    </w:p>
    <w:p w14:paraId="1837AF39" w14:textId="77777777" w:rsidR="0017609B" w:rsidRPr="0017609B" w:rsidRDefault="0017609B" w:rsidP="007054B7">
      <w:pPr>
        <w:pStyle w:val="H23G"/>
        <w:rPr>
          <w:lang w:val="es-ES_tradnl"/>
        </w:rPr>
      </w:pPr>
      <w:bookmarkStart w:id="402" w:name="_Toc414373017"/>
      <w:bookmarkStart w:id="403" w:name="_Toc414377742"/>
      <w:bookmarkStart w:id="404" w:name="_Toc35441126"/>
      <w:r w:rsidRPr="0017609B">
        <w:rPr>
          <w:lang w:val="es-ES_tradnl"/>
        </w:rPr>
        <w:tab/>
        <w:t>7.2</w:t>
      </w:r>
      <w:r w:rsidRPr="0017609B">
        <w:rPr>
          <w:lang w:val="es-ES_tradnl"/>
        </w:rPr>
        <w:tab/>
        <w:t>Restricciones y límites</w:t>
      </w:r>
      <w:bookmarkEnd w:id="402"/>
      <w:bookmarkEnd w:id="403"/>
      <w:bookmarkEnd w:id="404"/>
    </w:p>
    <w:p w14:paraId="2B49DE86" w14:textId="77777777" w:rsidR="0017609B" w:rsidRPr="0017609B" w:rsidRDefault="0017609B" w:rsidP="0017609B">
      <w:pPr>
        <w:pStyle w:val="SingleTxtG"/>
        <w:rPr>
          <w:lang w:val="es-ES_tradnl"/>
        </w:rPr>
      </w:pPr>
      <w:r w:rsidRPr="0017609B">
        <w:rPr>
          <w:lang w:val="es-ES_tradnl"/>
        </w:rPr>
        <w:t>164.</w:t>
      </w:r>
      <w:r w:rsidRPr="0017609B">
        <w:rPr>
          <w:lang w:val="es-ES_tradnl"/>
        </w:rPr>
        <w:tab/>
        <w:t xml:space="preserve">Los resultados del estudio sobre la asistencia escolar de los niños de 7 a 18 años realizado en 2012 por tres organizaciones (Instituto Nacional de Estadística de Malí, Instituto de Humanidades y </w:t>
      </w:r>
      <w:proofErr w:type="spellStart"/>
      <w:r w:rsidRPr="0017609B">
        <w:rPr>
          <w:lang w:val="es-ES_tradnl"/>
        </w:rPr>
        <w:t>CEPS</w:t>
      </w:r>
      <w:proofErr w:type="spellEnd"/>
      <w:r w:rsidRPr="0017609B">
        <w:rPr>
          <w:lang w:val="es-ES_tradnl"/>
        </w:rPr>
        <w:t>/</w:t>
      </w:r>
      <w:proofErr w:type="spellStart"/>
      <w:r w:rsidRPr="0017609B">
        <w:rPr>
          <w:lang w:val="es-ES_tradnl"/>
        </w:rPr>
        <w:t>INSTEAD</w:t>
      </w:r>
      <w:proofErr w:type="spellEnd"/>
      <w:r w:rsidRPr="0017609B">
        <w:rPr>
          <w:lang w:val="es-ES_tradnl"/>
        </w:rPr>
        <w:t xml:space="preserve">) revelan dos hechos importantes: </w:t>
      </w:r>
    </w:p>
    <w:p w14:paraId="4BEA72BA" w14:textId="252E107A" w:rsidR="0017609B" w:rsidRPr="0017609B" w:rsidRDefault="0017609B" w:rsidP="007054B7">
      <w:pPr>
        <w:pStyle w:val="Bullet1G"/>
        <w:rPr>
          <w:lang w:val="es-ES_tradnl"/>
        </w:rPr>
      </w:pPr>
      <w:r w:rsidRPr="0017609B">
        <w:rPr>
          <w:lang w:val="es-ES_tradnl"/>
        </w:rPr>
        <w:t xml:space="preserve">El predominio de los factores culturales (nivel de educación del cabeza de familia, grado de urbanización) sobre los factores económicos (nivel de vida de los hogares) a la hora de explicar la escolarización de los niños. </w:t>
      </w:r>
    </w:p>
    <w:p w14:paraId="7C401E50" w14:textId="373AF9A4" w:rsidR="0017609B" w:rsidRPr="0017609B" w:rsidRDefault="0017609B" w:rsidP="007054B7">
      <w:pPr>
        <w:pStyle w:val="Bullet1G"/>
        <w:rPr>
          <w:lang w:val="es-ES_tradnl"/>
        </w:rPr>
      </w:pPr>
      <w:r w:rsidRPr="0017609B">
        <w:rPr>
          <w:lang w:val="es-ES_tradnl"/>
        </w:rPr>
        <w:t>Las desigualdades de género (entre niñas y niños) en el ámbito de la escolarización.</w:t>
      </w:r>
    </w:p>
    <w:p w14:paraId="42D7CD9C" w14:textId="43121101" w:rsidR="0017609B" w:rsidRPr="0017609B" w:rsidRDefault="0017609B" w:rsidP="007054B7">
      <w:pPr>
        <w:pStyle w:val="H4G"/>
        <w:rPr>
          <w:lang w:val="es-ES_tradnl"/>
        </w:rPr>
      </w:pPr>
      <w:bookmarkStart w:id="405" w:name="_Toc414373020"/>
      <w:bookmarkStart w:id="406" w:name="_Toc414373249"/>
      <w:bookmarkStart w:id="407" w:name="_Toc414377745"/>
      <w:bookmarkStart w:id="408" w:name="_Toc35441127"/>
      <w:r w:rsidRPr="0017609B">
        <w:rPr>
          <w:lang w:val="es-ES_tradnl"/>
        </w:rPr>
        <w:tab/>
      </w:r>
      <w:r w:rsidR="007054B7">
        <w:rPr>
          <w:lang w:val="es-ES_tradnl"/>
        </w:rPr>
        <w:tab/>
      </w:r>
      <w:r w:rsidRPr="0017609B">
        <w:rPr>
          <w:lang w:val="es-ES_tradnl"/>
        </w:rPr>
        <w:t xml:space="preserve">Un obstáculo para la escolarización: la residencia en un lugar situado </w:t>
      </w:r>
      <w:r w:rsidR="007054B7">
        <w:rPr>
          <w:lang w:val="es-ES_tradnl"/>
        </w:rPr>
        <w:br/>
      </w:r>
      <w:r w:rsidRPr="0017609B">
        <w:rPr>
          <w:lang w:val="es-ES_tradnl"/>
        </w:rPr>
        <w:t xml:space="preserve">a más de 30 minutos de un centro escolar </w:t>
      </w:r>
      <w:bookmarkEnd w:id="405"/>
      <w:bookmarkEnd w:id="406"/>
      <w:bookmarkEnd w:id="407"/>
      <w:bookmarkEnd w:id="408"/>
    </w:p>
    <w:p w14:paraId="6BF7BEE6" w14:textId="77777777" w:rsidR="0017609B" w:rsidRPr="0017609B" w:rsidRDefault="0017609B" w:rsidP="0017609B">
      <w:pPr>
        <w:pStyle w:val="SingleTxtG"/>
        <w:rPr>
          <w:lang w:val="es-ES_tradnl"/>
        </w:rPr>
      </w:pPr>
      <w:r w:rsidRPr="0017609B">
        <w:rPr>
          <w:lang w:val="es-ES_tradnl"/>
        </w:rPr>
        <w:t>165.</w:t>
      </w:r>
      <w:r w:rsidRPr="0017609B">
        <w:rPr>
          <w:lang w:val="es-ES_tradnl"/>
        </w:rPr>
        <w:tab/>
        <w:t xml:space="preserve">Los niños que viven a más de 30 minutos de un centro escolar tienen menos probabilidades de asistir a él que los que viven a menos de 30 minutos. </w:t>
      </w:r>
    </w:p>
    <w:p w14:paraId="1A63669B" w14:textId="77777777" w:rsidR="0017609B" w:rsidRPr="0017609B" w:rsidRDefault="0017609B" w:rsidP="007054B7">
      <w:pPr>
        <w:pStyle w:val="H23G"/>
        <w:rPr>
          <w:lang w:val="es-ES_tradnl"/>
        </w:rPr>
      </w:pPr>
      <w:bookmarkStart w:id="409" w:name="_Toc414373023"/>
      <w:bookmarkStart w:id="410" w:name="_Toc414377748"/>
      <w:bookmarkStart w:id="411" w:name="_Toc35441128"/>
      <w:r w:rsidRPr="0017609B">
        <w:rPr>
          <w:lang w:val="es-ES_tradnl"/>
        </w:rPr>
        <w:tab/>
        <w:t>7.3</w:t>
      </w:r>
      <w:r w:rsidRPr="0017609B">
        <w:rPr>
          <w:lang w:val="es-ES_tradnl"/>
        </w:rPr>
        <w:tab/>
        <w:t>Perspectivas en el ámbito de la educación y el desarrollo infantil</w:t>
      </w:r>
      <w:bookmarkEnd w:id="409"/>
      <w:bookmarkEnd w:id="410"/>
      <w:bookmarkEnd w:id="411"/>
    </w:p>
    <w:p w14:paraId="72641542" w14:textId="77777777" w:rsidR="0017609B" w:rsidRPr="0017609B" w:rsidRDefault="0017609B" w:rsidP="0017609B">
      <w:pPr>
        <w:pStyle w:val="SingleTxtG"/>
        <w:rPr>
          <w:lang w:val="es-ES_tradnl"/>
        </w:rPr>
      </w:pPr>
      <w:r w:rsidRPr="0017609B">
        <w:rPr>
          <w:lang w:val="es-ES_tradnl"/>
        </w:rPr>
        <w:t>166.</w:t>
      </w:r>
      <w:r w:rsidRPr="0017609B">
        <w:rPr>
          <w:lang w:val="es-ES_tradnl"/>
        </w:rPr>
        <w:tab/>
        <w:t xml:space="preserve">Durante la ejecución de la tercera fase del Programa de Inversión en el Sector de la Enseñanza, las iniciativas del Gobierno se centrarán, entre otras cosas, en: </w:t>
      </w:r>
    </w:p>
    <w:p w14:paraId="049073B9" w14:textId="1105CA2E" w:rsidR="0017609B" w:rsidRPr="0017609B" w:rsidRDefault="0017609B" w:rsidP="007054B7">
      <w:pPr>
        <w:pStyle w:val="Bullet1G"/>
        <w:rPr>
          <w:lang w:val="es-ES_tradnl"/>
        </w:rPr>
      </w:pPr>
      <w:r w:rsidRPr="0017609B">
        <w:rPr>
          <w:lang w:val="es-ES_tradnl"/>
        </w:rPr>
        <w:t>La priorización de la educación básica, teniendo en cuenta el desarrollo de la primera infancia mediante la construcción de estructuras públicas y la promoción de las escuelas primarias de proximidad (escuelas nómadas, de una sola clase, etc.) y prestando especial atención a la escolarización de las niñas.</w:t>
      </w:r>
    </w:p>
    <w:p w14:paraId="34B445AB" w14:textId="35CB79F4" w:rsidR="0017609B" w:rsidRPr="0017609B" w:rsidRDefault="0017609B" w:rsidP="007054B7">
      <w:pPr>
        <w:pStyle w:val="Bullet1G"/>
        <w:rPr>
          <w:lang w:val="es-ES_tradnl"/>
        </w:rPr>
      </w:pPr>
      <w:r w:rsidRPr="0017609B">
        <w:rPr>
          <w:lang w:val="es-ES_tradnl"/>
        </w:rPr>
        <w:t>La puesta en marcha de un programa de alimentación escolar para fomentar la escolarización sostenible de los niños.</w:t>
      </w:r>
    </w:p>
    <w:p w14:paraId="02E17336" w14:textId="0A9E691F" w:rsidR="0017609B" w:rsidRPr="0017609B" w:rsidRDefault="0017609B" w:rsidP="007054B7">
      <w:pPr>
        <w:pStyle w:val="Bullet1G"/>
        <w:rPr>
          <w:lang w:val="es-ES_tradnl"/>
        </w:rPr>
      </w:pPr>
      <w:r w:rsidRPr="0017609B">
        <w:rPr>
          <w:lang w:val="es-ES_tradnl"/>
        </w:rPr>
        <w:t>La eliminación del examen de acceso al séptimo grado de educación básica y la introducción de un bloque único de nueve años, conforme a lo dispuesto en el Programa de Inversión en el Sector de la Enseñanza.</w:t>
      </w:r>
    </w:p>
    <w:p w14:paraId="1E0D9A0A" w14:textId="2676B5CC" w:rsidR="0017609B" w:rsidRPr="0017609B" w:rsidRDefault="0017609B" w:rsidP="007054B7">
      <w:pPr>
        <w:pStyle w:val="Bullet1G"/>
        <w:rPr>
          <w:lang w:val="es-ES_tradnl"/>
        </w:rPr>
      </w:pPr>
      <w:r w:rsidRPr="0017609B">
        <w:rPr>
          <w:lang w:val="es-ES_tradnl"/>
        </w:rPr>
        <w:t>La contratación prioritaria de maestros que cuenten con el título de bachillerato para garantizar una mejor calidad del aprendizaje.</w:t>
      </w:r>
    </w:p>
    <w:p w14:paraId="0ADB26B0" w14:textId="771A451E" w:rsidR="0017609B" w:rsidRPr="0017609B" w:rsidRDefault="0017609B" w:rsidP="007054B7">
      <w:pPr>
        <w:pStyle w:val="Bullet1G"/>
        <w:rPr>
          <w:lang w:val="es-ES_tradnl"/>
        </w:rPr>
      </w:pPr>
      <w:r w:rsidRPr="0017609B">
        <w:rPr>
          <w:lang w:val="es-ES_tradnl"/>
        </w:rPr>
        <w:t>La introducción de incentivos destinados a los profesores de zonas desfavorecidas.</w:t>
      </w:r>
    </w:p>
    <w:p w14:paraId="1467E922" w14:textId="6BCBB34B" w:rsidR="0017609B" w:rsidRPr="0017609B" w:rsidRDefault="0017609B" w:rsidP="007054B7">
      <w:pPr>
        <w:pStyle w:val="Bullet1G"/>
        <w:rPr>
          <w:lang w:val="es-ES_tradnl"/>
        </w:rPr>
      </w:pPr>
      <w:r w:rsidRPr="0017609B">
        <w:rPr>
          <w:lang w:val="es-ES_tradnl"/>
        </w:rPr>
        <w:t xml:space="preserve">Etc. </w:t>
      </w:r>
    </w:p>
    <w:p w14:paraId="716783DB" w14:textId="77777777" w:rsidR="0017609B" w:rsidRPr="0017609B" w:rsidRDefault="0017609B" w:rsidP="007054B7">
      <w:pPr>
        <w:pStyle w:val="HChG"/>
        <w:rPr>
          <w:lang w:val="es-ES_tradnl"/>
        </w:rPr>
      </w:pPr>
      <w:bookmarkStart w:id="412" w:name="_Toc414373024"/>
      <w:bookmarkStart w:id="413" w:name="_Toc414377749"/>
      <w:bookmarkStart w:id="414" w:name="_Toc35441129"/>
      <w:r w:rsidRPr="0017609B">
        <w:rPr>
          <w:lang w:val="es-ES_tradnl"/>
        </w:rPr>
        <w:tab/>
        <w:t>VIII.</w:t>
      </w:r>
      <w:r w:rsidRPr="0017609B">
        <w:rPr>
          <w:lang w:val="es-ES_tradnl"/>
        </w:rPr>
        <w:tab/>
        <w:t>Medidas especiales de protección</w:t>
      </w:r>
      <w:bookmarkEnd w:id="412"/>
      <w:bookmarkEnd w:id="413"/>
      <w:bookmarkEnd w:id="414"/>
    </w:p>
    <w:p w14:paraId="2B3A65D7" w14:textId="77777777" w:rsidR="0017609B" w:rsidRPr="0017609B" w:rsidRDefault="0017609B" w:rsidP="007054B7">
      <w:pPr>
        <w:pStyle w:val="H23G"/>
        <w:rPr>
          <w:lang w:val="es-ES_tradnl"/>
        </w:rPr>
      </w:pPr>
      <w:r w:rsidRPr="0017609B">
        <w:rPr>
          <w:lang w:val="es-ES_tradnl"/>
        </w:rPr>
        <w:tab/>
        <w:t>8.1</w:t>
      </w:r>
      <w:r w:rsidRPr="0017609B">
        <w:rPr>
          <w:lang w:val="es-ES_tradnl"/>
        </w:rPr>
        <w:tab/>
        <w:t>Medidas adoptadas y avances logrados</w:t>
      </w:r>
    </w:p>
    <w:p w14:paraId="7A61B78D" w14:textId="77777777" w:rsidR="0017609B" w:rsidRPr="0017609B" w:rsidRDefault="0017609B" w:rsidP="0017609B">
      <w:pPr>
        <w:pStyle w:val="SingleTxtG"/>
        <w:rPr>
          <w:lang w:val="es-ES_tradnl"/>
        </w:rPr>
      </w:pPr>
      <w:r w:rsidRPr="0017609B">
        <w:rPr>
          <w:lang w:val="es-ES_tradnl"/>
        </w:rPr>
        <w:t>167.</w:t>
      </w:r>
      <w:r w:rsidRPr="0017609B">
        <w:rPr>
          <w:lang w:val="es-ES_tradnl"/>
        </w:rPr>
        <w:tab/>
        <w:t>Malí, en cumplimiento de sus compromisos internacionales, ha establecido un sistema especializado de justicia juvenil mediante la Ley núm. 01-081, de 24 de agosto de 2001, relativa a la edad de imputabilidad penal y a la creación de jurisdicciones de menores.</w:t>
      </w:r>
    </w:p>
    <w:p w14:paraId="11CBA33F" w14:textId="77777777" w:rsidR="0017609B" w:rsidRPr="0017609B" w:rsidRDefault="0017609B" w:rsidP="0017609B">
      <w:pPr>
        <w:pStyle w:val="SingleTxtG"/>
        <w:rPr>
          <w:lang w:val="es-ES_tradnl"/>
        </w:rPr>
      </w:pPr>
      <w:r w:rsidRPr="0017609B">
        <w:rPr>
          <w:lang w:val="es-ES_tradnl"/>
        </w:rPr>
        <w:t>168.</w:t>
      </w:r>
      <w:r w:rsidRPr="0017609B">
        <w:rPr>
          <w:lang w:val="es-ES_tradnl"/>
        </w:rPr>
        <w:tab/>
        <w:t xml:space="preserve">Esta ley prevé que se creen salas de menores dentro de los tribunales de justicia ordinaria, con competencia exclusiva para conocer de los casos relacionados con niños. </w:t>
      </w:r>
    </w:p>
    <w:p w14:paraId="4C4267A6" w14:textId="11C615C8" w:rsidR="0017609B" w:rsidRPr="0017609B" w:rsidRDefault="0017609B" w:rsidP="007054B7">
      <w:pPr>
        <w:pStyle w:val="H4G"/>
        <w:rPr>
          <w:lang w:val="es-ES_tradnl"/>
        </w:rPr>
      </w:pPr>
      <w:bookmarkStart w:id="415" w:name="_Toc372821854"/>
      <w:bookmarkStart w:id="416" w:name="_Toc375393627"/>
      <w:bookmarkStart w:id="417" w:name="_Toc414373028"/>
      <w:bookmarkStart w:id="418" w:name="_Toc414373257"/>
      <w:bookmarkStart w:id="419" w:name="_Toc414377753"/>
      <w:bookmarkStart w:id="420" w:name="_Toc35441130"/>
      <w:r w:rsidRPr="0017609B">
        <w:rPr>
          <w:lang w:val="es-ES_tradnl"/>
        </w:rPr>
        <w:tab/>
        <w:t>8.1.1</w:t>
      </w:r>
      <w:r w:rsidRPr="0017609B">
        <w:rPr>
          <w:lang w:val="es-ES_tradnl"/>
        </w:rPr>
        <w:tab/>
        <w:t xml:space="preserve">Marco conceptual de la atención a los niños víctimas de violencia, abusos, </w:t>
      </w:r>
      <w:r w:rsidR="007054B7">
        <w:rPr>
          <w:lang w:val="es-ES_tradnl"/>
        </w:rPr>
        <w:br/>
      </w:r>
      <w:r w:rsidRPr="0017609B">
        <w:rPr>
          <w:lang w:val="es-ES_tradnl"/>
        </w:rPr>
        <w:t>explotación y trato negligente</w:t>
      </w:r>
      <w:bookmarkEnd w:id="415"/>
      <w:bookmarkEnd w:id="416"/>
      <w:bookmarkEnd w:id="417"/>
      <w:bookmarkEnd w:id="418"/>
      <w:bookmarkEnd w:id="419"/>
      <w:bookmarkEnd w:id="420"/>
    </w:p>
    <w:p w14:paraId="2A8F3B40" w14:textId="77777777" w:rsidR="0017609B" w:rsidRPr="0017609B" w:rsidRDefault="0017609B" w:rsidP="0017609B">
      <w:pPr>
        <w:pStyle w:val="SingleTxtG"/>
        <w:rPr>
          <w:lang w:val="es-ES_tradnl"/>
        </w:rPr>
      </w:pPr>
      <w:r w:rsidRPr="0017609B">
        <w:rPr>
          <w:lang w:val="es-ES_tradnl"/>
        </w:rPr>
        <w:t>169.</w:t>
      </w:r>
      <w:r w:rsidRPr="0017609B">
        <w:rPr>
          <w:lang w:val="es-ES_tradnl"/>
        </w:rPr>
        <w:tab/>
        <w:t xml:space="preserve">El Manual de Procedimientos para la Atención a los Niños Víctimas de Violencia, Abusos, Explotación y Trato Negligente, elaborado en 2010, tiene por objeto armonizar y </w:t>
      </w:r>
      <w:r w:rsidRPr="0017609B">
        <w:rPr>
          <w:lang w:val="es-ES_tradnl"/>
        </w:rPr>
        <w:lastRenderedPageBreak/>
        <w:t>mejorar el seguimiento de las intervenciones en favor de los niños vulnerables. En él se han elaborado directrices, definido principios e identificado ámbitos de actuación.</w:t>
      </w:r>
    </w:p>
    <w:p w14:paraId="53E0C7F6" w14:textId="77777777" w:rsidR="0017609B" w:rsidRPr="0017609B" w:rsidRDefault="0017609B" w:rsidP="0017609B">
      <w:pPr>
        <w:pStyle w:val="SingleTxtG"/>
        <w:rPr>
          <w:lang w:val="es-ES_tradnl"/>
        </w:rPr>
      </w:pPr>
      <w:r w:rsidRPr="0017609B">
        <w:rPr>
          <w:lang w:val="es-ES_tradnl"/>
        </w:rPr>
        <w:t>170.</w:t>
      </w:r>
      <w:r w:rsidRPr="0017609B">
        <w:rPr>
          <w:lang w:val="es-ES_tradnl"/>
        </w:rPr>
        <w:tab/>
        <w:t xml:space="preserve">La atención integral a los niños víctimas de violencia, malos tratos, explotación y trato negligente se presta en los planos familiar, comunitario e institucional. </w:t>
      </w:r>
    </w:p>
    <w:p w14:paraId="71640DAB" w14:textId="77777777" w:rsidR="0017609B" w:rsidRPr="0017609B" w:rsidRDefault="0017609B" w:rsidP="0017609B">
      <w:pPr>
        <w:pStyle w:val="SingleTxtG"/>
        <w:rPr>
          <w:lang w:val="es-ES_tradnl"/>
        </w:rPr>
      </w:pPr>
      <w:r w:rsidRPr="0017609B">
        <w:rPr>
          <w:lang w:val="es-ES_tradnl"/>
        </w:rPr>
        <w:t>171.</w:t>
      </w:r>
      <w:r w:rsidRPr="0017609B">
        <w:rPr>
          <w:lang w:val="es-ES_tradnl"/>
        </w:rPr>
        <w:tab/>
        <w:t xml:space="preserve">En el plano familiar, la atención a la infancia se refiere al conjunto de medidas adoptadas y aplicadas por los progenitores, las familias, los tutores y otras autoridades con responsabilidad inmediata sobre el niño, con vistas a satisfacer las necesidades de los niños más vulnerables. </w:t>
      </w:r>
    </w:p>
    <w:p w14:paraId="266D4924" w14:textId="77777777" w:rsidR="0017609B" w:rsidRPr="0017609B" w:rsidRDefault="0017609B" w:rsidP="0017609B">
      <w:pPr>
        <w:pStyle w:val="SingleTxtG"/>
        <w:rPr>
          <w:lang w:val="es-ES_tradnl"/>
        </w:rPr>
      </w:pPr>
      <w:r w:rsidRPr="0017609B">
        <w:rPr>
          <w:lang w:val="es-ES_tradnl"/>
        </w:rPr>
        <w:t>172.</w:t>
      </w:r>
      <w:r w:rsidRPr="0017609B">
        <w:rPr>
          <w:lang w:val="es-ES_tradnl"/>
        </w:rPr>
        <w:tab/>
        <w:t>En el plano comunitario, la atención se refiere a todas las medidas aplicadas por los proveedores de educación y salud, paramédicos, particulares, ONG y asociaciones, entre otros, a fin de satisfacer las necesidades de los niños más vulnerables de la comunidad.</w:t>
      </w:r>
    </w:p>
    <w:p w14:paraId="499BB2D5" w14:textId="77777777" w:rsidR="0017609B" w:rsidRPr="0017609B" w:rsidRDefault="0017609B" w:rsidP="0017609B">
      <w:pPr>
        <w:pStyle w:val="SingleTxtG"/>
        <w:rPr>
          <w:lang w:val="es-ES_tradnl"/>
        </w:rPr>
      </w:pPr>
      <w:r w:rsidRPr="0017609B">
        <w:rPr>
          <w:lang w:val="es-ES_tradnl"/>
        </w:rPr>
        <w:t>173.</w:t>
      </w:r>
      <w:r w:rsidRPr="0017609B">
        <w:rPr>
          <w:lang w:val="es-ES_tradnl"/>
        </w:rPr>
        <w:tab/>
        <w:t xml:space="preserve">En el plano institucional, la atención se refiere a un conjunto de actividades destinadas al cuidado, la educación y la socialización del niño llevadas a cabo por los agentes de una institución educativa o sanitaria pública o privada. Esos agentes suelen ser miembros de ONG, asociaciones y entidades similares. El objetivo de esa atención es satisfacer las necesidades de los niños o víctimas más vulnerables en lo que se refiere al acceso a los servicios básicos esenciales en materia de acogida, alojamiento, protección y rehabilitación o reinserción social del niño. </w:t>
      </w:r>
    </w:p>
    <w:p w14:paraId="75287D87" w14:textId="77777777" w:rsidR="0017609B" w:rsidRPr="0017609B" w:rsidRDefault="0017609B" w:rsidP="0017609B">
      <w:pPr>
        <w:pStyle w:val="SingleTxtG"/>
        <w:rPr>
          <w:lang w:val="es-ES_tradnl"/>
        </w:rPr>
      </w:pPr>
      <w:r w:rsidRPr="0017609B">
        <w:rPr>
          <w:lang w:val="es-ES_tradnl"/>
        </w:rPr>
        <w:t>174.</w:t>
      </w:r>
      <w:r w:rsidRPr="0017609B">
        <w:rPr>
          <w:lang w:val="es-ES_tradnl"/>
        </w:rPr>
        <w:tab/>
        <w:t xml:space="preserve">En todos los casos, la atención institucional sirve de apoyo a la atención natural prestada por la familia y la complementa cuando esta última se enfrenta a dificultades de diversa índole; por lo tanto, suplementa el papel desempeñado por la familia en la crianza de los niños, no lo sustituye. </w:t>
      </w:r>
    </w:p>
    <w:p w14:paraId="2D649051" w14:textId="77777777" w:rsidR="0017609B" w:rsidRPr="0017609B" w:rsidRDefault="0017609B" w:rsidP="007054B7">
      <w:pPr>
        <w:pStyle w:val="H4G"/>
        <w:rPr>
          <w:lang w:val="es-ES_tradnl"/>
        </w:rPr>
      </w:pPr>
      <w:bookmarkStart w:id="421" w:name="_Toc414373029"/>
      <w:bookmarkStart w:id="422" w:name="_Toc414373258"/>
      <w:bookmarkStart w:id="423" w:name="_Toc414377754"/>
      <w:bookmarkStart w:id="424" w:name="_Toc35441131"/>
      <w:r w:rsidRPr="0017609B">
        <w:rPr>
          <w:lang w:val="es-ES_tradnl"/>
        </w:rPr>
        <w:tab/>
        <w:t>8.1.2</w:t>
      </w:r>
      <w:r w:rsidRPr="0017609B">
        <w:rPr>
          <w:lang w:val="es-ES_tradnl"/>
        </w:rPr>
        <w:tab/>
        <w:t>Atención a niños en situación de calle/niños mendigos</w:t>
      </w:r>
      <w:bookmarkEnd w:id="421"/>
      <w:bookmarkEnd w:id="422"/>
      <w:bookmarkEnd w:id="423"/>
      <w:bookmarkEnd w:id="424"/>
    </w:p>
    <w:p w14:paraId="0601390A" w14:textId="6A00895A" w:rsidR="0017609B" w:rsidRPr="0017609B" w:rsidRDefault="0017609B" w:rsidP="0017609B">
      <w:pPr>
        <w:pStyle w:val="SingleTxtG"/>
        <w:rPr>
          <w:lang w:val="es-ES_tradnl"/>
        </w:rPr>
      </w:pPr>
      <w:r w:rsidRPr="0017609B">
        <w:rPr>
          <w:lang w:val="es-ES_tradnl"/>
        </w:rPr>
        <w:t>175.</w:t>
      </w:r>
      <w:r w:rsidRPr="0017609B">
        <w:rPr>
          <w:lang w:val="es-ES_tradnl"/>
        </w:rPr>
        <w:tab/>
        <w:t xml:space="preserve">Todavía no existe ningún estudio dedicado de manera específica a los niños en situación de calle que abarque todo el ámbito nacional, si bien </w:t>
      </w:r>
      <w:proofErr w:type="spellStart"/>
      <w:r w:rsidRPr="0017609B">
        <w:rPr>
          <w:lang w:val="es-ES_tradnl"/>
        </w:rPr>
        <w:t>Samusocial</w:t>
      </w:r>
      <w:proofErr w:type="spellEnd"/>
      <w:r w:rsidRPr="0017609B">
        <w:rPr>
          <w:lang w:val="es-ES_tradnl"/>
        </w:rPr>
        <w:t xml:space="preserve"> Mali realizó en</w:t>
      </w:r>
      <w:r w:rsidR="00701F23">
        <w:rPr>
          <w:lang w:val="es-ES_tradnl"/>
        </w:rPr>
        <w:t> </w:t>
      </w:r>
      <w:r w:rsidRPr="0017609B">
        <w:rPr>
          <w:lang w:val="es-ES_tradnl"/>
        </w:rPr>
        <w:t>2010 un estudio sobre los niños y jóvenes en situación de calle en Bamako. Dado que el fenómeno es de carácter predominantemente urbano, los resultados de ese estudio reflejan la realidad nacional.</w:t>
      </w:r>
    </w:p>
    <w:p w14:paraId="77F5DE4A" w14:textId="77777777" w:rsidR="0017609B" w:rsidRPr="0017609B" w:rsidRDefault="0017609B" w:rsidP="0017609B">
      <w:pPr>
        <w:pStyle w:val="SingleTxtG"/>
        <w:rPr>
          <w:lang w:val="es-ES_tradnl"/>
        </w:rPr>
      </w:pPr>
      <w:r w:rsidRPr="0017609B">
        <w:rPr>
          <w:lang w:val="es-ES_tradnl"/>
        </w:rPr>
        <w:t>176.</w:t>
      </w:r>
      <w:r w:rsidRPr="0017609B">
        <w:rPr>
          <w:lang w:val="es-ES_tradnl"/>
        </w:rPr>
        <w:tab/>
        <w:t>El objetivo principal del estudio era contribuir al desarrollo de la investigación-acción en el ámbito de la lucha contra la exclusión social de los niños en situación de calle en Bamako. También perseguía fortalecer la capacidad de todos los agentes implicados en Malí para comprender y analizar el fenómeno, con el fin de poder concebir o replantear mejor las intervenciones en cuanto a la programación de las acciones y actividades adecuadas.</w:t>
      </w:r>
    </w:p>
    <w:p w14:paraId="2E5DBCC9" w14:textId="77777777" w:rsidR="0017609B" w:rsidRPr="0017609B" w:rsidRDefault="0017609B" w:rsidP="007054B7">
      <w:pPr>
        <w:pStyle w:val="H4G"/>
        <w:rPr>
          <w:lang w:val="es-ES_tradnl"/>
        </w:rPr>
      </w:pPr>
      <w:bookmarkStart w:id="425" w:name="_Toc414373030"/>
      <w:bookmarkStart w:id="426" w:name="_Toc414373259"/>
      <w:bookmarkStart w:id="427" w:name="_Toc414377755"/>
      <w:bookmarkStart w:id="428" w:name="_Toc35441132"/>
      <w:r w:rsidRPr="0017609B">
        <w:rPr>
          <w:lang w:val="es-ES_tradnl"/>
        </w:rPr>
        <w:tab/>
        <w:t>8.1.3</w:t>
      </w:r>
      <w:r w:rsidRPr="0017609B">
        <w:rPr>
          <w:lang w:val="es-ES_tradnl"/>
        </w:rPr>
        <w:tab/>
        <w:t>Explotación de los niños, incluidos el trabajo infantil y la trata de niños</w:t>
      </w:r>
      <w:bookmarkEnd w:id="425"/>
      <w:bookmarkEnd w:id="426"/>
      <w:bookmarkEnd w:id="427"/>
      <w:bookmarkEnd w:id="428"/>
    </w:p>
    <w:p w14:paraId="5D204741" w14:textId="77777777" w:rsidR="0017609B" w:rsidRPr="0017609B" w:rsidRDefault="0017609B" w:rsidP="0017609B">
      <w:pPr>
        <w:pStyle w:val="SingleTxtG"/>
        <w:rPr>
          <w:lang w:val="es-ES_tradnl"/>
        </w:rPr>
      </w:pPr>
      <w:r w:rsidRPr="0017609B">
        <w:rPr>
          <w:lang w:val="es-ES_tradnl"/>
        </w:rPr>
        <w:t>177.</w:t>
      </w:r>
      <w:r w:rsidRPr="0017609B">
        <w:rPr>
          <w:lang w:val="es-ES_tradnl"/>
        </w:rPr>
        <w:tab/>
        <w:t>En Malí, los niños en situación de calle son los más vulnerables a la explotación económica. La gran mayoría, el 94 %, son varones de entre 5 y 14 años, en ocasiones más jóvenes, acompañados de sus hermanos mayores. Proceden de familias numerosas, en su mayoría de zonas rurales que han emigrado a la ciudad, y un tercio de ellos son huérfanos. Duermen en edificios públicos, en los mercados o bajo los puentes y suelen vivir en grupo. Muy pocos, el 8 %, asisten a la escuela, si bien más de un tercio lo ha hecho en algún momento, pero ha abandonado los estudios en el primer ciclo de la educación básica. La mayoría de los niños ejerce una actividad económica para alimentarse y, llegado el caso, alimentar a su familia. Se enfrentan a las drogas, la extorsión organizada y la violencia.</w:t>
      </w:r>
    </w:p>
    <w:p w14:paraId="3A5A7975" w14:textId="77777777" w:rsidR="0017609B" w:rsidRPr="0017609B" w:rsidRDefault="0017609B" w:rsidP="007054B7">
      <w:pPr>
        <w:pStyle w:val="H4G"/>
        <w:rPr>
          <w:bCs/>
          <w:lang w:val="es-ES_tradnl"/>
        </w:rPr>
      </w:pPr>
      <w:bookmarkStart w:id="429" w:name="_Toc414373031"/>
      <w:bookmarkStart w:id="430" w:name="_Toc414373260"/>
      <w:bookmarkStart w:id="431" w:name="_Toc414377756"/>
      <w:bookmarkStart w:id="432" w:name="_Toc35441133"/>
      <w:r w:rsidRPr="0017609B">
        <w:rPr>
          <w:lang w:val="es-ES_tradnl"/>
        </w:rPr>
        <w:tab/>
        <w:t>8.1.4</w:t>
      </w:r>
      <w:r w:rsidRPr="0017609B">
        <w:rPr>
          <w:lang w:val="es-ES_tradnl"/>
        </w:rPr>
        <w:tab/>
        <w:t>Explotación económica (trabajo remunerado en plantaciones o canteras)</w:t>
      </w:r>
      <w:bookmarkEnd w:id="429"/>
      <w:bookmarkEnd w:id="430"/>
      <w:bookmarkEnd w:id="431"/>
      <w:bookmarkEnd w:id="432"/>
    </w:p>
    <w:p w14:paraId="3BF2461C" w14:textId="77777777" w:rsidR="0017609B" w:rsidRPr="0017609B" w:rsidRDefault="0017609B" w:rsidP="0017609B">
      <w:pPr>
        <w:pStyle w:val="SingleTxtG"/>
        <w:rPr>
          <w:lang w:val="es-ES_tradnl"/>
        </w:rPr>
      </w:pPr>
      <w:r w:rsidRPr="0017609B">
        <w:rPr>
          <w:lang w:val="es-ES_tradnl"/>
        </w:rPr>
        <w:t>178.</w:t>
      </w:r>
      <w:r w:rsidRPr="0017609B">
        <w:rPr>
          <w:lang w:val="es-ES_tradnl"/>
        </w:rPr>
        <w:tab/>
        <w:t xml:space="preserve">Los resultados de la encuesta nacional realizada en 2011 por la Dirección Nacional de Estadística e Información sobre el trabajo infantil en Malí llevaron al Gobierno del país a adoptar un Plan Nacional para la Eliminación del Trabajo Infantil (2011-2020). El plan se propone eliminar, en una primera fase que se ejecutará entre 2011 y 2015, las peores formas de trabajo infantil, como la esclavitud, el reclutamiento forzoso en conflictos armados o con fines de prostitución y el tráfico ilícito, y posteriormente, entre 2016 y 2020, eliminar las formas no autorizadas de trabajo infantil, como aquellas que, por su naturaleza, puedan perjudicar la salud, la seguridad o la moral de los niños. </w:t>
      </w:r>
    </w:p>
    <w:p w14:paraId="58787A62" w14:textId="77777777" w:rsidR="0017609B" w:rsidRPr="0017609B" w:rsidRDefault="0017609B" w:rsidP="007054B7">
      <w:pPr>
        <w:pStyle w:val="H4G"/>
        <w:rPr>
          <w:lang w:val="es-ES_tradnl"/>
        </w:rPr>
      </w:pPr>
      <w:bookmarkStart w:id="433" w:name="_Toc414373032"/>
      <w:bookmarkStart w:id="434" w:name="_Toc414373261"/>
      <w:bookmarkStart w:id="435" w:name="_Toc414377757"/>
      <w:bookmarkStart w:id="436" w:name="_Toc35441134"/>
      <w:r w:rsidRPr="0017609B">
        <w:rPr>
          <w:lang w:val="es-ES_tradnl"/>
        </w:rPr>
        <w:lastRenderedPageBreak/>
        <w:tab/>
        <w:t>8.1.5</w:t>
      </w:r>
      <w:r w:rsidRPr="0017609B">
        <w:rPr>
          <w:lang w:val="es-ES_tradnl"/>
        </w:rPr>
        <w:tab/>
        <w:t>Trata de niños</w:t>
      </w:r>
      <w:bookmarkEnd w:id="433"/>
      <w:bookmarkEnd w:id="434"/>
      <w:bookmarkEnd w:id="435"/>
      <w:bookmarkEnd w:id="436"/>
    </w:p>
    <w:p w14:paraId="20FBF61E" w14:textId="21A5EBAA" w:rsidR="0017609B" w:rsidRPr="0017609B" w:rsidRDefault="0017609B" w:rsidP="0017609B">
      <w:pPr>
        <w:pStyle w:val="SingleTxtG"/>
        <w:rPr>
          <w:lang w:val="es-ES_tradnl"/>
        </w:rPr>
      </w:pPr>
      <w:r w:rsidRPr="0017609B">
        <w:rPr>
          <w:lang w:val="es-ES_tradnl"/>
        </w:rPr>
        <w:t>179.</w:t>
      </w:r>
      <w:r w:rsidRPr="0017609B">
        <w:rPr>
          <w:lang w:val="es-ES_tradnl"/>
        </w:rPr>
        <w:tab/>
        <w:t>El 8,8 % de los encuestados ha sido víctima de la trata de niños. El fenómeno afecta más a los niños de las zonas urbanas (12,7 %) que a los de las zonas rurales (7 %). Este porcentaje relativamente bajo de niños víctimas de la trata no debe hacer perder de vista la verdadera magnitud del fenómeno, que puede revelar un panorama mucho más sombrío. De</w:t>
      </w:r>
      <w:r w:rsidR="00DC4C43">
        <w:rPr>
          <w:lang w:val="es-ES_tradnl"/>
        </w:rPr>
        <w:t> </w:t>
      </w:r>
      <w:r w:rsidRPr="0017609B">
        <w:rPr>
          <w:lang w:val="es-ES_tradnl"/>
        </w:rPr>
        <w:t>312 niños en situación de movilidad durante el período 2009-2012, se beneficiaron de medidas de reintegración una media de 78 niños.</w:t>
      </w:r>
    </w:p>
    <w:p w14:paraId="7D1DA1AE" w14:textId="31A240ED" w:rsidR="0017609B" w:rsidRPr="0017609B" w:rsidRDefault="0017609B" w:rsidP="007054B7">
      <w:pPr>
        <w:pStyle w:val="SingleTxtG"/>
        <w:jc w:val="left"/>
        <w:rPr>
          <w:b/>
          <w:lang w:val="es-ES_tradnl"/>
        </w:rPr>
      </w:pPr>
      <w:bookmarkStart w:id="437" w:name="_Toc414373033"/>
      <w:bookmarkStart w:id="438" w:name="_Toc414373262"/>
      <w:bookmarkStart w:id="439" w:name="_Toc414377758"/>
      <w:r w:rsidRPr="0017609B">
        <w:rPr>
          <w:lang w:val="es-ES_tradnl"/>
        </w:rPr>
        <w:t xml:space="preserve">Cuadro 10 </w:t>
      </w:r>
      <w:r w:rsidRPr="0017609B">
        <w:rPr>
          <w:lang w:val="es-ES_tradnl"/>
        </w:rPr>
        <w:br/>
      </w:r>
      <w:r w:rsidRPr="0017609B">
        <w:rPr>
          <w:b/>
          <w:bCs/>
          <w:lang w:val="es-ES_tradnl"/>
        </w:rPr>
        <w:t xml:space="preserve">Niños en situación de movilidad, incluidas las víctimas de la trata identificadas </w:t>
      </w:r>
      <w:r w:rsidR="00701F23">
        <w:rPr>
          <w:b/>
          <w:bCs/>
          <w:lang w:val="es-ES_tradnl"/>
        </w:rPr>
        <w:br/>
      </w:r>
      <w:r w:rsidRPr="0017609B">
        <w:rPr>
          <w:b/>
          <w:bCs/>
          <w:lang w:val="es-ES_tradnl"/>
        </w:rPr>
        <w:t>y atendidas (2009-2012)</w:t>
      </w:r>
      <w:bookmarkEnd w:id="437"/>
      <w:bookmarkEnd w:id="438"/>
      <w:bookmarkEnd w:id="439"/>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256"/>
        <w:gridCol w:w="567"/>
        <w:gridCol w:w="567"/>
        <w:gridCol w:w="566"/>
        <w:gridCol w:w="566"/>
        <w:gridCol w:w="848"/>
      </w:tblGrid>
      <w:tr w:rsidR="007054B7" w:rsidRPr="007054B7" w14:paraId="4FF96D25" w14:textId="77777777" w:rsidTr="00744130">
        <w:trPr>
          <w:trHeight w:val="240"/>
          <w:tblHeader/>
        </w:trPr>
        <w:tc>
          <w:tcPr>
            <w:tcW w:w="2887" w:type="pct"/>
            <w:vMerge w:val="restart"/>
            <w:tcBorders>
              <w:top w:val="single" w:sz="4" w:space="0" w:color="auto"/>
              <w:bottom w:val="single" w:sz="12" w:space="0" w:color="auto"/>
            </w:tcBorders>
            <w:shd w:val="clear" w:color="auto" w:fill="auto"/>
            <w:vAlign w:val="bottom"/>
          </w:tcPr>
          <w:p w14:paraId="74D086AB" w14:textId="77777777" w:rsidR="0017609B" w:rsidRPr="0017609B" w:rsidRDefault="0017609B" w:rsidP="007054B7">
            <w:pPr>
              <w:pStyle w:val="SingleTxtG"/>
              <w:tabs>
                <w:tab w:val="clear" w:pos="1701"/>
                <w:tab w:val="clear" w:pos="2268"/>
                <w:tab w:val="clear" w:pos="2835"/>
              </w:tabs>
              <w:spacing w:before="80" w:after="80" w:line="200" w:lineRule="exact"/>
              <w:ind w:left="0" w:right="0"/>
              <w:jc w:val="left"/>
              <w:rPr>
                <w:i/>
                <w:sz w:val="16"/>
                <w:lang w:val="es-ES_tradnl"/>
              </w:rPr>
            </w:pPr>
            <w:r w:rsidRPr="0017609B">
              <w:rPr>
                <w:i/>
                <w:iCs/>
                <w:sz w:val="16"/>
                <w:lang w:val="es-ES_tradnl"/>
              </w:rPr>
              <w:t>Designación</w:t>
            </w:r>
          </w:p>
        </w:tc>
        <w:tc>
          <w:tcPr>
            <w:tcW w:w="1537" w:type="pct"/>
            <w:gridSpan w:val="4"/>
            <w:tcBorders>
              <w:top w:val="single" w:sz="4" w:space="0" w:color="auto"/>
              <w:bottom w:val="single" w:sz="4" w:space="0" w:color="auto"/>
            </w:tcBorders>
            <w:shd w:val="clear" w:color="auto" w:fill="auto"/>
            <w:vAlign w:val="bottom"/>
          </w:tcPr>
          <w:p w14:paraId="7ECB5510" w14:textId="77777777" w:rsidR="0017609B" w:rsidRPr="0017609B" w:rsidRDefault="0017609B" w:rsidP="00744130">
            <w:pPr>
              <w:pStyle w:val="SingleTxtG"/>
              <w:tabs>
                <w:tab w:val="clear" w:pos="1701"/>
                <w:tab w:val="clear" w:pos="2268"/>
                <w:tab w:val="clear" w:pos="2835"/>
              </w:tabs>
              <w:spacing w:before="80" w:after="80" w:line="200" w:lineRule="exact"/>
              <w:ind w:left="113" w:right="0"/>
              <w:jc w:val="center"/>
              <w:rPr>
                <w:i/>
                <w:sz w:val="16"/>
                <w:lang w:val="es-ES_tradnl"/>
              </w:rPr>
            </w:pPr>
            <w:r w:rsidRPr="0017609B">
              <w:rPr>
                <w:i/>
                <w:iCs/>
                <w:sz w:val="16"/>
                <w:lang w:val="es-ES_tradnl"/>
              </w:rPr>
              <w:t>Años</w:t>
            </w:r>
          </w:p>
        </w:tc>
        <w:tc>
          <w:tcPr>
            <w:tcW w:w="576" w:type="pct"/>
            <w:vMerge w:val="restart"/>
            <w:tcBorders>
              <w:top w:val="single" w:sz="4" w:space="0" w:color="auto"/>
              <w:bottom w:val="single" w:sz="12" w:space="0" w:color="auto"/>
            </w:tcBorders>
            <w:shd w:val="clear" w:color="auto" w:fill="auto"/>
            <w:vAlign w:val="bottom"/>
          </w:tcPr>
          <w:p w14:paraId="598B4C42" w14:textId="77777777" w:rsidR="0017609B" w:rsidRPr="0017609B" w:rsidRDefault="0017609B" w:rsidP="007054B7">
            <w:pPr>
              <w:pStyle w:val="SingleTxtG"/>
              <w:tabs>
                <w:tab w:val="clear" w:pos="1701"/>
                <w:tab w:val="clear" w:pos="2268"/>
                <w:tab w:val="clear" w:pos="2835"/>
              </w:tabs>
              <w:spacing w:before="80" w:after="80" w:line="200" w:lineRule="exact"/>
              <w:ind w:left="113" w:right="0"/>
              <w:jc w:val="right"/>
              <w:rPr>
                <w:bCs/>
                <w:i/>
                <w:sz w:val="16"/>
                <w:lang w:val="es-ES_tradnl"/>
              </w:rPr>
            </w:pPr>
            <w:r w:rsidRPr="0017609B">
              <w:rPr>
                <w:bCs/>
                <w:i/>
                <w:iCs/>
                <w:sz w:val="16"/>
                <w:lang w:val="es-ES_tradnl"/>
              </w:rPr>
              <w:t>Total</w:t>
            </w:r>
          </w:p>
        </w:tc>
      </w:tr>
      <w:tr w:rsidR="00744130" w:rsidRPr="0017609B" w14:paraId="6A00F11D" w14:textId="77777777" w:rsidTr="00701F23">
        <w:trPr>
          <w:trHeight w:val="240"/>
          <w:tblHeader/>
        </w:trPr>
        <w:tc>
          <w:tcPr>
            <w:tcW w:w="2887" w:type="pct"/>
            <w:vMerge/>
            <w:tcBorders>
              <w:top w:val="single" w:sz="12" w:space="0" w:color="auto"/>
              <w:bottom w:val="single" w:sz="12" w:space="0" w:color="auto"/>
            </w:tcBorders>
            <w:shd w:val="clear" w:color="auto" w:fill="auto"/>
            <w:vAlign w:val="bottom"/>
          </w:tcPr>
          <w:p w14:paraId="2EDD173C" w14:textId="77777777" w:rsidR="0017609B" w:rsidRPr="0017609B" w:rsidRDefault="0017609B" w:rsidP="007054B7">
            <w:pPr>
              <w:pStyle w:val="SingleTxtG"/>
              <w:tabs>
                <w:tab w:val="clear" w:pos="1701"/>
                <w:tab w:val="clear" w:pos="2268"/>
                <w:tab w:val="clear" w:pos="2835"/>
              </w:tabs>
              <w:spacing w:before="40" w:after="40" w:line="220" w:lineRule="exact"/>
              <w:ind w:left="0" w:right="0"/>
              <w:jc w:val="left"/>
              <w:rPr>
                <w:sz w:val="18"/>
                <w:lang w:val="es-ES_tradnl"/>
              </w:rPr>
            </w:pPr>
          </w:p>
        </w:tc>
        <w:tc>
          <w:tcPr>
            <w:tcW w:w="385" w:type="pct"/>
            <w:tcBorders>
              <w:top w:val="single" w:sz="4" w:space="0" w:color="auto"/>
              <w:bottom w:val="single" w:sz="12" w:space="0" w:color="auto"/>
            </w:tcBorders>
            <w:shd w:val="clear" w:color="auto" w:fill="auto"/>
            <w:vAlign w:val="bottom"/>
          </w:tcPr>
          <w:p w14:paraId="72D116C3" w14:textId="77777777" w:rsidR="0017609B" w:rsidRPr="0017609B" w:rsidRDefault="0017609B" w:rsidP="00744130">
            <w:pPr>
              <w:pStyle w:val="SingleTxtG"/>
              <w:tabs>
                <w:tab w:val="clear" w:pos="1701"/>
                <w:tab w:val="clear" w:pos="2268"/>
                <w:tab w:val="clear" w:pos="2835"/>
              </w:tabs>
              <w:spacing w:before="80" w:after="80" w:line="200" w:lineRule="exact"/>
              <w:ind w:left="113" w:right="0"/>
              <w:jc w:val="right"/>
              <w:rPr>
                <w:i/>
                <w:iCs/>
                <w:sz w:val="16"/>
                <w:lang w:val="es-ES_tradnl"/>
              </w:rPr>
            </w:pPr>
            <w:r w:rsidRPr="0017609B">
              <w:rPr>
                <w:i/>
                <w:iCs/>
                <w:sz w:val="16"/>
                <w:lang w:val="es-ES_tradnl"/>
              </w:rPr>
              <w:t>2009</w:t>
            </w:r>
          </w:p>
        </w:tc>
        <w:tc>
          <w:tcPr>
            <w:tcW w:w="385" w:type="pct"/>
            <w:tcBorders>
              <w:top w:val="single" w:sz="4" w:space="0" w:color="auto"/>
              <w:bottom w:val="single" w:sz="12" w:space="0" w:color="auto"/>
            </w:tcBorders>
            <w:shd w:val="clear" w:color="auto" w:fill="auto"/>
            <w:vAlign w:val="bottom"/>
          </w:tcPr>
          <w:p w14:paraId="5A6318FF" w14:textId="77777777" w:rsidR="0017609B" w:rsidRPr="0017609B" w:rsidRDefault="0017609B" w:rsidP="00744130">
            <w:pPr>
              <w:pStyle w:val="SingleTxtG"/>
              <w:tabs>
                <w:tab w:val="clear" w:pos="1701"/>
                <w:tab w:val="clear" w:pos="2268"/>
                <w:tab w:val="clear" w:pos="2835"/>
              </w:tabs>
              <w:spacing w:before="80" w:after="80" w:line="200" w:lineRule="exact"/>
              <w:ind w:left="113" w:right="0"/>
              <w:jc w:val="right"/>
              <w:rPr>
                <w:i/>
                <w:iCs/>
                <w:sz w:val="16"/>
                <w:lang w:val="es-ES_tradnl"/>
              </w:rPr>
            </w:pPr>
            <w:r w:rsidRPr="0017609B">
              <w:rPr>
                <w:i/>
                <w:iCs/>
                <w:sz w:val="16"/>
                <w:lang w:val="es-ES_tradnl"/>
              </w:rPr>
              <w:t>2010</w:t>
            </w:r>
          </w:p>
        </w:tc>
        <w:tc>
          <w:tcPr>
            <w:tcW w:w="384" w:type="pct"/>
            <w:tcBorders>
              <w:top w:val="single" w:sz="4" w:space="0" w:color="auto"/>
              <w:bottom w:val="single" w:sz="12" w:space="0" w:color="auto"/>
            </w:tcBorders>
            <w:shd w:val="clear" w:color="auto" w:fill="auto"/>
            <w:vAlign w:val="bottom"/>
          </w:tcPr>
          <w:p w14:paraId="26C2C6AE" w14:textId="77777777" w:rsidR="0017609B" w:rsidRPr="0017609B" w:rsidRDefault="0017609B" w:rsidP="00744130">
            <w:pPr>
              <w:pStyle w:val="SingleTxtG"/>
              <w:tabs>
                <w:tab w:val="clear" w:pos="1701"/>
                <w:tab w:val="clear" w:pos="2268"/>
                <w:tab w:val="clear" w:pos="2835"/>
              </w:tabs>
              <w:spacing w:before="80" w:after="80" w:line="200" w:lineRule="exact"/>
              <w:ind w:left="113" w:right="0"/>
              <w:jc w:val="right"/>
              <w:rPr>
                <w:i/>
                <w:iCs/>
                <w:sz w:val="16"/>
                <w:lang w:val="es-ES_tradnl"/>
              </w:rPr>
            </w:pPr>
            <w:r w:rsidRPr="0017609B">
              <w:rPr>
                <w:i/>
                <w:iCs/>
                <w:sz w:val="16"/>
                <w:lang w:val="es-ES_tradnl"/>
              </w:rPr>
              <w:t>2011</w:t>
            </w:r>
          </w:p>
        </w:tc>
        <w:tc>
          <w:tcPr>
            <w:tcW w:w="384" w:type="pct"/>
            <w:tcBorders>
              <w:top w:val="single" w:sz="4" w:space="0" w:color="auto"/>
              <w:bottom w:val="single" w:sz="12" w:space="0" w:color="auto"/>
            </w:tcBorders>
            <w:shd w:val="clear" w:color="auto" w:fill="auto"/>
            <w:vAlign w:val="bottom"/>
          </w:tcPr>
          <w:p w14:paraId="194CC519" w14:textId="77777777" w:rsidR="0017609B" w:rsidRPr="0017609B" w:rsidRDefault="0017609B" w:rsidP="00744130">
            <w:pPr>
              <w:pStyle w:val="SingleTxtG"/>
              <w:tabs>
                <w:tab w:val="clear" w:pos="1701"/>
                <w:tab w:val="clear" w:pos="2268"/>
                <w:tab w:val="clear" w:pos="2835"/>
              </w:tabs>
              <w:spacing w:before="80" w:after="80" w:line="200" w:lineRule="exact"/>
              <w:ind w:left="113" w:right="0"/>
              <w:jc w:val="right"/>
              <w:rPr>
                <w:i/>
                <w:iCs/>
                <w:sz w:val="16"/>
                <w:lang w:val="es-ES_tradnl"/>
              </w:rPr>
            </w:pPr>
            <w:r w:rsidRPr="0017609B">
              <w:rPr>
                <w:i/>
                <w:iCs/>
                <w:sz w:val="16"/>
                <w:lang w:val="es-ES_tradnl"/>
              </w:rPr>
              <w:t>2012</w:t>
            </w:r>
          </w:p>
        </w:tc>
        <w:tc>
          <w:tcPr>
            <w:tcW w:w="576" w:type="pct"/>
            <w:vMerge/>
            <w:tcBorders>
              <w:top w:val="single" w:sz="12" w:space="0" w:color="auto"/>
              <w:bottom w:val="single" w:sz="12" w:space="0" w:color="auto"/>
            </w:tcBorders>
            <w:shd w:val="clear" w:color="auto" w:fill="auto"/>
            <w:vAlign w:val="bottom"/>
          </w:tcPr>
          <w:p w14:paraId="3132194A"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bCs/>
                <w:sz w:val="18"/>
                <w:lang w:val="es-ES_tradnl"/>
              </w:rPr>
            </w:pPr>
          </w:p>
        </w:tc>
      </w:tr>
      <w:tr w:rsidR="00744130" w:rsidRPr="0017609B" w14:paraId="3872FABB" w14:textId="77777777" w:rsidTr="00701F23">
        <w:trPr>
          <w:trHeight w:val="240"/>
        </w:trPr>
        <w:tc>
          <w:tcPr>
            <w:tcW w:w="2887" w:type="pct"/>
            <w:tcBorders>
              <w:top w:val="single" w:sz="12" w:space="0" w:color="auto"/>
            </w:tcBorders>
            <w:shd w:val="clear" w:color="auto" w:fill="auto"/>
          </w:tcPr>
          <w:p w14:paraId="412EDF72" w14:textId="77777777" w:rsidR="0017609B" w:rsidRPr="0017609B" w:rsidRDefault="0017609B" w:rsidP="007054B7">
            <w:pPr>
              <w:pStyle w:val="SingleTxtG"/>
              <w:tabs>
                <w:tab w:val="clear" w:pos="1701"/>
                <w:tab w:val="clear" w:pos="2268"/>
                <w:tab w:val="clear" w:pos="2835"/>
              </w:tabs>
              <w:spacing w:before="40" w:after="40" w:line="220" w:lineRule="exact"/>
              <w:ind w:left="0" w:right="0"/>
              <w:jc w:val="left"/>
              <w:rPr>
                <w:sz w:val="18"/>
                <w:lang w:val="es-ES_tradnl"/>
              </w:rPr>
            </w:pPr>
            <w:r w:rsidRPr="0017609B">
              <w:rPr>
                <w:sz w:val="18"/>
                <w:lang w:val="es-ES_tradnl"/>
              </w:rPr>
              <w:t>Niños identificados en otro país y reinsertados en Malí</w:t>
            </w:r>
          </w:p>
        </w:tc>
        <w:tc>
          <w:tcPr>
            <w:tcW w:w="385" w:type="pct"/>
            <w:tcBorders>
              <w:top w:val="single" w:sz="12" w:space="0" w:color="auto"/>
            </w:tcBorders>
            <w:shd w:val="clear" w:color="auto" w:fill="auto"/>
            <w:vAlign w:val="bottom"/>
          </w:tcPr>
          <w:p w14:paraId="3E3EE032"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53</w:t>
            </w:r>
          </w:p>
        </w:tc>
        <w:tc>
          <w:tcPr>
            <w:tcW w:w="385" w:type="pct"/>
            <w:tcBorders>
              <w:top w:val="single" w:sz="12" w:space="0" w:color="auto"/>
            </w:tcBorders>
            <w:shd w:val="clear" w:color="auto" w:fill="auto"/>
            <w:vAlign w:val="bottom"/>
          </w:tcPr>
          <w:p w14:paraId="0D2BB875"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33</w:t>
            </w:r>
          </w:p>
        </w:tc>
        <w:tc>
          <w:tcPr>
            <w:tcW w:w="384" w:type="pct"/>
            <w:tcBorders>
              <w:top w:val="single" w:sz="12" w:space="0" w:color="auto"/>
            </w:tcBorders>
            <w:shd w:val="clear" w:color="auto" w:fill="auto"/>
            <w:vAlign w:val="bottom"/>
          </w:tcPr>
          <w:p w14:paraId="61500F42"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14</w:t>
            </w:r>
          </w:p>
        </w:tc>
        <w:tc>
          <w:tcPr>
            <w:tcW w:w="384" w:type="pct"/>
            <w:tcBorders>
              <w:top w:val="single" w:sz="12" w:space="0" w:color="auto"/>
            </w:tcBorders>
            <w:shd w:val="clear" w:color="auto" w:fill="auto"/>
            <w:vAlign w:val="bottom"/>
          </w:tcPr>
          <w:p w14:paraId="57663E00"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4</w:t>
            </w:r>
          </w:p>
        </w:tc>
        <w:tc>
          <w:tcPr>
            <w:tcW w:w="576" w:type="pct"/>
            <w:tcBorders>
              <w:top w:val="single" w:sz="12" w:space="0" w:color="auto"/>
            </w:tcBorders>
            <w:shd w:val="clear" w:color="auto" w:fill="auto"/>
            <w:vAlign w:val="bottom"/>
          </w:tcPr>
          <w:p w14:paraId="08657CD7"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bCs/>
                <w:sz w:val="18"/>
                <w:lang w:val="es-ES_tradnl"/>
              </w:rPr>
            </w:pPr>
            <w:r w:rsidRPr="0017609B">
              <w:rPr>
                <w:bCs/>
                <w:sz w:val="18"/>
                <w:lang w:val="es-ES_tradnl"/>
              </w:rPr>
              <w:t>104</w:t>
            </w:r>
          </w:p>
        </w:tc>
      </w:tr>
      <w:tr w:rsidR="00744130" w:rsidRPr="0017609B" w14:paraId="6DD7D665" w14:textId="77777777" w:rsidTr="00744130">
        <w:trPr>
          <w:trHeight w:val="240"/>
        </w:trPr>
        <w:tc>
          <w:tcPr>
            <w:tcW w:w="2887" w:type="pct"/>
            <w:tcBorders>
              <w:bottom w:val="single" w:sz="4" w:space="0" w:color="auto"/>
            </w:tcBorders>
            <w:shd w:val="clear" w:color="auto" w:fill="auto"/>
          </w:tcPr>
          <w:p w14:paraId="2E099B5F" w14:textId="77777777" w:rsidR="0017609B" w:rsidRPr="0017609B" w:rsidRDefault="0017609B" w:rsidP="007054B7">
            <w:pPr>
              <w:pStyle w:val="SingleTxtG"/>
              <w:tabs>
                <w:tab w:val="clear" w:pos="1701"/>
                <w:tab w:val="clear" w:pos="2268"/>
                <w:tab w:val="clear" w:pos="2835"/>
              </w:tabs>
              <w:spacing w:before="40" w:after="40" w:line="220" w:lineRule="exact"/>
              <w:ind w:left="0" w:right="0"/>
              <w:jc w:val="left"/>
              <w:rPr>
                <w:sz w:val="18"/>
                <w:lang w:val="es-ES_tradnl"/>
              </w:rPr>
            </w:pPr>
            <w:r w:rsidRPr="0017609B">
              <w:rPr>
                <w:sz w:val="18"/>
                <w:lang w:val="es-ES_tradnl"/>
              </w:rPr>
              <w:t>Niños identificados en Malí y reinsertados en otro país o en Malí</w:t>
            </w:r>
          </w:p>
        </w:tc>
        <w:tc>
          <w:tcPr>
            <w:tcW w:w="385" w:type="pct"/>
            <w:tcBorders>
              <w:bottom w:val="single" w:sz="4" w:space="0" w:color="auto"/>
            </w:tcBorders>
            <w:shd w:val="clear" w:color="auto" w:fill="auto"/>
            <w:vAlign w:val="bottom"/>
          </w:tcPr>
          <w:p w14:paraId="419A5145"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20</w:t>
            </w:r>
          </w:p>
        </w:tc>
        <w:tc>
          <w:tcPr>
            <w:tcW w:w="385" w:type="pct"/>
            <w:tcBorders>
              <w:bottom w:val="single" w:sz="4" w:space="0" w:color="auto"/>
            </w:tcBorders>
            <w:shd w:val="clear" w:color="auto" w:fill="auto"/>
            <w:vAlign w:val="bottom"/>
          </w:tcPr>
          <w:p w14:paraId="582CA206"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13</w:t>
            </w:r>
          </w:p>
        </w:tc>
        <w:tc>
          <w:tcPr>
            <w:tcW w:w="384" w:type="pct"/>
            <w:tcBorders>
              <w:bottom w:val="single" w:sz="4" w:space="0" w:color="auto"/>
            </w:tcBorders>
            <w:shd w:val="clear" w:color="auto" w:fill="auto"/>
            <w:vAlign w:val="bottom"/>
          </w:tcPr>
          <w:p w14:paraId="4350B7D7"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140</w:t>
            </w:r>
          </w:p>
        </w:tc>
        <w:tc>
          <w:tcPr>
            <w:tcW w:w="384" w:type="pct"/>
            <w:tcBorders>
              <w:bottom w:val="single" w:sz="4" w:space="0" w:color="auto"/>
            </w:tcBorders>
            <w:shd w:val="clear" w:color="auto" w:fill="auto"/>
            <w:vAlign w:val="bottom"/>
          </w:tcPr>
          <w:p w14:paraId="0AA99005"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35</w:t>
            </w:r>
          </w:p>
        </w:tc>
        <w:tc>
          <w:tcPr>
            <w:tcW w:w="576" w:type="pct"/>
            <w:tcBorders>
              <w:bottom w:val="single" w:sz="4" w:space="0" w:color="auto"/>
            </w:tcBorders>
            <w:shd w:val="clear" w:color="auto" w:fill="auto"/>
            <w:vAlign w:val="bottom"/>
          </w:tcPr>
          <w:p w14:paraId="2606CC49"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bCs/>
                <w:sz w:val="18"/>
                <w:lang w:val="es-ES_tradnl"/>
              </w:rPr>
            </w:pPr>
            <w:r w:rsidRPr="0017609B">
              <w:rPr>
                <w:bCs/>
                <w:sz w:val="18"/>
                <w:lang w:val="es-ES_tradnl"/>
              </w:rPr>
              <w:t>208</w:t>
            </w:r>
          </w:p>
        </w:tc>
      </w:tr>
      <w:tr w:rsidR="00744130" w:rsidRPr="0017609B" w14:paraId="3B17D93D" w14:textId="77777777" w:rsidTr="00744130">
        <w:trPr>
          <w:trHeight w:val="240"/>
        </w:trPr>
        <w:tc>
          <w:tcPr>
            <w:tcW w:w="2887" w:type="pct"/>
            <w:tcBorders>
              <w:top w:val="single" w:sz="4" w:space="0" w:color="auto"/>
              <w:bottom w:val="single" w:sz="12" w:space="0" w:color="auto"/>
            </w:tcBorders>
            <w:shd w:val="clear" w:color="auto" w:fill="auto"/>
          </w:tcPr>
          <w:p w14:paraId="0C48E4A5" w14:textId="77777777" w:rsidR="0017609B" w:rsidRPr="0017609B" w:rsidRDefault="0017609B" w:rsidP="00744130">
            <w:pPr>
              <w:pStyle w:val="SingleTxtG"/>
              <w:tabs>
                <w:tab w:val="clear" w:pos="1701"/>
                <w:tab w:val="clear" w:pos="2268"/>
                <w:tab w:val="clear" w:pos="2835"/>
              </w:tabs>
              <w:spacing w:before="80" w:after="80" w:line="220" w:lineRule="exact"/>
              <w:ind w:left="284" w:right="0"/>
              <w:jc w:val="left"/>
              <w:rPr>
                <w:b/>
                <w:sz w:val="18"/>
              </w:rPr>
            </w:pPr>
            <w:r w:rsidRPr="0017609B">
              <w:rPr>
                <w:b/>
                <w:sz w:val="18"/>
              </w:rPr>
              <w:t xml:space="preserve">Total </w:t>
            </w:r>
          </w:p>
        </w:tc>
        <w:tc>
          <w:tcPr>
            <w:tcW w:w="385" w:type="pct"/>
            <w:tcBorders>
              <w:top w:val="single" w:sz="4" w:space="0" w:color="auto"/>
              <w:bottom w:val="single" w:sz="12" w:space="0" w:color="auto"/>
            </w:tcBorders>
            <w:shd w:val="clear" w:color="auto" w:fill="auto"/>
            <w:vAlign w:val="bottom"/>
          </w:tcPr>
          <w:p w14:paraId="63783C78" w14:textId="77777777" w:rsidR="0017609B" w:rsidRPr="0017609B" w:rsidRDefault="0017609B" w:rsidP="0074605D">
            <w:pPr>
              <w:pStyle w:val="SingleTxtG"/>
              <w:tabs>
                <w:tab w:val="clear" w:pos="1701"/>
                <w:tab w:val="clear" w:pos="2268"/>
                <w:tab w:val="clear" w:pos="2835"/>
              </w:tabs>
              <w:spacing w:before="80" w:after="80" w:line="220" w:lineRule="exact"/>
              <w:ind w:left="113" w:right="0"/>
              <w:jc w:val="right"/>
              <w:rPr>
                <w:b/>
                <w:sz w:val="18"/>
              </w:rPr>
            </w:pPr>
            <w:r w:rsidRPr="0017609B">
              <w:rPr>
                <w:b/>
                <w:sz w:val="18"/>
              </w:rPr>
              <w:t>73</w:t>
            </w:r>
          </w:p>
        </w:tc>
        <w:tc>
          <w:tcPr>
            <w:tcW w:w="385" w:type="pct"/>
            <w:tcBorders>
              <w:top w:val="single" w:sz="4" w:space="0" w:color="auto"/>
              <w:bottom w:val="single" w:sz="12" w:space="0" w:color="auto"/>
            </w:tcBorders>
            <w:shd w:val="clear" w:color="auto" w:fill="auto"/>
            <w:vAlign w:val="bottom"/>
          </w:tcPr>
          <w:p w14:paraId="16B4C015" w14:textId="77777777" w:rsidR="0017609B" w:rsidRPr="0017609B" w:rsidRDefault="0017609B" w:rsidP="0074605D">
            <w:pPr>
              <w:pStyle w:val="SingleTxtG"/>
              <w:tabs>
                <w:tab w:val="clear" w:pos="1701"/>
                <w:tab w:val="clear" w:pos="2268"/>
                <w:tab w:val="clear" w:pos="2835"/>
              </w:tabs>
              <w:spacing w:before="80" w:after="80" w:line="220" w:lineRule="exact"/>
              <w:ind w:left="113" w:right="0"/>
              <w:jc w:val="right"/>
              <w:rPr>
                <w:b/>
                <w:sz w:val="18"/>
              </w:rPr>
            </w:pPr>
            <w:r w:rsidRPr="0017609B">
              <w:rPr>
                <w:b/>
                <w:sz w:val="18"/>
              </w:rPr>
              <w:t>46</w:t>
            </w:r>
          </w:p>
        </w:tc>
        <w:tc>
          <w:tcPr>
            <w:tcW w:w="384" w:type="pct"/>
            <w:tcBorders>
              <w:top w:val="single" w:sz="4" w:space="0" w:color="auto"/>
              <w:bottom w:val="single" w:sz="12" w:space="0" w:color="auto"/>
            </w:tcBorders>
            <w:shd w:val="clear" w:color="auto" w:fill="auto"/>
            <w:vAlign w:val="bottom"/>
          </w:tcPr>
          <w:p w14:paraId="2F399C1A" w14:textId="77777777" w:rsidR="0017609B" w:rsidRPr="0017609B" w:rsidRDefault="0017609B" w:rsidP="0074605D">
            <w:pPr>
              <w:pStyle w:val="SingleTxtG"/>
              <w:tabs>
                <w:tab w:val="clear" w:pos="1701"/>
                <w:tab w:val="clear" w:pos="2268"/>
                <w:tab w:val="clear" w:pos="2835"/>
              </w:tabs>
              <w:spacing w:before="80" w:after="80" w:line="220" w:lineRule="exact"/>
              <w:ind w:left="113" w:right="0"/>
              <w:jc w:val="right"/>
              <w:rPr>
                <w:b/>
                <w:sz w:val="18"/>
              </w:rPr>
            </w:pPr>
            <w:r w:rsidRPr="0017609B">
              <w:rPr>
                <w:b/>
                <w:sz w:val="18"/>
              </w:rPr>
              <w:t>154</w:t>
            </w:r>
          </w:p>
        </w:tc>
        <w:tc>
          <w:tcPr>
            <w:tcW w:w="384" w:type="pct"/>
            <w:tcBorders>
              <w:top w:val="single" w:sz="4" w:space="0" w:color="auto"/>
              <w:bottom w:val="single" w:sz="12" w:space="0" w:color="auto"/>
            </w:tcBorders>
            <w:shd w:val="clear" w:color="auto" w:fill="auto"/>
            <w:vAlign w:val="bottom"/>
          </w:tcPr>
          <w:p w14:paraId="50266D4F" w14:textId="77777777" w:rsidR="0017609B" w:rsidRPr="0017609B" w:rsidRDefault="0017609B" w:rsidP="0074605D">
            <w:pPr>
              <w:pStyle w:val="SingleTxtG"/>
              <w:tabs>
                <w:tab w:val="clear" w:pos="1701"/>
                <w:tab w:val="clear" w:pos="2268"/>
                <w:tab w:val="clear" w:pos="2835"/>
              </w:tabs>
              <w:spacing w:before="80" w:after="80" w:line="220" w:lineRule="exact"/>
              <w:ind w:left="113" w:right="0"/>
              <w:jc w:val="right"/>
              <w:rPr>
                <w:b/>
                <w:sz w:val="18"/>
              </w:rPr>
            </w:pPr>
            <w:r w:rsidRPr="0017609B">
              <w:rPr>
                <w:b/>
                <w:sz w:val="18"/>
              </w:rPr>
              <w:t>39</w:t>
            </w:r>
          </w:p>
        </w:tc>
        <w:tc>
          <w:tcPr>
            <w:tcW w:w="576" w:type="pct"/>
            <w:tcBorders>
              <w:top w:val="single" w:sz="4" w:space="0" w:color="auto"/>
              <w:bottom w:val="single" w:sz="12" w:space="0" w:color="auto"/>
            </w:tcBorders>
            <w:shd w:val="clear" w:color="auto" w:fill="auto"/>
            <w:vAlign w:val="bottom"/>
          </w:tcPr>
          <w:p w14:paraId="6D3C3DB2" w14:textId="77777777" w:rsidR="0017609B" w:rsidRPr="0017609B" w:rsidRDefault="0017609B" w:rsidP="0074605D">
            <w:pPr>
              <w:pStyle w:val="SingleTxtG"/>
              <w:tabs>
                <w:tab w:val="clear" w:pos="1701"/>
                <w:tab w:val="clear" w:pos="2268"/>
                <w:tab w:val="clear" w:pos="2835"/>
              </w:tabs>
              <w:spacing w:before="80" w:after="80" w:line="220" w:lineRule="exact"/>
              <w:ind w:left="113" w:right="0"/>
              <w:jc w:val="right"/>
              <w:rPr>
                <w:b/>
                <w:sz w:val="18"/>
              </w:rPr>
            </w:pPr>
            <w:r w:rsidRPr="0017609B">
              <w:rPr>
                <w:b/>
                <w:sz w:val="18"/>
              </w:rPr>
              <w:t>312</w:t>
            </w:r>
          </w:p>
        </w:tc>
      </w:tr>
    </w:tbl>
    <w:p w14:paraId="1CF5D181" w14:textId="77777777" w:rsidR="0017609B" w:rsidRPr="0017609B" w:rsidRDefault="0017609B" w:rsidP="00AE189C">
      <w:pPr>
        <w:pStyle w:val="SingleTxtG"/>
        <w:spacing w:before="120" w:after="240"/>
        <w:ind w:firstLine="170"/>
        <w:jc w:val="left"/>
        <w:rPr>
          <w:sz w:val="18"/>
          <w:szCs w:val="18"/>
          <w:lang w:val="fr-FR"/>
        </w:rPr>
      </w:pPr>
      <w:r w:rsidRPr="0017609B">
        <w:rPr>
          <w:i/>
          <w:sz w:val="18"/>
          <w:szCs w:val="18"/>
          <w:lang w:val="fr-FR"/>
        </w:rPr>
        <w:t>Fuente:</w:t>
      </w:r>
      <w:r w:rsidRPr="0017609B">
        <w:rPr>
          <w:sz w:val="18"/>
          <w:szCs w:val="18"/>
          <w:lang w:val="fr-FR"/>
        </w:rPr>
        <w:t xml:space="preserve"> Informe de la </w:t>
      </w:r>
      <w:proofErr w:type="spellStart"/>
      <w:r w:rsidRPr="0017609B">
        <w:rPr>
          <w:sz w:val="18"/>
          <w:szCs w:val="18"/>
          <w:lang w:val="fr-FR"/>
        </w:rPr>
        <w:t>Dirección</w:t>
      </w:r>
      <w:proofErr w:type="spellEnd"/>
      <w:r w:rsidRPr="0017609B">
        <w:rPr>
          <w:sz w:val="18"/>
          <w:szCs w:val="18"/>
          <w:lang w:val="fr-FR"/>
        </w:rPr>
        <w:t xml:space="preserve"> </w:t>
      </w:r>
      <w:proofErr w:type="spellStart"/>
      <w:r w:rsidRPr="0017609B">
        <w:rPr>
          <w:sz w:val="18"/>
          <w:szCs w:val="18"/>
          <w:lang w:val="fr-FR"/>
        </w:rPr>
        <w:t>Nacional</w:t>
      </w:r>
      <w:proofErr w:type="spellEnd"/>
      <w:r w:rsidRPr="0017609B">
        <w:rPr>
          <w:sz w:val="18"/>
          <w:szCs w:val="18"/>
          <w:lang w:val="fr-FR"/>
        </w:rPr>
        <w:t xml:space="preserve"> de </w:t>
      </w:r>
      <w:proofErr w:type="spellStart"/>
      <w:r w:rsidRPr="0017609B">
        <w:rPr>
          <w:sz w:val="18"/>
          <w:szCs w:val="18"/>
          <w:lang w:val="fr-FR"/>
        </w:rPr>
        <w:t>Promoción</w:t>
      </w:r>
      <w:proofErr w:type="spellEnd"/>
      <w:r w:rsidRPr="0017609B">
        <w:rPr>
          <w:sz w:val="18"/>
          <w:szCs w:val="18"/>
          <w:lang w:val="fr-FR"/>
        </w:rPr>
        <w:t xml:space="preserve"> del Niño y la Familia, 2012.</w:t>
      </w:r>
    </w:p>
    <w:p w14:paraId="1D72FB43" w14:textId="02B242E6" w:rsidR="0017609B" w:rsidRPr="0017609B" w:rsidRDefault="0017609B" w:rsidP="007054B7">
      <w:pPr>
        <w:pStyle w:val="H4G"/>
        <w:rPr>
          <w:lang w:val="es-ES_tradnl"/>
        </w:rPr>
      </w:pPr>
      <w:bookmarkStart w:id="440" w:name="_Toc414373035"/>
      <w:bookmarkStart w:id="441" w:name="_Toc414373264"/>
      <w:bookmarkStart w:id="442" w:name="_Toc414377760"/>
      <w:bookmarkStart w:id="443" w:name="_Toc35441135"/>
      <w:r w:rsidRPr="0017609B">
        <w:rPr>
          <w:lang w:val="es-ES_tradnl"/>
        </w:rPr>
        <w:tab/>
        <w:t>8.1.6</w:t>
      </w:r>
      <w:r w:rsidRPr="0017609B">
        <w:rPr>
          <w:lang w:val="es-ES_tradnl"/>
        </w:rPr>
        <w:tab/>
        <w:t>Explotación sexual</w:t>
      </w:r>
      <w:bookmarkEnd w:id="440"/>
      <w:bookmarkEnd w:id="441"/>
      <w:bookmarkEnd w:id="442"/>
      <w:bookmarkEnd w:id="443"/>
    </w:p>
    <w:p w14:paraId="5F1DF20F" w14:textId="77777777" w:rsidR="0017609B" w:rsidRPr="0017609B" w:rsidRDefault="0017609B" w:rsidP="0017609B">
      <w:pPr>
        <w:pStyle w:val="SingleTxtG"/>
        <w:rPr>
          <w:lang w:val="es-ES_tradnl"/>
        </w:rPr>
      </w:pPr>
      <w:r w:rsidRPr="0017609B">
        <w:rPr>
          <w:lang w:val="es-ES_tradnl"/>
        </w:rPr>
        <w:t>180.</w:t>
      </w:r>
      <w:r w:rsidRPr="0017609B">
        <w:rPr>
          <w:lang w:val="es-ES_tradnl"/>
        </w:rPr>
        <w:tab/>
        <w:t>Esta práctica está prevista y sancionada por el artículo 228 del Código Penal y el artículo 64 del Código de Protección del Niño. En el conjunto del país, el 8 % de los niños se ven afectados por este fenómeno, que tiene una incidencia cuatro veces mayor entre los niños de las zonas urbanas (16,5 %) que de las rurales (4,1 %). Ante estos casos de violación de sus derechos, el 75,7 % de los niños dijo no haber utilizado ningún recurso (el 77,6 % en las zonas rurales y el 71,6 % en las zonas urbanas). Este hecho lleva a plantearse la cuestión del impacto que tienen las campañas de información y sensibilización sobre el tema.</w:t>
      </w:r>
    </w:p>
    <w:p w14:paraId="1ADC168C" w14:textId="77777777" w:rsidR="0017609B" w:rsidRPr="0017609B" w:rsidRDefault="0017609B" w:rsidP="007054B7">
      <w:pPr>
        <w:pStyle w:val="H4G"/>
        <w:rPr>
          <w:lang w:val="es-ES_tradnl"/>
        </w:rPr>
      </w:pPr>
      <w:bookmarkStart w:id="444" w:name="_Toc414373036"/>
      <w:bookmarkStart w:id="445" w:name="_Toc414373265"/>
      <w:bookmarkStart w:id="446" w:name="_Toc414377761"/>
      <w:bookmarkStart w:id="447" w:name="_Toc35441136"/>
      <w:r w:rsidRPr="0017609B">
        <w:rPr>
          <w:lang w:val="es-ES_tradnl"/>
        </w:rPr>
        <w:tab/>
        <w:t>8.1.7</w:t>
      </w:r>
      <w:r w:rsidRPr="0017609B">
        <w:rPr>
          <w:lang w:val="es-ES_tradnl"/>
        </w:rPr>
        <w:tab/>
        <w:t>Niños víctimas de la violencia de género</w:t>
      </w:r>
      <w:bookmarkEnd w:id="444"/>
      <w:bookmarkEnd w:id="445"/>
      <w:bookmarkEnd w:id="446"/>
      <w:bookmarkEnd w:id="447"/>
    </w:p>
    <w:p w14:paraId="0859BE52" w14:textId="77777777" w:rsidR="0017609B" w:rsidRPr="0017609B" w:rsidRDefault="0017609B" w:rsidP="0017609B">
      <w:pPr>
        <w:pStyle w:val="SingleTxtG"/>
        <w:rPr>
          <w:lang w:val="es-ES_tradnl"/>
        </w:rPr>
      </w:pPr>
      <w:r w:rsidRPr="0017609B">
        <w:rPr>
          <w:lang w:val="es-ES_tradnl"/>
        </w:rPr>
        <w:t>181.</w:t>
      </w:r>
      <w:r w:rsidRPr="0017609B">
        <w:rPr>
          <w:lang w:val="es-ES_tradnl"/>
        </w:rPr>
        <w:tab/>
        <w:t xml:space="preserve">De enero a diciembre de 2012, el subgrupo sectorial de violencia de género registró casi 6.000 casos de violencia que afectaban a mujeres y niñas, de los cuales 532 fueron casos de violencia sexual, 521 casos de agresión física, 827 casos de violencia psicosocial, 1.201 casos de denegación de recursos y 1.233 casos de violencia relacionada con prácticas tradicionales (matrimonios forzados, mutilación genital femenina). En respuesta a esas violaciones, más de 2.300 personas obtuvieron atención médica o psicosocial y 600 hogares de Bamako y </w:t>
      </w:r>
      <w:proofErr w:type="spellStart"/>
      <w:r w:rsidRPr="0017609B">
        <w:rPr>
          <w:lang w:val="es-ES_tradnl"/>
        </w:rPr>
        <w:t>Mopti</w:t>
      </w:r>
      <w:proofErr w:type="spellEnd"/>
      <w:r w:rsidRPr="0017609B">
        <w:rPr>
          <w:lang w:val="es-ES_tradnl"/>
        </w:rPr>
        <w:t xml:space="preserve"> recibieron una transferencia de dinero (ayuda en efectivo). </w:t>
      </w:r>
    </w:p>
    <w:p w14:paraId="75E711DF" w14:textId="77777777" w:rsidR="0017609B" w:rsidRPr="0017609B" w:rsidRDefault="0017609B" w:rsidP="007054B7">
      <w:pPr>
        <w:pStyle w:val="H4G"/>
        <w:rPr>
          <w:lang w:val="es-ES_tradnl"/>
        </w:rPr>
      </w:pPr>
      <w:bookmarkStart w:id="448" w:name="_Toc414373037"/>
      <w:bookmarkStart w:id="449" w:name="_Toc414373266"/>
      <w:bookmarkStart w:id="450" w:name="_Toc414377762"/>
      <w:r w:rsidRPr="0017609B">
        <w:rPr>
          <w:lang w:val="es-ES_tradnl"/>
        </w:rPr>
        <w:tab/>
        <w:t>8.1.8</w:t>
      </w:r>
      <w:r w:rsidRPr="0017609B">
        <w:rPr>
          <w:lang w:val="es-ES_tradnl"/>
        </w:rPr>
        <w:tab/>
        <w:t>Prácticas tradicionales nocivas</w:t>
      </w:r>
      <w:bookmarkStart w:id="451" w:name="_Toc35441137"/>
      <w:bookmarkEnd w:id="448"/>
      <w:bookmarkEnd w:id="449"/>
      <w:bookmarkEnd w:id="450"/>
      <w:bookmarkEnd w:id="451"/>
    </w:p>
    <w:p w14:paraId="3CA5A028" w14:textId="1D3233EF" w:rsidR="0017609B" w:rsidRPr="0017609B" w:rsidRDefault="007054B7" w:rsidP="007054B7">
      <w:pPr>
        <w:pStyle w:val="H56G"/>
        <w:rPr>
          <w:lang w:val="es-ES_tradnl"/>
        </w:rPr>
      </w:pPr>
      <w:r>
        <w:rPr>
          <w:lang w:val="es-ES_tradnl"/>
        </w:rPr>
        <w:tab/>
      </w:r>
      <w:r w:rsidR="0017609B" w:rsidRPr="0017609B">
        <w:rPr>
          <w:lang w:val="es-ES_tradnl"/>
        </w:rPr>
        <w:tab/>
        <w:t>Mutilación genital femenina/ablación</w:t>
      </w:r>
    </w:p>
    <w:p w14:paraId="38FDFA05" w14:textId="77777777" w:rsidR="0017609B" w:rsidRPr="0017609B" w:rsidRDefault="0017609B" w:rsidP="0017609B">
      <w:pPr>
        <w:pStyle w:val="SingleTxtG"/>
        <w:rPr>
          <w:lang w:val="es-ES_tradnl"/>
        </w:rPr>
      </w:pPr>
      <w:r w:rsidRPr="0017609B">
        <w:rPr>
          <w:lang w:val="es-ES_tradnl"/>
        </w:rPr>
        <w:t>182.</w:t>
      </w:r>
      <w:r w:rsidRPr="0017609B">
        <w:rPr>
          <w:lang w:val="es-ES_tradnl"/>
        </w:rPr>
        <w:tab/>
        <w:t xml:space="preserve">Según la </w:t>
      </w:r>
      <w:proofErr w:type="spellStart"/>
      <w:r w:rsidRPr="0017609B">
        <w:rPr>
          <w:lang w:val="es-ES_tradnl"/>
        </w:rPr>
        <w:t>EDSM</w:t>
      </w:r>
      <w:proofErr w:type="spellEnd"/>
      <w:r w:rsidRPr="0017609B">
        <w:rPr>
          <w:lang w:val="es-ES_tradnl"/>
        </w:rPr>
        <w:t xml:space="preserve"> V, la prevalencia de la mutilación genital femenina/ablación entre las mujeres de 15 a 49 años es del 91 % en las cinco regiones meridionales del país: Kayes, </w:t>
      </w:r>
      <w:proofErr w:type="spellStart"/>
      <w:r w:rsidRPr="0017609B">
        <w:rPr>
          <w:lang w:val="es-ES_tradnl"/>
        </w:rPr>
        <w:t>Kulikoró</w:t>
      </w:r>
      <w:proofErr w:type="spellEnd"/>
      <w:r w:rsidRPr="0017609B">
        <w:rPr>
          <w:lang w:val="es-ES_tradnl"/>
        </w:rPr>
        <w:t xml:space="preserve">, </w:t>
      </w:r>
      <w:proofErr w:type="spellStart"/>
      <w:r w:rsidRPr="0017609B">
        <w:rPr>
          <w:lang w:val="es-ES_tradnl"/>
        </w:rPr>
        <w:t>Sikaso</w:t>
      </w:r>
      <w:proofErr w:type="spellEnd"/>
      <w:r w:rsidRPr="0017609B">
        <w:rPr>
          <w:lang w:val="es-ES_tradnl"/>
        </w:rPr>
        <w:t xml:space="preserve">, Segú, </w:t>
      </w:r>
      <w:proofErr w:type="spellStart"/>
      <w:r w:rsidRPr="0017609B">
        <w:rPr>
          <w:lang w:val="es-ES_tradnl"/>
        </w:rPr>
        <w:t>Mopti</w:t>
      </w:r>
      <w:proofErr w:type="spellEnd"/>
      <w:r w:rsidRPr="0017609B">
        <w:rPr>
          <w:lang w:val="es-ES_tradnl"/>
        </w:rPr>
        <w:t xml:space="preserve"> y el distrito de Bamako. Debido a la situación de seguridad, la </w:t>
      </w:r>
      <w:proofErr w:type="spellStart"/>
      <w:r w:rsidRPr="0017609B">
        <w:rPr>
          <w:lang w:val="es-ES_tradnl"/>
        </w:rPr>
        <w:t>EDSM</w:t>
      </w:r>
      <w:proofErr w:type="spellEnd"/>
      <w:r w:rsidRPr="0017609B">
        <w:rPr>
          <w:lang w:val="es-ES_tradnl"/>
        </w:rPr>
        <w:t xml:space="preserve"> V no se realizó en las regiones septentrionales (Gao, Tombuctú, Kidal), donde las tasas de prevalencia son bajas. </w:t>
      </w:r>
    </w:p>
    <w:p w14:paraId="026D6358" w14:textId="523CC900" w:rsidR="00744130" w:rsidRDefault="0017609B" w:rsidP="00701F23">
      <w:pPr>
        <w:pStyle w:val="SingleTxtG"/>
        <w:keepNext/>
        <w:keepLines/>
        <w:jc w:val="left"/>
        <w:rPr>
          <w:b/>
          <w:lang w:val="es-ES_tradnl"/>
        </w:rPr>
      </w:pPr>
      <w:bookmarkStart w:id="452" w:name="_Toc414373038"/>
      <w:bookmarkStart w:id="453" w:name="_Toc414373267"/>
      <w:bookmarkStart w:id="454" w:name="_Toc414377763"/>
      <w:r w:rsidRPr="0017609B">
        <w:rPr>
          <w:lang w:val="es-ES_tradnl"/>
        </w:rPr>
        <w:lastRenderedPageBreak/>
        <w:t xml:space="preserve">Cuadro 11 </w:t>
      </w:r>
      <w:r w:rsidRPr="0017609B">
        <w:rPr>
          <w:lang w:val="es-ES_tradnl"/>
        </w:rPr>
        <w:br/>
      </w:r>
      <w:r w:rsidRPr="0017609B">
        <w:rPr>
          <w:b/>
          <w:bCs/>
          <w:lang w:val="es-ES_tradnl"/>
        </w:rPr>
        <w:t xml:space="preserve">Prevalencia de la mutilación genital femenina/ablación entre las tres </w:t>
      </w:r>
      <w:r w:rsidR="007054B7">
        <w:rPr>
          <w:b/>
          <w:bCs/>
          <w:lang w:val="es-ES_tradnl"/>
        </w:rPr>
        <w:br/>
      </w:r>
      <w:proofErr w:type="spellStart"/>
      <w:r w:rsidRPr="0017609B">
        <w:rPr>
          <w:b/>
          <w:bCs/>
          <w:lang w:val="es-ES_tradnl"/>
        </w:rPr>
        <w:t>EDSM</w:t>
      </w:r>
      <w:proofErr w:type="spellEnd"/>
      <w:r w:rsidRPr="0017609B">
        <w:rPr>
          <w:b/>
          <w:bCs/>
          <w:lang w:val="es-ES_tradnl"/>
        </w:rPr>
        <w:t xml:space="preserve"> realizadas en Malí (15</w:t>
      </w:r>
      <w:r w:rsidR="00DC4C43">
        <w:rPr>
          <w:b/>
          <w:bCs/>
          <w:lang w:val="es-ES_tradnl"/>
        </w:rPr>
        <w:t xml:space="preserve"> a </w:t>
      </w:r>
      <w:r w:rsidRPr="0017609B">
        <w:rPr>
          <w:b/>
          <w:bCs/>
          <w:lang w:val="es-ES_tradnl"/>
        </w:rPr>
        <w:t>49 años), por región</w:t>
      </w:r>
      <w:bookmarkEnd w:id="452"/>
      <w:bookmarkEnd w:id="453"/>
      <w:bookmarkEnd w:id="454"/>
    </w:p>
    <w:tbl>
      <w:tblPr>
        <w:tblW w:w="7370" w:type="dxa"/>
        <w:tblInd w:w="1134" w:type="dxa"/>
        <w:tblBorders>
          <w:top w:val="single" w:sz="4" w:space="0" w:color="auto"/>
        </w:tblBorders>
        <w:tblCellMar>
          <w:left w:w="0" w:type="dxa"/>
          <w:right w:w="0" w:type="dxa"/>
        </w:tblCellMar>
        <w:tblLook w:val="0420" w:firstRow="1" w:lastRow="0" w:firstColumn="0" w:lastColumn="0" w:noHBand="0" w:noVBand="1"/>
      </w:tblPr>
      <w:tblGrid>
        <w:gridCol w:w="2026"/>
        <w:gridCol w:w="1781"/>
        <w:gridCol w:w="1781"/>
        <w:gridCol w:w="1782"/>
      </w:tblGrid>
      <w:tr w:rsidR="007054B7" w:rsidRPr="007054B7" w14:paraId="0BCCE661" w14:textId="77777777" w:rsidTr="009D000C">
        <w:trPr>
          <w:trHeight w:val="240"/>
          <w:tblHeader/>
        </w:trPr>
        <w:tc>
          <w:tcPr>
            <w:tcW w:w="1375" w:type="pct"/>
            <w:vMerge w:val="restart"/>
            <w:tcBorders>
              <w:top w:val="single" w:sz="4" w:space="0" w:color="auto"/>
              <w:bottom w:val="single" w:sz="12" w:space="0" w:color="auto"/>
            </w:tcBorders>
            <w:shd w:val="clear" w:color="auto" w:fill="auto"/>
            <w:vAlign w:val="bottom"/>
          </w:tcPr>
          <w:p w14:paraId="3988CC0F" w14:textId="77777777" w:rsidR="0017609B" w:rsidRPr="0017609B" w:rsidRDefault="0017609B" w:rsidP="00701F23">
            <w:pPr>
              <w:pStyle w:val="SingleTxtG"/>
              <w:keepNext/>
              <w:tabs>
                <w:tab w:val="clear" w:pos="1701"/>
                <w:tab w:val="clear" w:pos="2268"/>
                <w:tab w:val="clear" w:pos="2835"/>
              </w:tabs>
              <w:spacing w:before="80" w:after="80" w:line="200" w:lineRule="exact"/>
              <w:ind w:left="0" w:right="0"/>
              <w:jc w:val="left"/>
              <w:rPr>
                <w:i/>
                <w:sz w:val="16"/>
                <w:lang w:val="es-ES_tradnl"/>
              </w:rPr>
            </w:pPr>
            <w:r w:rsidRPr="0017609B">
              <w:rPr>
                <w:i/>
                <w:iCs/>
                <w:sz w:val="16"/>
                <w:lang w:val="es-ES_tradnl"/>
              </w:rPr>
              <w:t>Regiones</w:t>
            </w:r>
          </w:p>
        </w:tc>
        <w:tc>
          <w:tcPr>
            <w:tcW w:w="3625" w:type="pct"/>
            <w:gridSpan w:val="3"/>
            <w:tcBorders>
              <w:top w:val="single" w:sz="4" w:space="0" w:color="auto"/>
              <w:bottom w:val="single" w:sz="4" w:space="0" w:color="auto"/>
            </w:tcBorders>
            <w:shd w:val="clear" w:color="auto" w:fill="auto"/>
            <w:vAlign w:val="bottom"/>
          </w:tcPr>
          <w:p w14:paraId="500931EB" w14:textId="77777777" w:rsidR="0017609B" w:rsidRPr="0017609B" w:rsidRDefault="0017609B" w:rsidP="00701F23">
            <w:pPr>
              <w:pStyle w:val="SingleTxtG"/>
              <w:keepNext/>
              <w:tabs>
                <w:tab w:val="clear" w:pos="1701"/>
                <w:tab w:val="clear" w:pos="2268"/>
                <w:tab w:val="clear" w:pos="2835"/>
              </w:tabs>
              <w:spacing w:before="80" w:after="80" w:line="200" w:lineRule="exact"/>
              <w:ind w:left="113" w:right="0"/>
              <w:jc w:val="center"/>
              <w:rPr>
                <w:i/>
                <w:sz w:val="16"/>
                <w:lang w:val="es-ES_tradnl"/>
              </w:rPr>
            </w:pPr>
            <w:r w:rsidRPr="0017609B">
              <w:rPr>
                <w:i/>
                <w:iCs/>
                <w:sz w:val="16"/>
                <w:lang w:val="es-ES_tradnl"/>
              </w:rPr>
              <w:t>Prevalencia de la mutilación genital femenina/ablación</w:t>
            </w:r>
          </w:p>
        </w:tc>
      </w:tr>
      <w:tr w:rsidR="007054B7" w:rsidRPr="0017609B" w14:paraId="4F73D1CC" w14:textId="77777777" w:rsidTr="00701F23">
        <w:trPr>
          <w:trHeight w:val="240"/>
          <w:tblHeader/>
        </w:trPr>
        <w:tc>
          <w:tcPr>
            <w:tcW w:w="1375" w:type="pct"/>
            <w:vMerge/>
            <w:tcBorders>
              <w:top w:val="single" w:sz="12" w:space="0" w:color="auto"/>
              <w:bottom w:val="single" w:sz="12" w:space="0" w:color="auto"/>
            </w:tcBorders>
            <w:shd w:val="clear" w:color="auto" w:fill="auto"/>
            <w:vAlign w:val="bottom"/>
            <w:hideMark/>
          </w:tcPr>
          <w:p w14:paraId="4EAEE131" w14:textId="77777777" w:rsidR="0017609B" w:rsidRPr="0017609B" w:rsidRDefault="0017609B" w:rsidP="00701F23">
            <w:pPr>
              <w:pStyle w:val="SingleTxtG"/>
              <w:keepNext/>
              <w:tabs>
                <w:tab w:val="clear" w:pos="1701"/>
                <w:tab w:val="clear" w:pos="2268"/>
                <w:tab w:val="clear" w:pos="2835"/>
              </w:tabs>
              <w:spacing w:before="40" w:after="40" w:line="220" w:lineRule="exact"/>
              <w:ind w:left="0" w:right="0"/>
              <w:jc w:val="left"/>
              <w:rPr>
                <w:sz w:val="18"/>
                <w:lang w:val="es-ES_tradnl"/>
              </w:rPr>
            </w:pPr>
          </w:p>
        </w:tc>
        <w:tc>
          <w:tcPr>
            <w:tcW w:w="1208" w:type="pct"/>
            <w:tcBorders>
              <w:top w:val="single" w:sz="4" w:space="0" w:color="auto"/>
              <w:bottom w:val="single" w:sz="12" w:space="0" w:color="auto"/>
            </w:tcBorders>
            <w:shd w:val="clear" w:color="auto" w:fill="auto"/>
            <w:vAlign w:val="bottom"/>
            <w:hideMark/>
          </w:tcPr>
          <w:p w14:paraId="2601F95B" w14:textId="77777777" w:rsidR="0017609B" w:rsidRPr="0017609B" w:rsidRDefault="0017609B" w:rsidP="00701F23">
            <w:pPr>
              <w:pStyle w:val="SingleTxtG"/>
              <w:keepNext/>
              <w:tabs>
                <w:tab w:val="clear" w:pos="1701"/>
                <w:tab w:val="clear" w:pos="2268"/>
                <w:tab w:val="clear" w:pos="2835"/>
              </w:tabs>
              <w:spacing w:before="80" w:after="80" w:line="200" w:lineRule="exact"/>
              <w:ind w:left="113" w:right="0"/>
              <w:jc w:val="right"/>
              <w:rPr>
                <w:i/>
                <w:iCs/>
                <w:sz w:val="16"/>
                <w:lang w:val="es-ES_tradnl"/>
              </w:rPr>
            </w:pPr>
            <w:proofErr w:type="spellStart"/>
            <w:r w:rsidRPr="0017609B">
              <w:rPr>
                <w:i/>
                <w:iCs/>
                <w:sz w:val="16"/>
                <w:lang w:val="es-ES_tradnl"/>
              </w:rPr>
              <w:t>EDSM</w:t>
            </w:r>
            <w:proofErr w:type="spellEnd"/>
            <w:r w:rsidRPr="0017609B">
              <w:rPr>
                <w:i/>
                <w:iCs/>
                <w:sz w:val="16"/>
                <w:lang w:val="es-ES_tradnl"/>
              </w:rPr>
              <w:t xml:space="preserve"> III, 2001</w:t>
            </w:r>
          </w:p>
        </w:tc>
        <w:tc>
          <w:tcPr>
            <w:tcW w:w="1208" w:type="pct"/>
            <w:tcBorders>
              <w:top w:val="single" w:sz="4" w:space="0" w:color="auto"/>
              <w:bottom w:val="single" w:sz="12" w:space="0" w:color="auto"/>
            </w:tcBorders>
            <w:shd w:val="clear" w:color="auto" w:fill="auto"/>
            <w:vAlign w:val="bottom"/>
            <w:hideMark/>
          </w:tcPr>
          <w:p w14:paraId="34C7E8C2" w14:textId="77777777" w:rsidR="0017609B" w:rsidRPr="0017609B" w:rsidRDefault="0017609B" w:rsidP="00701F23">
            <w:pPr>
              <w:pStyle w:val="SingleTxtG"/>
              <w:keepNext/>
              <w:tabs>
                <w:tab w:val="clear" w:pos="1701"/>
                <w:tab w:val="clear" w:pos="2268"/>
                <w:tab w:val="clear" w:pos="2835"/>
              </w:tabs>
              <w:spacing w:before="80" w:after="80" w:line="200" w:lineRule="exact"/>
              <w:ind w:left="113" w:right="0"/>
              <w:jc w:val="right"/>
              <w:rPr>
                <w:i/>
                <w:iCs/>
                <w:sz w:val="16"/>
                <w:lang w:val="es-ES_tradnl"/>
              </w:rPr>
            </w:pPr>
            <w:proofErr w:type="spellStart"/>
            <w:r w:rsidRPr="0017609B">
              <w:rPr>
                <w:i/>
                <w:iCs/>
                <w:sz w:val="16"/>
                <w:lang w:val="es-ES_tradnl"/>
              </w:rPr>
              <w:t>EDSM</w:t>
            </w:r>
            <w:proofErr w:type="spellEnd"/>
            <w:r w:rsidRPr="0017609B">
              <w:rPr>
                <w:i/>
                <w:iCs/>
                <w:sz w:val="16"/>
                <w:lang w:val="es-ES_tradnl"/>
              </w:rPr>
              <w:t xml:space="preserve"> IV, 2006</w:t>
            </w:r>
          </w:p>
        </w:tc>
        <w:tc>
          <w:tcPr>
            <w:tcW w:w="1208" w:type="pct"/>
            <w:tcBorders>
              <w:top w:val="single" w:sz="4" w:space="0" w:color="auto"/>
              <w:bottom w:val="single" w:sz="12" w:space="0" w:color="auto"/>
            </w:tcBorders>
            <w:shd w:val="clear" w:color="auto" w:fill="auto"/>
            <w:vAlign w:val="bottom"/>
          </w:tcPr>
          <w:p w14:paraId="74392600" w14:textId="77777777" w:rsidR="0017609B" w:rsidRPr="0017609B" w:rsidRDefault="0017609B" w:rsidP="00701F23">
            <w:pPr>
              <w:pStyle w:val="SingleTxtG"/>
              <w:keepNext/>
              <w:tabs>
                <w:tab w:val="clear" w:pos="1701"/>
                <w:tab w:val="clear" w:pos="2268"/>
                <w:tab w:val="clear" w:pos="2835"/>
              </w:tabs>
              <w:spacing w:before="80" w:after="80" w:line="200" w:lineRule="exact"/>
              <w:ind w:left="113" w:right="0"/>
              <w:jc w:val="right"/>
              <w:rPr>
                <w:i/>
                <w:iCs/>
                <w:sz w:val="16"/>
                <w:lang w:val="es-ES_tradnl"/>
              </w:rPr>
            </w:pPr>
            <w:proofErr w:type="spellStart"/>
            <w:r w:rsidRPr="0017609B">
              <w:rPr>
                <w:i/>
                <w:iCs/>
                <w:sz w:val="16"/>
                <w:lang w:val="es-ES_tradnl"/>
              </w:rPr>
              <w:t>EDSM</w:t>
            </w:r>
            <w:proofErr w:type="spellEnd"/>
            <w:r w:rsidRPr="0017609B">
              <w:rPr>
                <w:i/>
                <w:iCs/>
                <w:sz w:val="16"/>
                <w:lang w:val="es-ES_tradnl"/>
              </w:rPr>
              <w:t xml:space="preserve"> V, 2013</w:t>
            </w:r>
          </w:p>
        </w:tc>
      </w:tr>
      <w:tr w:rsidR="007054B7" w:rsidRPr="0017609B" w14:paraId="6C256E05" w14:textId="77777777" w:rsidTr="00701F23">
        <w:trPr>
          <w:trHeight w:val="240"/>
        </w:trPr>
        <w:tc>
          <w:tcPr>
            <w:tcW w:w="1375" w:type="pct"/>
            <w:tcBorders>
              <w:top w:val="single" w:sz="12" w:space="0" w:color="auto"/>
            </w:tcBorders>
            <w:shd w:val="clear" w:color="auto" w:fill="auto"/>
            <w:hideMark/>
          </w:tcPr>
          <w:p w14:paraId="29446C6E" w14:textId="77777777" w:rsidR="0017609B" w:rsidRPr="0017609B" w:rsidRDefault="0017609B" w:rsidP="00701F23">
            <w:pPr>
              <w:pStyle w:val="SingleTxtG"/>
              <w:keepNext/>
              <w:tabs>
                <w:tab w:val="clear" w:pos="1701"/>
                <w:tab w:val="clear" w:pos="2268"/>
                <w:tab w:val="clear" w:pos="2835"/>
              </w:tabs>
              <w:spacing w:before="40" w:after="40" w:line="220" w:lineRule="exact"/>
              <w:ind w:left="0" w:right="0"/>
              <w:jc w:val="left"/>
              <w:rPr>
                <w:sz w:val="18"/>
                <w:lang w:val="es-ES_tradnl"/>
              </w:rPr>
            </w:pPr>
            <w:r w:rsidRPr="0017609B">
              <w:rPr>
                <w:sz w:val="18"/>
                <w:lang w:val="es-ES_tradnl"/>
              </w:rPr>
              <w:t>Bamako</w:t>
            </w:r>
          </w:p>
        </w:tc>
        <w:tc>
          <w:tcPr>
            <w:tcW w:w="1208" w:type="pct"/>
            <w:tcBorders>
              <w:top w:val="single" w:sz="12" w:space="0" w:color="auto"/>
            </w:tcBorders>
            <w:shd w:val="clear" w:color="auto" w:fill="auto"/>
            <w:vAlign w:val="bottom"/>
            <w:hideMark/>
          </w:tcPr>
          <w:p w14:paraId="41009253" w14:textId="77777777" w:rsidR="0017609B" w:rsidRPr="0017609B" w:rsidRDefault="0017609B" w:rsidP="00701F23">
            <w:pPr>
              <w:pStyle w:val="SingleTxtG"/>
              <w:keepNext/>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92,8 %</w:t>
            </w:r>
          </w:p>
        </w:tc>
        <w:tc>
          <w:tcPr>
            <w:tcW w:w="1208" w:type="pct"/>
            <w:tcBorders>
              <w:top w:val="single" w:sz="12" w:space="0" w:color="auto"/>
            </w:tcBorders>
            <w:shd w:val="clear" w:color="auto" w:fill="auto"/>
            <w:vAlign w:val="bottom"/>
            <w:hideMark/>
          </w:tcPr>
          <w:p w14:paraId="4DFA563D" w14:textId="77777777" w:rsidR="0017609B" w:rsidRPr="0017609B" w:rsidRDefault="0017609B" w:rsidP="00701F23">
            <w:pPr>
              <w:pStyle w:val="SingleTxtG"/>
              <w:keepNext/>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92,6 %</w:t>
            </w:r>
          </w:p>
        </w:tc>
        <w:tc>
          <w:tcPr>
            <w:tcW w:w="1208" w:type="pct"/>
            <w:tcBorders>
              <w:top w:val="single" w:sz="12" w:space="0" w:color="auto"/>
            </w:tcBorders>
            <w:shd w:val="clear" w:color="auto" w:fill="auto"/>
            <w:vAlign w:val="bottom"/>
          </w:tcPr>
          <w:p w14:paraId="17CB4511" w14:textId="77777777" w:rsidR="0017609B" w:rsidRPr="0017609B" w:rsidRDefault="0017609B" w:rsidP="00701F23">
            <w:pPr>
              <w:pStyle w:val="SingleTxtG"/>
              <w:keepNext/>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 xml:space="preserve">90,4 </w:t>
            </w:r>
          </w:p>
        </w:tc>
      </w:tr>
      <w:tr w:rsidR="007054B7" w:rsidRPr="0017609B" w14:paraId="6D19C161" w14:textId="77777777" w:rsidTr="009D000C">
        <w:trPr>
          <w:trHeight w:val="240"/>
        </w:trPr>
        <w:tc>
          <w:tcPr>
            <w:tcW w:w="1375" w:type="pct"/>
            <w:shd w:val="clear" w:color="auto" w:fill="auto"/>
            <w:hideMark/>
          </w:tcPr>
          <w:p w14:paraId="72FAB5A4" w14:textId="77777777" w:rsidR="0017609B" w:rsidRPr="0017609B" w:rsidRDefault="0017609B" w:rsidP="007054B7">
            <w:pPr>
              <w:pStyle w:val="SingleTxtG"/>
              <w:tabs>
                <w:tab w:val="clear" w:pos="1701"/>
                <w:tab w:val="clear" w:pos="2268"/>
                <w:tab w:val="clear" w:pos="2835"/>
              </w:tabs>
              <w:spacing w:before="40" w:after="40" w:line="220" w:lineRule="exact"/>
              <w:ind w:left="0" w:right="0"/>
              <w:jc w:val="left"/>
              <w:rPr>
                <w:sz w:val="18"/>
                <w:lang w:val="es-ES_tradnl"/>
              </w:rPr>
            </w:pPr>
            <w:r w:rsidRPr="0017609B">
              <w:rPr>
                <w:sz w:val="18"/>
                <w:lang w:val="es-ES_tradnl"/>
              </w:rPr>
              <w:t>Kayes</w:t>
            </w:r>
          </w:p>
        </w:tc>
        <w:tc>
          <w:tcPr>
            <w:tcW w:w="1208" w:type="pct"/>
            <w:shd w:val="clear" w:color="auto" w:fill="auto"/>
            <w:vAlign w:val="bottom"/>
            <w:hideMark/>
          </w:tcPr>
          <w:p w14:paraId="1717504A"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97,7 %</w:t>
            </w:r>
          </w:p>
        </w:tc>
        <w:tc>
          <w:tcPr>
            <w:tcW w:w="1208" w:type="pct"/>
            <w:shd w:val="clear" w:color="auto" w:fill="auto"/>
            <w:vAlign w:val="bottom"/>
            <w:hideMark/>
          </w:tcPr>
          <w:p w14:paraId="746FD629"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98,3 %</w:t>
            </w:r>
          </w:p>
        </w:tc>
        <w:tc>
          <w:tcPr>
            <w:tcW w:w="1208" w:type="pct"/>
            <w:shd w:val="clear" w:color="auto" w:fill="auto"/>
            <w:vAlign w:val="bottom"/>
          </w:tcPr>
          <w:p w14:paraId="0177D457"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 xml:space="preserve">94,7 </w:t>
            </w:r>
          </w:p>
        </w:tc>
      </w:tr>
      <w:tr w:rsidR="007054B7" w:rsidRPr="0017609B" w14:paraId="76C66C4B" w14:textId="77777777" w:rsidTr="009D000C">
        <w:trPr>
          <w:trHeight w:val="240"/>
        </w:trPr>
        <w:tc>
          <w:tcPr>
            <w:tcW w:w="1375" w:type="pct"/>
            <w:shd w:val="clear" w:color="auto" w:fill="auto"/>
            <w:hideMark/>
          </w:tcPr>
          <w:p w14:paraId="101C93CA" w14:textId="77777777" w:rsidR="0017609B" w:rsidRPr="0017609B" w:rsidRDefault="0017609B" w:rsidP="007054B7">
            <w:pPr>
              <w:pStyle w:val="SingleTxtG"/>
              <w:tabs>
                <w:tab w:val="clear" w:pos="1701"/>
                <w:tab w:val="clear" w:pos="2268"/>
                <w:tab w:val="clear" w:pos="2835"/>
              </w:tabs>
              <w:spacing w:before="40" w:after="40" w:line="220" w:lineRule="exact"/>
              <w:ind w:left="0" w:right="0"/>
              <w:jc w:val="left"/>
              <w:rPr>
                <w:sz w:val="18"/>
                <w:lang w:val="es-ES_tradnl"/>
              </w:rPr>
            </w:pPr>
            <w:proofErr w:type="spellStart"/>
            <w:r w:rsidRPr="0017609B">
              <w:rPr>
                <w:sz w:val="18"/>
                <w:lang w:val="es-ES_tradnl"/>
              </w:rPr>
              <w:t>Kulikoró</w:t>
            </w:r>
            <w:proofErr w:type="spellEnd"/>
          </w:p>
        </w:tc>
        <w:tc>
          <w:tcPr>
            <w:tcW w:w="1208" w:type="pct"/>
            <w:shd w:val="clear" w:color="auto" w:fill="auto"/>
            <w:vAlign w:val="bottom"/>
            <w:hideMark/>
          </w:tcPr>
          <w:p w14:paraId="335E5A77"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99,0 %</w:t>
            </w:r>
          </w:p>
        </w:tc>
        <w:tc>
          <w:tcPr>
            <w:tcW w:w="1208" w:type="pct"/>
            <w:shd w:val="clear" w:color="auto" w:fill="auto"/>
            <w:vAlign w:val="bottom"/>
            <w:hideMark/>
          </w:tcPr>
          <w:p w14:paraId="45C155E8"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97,4 %</w:t>
            </w:r>
          </w:p>
        </w:tc>
        <w:tc>
          <w:tcPr>
            <w:tcW w:w="1208" w:type="pct"/>
            <w:shd w:val="clear" w:color="auto" w:fill="auto"/>
            <w:vAlign w:val="bottom"/>
          </w:tcPr>
          <w:p w14:paraId="2509747C"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 xml:space="preserve">94,3 </w:t>
            </w:r>
          </w:p>
        </w:tc>
      </w:tr>
      <w:tr w:rsidR="007054B7" w:rsidRPr="0017609B" w14:paraId="7DEE5C8A" w14:textId="77777777" w:rsidTr="009D000C">
        <w:trPr>
          <w:trHeight w:val="240"/>
        </w:trPr>
        <w:tc>
          <w:tcPr>
            <w:tcW w:w="1375" w:type="pct"/>
            <w:shd w:val="clear" w:color="auto" w:fill="auto"/>
            <w:hideMark/>
          </w:tcPr>
          <w:p w14:paraId="353582BE" w14:textId="77777777" w:rsidR="0017609B" w:rsidRPr="0017609B" w:rsidRDefault="0017609B" w:rsidP="007054B7">
            <w:pPr>
              <w:pStyle w:val="SingleTxtG"/>
              <w:tabs>
                <w:tab w:val="clear" w:pos="1701"/>
                <w:tab w:val="clear" w:pos="2268"/>
                <w:tab w:val="clear" w:pos="2835"/>
              </w:tabs>
              <w:spacing w:before="40" w:after="40" w:line="220" w:lineRule="exact"/>
              <w:ind w:left="0" w:right="0"/>
              <w:jc w:val="left"/>
              <w:rPr>
                <w:sz w:val="18"/>
                <w:lang w:val="es-ES_tradnl"/>
              </w:rPr>
            </w:pPr>
            <w:proofErr w:type="spellStart"/>
            <w:r w:rsidRPr="0017609B">
              <w:rPr>
                <w:sz w:val="18"/>
                <w:lang w:val="es-ES_tradnl"/>
              </w:rPr>
              <w:t>Sikaso</w:t>
            </w:r>
            <w:proofErr w:type="spellEnd"/>
          </w:p>
        </w:tc>
        <w:tc>
          <w:tcPr>
            <w:tcW w:w="1208" w:type="pct"/>
            <w:shd w:val="clear" w:color="auto" w:fill="auto"/>
            <w:vAlign w:val="bottom"/>
            <w:hideMark/>
          </w:tcPr>
          <w:p w14:paraId="60E5727C"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96,6 %</w:t>
            </w:r>
          </w:p>
        </w:tc>
        <w:tc>
          <w:tcPr>
            <w:tcW w:w="1208" w:type="pct"/>
            <w:shd w:val="clear" w:color="auto" w:fill="auto"/>
            <w:vAlign w:val="bottom"/>
            <w:hideMark/>
          </w:tcPr>
          <w:p w14:paraId="5D65F97A"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94,7 %</w:t>
            </w:r>
          </w:p>
        </w:tc>
        <w:tc>
          <w:tcPr>
            <w:tcW w:w="1208" w:type="pct"/>
            <w:shd w:val="clear" w:color="auto" w:fill="auto"/>
            <w:vAlign w:val="bottom"/>
          </w:tcPr>
          <w:p w14:paraId="2C20B5E2"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 xml:space="preserve"> 90,9 </w:t>
            </w:r>
          </w:p>
        </w:tc>
      </w:tr>
      <w:tr w:rsidR="007054B7" w:rsidRPr="0017609B" w14:paraId="4CADEA85" w14:textId="77777777" w:rsidTr="009D000C">
        <w:trPr>
          <w:trHeight w:val="240"/>
        </w:trPr>
        <w:tc>
          <w:tcPr>
            <w:tcW w:w="1375" w:type="pct"/>
            <w:shd w:val="clear" w:color="auto" w:fill="auto"/>
            <w:hideMark/>
          </w:tcPr>
          <w:p w14:paraId="3C61183D" w14:textId="77777777" w:rsidR="0017609B" w:rsidRPr="0017609B" w:rsidRDefault="0017609B" w:rsidP="007054B7">
            <w:pPr>
              <w:pStyle w:val="SingleTxtG"/>
              <w:tabs>
                <w:tab w:val="clear" w:pos="1701"/>
                <w:tab w:val="clear" w:pos="2268"/>
                <w:tab w:val="clear" w:pos="2835"/>
              </w:tabs>
              <w:spacing w:before="40" w:after="40" w:line="220" w:lineRule="exact"/>
              <w:ind w:left="0" w:right="0"/>
              <w:jc w:val="left"/>
              <w:rPr>
                <w:sz w:val="18"/>
                <w:lang w:val="es-ES_tradnl"/>
              </w:rPr>
            </w:pPr>
            <w:r w:rsidRPr="0017609B">
              <w:rPr>
                <w:sz w:val="18"/>
                <w:lang w:val="es-ES_tradnl"/>
              </w:rPr>
              <w:t>Segú</w:t>
            </w:r>
          </w:p>
        </w:tc>
        <w:tc>
          <w:tcPr>
            <w:tcW w:w="1208" w:type="pct"/>
            <w:shd w:val="clear" w:color="auto" w:fill="auto"/>
            <w:vAlign w:val="bottom"/>
            <w:hideMark/>
          </w:tcPr>
          <w:p w14:paraId="73EBAA9B"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94,6 %</w:t>
            </w:r>
          </w:p>
        </w:tc>
        <w:tc>
          <w:tcPr>
            <w:tcW w:w="1208" w:type="pct"/>
            <w:shd w:val="clear" w:color="auto" w:fill="auto"/>
            <w:vAlign w:val="bottom"/>
            <w:hideMark/>
          </w:tcPr>
          <w:p w14:paraId="32FD0355"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92,2 %</w:t>
            </w:r>
          </w:p>
        </w:tc>
        <w:tc>
          <w:tcPr>
            <w:tcW w:w="1208" w:type="pct"/>
            <w:shd w:val="clear" w:color="auto" w:fill="auto"/>
            <w:vAlign w:val="bottom"/>
          </w:tcPr>
          <w:p w14:paraId="2F7593A5"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 xml:space="preserve">89,2 </w:t>
            </w:r>
          </w:p>
        </w:tc>
      </w:tr>
      <w:tr w:rsidR="007054B7" w:rsidRPr="0017609B" w14:paraId="7BD94976" w14:textId="77777777" w:rsidTr="009D000C">
        <w:trPr>
          <w:trHeight w:val="240"/>
        </w:trPr>
        <w:tc>
          <w:tcPr>
            <w:tcW w:w="1375" w:type="pct"/>
            <w:shd w:val="clear" w:color="auto" w:fill="auto"/>
            <w:hideMark/>
          </w:tcPr>
          <w:p w14:paraId="470AD864" w14:textId="77777777" w:rsidR="0017609B" w:rsidRPr="0017609B" w:rsidRDefault="0017609B" w:rsidP="007054B7">
            <w:pPr>
              <w:pStyle w:val="SingleTxtG"/>
              <w:tabs>
                <w:tab w:val="clear" w:pos="1701"/>
                <w:tab w:val="clear" w:pos="2268"/>
                <w:tab w:val="clear" w:pos="2835"/>
              </w:tabs>
              <w:spacing w:before="40" w:after="40" w:line="220" w:lineRule="exact"/>
              <w:ind w:left="0" w:right="0"/>
              <w:jc w:val="left"/>
              <w:rPr>
                <w:sz w:val="18"/>
                <w:lang w:val="es-ES_tradnl"/>
              </w:rPr>
            </w:pPr>
            <w:proofErr w:type="spellStart"/>
            <w:r w:rsidRPr="0017609B">
              <w:rPr>
                <w:sz w:val="18"/>
                <w:lang w:val="es-ES_tradnl"/>
              </w:rPr>
              <w:t>Mopti</w:t>
            </w:r>
            <w:proofErr w:type="spellEnd"/>
          </w:p>
        </w:tc>
        <w:tc>
          <w:tcPr>
            <w:tcW w:w="1208" w:type="pct"/>
            <w:shd w:val="clear" w:color="auto" w:fill="auto"/>
            <w:vAlign w:val="bottom"/>
            <w:hideMark/>
          </w:tcPr>
          <w:p w14:paraId="061C59A3"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87,5 %</w:t>
            </w:r>
          </w:p>
        </w:tc>
        <w:tc>
          <w:tcPr>
            <w:tcW w:w="1208" w:type="pct"/>
            <w:shd w:val="clear" w:color="auto" w:fill="auto"/>
            <w:vAlign w:val="bottom"/>
            <w:hideMark/>
          </w:tcPr>
          <w:p w14:paraId="08A76583"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75,4 %</w:t>
            </w:r>
          </w:p>
        </w:tc>
        <w:tc>
          <w:tcPr>
            <w:tcW w:w="1208" w:type="pct"/>
            <w:shd w:val="clear" w:color="auto" w:fill="auto"/>
            <w:vAlign w:val="bottom"/>
          </w:tcPr>
          <w:p w14:paraId="18EDF4E9"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 xml:space="preserve"> 88,4 </w:t>
            </w:r>
          </w:p>
        </w:tc>
      </w:tr>
      <w:tr w:rsidR="007054B7" w:rsidRPr="0017609B" w14:paraId="19448C8A" w14:textId="77777777" w:rsidTr="009D000C">
        <w:trPr>
          <w:trHeight w:val="240"/>
        </w:trPr>
        <w:tc>
          <w:tcPr>
            <w:tcW w:w="1375" w:type="pct"/>
            <w:shd w:val="clear" w:color="auto" w:fill="auto"/>
          </w:tcPr>
          <w:p w14:paraId="59E42442" w14:textId="77777777" w:rsidR="0017609B" w:rsidRPr="0017609B" w:rsidRDefault="0017609B" w:rsidP="007054B7">
            <w:pPr>
              <w:pStyle w:val="SingleTxtG"/>
              <w:tabs>
                <w:tab w:val="clear" w:pos="1701"/>
                <w:tab w:val="clear" w:pos="2268"/>
                <w:tab w:val="clear" w:pos="2835"/>
              </w:tabs>
              <w:spacing w:before="40" w:after="40" w:line="220" w:lineRule="exact"/>
              <w:ind w:left="0" w:right="0"/>
              <w:jc w:val="left"/>
              <w:rPr>
                <w:sz w:val="18"/>
                <w:lang w:val="es-ES_tradnl"/>
              </w:rPr>
            </w:pPr>
            <w:r w:rsidRPr="0017609B">
              <w:rPr>
                <w:sz w:val="18"/>
                <w:lang w:val="es-ES_tradnl"/>
              </w:rPr>
              <w:t>Tombuctú</w:t>
            </w:r>
          </w:p>
        </w:tc>
        <w:tc>
          <w:tcPr>
            <w:tcW w:w="1208" w:type="pct"/>
            <w:shd w:val="clear" w:color="auto" w:fill="auto"/>
            <w:vAlign w:val="bottom"/>
          </w:tcPr>
          <w:p w14:paraId="204FE380"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n. a.</w:t>
            </w:r>
          </w:p>
        </w:tc>
        <w:tc>
          <w:tcPr>
            <w:tcW w:w="1208" w:type="pct"/>
            <w:shd w:val="clear" w:color="auto" w:fill="auto"/>
            <w:vAlign w:val="bottom"/>
          </w:tcPr>
          <w:p w14:paraId="33D77214"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44 %</w:t>
            </w:r>
          </w:p>
        </w:tc>
        <w:tc>
          <w:tcPr>
            <w:tcW w:w="1208" w:type="pct"/>
            <w:shd w:val="clear" w:color="auto" w:fill="auto"/>
            <w:vAlign w:val="bottom"/>
          </w:tcPr>
          <w:p w14:paraId="6B40352A"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 xml:space="preserve"> n. d.</w:t>
            </w:r>
          </w:p>
        </w:tc>
      </w:tr>
      <w:tr w:rsidR="007054B7" w:rsidRPr="0017609B" w14:paraId="2C1FBCF0" w14:textId="77777777" w:rsidTr="009D000C">
        <w:trPr>
          <w:trHeight w:val="240"/>
        </w:trPr>
        <w:tc>
          <w:tcPr>
            <w:tcW w:w="1375" w:type="pct"/>
            <w:shd w:val="clear" w:color="auto" w:fill="auto"/>
          </w:tcPr>
          <w:p w14:paraId="75D03C68" w14:textId="77777777" w:rsidR="0017609B" w:rsidRPr="0017609B" w:rsidRDefault="0017609B" w:rsidP="007054B7">
            <w:pPr>
              <w:pStyle w:val="SingleTxtG"/>
              <w:tabs>
                <w:tab w:val="clear" w:pos="1701"/>
                <w:tab w:val="clear" w:pos="2268"/>
                <w:tab w:val="clear" w:pos="2835"/>
              </w:tabs>
              <w:spacing w:before="40" w:after="40" w:line="220" w:lineRule="exact"/>
              <w:ind w:left="0" w:right="0"/>
              <w:jc w:val="left"/>
              <w:rPr>
                <w:sz w:val="18"/>
                <w:lang w:val="es-ES_tradnl"/>
              </w:rPr>
            </w:pPr>
            <w:r w:rsidRPr="0017609B">
              <w:rPr>
                <w:sz w:val="18"/>
                <w:lang w:val="es-ES_tradnl"/>
              </w:rPr>
              <w:t>Gao</w:t>
            </w:r>
          </w:p>
        </w:tc>
        <w:tc>
          <w:tcPr>
            <w:tcW w:w="1208" w:type="pct"/>
            <w:shd w:val="clear" w:color="auto" w:fill="auto"/>
            <w:vAlign w:val="bottom"/>
          </w:tcPr>
          <w:p w14:paraId="50AA5D6A"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n. a.</w:t>
            </w:r>
          </w:p>
        </w:tc>
        <w:tc>
          <w:tcPr>
            <w:tcW w:w="1208" w:type="pct"/>
            <w:shd w:val="clear" w:color="auto" w:fill="auto"/>
            <w:vAlign w:val="bottom"/>
          </w:tcPr>
          <w:p w14:paraId="32CE7A42"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1,8 %</w:t>
            </w:r>
          </w:p>
        </w:tc>
        <w:tc>
          <w:tcPr>
            <w:tcW w:w="1208" w:type="pct"/>
            <w:shd w:val="clear" w:color="auto" w:fill="auto"/>
            <w:vAlign w:val="bottom"/>
          </w:tcPr>
          <w:p w14:paraId="36350C25"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 xml:space="preserve"> n. d.</w:t>
            </w:r>
          </w:p>
        </w:tc>
      </w:tr>
      <w:tr w:rsidR="007054B7" w:rsidRPr="0017609B" w14:paraId="48779C29" w14:textId="77777777" w:rsidTr="009D000C">
        <w:trPr>
          <w:trHeight w:val="240"/>
        </w:trPr>
        <w:tc>
          <w:tcPr>
            <w:tcW w:w="1375" w:type="pct"/>
            <w:shd w:val="clear" w:color="auto" w:fill="auto"/>
          </w:tcPr>
          <w:p w14:paraId="58A00054" w14:textId="77777777" w:rsidR="0017609B" w:rsidRPr="0017609B" w:rsidRDefault="0017609B" w:rsidP="007054B7">
            <w:pPr>
              <w:pStyle w:val="SingleTxtG"/>
              <w:tabs>
                <w:tab w:val="clear" w:pos="1701"/>
                <w:tab w:val="clear" w:pos="2268"/>
                <w:tab w:val="clear" w:pos="2835"/>
              </w:tabs>
              <w:spacing w:before="40" w:after="40" w:line="220" w:lineRule="exact"/>
              <w:ind w:left="0" w:right="0"/>
              <w:jc w:val="left"/>
              <w:rPr>
                <w:sz w:val="18"/>
                <w:lang w:val="es-ES_tradnl"/>
              </w:rPr>
            </w:pPr>
            <w:r w:rsidRPr="0017609B">
              <w:rPr>
                <w:sz w:val="18"/>
                <w:lang w:val="es-ES_tradnl"/>
              </w:rPr>
              <w:t>Kidal</w:t>
            </w:r>
          </w:p>
        </w:tc>
        <w:tc>
          <w:tcPr>
            <w:tcW w:w="1208" w:type="pct"/>
            <w:shd w:val="clear" w:color="auto" w:fill="auto"/>
            <w:vAlign w:val="bottom"/>
          </w:tcPr>
          <w:p w14:paraId="0D3978C0"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n. a.</w:t>
            </w:r>
          </w:p>
        </w:tc>
        <w:tc>
          <w:tcPr>
            <w:tcW w:w="1208" w:type="pct"/>
            <w:shd w:val="clear" w:color="auto" w:fill="auto"/>
            <w:vAlign w:val="bottom"/>
          </w:tcPr>
          <w:p w14:paraId="70DA163E"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0,9 %</w:t>
            </w:r>
          </w:p>
        </w:tc>
        <w:tc>
          <w:tcPr>
            <w:tcW w:w="1208" w:type="pct"/>
            <w:shd w:val="clear" w:color="auto" w:fill="auto"/>
            <w:vAlign w:val="bottom"/>
          </w:tcPr>
          <w:p w14:paraId="79944713"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 xml:space="preserve"> n. d.</w:t>
            </w:r>
          </w:p>
        </w:tc>
      </w:tr>
      <w:tr w:rsidR="007054B7" w:rsidRPr="0017609B" w14:paraId="4245D94A" w14:textId="77777777" w:rsidTr="009D000C">
        <w:trPr>
          <w:trHeight w:val="240"/>
        </w:trPr>
        <w:tc>
          <w:tcPr>
            <w:tcW w:w="1375" w:type="pct"/>
            <w:shd w:val="clear" w:color="auto" w:fill="auto"/>
          </w:tcPr>
          <w:p w14:paraId="2FAEBF44" w14:textId="77777777" w:rsidR="0017609B" w:rsidRPr="0017609B" w:rsidRDefault="0017609B" w:rsidP="007054B7">
            <w:pPr>
              <w:pStyle w:val="SingleTxtG"/>
              <w:tabs>
                <w:tab w:val="clear" w:pos="1701"/>
                <w:tab w:val="clear" w:pos="2268"/>
                <w:tab w:val="clear" w:pos="2835"/>
              </w:tabs>
              <w:spacing w:before="40" w:after="40" w:line="220" w:lineRule="exact"/>
              <w:ind w:left="0" w:right="0"/>
              <w:jc w:val="left"/>
              <w:rPr>
                <w:sz w:val="18"/>
                <w:lang w:val="es-ES_tradnl"/>
              </w:rPr>
            </w:pPr>
            <w:r w:rsidRPr="0017609B">
              <w:rPr>
                <w:sz w:val="18"/>
                <w:lang w:val="es-ES_tradnl"/>
              </w:rPr>
              <w:t xml:space="preserve">Gao, Tombuctú, Kidal </w:t>
            </w:r>
          </w:p>
        </w:tc>
        <w:tc>
          <w:tcPr>
            <w:tcW w:w="1208" w:type="pct"/>
            <w:shd w:val="clear" w:color="auto" w:fill="auto"/>
            <w:vAlign w:val="bottom"/>
          </w:tcPr>
          <w:p w14:paraId="5DEC5C88"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33,6 %</w:t>
            </w:r>
          </w:p>
        </w:tc>
        <w:tc>
          <w:tcPr>
            <w:tcW w:w="1208" w:type="pct"/>
            <w:shd w:val="clear" w:color="auto" w:fill="auto"/>
            <w:vAlign w:val="bottom"/>
          </w:tcPr>
          <w:p w14:paraId="4FA6BC86"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15,6 %</w:t>
            </w:r>
          </w:p>
        </w:tc>
        <w:tc>
          <w:tcPr>
            <w:tcW w:w="1208" w:type="pct"/>
            <w:shd w:val="clear" w:color="auto" w:fill="auto"/>
            <w:vAlign w:val="bottom"/>
          </w:tcPr>
          <w:p w14:paraId="4A9B48D4"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 xml:space="preserve"> n. d.</w:t>
            </w:r>
          </w:p>
        </w:tc>
      </w:tr>
      <w:tr w:rsidR="007054B7" w:rsidRPr="0017609B" w14:paraId="4C21EC8D" w14:textId="77777777" w:rsidTr="009D000C">
        <w:trPr>
          <w:trHeight w:val="240"/>
        </w:trPr>
        <w:tc>
          <w:tcPr>
            <w:tcW w:w="1375" w:type="pct"/>
            <w:tcBorders>
              <w:bottom w:val="single" w:sz="12" w:space="0" w:color="auto"/>
            </w:tcBorders>
            <w:shd w:val="clear" w:color="auto" w:fill="auto"/>
            <w:hideMark/>
          </w:tcPr>
          <w:p w14:paraId="0CADB16B" w14:textId="77777777" w:rsidR="0017609B" w:rsidRPr="0017609B" w:rsidRDefault="0017609B" w:rsidP="007054B7">
            <w:pPr>
              <w:pStyle w:val="SingleTxtG"/>
              <w:tabs>
                <w:tab w:val="clear" w:pos="1701"/>
                <w:tab w:val="clear" w:pos="2268"/>
                <w:tab w:val="clear" w:pos="2835"/>
              </w:tabs>
              <w:spacing w:before="40" w:after="40" w:line="220" w:lineRule="exact"/>
              <w:ind w:left="0" w:right="0"/>
              <w:jc w:val="left"/>
              <w:rPr>
                <w:sz w:val="18"/>
                <w:lang w:val="es-ES_tradnl"/>
              </w:rPr>
            </w:pPr>
            <w:r w:rsidRPr="0017609B">
              <w:rPr>
                <w:sz w:val="18"/>
                <w:lang w:val="es-ES_tradnl"/>
              </w:rPr>
              <w:t xml:space="preserve">Nacional </w:t>
            </w:r>
          </w:p>
        </w:tc>
        <w:tc>
          <w:tcPr>
            <w:tcW w:w="1208" w:type="pct"/>
            <w:tcBorders>
              <w:bottom w:val="single" w:sz="12" w:space="0" w:color="auto"/>
            </w:tcBorders>
            <w:shd w:val="clear" w:color="auto" w:fill="auto"/>
            <w:vAlign w:val="bottom"/>
            <w:hideMark/>
          </w:tcPr>
          <w:p w14:paraId="7E7C1EEC"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91,6 %</w:t>
            </w:r>
          </w:p>
        </w:tc>
        <w:tc>
          <w:tcPr>
            <w:tcW w:w="1208" w:type="pct"/>
            <w:tcBorders>
              <w:bottom w:val="single" w:sz="12" w:space="0" w:color="auto"/>
            </w:tcBorders>
            <w:shd w:val="clear" w:color="auto" w:fill="auto"/>
            <w:vAlign w:val="bottom"/>
            <w:hideMark/>
          </w:tcPr>
          <w:p w14:paraId="7ABB47C1"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85,2 %</w:t>
            </w:r>
          </w:p>
        </w:tc>
        <w:tc>
          <w:tcPr>
            <w:tcW w:w="1208" w:type="pct"/>
            <w:tcBorders>
              <w:bottom w:val="single" w:sz="12" w:space="0" w:color="auto"/>
            </w:tcBorders>
            <w:shd w:val="clear" w:color="auto" w:fill="auto"/>
            <w:vAlign w:val="bottom"/>
          </w:tcPr>
          <w:p w14:paraId="7DBCB969" w14:textId="77777777" w:rsidR="0017609B" w:rsidRPr="0017609B" w:rsidRDefault="0017609B" w:rsidP="007054B7">
            <w:pPr>
              <w:pStyle w:val="SingleTxtG"/>
              <w:tabs>
                <w:tab w:val="clear" w:pos="1701"/>
                <w:tab w:val="clear" w:pos="2268"/>
                <w:tab w:val="clear" w:pos="2835"/>
              </w:tabs>
              <w:spacing w:before="40" w:after="40" w:line="220" w:lineRule="exact"/>
              <w:ind w:left="113" w:right="0"/>
              <w:jc w:val="right"/>
              <w:rPr>
                <w:sz w:val="18"/>
                <w:lang w:val="es-ES_tradnl"/>
              </w:rPr>
            </w:pPr>
            <w:r w:rsidRPr="0017609B">
              <w:rPr>
                <w:sz w:val="18"/>
                <w:lang w:val="es-ES_tradnl"/>
              </w:rPr>
              <w:t xml:space="preserve"> 91 %</w:t>
            </w:r>
          </w:p>
        </w:tc>
      </w:tr>
    </w:tbl>
    <w:p w14:paraId="4C7CBD5B" w14:textId="77777777" w:rsidR="0017609B" w:rsidRPr="0017609B" w:rsidRDefault="0017609B" w:rsidP="007054B7">
      <w:pPr>
        <w:pStyle w:val="SingleTxtG"/>
        <w:spacing w:before="240"/>
        <w:rPr>
          <w:lang w:val="es-ES_tradnl"/>
        </w:rPr>
      </w:pPr>
      <w:r w:rsidRPr="0017609B">
        <w:rPr>
          <w:lang w:val="es-ES_tradnl"/>
        </w:rPr>
        <w:t>183.</w:t>
      </w:r>
      <w:r w:rsidRPr="0017609B">
        <w:rPr>
          <w:lang w:val="es-ES_tradnl"/>
        </w:rPr>
        <w:tab/>
        <w:t xml:space="preserve">Según la </w:t>
      </w:r>
      <w:proofErr w:type="spellStart"/>
      <w:r w:rsidRPr="0017609B">
        <w:rPr>
          <w:lang w:val="es-ES_tradnl"/>
        </w:rPr>
        <w:t>EDSM</w:t>
      </w:r>
      <w:proofErr w:type="spellEnd"/>
      <w:r w:rsidRPr="0017609B">
        <w:rPr>
          <w:lang w:val="es-ES_tradnl"/>
        </w:rPr>
        <w:t xml:space="preserve"> V (2012-2013), la prevalencia en el grupo de 0 a 14 años es del 69 %, frente al 74 % en el mismo grupo de edad en 2010. </w:t>
      </w:r>
    </w:p>
    <w:p w14:paraId="6879279E" w14:textId="77777777" w:rsidR="0017609B" w:rsidRPr="0017609B" w:rsidRDefault="0017609B" w:rsidP="0017609B">
      <w:pPr>
        <w:pStyle w:val="SingleTxtG"/>
        <w:rPr>
          <w:lang w:val="es-ES_tradnl"/>
        </w:rPr>
      </w:pPr>
      <w:r w:rsidRPr="0017609B">
        <w:rPr>
          <w:lang w:val="es-ES_tradnl"/>
        </w:rPr>
        <w:t>184.</w:t>
      </w:r>
      <w:r w:rsidRPr="0017609B">
        <w:rPr>
          <w:lang w:val="es-ES_tradnl"/>
        </w:rPr>
        <w:tab/>
        <w:t xml:space="preserve">Desde 2003, el Comité </w:t>
      </w:r>
      <w:proofErr w:type="spellStart"/>
      <w:r w:rsidRPr="0017609B">
        <w:rPr>
          <w:lang w:val="es-ES_tradnl"/>
        </w:rPr>
        <w:t>Interafricano</w:t>
      </w:r>
      <w:proofErr w:type="spellEnd"/>
      <w:r w:rsidRPr="0017609B">
        <w:rPr>
          <w:lang w:val="es-ES_tradnl"/>
        </w:rPr>
        <w:t xml:space="preserve"> de Lucha contra las Prácticas Tradicionales Nocivas para la Salud de Mujeres y Niños dedica el día internacional del 6 de febrero al tema de la tolerancia cero frente a la mutilación genital femenina. Malí lleva una década conmemorando este día con diversos temas específicos que pretenden llamar la atención de las más altas autoridades y del público en general sobre el problema de la ablación, con el fin último de contribuir a que se abandone la práctica de la mutilación genital femenina en todo el país, y a que también se cuente para ello con el compromiso de jóvenes y comunidades. </w:t>
      </w:r>
    </w:p>
    <w:p w14:paraId="0AF1D741" w14:textId="77777777" w:rsidR="0017609B" w:rsidRPr="0017609B" w:rsidRDefault="0017609B" w:rsidP="0017609B">
      <w:pPr>
        <w:pStyle w:val="SingleTxtG"/>
        <w:rPr>
          <w:b/>
          <w:lang w:val="es-ES_tradnl"/>
        </w:rPr>
      </w:pPr>
      <w:r w:rsidRPr="0017609B">
        <w:rPr>
          <w:lang w:val="es-ES_tradnl"/>
        </w:rPr>
        <w:t>185.</w:t>
      </w:r>
      <w:r w:rsidRPr="0017609B">
        <w:rPr>
          <w:lang w:val="es-ES_tradnl"/>
        </w:rPr>
        <w:tab/>
        <w:t xml:space="preserve">Los medios de comunicación apoyan al Programa Nacional de Lucha contra la Ablación y a sus asociados en todas sus actividades de sensibilización, promoción y formación. El Ministerio de Salud y sus estructuras descentralizadas también han aprovechado la oportunidad para ofrecer atención médica por las complicaciones relacionadas con la práctica de la ablación. </w:t>
      </w:r>
    </w:p>
    <w:p w14:paraId="7ADB9FF1" w14:textId="77777777" w:rsidR="0017609B" w:rsidRPr="0017609B" w:rsidRDefault="0017609B" w:rsidP="0017609B">
      <w:pPr>
        <w:pStyle w:val="SingleTxtG"/>
        <w:rPr>
          <w:lang w:val="es-ES_tradnl"/>
        </w:rPr>
      </w:pPr>
      <w:r w:rsidRPr="0017609B">
        <w:rPr>
          <w:lang w:val="es-ES_tradnl"/>
        </w:rPr>
        <w:t>186.</w:t>
      </w:r>
      <w:r w:rsidRPr="0017609B">
        <w:rPr>
          <w:lang w:val="es-ES_tradnl"/>
        </w:rPr>
        <w:tab/>
        <w:t>Entre 2010 y 2013, 1.152 agentes sociosanitarios y sociales recibieron formación en atención médica, psicosocial y jurídica para supervivientes de mutilación genital femenina/ablación.</w:t>
      </w:r>
    </w:p>
    <w:p w14:paraId="5693DDC1" w14:textId="77777777" w:rsidR="0017609B" w:rsidRPr="0017609B" w:rsidRDefault="0017609B" w:rsidP="0017609B">
      <w:pPr>
        <w:pStyle w:val="SingleTxtG"/>
        <w:rPr>
          <w:lang w:val="es-ES_tradnl"/>
        </w:rPr>
      </w:pPr>
      <w:r w:rsidRPr="0017609B">
        <w:rPr>
          <w:lang w:val="es-ES_tradnl"/>
        </w:rPr>
        <w:t>187.</w:t>
      </w:r>
      <w:r w:rsidRPr="0017609B">
        <w:rPr>
          <w:lang w:val="es-ES_tradnl"/>
        </w:rPr>
        <w:tab/>
        <w:t xml:space="preserve">Además, en 2011 se entregaron 1.277 botiquines médicos a 24 estructuras de salud, mejorando así la atención médica prestada en los casos en que se producen complicaciones por la práctica de la mutilación genital femenina/ablación. Entre 2010 y 2013, 1.767 niñas y mujeres que sufrieron complicaciones por la ablación recibieron atención médica en Kayes, </w:t>
      </w:r>
      <w:proofErr w:type="spellStart"/>
      <w:r w:rsidRPr="0017609B">
        <w:rPr>
          <w:lang w:val="es-ES_tradnl"/>
        </w:rPr>
        <w:t>Kulikoró</w:t>
      </w:r>
      <w:proofErr w:type="spellEnd"/>
      <w:r w:rsidRPr="0017609B">
        <w:rPr>
          <w:lang w:val="es-ES_tradnl"/>
        </w:rPr>
        <w:t xml:space="preserve"> y Bamako.</w:t>
      </w:r>
    </w:p>
    <w:p w14:paraId="01AF230A" w14:textId="77777777" w:rsidR="0017609B" w:rsidRPr="0017609B" w:rsidRDefault="0017609B" w:rsidP="0017609B">
      <w:pPr>
        <w:pStyle w:val="SingleTxtG"/>
        <w:rPr>
          <w:lang w:val="es-ES_tradnl"/>
        </w:rPr>
      </w:pPr>
      <w:r w:rsidRPr="0017609B">
        <w:rPr>
          <w:lang w:val="es-ES_tradnl"/>
        </w:rPr>
        <w:t>188.</w:t>
      </w:r>
      <w:r w:rsidRPr="0017609B">
        <w:rPr>
          <w:lang w:val="es-ES_tradnl"/>
        </w:rPr>
        <w:tab/>
        <w:t>Entre 2008 y 2013, se concienció a 8.585.575 personas sobre los efectos nocivos de la mutilación genital femenina/ablación, el vínculo entre la ablación y la salud reproductiva, y el vínculo entre la ablación y los derechos de los niños y niñas y las mujeres a través de una estrategia de comunicación integrada (representaciones teatrales, cine digital itinerante, comunicación interpersonal).</w:t>
      </w:r>
    </w:p>
    <w:p w14:paraId="36DFD5A7" w14:textId="77777777" w:rsidR="0017609B" w:rsidRPr="0017609B" w:rsidRDefault="0017609B" w:rsidP="0017609B">
      <w:pPr>
        <w:pStyle w:val="SingleTxtG"/>
        <w:rPr>
          <w:lang w:val="es-ES_tradnl"/>
        </w:rPr>
      </w:pPr>
      <w:r w:rsidRPr="0017609B">
        <w:rPr>
          <w:lang w:val="es-ES_tradnl"/>
        </w:rPr>
        <w:t>189.</w:t>
      </w:r>
      <w:r w:rsidRPr="0017609B">
        <w:rPr>
          <w:lang w:val="es-ES_tradnl"/>
        </w:rPr>
        <w:tab/>
        <w:t xml:space="preserve">En 2008 se presentó a la Comisión de Derecho de la Asamblea Nacional, tras una intensa labor de promoción por parte del grupo PACTE, formado por 48 ONG, un proyecto de ley específico que condenaba la práctica de la ablación. Estos resultados tan notables han contribuido a modificar el comportamiento de las personas. Entre 2008 y febrero de 2012, 1.042 comunidades de aldeas firmaron acuerdos locales/declaraciones públicas por los que se comprometían a abandonar la práctica de la ablación. </w:t>
      </w:r>
    </w:p>
    <w:p w14:paraId="44144927" w14:textId="77777777" w:rsidR="0017609B" w:rsidRPr="0017609B" w:rsidRDefault="0017609B" w:rsidP="0017609B">
      <w:pPr>
        <w:pStyle w:val="SingleTxtG"/>
        <w:rPr>
          <w:lang w:val="es-ES_tradnl"/>
        </w:rPr>
      </w:pPr>
      <w:r w:rsidRPr="0017609B">
        <w:rPr>
          <w:lang w:val="es-ES_tradnl"/>
        </w:rPr>
        <w:lastRenderedPageBreak/>
        <w:t>190.</w:t>
      </w:r>
      <w:r w:rsidRPr="0017609B">
        <w:rPr>
          <w:lang w:val="es-ES_tradnl"/>
        </w:rPr>
        <w:tab/>
        <w:t xml:space="preserve">El 24 de noviembre de 2010, el Gobierno de Malí adoptó un documento de política nacional, acompañado de un plan de acción nacional (2010-2014), con el fin de promover que se erradique la mutilación genital femenina/ablación. </w:t>
      </w:r>
    </w:p>
    <w:p w14:paraId="594733B5" w14:textId="6977D3D4" w:rsidR="0017609B" w:rsidRPr="0017609B" w:rsidRDefault="007054B7" w:rsidP="007054B7">
      <w:pPr>
        <w:pStyle w:val="H56G"/>
        <w:rPr>
          <w:lang w:val="es-ES_tradnl"/>
        </w:rPr>
      </w:pPr>
      <w:r>
        <w:rPr>
          <w:lang w:val="es-ES_tradnl"/>
        </w:rPr>
        <w:tab/>
      </w:r>
      <w:r w:rsidR="0017609B" w:rsidRPr="0017609B">
        <w:rPr>
          <w:lang w:val="es-ES_tradnl"/>
        </w:rPr>
        <w:tab/>
        <w:t>Matrimonio precoz/forzoso</w:t>
      </w:r>
    </w:p>
    <w:p w14:paraId="1B979F17" w14:textId="77777777" w:rsidR="0017609B" w:rsidRPr="0017609B" w:rsidRDefault="0017609B" w:rsidP="0017609B">
      <w:pPr>
        <w:pStyle w:val="SingleTxtG"/>
        <w:rPr>
          <w:lang w:val="es-ES_tradnl"/>
        </w:rPr>
      </w:pPr>
      <w:r w:rsidRPr="0017609B">
        <w:rPr>
          <w:lang w:val="es-ES_tradnl"/>
        </w:rPr>
        <w:t>191.</w:t>
      </w:r>
      <w:r w:rsidRPr="0017609B">
        <w:rPr>
          <w:lang w:val="es-ES_tradnl"/>
        </w:rPr>
        <w:tab/>
        <w:t xml:space="preserve">Según la encuesta </w:t>
      </w:r>
      <w:proofErr w:type="spellStart"/>
      <w:r w:rsidRPr="0017609B">
        <w:rPr>
          <w:lang w:val="es-ES_tradnl"/>
        </w:rPr>
        <w:t>MICS</w:t>
      </w:r>
      <w:proofErr w:type="spellEnd"/>
      <w:r w:rsidRPr="0017609B">
        <w:rPr>
          <w:lang w:val="es-ES_tradnl"/>
        </w:rPr>
        <w:t xml:space="preserve"> 2010, el 14 % de las mujeres se casan antes de los 15 años y el 61 %, antes de los 18. En el momento en que se realizó la encuesta, casi el 40 % de las mujeres de entre 15 y 19 años estaban casadas o en unión. Independientemente de la edad, el matrimonio precoz es más frecuente en las zonas rurales que en las urbanas, y entre las mujeres con más formación que entre las que no la tienen.</w:t>
      </w:r>
    </w:p>
    <w:p w14:paraId="22BF0442" w14:textId="77777777" w:rsidR="0017609B" w:rsidRPr="0017609B" w:rsidRDefault="0017609B" w:rsidP="007054B7">
      <w:pPr>
        <w:pStyle w:val="H4G"/>
        <w:rPr>
          <w:lang w:val="es-ES_tradnl"/>
        </w:rPr>
      </w:pPr>
      <w:bookmarkStart w:id="455" w:name="_Toc414373039"/>
      <w:bookmarkStart w:id="456" w:name="_Toc414373268"/>
      <w:bookmarkStart w:id="457" w:name="_Toc414377764"/>
      <w:bookmarkStart w:id="458" w:name="_Toc35441138"/>
      <w:r w:rsidRPr="0017609B">
        <w:rPr>
          <w:lang w:val="es-ES_tradnl"/>
        </w:rPr>
        <w:tab/>
        <w:t>8.1.9</w:t>
      </w:r>
      <w:r w:rsidRPr="0017609B">
        <w:rPr>
          <w:lang w:val="es-ES_tradnl"/>
        </w:rPr>
        <w:tab/>
        <w:t>Niños víctimas de conflictos armados</w:t>
      </w:r>
      <w:bookmarkEnd w:id="455"/>
      <w:bookmarkEnd w:id="456"/>
      <w:bookmarkEnd w:id="457"/>
      <w:bookmarkEnd w:id="458"/>
    </w:p>
    <w:p w14:paraId="151315B8" w14:textId="60BF9CBB" w:rsidR="0017609B" w:rsidRPr="0017609B" w:rsidRDefault="0017609B" w:rsidP="0017609B">
      <w:pPr>
        <w:pStyle w:val="SingleTxtG"/>
        <w:rPr>
          <w:lang w:val="es-ES_tradnl"/>
        </w:rPr>
      </w:pPr>
      <w:r w:rsidRPr="0017609B">
        <w:rPr>
          <w:lang w:val="es-ES_tradnl"/>
        </w:rPr>
        <w:t>192.</w:t>
      </w:r>
      <w:r w:rsidRPr="0017609B">
        <w:rPr>
          <w:lang w:val="es-ES_tradnl"/>
        </w:rPr>
        <w:tab/>
        <w:t>Los conflictos armados que sacuden a Malí se inscriben en el contexto de una crisis alimentaria que azota al Sahel desde finales de 2011 y que se estima que repercute en</w:t>
      </w:r>
      <w:r w:rsidR="00697C3C">
        <w:rPr>
          <w:lang w:val="es-ES_tradnl"/>
        </w:rPr>
        <w:t> </w:t>
      </w:r>
      <w:r w:rsidRPr="0017609B">
        <w:rPr>
          <w:lang w:val="es-ES_tradnl"/>
        </w:rPr>
        <w:t>4,6 millones de personas en el país. Asimismo, 1,6 millones de personas afectadas por el conflicto armado ya se encontraban en situación de inseguridad alimentaria.</w:t>
      </w:r>
    </w:p>
    <w:p w14:paraId="18350119" w14:textId="184FB70C" w:rsidR="0017609B" w:rsidRPr="0017609B" w:rsidRDefault="007054B7" w:rsidP="007054B7">
      <w:pPr>
        <w:pStyle w:val="H56G"/>
        <w:rPr>
          <w:lang w:val="es-ES_tradnl"/>
        </w:rPr>
      </w:pPr>
      <w:r>
        <w:rPr>
          <w:lang w:val="es-ES_tradnl"/>
        </w:rPr>
        <w:tab/>
      </w:r>
      <w:r w:rsidR="0017609B" w:rsidRPr="0017609B">
        <w:rPr>
          <w:lang w:val="es-ES_tradnl"/>
        </w:rPr>
        <w:tab/>
        <w:t>Niños víctimas de conflictos armados que han recibido atención psicológica</w:t>
      </w:r>
    </w:p>
    <w:p w14:paraId="4477D9F9" w14:textId="77777777" w:rsidR="0017609B" w:rsidRPr="0017609B" w:rsidRDefault="0017609B" w:rsidP="0017609B">
      <w:pPr>
        <w:pStyle w:val="SingleTxtG"/>
        <w:rPr>
          <w:lang w:val="es-ES_tradnl"/>
        </w:rPr>
      </w:pPr>
      <w:r w:rsidRPr="0017609B">
        <w:rPr>
          <w:lang w:val="es-ES_tradnl"/>
        </w:rPr>
        <w:t>193.</w:t>
      </w:r>
      <w:r w:rsidRPr="0017609B">
        <w:rPr>
          <w:lang w:val="es-ES_tradnl"/>
        </w:rPr>
        <w:tab/>
        <w:t xml:space="preserve">El deterioro de la situación de seguridad desde enero de 2012 ha desembocado en la ocupación de las tres regiones septentrionales de Malí y de parte de la región de </w:t>
      </w:r>
      <w:proofErr w:type="spellStart"/>
      <w:r w:rsidRPr="0017609B">
        <w:rPr>
          <w:lang w:val="es-ES_tradnl"/>
        </w:rPr>
        <w:t>Mopti</w:t>
      </w:r>
      <w:proofErr w:type="spellEnd"/>
      <w:r w:rsidRPr="0017609B">
        <w:rPr>
          <w:lang w:val="es-ES_tradnl"/>
        </w:rPr>
        <w:t xml:space="preserve"> por grupos armados, lo cual ha provocado un desplazamiento a gran escala de personas dentro y fuera del país. Esta situación también ha dado lugar al saqueo y cierre de algunas estructuras de salud. Ante los efectos del conflicto, las intervenciones de apoyo psicosocial han llegado a más de 40.000 niños, en especial en las regiones septentrionales, las más afectadas. Sin embargo, debido a las numerosas necesidades insatisfechas, aún queda mucho por hacer.</w:t>
      </w:r>
    </w:p>
    <w:p w14:paraId="2E23C1CC" w14:textId="452DFCEF" w:rsidR="00D36601" w:rsidRPr="00D36601" w:rsidRDefault="007054B7" w:rsidP="007054B7">
      <w:pPr>
        <w:pStyle w:val="H56G"/>
      </w:pPr>
      <w:r>
        <w:tab/>
      </w:r>
      <w:r w:rsidR="00D36601" w:rsidRPr="00D36601">
        <w:tab/>
        <w:t>Niños víctimas de conflictos armados que han recibido apoyo educativo</w:t>
      </w:r>
    </w:p>
    <w:p w14:paraId="2CCE88F3" w14:textId="77777777" w:rsidR="00D36601" w:rsidRPr="00D36601" w:rsidRDefault="00D36601" w:rsidP="00D36601">
      <w:pPr>
        <w:pStyle w:val="SingleTxtG"/>
      </w:pPr>
      <w:r w:rsidRPr="00D36601">
        <w:t>194.</w:t>
      </w:r>
      <w:r w:rsidRPr="00D36601">
        <w:tab/>
        <w:t xml:space="preserve">Se calcula que, en Malí, 800.000 niños en edad escolar no asisten a la escuela debido a dificultades económicas, enfermedades u obstáculos geográficos. La igualdad de acceso de las niñas a la educación también sigue siendo uno de los principales retos. La crisis actual no ha hecho sino agravar la situación al crear una población itinerante de alumnos desplazados, que acuden a aulas masificadas y mal equipadas. </w:t>
      </w:r>
    </w:p>
    <w:p w14:paraId="0A68A3F4" w14:textId="77777777" w:rsidR="00D36601" w:rsidRPr="00D36601" w:rsidRDefault="00D36601" w:rsidP="00D36601">
      <w:pPr>
        <w:pStyle w:val="SingleTxtG"/>
      </w:pPr>
      <w:r w:rsidRPr="00D36601">
        <w:t>195.</w:t>
      </w:r>
      <w:r w:rsidRPr="00D36601">
        <w:tab/>
        <w:t xml:space="preserve">En el norte del país, unos 560.000 niños en edad escolar no pudieron asistir a la escuela en 2012. Los niños desplazados con sus familias tuvieron que ser matriculados en nuevas escuelas. El seguimiento de los movimientos de los alumnos desplazados a través de las comunidades y escuelas que los acogen es crucial para prestar ayuda de forma estratégica y eficaz. </w:t>
      </w:r>
    </w:p>
    <w:p w14:paraId="6B667AAA" w14:textId="77777777" w:rsidR="00D36601" w:rsidRPr="00D36601" w:rsidRDefault="00D36601" w:rsidP="00D36601">
      <w:pPr>
        <w:pStyle w:val="SingleTxtG"/>
      </w:pPr>
      <w:r w:rsidRPr="00D36601">
        <w:t>196.</w:t>
      </w:r>
      <w:r w:rsidRPr="00D36601">
        <w:tab/>
        <w:t xml:space="preserve">El UNICEF ha colaborado con varios asociados para proporcionar material escolar, como cuadernos, bolígrafos, material recreativo y kits de higiene, a 10.537 alumnos desplazados en el norte del país. El UNICEF también ha apoyado la escolaridad de unos 4.600 alumnos malienses en el Níger y en Mauritania mediante el envío de libros de texto a los campos de refugiados de estos países. En el marco de una amplia campaña para que los niños afectados por la crisis puedan presentarse a los exámenes de fin de curso, el UNICEF ha colaborado en la organización de clases de apoyo en las regiones de </w:t>
      </w:r>
      <w:proofErr w:type="spellStart"/>
      <w:r w:rsidRPr="00D36601">
        <w:t>Mopti</w:t>
      </w:r>
      <w:proofErr w:type="spellEnd"/>
      <w:r w:rsidRPr="00D36601">
        <w:t xml:space="preserve"> y Segú, así como en Bamako. Un total de 7.718 alumnos que terminaban la enseñanza primaria pudieron asistir a clases de recuperación para reforzar sus conocimientos en las asignaturas principales y aprobar los exámenes necesarios para acceder a la enseñanza secundaria.</w:t>
      </w:r>
    </w:p>
    <w:p w14:paraId="557CC058" w14:textId="54838A97" w:rsidR="00D36601" w:rsidRPr="00D36601" w:rsidRDefault="00D36601" w:rsidP="00701F23">
      <w:pPr>
        <w:pStyle w:val="SingleTxtG"/>
        <w:keepNext/>
        <w:jc w:val="left"/>
        <w:rPr>
          <w:b/>
        </w:rPr>
      </w:pPr>
      <w:bookmarkStart w:id="459" w:name="_Toc414373041"/>
      <w:bookmarkStart w:id="460" w:name="_Toc414373270"/>
      <w:bookmarkStart w:id="461" w:name="_Toc414377766"/>
      <w:r w:rsidRPr="00D36601">
        <w:t xml:space="preserve">Cuadro 12 </w:t>
      </w:r>
      <w:r w:rsidRPr="00D36601">
        <w:br/>
      </w:r>
      <w:r w:rsidRPr="00D36601">
        <w:rPr>
          <w:b/>
          <w:bCs/>
        </w:rPr>
        <w:t>Proporción de niños desplazados en 2012, desglosados por sexo y edad (en número)</w:t>
      </w:r>
      <w:bookmarkEnd w:id="459"/>
      <w:bookmarkEnd w:id="460"/>
      <w:bookmarkEnd w:id="461"/>
    </w:p>
    <w:tbl>
      <w:tblPr>
        <w:tblW w:w="7447"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720"/>
        <w:gridCol w:w="723"/>
        <w:gridCol w:w="743"/>
        <w:gridCol w:w="710"/>
        <w:gridCol w:w="658"/>
        <w:gridCol w:w="707"/>
        <w:gridCol w:w="562"/>
        <w:gridCol w:w="707"/>
        <w:gridCol w:w="718"/>
        <w:gridCol w:w="1199"/>
      </w:tblGrid>
      <w:tr w:rsidR="00DC67C2" w:rsidRPr="007054B7" w14:paraId="68F6ED3F" w14:textId="77777777" w:rsidTr="00DC67C2">
        <w:trPr>
          <w:tblHeader/>
        </w:trPr>
        <w:tc>
          <w:tcPr>
            <w:tcW w:w="1467" w:type="pct"/>
            <w:gridSpan w:val="3"/>
            <w:tcBorders>
              <w:top w:val="single" w:sz="4" w:space="0" w:color="auto"/>
              <w:bottom w:val="single" w:sz="4" w:space="0" w:color="auto"/>
              <w:right w:val="single" w:sz="18" w:space="0" w:color="FFFFFF" w:themeColor="background1"/>
            </w:tcBorders>
            <w:shd w:val="clear" w:color="auto" w:fill="auto"/>
            <w:vAlign w:val="bottom"/>
            <w:hideMark/>
          </w:tcPr>
          <w:p w14:paraId="2DEBE216" w14:textId="77777777" w:rsidR="00DC67C2" w:rsidRPr="00D36601" w:rsidRDefault="00DC67C2" w:rsidP="00DC67C2">
            <w:pPr>
              <w:pStyle w:val="SingleTxtG"/>
              <w:keepNext/>
              <w:tabs>
                <w:tab w:val="clear" w:pos="1701"/>
                <w:tab w:val="clear" w:pos="2268"/>
                <w:tab w:val="clear" w:pos="2835"/>
              </w:tabs>
              <w:spacing w:before="80" w:after="80" w:line="200" w:lineRule="exact"/>
              <w:ind w:left="0" w:right="0"/>
              <w:jc w:val="center"/>
              <w:rPr>
                <w:i/>
                <w:sz w:val="16"/>
                <w:lang w:val="fr-CH"/>
              </w:rPr>
            </w:pPr>
            <w:r w:rsidRPr="00D36601">
              <w:rPr>
                <w:i/>
                <w:iCs/>
                <w:sz w:val="16"/>
              </w:rPr>
              <w:t>Personas desplazadas</w:t>
            </w:r>
          </w:p>
        </w:tc>
        <w:tc>
          <w:tcPr>
            <w:tcW w:w="1393" w:type="pct"/>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hideMark/>
          </w:tcPr>
          <w:p w14:paraId="4D4D31F8" w14:textId="77777777" w:rsidR="00DC67C2" w:rsidRPr="00D36601" w:rsidRDefault="00DC67C2" w:rsidP="00DC67C2">
            <w:pPr>
              <w:pStyle w:val="SingleTxtG"/>
              <w:keepNext/>
              <w:tabs>
                <w:tab w:val="clear" w:pos="1701"/>
                <w:tab w:val="clear" w:pos="2268"/>
                <w:tab w:val="clear" w:pos="2835"/>
              </w:tabs>
              <w:spacing w:before="80" w:after="80" w:line="200" w:lineRule="exact"/>
              <w:ind w:left="0" w:right="0"/>
              <w:jc w:val="center"/>
              <w:rPr>
                <w:i/>
                <w:sz w:val="16"/>
                <w:lang w:val="fr-CH"/>
              </w:rPr>
            </w:pPr>
            <w:r w:rsidRPr="00D36601">
              <w:rPr>
                <w:i/>
                <w:iCs/>
                <w:sz w:val="16"/>
              </w:rPr>
              <w:t>Niños desplazados</w:t>
            </w:r>
          </w:p>
        </w:tc>
        <w:tc>
          <w:tcPr>
            <w:tcW w:w="1334" w:type="pct"/>
            <w:gridSpan w:val="3"/>
            <w:tcBorders>
              <w:top w:val="single" w:sz="4" w:space="0" w:color="auto"/>
              <w:left w:val="single" w:sz="18" w:space="0" w:color="FFFFFF" w:themeColor="background1"/>
              <w:bottom w:val="single" w:sz="4" w:space="0" w:color="auto"/>
            </w:tcBorders>
            <w:shd w:val="clear" w:color="auto" w:fill="auto"/>
            <w:vAlign w:val="bottom"/>
            <w:hideMark/>
          </w:tcPr>
          <w:p w14:paraId="2582D7FA" w14:textId="77777777" w:rsidR="00DC67C2" w:rsidRPr="00D36601" w:rsidRDefault="00DC67C2" w:rsidP="00DC67C2">
            <w:pPr>
              <w:pStyle w:val="SingleTxtG"/>
              <w:keepNext/>
              <w:tabs>
                <w:tab w:val="clear" w:pos="1701"/>
                <w:tab w:val="clear" w:pos="2268"/>
                <w:tab w:val="clear" w:pos="2835"/>
              </w:tabs>
              <w:spacing w:before="80" w:after="80" w:line="200" w:lineRule="exact"/>
              <w:ind w:left="0" w:right="0"/>
              <w:jc w:val="center"/>
              <w:rPr>
                <w:i/>
                <w:sz w:val="16"/>
                <w:lang w:val="fr-CH"/>
              </w:rPr>
            </w:pPr>
            <w:r w:rsidRPr="00D36601">
              <w:rPr>
                <w:i/>
                <w:iCs/>
                <w:sz w:val="16"/>
              </w:rPr>
              <w:t>Escolares desplazados</w:t>
            </w:r>
          </w:p>
        </w:tc>
        <w:tc>
          <w:tcPr>
            <w:tcW w:w="806" w:type="pct"/>
            <w:vMerge w:val="restart"/>
            <w:tcBorders>
              <w:top w:val="single" w:sz="4" w:space="0" w:color="auto"/>
              <w:bottom w:val="nil"/>
            </w:tcBorders>
            <w:shd w:val="clear" w:color="auto" w:fill="auto"/>
            <w:vAlign w:val="bottom"/>
          </w:tcPr>
          <w:p w14:paraId="27A46657" w14:textId="77777777" w:rsidR="00DC67C2" w:rsidRPr="00D36601" w:rsidRDefault="00DC67C2" w:rsidP="00DC67C2">
            <w:pPr>
              <w:pStyle w:val="SingleTxtG"/>
              <w:keepNext/>
              <w:tabs>
                <w:tab w:val="clear" w:pos="1701"/>
                <w:tab w:val="clear" w:pos="2268"/>
                <w:tab w:val="clear" w:pos="2835"/>
              </w:tabs>
              <w:spacing w:before="80" w:after="80" w:line="200" w:lineRule="exact"/>
              <w:ind w:left="0" w:right="0"/>
              <w:jc w:val="right"/>
              <w:rPr>
                <w:i/>
                <w:sz w:val="16"/>
              </w:rPr>
            </w:pPr>
            <w:r w:rsidRPr="00D36601">
              <w:rPr>
                <w:i/>
                <w:iCs/>
                <w:sz w:val="16"/>
              </w:rPr>
              <w:t>Niños de 0 a 5 años desplazados</w:t>
            </w:r>
          </w:p>
        </w:tc>
      </w:tr>
      <w:tr w:rsidR="00DC67C2" w:rsidRPr="00D36601" w14:paraId="3D496C74" w14:textId="77777777" w:rsidTr="00DC67C2">
        <w:trPr>
          <w:trHeight w:val="240"/>
          <w:tblHeader/>
        </w:trPr>
        <w:tc>
          <w:tcPr>
            <w:tcW w:w="483" w:type="pct"/>
            <w:tcBorders>
              <w:top w:val="single" w:sz="4" w:space="0" w:color="auto"/>
              <w:bottom w:val="single" w:sz="12" w:space="0" w:color="auto"/>
            </w:tcBorders>
            <w:shd w:val="clear" w:color="auto" w:fill="auto"/>
            <w:hideMark/>
          </w:tcPr>
          <w:p w14:paraId="6BD01399" w14:textId="77777777" w:rsidR="00DC67C2" w:rsidRPr="00D36601" w:rsidRDefault="00DC67C2" w:rsidP="00701F23">
            <w:pPr>
              <w:pStyle w:val="SingleTxtG"/>
              <w:keepNext/>
              <w:tabs>
                <w:tab w:val="clear" w:pos="1701"/>
                <w:tab w:val="clear" w:pos="2268"/>
                <w:tab w:val="clear" w:pos="2835"/>
              </w:tabs>
              <w:spacing w:before="80" w:after="80" w:line="200" w:lineRule="exact"/>
              <w:ind w:left="113" w:right="0"/>
              <w:jc w:val="right"/>
              <w:rPr>
                <w:i/>
                <w:iCs/>
                <w:sz w:val="16"/>
              </w:rPr>
            </w:pPr>
            <w:r w:rsidRPr="00D36601">
              <w:rPr>
                <w:i/>
                <w:iCs/>
                <w:sz w:val="16"/>
              </w:rPr>
              <w:t>Hombres</w:t>
            </w:r>
          </w:p>
        </w:tc>
        <w:tc>
          <w:tcPr>
            <w:tcW w:w="485" w:type="pct"/>
            <w:tcBorders>
              <w:top w:val="single" w:sz="4" w:space="0" w:color="auto"/>
              <w:bottom w:val="single" w:sz="12" w:space="0" w:color="auto"/>
            </w:tcBorders>
            <w:shd w:val="clear" w:color="auto" w:fill="auto"/>
            <w:hideMark/>
          </w:tcPr>
          <w:p w14:paraId="288CBFF5" w14:textId="77777777" w:rsidR="00DC67C2" w:rsidRPr="00D36601" w:rsidRDefault="00DC67C2" w:rsidP="00701F23">
            <w:pPr>
              <w:pStyle w:val="SingleTxtG"/>
              <w:keepNext/>
              <w:tabs>
                <w:tab w:val="clear" w:pos="1701"/>
                <w:tab w:val="clear" w:pos="2268"/>
                <w:tab w:val="clear" w:pos="2835"/>
              </w:tabs>
              <w:spacing w:before="80" w:after="80" w:line="200" w:lineRule="exact"/>
              <w:ind w:left="113" w:right="0"/>
              <w:jc w:val="right"/>
              <w:rPr>
                <w:i/>
                <w:iCs/>
                <w:sz w:val="16"/>
              </w:rPr>
            </w:pPr>
            <w:r w:rsidRPr="00D36601">
              <w:rPr>
                <w:i/>
                <w:iCs/>
                <w:sz w:val="16"/>
              </w:rPr>
              <w:t>Mujeres</w:t>
            </w:r>
          </w:p>
        </w:tc>
        <w:tc>
          <w:tcPr>
            <w:tcW w:w="498" w:type="pct"/>
            <w:tcBorders>
              <w:top w:val="single" w:sz="4" w:space="0" w:color="auto"/>
              <w:bottom w:val="single" w:sz="12" w:space="0" w:color="auto"/>
              <w:right w:val="single" w:sz="18" w:space="0" w:color="FFFFFF" w:themeColor="background1"/>
            </w:tcBorders>
            <w:shd w:val="clear" w:color="auto" w:fill="auto"/>
            <w:hideMark/>
          </w:tcPr>
          <w:p w14:paraId="3AACD8B8" w14:textId="77777777" w:rsidR="00DC67C2" w:rsidRPr="00D36601" w:rsidRDefault="00DC67C2" w:rsidP="00701F23">
            <w:pPr>
              <w:pStyle w:val="SingleTxtG"/>
              <w:keepNext/>
              <w:tabs>
                <w:tab w:val="clear" w:pos="1701"/>
                <w:tab w:val="clear" w:pos="2268"/>
                <w:tab w:val="clear" w:pos="2835"/>
              </w:tabs>
              <w:spacing w:before="80" w:after="80" w:line="200" w:lineRule="exact"/>
              <w:ind w:left="113" w:right="0"/>
              <w:jc w:val="right"/>
              <w:rPr>
                <w:i/>
                <w:iCs/>
                <w:sz w:val="16"/>
              </w:rPr>
            </w:pPr>
            <w:r w:rsidRPr="00D36601">
              <w:rPr>
                <w:i/>
                <w:iCs/>
                <w:sz w:val="16"/>
              </w:rPr>
              <w:t>Total</w:t>
            </w:r>
          </w:p>
        </w:tc>
        <w:tc>
          <w:tcPr>
            <w:tcW w:w="477" w:type="pct"/>
            <w:tcBorders>
              <w:top w:val="single" w:sz="4" w:space="0" w:color="auto"/>
              <w:left w:val="single" w:sz="18" w:space="0" w:color="FFFFFF" w:themeColor="background1"/>
              <w:bottom w:val="single" w:sz="12" w:space="0" w:color="auto"/>
            </w:tcBorders>
            <w:shd w:val="clear" w:color="auto" w:fill="auto"/>
            <w:hideMark/>
          </w:tcPr>
          <w:p w14:paraId="1402E5F6" w14:textId="77777777" w:rsidR="00DC67C2" w:rsidRPr="00D36601" w:rsidRDefault="00DC67C2" w:rsidP="00701F23">
            <w:pPr>
              <w:pStyle w:val="SingleTxtG"/>
              <w:keepNext/>
              <w:tabs>
                <w:tab w:val="clear" w:pos="1701"/>
                <w:tab w:val="clear" w:pos="2268"/>
                <w:tab w:val="clear" w:pos="2835"/>
              </w:tabs>
              <w:spacing w:before="80" w:after="80" w:line="200" w:lineRule="exact"/>
              <w:ind w:left="113" w:right="0"/>
              <w:jc w:val="right"/>
              <w:rPr>
                <w:i/>
                <w:iCs/>
                <w:sz w:val="16"/>
              </w:rPr>
            </w:pPr>
            <w:r w:rsidRPr="00D36601">
              <w:rPr>
                <w:i/>
                <w:iCs/>
                <w:sz w:val="16"/>
              </w:rPr>
              <w:t>Niños</w:t>
            </w:r>
          </w:p>
        </w:tc>
        <w:tc>
          <w:tcPr>
            <w:tcW w:w="442" w:type="pct"/>
            <w:tcBorders>
              <w:top w:val="single" w:sz="4" w:space="0" w:color="auto"/>
              <w:bottom w:val="single" w:sz="12" w:space="0" w:color="auto"/>
            </w:tcBorders>
            <w:shd w:val="clear" w:color="auto" w:fill="auto"/>
            <w:vAlign w:val="bottom"/>
            <w:hideMark/>
          </w:tcPr>
          <w:p w14:paraId="4E3CBD0C" w14:textId="77777777" w:rsidR="00DC67C2" w:rsidRPr="00D36601" w:rsidRDefault="00DC67C2" w:rsidP="00701F23">
            <w:pPr>
              <w:pStyle w:val="SingleTxtG"/>
              <w:keepNext/>
              <w:tabs>
                <w:tab w:val="clear" w:pos="1701"/>
                <w:tab w:val="clear" w:pos="2268"/>
                <w:tab w:val="clear" w:pos="2835"/>
              </w:tabs>
              <w:spacing w:before="80" w:after="80" w:line="200" w:lineRule="exact"/>
              <w:ind w:left="113" w:right="0"/>
              <w:jc w:val="right"/>
              <w:rPr>
                <w:i/>
                <w:iCs/>
                <w:sz w:val="16"/>
              </w:rPr>
            </w:pPr>
            <w:r w:rsidRPr="00D36601">
              <w:rPr>
                <w:i/>
                <w:iCs/>
                <w:sz w:val="16"/>
              </w:rPr>
              <w:t>Niñas</w:t>
            </w:r>
          </w:p>
        </w:tc>
        <w:tc>
          <w:tcPr>
            <w:tcW w:w="475" w:type="pct"/>
            <w:tcBorders>
              <w:top w:val="single" w:sz="4" w:space="0" w:color="auto"/>
              <w:bottom w:val="single" w:sz="12" w:space="0" w:color="auto"/>
              <w:right w:val="single" w:sz="18" w:space="0" w:color="FFFFFF" w:themeColor="background1"/>
            </w:tcBorders>
            <w:shd w:val="clear" w:color="auto" w:fill="auto"/>
            <w:vAlign w:val="bottom"/>
            <w:hideMark/>
          </w:tcPr>
          <w:p w14:paraId="0B2D556C" w14:textId="77777777" w:rsidR="00DC67C2" w:rsidRPr="00D36601" w:rsidRDefault="00DC67C2" w:rsidP="00701F23">
            <w:pPr>
              <w:pStyle w:val="SingleTxtG"/>
              <w:keepNext/>
              <w:tabs>
                <w:tab w:val="clear" w:pos="1701"/>
                <w:tab w:val="clear" w:pos="2268"/>
                <w:tab w:val="clear" w:pos="2835"/>
              </w:tabs>
              <w:spacing w:before="80" w:after="80" w:line="200" w:lineRule="exact"/>
              <w:ind w:left="113" w:right="0"/>
              <w:jc w:val="right"/>
              <w:rPr>
                <w:i/>
                <w:iCs/>
                <w:sz w:val="16"/>
              </w:rPr>
            </w:pPr>
            <w:r w:rsidRPr="00D36601">
              <w:rPr>
                <w:i/>
                <w:iCs/>
                <w:sz w:val="16"/>
              </w:rPr>
              <w:t>Total</w:t>
            </w:r>
          </w:p>
        </w:tc>
        <w:tc>
          <w:tcPr>
            <w:tcW w:w="377" w:type="pct"/>
            <w:tcBorders>
              <w:top w:val="single" w:sz="4" w:space="0" w:color="auto"/>
              <w:left w:val="single" w:sz="18" w:space="0" w:color="FFFFFF" w:themeColor="background1"/>
              <w:bottom w:val="single" w:sz="12" w:space="0" w:color="auto"/>
            </w:tcBorders>
            <w:shd w:val="clear" w:color="auto" w:fill="auto"/>
            <w:vAlign w:val="bottom"/>
            <w:hideMark/>
          </w:tcPr>
          <w:p w14:paraId="6532BE77" w14:textId="77777777" w:rsidR="00DC67C2" w:rsidRPr="00D36601" w:rsidRDefault="00DC67C2" w:rsidP="00701F23">
            <w:pPr>
              <w:pStyle w:val="SingleTxtG"/>
              <w:keepNext/>
              <w:tabs>
                <w:tab w:val="clear" w:pos="1701"/>
                <w:tab w:val="clear" w:pos="2268"/>
                <w:tab w:val="clear" w:pos="2835"/>
              </w:tabs>
              <w:spacing w:before="80" w:after="80" w:line="200" w:lineRule="exact"/>
              <w:ind w:left="113" w:right="0"/>
              <w:jc w:val="right"/>
              <w:rPr>
                <w:i/>
                <w:iCs/>
                <w:sz w:val="16"/>
              </w:rPr>
            </w:pPr>
            <w:r w:rsidRPr="00D36601">
              <w:rPr>
                <w:i/>
                <w:iCs/>
                <w:sz w:val="16"/>
              </w:rPr>
              <w:t>Niños</w:t>
            </w:r>
          </w:p>
        </w:tc>
        <w:tc>
          <w:tcPr>
            <w:tcW w:w="475" w:type="pct"/>
            <w:tcBorders>
              <w:top w:val="single" w:sz="4" w:space="0" w:color="auto"/>
              <w:bottom w:val="single" w:sz="12" w:space="0" w:color="auto"/>
            </w:tcBorders>
            <w:shd w:val="clear" w:color="auto" w:fill="auto"/>
            <w:vAlign w:val="bottom"/>
            <w:hideMark/>
          </w:tcPr>
          <w:p w14:paraId="66C1B7D7" w14:textId="77777777" w:rsidR="00DC67C2" w:rsidRPr="00D36601" w:rsidRDefault="00DC67C2" w:rsidP="00701F23">
            <w:pPr>
              <w:pStyle w:val="SingleTxtG"/>
              <w:keepNext/>
              <w:tabs>
                <w:tab w:val="clear" w:pos="1701"/>
                <w:tab w:val="clear" w:pos="2268"/>
                <w:tab w:val="clear" w:pos="2835"/>
              </w:tabs>
              <w:spacing w:before="80" w:after="80" w:line="200" w:lineRule="exact"/>
              <w:ind w:left="113" w:right="0"/>
              <w:jc w:val="right"/>
              <w:rPr>
                <w:i/>
                <w:iCs/>
                <w:sz w:val="16"/>
              </w:rPr>
            </w:pPr>
            <w:r w:rsidRPr="00D36601">
              <w:rPr>
                <w:i/>
                <w:iCs/>
                <w:sz w:val="16"/>
              </w:rPr>
              <w:t>Niñas</w:t>
            </w:r>
          </w:p>
        </w:tc>
        <w:tc>
          <w:tcPr>
            <w:tcW w:w="482" w:type="pct"/>
            <w:tcBorders>
              <w:top w:val="single" w:sz="4" w:space="0" w:color="auto"/>
              <w:bottom w:val="single" w:sz="12" w:space="0" w:color="auto"/>
            </w:tcBorders>
            <w:shd w:val="clear" w:color="auto" w:fill="auto"/>
            <w:vAlign w:val="bottom"/>
            <w:hideMark/>
          </w:tcPr>
          <w:p w14:paraId="30B6A06D" w14:textId="77777777" w:rsidR="00DC67C2" w:rsidRPr="00D36601" w:rsidRDefault="00DC67C2" w:rsidP="00701F23">
            <w:pPr>
              <w:pStyle w:val="SingleTxtG"/>
              <w:keepNext/>
              <w:tabs>
                <w:tab w:val="clear" w:pos="1701"/>
                <w:tab w:val="clear" w:pos="2268"/>
                <w:tab w:val="clear" w:pos="2835"/>
              </w:tabs>
              <w:spacing w:before="80" w:after="80" w:line="200" w:lineRule="exact"/>
              <w:ind w:left="113" w:right="0"/>
              <w:jc w:val="right"/>
              <w:rPr>
                <w:i/>
                <w:iCs/>
                <w:sz w:val="16"/>
              </w:rPr>
            </w:pPr>
            <w:r w:rsidRPr="00D36601">
              <w:rPr>
                <w:i/>
                <w:iCs/>
                <w:sz w:val="16"/>
              </w:rPr>
              <w:t>Total</w:t>
            </w:r>
          </w:p>
        </w:tc>
        <w:tc>
          <w:tcPr>
            <w:tcW w:w="806" w:type="pct"/>
            <w:vMerge/>
            <w:tcBorders>
              <w:bottom w:val="single" w:sz="12" w:space="0" w:color="auto"/>
            </w:tcBorders>
            <w:shd w:val="clear" w:color="auto" w:fill="auto"/>
            <w:vAlign w:val="bottom"/>
            <w:hideMark/>
          </w:tcPr>
          <w:p w14:paraId="69354FF6" w14:textId="77777777" w:rsidR="00DC67C2" w:rsidRPr="00D36601" w:rsidRDefault="00DC67C2" w:rsidP="00701F23">
            <w:pPr>
              <w:pStyle w:val="SingleTxtG"/>
              <w:keepNext/>
              <w:tabs>
                <w:tab w:val="clear" w:pos="1701"/>
                <w:tab w:val="clear" w:pos="2268"/>
                <w:tab w:val="clear" w:pos="2835"/>
              </w:tabs>
              <w:spacing w:before="40" w:after="40" w:line="220" w:lineRule="exact"/>
              <w:ind w:left="113" w:right="0"/>
              <w:jc w:val="right"/>
              <w:rPr>
                <w:sz w:val="18"/>
                <w:lang w:val="fr-FR"/>
              </w:rPr>
            </w:pPr>
          </w:p>
        </w:tc>
      </w:tr>
      <w:tr w:rsidR="00DC67C2" w:rsidRPr="00D36601" w14:paraId="7E6D3D6B" w14:textId="77777777" w:rsidTr="00DC67C2">
        <w:trPr>
          <w:trHeight w:val="240"/>
        </w:trPr>
        <w:tc>
          <w:tcPr>
            <w:tcW w:w="483" w:type="pct"/>
            <w:tcBorders>
              <w:top w:val="single" w:sz="12" w:space="0" w:color="auto"/>
              <w:bottom w:val="single" w:sz="12" w:space="0" w:color="auto"/>
            </w:tcBorders>
            <w:shd w:val="clear" w:color="auto" w:fill="auto"/>
            <w:noWrap/>
            <w:vAlign w:val="bottom"/>
            <w:hideMark/>
          </w:tcPr>
          <w:p w14:paraId="44D2810C" w14:textId="7BC02E35" w:rsidR="00D36601" w:rsidRPr="00D36601" w:rsidRDefault="00D36601" w:rsidP="00701F23">
            <w:pPr>
              <w:pStyle w:val="SingleTxtG"/>
              <w:keepNext/>
              <w:tabs>
                <w:tab w:val="clear" w:pos="1701"/>
                <w:tab w:val="clear" w:pos="2268"/>
                <w:tab w:val="clear" w:pos="2835"/>
              </w:tabs>
              <w:spacing w:before="40" w:after="40" w:line="220" w:lineRule="exact"/>
              <w:ind w:left="0" w:right="0"/>
              <w:jc w:val="right"/>
              <w:rPr>
                <w:sz w:val="18"/>
                <w:lang w:val="fr-CH"/>
              </w:rPr>
            </w:pPr>
            <w:r w:rsidRPr="00D36601">
              <w:rPr>
                <w:sz w:val="18"/>
              </w:rPr>
              <w:t>66</w:t>
            </w:r>
            <w:r w:rsidR="009D000C">
              <w:rPr>
                <w:sz w:val="18"/>
              </w:rPr>
              <w:t xml:space="preserve"> </w:t>
            </w:r>
            <w:r w:rsidRPr="00D36601">
              <w:rPr>
                <w:sz w:val="18"/>
              </w:rPr>
              <w:t>415</w:t>
            </w:r>
          </w:p>
        </w:tc>
        <w:tc>
          <w:tcPr>
            <w:tcW w:w="485" w:type="pct"/>
            <w:tcBorders>
              <w:top w:val="single" w:sz="12" w:space="0" w:color="auto"/>
              <w:bottom w:val="single" w:sz="12" w:space="0" w:color="auto"/>
            </w:tcBorders>
            <w:shd w:val="clear" w:color="auto" w:fill="auto"/>
            <w:noWrap/>
            <w:vAlign w:val="bottom"/>
            <w:hideMark/>
          </w:tcPr>
          <w:p w14:paraId="5AAD7A35" w14:textId="687A265B" w:rsidR="00D36601" w:rsidRPr="00D36601" w:rsidRDefault="00D36601" w:rsidP="00701F23">
            <w:pPr>
              <w:pStyle w:val="SingleTxtG"/>
              <w:keepNext/>
              <w:tabs>
                <w:tab w:val="clear" w:pos="1701"/>
                <w:tab w:val="clear" w:pos="2268"/>
                <w:tab w:val="clear" w:pos="2835"/>
              </w:tabs>
              <w:spacing w:before="40" w:after="40" w:line="220" w:lineRule="exact"/>
              <w:ind w:left="0" w:right="0"/>
              <w:jc w:val="right"/>
              <w:rPr>
                <w:sz w:val="18"/>
                <w:lang w:val="fr-CH"/>
              </w:rPr>
            </w:pPr>
            <w:r w:rsidRPr="00D36601">
              <w:rPr>
                <w:sz w:val="18"/>
              </w:rPr>
              <w:t>68</w:t>
            </w:r>
            <w:r w:rsidR="009D000C">
              <w:rPr>
                <w:sz w:val="18"/>
              </w:rPr>
              <w:t xml:space="preserve"> </w:t>
            </w:r>
            <w:r w:rsidRPr="00D36601">
              <w:rPr>
                <w:sz w:val="18"/>
              </w:rPr>
              <w:t>277</w:t>
            </w:r>
          </w:p>
        </w:tc>
        <w:tc>
          <w:tcPr>
            <w:tcW w:w="498" w:type="pct"/>
            <w:tcBorders>
              <w:top w:val="single" w:sz="12" w:space="0" w:color="auto"/>
              <w:bottom w:val="single" w:sz="12" w:space="0" w:color="auto"/>
            </w:tcBorders>
            <w:shd w:val="clear" w:color="auto" w:fill="auto"/>
            <w:noWrap/>
            <w:vAlign w:val="bottom"/>
            <w:hideMark/>
          </w:tcPr>
          <w:p w14:paraId="4C361CB8" w14:textId="76061EDD" w:rsidR="00D36601" w:rsidRPr="00D36601" w:rsidRDefault="00D36601" w:rsidP="00701F23">
            <w:pPr>
              <w:pStyle w:val="SingleTxtG"/>
              <w:keepNext/>
              <w:tabs>
                <w:tab w:val="clear" w:pos="1701"/>
                <w:tab w:val="clear" w:pos="2268"/>
                <w:tab w:val="clear" w:pos="2835"/>
              </w:tabs>
              <w:spacing w:before="40" w:after="40" w:line="220" w:lineRule="exact"/>
              <w:ind w:left="0" w:right="0"/>
              <w:jc w:val="right"/>
              <w:rPr>
                <w:sz w:val="18"/>
                <w:lang w:val="fr-CH"/>
              </w:rPr>
            </w:pPr>
            <w:r w:rsidRPr="00D36601">
              <w:rPr>
                <w:sz w:val="18"/>
              </w:rPr>
              <w:t>134</w:t>
            </w:r>
            <w:r w:rsidR="009D000C">
              <w:rPr>
                <w:sz w:val="18"/>
              </w:rPr>
              <w:t xml:space="preserve"> </w:t>
            </w:r>
            <w:r w:rsidRPr="00D36601">
              <w:rPr>
                <w:sz w:val="18"/>
              </w:rPr>
              <w:t>692</w:t>
            </w:r>
          </w:p>
        </w:tc>
        <w:tc>
          <w:tcPr>
            <w:tcW w:w="477" w:type="pct"/>
            <w:tcBorders>
              <w:top w:val="single" w:sz="12" w:space="0" w:color="auto"/>
              <w:bottom w:val="single" w:sz="12" w:space="0" w:color="auto"/>
            </w:tcBorders>
            <w:shd w:val="clear" w:color="auto" w:fill="auto"/>
            <w:noWrap/>
            <w:vAlign w:val="bottom"/>
            <w:hideMark/>
          </w:tcPr>
          <w:p w14:paraId="52F89409" w14:textId="6519D7A4" w:rsidR="00D36601" w:rsidRPr="00D36601" w:rsidRDefault="00D36601" w:rsidP="00701F23">
            <w:pPr>
              <w:pStyle w:val="SingleTxtG"/>
              <w:keepNext/>
              <w:tabs>
                <w:tab w:val="clear" w:pos="1701"/>
                <w:tab w:val="clear" w:pos="2268"/>
                <w:tab w:val="clear" w:pos="2835"/>
              </w:tabs>
              <w:spacing w:before="40" w:after="40" w:line="220" w:lineRule="exact"/>
              <w:ind w:left="0" w:right="0"/>
              <w:jc w:val="right"/>
              <w:rPr>
                <w:sz w:val="18"/>
                <w:lang w:val="fr-CH"/>
              </w:rPr>
            </w:pPr>
            <w:r w:rsidRPr="00D36601">
              <w:rPr>
                <w:sz w:val="18"/>
              </w:rPr>
              <w:t>14</w:t>
            </w:r>
            <w:r w:rsidR="009D000C">
              <w:rPr>
                <w:sz w:val="18"/>
              </w:rPr>
              <w:t xml:space="preserve"> </w:t>
            </w:r>
            <w:r w:rsidRPr="00D36601">
              <w:rPr>
                <w:sz w:val="18"/>
              </w:rPr>
              <w:t>967</w:t>
            </w:r>
          </w:p>
        </w:tc>
        <w:tc>
          <w:tcPr>
            <w:tcW w:w="442" w:type="pct"/>
            <w:tcBorders>
              <w:top w:val="single" w:sz="12" w:space="0" w:color="auto"/>
              <w:bottom w:val="single" w:sz="12" w:space="0" w:color="auto"/>
            </w:tcBorders>
            <w:shd w:val="clear" w:color="auto" w:fill="auto"/>
            <w:noWrap/>
            <w:vAlign w:val="bottom"/>
            <w:hideMark/>
          </w:tcPr>
          <w:p w14:paraId="25540B44" w14:textId="64BFD8D7" w:rsidR="00D36601" w:rsidRPr="00D36601" w:rsidRDefault="00D36601" w:rsidP="00701F23">
            <w:pPr>
              <w:pStyle w:val="SingleTxtG"/>
              <w:keepNext/>
              <w:tabs>
                <w:tab w:val="clear" w:pos="1701"/>
                <w:tab w:val="clear" w:pos="2268"/>
                <w:tab w:val="clear" w:pos="2835"/>
              </w:tabs>
              <w:spacing w:before="40" w:after="40" w:line="220" w:lineRule="exact"/>
              <w:ind w:left="113" w:right="0"/>
              <w:jc w:val="right"/>
              <w:rPr>
                <w:sz w:val="18"/>
                <w:lang w:val="fr-CH"/>
              </w:rPr>
            </w:pPr>
            <w:r w:rsidRPr="00D36601">
              <w:rPr>
                <w:sz w:val="18"/>
              </w:rPr>
              <w:t>17</w:t>
            </w:r>
            <w:r w:rsidR="009D000C">
              <w:rPr>
                <w:sz w:val="18"/>
              </w:rPr>
              <w:t xml:space="preserve"> </w:t>
            </w:r>
            <w:r w:rsidRPr="00D36601">
              <w:rPr>
                <w:sz w:val="18"/>
              </w:rPr>
              <w:t>578</w:t>
            </w:r>
          </w:p>
        </w:tc>
        <w:tc>
          <w:tcPr>
            <w:tcW w:w="475" w:type="pct"/>
            <w:tcBorders>
              <w:top w:val="single" w:sz="12" w:space="0" w:color="auto"/>
              <w:bottom w:val="single" w:sz="12" w:space="0" w:color="auto"/>
            </w:tcBorders>
            <w:shd w:val="clear" w:color="auto" w:fill="auto"/>
            <w:noWrap/>
            <w:vAlign w:val="bottom"/>
            <w:hideMark/>
          </w:tcPr>
          <w:p w14:paraId="2440FC0F" w14:textId="1589FCE6" w:rsidR="00D36601" w:rsidRPr="00D36601" w:rsidRDefault="00D36601" w:rsidP="00701F23">
            <w:pPr>
              <w:pStyle w:val="SingleTxtG"/>
              <w:keepNext/>
              <w:tabs>
                <w:tab w:val="clear" w:pos="1701"/>
                <w:tab w:val="clear" w:pos="2268"/>
                <w:tab w:val="clear" w:pos="2835"/>
              </w:tabs>
              <w:spacing w:before="40" w:after="40" w:line="220" w:lineRule="exact"/>
              <w:ind w:left="113" w:right="0"/>
              <w:jc w:val="right"/>
              <w:rPr>
                <w:sz w:val="18"/>
                <w:lang w:val="fr-CH"/>
              </w:rPr>
            </w:pPr>
            <w:r w:rsidRPr="00D36601">
              <w:rPr>
                <w:sz w:val="18"/>
              </w:rPr>
              <w:t>33</w:t>
            </w:r>
            <w:r w:rsidR="009D000C">
              <w:rPr>
                <w:sz w:val="18"/>
              </w:rPr>
              <w:t xml:space="preserve"> </w:t>
            </w:r>
            <w:r w:rsidRPr="00D36601">
              <w:rPr>
                <w:sz w:val="18"/>
              </w:rPr>
              <w:t>144</w:t>
            </w:r>
          </w:p>
        </w:tc>
        <w:tc>
          <w:tcPr>
            <w:tcW w:w="377" w:type="pct"/>
            <w:tcBorders>
              <w:top w:val="single" w:sz="12" w:space="0" w:color="auto"/>
              <w:bottom w:val="single" w:sz="12" w:space="0" w:color="auto"/>
            </w:tcBorders>
            <w:shd w:val="clear" w:color="auto" w:fill="auto"/>
            <w:noWrap/>
            <w:vAlign w:val="bottom"/>
            <w:hideMark/>
          </w:tcPr>
          <w:p w14:paraId="6C128272" w14:textId="4C426E0C" w:rsidR="00D36601" w:rsidRPr="00D36601" w:rsidRDefault="00D36601" w:rsidP="00701F23">
            <w:pPr>
              <w:pStyle w:val="SingleTxtG"/>
              <w:keepNext/>
              <w:tabs>
                <w:tab w:val="clear" w:pos="1701"/>
                <w:tab w:val="clear" w:pos="2268"/>
                <w:tab w:val="clear" w:pos="2835"/>
              </w:tabs>
              <w:spacing w:before="40" w:after="40" w:line="220" w:lineRule="exact"/>
              <w:ind w:left="113" w:right="0"/>
              <w:jc w:val="right"/>
              <w:rPr>
                <w:sz w:val="18"/>
                <w:lang w:val="fr-CH"/>
              </w:rPr>
            </w:pPr>
            <w:r w:rsidRPr="00D36601">
              <w:rPr>
                <w:sz w:val="18"/>
              </w:rPr>
              <w:t>8</w:t>
            </w:r>
            <w:r w:rsidR="009D000C">
              <w:rPr>
                <w:sz w:val="18"/>
              </w:rPr>
              <w:t xml:space="preserve"> </w:t>
            </w:r>
            <w:r w:rsidRPr="00D36601">
              <w:rPr>
                <w:sz w:val="18"/>
              </w:rPr>
              <w:t>248</w:t>
            </w:r>
          </w:p>
        </w:tc>
        <w:tc>
          <w:tcPr>
            <w:tcW w:w="475" w:type="pct"/>
            <w:tcBorders>
              <w:top w:val="single" w:sz="12" w:space="0" w:color="auto"/>
              <w:bottom w:val="single" w:sz="12" w:space="0" w:color="auto"/>
            </w:tcBorders>
            <w:shd w:val="clear" w:color="auto" w:fill="auto"/>
            <w:noWrap/>
            <w:vAlign w:val="bottom"/>
            <w:hideMark/>
          </w:tcPr>
          <w:p w14:paraId="1D2335B2" w14:textId="18860C6B" w:rsidR="00D36601" w:rsidRPr="00D36601" w:rsidRDefault="00D36601" w:rsidP="00701F23">
            <w:pPr>
              <w:pStyle w:val="SingleTxtG"/>
              <w:keepNext/>
              <w:tabs>
                <w:tab w:val="clear" w:pos="1701"/>
                <w:tab w:val="clear" w:pos="2268"/>
                <w:tab w:val="clear" w:pos="2835"/>
              </w:tabs>
              <w:spacing w:before="40" w:after="40" w:line="220" w:lineRule="exact"/>
              <w:ind w:left="113" w:right="0"/>
              <w:jc w:val="right"/>
              <w:rPr>
                <w:sz w:val="18"/>
                <w:lang w:val="fr-CH"/>
              </w:rPr>
            </w:pPr>
            <w:r w:rsidRPr="00D36601">
              <w:rPr>
                <w:sz w:val="18"/>
              </w:rPr>
              <w:t>8</w:t>
            </w:r>
            <w:r w:rsidR="009D000C">
              <w:rPr>
                <w:sz w:val="18"/>
              </w:rPr>
              <w:t xml:space="preserve"> </w:t>
            </w:r>
            <w:r w:rsidRPr="00D36601">
              <w:rPr>
                <w:sz w:val="18"/>
              </w:rPr>
              <w:t>562</w:t>
            </w:r>
          </w:p>
        </w:tc>
        <w:tc>
          <w:tcPr>
            <w:tcW w:w="482" w:type="pct"/>
            <w:tcBorders>
              <w:top w:val="single" w:sz="12" w:space="0" w:color="auto"/>
              <w:bottom w:val="single" w:sz="12" w:space="0" w:color="auto"/>
            </w:tcBorders>
            <w:shd w:val="clear" w:color="auto" w:fill="auto"/>
            <w:noWrap/>
            <w:vAlign w:val="bottom"/>
            <w:hideMark/>
          </w:tcPr>
          <w:p w14:paraId="6ACF9EE4" w14:textId="67486093" w:rsidR="00D36601" w:rsidRPr="00D36601" w:rsidRDefault="00D36601" w:rsidP="00701F23">
            <w:pPr>
              <w:pStyle w:val="SingleTxtG"/>
              <w:keepNext/>
              <w:tabs>
                <w:tab w:val="clear" w:pos="1701"/>
                <w:tab w:val="clear" w:pos="2268"/>
                <w:tab w:val="clear" w:pos="2835"/>
              </w:tabs>
              <w:spacing w:before="40" w:after="40" w:line="220" w:lineRule="exact"/>
              <w:ind w:left="113" w:right="0"/>
              <w:jc w:val="right"/>
              <w:rPr>
                <w:sz w:val="18"/>
                <w:lang w:val="fr-CH"/>
              </w:rPr>
            </w:pPr>
            <w:r w:rsidRPr="00D36601">
              <w:rPr>
                <w:sz w:val="18"/>
              </w:rPr>
              <w:t>16</w:t>
            </w:r>
            <w:r w:rsidR="009D000C">
              <w:rPr>
                <w:sz w:val="18"/>
              </w:rPr>
              <w:t xml:space="preserve"> </w:t>
            </w:r>
            <w:r w:rsidRPr="00D36601">
              <w:rPr>
                <w:sz w:val="18"/>
              </w:rPr>
              <w:t>810</w:t>
            </w:r>
          </w:p>
        </w:tc>
        <w:tc>
          <w:tcPr>
            <w:tcW w:w="806" w:type="pct"/>
            <w:tcBorders>
              <w:top w:val="single" w:sz="12" w:space="0" w:color="auto"/>
              <w:bottom w:val="single" w:sz="12" w:space="0" w:color="auto"/>
            </w:tcBorders>
            <w:shd w:val="clear" w:color="auto" w:fill="auto"/>
            <w:noWrap/>
            <w:vAlign w:val="bottom"/>
            <w:hideMark/>
          </w:tcPr>
          <w:p w14:paraId="3A0F77A1" w14:textId="4FF15E9C" w:rsidR="00D36601" w:rsidRPr="00D36601" w:rsidRDefault="00D36601" w:rsidP="00701F23">
            <w:pPr>
              <w:pStyle w:val="SingleTxtG"/>
              <w:keepNext/>
              <w:tabs>
                <w:tab w:val="clear" w:pos="1701"/>
                <w:tab w:val="clear" w:pos="2268"/>
                <w:tab w:val="clear" w:pos="2835"/>
              </w:tabs>
              <w:spacing w:before="40" w:after="40" w:line="220" w:lineRule="exact"/>
              <w:ind w:left="113" w:right="0"/>
              <w:jc w:val="right"/>
              <w:rPr>
                <w:sz w:val="18"/>
                <w:lang w:val="fr-CH"/>
              </w:rPr>
            </w:pPr>
            <w:r w:rsidRPr="00D36601">
              <w:rPr>
                <w:sz w:val="18"/>
              </w:rPr>
              <w:t>11</w:t>
            </w:r>
            <w:r w:rsidR="009D000C">
              <w:rPr>
                <w:sz w:val="18"/>
              </w:rPr>
              <w:t xml:space="preserve"> </w:t>
            </w:r>
            <w:r w:rsidRPr="00D36601">
              <w:rPr>
                <w:sz w:val="18"/>
              </w:rPr>
              <w:t>871</w:t>
            </w:r>
          </w:p>
        </w:tc>
      </w:tr>
    </w:tbl>
    <w:p w14:paraId="3FDA1B38" w14:textId="77777777" w:rsidR="00D36601" w:rsidRPr="00D36601" w:rsidRDefault="00D36601" w:rsidP="00AE189C">
      <w:pPr>
        <w:pStyle w:val="SingleTxtG"/>
        <w:spacing w:before="120" w:after="240"/>
        <w:ind w:firstLine="170"/>
        <w:jc w:val="left"/>
        <w:rPr>
          <w:sz w:val="18"/>
          <w:szCs w:val="18"/>
          <w:lang w:val="fr-FR"/>
        </w:rPr>
      </w:pPr>
      <w:r w:rsidRPr="00D36601">
        <w:rPr>
          <w:i/>
          <w:sz w:val="18"/>
          <w:szCs w:val="18"/>
          <w:lang w:val="fr-FR"/>
        </w:rPr>
        <w:t>Fuente:</w:t>
      </w:r>
      <w:r w:rsidRPr="00D36601">
        <w:rPr>
          <w:sz w:val="18"/>
          <w:szCs w:val="18"/>
          <w:lang w:val="fr-FR"/>
        </w:rPr>
        <w:t xml:space="preserve"> </w:t>
      </w:r>
      <w:proofErr w:type="spellStart"/>
      <w:r w:rsidRPr="00D36601">
        <w:rPr>
          <w:sz w:val="18"/>
          <w:szCs w:val="18"/>
          <w:lang w:val="fr-FR"/>
        </w:rPr>
        <w:t>DNDS</w:t>
      </w:r>
      <w:proofErr w:type="spellEnd"/>
      <w:r w:rsidRPr="00D36601">
        <w:rPr>
          <w:sz w:val="18"/>
          <w:szCs w:val="18"/>
          <w:lang w:val="fr-FR"/>
        </w:rPr>
        <w:t xml:space="preserve">, informe </w:t>
      </w:r>
      <w:proofErr w:type="spellStart"/>
      <w:r w:rsidRPr="00D36601">
        <w:rPr>
          <w:sz w:val="18"/>
          <w:szCs w:val="18"/>
          <w:lang w:val="fr-FR"/>
        </w:rPr>
        <w:t>anual</w:t>
      </w:r>
      <w:proofErr w:type="spellEnd"/>
      <w:r w:rsidRPr="00D36601">
        <w:rPr>
          <w:sz w:val="18"/>
          <w:szCs w:val="18"/>
          <w:lang w:val="fr-FR"/>
        </w:rPr>
        <w:t>, 2012.</w:t>
      </w:r>
    </w:p>
    <w:p w14:paraId="2D531C2B" w14:textId="1614A81E" w:rsidR="00D36601" w:rsidRPr="00D36601" w:rsidRDefault="007054B7" w:rsidP="007054B7">
      <w:pPr>
        <w:pStyle w:val="H56G"/>
      </w:pPr>
      <w:bookmarkStart w:id="462" w:name="_Toc414373043"/>
      <w:bookmarkStart w:id="463" w:name="_Toc414373272"/>
      <w:bookmarkStart w:id="464" w:name="_Toc414377768"/>
      <w:r>
        <w:lastRenderedPageBreak/>
        <w:tab/>
      </w:r>
      <w:r w:rsidR="00D36601" w:rsidRPr="00D36601">
        <w:tab/>
        <w:t>Niños vinculados a fuerzas y grupos armados</w:t>
      </w:r>
      <w:bookmarkEnd w:id="462"/>
      <w:bookmarkEnd w:id="463"/>
      <w:bookmarkEnd w:id="464"/>
    </w:p>
    <w:p w14:paraId="686C7BE1" w14:textId="77777777" w:rsidR="00D36601" w:rsidRPr="00D36601" w:rsidRDefault="00D36601" w:rsidP="00D36601">
      <w:pPr>
        <w:pStyle w:val="SingleTxtG"/>
      </w:pPr>
      <w:r w:rsidRPr="00D36601">
        <w:t>197.</w:t>
      </w:r>
      <w:r w:rsidRPr="00D36601">
        <w:tab/>
        <w:t xml:space="preserve">Los grupos armados han reclutado, entrenado y utilizado a varios cientos de niños en sus fuerzas desde que comenzó la ocupación del norte de Malí en abril de 2012. Se ha informado de la presencia de muchos niños, generalmente de entre 12 y 16 años, en las filas de los grupos armados. Sin embargo, no se ha podido confirmar su número exacto, ya que nadie ha podido acceder físicamente a los distintos lugares para verificar y confirmar cuántos niños hay y qué edades tienen. Según la organización de defensa de los derechos humanos Human Rights </w:t>
      </w:r>
      <w:proofErr w:type="spellStart"/>
      <w:r w:rsidRPr="00D36601">
        <w:t>Watch</w:t>
      </w:r>
      <w:proofErr w:type="spellEnd"/>
      <w:r w:rsidRPr="00D36601">
        <w:t xml:space="preserve">, el reclutamiento de niños por los grupos armados comenzó poco después de la toma de control de las tres principales regiones del norte de Malí. Según la Coalición Maliense de Derechos del Niño, los niños son explotados con fines militares e ideológicos. La mayoría de los niños asociados a grupos armados son malienses, pero se cree que otros proceden de la subregión, especialmente del Níger. </w:t>
      </w:r>
    </w:p>
    <w:p w14:paraId="24D953E9" w14:textId="56865EF4" w:rsidR="00D36601" w:rsidRPr="00D36601" w:rsidRDefault="00D36601" w:rsidP="00844AC6">
      <w:pPr>
        <w:pStyle w:val="SingleTxtG"/>
        <w:jc w:val="left"/>
        <w:rPr>
          <w:b/>
        </w:rPr>
      </w:pPr>
      <w:bookmarkStart w:id="465" w:name="_Toc386807874"/>
      <w:bookmarkStart w:id="466" w:name="_Toc414373045"/>
      <w:bookmarkStart w:id="467" w:name="_Toc414373274"/>
      <w:bookmarkStart w:id="468" w:name="_Toc414377770"/>
      <w:r w:rsidRPr="00D36601">
        <w:t xml:space="preserve">Cuadro 13 </w:t>
      </w:r>
      <w:r w:rsidRPr="00D36601">
        <w:br/>
      </w:r>
      <w:r w:rsidRPr="00D36601">
        <w:rPr>
          <w:b/>
          <w:bCs/>
        </w:rPr>
        <w:t>Número de refugiados que solicitaron asilo en Malí en 2012</w:t>
      </w:r>
      <w:bookmarkEnd w:id="465"/>
      <w:bookmarkEnd w:id="466"/>
      <w:bookmarkEnd w:id="467"/>
      <w:bookmarkEnd w:id="468"/>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85"/>
        <w:gridCol w:w="850"/>
        <w:gridCol w:w="853"/>
        <w:gridCol w:w="850"/>
        <w:gridCol w:w="850"/>
        <w:gridCol w:w="1134"/>
        <w:gridCol w:w="848"/>
      </w:tblGrid>
      <w:tr w:rsidR="009D000C" w:rsidRPr="00844AC6" w14:paraId="0946A0BB" w14:textId="77777777" w:rsidTr="009D000C">
        <w:trPr>
          <w:trHeight w:val="240"/>
          <w:tblHeader/>
        </w:trPr>
        <w:tc>
          <w:tcPr>
            <w:tcW w:w="1346" w:type="pct"/>
            <w:vMerge w:val="restart"/>
            <w:tcBorders>
              <w:top w:val="single" w:sz="4" w:space="0" w:color="auto"/>
              <w:bottom w:val="single" w:sz="12" w:space="0" w:color="auto"/>
            </w:tcBorders>
            <w:shd w:val="clear" w:color="auto" w:fill="auto"/>
            <w:vAlign w:val="bottom"/>
          </w:tcPr>
          <w:p w14:paraId="4074DE12" w14:textId="77777777" w:rsidR="00D36601" w:rsidRPr="00D36601" w:rsidRDefault="00D36601" w:rsidP="00697C3C">
            <w:pPr>
              <w:pStyle w:val="SingleTxtG"/>
              <w:tabs>
                <w:tab w:val="clear" w:pos="1701"/>
                <w:tab w:val="clear" w:pos="2268"/>
                <w:tab w:val="clear" w:pos="2835"/>
              </w:tabs>
              <w:spacing w:before="80" w:after="80" w:line="200" w:lineRule="exact"/>
              <w:ind w:left="0" w:right="0"/>
              <w:jc w:val="left"/>
              <w:rPr>
                <w:i/>
                <w:sz w:val="16"/>
                <w:lang w:val="fr-CH"/>
              </w:rPr>
            </w:pPr>
            <w:r w:rsidRPr="00D36601">
              <w:rPr>
                <w:i/>
                <w:iCs/>
                <w:sz w:val="16"/>
              </w:rPr>
              <w:t>Sexo</w:t>
            </w:r>
          </w:p>
        </w:tc>
        <w:tc>
          <w:tcPr>
            <w:tcW w:w="3078" w:type="pct"/>
            <w:gridSpan w:val="5"/>
            <w:tcBorders>
              <w:top w:val="single" w:sz="4" w:space="0" w:color="auto"/>
              <w:bottom w:val="single" w:sz="4" w:space="0" w:color="auto"/>
            </w:tcBorders>
            <w:shd w:val="clear" w:color="auto" w:fill="auto"/>
            <w:vAlign w:val="bottom"/>
          </w:tcPr>
          <w:p w14:paraId="5E783CDE" w14:textId="77777777" w:rsidR="00D36601" w:rsidRPr="00D36601" w:rsidRDefault="00D36601" w:rsidP="00697C3C">
            <w:pPr>
              <w:pStyle w:val="SingleTxtG"/>
              <w:tabs>
                <w:tab w:val="clear" w:pos="1701"/>
                <w:tab w:val="clear" w:pos="2268"/>
                <w:tab w:val="clear" w:pos="2835"/>
              </w:tabs>
              <w:spacing w:before="80" w:after="80" w:line="200" w:lineRule="exact"/>
              <w:ind w:left="0" w:right="0"/>
              <w:jc w:val="center"/>
              <w:rPr>
                <w:i/>
                <w:sz w:val="16"/>
                <w:lang w:val="fr-CH"/>
              </w:rPr>
            </w:pPr>
            <w:r w:rsidRPr="00D36601">
              <w:rPr>
                <w:i/>
                <w:iCs/>
                <w:sz w:val="16"/>
              </w:rPr>
              <w:t>Rango de edad</w:t>
            </w:r>
          </w:p>
        </w:tc>
        <w:tc>
          <w:tcPr>
            <w:tcW w:w="576" w:type="pct"/>
            <w:vMerge w:val="restart"/>
            <w:tcBorders>
              <w:top w:val="single" w:sz="4" w:space="0" w:color="auto"/>
              <w:bottom w:val="single" w:sz="12" w:space="0" w:color="auto"/>
            </w:tcBorders>
            <w:shd w:val="clear" w:color="auto" w:fill="auto"/>
            <w:vAlign w:val="bottom"/>
          </w:tcPr>
          <w:p w14:paraId="45C3F2CE" w14:textId="77777777" w:rsidR="00D36601" w:rsidRPr="00D36601" w:rsidRDefault="00D36601" w:rsidP="00697C3C">
            <w:pPr>
              <w:pStyle w:val="SingleTxtG"/>
              <w:tabs>
                <w:tab w:val="clear" w:pos="1701"/>
                <w:tab w:val="clear" w:pos="2268"/>
                <w:tab w:val="clear" w:pos="2835"/>
              </w:tabs>
              <w:spacing w:before="80" w:after="80" w:line="200" w:lineRule="exact"/>
              <w:ind w:left="0" w:right="0"/>
              <w:jc w:val="right"/>
              <w:rPr>
                <w:bCs/>
                <w:i/>
                <w:sz w:val="16"/>
                <w:lang w:val="fr-CH"/>
              </w:rPr>
            </w:pPr>
            <w:r w:rsidRPr="00D36601">
              <w:rPr>
                <w:bCs/>
                <w:i/>
                <w:iCs/>
                <w:sz w:val="16"/>
              </w:rPr>
              <w:t>Total</w:t>
            </w:r>
          </w:p>
        </w:tc>
      </w:tr>
      <w:tr w:rsidR="009D000C" w:rsidRPr="00D36601" w14:paraId="2CD4F764" w14:textId="77777777" w:rsidTr="00701F23">
        <w:trPr>
          <w:trHeight w:val="240"/>
          <w:tblHeader/>
        </w:trPr>
        <w:tc>
          <w:tcPr>
            <w:tcW w:w="1346" w:type="pct"/>
            <w:vMerge/>
            <w:tcBorders>
              <w:top w:val="single" w:sz="12" w:space="0" w:color="auto"/>
              <w:bottom w:val="single" w:sz="12" w:space="0" w:color="auto"/>
            </w:tcBorders>
            <w:shd w:val="clear" w:color="auto" w:fill="auto"/>
            <w:vAlign w:val="bottom"/>
          </w:tcPr>
          <w:p w14:paraId="7590DBE1" w14:textId="77777777" w:rsidR="00D36601" w:rsidRPr="00D36601" w:rsidRDefault="00D36601" w:rsidP="00697C3C">
            <w:pPr>
              <w:pStyle w:val="SingleTxtG"/>
              <w:tabs>
                <w:tab w:val="clear" w:pos="1701"/>
                <w:tab w:val="clear" w:pos="2268"/>
                <w:tab w:val="clear" w:pos="2835"/>
              </w:tabs>
              <w:spacing w:before="40" w:after="40" w:line="220" w:lineRule="exact"/>
              <w:ind w:left="0" w:right="0"/>
              <w:jc w:val="left"/>
              <w:rPr>
                <w:sz w:val="18"/>
                <w:lang w:val="fr-FR"/>
              </w:rPr>
            </w:pPr>
          </w:p>
        </w:tc>
        <w:tc>
          <w:tcPr>
            <w:tcW w:w="577" w:type="pct"/>
            <w:tcBorders>
              <w:top w:val="single" w:sz="4" w:space="0" w:color="auto"/>
              <w:bottom w:val="single" w:sz="12" w:space="0" w:color="auto"/>
            </w:tcBorders>
            <w:shd w:val="clear" w:color="auto" w:fill="auto"/>
            <w:vAlign w:val="bottom"/>
          </w:tcPr>
          <w:p w14:paraId="51503E8C" w14:textId="77777777" w:rsidR="00D36601" w:rsidRPr="00D36601" w:rsidRDefault="00D36601" w:rsidP="00697C3C">
            <w:pPr>
              <w:pStyle w:val="SingleTxtG"/>
              <w:tabs>
                <w:tab w:val="clear" w:pos="1701"/>
                <w:tab w:val="clear" w:pos="2268"/>
                <w:tab w:val="clear" w:pos="2835"/>
              </w:tabs>
              <w:spacing w:before="80" w:after="80" w:line="200" w:lineRule="exact"/>
              <w:ind w:left="0" w:right="0"/>
              <w:jc w:val="right"/>
              <w:rPr>
                <w:i/>
                <w:iCs/>
                <w:sz w:val="16"/>
              </w:rPr>
            </w:pPr>
            <w:r w:rsidRPr="00D36601">
              <w:rPr>
                <w:i/>
                <w:iCs/>
                <w:sz w:val="16"/>
              </w:rPr>
              <w:t>0 a 4</w:t>
            </w:r>
          </w:p>
        </w:tc>
        <w:tc>
          <w:tcPr>
            <w:tcW w:w="579" w:type="pct"/>
            <w:tcBorders>
              <w:top w:val="single" w:sz="4" w:space="0" w:color="auto"/>
              <w:bottom w:val="single" w:sz="12" w:space="0" w:color="auto"/>
            </w:tcBorders>
            <w:shd w:val="clear" w:color="auto" w:fill="auto"/>
            <w:vAlign w:val="bottom"/>
          </w:tcPr>
          <w:p w14:paraId="0E7C6BC9" w14:textId="77777777" w:rsidR="00D36601" w:rsidRPr="00D36601" w:rsidRDefault="00D36601" w:rsidP="00697C3C">
            <w:pPr>
              <w:pStyle w:val="SingleTxtG"/>
              <w:tabs>
                <w:tab w:val="clear" w:pos="1701"/>
                <w:tab w:val="clear" w:pos="2268"/>
                <w:tab w:val="clear" w:pos="2835"/>
              </w:tabs>
              <w:spacing w:before="80" w:after="80" w:line="200" w:lineRule="exact"/>
              <w:ind w:left="0" w:right="0"/>
              <w:jc w:val="right"/>
              <w:rPr>
                <w:i/>
                <w:iCs/>
                <w:sz w:val="16"/>
              </w:rPr>
            </w:pPr>
            <w:r w:rsidRPr="00D36601">
              <w:rPr>
                <w:i/>
                <w:iCs/>
                <w:sz w:val="16"/>
              </w:rPr>
              <w:t>5 a 11</w:t>
            </w:r>
          </w:p>
        </w:tc>
        <w:tc>
          <w:tcPr>
            <w:tcW w:w="577" w:type="pct"/>
            <w:tcBorders>
              <w:top w:val="single" w:sz="4" w:space="0" w:color="auto"/>
              <w:bottom w:val="single" w:sz="12" w:space="0" w:color="auto"/>
            </w:tcBorders>
            <w:shd w:val="clear" w:color="auto" w:fill="auto"/>
            <w:vAlign w:val="bottom"/>
          </w:tcPr>
          <w:p w14:paraId="563FB936" w14:textId="77777777" w:rsidR="00D36601" w:rsidRPr="00D36601" w:rsidRDefault="00D36601" w:rsidP="00697C3C">
            <w:pPr>
              <w:pStyle w:val="SingleTxtG"/>
              <w:tabs>
                <w:tab w:val="clear" w:pos="1701"/>
                <w:tab w:val="clear" w:pos="2268"/>
                <w:tab w:val="clear" w:pos="2835"/>
              </w:tabs>
              <w:spacing w:before="80" w:after="80" w:line="200" w:lineRule="exact"/>
              <w:ind w:left="0" w:right="0"/>
              <w:jc w:val="right"/>
              <w:rPr>
                <w:i/>
                <w:iCs/>
                <w:sz w:val="16"/>
              </w:rPr>
            </w:pPr>
            <w:r w:rsidRPr="00D36601">
              <w:rPr>
                <w:i/>
                <w:iCs/>
                <w:sz w:val="16"/>
              </w:rPr>
              <w:t>12 a 17</w:t>
            </w:r>
          </w:p>
        </w:tc>
        <w:tc>
          <w:tcPr>
            <w:tcW w:w="577" w:type="pct"/>
            <w:tcBorders>
              <w:top w:val="single" w:sz="4" w:space="0" w:color="auto"/>
              <w:bottom w:val="single" w:sz="12" w:space="0" w:color="auto"/>
            </w:tcBorders>
            <w:shd w:val="clear" w:color="auto" w:fill="auto"/>
            <w:vAlign w:val="bottom"/>
          </w:tcPr>
          <w:p w14:paraId="65B1397C" w14:textId="77777777" w:rsidR="00D36601" w:rsidRPr="00D36601" w:rsidRDefault="00D36601" w:rsidP="00697C3C">
            <w:pPr>
              <w:pStyle w:val="SingleTxtG"/>
              <w:tabs>
                <w:tab w:val="clear" w:pos="1701"/>
                <w:tab w:val="clear" w:pos="2268"/>
                <w:tab w:val="clear" w:pos="2835"/>
              </w:tabs>
              <w:spacing w:before="80" w:after="80" w:line="200" w:lineRule="exact"/>
              <w:ind w:left="0" w:right="0"/>
              <w:jc w:val="right"/>
              <w:rPr>
                <w:i/>
                <w:iCs/>
                <w:sz w:val="16"/>
              </w:rPr>
            </w:pPr>
            <w:r w:rsidRPr="00D36601">
              <w:rPr>
                <w:i/>
                <w:iCs/>
                <w:sz w:val="16"/>
              </w:rPr>
              <w:t>18 a 59</w:t>
            </w:r>
          </w:p>
        </w:tc>
        <w:tc>
          <w:tcPr>
            <w:tcW w:w="769" w:type="pct"/>
            <w:tcBorders>
              <w:top w:val="single" w:sz="4" w:space="0" w:color="auto"/>
              <w:bottom w:val="single" w:sz="12" w:space="0" w:color="auto"/>
            </w:tcBorders>
            <w:shd w:val="clear" w:color="auto" w:fill="auto"/>
            <w:vAlign w:val="bottom"/>
          </w:tcPr>
          <w:p w14:paraId="5AF74753" w14:textId="77777777" w:rsidR="00D36601" w:rsidRPr="00D36601" w:rsidRDefault="00D36601" w:rsidP="00697C3C">
            <w:pPr>
              <w:pStyle w:val="SingleTxtG"/>
              <w:tabs>
                <w:tab w:val="clear" w:pos="1701"/>
                <w:tab w:val="clear" w:pos="2268"/>
                <w:tab w:val="clear" w:pos="2835"/>
              </w:tabs>
              <w:spacing w:before="80" w:after="80" w:line="200" w:lineRule="exact"/>
              <w:ind w:left="0" w:right="0"/>
              <w:jc w:val="right"/>
              <w:rPr>
                <w:i/>
                <w:iCs/>
                <w:sz w:val="16"/>
              </w:rPr>
            </w:pPr>
            <w:r w:rsidRPr="00D36601">
              <w:rPr>
                <w:i/>
                <w:iCs/>
                <w:sz w:val="16"/>
              </w:rPr>
              <w:t>60 en adelante</w:t>
            </w:r>
          </w:p>
        </w:tc>
        <w:tc>
          <w:tcPr>
            <w:tcW w:w="576" w:type="pct"/>
            <w:vMerge/>
            <w:tcBorders>
              <w:top w:val="single" w:sz="12" w:space="0" w:color="auto"/>
              <w:bottom w:val="single" w:sz="12" w:space="0" w:color="auto"/>
            </w:tcBorders>
            <w:shd w:val="clear" w:color="auto" w:fill="auto"/>
            <w:vAlign w:val="bottom"/>
          </w:tcPr>
          <w:p w14:paraId="5B782FF7" w14:textId="77777777" w:rsidR="00D36601" w:rsidRPr="00D36601" w:rsidRDefault="00D36601" w:rsidP="00697C3C">
            <w:pPr>
              <w:pStyle w:val="SingleTxtG"/>
              <w:tabs>
                <w:tab w:val="clear" w:pos="1701"/>
                <w:tab w:val="clear" w:pos="2268"/>
                <w:tab w:val="clear" w:pos="2835"/>
              </w:tabs>
              <w:spacing w:before="40" w:after="40" w:line="220" w:lineRule="exact"/>
              <w:ind w:left="0" w:right="0"/>
              <w:jc w:val="right"/>
              <w:rPr>
                <w:bCs/>
                <w:sz w:val="18"/>
                <w:lang w:val="fr-FR"/>
              </w:rPr>
            </w:pPr>
          </w:p>
        </w:tc>
      </w:tr>
      <w:tr w:rsidR="009D000C" w:rsidRPr="00D36601" w14:paraId="3AD9A74E" w14:textId="77777777" w:rsidTr="00701F23">
        <w:trPr>
          <w:trHeight w:val="240"/>
        </w:trPr>
        <w:tc>
          <w:tcPr>
            <w:tcW w:w="1346" w:type="pct"/>
            <w:tcBorders>
              <w:top w:val="single" w:sz="12" w:space="0" w:color="auto"/>
            </w:tcBorders>
            <w:shd w:val="clear" w:color="auto" w:fill="auto"/>
          </w:tcPr>
          <w:p w14:paraId="012376F2" w14:textId="77777777" w:rsidR="00D36601" w:rsidRPr="00D36601" w:rsidRDefault="00D36601" w:rsidP="00844AC6">
            <w:pPr>
              <w:pStyle w:val="SingleTxtG"/>
              <w:tabs>
                <w:tab w:val="clear" w:pos="1701"/>
                <w:tab w:val="clear" w:pos="2268"/>
                <w:tab w:val="clear" w:pos="2835"/>
              </w:tabs>
              <w:spacing w:before="40" w:after="40" w:line="220" w:lineRule="exact"/>
              <w:ind w:left="0" w:right="0"/>
              <w:jc w:val="left"/>
              <w:rPr>
                <w:sz w:val="18"/>
                <w:lang w:val="fr-CH"/>
              </w:rPr>
            </w:pPr>
            <w:r w:rsidRPr="00D36601">
              <w:rPr>
                <w:sz w:val="18"/>
              </w:rPr>
              <w:t>Mujeres</w:t>
            </w:r>
          </w:p>
        </w:tc>
        <w:tc>
          <w:tcPr>
            <w:tcW w:w="577" w:type="pct"/>
            <w:tcBorders>
              <w:top w:val="single" w:sz="12" w:space="0" w:color="auto"/>
            </w:tcBorders>
            <w:shd w:val="clear" w:color="auto" w:fill="auto"/>
            <w:vAlign w:val="bottom"/>
          </w:tcPr>
          <w:p w14:paraId="4896DD8F" w14:textId="2E6DB21B" w:rsidR="00D36601" w:rsidRPr="00D36601" w:rsidRDefault="00D36601" w:rsidP="00844AC6">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1</w:t>
            </w:r>
            <w:r w:rsidR="009D000C">
              <w:rPr>
                <w:sz w:val="18"/>
              </w:rPr>
              <w:t xml:space="preserve"> </w:t>
            </w:r>
            <w:r w:rsidRPr="00D36601">
              <w:rPr>
                <w:sz w:val="18"/>
              </w:rPr>
              <w:t>409</w:t>
            </w:r>
          </w:p>
        </w:tc>
        <w:tc>
          <w:tcPr>
            <w:tcW w:w="579" w:type="pct"/>
            <w:tcBorders>
              <w:top w:val="single" w:sz="12" w:space="0" w:color="auto"/>
            </w:tcBorders>
            <w:shd w:val="clear" w:color="auto" w:fill="auto"/>
            <w:vAlign w:val="bottom"/>
          </w:tcPr>
          <w:p w14:paraId="5EBE80E7" w14:textId="3716AAF4" w:rsidR="00D36601" w:rsidRPr="00D36601" w:rsidRDefault="00D36601" w:rsidP="00844AC6">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1</w:t>
            </w:r>
            <w:r w:rsidR="009D000C">
              <w:rPr>
                <w:sz w:val="18"/>
              </w:rPr>
              <w:t xml:space="preserve"> </w:t>
            </w:r>
            <w:r w:rsidRPr="00D36601">
              <w:rPr>
                <w:sz w:val="18"/>
              </w:rPr>
              <w:t>815</w:t>
            </w:r>
          </w:p>
        </w:tc>
        <w:tc>
          <w:tcPr>
            <w:tcW w:w="577" w:type="pct"/>
            <w:tcBorders>
              <w:top w:val="single" w:sz="12" w:space="0" w:color="auto"/>
            </w:tcBorders>
            <w:shd w:val="clear" w:color="auto" w:fill="auto"/>
            <w:vAlign w:val="bottom"/>
          </w:tcPr>
          <w:p w14:paraId="4D640DEF" w14:textId="225EB067" w:rsidR="00D36601" w:rsidRPr="00D36601" w:rsidRDefault="00D36601" w:rsidP="00844AC6">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1</w:t>
            </w:r>
            <w:r w:rsidR="009D000C">
              <w:rPr>
                <w:sz w:val="18"/>
              </w:rPr>
              <w:t xml:space="preserve"> </w:t>
            </w:r>
            <w:r w:rsidRPr="00D36601">
              <w:rPr>
                <w:sz w:val="18"/>
              </w:rPr>
              <w:t>162</w:t>
            </w:r>
          </w:p>
        </w:tc>
        <w:tc>
          <w:tcPr>
            <w:tcW w:w="577" w:type="pct"/>
            <w:tcBorders>
              <w:top w:val="single" w:sz="12" w:space="0" w:color="auto"/>
            </w:tcBorders>
            <w:shd w:val="clear" w:color="auto" w:fill="auto"/>
            <w:vAlign w:val="bottom"/>
          </w:tcPr>
          <w:p w14:paraId="127778DF" w14:textId="21F4EC52" w:rsidR="00D36601" w:rsidRPr="00D36601" w:rsidRDefault="00D36601" w:rsidP="00844AC6">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2</w:t>
            </w:r>
            <w:r w:rsidR="009D000C">
              <w:rPr>
                <w:sz w:val="18"/>
              </w:rPr>
              <w:t xml:space="preserve"> </w:t>
            </w:r>
            <w:r w:rsidRPr="00D36601">
              <w:rPr>
                <w:sz w:val="18"/>
              </w:rPr>
              <w:t>287</w:t>
            </w:r>
          </w:p>
        </w:tc>
        <w:tc>
          <w:tcPr>
            <w:tcW w:w="769" w:type="pct"/>
            <w:tcBorders>
              <w:top w:val="single" w:sz="12" w:space="0" w:color="auto"/>
            </w:tcBorders>
            <w:shd w:val="clear" w:color="auto" w:fill="auto"/>
            <w:vAlign w:val="bottom"/>
          </w:tcPr>
          <w:p w14:paraId="0C64BDD5" w14:textId="77777777" w:rsidR="00D36601" w:rsidRPr="00D36601" w:rsidRDefault="00D36601" w:rsidP="00844AC6">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158</w:t>
            </w:r>
          </w:p>
        </w:tc>
        <w:tc>
          <w:tcPr>
            <w:tcW w:w="576" w:type="pct"/>
            <w:tcBorders>
              <w:top w:val="single" w:sz="12" w:space="0" w:color="auto"/>
            </w:tcBorders>
            <w:shd w:val="clear" w:color="auto" w:fill="auto"/>
            <w:vAlign w:val="bottom"/>
          </w:tcPr>
          <w:p w14:paraId="0FD35E69" w14:textId="39DD44E2" w:rsidR="00D36601" w:rsidRPr="00D36601" w:rsidRDefault="00D36601" w:rsidP="00844AC6">
            <w:pPr>
              <w:pStyle w:val="SingleTxtG"/>
              <w:tabs>
                <w:tab w:val="clear" w:pos="1701"/>
                <w:tab w:val="clear" w:pos="2268"/>
                <w:tab w:val="clear" w:pos="2835"/>
              </w:tabs>
              <w:spacing w:before="40" w:after="40" w:line="220" w:lineRule="exact"/>
              <w:ind w:left="113" w:right="0"/>
              <w:jc w:val="right"/>
              <w:rPr>
                <w:bCs/>
                <w:sz w:val="18"/>
                <w:lang w:val="fr-CH"/>
              </w:rPr>
            </w:pPr>
            <w:r w:rsidRPr="00D36601">
              <w:rPr>
                <w:bCs/>
                <w:sz w:val="18"/>
              </w:rPr>
              <w:t>6</w:t>
            </w:r>
            <w:r w:rsidR="009D000C">
              <w:rPr>
                <w:bCs/>
                <w:sz w:val="18"/>
              </w:rPr>
              <w:t xml:space="preserve"> </w:t>
            </w:r>
            <w:r w:rsidRPr="00D36601">
              <w:rPr>
                <w:bCs/>
                <w:sz w:val="18"/>
              </w:rPr>
              <w:t>831</w:t>
            </w:r>
          </w:p>
        </w:tc>
      </w:tr>
      <w:tr w:rsidR="009D000C" w:rsidRPr="00D36601" w14:paraId="420DBD94" w14:textId="77777777" w:rsidTr="009D000C">
        <w:trPr>
          <w:trHeight w:val="240"/>
        </w:trPr>
        <w:tc>
          <w:tcPr>
            <w:tcW w:w="1346" w:type="pct"/>
            <w:shd w:val="clear" w:color="auto" w:fill="auto"/>
          </w:tcPr>
          <w:p w14:paraId="4AF427EA" w14:textId="77777777" w:rsidR="00D36601" w:rsidRPr="00D36601" w:rsidRDefault="00D36601" w:rsidP="00844AC6">
            <w:pPr>
              <w:pStyle w:val="SingleTxtG"/>
              <w:tabs>
                <w:tab w:val="clear" w:pos="1701"/>
                <w:tab w:val="clear" w:pos="2268"/>
                <w:tab w:val="clear" w:pos="2835"/>
              </w:tabs>
              <w:spacing w:before="40" w:after="40" w:line="220" w:lineRule="exact"/>
              <w:ind w:left="0" w:right="0"/>
              <w:jc w:val="left"/>
              <w:rPr>
                <w:sz w:val="18"/>
                <w:lang w:val="fr-CH"/>
              </w:rPr>
            </w:pPr>
            <w:r w:rsidRPr="00D36601">
              <w:rPr>
                <w:sz w:val="18"/>
              </w:rPr>
              <w:t>Hombres</w:t>
            </w:r>
          </w:p>
        </w:tc>
        <w:tc>
          <w:tcPr>
            <w:tcW w:w="577" w:type="pct"/>
            <w:shd w:val="clear" w:color="auto" w:fill="auto"/>
            <w:vAlign w:val="bottom"/>
          </w:tcPr>
          <w:p w14:paraId="13AC07EA" w14:textId="30E2E434" w:rsidR="00D36601" w:rsidRPr="00D36601" w:rsidRDefault="00D36601" w:rsidP="00844AC6">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1</w:t>
            </w:r>
            <w:r w:rsidR="009D000C">
              <w:rPr>
                <w:sz w:val="18"/>
              </w:rPr>
              <w:t xml:space="preserve"> </w:t>
            </w:r>
            <w:r w:rsidRPr="00D36601">
              <w:rPr>
                <w:sz w:val="18"/>
              </w:rPr>
              <w:t>579</w:t>
            </w:r>
          </w:p>
        </w:tc>
        <w:tc>
          <w:tcPr>
            <w:tcW w:w="579" w:type="pct"/>
            <w:shd w:val="clear" w:color="auto" w:fill="auto"/>
            <w:vAlign w:val="bottom"/>
          </w:tcPr>
          <w:p w14:paraId="49B84F8F" w14:textId="0602A775" w:rsidR="00D36601" w:rsidRPr="00D36601" w:rsidRDefault="00D36601" w:rsidP="00844AC6">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1</w:t>
            </w:r>
            <w:r w:rsidR="009D000C">
              <w:rPr>
                <w:sz w:val="18"/>
              </w:rPr>
              <w:t xml:space="preserve"> </w:t>
            </w:r>
            <w:r w:rsidRPr="00D36601">
              <w:rPr>
                <w:sz w:val="18"/>
              </w:rPr>
              <w:t>893</w:t>
            </w:r>
          </w:p>
        </w:tc>
        <w:tc>
          <w:tcPr>
            <w:tcW w:w="577" w:type="pct"/>
            <w:shd w:val="clear" w:color="auto" w:fill="auto"/>
            <w:vAlign w:val="bottom"/>
          </w:tcPr>
          <w:p w14:paraId="3ED0F997" w14:textId="596A8271" w:rsidR="00D36601" w:rsidRPr="00D36601" w:rsidRDefault="00D36601" w:rsidP="00844AC6">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1</w:t>
            </w:r>
            <w:r w:rsidR="009D000C">
              <w:rPr>
                <w:sz w:val="18"/>
              </w:rPr>
              <w:t xml:space="preserve"> </w:t>
            </w:r>
            <w:r w:rsidRPr="00D36601">
              <w:rPr>
                <w:sz w:val="18"/>
              </w:rPr>
              <w:t>179</w:t>
            </w:r>
          </w:p>
        </w:tc>
        <w:tc>
          <w:tcPr>
            <w:tcW w:w="577" w:type="pct"/>
            <w:shd w:val="clear" w:color="auto" w:fill="auto"/>
            <w:vAlign w:val="bottom"/>
          </w:tcPr>
          <w:p w14:paraId="7203EB1F" w14:textId="3FA5F40B" w:rsidR="00D36601" w:rsidRPr="00D36601" w:rsidRDefault="00D36601" w:rsidP="00844AC6">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2</w:t>
            </w:r>
            <w:r w:rsidR="009D000C">
              <w:rPr>
                <w:sz w:val="18"/>
              </w:rPr>
              <w:t xml:space="preserve"> </w:t>
            </w:r>
            <w:r w:rsidRPr="00D36601">
              <w:rPr>
                <w:sz w:val="18"/>
              </w:rPr>
              <w:t>480</w:t>
            </w:r>
          </w:p>
        </w:tc>
        <w:tc>
          <w:tcPr>
            <w:tcW w:w="769" w:type="pct"/>
            <w:shd w:val="clear" w:color="auto" w:fill="auto"/>
            <w:vAlign w:val="bottom"/>
          </w:tcPr>
          <w:p w14:paraId="1B5FF93A" w14:textId="77777777" w:rsidR="00D36601" w:rsidRPr="00D36601" w:rsidRDefault="00D36601" w:rsidP="00844AC6">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206</w:t>
            </w:r>
          </w:p>
        </w:tc>
        <w:tc>
          <w:tcPr>
            <w:tcW w:w="576" w:type="pct"/>
            <w:shd w:val="clear" w:color="auto" w:fill="auto"/>
            <w:vAlign w:val="bottom"/>
          </w:tcPr>
          <w:p w14:paraId="4BE8EE60" w14:textId="6E1CC6EC" w:rsidR="00D36601" w:rsidRPr="00D36601" w:rsidRDefault="00D36601" w:rsidP="00844AC6">
            <w:pPr>
              <w:pStyle w:val="SingleTxtG"/>
              <w:tabs>
                <w:tab w:val="clear" w:pos="1701"/>
                <w:tab w:val="clear" w:pos="2268"/>
                <w:tab w:val="clear" w:pos="2835"/>
              </w:tabs>
              <w:spacing w:before="40" w:after="40" w:line="220" w:lineRule="exact"/>
              <w:ind w:left="113" w:right="0"/>
              <w:jc w:val="right"/>
              <w:rPr>
                <w:bCs/>
                <w:sz w:val="18"/>
                <w:lang w:val="fr-CH"/>
              </w:rPr>
            </w:pPr>
            <w:r w:rsidRPr="00D36601">
              <w:rPr>
                <w:bCs/>
                <w:sz w:val="18"/>
              </w:rPr>
              <w:t>7</w:t>
            </w:r>
            <w:r w:rsidR="009D000C">
              <w:rPr>
                <w:bCs/>
                <w:sz w:val="18"/>
              </w:rPr>
              <w:t xml:space="preserve"> </w:t>
            </w:r>
            <w:r w:rsidRPr="00D36601">
              <w:rPr>
                <w:bCs/>
                <w:sz w:val="18"/>
              </w:rPr>
              <w:t>337</w:t>
            </w:r>
          </w:p>
        </w:tc>
      </w:tr>
      <w:tr w:rsidR="009D000C" w:rsidRPr="00D36601" w14:paraId="1EAFBA34" w14:textId="77777777" w:rsidTr="009D000C">
        <w:trPr>
          <w:trHeight w:val="240"/>
        </w:trPr>
        <w:tc>
          <w:tcPr>
            <w:tcW w:w="1346" w:type="pct"/>
            <w:tcBorders>
              <w:bottom w:val="single" w:sz="4" w:space="0" w:color="auto"/>
            </w:tcBorders>
            <w:shd w:val="clear" w:color="auto" w:fill="auto"/>
          </w:tcPr>
          <w:p w14:paraId="242EB567" w14:textId="393C5F29" w:rsidR="00D36601" w:rsidRPr="00D36601" w:rsidRDefault="009D000C" w:rsidP="00844AC6">
            <w:pPr>
              <w:pStyle w:val="SingleTxtG"/>
              <w:tabs>
                <w:tab w:val="clear" w:pos="1701"/>
                <w:tab w:val="clear" w:pos="2268"/>
                <w:tab w:val="clear" w:pos="2835"/>
              </w:tabs>
              <w:spacing w:before="40" w:after="40" w:line="220" w:lineRule="exact"/>
              <w:ind w:left="0" w:right="0"/>
              <w:jc w:val="left"/>
              <w:rPr>
                <w:sz w:val="18"/>
                <w:lang w:val="fr-CH"/>
              </w:rPr>
            </w:pPr>
            <w:r>
              <w:rPr>
                <w:sz w:val="18"/>
              </w:rPr>
              <w:t>Porcentaje de</w:t>
            </w:r>
            <w:r w:rsidR="00D36601" w:rsidRPr="00D36601">
              <w:rPr>
                <w:sz w:val="18"/>
              </w:rPr>
              <w:t xml:space="preserve"> Mujeres</w:t>
            </w:r>
          </w:p>
        </w:tc>
        <w:tc>
          <w:tcPr>
            <w:tcW w:w="577" w:type="pct"/>
            <w:tcBorders>
              <w:bottom w:val="single" w:sz="4" w:space="0" w:color="auto"/>
            </w:tcBorders>
            <w:shd w:val="clear" w:color="auto" w:fill="auto"/>
            <w:vAlign w:val="bottom"/>
          </w:tcPr>
          <w:p w14:paraId="2EF1F3B4" w14:textId="77777777" w:rsidR="00D36601" w:rsidRPr="00D36601" w:rsidRDefault="00D36601" w:rsidP="00844AC6">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47,2</w:t>
            </w:r>
          </w:p>
        </w:tc>
        <w:tc>
          <w:tcPr>
            <w:tcW w:w="579" w:type="pct"/>
            <w:tcBorders>
              <w:bottom w:val="single" w:sz="4" w:space="0" w:color="auto"/>
            </w:tcBorders>
            <w:shd w:val="clear" w:color="auto" w:fill="auto"/>
            <w:vAlign w:val="bottom"/>
          </w:tcPr>
          <w:p w14:paraId="131F1E94" w14:textId="77777777" w:rsidR="00D36601" w:rsidRPr="00D36601" w:rsidRDefault="00D36601" w:rsidP="00844AC6">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48,9</w:t>
            </w:r>
          </w:p>
        </w:tc>
        <w:tc>
          <w:tcPr>
            <w:tcW w:w="577" w:type="pct"/>
            <w:tcBorders>
              <w:bottom w:val="single" w:sz="4" w:space="0" w:color="auto"/>
            </w:tcBorders>
            <w:shd w:val="clear" w:color="auto" w:fill="auto"/>
            <w:vAlign w:val="bottom"/>
          </w:tcPr>
          <w:p w14:paraId="2BE4D39B" w14:textId="77777777" w:rsidR="00D36601" w:rsidRPr="00D36601" w:rsidRDefault="00D36601" w:rsidP="00844AC6">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49,6</w:t>
            </w:r>
          </w:p>
        </w:tc>
        <w:tc>
          <w:tcPr>
            <w:tcW w:w="577" w:type="pct"/>
            <w:tcBorders>
              <w:bottom w:val="single" w:sz="4" w:space="0" w:color="auto"/>
            </w:tcBorders>
            <w:shd w:val="clear" w:color="auto" w:fill="auto"/>
            <w:vAlign w:val="bottom"/>
          </w:tcPr>
          <w:p w14:paraId="0496B1DC" w14:textId="77777777" w:rsidR="00D36601" w:rsidRPr="00D36601" w:rsidRDefault="00D36601" w:rsidP="00844AC6">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48,0</w:t>
            </w:r>
          </w:p>
        </w:tc>
        <w:tc>
          <w:tcPr>
            <w:tcW w:w="769" w:type="pct"/>
            <w:tcBorders>
              <w:bottom w:val="single" w:sz="4" w:space="0" w:color="auto"/>
            </w:tcBorders>
            <w:shd w:val="clear" w:color="auto" w:fill="auto"/>
            <w:vAlign w:val="bottom"/>
          </w:tcPr>
          <w:p w14:paraId="24320284" w14:textId="77777777" w:rsidR="00D36601" w:rsidRPr="00D36601" w:rsidRDefault="00D36601" w:rsidP="00844AC6">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43,4</w:t>
            </w:r>
          </w:p>
        </w:tc>
        <w:tc>
          <w:tcPr>
            <w:tcW w:w="576" w:type="pct"/>
            <w:tcBorders>
              <w:bottom w:val="single" w:sz="4" w:space="0" w:color="auto"/>
            </w:tcBorders>
            <w:shd w:val="clear" w:color="auto" w:fill="auto"/>
            <w:vAlign w:val="bottom"/>
          </w:tcPr>
          <w:p w14:paraId="2D974145" w14:textId="77777777" w:rsidR="00D36601" w:rsidRPr="00D36601" w:rsidRDefault="00D36601" w:rsidP="00844AC6">
            <w:pPr>
              <w:pStyle w:val="SingleTxtG"/>
              <w:tabs>
                <w:tab w:val="clear" w:pos="1701"/>
                <w:tab w:val="clear" w:pos="2268"/>
                <w:tab w:val="clear" w:pos="2835"/>
              </w:tabs>
              <w:spacing w:before="40" w:after="40" w:line="220" w:lineRule="exact"/>
              <w:ind w:left="113" w:right="0"/>
              <w:jc w:val="right"/>
              <w:rPr>
                <w:bCs/>
                <w:sz w:val="18"/>
                <w:lang w:val="fr-CH"/>
              </w:rPr>
            </w:pPr>
            <w:r w:rsidRPr="00D36601">
              <w:rPr>
                <w:bCs/>
                <w:sz w:val="18"/>
              </w:rPr>
              <w:t>48,2</w:t>
            </w:r>
          </w:p>
        </w:tc>
      </w:tr>
      <w:tr w:rsidR="009D000C" w:rsidRPr="00D36601" w14:paraId="368EEE81" w14:textId="77777777" w:rsidTr="009D000C">
        <w:trPr>
          <w:trHeight w:val="240"/>
        </w:trPr>
        <w:tc>
          <w:tcPr>
            <w:tcW w:w="1346" w:type="pct"/>
            <w:tcBorders>
              <w:top w:val="single" w:sz="4" w:space="0" w:color="auto"/>
              <w:bottom w:val="single" w:sz="12" w:space="0" w:color="auto"/>
            </w:tcBorders>
            <w:shd w:val="clear" w:color="auto" w:fill="auto"/>
          </w:tcPr>
          <w:p w14:paraId="568710F7" w14:textId="77777777" w:rsidR="00D36601" w:rsidRPr="00D36601" w:rsidRDefault="00D36601" w:rsidP="009D000C">
            <w:pPr>
              <w:pStyle w:val="SingleTxtG"/>
              <w:tabs>
                <w:tab w:val="clear" w:pos="1701"/>
                <w:tab w:val="clear" w:pos="2268"/>
                <w:tab w:val="clear" w:pos="2835"/>
              </w:tabs>
              <w:spacing w:before="80" w:after="80" w:line="220" w:lineRule="exact"/>
              <w:ind w:left="284" w:right="0"/>
              <w:jc w:val="left"/>
              <w:rPr>
                <w:b/>
                <w:sz w:val="18"/>
              </w:rPr>
            </w:pPr>
            <w:r w:rsidRPr="00D36601">
              <w:rPr>
                <w:b/>
                <w:sz w:val="18"/>
              </w:rPr>
              <w:t>Total</w:t>
            </w:r>
          </w:p>
        </w:tc>
        <w:tc>
          <w:tcPr>
            <w:tcW w:w="577" w:type="pct"/>
            <w:tcBorders>
              <w:top w:val="single" w:sz="4" w:space="0" w:color="auto"/>
              <w:bottom w:val="single" w:sz="12" w:space="0" w:color="auto"/>
            </w:tcBorders>
            <w:shd w:val="clear" w:color="auto" w:fill="auto"/>
            <w:vAlign w:val="bottom"/>
          </w:tcPr>
          <w:p w14:paraId="16A2B6CA" w14:textId="7EB39B0E" w:rsidR="00D36601" w:rsidRPr="00D36601" w:rsidRDefault="00D36601" w:rsidP="0074605D">
            <w:pPr>
              <w:pStyle w:val="SingleTxtG"/>
              <w:tabs>
                <w:tab w:val="clear" w:pos="1701"/>
                <w:tab w:val="clear" w:pos="2268"/>
                <w:tab w:val="clear" w:pos="2835"/>
              </w:tabs>
              <w:spacing w:before="80" w:after="80" w:line="220" w:lineRule="exact"/>
              <w:ind w:left="113" w:right="0"/>
              <w:jc w:val="right"/>
              <w:rPr>
                <w:b/>
                <w:sz w:val="18"/>
              </w:rPr>
            </w:pPr>
            <w:r w:rsidRPr="00D36601">
              <w:rPr>
                <w:b/>
                <w:sz w:val="18"/>
              </w:rPr>
              <w:t>2</w:t>
            </w:r>
            <w:r w:rsidR="009D000C">
              <w:rPr>
                <w:b/>
                <w:sz w:val="18"/>
              </w:rPr>
              <w:t xml:space="preserve"> </w:t>
            </w:r>
            <w:r w:rsidRPr="00D36601">
              <w:rPr>
                <w:b/>
                <w:sz w:val="18"/>
              </w:rPr>
              <w:t>988</w:t>
            </w:r>
          </w:p>
        </w:tc>
        <w:tc>
          <w:tcPr>
            <w:tcW w:w="579" w:type="pct"/>
            <w:tcBorders>
              <w:top w:val="single" w:sz="4" w:space="0" w:color="auto"/>
              <w:bottom w:val="single" w:sz="12" w:space="0" w:color="auto"/>
            </w:tcBorders>
            <w:shd w:val="clear" w:color="auto" w:fill="auto"/>
            <w:vAlign w:val="bottom"/>
          </w:tcPr>
          <w:p w14:paraId="7B4B1BCD" w14:textId="67366B32" w:rsidR="00D36601" w:rsidRPr="00D36601" w:rsidRDefault="00D36601" w:rsidP="0074605D">
            <w:pPr>
              <w:pStyle w:val="SingleTxtG"/>
              <w:tabs>
                <w:tab w:val="clear" w:pos="1701"/>
                <w:tab w:val="clear" w:pos="2268"/>
                <w:tab w:val="clear" w:pos="2835"/>
              </w:tabs>
              <w:spacing w:before="80" w:after="80" w:line="220" w:lineRule="exact"/>
              <w:ind w:left="113" w:right="0"/>
              <w:jc w:val="right"/>
              <w:rPr>
                <w:b/>
                <w:sz w:val="18"/>
              </w:rPr>
            </w:pPr>
            <w:r w:rsidRPr="00D36601">
              <w:rPr>
                <w:b/>
                <w:sz w:val="18"/>
              </w:rPr>
              <w:t>3</w:t>
            </w:r>
            <w:r w:rsidR="009D000C">
              <w:rPr>
                <w:b/>
                <w:sz w:val="18"/>
              </w:rPr>
              <w:t xml:space="preserve"> </w:t>
            </w:r>
            <w:r w:rsidRPr="00D36601">
              <w:rPr>
                <w:b/>
                <w:sz w:val="18"/>
              </w:rPr>
              <w:t>708</w:t>
            </w:r>
          </w:p>
        </w:tc>
        <w:tc>
          <w:tcPr>
            <w:tcW w:w="577" w:type="pct"/>
            <w:tcBorders>
              <w:top w:val="single" w:sz="4" w:space="0" w:color="auto"/>
              <w:bottom w:val="single" w:sz="12" w:space="0" w:color="auto"/>
            </w:tcBorders>
            <w:shd w:val="clear" w:color="auto" w:fill="auto"/>
            <w:vAlign w:val="bottom"/>
          </w:tcPr>
          <w:p w14:paraId="0B767F10" w14:textId="39A04495" w:rsidR="00D36601" w:rsidRPr="00D36601" w:rsidRDefault="00D36601" w:rsidP="0074605D">
            <w:pPr>
              <w:pStyle w:val="SingleTxtG"/>
              <w:tabs>
                <w:tab w:val="clear" w:pos="1701"/>
                <w:tab w:val="clear" w:pos="2268"/>
                <w:tab w:val="clear" w:pos="2835"/>
              </w:tabs>
              <w:spacing w:before="80" w:after="80" w:line="220" w:lineRule="exact"/>
              <w:ind w:left="113" w:right="0"/>
              <w:jc w:val="right"/>
              <w:rPr>
                <w:b/>
                <w:sz w:val="18"/>
              </w:rPr>
            </w:pPr>
            <w:r w:rsidRPr="00D36601">
              <w:rPr>
                <w:b/>
                <w:sz w:val="18"/>
              </w:rPr>
              <w:t>2</w:t>
            </w:r>
            <w:r w:rsidR="009D000C">
              <w:rPr>
                <w:b/>
                <w:sz w:val="18"/>
              </w:rPr>
              <w:t xml:space="preserve"> </w:t>
            </w:r>
            <w:r w:rsidRPr="00D36601">
              <w:rPr>
                <w:b/>
                <w:sz w:val="18"/>
              </w:rPr>
              <w:t>341</w:t>
            </w:r>
          </w:p>
        </w:tc>
        <w:tc>
          <w:tcPr>
            <w:tcW w:w="577" w:type="pct"/>
            <w:tcBorders>
              <w:top w:val="single" w:sz="4" w:space="0" w:color="auto"/>
              <w:bottom w:val="single" w:sz="12" w:space="0" w:color="auto"/>
            </w:tcBorders>
            <w:shd w:val="clear" w:color="auto" w:fill="auto"/>
            <w:vAlign w:val="bottom"/>
          </w:tcPr>
          <w:p w14:paraId="5BF53864" w14:textId="79F35851" w:rsidR="00D36601" w:rsidRPr="00D36601" w:rsidRDefault="00D36601" w:rsidP="0074605D">
            <w:pPr>
              <w:pStyle w:val="SingleTxtG"/>
              <w:tabs>
                <w:tab w:val="clear" w:pos="1701"/>
                <w:tab w:val="clear" w:pos="2268"/>
                <w:tab w:val="clear" w:pos="2835"/>
              </w:tabs>
              <w:spacing w:before="80" w:after="80" w:line="220" w:lineRule="exact"/>
              <w:ind w:left="113" w:right="0"/>
              <w:jc w:val="right"/>
              <w:rPr>
                <w:b/>
                <w:sz w:val="18"/>
              </w:rPr>
            </w:pPr>
            <w:r w:rsidRPr="00D36601">
              <w:rPr>
                <w:b/>
                <w:sz w:val="18"/>
              </w:rPr>
              <w:t>4</w:t>
            </w:r>
            <w:r w:rsidR="009D000C">
              <w:rPr>
                <w:b/>
                <w:sz w:val="18"/>
              </w:rPr>
              <w:t xml:space="preserve"> </w:t>
            </w:r>
            <w:r w:rsidRPr="00D36601">
              <w:rPr>
                <w:b/>
                <w:sz w:val="18"/>
              </w:rPr>
              <w:t>767</w:t>
            </w:r>
          </w:p>
        </w:tc>
        <w:tc>
          <w:tcPr>
            <w:tcW w:w="769" w:type="pct"/>
            <w:tcBorders>
              <w:top w:val="single" w:sz="4" w:space="0" w:color="auto"/>
              <w:bottom w:val="single" w:sz="12" w:space="0" w:color="auto"/>
            </w:tcBorders>
            <w:shd w:val="clear" w:color="auto" w:fill="auto"/>
            <w:vAlign w:val="bottom"/>
          </w:tcPr>
          <w:p w14:paraId="69813B47" w14:textId="77777777" w:rsidR="00D36601" w:rsidRPr="00D36601" w:rsidRDefault="00D36601" w:rsidP="0074605D">
            <w:pPr>
              <w:pStyle w:val="SingleTxtG"/>
              <w:tabs>
                <w:tab w:val="clear" w:pos="1701"/>
                <w:tab w:val="clear" w:pos="2268"/>
                <w:tab w:val="clear" w:pos="2835"/>
              </w:tabs>
              <w:spacing w:before="80" w:after="80" w:line="220" w:lineRule="exact"/>
              <w:ind w:left="113" w:right="0"/>
              <w:jc w:val="right"/>
              <w:rPr>
                <w:b/>
                <w:sz w:val="18"/>
              </w:rPr>
            </w:pPr>
            <w:r w:rsidRPr="00D36601">
              <w:rPr>
                <w:b/>
                <w:sz w:val="18"/>
              </w:rPr>
              <w:t>364</w:t>
            </w:r>
          </w:p>
        </w:tc>
        <w:tc>
          <w:tcPr>
            <w:tcW w:w="576" w:type="pct"/>
            <w:tcBorders>
              <w:top w:val="single" w:sz="4" w:space="0" w:color="auto"/>
              <w:bottom w:val="single" w:sz="12" w:space="0" w:color="auto"/>
            </w:tcBorders>
            <w:shd w:val="clear" w:color="auto" w:fill="auto"/>
            <w:vAlign w:val="bottom"/>
          </w:tcPr>
          <w:p w14:paraId="1DCC02AA" w14:textId="1381A887" w:rsidR="00D36601" w:rsidRPr="00D36601" w:rsidRDefault="00D36601" w:rsidP="0074605D">
            <w:pPr>
              <w:pStyle w:val="SingleTxtG"/>
              <w:tabs>
                <w:tab w:val="clear" w:pos="1701"/>
                <w:tab w:val="clear" w:pos="2268"/>
                <w:tab w:val="clear" w:pos="2835"/>
              </w:tabs>
              <w:spacing w:before="80" w:after="80" w:line="220" w:lineRule="exact"/>
              <w:ind w:left="113" w:right="0"/>
              <w:jc w:val="right"/>
              <w:rPr>
                <w:b/>
                <w:sz w:val="18"/>
              </w:rPr>
            </w:pPr>
            <w:r w:rsidRPr="00D36601">
              <w:rPr>
                <w:b/>
                <w:sz w:val="18"/>
              </w:rPr>
              <w:t>14</w:t>
            </w:r>
            <w:r w:rsidR="009D000C">
              <w:rPr>
                <w:b/>
                <w:sz w:val="18"/>
              </w:rPr>
              <w:t xml:space="preserve"> </w:t>
            </w:r>
            <w:r w:rsidRPr="00D36601">
              <w:rPr>
                <w:b/>
                <w:sz w:val="18"/>
              </w:rPr>
              <w:t>168</w:t>
            </w:r>
          </w:p>
        </w:tc>
      </w:tr>
    </w:tbl>
    <w:p w14:paraId="24608DED" w14:textId="77777777" w:rsidR="00D36601" w:rsidRPr="00D36601" w:rsidRDefault="00D36601" w:rsidP="00AE189C">
      <w:pPr>
        <w:pStyle w:val="SingleTxtG"/>
        <w:spacing w:before="120" w:after="240"/>
        <w:ind w:firstLine="170"/>
        <w:jc w:val="left"/>
        <w:rPr>
          <w:i/>
          <w:sz w:val="18"/>
          <w:szCs w:val="18"/>
          <w:lang w:val="fr-FR"/>
        </w:rPr>
      </w:pPr>
      <w:r w:rsidRPr="00D36601">
        <w:rPr>
          <w:i/>
          <w:iCs/>
          <w:sz w:val="18"/>
          <w:szCs w:val="18"/>
          <w:lang w:val="fr-FR"/>
        </w:rPr>
        <w:t>Fuente</w:t>
      </w:r>
      <w:r w:rsidRPr="00D36601">
        <w:rPr>
          <w:i/>
          <w:sz w:val="18"/>
          <w:szCs w:val="18"/>
          <w:lang w:val="fr-FR"/>
        </w:rPr>
        <w:t>:</w:t>
      </w:r>
      <w:r w:rsidRPr="00D36601">
        <w:rPr>
          <w:sz w:val="18"/>
          <w:szCs w:val="18"/>
          <w:lang w:val="fr-FR"/>
        </w:rPr>
        <w:t xml:space="preserve"> </w:t>
      </w:r>
      <w:r w:rsidRPr="00F374AD">
        <w:rPr>
          <w:sz w:val="18"/>
          <w:szCs w:val="18"/>
          <w:lang w:val="fr-FR"/>
        </w:rPr>
        <w:t>CPS/</w:t>
      </w:r>
      <w:proofErr w:type="spellStart"/>
      <w:r w:rsidRPr="00F374AD">
        <w:rPr>
          <w:sz w:val="18"/>
          <w:szCs w:val="18"/>
          <w:lang w:val="fr-FR"/>
        </w:rPr>
        <w:t>ATFPSI</w:t>
      </w:r>
      <w:proofErr w:type="spellEnd"/>
      <w:r w:rsidRPr="00D36601">
        <w:rPr>
          <w:sz w:val="18"/>
          <w:szCs w:val="18"/>
          <w:lang w:val="fr-FR"/>
        </w:rPr>
        <w:t xml:space="preserve">, </w:t>
      </w:r>
      <w:r w:rsidRPr="00D36601">
        <w:rPr>
          <w:i/>
          <w:iCs/>
          <w:sz w:val="18"/>
          <w:szCs w:val="18"/>
          <w:lang w:val="fr-FR"/>
        </w:rPr>
        <w:t>Annuaire statistique</w:t>
      </w:r>
      <w:r w:rsidRPr="00D36601">
        <w:rPr>
          <w:sz w:val="18"/>
          <w:szCs w:val="18"/>
          <w:lang w:val="fr-FR"/>
        </w:rPr>
        <w:t>, 2012.</w:t>
      </w:r>
    </w:p>
    <w:p w14:paraId="27318661" w14:textId="2E12F0F4" w:rsidR="00D36601" w:rsidRPr="00D36601" w:rsidRDefault="00844AC6" w:rsidP="00844AC6">
      <w:pPr>
        <w:pStyle w:val="H4G"/>
      </w:pPr>
      <w:bookmarkStart w:id="469" w:name="_Toc414373046"/>
      <w:bookmarkStart w:id="470" w:name="_Toc414373275"/>
      <w:bookmarkStart w:id="471" w:name="_Toc414377771"/>
      <w:bookmarkStart w:id="472" w:name="_Toc35441139"/>
      <w:r>
        <w:tab/>
      </w:r>
      <w:r w:rsidR="00D36601" w:rsidRPr="00D36601">
        <w:t>8.1.10</w:t>
      </w:r>
      <w:r w:rsidR="00D36601" w:rsidRPr="00D36601">
        <w:tab/>
        <w:t>Consumo de estupefacientes entre los niños de Malí</w:t>
      </w:r>
      <w:bookmarkEnd w:id="469"/>
      <w:bookmarkEnd w:id="470"/>
      <w:bookmarkEnd w:id="471"/>
      <w:bookmarkEnd w:id="472"/>
    </w:p>
    <w:p w14:paraId="31FD0371" w14:textId="77777777" w:rsidR="00D36601" w:rsidRPr="00D36601" w:rsidRDefault="00D36601" w:rsidP="00D36601">
      <w:pPr>
        <w:pStyle w:val="SingleTxtG"/>
      </w:pPr>
      <w:r w:rsidRPr="00D36601">
        <w:t>198.</w:t>
      </w:r>
      <w:r w:rsidRPr="00D36601">
        <w:tab/>
        <w:t>Malí se está convirtiendo en un país de tránsito para el tráfico de estupefacientes como el cáñamo índico, la cocaína, etc. Esta situación conlleva peligros para la población en general y, en particular, para los niños. Para conocer mejor el fenómeno y sus repercusiones en los niños, y así orientar mejor las estrategias de intervención, en 2009 se llevó a cabo un estudio sobre el abuso de drogas, alcohol y otras sustancias entre los niños y adolescentes de Malí, que permitió definir la magnitud del fenómeno.</w:t>
      </w:r>
    </w:p>
    <w:p w14:paraId="5279D579" w14:textId="511A9178" w:rsidR="00D36601" w:rsidRPr="00D36601" w:rsidRDefault="00D36601" w:rsidP="00844AC6">
      <w:pPr>
        <w:pStyle w:val="SingleTxtG"/>
        <w:jc w:val="left"/>
        <w:rPr>
          <w:b/>
        </w:rPr>
      </w:pPr>
      <w:bookmarkStart w:id="473" w:name="_Toc386807875"/>
      <w:bookmarkStart w:id="474" w:name="_Toc414373047"/>
      <w:bookmarkStart w:id="475" w:name="_Toc414373276"/>
      <w:bookmarkStart w:id="476" w:name="_Toc414377772"/>
      <w:r w:rsidRPr="00D36601">
        <w:t>Cuadro 14</w:t>
      </w:r>
      <w:r w:rsidRPr="00D36601">
        <w:rPr>
          <w:sz w:val="18"/>
          <w:szCs w:val="18"/>
          <w:vertAlign w:val="superscript"/>
        </w:rPr>
        <w:footnoteReference w:id="6"/>
      </w:r>
      <w:r w:rsidRPr="00D36601">
        <w:t xml:space="preserve"> </w:t>
      </w:r>
      <w:r w:rsidRPr="00D36601">
        <w:br/>
      </w:r>
      <w:r w:rsidRPr="00D36601">
        <w:rPr>
          <w:b/>
          <w:bCs/>
        </w:rPr>
        <w:t xml:space="preserve">Situación de los niños que admiten haber consumido una droga al menos </w:t>
      </w:r>
      <w:r w:rsidR="00605F7C">
        <w:rPr>
          <w:b/>
          <w:bCs/>
        </w:rPr>
        <w:br/>
      </w:r>
      <w:r w:rsidRPr="00D36601">
        <w:rPr>
          <w:b/>
          <w:bCs/>
        </w:rPr>
        <w:t>una vez, desglosados por sexo</w:t>
      </w:r>
      <w:bookmarkEnd w:id="473"/>
      <w:bookmarkEnd w:id="474"/>
      <w:bookmarkEnd w:id="475"/>
      <w:bookmarkEnd w:id="476"/>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62"/>
        <w:gridCol w:w="2551"/>
        <w:gridCol w:w="2257"/>
      </w:tblGrid>
      <w:tr w:rsidR="00605F7C" w:rsidRPr="00605F7C" w14:paraId="3413E38D" w14:textId="77777777" w:rsidTr="00605F7C">
        <w:trPr>
          <w:trHeight w:val="240"/>
          <w:tblHeader/>
        </w:trPr>
        <w:tc>
          <w:tcPr>
            <w:tcW w:w="1738" w:type="pct"/>
            <w:tcBorders>
              <w:top w:val="single" w:sz="4" w:space="0" w:color="auto"/>
              <w:bottom w:val="single" w:sz="12" w:space="0" w:color="auto"/>
            </w:tcBorders>
            <w:shd w:val="clear" w:color="auto" w:fill="auto"/>
            <w:vAlign w:val="bottom"/>
            <w:hideMark/>
          </w:tcPr>
          <w:p w14:paraId="26FF717A" w14:textId="77777777" w:rsidR="00D36601" w:rsidRPr="00D36601" w:rsidRDefault="00D36601" w:rsidP="00605F7C">
            <w:pPr>
              <w:pStyle w:val="SingleTxtG"/>
              <w:tabs>
                <w:tab w:val="clear" w:pos="1701"/>
                <w:tab w:val="clear" w:pos="2268"/>
                <w:tab w:val="clear" w:pos="2835"/>
              </w:tabs>
              <w:spacing w:before="80" w:after="80" w:line="200" w:lineRule="exact"/>
              <w:ind w:left="0" w:right="0"/>
              <w:jc w:val="left"/>
              <w:rPr>
                <w:i/>
                <w:sz w:val="16"/>
                <w:lang w:val="fr-CH"/>
              </w:rPr>
            </w:pPr>
            <w:r w:rsidRPr="00D36601">
              <w:rPr>
                <w:i/>
                <w:iCs/>
                <w:sz w:val="16"/>
              </w:rPr>
              <w:t>Sexo</w:t>
            </w:r>
          </w:p>
        </w:tc>
        <w:tc>
          <w:tcPr>
            <w:tcW w:w="1731" w:type="pct"/>
            <w:tcBorders>
              <w:top w:val="single" w:sz="4" w:space="0" w:color="auto"/>
              <w:bottom w:val="single" w:sz="12" w:space="0" w:color="auto"/>
            </w:tcBorders>
            <w:shd w:val="clear" w:color="auto" w:fill="auto"/>
            <w:vAlign w:val="bottom"/>
            <w:hideMark/>
          </w:tcPr>
          <w:p w14:paraId="30B12C17" w14:textId="77777777" w:rsidR="00D36601" w:rsidRPr="00D36601" w:rsidRDefault="00D36601" w:rsidP="00605F7C">
            <w:pPr>
              <w:pStyle w:val="SingleTxtG"/>
              <w:tabs>
                <w:tab w:val="clear" w:pos="1701"/>
                <w:tab w:val="clear" w:pos="2268"/>
                <w:tab w:val="clear" w:pos="2835"/>
              </w:tabs>
              <w:spacing w:before="80" w:after="80" w:line="200" w:lineRule="exact"/>
              <w:ind w:left="113" w:right="0"/>
              <w:jc w:val="right"/>
              <w:rPr>
                <w:i/>
                <w:sz w:val="16"/>
                <w:lang w:val="fr-CH"/>
              </w:rPr>
            </w:pPr>
            <w:r w:rsidRPr="00D36601">
              <w:rPr>
                <w:i/>
                <w:iCs/>
                <w:sz w:val="16"/>
              </w:rPr>
              <w:t>Número</w:t>
            </w:r>
          </w:p>
        </w:tc>
        <w:tc>
          <w:tcPr>
            <w:tcW w:w="1532" w:type="pct"/>
            <w:tcBorders>
              <w:top w:val="single" w:sz="4" w:space="0" w:color="auto"/>
              <w:bottom w:val="single" w:sz="12" w:space="0" w:color="auto"/>
            </w:tcBorders>
            <w:shd w:val="clear" w:color="auto" w:fill="auto"/>
            <w:vAlign w:val="bottom"/>
            <w:hideMark/>
          </w:tcPr>
          <w:p w14:paraId="17F52EDF" w14:textId="2E454D58" w:rsidR="00D36601" w:rsidRPr="00D36601" w:rsidRDefault="00DC67C2" w:rsidP="00605F7C">
            <w:pPr>
              <w:pStyle w:val="SingleTxtG"/>
              <w:tabs>
                <w:tab w:val="clear" w:pos="1701"/>
                <w:tab w:val="clear" w:pos="2268"/>
                <w:tab w:val="clear" w:pos="2835"/>
              </w:tabs>
              <w:spacing w:before="80" w:after="80" w:line="200" w:lineRule="exact"/>
              <w:ind w:left="113" w:right="0"/>
              <w:jc w:val="right"/>
              <w:rPr>
                <w:i/>
                <w:sz w:val="16"/>
                <w:lang w:val="fr-CH"/>
              </w:rPr>
            </w:pPr>
            <w:r>
              <w:rPr>
                <w:i/>
                <w:iCs/>
                <w:sz w:val="16"/>
              </w:rPr>
              <w:t>Porcentaje</w:t>
            </w:r>
          </w:p>
        </w:tc>
      </w:tr>
      <w:tr w:rsidR="00605F7C" w:rsidRPr="00D36601" w14:paraId="5971ECBB" w14:textId="77777777" w:rsidTr="00605F7C">
        <w:trPr>
          <w:trHeight w:val="240"/>
        </w:trPr>
        <w:tc>
          <w:tcPr>
            <w:tcW w:w="1738" w:type="pct"/>
            <w:tcBorders>
              <w:top w:val="single" w:sz="12" w:space="0" w:color="auto"/>
            </w:tcBorders>
            <w:shd w:val="clear" w:color="auto" w:fill="auto"/>
            <w:hideMark/>
          </w:tcPr>
          <w:p w14:paraId="7A0D5716" w14:textId="77777777" w:rsidR="00D36601" w:rsidRPr="00D36601" w:rsidRDefault="00D36601" w:rsidP="00605F7C">
            <w:pPr>
              <w:pStyle w:val="SingleTxtG"/>
              <w:tabs>
                <w:tab w:val="clear" w:pos="1701"/>
                <w:tab w:val="clear" w:pos="2268"/>
                <w:tab w:val="clear" w:pos="2835"/>
              </w:tabs>
              <w:spacing w:before="40" w:after="40" w:line="220" w:lineRule="exact"/>
              <w:ind w:left="0" w:right="0"/>
              <w:jc w:val="left"/>
              <w:rPr>
                <w:bCs/>
                <w:sz w:val="18"/>
                <w:lang w:val="fr-CH"/>
              </w:rPr>
            </w:pPr>
            <w:r w:rsidRPr="00D36601">
              <w:rPr>
                <w:sz w:val="18"/>
              </w:rPr>
              <w:t>Niños</w:t>
            </w:r>
          </w:p>
        </w:tc>
        <w:tc>
          <w:tcPr>
            <w:tcW w:w="1731" w:type="pct"/>
            <w:tcBorders>
              <w:top w:val="single" w:sz="12" w:space="0" w:color="auto"/>
            </w:tcBorders>
            <w:shd w:val="clear" w:color="auto" w:fill="auto"/>
            <w:vAlign w:val="bottom"/>
            <w:hideMark/>
          </w:tcPr>
          <w:p w14:paraId="6CD2D00A"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149</w:t>
            </w:r>
          </w:p>
        </w:tc>
        <w:tc>
          <w:tcPr>
            <w:tcW w:w="1532" w:type="pct"/>
            <w:tcBorders>
              <w:top w:val="single" w:sz="12" w:space="0" w:color="auto"/>
            </w:tcBorders>
            <w:shd w:val="clear" w:color="auto" w:fill="auto"/>
            <w:vAlign w:val="bottom"/>
            <w:hideMark/>
          </w:tcPr>
          <w:p w14:paraId="6E8402F2"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72</w:t>
            </w:r>
          </w:p>
        </w:tc>
      </w:tr>
      <w:tr w:rsidR="00605F7C" w:rsidRPr="00D36601" w14:paraId="27EC10CA" w14:textId="77777777" w:rsidTr="00605F7C">
        <w:trPr>
          <w:trHeight w:val="240"/>
        </w:trPr>
        <w:tc>
          <w:tcPr>
            <w:tcW w:w="1738" w:type="pct"/>
            <w:shd w:val="clear" w:color="auto" w:fill="auto"/>
            <w:hideMark/>
          </w:tcPr>
          <w:p w14:paraId="0293B4A7" w14:textId="77777777" w:rsidR="00D36601" w:rsidRPr="00D36601" w:rsidRDefault="00D36601" w:rsidP="00605F7C">
            <w:pPr>
              <w:pStyle w:val="SingleTxtG"/>
              <w:tabs>
                <w:tab w:val="clear" w:pos="1701"/>
                <w:tab w:val="clear" w:pos="2268"/>
                <w:tab w:val="clear" w:pos="2835"/>
              </w:tabs>
              <w:spacing w:before="40" w:after="40" w:line="220" w:lineRule="exact"/>
              <w:ind w:left="0" w:right="0"/>
              <w:jc w:val="left"/>
              <w:rPr>
                <w:bCs/>
                <w:sz w:val="18"/>
                <w:lang w:val="fr-CH"/>
              </w:rPr>
            </w:pPr>
            <w:r w:rsidRPr="00D36601">
              <w:rPr>
                <w:sz w:val="18"/>
              </w:rPr>
              <w:t>Niñas</w:t>
            </w:r>
          </w:p>
        </w:tc>
        <w:tc>
          <w:tcPr>
            <w:tcW w:w="1731" w:type="pct"/>
            <w:shd w:val="clear" w:color="auto" w:fill="auto"/>
            <w:vAlign w:val="bottom"/>
            <w:hideMark/>
          </w:tcPr>
          <w:p w14:paraId="778621AA"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53</w:t>
            </w:r>
          </w:p>
        </w:tc>
        <w:tc>
          <w:tcPr>
            <w:tcW w:w="1532" w:type="pct"/>
            <w:shd w:val="clear" w:color="auto" w:fill="auto"/>
            <w:vAlign w:val="bottom"/>
            <w:hideMark/>
          </w:tcPr>
          <w:p w14:paraId="6FC65D09"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25,6</w:t>
            </w:r>
          </w:p>
        </w:tc>
      </w:tr>
      <w:tr w:rsidR="00605F7C" w:rsidRPr="00D36601" w14:paraId="04A0E7AE" w14:textId="77777777" w:rsidTr="009D000C">
        <w:trPr>
          <w:trHeight w:val="240"/>
        </w:trPr>
        <w:tc>
          <w:tcPr>
            <w:tcW w:w="1738" w:type="pct"/>
            <w:tcBorders>
              <w:bottom w:val="single" w:sz="4" w:space="0" w:color="auto"/>
            </w:tcBorders>
            <w:shd w:val="clear" w:color="auto" w:fill="auto"/>
            <w:hideMark/>
          </w:tcPr>
          <w:p w14:paraId="264CEC3A" w14:textId="77777777" w:rsidR="00D36601" w:rsidRPr="00D36601" w:rsidRDefault="00D36601" w:rsidP="00605F7C">
            <w:pPr>
              <w:pStyle w:val="SingleTxtG"/>
              <w:tabs>
                <w:tab w:val="clear" w:pos="1701"/>
                <w:tab w:val="clear" w:pos="2268"/>
                <w:tab w:val="clear" w:pos="2835"/>
              </w:tabs>
              <w:spacing w:before="40" w:after="40" w:line="220" w:lineRule="exact"/>
              <w:ind w:left="0" w:right="0"/>
              <w:jc w:val="left"/>
              <w:rPr>
                <w:bCs/>
                <w:sz w:val="18"/>
                <w:lang w:val="fr-CH"/>
              </w:rPr>
            </w:pPr>
            <w:r w:rsidRPr="00D36601">
              <w:rPr>
                <w:sz w:val="18"/>
              </w:rPr>
              <w:t>n. d.</w:t>
            </w:r>
          </w:p>
        </w:tc>
        <w:tc>
          <w:tcPr>
            <w:tcW w:w="1731" w:type="pct"/>
            <w:tcBorders>
              <w:bottom w:val="single" w:sz="4" w:space="0" w:color="auto"/>
            </w:tcBorders>
            <w:shd w:val="clear" w:color="auto" w:fill="auto"/>
            <w:vAlign w:val="bottom"/>
            <w:hideMark/>
          </w:tcPr>
          <w:p w14:paraId="700F348D"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5</w:t>
            </w:r>
          </w:p>
        </w:tc>
        <w:tc>
          <w:tcPr>
            <w:tcW w:w="1532" w:type="pct"/>
            <w:tcBorders>
              <w:bottom w:val="single" w:sz="4" w:space="0" w:color="auto"/>
            </w:tcBorders>
            <w:shd w:val="clear" w:color="auto" w:fill="auto"/>
            <w:vAlign w:val="bottom"/>
            <w:hideMark/>
          </w:tcPr>
          <w:p w14:paraId="125FEA01"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2,4</w:t>
            </w:r>
          </w:p>
        </w:tc>
      </w:tr>
      <w:tr w:rsidR="00605F7C" w:rsidRPr="00D36601" w14:paraId="45C03687" w14:textId="77777777" w:rsidTr="009D000C">
        <w:trPr>
          <w:trHeight w:val="240"/>
        </w:trPr>
        <w:tc>
          <w:tcPr>
            <w:tcW w:w="1738" w:type="pct"/>
            <w:tcBorders>
              <w:top w:val="single" w:sz="4" w:space="0" w:color="auto"/>
              <w:bottom w:val="single" w:sz="12" w:space="0" w:color="auto"/>
            </w:tcBorders>
            <w:shd w:val="clear" w:color="auto" w:fill="auto"/>
            <w:hideMark/>
          </w:tcPr>
          <w:p w14:paraId="2BE4C458" w14:textId="77777777" w:rsidR="00D36601" w:rsidRPr="00D36601" w:rsidRDefault="00D36601" w:rsidP="009D000C">
            <w:pPr>
              <w:pStyle w:val="SingleTxtG"/>
              <w:tabs>
                <w:tab w:val="clear" w:pos="1701"/>
                <w:tab w:val="clear" w:pos="2268"/>
                <w:tab w:val="clear" w:pos="2835"/>
              </w:tabs>
              <w:spacing w:before="80" w:after="80" w:line="220" w:lineRule="exact"/>
              <w:ind w:left="284" w:right="0"/>
              <w:jc w:val="left"/>
              <w:rPr>
                <w:b/>
                <w:sz w:val="18"/>
              </w:rPr>
            </w:pPr>
            <w:r w:rsidRPr="00D36601">
              <w:rPr>
                <w:b/>
                <w:sz w:val="18"/>
              </w:rPr>
              <w:t>Total</w:t>
            </w:r>
          </w:p>
        </w:tc>
        <w:tc>
          <w:tcPr>
            <w:tcW w:w="1731" w:type="pct"/>
            <w:tcBorders>
              <w:top w:val="single" w:sz="4" w:space="0" w:color="auto"/>
              <w:bottom w:val="single" w:sz="12" w:space="0" w:color="auto"/>
            </w:tcBorders>
            <w:shd w:val="clear" w:color="auto" w:fill="auto"/>
            <w:vAlign w:val="bottom"/>
            <w:hideMark/>
          </w:tcPr>
          <w:p w14:paraId="024D3E69" w14:textId="77777777" w:rsidR="00D36601" w:rsidRPr="00D36601" w:rsidRDefault="00D36601" w:rsidP="0074605D">
            <w:pPr>
              <w:pStyle w:val="SingleTxtG"/>
              <w:tabs>
                <w:tab w:val="clear" w:pos="1701"/>
                <w:tab w:val="clear" w:pos="2268"/>
                <w:tab w:val="clear" w:pos="2835"/>
              </w:tabs>
              <w:spacing w:before="80" w:after="80" w:line="220" w:lineRule="exact"/>
              <w:ind w:left="113" w:right="0"/>
              <w:jc w:val="right"/>
              <w:rPr>
                <w:b/>
                <w:sz w:val="18"/>
              </w:rPr>
            </w:pPr>
            <w:r w:rsidRPr="00D36601">
              <w:rPr>
                <w:b/>
                <w:sz w:val="18"/>
              </w:rPr>
              <w:t>207</w:t>
            </w:r>
          </w:p>
        </w:tc>
        <w:tc>
          <w:tcPr>
            <w:tcW w:w="1532" w:type="pct"/>
            <w:tcBorders>
              <w:top w:val="single" w:sz="4" w:space="0" w:color="auto"/>
              <w:bottom w:val="single" w:sz="12" w:space="0" w:color="auto"/>
            </w:tcBorders>
            <w:shd w:val="clear" w:color="auto" w:fill="auto"/>
            <w:vAlign w:val="bottom"/>
            <w:hideMark/>
          </w:tcPr>
          <w:p w14:paraId="685FFED6" w14:textId="77777777" w:rsidR="00D36601" w:rsidRPr="00D36601" w:rsidRDefault="00D36601" w:rsidP="0074605D">
            <w:pPr>
              <w:pStyle w:val="SingleTxtG"/>
              <w:tabs>
                <w:tab w:val="clear" w:pos="1701"/>
                <w:tab w:val="clear" w:pos="2268"/>
                <w:tab w:val="clear" w:pos="2835"/>
              </w:tabs>
              <w:spacing w:before="80" w:after="80" w:line="220" w:lineRule="exact"/>
              <w:ind w:left="113" w:right="0"/>
              <w:jc w:val="right"/>
              <w:rPr>
                <w:b/>
                <w:sz w:val="18"/>
              </w:rPr>
            </w:pPr>
            <w:r w:rsidRPr="00D36601">
              <w:rPr>
                <w:b/>
                <w:sz w:val="18"/>
              </w:rPr>
              <w:t>100</w:t>
            </w:r>
          </w:p>
        </w:tc>
      </w:tr>
    </w:tbl>
    <w:p w14:paraId="79F8C144" w14:textId="05D4C192" w:rsidR="009D000C" w:rsidRDefault="00D36601" w:rsidP="00605F7C">
      <w:pPr>
        <w:pStyle w:val="SingleTxtG"/>
        <w:spacing w:before="240"/>
        <w:jc w:val="left"/>
        <w:rPr>
          <w:b/>
          <w:bCs/>
        </w:rPr>
      </w:pPr>
      <w:bookmarkStart w:id="477" w:name="_Toc414377784"/>
      <w:r w:rsidRPr="00D36601">
        <w:t xml:space="preserve">Cuadro 15 </w:t>
      </w:r>
      <w:r w:rsidRPr="00D36601">
        <w:br/>
      </w:r>
      <w:r w:rsidRPr="00D36601">
        <w:rPr>
          <w:b/>
          <w:bCs/>
        </w:rPr>
        <w:t>Centros penitenciarios con pabellones para menores y mujeres</w:t>
      </w:r>
      <w:bookmarkEnd w:id="477"/>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22"/>
        <w:gridCol w:w="1672"/>
        <w:gridCol w:w="1838"/>
        <w:gridCol w:w="1838"/>
      </w:tblGrid>
      <w:tr w:rsidR="00605F7C" w:rsidRPr="00605F7C" w14:paraId="055130B1" w14:textId="77777777" w:rsidTr="009D000C">
        <w:trPr>
          <w:trHeight w:val="240"/>
          <w:tblHeader/>
        </w:trPr>
        <w:tc>
          <w:tcPr>
            <w:tcW w:w="1372" w:type="pct"/>
            <w:vMerge w:val="restart"/>
            <w:tcBorders>
              <w:top w:val="single" w:sz="4" w:space="0" w:color="auto"/>
              <w:bottom w:val="single" w:sz="12" w:space="0" w:color="auto"/>
            </w:tcBorders>
            <w:shd w:val="clear" w:color="auto" w:fill="auto"/>
            <w:vAlign w:val="bottom"/>
          </w:tcPr>
          <w:p w14:paraId="571B40F1" w14:textId="77777777" w:rsidR="00D36601" w:rsidRPr="00D36601" w:rsidRDefault="00D36601" w:rsidP="00605F7C">
            <w:pPr>
              <w:pStyle w:val="SingleTxtG"/>
              <w:tabs>
                <w:tab w:val="clear" w:pos="1701"/>
                <w:tab w:val="clear" w:pos="2268"/>
                <w:tab w:val="clear" w:pos="2835"/>
              </w:tabs>
              <w:spacing w:before="80" w:after="80" w:line="200" w:lineRule="exact"/>
              <w:ind w:left="0" w:right="0"/>
              <w:jc w:val="left"/>
              <w:rPr>
                <w:bCs/>
                <w:i/>
                <w:sz w:val="16"/>
                <w:lang w:val="fr-CH"/>
              </w:rPr>
            </w:pPr>
            <w:r w:rsidRPr="00D36601">
              <w:rPr>
                <w:i/>
                <w:iCs/>
                <w:sz w:val="16"/>
              </w:rPr>
              <w:t>Provincia</w:t>
            </w:r>
          </w:p>
        </w:tc>
        <w:tc>
          <w:tcPr>
            <w:tcW w:w="3628" w:type="pct"/>
            <w:gridSpan w:val="3"/>
            <w:tcBorders>
              <w:top w:val="single" w:sz="4" w:space="0" w:color="auto"/>
              <w:bottom w:val="single" w:sz="4" w:space="0" w:color="auto"/>
            </w:tcBorders>
            <w:shd w:val="clear" w:color="auto" w:fill="auto"/>
            <w:vAlign w:val="bottom"/>
          </w:tcPr>
          <w:p w14:paraId="4B97457A" w14:textId="77777777" w:rsidR="00D36601" w:rsidRPr="00D36601" w:rsidRDefault="00D36601" w:rsidP="009D000C">
            <w:pPr>
              <w:pStyle w:val="SingleTxtG"/>
              <w:tabs>
                <w:tab w:val="clear" w:pos="1701"/>
                <w:tab w:val="clear" w:pos="2268"/>
                <w:tab w:val="clear" w:pos="2835"/>
              </w:tabs>
              <w:spacing w:before="80" w:after="80" w:line="200" w:lineRule="exact"/>
              <w:ind w:left="113" w:right="0"/>
              <w:jc w:val="center"/>
              <w:rPr>
                <w:bCs/>
                <w:i/>
                <w:sz w:val="16"/>
                <w:lang w:val="fr-CH"/>
              </w:rPr>
            </w:pPr>
            <w:r w:rsidRPr="00D36601">
              <w:rPr>
                <w:i/>
                <w:iCs/>
                <w:sz w:val="16"/>
              </w:rPr>
              <w:t>Centro penitenciario</w:t>
            </w:r>
          </w:p>
        </w:tc>
      </w:tr>
      <w:tr w:rsidR="00605F7C" w:rsidRPr="00D36601" w14:paraId="44C9CE0D" w14:textId="77777777" w:rsidTr="00701F23">
        <w:trPr>
          <w:trHeight w:val="240"/>
          <w:tblHeader/>
        </w:trPr>
        <w:tc>
          <w:tcPr>
            <w:tcW w:w="1372" w:type="pct"/>
            <w:vMerge/>
            <w:tcBorders>
              <w:top w:val="single" w:sz="12" w:space="0" w:color="auto"/>
              <w:bottom w:val="single" w:sz="12" w:space="0" w:color="auto"/>
            </w:tcBorders>
            <w:shd w:val="clear" w:color="auto" w:fill="auto"/>
            <w:vAlign w:val="bottom"/>
          </w:tcPr>
          <w:p w14:paraId="16C5A1D6" w14:textId="77777777" w:rsidR="00D36601" w:rsidRPr="00D36601" w:rsidRDefault="00D36601" w:rsidP="00605F7C">
            <w:pPr>
              <w:pStyle w:val="SingleTxtG"/>
              <w:tabs>
                <w:tab w:val="clear" w:pos="1701"/>
                <w:tab w:val="clear" w:pos="2268"/>
                <w:tab w:val="clear" w:pos="2835"/>
              </w:tabs>
              <w:spacing w:before="40" w:after="40" w:line="220" w:lineRule="exact"/>
              <w:ind w:left="0" w:right="0"/>
              <w:jc w:val="left"/>
              <w:rPr>
                <w:bCs/>
                <w:sz w:val="18"/>
                <w:lang w:val="fr-FR"/>
              </w:rPr>
            </w:pPr>
          </w:p>
        </w:tc>
        <w:tc>
          <w:tcPr>
            <w:tcW w:w="1134" w:type="pct"/>
            <w:tcBorders>
              <w:top w:val="single" w:sz="4" w:space="0" w:color="auto"/>
              <w:bottom w:val="single" w:sz="12" w:space="0" w:color="auto"/>
            </w:tcBorders>
            <w:shd w:val="clear" w:color="auto" w:fill="auto"/>
            <w:vAlign w:val="bottom"/>
          </w:tcPr>
          <w:p w14:paraId="36DE56AD" w14:textId="77777777" w:rsidR="00D36601" w:rsidRPr="00D36601" w:rsidRDefault="00D36601" w:rsidP="009D000C">
            <w:pPr>
              <w:pStyle w:val="SingleTxtG"/>
              <w:tabs>
                <w:tab w:val="clear" w:pos="1701"/>
                <w:tab w:val="clear" w:pos="2268"/>
                <w:tab w:val="clear" w:pos="2835"/>
              </w:tabs>
              <w:spacing w:before="80" w:after="80" w:line="200" w:lineRule="exact"/>
              <w:ind w:left="113" w:right="0"/>
              <w:jc w:val="right"/>
              <w:rPr>
                <w:i/>
                <w:iCs/>
                <w:sz w:val="16"/>
              </w:rPr>
            </w:pPr>
            <w:r w:rsidRPr="00D36601">
              <w:rPr>
                <w:i/>
                <w:iCs/>
                <w:sz w:val="16"/>
              </w:rPr>
              <w:t>Total</w:t>
            </w:r>
          </w:p>
        </w:tc>
        <w:tc>
          <w:tcPr>
            <w:tcW w:w="1247" w:type="pct"/>
            <w:tcBorders>
              <w:top w:val="single" w:sz="4" w:space="0" w:color="auto"/>
              <w:bottom w:val="single" w:sz="12" w:space="0" w:color="auto"/>
            </w:tcBorders>
            <w:shd w:val="clear" w:color="auto" w:fill="auto"/>
            <w:vAlign w:val="bottom"/>
          </w:tcPr>
          <w:p w14:paraId="0AAFECB7" w14:textId="77777777" w:rsidR="00D36601" w:rsidRPr="00D36601" w:rsidRDefault="00D36601" w:rsidP="009D000C">
            <w:pPr>
              <w:pStyle w:val="SingleTxtG"/>
              <w:tabs>
                <w:tab w:val="clear" w:pos="1701"/>
                <w:tab w:val="clear" w:pos="2268"/>
                <w:tab w:val="clear" w:pos="2835"/>
              </w:tabs>
              <w:spacing w:before="80" w:after="80" w:line="200" w:lineRule="exact"/>
              <w:ind w:left="113" w:right="0"/>
              <w:jc w:val="right"/>
              <w:rPr>
                <w:i/>
                <w:iCs/>
                <w:sz w:val="16"/>
              </w:rPr>
            </w:pPr>
            <w:r w:rsidRPr="00D36601">
              <w:rPr>
                <w:i/>
                <w:iCs/>
                <w:sz w:val="16"/>
              </w:rPr>
              <w:t>Con pabellón</w:t>
            </w:r>
          </w:p>
        </w:tc>
        <w:tc>
          <w:tcPr>
            <w:tcW w:w="1247" w:type="pct"/>
            <w:tcBorders>
              <w:top w:val="single" w:sz="4" w:space="0" w:color="auto"/>
              <w:bottom w:val="single" w:sz="12" w:space="0" w:color="auto"/>
            </w:tcBorders>
            <w:shd w:val="clear" w:color="auto" w:fill="auto"/>
            <w:vAlign w:val="bottom"/>
          </w:tcPr>
          <w:p w14:paraId="1A18CEFF" w14:textId="34293966" w:rsidR="00D36601" w:rsidRPr="00D36601" w:rsidRDefault="00701F23" w:rsidP="009D000C">
            <w:pPr>
              <w:pStyle w:val="SingleTxtG"/>
              <w:tabs>
                <w:tab w:val="clear" w:pos="1701"/>
                <w:tab w:val="clear" w:pos="2268"/>
                <w:tab w:val="clear" w:pos="2835"/>
              </w:tabs>
              <w:spacing w:before="80" w:after="80" w:line="200" w:lineRule="exact"/>
              <w:ind w:left="113" w:right="0"/>
              <w:jc w:val="right"/>
              <w:rPr>
                <w:i/>
                <w:iCs/>
                <w:sz w:val="16"/>
              </w:rPr>
            </w:pPr>
            <w:r>
              <w:rPr>
                <w:i/>
                <w:iCs/>
                <w:sz w:val="16"/>
              </w:rPr>
              <w:t>Porcentaje</w:t>
            </w:r>
            <w:r w:rsidR="00D36601" w:rsidRPr="00D36601">
              <w:rPr>
                <w:i/>
                <w:iCs/>
                <w:sz w:val="16"/>
              </w:rPr>
              <w:t xml:space="preserve"> con pabellón</w:t>
            </w:r>
          </w:p>
        </w:tc>
      </w:tr>
      <w:tr w:rsidR="00605F7C" w:rsidRPr="00D36601" w14:paraId="403AB873" w14:textId="77777777" w:rsidTr="00701F23">
        <w:trPr>
          <w:trHeight w:val="240"/>
        </w:trPr>
        <w:tc>
          <w:tcPr>
            <w:tcW w:w="1372" w:type="pct"/>
            <w:tcBorders>
              <w:top w:val="single" w:sz="12" w:space="0" w:color="auto"/>
            </w:tcBorders>
            <w:shd w:val="clear" w:color="auto" w:fill="auto"/>
          </w:tcPr>
          <w:p w14:paraId="0CF29228" w14:textId="77777777" w:rsidR="00D36601" w:rsidRPr="00D36601" w:rsidRDefault="00D36601" w:rsidP="00605F7C">
            <w:pPr>
              <w:pStyle w:val="SingleTxtG"/>
              <w:tabs>
                <w:tab w:val="clear" w:pos="1701"/>
                <w:tab w:val="clear" w:pos="2268"/>
                <w:tab w:val="clear" w:pos="2835"/>
              </w:tabs>
              <w:spacing w:before="40" w:after="40" w:line="220" w:lineRule="exact"/>
              <w:ind w:left="0" w:right="0"/>
              <w:jc w:val="left"/>
              <w:rPr>
                <w:sz w:val="18"/>
                <w:lang w:val="fr-CH"/>
              </w:rPr>
            </w:pPr>
            <w:r w:rsidRPr="00D36601">
              <w:rPr>
                <w:sz w:val="18"/>
              </w:rPr>
              <w:t>Kayes</w:t>
            </w:r>
          </w:p>
        </w:tc>
        <w:tc>
          <w:tcPr>
            <w:tcW w:w="1134" w:type="pct"/>
            <w:tcBorders>
              <w:top w:val="single" w:sz="12" w:space="0" w:color="auto"/>
            </w:tcBorders>
            <w:shd w:val="clear" w:color="auto" w:fill="auto"/>
            <w:vAlign w:val="bottom"/>
          </w:tcPr>
          <w:p w14:paraId="50DDBC4E"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bCs/>
                <w:sz w:val="18"/>
              </w:rPr>
              <w:t>8</w:t>
            </w:r>
          </w:p>
        </w:tc>
        <w:tc>
          <w:tcPr>
            <w:tcW w:w="1247" w:type="pct"/>
            <w:tcBorders>
              <w:top w:val="single" w:sz="12" w:space="0" w:color="auto"/>
            </w:tcBorders>
            <w:shd w:val="clear" w:color="auto" w:fill="auto"/>
            <w:vAlign w:val="bottom"/>
          </w:tcPr>
          <w:p w14:paraId="658DE9E1"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4</w:t>
            </w:r>
          </w:p>
        </w:tc>
        <w:tc>
          <w:tcPr>
            <w:tcW w:w="1247" w:type="pct"/>
            <w:tcBorders>
              <w:top w:val="single" w:sz="12" w:space="0" w:color="auto"/>
            </w:tcBorders>
            <w:shd w:val="clear" w:color="auto" w:fill="auto"/>
            <w:vAlign w:val="bottom"/>
          </w:tcPr>
          <w:p w14:paraId="10524C03"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50,00</w:t>
            </w:r>
          </w:p>
        </w:tc>
      </w:tr>
      <w:tr w:rsidR="00605F7C" w:rsidRPr="00D36601" w14:paraId="5C4828D1" w14:textId="77777777" w:rsidTr="00605F7C">
        <w:trPr>
          <w:trHeight w:val="240"/>
        </w:trPr>
        <w:tc>
          <w:tcPr>
            <w:tcW w:w="1372" w:type="pct"/>
            <w:shd w:val="clear" w:color="auto" w:fill="auto"/>
          </w:tcPr>
          <w:p w14:paraId="27C2F7CF" w14:textId="77777777" w:rsidR="00D36601" w:rsidRPr="00D36601" w:rsidRDefault="00D36601" w:rsidP="00605F7C">
            <w:pPr>
              <w:pStyle w:val="SingleTxtG"/>
              <w:tabs>
                <w:tab w:val="clear" w:pos="1701"/>
                <w:tab w:val="clear" w:pos="2268"/>
                <w:tab w:val="clear" w:pos="2835"/>
              </w:tabs>
              <w:spacing w:before="40" w:after="40" w:line="220" w:lineRule="exact"/>
              <w:ind w:left="0" w:right="0"/>
              <w:jc w:val="left"/>
              <w:rPr>
                <w:sz w:val="18"/>
                <w:lang w:val="fr-CH"/>
              </w:rPr>
            </w:pPr>
            <w:proofErr w:type="spellStart"/>
            <w:r w:rsidRPr="00D36601">
              <w:rPr>
                <w:sz w:val="18"/>
              </w:rPr>
              <w:t>Kulikoró</w:t>
            </w:r>
            <w:proofErr w:type="spellEnd"/>
          </w:p>
        </w:tc>
        <w:tc>
          <w:tcPr>
            <w:tcW w:w="1134" w:type="pct"/>
            <w:shd w:val="clear" w:color="auto" w:fill="auto"/>
            <w:vAlign w:val="bottom"/>
          </w:tcPr>
          <w:p w14:paraId="7DA9867B"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bCs/>
                <w:sz w:val="18"/>
              </w:rPr>
              <w:t>11</w:t>
            </w:r>
          </w:p>
        </w:tc>
        <w:tc>
          <w:tcPr>
            <w:tcW w:w="1247" w:type="pct"/>
            <w:shd w:val="clear" w:color="auto" w:fill="auto"/>
            <w:vAlign w:val="bottom"/>
          </w:tcPr>
          <w:p w14:paraId="6B99050E"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4</w:t>
            </w:r>
          </w:p>
        </w:tc>
        <w:tc>
          <w:tcPr>
            <w:tcW w:w="1247" w:type="pct"/>
            <w:shd w:val="clear" w:color="auto" w:fill="auto"/>
            <w:vAlign w:val="bottom"/>
          </w:tcPr>
          <w:p w14:paraId="6863EB56"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36,36</w:t>
            </w:r>
          </w:p>
        </w:tc>
      </w:tr>
      <w:tr w:rsidR="00605F7C" w:rsidRPr="00D36601" w14:paraId="3FEBCE8B" w14:textId="77777777" w:rsidTr="00605F7C">
        <w:trPr>
          <w:trHeight w:val="240"/>
        </w:trPr>
        <w:tc>
          <w:tcPr>
            <w:tcW w:w="1372" w:type="pct"/>
            <w:shd w:val="clear" w:color="auto" w:fill="auto"/>
          </w:tcPr>
          <w:p w14:paraId="5752CD50" w14:textId="77777777" w:rsidR="00D36601" w:rsidRPr="00D36601" w:rsidRDefault="00D36601" w:rsidP="00605F7C">
            <w:pPr>
              <w:pStyle w:val="SingleTxtG"/>
              <w:tabs>
                <w:tab w:val="clear" w:pos="1701"/>
                <w:tab w:val="clear" w:pos="2268"/>
                <w:tab w:val="clear" w:pos="2835"/>
              </w:tabs>
              <w:spacing w:before="40" w:after="40" w:line="220" w:lineRule="exact"/>
              <w:ind w:left="0" w:right="0"/>
              <w:jc w:val="left"/>
              <w:rPr>
                <w:sz w:val="18"/>
                <w:lang w:val="fr-CH"/>
              </w:rPr>
            </w:pPr>
            <w:proofErr w:type="spellStart"/>
            <w:r w:rsidRPr="00D36601">
              <w:rPr>
                <w:sz w:val="18"/>
              </w:rPr>
              <w:t>Sikaso</w:t>
            </w:r>
            <w:proofErr w:type="spellEnd"/>
          </w:p>
        </w:tc>
        <w:tc>
          <w:tcPr>
            <w:tcW w:w="1134" w:type="pct"/>
            <w:shd w:val="clear" w:color="auto" w:fill="auto"/>
            <w:vAlign w:val="bottom"/>
          </w:tcPr>
          <w:p w14:paraId="1E9B6BC7"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bCs/>
                <w:sz w:val="18"/>
              </w:rPr>
              <w:t>9</w:t>
            </w:r>
          </w:p>
        </w:tc>
        <w:tc>
          <w:tcPr>
            <w:tcW w:w="1247" w:type="pct"/>
            <w:shd w:val="clear" w:color="auto" w:fill="auto"/>
            <w:vAlign w:val="bottom"/>
          </w:tcPr>
          <w:p w14:paraId="4B82727B"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3</w:t>
            </w:r>
          </w:p>
        </w:tc>
        <w:tc>
          <w:tcPr>
            <w:tcW w:w="1247" w:type="pct"/>
            <w:shd w:val="clear" w:color="auto" w:fill="auto"/>
            <w:vAlign w:val="bottom"/>
          </w:tcPr>
          <w:p w14:paraId="666EB392"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33,33</w:t>
            </w:r>
          </w:p>
        </w:tc>
      </w:tr>
      <w:tr w:rsidR="00605F7C" w:rsidRPr="00D36601" w14:paraId="6072B95D" w14:textId="77777777" w:rsidTr="00605F7C">
        <w:trPr>
          <w:trHeight w:val="240"/>
        </w:trPr>
        <w:tc>
          <w:tcPr>
            <w:tcW w:w="1372" w:type="pct"/>
            <w:shd w:val="clear" w:color="auto" w:fill="auto"/>
          </w:tcPr>
          <w:p w14:paraId="545F708E" w14:textId="77777777" w:rsidR="00D36601" w:rsidRPr="00D36601" w:rsidRDefault="00D36601" w:rsidP="00605F7C">
            <w:pPr>
              <w:pStyle w:val="SingleTxtG"/>
              <w:tabs>
                <w:tab w:val="clear" w:pos="1701"/>
                <w:tab w:val="clear" w:pos="2268"/>
                <w:tab w:val="clear" w:pos="2835"/>
              </w:tabs>
              <w:spacing w:before="40" w:after="40" w:line="220" w:lineRule="exact"/>
              <w:ind w:left="0" w:right="0"/>
              <w:jc w:val="left"/>
              <w:rPr>
                <w:sz w:val="18"/>
                <w:lang w:val="fr-CH"/>
              </w:rPr>
            </w:pPr>
            <w:r w:rsidRPr="00D36601">
              <w:rPr>
                <w:sz w:val="18"/>
              </w:rPr>
              <w:lastRenderedPageBreak/>
              <w:t>Segú</w:t>
            </w:r>
          </w:p>
        </w:tc>
        <w:tc>
          <w:tcPr>
            <w:tcW w:w="1134" w:type="pct"/>
            <w:shd w:val="clear" w:color="auto" w:fill="auto"/>
            <w:vAlign w:val="bottom"/>
          </w:tcPr>
          <w:p w14:paraId="6C6DCB0E"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bCs/>
                <w:sz w:val="18"/>
              </w:rPr>
              <w:t>10</w:t>
            </w:r>
          </w:p>
        </w:tc>
        <w:tc>
          <w:tcPr>
            <w:tcW w:w="1247" w:type="pct"/>
            <w:shd w:val="clear" w:color="auto" w:fill="auto"/>
            <w:vAlign w:val="bottom"/>
          </w:tcPr>
          <w:p w14:paraId="4B13BF43"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2</w:t>
            </w:r>
          </w:p>
        </w:tc>
        <w:tc>
          <w:tcPr>
            <w:tcW w:w="1247" w:type="pct"/>
            <w:shd w:val="clear" w:color="auto" w:fill="auto"/>
            <w:vAlign w:val="bottom"/>
          </w:tcPr>
          <w:p w14:paraId="4F9D4BD3"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20,00</w:t>
            </w:r>
          </w:p>
        </w:tc>
      </w:tr>
      <w:tr w:rsidR="00605F7C" w:rsidRPr="00D36601" w14:paraId="2DF0E551" w14:textId="77777777" w:rsidTr="00605F7C">
        <w:trPr>
          <w:trHeight w:val="240"/>
        </w:trPr>
        <w:tc>
          <w:tcPr>
            <w:tcW w:w="1372" w:type="pct"/>
            <w:shd w:val="clear" w:color="auto" w:fill="auto"/>
          </w:tcPr>
          <w:p w14:paraId="2C3E0B37" w14:textId="77777777" w:rsidR="00D36601" w:rsidRPr="00D36601" w:rsidRDefault="00D36601" w:rsidP="00605F7C">
            <w:pPr>
              <w:pStyle w:val="SingleTxtG"/>
              <w:tabs>
                <w:tab w:val="clear" w:pos="1701"/>
                <w:tab w:val="clear" w:pos="2268"/>
                <w:tab w:val="clear" w:pos="2835"/>
              </w:tabs>
              <w:spacing w:before="40" w:after="40" w:line="220" w:lineRule="exact"/>
              <w:ind w:left="0" w:right="0"/>
              <w:jc w:val="left"/>
              <w:rPr>
                <w:sz w:val="18"/>
                <w:lang w:val="fr-CH"/>
              </w:rPr>
            </w:pPr>
            <w:proofErr w:type="spellStart"/>
            <w:r w:rsidRPr="00D36601">
              <w:rPr>
                <w:sz w:val="18"/>
              </w:rPr>
              <w:t>Mopti</w:t>
            </w:r>
            <w:proofErr w:type="spellEnd"/>
          </w:p>
        </w:tc>
        <w:tc>
          <w:tcPr>
            <w:tcW w:w="1134" w:type="pct"/>
            <w:shd w:val="clear" w:color="auto" w:fill="auto"/>
            <w:vAlign w:val="bottom"/>
          </w:tcPr>
          <w:p w14:paraId="6340FC11"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bCs/>
                <w:sz w:val="18"/>
              </w:rPr>
              <w:t>8</w:t>
            </w:r>
          </w:p>
        </w:tc>
        <w:tc>
          <w:tcPr>
            <w:tcW w:w="1247" w:type="pct"/>
            <w:shd w:val="clear" w:color="auto" w:fill="auto"/>
            <w:vAlign w:val="bottom"/>
          </w:tcPr>
          <w:p w14:paraId="4F131621"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1</w:t>
            </w:r>
          </w:p>
        </w:tc>
        <w:tc>
          <w:tcPr>
            <w:tcW w:w="1247" w:type="pct"/>
            <w:shd w:val="clear" w:color="auto" w:fill="auto"/>
            <w:vAlign w:val="bottom"/>
          </w:tcPr>
          <w:p w14:paraId="2A44D6CB"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12,50</w:t>
            </w:r>
          </w:p>
        </w:tc>
      </w:tr>
      <w:tr w:rsidR="00605F7C" w:rsidRPr="00D36601" w14:paraId="28B0D8AC" w14:textId="77777777" w:rsidTr="00605F7C">
        <w:trPr>
          <w:trHeight w:val="240"/>
        </w:trPr>
        <w:tc>
          <w:tcPr>
            <w:tcW w:w="1372" w:type="pct"/>
            <w:shd w:val="clear" w:color="auto" w:fill="auto"/>
          </w:tcPr>
          <w:p w14:paraId="0D9A176A" w14:textId="77777777" w:rsidR="00D36601" w:rsidRPr="00D36601" w:rsidRDefault="00D36601" w:rsidP="00605F7C">
            <w:pPr>
              <w:pStyle w:val="SingleTxtG"/>
              <w:tabs>
                <w:tab w:val="clear" w:pos="1701"/>
                <w:tab w:val="clear" w:pos="2268"/>
                <w:tab w:val="clear" w:pos="2835"/>
              </w:tabs>
              <w:spacing w:before="40" w:after="40" w:line="220" w:lineRule="exact"/>
              <w:ind w:left="0" w:right="0"/>
              <w:jc w:val="left"/>
              <w:rPr>
                <w:sz w:val="18"/>
                <w:lang w:val="fr-CH"/>
              </w:rPr>
            </w:pPr>
            <w:r w:rsidRPr="00D36601">
              <w:rPr>
                <w:sz w:val="18"/>
              </w:rPr>
              <w:t>Tombuctú</w:t>
            </w:r>
          </w:p>
        </w:tc>
        <w:tc>
          <w:tcPr>
            <w:tcW w:w="1134" w:type="pct"/>
            <w:shd w:val="clear" w:color="auto" w:fill="auto"/>
            <w:vAlign w:val="bottom"/>
          </w:tcPr>
          <w:p w14:paraId="6B80FFD1"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bCs/>
                <w:sz w:val="18"/>
              </w:rPr>
              <w:t>5</w:t>
            </w:r>
          </w:p>
        </w:tc>
        <w:tc>
          <w:tcPr>
            <w:tcW w:w="1247" w:type="pct"/>
            <w:shd w:val="clear" w:color="auto" w:fill="auto"/>
            <w:vAlign w:val="bottom"/>
          </w:tcPr>
          <w:p w14:paraId="4EE2EB9D"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1</w:t>
            </w:r>
          </w:p>
        </w:tc>
        <w:tc>
          <w:tcPr>
            <w:tcW w:w="1247" w:type="pct"/>
            <w:shd w:val="clear" w:color="auto" w:fill="auto"/>
            <w:vAlign w:val="bottom"/>
          </w:tcPr>
          <w:p w14:paraId="7275B515"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20,00</w:t>
            </w:r>
          </w:p>
        </w:tc>
      </w:tr>
      <w:tr w:rsidR="00605F7C" w:rsidRPr="00D36601" w14:paraId="062E5D9F" w14:textId="77777777" w:rsidTr="00605F7C">
        <w:trPr>
          <w:trHeight w:val="240"/>
        </w:trPr>
        <w:tc>
          <w:tcPr>
            <w:tcW w:w="1372" w:type="pct"/>
            <w:shd w:val="clear" w:color="auto" w:fill="auto"/>
          </w:tcPr>
          <w:p w14:paraId="237503A5" w14:textId="77777777" w:rsidR="00D36601" w:rsidRPr="00D36601" w:rsidRDefault="00D36601" w:rsidP="00605F7C">
            <w:pPr>
              <w:pStyle w:val="SingleTxtG"/>
              <w:tabs>
                <w:tab w:val="clear" w:pos="1701"/>
                <w:tab w:val="clear" w:pos="2268"/>
                <w:tab w:val="clear" w:pos="2835"/>
              </w:tabs>
              <w:spacing w:before="40" w:after="40" w:line="220" w:lineRule="exact"/>
              <w:ind w:left="0" w:right="0"/>
              <w:jc w:val="left"/>
              <w:rPr>
                <w:sz w:val="18"/>
                <w:lang w:val="fr-CH"/>
              </w:rPr>
            </w:pPr>
            <w:r w:rsidRPr="00D36601">
              <w:rPr>
                <w:sz w:val="18"/>
              </w:rPr>
              <w:t>Gao</w:t>
            </w:r>
          </w:p>
        </w:tc>
        <w:tc>
          <w:tcPr>
            <w:tcW w:w="1134" w:type="pct"/>
            <w:shd w:val="clear" w:color="auto" w:fill="auto"/>
            <w:vAlign w:val="bottom"/>
          </w:tcPr>
          <w:p w14:paraId="5B199D84"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bCs/>
                <w:sz w:val="18"/>
              </w:rPr>
              <w:t>4</w:t>
            </w:r>
          </w:p>
        </w:tc>
        <w:tc>
          <w:tcPr>
            <w:tcW w:w="1247" w:type="pct"/>
            <w:shd w:val="clear" w:color="auto" w:fill="auto"/>
            <w:vAlign w:val="bottom"/>
          </w:tcPr>
          <w:p w14:paraId="00BCC339"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1</w:t>
            </w:r>
          </w:p>
        </w:tc>
        <w:tc>
          <w:tcPr>
            <w:tcW w:w="1247" w:type="pct"/>
            <w:shd w:val="clear" w:color="auto" w:fill="auto"/>
            <w:vAlign w:val="bottom"/>
          </w:tcPr>
          <w:p w14:paraId="649A1541"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25,00</w:t>
            </w:r>
          </w:p>
        </w:tc>
      </w:tr>
      <w:tr w:rsidR="00605F7C" w:rsidRPr="00D36601" w14:paraId="16B5C173" w14:textId="77777777" w:rsidTr="00605F7C">
        <w:trPr>
          <w:trHeight w:val="240"/>
        </w:trPr>
        <w:tc>
          <w:tcPr>
            <w:tcW w:w="1372" w:type="pct"/>
            <w:shd w:val="clear" w:color="auto" w:fill="auto"/>
          </w:tcPr>
          <w:p w14:paraId="3BCA5722" w14:textId="77777777" w:rsidR="00D36601" w:rsidRPr="00D36601" w:rsidRDefault="00D36601" w:rsidP="00605F7C">
            <w:pPr>
              <w:pStyle w:val="SingleTxtG"/>
              <w:tabs>
                <w:tab w:val="clear" w:pos="1701"/>
                <w:tab w:val="clear" w:pos="2268"/>
                <w:tab w:val="clear" w:pos="2835"/>
              </w:tabs>
              <w:spacing w:before="40" w:after="40" w:line="220" w:lineRule="exact"/>
              <w:ind w:left="0" w:right="0"/>
              <w:jc w:val="left"/>
              <w:rPr>
                <w:sz w:val="18"/>
                <w:lang w:val="fr-CH"/>
              </w:rPr>
            </w:pPr>
            <w:r w:rsidRPr="00D36601">
              <w:rPr>
                <w:sz w:val="18"/>
              </w:rPr>
              <w:t>Kidal</w:t>
            </w:r>
          </w:p>
        </w:tc>
        <w:tc>
          <w:tcPr>
            <w:tcW w:w="1134" w:type="pct"/>
            <w:shd w:val="clear" w:color="auto" w:fill="auto"/>
            <w:vAlign w:val="bottom"/>
          </w:tcPr>
          <w:p w14:paraId="5C7D79EF"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bCs/>
                <w:sz w:val="18"/>
              </w:rPr>
              <w:t>1</w:t>
            </w:r>
          </w:p>
        </w:tc>
        <w:tc>
          <w:tcPr>
            <w:tcW w:w="1247" w:type="pct"/>
            <w:shd w:val="clear" w:color="auto" w:fill="auto"/>
            <w:vAlign w:val="bottom"/>
          </w:tcPr>
          <w:p w14:paraId="54BBA3B5"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1</w:t>
            </w:r>
          </w:p>
        </w:tc>
        <w:tc>
          <w:tcPr>
            <w:tcW w:w="1247" w:type="pct"/>
            <w:shd w:val="clear" w:color="auto" w:fill="auto"/>
            <w:vAlign w:val="bottom"/>
          </w:tcPr>
          <w:p w14:paraId="3D844772"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100,00</w:t>
            </w:r>
          </w:p>
        </w:tc>
      </w:tr>
      <w:tr w:rsidR="00605F7C" w:rsidRPr="00D36601" w14:paraId="17E83634" w14:textId="77777777" w:rsidTr="009D000C">
        <w:trPr>
          <w:trHeight w:val="240"/>
        </w:trPr>
        <w:tc>
          <w:tcPr>
            <w:tcW w:w="1372" w:type="pct"/>
            <w:tcBorders>
              <w:bottom w:val="single" w:sz="4" w:space="0" w:color="auto"/>
            </w:tcBorders>
            <w:shd w:val="clear" w:color="auto" w:fill="auto"/>
          </w:tcPr>
          <w:p w14:paraId="55CB14DE" w14:textId="77777777" w:rsidR="00D36601" w:rsidRPr="00D36601" w:rsidRDefault="00D36601" w:rsidP="00605F7C">
            <w:pPr>
              <w:pStyle w:val="SingleTxtG"/>
              <w:tabs>
                <w:tab w:val="clear" w:pos="1701"/>
                <w:tab w:val="clear" w:pos="2268"/>
                <w:tab w:val="clear" w:pos="2835"/>
              </w:tabs>
              <w:spacing w:before="40" w:after="40" w:line="220" w:lineRule="exact"/>
              <w:ind w:left="0" w:right="0"/>
              <w:jc w:val="left"/>
              <w:rPr>
                <w:sz w:val="18"/>
                <w:lang w:val="fr-CH"/>
              </w:rPr>
            </w:pPr>
            <w:r w:rsidRPr="00D36601">
              <w:rPr>
                <w:sz w:val="18"/>
              </w:rPr>
              <w:t>Bamako</w:t>
            </w:r>
          </w:p>
        </w:tc>
        <w:tc>
          <w:tcPr>
            <w:tcW w:w="1134" w:type="pct"/>
            <w:tcBorders>
              <w:bottom w:val="single" w:sz="4" w:space="0" w:color="auto"/>
            </w:tcBorders>
            <w:shd w:val="clear" w:color="auto" w:fill="auto"/>
            <w:vAlign w:val="bottom"/>
          </w:tcPr>
          <w:p w14:paraId="6AEC7C69"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bCs/>
                <w:sz w:val="18"/>
              </w:rPr>
              <w:t>3</w:t>
            </w:r>
          </w:p>
        </w:tc>
        <w:tc>
          <w:tcPr>
            <w:tcW w:w="1247" w:type="pct"/>
            <w:tcBorders>
              <w:bottom w:val="single" w:sz="4" w:space="0" w:color="auto"/>
            </w:tcBorders>
            <w:shd w:val="clear" w:color="auto" w:fill="auto"/>
            <w:vAlign w:val="bottom"/>
          </w:tcPr>
          <w:p w14:paraId="0D6DBA57"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2</w:t>
            </w:r>
          </w:p>
        </w:tc>
        <w:tc>
          <w:tcPr>
            <w:tcW w:w="1247" w:type="pct"/>
            <w:tcBorders>
              <w:bottom w:val="single" w:sz="4" w:space="0" w:color="auto"/>
            </w:tcBorders>
            <w:shd w:val="clear" w:color="auto" w:fill="auto"/>
            <w:vAlign w:val="bottom"/>
          </w:tcPr>
          <w:p w14:paraId="45924830" w14:textId="77777777" w:rsidR="00D36601" w:rsidRPr="00D36601" w:rsidRDefault="00D36601" w:rsidP="00605F7C">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66,67</w:t>
            </w:r>
          </w:p>
        </w:tc>
      </w:tr>
      <w:tr w:rsidR="00605F7C" w:rsidRPr="00D36601" w14:paraId="6DD4A2F4" w14:textId="77777777" w:rsidTr="009D000C">
        <w:trPr>
          <w:trHeight w:val="240"/>
        </w:trPr>
        <w:tc>
          <w:tcPr>
            <w:tcW w:w="1372" w:type="pct"/>
            <w:tcBorders>
              <w:top w:val="single" w:sz="4" w:space="0" w:color="auto"/>
              <w:bottom w:val="single" w:sz="12" w:space="0" w:color="auto"/>
            </w:tcBorders>
            <w:shd w:val="clear" w:color="auto" w:fill="auto"/>
          </w:tcPr>
          <w:p w14:paraId="4274176C" w14:textId="77777777" w:rsidR="00D36601" w:rsidRPr="00D36601" w:rsidRDefault="00D36601" w:rsidP="009D000C">
            <w:pPr>
              <w:pStyle w:val="SingleTxtG"/>
              <w:tabs>
                <w:tab w:val="clear" w:pos="1701"/>
                <w:tab w:val="clear" w:pos="2268"/>
                <w:tab w:val="clear" w:pos="2835"/>
              </w:tabs>
              <w:spacing w:before="80" w:after="80" w:line="220" w:lineRule="exact"/>
              <w:ind w:left="284" w:right="0"/>
              <w:jc w:val="left"/>
              <w:rPr>
                <w:b/>
                <w:sz w:val="18"/>
              </w:rPr>
            </w:pPr>
            <w:r w:rsidRPr="00D36601">
              <w:rPr>
                <w:b/>
                <w:sz w:val="18"/>
              </w:rPr>
              <w:t>Total</w:t>
            </w:r>
          </w:p>
        </w:tc>
        <w:tc>
          <w:tcPr>
            <w:tcW w:w="1134" w:type="pct"/>
            <w:tcBorders>
              <w:top w:val="single" w:sz="4" w:space="0" w:color="auto"/>
              <w:bottom w:val="single" w:sz="12" w:space="0" w:color="auto"/>
            </w:tcBorders>
            <w:shd w:val="clear" w:color="auto" w:fill="auto"/>
            <w:vAlign w:val="bottom"/>
          </w:tcPr>
          <w:p w14:paraId="7AB35C5A" w14:textId="77777777" w:rsidR="00D36601" w:rsidRPr="00D36601" w:rsidRDefault="00D36601" w:rsidP="0074605D">
            <w:pPr>
              <w:pStyle w:val="SingleTxtG"/>
              <w:tabs>
                <w:tab w:val="clear" w:pos="1701"/>
                <w:tab w:val="clear" w:pos="2268"/>
                <w:tab w:val="clear" w:pos="2835"/>
              </w:tabs>
              <w:spacing w:before="80" w:after="80" w:line="220" w:lineRule="exact"/>
              <w:ind w:left="113" w:right="0"/>
              <w:jc w:val="right"/>
              <w:rPr>
                <w:b/>
                <w:sz w:val="18"/>
              </w:rPr>
            </w:pPr>
            <w:r w:rsidRPr="00D36601">
              <w:rPr>
                <w:b/>
                <w:sz w:val="18"/>
              </w:rPr>
              <w:t>59</w:t>
            </w:r>
          </w:p>
        </w:tc>
        <w:tc>
          <w:tcPr>
            <w:tcW w:w="1247" w:type="pct"/>
            <w:tcBorders>
              <w:top w:val="single" w:sz="4" w:space="0" w:color="auto"/>
              <w:bottom w:val="single" w:sz="12" w:space="0" w:color="auto"/>
            </w:tcBorders>
            <w:shd w:val="clear" w:color="auto" w:fill="auto"/>
            <w:vAlign w:val="bottom"/>
          </w:tcPr>
          <w:p w14:paraId="4DEAEBE5" w14:textId="77777777" w:rsidR="00D36601" w:rsidRPr="00D36601" w:rsidRDefault="00D36601" w:rsidP="0074605D">
            <w:pPr>
              <w:pStyle w:val="SingleTxtG"/>
              <w:tabs>
                <w:tab w:val="clear" w:pos="1701"/>
                <w:tab w:val="clear" w:pos="2268"/>
                <w:tab w:val="clear" w:pos="2835"/>
              </w:tabs>
              <w:spacing w:before="80" w:after="80" w:line="220" w:lineRule="exact"/>
              <w:ind w:left="113" w:right="0"/>
              <w:jc w:val="right"/>
              <w:rPr>
                <w:b/>
                <w:sz w:val="18"/>
              </w:rPr>
            </w:pPr>
            <w:r w:rsidRPr="00D36601">
              <w:rPr>
                <w:b/>
                <w:sz w:val="18"/>
              </w:rPr>
              <w:t>19</w:t>
            </w:r>
          </w:p>
        </w:tc>
        <w:tc>
          <w:tcPr>
            <w:tcW w:w="1247" w:type="pct"/>
            <w:tcBorders>
              <w:top w:val="single" w:sz="4" w:space="0" w:color="auto"/>
              <w:bottom w:val="single" w:sz="12" w:space="0" w:color="auto"/>
            </w:tcBorders>
            <w:shd w:val="clear" w:color="auto" w:fill="auto"/>
            <w:vAlign w:val="bottom"/>
          </w:tcPr>
          <w:p w14:paraId="48688C21" w14:textId="77777777" w:rsidR="00D36601" w:rsidRPr="00D36601" w:rsidRDefault="00D36601" w:rsidP="0074605D">
            <w:pPr>
              <w:pStyle w:val="SingleTxtG"/>
              <w:tabs>
                <w:tab w:val="clear" w:pos="1701"/>
                <w:tab w:val="clear" w:pos="2268"/>
                <w:tab w:val="clear" w:pos="2835"/>
              </w:tabs>
              <w:spacing w:before="80" w:after="80" w:line="220" w:lineRule="exact"/>
              <w:ind w:left="113" w:right="0"/>
              <w:jc w:val="right"/>
              <w:rPr>
                <w:b/>
                <w:sz w:val="18"/>
              </w:rPr>
            </w:pPr>
            <w:r w:rsidRPr="00D36601">
              <w:rPr>
                <w:b/>
                <w:sz w:val="18"/>
              </w:rPr>
              <w:t>32,20</w:t>
            </w:r>
          </w:p>
        </w:tc>
      </w:tr>
    </w:tbl>
    <w:p w14:paraId="117C6A19" w14:textId="77777777" w:rsidR="00D36601" w:rsidRPr="00D36601" w:rsidRDefault="00D36601" w:rsidP="00AE189C">
      <w:pPr>
        <w:pStyle w:val="SingleTxtG"/>
        <w:spacing w:before="120" w:after="240"/>
        <w:ind w:firstLine="170"/>
        <w:jc w:val="left"/>
        <w:rPr>
          <w:sz w:val="18"/>
          <w:szCs w:val="18"/>
          <w:lang w:val="fr-FR"/>
        </w:rPr>
      </w:pPr>
      <w:r w:rsidRPr="00D36601">
        <w:rPr>
          <w:i/>
          <w:sz w:val="18"/>
          <w:szCs w:val="18"/>
          <w:lang w:val="fr-FR"/>
        </w:rPr>
        <w:t>Fuente:</w:t>
      </w:r>
      <w:r w:rsidRPr="00D36601">
        <w:rPr>
          <w:sz w:val="18"/>
          <w:szCs w:val="18"/>
          <w:lang w:val="fr-FR"/>
        </w:rPr>
        <w:t xml:space="preserve"> CPS, </w:t>
      </w:r>
      <w:proofErr w:type="spellStart"/>
      <w:r w:rsidRPr="00D36601">
        <w:rPr>
          <w:sz w:val="18"/>
          <w:szCs w:val="18"/>
          <w:lang w:val="fr-FR"/>
        </w:rPr>
        <w:t>Ministerio</w:t>
      </w:r>
      <w:proofErr w:type="spellEnd"/>
      <w:r w:rsidRPr="00D36601">
        <w:rPr>
          <w:sz w:val="18"/>
          <w:szCs w:val="18"/>
          <w:lang w:val="fr-FR"/>
        </w:rPr>
        <w:t xml:space="preserve"> de </w:t>
      </w:r>
      <w:proofErr w:type="spellStart"/>
      <w:r w:rsidRPr="00D36601">
        <w:rPr>
          <w:sz w:val="18"/>
          <w:szCs w:val="18"/>
          <w:lang w:val="fr-FR"/>
        </w:rPr>
        <w:t>Justicia</w:t>
      </w:r>
      <w:proofErr w:type="spellEnd"/>
      <w:r w:rsidRPr="00D36601">
        <w:rPr>
          <w:sz w:val="18"/>
          <w:szCs w:val="18"/>
          <w:lang w:val="fr-FR"/>
        </w:rPr>
        <w:t xml:space="preserve">, informe </w:t>
      </w:r>
      <w:proofErr w:type="spellStart"/>
      <w:r w:rsidRPr="00D36601">
        <w:rPr>
          <w:sz w:val="18"/>
          <w:szCs w:val="18"/>
          <w:lang w:val="fr-FR"/>
        </w:rPr>
        <w:t>anual</w:t>
      </w:r>
      <w:proofErr w:type="spellEnd"/>
      <w:r w:rsidRPr="00D36601">
        <w:rPr>
          <w:sz w:val="18"/>
          <w:szCs w:val="18"/>
          <w:lang w:val="fr-FR"/>
        </w:rPr>
        <w:t>, 2012.</w:t>
      </w:r>
    </w:p>
    <w:p w14:paraId="6CFEF382" w14:textId="512529CC" w:rsidR="00D36601" w:rsidRPr="00D36601" w:rsidRDefault="00605F7C" w:rsidP="00605F7C">
      <w:pPr>
        <w:pStyle w:val="H4G"/>
      </w:pPr>
      <w:bookmarkStart w:id="478" w:name="_Toc414373059"/>
      <w:bookmarkStart w:id="479" w:name="_Toc414373288"/>
      <w:bookmarkStart w:id="480" w:name="_Toc414377786"/>
      <w:bookmarkStart w:id="481" w:name="_Toc35441140"/>
      <w:r>
        <w:tab/>
      </w:r>
      <w:r w:rsidR="00D36601" w:rsidRPr="00D36601">
        <w:t>8.1.11</w:t>
      </w:r>
      <w:r w:rsidR="00D36601" w:rsidRPr="00D36601">
        <w:tab/>
        <w:t>Situación humanitaria</w:t>
      </w:r>
      <w:bookmarkEnd w:id="478"/>
      <w:bookmarkEnd w:id="479"/>
      <w:bookmarkEnd w:id="480"/>
      <w:bookmarkEnd w:id="481"/>
    </w:p>
    <w:p w14:paraId="0BD0A56F" w14:textId="77777777" w:rsidR="00D36601" w:rsidRPr="00D36601" w:rsidRDefault="00D36601" w:rsidP="00D36601">
      <w:pPr>
        <w:pStyle w:val="SingleTxtG"/>
      </w:pPr>
      <w:r w:rsidRPr="00D36601">
        <w:t>199.</w:t>
      </w:r>
      <w:r w:rsidRPr="00D36601">
        <w:tab/>
        <w:t>Según las Naciones Unidas, en 2012, 175.000 niños menores de 5 años sufrían malnutrición aguda grave en Malí. El UNICEF calcula que un total de 560.000 niños se vieron afectados por esta crisis alimentaria entre 2012 y 2013. Además, la creciente inseguridad debida a la presencia de grupos armados en el norte del país ha provocado el cierre de los mercados locales y transfronterizos, lo que se ha traducido en una caída de los suministros y una fuerte subida de los precios, por no mencionar la interrupción de las migraciones pastorales.</w:t>
      </w:r>
    </w:p>
    <w:p w14:paraId="5E6759AE" w14:textId="77777777" w:rsidR="00D36601" w:rsidRPr="00D36601" w:rsidRDefault="00D36601" w:rsidP="00D36601">
      <w:pPr>
        <w:pStyle w:val="SingleTxtG"/>
      </w:pPr>
      <w:r w:rsidRPr="00D36601">
        <w:t>200.</w:t>
      </w:r>
      <w:r w:rsidRPr="00D36601">
        <w:tab/>
        <w:t xml:space="preserve">La coordinación humanitaria se está organizando y sigue mejorando en las regiones centrales. Se realizaron 12 evaluaciones en el centro y el norte del país para determinar las necesidades de las poblaciones afectadas. Uno de los mayores escollos en la respuesta a las emergencias es la falta de información y de acceso a los servicios. En general, pese a lo inestable de la situación, la asistencia está aumentando en las demás regiones. </w:t>
      </w:r>
    </w:p>
    <w:p w14:paraId="3DE8578E" w14:textId="77777777" w:rsidR="00D36601" w:rsidRPr="00D36601" w:rsidRDefault="00D36601" w:rsidP="00D36601">
      <w:pPr>
        <w:pStyle w:val="SingleTxtG"/>
        <w:rPr>
          <w:iCs/>
        </w:rPr>
      </w:pPr>
      <w:r w:rsidRPr="00D36601">
        <w:t>201.</w:t>
      </w:r>
      <w:r w:rsidRPr="00D36601">
        <w:tab/>
        <w:t>En 2012, los agentes humanitarios proporcionaron ayuda alimentaria a más de 1,4 millones de personas en apoyo a los esfuerzos del Gobierno por combatir la inseguridad alimentaria.</w:t>
      </w:r>
    </w:p>
    <w:p w14:paraId="1573B948" w14:textId="61CA7B52" w:rsidR="00D36601" w:rsidRPr="00D36601" w:rsidRDefault="0012196B" w:rsidP="0012196B">
      <w:pPr>
        <w:pStyle w:val="H23G"/>
      </w:pPr>
      <w:bookmarkStart w:id="482" w:name="_Toc414373060"/>
      <w:bookmarkStart w:id="483" w:name="_Toc414377787"/>
      <w:bookmarkStart w:id="484" w:name="_Toc35441141"/>
      <w:r>
        <w:tab/>
      </w:r>
      <w:r w:rsidR="00D36601" w:rsidRPr="00D36601">
        <w:t>8.2</w:t>
      </w:r>
      <w:r w:rsidR="00D36601" w:rsidRPr="00D36601">
        <w:tab/>
        <w:t xml:space="preserve">Restricciones y </w:t>
      </w:r>
      <w:bookmarkEnd w:id="482"/>
      <w:bookmarkEnd w:id="483"/>
      <w:bookmarkEnd w:id="484"/>
      <w:r w:rsidR="00D36601" w:rsidRPr="00D36601">
        <w:t>limitaciones</w:t>
      </w:r>
    </w:p>
    <w:p w14:paraId="1397B8B4" w14:textId="77777777" w:rsidR="00D36601" w:rsidRPr="00D36601" w:rsidRDefault="00D36601" w:rsidP="00D36601">
      <w:pPr>
        <w:pStyle w:val="SingleTxtG"/>
        <w:rPr>
          <w:iCs/>
        </w:rPr>
      </w:pPr>
      <w:r w:rsidRPr="00D36601">
        <w:t>202.</w:t>
      </w:r>
      <w:r w:rsidRPr="00D36601">
        <w:tab/>
        <w:t>Las principales limitaciones del entorno jurídico en lo que respecta a los niños más vulnerables son las siguientes:</w:t>
      </w:r>
    </w:p>
    <w:p w14:paraId="3E95980C" w14:textId="0D3A8DEC" w:rsidR="00D36601" w:rsidRPr="00D36601" w:rsidRDefault="00D36601" w:rsidP="0012196B">
      <w:pPr>
        <w:pStyle w:val="Bullet1G"/>
      </w:pPr>
      <w:r w:rsidRPr="00D36601">
        <w:t>Siguen existiendo importantes lagunas jurídicas en relación con determinados abusos, en particular la ablación.</w:t>
      </w:r>
    </w:p>
    <w:p w14:paraId="0BF6E937" w14:textId="6D5F5415" w:rsidR="00D36601" w:rsidRPr="00D36601" w:rsidRDefault="00D36601" w:rsidP="0012196B">
      <w:pPr>
        <w:pStyle w:val="Bullet1G"/>
      </w:pPr>
      <w:r w:rsidRPr="00D36601">
        <w:t xml:space="preserve">Los ciudadanos y los profesionales carecen de información suficiente sobre los derechos de los niños, las leyes que los amparan y los recursos jurídicos y sociales de que disponen. </w:t>
      </w:r>
    </w:p>
    <w:p w14:paraId="1A5DA931" w14:textId="3E5490F1" w:rsidR="00D36601" w:rsidRPr="00D36601" w:rsidRDefault="00D36601" w:rsidP="0012196B">
      <w:pPr>
        <w:pStyle w:val="Bullet1G"/>
      </w:pPr>
      <w:r w:rsidRPr="00D36601">
        <w:t>El sistema de justicia juvenil sigue siendo débil, en particular debido a un número insuficiente de jueces de menores, y la capacidad de las estructuras de atención y asistencia a la infancia sigue siendo baja.</w:t>
      </w:r>
    </w:p>
    <w:p w14:paraId="163077D9" w14:textId="4D4949A3" w:rsidR="00D36601" w:rsidRPr="00D36601" w:rsidRDefault="0012196B" w:rsidP="0012196B">
      <w:pPr>
        <w:pStyle w:val="H23G"/>
      </w:pPr>
      <w:bookmarkStart w:id="485" w:name="_Toc414373061"/>
      <w:bookmarkStart w:id="486" w:name="_Toc414377788"/>
      <w:bookmarkStart w:id="487" w:name="_Toc35441142"/>
      <w:r>
        <w:tab/>
      </w:r>
      <w:r w:rsidR="00D36601" w:rsidRPr="00D36601">
        <w:t>8.3</w:t>
      </w:r>
      <w:r w:rsidR="00D36601" w:rsidRPr="00D36601">
        <w:tab/>
        <w:t>De cara al futuro</w:t>
      </w:r>
      <w:bookmarkEnd w:id="485"/>
      <w:bookmarkEnd w:id="486"/>
      <w:bookmarkEnd w:id="487"/>
    </w:p>
    <w:p w14:paraId="5C727867" w14:textId="77777777" w:rsidR="00D36601" w:rsidRPr="00D36601" w:rsidRDefault="00D36601" w:rsidP="00D36601">
      <w:pPr>
        <w:pStyle w:val="SingleTxtG"/>
        <w:rPr>
          <w:bCs/>
        </w:rPr>
      </w:pPr>
      <w:r w:rsidRPr="00D36601">
        <w:t>203.</w:t>
      </w:r>
      <w:r w:rsidRPr="00D36601">
        <w:tab/>
        <w:t>La aplicación de la Política Nacional para la Promoción y la Protección de la Infancia y su plan de acción, así como la revisión del Código de Protección del Niño, ofrecen perspectivas de futuro en el ámbito de la protección de la infancia, en particular para los niños que necesitan medidas especiales de protección.</w:t>
      </w:r>
    </w:p>
    <w:p w14:paraId="2E81E694" w14:textId="77777777" w:rsidR="00D36601" w:rsidRPr="00D36601" w:rsidRDefault="00D36601" w:rsidP="00D36601">
      <w:pPr>
        <w:pStyle w:val="SingleTxtG"/>
      </w:pPr>
      <w:r w:rsidRPr="00D36601">
        <w:t>204.</w:t>
      </w:r>
      <w:r w:rsidRPr="00D36601">
        <w:tab/>
        <w:t>Las directrices de la Política Nacional para la Promoción y la Protección de la Infancia que se están adoptando se centran en la protección de la infancia en general y, especialmente, en la protección de los niños vulnerables o en situaciones difíciles. Esta política tiene por objeto:</w:t>
      </w:r>
    </w:p>
    <w:p w14:paraId="48778977" w14:textId="57DDA592" w:rsidR="00D36601" w:rsidRPr="00D36601" w:rsidRDefault="00D36601" w:rsidP="0012196B">
      <w:pPr>
        <w:pStyle w:val="Bullet1G"/>
      </w:pPr>
      <w:r w:rsidRPr="00D36601">
        <w:lastRenderedPageBreak/>
        <w:t>Aumentar el acceso de los niños a los servicios sociales básicos, teniendo en cuenta a los más vulnerables.</w:t>
      </w:r>
    </w:p>
    <w:p w14:paraId="2CE181EF" w14:textId="5C8702A5" w:rsidR="00D36601" w:rsidRPr="00D36601" w:rsidRDefault="00D36601" w:rsidP="0012196B">
      <w:pPr>
        <w:pStyle w:val="Bullet1G"/>
      </w:pPr>
      <w:r w:rsidRPr="00D36601">
        <w:t>Reforzar el papel de la familia, la comunidad, las entidades territoriales y otros agentes en la educación de los niños.</w:t>
      </w:r>
    </w:p>
    <w:p w14:paraId="62427049" w14:textId="5FB599F1" w:rsidR="00D36601" w:rsidRPr="00D36601" w:rsidRDefault="00D36601" w:rsidP="0012196B">
      <w:pPr>
        <w:pStyle w:val="Bullet1G"/>
      </w:pPr>
      <w:r w:rsidRPr="00D36601">
        <w:t>Reforzar los mecanismos de promoción, información, sensibilización y comunicación para fomentar el abandono de las prácticas socioculturales que atentan contra el desarrollo de los niños.</w:t>
      </w:r>
    </w:p>
    <w:p w14:paraId="29DA7EC8" w14:textId="22A04165" w:rsidR="00D36601" w:rsidRPr="00D36601" w:rsidRDefault="00D36601" w:rsidP="0012196B">
      <w:pPr>
        <w:pStyle w:val="Bullet1G"/>
      </w:pPr>
      <w:r w:rsidRPr="00D36601">
        <w:t>Etc.</w:t>
      </w:r>
    </w:p>
    <w:p w14:paraId="3E3E8577" w14:textId="77777777" w:rsidR="00D36601" w:rsidRPr="00D36601" w:rsidRDefault="00D36601" w:rsidP="00D36601">
      <w:pPr>
        <w:pStyle w:val="SingleTxtG"/>
      </w:pPr>
      <w:r w:rsidRPr="00D36601">
        <w:t>205.</w:t>
      </w:r>
      <w:r w:rsidRPr="00D36601">
        <w:tab/>
        <w:t xml:space="preserve">Estos objetivos son plenamente coherentes con los programas nacionales de desarrollo, que tienen un efecto positivo y contribuyen a mejorar la situación de los niños. </w:t>
      </w:r>
    </w:p>
    <w:p w14:paraId="7F92F2A7" w14:textId="77777777" w:rsidR="00D36601" w:rsidRPr="00D36601" w:rsidRDefault="00D36601" w:rsidP="00D36601">
      <w:pPr>
        <w:pStyle w:val="SingleTxtG"/>
      </w:pPr>
      <w:r w:rsidRPr="00D36601">
        <w:t>206.</w:t>
      </w:r>
      <w:r w:rsidRPr="00D36601">
        <w:tab/>
        <w:t>La revisión del Código de Protección del Niño permitirá introducir mejoras, como tener en cuenta los cambios introducidos en la ley relativa a la edad de imputabilidad penal y la creación de tribunales de menores, e incorporar la protección de los niños en situaciones de emergencia.</w:t>
      </w:r>
    </w:p>
    <w:p w14:paraId="4373FB5C" w14:textId="09AD896B" w:rsidR="00D36601" w:rsidRPr="00D36601" w:rsidRDefault="0012196B" w:rsidP="0012196B">
      <w:pPr>
        <w:pStyle w:val="HChG"/>
      </w:pPr>
      <w:bookmarkStart w:id="488" w:name="_Toc414373064"/>
      <w:bookmarkStart w:id="489" w:name="_Toc414377792"/>
      <w:bookmarkStart w:id="490" w:name="_Toc35441144"/>
      <w:r>
        <w:tab/>
      </w:r>
      <w:r w:rsidR="00D36601" w:rsidRPr="00D36601">
        <w:tab/>
        <w:t>Parte II</w:t>
      </w:r>
      <w:r>
        <w:br/>
      </w:r>
      <w:r w:rsidR="00D36601" w:rsidRPr="00D36601">
        <w:t xml:space="preserve">Seguimiento de las observaciones finales del Comité </w:t>
      </w:r>
      <w:r>
        <w:br/>
      </w:r>
      <w:r w:rsidR="00D36601" w:rsidRPr="00D36601">
        <w:t>de los Derechos del Niño</w:t>
      </w:r>
      <w:bookmarkEnd w:id="488"/>
      <w:bookmarkEnd w:id="489"/>
      <w:bookmarkEnd w:id="490"/>
    </w:p>
    <w:p w14:paraId="537EDAA7" w14:textId="77777777" w:rsidR="00D36601" w:rsidRPr="00D36601" w:rsidRDefault="00D36601" w:rsidP="00D36601">
      <w:pPr>
        <w:pStyle w:val="SingleTxtG"/>
      </w:pPr>
      <w:r w:rsidRPr="00D36601">
        <w:t>207.</w:t>
      </w:r>
      <w:r w:rsidRPr="00D36601">
        <w:tab/>
        <w:t>Tras examinar el segundo informe de Malí relativo a la aplicación de la Convención sobre los Derechos del Niño, el Comité de los Derechos del Niño señaló a la atención de Malí una serie de puntos sobre los que formuló recomendaciones. Desde aquel informe se ha avanzado en la aplicación de políticas y programas. Los avances descritos en la sección anterior permiten apreciar el impacto de esas observaciones finales.</w:t>
      </w:r>
    </w:p>
    <w:p w14:paraId="44971787" w14:textId="06ED03E3" w:rsidR="00D36601" w:rsidRPr="00D36601" w:rsidRDefault="0012196B" w:rsidP="0012196B">
      <w:pPr>
        <w:pStyle w:val="H23G"/>
      </w:pPr>
      <w:bookmarkStart w:id="491" w:name="_Toc414373065"/>
      <w:bookmarkStart w:id="492" w:name="_Toc414373294"/>
      <w:bookmarkStart w:id="493" w:name="_Toc414377793"/>
      <w:r>
        <w:tab/>
      </w:r>
      <w:r w:rsidR="00D36601" w:rsidRPr="00D36601">
        <w:t>1.</w:t>
      </w:r>
      <w:r w:rsidR="00D36601" w:rsidRPr="00D36601">
        <w:tab/>
        <w:t>Seguimiento de las recomendaciones</w:t>
      </w:r>
      <w:bookmarkEnd w:id="491"/>
      <w:bookmarkEnd w:id="492"/>
      <w:bookmarkEnd w:id="493"/>
    </w:p>
    <w:p w14:paraId="736E6E3B" w14:textId="77777777" w:rsidR="00D36601" w:rsidRPr="00D36601" w:rsidRDefault="00D36601" w:rsidP="00D36601">
      <w:pPr>
        <w:pStyle w:val="SingleTxtG"/>
        <w:rPr>
          <w:b/>
        </w:rPr>
      </w:pPr>
      <w:r w:rsidRPr="00D36601">
        <w:t>208.</w:t>
      </w:r>
      <w:r w:rsidRPr="00D36601">
        <w:tab/>
        <w:t>Se ha elaborado un plan de acción para dar seguimiento de las recomendaciones del Comité, teniendo en cuenta sus observaciones finales relativas al segundo informe.</w:t>
      </w:r>
    </w:p>
    <w:p w14:paraId="6E87C59E" w14:textId="0E8E904F" w:rsidR="00D36601" w:rsidRPr="00D36601" w:rsidRDefault="0012196B" w:rsidP="0012196B">
      <w:pPr>
        <w:pStyle w:val="H23G"/>
      </w:pPr>
      <w:bookmarkStart w:id="494" w:name="_Toc414373066"/>
      <w:bookmarkStart w:id="495" w:name="_Toc414373295"/>
      <w:bookmarkStart w:id="496" w:name="_Toc414377794"/>
      <w:r>
        <w:tab/>
      </w:r>
      <w:r w:rsidR="00D36601" w:rsidRPr="00D36601">
        <w:t>2.</w:t>
      </w:r>
      <w:r w:rsidR="00D36601" w:rsidRPr="00D36601">
        <w:tab/>
        <w:t>Reservas de Malí a la Convención sobre los Derechos del Niño</w:t>
      </w:r>
      <w:bookmarkEnd w:id="494"/>
      <w:bookmarkEnd w:id="495"/>
      <w:bookmarkEnd w:id="496"/>
    </w:p>
    <w:p w14:paraId="69B525B9" w14:textId="77777777" w:rsidR="00D36601" w:rsidRPr="00D36601" w:rsidRDefault="00D36601" w:rsidP="00D36601">
      <w:pPr>
        <w:pStyle w:val="SingleTxtG"/>
      </w:pPr>
      <w:r w:rsidRPr="00D36601">
        <w:t>209.</w:t>
      </w:r>
      <w:r w:rsidRPr="00D36601">
        <w:tab/>
        <w:t>En cuanto a las reservas de Malí a determinados artículos de la Convención sobre los Derechos del Niño, Malí no ha formulado ninguna reserva al artículo 16 de la Convención.</w:t>
      </w:r>
    </w:p>
    <w:p w14:paraId="657516A0" w14:textId="5010B969" w:rsidR="00D36601" w:rsidRPr="00D36601" w:rsidRDefault="0012196B" w:rsidP="0012196B">
      <w:pPr>
        <w:pStyle w:val="H23G"/>
      </w:pPr>
      <w:bookmarkStart w:id="497" w:name="_Toc414373067"/>
      <w:bookmarkStart w:id="498" w:name="_Toc414373296"/>
      <w:bookmarkStart w:id="499" w:name="_Toc414377795"/>
      <w:r>
        <w:tab/>
      </w:r>
      <w:r w:rsidR="00D36601" w:rsidRPr="00D36601">
        <w:t>3.</w:t>
      </w:r>
      <w:r w:rsidR="00D36601" w:rsidRPr="00D36601">
        <w:tab/>
        <w:t xml:space="preserve">Aprobación, aplicación y difusión de legislación sobre la promoción </w:t>
      </w:r>
      <w:r>
        <w:br/>
      </w:r>
      <w:r w:rsidR="00D36601" w:rsidRPr="00D36601">
        <w:t>y protección de la infancia</w:t>
      </w:r>
      <w:bookmarkEnd w:id="497"/>
      <w:bookmarkEnd w:id="498"/>
      <w:bookmarkEnd w:id="499"/>
    </w:p>
    <w:p w14:paraId="57F1F1F5" w14:textId="77777777" w:rsidR="00D36601" w:rsidRPr="00D36601" w:rsidRDefault="00D36601" w:rsidP="00D36601">
      <w:pPr>
        <w:pStyle w:val="SingleTxtG"/>
      </w:pPr>
      <w:r w:rsidRPr="00D36601">
        <w:t>210.</w:t>
      </w:r>
      <w:r w:rsidRPr="00D36601">
        <w:tab/>
        <w:t xml:space="preserve">El Gobierno de Malí ha seguido reforzando y aplicando sus programas de información y sensibilización de las partes interesadas para que puedan tener en cuenta los principios establecidos en la Convención sobre los Derechos del Niño en sus decisiones y actuaciones. Estos programas han beneficiado a los agentes que intervienen en los distintos ámbitos de la promoción y protección de la infancia: salud, desarrollo, promoción de la familia, educación, justicia, seguridad, etc. </w:t>
      </w:r>
    </w:p>
    <w:p w14:paraId="77DC2B2D" w14:textId="77777777" w:rsidR="00D36601" w:rsidRPr="00D36601" w:rsidRDefault="00D36601" w:rsidP="00D36601">
      <w:pPr>
        <w:pStyle w:val="SingleTxtG"/>
      </w:pPr>
      <w:r w:rsidRPr="00D36601">
        <w:t>211.</w:t>
      </w:r>
      <w:r w:rsidRPr="00D36601">
        <w:tab/>
        <w:t>Actualmente se está revisando el Código de Protección del Niño, con el fin de reforzar aún más las medidas existentes y fomentar las iniciativas privadas para crear dispositivos de protección de la infancia.</w:t>
      </w:r>
    </w:p>
    <w:p w14:paraId="5471621F" w14:textId="77777777" w:rsidR="00D36601" w:rsidRPr="00D36601" w:rsidRDefault="00D36601" w:rsidP="00D36601">
      <w:pPr>
        <w:pStyle w:val="SingleTxtG"/>
      </w:pPr>
      <w:r w:rsidRPr="00D36601">
        <w:t>212.</w:t>
      </w:r>
      <w:r w:rsidRPr="00D36601">
        <w:tab/>
        <w:t>La Ley relativa al Código de la Persona y la Familia se promulgó el 30 de diciembre de 2011.</w:t>
      </w:r>
    </w:p>
    <w:p w14:paraId="1CCE1402" w14:textId="77777777" w:rsidR="00D36601" w:rsidRPr="00D36601" w:rsidRDefault="00D36601" w:rsidP="00D36601">
      <w:pPr>
        <w:pStyle w:val="SingleTxtG"/>
      </w:pPr>
      <w:r w:rsidRPr="00D36601">
        <w:t>213.</w:t>
      </w:r>
      <w:r w:rsidRPr="00D36601">
        <w:tab/>
        <w:t>La Ley núm. 07-016, de 26 de febrero de 2007, por la que se modifica la Ley de la Edad de Imputabilidad Penal y de Creación de Tribunales de Menores, estableció una fiscalía de menores. Desde 2008 hay un fiscal especial adscrito al Tribunal de Menores de Bamako. Hasta la fecha se han creado 53 tribunales de menores, lo que ha reforzado la protección de los niños víctimas y/o testigos de violencia.</w:t>
      </w:r>
    </w:p>
    <w:p w14:paraId="28E254EA" w14:textId="77777777" w:rsidR="00D36601" w:rsidRPr="00D36601" w:rsidRDefault="00D36601" w:rsidP="00D36601">
      <w:pPr>
        <w:pStyle w:val="SingleTxtG"/>
      </w:pPr>
      <w:r w:rsidRPr="00D36601">
        <w:lastRenderedPageBreak/>
        <w:t>214.</w:t>
      </w:r>
      <w:r w:rsidRPr="00D36601">
        <w:tab/>
        <w:t xml:space="preserve">Malí ha adoptado el Marco Estratégico para el Crecimiento y la Reducción de la Pobreza (2012-2017), que engloba a todos los programas sectoriales, incluidos los relativos a la infancia. </w:t>
      </w:r>
    </w:p>
    <w:p w14:paraId="0DE053BA" w14:textId="11453D16" w:rsidR="00D36601" w:rsidRPr="00D36601" w:rsidRDefault="0012196B" w:rsidP="0012196B">
      <w:pPr>
        <w:pStyle w:val="H23G"/>
      </w:pPr>
      <w:bookmarkStart w:id="500" w:name="_Toc414373068"/>
      <w:bookmarkStart w:id="501" w:name="_Toc414373297"/>
      <w:bookmarkStart w:id="502" w:name="_Toc414377796"/>
      <w:r>
        <w:tab/>
      </w:r>
      <w:r w:rsidR="00D36601" w:rsidRPr="00D36601">
        <w:t>4.</w:t>
      </w:r>
      <w:r w:rsidR="00D36601" w:rsidRPr="00D36601">
        <w:tab/>
        <w:t>Coordinación de programas</w:t>
      </w:r>
      <w:bookmarkEnd w:id="500"/>
      <w:bookmarkEnd w:id="501"/>
      <w:bookmarkEnd w:id="502"/>
    </w:p>
    <w:p w14:paraId="71F8BB51" w14:textId="77777777" w:rsidR="00D36601" w:rsidRPr="00D36601" w:rsidRDefault="00D36601" w:rsidP="00D36601">
      <w:pPr>
        <w:pStyle w:val="SingleTxtG"/>
      </w:pPr>
      <w:r w:rsidRPr="00D36601">
        <w:t>215.</w:t>
      </w:r>
      <w:r w:rsidRPr="00D36601">
        <w:tab/>
        <w:t>El Programa de Cooperación Malí-UNICEF (2008-2012) es el marco nacional de referencia destinado exclusivamente a la infancia. Sin embargo, actualmente se está adoptando un documento sobre la Política Nacional para la Promoción y la Protección de la Infancia en Malí y su plan de acción, que prevé el refuerzo de los recursos humanos, materiales y financieros de los organismos de coordinación y seguimiento de esta política. Por el momento, un comité directivo y varios comités sectoriales se encargan del seguimiento del Programa de Cooperación Malí-UNICEF.</w:t>
      </w:r>
    </w:p>
    <w:p w14:paraId="6E370DD5" w14:textId="77777777" w:rsidR="00D36601" w:rsidRPr="00D36601" w:rsidRDefault="00D36601" w:rsidP="00D36601">
      <w:pPr>
        <w:pStyle w:val="SingleTxtG"/>
      </w:pPr>
      <w:r w:rsidRPr="00D36601">
        <w:t>216.</w:t>
      </w:r>
      <w:r w:rsidRPr="00D36601">
        <w:tab/>
        <w:t>Malí recibe ayuda bilateral y multilateral, en particular del sistema de las Naciones Unidas, para financiar sus políticas y programas en favor de la infancia.</w:t>
      </w:r>
    </w:p>
    <w:p w14:paraId="511A8483" w14:textId="0EA4EE2B" w:rsidR="00D36601" w:rsidRPr="00D36601" w:rsidRDefault="0012196B" w:rsidP="0012196B">
      <w:pPr>
        <w:pStyle w:val="H23G"/>
      </w:pPr>
      <w:bookmarkStart w:id="503" w:name="_Toc414373069"/>
      <w:bookmarkStart w:id="504" w:name="_Toc414373298"/>
      <w:bookmarkStart w:id="505" w:name="_Toc414377797"/>
      <w:r>
        <w:tab/>
      </w:r>
      <w:r w:rsidR="00D36601" w:rsidRPr="00D36601">
        <w:t>5.</w:t>
      </w:r>
      <w:r w:rsidR="00D36601" w:rsidRPr="00D36601">
        <w:tab/>
        <w:t>Mecanismo independiente de vigilancia</w:t>
      </w:r>
      <w:bookmarkEnd w:id="503"/>
      <w:bookmarkEnd w:id="504"/>
      <w:bookmarkEnd w:id="505"/>
    </w:p>
    <w:p w14:paraId="015A713B" w14:textId="77777777" w:rsidR="00D36601" w:rsidRPr="00D36601" w:rsidRDefault="00D36601" w:rsidP="00D36601">
      <w:pPr>
        <w:pStyle w:val="SingleTxtG"/>
        <w:rPr>
          <w:b/>
          <w:bCs/>
        </w:rPr>
      </w:pPr>
      <w:r w:rsidRPr="00D36601">
        <w:t>217.</w:t>
      </w:r>
      <w:r w:rsidRPr="00D36601">
        <w:tab/>
        <w:t>Con el fin de reforzar la independencia de la Comisión Nacional de Derechos Humanos, se revisó su texto fundacional mediante la Ley núm. 09-042, de 19 de noviembre de 2009, que derogó el decreto núm. 06-117/P-</w:t>
      </w:r>
      <w:proofErr w:type="spellStart"/>
      <w:r w:rsidRPr="00D36601">
        <w:t>RM</w:t>
      </w:r>
      <w:proofErr w:type="spellEnd"/>
      <w:r w:rsidRPr="00D36601">
        <w:t xml:space="preserve">, por el que se creó la Comisión. Como resultado, la Comisión Nacional de Derechos Humanos ya no depende del Ministerio de Justicia y se ha reforzado su papel. </w:t>
      </w:r>
    </w:p>
    <w:p w14:paraId="05B69D88" w14:textId="6851A01D" w:rsidR="00D36601" w:rsidRPr="00D36601" w:rsidRDefault="0012196B" w:rsidP="0012196B">
      <w:pPr>
        <w:pStyle w:val="H23G"/>
      </w:pPr>
      <w:bookmarkStart w:id="506" w:name="_Toc414373070"/>
      <w:bookmarkStart w:id="507" w:name="_Toc414373299"/>
      <w:bookmarkStart w:id="508" w:name="_Toc414377798"/>
      <w:r>
        <w:tab/>
      </w:r>
      <w:r w:rsidR="00D36601" w:rsidRPr="00D36601">
        <w:t>6.</w:t>
      </w:r>
      <w:r w:rsidR="00D36601" w:rsidRPr="00D36601">
        <w:tab/>
        <w:t>Recursos dedicados a los niños</w:t>
      </w:r>
      <w:bookmarkEnd w:id="506"/>
      <w:bookmarkEnd w:id="507"/>
      <w:bookmarkEnd w:id="508"/>
    </w:p>
    <w:p w14:paraId="49C62D9E" w14:textId="77777777" w:rsidR="00D36601" w:rsidRPr="00D36601" w:rsidRDefault="00D36601" w:rsidP="00D36601">
      <w:pPr>
        <w:pStyle w:val="SingleTxtG"/>
      </w:pPr>
      <w:r w:rsidRPr="00D36601">
        <w:t>218.</w:t>
      </w:r>
      <w:r w:rsidRPr="00D36601">
        <w:tab/>
        <w:t xml:space="preserve">Entre 2005 y 2011 se aumentó el presupuesto de todos los sectores relacionados con la infancia, especialmente la educación, cuyo presupuesto pasó del 15,4 % en 2005 al 36 % en 2012. </w:t>
      </w:r>
    </w:p>
    <w:p w14:paraId="52D0E91C" w14:textId="004F7EAA" w:rsidR="00D36601" w:rsidRPr="00D36601" w:rsidRDefault="0012196B" w:rsidP="0012196B">
      <w:pPr>
        <w:pStyle w:val="H23G"/>
      </w:pPr>
      <w:bookmarkStart w:id="509" w:name="_Toc414373071"/>
      <w:bookmarkStart w:id="510" w:name="_Toc414373300"/>
      <w:bookmarkStart w:id="511" w:name="_Toc414377799"/>
      <w:r>
        <w:tab/>
      </w:r>
      <w:r w:rsidR="00D36601" w:rsidRPr="00D36601">
        <w:t>7.</w:t>
      </w:r>
      <w:r w:rsidR="00D36601" w:rsidRPr="00D36601">
        <w:tab/>
        <w:t>Recopilación de datos</w:t>
      </w:r>
      <w:bookmarkEnd w:id="509"/>
      <w:bookmarkEnd w:id="510"/>
      <w:bookmarkEnd w:id="511"/>
    </w:p>
    <w:p w14:paraId="338BC88A" w14:textId="77777777" w:rsidR="00D36601" w:rsidRPr="00D36601" w:rsidRDefault="00D36601" w:rsidP="00D36601">
      <w:pPr>
        <w:pStyle w:val="SingleTxtG"/>
      </w:pPr>
      <w:r w:rsidRPr="00D36601">
        <w:t>219.</w:t>
      </w:r>
      <w:r w:rsidRPr="00D36601">
        <w:tab/>
        <w:t>Se ha puesto en marcha una fase experimental de recogida y centralización de datos sobre la protección de la infancia, que posteriormente se extenderá a todo el país. El gestor de la base de datos sobre mujeres y niños es miembro del Comité Directivo Nacional del Programa Rector de Estadística, que está dirigido por el Instituto Nacional de Estadística. La creación de Dependencias de Planificación y Estadística en todos los sectores constituye una herramienta eficaz para recopilar datos sobre la infancia.</w:t>
      </w:r>
    </w:p>
    <w:p w14:paraId="14992928" w14:textId="35A97CE7" w:rsidR="00D36601" w:rsidRPr="00D36601" w:rsidRDefault="0012196B" w:rsidP="0012196B">
      <w:pPr>
        <w:pStyle w:val="H23G"/>
      </w:pPr>
      <w:bookmarkStart w:id="512" w:name="_Toc414373072"/>
      <w:bookmarkStart w:id="513" w:name="_Toc414373301"/>
      <w:bookmarkStart w:id="514" w:name="_Toc414377800"/>
      <w:r>
        <w:tab/>
      </w:r>
      <w:r w:rsidR="00D36601" w:rsidRPr="00D36601">
        <w:t>8.</w:t>
      </w:r>
      <w:r w:rsidR="00D36601" w:rsidRPr="00D36601">
        <w:tab/>
        <w:t>Difusión de la Convención</w:t>
      </w:r>
      <w:bookmarkEnd w:id="512"/>
      <w:bookmarkEnd w:id="513"/>
      <w:bookmarkEnd w:id="514"/>
    </w:p>
    <w:p w14:paraId="52CCA0E6" w14:textId="77777777" w:rsidR="00D36601" w:rsidRPr="00D36601" w:rsidRDefault="00D36601" w:rsidP="00D36601">
      <w:pPr>
        <w:pStyle w:val="SingleTxtG"/>
      </w:pPr>
      <w:r w:rsidRPr="00D36601">
        <w:t>220.</w:t>
      </w:r>
      <w:r w:rsidRPr="00D36601">
        <w:tab/>
        <w:t>Los días conmemorativos de los derechos del niño, a saber, el Día Internacional de Tolerancia Cero con la Mutilación Genital Femenina (6 de febrero), el Día Internacional de la Familia (15 de mayo), el Día del Niño Africano (16 de junio), el Día Internacional de la Infancia (20 de noviembre) y el Día Internacional de Radio y Televisión en favor de los Niños (segundo domingo de diciembre), se celebran periódicamente en Malí y brindan una oportunidad excepcional para sensibilizar a la opinión pública sobre estos derechos y abogar ante las autoridades por la adopción de medidas que mejoren la situación de los niños en Malí, especialmente de aquellos que se encuentran en circunstancias difíciles. Además, con el objetivo de i) reforzar la sensibilización política y la cooperación en torno a los derechos de los niños y las mujeres en Malí, y ii) desarrollar una estrategia de comunicación para lograr un cambio de comportamiento entre los diversos grupos destinatarios que son titulares o garantes de derechos a todos los niveles, el Misterio de Promoción de la Mujer, la Infancia y la Familia llevó a cabo en 2009 un estudio CAP (conocimientos, aptitudes y prácticas) sobre los derechos de las mujeres y los niños en Malí. Se organizaron campañas para difundir los resultados del estudio entre las partes interesadas, las mujeres y los propios niños a todos los niveles.</w:t>
      </w:r>
    </w:p>
    <w:p w14:paraId="0F456855" w14:textId="422985A1" w:rsidR="00D36601" w:rsidRPr="00D36601" w:rsidRDefault="0012196B" w:rsidP="0012196B">
      <w:pPr>
        <w:pStyle w:val="H23G"/>
      </w:pPr>
      <w:bookmarkStart w:id="515" w:name="_Toc414373073"/>
      <w:bookmarkStart w:id="516" w:name="_Toc414373302"/>
      <w:bookmarkStart w:id="517" w:name="_Toc414377801"/>
      <w:r>
        <w:tab/>
      </w:r>
      <w:r w:rsidR="00D36601" w:rsidRPr="00D36601">
        <w:t>9.</w:t>
      </w:r>
      <w:r w:rsidR="00D36601" w:rsidRPr="00D36601">
        <w:tab/>
        <w:t>Cooperación con la sociedad civil</w:t>
      </w:r>
      <w:bookmarkEnd w:id="515"/>
      <w:bookmarkEnd w:id="516"/>
      <w:bookmarkEnd w:id="517"/>
    </w:p>
    <w:p w14:paraId="74C03102" w14:textId="77777777" w:rsidR="00D36601" w:rsidRPr="00D36601" w:rsidRDefault="00D36601" w:rsidP="00D36601">
      <w:pPr>
        <w:pStyle w:val="SingleTxtG"/>
      </w:pPr>
      <w:r w:rsidRPr="00D36601">
        <w:t>221.</w:t>
      </w:r>
      <w:r w:rsidRPr="00D36601">
        <w:tab/>
        <w:t>La Coalición Maliense para los Derechos del Niño es un socio privilegiado del Gobierno en la elaboración y aplicación de políticas y programas.</w:t>
      </w:r>
    </w:p>
    <w:p w14:paraId="0C251968" w14:textId="65CA4FA8" w:rsidR="00D36601" w:rsidRPr="00D36601" w:rsidRDefault="0012196B" w:rsidP="0012196B">
      <w:pPr>
        <w:pStyle w:val="H23G"/>
      </w:pPr>
      <w:bookmarkStart w:id="518" w:name="_Toc414373074"/>
      <w:bookmarkStart w:id="519" w:name="_Toc414373303"/>
      <w:bookmarkStart w:id="520" w:name="_Toc414377802"/>
      <w:r>
        <w:lastRenderedPageBreak/>
        <w:tab/>
      </w:r>
      <w:r w:rsidR="00D36601" w:rsidRPr="00D36601">
        <w:t>10.</w:t>
      </w:r>
      <w:r w:rsidR="00D36601" w:rsidRPr="00D36601">
        <w:tab/>
        <w:t>Cooperación internacional</w:t>
      </w:r>
      <w:bookmarkEnd w:id="518"/>
      <w:bookmarkEnd w:id="519"/>
      <w:bookmarkEnd w:id="520"/>
    </w:p>
    <w:p w14:paraId="064C720B" w14:textId="77777777" w:rsidR="00D36601" w:rsidRPr="00D36601" w:rsidRDefault="00D36601" w:rsidP="00D36601">
      <w:pPr>
        <w:pStyle w:val="SingleTxtG"/>
      </w:pPr>
      <w:r w:rsidRPr="00D36601">
        <w:t>222.</w:t>
      </w:r>
      <w:r w:rsidRPr="00D36601">
        <w:tab/>
        <w:t>Las alianzas</w:t>
      </w:r>
      <w:r w:rsidRPr="00D36601">
        <w:rPr>
          <w:sz w:val="18"/>
          <w:szCs w:val="18"/>
          <w:vertAlign w:val="superscript"/>
        </w:rPr>
        <w:footnoteReference w:id="7"/>
      </w:r>
      <w:r w:rsidRPr="00D36601">
        <w:t xml:space="preserve">, como octavo </w:t>
      </w:r>
      <w:proofErr w:type="spellStart"/>
      <w:r w:rsidRPr="00D36601">
        <w:t>ODM</w:t>
      </w:r>
      <w:proofErr w:type="spellEnd"/>
      <w:r w:rsidRPr="00D36601">
        <w:t xml:space="preserve">, constituyen una parte esencial del mecanismo de cooperación de las Naciones Unidas con los Gobiernos. El Programa de Acción de Accra hace hincapié en la diversificación de las alianzas, tomando en consideración a los parlamentarios, el sector privado, la sociedad civil y los asociados no tradicionales. </w:t>
      </w:r>
    </w:p>
    <w:p w14:paraId="3DBFB982" w14:textId="77777777" w:rsidR="00D36601" w:rsidRPr="00D36601" w:rsidRDefault="00D36601" w:rsidP="00D36601">
      <w:pPr>
        <w:pStyle w:val="SingleTxtG"/>
      </w:pPr>
      <w:bookmarkStart w:id="521" w:name="_TOC115096"/>
      <w:bookmarkEnd w:id="521"/>
      <w:r w:rsidRPr="00D36601">
        <w:t>223.</w:t>
      </w:r>
      <w:r w:rsidRPr="00D36601">
        <w:tab/>
        <w:t xml:space="preserve">La estrategia del MANUD se basa en la consolidación y el desarrollo de asociaciones sólidas en las que participan el Gobierno, organismos de las Naciones Unidas, ONG, asociados bilaterales y multilaterales y asociados no tradicionales, como la Bill &amp; Melinda Gates Foundation y Millennium </w:t>
      </w:r>
      <w:proofErr w:type="spellStart"/>
      <w:r w:rsidRPr="00D36601">
        <w:t>Promise</w:t>
      </w:r>
      <w:proofErr w:type="spellEnd"/>
      <w:r w:rsidRPr="00D36601">
        <w:t xml:space="preserve">. Se han establecido acuerdos de asociación de diversos tipos. Entre los más importantes figuran los acuerdos con organizaciones de la sociedad civil en el ámbito de la supervivencia infantil, la carta de entendimiento entre el Gobierno y las Naciones Unidas para el fomento de la capacidad y la puesta en funcionamiento de la base de datos socioeconómicos </w:t>
      </w:r>
      <w:proofErr w:type="spellStart"/>
      <w:r w:rsidRPr="00D36601">
        <w:t>Malikunnafoni</w:t>
      </w:r>
      <w:proofErr w:type="spellEnd"/>
      <w:r w:rsidRPr="00D36601">
        <w:t xml:space="preserve"> para el seguimiento del Marco Estratégico para el Crecimiento y la Reducción de la Pobreza y del plan decenal para los </w:t>
      </w:r>
      <w:proofErr w:type="spellStart"/>
      <w:r w:rsidRPr="00D36601">
        <w:t>ODM</w:t>
      </w:r>
      <w:proofErr w:type="spellEnd"/>
      <w:r w:rsidRPr="00D36601">
        <w:t>. Además, el sistema de las Naciones Unidas ocupa un lugar primordial en los órganos de coordinación de los programas nacionales de desarrollo.</w:t>
      </w:r>
    </w:p>
    <w:p w14:paraId="7F3C7BD3" w14:textId="1D5ED273" w:rsidR="00D36601" w:rsidRPr="00D36601" w:rsidRDefault="0012196B" w:rsidP="0012196B">
      <w:pPr>
        <w:pStyle w:val="H23G"/>
      </w:pPr>
      <w:bookmarkStart w:id="522" w:name="_Toc414373075"/>
      <w:bookmarkStart w:id="523" w:name="_Toc414373304"/>
      <w:bookmarkStart w:id="524" w:name="_Toc414377803"/>
      <w:r>
        <w:tab/>
      </w:r>
      <w:r w:rsidR="00D36601" w:rsidRPr="00D36601">
        <w:t>11.</w:t>
      </w:r>
      <w:r w:rsidR="00D36601" w:rsidRPr="00D36601">
        <w:tab/>
        <w:t>Definición de niño</w:t>
      </w:r>
      <w:bookmarkEnd w:id="522"/>
      <w:bookmarkEnd w:id="523"/>
      <w:bookmarkEnd w:id="524"/>
    </w:p>
    <w:p w14:paraId="4E67586B" w14:textId="019BD2DA" w:rsidR="00D36601" w:rsidRPr="00D36601" w:rsidRDefault="00D36601" w:rsidP="00D36601">
      <w:pPr>
        <w:pStyle w:val="SingleTxtG"/>
      </w:pPr>
      <w:r w:rsidRPr="00D36601">
        <w:t>224.</w:t>
      </w:r>
      <w:r w:rsidRPr="00D36601">
        <w:tab/>
        <w:t xml:space="preserve">En sus recomendaciones sobre el segundo informe de Malí, el Comité instó al Estado parte a que tomara </w:t>
      </w:r>
      <w:r w:rsidR="00F374AD">
        <w:t>“</w:t>
      </w:r>
      <w:r w:rsidRPr="00D36601">
        <w:t>todas las medidas posibles para acelerar el proceso de reforma legislativa con el fin de lograr que la edad mínima para contraer matrimonio sea igual para los hombres y las mujeres</w:t>
      </w:r>
      <w:r w:rsidR="00F374AD">
        <w:t>”</w:t>
      </w:r>
      <w:r w:rsidRPr="00D36601">
        <w:t>. Aunque se esperaba que la aprobación del Código de la Persona y la Familia diera cumplimiento a esta recomendación, las expectativas no se han cumplido. El Código fija la edad mínima para contraer matrimonio en Malí en 16 años para las mujeres y 18 para los hombres.</w:t>
      </w:r>
    </w:p>
    <w:p w14:paraId="6DB7E9FE" w14:textId="7272480B" w:rsidR="00D36601" w:rsidRPr="00D36601" w:rsidRDefault="0012196B" w:rsidP="0012196B">
      <w:pPr>
        <w:pStyle w:val="H23G"/>
      </w:pPr>
      <w:bookmarkStart w:id="525" w:name="_Toc414373076"/>
      <w:bookmarkStart w:id="526" w:name="_Toc414373305"/>
      <w:bookmarkStart w:id="527" w:name="_Toc414377804"/>
      <w:r>
        <w:tab/>
      </w:r>
      <w:r w:rsidR="00D36601" w:rsidRPr="00D36601">
        <w:t>12.</w:t>
      </w:r>
      <w:r w:rsidR="00D36601" w:rsidRPr="00D36601">
        <w:tab/>
        <w:t>No discriminación</w:t>
      </w:r>
      <w:bookmarkEnd w:id="525"/>
      <w:bookmarkEnd w:id="526"/>
      <w:bookmarkEnd w:id="527"/>
    </w:p>
    <w:p w14:paraId="4398AF68" w14:textId="77777777" w:rsidR="00D36601" w:rsidRPr="00D36601" w:rsidRDefault="00D36601" w:rsidP="00D36601">
      <w:pPr>
        <w:pStyle w:val="SingleTxtG"/>
        <w:rPr>
          <w:bCs/>
        </w:rPr>
      </w:pPr>
      <w:r w:rsidRPr="00D36601">
        <w:t>225.</w:t>
      </w:r>
      <w:r w:rsidRPr="00D36601">
        <w:tab/>
        <w:t>En agosto de 2000, el Gobierno de Malí adoptó una Política Nacional de Escolarización con el objetivo de reducir las disparidades de género en la matriculación escolar.</w:t>
      </w:r>
    </w:p>
    <w:p w14:paraId="538E059E" w14:textId="77777777" w:rsidR="00D36601" w:rsidRPr="00D36601" w:rsidRDefault="00D36601" w:rsidP="00D36601">
      <w:pPr>
        <w:pStyle w:val="SingleTxtG"/>
        <w:rPr>
          <w:bCs/>
        </w:rPr>
      </w:pPr>
      <w:r w:rsidRPr="00D36601">
        <w:t>226.</w:t>
      </w:r>
      <w:r w:rsidRPr="00D36601">
        <w:tab/>
        <w:t>Mediante la aprobación de la Ley núm. 09-015, de 26 de junio de 2009, relativa a la instauración de un plan de seguro médico obligatorio, Malí pretende garantizar la cobertura de los gastos de atención médica relacionados con enfermedades y con la maternidad a los asegurados y a sus familiares a cargo. En virtud de esta ley, se consideran familiares a cargo los siguientes hijos (art. 8):</w:t>
      </w:r>
    </w:p>
    <w:p w14:paraId="0A7A5A44" w14:textId="3A1CB30F" w:rsidR="00D36601" w:rsidRPr="00D36601" w:rsidRDefault="00D36601" w:rsidP="0012196B">
      <w:pPr>
        <w:pStyle w:val="Bullet1G"/>
      </w:pPr>
      <w:r w:rsidRPr="00D36601">
        <w:t>Los hijos nacidos del matrimonio del asegurado.</w:t>
      </w:r>
    </w:p>
    <w:p w14:paraId="12E58A58" w14:textId="0AEB2934" w:rsidR="00D36601" w:rsidRPr="00D36601" w:rsidRDefault="00D36601" w:rsidP="0012196B">
      <w:pPr>
        <w:pStyle w:val="Bullet1G"/>
      </w:pPr>
      <w:r w:rsidRPr="00D36601">
        <w:t>Los hijos del asegurado nacidos antes del matrimonio.</w:t>
      </w:r>
    </w:p>
    <w:p w14:paraId="0AF908D2" w14:textId="4630FBE7" w:rsidR="00D36601" w:rsidRPr="00D36601" w:rsidRDefault="00D36601" w:rsidP="0012196B">
      <w:pPr>
        <w:pStyle w:val="Bullet1G"/>
      </w:pPr>
      <w:r w:rsidRPr="00D36601">
        <w:t>Los hijos nacidos de un matrimonio anterior de la esposa del asegurado, cuando el fallecimiento del primer esposo haya sido debidamente inscrito en el Registro Civil o cuando se haya pronunciado legalmente el divorcio. Sin embargo, en este último caso, los hijos no tienen derecho a prestaciones si han seguido dependiendo del primer esposo o si este contribuye a su manutención.</w:t>
      </w:r>
    </w:p>
    <w:p w14:paraId="0ED41245" w14:textId="11BF3330" w:rsidR="00D36601" w:rsidRPr="00D36601" w:rsidRDefault="00D36601" w:rsidP="0012196B">
      <w:pPr>
        <w:pStyle w:val="Bullet1G"/>
      </w:pPr>
      <w:r w:rsidRPr="00D36601">
        <w:t>Los hijos adoptados o legitimados por el asegurado conforme a lo dispuesto en el Código de la Persona y la Familia.</w:t>
      </w:r>
    </w:p>
    <w:p w14:paraId="78CD9A75" w14:textId="09278BC5" w:rsidR="00D36601" w:rsidRPr="00D36601" w:rsidRDefault="00D36601" w:rsidP="0012196B">
      <w:pPr>
        <w:pStyle w:val="Bullet1G"/>
      </w:pPr>
      <w:r w:rsidRPr="00D36601">
        <w:t xml:space="preserve">Los hijos reconocidos legalmente por el asegurado. </w:t>
      </w:r>
    </w:p>
    <w:p w14:paraId="02AB7FF5" w14:textId="77777777" w:rsidR="00D36601" w:rsidRPr="00D36601" w:rsidRDefault="00D36601" w:rsidP="00D36601">
      <w:pPr>
        <w:pStyle w:val="SingleTxtG"/>
        <w:rPr>
          <w:bCs/>
        </w:rPr>
      </w:pPr>
      <w:r w:rsidRPr="00D36601">
        <w:t>227.</w:t>
      </w:r>
      <w:r w:rsidRPr="00D36601">
        <w:tab/>
        <w:t>La Estrategia Nacional de Atención a los Huérfanos y Niños Vulnerables proporciona una atención integrada a los huérfanos y niños vulnerables con VIH/sida mediante la creación de un entorno jurídico, socioeconómico y cultural favorable.</w:t>
      </w:r>
    </w:p>
    <w:p w14:paraId="08587A74" w14:textId="1C097880" w:rsidR="00D36601" w:rsidRPr="00D36601" w:rsidRDefault="0012196B" w:rsidP="0012196B">
      <w:pPr>
        <w:pStyle w:val="H23G"/>
      </w:pPr>
      <w:bookmarkStart w:id="528" w:name="_Toc414373077"/>
      <w:bookmarkStart w:id="529" w:name="_Toc414373306"/>
      <w:bookmarkStart w:id="530" w:name="_Toc414377805"/>
      <w:r>
        <w:lastRenderedPageBreak/>
        <w:tab/>
      </w:r>
      <w:r w:rsidR="00D36601" w:rsidRPr="00D36601">
        <w:t>13.</w:t>
      </w:r>
      <w:r w:rsidR="00D36601" w:rsidRPr="00D36601">
        <w:tab/>
        <w:t>Respeto a la opinión del niño</w:t>
      </w:r>
      <w:bookmarkEnd w:id="528"/>
      <w:bookmarkEnd w:id="529"/>
      <w:bookmarkEnd w:id="530"/>
    </w:p>
    <w:p w14:paraId="455E5A35" w14:textId="0ABF89FA" w:rsidR="00D36601" w:rsidRPr="00D36601" w:rsidRDefault="00D36601" w:rsidP="00D36601">
      <w:pPr>
        <w:pStyle w:val="SingleTxtG"/>
        <w:rPr>
          <w:bCs/>
        </w:rPr>
      </w:pPr>
      <w:r w:rsidRPr="00D36601">
        <w:t>228.</w:t>
      </w:r>
      <w:r w:rsidRPr="00D36601">
        <w:tab/>
        <w:t xml:space="preserve">Además de la experiencia del Parlamento de los Niños y los clubes infantiles, Malí está desarrollando la iniciativa </w:t>
      </w:r>
      <w:r w:rsidR="00F374AD">
        <w:t>“</w:t>
      </w:r>
      <w:r w:rsidRPr="00D36601">
        <w:t>Escuela amiga de los niños y las niñas</w:t>
      </w:r>
      <w:r w:rsidR="00F374AD">
        <w:t>”</w:t>
      </w:r>
      <w:r w:rsidRPr="00D36601">
        <w:t xml:space="preserve">. Los alumnos, sobre todo las niñas, participan en la vida escolar a través de los gobiernos infantiles. Los miembros del gobierno infantil se designan en función de las realidades y necesidades de cada centro escolar. </w:t>
      </w:r>
    </w:p>
    <w:p w14:paraId="4FB77836" w14:textId="4031EEF0" w:rsidR="00D36601" w:rsidRPr="00D36601" w:rsidRDefault="00D36601" w:rsidP="00D36601">
      <w:pPr>
        <w:pStyle w:val="SingleTxtG"/>
        <w:rPr>
          <w:bCs/>
        </w:rPr>
      </w:pPr>
      <w:r w:rsidRPr="00D36601">
        <w:t>229.</w:t>
      </w:r>
      <w:r w:rsidRPr="00D36601">
        <w:tab/>
        <w:t>En 2009</w:t>
      </w:r>
      <w:r w:rsidRPr="00D36601">
        <w:rPr>
          <w:sz w:val="18"/>
          <w:szCs w:val="18"/>
          <w:vertAlign w:val="superscript"/>
        </w:rPr>
        <w:footnoteReference w:id="8"/>
      </w:r>
      <w:r w:rsidRPr="00D36601">
        <w:t xml:space="preserve">, el Ministerio de Promoción de la Mujer, la Infancia y la Familia, en colaboración con la presencia del UNICEF en Malí, organizó un taller fotográfico para conmemorar el 20º aniversario de la Convención sobre los Derechos del Niño. Veinte niños y niñas de diferentes entornos sociales, con edades comprendidas entre los 10 y los 17 años, fueron seleccionados en el marco de la </w:t>
      </w:r>
      <w:proofErr w:type="spellStart"/>
      <w:r w:rsidRPr="00D36601">
        <w:t>Association</w:t>
      </w:r>
      <w:proofErr w:type="spellEnd"/>
      <w:r w:rsidRPr="00D36601">
        <w:t xml:space="preserve"> des </w:t>
      </w:r>
      <w:proofErr w:type="spellStart"/>
      <w:r w:rsidRPr="00D36601">
        <w:t>Enfants</w:t>
      </w:r>
      <w:proofErr w:type="spellEnd"/>
      <w:r w:rsidRPr="00D36601">
        <w:t xml:space="preserve"> et </w:t>
      </w:r>
      <w:proofErr w:type="spellStart"/>
      <w:r w:rsidRPr="00D36601">
        <w:t>Jeunes</w:t>
      </w:r>
      <w:proofErr w:type="spellEnd"/>
      <w:r w:rsidRPr="00D36601">
        <w:t xml:space="preserve"> </w:t>
      </w:r>
      <w:proofErr w:type="spellStart"/>
      <w:r w:rsidRPr="00D36601">
        <w:t>Travailleurs</w:t>
      </w:r>
      <w:proofErr w:type="spellEnd"/>
      <w:r w:rsidRPr="00D36601">
        <w:t xml:space="preserve">. En el primer taller de este tipo en Malí, los jóvenes trabajaron juntos durante dos semanas bajo la dirección de un fotógrafo internacional, Giacomo </w:t>
      </w:r>
      <w:proofErr w:type="spellStart"/>
      <w:r w:rsidRPr="00D36601">
        <w:t>Pirozzi</w:t>
      </w:r>
      <w:proofErr w:type="spellEnd"/>
      <w:r w:rsidRPr="00D36601">
        <w:t xml:space="preserve">, para aprender fotografía y preparar una exposición. La exposición fotográfica </w:t>
      </w:r>
      <w:r w:rsidR="00F374AD">
        <w:t>“</w:t>
      </w:r>
      <w:proofErr w:type="spellStart"/>
      <w:r w:rsidRPr="00D36601">
        <w:t>Déclic</w:t>
      </w:r>
      <w:proofErr w:type="spellEnd"/>
      <w:r w:rsidR="00F374AD">
        <w:t>”</w:t>
      </w:r>
      <w:r w:rsidRPr="00D36601">
        <w:t xml:space="preserve">, realizada por niños y respaldada por el UNICEF, se presentó en el Palacio de la Cultura con ocasión de la octava bienal de fotografía africana. </w:t>
      </w:r>
    </w:p>
    <w:p w14:paraId="4C8B9FC9" w14:textId="32609A1F" w:rsidR="00D36601" w:rsidRPr="00D36601" w:rsidRDefault="0012196B" w:rsidP="0012196B">
      <w:pPr>
        <w:pStyle w:val="H23G"/>
      </w:pPr>
      <w:bookmarkStart w:id="531" w:name="_Toc414373078"/>
      <w:bookmarkStart w:id="532" w:name="_Toc414373307"/>
      <w:bookmarkStart w:id="533" w:name="_Toc414377806"/>
      <w:r>
        <w:tab/>
      </w:r>
      <w:r w:rsidR="00D36601" w:rsidRPr="00D36601">
        <w:t>14.</w:t>
      </w:r>
      <w:r w:rsidR="00D36601" w:rsidRPr="00D36601">
        <w:tab/>
        <w:t>Nacionalidad</w:t>
      </w:r>
      <w:bookmarkEnd w:id="531"/>
      <w:bookmarkEnd w:id="532"/>
      <w:bookmarkEnd w:id="533"/>
    </w:p>
    <w:p w14:paraId="237DB8A4" w14:textId="77777777" w:rsidR="00D36601" w:rsidRPr="00D36601" w:rsidRDefault="00D36601" w:rsidP="00D36601">
      <w:pPr>
        <w:pStyle w:val="SingleTxtG"/>
        <w:rPr>
          <w:bCs/>
        </w:rPr>
      </w:pPr>
      <w:r w:rsidRPr="00D36601">
        <w:t>230.</w:t>
      </w:r>
      <w:r w:rsidRPr="00D36601">
        <w:tab/>
        <w:t>El artículo 219 del Código de la Persona y la Familia establece que se aplican las disposiciones relativas a la nacionalidad contenidas en los tratados y acuerdos internacionales debidamente ratificados por Malí y publicados. En cuanto a la nacionalidad de origen, el artículo 244 del mismo Código establece que un niño es maliense, independientemente de que haya nacido en Malí o en el extranjero, si su padre o su madre es maliense y el otro progenitor es extranjero, a menos que renuncie a la nacionalidad maliense en los seis meses siguientes a su mayoría de edad, de conformidad con los artículos 255 y 256 de este Código (artículo 224, párrafo 5, del Código de la Persona y la Familia).</w:t>
      </w:r>
    </w:p>
    <w:p w14:paraId="29211E28" w14:textId="1600837A" w:rsidR="00D36601" w:rsidRPr="00D36601" w:rsidRDefault="0012196B" w:rsidP="0012196B">
      <w:pPr>
        <w:pStyle w:val="H23G"/>
      </w:pPr>
      <w:bookmarkStart w:id="534" w:name="_Toc414373079"/>
      <w:bookmarkStart w:id="535" w:name="_Toc414373308"/>
      <w:bookmarkStart w:id="536" w:name="_Toc414377807"/>
      <w:r>
        <w:tab/>
      </w:r>
      <w:r w:rsidR="00D36601" w:rsidRPr="00D36601">
        <w:t>15.</w:t>
      </w:r>
      <w:r w:rsidR="00D36601" w:rsidRPr="00D36601">
        <w:tab/>
        <w:t>Inscripción de los nacimientos</w:t>
      </w:r>
      <w:bookmarkEnd w:id="534"/>
      <w:bookmarkEnd w:id="535"/>
      <w:bookmarkEnd w:id="536"/>
    </w:p>
    <w:p w14:paraId="768EAF4F" w14:textId="77777777" w:rsidR="00D36601" w:rsidRPr="00D36601" w:rsidRDefault="00D36601" w:rsidP="00D36601">
      <w:pPr>
        <w:pStyle w:val="SingleTxtG"/>
        <w:rPr>
          <w:bCs/>
        </w:rPr>
      </w:pPr>
      <w:r w:rsidRPr="00D36601">
        <w:t>231.</w:t>
      </w:r>
      <w:r w:rsidRPr="00D36601">
        <w:tab/>
        <w:t xml:space="preserve">La Dirección Nacional del Registro Civil se creó con el fin de desarrollar y modernizar el registro civil y establecer una estructura permanente para gestionar las elecciones, así como para colaborar con la sociedad civil. La Dirección Nacional del Registro Civil sigue apoyando la aplicación de su programa de modernización de los servicios civiles, como la inscripción de los nacimientos, en una serie de ámbitos, entre ellos: </w:t>
      </w:r>
    </w:p>
    <w:p w14:paraId="5AE84E2D" w14:textId="48995B0D" w:rsidR="00D36601" w:rsidRPr="00D36601" w:rsidRDefault="0012196B" w:rsidP="00D36601">
      <w:pPr>
        <w:pStyle w:val="SingleTxtG"/>
        <w:rPr>
          <w:bCs/>
        </w:rPr>
      </w:pPr>
      <w:r>
        <w:tab/>
      </w:r>
      <w:r w:rsidR="00D36601" w:rsidRPr="00D36601">
        <w:t>a)</w:t>
      </w:r>
      <w:r w:rsidR="00D36601" w:rsidRPr="00D36601">
        <w:tab/>
        <w:t xml:space="preserve">La adopción de un sistema de registro civil con un marco legislativo y reglamentario, en un contexto caracterizado por la descentralización, la buena gobernanza y una mejor aplicación de las leyes relativas al estado civil; </w:t>
      </w:r>
    </w:p>
    <w:p w14:paraId="1D0C0485" w14:textId="3E46E9A6" w:rsidR="00D36601" w:rsidRPr="00D36601" w:rsidRDefault="0012196B" w:rsidP="00D36601">
      <w:pPr>
        <w:pStyle w:val="SingleTxtG"/>
        <w:rPr>
          <w:bCs/>
        </w:rPr>
      </w:pPr>
      <w:r>
        <w:tab/>
      </w:r>
      <w:r w:rsidR="00D36601" w:rsidRPr="00D36601">
        <w:t>b)</w:t>
      </w:r>
      <w:r w:rsidR="00D36601" w:rsidRPr="00D36601">
        <w:tab/>
        <w:t xml:space="preserve">La implantación de la base de datos del registro civil mediante: a) la adquisición de ordenadores y programas informáticos; b) la gestión del sistema informático; c) el mantenimiento de la red informática; y d) la gestión del personal de la Misión de Apoyo a la Consolidación del Registro Civil; </w:t>
      </w:r>
    </w:p>
    <w:p w14:paraId="71161291" w14:textId="417E5CAC" w:rsidR="00D36601" w:rsidRPr="00D36601" w:rsidRDefault="0012196B" w:rsidP="00D36601">
      <w:pPr>
        <w:pStyle w:val="SingleTxtG"/>
        <w:rPr>
          <w:bCs/>
        </w:rPr>
      </w:pPr>
      <w:r>
        <w:tab/>
      </w:r>
      <w:r w:rsidR="00D36601" w:rsidRPr="00D36601">
        <w:t>c)</w:t>
      </w:r>
      <w:r w:rsidR="00D36601" w:rsidRPr="00D36601">
        <w:tab/>
        <w:t xml:space="preserve">El fomento de la capacidad de los funcionarios del registro civil mediante: a) la elaboración y aplicación de un plan de formación para los empleados del registro civil; b) el desarrollo de módulos de formación y la elaboración de un manual de formación general; y c) la capacitación de las partes interesadas; </w:t>
      </w:r>
    </w:p>
    <w:p w14:paraId="76D343FA" w14:textId="27B60462" w:rsidR="00D36601" w:rsidRPr="00D36601" w:rsidRDefault="0012196B" w:rsidP="00D36601">
      <w:pPr>
        <w:pStyle w:val="SingleTxtG"/>
        <w:rPr>
          <w:bCs/>
        </w:rPr>
      </w:pPr>
      <w:r>
        <w:tab/>
      </w:r>
      <w:r w:rsidR="00D36601" w:rsidRPr="00D36601">
        <w:t>d)</w:t>
      </w:r>
      <w:r w:rsidR="00D36601" w:rsidRPr="00D36601">
        <w:tab/>
        <w:t>La mejora del acceso a los servicios del registro civil: a) aumentando el número de funcionarios encargados de inscribir los nacimientos a uno por pueblo, aldea o barrio; b) suministrando con regularidad el material necesario para la inscripción de los acontecimientos.</w:t>
      </w:r>
    </w:p>
    <w:p w14:paraId="21E3BF0A" w14:textId="0CD2EB89" w:rsidR="00D36601" w:rsidRPr="00D36601" w:rsidRDefault="0012196B" w:rsidP="0012196B">
      <w:pPr>
        <w:pStyle w:val="H23G"/>
      </w:pPr>
      <w:bookmarkStart w:id="537" w:name="_Toc414373080"/>
      <w:bookmarkStart w:id="538" w:name="_Toc414373309"/>
      <w:bookmarkStart w:id="539" w:name="_Toc414377808"/>
      <w:r>
        <w:tab/>
      </w:r>
      <w:r w:rsidR="00D36601" w:rsidRPr="00D36601">
        <w:t>16.</w:t>
      </w:r>
      <w:r w:rsidR="00D36601" w:rsidRPr="00D36601">
        <w:tab/>
        <w:t>Castigos corporales</w:t>
      </w:r>
      <w:bookmarkEnd w:id="537"/>
      <w:bookmarkEnd w:id="538"/>
      <w:bookmarkEnd w:id="539"/>
    </w:p>
    <w:p w14:paraId="3924A7CB" w14:textId="77777777" w:rsidR="00D36601" w:rsidRPr="00D36601" w:rsidRDefault="00D36601" w:rsidP="00D36601">
      <w:pPr>
        <w:pStyle w:val="SingleTxtG"/>
        <w:rPr>
          <w:bCs/>
        </w:rPr>
      </w:pPr>
      <w:r w:rsidRPr="00D36601">
        <w:t>232.</w:t>
      </w:r>
      <w:r w:rsidRPr="00D36601">
        <w:tab/>
        <w:t xml:space="preserve">El marco legislativo nacional garantiza el derecho a la educación gratuita y a la protección. Los castigos corporales fueron prohibidos por una orden ministerial de 1994. La </w:t>
      </w:r>
      <w:r w:rsidRPr="00D36601">
        <w:lastRenderedPageBreak/>
        <w:t xml:space="preserve">violencia sexual está tipificada en el Código Penal. En el reglamento interno de la escuela se establece un amplio marco para las relaciones entre el profesorado y el alumnado y se prohíben los castigos corporales. Se ha redactado un código de ética y conducta profesional para profesores y personal escolar, pero aún no se ha difundido a escala nacional. En materia de protección, el Plan de Acción para Combatir la Violencia contra las Mujeres y las Niñas (2006-2011) prevé varias estrategias y medidas para combatir la violencia ejercida contra las niñas en el entorno escolar. </w:t>
      </w:r>
    </w:p>
    <w:p w14:paraId="4E45E352" w14:textId="77777777" w:rsidR="00D36601" w:rsidRPr="00D36601" w:rsidRDefault="00D36601" w:rsidP="00D36601">
      <w:pPr>
        <w:pStyle w:val="SingleTxtG"/>
        <w:rPr>
          <w:bCs/>
        </w:rPr>
      </w:pPr>
      <w:r w:rsidRPr="00D36601">
        <w:t>233.</w:t>
      </w:r>
      <w:r w:rsidRPr="00D36601">
        <w:tab/>
        <w:t xml:space="preserve">Las políticas nacionales de educación (el Programa Decenal de Desarrollo de la Educación y el Programa de Inversión en el Sector Educativo), cuyo objetivo es aumentar la escolarización y el éxito académico, han empezado a reconocer recientemente el problema de la violencia escolar en el PISE III (2010-2012), particularmente en relación con la escolarización de las niñas. </w:t>
      </w:r>
    </w:p>
    <w:p w14:paraId="6A2EB30D" w14:textId="7343A711" w:rsidR="00D36601" w:rsidRPr="00D36601" w:rsidRDefault="0012196B" w:rsidP="0012196B">
      <w:pPr>
        <w:pStyle w:val="H23G"/>
      </w:pPr>
      <w:bookmarkStart w:id="540" w:name="_Toc414373081"/>
      <w:bookmarkStart w:id="541" w:name="_Toc414373310"/>
      <w:bookmarkStart w:id="542" w:name="_Toc414377809"/>
      <w:r>
        <w:tab/>
      </w:r>
      <w:r w:rsidR="00D36601" w:rsidRPr="00D36601">
        <w:t>17.</w:t>
      </w:r>
      <w:r w:rsidR="00D36601" w:rsidRPr="00D36601">
        <w:tab/>
        <w:t>Modalidades alternativas de cuidado</w:t>
      </w:r>
      <w:bookmarkEnd w:id="540"/>
      <w:bookmarkEnd w:id="541"/>
      <w:bookmarkEnd w:id="542"/>
    </w:p>
    <w:p w14:paraId="1C97FA01" w14:textId="77777777" w:rsidR="00D36601" w:rsidRPr="00D36601" w:rsidRDefault="00D36601" w:rsidP="00D36601">
      <w:pPr>
        <w:pStyle w:val="SingleTxtG"/>
        <w:rPr>
          <w:bCs/>
        </w:rPr>
      </w:pPr>
      <w:r w:rsidRPr="00D36601">
        <w:t>234.</w:t>
      </w:r>
      <w:r w:rsidRPr="00D36601">
        <w:tab/>
        <w:t xml:space="preserve">El Gobierno de Malí ha emprendido una reforma institucional de la Política Nacional contra el Sida. Tras esta reforma, adoptó una Política Nacional de Atención a Huérfanos y Niños Vulnerables por causa del VIH/Sida, cuyo objetivo es proporcionar una atención integrada a los huérfanos y otros niños vulnerables a causa del VIH/sida mediante la creación de un entorno jurídico, socioeconómico y cultural favorable. </w:t>
      </w:r>
    </w:p>
    <w:p w14:paraId="0D5EAAA5" w14:textId="66579C01" w:rsidR="00D36601" w:rsidRPr="00D36601" w:rsidRDefault="0012196B" w:rsidP="0012196B">
      <w:pPr>
        <w:pStyle w:val="H23G"/>
      </w:pPr>
      <w:bookmarkStart w:id="543" w:name="_Toc414373082"/>
      <w:bookmarkStart w:id="544" w:name="_Toc414373311"/>
      <w:bookmarkStart w:id="545" w:name="_Toc414377810"/>
      <w:r>
        <w:tab/>
      </w:r>
      <w:r w:rsidR="00D36601" w:rsidRPr="00D36601">
        <w:t>18.</w:t>
      </w:r>
      <w:r w:rsidR="00D36601" w:rsidRPr="00D36601">
        <w:tab/>
        <w:t>Adopción</w:t>
      </w:r>
      <w:bookmarkEnd w:id="543"/>
      <w:bookmarkEnd w:id="544"/>
      <w:bookmarkEnd w:id="545"/>
    </w:p>
    <w:p w14:paraId="03C52ADA" w14:textId="77777777" w:rsidR="00D36601" w:rsidRPr="00D36601" w:rsidRDefault="00D36601" w:rsidP="00D36601">
      <w:pPr>
        <w:pStyle w:val="SingleTxtG"/>
        <w:rPr>
          <w:bCs/>
        </w:rPr>
      </w:pPr>
      <w:r w:rsidRPr="00D36601">
        <w:t>235.</w:t>
      </w:r>
      <w:r w:rsidRPr="00D36601">
        <w:tab/>
        <w:t xml:space="preserve">Cabe recordar que el artículo 540 del Código de la Persona y la Familia prohíbe a los extranjeros adoptar niños malienses. Esto podría explicar la masificación actual de los centros de acogida para niños. </w:t>
      </w:r>
    </w:p>
    <w:p w14:paraId="3E09956F" w14:textId="77777777" w:rsidR="00D36601" w:rsidRPr="00D36601" w:rsidRDefault="00D36601" w:rsidP="00D36601">
      <w:pPr>
        <w:pStyle w:val="SingleTxtG"/>
        <w:rPr>
          <w:bCs/>
        </w:rPr>
      </w:pPr>
      <w:r w:rsidRPr="00D36601">
        <w:t>236.</w:t>
      </w:r>
      <w:r w:rsidRPr="00D36601">
        <w:tab/>
        <w:t>El Gobierno ya ha reconocido las limitaciones de esta medida, por lo que ha previsto reforzar tanto las medidas de prevención como el mecanismo de atención a los niños abandonados mediante la formación de los profesionales del sector y la reorganización de los servicios de acogida. Asimismo, la revisión del Código para revocar la prohibición de la adopción por extranjeros constituye ahora una prioridad para las más altas autoridades políticas.</w:t>
      </w:r>
    </w:p>
    <w:p w14:paraId="10B68B8F" w14:textId="266B3F68" w:rsidR="00D36601" w:rsidRPr="00D36601" w:rsidRDefault="0012196B" w:rsidP="0012196B">
      <w:pPr>
        <w:pStyle w:val="H23G"/>
      </w:pPr>
      <w:bookmarkStart w:id="546" w:name="_Toc414373083"/>
      <w:bookmarkStart w:id="547" w:name="_Toc414373312"/>
      <w:bookmarkStart w:id="548" w:name="_Toc414377811"/>
      <w:r>
        <w:tab/>
      </w:r>
      <w:r w:rsidR="00D36601" w:rsidRPr="00D36601">
        <w:t>19.</w:t>
      </w:r>
      <w:r w:rsidR="00D36601" w:rsidRPr="00D36601">
        <w:tab/>
        <w:t>Maltrato físico y trato negligente</w:t>
      </w:r>
      <w:bookmarkEnd w:id="546"/>
      <w:bookmarkEnd w:id="547"/>
      <w:bookmarkEnd w:id="548"/>
    </w:p>
    <w:p w14:paraId="4614A452" w14:textId="77777777" w:rsidR="00D36601" w:rsidRPr="00D36601" w:rsidRDefault="00D36601" w:rsidP="00D36601">
      <w:pPr>
        <w:pStyle w:val="SingleTxtG"/>
        <w:rPr>
          <w:bCs/>
        </w:rPr>
      </w:pPr>
      <w:r w:rsidRPr="00D36601">
        <w:t>237.</w:t>
      </w:r>
      <w:r w:rsidRPr="00D36601">
        <w:tab/>
        <w:t xml:space="preserve">La legislación maliense prevé penas específicas para los delitos cometidos contra menores de ambos sexos. Para otros delitos, el hecho de que la víctima sea menor de edad constituye una circunstancia agravante. </w:t>
      </w:r>
    </w:p>
    <w:p w14:paraId="20F0C08C" w14:textId="36929FA6" w:rsidR="00D36601" w:rsidRPr="00D36601" w:rsidRDefault="00D36601" w:rsidP="00D36601">
      <w:pPr>
        <w:pStyle w:val="SingleTxtG"/>
        <w:rPr>
          <w:bCs/>
        </w:rPr>
      </w:pPr>
      <w:r w:rsidRPr="00D36601">
        <w:t>238.</w:t>
      </w:r>
      <w:r w:rsidRPr="00D36601">
        <w:tab/>
        <w:t>El artículo 325 del Código Penal tipifica la omisión o negligencia grave en el cuidado de los niños, estableciendo que los padres o tutores que hayan cometido una omisión o negligencia grave en el cuidado de los niños a su cargo serán castigados con una multa de</w:t>
      </w:r>
      <w:r w:rsidR="00697C3C">
        <w:t> </w:t>
      </w:r>
      <w:r w:rsidRPr="00D36601">
        <w:t>300</w:t>
      </w:r>
      <w:r w:rsidR="00697C3C">
        <w:t> </w:t>
      </w:r>
      <w:r w:rsidRPr="00D36601">
        <w:t xml:space="preserve">a 18.000 francos y, opcionalmente, con una pena de prisión de uno a diez días. </w:t>
      </w:r>
    </w:p>
    <w:p w14:paraId="4F177DC5" w14:textId="1884F4A5" w:rsidR="00D36601" w:rsidRPr="00D36601" w:rsidRDefault="00D36601" w:rsidP="00D36601">
      <w:pPr>
        <w:pStyle w:val="SingleTxtG"/>
        <w:rPr>
          <w:bCs/>
        </w:rPr>
      </w:pPr>
      <w:r w:rsidRPr="00D36601">
        <w:t>239.</w:t>
      </w:r>
      <w:r w:rsidRPr="00D36601">
        <w:tab/>
        <w:t xml:space="preserve">El artículo 207 del Código Penal define la violencia física como todo acto cometido contra otra persona, como heridas y golpes, que atente contra su integridad física. El artículo 56 del Código de Protección del Niño ofrece más detalles al respecto, al enumerar los actos calificados de </w:t>
      </w:r>
      <w:r w:rsidR="00F374AD">
        <w:t>“</w:t>
      </w:r>
      <w:r w:rsidRPr="00D36601">
        <w:t>maltrato habitual</w:t>
      </w:r>
      <w:r w:rsidR="00F374AD">
        <w:t>”</w:t>
      </w:r>
      <w:r w:rsidRPr="00D36601">
        <w:t xml:space="preserve"> contra los que debe protegerse al niño. Entre ellos figuran la tortura, las vulneraciones reiteradas de la integridad física, la privación de alimentos y cualquier acto de brutalidad. Sin embargo, el Código Penal no prevé ninguna sanción para los autores de tales actos. También cabe señalar que, en materia de sanciones, la legislación maliense no distingue entre menores y adultos víctimas de violencia física. </w:t>
      </w:r>
    </w:p>
    <w:p w14:paraId="5340D046" w14:textId="77777777" w:rsidR="00D36601" w:rsidRPr="00D36601" w:rsidRDefault="00D36601" w:rsidP="00D36601">
      <w:pPr>
        <w:pStyle w:val="SingleTxtG"/>
        <w:rPr>
          <w:bCs/>
        </w:rPr>
      </w:pPr>
      <w:r w:rsidRPr="00D36601">
        <w:t>240.</w:t>
      </w:r>
      <w:r w:rsidRPr="00D36601">
        <w:tab/>
        <w:t>En Malí existe un mecanismo de atención a los niños víctimas de violencia, malos tratos, explotación y trato negligente. En este ámbito, con vistas a armonizar las intervenciones, la Dirección Nacional de Promoción del Niño y la Familia, en colaboración con el UNICEF, ha elaborado un manual de procedimiento para la atención de los niños víctimas de violencia, malos tratos, explotación y trato negligente. Dicha atención abarca los siguientes ámbitos:</w:t>
      </w:r>
    </w:p>
    <w:p w14:paraId="7882E1DF" w14:textId="288E3571" w:rsidR="00D36601" w:rsidRPr="00D36601" w:rsidRDefault="00D36601" w:rsidP="0012196B">
      <w:pPr>
        <w:pStyle w:val="Bullet1G"/>
      </w:pPr>
      <w:r w:rsidRPr="00D36601">
        <w:t>La atención sanitaria y nutricional/alimentaria.</w:t>
      </w:r>
    </w:p>
    <w:p w14:paraId="50201D0D" w14:textId="3E349BA0" w:rsidR="00D36601" w:rsidRPr="00D36601" w:rsidRDefault="00D36601" w:rsidP="0012196B">
      <w:pPr>
        <w:pStyle w:val="Bullet1G"/>
      </w:pPr>
      <w:r w:rsidRPr="00D36601">
        <w:lastRenderedPageBreak/>
        <w:t>La atención educativa.</w:t>
      </w:r>
    </w:p>
    <w:p w14:paraId="7B074B12" w14:textId="3FD54418" w:rsidR="00D36601" w:rsidRPr="00D36601" w:rsidRDefault="00D36601" w:rsidP="0012196B">
      <w:pPr>
        <w:pStyle w:val="Bullet1G"/>
      </w:pPr>
      <w:r w:rsidRPr="00D36601">
        <w:t>La atención socioeconómica.</w:t>
      </w:r>
    </w:p>
    <w:p w14:paraId="61D7D917" w14:textId="2FB0D8FC" w:rsidR="00D36601" w:rsidRPr="00D36601" w:rsidRDefault="00D36601" w:rsidP="0012196B">
      <w:pPr>
        <w:pStyle w:val="Bullet1G"/>
      </w:pPr>
      <w:r w:rsidRPr="00D36601">
        <w:t>La atención jurídica y judicial.</w:t>
      </w:r>
    </w:p>
    <w:p w14:paraId="30B02265" w14:textId="299CC2F3" w:rsidR="00D36601" w:rsidRPr="00D36601" w:rsidRDefault="00D36601" w:rsidP="0012196B">
      <w:pPr>
        <w:pStyle w:val="Bullet1G"/>
      </w:pPr>
      <w:r w:rsidRPr="00D36601">
        <w:t>La atención psicológica.</w:t>
      </w:r>
    </w:p>
    <w:p w14:paraId="70244AC4" w14:textId="437A1208" w:rsidR="00D36601" w:rsidRPr="00D36601" w:rsidRDefault="0012196B" w:rsidP="0012196B">
      <w:pPr>
        <w:pStyle w:val="H23G"/>
      </w:pPr>
      <w:bookmarkStart w:id="549" w:name="_Toc414373084"/>
      <w:bookmarkStart w:id="550" w:name="_Toc414373313"/>
      <w:bookmarkStart w:id="551" w:name="_Toc414377812"/>
      <w:r>
        <w:tab/>
      </w:r>
      <w:r w:rsidR="00D36601" w:rsidRPr="00D36601">
        <w:t>20.</w:t>
      </w:r>
      <w:r w:rsidR="00D36601" w:rsidRPr="00D36601">
        <w:tab/>
        <w:t xml:space="preserve">Aplicación de las recomendaciones del estudio de las Naciones Unidas </w:t>
      </w:r>
      <w:r>
        <w:br/>
      </w:r>
      <w:r w:rsidR="00D36601" w:rsidRPr="00D36601">
        <w:t>sobre la violencia contra los niños</w:t>
      </w:r>
      <w:bookmarkEnd w:id="549"/>
      <w:bookmarkEnd w:id="550"/>
      <w:bookmarkEnd w:id="551"/>
    </w:p>
    <w:p w14:paraId="3B552562" w14:textId="77777777" w:rsidR="00D36601" w:rsidRPr="00D36601" w:rsidRDefault="00D36601" w:rsidP="00D36601">
      <w:pPr>
        <w:pStyle w:val="SingleTxtG"/>
        <w:rPr>
          <w:bCs/>
        </w:rPr>
      </w:pPr>
      <w:r w:rsidRPr="00D36601">
        <w:t>241.</w:t>
      </w:r>
      <w:r w:rsidRPr="00D36601">
        <w:tab/>
        <w:t>Las recomendaciones del informe del Experto independiente para el estudio de la violencia contra los niños se han tenido en cuenta en los módulos de formación y en la definición de las líneas maestras de los programas y planes de acción para la promoción de la infancia.</w:t>
      </w:r>
    </w:p>
    <w:p w14:paraId="4C87F4E5" w14:textId="77777777" w:rsidR="00D36601" w:rsidRPr="00D36601" w:rsidRDefault="00D36601" w:rsidP="00D36601">
      <w:pPr>
        <w:pStyle w:val="SingleTxtG"/>
        <w:rPr>
          <w:bCs/>
        </w:rPr>
      </w:pPr>
      <w:r w:rsidRPr="00D36601">
        <w:t>242.</w:t>
      </w:r>
      <w:r w:rsidRPr="00D36601">
        <w:tab/>
        <w:t>No se ha realizado ningún estudio específico sobre la violencia contra los niños a escala nacional. Sin embargo, la cuestión se ha abordado en varios estudios nacionales, como la Encuesta Demográfica y de Salud y, sobre todo, el Estudio sobre Conocimientos, Habilidades y Prácticas relativos a los Derechos del Niño y la Mujer, uno de cuyos objetivos específicos era medir en qué medida los niños, las mujeres y los padres conocían realmente sus derechos, así como qué actitudes y prácticas prevalecían en las familias con respecto a los derechos fundamentales de los niños y las mujeres.</w:t>
      </w:r>
    </w:p>
    <w:p w14:paraId="16CADC4C" w14:textId="3D128B48" w:rsidR="00D36601" w:rsidRPr="00D36601" w:rsidRDefault="0012196B" w:rsidP="0012196B">
      <w:pPr>
        <w:pStyle w:val="H23G"/>
      </w:pPr>
      <w:bookmarkStart w:id="552" w:name="_Toc414373085"/>
      <w:bookmarkStart w:id="553" w:name="_Toc414373314"/>
      <w:bookmarkStart w:id="554" w:name="_Toc414377813"/>
      <w:r>
        <w:tab/>
      </w:r>
      <w:r w:rsidR="00D36601" w:rsidRPr="00D36601">
        <w:t>21.</w:t>
      </w:r>
      <w:r w:rsidR="00D36601" w:rsidRPr="00D36601">
        <w:tab/>
        <w:t>Niños con discapacidad</w:t>
      </w:r>
      <w:bookmarkEnd w:id="552"/>
      <w:bookmarkEnd w:id="553"/>
      <w:bookmarkEnd w:id="554"/>
    </w:p>
    <w:p w14:paraId="7F7200AF" w14:textId="77777777" w:rsidR="00D36601" w:rsidRPr="00D36601" w:rsidRDefault="00D36601" w:rsidP="00D36601">
      <w:pPr>
        <w:pStyle w:val="SingleTxtG"/>
        <w:rPr>
          <w:bCs/>
        </w:rPr>
      </w:pPr>
      <w:r w:rsidRPr="00D36601">
        <w:t>243.</w:t>
      </w:r>
      <w:r w:rsidRPr="00D36601">
        <w:tab/>
        <w:t>La Dirección Nacional de Educación Preescolar y Especial, creada en virtud de la Ley núm. 2011-001, de 29 de abril de 2011, se encarga de elaborar y coordinar la política nacional de educación especial y preescolar.</w:t>
      </w:r>
    </w:p>
    <w:p w14:paraId="539138CD" w14:textId="77777777" w:rsidR="00D36601" w:rsidRPr="00D36601" w:rsidRDefault="00D36601" w:rsidP="00D36601">
      <w:pPr>
        <w:pStyle w:val="SingleTxtG"/>
        <w:rPr>
          <w:bCs/>
        </w:rPr>
      </w:pPr>
      <w:r w:rsidRPr="00D36601">
        <w:t>244.</w:t>
      </w:r>
      <w:r w:rsidRPr="00D36601">
        <w:tab/>
        <w:t>Dispone de dos documentos de política, a saber:</w:t>
      </w:r>
    </w:p>
    <w:p w14:paraId="053CFACD" w14:textId="40441515" w:rsidR="00D36601" w:rsidRPr="00D36601" w:rsidRDefault="00D36601" w:rsidP="0012196B">
      <w:pPr>
        <w:pStyle w:val="Bullet1G"/>
      </w:pPr>
      <w:r w:rsidRPr="00D36601">
        <w:t>La Política Nacional de Desarrollo en la Primera Infancia y el correspondiente Plan de Acción 2011-2013, con una dotación de 8.000 millones de francos CFA.</w:t>
      </w:r>
    </w:p>
    <w:p w14:paraId="0F6E3449" w14:textId="32C99842" w:rsidR="00D36601" w:rsidRPr="00D36601" w:rsidRDefault="00D36601" w:rsidP="0012196B">
      <w:pPr>
        <w:pStyle w:val="Bullet1G"/>
      </w:pPr>
      <w:r w:rsidRPr="00D36601">
        <w:t xml:space="preserve">La Política Nacional de Educación Especial, apoyada también por un Plan de Acción trienal (2011-2013) dotado con 8.250 millones de francos CFA. </w:t>
      </w:r>
    </w:p>
    <w:p w14:paraId="11D895A3" w14:textId="7AE2FA62" w:rsidR="00D36601" w:rsidRPr="00D36601" w:rsidRDefault="0012196B" w:rsidP="0012196B">
      <w:pPr>
        <w:pStyle w:val="H23G"/>
      </w:pPr>
      <w:bookmarkStart w:id="555" w:name="_Toc414373086"/>
      <w:bookmarkStart w:id="556" w:name="_Toc414373315"/>
      <w:bookmarkStart w:id="557" w:name="_Toc414377814"/>
      <w:r>
        <w:tab/>
      </w:r>
      <w:r w:rsidR="00D36601" w:rsidRPr="00D36601">
        <w:t>22.</w:t>
      </w:r>
      <w:r w:rsidR="00D36601" w:rsidRPr="00D36601">
        <w:tab/>
        <w:t>Salud y servicios sanitarios</w:t>
      </w:r>
      <w:bookmarkEnd w:id="555"/>
      <w:bookmarkEnd w:id="556"/>
      <w:bookmarkEnd w:id="557"/>
    </w:p>
    <w:p w14:paraId="3CF13BC6" w14:textId="6EDCB4A6" w:rsidR="00D36601" w:rsidRPr="00D36601" w:rsidRDefault="00D36601" w:rsidP="0012196B">
      <w:pPr>
        <w:pStyle w:val="SingleTxtG"/>
        <w:jc w:val="left"/>
      </w:pPr>
      <w:bookmarkStart w:id="558" w:name="_Toc414377815"/>
      <w:r w:rsidRPr="00D36601">
        <w:t xml:space="preserve">Cuadro 16 </w:t>
      </w:r>
      <w:r w:rsidRPr="00D36601">
        <w:br/>
      </w:r>
      <w:r w:rsidRPr="00D36601">
        <w:rPr>
          <w:b/>
          <w:bCs/>
        </w:rPr>
        <w:t xml:space="preserve">Tasa de accesibilidad de la población a los centros de salud comunitarios </w:t>
      </w:r>
      <w:r w:rsidR="009D000C">
        <w:rPr>
          <w:b/>
          <w:bCs/>
        </w:rPr>
        <w:br/>
      </w:r>
      <w:r w:rsidRPr="00D36601">
        <w:rPr>
          <w:b/>
          <w:bCs/>
        </w:rPr>
        <w:t xml:space="preserve">de 2009 a 2012 </w:t>
      </w:r>
      <w:r w:rsidR="009D000C">
        <w:rPr>
          <w:b/>
          <w:bCs/>
        </w:rPr>
        <w:br/>
      </w:r>
      <w:r w:rsidRPr="00D36601">
        <w:rPr>
          <w:sz w:val="16"/>
          <w:szCs w:val="16"/>
        </w:rPr>
        <w:t>(</w:t>
      </w:r>
      <w:r w:rsidR="009D000C" w:rsidRPr="009D000C">
        <w:rPr>
          <w:sz w:val="16"/>
          <w:szCs w:val="16"/>
        </w:rPr>
        <w:t>E</w:t>
      </w:r>
      <w:r w:rsidRPr="00D36601">
        <w:rPr>
          <w:sz w:val="16"/>
          <w:szCs w:val="16"/>
        </w:rPr>
        <w:t>n porcentaje)</w:t>
      </w:r>
      <w:bookmarkEnd w:id="558"/>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994"/>
        <w:gridCol w:w="3188"/>
        <w:gridCol w:w="3188"/>
      </w:tblGrid>
      <w:tr w:rsidR="0012196B" w:rsidRPr="0012196B" w14:paraId="0DB6B10E" w14:textId="77777777" w:rsidTr="0012196B">
        <w:trPr>
          <w:trHeight w:val="240"/>
          <w:tblHeader/>
        </w:trPr>
        <w:tc>
          <w:tcPr>
            <w:tcW w:w="674" w:type="pct"/>
            <w:tcBorders>
              <w:top w:val="single" w:sz="4" w:space="0" w:color="auto"/>
              <w:bottom w:val="single" w:sz="12" w:space="0" w:color="auto"/>
            </w:tcBorders>
            <w:shd w:val="clear" w:color="auto" w:fill="auto"/>
            <w:vAlign w:val="bottom"/>
          </w:tcPr>
          <w:p w14:paraId="0D8EDF31" w14:textId="77777777" w:rsidR="00D36601" w:rsidRPr="00D36601" w:rsidRDefault="00D36601" w:rsidP="0012196B">
            <w:pPr>
              <w:pStyle w:val="SingleTxtG"/>
              <w:tabs>
                <w:tab w:val="clear" w:pos="1701"/>
                <w:tab w:val="clear" w:pos="2268"/>
                <w:tab w:val="clear" w:pos="2835"/>
              </w:tabs>
              <w:spacing w:before="80" w:after="80" w:line="200" w:lineRule="exact"/>
              <w:ind w:left="0" w:right="0"/>
              <w:jc w:val="left"/>
              <w:rPr>
                <w:i/>
                <w:sz w:val="16"/>
                <w:lang w:val="fr-CH"/>
              </w:rPr>
            </w:pPr>
            <w:r w:rsidRPr="00D36601">
              <w:rPr>
                <w:i/>
                <w:iCs/>
                <w:sz w:val="16"/>
              </w:rPr>
              <w:t>Año</w:t>
            </w:r>
          </w:p>
        </w:tc>
        <w:tc>
          <w:tcPr>
            <w:tcW w:w="2163" w:type="pct"/>
            <w:tcBorders>
              <w:top w:val="single" w:sz="4" w:space="0" w:color="auto"/>
              <w:bottom w:val="single" w:sz="12" w:space="0" w:color="auto"/>
            </w:tcBorders>
            <w:shd w:val="clear" w:color="auto" w:fill="auto"/>
            <w:vAlign w:val="bottom"/>
          </w:tcPr>
          <w:p w14:paraId="3D15207C" w14:textId="77777777" w:rsidR="00D36601" w:rsidRPr="00D36601" w:rsidRDefault="00D36601" w:rsidP="0012196B">
            <w:pPr>
              <w:pStyle w:val="SingleTxtG"/>
              <w:tabs>
                <w:tab w:val="clear" w:pos="1701"/>
                <w:tab w:val="clear" w:pos="2268"/>
                <w:tab w:val="clear" w:pos="2835"/>
              </w:tabs>
              <w:spacing w:before="80" w:after="80" w:line="200" w:lineRule="exact"/>
              <w:ind w:left="113" w:right="0"/>
              <w:jc w:val="right"/>
              <w:rPr>
                <w:i/>
                <w:sz w:val="16"/>
              </w:rPr>
            </w:pPr>
            <w:r w:rsidRPr="00D36601">
              <w:rPr>
                <w:i/>
                <w:iCs/>
                <w:sz w:val="16"/>
              </w:rPr>
              <w:t>Tasa de accesibilidad en un radio de 5 km</w:t>
            </w:r>
          </w:p>
        </w:tc>
        <w:tc>
          <w:tcPr>
            <w:tcW w:w="2164" w:type="pct"/>
            <w:tcBorders>
              <w:top w:val="single" w:sz="4" w:space="0" w:color="auto"/>
              <w:bottom w:val="single" w:sz="12" w:space="0" w:color="auto"/>
            </w:tcBorders>
            <w:shd w:val="clear" w:color="auto" w:fill="auto"/>
            <w:vAlign w:val="bottom"/>
          </w:tcPr>
          <w:p w14:paraId="6E8C0C09" w14:textId="77777777" w:rsidR="00D36601" w:rsidRPr="00D36601" w:rsidRDefault="00D36601" w:rsidP="0012196B">
            <w:pPr>
              <w:pStyle w:val="SingleTxtG"/>
              <w:tabs>
                <w:tab w:val="clear" w:pos="1701"/>
                <w:tab w:val="clear" w:pos="2268"/>
                <w:tab w:val="clear" w:pos="2835"/>
              </w:tabs>
              <w:spacing w:before="80" w:after="80" w:line="200" w:lineRule="exact"/>
              <w:ind w:left="113" w:right="0"/>
              <w:jc w:val="right"/>
              <w:rPr>
                <w:i/>
                <w:sz w:val="16"/>
              </w:rPr>
            </w:pPr>
            <w:r w:rsidRPr="00D36601">
              <w:rPr>
                <w:i/>
                <w:iCs/>
                <w:sz w:val="16"/>
              </w:rPr>
              <w:t>Tasa de accesibilidad en un radio de 15 km</w:t>
            </w:r>
          </w:p>
        </w:tc>
      </w:tr>
      <w:tr w:rsidR="0012196B" w:rsidRPr="00D36601" w14:paraId="121082B7" w14:textId="77777777" w:rsidTr="0012196B">
        <w:trPr>
          <w:trHeight w:val="240"/>
        </w:trPr>
        <w:tc>
          <w:tcPr>
            <w:tcW w:w="674" w:type="pct"/>
            <w:tcBorders>
              <w:top w:val="single" w:sz="12" w:space="0" w:color="auto"/>
            </w:tcBorders>
            <w:shd w:val="clear" w:color="auto" w:fill="auto"/>
          </w:tcPr>
          <w:p w14:paraId="34B31C43" w14:textId="77777777" w:rsidR="00D36601" w:rsidRPr="00D36601" w:rsidRDefault="00D36601" w:rsidP="0012196B">
            <w:pPr>
              <w:pStyle w:val="SingleTxtG"/>
              <w:tabs>
                <w:tab w:val="clear" w:pos="1701"/>
                <w:tab w:val="clear" w:pos="2268"/>
                <w:tab w:val="clear" w:pos="2835"/>
              </w:tabs>
              <w:spacing w:before="40" w:after="40" w:line="220" w:lineRule="exact"/>
              <w:ind w:left="0" w:right="0"/>
              <w:jc w:val="left"/>
              <w:rPr>
                <w:sz w:val="18"/>
                <w:lang w:val="fr-CH"/>
              </w:rPr>
            </w:pPr>
            <w:r w:rsidRPr="00D36601">
              <w:rPr>
                <w:sz w:val="18"/>
              </w:rPr>
              <w:t>2009</w:t>
            </w:r>
          </w:p>
        </w:tc>
        <w:tc>
          <w:tcPr>
            <w:tcW w:w="2163" w:type="pct"/>
            <w:tcBorders>
              <w:top w:val="single" w:sz="12" w:space="0" w:color="auto"/>
            </w:tcBorders>
            <w:shd w:val="clear" w:color="auto" w:fill="auto"/>
            <w:vAlign w:val="bottom"/>
          </w:tcPr>
          <w:p w14:paraId="564FF654" w14:textId="77777777" w:rsidR="00D36601" w:rsidRPr="00D36601" w:rsidRDefault="00D36601" w:rsidP="0012196B">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57</w:t>
            </w:r>
          </w:p>
        </w:tc>
        <w:tc>
          <w:tcPr>
            <w:tcW w:w="2164" w:type="pct"/>
            <w:tcBorders>
              <w:top w:val="single" w:sz="12" w:space="0" w:color="auto"/>
            </w:tcBorders>
            <w:shd w:val="clear" w:color="auto" w:fill="auto"/>
            <w:vAlign w:val="bottom"/>
          </w:tcPr>
          <w:p w14:paraId="54A9D300" w14:textId="77777777" w:rsidR="00D36601" w:rsidRPr="00D36601" w:rsidRDefault="00D36601" w:rsidP="0012196B">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88</w:t>
            </w:r>
          </w:p>
        </w:tc>
      </w:tr>
      <w:tr w:rsidR="00D36601" w:rsidRPr="00D36601" w14:paraId="57B90773" w14:textId="77777777" w:rsidTr="0012196B">
        <w:trPr>
          <w:trHeight w:val="240"/>
        </w:trPr>
        <w:tc>
          <w:tcPr>
            <w:tcW w:w="674" w:type="pct"/>
            <w:shd w:val="clear" w:color="auto" w:fill="auto"/>
          </w:tcPr>
          <w:p w14:paraId="1E73668C" w14:textId="77777777" w:rsidR="00D36601" w:rsidRPr="00D36601" w:rsidRDefault="00D36601" w:rsidP="0012196B">
            <w:pPr>
              <w:pStyle w:val="SingleTxtG"/>
              <w:tabs>
                <w:tab w:val="clear" w:pos="1701"/>
                <w:tab w:val="clear" w:pos="2268"/>
                <w:tab w:val="clear" w:pos="2835"/>
              </w:tabs>
              <w:spacing w:before="40" w:after="40" w:line="220" w:lineRule="exact"/>
              <w:ind w:left="0" w:right="0"/>
              <w:jc w:val="left"/>
              <w:rPr>
                <w:sz w:val="18"/>
                <w:lang w:val="fr-CH"/>
              </w:rPr>
            </w:pPr>
            <w:r w:rsidRPr="00D36601">
              <w:rPr>
                <w:sz w:val="18"/>
              </w:rPr>
              <w:t>2010</w:t>
            </w:r>
          </w:p>
        </w:tc>
        <w:tc>
          <w:tcPr>
            <w:tcW w:w="2163" w:type="pct"/>
            <w:shd w:val="clear" w:color="auto" w:fill="auto"/>
            <w:vAlign w:val="bottom"/>
          </w:tcPr>
          <w:p w14:paraId="4C31C7F3" w14:textId="77777777" w:rsidR="00D36601" w:rsidRPr="00D36601" w:rsidRDefault="00D36601" w:rsidP="0012196B">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58</w:t>
            </w:r>
          </w:p>
        </w:tc>
        <w:tc>
          <w:tcPr>
            <w:tcW w:w="2164" w:type="pct"/>
            <w:shd w:val="clear" w:color="auto" w:fill="auto"/>
            <w:vAlign w:val="bottom"/>
          </w:tcPr>
          <w:p w14:paraId="2CD08CDF" w14:textId="77777777" w:rsidR="00D36601" w:rsidRPr="00D36601" w:rsidRDefault="00D36601" w:rsidP="0012196B">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89</w:t>
            </w:r>
          </w:p>
        </w:tc>
      </w:tr>
      <w:tr w:rsidR="00D36601" w:rsidRPr="00D36601" w14:paraId="6BF86453" w14:textId="77777777" w:rsidTr="0012196B">
        <w:trPr>
          <w:trHeight w:val="240"/>
        </w:trPr>
        <w:tc>
          <w:tcPr>
            <w:tcW w:w="674" w:type="pct"/>
            <w:shd w:val="clear" w:color="auto" w:fill="auto"/>
          </w:tcPr>
          <w:p w14:paraId="705FA8B5" w14:textId="77777777" w:rsidR="00D36601" w:rsidRPr="00D36601" w:rsidRDefault="00D36601" w:rsidP="0012196B">
            <w:pPr>
              <w:pStyle w:val="SingleTxtG"/>
              <w:tabs>
                <w:tab w:val="clear" w:pos="1701"/>
                <w:tab w:val="clear" w:pos="2268"/>
                <w:tab w:val="clear" w:pos="2835"/>
              </w:tabs>
              <w:spacing w:before="40" w:after="40" w:line="220" w:lineRule="exact"/>
              <w:ind w:left="0" w:right="0"/>
              <w:jc w:val="left"/>
              <w:rPr>
                <w:sz w:val="18"/>
                <w:lang w:val="fr-CH"/>
              </w:rPr>
            </w:pPr>
            <w:r w:rsidRPr="00D36601">
              <w:rPr>
                <w:sz w:val="18"/>
              </w:rPr>
              <w:t>2011</w:t>
            </w:r>
          </w:p>
        </w:tc>
        <w:tc>
          <w:tcPr>
            <w:tcW w:w="2163" w:type="pct"/>
            <w:shd w:val="clear" w:color="auto" w:fill="auto"/>
            <w:vAlign w:val="bottom"/>
          </w:tcPr>
          <w:p w14:paraId="20D8111B" w14:textId="77777777" w:rsidR="00D36601" w:rsidRPr="00D36601" w:rsidRDefault="00D36601" w:rsidP="0012196B">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59</w:t>
            </w:r>
          </w:p>
        </w:tc>
        <w:tc>
          <w:tcPr>
            <w:tcW w:w="2164" w:type="pct"/>
            <w:shd w:val="clear" w:color="auto" w:fill="auto"/>
            <w:vAlign w:val="bottom"/>
          </w:tcPr>
          <w:p w14:paraId="1C14FB46" w14:textId="77777777" w:rsidR="00D36601" w:rsidRPr="00D36601" w:rsidRDefault="00D36601" w:rsidP="0012196B">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90</w:t>
            </w:r>
          </w:p>
        </w:tc>
      </w:tr>
      <w:tr w:rsidR="0012196B" w:rsidRPr="00D36601" w14:paraId="5B08FFC4" w14:textId="77777777" w:rsidTr="0012196B">
        <w:trPr>
          <w:trHeight w:val="240"/>
        </w:trPr>
        <w:tc>
          <w:tcPr>
            <w:tcW w:w="674" w:type="pct"/>
            <w:tcBorders>
              <w:bottom w:val="single" w:sz="12" w:space="0" w:color="auto"/>
            </w:tcBorders>
            <w:shd w:val="clear" w:color="auto" w:fill="auto"/>
          </w:tcPr>
          <w:p w14:paraId="332DB153" w14:textId="77777777" w:rsidR="00D36601" w:rsidRPr="00D36601" w:rsidRDefault="00D36601" w:rsidP="0012196B">
            <w:pPr>
              <w:pStyle w:val="SingleTxtG"/>
              <w:tabs>
                <w:tab w:val="clear" w:pos="1701"/>
                <w:tab w:val="clear" w:pos="2268"/>
                <w:tab w:val="clear" w:pos="2835"/>
              </w:tabs>
              <w:spacing w:before="40" w:after="40" w:line="220" w:lineRule="exact"/>
              <w:ind w:left="0" w:right="0"/>
              <w:jc w:val="left"/>
              <w:rPr>
                <w:sz w:val="18"/>
                <w:lang w:val="fr-CH"/>
              </w:rPr>
            </w:pPr>
            <w:r w:rsidRPr="00D36601">
              <w:rPr>
                <w:sz w:val="18"/>
              </w:rPr>
              <w:t>2012</w:t>
            </w:r>
          </w:p>
        </w:tc>
        <w:tc>
          <w:tcPr>
            <w:tcW w:w="2163" w:type="pct"/>
            <w:tcBorders>
              <w:bottom w:val="single" w:sz="12" w:space="0" w:color="auto"/>
            </w:tcBorders>
            <w:shd w:val="clear" w:color="auto" w:fill="auto"/>
            <w:vAlign w:val="bottom"/>
          </w:tcPr>
          <w:p w14:paraId="7AF889A7" w14:textId="77777777" w:rsidR="00D36601" w:rsidRPr="00D36601" w:rsidRDefault="00D36601" w:rsidP="0012196B">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56</w:t>
            </w:r>
          </w:p>
        </w:tc>
        <w:tc>
          <w:tcPr>
            <w:tcW w:w="2164" w:type="pct"/>
            <w:tcBorders>
              <w:bottom w:val="single" w:sz="12" w:space="0" w:color="auto"/>
            </w:tcBorders>
            <w:shd w:val="clear" w:color="auto" w:fill="auto"/>
            <w:vAlign w:val="bottom"/>
          </w:tcPr>
          <w:p w14:paraId="2BC5B6F8" w14:textId="77777777" w:rsidR="00D36601" w:rsidRPr="00D36601" w:rsidRDefault="00D36601" w:rsidP="0012196B">
            <w:pPr>
              <w:pStyle w:val="SingleTxtG"/>
              <w:tabs>
                <w:tab w:val="clear" w:pos="1701"/>
                <w:tab w:val="clear" w:pos="2268"/>
                <w:tab w:val="clear" w:pos="2835"/>
              </w:tabs>
              <w:spacing w:before="40" w:after="40" w:line="220" w:lineRule="exact"/>
              <w:ind w:left="113" w:right="0"/>
              <w:jc w:val="right"/>
              <w:rPr>
                <w:sz w:val="18"/>
                <w:lang w:val="fr-CH"/>
              </w:rPr>
            </w:pPr>
            <w:r w:rsidRPr="00D36601">
              <w:rPr>
                <w:sz w:val="18"/>
              </w:rPr>
              <w:t>85</w:t>
            </w:r>
          </w:p>
        </w:tc>
      </w:tr>
    </w:tbl>
    <w:p w14:paraId="0348DA79" w14:textId="77777777" w:rsidR="00D36601" w:rsidRPr="00D36601" w:rsidRDefault="00D36601" w:rsidP="00AE189C">
      <w:pPr>
        <w:pStyle w:val="SingleTxtG"/>
        <w:spacing w:before="120" w:after="240"/>
        <w:ind w:firstLine="170"/>
        <w:jc w:val="left"/>
        <w:rPr>
          <w:i/>
          <w:sz w:val="18"/>
          <w:szCs w:val="18"/>
        </w:rPr>
      </w:pPr>
      <w:r w:rsidRPr="00D36601">
        <w:rPr>
          <w:i/>
          <w:iCs/>
          <w:sz w:val="18"/>
          <w:szCs w:val="18"/>
        </w:rPr>
        <w:t>Fuente</w:t>
      </w:r>
      <w:r w:rsidRPr="00D36601">
        <w:rPr>
          <w:i/>
          <w:sz w:val="18"/>
          <w:szCs w:val="18"/>
        </w:rPr>
        <w:t>:</w:t>
      </w:r>
      <w:r w:rsidRPr="00D36601">
        <w:rPr>
          <w:sz w:val="18"/>
          <w:szCs w:val="18"/>
        </w:rPr>
        <w:t xml:space="preserve"> Dirección </w:t>
      </w:r>
      <w:proofErr w:type="spellStart"/>
      <w:r w:rsidRPr="00D36601">
        <w:rPr>
          <w:sz w:val="16"/>
          <w:szCs w:val="16"/>
          <w:lang w:val="fr-FR"/>
        </w:rPr>
        <w:t>Nacional</w:t>
      </w:r>
      <w:proofErr w:type="spellEnd"/>
      <w:r w:rsidRPr="00D36601">
        <w:rPr>
          <w:sz w:val="18"/>
          <w:szCs w:val="18"/>
        </w:rPr>
        <w:t xml:space="preserve"> de Salud, </w:t>
      </w:r>
      <w:proofErr w:type="spellStart"/>
      <w:r w:rsidRPr="00D36601">
        <w:rPr>
          <w:i/>
          <w:iCs/>
          <w:sz w:val="18"/>
          <w:szCs w:val="18"/>
        </w:rPr>
        <w:t>Annuaire</w:t>
      </w:r>
      <w:proofErr w:type="spellEnd"/>
      <w:r w:rsidRPr="00D36601">
        <w:rPr>
          <w:i/>
          <w:iCs/>
          <w:sz w:val="18"/>
          <w:szCs w:val="18"/>
        </w:rPr>
        <w:t xml:space="preserve"> </w:t>
      </w:r>
      <w:proofErr w:type="spellStart"/>
      <w:r w:rsidRPr="00D36601">
        <w:rPr>
          <w:i/>
          <w:iCs/>
          <w:sz w:val="18"/>
          <w:szCs w:val="18"/>
        </w:rPr>
        <w:t>statistique</w:t>
      </w:r>
      <w:proofErr w:type="spellEnd"/>
      <w:r w:rsidRPr="00D36601">
        <w:rPr>
          <w:i/>
          <w:iCs/>
          <w:sz w:val="18"/>
          <w:szCs w:val="18"/>
        </w:rPr>
        <w:t>,</w:t>
      </w:r>
      <w:r w:rsidRPr="00D36601">
        <w:rPr>
          <w:sz w:val="18"/>
          <w:szCs w:val="18"/>
        </w:rPr>
        <w:t xml:space="preserve"> </w:t>
      </w:r>
      <w:proofErr w:type="spellStart"/>
      <w:r w:rsidRPr="00D36601">
        <w:rPr>
          <w:sz w:val="18"/>
          <w:szCs w:val="18"/>
        </w:rPr>
        <w:t>SLIS</w:t>
      </w:r>
      <w:proofErr w:type="spellEnd"/>
      <w:r w:rsidRPr="00D36601">
        <w:rPr>
          <w:sz w:val="18"/>
          <w:szCs w:val="18"/>
        </w:rPr>
        <w:t xml:space="preserve"> 2012.</w:t>
      </w:r>
    </w:p>
    <w:p w14:paraId="1CF20663" w14:textId="77777777" w:rsidR="00D36601" w:rsidRPr="00D36601" w:rsidRDefault="00D36601" w:rsidP="00D36601">
      <w:pPr>
        <w:pStyle w:val="SingleTxtG"/>
        <w:rPr>
          <w:bCs/>
        </w:rPr>
      </w:pPr>
      <w:r w:rsidRPr="00D36601">
        <w:t>245.</w:t>
      </w:r>
      <w:r w:rsidRPr="00D36601">
        <w:tab/>
        <w:t xml:space="preserve">La tasa de accesibilidad descendió en 2012. Esto podría explicarse por la destrucción de varios centros de salud durante la ocupación de las regiones del norte que siguió a la crisis política y de seguridad. </w:t>
      </w:r>
    </w:p>
    <w:p w14:paraId="0BEBC0D0" w14:textId="537DE54A" w:rsidR="00D36601" w:rsidRPr="00D36601" w:rsidRDefault="0012196B" w:rsidP="0012196B">
      <w:pPr>
        <w:pStyle w:val="H23G"/>
      </w:pPr>
      <w:bookmarkStart w:id="559" w:name="_Toc414373087"/>
      <w:bookmarkStart w:id="560" w:name="_Toc414373316"/>
      <w:bookmarkStart w:id="561" w:name="_Toc414377816"/>
      <w:r>
        <w:tab/>
      </w:r>
      <w:r w:rsidR="00D36601" w:rsidRPr="00D36601">
        <w:t>23.</w:t>
      </w:r>
      <w:r w:rsidR="00D36601" w:rsidRPr="00D36601">
        <w:tab/>
        <w:t>Prácticas tradicionales nocivas</w:t>
      </w:r>
      <w:bookmarkEnd w:id="559"/>
      <w:bookmarkEnd w:id="560"/>
      <w:bookmarkEnd w:id="561"/>
    </w:p>
    <w:p w14:paraId="6E50A28F" w14:textId="1BCBDEAC" w:rsidR="00D36601" w:rsidRPr="00D36601" w:rsidRDefault="0012196B" w:rsidP="0012196B">
      <w:pPr>
        <w:pStyle w:val="H4G"/>
      </w:pPr>
      <w:r>
        <w:tab/>
      </w:r>
      <w:r w:rsidR="00D36601" w:rsidRPr="00D36601">
        <w:tab/>
        <w:t>Mutilación genital femenina/ablación</w:t>
      </w:r>
    </w:p>
    <w:p w14:paraId="26792E3A" w14:textId="02F633BE" w:rsidR="00D36601" w:rsidRPr="00D36601" w:rsidRDefault="00D36601" w:rsidP="00D36601">
      <w:pPr>
        <w:pStyle w:val="SingleTxtG"/>
        <w:rPr>
          <w:bCs/>
        </w:rPr>
      </w:pPr>
      <w:r w:rsidRPr="00D36601">
        <w:t>246.</w:t>
      </w:r>
      <w:r w:rsidRPr="00D36601">
        <w:tab/>
        <w:t>La prevalencia de la ablación/mutilación genital femenina entre las mujeres de 15 a</w:t>
      </w:r>
      <w:r w:rsidR="0012196B">
        <w:t> </w:t>
      </w:r>
      <w:r w:rsidRPr="00D36601">
        <w:t>49 años es del 89 %. La práctica no varía en función del lugar de residencia (el 89 % en las zonas urbanas frente al 88 % en las rurales).</w:t>
      </w:r>
    </w:p>
    <w:p w14:paraId="11EF3EAA" w14:textId="77777777" w:rsidR="00D36601" w:rsidRPr="00D36601" w:rsidRDefault="00D36601" w:rsidP="00D36601">
      <w:pPr>
        <w:pStyle w:val="SingleTxtG"/>
      </w:pPr>
      <w:r w:rsidRPr="00D36601">
        <w:lastRenderedPageBreak/>
        <w:t>247.</w:t>
      </w:r>
      <w:r w:rsidRPr="00D36601">
        <w:tab/>
        <w:t xml:space="preserve">Para reforzar las misiones del Programa Nacional de Lucha contra la Práctica de la Ablación, el Gobierno de Malí aprobó en 2010 un documento de política y un plan de acción para 2010-2014 destinados a combatir esta práctica. Por otra parte, continúa el proceso de aprobación de una ley específica contra la práctica de la ablación, ya que, a diferencia de varios países vecinos, Malí no dispone aún de legislación que prohíba expresamente la mutilación genital femenina. </w:t>
      </w:r>
    </w:p>
    <w:p w14:paraId="2243C033" w14:textId="77777777" w:rsidR="00D36601" w:rsidRPr="00D36601" w:rsidRDefault="00D36601" w:rsidP="00D36601">
      <w:pPr>
        <w:pStyle w:val="SingleTxtG"/>
        <w:rPr>
          <w:bCs/>
        </w:rPr>
      </w:pPr>
      <w:r w:rsidRPr="00D36601">
        <w:t>248.</w:t>
      </w:r>
      <w:r w:rsidRPr="00D36601">
        <w:tab/>
        <w:t xml:space="preserve">Desde 2003, cuando se designó el 6 de febrero como día oficial, las partes interesadas malienses aprovechan este día para sensibilizar a las autoridades y al público en general sobre este problema. Este apoyo ha contribuido en gran medida a cambiar el comportamiento de las personas. En 2011, 385 pueblos firmaron un convenio para abandonar la práctica de la ablación. </w:t>
      </w:r>
    </w:p>
    <w:p w14:paraId="1C312019" w14:textId="3A2BBED0" w:rsidR="00D36601" w:rsidRPr="00D36601" w:rsidRDefault="0012196B" w:rsidP="0012196B">
      <w:pPr>
        <w:pStyle w:val="H4G"/>
      </w:pPr>
      <w:r>
        <w:tab/>
      </w:r>
      <w:r w:rsidR="00D36601" w:rsidRPr="00D36601">
        <w:tab/>
        <w:t>Matrimonio precoz/forzoso</w:t>
      </w:r>
    </w:p>
    <w:p w14:paraId="23A92212" w14:textId="77777777" w:rsidR="00D36601" w:rsidRPr="00D36601" w:rsidRDefault="00D36601" w:rsidP="00D36601">
      <w:pPr>
        <w:pStyle w:val="SingleTxtG"/>
        <w:rPr>
          <w:bCs/>
        </w:rPr>
      </w:pPr>
      <w:r w:rsidRPr="00D36601">
        <w:t>249.</w:t>
      </w:r>
      <w:r w:rsidRPr="00D36601">
        <w:tab/>
        <w:t xml:space="preserve">Según la encuesta </w:t>
      </w:r>
      <w:proofErr w:type="spellStart"/>
      <w:r w:rsidRPr="00D36601">
        <w:t>MICS</w:t>
      </w:r>
      <w:proofErr w:type="spellEnd"/>
      <w:r w:rsidRPr="00D36601">
        <w:t xml:space="preserve"> 2010, el 14 % de las mujeres se casan antes de los 15 años y el 61 %, antes de los 18. En el momento en que se realizó la encuesta, casi el 40 % de las mujeres de entre 15 y 19 años estaban casadas o mantenían una unión de hecho. </w:t>
      </w:r>
    </w:p>
    <w:p w14:paraId="2A8CCEDA" w14:textId="77777777" w:rsidR="00D36601" w:rsidRPr="00D36601" w:rsidRDefault="00D36601" w:rsidP="00D36601">
      <w:pPr>
        <w:pStyle w:val="SingleTxtG"/>
        <w:rPr>
          <w:bCs/>
        </w:rPr>
      </w:pPr>
      <w:r w:rsidRPr="00D36601">
        <w:t>250.</w:t>
      </w:r>
      <w:r w:rsidRPr="00D36601">
        <w:tab/>
        <w:t xml:space="preserve">En 2008, el Gobierno comenzó a elaborar un documento de política y su plan de acción correspondiente. Este documento, que no pudo aprobarse, sigue sirviendo de referencia para las iniciativas de información y sensibilización de las partes interesadas. </w:t>
      </w:r>
    </w:p>
    <w:p w14:paraId="76E85184" w14:textId="516D0950" w:rsidR="00D36601" w:rsidRPr="00D36601" w:rsidRDefault="0012196B" w:rsidP="0012196B">
      <w:pPr>
        <w:pStyle w:val="H23G"/>
      </w:pPr>
      <w:bookmarkStart w:id="562" w:name="_Toc414373088"/>
      <w:bookmarkStart w:id="563" w:name="_Toc414373317"/>
      <w:bookmarkStart w:id="564" w:name="_Toc414377817"/>
      <w:r>
        <w:tab/>
      </w:r>
      <w:r w:rsidR="00D36601" w:rsidRPr="00D36601">
        <w:t>24.</w:t>
      </w:r>
      <w:r w:rsidR="00D36601" w:rsidRPr="00D36601">
        <w:tab/>
        <w:t>Salud de los adolescentes</w:t>
      </w:r>
      <w:bookmarkEnd w:id="562"/>
      <w:bookmarkEnd w:id="563"/>
      <w:bookmarkEnd w:id="564"/>
    </w:p>
    <w:p w14:paraId="498C2A5E" w14:textId="77777777" w:rsidR="00D36601" w:rsidRPr="00D36601" w:rsidRDefault="00D36601" w:rsidP="00D36601">
      <w:pPr>
        <w:pStyle w:val="SingleTxtG"/>
        <w:rPr>
          <w:bCs/>
        </w:rPr>
      </w:pPr>
      <w:r w:rsidRPr="00D36601">
        <w:t>251.</w:t>
      </w:r>
      <w:r w:rsidRPr="00D36601">
        <w:tab/>
        <w:t xml:space="preserve">Se aplican políticas y programas para adolescentes, sobre todo en los ámbitos de la salud reproductiva, la planificación familiar y la preparación para la vida. </w:t>
      </w:r>
    </w:p>
    <w:p w14:paraId="214223E7" w14:textId="712C2ABA" w:rsidR="00D36601" w:rsidRPr="00D36601" w:rsidRDefault="0012196B" w:rsidP="0012196B">
      <w:pPr>
        <w:pStyle w:val="H23G"/>
      </w:pPr>
      <w:bookmarkStart w:id="565" w:name="_Toc414373089"/>
      <w:bookmarkStart w:id="566" w:name="_Toc414373318"/>
      <w:bookmarkStart w:id="567" w:name="_Toc414377818"/>
      <w:r>
        <w:tab/>
      </w:r>
      <w:r w:rsidR="00D36601" w:rsidRPr="00D36601">
        <w:t>25.</w:t>
      </w:r>
      <w:r w:rsidR="00D36601" w:rsidRPr="00D36601">
        <w:tab/>
        <w:t>VIH/sida</w:t>
      </w:r>
      <w:bookmarkEnd w:id="565"/>
      <w:bookmarkEnd w:id="566"/>
      <w:bookmarkEnd w:id="567"/>
    </w:p>
    <w:p w14:paraId="016820E6" w14:textId="77777777" w:rsidR="00D36601" w:rsidRPr="00D36601" w:rsidRDefault="00D36601" w:rsidP="00D36601">
      <w:pPr>
        <w:pStyle w:val="SingleTxtG"/>
        <w:rPr>
          <w:bCs/>
        </w:rPr>
      </w:pPr>
      <w:r w:rsidRPr="00D36601">
        <w:t>252.</w:t>
      </w:r>
      <w:r w:rsidRPr="00D36601">
        <w:tab/>
        <w:t xml:space="preserve">El 7 de abril de 2004, el Gobierno de Malí adoptó una política nacional de lucha contra el VIH/sida. Desde entonces se han obtenido resultados acordes con las recomendaciones del Comité. Entre ellos figuran: </w:t>
      </w:r>
    </w:p>
    <w:p w14:paraId="12C2D214" w14:textId="5C6E531B" w:rsidR="00D36601" w:rsidRPr="00D36601" w:rsidRDefault="00D36601" w:rsidP="0012196B">
      <w:pPr>
        <w:pStyle w:val="Bullet1G"/>
      </w:pPr>
      <w:r w:rsidRPr="00D36601">
        <w:t>La gratuidad de los medicamentos antirretrovirales.</w:t>
      </w:r>
    </w:p>
    <w:p w14:paraId="5701F76C" w14:textId="69BEF957" w:rsidR="00D36601" w:rsidRPr="00D36601" w:rsidRDefault="00D36601" w:rsidP="0012196B">
      <w:pPr>
        <w:pStyle w:val="Bullet1G"/>
      </w:pPr>
      <w:r w:rsidRPr="00D36601">
        <w:t>La adopción de una política de atención a los huérfanos y otros niños vulnerables por causa del sida.</w:t>
      </w:r>
    </w:p>
    <w:p w14:paraId="017DCB62" w14:textId="1887AD5F" w:rsidR="00D36601" w:rsidRPr="00D36601" w:rsidRDefault="00D36601" w:rsidP="0012196B">
      <w:pPr>
        <w:pStyle w:val="Bullet1G"/>
      </w:pPr>
      <w:r w:rsidRPr="00D36601">
        <w:t>El aumento del acceso a los anticonceptivos.</w:t>
      </w:r>
    </w:p>
    <w:p w14:paraId="51F02200" w14:textId="2812D367" w:rsidR="00D36601" w:rsidRPr="00D36601" w:rsidRDefault="0012196B" w:rsidP="0012196B">
      <w:pPr>
        <w:pStyle w:val="H23G"/>
      </w:pPr>
      <w:bookmarkStart w:id="568" w:name="_Toc414373090"/>
      <w:bookmarkStart w:id="569" w:name="_Toc414373319"/>
      <w:bookmarkStart w:id="570" w:name="_Toc414377819"/>
      <w:r>
        <w:tab/>
      </w:r>
      <w:r w:rsidR="00D36601" w:rsidRPr="00D36601">
        <w:t>26.</w:t>
      </w:r>
      <w:r w:rsidR="00D36601" w:rsidRPr="00D36601">
        <w:tab/>
        <w:t>Nivel de vida</w:t>
      </w:r>
      <w:bookmarkEnd w:id="568"/>
      <w:bookmarkEnd w:id="569"/>
      <w:bookmarkEnd w:id="570"/>
    </w:p>
    <w:p w14:paraId="04554B12" w14:textId="77777777" w:rsidR="00D36601" w:rsidRPr="00D36601" w:rsidRDefault="00D36601" w:rsidP="00D36601">
      <w:pPr>
        <w:pStyle w:val="SingleTxtG"/>
        <w:rPr>
          <w:bCs/>
        </w:rPr>
      </w:pPr>
      <w:r w:rsidRPr="00D36601">
        <w:t>253.</w:t>
      </w:r>
      <w:r w:rsidRPr="00D36601">
        <w:tab/>
        <w:t xml:space="preserve">El Marco Estratégico para el Crecimiento y la Reducción de la Pobreza 2012-2017 se distingue por ser más completo en cuanto a la promoción de los derechos del niño, al incluir la protección de la infancia entre sus prioridades. </w:t>
      </w:r>
    </w:p>
    <w:p w14:paraId="572DB426" w14:textId="77777777" w:rsidR="00D36601" w:rsidRPr="00D36601" w:rsidRDefault="00D36601" w:rsidP="00D36601">
      <w:pPr>
        <w:pStyle w:val="SingleTxtG"/>
        <w:rPr>
          <w:bCs/>
        </w:rPr>
      </w:pPr>
      <w:r w:rsidRPr="00D36601">
        <w:t>254.</w:t>
      </w:r>
      <w:r w:rsidRPr="00D36601">
        <w:tab/>
        <w:t>La aplicación del programa destinado a lograr la educación para todos para 2015 ha arrojado los siguientes resultados:</w:t>
      </w:r>
    </w:p>
    <w:p w14:paraId="0F650201" w14:textId="6F1A1563" w:rsidR="00D36601" w:rsidRPr="00D36601" w:rsidRDefault="00D36601" w:rsidP="0012196B">
      <w:pPr>
        <w:pStyle w:val="Bullet1G"/>
      </w:pPr>
      <w:r w:rsidRPr="00D36601">
        <w:t>Tasa neta de escolarización en el primer ciclo de educación básica: del 56,7 % en 2005 al 62,1 % en 2011.</w:t>
      </w:r>
    </w:p>
    <w:p w14:paraId="310A9EEE" w14:textId="3A35294E" w:rsidR="00D36601" w:rsidRPr="00D36601" w:rsidRDefault="00D36601" w:rsidP="0012196B">
      <w:pPr>
        <w:pStyle w:val="Bullet1G"/>
      </w:pPr>
      <w:r w:rsidRPr="00D36601">
        <w:t>Tasa de abandono en el primer ciclo de educación básica: del 4,6 % en 2006 al 2,7 % en 2011.</w:t>
      </w:r>
    </w:p>
    <w:p w14:paraId="7F7FDDA2" w14:textId="20878E04" w:rsidR="00D36601" w:rsidRPr="00D36601" w:rsidRDefault="00D36601" w:rsidP="0012196B">
      <w:pPr>
        <w:pStyle w:val="Bullet1G"/>
      </w:pPr>
      <w:r w:rsidRPr="00D36601">
        <w:t>Índice de paridad: 0,8 en 2011.</w:t>
      </w:r>
    </w:p>
    <w:p w14:paraId="67669380" w14:textId="7940EE3E" w:rsidR="00D36601" w:rsidRPr="00D36601" w:rsidRDefault="00D36601" w:rsidP="0012196B">
      <w:pPr>
        <w:pStyle w:val="Bullet1G"/>
      </w:pPr>
      <w:r w:rsidRPr="00D36601">
        <w:t>Asignación destinada al sector de la educación en el presupuesto nacional: del 15,4 % en 2005 al 36,0 % en 2011.</w:t>
      </w:r>
    </w:p>
    <w:p w14:paraId="653574E2" w14:textId="01A73A33" w:rsidR="00D36601" w:rsidRPr="00D36601" w:rsidRDefault="00D36601" w:rsidP="0012196B">
      <w:pPr>
        <w:pStyle w:val="Bullet1G"/>
      </w:pPr>
      <w:r w:rsidRPr="00D36601">
        <w:t>Dotación de personal docente en el primer ciclo de educación básica: de 46.950 en</w:t>
      </w:r>
      <w:r w:rsidR="00B94F11">
        <w:t> </w:t>
      </w:r>
      <w:r w:rsidRPr="00D36601">
        <w:t>2010 a 50.553 en 2011.</w:t>
      </w:r>
    </w:p>
    <w:p w14:paraId="4ED1E4B5" w14:textId="5BE105D0" w:rsidR="00D36601" w:rsidRPr="00D36601" w:rsidRDefault="0012196B" w:rsidP="0012196B">
      <w:pPr>
        <w:pStyle w:val="H23G"/>
      </w:pPr>
      <w:bookmarkStart w:id="571" w:name="_Toc414373091"/>
      <w:bookmarkStart w:id="572" w:name="_Toc414373320"/>
      <w:bookmarkStart w:id="573" w:name="_Toc414377820"/>
      <w:r>
        <w:lastRenderedPageBreak/>
        <w:tab/>
      </w:r>
      <w:r w:rsidR="00D36601" w:rsidRPr="00D36601">
        <w:t>27.</w:t>
      </w:r>
      <w:r w:rsidR="00D36601" w:rsidRPr="00D36601">
        <w:tab/>
        <w:t>Niños en situación de calle/niños mendigos</w:t>
      </w:r>
      <w:bookmarkEnd w:id="571"/>
      <w:bookmarkEnd w:id="572"/>
      <w:bookmarkEnd w:id="573"/>
    </w:p>
    <w:p w14:paraId="653FCF17" w14:textId="77777777" w:rsidR="00D36601" w:rsidRPr="00D36601" w:rsidRDefault="00D36601" w:rsidP="00D36601">
      <w:pPr>
        <w:pStyle w:val="SingleTxtG"/>
        <w:rPr>
          <w:bCs/>
        </w:rPr>
      </w:pPr>
      <w:r w:rsidRPr="00D36601">
        <w:t>255.</w:t>
      </w:r>
      <w:r w:rsidRPr="00D36601">
        <w:tab/>
        <w:t xml:space="preserve">Todavía no existe ningún estudio nacional dedicado de manera específica a los niños en situación de calle. </w:t>
      </w:r>
    </w:p>
    <w:p w14:paraId="5BF88F4D" w14:textId="62A8D26E" w:rsidR="00D36601" w:rsidRPr="00D36601" w:rsidRDefault="0012196B" w:rsidP="0012196B">
      <w:pPr>
        <w:pStyle w:val="H23G"/>
      </w:pPr>
      <w:bookmarkStart w:id="574" w:name="_Toc414373092"/>
      <w:bookmarkStart w:id="575" w:name="_Toc414373321"/>
      <w:bookmarkStart w:id="576" w:name="_Toc414377821"/>
      <w:r>
        <w:tab/>
      </w:r>
      <w:r w:rsidR="00D36601" w:rsidRPr="00D36601">
        <w:t>28.</w:t>
      </w:r>
      <w:r w:rsidR="00D36601" w:rsidRPr="00D36601">
        <w:tab/>
        <w:t>Explotación económica, incluido el trabajo infantil</w:t>
      </w:r>
      <w:bookmarkEnd w:id="574"/>
      <w:bookmarkEnd w:id="575"/>
      <w:bookmarkEnd w:id="576"/>
    </w:p>
    <w:p w14:paraId="699E7707" w14:textId="77777777" w:rsidR="00D36601" w:rsidRPr="00D36601" w:rsidRDefault="00D36601" w:rsidP="00D36601">
      <w:pPr>
        <w:pStyle w:val="SingleTxtG"/>
        <w:rPr>
          <w:bCs/>
        </w:rPr>
      </w:pPr>
      <w:r w:rsidRPr="00D36601">
        <w:t>256.</w:t>
      </w:r>
      <w:r w:rsidRPr="00D36601">
        <w:tab/>
        <w:t>Al Programa Nacional de Lucha contra el Trabajo Infantil le siguieron otros dos programas nacionales:</w:t>
      </w:r>
    </w:p>
    <w:p w14:paraId="7F49439F" w14:textId="5FBBD76E" w:rsidR="00D36601" w:rsidRPr="00D36601" w:rsidRDefault="0012196B" w:rsidP="0012196B">
      <w:pPr>
        <w:pStyle w:val="H4G"/>
      </w:pPr>
      <w:r>
        <w:tab/>
      </w:r>
      <w:r w:rsidR="00D36601" w:rsidRPr="00D36601">
        <w:tab/>
        <w:t>Apoyo al Programa Sujeto a Plazos para la Erradicación del Trabajo Infantil</w:t>
      </w:r>
    </w:p>
    <w:p w14:paraId="38B4232C" w14:textId="77777777" w:rsidR="00D36601" w:rsidRPr="00D36601" w:rsidRDefault="00D36601" w:rsidP="00D36601">
      <w:pPr>
        <w:pStyle w:val="SingleTxtG"/>
        <w:rPr>
          <w:bCs/>
        </w:rPr>
      </w:pPr>
      <w:r w:rsidRPr="00D36601">
        <w:t>257.</w:t>
      </w:r>
      <w:r w:rsidRPr="00D36601">
        <w:tab/>
        <w:t>Este programa, iniciado en 2007, brinda un marco global e integrado para la lucha contra el trabajo infantil. El Programa de Acción Directa se centra en la rápida eliminación de las peores formas de trabajo infantil aprovechando la experiencia acumulada por el Programa Nacional de Lucha contra el Trabajo Infantil. Su objetivo es:</w:t>
      </w:r>
    </w:p>
    <w:p w14:paraId="71B624ED" w14:textId="75567044" w:rsidR="00D36601" w:rsidRPr="00D36601" w:rsidRDefault="00D36601" w:rsidP="0012196B">
      <w:pPr>
        <w:pStyle w:val="Bullet1G"/>
      </w:pPr>
      <w:r w:rsidRPr="00D36601">
        <w:t>Dotar al Gobierno y a las organizaciones asociadas pertinentes de los mecanismos necesarios para asignar recursos humanos y financieros suficientes al diseño, la aplicación y el seguimiento de iniciativas que aborden las peores formas de trabajo infantil a través de un programa nacional con plazos definidos.</w:t>
      </w:r>
    </w:p>
    <w:p w14:paraId="73B37F0C" w14:textId="6178A1FF" w:rsidR="00D36601" w:rsidRPr="00D36601" w:rsidRDefault="00D36601" w:rsidP="0012196B">
      <w:pPr>
        <w:pStyle w:val="Bullet1G"/>
      </w:pPr>
      <w:bookmarkStart w:id="577" w:name="22"/>
      <w:bookmarkEnd w:id="577"/>
      <w:r w:rsidRPr="00D36601">
        <w:t>Reforzar, difundir y hacer cumplir el marco legislativo que prohíbe las peores formas de trabajo infantil.</w:t>
      </w:r>
    </w:p>
    <w:p w14:paraId="481DDF61" w14:textId="4A9BC515" w:rsidR="00D36601" w:rsidRPr="00D36601" w:rsidRDefault="00D36601" w:rsidP="0012196B">
      <w:pPr>
        <w:pStyle w:val="Bullet1G"/>
      </w:pPr>
      <w:r w:rsidRPr="00D36601">
        <w:t>Facilitar al Gobierno y sus asociados los mecanismos adecuados para la reunión, el análisis y la actualización de datos sobre el trabajo infantil.</w:t>
      </w:r>
    </w:p>
    <w:p w14:paraId="3D0F54FF" w14:textId="5EB266D6" w:rsidR="00D36601" w:rsidRPr="00D36601" w:rsidRDefault="00D36601" w:rsidP="0012196B">
      <w:pPr>
        <w:pStyle w:val="Bullet1G"/>
      </w:pPr>
      <w:r w:rsidRPr="00D36601">
        <w:t>Etc.</w:t>
      </w:r>
    </w:p>
    <w:p w14:paraId="103C7C6D" w14:textId="7D1FF72E" w:rsidR="00D36601" w:rsidRPr="00D36601" w:rsidRDefault="0012196B" w:rsidP="0012196B">
      <w:pPr>
        <w:pStyle w:val="H4G"/>
      </w:pPr>
      <w:r>
        <w:tab/>
      </w:r>
      <w:r w:rsidR="00D36601" w:rsidRPr="00D36601">
        <w:tab/>
        <w:t>Proyecto de lucha contra el trabajo infantil a través de la educación (</w:t>
      </w:r>
      <w:proofErr w:type="spellStart"/>
      <w:r w:rsidR="00D36601" w:rsidRPr="00D36601">
        <w:t>TACKLE</w:t>
      </w:r>
      <w:proofErr w:type="spellEnd"/>
      <w:r w:rsidR="00D36601" w:rsidRPr="00D36601">
        <w:t>)</w:t>
      </w:r>
    </w:p>
    <w:p w14:paraId="7B7E2781" w14:textId="77777777" w:rsidR="00D36601" w:rsidRPr="00D36601" w:rsidRDefault="00D36601" w:rsidP="00D36601">
      <w:pPr>
        <w:pStyle w:val="SingleTxtG"/>
        <w:rPr>
          <w:bCs/>
        </w:rPr>
      </w:pPr>
      <w:r w:rsidRPr="00D36601">
        <w:t>258.</w:t>
      </w:r>
      <w:r w:rsidRPr="00D36601">
        <w:tab/>
        <w:t xml:space="preserve">Este proyecto, iniciado en 2008, tiene como objetivos: </w:t>
      </w:r>
    </w:p>
    <w:p w14:paraId="31BE6BC3" w14:textId="460C27FF" w:rsidR="00D36601" w:rsidRPr="00D36601" w:rsidRDefault="00D36601" w:rsidP="0012196B">
      <w:pPr>
        <w:pStyle w:val="Bullet1G"/>
      </w:pPr>
      <w:r w:rsidRPr="00D36601">
        <w:t>Dotar al Gobierno de Malí y a las organizaciones asociadas pertinentes de los mecanismos necesarios para asignar recursos humanos y financieros suficientes al diseño, la aplicación y el seguimiento de iniciativas que aborden las peores formas de trabajo infantil a través de un programa nacional con plazos definidos.</w:t>
      </w:r>
    </w:p>
    <w:p w14:paraId="7138E0E4" w14:textId="22394ACE" w:rsidR="00D36601" w:rsidRPr="00D36601" w:rsidRDefault="00D36601" w:rsidP="0012196B">
      <w:pPr>
        <w:pStyle w:val="Bullet1G"/>
      </w:pPr>
      <w:r w:rsidRPr="00D36601">
        <w:t>Reforzar, difundir y hacer cumplir el marco legislativo que prohíbe las peores formas de trabajo infantil.</w:t>
      </w:r>
    </w:p>
    <w:p w14:paraId="2E188EDA" w14:textId="550A5225" w:rsidR="00D36601" w:rsidRPr="00D36601" w:rsidRDefault="00D36601" w:rsidP="0012196B">
      <w:pPr>
        <w:pStyle w:val="Bullet1G"/>
      </w:pPr>
      <w:r w:rsidRPr="00D36601">
        <w:t>Facilitar al Gobierno y a sus asociados pertinentes los mecanismos adecuados para la reunión, el análisis, el almacenamiento y la utilización activa de datos sobre el trabajo infantil.</w:t>
      </w:r>
    </w:p>
    <w:p w14:paraId="7F2D1D21" w14:textId="3CEFF443" w:rsidR="00D36601" w:rsidRPr="00D36601" w:rsidRDefault="00D36601" w:rsidP="0012196B">
      <w:pPr>
        <w:pStyle w:val="Bullet1G"/>
      </w:pPr>
      <w:r w:rsidRPr="00D36601">
        <w:t xml:space="preserve">Etc. </w:t>
      </w:r>
    </w:p>
    <w:p w14:paraId="00C37653" w14:textId="77777777" w:rsidR="00D36601" w:rsidRPr="00D36601" w:rsidRDefault="00D36601" w:rsidP="00D36601">
      <w:pPr>
        <w:pStyle w:val="SingleTxtG"/>
        <w:rPr>
          <w:bCs/>
        </w:rPr>
      </w:pPr>
      <w:r w:rsidRPr="00D36601">
        <w:t>259.</w:t>
      </w:r>
      <w:r w:rsidRPr="00D36601">
        <w:tab/>
        <w:t xml:space="preserve">Entre las medidas adoptadas cabe señalar: </w:t>
      </w:r>
    </w:p>
    <w:p w14:paraId="659F0107" w14:textId="17F2C4C2" w:rsidR="00D36601" w:rsidRPr="00D36601" w:rsidRDefault="00D36601" w:rsidP="0012196B">
      <w:pPr>
        <w:pStyle w:val="Bullet1G"/>
      </w:pPr>
      <w:bookmarkStart w:id="578" w:name="23"/>
      <w:bookmarkEnd w:id="578"/>
      <w:r w:rsidRPr="00D36601">
        <w:t>La mejora de la situación de los niños que trabajan en las minas de oro.</w:t>
      </w:r>
    </w:p>
    <w:p w14:paraId="1FF75033" w14:textId="71A6AEE7" w:rsidR="00D36601" w:rsidRPr="00D36601" w:rsidRDefault="00D36601" w:rsidP="0012196B">
      <w:pPr>
        <w:pStyle w:val="Bullet1G"/>
      </w:pPr>
      <w:r w:rsidRPr="00D36601">
        <w:t>La mejora de la situación de los niños que trabajan en garajes y en los sectores del metal y la madera en el distrito de Bamako.</w:t>
      </w:r>
    </w:p>
    <w:p w14:paraId="6DCC6D9F" w14:textId="292F1AB2" w:rsidR="00D36601" w:rsidRPr="00D36601" w:rsidRDefault="00D36601" w:rsidP="0012196B">
      <w:pPr>
        <w:pStyle w:val="Bullet1G"/>
      </w:pPr>
      <w:r w:rsidRPr="00D36601">
        <w:t>El refuerzo de la capacidad organizativa de las asociaciones y agrupaciones de niños trabajadores.</w:t>
      </w:r>
    </w:p>
    <w:p w14:paraId="56965656" w14:textId="58B85C98" w:rsidR="00D36601" w:rsidRPr="00D36601" w:rsidRDefault="00D36601" w:rsidP="0012196B">
      <w:pPr>
        <w:pStyle w:val="Bullet1G"/>
      </w:pPr>
      <w:r w:rsidRPr="00D36601">
        <w:t>El estudio de la situación de las niñas que trabajan en hoteles, bares y restaurantes del distrito de Bamako.</w:t>
      </w:r>
    </w:p>
    <w:p w14:paraId="607AF888" w14:textId="33C51B85" w:rsidR="00D36601" w:rsidRPr="00D36601" w:rsidRDefault="0012196B" w:rsidP="0012196B">
      <w:pPr>
        <w:pStyle w:val="H23G"/>
      </w:pPr>
      <w:bookmarkStart w:id="579" w:name="_Toc414373093"/>
      <w:bookmarkStart w:id="580" w:name="_Toc414373322"/>
      <w:bookmarkStart w:id="581" w:name="_Toc414377822"/>
      <w:r>
        <w:tab/>
      </w:r>
      <w:r w:rsidR="00D36601" w:rsidRPr="00D36601">
        <w:t>29.</w:t>
      </w:r>
      <w:r w:rsidR="00D36601" w:rsidRPr="00D36601">
        <w:tab/>
        <w:t>Explotación sexual y prostitución</w:t>
      </w:r>
      <w:bookmarkEnd w:id="579"/>
      <w:bookmarkEnd w:id="580"/>
      <w:bookmarkEnd w:id="581"/>
    </w:p>
    <w:p w14:paraId="689D6AB2" w14:textId="77777777" w:rsidR="00D36601" w:rsidRPr="00D36601" w:rsidRDefault="00D36601" w:rsidP="00D36601">
      <w:pPr>
        <w:pStyle w:val="SingleTxtG"/>
        <w:rPr>
          <w:bCs/>
        </w:rPr>
      </w:pPr>
      <w:r w:rsidRPr="00D36601">
        <w:t>260.</w:t>
      </w:r>
      <w:r w:rsidRPr="00D36601">
        <w:tab/>
        <w:t xml:space="preserve">La lucha contra la explotación sexual forma parte integrante de la protección de la infancia en Malí. Actualmente se está realizando un estudio para comprender mejor el fenómeno. Mientras tanto, se está actuando para prevenir el fenómeno y proteger a las víctimas. Estas actuaciones incluyen la labor de comunicación y sensibilización, así como la adopción y aplicación de medidas de asistencia a las víctimas. </w:t>
      </w:r>
    </w:p>
    <w:p w14:paraId="7A132114" w14:textId="705436BC" w:rsidR="00D36601" w:rsidRPr="00D36601" w:rsidRDefault="0012196B" w:rsidP="0012196B">
      <w:pPr>
        <w:pStyle w:val="H23G"/>
      </w:pPr>
      <w:bookmarkStart w:id="582" w:name="_Toc414373094"/>
      <w:bookmarkStart w:id="583" w:name="_Toc414373323"/>
      <w:bookmarkStart w:id="584" w:name="_Toc414377823"/>
      <w:r>
        <w:lastRenderedPageBreak/>
        <w:tab/>
      </w:r>
      <w:r w:rsidR="00D36601" w:rsidRPr="00D36601">
        <w:t>30.</w:t>
      </w:r>
      <w:r w:rsidR="00D36601" w:rsidRPr="00D36601">
        <w:tab/>
        <w:t>Trata de niños</w:t>
      </w:r>
      <w:bookmarkEnd w:id="582"/>
      <w:bookmarkEnd w:id="583"/>
      <w:bookmarkEnd w:id="584"/>
    </w:p>
    <w:p w14:paraId="4AE8E41E" w14:textId="77777777" w:rsidR="00D36601" w:rsidRPr="00D36601" w:rsidRDefault="00D36601" w:rsidP="00D36601">
      <w:pPr>
        <w:pStyle w:val="SingleTxtG"/>
        <w:rPr>
          <w:bCs/>
        </w:rPr>
      </w:pPr>
      <w:r w:rsidRPr="00D36601">
        <w:t>261.</w:t>
      </w:r>
      <w:r w:rsidRPr="00D36601">
        <w:tab/>
        <w:t>En el marco de la lucha contra la trata, se ha seguido trabajando en los ámbitos de la coordinación, el seguimiento de los acuerdos bilaterales y multilaterales, la repatriación y el apoyo a los niños repatriados o interceptados. Se ha puesto especial empeño en reforzar el sistema comunitario de vigilancia, con la creación y el apoyo de al menos 450 estructuras comunitarias de vigilancia.</w:t>
      </w:r>
    </w:p>
    <w:p w14:paraId="63842372" w14:textId="099F03CA" w:rsidR="00D36601" w:rsidRPr="00D36601" w:rsidRDefault="0012196B" w:rsidP="0012196B">
      <w:pPr>
        <w:pStyle w:val="H23G"/>
      </w:pPr>
      <w:bookmarkStart w:id="585" w:name="_Toc414373095"/>
      <w:bookmarkStart w:id="586" w:name="_Toc414373324"/>
      <w:bookmarkStart w:id="587" w:name="_Toc414377824"/>
      <w:r>
        <w:tab/>
      </w:r>
      <w:r w:rsidR="00D36601" w:rsidRPr="00D36601">
        <w:t>31.</w:t>
      </w:r>
      <w:r w:rsidR="00D36601" w:rsidRPr="00D36601">
        <w:tab/>
        <w:t>Justicia juvenil</w:t>
      </w:r>
      <w:bookmarkEnd w:id="585"/>
      <w:bookmarkEnd w:id="586"/>
      <w:bookmarkEnd w:id="587"/>
    </w:p>
    <w:p w14:paraId="5F50B05E" w14:textId="77777777" w:rsidR="00D36601" w:rsidRPr="00D36601" w:rsidRDefault="00D36601" w:rsidP="00D36601">
      <w:pPr>
        <w:pStyle w:val="SingleTxtG"/>
        <w:rPr>
          <w:bCs/>
        </w:rPr>
      </w:pPr>
      <w:r w:rsidRPr="00D36601">
        <w:t>262.</w:t>
      </w:r>
      <w:r w:rsidRPr="00D36601">
        <w:tab/>
        <w:t xml:space="preserve">La Ley núm. 01-081, de 24 de agosto de 2001, relativa a la edad de imputabilidad penal y la creación de tribunales de menores, incorpora las disposiciones de la Convención sobre los Derechos del Niño en materia de justicia juvenil. Proporciona al sistema de justicia juvenil un marco jurídico centrado en el niño. El Código de Protección del Niño incorpora plenamente las disposiciones contenidas en las Reglas Mínimas de las Naciones Unidas para la Administración de la Justicia de Menores (Reglas de Beijing), que forman parte del mismo marco que otros dos conjuntos de normas vigentes que rigen la justicia juvenil: las Reglas de las Naciones Unidas para la Protección de los Menores Privados de Libertad y las Directrices de las Naciones Unidas para la Prevención de la Delincuencia Juvenil. </w:t>
      </w:r>
    </w:p>
    <w:p w14:paraId="358AEBD4" w14:textId="34611EEC" w:rsidR="00D36601" w:rsidRPr="00D36601" w:rsidRDefault="0012196B" w:rsidP="0012196B">
      <w:pPr>
        <w:pStyle w:val="H23G"/>
      </w:pPr>
      <w:bookmarkStart w:id="588" w:name="_Toc414373096"/>
      <w:bookmarkStart w:id="589" w:name="_Toc414373325"/>
      <w:bookmarkStart w:id="590" w:name="_Toc414377825"/>
      <w:r>
        <w:tab/>
      </w:r>
      <w:r w:rsidR="00D36601" w:rsidRPr="00D36601">
        <w:t>32.</w:t>
      </w:r>
      <w:r w:rsidR="00D36601" w:rsidRPr="00D36601">
        <w:tab/>
        <w:t>Protocolos Facultativos de la Convención sobre los Derechos del Niño</w:t>
      </w:r>
      <w:bookmarkEnd w:id="588"/>
      <w:bookmarkEnd w:id="589"/>
      <w:bookmarkEnd w:id="590"/>
    </w:p>
    <w:p w14:paraId="2D85EA26" w14:textId="77777777" w:rsidR="00D36601" w:rsidRPr="00D36601" w:rsidRDefault="00D36601" w:rsidP="00D36601">
      <w:pPr>
        <w:pStyle w:val="SingleTxtG"/>
      </w:pPr>
      <w:r w:rsidRPr="00D36601">
        <w:t>263.</w:t>
      </w:r>
      <w:r w:rsidRPr="00D36601">
        <w:tab/>
        <w:t xml:space="preserve">En sus observaciones finales sobre el segundo informe de Malí relativo a la Convención sobre los Derechos del Niño, el Comité alentó a Malí a que presentara sus informes iniciales en virtud del Protocolo Facultativo de la Convención sobre los Derechos del Niño relativo a la venta de niños, la prostitución infantil y la utilización de niños en la pornografía y del Protocolo Facultativo relativo a la participación de niños en los conflictos armados, que debían presentarse en junio de 2004. </w:t>
      </w:r>
    </w:p>
    <w:p w14:paraId="05748E3F" w14:textId="77777777" w:rsidR="00D36601" w:rsidRPr="00D36601" w:rsidRDefault="00D36601" w:rsidP="00D36601">
      <w:pPr>
        <w:pStyle w:val="SingleTxtG"/>
      </w:pPr>
      <w:r w:rsidRPr="00D36601">
        <w:t>264.</w:t>
      </w:r>
      <w:r w:rsidRPr="00D36601">
        <w:tab/>
        <w:t>Estos informes iniciales aún no se han presentado. Se están tomando medidas para que los informes iniciales sobre los protocolos mencionados se elaboren en cuanto se presente el presente informe. Entretanto, se está trabajando para garantizar la plena aplicación de estos protocolos.</w:t>
      </w:r>
    </w:p>
    <w:p w14:paraId="6381C394" w14:textId="510976E9" w:rsidR="00D36601" w:rsidRPr="00D36601" w:rsidRDefault="00E777E2" w:rsidP="00E777E2">
      <w:pPr>
        <w:pStyle w:val="HChG"/>
      </w:pPr>
      <w:bookmarkStart w:id="591" w:name="_Toc414373097"/>
      <w:bookmarkStart w:id="592" w:name="_Toc414377826"/>
      <w:bookmarkStart w:id="593" w:name="_Toc35441145"/>
      <w:r>
        <w:tab/>
      </w:r>
      <w:r w:rsidR="00D36601" w:rsidRPr="00D36601">
        <w:tab/>
        <w:t>Conclusión</w:t>
      </w:r>
      <w:bookmarkEnd w:id="591"/>
      <w:bookmarkEnd w:id="592"/>
      <w:bookmarkEnd w:id="593"/>
    </w:p>
    <w:p w14:paraId="0438E38E" w14:textId="77777777" w:rsidR="00D36601" w:rsidRPr="00D36601" w:rsidRDefault="00D36601" w:rsidP="00D36601">
      <w:pPr>
        <w:pStyle w:val="SingleTxtG"/>
      </w:pPr>
      <w:r w:rsidRPr="00D36601">
        <w:t>265.</w:t>
      </w:r>
      <w:r w:rsidRPr="00D36601">
        <w:tab/>
        <w:t xml:space="preserve">Este informe, a pesar del retraso en su presentación, demuestra que el Gobierno de Malí sigue respetando su compromiso de elaborar informes periódicos sobre la aplicación de la Convención sobre los Derechos del Niño. </w:t>
      </w:r>
    </w:p>
    <w:p w14:paraId="157E6973" w14:textId="77777777" w:rsidR="00D36601" w:rsidRPr="00D36601" w:rsidRDefault="00D36601" w:rsidP="00D36601">
      <w:pPr>
        <w:pStyle w:val="SingleTxtG"/>
      </w:pPr>
      <w:r w:rsidRPr="00D36601">
        <w:t>266.</w:t>
      </w:r>
      <w:r w:rsidRPr="00D36601">
        <w:tab/>
        <w:t xml:space="preserve">Como en informes anteriores, el análisis de este informe permite constatar los avances logrados en los ámbitos de la supervivencia infantil y la escolarización. Sin embargo, cabe señalar que persisten los mismos problemas, sobre todo en lo que respecta a la lucha contra la violencia ejercida contra los niños. </w:t>
      </w:r>
    </w:p>
    <w:p w14:paraId="2DA0105C" w14:textId="77777777" w:rsidR="00D36601" w:rsidRPr="00D36601" w:rsidRDefault="00D36601" w:rsidP="00D36601">
      <w:pPr>
        <w:pStyle w:val="SingleTxtG"/>
      </w:pPr>
      <w:r w:rsidRPr="00D36601">
        <w:t>267.</w:t>
      </w:r>
      <w:r w:rsidRPr="00D36601">
        <w:tab/>
        <w:t>La crisis de 2012 en Malí no solo acentuó las prácticas violentas, sino que también mostró los límites de la capacidad técnica y organizativa del Gobierno y sus asociados para hacer frente a situaciones de emergencia. Las reflexiones e iniciativas en curso pretenden aprender de estas carencias, que forman parte de los problemas mencionados.</w:t>
      </w:r>
    </w:p>
    <w:p w14:paraId="70A05A02" w14:textId="77777777" w:rsidR="00D36601" w:rsidRPr="00D36601" w:rsidRDefault="00D36601" w:rsidP="00D36601">
      <w:pPr>
        <w:pStyle w:val="SingleTxtG"/>
      </w:pPr>
      <w:r w:rsidRPr="00D36601">
        <w:t>268.</w:t>
      </w:r>
      <w:r w:rsidRPr="00D36601">
        <w:tab/>
        <w:t>Malí sigue convencido de que el bienestar de los niños exige la aplicación efectiva de las disposiciones de la Convención sobre los Derechos del Niño. Las actuales políticas y programas nacionales de desarrollo se ajustan a esta visión.</w:t>
      </w:r>
    </w:p>
    <w:p w14:paraId="44F200A5" w14:textId="697469F2" w:rsidR="0017609B" w:rsidRPr="00E777E2" w:rsidRDefault="00E777E2" w:rsidP="00E777E2">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17609B" w:rsidRPr="00E777E2" w:rsidSect="00B97CD3">
      <w:headerReference w:type="even" r:id="rId24"/>
      <w:headerReference w:type="default" r:id="rId25"/>
      <w:footerReference w:type="even" r:id="rId26"/>
      <w:footerReference w:type="default" r:id="rId27"/>
      <w:footerReference w:type="first" r:id="rId2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2EAFA" w14:textId="77777777" w:rsidR="0088679D" w:rsidRPr="007C2DEF" w:rsidRDefault="0088679D" w:rsidP="007C2DEF">
      <w:pPr>
        <w:pStyle w:val="Piedepgina"/>
      </w:pPr>
    </w:p>
  </w:endnote>
  <w:endnote w:type="continuationSeparator" w:id="0">
    <w:p w14:paraId="298C6646" w14:textId="77777777" w:rsidR="0088679D" w:rsidRPr="007C2DEF" w:rsidRDefault="0088679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4500A" w14:textId="2AF7FFE5" w:rsidR="00B97CD3" w:rsidRPr="00B97CD3" w:rsidRDefault="00B97CD3" w:rsidP="00B97CD3">
    <w:pPr>
      <w:pStyle w:val="Piedepgina"/>
      <w:tabs>
        <w:tab w:val="right" w:pos="9638"/>
      </w:tabs>
    </w:pPr>
    <w:r w:rsidRPr="00B97CD3">
      <w:rPr>
        <w:b/>
        <w:sz w:val="18"/>
      </w:rPr>
      <w:fldChar w:fldCharType="begin"/>
    </w:r>
    <w:r w:rsidRPr="00B97CD3">
      <w:rPr>
        <w:b/>
        <w:sz w:val="18"/>
      </w:rPr>
      <w:instrText xml:space="preserve"> PAGE  \* MERGEFORMAT </w:instrText>
    </w:r>
    <w:r w:rsidRPr="00B97CD3">
      <w:rPr>
        <w:b/>
        <w:sz w:val="18"/>
      </w:rPr>
      <w:fldChar w:fldCharType="separate"/>
    </w:r>
    <w:r w:rsidRPr="00B97CD3">
      <w:rPr>
        <w:b/>
        <w:noProof/>
        <w:sz w:val="18"/>
      </w:rPr>
      <w:t>2</w:t>
    </w:r>
    <w:r w:rsidRPr="00B97CD3">
      <w:rPr>
        <w:b/>
        <w:sz w:val="18"/>
      </w:rPr>
      <w:fldChar w:fldCharType="end"/>
    </w:r>
    <w:r>
      <w:rPr>
        <w:b/>
        <w:sz w:val="18"/>
      </w:rPr>
      <w:tab/>
    </w:r>
    <w:proofErr w:type="spellStart"/>
    <w:r>
      <w:t>GE.23</w:t>
    </w:r>
    <w:proofErr w:type="spellEnd"/>
    <w:r>
      <w:t>-10971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AA28A" w14:textId="42378990" w:rsidR="00B97CD3" w:rsidRPr="00B97CD3" w:rsidRDefault="00B97CD3" w:rsidP="00B97CD3">
    <w:pPr>
      <w:pStyle w:val="Piedepgina"/>
      <w:tabs>
        <w:tab w:val="right" w:pos="9638"/>
      </w:tabs>
      <w:rPr>
        <w:b/>
        <w:sz w:val="18"/>
      </w:rPr>
    </w:pPr>
    <w:proofErr w:type="spellStart"/>
    <w:r>
      <w:t>GE.23</w:t>
    </w:r>
    <w:proofErr w:type="spellEnd"/>
    <w:r>
      <w:t>-10971</w:t>
    </w:r>
    <w:r>
      <w:tab/>
    </w:r>
    <w:r w:rsidRPr="00B97CD3">
      <w:rPr>
        <w:b/>
        <w:sz w:val="18"/>
      </w:rPr>
      <w:fldChar w:fldCharType="begin"/>
    </w:r>
    <w:r w:rsidRPr="00B97CD3">
      <w:rPr>
        <w:b/>
        <w:sz w:val="18"/>
      </w:rPr>
      <w:instrText xml:space="preserve"> PAGE  \* MERGEFORMAT </w:instrText>
    </w:r>
    <w:r w:rsidRPr="00B97CD3">
      <w:rPr>
        <w:b/>
        <w:sz w:val="18"/>
      </w:rPr>
      <w:fldChar w:fldCharType="separate"/>
    </w:r>
    <w:r w:rsidRPr="00B97CD3">
      <w:rPr>
        <w:b/>
        <w:noProof/>
        <w:sz w:val="18"/>
      </w:rPr>
      <w:t>3</w:t>
    </w:r>
    <w:r w:rsidRPr="00B97C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42EB0" w14:textId="72336E7D" w:rsidR="007E16A7" w:rsidRPr="00B97CD3" w:rsidRDefault="00B97CD3" w:rsidP="00B97CD3">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59B97540" wp14:editId="6BD1533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-10971  (S)</w:t>
    </w:r>
    <w:r>
      <w:rPr>
        <w:noProof/>
        <w:sz w:val="20"/>
      </w:rPr>
      <w:drawing>
        <wp:anchor distT="0" distB="0" distL="114300" distR="114300" simplePos="0" relativeHeight="251658752" behindDoc="0" locked="0" layoutInCell="1" allowOverlap="1" wp14:anchorId="4BCE0D27" wp14:editId="50D7DC7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201023    </w:t>
    </w:r>
    <w:r w:rsidR="00615FEB">
      <w:rPr>
        <w:sz w:val="20"/>
      </w:rPr>
      <w:t>1</w:t>
    </w:r>
    <w:r w:rsidR="00641792">
      <w:rPr>
        <w:sz w:val="20"/>
      </w:rPr>
      <w:t>0</w:t>
    </w:r>
    <w:r>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FF6BF" w14:textId="77777777" w:rsidR="0088679D" w:rsidRPr="001075E9" w:rsidRDefault="0088679D" w:rsidP="001075E9">
      <w:pPr>
        <w:tabs>
          <w:tab w:val="right" w:pos="2155"/>
        </w:tabs>
        <w:spacing w:after="80" w:line="240" w:lineRule="auto"/>
        <w:ind w:left="680"/>
        <w:rPr>
          <w:u w:val="single"/>
        </w:rPr>
      </w:pPr>
      <w:r>
        <w:rPr>
          <w:u w:val="single"/>
        </w:rPr>
        <w:tab/>
      </w:r>
    </w:p>
  </w:footnote>
  <w:footnote w:type="continuationSeparator" w:id="0">
    <w:p w14:paraId="1C76AC49" w14:textId="77777777" w:rsidR="0088679D" w:rsidRDefault="0088679D" w:rsidP="007C2DEF">
      <w:pPr>
        <w:tabs>
          <w:tab w:val="right" w:pos="2155"/>
        </w:tabs>
        <w:spacing w:after="80" w:line="240" w:lineRule="auto"/>
        <w:ind w:left="680"/>
        <w:rPr>
          <w:u w:val="single"/>
        </w:rPr>
      </w:pPr>
      <w:r>
        <w:rPr>
          <w:u w:val="single"/>
        </w:rPr>
        <w:tab/>
      </w:r>
    </w:p>
  </w:footnote>
  <w:footnote w:id="1">
    <w:p w14:paraId="0131FD62" w14:textId="77777777" w:rsidR="007951FE" w:rsidRPr="001D6F21" w:rsidRDefault="007951FE" w:rsidP="004A38BB">
      <w:pPr>
        <w:pStyle w:val="Textonotapie"/>
      </w:pPr>
      <w:r w:rsidRPr="001D6F21">
        <w:tab/>
      </w:r>
      <w:r w:rsidRPr="004A38BB">
        <w:rPr>
          <w:sz w:val="20"/>
          <w:szCs w:val="22"/>
        </w:rPr>
        <w:t>*</w:t>
      </w:r>
      <w:r w:rsidRPr="004A38BB">
        <w:rPr>
          <w:sz w:val="20"/>
          <w:szCs w:val="22"/>
        </w:rPr>
        <w:tab/>
      </w:r>
      <w:r w:rsidRPr="001D6F21">
        <w:t>La versión original del presente documento no fue objeto de revisión editorial oficial.</w:t>
      </w:r>
    </w:p>
  </w:footnote>
  <w:footnote w:id="2">
    <w:p w14:paraId="75D23E70" w14:textId="77777777" w:rsidR="007951FE" w:rsidRPr="001D6F21" w:rsidRDefault="007951FE" w:rsidP="004A38BB">
      <w:pPr>
        <w:pStyle w:val="Textonotapie"/>
      </w:pPr>
      <w:r w:rsidRPr="001D6F21">
        <w:tab/>
      </w:r>
      <w:r w:rsidRPr="004A38BB">
        <w:rPr>
          <w:rStyle w:val="Refdenotaalpie"/>
        </w:rPr>
        <w:footnoteRef/>
      </w:r>
      <w:r w:rsidRPr="001D6F21">
        <w:tab/>
        <w:t>Los Estados partes se comprometen a presentar al Comité, por conducto del Secretario General de las Naciones Unidas, informes sobre las medidas que hayan adoptado para dar efecto a los derechos reconocidos en la Convención y sobre el progreso que hayan realizado en cuanto al goce de esos derechos.</w:t>
      </w:r>
    </w:p>
  </w:footnote>
  <w:footnote w:id="3">
    <w:p w14:paraId="4E89EB86" w14:textId="77777777" w:rsidR="0017609B" w:rsidRPr="00ED636C" w:rsidRDefault="0017609B" w:rsidP="004A38BB">
      <w:pPr>
        <w:pStyle w:val="Textonotapie"/>
      </w:pPr>
      <w:r w:rsidRPr="00ED636C">
        <w:tab/>
      </w:r>
      <w:r w:rsidRPr="004A38BB">
        <w:rPr>
          <w:rStyle w:val="Refdenotaalpie"/>
        </w:rPr>
        <w:footnoteRef/>
      </w:r>
      <w:r w:rsidRPr="00ED636C">
        <w:rPr>
          <w:lang w:val="en-US"/>
        </w:rPr>
        <w:tab/>
        <w:t>MICS-ELIM 2010.</w:t>
      </w:r>
    </w:p>
  </w:footnote>
  <w:footnote w:id="4">
    <w:p w14:paraId="1C1D5982" w14:textId="77777777" w:rsidR="0017609B" w:rsidRPr="00ED636C" w:rsidRDefault="0017609B" w:rsidP="004A38BB">
      <w:pPr>
        <w:pStyle w:val="Textonotapie"/>
        <w:rPr>
          <w:iCs/>
        </w:rPr>
      </w:pPr>
      <w:r w:rsidRPr="00ED636C">
        <w:rPr>
          <w:lang w:val="en-US"/>
        </w:rPr>
        <w:tab/>
      </w:r>
      <w:r w:rsidRPr="004A38BB">
        <w:rPr>
          <w:rStyle w:val="Refdenotaalpie"/>
        </w:rPr>
        <w:footnoteRef/>
      </w:r>
      <w:r w:rsidRPr="00ED636C">
        <w:rPr>
          <w:lang w:val="en-US"/>
        </w:rPr>
        <w:tab/>
        <w:t>MICS-ELIM 2010.</w:t>
      </w:r>
    </w:p>
  </w:footnote>
  <w:footnote w:id="5">
    <w:p w14:paraId="2CFFA44C" w14:textId="77777777" w:rsidR="0017609B" w:rsidRPr="00ED636C" w:rsidRDefault="0017609B" w:rsidP="004A38BB">
      <w:pPr>
        <w:pStyle w:val="Textonotapie"/>
      </w:pPr>
      <w:r w:rsidRPr="00ED636C">
        <w:rPr>
          <w:lang w:val="en-US"/>
        </w:rPr>
        <w:tab/>
      </w:r>
      <w:r w:rsidRPr="004A38BB">
        <w:rPr>
          <w:rStyle w:val="Refdenotaalpie"/>
        </w:rPr>
        <w:footnoteRef/>
      </w:r>
      <w:r w:rsidRPr="00ED636C">
        <w:rPr>
          <w:lang w:val="en-US"/>
        </w:rPr>
        <w:tab/>
        <w:t>MICS-ELIM 2010.</w:t>
      </w:r>
    </w:p>
  </w:footnote>
  <w:footnote w:id="6">
    <w:p w14:paraId="281D43F0" w14:textId="77777777" w:rsidR="00D36601" w:rsidRPr="0010399A" w:rsidRDefault="00D36601" w:rsidP="004A38BB">
      <w:pPr>
        <w:pStyle w:val="Textonotapie"/>
      </w:pPr>
      <w:r w:rsidRPr="0010399A">
        <w:tab/>
      </w:r>
      <w:r w:rsidRPr="004A38BB">
        <w:rPr>
          <w:rStyle w:val="Refdenotaalpie"/>
        </w:rPr>
        <w:footnoteRef/>
      </w:r>
      <w:r w:rsidRPr="0010399A">
        <w:tab/>
      </w:r>
      <w:r w:rsidRPr="0010399A">
        <w:rPr>
          <w:i/>
          <w:iCs/>
        </w:rPr>
        <w:t>Fuente</w:t>
      </w:r>
      <w:r w:rsidRPr="00605F7C">
        <w:rPr>
          <w:i/>
        </w:rPr>
        <w:t>:</w:t>
      </w:r>
      <w:r w:rsidRPr="0010399A">
        <w:t xml:space="preserve"> </w:t>
      </w:r>
      <w:proofErr w:type="spellStart"/>
      <w:r w:rsidRPr="0010399A">
        <w:t>CNDIFE</w:t>
      </w:r>
      <w:proofErr w:type="spellEnd"/>
      <w:r w:rsidRPr="0010399A">
        <w:t>, informe de la investigación sobre el abuso de drogas, alcohol y otras sustancias entre los niños y adolescentes de Malí.</w:t>
      </w:r>
    </w:p>
  </w:footnote>
  <w:footnote w:id="7">
    <w:p w14:paraId="05C41AC5" w14:textId="77777777" w:rsidR="00D36601" w:rsidRPr="0010399A" w:rsidRDefault="00D36601" w:rsidP="004A38BB">
      <w:pPr>
        <w:pStyle w:val="Textonotapie"/>
      </w:pPr>
      <w:r w:rsidRPr="0010399A">
        <w:tab/>
      </w:r>
      <w:r w:rsidRPr="004A38BB">
        <w:rPr>
          <w:rStyle w:val="Refdenotaalpie"/>
        </w:rPr>
        <w:footnoteRef/>
      </w:r>
      <w:r w:rsidRPr="0010399A">
        <w:tab/>
        <w:t>Examen de mitad de período del Marco de Asistencia de las Naciones Unidas para el Desarrollo (MANUD), 2008-2012.</w:t>
      </w:r>
    </w:p>
  </w:footnote>
  <w:footnote w:id="8">
    <w:p w14:paraId="4F439D1B" w14:textId="77777777" w:rsidR="00D36601" w:rsidRPr="0010399A" w:rsidRDefault="00D36601" w:rsidP="004A38BB">
      <w:pPr>
        <w:pStyle w:val="Textonotapie"/>
      </w:pPr>
      <w:r w:rsidRPr="0010399A">
        <w:tab/>
      </w:r>
      <w:r w:rsidRPr="004A38BB">
        <w:rPr>
          <w:rStyle w:val="Refdenotaalpie"/>
        </w:rPr>
        <w:footnoteRef/>
      </w:r>
      <w:r w:rsidRPr="0010399A">
        <w:tab/>
        <w:t>Nota del UNICEF sobre el taller de fotografía, 2009.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97196" w14:textId="50069764" w:rsidR="00B97CD3" w:rsidRPr="00B97CD3" w:rsidRDefault="00C253DC">
    <w:pPr>
      <w:pStyle w:val="Encabezado"/>
    </w:pPr>
    <w:r>
      <w:fldChar w:fldCharType="begin"/>
    </w:r>
    <w:r>
      <w:instrText xml:space="preserve"> TITLE  \* MERGEFORMAT </w:instrText>
    </w:r>
    <w:r>
      <w:fldChar w:fldCharType="separate"/>
    </w:r>
    <w:r>
      <w:t>CRC/C/MLI/3-5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50B73" w14:textId="6FF5034D" w:rsidR="00B97CD3" w:rsidRPr="00B97CD3" w:rsidRDefault="00C253DC" w:rsidP="00B97CD3">
    <w:pPr>
      <w:pStyle w:val="Encabezado"/>
      <w:jc w:val="right"/>
    </w:pPr>
    <w:r>
      <w:fldChar w:fldCharType="begin"/>
    </w:r>
    <w:r>
      <w:instrText xml:space="preserve"> TITLE  \* MERGEFORMAT </w:instrText>
    </w:r>
    <w:r>
      <w:fldChar w:fldCharType="separate"/>
    </w:r>
    <w:r>
      <w:t>CRC/C/MLI/3-5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84133081">
    <w:abstractNumId w:val="16"/>
  </w:num>
  <w:num w:numId="2" w16cid:durableId="961693128">
    <w:abstractNumId w:val="15"/>
  </w:num>
  <w:num w:numId="3" w16cid:durableId="38013804">
    <w:abstractNumId w:val="13"/>
  </w:num>
  <w:num w:numId="4" w16cid:durableId="884830784">
    <w:abstractNumId w:val="14"/>
  </w:num>
  <w:num w:numId="5" w16cid:durableId="1314598557">
    <w:abstractNumId w:val="11"/>
  </w:num>
  <w:num w:numId="6" w16cid:durableId="928973143">
    <w:abstractNumId w:val="10"/>
  </w:num>
  <w:num w:numId="7" w16cid:durableId="305009510">
    <w:abstractNumId w:val="12"/>
  </w:num>
  <w:num w:numId="8" w16cid:durableId="255867757">
    <w:abstractNumId w:val="9"/>
  </w:num>
  <w:num w:numId="9" w16cid:durableId="712654681">
    <w:abstractNumId w:val="7"/>
  </w:num>
  <w:num w:numId="10" w16cid:durableId="1391805129">
    <w:abstractNumId w:val="6"/>
  </w:num>
  <w:num w:numId="11" w16cid:durableId="1706178376">
    <w:abstractNumId w:val="5"/>
  </w:num>
  <w:num w:numId="12" w16cid:durableId="927225811">
    <w:abstractNumId w:val="4"/>
  </w:num>
  <w:num w:numId="13" w16cid:durableId="827329679">
    <w:abstractNumId w:val="8"/>
  </w:num>
  <w:num w:numId="14" w16cid:durableId="269894834">
    <w:abstractNumId w:val="3"/>
  </w:num>
  <w:num w:numId="15" w16cid:durableId="68118419">
    <w:abstractNumId w:val="2"/>
  </w:num>
  <w:num w:numId="16" w16cid:durableId="1146513156">
    <w:abstractNumId w:val="1"/>
  </w:num>
  <w:num w:numId="17" w16cid:durableId="1416128174">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79D"/>
    <w:rsid w:val="00000344"/>
    <w:rsid w:val="00002131"/>
    <w:rsid w:val="00023B74"/>
    <w:rsid w:val="00033EE1"/>
    <w:rsid w:val="00072A3E"/>
    <w:rsid w:val="000B1511"/>
    <w:rsid w:val="000B57E7"/>
    <w:rsid w:val="000F09DF"/>
    <w:rsid w:val="000F61B2"/>
    <w:rsid w:val="001075E9"/>
    <w:rsid w:val="0012196B"/>
    <w:rsid w:val="001256EA"/>
    <w:rsid w:val="00161852"/>
    <w:rsid w:val="0017609B"/>
    <w:rsid w:val="00180183"/>
    <w:rsid w:val="0018649F"/>
    <w:rsid w:val="00196389"/>
    <w:rsid w:val="001B269E"/>
    <w:rsid w:val="001B5FFA"/>
    <w:rsid w:val="001C7A89"/>
    <w:rsid w:val="001D1565"/>
    <w:rsid w:val="00220F72"/>
    <w:rsid w:val="00240004"/>
    <w:rsid w:val="002730DF"/>
    <w:rsid w:val="002931F6"/>
    <w:rsid w:val="002A2EFC"/>
    <w:rsid w:val="002A3511"/>
    <w:rsid w:val="002C0E18"/>
    <w:rsid w:val="002D5AAC"/>
    <w:rsid w:val="002E5164"/>
    <w:rsid w:val="00301299"/>
    <w:rsid w:val="00322004"/>
    <w:rsid w:val="00330F4E"/>
    <w:rsid w:val="00332772"/>
    <w:rsid w:val="003402C2"/>
    <w:rsid w:val="00381C24"/>
    <w:rsid w:val="003958D0"/>
    <w:rsid w:val="003B00E5"/>
    <w:rsid w:val="00401826"/>
    <w:rsid w:val="004043B6"/>
    <w:rsid w:val="00411636"/>
    <w:rsid w:val="00414A16"/>
    <w:rsid w:val="00427F10"/>
    <w:rsid w:val="00454E07"/>
    <w:rsid w:val="004A38BB"/>
    <w:rsid w:val="004D45DB"/>
    <w:rsid w:val="0050108D"/>
    <w:rsid w:val="00536DF4"/>
    <w:rsid w:val="00572E19"/>
    <w:rsid w:val="005A182D"/>
    <w:rsid w:val="005C43E4"/>
    <w:rsid w:val="005D7179"/>
    <w:rsid w:val="005F0B42"/>
    <w:rsid w:val="005F2AD1"/>
    <w:rsid w:val="00605F7C"/>
    <w:rsid w:val="00615FEB"/>
    <w:rsid w:val="00641792"/>
    <w:rsid w:val="00697C3C"/>
    <w:rsid w:val="006B3A76"/>
    <w:rsid w:val="006F1EF0"/>
    <w:rsid w:val="006F35EE"/>
    <w:rsid w:val="006F7B0F"/>
    <w:rsid w:val="00701F23"/>
    <w:rsid w:val="007021FF"/>
    <w:rsid w:val="007054B7"/>
    <w:rsid w:val="00744130"/>
    <w:rsid w:val="0074605D"/>
    <w:rsid w:val="00757357"/>
    <w:rsid w:val="007951FE"/>
    <w:rsid w:val="007A059A"/>
    <w:rsid w:val="007A513F"/>
    <w:rsid w:val="007A74B9"/>
    <w:rsid w:val="007C2B1A"/>
    <w:rsid w:val="007C2DEF"/>
    <w:rsid w:val="007D0A1F"/>
    <w:rsid w:val="007D431B"/>
    <w:rsid w:val="007D76F2"/>
    <w:rsid w:val="007E16A7"/>
    <w:rsid w:val="007F3812"/>
    <w:rsid w:val="007F4281"/>
    <w:rsid w:val="008045B7"/>
    <w:rsid w:val="008136D8"/>
    <w:rsid w:val="00834B71"/>
    <w:rsid w:val="00844AC6"/>
    <w:rsid w:val="0086445C"/>
    <w:rsid w:val="00867322"/>
    <w:rsid w:val="008675EF"/>
    <w:rsid w:val="008741F3"/>
    <w:rsid w:val="0088679D"/>
    <w:rsid w:val="008A08D7"/>
    <w:rsid w:val="008A3EA3"/>
    <w:rsid w:val="008A5E67"/>
    <w:rsid w:val="008C2B1A"/>
    <w:rsid w:val="008E1429"/>
    <w:rsid w:val="008F7CDF"/>
    <w:rsid w:val="00906890"/>
    <w:rsid w:val="00945724"/>
    <w:rsid w:val="00951972"/>
    <w:rsid w:val="009C646E"/>
    <w:rsid w:val="009C7505"/>
    <w:rsid w:val="009D000C"/>
    <w:rsid w:val="009E1414"/>
    <w:rsid w:val="00A43957"/>
    <w:rsid w:val="00A5723C"/>
    <w:rsid w:val="00A917B3"/>
    <w:rsid w:val="00A9316D"/>
    <w:rsid w:val="00A97C80"/>
    <w:rsid w:val="00AB4B51"/>
    <w:rsid w:val="00AE189C"/>
    <w:rsid w:val="00B050D4"/>
    <w:rsid w:val="00B10CC7"/>
    <w:rsid w:val="00B400C6"/>
    <w:rsid w:val="00B62458"/>
    <w:rsid w:val="00B8687E"/>
    <w:rsid w:val="00B94F11"/>
    <w:rsid w:val="00B97CD3"/>
    <w:rsid w:val="00BC1ADB"/>
    <w:rsid w:val="00BD33EE"/>
    <w:rsid w:val="00C253DC"/>
    <w:rsid w:val="00C262CE"/>
    <w:rsid w:val="00C54E0E"/>
    <w:rsid w:val="00C60F0C"/>
    <w:rsid w:val="00C67843"/>
    <w:rsid w:val="00C805C9"/>
    <w:rsid w:val="00C838DE"/>
    <w:rsid w:val="00CA1679"/>
    <w:rsid w:val="00CE356C"/>
    <w:rsid w:val="00D15EAE"/>
    <w:rsid w:val="00D318C7"/>
    <w:rsid w:val="00D33D63"/>
    <w:rsid w:val="00D36601"/>
    <w:rsid w:val="00D83653"/>
    <w:rsid w:val="00D90138"/>
    <w:rsid w:val="00DA35AF"/>
    <w:rsid w:val="00DC4C43"/>
    <w:rsid w:val="00DC67C2"/>
    <w:rsid w:val="00DD299D"/>
    <w:rsid w:val="00DF63E3"/>
    <w:rsid w:val="00E23796"/>
    <w:rsid w:val="00E556CA"/>
    <w:rsid w:val="00E632D6"/>
    <w:rsid w:val="00E73F76"/>
    <w:rsid w:val="00E777E2"/>
    <w:rsid w:val="00EA347A"/>
    <w:rsid w:val="00EF1360"/>
    <w:rsid w:val="00EF3220"/>
    <w:rsid w:val="00F13D45"/>
    <w:rsid w:val="00F23FB6"/>
    <w:rsid w:val="00F374AD"/>
    <w:rsid w:val="00F626DE"/>
    <w:rsid w:val="00F63F63"/>
    <w:rsid w:val="00F65F7A"/>
    <w:rsid w:val="00F80811"/>
    <w:rsid w:val="00F94155"/>
    <w:rsid w:val="00FA3077"/>
    <w:rsid w:val="00FA7071"/>
    <w:rsid w:val="00FB2D3D"/>
    <w:rsid w:val="00FB5627"/>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B95987"/>
  <w15:docId w15:val="{741EAD5D-78C9-42DE-9BF8-6340CB97D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qFormat="1"/>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C7505"/>
    <w:pPr>
      <w:keepNext/>
      <w:outlineLvl w:val="1"/>
    </w:pPr>
    <w:rPr>
      <w:rFonts w:cs="Arial"/>
      <w:bCs/>
      <w:iCs/>
      <w:szCs w:val="28"/>
    </w:rPr>
  </w:style>
  <w:style w:type="paragraph" w:styleId="Ttulo3">
    <w:name w:val="heading 3"/>
    <w:basedOn w:val="Normal"/>
    <w:next w:val="Normal"/>
    <w:link w:val="Ttulo3Car"/>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rsid w:val="009C7505"/>
    <w:pPr>
      <w:spacing w:after="120"/>
    </w:pPr>
  </w:style>
  <w:style w:type="paragraph" w:styleId="Textoindependiente2">
    <w:name w:val="Body Text 2"/>
    <w:basedOn w:val="Normal"/>
    <w:link w:val="Textoindependiente2Car"/>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qFormat/>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9C7505"/>
    <w:rPr>
      <w:lang w:val="es-ES" w:eastAsia="es-ES"/>
    </w:rPr>
  </w:style>
  <w:style w:type="character" w:customStyle="1" w:styleId="Textoindependiente2Car">
    <w:name w:val="Texto independiente 2 Car"/>
    <w:basedOn w:val="Fuentedeprrafopredeter"/>
    <w:link w:val="Textoindependiente2"/>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rsid w:val="0017609B"/>
    <w:rPr>
      <w:rFonts w:cs="Arial"/>
      <w:bCs/>
      <w:iCs/>
      <w:szCs w:val="28"/>
      <w:lang w:val="es-ES" w:eastAsia="es-ES"/>
    </w:rPr>
  </w:style>
  <w:style w:type="character" w:customStyle="1" w:styleId="Ttulo3Car">
    <w:name w:val="Título 3 Car"/>
    <w:basedOn w:val="Fuentedeprrafopredeter"/>
    <w:link w:val="Ttulo3"/>
    <w:rsid w:val="0017609B"/>
    <w:rPr>
      <w:rFonts w:ascii="Arial" w:hAnsi="Arial" w:cs="Arial"/>
      <w:b/>
      <w:bCs/>
      <w:sz w:val="26"/>
      <w:szCs w:val="26"/>
      <w:lang w:val="es-ES" w:eastAsia="es-ES"/>
    </w:rPr>
  </w:style>
  <w:style w:type="character" w:customStyle="1" w:styleId="Ttulo4Car">
    <w:name w:val="Título 4 Car"/>
    <w:basedOn w:val="Fuentedeprrafopredeter"/>
    <w:link w:val="Ttulo4"/>
    <w:semiHidden/>
    <w:rsid w:val="0017609B"/>
    <w:rPr>
      <w:b/>
      <w:bCs/>
      <w:sz w:val="28"/>
      <w:szCs w:val="28"/>
      <w:lang w:val="es-ES" w:eastAsia="es-ES"/>
    </w:rPr>
  </w:style>
  <w:style w:type="character" w:customStyle="1" w:styleId="Ttulo5Car">
    <w:name w:val="Título 5 Car"/>
    <w:basedOn w:val="Fuentedeprrafopredeter"/>
    <w:link w:val="Ttulo5"/>
    <w:semiHidden/>
    <w:rsid w:val="0017609B"/>
    <w:rPr>
      <w:b/>
      <w:bCs/>
      <w:i/>
      <w:iCs/>
      <w:sz w:val="26"/>
      <w:szCs w:val="26"/>
      <w:lang w:val="es-ES" w:eastAsia="es-ES"/>
    </w:rPr>
  </w:style>
  <w:style w:type="character" w:customStyle="1" w:styleId="Ttulo6Car">
    <w:name w:val="Título 6 Car"/>
    <w:basedOn w:val="Fuentedeprrafopredeter"/>
    <w:link w:val="Ttulo6"/>
    <w:semiHidden/>
    <w:rsid w:val="0017609B"/>
    <w:rPr>
      <w:b/>
      <w:bCs/>
      <w:sz w:val="22"/>
      <w:szCs w:val="22"/>
      <w:lang w:val="es-ES" w:eastAsia="es-ES"/>
    </w:rPr>
  </w:style>
  <w:style w:type="character" w:customStyle="1" w:styleId="Ttulo7Car">
    <w:name w:val="Título 7 Car"/>
    <w:basedOn w:val="Fuentedeprrafopredeter"/>
    <w:link w:val="Ttulo7"/>
    <w:semiHidden/>
    <w:rsid w:val="0017609B"/>
    <w:rPr>
      <w:sz w:val="24"/>
      <w:szCs w:val="24"/>
      <w:lang w:val="es-ES" w:eastAsia="es-ES"/>
    </w:rPr>
  </w:style>
  <w:style w:type="character" w:customStyle="1" w:styleId="Ttulo8Car">
    <w:name w:val="Título 8 Car"/>
    <w:basedOn w:val="Fuentedeprrafopredeter"/>
    <w:link w:val="Ttulo8"/>
    <w:semiHidden/>
    <w:rsid w:val="0017609B"/>
    <w:rPr>
      <w:i/>
      <w:iCs/>
      <w:sz w:val="24"/>
      <w:szCs w:val="24"/>
      <w:lang w:val="es-ES" w:eastAsia="es-ES"/>
    </w:rPr>
  </w:style>
  <w:style w:type="character" w:customStyle="1" w:styleId="Ttulo9Car">
    <w:name w:val="Título 9 Car"/>
    <w:basedOn w:val="Fuentedeprrafopredeter"/>
    <w:link w:val="Ttulo9"/>
    <w:semiHidden/>
    <w:rsid w:val="0017609B"/>
    <w:rPr>
      <w:rFonts w:ascii="Arial" w:hAnsi="Arial" w:cs="Arial"/>
      <w:sz w:val="22"/>
      <w:szCs w:val="22"/>
      <w:lang w:val="es-ES" w:eastAsia="es-ES"/>
    </w:rPr>
  </w:style>
  <w:style w:type="paragraph" w:styleId="Prrafodelista">
    <w:name w:val="List Paragraph"/>
    <w:basedOn w:val="Normal"/>
    <w:uiPriority w:val="34"/>
    <w:qFormat/>
    <w:rsid w:val="0017609B"/>
    <w:pPr>
      <w:spacing w:after="200" w:line="276" w:lineRule="auto"/>
      <w:ind w:left="720"/>
      <w:contextualSpacing/>
    </w:pPr>
    <w:rPr>
      <w:rFonts w:ascii="Calibri" w:eastAsia="Calibri" w:hAnsi="Calibri"/>
      <w:sz w:val="22"/>
      <w:szCs w:val="22"/>
      <w:lang w:val="fr-FR" w:eastAsia="en-US"/>
    </w:rPr>
  </w:style>
  <w:style w:type="paragraph" w:styleId="TtuloTDC">
    <w:name w:val="TOC Heading"/>
    <w:basedOn w:val="Ttulo1"/>
    <w:next w:val="Normal"/>
    <w:uiPriority w:val="39"/>
    <w:semiHidden/>
    <w:unhideWhenUsed/>
    <w:qFormat/>
    <w:rsid w:val="0017609B"/>
    <w:pPr>
      <w:suppressAutoHyphens w:val="0"/>
      <w:kinsoku/>
      <w:overflowPunct/>
      <w:autoSpaceDE/>
      <w:autoSpaceDN/>
      <w:adjustRightInd/>
      <w:snapToGrid/>
      <w:spacing w:before="480" w:line="276" w:lineRule="auto"/>
      <w:ind w:left="0"/>
      <w:outlineLvl w:val="9"/>
    </w:pPr>
    <w:rPr>
      <w:rFonts w:ascii="Cambria" w:hAnsi="Cambria"/>
      <w:b/>
      <w:bCs/>
      <w:color w:val="365F91"/>
      <w:sz w:val="28"/>
      <w:szCs w:val="28"/>
    </w:rPr>
  </w:style>
  <w:style w:type="paragraph" w:styleId="TDC7">
    <w:name w:val="toc 7"/>
    <w:basedOn w:val="Normal"/>
    <w:next w:val="Normal"/>
    <w:autoRedefine/>
    <w:uiPriority w:val="39"/>
    <w:unhideWhenUsed/>
    <w:rsid w:val="0017609B"/>
    <w:pPr>
      <w:spacing w:after="100" w:line="276" w:lineRule="auto"/>
      <w:ind w:left="1320"/>
    </w:pPr>
    <w:rPr>
      <w:rFonts w:ascii="Calibri" w:hAnsi="Calibri"/>
      <w:sz w:val="22"/>
      <w:szCs w:val="22"/>
      <w:lang w:val="fr-FR" w:eastAsia="fr-FR"/>
    </w:rPr>
  </w:style>
  <w:style w:type="paragraph" w:styleId="TDC8">
    <w:name w:val="toc 8"/>
    <w:basedOn w:val="Normal"/>
    <w:next w:val="Normal"/>
    <w:autoRedefine/>
    <w:uiPriority w:val="39"/>
    <w:unhideWhenUsed/>
    <w:rsid w:val="0017609B"/>
    <w:pPr>
      <w:spacing w:after="100" w:line="276" w:lineRule="auto"/>
      <w:ind w:left="1540"/>
    </w:pPr>
    <w:rPr>
      <w:rFonts w:ascii="Calibri" w:hAnsi="Calibri"/>
      <w:sz w:val="22"/>
      <w:szCs w:val="22"/>
      <w:lang w:val="fr-FR" w:eastAsia="fr-FR"/>
    </w:rPr>
  </w:style>
  <w:style w:type="paragraph" w:styleId="TDC9">
    <w:name w:val="toc 9"/>
    <w:basedOn w:val="Normal"/>
    <w:next w:val="Normal"/>
    <w:autoRedefine/>
    <w:uiPriority w:val="39"/>
    <w:unhideWhenUsed/>
    <w:rsid w:val="0017609B"/>
    <w:pPr>
      <w:spacing w:after="100" w:line="276" w:lineRule="auto"/>
      <w:ind w:left="1760"/>
    </w:pPr>
    <w:rPr>
      <w:rFonts w:ascii="Calibri" w:hAnsi="Calibri"/>
      <w:sz w:val="22"/>
      <w:szCs w:val="22"/>
      <w:lang w:val="fr-FR" w:eastAsia="fr-FR"/>
    </w:rPr>
  </w:style>
  <w:style w:type="paragraph" w:styleId="Revisin">
    <w:name w:val="Revision"/>
    <w:hidden/>
    <w:uiPriority w:val="99"/>
    <w:semiHidden/>
    <w:rsid w:val="0017609B"/>
    <w:rPr>
      <w:rFonts w:ascii="Calibri" w:hAnsi="Calibri"/>
      <w:sz w:val="22"/>
      <w:szCs w:val="22"/>
      <w:lang w:val="fr-FR" w:eastAsia="fr-FR"/>
    </w:rPr>
  </w:style>
  <w:style w:type="character" w:styleId="Refdecomentario">
    <w:name w:val="annotation reference"/>
    <w:uiPriority w:val="99"/>
    <w:semiHidden/>
    <w:unhideWhenUsed/>
    <w:rsid w:val="0017609B"/>
    <w:rPr>
      <w:sz w:val="16"/>
      <w:szCs w:val="16"/>
    </w:rPr>
  </w:style>
  <w:style w:type="paragraph" w:styleId="Textocomentario">
    <w:name w:val="annotation text"/>
    <w:basedOn w:val="Normal"/>
    <w:link w:val="TextocomentarioCar"/>
    <w:uiPriority w:val="99"/>
    <w:unhideWhenUsed/>
    <w:rsid w:val="0017609B"/>
    <w:pPr>
      <w:spacing w:after="200" w:line="240" w:lineRule="auto"/>
    </w:pPr>
    <w:rPr>
      <w:rFonts w:ascii="Calibri" w:eastAsia="Calibri" w:hAnsi="Calibri"/>
      <w:lang w:val="en-GB" w:eastAsia="en-US"/>
    </w:rPr>
  </w:style>
  <w:style w:type="character" w:customStyle="1" w:styleId="TextocomentarioCar">
    <w:name w:val="Texto comentario Car"/>
    <w:basedOn w:val="Fuentedeprrafopredeter"/>
    <w:link w:val="Textocomentario"/>
    <w:uiPriority w:val="99"/>
    <w:rsid w:val="0017609B"/>
    <w:rPr>
      <w:rFonts w:ascii="Calibri" w:eastAsia="Calibri" w:hAnsi="Calibri"/>
      <w:lang w:val="en-GB" w:eastAsia="en-US"/>
    </w:rPr>
  </w:style>
  <w:style w:type="character" w:styleId="Referenciaintensa">
    <w:name w:val="Intense Reference"/>
    <w:uiPriority w:val="32"/>
    <w:qFormat/>
    <w:rsid w:val="0017609B"/>
    <w:rPr>
      <w:b/>
      <w:bCs/>
      <w:smallCaps/>
      <w:color w:val="C0504D"/>
      <w:spacing w:val="5"/>
      <w:u w:val="single"/>
    </w:rPr>
  </w:style>
  <w:style w:type="table" w:customStyle="1" w:styleId="GridTable1Light-Accent61">
    <w:name w:val="Grid Table 1 Light - Accent 61"/>
    <w:basedOn w:val="Tablanormal"/>
    <w:uiPriority w:val="46"/>
    <w:rsid w:val="0017609B"/>
    <w:rPr>
      <w:rFonts w:ascii="Calibri" w:hAnsi="Calibri"/>
      <w:lang w:val="en-GB" w:eastAsia="en-GB"/>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GridTable4-Accent61">
    <w:name w:val="Grid Table 4 - Accent 61"/>
    <w:basedOn w:val="Tablanormal"/>
    <w:uiPriority w:val="49"/>
    <w:rsid w:val="0017609B"/>
    <w:rPr>
      <w:rFonts w:ascii="Calibri" w:hAnsi="Calibri"/>
      <w:lang w:val="en-GB" w:eastAsia="en-GB"/>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GridTable4-Accent41">
    <w:name w:val="Grid Table 4 - Accent 41"/>
    <w:basedOn w:val="Tablanormal"/>
    <w:uiPriority w:val="49"/>
    <w:rsid w:val="0017609B"/>
    <w:rPr>
      <w:rFonts w:ascii="Calibri" w:hAnsi="Calibri"/>
      <w:lang w:val="en-GB" w:eastAsia="en-GB"/>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GridTable4-Accent51">
    <w:name w:val="Grid Table 4 - Accent 51"/>
    <w:basedOn w:val="Tablanormal"/>
    <w:uiPriority w:val="49"/>
    <w:rsid w:val="0017609B"/>
    <w:rPr>
      <w:rFonts w:ascii="Calibri" w:hAnsi="Calibri"/>
      <w:lang w:val="en-GB" w:eastAsia="en-GB"/>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2-Accent11">
    <w:name w:val="Grid Table 2 - Accent 11"/>
    <w:basedOn w:val="Tablanormal"/>
    <w:uiPriority w:val="47"/>
    <w:rsid w:val="0017609B"/>
    <w:rPr>
      <w:rFonts w:ascii="Calibri" w:hAnsi="Calibri"/>
      <w:lang w:val="en-GB" w:eastAsia="en-GB"/>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21">
    <w:name w:val="Grid Table 4 - Accent 21"/>
    <w:basedOn w:val="Tablanormal"/>
    <w:uiPriority w:val="49"/>
    <w:rsid w:val="0017609B"/>
    <w:rPr>
      <w:rFonts w:ascii="Calibri" w:hAnsi="Calibri"/>
      <w:lang w:val="en-GB" w:eastAsia="en-GB"/>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Sombreadovistoso-nfasis6">
    <w:name w:val="Colorful Shading Accent 6"/>
    <w:basedOn w:val="Tablanormal"/>
    <w:uiPriority w:val="71"/>
    <w:rsid w:val="0017609B"/>
    <w:rPr>
      <w:rFonts w:ascii="Calibri" w:hAnsi="Calibri"/>
      <w:color w:val="000000"/>
      <w:lang w:val="en-GB" w:eastAsia="en-GB"/>
    </w:rPr>
    <w:tblPr>
      <w:tblStyleRowBandSize w:val="1"/>
      <w:tblStyleColBandSize w:val="1"/>
      <w:tblBorders>
        <w:top w:val="single" w:sz="24" w:space="0" w:color="4472C4"/>
        <w:left w:val="single" w:sz="4" w:space="0" w:color="70AD47"/>
        <w:bottom w:val="single" w:sz="4" w:space="0" w:color="70AD47"/>
        <w:right w:val="single" w:sz="4" w:space="0" w:color="70AD47"/>
        <w:insideH w:val="single" w:sz="4" w:space="0" w:color="FFFFFF"/>
        <w:insideV w:val="single" w:sz="4" w:space="0" w:color="FFFFFF"/>
      </w:tblBorders>
    </w:tblPr>
    <w:tcPr>
      <w:shd w:val="clear" w:color="auto" w:fill="F0F7EC"/>
    </w:tcPr>
    <w:tblStylePr w:type="firstRow">
      <w:rPr>
        <w:b/>
        <w:bCs/>
      </w:rPr>
      <w:tblPr/>
      <w:tcPr>
        <w:tcBorders>
          <w:top w:val="nil"/>
          <w:left w:val="nil"/>
          <w:bottom w:val="single" w:sz="24" w:space="0" w:color="4472C4"/>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3672A"/>
      </w:tcPr>
    </w:tblStylePr>
    <w:tblStylePr w:type="firstCol">
      <w:rPr>
        <w:color w:val="FFFFFF"/>
      </w:rPr>
      <w:tblPr/>
      <w:tcPr>
        <w:tcBorders>
          <w:top w:val="nil"/>
          <w:left w:val="nil"/>
          <w:bottom w:val="nil"/>
          <w:right w:val="nil"/>
          <w:insideH w:val="single" w:sz="4" w:space="0" w:color="43672A"/>
          <w:insideV w:val="nil"/>
        </w:tcBorders>
        <w:shd w:val="clear" w:color="auto" w:fill="43672A"/>
      </w:tcPr>
    </w:tblStylePr>
    <w:tblStylePr w:type="lastCol">
      <w:rPr>
        <w:color w:val="FFFFFF"/>
      </w:rPr>
      <w:tblPr/>
      <w:tcPr>
        <w:tcBorders>
          <w:top w:val="nil"/>
          <w:left w:val="nil"/>
          <w:bottom w:val="nil"/>
          <w:right w:val="nil"/>
          <w:insideH w:val="nil"/>
          <w:insideV w:val="nil"/>
        </w:tcBorders>
        <w:shd w:val="clear" w:color="auto" w:fill="43672A"/>
      </w:tcPr>
    </w:tblStylePr>
    <w:tblStylePr w:type="band1Vert">
      <w:tblPr/>
      <w:tcPr>
        <w:shd w:val="clear" w:color="auto" w:fill="C5E0B3"/>
      </w:tcPr>
    </w:tblStylePr>
    <w:tblStylePr w:type="band1Horz">
      <w:tblPr/>
      <w:tcPr>
        <w:shd w:val="clear" w:color="auto" w:fill="B7D8A0"/>
      </w:tcPr>
    </w:tblStylePr>
    <w:tblStylePr w:type="neCell">
      <w:rPr>
        <w:color w:val="000000"/>
      </w:rPr>
    </w:tblStylePr>
    <w:tblStylePr w:type="nwCell">
      <w:rPr>
        <w:color w:val="000000"/>
      </w:rPr>
    </w:tblStylePr>
  </w:style>
  <w:style w:type="table" w:customStyle="1" w:styleId="GridTable41">
    <w:name w:val="Grid Table 41"/>
    <w:basedOn w:val="Tablanormal"/>
    <w:uiPriority w:val="49"/>
    <w:rsid w:val="0017609B"/>
    <w:rPr>
      <w:rFonts w:ascii="Calibri" w:hAnsi="Calibri"/>
      <w:lang w:val="en-GB" w:eastAsia="en-GB"/>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4-Accent11">
    <w:name w:val="Grid Table 4 - Accent 11"/>
    <w:basedOn w:val="Tablanormal"/>
    <w:uiPriority w:val="49"/>
    <w:rsid w:val="0017609B"/>
    <w:rPr>
      <w:rFonts w:ascii="Calibri" w:hAnsi="Calibri"/>
      <w:lang w:val="en-GB" w:eastAsia="en-GB"/>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31">
    <w:name w:val="Grid Table 4 - Accent 31"/>
    <w:basedOn w:val="Tablanormal"/>
    <w:uiPriority w:val="49"/>
    <w:rsid w:val="0017609B"/>
    <w:rPr>
      <w:rFonts w:ascii="Calibri" w:hAnsi="Calibri"/>
      <w:lang w:val="en-GB" w:eastAsia="en-G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5Dark-Accent41">
    <w:name w:val="Grid Table 5 Dark - Accent 41"/>
    <w:basedOn w:val="Tablanormal"/>
    <w:uiPriority w:val="50"/>
    <w:rsid w:val="0017609B"/>
    <w:rPr>
      <w:rFonts w:ascii="Calibri" w:hAnsi="Calibri"/>
      <w:lang w:val="en-GB" w:eastAsia="en-GB"/>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GridTable1Light-Accent51">
    <w:name w:val="Grid Table 1 Light - Accent 51"/>
    <w:basedOn w:val="Tablanormal"/>
    <w:uiPriority w:val="46"/>
    <w:rsid w:val="0017609B"/>
    <w:rPr>
      <w:rFonts w:ascii="Calibri" w:hAnsi="Calibri"/>
      <w:lang w:val="en-GB" w:eastAsia="en-GB"/>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GridTable5Dark-Accent21">
    <w:name w:val="Grid Table 5 Dark - Accent 21"/>
    <w:basedOn w:val="Tablanormal"/>
    <w:uiPriority w:val="50"/>
    <w:rsid w:val="0017609B"/>
    <w:rPr>
      <w:rFonts w:ascii="Calibri" w:hAnsi="Calibri"/>
      <w:lang w:val="en-GB" w:eastAsia="en-GB"/>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styleId="Listaclara-nfasis3">
    <w:name w:val="Light List Accent 3"/>
    <w:basedOn w:val="Tablanormal"/>
    <w:uiPriority w:val="61"/>
    <w:rsid w:val="0017609B"/>
    <w:rPr>
      <w:rFonts w:ascii="Calibri" w:hAnsi="Calibri"/>
      <w:lang w:val="en-GB" w:eastAsia="en-GB"/>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6">
    <w:name w:val="Light List Accent 6"/>
    <w:basedOn w:val="Tablanormal"/>
    <w:uiPriority w:val="61"/>
    <w:rsid w:val="0017609B"/>
    <w:rPr>
      <w:rFonts w:ascii="Calibri" w:hAnsi="Calibri"/>
      <w:lang w:val="en-GB" w:eastAsia="en-GB"/>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staclara-nfasis4">
    <w:name w:val="Light List Accent 4"/>
    <w:basedOn w:val="Tablanormal"/>
    <w:uiPriority w:val="61"/>
    <w:rsid w:val="0017609B"/>
    <w:rPr>
      <w:rFonts w:ascii="Calibri" w:hAnsi="Calibri"/>
      <w:lang w:val="en-GB" w:eastAsia="en-GB"/>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Sombreadomedio1-nfasis5">
    <w:name w:val="Medium Shading 1 Accent 5"/>
    <w:basedOn w:val="Tablanormal"/>
    <w:uiPriority w:val="63"/>
    <w:rsid w:val="0017609B"/>
    <w:rPr>
      <w:rFonts w:ascii="Calibri" w:hAnsi="Calibri"/>
      <w:lang w:val="en-GB" w:eastAsia="en-GB"/>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steclaire-Accent11">
    <w:name w:val="Liste claire - Accent 11"/>
    <w:basedOn w:val="Tablanormal"/>
    <w:uiPriority w:val="61"/>
    <w:rsid w:val="0017609B"/>
    <w:rPr>
      <w:rFonts w:ascii="Calibri" w:hAnsi="Calibri"/>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Asuntodelcomentario">
    <w:name w:val="annotation subject"/>
    <w:basedOn w:val="Textocomentario"/>
    <w:next w:val="Textocomentario"/>
    <w:link w:val="AsuntodelcomentarioCar"/>
    <w:uiPriority w:val="99"/>
    <w:semiHidden/>
    <w:unhideWhenUsed/>
    <w:rsid w:val="0017609B"/>
    <w:pPr>
      <w:spacing w:line="276" w:lineRule="auto"/>
    </w:pPr>
    <w:rPr>
      <w:rFonts w:eastAsia="Times New Roman"/>
      <w:b/>
      <w:bCs/>
      <w:lang w:val="fr-FR" w:eastAsia="fr-FR"/>
    </w:rPr>
  </w:style>
  <w:style w:type="character" w:customStyle="1" w:styleId="AsuntodelcomentarioCar">
    <w:name w:val="Asunto del comentario Car"/>
    <w:basedOn w:val="TextocomentarioCar"/>
    <w:link w:val="Asuntodelcomentario"/>
    <w:uiPriority w:val="99"/>
    <w:semiHidden/>
    <w:rsid w:val="0017609B"/>
    <w:rPr>
      <w:rFonts w:ascii="Calibri" w:eastAsia="Calibri" w:hAnsi="Calibri"/>
      <w:b/>
      <w:bCs/>
      <w:lang w:val="fr-FR" w:eastAsia="fr-FR"/>
    </w:rPr>
  </w:style>
  <w:style w:type="character" w:styleId="Mencinsinresolver">
    <w:name w:val="Unresolved Mention"/>
    <w:basedOn w:val="Fuentedeprrafopredeter"/>
    <w:uiPriority w:val="99"/>
    <w:semiHidden/>
    <w:unhideWhenUsed/>
    <w:rsid w:val="001760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663179">
      <w:bodyDiv w:val="1"/>
      <w:marLeft w:val="0"/>
      <w:marRight w:val="0"/>
      <w:marTop w:val="0"/>
      <w:marBottom w:val="0"/>
      <w:divBdr>
        <w:top w:val="none" w:sz="0" w:space="0" w:color="auto"/>
        <w:left w:val="none" w:sz="0" w:space="0" w:color="auto"/>
        <w:bottom w:val="none" w:sz="0" w:space="0" w:color="auto"/>
        <w:right w:val="none" w:sz="0" w:space="0" w:color="auto"/>
      </w:divBdr>
    </w:div>
    <w:div w:id="351883987">
      <w:bodyDiv w:val="1"/>
      <w:marLeft w:val="0"/>
      <w:marRight w:val="0"/>
      <w:marTop w:val="0"/>
      <w:marBottom w:val="0"/>
      <w:divBdr>
        <w:top w:val="none" w:sz="0" w:space="0" w:color="auto"/>
        <w:left w:val="none" w:sz="0" w:space="0" w:color="auto"/>
        <w:bottom w:val="none" w:sz="0" w:space="0" w:color="auto"/>
        <w:right w:val="none" w:sz="0" w:space="0" w:color="auto"/>
      </w:divBdr>
    </w:div>
    <w:div w:id="399256279">
      <w:bodyDiv w:val="1"/>
      <w:marLeft w:val="0"/>
      <w:marRight w:val="0"/>
      <w:marTop w:val="0"/>
      <w:marBottom w:val="0"/>
      <w:divBdr>
        <w:top w:val="none" w:sz="0" w:space="0" w:color="auto"/>
        <w:left w:val="none" w:sz="0" w:space="0" w:color="auto"/>
        <w:bottom w:val="none" w:sz="0" w:space="0" w:color="auto"/>
        <w:right w:val="none" w:sz="0" w:space="0" w:color="auto"/>
      </w:divBdr>
    </w:div>
    <w:div w:id="668604681">
      <w:bodyDiv w:val="1"/>
      <w:marLeft w:val="0"/>
      <w:marRight w:val="0"/>
      <w:marTop w:val="0"/>
      <w:marBottom w:val="0"/>
      <w:divBdr>
        <w:top w:val="none" w:sz="0" w:space="0" w:color="auto"/>
        <w:left w:val="none" w:sz="0" w:space="0" w:color="auto"/>
        <w:bottom w:val="none" w:sz="0" w:space="0" w:color="auto"/>
        <w:right w:val="none" w:sz="0" w:space="0" w:color="auto"/>
      </w:divBdr>
    </w:div>
    <w:div w:id="704795347">
      <w:bodyDiv w:val="1"/>
      <w:marLeft w:val="0"/>
      <w:marRight w:val="0"/>
      <w:marTop w:val="0"/>
      <w:marBottom w:val="0"/>
      <w:divBdr>
        <w:top w:val="none" w:sz="0" w:space="0" w:color="auto"/>
        <w:left w:val="none" w:sz="0" w:space="0" w:color="auto"/>
        <w:bottom w:val="none" w:sz="0" w:space="0" w:color="auto"/>
        <w:right w:val="none" w:sz="0" w:space="0" w:color="auto"/>
      </w:divBdr>
    </w:div>
    <w:div w:id="803042704">
      <w:bodyDiv w:val="1"/>
      <w:marLeft w:val="0"/>
      <w:marRight w:val="0"/>
      <w:marTop w:val="0"/>
      <w:marBottom w:val="0"/>
      <w:divBdr>
        <w:top w:val="none" w:sz="0" w:space="0" w:color="auto"/>
        <w:left w:val="none" w:sz="0" w:space="0" w:color="auto"/>
        <w:bottom w:val="none" w:sz="0" w:space="0" w:color="auto"/>
        <w:right w:val="none" w:sz="0" w:space="0" w:color="auto"/>
      </w:divBdr>
    </w:div>
    <w:div w:id="833688236">
      <w:bodyDiv w:val="1"/>
      <w:marLeft w:val="0"/>
      <w:marRight w:val="0"/>
      <w:marTop w:val="0"/>
      <w:marBottom w:val="0"/>
      <w:divBdr>
        <w:top w:val="none" w:sz="0" w:space="0" w:color="auto"/>
        <w:left w:val="none" w:sz="0" w:space="0" w:color="auto"/>
        <w:bottom w:val="none" w:sz="0" w:space="0" w:color="auto"/>
        <w:right w:val="none" w:sz="0" w:space="0" w:color="auto"/>
      </w:divBdr>
    </w:div>
    <w:div w:id="962731121">
      <w:bodyDiv w:val="1"/>
      <w:marLeft w:val="0"/>
      <w:marRight w:val="0"/>
      <w:marTop w:val="0"/>
      <w:marBottom w:val="0"/>
      <w:divBdr>
        <w:top w:val="none" w:sz="0" w:space="0" w:color="auto"/>
        <w:left w:val="none" w:sz="0" w:space="0" w:color="auto"/>
        <w:bottom w:val="none" w:sz="0" w:space="0" w:color="auto"/>
        <w:right w:val="none" w:sz="0" w:space="0" w:color="auto"/>
      </w:divBdr>
    </w:div>
    <w:div w:id="1082801962">
      <w:bodyDiv w:val="1"/>
      <w:marLeft w:val="0"/>
      <w:marRight w:val="0"/>
      <w:marTop w:val="0"/>
      <w:marBottom w:val="0"/>
      <w:divBdr>
        <w:top w:val="none" w:sz="0" w:space="0" w:color="auto"/>
        <w:left w:val="none" w:sz="0" w:space="0" w:color="auto"/>
        <w:bottom w:val="none" w:sz="0" w:space="0" w:color="auto"/>
        <w:right w:val="none" w:sz="0" w:space="0" w:color="auto"/>
      </w:divBdr>
    </w:div>
    <w:div w:id="1249341411">
      <w:bodyDiv w:val="1"/>
      <w:marLeft w:val="0"/>
      <w:marRight w:val="0"/>
      <w:marTop w:val="0"/>
      <w:marBottom w:val="0"/>
      <w:divBdr>
        <w:top w:val="none" w:sz="0" w:space="0" w:color="auto"/>
        <w:left w:val="none" w:sz="0" w:space="0" w:color="auto"/>
        <w:bottom w:val="none" w:sz="0" w:space="0" w:color="auto"/>
        <w:right w:val="none" w:sz="0" w:space="0" w:color="auto"/>
      </w:divBdr>
    </w:div>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 w:id="1324622887">
      <w:bodyDiv w:val="1"/>
      <w:marLeft w:val="0"/>
      <w:marRight w:val="0"/>
      <w:marTop w:val="0"/>
      <w:marBottom w:val="0"/>
      <w:divBdr>
        <w:top w:val="none" w:sz="0" w:space="0" w:color="auto"/>
        <w:left w:val="none" w:sz="0" w:space="0" w:color="auto"/>
        <w:bottom w:val="none" w:sz="0" w:space="0" w:color="auto"/>
        <w:right w:val="none" w:sz="0" w:space="0" w:color="auto"/>
      </w:divBdr>
    </w:div>
    <w:div w:id="17252525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emf"/><Relationship Id="rId18" Type="http://schemas.openxmlformats.org/officeDocument/2006/relationships/image" Target="media/image9.emf"/><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2.emf"/><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emf"/><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1.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4.emf"/><Relationship Id="rId28" Type="http://schemas.openxmlformats.org/officeDocument/2006/relationships/footer" Target="footer3.xml"/><Relationship Id="rId10" Type="http://schemas.openxmlformats.org/officeDocument/2006/relationships/hyperlink" Target="http://undocs.org/sp/CRC/C/SR.1207" TargetMode="External"/><Relationship Id="rId19" Type="http://schemas.openxmlformats.org/officeDocument/2006/relationships/image" Target="media/image10.emf"/><Relationship Id="rId4" Type="http://schemas.openxmlformats.org/officeDocument/2006/relationships/settings" Target="settings.xml"/><Relationship Id="rId9" Type="http://schemas.openxmlformats.org/officeDocument/2006/relationships/hyperlink" Target="http://undocs.org/sp/CRC/C/SR.1206" TargetMode="External"/><Relationship Id="rId14" Type="http://schemas.openxmlformats.org/officeDocument/2006/relationships/image" Target="media/image5.emf"/><Relationship Id="rId22" Type="http://schemas.openxmlformats.org/officeDocument/2006/relationships/image" Target="media/image13.emf"/><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16.gif"/><Relationship Id="rId1" Type="http://schemas.openxmlformats.org/officeDocument/2006/relationships/image" Target="media/image1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244EE-D0E4-4942-AC3C-3EFE0F326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5</TotalTime>
  <Pages>46</Pages>
  <Words>19542</Words>
  <Characters>107487</Characters>
  <Application>Microsoft Office Word</Application>
  <DocSecurity>0</DocSecurity>
  <Lines>895</Lines>
  <Paragraphs>253</Paragraphs>
  <ScaleCrop>false</ScaleCrop>
  <HeadingPairs>
    <vt:vector size="2" baseType="variant">
      <vt:variant>
        <vt:lpstr>Título</vt:lpstr>
      </vt:variant>
      <vt:variant>
        <vt:i4>1</vt:i4>
      </vt:variant>
    </vt:vector>
  </HeadingPairs>
  <TitlesOfParts>
    <vt:vector size="1" baseType="lpstr">
      <vt:lpstr>CRC/C/MLI/3-5</vt:lpstr>
    </vt:vector>
  </TitlesOfParts>
  <Company/>
  <LinksUpToDate>false</LinksUpToDate>
  <CharactersWithSpaces>126776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CRC/C/MLI/3-5</dc:title>
  <dc:subject/>
  <dc:creator>Javier RODRIGUEZ PEREZ</dc:creator>
  <cp:keywords/>
  <cp:lastModifiedBy>Javier Rodriguez Perez</cp:lastModifiedBy>
  <cp:revision>3</cp:revision>
  <cp:lastPrinted>2023-12-10T15:01:00Z</cp:lastPrinted>
  <dcterms:created xsi:type="dcterms:W3CDTF">2023-12-10T15:01:00Z</dcterms:created>
  <dcterms:modified xsi:type="dcterms:W3CDTF">2023-12-10T15:04:00Z</dcterms:modified>
</cp:coreProperties>
</file>