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751" w:rsidRDefault="00B87751" w:rsidP="00B87751">
      <w:pPr>
        <w:spacing w:line="60" w:lineRule="exact"/>
        <w:rPr>
          <w:color w:val="010000"/>
          <w:sz w:val="6"/>
        </w:rPr>
        <w:sectPr w:rsidR="00B87751" w:rsidSect="00B8775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Pr>
          <w:rStyle w:val="CommentReference"/>
        </w:rPr>
        <w:commentReference w:id="0"/>
      </w:r>
    </w:p>
    <w:p w:rsidR="002665C4" w:rsidRDefault="002665C4" w:rsidP="002665C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lang w:val="en-US"/>
        </w:rPr>
      </w:pPr>
      <w:r w:rsidRPr="002665C4">
        <w:rPr>
          <w:b/>
        </w:rPr>
        <w:t xml:space="preserve">Комитет по ликвидации дискриминации </w:t>
      </w:r>
      <w:r w:rsidRPr="002665C4">
        <w:rPr>
          <w:b/>
        </w:rPr>
        <w:br/>
        <w:t>в отношении женщин</w:t>
      </w:r>
    </w:p>
    <w:p w:rsidR="002665C4" w:rsidRPr="002665C4" w:rsidRDefault="002665C4" w:rsidP="002665C4">
      <w:pPr>
        <w:pStyle w:val="SingleTxt"/>
        <w:spacing w:after="0" w:line="120" w:lineRule="exact"/>
        <w:rPr>
          <w:sz w:val="10"/>
          <w:lang w:val="en-US"/>
        </w:rPr>
      </w:pPr>
    </w:p>
    <w:p w:rsidR="002665C4" w:rsidRPr="002665C4" w:rsidRDefault="002665C4" w:rsidP="002665C4">
      <w:pPr>
        <w:pStyle w:val="SingleTxt"/>
        <w:spacing w:after="0" w:line="120" w:lineRule="exact"/>
        <w:rPr>
          <w:sz w:val="10"/>
          <w:lang w:val="en-US"/>
        </w:rPr>
      </w:pPr>
    </w:p>
    <w:p w:rsidR="002665C4" w:rsidRPr="002665C4" w:rsidRDefault="002665C4" w:rsidP="002665C4">
      <w:pPr>
        <w:pStyle w:val="SingleTxt"/>
        <w:spacing w:after="0" w:line="120" w:lineRule="exact"/>
        <w:rPr>
          <w:sz w:val="10"/>
          <w:lang w:val="en-US"/>
        </w:rPr>
      </w:pPr>
    </w:p>
    <w:p w:rsidR="002665C4" w:rsidRPr="002665C4" w:rsidRDefault="002665C4" w:rsidP="00266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65C4">
        <w:tab/>
      </w:r>
      <w:r w:rsidRPr="002665C4">
        <w:tab/>
        <w:t>Рассмотрение докладов, представляемых государствами-участниками в соответствии</w:t>
      </w:r>
      <w:r w:rsidRPr="002665C4">
        <w:br/>
        <w:t>со статьей</w:t>
      </w:r>
      <w:r>
        <w:rPr>
          <w:lang w:val="en-US"/>
        </w:rPr>
        <w:t> </w:t>
      </w:r>
      <w:r w:rsidRPr="002665C4">
        <w:t>18 Конвенции</w:t>
      </w:r>
    </w:p>
    <w:p w:rsidR="002665C4" w:rsidRPr="002665C4" w:rsidRDefault="002665C4" w:rsidP="002665C4">
      <w:pPr>
        <w:pStyle w:val="SingleTxt"/>
        <w:spacing w:after="0" w:line="120" w:lineRule="exact"/>
        <w:rPr>
          <w:sz w:val="10"/>
        </w:rPr>
      </w:pPr>
    </w:p>
    <w:p w:rsidR="002665C4" w:rsidRPr="002665C4" w:rsidRDefault="002665C4" w:rsidP="002665C4">
      <w:pPr>
        <w:pStyle w:val="SingleTxt"/>
        <w:spacing w:after="0" w:line="120" w:lineRule="exact"/>
        <w:rPr>
          <w:sz w:val="10"/>
        </w:rPr>
      </w:pPr>
    </w:p>
    <w:p w:rsidR="002665C4" w:rsidRDefault="002665C4" w:rsidP="00266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665C4">
        <w:tab/>
      </w:r>
      <w:r w:rsidRPr="002665C4">
        <w:tab/>
        <w:t>Объединенные седьмой и восьмой периодические доклады государств-участников, по</w:t>
      </w:r>
      <w:r w:rsidRPr="002665C4">
        <w:t>д</w:t>
      </w:r>
      <w:r w:rsidRPr="002665C4">
        <w:t>лежащие представлению</w:t>
      </w:r>
      <w:r w:rsidRPr="002665C4">
        <w:br/>
        <w:t>в 2010 году</w:t>
      </w:r>
    </w:p>
    <w:p w:rsidR="002665C4" w:rsidRPr="002665C4" w:rsidRDefault="002665C4" w:rsidP="002665C4">
      <w:pPr>
        <w:pStyle w:val="SingleTxt"/>
        <w:spacing w:after="0" w:line="120" w:lineRule="exact"/>
        <w:rPr>
          <w:sz w:val="10"/>
          <w:lang w:val="en-US"/>
        </w:rPr>
      </w:pPr>
    </w:p>
    <w:p w:rsidR="002665C4" w:rsidRPr="002665C4" w:rsidRDefault="002665C4" w:rsidP="002665C4">
      <w:pPr>
        <w:pStyle w:val="SingleTxt"/>
        <w:spacing w:after="0" w:line="120" w:lineRule="exact"/>
        <w:rPr>
          <w:sz w:val="10"/>
          <w:lang w:val="en-US"/>
        </w:rPr>
      </w:pPr>
    </w:p>
    <w:p w:rsidR="00B87751" w:rsidRPr="002665C4" w:rsidRDefault="002665C4" w:rsidP="00266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65C4">
        <w:tab/>
      </w:r>
      <w:r w:rsidRPr="002665C4">
        <w:tab/>
        <w:t>Филиппины</w:t>
      </w:r>
      <w:r w:rsidRPr="002665C4">
        <w:rPr>
          <w:rStyle w:val="FootnoteReference"/>
          <w:b w:val="0"/>
          <w:sz w:val="20"/>
        </w:rPr>
        <w:footnoteReference w:customMarkFollows="1" w:id="1"/>
        <w:t>*</w:t>
      </w:r>
    </w:p>
    <w:p w:rsidR="002665C4" w:rsidRPr="002665C4" w:rsidRDefault="002665C4" w:rsidP="002665C4">
      <w:pPr>
        <w:pStyle w:val="SingleTxt"/>
        <w:spacing w:after="0" w:line="120" w:lineRule="exact"/>
        <w:rPr>
          <w:sz w:val="10"/>
        </w:rPr>
      </w:pPr>
    </w:p>
    <w:p w:rsidR="002665C4" w:rsidRPr="002665C4" w:rsidRDefault="002665C4" w:rsidP="002665C4">
      <w:pPr>
        <w:pStyle w:val="SingleTxt"/>
        <w:spacing w:after="0" w:line="120" w:lineRule="exact"/>
        <w:rPr>
          <w:sz w:val="10"/>
        </w:rPr>
      </w:pPr>
    </w:p>
    <w:p w:rsidR="002665C4" w:rsidRPr="002665C4" w:rsidRDefault="002665C4" w:rsidP="002665C4">
      <w:pPr>
        <w:pStyle w:val="SingleTxt"/>
        <w:jc w:val="right"/>
      </w:pPr>
      <w:r w:rsidRPr="002665C4">
        <w:t>16 января 2015 года</w:t>
      </w:r>
    </w:p>
    <w:p w:rsidR="002665C4" w:rsidRDefault="002665C4" w:rsidP="002665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br w:type="page"/>
      </w:r>
      <w:r w:rsidRPr="002665C4">
        <w:tab/>
      </w:r>
      <w:r w:rsidRPr="002665C4">
        <w:tab/>
        <w:t>Введение</w:t>
      </w:r>
    </w:p>
    <w:p w:rsidR="002665C4" w:rsidRPr="002665C4" w:rsidRDefault="002665C4" w:rsidP="002665C4">
      <w:pPr>
        <w:pStyle w:val="SingleTxt"/>
        <w:spacing w:after="0" w:line="120" w:lineRule="exact"/>
        <w:rPr>
          <w:sz w:val="10"/>
          <w:lang w:val="en-US"/>
        </w:rPr>
      </w:pPr>
    </w:p>
    <w:p w:rsidR="002665C4" w:rsidRPr="002665C4" w:rsidRDefault="002665C4" w:rsidP="002665C4">
      <w:pPr>
        <w:pStyle w:val="SingleTxt"/>
        <w:spacing w:after="0" w:line="120" w:lineRule="exact"/>
        <w:rPr>
          <w:sz w:val="10"/>
          <w:lang w:val="en-US"/>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2665C4">
        <w:t>Подготовка доклада</w:t>
      </w:r>
    </w:p>
    <w:p w:rsidR="002665C4" w:rsidRPr="002665C4" w:rsidRDefault="002665C4" w:rsidP="002665C4">
      <w:pPr>
        <w:pStyle w:val="SingleTxt"/>
        <w:spacing w:after="0" w:line="120" w:lineRule="exact"/>
        <w:rPr>
          <w:sz w:val="10"/>
          <w:lang w:val="en-US"/>
        </w:rPr>
      </w:pPr>
    </w:p>
    <w:p w:rsidR="002665C4" w:rsidRPr="002665C4" w:rsidRDefault="002665C4" w:rsidP="002665C4">
      <w:pPr>
        <w:pStyle w:val="SingleTxt"/>
      </w:pPr>
      <w:r w:rsidRPr="002665C4">
        <w:t>1.</w:t>
      </w:r>
      <w:r w:rsidRPr="002665C4">
        <w:tab/>
        <w:t>В процесс подготовки объединенных седьмого и восьмого докладов Ф</w:t>
      </w:r>
      <w:r w:rsidRPr="002665C4">
        <w:t>и</w:t>
      </w:r>
      <w:r w:rsidRPr="002665C4">
        <w:t>липпин об осуществлении КЛДЖ был вовлечен широкий круг участников. С</w:t>
      </w:r>
      <w:r w:rsidRPr="002665C4">
        <w:t>о</w:t>
      </w:r>
      <w:r w:rsidRPr="002665C4">
        <w:t>бранные и объединенные сведения и обновленные данные, предоставленные соответствующими правительственными учреждениями об осуществлении ими КЛДЖ, были дополнены данными соответствующих исследований и статист</w:t>
      </w:r>
      <w:r w:rsidRPr="002665C4">
        <w:t>и</w:t>
      </w:r>
      <w:r w:rsidRPr="002665C4">
        <w:t>ческими данными о поло</w:t>
      </w:r>
      <w:r>
        <w:t>жении женщин и мужчин в стране.</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2665C4">
        <w:t>Основные сведения за период, прошедший после представления объединенных пятого и шестого докладов</w:t>
      </w:r>
    </w:p>
    <w:p w:rsidR="002665C4" w:rsidRPr="002665C4" w:rsidRDefault="002665C4" w:rsidP="002665C4">
      <w:pPr>
        <w:pStyle w:val="SingleTxt"/>
        <w:spacing w:after="0" w:line="120" w:lineRule="exact"/>
        <w:rPr>
          <w:sz w:val="10"/>
          <w:lang w:val="en-US"/>
        </w:rPr>
      </w:pPr>
    </w:p>
    <w:p w:rsidR="002665C4" w:rsidRPr="002665C4" w:rsidRDefault="002665C4" w:rsidP="002665C4">
      <w:pPr>
        <w:pStyle w:val="SingleTxt"/>
      </w:pPr>
      <w:r w:rsidRPr="002665C4">
        <w:t>2.</w:t>
      </w:r>
      <w:r w:rsidRPr="002665C4">
        <w:tab/>
        <w:t>Государство-участник сразу после получения заключительных замечаний по пятому и шестому докладам в 2006 году распространило данную информ</w:t>
      </w:r>
      <w:r w:rsidRPr="002665C4">
        <w:t>а</w:t>
      </w:r>
      <w:r w:rsidRPr="002665C4">
        <w:t xml:space="preserve">цию среди различных групп, провело рабочие семинары с правительственными учреждениями и при поддержке со стороны Проекта Структуры </w:t>
      </w:r>
      <w:r>
        <w:t>«</w:t>
      </w:r>
      <w:r w:rsidRPr="002665C4">
        <w:t>ООН-женщины</w:t>
      </w:r>
      <w:r>
        <w:t>»</w:t>
      </w:r>
      <w:r w:rsidRPr="002665C4">
        <w:t xml:space="preserve"> по КЛДЖ в Юго-Восточной Азии и Совместной программы ООН по КЛДЖ провело содействующую осуществлению и мониторингу Конвенции учебную подготовку представителей организаций гражданского общества (ОГО), отвечающих за обязательства и представляющих требования.</w:t>
      </w:r>
    </w:p>
    <w:p w:rsidR="002665C4" w:rsidRPr="002665C4" w:rsidRDefault="002665C4" w:rsidP="002665C4">
      <w:pPr>
        <w:pStyle w:val="SingleTxt"/>
      </w:pPr>
      <w:r w:rsidRPr="002665C4">
        <w:t>3.</w:t>
      </w:r>
      <w:r w:rsidRPr="002665C4">
        <w:tab/>
        <w:t>Серьезно подходя к своим обязательствам по Конвенции, государство-участник незамедлительно начало работу по принятию Великой хартии прав женщин (ВХЖ), которая должна была стать национальной версией КЛДЖ. ВХЖ, введенная в действие в 2009</w:t>
      </w:r>
      <w:r>
        <w:t> </w:t>
      </w:r>
      <w:r w:rsidRPr="002665C4">
        <w:t>году, стала результатом активных совмес</w:t>
      </w:r>
      <w:r w:rsidRPr="002665C4">
        <w:t>т</w:t>
      </w:r>
      <w:r w:rsidRPr="002665C4">
        <w:t>ных усилий правительства, групп гражданского общества, научного сообщ</w:t>
      </w:r>
      <w:r w:rsidRPr="002665C4">
        <w:t>е</w:t>
      </w:r>
      <w:r w:rsidRPr="002665C4">
        <w:t xml:space="preserve">ства и других заинтересованных сторон. </w:t>
      </w:r>
    </w:p>
    <w:p w:rsidR="002665C4" w:rsidRPr="002665C4" w:rsidRDefault="002665C4" w:rsidP="002665C4">
      <w:pPr>
        <w:pStyle w:val="SingleTxt"/>
      </w:pPr>
      <w:r w:rsidRPr="002665C4">
        <w:t>4.</w:t>
      </w:r>
      <w:r w:rsidRPr="002665C4">
        <w:tab/>
        <w:t>Изменения во внутриполитической ситуации повлияли на поддержку з</w:t>
      </w:r>
      <w:r w:rsidRPr="002665C4">
        <w:t>а</w:t>
      </w:r>
      <w:r w:rsidRPr="002665C4">
        <w:t>конов и политических мер по гендерной проблематике. Помимо ВХЖ, в 2012</w:t>
      </w:r>
      <w:r>
        <w:t> </w:t>
      </w:r>
      <w:r w:rsidRPr="002665C4">
        <w:t>году был принят Закон об ответственном отношении к родительским об</w:t>
      </w:r>
      <w:r w:rsidRPr="002665C4">
        <w:t>я</w:t>
      </w:r>
      <w:r w:rsidRPr="002665C4">
        <w:t>занностям и репродуктивном здоровье (Закон ОРОРЗ) после острых дебатов в Ко</w:t>
      </w:r>
      <w:r w:rsidRPr="002665C4">
        <w:t>н</w:t>
      </w:r>
      <w:r w:rsidRPr="002665C4">
        <w:t>грессе Филиппин и несмотря на мощное сопротивление со стороны других сегментов общества. После подписания закона президентом Филиппин опп</w:t>
      </w:r>
      <w:r w:rsidRPr="002665C4">
        <w:t>о</w:t>
      </w:r>
      <w:r w:rsidRPr="002665C4">
        <w:t xml:space="preserve">ненты обратились в Верховный суд относительно status quo ante, отсрочив его применение. Однако 8 апреля 2014 года Верховный суд объявил закон </w:t>
      </w:r>
      <w:r>
        <w:t>«</w:t>
      </w:r>
      <w:r w:rsidRPr="002665C4">
        <w:t>не пр</w:t>
      </w:r>
      <w:r w:rsidRPr="002665C4">
        <w:t>о</w:t>
      </w:r>
      <w:r w:rsidRPr="002665C4">
        <w:t>тиворечащим Конституции</w:t>
      </w:r>
      <w:r>
        <w:t>»</w:t>
      </w:r>
      <w:r w:rsidRPr="002665C4">
        <w:t xml:space="preserve"> за исключением нескольких положений.</w:t>
      </w:r>
    </w:p>
    <w:p w:rsidR="002665C4" w:rsidRPr="002665C4" w:rsidRDefault="002665C4" w:rsidP="002665C4">
      <w:pPr>
        <w:pStyle w:val="SingleTxt"/>
      </w:pPr>
      <w:r w:rsidRPr="002665C4">
        <w:t>5.</w:t>
      </w:r>
      <w:r w:rsidRPr="002665C4">
        <w:tab/>
        <w:t>Ранее был введен в действие другой касающийся здравоохранения з</w:t>
      </w:r>
      <w:r w:rsidRPr="002665C4">
        <w:t>а</w:t>
      </w:r>
      <w:r w:rsidRPr="002665C4">
        <w:t>кон</w:t>
      </w:r>
      <w:r>
        <w:t xml:space="preserve"> — </w:t>
      </w:r>
      <w:r w:rsidRPr="002665C4">
        <w:t>Закон 2009 года о более эффективном поощрении грудного кормл</w:t>
      </w:r>
      <w:r w:rsidRPr="002665C4">
        <w:t>е</w:t>
      </w:r>
      <w:r w:rsidRPr="002665C4">
        <w:t>ния</w:t>
      </w:r>
      <w:r>
        <w:t xml:space="preserve"> — </w:t>
      </w:r>
      <w:r w:rsidRPr="002665C4">
        <w:t>в целях стимулирования государственных и частных медицинских учреждений, обеспечивающих нахождение новорожденного в одной палате с матерью и грудное вскармливание.</w:t>
      </w:r>
    </w:p>
    <w:p w:rsidR="002665C4" w:rsidRPr="002665C4" w:rsidRDefault="002665C4" w:rsidP="002665C4">
      <w:pPr>
        <w:pStyle w:val="SingleTxt"/>
      </w:pPr>
      <w:r w:rsidRPr="002665C4">
        <w:t>6.</w:t>
      </w:r>
      <w:r w:rsidRPr="002665C4">
        <w:tab/>
        <w:t>В период, охваченный настоящим объединенным докладом, были также приняты другие национальные законы, касающиеся других проблем гендерн</w:t>
      </w:r>
      <w:r w:rsidRPr="002665C4">
        <w:t>о</w:t>
      </w:r>
      <w:r w:rsidRPr="002665C4">
        <w:t>го характера, такие как Расширенный закон о борьбе с торговлей людьми, ус</w:t>
      </w:r>
      <w:r w:rsidRPr="002665C4">
        <w:t>и</w:t>
      </w:r>
      <w:r w:rsidRPr="002665C4">
        <w:t>ливший Закон 2003 года о борьбе с торговлей людьми, и Закон 2009 года о пр</w:t>
      </w:r>
      <w:r w:rsidRPr="002665C4">
        <w:t>е</w:t>
      </w:r>
      <w:r w:rsidRPr="002665C4">
        <w:t>сечении вуайеризма применительно к фото- и видеоматериалам. В 2013</w:t>
      </w:r>
      <w:r>
        <w:t> </w:t>
      </w:r>
      <w:r w:rsidRPr="002665C4">
        <w:t xml:space="preserve">году был принят закон, объявляющий 25 ноября Национальным днем борьбы с насилием в отношении женщин. В тот же период вышел </w:t>
      </w:r>
      <w:r>
        <w:t>«</w:t>
      </w:r>
      <w:r w:rsidRPr="002665C4">
        <w:t>Батас Касамбахаи</w:t>
      </w:r>
      <w:r>
        <w:t>»</w:t>
      </w:r>
      <w:r w:rsidRPr="002665C4">
        <w:t>, или Закон, официально закрепляющий политику защиты и благополучия д</w:t>
      </w:r>
      <w:r w:rsidRPr="002665C4">
        <w:t>о</w:t>
      </w:r>
      <w:r w:rsidRPr="002665C4">
        <w:t>машней прислуги, определяющий условия работы домашней прислуги, бол</w:t>
      </w:r>
      <w:r w:rsidRPr="002665C4">
        <w:t>ь</w:t>
      </w:r>
      <w:r w:rsidRPr="002665C4">
        <w:t xml:space="preserve">шинство которой составляют женщины. Ранее из Трудового кодекса Филиппин были фактически изъяты положения, </w:t>
      </w:r>
      <w:r>
        <w:t>«</w:t>
      </w:r>
      <w:r w:rsidRPr="002665C4">
        <w:t>запрещающие работу в ночное время</w:t>
      </w:r>
      <w:r>
        <w:t>»</w:t>
      </w:r>
      <w:r w:rsidRPr="002665C4">
        <w:t xml:space="preserve">, с принятием закона, позволяющего использование работников в ночную смену, разрешающего привлекать женщин к работе в ночное время или назначать их на ночные дежурства. </w:t>
      </w:r>
    </w:p>
    <w:p w:rsidR="002665C4" w:rsidRPr="002665C4" w:rsidRDefault="002665C4" w:rsidP="002665C4">
      <w:pPr>
        <w:pStyle w:val="SingleTxt"/>
      </w:pPr>
      <w:r w:rsidRPr="002665C4">
        <w:t>7.</w:t>
      </w:r>
      <w:r w:rsidRPr="002665C4">
        <w:tab/>
        <w:t>Другие столь же важные законопроекты, затрагивающие права женщин, находятся на рассмотрении законодательных органов государства-участника.</w:t>
      </w:r>
    </w:p>
    <w:p w:rsidR="002665C4" w:rsidRPr="002665C4" w:rsidRDefault="002665C4" w:rsidP="002665C4">
      <w:pPr>
        <w:pStyle w:val="SingleTxt"/>
      </w:pPr>
      <w:r w:rsidRPr="002665C4">
        <w:t>8.</w:t>
      </w:r>
      <w:r w:rsidRPr="002665C4">
        <w:tab/>
        <w:t>Поставив цель всеобъемлющего экономического роста, ныне действу</w:t>
      </w:r>
      <w:r w:rsidRPr="002665C4">
        <w:t>ю</w:t>
      </w:r>
      <w:r w:rsidRPr="002665C4">
        <w:t>щая администрация Акино (2010–2016 годы) включила в состав своих обяз</w:t>
      </w:r>
      <w:r w:rsidRPr="002665C4">
        <w:t>а</w:t>
      </w:r>
      <w:r w:rsidRPr="002665C4">
        <w:t>тельств содействие достижению гендерного равенства в отношении возможн</w:t>
      </w:r>
      <w:r w:rsidRPr="002665C4">
        <w:t>о</w:t>
      </w:r>
      <w:r w:rsidRPr="002665C4">
        <w:t>стей во всех сферах государственной политики и программ. Соответственно, План развития Филиппин</w:t>
      </w:r>
      <w:r w:rsidRPr="002665C4">
        <w:rPr>
          <w:iCs/>
        </w:rPr>
        <w:t xml:space="preserve"> </w:t>
      </w:r>
      <w:r w:rsidRPr="002665C4">
        <w:t>(ПРФ) на 2011–2016 годы включает достижение ге</w:t>
      </w:r>
      <w:r w:rsidRPr="002665C4">
        <w:t>н</w:t>
      </w:r>
      <w:r w:rsidRPr="002665C4">
        <w:t>дерного равенства в качестве сквозной проблемы так, что все его разделы, за исключением одного, содержат специальные положения этого направления. В качестве дополнения к ПРФ и руководства для учреждений по осуществлению ВХЖ составлен План расширения прав и возможностей, развития женщин и достижения гендерного равенства (План ПВРР женщин) на 2013–2016 годы, который в настоящее время выполняется в рамках процесса планирования в области гендерной проблематики и развития на уровне национальных и мес</w:t>
      </w:r>
      <w:r w:rsidRPr="002665C4">
        <w:t>т</w:t>
      </w:r>
      <w:r w:rsidRPr="002665C4">
        <w:t xml:space="preserve">ных органов власти. </w:t>
      </w:r>
    </w:p>
    <w:p w:rsidR="002665C4" w:rsidRPr="002665C4" w:rsidRDefault="002665C4" w:rsidP="002665C4">
      <w:pPr>
        <w:pStyle w:val="SingleTxt"/>
      </w:pPr>
      <w:r w:rsidRPr="002665C4">
        <w:t>9.</w:t>
      </w:r>
      <w:r w:rsidRPr="002665C4">
        <w:tab/>
        <w:t>Государство-участник посредством Филиппинской комиссии по делам женщин (ФКЖ) продолжает отстаивать и контролировать процессы развития на национальном и местном уровнях в целях осуществления Конвенции. Оно также предоставляет техническую помощь национальным и местным органам власти в вопросах учета гендерного аспекта в программах и осуществляет м</w:t>
      </w:r>
      <w:r w:rsidRPr="002665C4">
        <w:t>о</w:t>
      </w:r>
      <w:r w:rsidRPr="002665C4">
        <w:t>ниторинг программ в рамках процесса планирования и усиления подотчетн</w:t>
      </w:r>
      <w:r w:rsidRPr="002665C4">
        <w:t>о</w:t>
      </w:r>
      <w:r w:rsidRPr="002665C4">
        <w:t>сти по гендерной проблематике и вопросам развития.</w:t>
      </w:r>
    </w:p>
    <w:p w:rsidR="002665C4" w:rsidRPr="002665C4" w:rsidRDefault="002665C4" w:rsidP="002665C4">
      <w:pPr>
        <w:pStyle w:val="SingleTxt"/>
      </w:pPr>
      <w:r w:rsidRPr="002665C4">
        <w:t>10.</w:t>
      </w:r>
      <w:r w:rsidRPr="002665C4">
        <w:tab/>
        <w:t>Государство-участник достигло хороших результатов в отношении гл</w:t>
      </w:r>
      <w:r w:rsidRPr="002665C4">
        <w:t>о</w:t>
      </w:r>
      <w:r w:rsidRPr="002665C4">
        <w:t>бальных показателей гендерного равенства. Оно заняло 5-е место в Индексе глобального гендерного разрыва Всемирного экономического форума за 2013</w:t>
      </w:r>
      <w:r>
        <w:t> </w:t>
      </w:r>
      <w:r w:rsidRPr="002665C4">
        <w:t>год и 12-е среди 86 стран в Индексе социальных институтов и гендерного неравенства Организации экономического сотрудничества и развития (ОЭСР) за 2012</w:t>
      </w:r>
      <w:r>
        <w:t> </w:t>
      </w:r>
      <w:r w:rsidRPr="002665C4">
        <w:t>год. С другой стороны, из 186 стран, включенных в Доклад о развитии человеческого потенциала Программы развития Организации Объединенных Наций (ПРООН) за 2013 год, государство-участник занимало 114-е место в Индексе развития человеческого потенциала</w:t>
      </w:r>
      <w:r w:rsidRPr="002665C4">
        <w:rPr>
          <w:vertAlign w:val="superscript"/>
        </w:rPr>
        <w:t xml:space="preserve"> </w:t>
      </w:r>
      <w:r w:rsidRPr="002665C4">
        <w:t>и 77-е в Индексе гендерного нер</w:t>
      </w:r>
      <w:r w:rsidRPr="002665C4">
        <w:t>а</w:t>
      </w:r>
      <w:r w:rsidRPr="002665C4">
        <w:t xml:space="preserve">венства, который измеряет показатели репродуктивного здоровья, расширения прав и возможностей и доли в составе рабочей силы. </w:t>
      </w:r>
    </w:p>
    <w:p w:rsidR="002665C4" w:rsidRDefault="002665C4" w:rsidP="002665C4">
      <w:pPr>
        <w:pStyle w:val="SingleTxt"/>
      </w:pPr>
      <w:r w:rsidRPr="002665C4">
        <w:t>11.</w:t>
      </w:r>
      <w:r w:rsidRPr="002665C4">
        <w:tab/>
        <w:t>Прогресс, достигнутый в развитии человеческого потенциала, был сер</w:t>
      </w:r>
      <w:r w:rsidRPr="002665C4">
        <w:t>ь</w:t>
      </w:r>
      <w:r w:rsidRPr="002665C4">
        <w:t>езно подорван в результате ряда стихийных бедствий, обрушившихся на ра</w:t>
      </w:r>
      <w:r w:rsidRPr="002665C4">
        <w:t>з</w:t>
      </w:r>
      <w:r w:rsidRPr="002665C4">
        <w:t xml:space="preserve">ные районы страны за последние несколько лет. Тайфуны </w:t>
      </w:r>
      <w:r>
        <w:t>«</w:t>
      </w:r>
      <w:r w:rsidRPr="002665C4">
        <w:t>Кетсана</w:t>
      </w:r>
      <w:r>
        <w:t>»</w:t>
      </w:r>
      <w:r w:rsidRPr="002665C4">
        <w:t xml:space="preserve"> (</w:t>
      </w:r>
      <w:r>
        <w:t>«</w:t>
      </w:r>
      <w:r w:rsidRPr="002665C4">
        <w:t>О</w:t>
      </w:r>
      <w:r w:rsidRPr="002665C4">
        <w:t>н</w:t>
      </w:r>
      <w:r w:rsidRPr="002665C4">
        <w:t>дой</w:t>
      </w:r>
      <w:r>
        <w:t>»</w:t>
      </w:r>
      <w:r w:rsidRPr="002665C4">
        <w:t xml:space="preserve">), </w:t>
      </w:r>
      <w:r>
        <w:t>«</w:t>
      </w:r>
      <w:r w:rsidRPr="002665C4">
        <w:t>Ваши</w:t>
      </w:r>
      <w:r>
        <w:t>»</w:t>
      </w:r>
      <w:r w:rsidRPr="002665C4">
        <w:t xml:space="preserve"> (</w:t>
      </w:r>
      <w:r>
        <w:t>«</w:t>
      </w:r>
      <w:r w:rsidRPr="002665C4">
        <w:t>Сендонг</w:t>
      </w:r>
      <w:r>
        <w:t>»</w:t>
      </w:r>
      <w:r w:rsidRPr="002665C4">
        <w:t xml:space="preserve">), </w:t>
      </w:r>
      <w:r>
        <w:t>«</w:t>
      </w:r>
      <w:r w:rsidRPr="002665C4">
        <w:t>Бофа</w:t>
      </w:r>
      <w:r>
        <w:t>»</w:t>
      </w:r>
      <w:r w:rsidRPr="002665C4">
        <w:t xml:space="preserve"> (</w:t>
      </w:r>
      <w:r>
        <w:t>«</w:t>
      </w:r>
      <w:r w:rsidRPr="002665C4">
        <w:t>Пабло</w:t>
      </w:r>
      <w:r>
        <w:t>»</w:t>
      </w:r>
      <w:r w:rsidRPr="002665C4">
        <w:t xml:space="preserve">), </w:t>
      </w:r>
      <w:r>
        <w:t>«</w:t>
      </w:r>
      <w:r w:rsidRPr="002665C4">
        <w:t>Хайян</w:t>
      </w:r>
      <w:r>
        <w:t>»</w:t>
      </w:r>
      <w:r w:rsidRPr="002665C4">
        <w:t xml:space="preserve"> (</w:t>
      </w:r>
      <w:r>
        <w:t>«</w:t>
      </w:r>
      <w:r w:rsidRPr="002665C4">
        <w:t>Йоланда</w:t>
      </w:r>
      <w:r>
        <w:t>»</w:t>
      </w:r>
      <w:r w:rsidRPr="002665C4">
        <w:t>) и другие, а также сильные землетрясения в провинции Бохол и в западной части Висаян принесли неисчислимые потери человеческих жизней, средств к существов</w:t>
      </w:r>
      <w:r w:rsidRPr="002665C4">
        <w:t>а</w:t>
      </w:r>
      <w:r w:rsidRPr="002665C4">
        <w:t xml:space="preserve">нию и имущества. В ноябре 2013 года только от тайфуна </w:t>
      </w:r>
      <w:r>
        <w:t>«</w:t>
      </w:r>
      <w:r w:rsidRPr="002665C4">
        <w:t>Хайян</w:t>
      </w:r>
      <w:r>
        <w:t>»</w:t>
      </w:r>
      <w:r w:rsidRPr="002665C4">
        <w:t xml:space="preserve"> (</w:t>
      </w:r>
      <w:r>
        <w:t>«</w:t>
      </w:r>
      <w:r w:rsidRPr="002665C4">
        <w:t>Йоланда</w:t>
      </w:r>
      <w:r>
        <w:t>»</w:t>
      </w:r>
      <w:r w:rsidRPr="002665C4">
        <w:t>) пострадало более 14 млн. женщин и мужчин, его разрушительному действию подверглись огромные территории островов Лусон и Висейас. Это произошло в то время, когда страна еще не успела оправиться от последствий землетряс</w:t>
      </w:r>
      <w:r w:rsidRPr="002665C4">
        <w:t>е</w:t>
      </w:r>
      <w:r w:rsidRPr="002665C4">
        <w:t>ния в провинции Бохол, случившегося в октябре 2013 года. Все эти события создали чрезмерную нагрузку на ресурсы Филиппин в связи с разрушением и</w:t>
      </w:r>
      <w:r w:rsidRPr="002665C4">
        <w:t>с</w:t>
      </w:r>
      <w:r w:rsidRPr="002665C4">
        <w:t>точников средств к существованию общин и семей и отрицательно сказались на экономическом благополучии, здоровье, безопасности и стабильности п</w:t>
      </w:r>
      <w:r w:rsidRPr="002665C4">
        <w:t>о</w:t>
      </w:r>
      <w:r>
        <w:t>ложения женщин.</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 xml:space="preserve">Основные мероприятия в области политики и программ в связи с заключительными замечаниями Комитета КЛДЖ по объединенным ятому и шестому </w:t>
      </w:r>
      <w:r>
        <w:t>периодическим докладам Филиппин</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О воплощении Конвенции в национальной правовой системе</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12.</w:t>
      </w:r>
      <w:r w:rsidRPr="002665C4">
        <w:tab/>
        <w:t>ВХЖ была подписана и оформлена в качестве закона 14 августа 2009 года и рассматривается как воплощение КЛДЖ в правовой системе государства. Она определяет дискриминацию в отношении женщин в соответствии со ст</w:t>
      </w:r>
      <w:r w:rsidRPr="002665C4">
        <w:t>а</w:t>
      </w:r>
      <w:r w:rsidRPr="002665C4">
        <w:t>тьей 1 Конвенции и называет конкретные акты дискриминации со стороны з</w:t>
      </w:r>
      <w:r w:rsidRPr="002665C4">
        <w:t>а</w:t>
      </w:r>
      <w:r w:rsidRPr="002665C4">
        <w:t xml:space="preserve">кона, политики или установленных порядков, в том числе дискриминации, отягченной смежными основаниями. </w:t>
      </w:r>
    </w:p>
    <w:p w:rsidR="002665C4" w:rsidRPr="002665C4" w:rsidRDefault="002665C4" w:rsidP="002665C4">
      <w:pPr>
        <w:pStyle w:val="SingleTxt"/>
      </w:pPr>
      <w:r w:rsidRPr="002665C4">
        <w:t>13.</w:t>
      </w:r>
      <w:r w:rsidRPr="002665C4">
        <w:tab/>
        <w:t>В ВХЖ отражены различные положения КЛДЖ и содержится требование к соответствующим носителям обязательств выполнять эти положения, в том числе к Филиппинской комиссии по правам человека (ФКПЧ) в качестве упо</w:t>
      </w:r>
      <w:r w:rsidRPr="002665C4">
        <w:t>л</w:t>
      </w:r>
      <w:r w:rsidRPr="002665C4">
        <w:t>номоченного по гендерным вопросам, ответственного за расследование нар</w:t>
      </w:r>
      <w:r w:rsidRPr="002665C4">
        <w:t>у</w:t>
      </w:r>
      <w:r w:rsidRPr="002665C4">
        <w:t>шений закона. Кроме того, закон предусматривает механизм ее осуществления, а также санкции за несоблюдение и усиливает ФКЖ в качестве надзорного о</w:t>
      </w:r>
      <w:r w:rsidRPr="002665C4">
        <w:t>р</w:t>
      </w:r>
      <w:r w:rsidRPr="002665C4">
        <w:t>гана для контроля за ее реализацией.</w:t>
      </w:r>
    </w:p>
    <w:p w:rsidR="002665C4" w:rsidRPr="002665C4" w:rsidRDefault="002665C4" w:rsidP="002665C4">
      <w:pPr>
        <w:pStyle w:val="SingleTxt"/>
      </w:pPr>
      <w:r w:rsidRPr="002665C4">
        <w:t>14.</w:t>
      </w:r>
      <w:r w:rsidRPr="002665C4">
        <w:tab/>
        <w:t>Конституция</w:t>
      </w:r>
      <w:r w:rsidRPr="002665C4" w:rsidDel="00E405F6">
        <w:t xml:space="preserve"> </w:t>
      </w:r>
      <w:r w:rsidRPr="002665C4">
        <w:t>государства-участника содержит пункт об инкорпорации, предписывающий, что общепринятые принципы международного права и д</w:t>
      </w:r>
      <w:r w:rsidRPr="002665C4">
        <w:t>о</w:t>
      </w:r>
      <w:r w:rsidRPr="002665C4">
        <w:t>говоры, стороной которых оно является, входят в законодательство страны. Однако в случае противоречий с договорными обязательствами, например об</w:t>
      </w:r>
      <w:r w:rsidRPr="002665C4">
        <w:t>я</w:t>
      </w:r>
      <w:r w:rsidRPr="002665C4">
        <w:t xml:space="preserve">зательствами по КЛДЖ, Верховный суд Филиппин указал, что </w:t>
      </w:r>
      <w:r>
        <w:t>«</w:t>
      </w:r>
      <w:r w:rsidRPr="002665C4">
        <w:t>прежде всего следует предпринять усилия по их согласованию в целях введения в действие обоих, поскольку предполагается, что муниципальный закон был принят с должным учетом общепринятых принципов международного права, в порядке соблюдения пункта об инкорпорации. Однако в случае неустранимого прот</w:t>
      </w:r>
      <w:r w:rsidRPr="002665C4">
        <w:t>и</w:t>
      </w:r>
      <w:r w:rsidRPr="002665C4">
        <w:t>воречия, когда необходимо сделать выбор между нормой международного пр</w:t>
      </w:r>
      <w:r w:rsidRPr="002665C4">
        <w:t>а</w:t>
      </w:r>
      <w:r w:rsidRPr="002665C4">
        <w:t>ва и муниципальным законом, юриспруденция предписывает, что муниципал</w:t>
      </w:r>
      <w:r w:rsidRPr="002665C4">
        <w:t>ь</w:t>
      </w:r>
      <w:r w:rsidRPr="002665C4">
        <w:t>ный суд должен поддерживать муниципальный закон, поскольку такие суды являются органами муниципального законодательства и, следовательно, связ</w:t>
      </w:r>
      <w:r w:rsidRPr="002665C4">
        <w:t>а</w:t>
      </w:r>
      <w:r w:rsidRPr="002665C4">
        <w:t>ны с ним во всех обстоятельствах. То, что международное право стало неот</w:t>
      </w:r>
      <w:r w:rsidRPr="002665C4">
        <w:t>ъ</w:t>
      </w:r>
      <w:r w:rsidRPr="002665C4">
        <w:t>емлемой частью законодательства страны, не относится к примату междун</w:t>
      </w:r>
      <w:r w:rsidRPr="002665C4">
        <w:t>а</w:t>
      </w:r>
      <w:r w:rsidRPr="002665C4">
        <w:t>родного права над национальным или муниципальным законодательством в муниципальной сфере и не подразумевает его. Доктрина инкорпорации, как она применяется в большинстве стран, устанавливает, что нормы междунаро</w:t>
      </w:r>
      <w:r w:rsidRPr="002665C4">
        <w:t>д</w:t>
      </w:r>
      <w:r w:rsidRPr="002665C4">
        <w:t>ного права равносильны национальным законодательным актам, но не имеют по сравнению с ними преимущественной силы. Следовательно, вступает в силу принцип lex posterior derogat priori</w:t>
      </w:r>
      <w:r>
        <w:t xml:space="preserve"> — </w:t>
      </w:r>
      <w:r w:rsidRPr="002665C4">
        <w:t>договор может отменить закон и закон может отменить договор. В случае равенства договора и закона новый договор имеет преимущественную силу перед ранее принятым законом, справедливо также и то, что новый закон имеет преимущественную силу перед договором</w:t>
      </w:r>
      <w:r>
        <w:t>»</w:t>
      </w:r>
      <w:r w:rsidRPr="002665C4">
        <w:t>.</w:t>
      </w:r>
    </w:p>
    <w:p w:rsidR="002665C4" w:rsidRDefault="002665C4" w:rsidP="002665C4">
      <w:pPr>
        <w:pStyle w:val="SingleTxt"/>
      </w:pPr>
      <w:r w:rsidRPr="002665C4">
        <w:t>15.</w:t>
      </w:r>
      <w:r w:rsidRPr="002665C4">
        <w:tab/>
        <w:t>Государство-участник в лице Министерства юстиции (МЮ) полагает, что тогда как ВХЖ воплощает КЛДЖ в национальном законодательстве, придавая ей силу и действие национального законодательства, она же не наделяет КЛДЖ преимущественной силой в отношении законодательных актов; только на равной основе с местным законодательством.</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О законопроектах, находящихся на рассмотрении, и систематическом пересмотре всего законодательства</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16.</w:t>
      </w:r>
      <w:r w:rsidRPr="002665C4">
        <w:tab/>
        <w:t>Государство-участник продолжает принимать меры по ликвидации ост</w:t>
      </w:r>
      <w:r w:rsidRPr="002665C4">
        <w:t>а</w:t>
      </w:r>
      <w:r w:rsidRPr="002665C4">
        <w:t>ющихся дискриминационных положений в законодательстве и введению новых законов, направленных на решение возникающих проблем. Сенат и Палата представителей Филиппин пересматривают действующие законы, содержащие положения, которые рассматриваются как дискриминационные в отношении женщин. Что касается Семейного кодекса, внесены законопроекты по измен</w:t>
      </w:r>
      <w:r w:rsidRPr="002665C4">
        <w:t>е</w:t>
      </w:r>
      <w:r w:rsidRPr="002665C4">
        <w:t>нию положений о браке и семейных отношениях, такие как положения, да</w:t>
      </w:r>
      <w:r w:rsidRPr="002665C4">
        <w:t>ю</w:t>
      </w:r>
      <w:r w:rsidRPr="002665C4">
        <w:t>щие предпочтение мужу по сравнению с женой в случае разногласий по вопр</w:t>
      </w:r>
      <w:r w:rsidRPr="002665C4">
        <w:t>о</w:t>
      </w:r>
      <w:r w:rsidRPr="002665C4">
        <w:t>сам, связанным с распоряжением общим имуществом, использованием права собственности или супружескими долями в доходах; об использовании род</w:t>
      </w:r>
      <w:r w:rsidRPr="002665C4">
        <w:t>и</w:t>
      </w:r>
      <w:r w:rsidRPr="002665C4">
        <w:t>тельских прав; об осуществлении опеки над имуществом ребенка, несове</w:t>
      </w:r>
      <w:r w:rsidRPr="002665C4">
        <w:t>р</w:t>
      </w:r>
      <w:r w:rsidRPr="002665C4">
        <w:t xml:space="preserve">шеннолетнего по общему праву. </w:t>
      </w:r>
    </w:p>
    <w:p w:rsidR="002665C4" w:rsidRPr="002665C4" w:rsidRDefault="002665C4" w:rsidP="002665C4">
      <w:pPr>
        <w:pStyle w:val="SingleTxt"/>
      </w:pPr>
      <w:r w:rsidRPr="002665C4">
        <w:t>17.</w:t>
      </w:r>
      <w:r w:rsidRPr="002665C4">
        <w:tab/>
        <w:t>Аналогичным образом, в отношении пересмотренного Уголовного коде</w:t>
      </w:r>
      <w:r w:rsidRPr="002665C4">
        <w:t>к</w:t>
      </w:r>
      <w:r w:rsidRPr="002665C4">
        <w:t>са (ПУК) внесены законопроекты по устранению различения преступлений внебрачного сожительства и прелюбодеяния, которые будут квалифицироват</w:t>
      </w:r>
      <w:r w:rsidRPr="002665C4">
        <w:t>ь</w:t>
      </w:r>
      <w:r w:rsidRPr="002665C4">
        <w:t>ся как преступления супружеской неверности и в равной мере подвергаться наказанию в виде тюремного заключения. Другой законопроект направлен на изменение статьи 202 ПУК путем перенесения уголовной ответственности с лица/лиц, занимающегося/занимающихся проституцией: 1) на лицо, которое побуждает, вовлекает, убеждает, привлекает, похищает, вербует, транспортир</w:t>
      </w:r>
      <w:r w:rsidRPr="002665C4">
        <w:t>у</w:t>
      </w:r>
      <w:r w:rsidRPr="002665C4">
        <w:t>ет, организует путешествия, использует информационные технологии, рекл</w:t>
      </w:r>
      <w:r w:rsidRPr="002665C4">
        <w:t>а</w:t>
      </w:r>
      <w:r w:rsidRPr="002665C4">
        <w:t>мирует в целях эксплуатации лица/лиц в проституции либо извлекает прибыль или выгоду из сводничества, транспортировки, укрывательства и вовлечения в занятие проституцией любого лица, и 2) на тех, кто использует лиц, занима</w:t>
      </w:r>
      <w:r w:rsidRPr="002665C4">
        <w:t>ю</w:t>
      </w:r>
      <w:r w:rsidRPr="002665C4">
        <w:t xml:space="preserve">щихся проституцией, для собственного удовольствия. Предлагаемая поправка в Закон о борьбе с изнасилованиями предусматривает включение понятия </w:t>
      </w:r>
      <w:r>
        <w:t>«</w:t>
      </w:r>
      <w:r w:rsidRPr="002665C4">
        <w:t>о</w:t>
      </w:r>
      <w:r w:rsidRPr="002665C4">
        <w:t>т</w:t>
      </w:r>
      <w:r w:rsidRPr="002665C4">
        <w:t>сутствие согласия</w:t>
      </w:r>
      <w:r>
        <w:t>»</w:t>
      </w:r>
      <w:r w:rsidRPr="002665C4">
        <w:t xml:space="preserve"> в основное определение изнасилования; изъятие пункта о прощении в случае изнасилования в браке; повышение возраста в</w:t>
      </w:r>
      <w:r w:rsidR="00FB6A78">
        <w:t xml:space="preserve"> </w:t>
      </w:r>
      <w:r w:rsidRPr="002665C4">
        <w:t>отношении половой связи с лицом, не достигшим совершеннолетия, с 12 до 16 лет.</w:t>
      </w:r>
    </w:p>
    <w:p w:rsidR="002665C4" w:rsidRPr="002665C4" w:rsidRDefault="002665C4" w:rsidP="002665C4">
      <w:pPr>
        <w:pStyle w:val="SingleTxt"/>
      </w:pPr>
      <w:r w:rsidRPr="002665C4">
        <w:t>18.</w:t>
      </w:r>
      <w:r w:rsidRPr="002665C4">
        <w:tab/>
        <w:t>Параллельно государство-участник в лице Комитета по уголовному к</w:t>
      </w:r>
      <w:r w:rsidRPr="002665C4">
        <w:t>о</w:t>
      </w:r>
      <w:r w:rsidRPr="002665C4">
        <w:t>дексу МЮ проводит публичные слушания тома II проекта уголовного кодекса Филиппин, который заменит ПУК. В томе II соответствующие положения, по</w:t>
      </w:r>
      <w:r w:rsidRPr="002665C4">
        <w:t>д</w:t>
      </w:r>
      <w:r w:rsidRPr="002665C4">
        <w:t xml:space="preserve">вергаемые тщательному контролю, относятся к освобождению от уголовного наказания женщин, занимающихся проституцией. </w:t>
      </w:r>
    </w:p>
    <w:p w:rsidR="002665C4" w:rsidRDefault="002665C4" w:rsidP="00266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2665C4">
        <w:t>Законодательная повестка дня по первоочередным проблемам же</w:t>
      </w:r>
      <w:r w:rsidRPr="002665C4">
        <w:t>н</w:t>
      </w:r>
      <w:r w:rsidRPr="002665C4">
        <w:t>щин (ЗППЖ)</w:t>
      </w:r>
    </w:p>
    <w:p w:rsidR="002665C4" w:rsidRPr="002665C4" w:rsidRDefault="002665C4" w:rsidP="002665C4">
      <w:pPr>
        <w:pStyle w:val="SingleTxt"/>
        <w:spacing w:after="0" w:line="120" w:lineRule="exact"/>
        <w:rPr>
          <w:sz w:val="10"/>
        </w:rPr>
      </w:pPr>
    </w:p>
    <w:p w:rsidR="002665C4" w:rsidRPr="002665C4" w:rsidRDefault="002665C4" w:rsidP="00FB6A78">
      <w:pPr>
        <w:pStyle w:val="SingleTxt"/>
      </w:pPr>
      <w:r w:rsidRPr="002665C4">
        <w:t>19.</w:t>
      </w:r>
      <w:r w:rsidRPr="002665C4">
        <w:tab/>
        <w:t>В целях координации обеспечения своей законодательной инициативы на каждый срок полномочий Конгресса государство-участник с помощью ФКЖ разработало Законодательную повестку дня по первоочередным проблемам женщин (ЗППЖ) на основе ВХЖ и Филиппинского плана развития с учетом гендерных аспектов (ФПРГА). Были также приняты во внимание заключител</w:t>
      </w:r>
      <w:r w:rsidRPr="002665C4">
        <w:t>ь</w:t>
      </w:r>
      <w:r w:rsidRPr="002665C4">
        <w:t>ные замечания Комитета КЛДЖ. В таблице, ниже, показано продвижение зак</w:t>
      </w:r>
      <w:r w:rsidRPr="002665C4">
        <w:t>о</w:t>
      </w:r>
      <w:r w:rsidRPr="002665C4">
        <w:t>нодательной инициативы, направленной на принятие или отмену законов в ц</w:t>
      </w:r>
      <w:r w:rsidRPr="002665C4">
        <w:t>е</w:t>
      </w:r>
      <w:r w:rsidRPr="002665C4">
        <w:t>лях устранения дискриминации в отношении женщин в течение трех сроков полномочий в рамках ЗППЖ: 2007–2010 годы, 2010–2013 годы, 2013–2016 г</w:t>
      </w:r>
      <w:r w:rsidRPr="002665C4">
        <w:t>о</w:t>
      </w:r>
      <w:r w:rsidRPr="002665C4">
        <w:t>ды.</w:t>
      </w:r>
    </w:p>
    <w:p w:rsidR="00382D9E" w:rsidRPr="00382D9E" w:rsidRDefault="00382D9E" w:rsidP="00382D9E">
      <w:pPr>
        <w:pStyle w:val="SingleTxt"/>
        <w:spacing w:after="0" w:line="120" w:lineRule="exact"/>
        <w:rPr>
          <w:sz w:val="10"/>
        </w:rPr>
      </w:pPr>
    </w:p>
    <w:p w:rsidR="00382D9E" w:rsidRPr="00382D9E" w:rsidRDefault="00382D9E" w:rsidP="00382D9E">
      <w:pPr>
        <w:pStyle w:val="SingleTxt"/>
        <w:spacing w:after="0" w:line="120" w:lineRule="exact"/>
        <w:rPr>
          <w:sz w:val="10"/>
        </w:rPr>
      </w:pPr>
    </w:p>
    <w:tbl>
      <w:tblPr>
        <w:tblW w:w="9846" w:type="dxa"/>
        <w:tblLayout w:type="fixed"/>
        <w:tblCellMar>
          <w:left w:w="0" w:type="dxa"/>
          <w:right w:w="0" w:type="dxa"/>
        </w:tblCellMar>
        <w:tblLook w:val="04A0"/>
      </w:tblPr>
      <w:tblGrid>
        <w:gridCol w:w="2340"/>
        <w:gridCol w:w="2502"/>
        <w:gridCol w:w="18"/>
        <w:gridCol w:w="2475"/>
        <w:gridCol w:w="9"/>
        <w:gridCol w:w="2437"/>
        <w:gridCol w:w="65"/>
      </w:tblGrid>
      <w:tr w:rsidR="00382D9E" w:rsidRPr="00382D9E" w:rsidTr="00382D9E">
        <w:trPr>
          <w:tblHeader/>
        </w:trPr>
        <w:tc>
          <w:tcPr>
            <w:tcW w:w="2340" w:type="dxa"/>
            <w:tcBorders>
              <w:top w:val="single" w:sz="4" w:space="0" w:color="auto"/>
              <w:bottom w:val="single" w:sz="12" w:space="0" w:color="auto"/>
            </w:tcBorders>
            <w:shd w:val="clear" w:color="auto" w:fill="auto"/>
            <w:vAlign w:val="bottom"/>
          </w:tcPr>
          <w:p w:rsidR="00382D9E" w:rsidRPr="008809B1"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left"/>
              <w:rPr>
                <w:rFonts w:eastAsia="Times New Roman"/>
                <w:i/>
                <w:sz w:val="14"/>
              </w:rPr>
            </w:pPr>
            <w:r w:rsidRPr="00382D9E">
              <w:rPr>
                <w:rFonts w:eastAsia="Times New Roman"/>
                <w:i/>
                <w:sz w:val="14"/>
              </w:rPr>
              <w:t>2007–2010 годы</w:t>
            </w:r>
            <w:r>
              <w:rPr>
                <w:rFonts w:eastAsia="Times New Roman"/>
                <w:i/>
                <w:sz w:val="14"/>
              </w:rPr>
              <w:t xml:space="preserve"> </w:t>
            </w:r>
            <w:r w:rsidRPr="00382D9E">
              <w:rPr>
                <w:rFonts w:eastAsia="Times New Roman"/>
                <w:i/>
                <w:sz w:val="14"/>
              </w:rPr>
              <w:t>(14-й Конгресс)</w:t>
            </w:r>
          </w:p>
        </w:tc>
        <w:tc>
          <w:tcPr>
            <w:tcW w:w="2502" w:type="dxa"/>
            <w:tcBorders>
              <w:top w:val="single" w:sz="4" w:space="0" w:color="auto"/>
              <w:bottom w:val="single" w:sz="12" w:space="0" w:color="auto"/>
            </w:tcBorders>
            <w:shd w:val="clear" w:color="auto" w:fill="auto"/>
            <w:vAlign w:val="bottom"/>
          </w:tcPr>
          <w:p w:rsidR="00382D9E" w:rsidRPr="008809B1"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rFonts w:eastAsia="Times New Roman"/>
                <w:i/>
                <w:sz w:val="14"/>
              </w:rPr>
            </w:pPr>
            <w:r w:rsidRPr="00382D9E">
              <w:rPr>
                <w:rFonts w:eastAsia="Times New Roman"/>
                <w:i/>
                <w:sz w:val="14"/>
              </w:rPr>
              <w:t>2010–2013 годы</w:t>
            </w:r>
            <w:r>
              <w:rPr>
                <w:rFonts w:eastAsia="Times New Roman"/>
                <w:i/>
                <w:sz w:val="14"/>
              </w:rPr>
              <w:t xml:space="preserve"> </w:t>
            </w:r>
            <w:r w:rsidRPr="00382D9E">
              <w:rPr>
                <w:rFonts w:eastAsia="Times New Roman"/>
                <w:i/>
                <w:sz w:val="14"/>
              </w:rPr>
              <w:t>(15-й Конгресс)</w:t>
            </w:r>
          </w:p>
        </w:tc>
        <w:tc>
          <w:tcPr>
            <w:tcW w:w="2502" w:type="dxa"/>
            <w:gridSpan w:val="3"/>
            <w:tcBorders>
              <w:top w:val="single" w:sz="4" w:space="0" w:color="auto"/>
              <w:bottom w:val="single" w:sz="12" w:space="0" w:color="auto"/>
            </w:tcBorders>
            <w:shd w:val="clear" w:color="auto" w:fill="auto"/>
            <w:vAlign w:val="bottom"/>
          </w:tcPr>
          <w:p w:rsidR="00382D9E" w:rsidRPr="008809B1"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144" w:right="43"/>
              <w:jc w:val="left"/>
              <w:rPr>
                <w:rFonts w:eastAsia="Times New Roman"/>
                <w:i/>
                <w:sz w:val="14"/>
              </w:rPr>
            </w:pPr>
            <w:r w:rsidRPr="00382D9E">
              <w:rPr>
                <w:rFonts w:eastAsia="Times New Roman"/>
                <w:i/>
                <w:sz w:val="14"/>
              </w:rPr>
              <w:t>2013–2016 годы</w:t>
            </w:r>
            <w:r>
              <w:rPr>
                <w:rFonts w:eastAsia="Times New Roman"/>
                <w:i/>
                <w:sz w:val="14"/>
              </w:rPr>
              <w:t xml:space="preserve"> </w:t>
            </w:r>
            <w:r w:rsidRPr="00382D9E">
              <w:rPr>
                <w:rFonts w:eastAsia="Times New Roman"/>
                <w:i/>
                <w:sz w:val="14"/>
              </w:rPr>
              <w:t>(16-й Конгресс)</w:t>
            </w:r>
          </w:p>
        </w:tc>
        <w:tc>
          <w:tcPr>
            <w:tcW w:w="2502" w:type="dxa"/>
            <w:gridSpan w:val="2"/>
            <w:tcBorders>
              <w:top w:val="single" w:sz="4" w:space="0" w:color="auto"/>
              <w:bottom w:val="single" w:sz="12" w:space="0" w:color="auto"/>
            </w:tcBorders>
            <w:shd w:val="clear" w:color="auto" w:fill="auto"/>
            <w:vAlign w:val="bottom"/>
          </w:tcPr>
          <w:p w:rsidR="00382D9E" w:rsidRP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rFonts w:eastAsia="Times New Roman"/>
                <w:i/>
                <w:sz w:val="14"/>
                <w:lang w:val="en-US"/>
              </w:rPr>
            </w:pPr>
            <w:r w:rsidRPr="00382D9E">
              <w:rPr>
                <w:rFonts w:eastAsia="Times New Roman"/>
                <w:i/>
                <w:sz w:val="14"/>
              </w:rPr>
              <w:t>Состояние</w:t>
            </w:r>
            <w:r w:rsidRPr="00382D9E">
              <w:rPr>
                <w:rFonts w:eastAsia="Times New Roman"/>
                <w:i/>
                <w:sz w:val="14"/>
                <w:lang w:val="en-US"/>
              </w:rPr>
              <w:t xml:space="preserve"> </w:t>
            </w:r>
            <w:r w:rsidRPr="00382D9E">
              <w:rPr>
                <w:rFonts w:eastAsia="Times New Roman"/>
                <w:i/>
                <w:sz w:val="14"/>
              </w:rPr>
              <w:t>законодательных</w:t>
            </w:r>
            <w:r w:rsidRPr="00382D9E">
              <w:rPr>
                <w:rFonts w:eastAsia="Times New Roman"/>
                <w:i/>
                <w:sz w:val="14"/>
                <w:lang w:val="en-US"/>
              </w:rPr>
              <w:br/>
            </w:r>
            <w:r w:rsidRPr="00382D9E">
              <w:rPr>
                <w:rFonts w:eastAsia="Times New Roman"/>
                <w:i/>
                <w:sz w:val="14"/>
              </w:rPr>
              <w:t>ин</w:t>
            </w:r>
            <w:r w:rsidRPr="00382D9E">
              <w:rPr>
                <w:rFonts w:eastAsia="Times New Roman"/>
                <w:i/>
                <w:sz w:val="14"/>
              </w:rPr>
              <w:t>и</w:t>
            </w:r>
            <w:r w:rsidRPr="00382D9E">
              <w:rPr>
                <w:rFonts w:eastAsia="Times New Roman"/>
                <w:i/>
                <w:sz w:val="14"/>
              </w:rPr>
              <w:t>циатив</w:t>
            </w:r>
          </w:p>
        </w:tc>
      </w:tr>
      <w:tr w:rsidR="00382D9E" w:rsidRPr="00382D9E" w:rsidTr="00382D9E">
        <w:trPr>
          <w:trHeight w:hRule="exact" w:val="115"/>
          <w:tblHeader/>
        </w:trPr>
        <w:tc>
          <w:tcPr>
            <w:tcW w:w="2340" w:type="dxa"/>
            <w:tcBorders>
              <w:top w:val="single" w:sz="12" w:space="0" w:color="auto"/>
            </w:tcBorders>
            <w:shd w:val="clear" w:color="auto" w:fill="auto"/>
            <w:vAlign w:val="bottom"/>
          </w:tcPr>
          <w:p w:rsidR="00382D9E" w:rsidRPr="00382D9E" w:rsidRDefault="00382D9E" w:rsidP="00B43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rFonts w:eastAsia="Times New Roman"/>
                <w:lang w:val="en-US"/>
              </w:rPr>
            </w:pPr>
          </w:p>
        </w:tc>
        <w:tc>
          <w:tcPr>
            <w:tcW w:w="2502" w:type="dxa"/>
            <w:tcBorders>
              <w:top w:val="single" w:sz="12" w:space="0" w:color="auto"/>
            </w:tcBorders>
            <w:shd w:val="clear" w:color="auto" w:fill="auto"/>
            <w:vAlign w:val="bottom"/>
          </w:tcPr>
          <w:p w:rsidR="00382D9E" w:rsidRPr="00382D9E" w:rsidRDefault="00382D9E" w:rsidP="00B43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val="en-US"/>
              </w:rPr>
            </w:pPr>
          </w:p>
        </w:tc>
        <w:tc>
          <w:tcPr>
            <w:tcW w:w="2502" w:type="dxa"/>
            <w:gridSpan w:val="3"/>
            <w:tcBorders>
              <w:top w:val="single" w:sz="12" w:space="0" w:color="auto"/>
            </w:tcBorders>
            <w:shd w:val="clear" w:color="auto" w:fill="auto"/>
            <w:vAlign w:val="bottom"/>
          </w:tcPr>
          <w:p w:rsidR="00382D9E" w:rsidRPr="00382D9E" w:rsidRDefault="00382D9E" w:rsidP="00B43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val="en-US"/>
              </w:rPr>
            </w:pPr>
          </w:p>
        </w:tc>
        <w:tc>
          <w:tcPr>
            <w:tcW w:w="2502" w:type="dxa"/>
            <w:gridSpan w:val="2"/>
            <w:tcBorders>
              <w:top w:val="single" w:sz="12" w:space="0" w:color="auto"/>
            </w:tcBorders>
            <w:shd w:val="clear" w:color="auto" w:fill="auto"/>
            <w:vAlign w:val="bottom"/>
          </w:tcPr>
          <w:p w:rsidR="00382D9E" w:rsidRP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rFonts w:eastAsia="Times New Roman"/>
                <w:lang w:val="en-US"/>
              </w:rPr>
            </w:pPr>
          </w:p>
        </w:tc>
      </w:tr>
      <w:tr w:rsidR="00382D9E" w:rsidRPr="00382D9E" w:rsidTr="00382D9E">
        <w:tc>
          <w:tcPr>
            <w:tcW w:w="2340" w:type="dxa"/>
            <w:shd w:val="clear" w:color="auto" w:fill="auto"/>
          </w:tcPr>
          <w:p w:rsidR="00382D9E" w:rsidRP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rsidRPr="00382D9E">
              <w:rPr>
                <w:rFonts w:eastAsia="Times New Roman"/>
              </w:rPr>
              <w:t>Поправки к пересмо</w:t>
            </w:r>
            <w:r w:rsidRPr="00382D9E">
              <w:rPr>
                <w:rFonts w:eastAsia="Times New Roman"/>
              </w:rPr>
              <w:t>т</w:t>
            </w:r>
            <w:r w:rsidRPr="00382D9E">
              <w:rPr>
                <w:rFonts w:eastAsia="Times New Roman"/>
              </w:rPr>
              <w:t>ренному Уголовному к</w:t>
            </w:r>
            <w:r w:rsidRPr="00382D9E">
              <w:rPr>
                <w:rFonts w:eastAsia="Times New Roman"/>
              </w:rPr>
              <w:t>о</w:t>
            </w:r>
            <w:r w:rsidRPr="00382D9E">
              <w:rPr>
                <w:rFonts w:eastAsia="Times New Roman"/>
              </w:rPr>
              <w:t>дексу (ПУК):</w:t>
            </w:r>
          </w:p>
          <w:p w:rsidR="00382D9E" w:rsidRP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rsidRPr="00382D9E">
              <w:rPr>
                <w:rFonts w:eastAsia="Times New Roman"/>
              </w:rPr>
              <w:t>♦</w:t>
            </w:r>
            <w:r>
              <w:rPr>
                <w:rFonts w:eastAsia="Times New Roman"/>
              </w:rPr>
              <w:tab/>
            </w:r>
            <w:r w:rsidRPr="00382D9E">
              <w:rPr>
                <w:rFonts w:eastAsia="Times New Roman"/>
              </w:rPr>
              <w:t>законопроект по борьбе с проституцией: попра</w:t>
            </w:r>
            <w:r w:rsidRPr="00382D9E">
              <w:rPr>
                <w:rFonts w:eastAsia="Times New Roman"/>
              </w:rPr>
              <w:t>в</w:t>
            </w:r>
            <w:r w:rsidRPr="00382D9E">
              <w:rPr>
                <w:rFonts w:eastAsia="Times New Roman"/>
              </w:rPr>
              <w:t>ка к статье 202 о</w:t>
            </w:r>
            <w:r>
              <w:rPr>
                <w:rFonts w:eastAsia="Times New Roman"/>
              </w:rPr>
              <w:t xml:space="preserve"> </w:t>
            </w:r>
            <w:r w:rsidRPr="00382D9E">
              <w:rPr>
                <w:rFonts w:eastAsia="Times New Roman"/>
              </w:rPr>
              <w:t>бродяжничестве и</w:t>
            </w:r>
            <w:r>
              <w:rPr>
                <w:rFonts w:eastAsia="Times New Roman"/>
              </w:rPr>
              <w:t xml:space="preserve"> </w:t>
            </w:r>
            <w:r w:rsidRPr="00382D9E">
              <w:rPr>
                <w:rFonts w:eastAsia="Times New Roman"/>
              </w:rPr>
              <w:t>пр</w:t>
            </w:r>
            <w:r w:rsidRPr="00382D9E">
              <w:rPr>
                <w:rFonts w:eastAsia="Times New Roman"/>
              </w:rPr>
              <w:t>о</w:t>
            </w:r>
            <w:r w:rsidRPr="00382D9E">
              <w:rPr>
                <w:rFonts w:eastAsia="Times New Roman"/>
              </w:rPr>
              <w:t>ституции</w:t>
            </w:r>
          </w:p>
        </w:tc>
        <w:tc>
          <w:tcPr>
            <w:tcW w:w="2502" w:type="dxa"/>
            <w:shd w:val="clear" w:color="auto" w:fill="auto"/>
          </w:tcPr>
          <w:p w:rsidR="00382D9E" w:rsidRP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Pr>
                <w:rFonts w:eastAsia="Times New Roman"/>
              </w:rPr>
              <w:tab/>
            </w:r>
            <w:r w:rsidRPr="00382D9E">
              <w:rPr>
                <w:rFonts w:eastAsia="Times New Roman"/>
              </w:rPr>
              <w:t>Сохраняется в</w:t>
            </w:r>
            <w:r w:rsidRPr="00382D9E">
              <w:rPr>
                <w:rFonts w:eastAsia="Times New Roman"/>
                <w:bCs/>
              </w:rPr>
              <w:t xml:space="preserve"> ЗППЖ (</w:t>
            </w:r>
            <w:r w:rsidRPr="00382D9E">
              <w:rPr>
                <w:rFonts w:eastAsia="Times New Roman"/>
              </w:rPr>
              <w:t>вводит уголовную о</w:t>
            </w:r>
            <w:r w:rsidRPr="00382D9E">
              <w:rPr>
                <w:rFonts w:eastAsia="Times New Roman"/>
              </w:rPr>
              <w:t>т</w:t>
            </w:r>
            <w:r w:rsidRPr="00382D9E">
              <w:rPr>
                <w:rFonts w:eastAsia="Times New Roman"/>
              </w:rPr>
              <w:t>ветственность вместо женщин, занимающихся проституцией,</w:t>
            </w:r>
            <w:r w:rsidRPr="00382D9E">
              <w:rPr>
                <w:rFonts w:eastAsia="Times New Roman"/>
                <w:bCs/>
              </w:rPr>
              <w:t xml:space="preserve"> </w:t>
            </w:r>
            <w:r w:rsidRPr="00382D9E">
              <w:rPr>
                <w:rFonts w:eastAsia="Times New Roman"/>
              </w:rPr>
              <w:t>для сво</w:t>
            </w:r>
            <w:r w:rsidRPr="00382D9E">
              <w:rPr>
                <w:rFonts w:eastAsia="Times New Roman"/>
              </w:rPr>
              <w:t>д</w:t>
            </w:r>
            <w:r w:rsidRPr="00382D9E">
              <w:rPr>
                <w:rFonts w:eastAsia="Times New Roman"/>
              </w:rPr>
              <w:t>ников, сутенеров и п</w:t>
            </w:r>
            <w:r w:rsidRPr="00382D9E">
              <w:rPr>
                <w:rFonts w:eastAsia="Times New Roman"/>
              </w:rPr>
              <w:t>о</w:t>
            </w:r>
            <w:r w:rsidRPr="00382D9E">
              <w:rPr>
                <w:rFonts w:eastAsia="Times New Roman"/>
              </w:rPr>
              <w:t>требителей сексуальных услуг)</w:t>
            </w:r>
          </w:p>
        </w:tc>
        <w:tc>
          <w:tcPr>
            <w:tcW w:w="2502" w:type="dxa"/>
            <w:gridSpan w:val="3"/>
            <w:shd w:val="clear" w:color="auto" w:fill="auto"/>
          </w:tcPr>
          <w:p w:rsidR="00382D9E" w:rsidRPr="008809B1"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8809B1">
              <w:rPr>
                <w:rFonts w:eastAsia="Times New Roman"/>
              </w:rPr>
              <w:t>♦</w:t>
            </w:r>
            <w:r>
              <w:rPr>
                <w:rFonts w:eastAsia="Times New Roman"/>
              </w:rPr>
              <w:tab/>
            </w:r>
            <w:r w:rsidRPr="00382D9E">
              <w:rPr>
                <w:rFonts w:eastAsia="Times New Roman"/>
              </w:rPr>
              <w:t>Сохраняется в ЗППЖ</w:t>
            </w:r>
          </w:p>
        </w:tc>
        <w:tc>
          <w:tcPr>
            <w:tcW w:w="2502" w:type="dxa"/>
            <w:gridSpan w:val="2"/>
            <w:shd w:val="clear" w:color="auto" w:fill="auto"/>
          </w:tcPr>
          <w:p w:rsid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1)</w:t>
            </w:r>
            <w:r>
              <w:rPr>
                <w:rFonts w:eastAsia="Times New Roman"/>
              </w:rPr>
              <w:tab/>
            </w:r>
            <w:r w:rsidRPr="00382D9E">
              <w:rPr>
                <w:rFonts w:eastAsia="Times New Roman"/>
              </w:rPr>
              <w:t>Статья 202 о</w:t>
            </w:r>
            <w:r>
              <w:rPr>
                <w:rFonts w:eastAsia="Times New Roman"/>
              </w:rPr>
              <w:t xml:space="preserve"> </w:t>
            </w:r>
            <w:r w:rsidRPr="00382D9E">
              <w:rPr>
                <w:rFonts w:eastAsia="Times New Roman"/>
              </w:rPr>
              <w:t>пр</w:t>
            </w:r>
            <w:r w:rsidRPr="00382D9E">
              <w:rPr>
                <w:rFonts w:eastAsia="Times New Roman"/>
              </w:rPr>
              <w:t>о</w:t>
            </w:r>
            <w:r w:rsidRPr="00382D9E">
              <w:rPr>
                <w:rFonts w:eastAsia="Times New Roman"/>
              </w:rPr>
              <w:t>ституции перенесена в окончательный проект нового уголовного к</w:t>
            </w:r>
            <w:r w:rsidRPr="00382D9E">
              <w:rPr>
                <w:rFonts w:eastAsia="Times New Roman"/>
              </w:rPr>
              <w:t>о</w:t>
            </w:r>
            <w:r w:rsidRPr="00382D9E">
              <w:rPr>
                <w:rFonts w:eastAsia="Times New Roman"/>
              </w:rPr>
              <w:t>декса (Уголовный кодекс Филиппин, том 2, око</w:t>
            </w:r>
            <w:r w:rsidRPr="00382D9E">
              <w:rPr>
                <w:rFonts w:eastAsia="Times New Roman"/>
              </w:rPr>
              <w:t>н</w:t>
            </w:r>
            <w:r w:rsidRPr="00382D9E">
              <w:rPr>
                <w:rFonts w:eastAsia="Times New Roman"/>
              </w:rPr>
              <w:t xml:space="preserve">чательный проект от 19 ноября 2013 года) наряду с положением о статье 341, или </w:t>
            </w:r>
            <w:r>
              <w:rPr>
                <w:rFonts w:eastAsia="Times New Roman"/>
              </w:rPr>
              <w:t>«</w:t>
            </w:r>
            <w:r w:rsidRPr="00382D9E">
              <w:rPr>
                <w:rFonts w:eastAsia="Times New Roman"/>
              </w:rPr>
              <w:t>торго</w:t>
            </w:r>
            <w:r w:rsidRPr="00382D9E">
              <w:rPr>
                <w:rFonts w:eastAsia="Times New Roman"/>
              </w:rPr>
              <w:t>в</w:t>
            </w:r>
            <w:r w:rsidRPr="00382D9E">
              <w:rPr>
                <w:rFonts w:eastAsia="Times New Roman"/>
              </w:rPr>
              <w:t>ле белыми рабынями</w:t>
            </w:r>
            <w:r>
              <w:rPr>
                <w:rFonts w:eastAsia="Times New Roman"/>
              </w:rPr>
              <w:t>»</w:t>
            </w:r>
          </w:p>
          <w:p w:rsidR="00382D9E" w:rsidRPr="00382D9E" w:rsidRDefault="00382D9E"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Законопроекты по бор</w:t>
            </w:r>
            <w:r w:rsidRPr="00382D9E">
              <w:rPr>
                <w:rFonts w:eastAsia="Times New Roman"/>
              </w:rPr>
              <w:t>ь</w:t>
            </w:r>
            <w:r w:rsidRPr="00382D9E">
              <w:rPr>
                <w:rFonts w:eastAsia="Times New Roman"/>
              </w:rPr>
              <w:t>бе с проституцией также внесены в обе палаты Конгресса (т</w:t>
            </w:r>
            <w:r>
              <w:rPr>
                <w:rFonts w:eastAsia="Times New Roman"/>
              </w:rPr>
              <w:t>.е. </w:t>
            </w:r>
            <w:r w:rsidRPr="00382D9E">
              <w:rPr>
                <w:rFonts w:eastAsia="Times New Roman"/>
              </w:rPr>
              <w:t>SBN 1655, 445, 1608 и HB 406)</w:t>
            </w:r>
          </w:p>
        </w:tc>
      </w:tr>
      <w:tr w:rsidR="002665C4" w:rsidRPr="00382D9E" w:rsidTr="00382D9E">
        <w:tblPrEx>
          <w:tblBorders>
            <w:top w:val="single" w:sz="4" w:space="0" w:color="auto"/>
          </w:tblBorders>
        </w:tblPrEx>
        <w:trPr>
          <w:gridAfter w:val="1"/>
          <w:wAfter w:w="65" w:type="dxa"/>
          <w:trHeight w:val="240"/>
        </w:trPr>
        <w:tc>
          <w:tcPr>
            <w:tcW w:w="2340" w:type="dxa"/>
            <w:vMerge w:val="restart"/>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rFonts w:eastAsia="Times New Roman"/>
              </w:rPr>
            </w:pPr>
            <w:r w:rsidRPr="00382D9E">
              <w:rPr>
                <w:rFonts w:eastAsia="Times New Roman"/>
              </w:rPr>
              <w:t>♦</w:t>
            </w:r>
            <w:r w:rsidR="00382D9E">
              <w:rPr>
                <w:rFonts w:eastAsia="Times New Roman"/>
              </w:rPr>
              <w:tab/>
            </w:r>
            <w:r w:rsidRPr="00382D9E">
              <w:rPr>
                <w:rFonts w:eastAsia="Times New Roman"/>
              </w:rPr>
              <w:t>Закон о супружеской неверности: поправки к</w:t>
            </w:r>
            <w:r w:rsidR="00382D9E">
              <w:rPr>
                <w:rFonts w:eastAsia="Times New Roman"/>
              </w:rPr>
              <w:t xml:space="preserve"> </w:t>
            </w:r>
            <w:r w:rsidRPr="00382D9E">
              <w:rPr>
                <w:rFonts w:eastAsia="Times New Roman"/>
              </w:rPr>
              <w:t>статьям 333 и 334 о</w:t>
            </w:r>
            <w:r w:rsidR="00382D9E">
              <w:rPr>
                <w:rFonts w:eastAsia="Times New Roman"/>
              </w:rPr>
              <w:t xml:space="preserve"> </w:t>
            </w:r>
            <w:r w:rsidRPr="00382D9E">
              <w:rPr>
                <w:rFonts w:eastAsia="Times New Roman"/>
              </w:rPr>
              <w:t>пр</w:t>
            </w:r>
            <w:r w:rsidRPr="00382D9E">
              <w:rPr>
                <w:rFonts w:eastAsia="Times New Roman"/>
              </w:rPr>
              <w:t>е</w:t>
            </w:r>
            <w:r w:rsidRPr="00382D9E">
              <w:rPr>
                <w:rFonts w:eastAsia="Times New Roman"/>
              </w:rPr>
              <w:t>любодеянии и</w:t>
            </w:r>
            <w:r w:rsidR="00382D9E">
              <w:rPr>
                <w:rFonts w:eastAsia="Times New Roman"/>
              </w:rPr>
              <w:t xml:space="preserve"> </w:t>
            </w:r>
            <w:r w:rsidRPr="00382D9E">
              <w:rPr>
                <w:rFonts w:eastAsia="Times New Roman"/>
              </w:rPr>
              <w:t>внебра</w:t>
            </w:r>
            <w:r w:rsidRPr="00382D9E">
              <w:rPr>
                <w:rFonts w:eastAsia="Times New Roman"/>
              </w:rPr>
              <w:t>ч</w:t>
            </w:r>
            <w:r w:rsidRPr="00382D9E">
              <w:rPr>
                <w:rFonts w:eastAsia="Times New Roman"/>
              </w:rPr>
              <w:t>ном сожител</w:t>
            </w:r>
            <w:r w:rsidRPr="00382D9E">
              <w:rPr>
                <w:rFonts w:eastAsia="Times New Roman"/>
              </w:rPr>
              <w:t>ь</w:t>
            </w:r>
            <w:r w:rsidRPr="00382D9E">
              <w:rPr>
                <w:rFonts w:eastAsia="Times New Roman"/>
              </w:rPr>
              <w:t>стве</w:t>
            </w:r>
          </w:p>
        </w:tc>
        <w:tc>
          <w:tcPr>
            <w:tcW w:w="2520"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 xml:space="preserve">Сохраняется в ЗППЖ </w:t>
            </w:r>
          </w:p>
        </w:tc>
        <w:tc>
          <w:tcPr>
            <w:tcW w:w="2475"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Сохраняется в ЗППЖ в</w:t>
            </w:r>
            <w:r w:rsidR="00382D9E">
              <w:rPr>
                <w:rFonts w:eastAsia="Times New Roman"/>
              </w:rPr>
              <w:t xml:space="preserve"> </w:t>
            </w:r>
            <w:r w:rsidRPr="00382D9E">
              <w:rPr>
                <w:rFonts w:eastAsia="Times New Roman"/>
              </w:rPr>
              <w:t>качестве з</w:t>
            </w:r>
            <w:r w:rsidRPr="00382D9E">
              <w:rPr>
                <w:rFonts w:eastAsia="Times New Roman"/>
              </w:rPr>
              <w:t>а</w:t>
            </w:r>
            <w:r w:rsidRPr="00382D9E">
              <w:rPr>
                <w:rFonts w:eastAsia="Times New Roman"/>
              </w:rPr>
              <w:t>конопроекта о супружеской неверн</w:t>
            </w:r>
            <w:r w:rsidRPr="00382D9E">
              <w:rPr>
                <w:rFonts w:eastAsia="Times New Roman"/>
              </w:rPr>
              <w:t>о</w:t>
            </w:r>
            <w:r w:rsidRPr="00382D9E">
              <w:rPr>
                <w:rFonts w:eastAsia="Times New Roman"/>
              </w:rPr>
              <w:t xml:space="preserve">сти </w:t>
            </w:r>
          </w:p>
        </w:tc>
        <w:tc>
          <w:tcPr>
            <w:tcW w:w="2446"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2)</w:t>
            </w:r>
            <w:r w:rsidR="00382D9E">
              <w:rPr>
                <w:rFonts w:eastAsia="Times New Roman"/>
              </w:rPr>
              <w:tab/>
            </w:r>
            <w:r w:rsidRPr="00382D9E">
              <w:rPr>
                <w:rFonts w:eastAsia="Times New Roman"/>
              </w:rPr>
              <w:t>Статьи 333 и 334 о</w:t>
            </w:r>
            <w:r w:rsidR="00382D9E">
              <w:rPr>
                <w:rFonts w:eastAsia="Times New Roman"/>
              </w:rPr>
              <w:t xml:space="preserve"> </w:t>
            </w:r>
            <w:r w:rsidRPr="00382D9E">
              <w:rPr>
                <w:rFonts w:eastAsia="Times New Roman"/>
              </w:rPr>
              <w:t>прелюбодеянии и</w:t>
            </w:r>
            <w:r w:rsidR="00382D9E">
              <w:rPr>
                <w:rFonts w:eastAsia="Times New Roman"/>
              </w:rPr>
              <w:t xml:space="preserve"> </w:t>
            </w:r>
            <w:r w:rsidRPr="00382D9E">
              <w:rPr>
                <w:rFonts w:eastAsia="Times New Roman"/>
              </w:rPr>
              <w:t>вн</w:t>
            </w:r>
            <w:r w:rsidRPr="00382D9E">
              <w:rPr>
                <w:rFonts w:eastAsia="Times New Roman"/>
              </w:rPr>
              <w:t>е</w:t>
            </w:r>
            <w:r w:rsidRPr="00382D9E">
              <w:rPr>
                <w:rFonts w:eastAsia="Times New Roman"/>
              </w:rPr>
              <w:t>брачном сожительстве объединены в оконч</w:t>
            </w:r>
            <w:r w:rsidRPr="00382D9E">
              <w:rPr>
                <w:rFonts w:eastAsia="Times New Roman"/>
              </w:rPr>
              <w:t>а</w:t>
            </w:r>
            <w:r w:rsidRPr="00382D9E">
              <w:rPr>
                <w:rFonts w:eastAsia="Times New Roman"/>
              </w:rPr>
              <w:t>тельном проекте нового уголовного кодекса (Уголовный кодекс Ф</w:t>
            </w:r>
            <w:r w:rsidRPr="00382D9E">
              <w:rPr>
                <w:rFonts w:eastAsia="Times New Roman"/>
              </w:rPr>
              <w:t>и</w:t>
            </w:r>
            <w:r w:rsidRPr="00382D9E">
              <w:rPr>
                <w:rFonts w:eastAsia="Times New Roman"/>
              </w:rPr>
              <w:t>липпин, том 2, оконч</w:t>
            </w:r>
            <w:r w:rsidRPr="00382D9E">
              <w:rPr>
                <w:rFonts w:eastAsia="Times New Roman"/>
              </w:rPr>
              <w:t>а</w:t>
            </w:r>
            <w:r w:rsidRPr="00382D9E">
              <w:rPr>
                <w:rFonts w:eastAsia="Times New Roman"/>
              </w:rPr>
              <w:t xml:space="preserve">тельный проект от 19 ноября 2013 года) в рамках предлагаемого раздела о </w:t>
            </w:r>
            <w:r w:rsidR="00382D9E">
              <w:rPr>
                <w:rFonts w:eastAsia="Times New Roman"/>
              </w:rPr>
              <w:t>«</w:t>
            </w:r>
            <w:r w:rsidRPr="00382D9E">
              <w:rPr>
                <w:rFonts w:eastAsia="Times New Roman"/>
              </w:rPr>
              <w:t>с</w:t>
            </w:r>
            <w:r w:rsidRPr="00382D9E">
              <w:rPr>
                <w:rFonts w:eastAsia="Times New Roman"/>
              </w:rPr>
              <w:t>у</w:t>
            </w:r>
            <w:r w:rsidRPr="00382D9E">
              <w:rPr>
                <w:rFonts w:eastAsia="Times New Roman"/>
              </w:rPr>
              <w:t>пружеской неверности</w:t>
            </w:r>
            <w:r w:rsidR="00382D9E">
              <w:rPr>
                <w:rFonts w:eastAsia="Times New Roman"/>
              </w:rPr>
              <w:t>»</w:t>
            </w:r>
          </w:p>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Законопроекты о внес</w:t>
            </w:r>
            <w:r w:rsidRPr="00382D9E">
              <w:rPr>
                <w:rFonts w:eastAsia="Times New Roman"/>
              </w:rPr>
              <w:t>е</w:t>
            </w:r>
            <w:r w:rsidRPr="00382D9E">
              <w:rPr>
                <w:rFonts w:eastAsia="Times New Roman"/>
              </w:rPr>
              <w:t>нии изменений в</w:t>
            </w:r>
            <w:r w:rsidR="00382D9E">
              <w:rPr>
                <w:rFonts w:eastAsia="Times New Roman"/>
              </w:rPr>
              <w:t xml:space="preserve"> </w:t>
            </w:r>
            <w:r w:rsidRPr="00382D9E">
              <w:rPr>
                <w:rFonts w:eastAsia="Times New Roman"/>
              </w:rPr>
              <w:t>ст</w:t>
            </w:r>
            <w:r w:rsidRPr="00382D9E">
              <w:rPr>
                <w:rFonts w:eastAsia="Times New Roman"/>
              </w:rPr>
              <w:t>а</w:t>
            </w:r>
            <w:r w:rsidRPr="00382D9E">
              <w:rPr>
                <w:rFonts w:eastAsia="Times New Roman"/>
              </w:rPr>
              <w:t>тьи</w:t>
            </w:r>
            <w:r w:rsidR="00382D9E">
              <w:rPr>
                <w:rFonts w:eastAsia="Times New Roman"/>
              </w:rPr>
              <w:t> </w:t>
            </w:r>
            <w:r w:rsidRPr="00382D9E">
              <w:rPr>
                <w:rFonts w:eastAsia="Times New Roman"/>
              </w:rPr>
              <w:t>333 и 334 о</w:t>
            </w:r>
            <w:r w:rsidR="00382D9E">
              <w:rPr>
                <w:rFonts w:eastAsia="Times New Roman"/>
              </w:rPr>
              <w:t xml:space="preserve"> </w:t>
            </w:r>
            <w:r w:rsidRPr="00382D9E">
              <w:rPr>
                <w:rFonts w:eastAsia="Times New Roman"/>
              </w:rPr>
              <w:t>прел</w:t>
            </w:r>
            <w:r w:rsidRPr="00382D9E">
              <w:rPr>
                <w:rFonts w:eastAsia="Times New Roman"/>
              </w:rPr>
              <w:t>ю</w:t>
            </w:r>
            <w:r w:rsidRPr="00382D9E">
              <w:rPr>
                <w:rFonts w:eastAsia="Times New Roman"/>
              </w:rPr>
              <w:t>бодеянии и</w:t>
            </w:r>
            <w:r w:rsidR="00382D9E">
              <w:rPr>
                <w:rFonts w:eastAsia="Times New Roman"/>
              </w:rPr>
              <w:t xml:space="preserve"> </w:t>
            </w:r>
            <w:r w:rsidRPr="00382D9E">
              <w:rPr>
                <w:rFonts w:eastAsia="Times New Roman"/>
              </w:rPr>
              <w:t>внебрачном сожительстве также внесены в Сенат и П</w:t>
            </w:r>
            <w:r w:rsidRPr="00382D9E">
              <w:rPr>
                <w:rFonts w:eastAsia="Times New Roman"/>
              </w:rPr>
              <w:t>а</w:t>
            </w:r>
            <w:r w:rsidRPr="00382D9E">
              <w:rPr>
                <w:rFonts w:eastAsia="Times New Roman"/>
              </w:rPr>
              <w:t>лату представи</w:t>
            </w:r>
            <w:r w:rsidR="00382D9E">
              <w:rPr>
                <w:rFonts w:eastAsia="Times New Roman"/>
              </w:rPr>
              <w:t>телей (т.е. </w:t>
            </w:r>
            <w:r w:rsidRPr="00382D9E">
              <w:rPr>
                <w:rFonts w:eastAsia="Times New Roman"/>
              </w:rPr>
              <w:t xml:space="preserve"> SBN 1771, 1543 и 1648) </w:t>
            </w:r>
          </w:p>
        </w:tc>
      </w:tr>
      <w:tr w:rsidR="002665C4" w:rsidRPr="00382D9E" w:rsidTr="00382D9E">
        <w:tblPrEx>
          <w:tblBorders>
            <w:top w:val="single" w:sz="4" w:space="0" w:color="auto"/>
          </w:tblBorders>
        </w:tblPrEx>
        <w:trPr>
          <w:gridAfter w:val="1"/>
          <w:wAfter w:w="65" w:type="dxa"/>
          <w:trHeight w:val="240"/>
        </w:trPr>
        <w:tc>
          <w:tcPr>
            <w:tcW w:w="2340" w:type="dxa"/>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520"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Дополнительная повес</w:t>
            </w:r>
            <w:r w:rsidRPr="00382D9E">
              <w:rPr>
                <w:rFonts w:eastAsia="Times New Roman"/>
              </w:rPr>
              <w:t>т</w:t>
            </w:r>
            <w:r w:rsidRPr="00382D9E">
              <w:rPr>
                <w:rFonts w:eastAsia="Times New Roman"/>
              </w:rPr>
              <w:t>ка дня 15-го Ко</w:t>
            </w:r>
            <w:r w:rsidRPr="00382D9E">
              <w:rPr>
                <w:rFonts w:eastAsia="Times New Roman"/>
              </w:rPr>
              <w:t>н</w:t>
            </w:r>
            <w:r w:rsidRPr="00382D9E">
              <w:rPr>
                <w:rFonts w:eastAsia="Times New Roman"/>
              </w:rPr>
              <w:t xml:space="preserve">гресса: </w:t>
            </w:r>
          </w:p>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Поправка к статье 351 о преждевременных бр</w:t>
            </w:r>
            <w:r w:rsidRPr="00382D9E">
              <w:rPr>
                <w:rFonts w:eastAsia="Times New Roman"/>
              </w:rPr>
              <w:t>а</w:t>
            </w:r>
            <w:r w:rsidRPr="00382D9E">
              <w:rPr>
                <w:rFonts w:eastAsia="Times New Roman"/>
              </w:rPr>
              <w:t>ках</w:t>
            </w:r>
          </w:p>
        </w:tc>
        <w:tc>
          <w:tcPr>
            <w:tcW w:w="2475"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Сохраняется в ЗППЖ</w:t>
            </w:r>
          </w:p>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 xml:space="preserve">Плюс: </w:t>
            </w:r>
          </w:p>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Поправка к ст</w:t>
            </w:r>
            <w:r w:rsidRPr="00382D9E">
              <w:rPr>
                <w:rFonts w:eastAsia="Times New Roman"/>
              </w:rPr>
              <w:t>а</w:t>
            </w:r>
            <w:r w:rsidRPr="00382D9E">
              <w:rPr>
                <w:rFonts w:eastAsia="Times New Roman"/>
              </w:rPr>
              <w:t>тье 247 о смерти или телесных повреждениях в искл</w:t>
            </w:r>
            <w:r w:rsidRPr="00382D9E">
              <w:rPr>
                <w:rFonts w:eastAsia="Times New Roman"/>
              </w:rPr>
              <w:t>ю</w:t>
            </w:r>
            <w:r w:rsidRPr="00382D9E">
              <w:rPr>
                <w:rFonts w:eastAsia="Times New Roman"/>
              </w:rPr>
              <w:t>чительных обстоятел</w:t>
            </w:r>
            <w:r w:rsidRPr="00382D9E">
              <w:rPr>
                <w:rFonts w:eastAsia="Times New Roman"/>
              </w:rPr>
              <w:t>ь</w:t>
            </w:r>
            <w:r w:rsidRPr="00382D9E">
              <w:rPr>
                <w:rFonts w:eastAsia="Times New Roman"/>
              </w:rPr>
              <w:t xml:space="preserve">ствах </w:t>
            </w:r>
          </w:p>
        </w:tc>
        <w:tc>
          <w:tcPr>
            <w:tcW w:w="2446"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Статьи 351 и 247 изъяты в</w:t>
            </w:r>
            <w:r w:rsidR="00382D9E">
              <w:rPr>
                <w:rFonts w:eastAsia="Times New Roman"/>
              </w:rPr>
              <w:t xml:space="preserve"> </w:t>
            </w:r>
            <w:r w:rsidRPr="00382D9E">
              <w:rPr>
                <w:rFonts w:eastAsia="Times New Roman"/>
              </w:rPr>
              <w:t>окончательном прое</w:t>
            </w:r>
            <w:r w:rsidRPr="00382D9E">
              <w:rPr>
                <w:rFonts w:eastAsia="Times New Roman"/>
              </w:rPr>
              <w:t>к</w:t>
            </w:r>
            <w:r w:rsidRPr="00382D9E">
              <w:rPr>
                <w:rFonts w:eastAsia="Times New Roman"/>
              </w:rPr>
              <w:t>те нового уголовного кодекса (Уголовный к</w:t>
            </w:r>
            <w:r w:rsidRPr="00382D9E">
              <w:rPr>
                <w:rFonts w:eastAsia="Times New Roman"/>
              </w:rPr>
              <w:t>о</w:t>
            </w:r>
            <w:r w:rsidRPr="00382D9E">
              <w:rPr>
                <w:rFonts w:eastAsia="Times New Roman"/>
              </w:rPr>
              <w:t>декс Филиппин, том 2, окончательный проект от 19 ноября 2013 года)</w:t>
            </w:r>
          </w:p>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Внесены в Сенат и П</w:t>
            </w:r>
            <w:r w:rsidRPr="00382D9E">
              <w:rPr>
                <w:rFonts w:eastAsia="Times New Roman"/>
              </w:rPr>
              <w:t>а</w:t>
            </w:r>
            <w:r w:rsidRPr="00382D9E">
              <w:rPr>
                <w:rFonts w:eastAsia="Times New Roman"/>
              </w:rPr>
              <w:t>лату представителей з</w:t>
            </w:r>
            <w:r w:rsidRPr="00382D9E">
              <w:rPr>
                <w:rFonts w:eastAsia="Times New Roman"/>
              </w:rPr>
              <w:t>а</w:t>
            </w:r>
            <w:r w:rsidRPr="00382D9E">
              <w:rPr>
                <w:rFonts w:eastAsia="Times New Roman"/>
              </w:rPr>
              <w:t>конопроекты о внесении изменений в</w:t>
            </w:r>
            <w:r w:rsidR="00382D9E">
              <w:rPr>
                <w:rFonts w:eastAsia="Times New Roman"/>
              </w:rPr>
              <w:t xml:space="preserve"> </w:t>
            </w:r>
            <w:r w:rsidRPr="00382D9E">
              <w:rPr>
                <w:rFonts w:eastAsia="Times New Roman"/>
              </w:rPr>
              <w:t>статью</w:t>
            </w:r>
            <w:r w:rsidR="00382D9E">
              <w:rPr>
                <w:rFonts w:eastAsia="Times New Roman"/>
              </w:rPr>
              <w:t> </w:t>
            </w:r>
            <w:r w:rsidRPr="00382D9E">
              <w:rPr>
                <w:rFonts w:eastAsia="Times New Roman"/>
              </w:rPr>
              <w:t>351 о</w:t>
            </w:r>
            <w:r w:rsidR="00382D9E">
              <w:rPr>
                <w:rFonts w:eastAsia="Times New Roman"/>
              </w:rPr>
              <w:t xml:space="preserve"> </w:t>
            </w:r>
            <w:r w:rsidRPr="00382D9E">
              <w:rPr>
                <w:rFonts w:eastAsia="Times New Roman"/>
              </w:rPr>
              <w:t>преждевременных браках (т</w:t>
            </w:r>
            <w:r w:rsidR="00382D9E">
              <w:rPr>
                <w:rFonts w:eastAsia="Times New Roman"/>
              </w:rPr>
              <w:t>.е. </w:t>
            </w:r>
            <w:r w:rsidRPr="00382D9E">
              <w:rPr>
                <w:rFonts w:eastAsia="Times New Roman"/>
              </w:rPr>
              <w:t>SBN 1647, HB</w:t>
            </w:r>
            <w:r w:rsidR="00382D9E">
              <w:rPr>
                <w:rFonts w:eastAsia="Times New Roman"/>
              </w:rPr>
              <w:t xml:space="preserve"> </w:t>
            </w:r>
            <w:r w:rsidRPr="00382D9E">
              <w:rPr>
                <w:rFonts w:eastAsia="Times New Roman"/>
              </w:rPr>
              <w:t>1460 и 3346) и в статью 247 o</w:t>
            </w:r>
            <w:r w:rsidR="00382D9E">
              <w:rPr>
                <w:rFonts w:eastAsia="Times New Roman"/>
              </w:rPr>
              <w:t xml:space="preserve"> </w:t>
            </w:r>
            <w:r w:rsidRPr="00382D9E">
              <w:rPr>
                <w:rFonts w:eastAsia="Times New Roman"/>
              </w:rPr>
              <w:t>смерти или телесных повреждениях в исключительных о</w:t>
            </w:r>
            <w:r w:rsidRPr="00382D9E">
              <w:rPr>
                <w:rFonts w:eastAsia="Times New Roman"/>
              </w:rPr>
              <w:t>б</w:t>
            </w:r>
            <w:r w:rsidRPr="00382D9E">
              <w:rPr>
                <w:rFonts w:eastAsia="Times New Roman"/>
              </w:rPr>
              <w:t>стоятельствах (т</w:t>
            </w:r>
            <w:r w:rsidR="00382D9E">
              <w:rPr>
                <w:rFonts w:eastAsia="Times New Roman"/>
              </w:rPr>
              <w:t>.е. </w:t>
            </w:r>
            <w:r w:rsidRPr="00382D9E">
              <w:rPr>
                <w:rFonts w:eastAsia="Times New Roman"/>
              </w:rPr>
              <w:t>HB 1451)</w:t>
            </w:r>
          </w:p>
        </w:tc>
      </w:tr>
      <w:tr w:rsidR="002665C4" w:rsidRPr="00382D9E" w:rsidTr="00382D9E">
        <w:tblPrEx>
          <w:tblBorders>
            <w:top w:val="single" w:sz="4" w:space="0" w:color="auto"/>
          </w:tblBorders>
        </w:tblPrEx>
        <w:trPr>
          <w:gridAfter w:val="1"/>
          <w:wAfter w:w="65" w:type="dxa"/>
          <w:trHeight w:val="240"/>
        </w:trPr>
        <w:tc>
          <w:tcPr>
            <w:tcW w:w="2340"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rsidRPr="00382D9E">
              <w:rPr>
                <w:rFonts w:eastAsia="Times New Roman"/>
              </w:rPr>
              <w:t>♦</w:t>
            </w:r>
            <w:r w:rsidR="00382D9E">
              <w:rPr>
                <w:rFonts w:eastAsia="Times New Roman"/>
              </w:rPr>
              <w:tab/>
            </w:r>
            <w:r w:rsidRPr="00382D9E">
              <w:rPr>
                <w:rFonts w:eastAsia="Times New Roman"/>
              </w:rPr>
              <w:t>Законопроект о пр</w:t>
            </w:r>
            <w:r w:rsidRPr="00382D9E">
              <w:rPr>
                <w:rFonts w:eastAsia="Times New Roman"/>
              </w:rPr>
              <w:t>а</w:t>
            </w:r>
            <w:r w:rsidRPr="00382D9E">
              <w:rPr>
                <w:rFonts w:eastAsia="Times New Roman"/>
              </w:rPr>
              <w:t>вах дома</w:t>
            </w:r>
            <w:r w:rsidRPr="00382D9E">
              <w:rPr>
                <w:rFonts w:eastAsia="Times New Roman"/>
              </w:rPr>
              <w:t>ш</w:t>
            </w:r>
            <w:r w:rsidRPr="00382D9E">
              <w:rPr>
                <w:rFonts w:eastAsia="Times New Roman"/>
              </w:rPr>
              <w:t>ней прислуги, или законопроект К</w:t>
            </w:r>
            <w:r w:rsidRPr="00382D9E">
              <w:rPr>
                <w:rFonts w:eastAsia="Times New Roman"/>
              </w:rPr>
              <w:t>а</w:t>
            </w:r>
            <w:r w:rsidRPr="00382D9E">
              <w:rPr>
                <w:rFonts w:eastAsia="Times New Roman"/>
              </w:rPr>
              <w:t xml:space="preserve">самбахаи </w:t>
            </w:r>
          </w:p>
        </w:tc>
        <w:tc>
          <w:tcPr>
            <w:tcW w:w="2520"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ПРИНЯТ в 2013 году за н</w:t>
            </w:r>
            <w:r w:rsidRPr="00382D9E">
              <w:rPr>
                <w:rFonts w:eastAsia="Times New Roman"/>
              </w:rPr>
              <w:t>о</w:t>
            </w:r>
            <w:r w:rsidRPr="00382D9E">
              <w:rPr>
                <w:rFonts w:eastAsia="Times New Roman"/>
              </w:rPr>
              <w:t>мером RA 10361</w:t>
            </w:r>
          </w:p>
        </w:tc>
        <w:tc>
          <w:tcPr>
            <w:tcW w:w="2475" w:type="dxa"/>
            <w:vMerge w:val="restart"/>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446" w:type="dxa"/>
            <w:gridSpan w:val="2"/>
            <w:vMerge w:val="restart"/>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p>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p>
        </w:tc>
      </w:tr>
      <w:tr w:rsidR="002665C4" w:rsidRPr="00382D9E" w:rsidTr="00382D9E">
        <w:tblPrEx>
          <w:tblBorders>
            <w:top w:val="single" w:sz="4" w:space="0" w:color="auto"/>
          </w:tblBorders>
        </w:tblPrEx>
        <w:trPr>
          <w:gridAfter w:val="1"/>
          <w:wAfter w:w="65" w:type="dxa"/>
          <w:trHeight w:val="240"/>
        </w:trPr>
        <w:tc>
          <w:tcPr>
            <w:tcW w:w="2340"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rsidRPr="00382D9E">
              <w:rPr>
                <w:rFonts w:eastAsia="Times New Roman"/>
              </w:rPr>
              <w:t>♦</w:t>
            </w:r>
            <w:r w:rsidR="00382D9E">
              <w:rPr>
                <w:rFonts w:eastAsia="Times New Roman"/>
              </w:rPr>
              <w:tab/>
            </w:r>
            <w:r w:rsidRPr="00382D9E">
              <w:rPr>
                <w:rFonts w:eastAsia="Times New Roman"/>
              </w:rPr>
              <w:t>Законопроект о</w:t>
            </w:r>
            <w:r w:rsidR="00382D9E">
              <w:rPr>
                <w:rFonts w:eastAsia="Times New Roman"/>
              </w:rPr>
              <w:t xml:space="preserve"> </w:t>
            </w:r>
            <w:r w:rsidRPr="00382D9E">
              <w:rPr>
                <w:rFonts w:eastAsia="Times New Roman"/>
              </w:rPr>
              <w:t>р</w:t>
            </w:r>
            <w:r w:rsidRPr="00382D9E">
              <w:rPr>
                <w:rFonts w:eastAsia="Times New Roman"/>
              </w:rPr>
              <w:t>е</w:t>
            </w:r>
            <w:r w:rsidRPr="00382D9E">
              <w:rPr>
                <w:rFonts w:eastAsia="Times New Roman"/>
              </w:rPr>
              <w:t>продуктивном зд</w:t>
            </w:r>
            <w:r w:rsidRPr="00382D9E">
              <w:rPr>
                <w:rFonts w:eastAsia="Times New Roman"/>
              </w:rPr>
              <w:t>о</w:t>
            </w:r>
            <w:r w:rsidRPr="00382D9E">
              <w:rPr>
                <w:rFonts w:eastAsia="Times New Roman"/>
              </w:rPr>
              <w:t xml:space="preserve">ровье </w:t>
            </w:r>
          </w:p>
        </w:tc>
        <w:tc>
          <w:tcPr>
            <w:tcW w:w="2520"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ПРИНЯТ в 2013 году за номером RA 10354, но Верховным судом вып</w:t>
            </w:r>
            <w:r w:rsidRPr="00382D9E">
              <w:rPr>
                <w:rFonts w:eastAsia="Times New Roman"/>
              </w:rPr>
              <w:t>у</w:t>
            </w:r>
            <w:r w:rsidRPr="00382D9E">
              <w:rPr>
                <w:rFonts w:eastAsia="Times New Roman"/>
              </w:rPr>
              <w:t>щен приказ status quo ante</w:t>
            </w:r>
          </w:p>
        </w:tc>
        <w:tc>
          <w:tcPr>
            <w:tcW w:w="2475" w:type="dxa"/>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446" w:type="dxa"/>
            <w:gridSpan w:val="2"/>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p>
        </w:tc>
      </w:tr>
      <w:tr w:rsidR="002665C4" w:rsidRPr="00382D9E" w:rsidTr="00382D9E">
        <w:tblPrEx>
          <w:tblBorders>
            <w:top w:val="single" w:sz="4" w:space="0" w:color="auto"/>
          </w:tblBorders>
        </w:tblPrEx>
        <w:trPr>
          <w:gridAfter w:val="1"/>
          <w:wAfter w:w="65" w:type="dxa"/>
          <w:trHeight w:val="240"/>
        </w:trPr>
        <w:tc>
          <w:tcPr>
            <w:tcW w:w="2340"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rsidRPr="00382D9E">
              <w:rPr>
                <w:rFonts w:eastAsia="Times New Roman"/>
              </w:rPr>
              <w:t>♦</w:t>
            </w:r>
            <w:r w:rsidR="00382D9E">
              <w:rPr>
                <w:rFonts w:eastAsia="Times New Roman"/>
              </w:rPr>
              <w:tab/>
            </w:r>
            <w:r w:rsidRPr="00382D9E">
              <w:rPr>
                <w:rFonts w:eastAsia="Times New Roman"/>
              </w:rPr>
              <w:t>Законопроект о мес</w:t>
            </w:r>
            <w:r w:rsidRPr="00382D9E">
              <w:rPr>
                <w:rFonts w:eastAsia="Times New Roman"/>
              </w:rPr>
              <w:t>т</w:t>
            </w:r>
            <w:r w:rsidRPr="00382D9E">
              <w:rPr>
                <w:rFonts w:eastAsia="Times New Roman"/>
              </w:rPr>
              <w:t>ном секторальном пре</w:t>
            </w:r>
            <w:r w:rsidRPr="00382D9E">
              <w:rPr>
                <w:rFonts w:eastAsia="Times New Roman"/>
              </w:rPr>
              <w:t>д</w:t>
            </w:r>
            <w:r w:rsidRPr="00382D9E">
              <w:rPr>
                <w:rFonts w:eastAsia="Times New Roman"/>
              </w:rPr>
              <w:t>ставител</w:t>
            </w:r>
            <w:r w:rsidRPr="00382D9E">
              <w:rPr>
                <w:rFonts w:eastAsia="Times New Roman"/>
              </w:rPr>
              <w:t>ь</w:t>
            </w:r>
            <w:r w:rsidRPr="00382D9E">
              <w:rPr>
                <w:rFonts w:eastAsia="Times New Roman"/>
              </w:rPr>
              <w:t xml:space="preserve">стве </w:t>
            </w:r>
          </w:p>
        </w:tc>
        <w:tc>
          <w:tcPr>
            <w:tcW w:w="2520"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 xml:space="preserve">Сохраняется в ЗППЖ </w:t>
            </w:r>
          </w:p>
        </w:tc>
        <w:tc>
          <w:tcPr>
            <w:tcW w:w="2475"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Не включен в ЗППЖ 16</w:t>
            </w:r>
            <w:r w:rsidRPr="00382D9E">
              <w:rPr>
                <w:rFonts w:eastAsia="Times New Roman"/>
              </w:rPr>
              <w:noBreakHyphen/>
              <w:t>го Конгресса</w:t>
            </w:r>
          </w:p>
        </w:tc>
        <w:tc>
          <w:tcPr>
            <w:tcW w:w="2446" w:type="dxa"/>
            <w:gridSpan w:val="2"/>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p>
        </w:tc>
      </w:tr>
      <w:tr w:rsidR="002665C4" w:rsidRPr="00382D9E" w:rsidTr="00382D9E">
        <w:tblPrEx>
          <w:tblBorders>
            <w:top w:val="single" w:sz="4" w:space="0" w:color="auto"/>
          </w:tblBorders>
        </w:tblPrEx>
        <w:trPr>
          <w:gridAfter w:val="1"/>
          <w:wAfter w:w="65" w:type="dxa"/>
          <w:trHeight w:val="240"/>
        </w:trPr>
        <w:tc>
          <w:tcPr>
            <w:tcW w:w="2340"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r w:rsidRPr="00382D9E">
              <w:rPr>
                <w:rFonts w:eastAsia="Times New Roman"/>
              </w:rPr>
              <w:t>♦</w:t>
            </w:r>
            <w:r w:rsidR="00382D9E">
              <w:rPr>
                <w:rFonts w:eastAsia="Times New Roman"/>
              </w:rPr>
              <w:tab/>
            </w:r>
            <w:r w:rsidRPr="00382D9E">
              <w:rPr>
                <w:rFonts w:eastAsia="Times New Roman"/>
              </w:rPr>
              <w:t>Законопроект о В</w:t>
            </w:r>
            <w:r w:rsidRPr="00382D9E">
              <w:rPr>
                <w:rFonts w:eastAsia="Times New Roman"/>
              </w:rPr>
              <w:t>е</w:t>
            </w:r>
            <w:r w:rsidRPr="00382D9E">
              <w:rPr>
                <w:rFonts w:eastAsia="Times New Roman"/>
              </w:rPr>
              <w:t>ликой хартии прав же</w:t>
            </w:r>
            <w:r w:rsidRPr="00382D9E">
              <w:rPr>
                <w:rFonts w:eastAsia="Times New Roman"/>
              </w:rPr>
              <w:t>н</w:t>
            </w:r>
            <w:r w:rsidRPr="00382D9E">
              <w:rPr>
                <w:rFonts w:eastAsia="Times New Roman"/>
              </w:rPr>
              <w:t>щин (ПРИНЯТ в 2009</w:t>
            </w:r>
            <w:r w:rsidR="00382D9E">
              <w:rPr>
                <w:rFonts w:eastAsia="Times New Roman"/>
                <w:lang w:val="en-US"/>
              </w:rPr>
              <w:t> </w:t>
            </w:r>
            <w:r w:rsidRPr="00382D9E">
              <w:rPr>
                <w:rFonts w:eastAsia="Times New Roman"/>
              </w:rPr>
              <w:t>году за</w:t>
            </w:r>
            <w:r w:rsidR="00382D9E" w:rsidRPr="00382D9E">
              <w:rPr>
                <w:rFonts w:eastAsia="Times New Roman"/>
              </w:rPr>
              <w:t xml:space="preserve"> </w:t>
            </w:r>
            <w:r w:rsidRPr="00382D9E">
              <w:rPr>
                <w:rFonts w:eastAsia="Times New Roman"/>
              </w:rPr>
              <w:t>номером RA 9710)</w:t>
            </w:r>
          </w:p>
        </w:tc>
        <w:tc>
          <w:tcPr>
            <w:tcW w:w="2520" w:type="dxa"/>
            <w:gridSpan w:val="2"/>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Соблюдение Норм и</w:t>
            </w:r>
            <w:r w:rsidR="00382D9E">
              <w:rPr>
                <w:rFonts w:eastAsia="Times New Roman"/>
              </w:rPr>
              <w:t xml:space="preserve"> </w:t>
            </w:r>
            <w:r w:rsidRPr="00382D9E">
              <w:rPr>
                <w:rFonts w:eastAsia="Times New Roman"/>
              </w:rPr>
              <w:t>пр</w:t>
            </w:r>
            <w:r w:rsidRPr="00382D9E">
              <w:rPr>
                <w:rFonts w:eastAsia="Times New Roman"/>
              </w:rPr>
              <w:t>а</w:t>
            </w:r>
            <w:r w:rsidRPr="00382D9E">
              <w:rPr>
                <w:rFonts w:eastAsia="Times New Roman"/>
              </w:rPr>
              <w:t>вил для практической реализации Закона RA 9710, утвержде</w:t>
            </w:r>
            <w:r w:rsidRPr="00382D9E">
              <w:rPr>
                <w:rFonts w:eastAsia="Times New Roman"/>
              </w:rPr>
              <w:t>н</w:t>
            </w:r>
            <w:r w:rsidRPr="00382D9E">
              <w:rPr>
                <w:rFonts w:eastAsia="Times New Roman"/>
              </w:rPr>
              <w:t>ных в 2010 году</w:t>
            </w:r>
          </w:p>
        </w:tc>
        <w:tc>
          <w:tcPr>
            <w:tcW w:w="2475" w:type="dxa"/>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446" w:type="dxa"/>
            <w:gridSpan w:val="2"/>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p>
        </w:tc>
      </w:tr>
      <w:tr w:rsidR="002665C4" w:rsidRPr="00382D9E" w:rsidTr="00382D9E">
        <w:tblPrEx>
          <w:tblBorders>
            <w:top w:val="single" w:sz="4" w:space="0" w:color="auto"/>
          </w:tblBorders>
        </w:tblPrEx>
        <w:trPr>
          <w:gridAfter w:val="1"/>
          <w:wAfter w:w="65" w:type="dxa"/>
          <w:trHeight w:val="240"/>
        </w:trPr>
        <w:tc>
          <w:tcPr>
            <w:tcW w:w="2340" w:type="dxa"/>
            <w:vMerge w:val="restart"/>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0" w:right="40"/>
              <w:jc w:val="left"/>
              <w:rPr>
                <w:rFonts w:eastAsia="Times New Roman"/>
              </w:rPr>
            </w:pPr>
          </w:p>
        </w:tc>
        <w:tc>
          <w:tcPr>
            <w:tcW w:w="2520" w:type="dxa"/>
            <w:gridSpan w:val="2"/>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Изменение и отмена положений нового С</w:t>
            </w:r>
            <w:r w:rsidRPr="00382D9E">
              <w:rPr>
                <w:rFonts w:eastAsia="Times New Roman"/>
              </w:rPr>
              <w:t>е</w:t>
            </w:r>
            <w:r w:rsidRPr="00382D9E">
              <w:rPr>
                <w:rFonts w:eastAsia="Times New Roman"/>
              </w:rPr>
              <w:t>мейного кодекса, отда</w:t>
            </w:r>
            <w:r w:rsidRPr="00382D9E">
              <w:rPr>
                <w:rFonts w:eastAsia="Times New Roman"/>
              </w:rPr>
              <w:t>ю</w:t>
            </w:r>
            <w:r w:rsidRPr="00382D9E">
              <w:rPr>
                <w:rFonts w:eastAsia="Times New Roman"/>
              </w:rPr>
              <w:t>щих предпочтение реш</w:t>
            </w:r>
            <w:r w:rsidRPr="00382D9E">
              <w:rPr>
                <w:rFonts w:eastAsia="Times New Roman"/>
              </w:rPr>
              <w:t>е</w:t>
            </w:r>
            <w:r w:rsidRPr="00382D9E">
              <w:rPr>
                <w:rFonts w:eastAsia="Times New Roman"/>
              </w:rPr>
              <w:t>нию мужа или отца в случае разногласий и по др</w:t>
            </w:r>
            <w:r w:rsidRPr="00382D9E">
              <w:rPr>
                <w:rFonts w:eastAsia="Times New Roman"/>
              </w:rPr>
              <w:t>у</w:t>
            </w:r>
            <w:r w:rsidRPr="00382D9E">
              <w:rPr>
                <w:rFonts w:eastAsia="Times New Roman"/>
              </w:rPr>
              <w:t xml:space="preserve">гим вопросам </w:t>
            </w:r>
          </w:p>
        </w:tc>
        <w:tc>
          <w:tcPr>
            <w:tcW w:w="2475" w:type="dxa"/>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Сохраняется в ЗППЖ</w:t>
            </w:r>
          </w:p>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 xml:space="preserve">Плюс: </w:t>
            </w:r>
          </w:p>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Pr>
                <w:rFonts w:eastAsia="Times New Roman"/>
              </w:rPr>
              <w:tab/>
            </w:r>
            <w:r w:rsidRPr="00382D9E">
              <w:rPr>
                <w:rFonts w:eastAsia="Times New Roman"/>
              </w:rPr>
              <w:t>Неоднократное прим</w:t>
            </w:r>
            <w:r w:rsidRPr="00382D9E">
              <w:rPr>
                <w:rFonts w:eastAsia="Times New Roman"/>
              </w:rPr>
              <w:t>е</w:t>
            </w:r>
            <w:r w:rsidRPr="00382D9E">
              <w:rPr>
                <w:rFonts w:eastAsia="Times New Roman"/>
              </w:rPr>
              <w:t>нение физического насилия в качестве о</w:t>
            </w:r>
            <w:r w:rsidRPr="00382D9E">
              <w:rPr>
                <w:rFonts w:eastAsia="Times New Roman"/>
              </w:rPr>
              <w:t>с</w:t>
            </w:r>
            <w:r w:rsidRPr="00382D9E">
              <w:rPr>
                <w:rFonts w:eastAsia="Times New Roman"/>
              </w:rPr>
              <w:t>нования для официал</w:t>
            </w:r>
            <w:r w:rsidRPr="00382D9E">
              <w:rPr>
                <w:rFonts w:eastAsia="Times New Roman"/>
              </w:rPr>
              <w:t>ь</w:t>
            </w:r>
            <w:r w:rsidRPr="00382D9E">
              <w:rPr>
                <w:rFonts w:eastAsia="Times New Roman"/>
              </w:rPr>
              <w:t>ного ра</w:t>
            </w:r>
            <w:r w:rsidRPr="00382D9E">
              <w:rPr>
                <w:rFonts w:eastAsia="Times New Roman"/>
              </w:rPr>
              <w:t>с</w:t>
            </w:r>
            <w:r w:rsidRPr="00382D9E">
              <w:rPr>
                <w:rFonts w:eastAsia="Times New Roman"/>
              </w:rPr>
              <w:t>торжения брака</w:t>
            </w:r>
          </w:p>
        </w:tc>
        <w:tc>
          <w:tcPr>
            <w:tcW w:w="2446" w:type="dxa"/>
            <w:gridSpan w:val="2"/>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3)</w:t>
            </w:r>
            <w:r w:rsidR="00382D9E">
              <w:rPr>
                <w:rFonts w:eastAsia="Times New Roman"/>
              </w:rPr>
              <w:tab/>
            </w:r>
            <w:r w:rsidRPr="00382D9E">
              <w:rPr>
                <w:rFonts w:eastAsia="Times New Roman"/>
              </w:rPr>
              <w:t>В Сенат и Палату представителей внесены законопроекты о внес</w:t>
            </w:r>
            <w:r w:rsidRPr="00382D9E">
              <w:rPr>
                <w:rFonts w:eastAsia="Times New Roman"/>
              </w:rPr>
              <w:t>е</w:t>
            </w:r>
            <w:r w:rsidRPr="00382D9E">
              <w:rPr>
                <w:rFonts w:eastAsia="Times New Roman"/>
              </w:rPr>
              <w:t>нии изменений в</w:t>
            </w:r>
            <w:r w:rsidR="00382D9E" w:rsidRPr="00382D9E">
              <w:rPr>
                <w:rFonts w:eastAsia="Times New Roman"/>
              </w:rPr>
              <w:t xml:space="preserve"> </w:t>
            </w:r>
            <w:r w:rsidRPr="00382D9E">
              <w:rPr>
                <w:rFonts w:eastAsia="Times New Roman"/>
              </w:rPr>
              <w:t>ст</w:t>
            </w:r>
            <w:r w:rsidRPr="00382D9E">
              <w:rPr>
                <w:rFonts w:eastAsia="Times New Roman"/>
              </w:rPr>
              <w:t>а</w:t>
            </w:r>
            <w:r w:rsidRPr="00382D9E">
              <w:rPr>
                <w:rFonts w:eastAsia="Times New Roman"/>
              </w:rPr>
              <w:t>тьи</w:t>
            </w:r>
            <w:r w:rsidR="00382D9E">
              <w:rPr>
                <w:rFonts w:eastAsia="Times New Roman"/>
                <w:lang w:val="en-US"/>
              </w:rPr>
              <w:t> </w:t>
            </w:r>
            <w:r w:rsidRPr="00382D9E">
              <w:rPr>
                <w:rFonts w:eastAsia="Times New Roman"/>
              </w:rPr>
              <w:t>14, 211 и 225 С</w:t>
            </w:r>
            <w:r w:rsidRPr="00382D9E">
              <w:rPr>
                <w:rFonts w:eastAsia="Times New Roman"/>
              </w:rPr>
              <w:t>е</w:t>
            </w:r>
            <w:r w:rsidRPr="00382D9E">
              <w:rPr>
                <w:rFonts w:eastAsia="Times New Roman"/>
              </w:rPr>
              <w:t>мейного кодекса: т</w:t>
            </w:r>
            <w:r w:rsidR="00382D9E">
              <w:rPr>
                <w:rFonts w:eastAsia="Times New Roman"/>
              </w:rPr>
              <w:t>.е. </w:t>
            </w:r>
            <w:r w:rsidRPr="00382D9E">
              <w:rPr>
                <w:rFonts w:eastAsia="Times New Roman"/>
              </w:rPr>
              <w:t>SBN 2072, 1260, HB 85 и 1652</w:t>
            </w:r>
          </w:p>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Предлагается закон</w:t>
            </w:r>
            <w:r w:rsidRPr="00382D9E">
              <w:rPr>
                <w:rFonts w:eastAsia="Times New Roman"/>
              </w:rPr>
              <w:t>о</w:t>
            </w:r>
            <w:r w:rsidRPr="00382D9E">
              <w:rPr>
                <w:rFonts w:eastAsia="Times New Roman"/>
              </w:rPr>
              <w:t>проект о</w:t>
            </w:r>
            <w:r w:rsidR="00382D9E" w:rsidRPr="00382D9E">
              <w:rPr>
                <w:rFonts w:eastAsia="Times New Roman"/>
              </w:rPr>
              <w:t xml:space="preserve"> </w:t>
            </w:r>
            <w:r w:rsidRPr="00382D9E">
              <w:rPr>
                <w:rFonts w:eastAsia="Times New Roman"/>
              </w:rPr>
              <w:t>неоднократном применении физическ</w:t>
            </w:r>
            <w:r w:rsidRPr="00382D9E">
              <w:rPr>
                <w:rFonts w:eastAsia="Times New Roman"/>
              </w:rPr>
              <w:t>о</w:t>
            </w:r>
            <w:r w:rsidRPr="00382D9E">
              <w:rPr>
                <w:rFonts w:eastAsia="Times New Roman"/>
              </w:rPr>
              <w:t>го насилия в</w:t>
            </w:r>
            <w:r w:rsidR="00382D9E" w:rsidRPr="00382D9E">
              <w:rPr>
                <w:rFonts w:eastAsia="Times New Roman"/>
              </w:rPr>
              <w:t xml:space="preserve"> </w:t>
            </w:r>
            <w:r w:rsidRPr="00382D9E">
              <w:rPr>
                <w:rFonts w:eastAsia="Times New Roman"/>
              </w:rPr>
              <w:t>качестве основания для офиц</w:t>
            </w:r>
            <w:r w:rsidRPr="00382D9E">
              <w:rPr>
                <w:rFonts w:eastAsia="Times New Roman"/>
              </w:rPr>
              <w:t>и</w:t>
            </w:r>
            <w:r w:rsidRPr="00382D9E">
              <w:rPr>
                <w:rFonts w:eastAsia="Times New Roman"/>
              </w:rPr>
              <w:t>ального расторжения брака</w:t>
            </w:r>
          </w:p>
        </w:tc>
      </w:tr>
      <w:tr w:rsidR="002665C4" w:rsidRPr="00382D9E" w:rsidTr="00382D9E">
        <w:tblPrEx>
          <w:tblBorders>
            <w:top w:val="single" w:sz="4" w:space="0" w:color="auto"/>
          </w:tblBorders>
        </w:tblPrEx>
        <w:trPr>
          <w:gridAfter w:val="1"/>
          <w:wAfter w:w="65" w:type="dxa"/>
          <w:trHeight w:val="240"/>
        </w:trPr>
        <w:tc>
          <w:tcPr>
            <w:tcW w:w="2340" w:type="dxa"/>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520" w:type="dxa"/>
            <w:gridSpan w:val="2"/>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sidRPr="00382D9E">
              <w:rPr>
                <w:rFonts w:eastAsia="Times New Roman"/>
              </w:rPr>
              <w:tab/>
            </w:r>
            <w:r w:rsidRPr="00382D9E">
              <w:rPr>
                <w:rFonts w:eastAsia="Times New Roman"/>
              </w:rPr>
              <w:t>Поправка к положению Закона 1997 года о бор</w:t>
            </w:r>
            <w:r w:rsidRPr="00382D9E">
              <w:rPr>
                <w:rFonts w:eastAsia="Times New Roman"/>
              </w:rPr>
              <w:t>ь</w:t>
            </w:r>
            <w:r w:rsidRPr="00382D9E">
              <w:rPr>
                <w:rFonts w:eastAsia="Times New Roman"/>
              </w:rPr>
              <w:t>бе с изнасилованиями, согласно которому о</w:t>
            </w:r>
            <w:r w:rsidRPr="00382D9E">
              <w:rPr>
                <w:rFonts w:eastAsia="Times New Roman"/>
              </w:rPr>
              <w:t>с</w:t>
            </w:r>
            <w:r w:rsidRPr="00382D9E">
              <w:rPr>
                <w:rFonts w:eastAsia="Times New Roman"/>
              </w:rPr>
              <w:t>новным признаком изн</w:t>
            </w:r>
            <w:r w:rsidRPr="00382D9E">
              <w:rPr>
                <w:rFonts w:eastAsia="Times New Roman"/>
              </w:rPr>
              <w:t>а</w:t>
            </w:r>
            <w:r w:rsidRPr="00382D9E">
              <w:rPr>
                <w:rFonts w:eastAsia="Times New Roman"/>
              </w:rPr>
              <w:t>силования служит отсу</w:t>
            </w:r>
            <w:r w:rsidRPr="00382D9E">
              <w:rPr>
                <w:rFonts w:eastAsia="Times New Roman"/>
              </w:rPr>
              <w:t>т</w:t>
            </w:r>
            <w:r w:rsidRPr="00382D9E">
              <w:rPr>
                <w:rFonts w:eastAsia="Times New Roman"/>
              </w:rPr>
              <w:t>ствие согласия и насил</w:t>
            </w:r>
            <w:r w:rsidRPr="00382D9E">
              <w:rPr>
                <w:rFonts w:eastAsia="Times New Roman"/>
              </w:rPr>
              <w:t>ь</w:t>
            </w:r>
            <w:r w:rsidRPr="00382D9E">
              <w:rPr>
                <w:rFonts w:eastAsia="Times New Roman"/>
              </w:rPr>
              <w:t>ник освобождается от уголовной ответственн</w:t>
            </w:r>
            <w:r w:rsidRPr="00382D9E">
              <w:rPr>
                <w:rFonts w:eastAsia="Times New Roman"/>
              </w:rPr>
              <w:t>о</w:t>
            </w:r>
            <w:r w:rsidRPr="00382D9E">
              <w:rPr>
                <w:rFonts w:eastAsia="Times New Roman"/>
              </w:rPr>
              <w:t>сти при получении пр</w:t>
            </w:r>
            <w:r w:rsidRPr="00382D9E">
              <w:rPr>
                <w:rFonts w:eastAsia="Times New Roman"/>
              </w:rPr>
              <w:t>о</w:t>
            </w:r>
            <w:r w:rsidRPr="00382D9E">
              <w:rPr>
                <w:rFonts w:eastAsia="Times New Roman"/>
              </w:rPr>
              <w:t>щения от</w:t>
            </w:r>
            <w:r w:rsidR="00382D9E">
              <w:rPr>
                <w:rFonts w:eastAsia="Times New Roman"/>
              </w:rPr>
              <w:t xml:space="preserve"> </w:t>
            </w:r>
            <w:r w:rsidRPr="00382D9E">
              <w:rPr>
                <w:rFonts w:eastAsia="Times New Roman"/>
              </w:rPr>
              <w:t>жертвы и к другим п</w:t>
            </w:r>
            <w:r w:rsidRPr="00382D9E">
              <w:rPr>
                <w:rFonts w:eastAsia="Times New Roman"/>
              </w:rPr>
              <w:t>о</w:t>
            </w:r>
            <w:r w:rsidRPr="00382D9E">
              <w:rPr>
                <w:rFonts w:eastAsia="Times New Roman"/>
              </w:rPr>
              <w:t xml:space="preserve">ложениям </w:t>
            </w:r>
          </w:p>
        </w:tc>
        <w:tc>
          <w:tcPr>
            <w:tcW w:w="2475" w:type="dxa"/>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sidRPr="00382D9E">
              <w:rPr>
                <w:rFonts w:eastAsia="Times New Roman"/>
              </w:rPr>
              <w:tab/>
            </w:r>
            <w:r w:rsidRPr="00382D9E">
              <w:rPr>
                <w:rFonts w:eastAsia="Times New Roman"/>
              </w:rPr>
              <w:t>Сохраняется в ЗППЖ; повышается возраст в отношении половой связи с лицом, не д</w:t>
            </w:r>
            <w:r w:rsidRPr="00382D9E">
              <w:rPr>
                <w:rFonts w:eastAsia="Times New Roman"/>
              </w:rPr>
              <w:t>о</w:t>
            </w:r>
            <w:r w:rsidRPr="00382D9E">
              <w:rPr>
                <w:rFonts w:eastAsia="Times New Roman"/>
              </w:rPr>
              <w:t>стигшим совершеннол</w:t>
            </w:r>
            <w:r w:rsidRPr="00382D9E">
              <w:rPr>
                <w:rFonts w:eastAsia="Times New Roman"/>
              </w:rPr>
              <w:t>е</w:t>
            </w:r>
            <w:r w:rsidRPr="00382D9E">
              <w:rPr>
                <w:rFonts w:eastAsia="Times New Roman"/>
              </w:rPr>
              <w:t>тия, с 12 до 16 лет</w:t>
            </w:r>
          </w:p>
        </w:tc>
        <w:tc>
          <w:tcPr>
            <w:tcW w:w="2446" w:type="dxa"/>
            <w:gridSpan w:val="2"/>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4)</w:t>
            </w:r>
            <w:r w:rsidR="00382D9E" w:rsidRPr="00382D9E">
              <w:rPr>
                <w:rFonts w:eastAsia="Times New Roman"/>
              </w:rPr>
              <w:tab/>
            </w:r>
            <w:r w:rsidRPr="00382D9E">
              <w:rPr>
                <w:rFonts w:eastAsia="Times New Roman"/>
              </w:rPr>
              <w:t>Законопроекты о внесении изменений в</w:t>
            </w:r>
            <w:r w:rsidR="00382D9E" w:rsidRPr="00382D9E">
              <w:rPr>
                <w:rFonts w:eastAsia="Times New Roman"/>
              </w:rPr>
              <w:t xml:space="preserve"> </w:t>
            </w:r>
            <w:r w:rsidRPr="00382D9E">
              <w:rPr>
                <w:rFonts w:eastAsia="Times New Roman"/>
              </w:rPr>
              <w:t>Закон 1997 года о</w:t>
            </w:r>
            <w:r w:rsidR="00382D9E" w:rsidRPr="00382D9E">
              <w:rPr>
                <w:rFonts w:eastAsia="Times New Roman"/>
              </w:rPr>
              <w:t xml:space="preserve"> </w:t>
            </w:r>
            <w:r w:rsidRPr="00382D9E">
              <w:rPr>
                <w:rFonts w:eastAsia="Times New Roman"/>
              </w:rPr>
              <w:t>бор</w:t>
            </w:r>
            <w:r w:rsidRPr="00382D9E">
              <w:rPr>
                <w:rFonts w:eastAsia="Times New Roman"/>
              </w:rPr>
              <w:t>ь</w:t>
            </w:r>
            <w:r w:rsidRPr="00382D9E">
              <w:rPr>
                <w:rFonts w:eastAsia="Times New Roman"/>
              </w:rPr>
              <w:t>бе с изнасилованиями внесены в Палату (HB 812 и 2042, 2300, 3638) и Сенат (SB 1978, 1879, 1534, 1257 и 607)</w:t>
            </w:r>
          </w:p>
        </w:tc>
      </w:tr>
      <w:tr w:rsidR="002665C4" w:rsidRPr="00382D9E" w:rsidTr="00382D9E">
        <w:tblPrEx>
          <w:tblBorders>
            <w:top w:val="single" w:sz="4" w:space="0" w:color="auto"/>
          </w:tblBorders>
        </w:tblPrEx>
        <w:trPr>
          <w:gridAfter w:val="1"/>
          <w:wAfter w:w="65" w:type="dxa"/>
          <w:trHeight w:val="240"/>
        </w:trPr>
        <w:tc>
          <w:tcPr>
            <w:tcW w:w="2340" w:type="dxa"/>
            <w:vMerge/>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520" w:type="dxa"/>
            <w:gridSpan w:val="2"/>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sidRPr="00382D9E">
              <w:rPr>
                <w:rFonts w:eastAsia="Times New Roman"/>
              </w:rPr>
              <w:tab/>
            </w:r>
            <w:r w:rsidRPr="00382D9E">
              <w:rPr>
                <w:rFonts w:eastAsia="Times New Roman"/>
              </w:rPr>
              <w:t>Поправки к RA 7877, или Закону 1995 года о</w:t>
            </w:r>
            <w:r w:rsidR="00382D9E">
              <w:rPr>
                <w:rFonts w:eastAsia="Times New Roman"/>
              </w:rPr>
              <w:t xml:space="preserve"> </w:t>
            </w:r>
            <w:r w:rsidRPr="00382D9E">
              <w:rPr>
                <w:rFonts w:eastAsia="Times New Roman"/>
              </w:rPr>
              <w:t>борьбе с сексуальными домогательствами в ц</w:t>
            </w:r>
            <w:r w:rsidRPr="00382D9E">
              <w:rPr>
                <w:rFonts w:eastAsia="Times New Roman"/>
              </w:rPr>
              <w:t>е</w:t>
            </w:r>
            <w:r w:rsidRPr="00382D9E">
              <w:rPr>
                <w:rFonts w:eastAsia="Times New Roman"/>
              </w:rPr>
              <w:t>лях включения домог</w:t>
            </w:r>
            <w:r w:rsidRPr="00382D9E">
              <w:rPr>
                <w:rFonts w:eastAsia="Times New Roman"/>
              </w:rPr>
              <w:t>а</w:t>
            </w:r>
            <w:r w:rsidRPr="00382D9E">
              <w:rPr>
                <w:rFonts w:eastAsia="Times New Roman"/>
              </w:rPr>
              <w:t>тельств со стороны сверстн</w:t>
            </w:r>
            <w:r w:rsidRPr="00382D9E">
              <w:rPr>
                <w:rFonts w:eastAsia="Times New Roman"/>
              </w:rPr>
              <w:t>и</w:t>
            </w:r>
            <w:r w:rsidRPr="00382D9E">
              <w:rPr>
                <w:rFonts w:eastAsia="Times New Roman"/>
              </w:rPr>
              <w:t xml:space="preserve">ков </w:t>
            </w:r>
          </w:p>
        </w:tc>
        <w:tc>
          <w:tcPr>
            <w:tcW w:w="2475" w:type="dxa"/>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Pr>
                <w:rFonts w:eastAsia="Times New Roman"/>
                <w:lang w:val="en-US"/>
              </w:rPr>
              <w:tab/>
            </w:r>
            <w:r w:rsidRPr="00382D9E">
              <w:rPr>
                <w:rFonts w:eastAsia="Times New Roman"/>
              </w:rPr>
              <w:t xml:space="preserve">Сохраняется в ЗППЖ </w:t>
            </w:r>
          </w:p>
        </w:tc>
        <w:tc>
          <w:tcPr>
            <w:tcW w:w="2446" w:type="dxa"/>
            <w:gridSpan w:val="2"/>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5)</w:t>
            </w:r>
            <w:r w:rsidR="00382D9E" w:rsidRPr="00382D9E">
              <w:rPr>
                <w:rFonts w:eastAsia="Times New Roman"/>
              </w:rPr>
              <w:tab/>
            </w:r>
            <w:r w:rsidRPr="00382D9E">
              <w:rPr>
                <w:rFonts w:eastAsia="Times New Roman"/>
              </w:rPr>
              <w:t>Законопроекты о</w:t>
            </w:r>
            <w:r w:rsidR="00382D9E" w:rsidRPr="00382D9E">
              <w:rPr>
                <w:rFonts w:eastAsia="Times New Roman"/>
              </w:rPr>
              <w:t xml:space="preserve"> </w:t>
            </w:r>
            <w:r w:rsidRPr="00382D9E">
              <w:rPr>
                <w:rFonts w:eastAsia="Times New Roman"/>
              </w:rPr>
              <w:t>внесении изменений в</w:t>
            </w:r>
            <w:r w:rsidR="00382D9E" w:rsidRPr="00382D9E">
              <w:rPr>
                <w:rFonts w:eastAsia="Times New Roman"/>
              </w:rPr>
              <w:t xml:space="preserve"> </w:t>
            </w:r>
            <w:r w:rsidRPr="00382D9E">
              <w:rPr>
                <w:rFonts w:eastAsia="Times New Roman"/>
              </w:rPr>
              <w:t>Закон о борьбе с изн</w:t>
            </w:r>
            <w:r w:rsidRPr="00382D9E">
              <w:rPr>
                <w:rFonts w:eastAsia="Times New Roman"/>
              </w:rPr>
              <w:t>а</w:t>
            </w:r>
            <w:r w:rsidRPr="00382D9E">
              <w:rPr>
                <w:rFonts w:eastAsia="Times New Roman"/>
              </w:rPr>
              <w:t>силованиями: SBN 1436, 1076, 527 и HB 813</w:t>
            </w:r>
          </w:p>
        </w:tc>
      </w:tr>
      <w:tr w:rsidR="002665C4" w:rsidRPr="00382D9E" w:rsidTr="00F173BA">
        <w:tblPrEx>
          <w:tblBorders>
            <w:top w:val="single" w:sz="4" w:space="0" w:color="auto"/>
          </w:tblBorders>
        </w:tblPrEx>
        <w:trPr>
          <w:gridAfter w:val="1"/>
          <w:wAfter w:w="65" w:type="dxa"/>
          <w:trHeight w:val="240"/>
        </w:trPr>
        <w:tc>
          <w:tcPr>
            <w:tcW w:w="2340" w:type="dxa"/>
            <w:vMerge/>
            <w:tcBorders>
              <w:bottom w:val="nil"/>
            </w:tcBorders>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520" w:type="dxa"/>
            <w:gridSpan w:val="2"/>
            <w:tcBorders>
              <w:bottom w:val="nil"/>
            </w:tcBorders>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sidRPr="00382D9E">
              <w:rPr>
                <w:rFonts w:eastAsia="Times New Roman"/>
              </w:rPr>
              <w:tab/>
            </w:r>
            <w:r w:rsidRPr="00382D9E">
              <w:rPr>
                <w:rFonts w:eastAsia="Times New Roman"/>
              </w:rPr>
              <w:t>Великая хартия прав работников неофициал</w:t>
            </w:r>
            <w:r w:rsidRPr="00382D9E">
              <w:rPr>
                <w:rFonts w:eastAsia="Times New Roman"/>
              </w:rPr>
              <w:t>ь</w:t>
            </w:r>
            <w:r w:rsidRPr="00382D9E">
              <w:rPr>
                <w:rFonts w:eastAsia="Times New Roman"/>
              </w:rPr>
              <w:t>ного сектора экон</w:t>
            </w:r>
            <w:r w:rsidRPr="00382D9E">
              <w:rPr>
                <w:rFonts w:eastAsia="Times New Roman"/>
              </w:rPr>
              <w:t>о</w:t>
            </w:r>
            <w:r w:rsidRPr="00382D9E">
              <w:rPr>
                <w:rFonts w:eastAsia="Times New Roman"/>
              </w:rPr>
              <w:t xml:space="preserve">мики </w:t>
            </w:r>
          </w:p>
        </w:tc>
        <w:tc>
          <w:tcPr>
            <w:tcW w:w="2475" w:type="dxa"/>
            <w:tcBorders>
              <w:bottom w:val="nil"/>
            </w:tcBorders>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w:t>
            </w:r>
            <w:r w:rsidR="00382D9E" w:rsidRPr="00382D9E">
              <w:rPr>
                <w:rFonts w:eastAsia="Times New Roman"/>
              </w:rPr>
              <w:tab/>
            </w:r>
            <w:r w:rsidRPr="00382D9E">
              <w:rPr>
                <w:rFonts w:eastAsia="Times New Roman"/>
              </w:rPr>
              <w:t>Сохраняется в ЗППЖ</w:t>
            </w:r>
          </w:p>
        </w:tc>
        <w:tc>
          <w:tcPr>
            <w:tcW w:w="2446" w:type="dxa"/>
            <w:gridSpan w:val="2"/>
            <w:tcBorders>
              <w:bottom w:val="nil"/>
            </w:tcBorders>
            <w:shd w:val="clear" w:color="auto" w:fill="auto"/>
          </w:tcPr>
          <w:p w:rsidR="002665C4" w:rsidRPr="00382D9E" w:rsidRDefault="002665C4" w:rsidP="00F173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line="220" w:lineRule="exact"/>
              <w:ind w:left="144" w:right="43"/>
              <w:jc w:val="left"/>
              <w:rPr>
                <w:rFonts w:eastAsia="Times New Roman"/>
              </w:rPr>
            </w:pPr>
            <w:r w:rsidRPr="00382D9E">
              <w:rPr>
                <w:rFonts w:eastAsia="Times New Roman"/>
              </w:rPr>
              <w:t>6)</w:t>
            </w:r>
            <w:r w:rsidR="00382D9E" w:rsidRPr="00382D9E">
              <w:rPr>
                <w:rFonts w:eastAsia="Times New Roman"/>
              </w:rPr>
              <w:tab/>
            </w:r>
            <w:r w:rsidRPr="00382D9E">
              <w:rPr>
                <w:rFonts w:eastAsia="Times New Roman"/>
              </w:rPr>
              <w:t>Законопроекты, внесенные в Сенат и</w:t>
            </w:r>
            <w:r w:rsidR="00382D9E" w:rsidRPr="00382D9E">
              <w:rPr>
                <w:rFonts w:eastAsia="Times New Roman"/>
              </w:rPr>
              <w:t xml:space="preserve"> </w:t>
            </w:r>
            <w:r w:rsidRPr="00382D9E">
              <w:rPr>
                <w:rFonts w:eastAsia="Times New Roman"/>
              </w:rPr>
              <w:t>Палату представителей: SBN 2015, 1153, 441 и HB 1110, 22295, 2307, 3400</w:t>
            </w:r>
          </w:p>
        </w:tc>
      </w:tr>
      <w:tr w:rsidR="002665C4" w:rsidRPr="00382D9E" w:rsidTr="00F173BA">
        <w:tblPrEx>
          <w:tblBorders>
            <w:top w:val="single" w:sz="4" w:space="0" w:color="auto"/>
          </w:tblBorders>
        </w:tblPrEx>
        <w:trPr>
          <w:gridAfter w:val="1"/>
          <w:wAfter w:w="65" w:type="dxa"/>
          <w:trHeight w:val="240"/>
        </w:trPr>
        <w:tc>
          <w:tcPr>
            <w:tcW w:w="2340" w:type="dxa"/>
            <w:tcBorders>
              <w:top w:val="nil"/>
              <w:bottom w:val="single" w:sz="12" w:space="0" w:color="auto"/>
            </w:tcBorders>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jc w:val="left"/>
              <w:rPr>
                <w:rFonts w:eastAsia="Times New Roman"/>
              </w:rPr>
            </w:pPr>
          </w:p>
        </w:tc>
        <w:tc>
          <w:tcPr>
            <w:tcW w:w="2520" w:type="dxa"/>
            <w:gridSpan w:val="2"/>
            <w:tcBorders>
              <w:top w:val="nil"/>
              <w:bottom w:val="single" w:sz="12" w:space="0" w:color="auto"/>
            </w:tcBorders>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w:t>
            </w:r>
            <w:r w:rsidR="00382D9E" w:rsidRPr="00382D9E">
              <w:rPr>
                <w:rFonts w:eastAsia="Times New Roman"/>
              </w:rPr>
              <w:tab/>
            </w:r>
            <w:r w:rsidRPr="00382D9E">
              <w:rPr>
                <w:rFonts w:eastAsia="Times New Roman"/>
              </w:rPr>
              <w:t xml:space="preserve">Усовершенствование кодекса исламского частного права в части, касающейся ранних и сводных браков </w:t>
            </w:r>
          </w:p>
        </w:tc>
        <w:tc>
          <w:tcPr>
            <w:tcW w:w="2475" w:type="dxa"/>
            <w:tcBorders>
              <w:top w:val="nil"/>
              <w:bottom w:val="single" w:sz="12" w:space="0" w:color="auto"/>
            </w:tcBorders>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r w:rsidRPr="00382D9E">
              <w:rPr>
                <w:rFonts w:eastAsia="Times New Roman"/>
              </w:rPr>
              <w:t>Не включено в связи с</w:t>
            </w:r>
            <w:r w:rsidR="00382D9E" w:rsidRPr="00382D9E">
              <w:rPr>
                <w:rFonts w:eastAsia="Times New Roman"/>
              </w:rPr>
              <w:t xml:space="preserve"> </w:t>
            </w:r>
            <w:r w:rsidRPr="00382D9E">
              <w:rPr>
                <w:rFonts w:eastAsia="Times New Roman"/>
              </w:rPr>
              <w:t>отсутствием общей п</w:t>
            </w:r>
            <w:r w:rsidRPr="00382D9E">
              <w:rPr>
                <w:rFonts w:eastAsia="Times New Roman"/>
              </w:rPr>
              <w:t>о</w:t>
            </w:r>
            <w:r w:rsidRPr="00382D9E">
              <w:rPr>
                <w:rFonts w:eastAsia="Times New Roman"/>
              </w:rPr>
              <w:t>зиции и твердой по</w:t>
            </w:r>
            <w:r w:rsidRPr="00382D9E">
              <w:rPr>
                <w:rFonts w:eastAsia="Times New Roman"/>
              </w:rPr>
              <w:t>д</w:t>
            </w:r>
            <w:r w:rsidRPr="00382D9E">
              <w:rPr>
                <w:rFonts w:eastAsia="Times New Roman"/>
              </w:rPr>
              <w:t>держки среди заинтер</w:t>
            </w:r>
            <w:r w:rsidRPr="00382D9E">
              <w:rPr>
                <w:rFonts w:eastAsia="Times New Roman"/>
              </w:rPr>
              <w:t>е</w:t>
            </w:r>
            <w:r w:rsidRPr="00382D9E">
              <w:rPr>
                <w:rFonts w:eastAsia="Times New Roman"/>
              </w:rPr>
              <w:t>сованных сторон; нео</w:t>
            </w:r>
            <w:r w:rsidRPr="00382D9E">
              <w:rPr>
                <w:rFonts w:eastAsia="Times New Roman"/>
              </w:rPr>
              <w:t>б</w:t>
            </w:r>
            <w:r w:rsidRPr="00382D9E">
              <w:rPr>
                <w:rFonts w:eastAsia="Times New Roman"/>
              </w:rPr>
              <w:t>ходимы дальнейшие усилия по достижению консенсуса и информ</w:t>
            </w:r>
            <w:r w:rsidRPr="00382D9E">
              <w:rPr>
                <w:rFonts w:eastAsia="Times New Roman"/>
              </w:rPr>
              <w:t>а</w:t>
            </w:r>
            <w:r w:rsidRPr="00382D9E">
              <w:rPr>
                <w:rFonts w:eastAsia="Times New Roman"/>
              </w:rPr>
              <w:t>ционно-пропаган</w:t>
            </w:r>
            <w:r w:rsidR="00382D9E" w:rsidRPr="00382D9E">
              <w:rPr>
                <w:rFonts w:eastAsia="Times New Roman"/>
              </w:rPr>
              <w:softHyphen/>
            </w:r>
            <w:r w:rsidRPr="00382D9E">
              <w:rPr>
                <w:rFonts w:eastAsia="Times New Roman"/>
              </w:rPr>
              <w:t>дистская работа среди соответству</w:t>
            </w:r>
            <w:r w:rsidRPr="00382D9E">
              <w:rPr>
                <w:rFonts w:eastAsia="Times New Roman"/>
              </w:rPr>
              <w:t>ю</w:t>
            </w:r>
            <w:r w:rsidRPr="00382D9E">
              <w:rPr>
                <w:rFonts w:eastAsia="Times New Roman"/>
              </w:rPr>
              <w:t>щих групп</w:t>
            </w:r>
          </w:p>
        </w:tc>
        <w:tc>
          <w:tcPr>
            <w:tcW w:w="2446" w:type="dxa"/>
            <w:gridSpan w:val="2"/>
            <w:tcBorders>
              <w:top w:val="nil"/>
              <w:bottom w:val="single" w:sz="12" w:space="0" w:color="auto"/>
            </w:tcBorders>
            <w:shd w:val="clear" w:color="auto" w:fill="auto"/>
          </w:tcPr>
          <w:p w:rsidR="002665C4" w:rsidRPr="00382D9E" w:rsidRDefault="002665C4" w:rsidP="00382D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rFonts w:eastAsia="Times New Roman"/>
              </w:rPr>
            </w:pPr>
          </w:p>
        </w:tc>
      </w:tr>
    </w:tbl>
    <w:p w:rsidR="002665C4" w:rsidRDefault="00F173BA" w:rsidP="00FB6A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B6A78">
        <w:tab/>
      </w:r>
      <w:r w:rsidR="00FB6A78">
        <w:tab/>
      </w:r>
      <w:r w:rsidR="002665C4" w:rsidRPr="0088168D">
        <w:t>Принятие принципиально новых законов о положении женщин</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20.</w:t>
      </w:r>
      <w:r w:rsidRPr="0088168D">
        <w:tab/>
        <w:t>Как следует из таблицы, выше, в течение данного периода были приняты три важных закона, входивших в ЗППЖ:</w:t>
      </w:r>
    </w:p>
    <w:p w:rsidR="002665C4" w:rsidRPr="007B1090" w:rsidRDefault="002665C4" w:rsidP="00FB6A78">
      <w:pPr>
        <w:pStyle w:val="SingleTxt"/>
      </w:pPr>
      <w:r>
        <w:tab/>
      </w:r>
      <w:r w:rsidRPr="007B1090">
        <w:t>a</w:t>
      </w:r>
      <w:r w:rsidR="00FB6A78">
        <w:t>)</w:t>
      </w:r>
      <w:r w:rsidRPr="007B1090">
        <w:tab/>
        <w:t>ВХЖ (RA 9710) в качестве национальной версии КЛДЖ;</w:t>
      </w:r>
    </w:p>
    <w:p w:rsidR="002665C4" w:rsidRPr="007B1090" w:rsidRDefault="002665C4" w:rsidP="00FB6A78">
      <w:pPr>
        <w:pStyle w:val="SingleTxt"/>
      </w:pPr>
      <w:r>
        <w:tab/>
      </w:r>
      <w:r w:rsidRPr="007B1090">
        <w:t>b</w:t>
      </w:r>
      <w:r w:rsidR="00FB6A78">
        <w:t>)</w:t>
      </w:r>
      <w:r w:rsidRPr="007B1090">
        <w:tab/>
        <w:t>Закон о репродуктивном здоровье (RA 10354), или Закон, предусма</w:t>
      </w:r>
      <w:r w:rsidRPr="007B1090">
        <w:t>т</w:t>
      </w:r>
      <w:r w:rsidRPr="007B1090">
        <w:t>ривающий национальную политику в области ответственного отношения к р</w:t>
      </w:r>
      <w:r w:rsidRPr="007B1090">
        <w:t>о</w:t>
      </w:r>
      <w:r w:rsidRPr="007B1090">
        <w:t>дительским обязанностям и репродуктивного здоровья, обеспечивающий же</w:t>
      </w:r>
      <w:r w:rsidRPr="007B1090">
        <w:t>н</w:t>
      </w:r>
      <w:r w:rsidRPr="007B1090">
        <w:t xml:space="preserve">щинам доступ к медицинским услугам в области репродуктивного здоровья и к информации, а также обязывающий правительство ассигновать средства на эти цели; и </w:t>
      </w:r>
    </w:p>
    <w:p w:rsidR="002665C4" w:rsidRPr="0088168D" w:rsidRDefault="002665C4" w:rsidP="00FB6A78">
      <w:pPr>
        <w:pStyle w:val="SingleTxt"/>
      </w:pPr>
      <w:r>
        <w:tab/>
      </w:r>
      <w:r w:rsidRPr="0088168D">
        <w:t>c</w:t>
      </w:r>
      <w:r w:rsidR="00FB6A78">
        <w:t>)</w:t>
      </w:r>
      <w:r w:rsidRPr="0088168D">
        <w:tab/>
      </w:r>
      <w:r w:rsidR="00FB6A78">
        <w:t>«</w:t>
      </w:r>
      <w:r w:rsidRPr="0088168D">
        <w:t>Батас Касамбахаи</w:t>
      </w:r>
      <w:r w:rsidR="00FB6A78">
        <w:t>»</w:t>
      </w:r>
      <w:r w:rsidRPr="0088168D">
        <w:t xml:space="preserve"> (RA 10361), или Закон, официально закрепля</w:t>
      </w:r>
      <w:r w:rsidRPr="0088168D">
        <w:t>ю</w:t>
      </w:r>
      <w:r w:rsidRPr="0088168D">
        <w:t>щий политику защиты и благополучия домашней прислуги, в частности такие меры, как фиксирование базовых ставок, социальная защита, продолжител</w:t>
      </w:r>
      <w:r w:rsidRPr="0088168D">
        <w:t>ь</w:t>
      </w:r>
      <w:r w:rsidRPr="0088168D">
        <w:t>ность рабочего времени, включая выходной день, и другие. До принятия Зак</w:t>
      </w:r>
      <w:r w:rsidRPr="0088168D">
        <w:t>о</w:t>
      </w:r>
      <w:r w:rsidRPr="0088168D">
        <w:t>на Касамбахаи правительство Филиппин в 2011 году ратифицировало Конве</w:t>
      </w:r>
      <w:r w:rsidRPr="0088168D">
        <w:t>н</w:t>
      </w:r>
      <w:r w:rsidRPr="0088168D">
        <w:t>цию МОТ 189, направленную на защиту и поддержку прав человека всех д</w:t>
      </w:r>
      <w:r w:rsidRPr="0088168D">
        <w:t>о</w:t>
      </w:r>
      <w:r w:rsidRPr="0088168D">
        <w:t>машних работников путем обеспечения справедливых условий найма, досто</w:t>
      </w:r>
      <w:r w:rsidRPr="0088168D">
        <w:t>й</w:t>
      </w:r>
      <w:r w:rsidRPr="0088168D">
        <w:t>ных условий работы и жизни, обеспечивающих право на частную жизнь, ра</w:t>
      </w:r>
      <w:r w:rsidRPr="0088168D">
        <w:t>в</w:t>
      </w:r>
      <w:r w:rsidRPr="0088168D">
        <w:t>ное отношение</w:t>
      </w:r>
      <w:r w:rsidRPr="0088168D">
        <w:rPr>
          <w:bCs/>
        </w:rPr>
        <w:t>, нормальный режим работы, компенсации, периоды ежедневн</w:t>
      </w:r>
      <w:r w:rsidRPr="0088168D">
        <w:rPr>
          <w:bCs/>
        </w:rPr>
        <w:t>о</w:t>
      </w:r>
      <w:r w:rsidRPr="0088168D">
        <w:rPr>
          <w:bCs/>
        </w:rPr>
        <w:t>го и еженедельного отдыха и оплаченный ежегодный отпуск для работников в соответствии с национальным законодательством и с учетом особенностей д</w:t>
      </w:r>
      <w:r w:rsidRPr="0088168D">
        <w:rPr>
          <w:bCs/>
        </w:rPr>
        <w:t>о</w:t>
      </w:r>
      <w:r w:rsidRPr="0088168D">
        <w:rPr>
          <w:bCs/>
        </w:rPr>
        <w:t>машней работы.</w:t>
      </w:r>
    </w:p>
    <w:p w:rsidR="002665C4" w:rsidRPr="0088168D" w:rsidRDefault="002665C4" w:rsidP="00FB6A78">
      <w:pPr>
        <w:pStyle w:val="SingleTxt"/>
      </w:pPr>
      <w:r w:rsidRPr="0088168D">
        <w:t>21.</w:t>
      </w:r>
      <w:r w:rsidRPr="0088168D">
        <w:tab/>
        <w:t>В период работы 15-го Конгресса были также приняты не входившие в ЗППЖ:</w:t>
      </w:r>
    </w:p>
    <w:p w:rsidR="002665C4" w:rsidRPr="0088168D" w:rsidRDefault="002665C4" w:rsidP="00FB6A78">
      <w:pPr>
        <w:pStyle w:val="SingleTxt"/>
      </w:pPr>
      <w:r>
        <w:tab/>
      </w:r>
      <w:r w:rsidRPr="0088168D">
        <w:t>a</w:t>
      </w:r>
      <w:r w:rsidR="00FB6A78">
        <w:t>)</w:t>
      </w:r>
      <w:r w:rsidRPr="0088168D">
        <w:tab/>
        <w:t>Закон, позволяющий использование работников в ночную смену. Помимо расширения для них возможностей занятости, закон также предусма</w:t>
      </w:r>
      <w:r w:rsidRPr="0088168D">
        <w:t>т</w:t>
      </w:r>
      <w:r w:rsidRPr="0088168D">
        <w:t>ривает обязательные средства обеспечения безопасности работающих в но</w:t>
      </w:r>
      <w:r w:rsidRPr="0088168D">
        <w:t>ч</w:t>
      </w:r>
      <w:r w:rsidRPr="0088168D">
        <w:t>ную смену и защищает беременных женщин от дискриминации на основании их беременности;</w:t>
      </w:r>
    </w:p>
    <w:p w:rsidR="002665C4" w:rsidRPr="0088168D" w:rsidRDefault="002665C4" w:rsidP="00FB6A78">
      <w:pPr>
        <w:pStyle w:val="SingleTxt"/>
      </w:pPr>
      <w:r>
        <w:tab/>
      </w:r>
      <w:r w:rsidRPr="0088168D">
        <w:t>b</w:t>
      </w:r>
      <w:r w:rsidR="00FB6A78">
        <w:t>)</w:t>
      </w:r>
      <w:r w:rsidRPr="0088168D">
        <w:tab/>
        <w:t>Расширенный закон о борьбе с торговлей людьми (RA 10364), кот</w:t>
      </w:r>
      <w:r w:rsidRPr="0088168D">
        <w:t>о</w:t>
      </w:r>
      <w:r w:rsidRPr="0088168D">
        <w:t>рый вносит изменения и усиливает Закон 2003 года о борьбе с торговлей людьми; Закон, объявляющий 25 ноября каждого года Национальным днем борьбы с насилием в отношении женщин и детей (RA 10398);</w:t>
      </w:r>
    </w:p>
    <w:p w:rsidR="002665C4" w:rsidRPr="0088168D" w:rsidRDefault="002665C4" w:rsidP="00FB6A78">
      <w:pPr>
        <w:pStyle w:val="SingleTxt"/>
      </w:pPr>
      <w:r>
        <w:tab/>
      </w:r>
      <w:r w:rsidRPr="0088168D">
        <w:t>c</w:t>
      </w:r>
      <w:r w:rsidR="00FB6A78">
        <w:t>)</w:t>
      </w:r>
      <w:r w:rsidRPr="0088168D">
        <w:tab/>
        <w:t>Закон 2009 года о пресечении вуайеризма применительно к фото- и видеоматериалам (RA 9995), который объявляет незаконной фото- или виде</w:t>
      </w:r>
      <w:r w:rsidRPr="0088168D">
        <w:t>о</w:t>
      </w:r>
      <w:r w:rsidRPr="0088168D">
        <w:t xml:space="preserve">съемку полового акта или </w:t>
      </w:r>
      <w:r w:rsidR="00FB6A78">
        <w:t>«</w:t>
      </w:r>
      <w:r w:rsidRPr="0088168D">
        <w:t>фиксирование изображения интимных мест челов</w:t>
      </w:r>
      <w:r w:rsidRPr="0088168D">
        <w:t>е</w:t>
      </w:r>
      <w:r w:rsidRPr="0088168D">
        <w:t>ка в обстоятельствах, когда данное лицо/лица имеет/имеют достаточные осн</w:t>
      </w:r>
      <w:r w:rsidRPr="0088168D">
        <w:t>о</w:t>
      </w:r>
      <w:r w:rsidRPr="0088168D">
        <w:t>вания рассчитывать на приватность</w:t>
      </w:r>
      <w:r w:rsidR="00FB6A78">
        <w:t>»</w:t>
      </w:r>
      <w:r w:rsidRPr="0088168D">
        <w:t xml:space="preserve">. Этим законом запрещается копирование или воспроизведение, продажа или распространение, а также опубликование или транслирование таких изображений, </w:t>
      </w:r>
      <w:r w:rsidR="00FB6A78">
        <w:t>«</w:t>
      </w:r>
      <w:r w:rsidRPr="0088168D">
        <w:t>несмотря на наличие согласия на осуществление записи, или фотосъемки, или видеозаписи этого, данное таким лицом/такими лицами</w:t>
      </w:r>
      <w:r w:rsidR="00FB6A78">
        <w:t>»</w:t>
      </w:r>
      <w:r w:rsidRPr="0088168D">
        <w:t xml:space="preserve">; и </w:t>
      </w:r>
    </w:p>
    <w:p w:rsidR="002665C4" w:rsidRPr="0088168D" w:rsidRDefault="002665C4" w:rsidP="00FB6A78">
      <w:pPr>
        <w:pStyle w:val="SingleTxt"/>
      </w:pPr>
      <w:r>
        <w:tab/>
      </w:r>
      <w:r w:rsidRPr="0088168D">
        <w:t>d</w:t>
      </w:r>
      <w:r w:rsidR="00FB6A78">
        <w:t>)</w:t>
      </w:r>
      <w:r w:rsidRPr="0088168D">
        <w:tab/>
        <w:t>Закон 2009 года о более эффективном поощрении грудного кормл</w:t>
      </w:r>
      <w:r w:rsidRPr="0088168D">
        <w:t>е</w:t>
      </w:r>
      <w:r w:rsidRPr="0088168D">
        <w:t>ния (RA 10028), предусматривающий, в частности, стимулирование всех гос</w:t>
      </w:r>
      <w:r w:rsidRPr="0088168D">
        <w:t>у</w:t>
      </w:r>
      <w:r w:rsidRPr="0088168D">
        <w:t xml:space="preserve">дарственных и частных медицинских учреждений обеспечивать нахождение новорожденного в одной палате с матерью и грудное кормление. </w:t>
      </w:r>
    </w:p>
    <w:p w:rsidR="00FB6A78" w:rsidRDefault="002665C4" w:rsidP="00FB6A78">
      <w:pPr>
        <w:pStyle w:val="SingleTxt"/>
      </w:pPr>
      <w:r w:rsidRPr="0088168D">
        <w:t>22.</w:t>
      </w:r>
      <w:r w:rsidRPr="0088168D">
        <w:tab/>
        <w:t>Несмотря на проблемы, связанные с исправлением дискриминационных законов, часть из которых затрагивает традиционные системы верований и патриархальные представления, государство-участник продолжает действовать в этом направлении и содействует совместной работе, включая просвещение по гендерным вопросам законодателей или по крайней мере их технических с</w:t>
      </w:r>
      <w:r w:rsidRPr="0088168D">
        <w:t>о</w:t>
      </w:r>
      <w:r w:rsidRPr="0088168D">
        <w:t>трудников, отвечающих за проведение исследований и разработку законопр</w:t>
      </w:r>
      <w:r w:rsidRPr="0088168D">
        <w:t>о</w:t>
      </w:r>
      <w:r w:rsidRPr="0088168D">
        <w:t>ектов, в случае необходимости, во взаимодействии с соответствующими гос</w:t>
      </w:r>
      <w:r w:rsidRPr="0088168D">
        <w:t>у</w:t>
      </w:r>
      <w:r w:rsidRPr="0088168D">
        <w:t>дарственными учреждениями, ОГО и другими заинтересованными сторонами.</w:t>
      </w:r>
    </w:p>
    <w:p w:rsidR="00FB6A78" w:rsidRPr="00FB6A78" w:rsidRDefault="00FB6A78" w:rsidP="00FB6A78">
      <w:pPr>
        <w:pStyle w:val="SingleTxt"/>
        <w:spacing w:after="0" w:line="120" w:lineRule="exact"/>
        <w:rPr>
          <w:sz w:val="10"/>
        </w:rPr>
      </w:pPr>
    </w:p>
    <w:p w:rsidR="002665C4" w:rsidRDefault="00FB6A78" w:rsidP="00FB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 дискриминационных положениях Кодекса персональных законов о мусульманах</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23.</w:t>
      </w:r>
      <w:r w:rsidRPr="0088168D">
        <w:tab/>
        <w:t>ВХЖ предписывает соблюдение законов обычного права, касающихся брачных отношений, при условии что они не содержат дискриминационных положений в отношении женщин. На Филиппинах это относится в первую оч</w:t>
      </w:r>
      <w:r w:rsidRPr="0088168D">
        <w:t>е</w:t>
      </w:r>
      <w:r w:rsidRPr="0088168D">
        <w:t>редь к Указу президента 1038 или Кодексу персональных законов о мусульм</w:t>
      </w:r>
      <w:r w:rsidRPr="0088168D">
        <w:t>а</w:t>
      </w:r>
      <w:r w:rsidRPr="0088168D">
        <w:t xml:space="preserve">нах (КПЗМ), поскольку он содержит </w:t>
      </w:r>
      <w:r w:rsidR="00FB6A78">
        <w:t>«</w:t>
      </w:r>
      <w:r w:rsidRPr="0088168D">
        <w:t>дискриминационные</w:t>
      </w:r>
      <w:r w:rsidR="00FB6A78">
        <w:t>»</w:t>
      </w:r>
      <w:r w:rsidRPr="0088168D">
        <w:t xml:space="preserve"> положения, кас</w:t>
      </w:r>
      <w:r w:rsidRPr="0088168D">
        <w:t>а</w:t>
      </w:r>
      <w:r w:rsidRPr="0088168D">
        <w:t>ющиеся ранних браков, многоженства и разводов, а также неравенства прав наследования. Например, статья 27 КПЗМ гласит, что мусульманин может иметь более одной жены, только если он способен обеспечить одинаковое о</w:t>
      </w:r>
      <w:r w:rsidRPr="0088168D">
        <w:t>б</w:t>
      </w:r>
      <w:r w:rsidRPr="0088168D">
        <w:t>щение и справедливое обращение с ними, как предписывает исламский закон, и только в исключительных случаях. Некоторые женщины моро утверждают, что мужчины, заключая последующие браки, зачастую не соблюдают эти усл</w:t>
      </w:r>
      <w:r w:rsidRPr="0088168D">
        <w:t>о</w:t>
      </w:r>
      <w:r w:rsidRPr="0088168D">
        <w:t>вия. По КПЗМ допускается развод, но, хотя статьи 46–53 наделяют равными правами обоих супругов, мужчине моро разрешается развестись с женой без каких бы то ни было причин; женщинам такая возможность не предоставляе</w:t>
      </w:r>
      <w:r w:rsidRPr="0088168D">
        <w:t>т</w:t>
      </w:r>
      <w:r w:rsidRPr="0088168D">
        <w:t>ся.</w:t>
      </w:r>
    </w:p>
    <w:p w:rsidR="002665C4" w:rsidRPr="0088168D" w:rsidRDefault="002665C4" w:rsidP="00FB6A78">
      <w:pPr>
        <w:pStyle w:val="SingleTxt"/>
      </w:pPr>
      <w:r w:rsidRPr="0088168D">
        <w:t>24.</w:t>
      </w:r>
      <w:r w:rsidRPr="0088168D">
        <w:tab/>
        <w:t>Государство-участник в лице ФКЖ организовало консультации среди м</w:t>
      </w:r>
      <w:r w:rsidRPr="0088168D">
        <w:t>у</w:t>
      </w:r>
      <w:r w:rsidRPr="0088168D">
        <w:t>сульманских женщин и мужчин в целях обсуждения путей решения проблемы дискриминационных положений КПЗМ. Эти консультации выявили различие мнений относительно указанных положений как среди женщин, так и среди мужчин, что затрудняет согласование мер, приемлемых для всех. Женщины, к примеру, не все ставят под вопрос положения о ранних браках, многоженстве и разводе, поскольку они предусмотрены Кораном. Они также считают, что п</w:t>
      </w:r>
      <w:r w:rsidRPr="0088168D">
        <w:t>о</w:t>
      </w:r>
      <w:r w:rsidRPr="0088168D">
        <w:t>ложение КЛДЖ о равных правах с мужчинами при расторжении брака прот</w:t>
      </w:r>
      <w:r w:rsidRPr="0088168D">
        <w:t>и</w:t>
      </w:r>
      <w:r w:rsidRPr="0088168D">
        <w:t>воречит исламскому обычаю. С</w:t>
      </w:r>
      <w:r w:rsidR="00FB6A78">
        <w:t xml:space="preserve"> </w:t>
      </w:r>
      <w:r w:rsidRPr="0088168D">
        <w:t>другой стороны, если одни мусульманки ж</w:t>
      </w:r>
      <w:r w:rsidRPr="0088168D">
        <w:t>а</w:t>
      </w:r>
      <w:r w:rsidRPr="0088168D">
        <w:t>луются на многоженство своих мужей, то другие считают его приемлемым. При появлении еще одной жены, заботящейся о муже, они на какое-то время освобождаются от семейных обязанностей и могут заняться чем-либо другим. Точно так же мусульманские мужчины и религиозные лидеры утверждают, что положения КЛДЖ о ранних браках и многоженстве к ним не относятся. Же</w:t>
      </w:r>
      <w:r w:rsidRPr="0088168D">
        <w:t>н</w:t>
      </w:r>
      <w:r w:rsidRPr="0088168D">
        <w:t>щины моро не склонны к изменению дискриминационных положений относ</w:t>
      </w:r>
      <w:r w:rsidRPr="0088168D">
        <w:t>и</w:t>
      </w:r>
      <w:r w:rsidRPr="0088168D">
        <w:t xml:space="preserve">тельно прав наследования, поскольку они основаны на сурах Корана. </w:t>
      </w:r>
    </w:p>
    <w:p w:rsidR="002665C4" w:rsidRPr="0088168D" w:rsidRDefault="002665C4" w:rsidP="00FB6A78">
      <w:pPr>
        <w:pStyle w:val="SingleTxt"/>
      </w:pPr>
      <w:r w:rsidRPr="0088168D">
        <w:t>25.</w:t>
      </w:r>
      <w:r w:rsidRPr="0088168D">
        <w:tab/>
        <w:t>Консультации показали, что необходимо активизировать информационно-пропагандистскую деятельность в целях изменения менталитета в пользу устранения дискриминационных положений и прорабатывать другие варианты реформы. Кодекс ГИР Автономного региона мусульманского Минданао (АРММ) был принят в 2010 году после проведения на уровне провинции мн</w:t>
      </w:r>
      <w:r w:rsidRPr="0088168D">
        <w:t>о</w:t>
      </w:r>
      <w:r w:rsidRPr="0088168D">
        <w:t>госекторальных консультаций, в том числе консультативного практикума с м</w:t>
      </w:r>
      <w:r w:rsidRPr="0088168D">
        <w:t>у</w:t>
      </w:r>
      <w:r w:rsidRPr="0088168D">
        <w:t>сульманскими религиозными лидерами, неправительственными организаци</w:t>
      </w:r>
      <w:r w:rsidRPr="0088168D">
        <w:t>я</w:t>
      </w:r>
      <w:r w:rsidRPr="0088168D">
        <w:t>ми, женскими организациями, местными органами власти и представителями научного сообщества. Региональный Кодекс ГИР мог бы стать важным шагом в пересмотре КПЗМ. Избежав изъятия, которое встретило сопротивление, согл</w:t>
      </w:r>
      <w:r w:rsidRPr="0088168D">
        <w:t>а</w:t>
      </w:r>
      <w:r w:rsidRPr="0088168D">
        <w:t xml:space="preserve">сованное положение в Кодексе </w:t>
      </w:r>
      <w:r w:rsidR="00FB6A78">
        <w:t>«</w:t>
      </w:r>
      <w:r w:rsidRPr="0088168D">
        <w:t>противодействует браку с лицом в возрасте младше 18 лет</w:t>
      </w:r>
      <w:r w:rsidR="00FB6A78">
        <w:t>»</w:t>
      </w:r>
      <w:r w:rsidRPr="0088168D">
        <w:t>.</w:t>
      </w:r>
    </w:p>
    <w:p w:rsidR="002665C4" w:rsidRDefault="002665C4" w:rsidP="00FB6A78">
      <w:pPr>
        <w:pStyle w:val="SingleTxt"/>
      </w:pPr>
      <w:r w:rsidRPr="0088168D">
        <w:t>26.</w:t>
      </w:r>
      <w:r w:rsidRPr="0088168D">
        <w:tab/>
        <w:t>Пересмотр КПЗМ в значительной степени зависит от проводимой камп</w:t>
      </w:r>
      <w:r w:rsidRPr="0088168D">
        <w:t>а</w:t>
      </w:r>
      <w:r w:rsidRPr="0088168D">
        <w:t>нии и информационно-пропагандистской работы с группами мусульманского населения и поддержки со стороны Регионального законодательного собрания АРММ. Учитывая расхождения во мнениях или толкованиях разными сектор</w:t>
      </w:r>
      <w:r w:rsidRPr="0088168D">
        <w:t>а</w:t>
      </w:r>
      <w:r w:rsidRPr="0088168D">
        <w:t>ми, понадобится время для достижения согласия отно</w:t>
      </w:r>
      <w:r w:rsidR="00FB6A78">
        <w:t>сительно необходимых изменений.</w:t>
      </w:r>
    </w:p>
    <w:p w:rsidR="00FB6A78" w:rsidRPr="00FB6A78" w:rsidRDefault="00FB6A78" w:rsidP="00FB6A78">
      <w:pPr>
        <w:pStyle w:val="SingleTxt"/>
        <w:spacing w:after="0" w:line="120" w:lineRule="exact"/>
        <w:rPr>
          <w:sz w:val="10"/>
        </w:rPr>
      </w:pPr>
    </w:p>
    <w:p w:rsidR="002665C4" w:rsidRDefault="00FB6A78" w:rsidP="00FB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Об укреплении национальных органов по делам женщин</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27. ВХЖ расширила мандат национальных органов по делам женщин, преобр</w:t>
      </w:r>
      <w:r w:rsidRPr="0088168D">
        <w:t>а</w:t>
      </w:r>
      <w:r w:rsidRPr="0088168D">
        <w:t>зовав их из консультативных органов по вопросам политики в основной дире</w:t>
      </w:r>
      <w:r w:rsidRPr="0088168D">
        <w:t>к</w:t>
      </w:r>
      <w:r w:rsidRPr="0088168D">
        <w:t>тивный, координирующий, контролирующий и надзорный орган по проблемам женщин и гендерного равенства. Она переименовала Национальную комиссию по положению филиппинских женщин в Филиппинскую комиссию по делам женщин (ФКЖ). ФКЖ уполномочена давать указание любому правительстве</w:t>
      </w:r>
      <w:r w:rsidRPr="0088168D">
        <w:t>н</w:t>
      </w:r>
      <w:r w:rsidRPr="0088168D">
        <w:t>ному учреждению и органу отчитаться о выполнении своих обязанностей в с</w:t>
      </w:r>
      <w:r w:rsidRPr="0088168D">
        <w:t>о</w:t>
      </w:r>
      <w:r w:rsidR="00FB6A78">
        <w:t>ответствии с ВХЖ.</w:t>
      </w:r>
    </w:p>
    <w:p w:rsidR="002665C4" w:rsidRPr="0088168D" w:rsidRDefault="002665C4" w:rsidP="00FB6A78">
      <w:pPr>
        <w:pStyle w:val="SingleTxt"/>
      </w:pPr>
      <w:r w:rsidRPr="0088168D">
        <w:t>28.</w:t>
      </w:r>
      <w:r w:rsidRPr="0088168D">
        <w:tab/>
        <w:t>В рамках ЗППЖ ФКЖ содействует оказанию поддержки в разработке национальных законов и благодаря сотрудничеству с правительственными учреждениями добивалась принятия мер в исполнительной сфере по решению гендерных проблем, таких как меры по улучшению доступа к производстве</w:t>
      </w:r>
      <w:r w:rsidRPr="0088168D">
        <w:t>н</w:t>
      </w:r>
      <w:r w:rsidRPr="0088168D">
        <w:t xml:space="preserve">ным ресурсам и социальной защите женщин-микропредпринимателей в рамках </w:t>
      </w:r>
      <w:r w:rsidRPr="0088168D">
        <w:rPr>
          <w:lang w:eastAsia="ru-RU"/>
        </w:rPr>
        <w:t xml:space="preserve">проекта под названием </w:t>
      </w:r>
      <w:r w:rsidR="00FB6A78">
        <w:t>GREAT.</w:t>
      </w:r>
    </w:p>
    <w:p w:rsidR="002665C4" w:rsidRPr="0088168D" w:rsidRDefault="002665C4" w:rsidP="00FB6A78">
      <w:pPr>
        <w:pStyle w:val="SingleTxt"/>
        <w:rPr>
          <w:i/>
        </w:rPr>
      </w:pPr>
      <w:r w:rsidRPr="0088168D">
        <w:t>29.</w:t>
      </w:r>
      <w:r w:rsidRPr="0088168D">
        <w:tab/>
        <w:t>В 2013 году государство-участник в лице ФКЖ окончательно доработало План ПВРР женщин на 2013–2016 годы в качестве руководства для учрежд</w:t>
      </w:r>
      <w:r w:rsidRPr="0088168D">
        <w:t>е</w:t>
      </w:r>
      <w:r w:rsidRPr="0088168D">
        <w:t>ний и местных органов власти по осуществлению ВХЖ. Главным механизмом осуществления и мониторинга хода реализации ВХЖ и Плана ПВРР женщин служит составление ежегодного плана по гендерным вопросам и вопросам ра</w:t>
      </w:r>
      <w:r w:rsidRPr="0088168D">
        <w:t>з</w:t>
      </w:r>
      <w:r w:rsidRPr="0088168D">
        <w:t xml:space="preserve">вития (План ГИР) правительственными учреждениями и местными органами власти. </w:t>
      </w:r>
    </w:p>
    <w:p w:rsidR="002665C4" w:rsidRPr="0088168D" w:rsidRDefault="002665C4" w:rsidP="00FB6A78">
      <w:pPr>
        <w:pStyle w:val="SingleTxt"/>
        <w:rPr>
          <w:i/>
        </w:rPr>
      </w:pPr>
      <w:r w:rsidRPr="0088168D">
        <w:t>30.</w:t>
      </w:r>
      <w:r w:rsidRPr="0088168D">
        <w:tab/>
        <w:t>Государство-участник в лице ФКЖ организует техническую помощь пр</w:t>
      </w:r>
      <w:r w:rsidRPr="0088168D">
        <w:t>а</w:t>
      </w:r>
      <w:r w:rsidRPr="0088168D">
        <w:t>вительству по учету гендерной проблематики в связи с секторальными темами Плана ПВРР женщин. В целях поддержки положения о технической помощи ФКЖ расширяет коллектив инструкторов по гендерным вопросам и специал</w:t>
      </w:r>
      <w:r w:rsidRPr="0088168D">
        <w:t>и</w:t>
      </w:r>
      <w:r w:rsidRPr="0088168D">
        <w:t>стов по оказанию технической помощи в рамках национальной программы гендерной информации (НПГИ). Наряду с этим, оно тестирует систему под названием База данных информационных фондов по гендерным вопросам (БИФГ), посредством которой правительственные учреждения и местные орг</w:t>
      </w:r>
      <w:r w:rsidRPr="0088168D">
        <w:t>а</w:t>
      </w:r>
      <w:r w:rsidRPr="0088168D">
        <w:t>ны власти могут связываться с инструкторами по гендерным вопросам и сп</w:t>
      </w:r>
      <w:r w:rsidRPr="0088168D">
        <w:t>е</w:t>
      </w:r>
      <w:r w:rsidRPr="0088168D">
        <w:t>циалистами по оказанию технической помощи в учете гендерно</w:t>
      </w:r>
      <w:r w:rsidRPr="00FB6A78">
        <w:t>й</w:t>
      </w:r>
      <w:r w:rsidRPr="0088168D">
        <w:t xml:space="preserve"> проблемат</w:t>
      </w:r>
      <w:r w:rsidRPr="0088168D">
        <w:t>и</w:t>
      </w:r>
      <w:r w:rsidRPr="0088168D">
        <w:t>ки.</w:t>
      </w:r>
    </w:p>
    <w:p w:rsidR="002665C4" w:rsidRDefault="002665C4" w:rsidP="00FB6A78">
      <w:pPr>
        <w:pStyle w:val="SingleTxt"/>
      </w:pPr>
      <w:r w:rsidRPr="0088168D">
        <w:t>31.</w:t>
      </w:r>
      <w:r w:rsidRPr="0088168D">
        <w:tab/>
        <w:t>В целях выполнения своего расширенного мандата, ведения работы и обеспечения возможности справляться с возросшим спросом на его услуги государство-участник в лице ФКЖ привлекает больше сотрудников на основе краткосрочного консультирования, расширяет партнерские отношения и мех</w:t>
      </w:r>
      <w:r w:rsidRPr="0088168D">
        <w:t>а</w:t>
      </w:r>
      <w:r w:rsidRPr="0088168D">
        <w:t>низмы поддержки и разрабатывает политические меры и руководящие принц</w:t>
      </w:r>
      <w:r w:rsidRPr="0088168D">
        <w:t>и</w:t>
      </w:r>
      <w:r w:rsidRPr="0088168D">
        <w:t>пы учета гендерной проблематики для учреждений и местных органов власти, не охваченных его технической помощью и возможностями мониторинга.</w:t>
      </w:r>
    </w:p>
    <w:p w:rsidR="00F173BA" w:rsidRPr="00F173BA" w:rsidRDefault="00F173BA" w:rsidP="00F173BA">
      <w:pPr>
        <w:pStyle w:val="SingleTxt"/>
        <w:spacing w:after="0" w:line="120" w:lineRule="exact"/>
        <w:rPr>
          <w:sz w:val="10"/>
        </w:rPr>
      </w:pPr>
    </w:p>
    <w:p w:rsidR="002665C4" w:rsidRDefault="00FB6A78" w:rsidP="00FB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2665C4" w:rsidRPr="0088168D">
        <w:t>О мониторинге осуществления Филиппинского плана развития с учетом гендерных аспектов (ФПРГА) и использования стратегии учета гендерной проблематики</w:t>
      </w:r>
    </w:p>
    <w:p w:rsidR="00FB6A78" w:rsidRPr="00FB6A78" w:rsidRDefault="00FB6A78" w:rsidP="00FB6A78">
      <w:pPr>
        <w:pStyle w:val="SingleTxt"/>
        <w:spacing w:after="0" w:line="120" w:lineRule="exact"/>
        <w:rPr>
          <w:sz w:val="10"/>
          <w:lang w:val="en-US"/>
        </w:rPr>
      </w:pPr>
    </w:p>
    <w:p w:rsidR="002665C4" w:rsidRPr="00FB6A78" w:rsidRDefault="00FB6A78" w:rsidP="00FB6A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2665C4" w:rsidRPr="0088168D">
        <w:t>Учет генд</w:t>
      </w:r>
      <w:r>
        <w:t>ерных аспектов в органах власти</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32.</w:t>
      </w:r>
      <w:r w:rsidRPr="0088168D">
        <w:tab/>
        <w:t xml:space="preserve">В статье 36 ВХЖ определяется учет гендерных аспектов как стратегия осуществления ее положений и далее указывается, что </w:t>
      </w:r>
      <w:r w:rsidR="00FB6A78">
        <w:t>«</w:t>
      </w:r>
      <w:r w:rsidRPr="0088168D">
        <w:t>все ведомства должны принять учет гендерных факторов в качестве стратегии продвижения прав ч</w:t>
      </w:r>
      <w:r w:rsidRPr="0088168D">
        <w:t>е</w:t>
      </w:r>
      <w:r w:rsidRPr="0088168D">
        <w:t>ловека женщин и ликвидации дискриминации по признаку пола в своих сист</w:t>
      </w:r>
      <w:r w:rsidRPr="0088168D">
        <w:t>е</w:t>
      </w:r>
      <w:r w:rsidRPr="0088168D">
        <w:t>мах, структурах, политике, программах, процессах и процедурах. Учет генде</w:t>
      </w:r>
      <w:r w:rsidRPr="0088168D">
        <w:t>р</w:t>
      </w:r>
      <w:r w:rsidRPr="0088168D">
        <w:t>ной проблематики включает введение гендерного аспекта в политику, планы и программы правительства, создание и укрепление координационных центров ГИР в целях активизации процесса, а также создания и ведения базы данных ГИР для использования в планировании, разработке программ и политики.</w:t>
      </w:r>
    </w:p>
    <w:p w:rsidR="002665C4" w:rsidRPr="0088168D" w:rsidRDefault="002665C4" w:rsidP="00FB6A78">
      <w:pPr>
        <w:pStyle w:val="SingleTxt"/>
      </w:pPr>
      <w:r w:rsidRPr="0088168D">
        <w:t>33.</w:t>
      </w:r>
      <w:r w:rsidRPr="0088168D">
        <w:tab/>
        <w:t>В соответствии с этим мандатом гендерный аспект включен в национал</w:t>
      </w:r>
      <w:r w:rsidRPr="0088168D">
        <w:t>ь</w:t>
      </w:r>
      <w:r w:rsidRPr="0088168D">
        <w:t>ные, секторальные и местные планы развития, такие как План развития Ф</w:t>
      </w:r>
      <w:r w:rsidRPr="0088168D">
        <w:t>и</w:t>
      </w:r>
      <w:r w:rsidRPr="0088168D">
        <w:t>липпин на 2011–2016 годы, и в планы по конкретным секторам, такие как: a) Национальный план действий Филиппин по вопросам положения женщин, мира и безопасности (НПДЖМБ на 2010–2016 годы); b) Филиппинский план по вопросам труда и занятости (ФПТЗ на 2011–2016 годы); c) План развития микро-, малых и средних предприятий (План РММСП на 2011–2016 годы); d) План снижения опасности стихийных бедствий; e) Филиппинский план ра</w:t>
      </w:r>
      <w:r w:rsidRPr="0088168D">
        <w:t>з</w:t>
      </w:r>
      <w:r w:rsidRPr="0088168D">
        <w:t>вития статистики; e) Второй филиппинский план действий в области прав ч</w:t>
      </w:r>
      <w:r w:rsidRPr="0088168D">
        <w:t>е</w:t>
      </w:r>
      <w:r w:rsidRPr="0088168D">
        <w:t>ловека. НПДЖМБ</w:t>
      </w:r>
      <w:r w:rsidRPr="0088168D" w:rsidDel="00D956E0">
        <w:t xml:space="preserve"> </w:t>
      </w:r>
      <w:r w:rsidRPr="0088168D">
        <w:t>выполняет резолюции 1325 и 1820 Совета Безопасности ООН, которые возлагают на государства и отдельных лиц ответственность за обеспечение полного участия женщин в урегулировании конфликтов и в пос</w:t>
      </w:r>
      <w:r w:rsidRPr="0088168D">
        <w:t>т</w:t>
      </w:r>
      <w:r w:rsidRPr="0088168D">
        <w:t>конфликтных ситуациях и за признание, поддержание и расширение роли женщин в процессах миростроительства. В рамках ФПТЗ изучаются гендерные различия в составе рабочей силы, План РММСП направлен на создание дел</w:t>
      </w:r>
      <w:r w:rsidRPr="0088168D">
        <w:t>о</w:t>
      </w:r>
      <w:r w:rsidRPr="0088168D">
        <w:t>вой среды для женщин-предпринимателей, учитывающей гендерный аспект. Для местных органов власти ФКЖ подготовила руководство и пособие (</w:t>
      </w:r>
      <w:r w:rsidR="00FB6A78" w:rsidRPr="00FB6A78">
        <w:t>“</w:t>
      </w:r>
      <w:r w:rsidRPr="0088168D">
        <w:t>GeRL Ka Ba?</w:t>
      </w:r>
      <w:r w:rsidR="00FB6A78" w:rsidRPr="00FB6A78">
        <w:t>”</w:t>
      </w:r>
      <w:r w:rsidRPr="0088168D">
        <w:t>) для разработки местных планов развития с учетом гендерных факт</w:t>
      </w:r>
      <w:r w:rsidRPr="0088168D">
        <w:t>о</w:t>
      </w:r>
      <w:r w:rsidRPr="0088168D">
        <w:t>ров, а также руководство по разработке местных кодексов ГИР.</w:t>
      </w:r>
    </w:p>
    <w:p w:rsidR="002665C4" w:rsidRPr="0088168D" w:rsidRDefault="002665C4" w:rsidP="00FB6A78">
      <w:pPr>
        <w:pStyle w:val="SingleTxt"/>
      </w:pPr>
      <w:r w:rsidRPr="0088168D">
        <w:t>34.</w:t>
      </w:r>
      <w:r w:rsidRPr="0088168D">
        <w:tab/>
        <w:t>Подобным образом Нормы и правила для практической реализации (НПР) Закона об ответственном отношении к родительским обязанностям и репр</w:t>
      </w:r>
      <w:r w:rsidRPr="0088168D">
        <w:t>о</w:t>
      </w:r>
      <w:r w:rsidRPr="0088168D">
        <w:t>дуктивном здоровье (Закон ОРОРЗ) и Расширенный закон о борьбе с торговлей людьми также включают четкий гендерный аспект. В декабре 2008 года гос</w:t>
      </w:r>
      <w:r w:rsidRPr="0088168D">
        <w:t>у</w:t>
      </w:r>
      <w:r w:rsidRPr="0088168D">
        <w:t>дарство-участник издало Административное постановление № 249 в целях усиления государственной политики, планов и программ эффективного соде</w:t>
      </w:r>
      <w:r w:rsidRPr="0088168D">
        <w:t>й</w:t>
      </w:r>
      <w:r w:rsidRPr="0088168D">
        <w:t>ствия осуществлению и охране прав человека и направляет национальный м</w:t>
      </w:r>
      <w:r w:rsidRPr="0088168D">
        <w:t>е</w:t>
      </w:r>
      <w:r w:rsidRPr="0088168D">
        <w:t>ханизм по улучшению положения женщин на организацию информационной кампании с учетом гендерной проблематики в целях предоставления госуда</w:t>
      </w:r>
      <w:r w:rsidRPr="0088168D">
        <w:t>р</w:t>
      </w:r>
      <w:r w:rsidRPr="0088168D">
        <w:t>ственных услуг с учетом гендерного аспекта местными органами власти и др</w:t>
      </w:r>
      <w:r w:rsidRPr="0088168D">
        <w:t>у</w:t>
      </w:r>
      <w:r w:rsidRPr="0088168D">
        <w:t xml:space="preserve">гими ведущими учреждениями, участвующими в решении проблем насилия в отношении женщин. </w:t>
      </w:r>
    </w:p>
    <w:p w:rsidR="002665C4" w:rsidRPr="0088168D" w:rsidRDefault="002665C4" w:rsidP="00FB6A78">
      <w:pPr>
        <w:pStyle w:val="SingleTxt"/>
      </w:pPr>
      <w:r w:rsidRPr="0088168D">
        <w:t>35.</w:t>
      </w:r>
      <w:r w:rsidRPr="0088168D">
        <w:tab/>
        <w:t>Учет гендерного аспекта также внедрен в судебную систему. Государство-участник в лице Комитета Верховного суда по учету гендерного аспекта в с</w:t>
      </w:r>
      <w:r w:rsidRPr="0088168D">
        <w:t>у</w:t>
      </w:r>
      <w:r w:rsidRPr="0088168D">
        <w:t>дебной системе (КУГС), в партнерстве с Юридической академией Филиппин и Филиппинской ассоциацией судей, провело серию учебных программ в целях расширения доступа женщин к судам по семейным делам. Программу обуч</w:t>
      </w:r>
      <w:r w:rsidRPr="0088168D">
        <w:t>е</w:t>
      </w:r>
      <w:r w:rsidRPr="0088168D">
        <w:t>ния по юридическим правам женщин прошли судьи судов по семейным делам, секретари судов и переводчики, прокуроры, адвокаты и представители соо</w:t>
      </w:r>
      <w:r w:rsidRPr="0088168D">
        <w:t>т</w:t>
      </w:r>
      <w:r w:rsidRPr="0088168D">
        <w:t>ветствующих правительственных учреждений и организаций гражданского общества, занимающиеся делами детей и женщин. В Конгрессе Комитет Пал</w:t>
      </w:r>
      <w:r w:rsidRPr="0088168D">
        <w:t>а</w:t>
      </w:r>
      <w:r w:rsidRPr="0088168D">
        <w:t>ты по делам женщин и вопросам гендерного равенства и Комитет Сената по делам женщин, семейным отношениям и гендерному равенству занимаются разработкой и принятием законопроектов, связанных с гендерной проблемат</w:t>
      </w:r>
      <w:r w:rsidRPr="0088168D">
        <w:t>и</w:t>
      </w:r>
      <w:r w:rsidRPr="0088168D">
        <w:t xml:space="preserve">кой. </w:t>
      </w:r>
    </w:p>
    <w:p w:rsidR="002665C4" w:rsidRDefault="002665C4" w:rsidP="00FB6A78">
      <w:pPr>
        <w:pStyle w:val="SingleTxt"/>
      </w:pPr>
      <w:r w:rsidRPr="0088168D">
        <w:t>36.</w:t>
      </w:r>
      <w:r w:rsidRPr="0088168D">
        <w:tab/>
        <w:t xml:space="preserve">Инструмент собственной разработки для учета гендерного аспекта под названием </w:t>
      </w:r>
      <w:r w:rsidR="00FB6A78">
        <w:t>«</w:t>
      </w:r>
      <w:r w:rsidRPr="0088168D">
        <w:t>Согласованные руководящие принципы по гендерным вопросам и вопросам развития для разработки, осуществления, мониторинга и оценки проектов</w:t>
      </w:r>
      <w:r w:rsidR="00FB6A78">
        <w:t>»</w:t>
      </w:r>
      <w:r w:rsidRPr="0088168D">
        <w:t xml:space="preserve"> (СПГР) был разработан в целях обеспечения учета гендерной пр</w:t>
      </w:r>
      <w:r w:rsidRPr="0088168D">
        <w:t>о</w:t>
      </w:r>
      <w:r w:rsidRPr="0088168D">
        <w:t>блематики в программах, реализуемых при содействии ОПР, и осуществления ВХЖ и RA 7192 (Закон об участии женщин в строительстве нации). СПГР применяется для оценки интегрированности гендерной проблематики в гос</w:t>
      </w:r>
      <w:r w:rsidRPr="0088168D">
        <w:t>у</w:t>
      </w:r>
      <w:r w:rsidRPr="0088168D">
        <w:t>дарственные программы и правительством, и партнерами в области ОПР. В 2009 году по результатам мониторинга на осуществление программ и прое</w:t>
      </w:r>
      <w:r w:rsidRPr="0088168D">
        <w:t>к</w:t>
      </w:r>
      <w:r w:rsidRPr="0088168D">
        <w:t>тов, учитывающих гендерный аспект, или на решение гендерных проблем было направлено 37 процентов средств ОПР. В 2013 году на поддержку программ и проектов, учитывающих гендерную проблематику и гендерные факторы, было выделено 57 процентов средств ОПР.</w:t>
      </w:r>
    </w:p>
    <w:p w:rsidR="00FB6A78" w:rsidRPr="00FB6A78" w:rsidRDefault="00FB6A78" w:rsidP="00FB6A78">
      <w:pPr>
        <w:pStyle w:val="SingleTxt"/>
        <w:spacing w:after="0" w:line="120" w:lineRule="exact"/>
        <w:rPr>
          <w:sz w:val="10"/>
        </w:rPr>
      </w:pPr>
    </w:p>
    <w:p w:rsidR="002665C4" w:rsidRDefault="00FB6A78" w:rsidP="00FB6A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Мониторинг ФПРГА</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37.</w:t>
      </w:r>
      <w:r w:rsidRPr="0088168D">
        <w:tab/>
        <w:t>Филиппинский план развития с учетом гендерных аспектов (ФПРГА) п</w:t>
      </w:r>
      <w:r w:rsidRPr="0088168D">
        <w:t>о</w:t>
      </w:r>
      <w:r w:rsidRPr="0088168D">
        <w:t>лучил последовательное развитие в качестве справочного руководства для пр</w:t>
      </w:r>
      <w:r w:rsidRPr="0088168D">
        <w:t>а</w:t>
      </w:r>
      <w:r w:rsidRPr="0088168D">
        <w:t>вительственных учреждений и местных органов власти по разработке ими п</w:t>
      </w:r>
      <w:r w:rsidRPr="0088168D">
        <w:t>о</w:t>
      </w:r>
      <w:r w:rsidRPr="0088168D">
        <w:t>литики, планов и программ, в частности тех, которые они включают в свои г</w:t>
      </w:r>
      <w:r w:rsidRPr="0088168D">
        <w:t>о</w:t>
      </w:r>
      <w:r w:rsidRPr="0088168D">
        <w:t xml:space="preserve">довые планы и бюджеты по гендерной проблематике и вопросам развития (ГПБ). Два краткосрочных плана, которые также называются </w:t>
      </w:r>
      <w:r w:rsidR="00FB6A78">
        <w:t>«</w:t>
      </w:r>
      <w:r w:rsidRPr="0088168D">
        <w:t>входящими в с</w:t>
      </w:r>
      <w:r w:rsidRPr="0088168D">
        <w:t>о</w:t>
      </w:r>
      <w:r w:rsidRPr="0088168D">
        <w:t>став ФПРГА</w:t>
      </w:r>
      <w:r w:rsidR="00FB6A78">
        <w:t>»</w:t>
      </w:r>
      <w:r w:rsidRPr="0088168D">
        <w:t>,</w:t>
      </w:r>
      <w:r w:rsidR="00FB6A78">
        <w:t xml:space="preserve"> — </w:t>
      </w:r>
      <w:r w:rsidRPr="0088168D">
        <w:t>Рамочный план для женщин (на 2004–2010 годы) и План ПВРР женщин (на 2013–2016 годы)</w:t>
      </w:r>
      <w:r w:rsidR="00FB6A78">
        <w:t xml:space="preserve"> — </w:t>
      </w:r>
      <w:r w:rsidRPr="0088168D">
        <w:t>были разработаны в целях содействия его активации и ориентирования ФКЖ в ведении мониторинга его осущест</w:t>
      </w:r>
      <w:r w:rsidRPr="0088168D">
        <w:t>в</w:t>
      </w:r>
      <w:r w:rsidRPr="0088168D">
        <w:t>ления. План ПВРР женщин в настоящее время рекомендуется как ориентир для пр</w:t>
      </w:r>
      <w:r w:rsidRPr="0088168D">
        <w:t>а</w:t>
      </w:r>
      <w:r w:rsidRPr="0088168D">
        <w:t xml:space="preserve">вительственных учреждений в составлении годовых планов и бюджетов по ГИР. </w:t>
      </w:r>
    </w:p>
    <w:p w:rsidR="002665C4" w:rsidRPr="0088168D" w:rsidRDefault="002665C4" w:rsidP="00FB6A78">
      <w:pPr>
        <w:pStyle w:val="SingleTxt"/>
      </w:pPr>
      <w:r w:rsidRPr="0088168D">
        <w:t>38.</w:t>
      </w:r>
      <w:r w:rsidRPr="0088168D">
        <w:tab/>
        <w:t xml:space="preserve">Оценка осуществления ФПРГА была заказана в 2009 году при содействии Структуры </w:t>
      </w:r>
      <w:r w:rsidR="00FB6A78">
        <w:t>«</w:t>
      </w:r>
      <w:r w:rsidRPr="0088168D">
        <w:t>ООН-женщины</w:t>
      </w:r>
      <w:r w:rsidR="00FB6A78">
        <w:t>»</w:t>
      </w:r>
      <w:r w:rsidRPr="0088168D">
        <w:t>. Оценка проводилась в целях 1) определения, служит ли ФПРГА эффективным инструментом для решения проблемы обе</w:t>
      </w:r>
      <w:r w:rsidRPr="0088168D">
        <w:t>с</w:t>
      </w:r>
      <w:r w:rsidRPr="0088168D">
        <w:t>покоенности женщин по поводу равенства и развития в шести основных сф</w:t>
      </w:r>
      <w:r w:rsidRPr="0088168D">
        <w:t>е</w:t>
      </w:r>
      <w:r w:rsidRPr="0088168D">
        <w:t>рах: личной, семейной, общественно-культурной, экономической, политич</w:t>
      </w:r>
      <w:r w:rsidRPr="0088168D">
        <w:t>е</w:t>
      </w:r>
      <w:r w:rsidRPr="0088168D">
        <w:t>ской и правовой; 2) измерения степени достижения трех основных целей Пл</w:t>
      </w:r>
      <w:r w:rsidRPr="0088168D">
        <w:t>а</w:t>
      </w:r>
      <w:r w:rsidRPr="0088168D">
        <w:t>на, которые включают: a) создание механизмов/структур для разработки и осуществления политики и программ с учетом гендерного аспекта, b) особое внимание к женщинам, находящимся в особых обстоятельствах, и c) дальнейшее расширение самосознания, информационно-пропагандистской деятельности и позитивных мер; и 3) определения, способствовал ли ФПРГА выполнению международных обязательств страны, в частности Пекинской платформы действий (ППД) и КЛДЖ.</w:t>
      </w:r>
    </w:p>
    <w:p w:rsidR="002665C4" w:rsidRDefault="002665C4" w:rsidP="00FB6A78">
      <w:pPr>
        <w:pStyle w:val="SingleTxt"/>
      </w:pPr>
      <w:r w:rsidRPr="0088168D">
        <w:t>39.</w:t>
      </w:r>
      <w:r w:rsidRPr="0088168D">
        <w:tab/>
        <w:t>Выводы относительно указанных трех целей были обобщены следующим образом: 1) ФПРГА косвенно служил эффективным инструментом решения проблем женщин в отношении равенства и развития в плане достижения опр</w:t>
      </w:r>
      <w:r w:rsidRPr="0088168D">
        <w:t>е</w:t>
      </w:r>
      <w:r w:rsidRPr="0088168D">
        <w:t>деленных результатов в шести областях ключевых результатов (ОКР); 2) усилены механизмы разработки и осуществления политики и программ с учетом гендерных факторов, такие как межучрежденческие органы и орган</w:t>
      </w:r>
      <w:r w:rsidRPr="0088168D">
        <w:t>и</w:t>
      </w:r>
      <w:r w:rsidRPr="0088168D">
        <w:t>зации гражданского общества, совместно осуществляющие информационно-пропагандистскую деятельность по гендерной проблематике; реализованы м</w:t>
      </w:r>
      <w:r w:rsidRPr="0088168D">
        <w:t>е</w:t>
      </w:r>
      <w:r w:rsidRPr="0088168D">
        <w:t>ры по укреплению потенциала; введены в действие политические меры; ФКЖ продолжает играть решающую роль в координации и согласовании госуда</w:t>
      </w:r>
      <w:r w:rsidRPr="0088168D">
        <w:t>р</w:t>
      </w:r>
      <w:r w:rsidRPr="0088168D">
        <w:t>ственных мер, предоставлении технической помощи и разработке инструме</w:t>
      </w:r>
      <w:r w:rsidRPr="0088168D">
        <w:t>н</w:t>
      </w:r>
      <w:r w:rsidRPr="0088168D">
        <w:t xml:space="preserve">тов для проведения анализа, мониторинга и оценки. В докладе утверждается, что </w:t>
      </w:r>
      <w:r w:rsidR="00FB6A78">
        <w:t>«</w:t>
      </w:r>
      <w:r w:rsidRPr="0088168D">
        <w:t>ключевые составляющие достижения основных целевых показателей ФПРГА в течение последних пятнадцати лет носят двоякий характер: общее видение и эффективные партнерские связи между всеми заинтересованными сторонами, которые обеспечили желаемые показатели и результаты, спосо</w:t>
      </w:r>
      <w:r w:rsidRPr="0088168D">
        <w:t>б</w:t>
      </w:r>
      <w:r w:rsidRPr="0088168D">
        <w:t>ствовавшие достижению целей ФПРГА</w:t>
      </w:r>
      <w:r w:rsidR="00FB6A78">
        <w:t>»</w:t>
      </w:r>
      <w:r w:rsidRPr="0088168D">
        <w:t>; 3) осуществление ФПРГА в целом содействовало достижению обязательств страны по КЛДЖ и ППД.</w:t>
      </w:r>
    </w:p>
    <w:p w:rsidR="00FB6A78" w:rsidRPr="00FB6A78" w:rsidRDefault="00FB6A78" w:rsidP="00FB6A78">
      <w:pPr>
        <w:pStyle w:val="SingleTxt"/>
        <w:spacing w:after="0" w:line="120" w:lineRule="exact"/>
        <w:rPr>
          <w:sz w:val="10"/>
        </w:rPr>
      </w:pPr>
    </w:p>
    <w:p w:rsidR="002665C4" w:rsidRDefault="00FB6A78" w:rsidP="00FB6A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 xml:space="preserve">Укрепление партнерств и механизмов </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40.</w:t>
      </w:r>
      <w:r w:rsidRPr="0088168D">
        <w:tab/>
        <w:t>В целях решения проблемы ограниченности ресурсов, в частности нац</w:t>
      </w:r>
      <w:r w:rsidRPr="0088168D">
        <w:t>и</w:t>
      </w:r>
      <w:r w:rsidRPr="0088168D">
        <w:t>ональными учреждениями по улучшению положения женщин, постоянно укрепляются механизмы оказания поддержки в содействии достижению раве</w:t>
      </w:r>
      <w:r w:rsidRPr="0088168D">
        <w:t>н</w:t>
      </w:r>
      <w:r w:rsidRPr="0088168D">
        <w:t>ства прав женщин и мужчин. Одним из таких механизмов является система к</w:t>
      </w:r>
      <w:r w:rsidRPr="0088168D">
        <w:t>о</w:t>
      </w:r>
      <w:r w:rsidRPr="0088168D">
        <w:t>ординационных центров по гендерным вопросам и вопросам развития (ЦГР); во многих правительственных учреждениях и местных органах власти теперь существуют подразделения, в функции которых входит руководство и монит</w:t>
      </w:r>
      <w:r w:rsidRPr="0088168D">
        <w:t>о</w:t>
      </w:r>
      <w:r w:rsidRPr="0088168D">
        <w:t xml:space="preserve">ринг учета гендерного аспекта в этих учреждениях. Согласно определению в Нормах и правилах для практической реализации Закона RA 7192, или Закона об участии женщин в развитии и укреплении государства, координационные центры ГИР </w:t>
      </w:r>
      <w:r w:rsidR="00FB6A78">
        <w:t>«</w:t>
      </w:r>
      <w:r w:rsidRPr="0088168D">
        <w:t>служат катализаторами планирования/программ с учетом ге</w:t>
      </w:r>
      <w:r w:rsidRPr="0088168D">
        <w:t>н</w:t>
      </w:r>
      <w:r w:rsidRPr="0088168D">
        <w:t>дерного аспекта в своих учреждениях. Они обеспечивают надлежащее прим</w:t>
      </w:r>
      <w:r w:rsidRPr="0088168D">
        <w:t>е</w:t>
      </w:r>
      <w:r w:rsidRPr="0088168D">
        <w:t>нение и пересмотр распространяемых руководящих принципов в соответствии с новыми изменениями. Они обеспечивают проведение соответствующими с</w:t>
      </w:r>
      <w:r w:rsidRPr="0088168D">
        <w:t>о</w:t>
      </w:r>
      <w:r w:rsidRPr="0088168D">
        <w:t>трудниками/подразделениями периодической оценки политики, пр</w:t>
      </w:r>
      <w:r w:rsidRPr="0088168D">
        <w:t>о</w:t>
      </w:r>
      <w:r w:rsidRPr="0088168D">
        <w:t>грамм/проектов, процедур и циркуляров, которые считаются дискриминацио</w:t>
      </w:r>
      <w:r w:rsidRPr="0088168D">
        <w:t>н</w:t>
      </w:r>
      <w:r w:rsidRPr="0088168D">
        <w:t>ными в отношении гендерных проблем</w:t>
      </w:r>
      <w:r w:rsidR="00FB6A78">
        <w:t>»</w:t>
      </w:r>
      <w:r w:rsidRPr="0088168D">
        <w:t>.</w:t>
      </w:r>
    </w:p>
    <w:p w:rsidR="002665C4" w:rsidRPr="0088168D" w:rsidRDefault="002665C4" w:rsidP="00FB6A78">
      <w:pPr>
        <w:pStyle w:val="SingleTxt"/>
      </w:pPr>
      <w:r w:rsidRPr="0088168D">
        <w:t>41.</w:t>
      </w:r>
      <w:r w:rsidRPr="0088168D">
        <w:tab/>
        <w:t>По состоянию на 2008 год в национальных правительственных учрежд</w:t>
      </w:r>
      <w:r w:rsidRPr="0088168D">
        <w:t>е</w:t>
      </w:r>
      <w:r w:rsidRPr="0088168D">
        <w:t>ниях, их подведомственных учреждениях, государственных университетах и колледжах, в государственных и контролируемых государством корпорациях было создано 189 координационных центров ГИР. В 2010 году действующие координационные центры ГИР существовали в целом в 44 провинциях, 59 г</w:t>
      </w:r>
      <w:r w:rsidRPr="0088168D">
        <w:t>о</w:t>
      </w:r>
      <w:r w:rsidRPr="0088168D">
        <w:t>родах и 811 муниципалитетах. В</w:t>
      </w:r>
      <w:r>
        <w:t> </w:t>
      </w:r>
      <w:r w:rsidRPr="0088168D">
        <w:t>2011</w:t>
      </w:r>
      <w:r>
        <w:t> </w:t>
      </w:r>
      <w:r w:rsidRPr="0088168D">
        <w:t>году была принята расширенная полит</w:t>
      </w:r>
      <w:r w:rsidRPr="0088168D">
        <w:t>и</w:t>
      </w:r>
      <w:r w:rsidRPr="0088168D">
        <w:t>ка создания и укрепления координационных центров ГИР и начато обследов</w:t>
      </w:r>
      <w:r w:rsidRPr="0088168D">
        <w:t>а</w:t>
      </w:r>
      <w:r w:rsidRPr="0088168D">
        <w:t>ние ЦГР в соответствии с пересмотренными руководящими принципами. Пр</w:t>
      </w:r>
      <w:r w:rsidRPr="0088168D">
        <w:t>о</w:t>
      </w:r>
      <w:r w:rsidRPr="0088168D">
        <w:t xml:space="preserve">водились также совещания координационных центров ГИР для ознакомления их сотрудников с последней информацией о новых руководящих принципах и согласования мер по улучшению выполнения ими своих функций. </w:t>
      </w:r>
    </w:p>
    <w:p w:rsidR="002665C4" w:rsidRPr="0088168D" w:rsidRDefault="002665C4" w:rsidP="00FB6A78">
      <w:pPr>
        <w:pStyle w:val="SingleTxt"/>
      </w:pPr>
      <w:r w:rsidRPr="0088168D">
        <w:t>42.</w:t>
      </w:r>
      <w:r w:rsidRPr="0088168D">
        <w:tab/>
        <w:t>Государство-участник признает наличие трудностей, с которыми сталк</w:t>
      </w:r>
      <w:r w:rsidRPr="0088168D">
        <w:t>и</w:t>
      </w:r>
      <w:r w:rsidRPr="0088168D">
        <w:t>ваются координационные центры ГИР в работе по учету гендерного аспекта, таких как необходимость повышения их компетентности в области гендерной проблематики, потребность в более активной поддержке их работы на высшем уровне и большая текучесть кадров или передача обязанностей сотрудников систем координационных центров ГИР, которые прошли учебную подготовку, но не могут передать свои навыки новым сотрудникам, что ослабляет прее</w:t>
      </w:r>
      <w:r w:rsidRPr="0088168D">
        <w:t>м</w:t>
      </w:r>
      <w:r w:rsidRPr="0088168D">
        <w:t>ственность или устойчивость работы в области ГИР и создает постоянную п</w:t>
      </w:r>
      <w:r w:rsidRPr="0088168D">
        <w:t>о</w:t>
      </w:r>
      <w:r w:rsidRPr="0088168D">
        <w:t>требность в обучении новых сотрудников основным навыкам работы в области ГИР. В связи с этим государство-участник планирует и осуществляет програ</w:t>
      </w:r>
      <w:r w:rsidRPr="0088168D">
        <w:t>м</w:t>
      </w:r>
      <w:r w:rsidRPr="0088168D">
        <w:t>мы укрепления потенциала в целях повышения квалификации и влияния с</w:t>
      </w:r>
      <w:r w:rsidRPr="0088168D">
        <w:t>о</w:t>
      </w:r>
      <w:r w:rsidRPr="0088168D">
        <w:t>трудников в рамках их организации.</w:t>
      </w:r>
    </w:p>
    <w:p w:rsidR="002665C4" w:rsidRPr="0088168D" w:rsidRDefault="002665C4" w:rsidP="00FB6A78">
      <w:pPr>
        <w:pStyle w:val="SingleTxt"/>
      </w:pPr>
      <w:r w:rsidRPr="0088168D">
        <w:t>43.</w:t>
      </w:r>
      <w:r w:rsidRPr="0088168D">
        <w:tab/>
        <w:t>Учет гендерного аспекта внедрен в различные межведомственные ком</w:t>
      </w:r>
      <w:r w:rsidRPr="0088168D">
        <w:t>и</w:t>
      </w:r>
      <w:r w:rsidRPr="0088168D">
        <w:t>теты в целях усиления учета гендерной проблематики в политике и планах, к</w:t>
      </w:r>
      <w:r w:rsidRPr="0088168D">
        <w:t>о</w:t>
      </w:r>
      <w:r w:rsidRPr="0088168D">
        <w:t>торые рассматриваются и утверждаются такими комитетами. Примерами могут служить группы при кабинете министров по развитию людских ресурсов и с</w:t>
      </w:r>
      <w:r w:rsidRPr="0088168D">
        <w:t>о</w:t>
      </w:r>
      <w:r w:rsidRPr="0088168D">
        <w:t>кращению масштабов нищеты (РЛРСН), Межучрежденческий совет по вопр</w:t>
      </w:r>
      <w:r w:rsidRPr="0088168D">
        <w:t>о</w:t>
      </w:r>
      <w:r w:rsidRPr="0088168D">
        <w:t>сам насилия в отношении женщин и их детей (МСНОЖД), Межучрежденч</w:t>
      </w:r>
      <w:r w:rsidRPr="0088168D">
        <w:t>е</w:t>
      </w:r>
      <w:r w:rsidRPr="0088168D">
        <w:t>ский совет по борьбе с торговлей людьми (МСБТЛ), Комитет по социальному развитию (КСР) НУЭР и ряд других национальных межучрежденческих ком</w:t>
      </w:r>
      <w:r w:rsidRPr="0088168D">
        <w:t>и</w:t>
      </w:r>
      <w:r w:rsidRPr="0088168D">
        <w:t>тетов и руководящих комитетов по проектам. (</w:t>
      </w:r>
      <w:r w:rsidRPr="0088168D">
        <w:rPr>
          <w:i/>
        </w:rPr>
        <w:t>Просьба дать ссылку на прил</w:t>
      </w:r>
      <w:r w:rsidRPr="0088168D">
        <w:rPr>
          <w:i/>
        </w:rPr>
        <w:t>о</w:t>
      </w:r>
      <w:r w:rsidRPr="0088168D">
        <w:rPr>
          <w:i/>
        </w:rPr>
        <w:t>жение 1. Список членов межучрежденческих комитетов ФКЖ.</w:t>
      </w:r>
      <w:r w:rsidRPr="0088168D">
        <w:t>)</w:t>
      </w:r>
    </w:p>
    <w:p w:rsidR="002665C4" w:rsidRPr="0088168D" w:rsidRDefault="002665C4" w:rsidP="00FB6A78">
      <w:pPr>
        <w:pStyle w:val="SingleTxt"/>
      </w:pPr>
      <w:r w:rsidRPr="0088168D">
        <w:t>44.</w:t>
      </w:r>
      <w:r w:rsidRPr="0088168D">
        <w:tab/>
        <w:t>Статистическое сообщество служит еще одним источником активной поддержки в деле учета гендерного аспекта, поскольку оно уделяет особое внимание данным в разбивке по полу, необходимым для гендерного анализа. Межучрежденческий комитет по гендерной статистике (МКГС) руководит ус</w:t>
      </w:r>
      <w:r w:rsidRPr="0088168D">
        <w:t>о</w:t>
      </w:r>
      <w:r w:rsidRPr="0088168D">
        <w:t>вершенствованиями в гендерной статистике в стране и ведет мониторинг ос</w:t>
      </w:r>
      <w:r w:rsidRPr="0088168D">
        <w:t>у</w:t>
      </w:r>
      <w:r w:rsidRPr="0088168D">
        <w:t>ществления планов действий по развитию статистики по ГИР в целях ликв</w:t>
      </w:r>
      <w:r w:rsidRPr="0088168D">
        <w:t>и</w:t>
      </w:r>
      <w:r w:rsidRPr="0088168D">
        <w:t>дации пробелов в данных по ключевым показателям Филиппин, касающимся ГИР (на основе ППД), и обеспечения доступности данных и статистики, нео</w:t>
      </w:r>
      <w:r w:rsidRPr="0088168D">
        <w:t>б</w:t>
      </w:r>
      <w:r w:rsidRPr="0088168D">
        <w:t>ходимых для мониторинга прогресса в положении филиппинских женщин. В 2008 году была разработана методология измерения Индекса развития с учетом гендерного фактора (ИРГФ) на местном уровне. На основе этой методологии был составлен ИРГФ местных органов власти.</w:t>
      </w:r>
    </w:p>
    <w:p w:rsidR="002665C4" w:rsidRPr="0088168D" w:rsidRDefault="002665C4" w:rsidP="00FB6A78">
      <w:pPr>
        <w:pStyle w:val="SingleTxt"/>
      </w:pPr>
      <w:r w:rsidRPr="0088168D">
        <w:t>45.</w:t>
      </w:r>
      <w:r w:rsidRPr="0088168D">
        <w:tab/>
        <w:t>Статистическая система государства-участника в настоящее время пр</w:t>
      </w:r>
      <w:r w:rsidRPr="0088168D">
        <w:t>е</w:t>
      </w:r>
      <w:r w:rsidRPr="0088168D">
        <w:t>терпевает реорганизацию в соответствии с новым законом</w:t>
      </w:r>
      <w:r w:rsidR="00FB6A78">
        <w:t xml:space="preserve"> — </w:t>
      </w:r>
      <w:r w:rsidRPr="0088168D">
        <w:t>RA 10625, или Статистическим законом Филиппин 2013 года, объединившим основные стат</w:t>
      </w:r>
      <w:r w:rsidRPr="0088168D">
        <w:t>и</w:t>
      </w:r>
      <w:r w:rsidRPr="0088168D">
        <w:t>стические учреждения в области сбора первичных данных и составления вт</w:t>
      </w:r>
      <w:r w:rsidRPr="0088168D">
        <w:t>о</w:t>
      </w:r>
      <w:r w:rsidRPr="0088168D">
        <w:t>ричных данных в новое учреждение под названием Филиппинское статистич</w:t>
      </w:r>
      <w:r w:rsidRPr="0088168D">
        <w:t>е</w:t>
      </w:r>
      <w:r w:rsidRPr="0088168D">
        <w:t>ское управление и определившим его как подведомственное учреждение НУЭР вместе с Филиппинским институтом статистических исследований и знаний. МКГС является одним из 13 первоначально определенных межучрежденческих комитетов по статистике. Перед такими комитетами поставлена задача коорд</w:t>
      </w:r>
      <w:r w:rsidRPr="0088168D">
        <w:t>и</w:t>
      </w:r>
      <w:r w:rsidRPr="0088168D">
        <w:t>нации и разрешения ведомственных и секторальных проблем в области стат</w:t>
      </w:r>
      <w:r w:rsidRPr="0088168D">
        <w:t>и</w:t>
      </w:r>
      <w:r w:rsidRPr="0088168D">
        <w:t>стики, они также служат платформой для обсуждения вопросов, поднятых с</w:t>
      </w:r>
      <w:r w:rsidRPr="0088168D">
        <w:t>о</w:t>
      </w:r>
      <w:r w:rsidRPr="0088168D">
        <w:t>ответствующими поставщиками, пользователями и другими заинтересованн</w:t>
      </w:r>
      <w:r w:rsidRPr="0088168D">
        <w:t>ы</w:t>
      </w:r>
      <w:r w:rsidRPr="0088168D">
        <w:t>ми сторонами в области статистики конкретных секторов и учреждений.</w:t>
      </w:r>
    </w:p>
    <w:p w:rsidR="002665C4" w:rsidRPr="0088168D" w:rsidRDefault="002665C4" w:rsidP="00FB6A78">
      <w:pPr>
        <w:pStyle w:val="SingleTxt"/>
      </w:pPr>
      <w:r w:rsidRPr="0088168D">
        <w:t>46.</w:t>
      </w:r>
      <w:r w:rsidRPr="0088168D">
        <w:tab/>
        <w:t>Еще одним партнером в содействии гендерному равенству является нац</w:t>
      </w:r>
      <w:r w:rsidRPr="0088168D">
        <w:t>и</w:t>
      </w:r>
      <w:r w:rsidRPr="0088168D">
        <w:t>ональный институт государства-участника в области прав человека</w:t>
      </w:r>
      <w:r w:rsidR="00FB6A78">
        <w:t xml:space="preserve"> — </w:t>
      </w:r>
      <w:r w:rsidRPr="0088168D">
        <w:t>Фили</w:t>
      </w:r>
      <w:r w:rsidRPr="0088168D">
        <w:t>п</w:t>
      </w:r>
      <w:r w:rsidRPr="0088168D">
        <w:t>пинская комиссия по правам человека (ФКПЧ), на которую возложены фун</w:t>
      </w:r>
      <w:r w:rsidRPr="0088168D">
        <w:t>к</w:t>
      </w:r>
      <w:r w:rsidRPr="0088168D">
        <w:t>ции уполномоченного по гендерным вопросам и вопросам развития (уполн</w:t>
      </w:r>
      <w:r w:rsidRPr="0088168D">
        <w:t>о</w:t>
      </w:r>
      <w:r w:rsidRPr="0088168D">
        <w:t>моченный по гендерным вопросам) в соответствии с ВХЖ. Задача ФКПЧ с</w:t>
      </w:r>
      <w:r w:rsidRPr="0088168D">
        <w:t>о</w:t>
      </w:r>
      <w:r w:rsidRPr="0088168D">
        <w:t>стоит в разработке и осуществлении программ и мероприятий, связанных с с</w:t>
      </w:r>
      <w:r w:rsidRPr="0088168D">
        <w:t>о</w:t>
      </w:r>
      <w:r w:rsidRPr="0088168D">
        <w:t>действием обеспечению и защитой прав человека женщин, включая рассмо</w:t>
      </w:r>
      <w:r w:rsidRPr="0088168D">
        <w:t>т</w:t>
      </w:r>
      <w:r w:rsidRPr="0088168D">
        <w:t>рение жалоб по поводу дискриминации и нарушения их прав. Она должна та</w:t>
      </w:r>
      <w:r w:rsidRPr="0088168D">
        <w:t>к</w:t>
      </w:r>
      <w:r w:rsidRPr="0088168D">
        <w:t>же устанавливать руководящие принципы и механизмы в целях облегчения д</w:t>
      </w:r>
      <w:r w:rsidRPr="0088168D">
        <w:t>о</w:t>
      </w:r>
      <w:r w:rsidRPr="0088168D">
        <w:t>ступа женщин к средствам правовой защиты и усиливать защиту и содействие осуществлению прав женщин, особенно маргинализованных; оказывать п</w:t>
      </w:r>
      <w:r w:rsidRPr="0088168D">
        <w:t>о</w:t>
      </w:r>
      <w:r w:rsidRPr="0088168D">
        <w:t>мощь в возбуждении дел против отдельных лиц, учреждений, институтов или организаций, нарушающих соответствующие нормы; рекомендовать президе</w:t>
      </w:r>
      <w:r w:rsidRPr="0088168D">
        <w:t>н</w:t>
      </w:r>
      <w:r w:rsidRPr="0088168D">
        <w:t>ту Филиппин или Комиссии по гражданской службе (КГС) любые возможные административные меры в связи с несоблюдением или невыполнением пол</w:t>
      </w:r>
      <w:r w:rsidRPr="0088168D">
        <w:t>о</w:t>
      </w:r>
      <w:r w:rsidRPr="0088168D">
        <w:t xml:space="preserve">жений ВХЖ. </w:t>
      </w:r>
    </w:p>
    <w:p w:rsidR="002665C4" w:rsidRDefault="00FB6A78" w:rsidP="00FB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 повышении осведомленности населения о НОЖ</w:t>
      </w:r>
    </w:p>
    <w:p w:rsidR="00FB6A78" w:rsidRPr="00FB6A78" w:rsidRDefault="00FB6A78" w:rsidP="00FB6A78">
      <w:pPr>
        <w:pStyle w:val="SingleTxt"/>
        <w:spacing w:after="0" w:line="120" w:lineRule="exact"/>
        <w:rPr>
          <w:sz w:val="10"/>
        </w:rPr>
      </w:pPr>
    </w:p>
    <w:p w:rsidR="002665C4" w:rsidRPr="0088168D" w:rsidRDefault="002665C4" w:rsidP="00FB6A78">
      <w:pPr>
        <w:pStyle w:val="SingleTxt"/>
      </w:pPr>
      <w:r w:rsidRPr="0088168D">
        <w:t>47.</w:t>
      </w:r>
      <w:r w:rsidRPr="0088168D">
        <w:tab/>
        <w:t>В 2006 году Декларация президента № 1172 объявила период с 25 ноября до 12 декабря 18-дневной Кампанией за ликвидацию НОЖ. Ежегодно госуда</w:t>
      </w:r>
      <w:r w:rsidRPr="0088168D">
        <w:t>р</w:t>
      </w:r>
      <w:r w:rsidRPr="0088168D">
        <w:t>ство-участник организует и проводит 18-дневную Кампанию по повышению осведомленности населения о НОЖ и поддержке осуществления законов, к</w:t>
      </w:r>
      <w:r w:rsidRPr="0088168D">
        <w:t>а</w:t>
      </w:r>
      <w:r w:rsidRPr="0088168D">
        <w:t>сающихся НОЖ и КЛДЖ. В 2013 году был принят новый закон, объявляющий 25 ноября каждого года Национальным днем борьбы с насилием в отношении женщин и детей, который объединяет важные даты, такие как 25 ноября (Ме</w:t>
      </w:r>
      <w:r w:rsidRPr="0088168D">
        <w:t>ж</w:t>
      </w:r>
      <w:r w:rsidRPr="0088168D">
        <w:t xml:space="preserve">дународный день борьбы за ликвидацию НОЖ), 1 декабря (Всемирный день борьбы со СПИДом), 10 декабря (Международный день прав человека) и 12 декабря (День борьбы с торговлей людьми). </w:t>
      </w:r>
    </w:p>
    <w:p w:rsidR="002665C4" w:rsidRPr="0088168D" w:rsidRDefault="002665C4" w:rsidP="00FB6A78">
      <w:pPr>
        <w:pStyle w:val="SingleTxt"/>
      </w:pPr>
      <w:r w:rsidRPr="0088168D">
        <w:t>48.</w:t>
      </w:r>
      <w:r w:rsidRPr="0088168D">
        <w:tab/>
        <w:t>С 2004 года уделяется внимание популяризации различных законов, направленных против НОЖ, расширению их применения на национальном и местном уровнях, а также созданию сети мужчин, выступающих против НОЖ, в рамках всемирной кампании за ликвидацию НОЖ. В 2008–2009 годах камп</w:t>
      </w:r>
      <w:r w:rsidRPr="0088168D">
        <w:t>а</w:t>
      </w:r>
      <w:r w:rsidRPr="0088168D">
        <w:t>ния концентрировалась на усиленной пропаганде предоставления местными органами власти всеобъемлющих услуг жертвам НОЖ с учетом гендерного а</w:t>
      </w:r>
      <w:r w:rsidRPr="0088168D">
        <w:t>с</w:t>
      </w:r>
      <w:r w:rsidRPr="0088168D">
        <w:t xml:space="preserve">пекта. Одним из мероприятий такого рода был </w:t>
      </w:r>
      <w:r w:rsidR="00FB6A78">
        <w:t>«</w:t>
      </w:r>
      <w:r w:rsidRPr="0088168D">
        <w:t>Поиск выдающихся местных органов власти, реагирующих на НОЖ</w:t>
      </w:r>
      <w:r w:rsidR="00FB6A78">
        <w:t>»</w:t>
      </w:r>
      <w:r w:rsidRPr="0088168D">
        <w:t>, который позволил конкурирующим местным органам власти четко изучить свою политику, программы и услуги в отношении НОЖ и определить пути их совершенствования, улучшений в р</w:t>
      </w:r>
      <w:r w:rsidRPr="0088168D">
        <w:t>е</w:t>
      </w:r>
      <w:r w:rsidRPr="0088168D">
        <w:t>шении проблем НОЖ в своей местности.</w:t>
      </w:r>
    </w:p>
    <w:p w:rsidR="002665C4" w:rsidRDefault="002665C4" w:rsidP="007E5D5A">
      <w:pPr>
        <w:pStyle w:val="SingleTxt"/>
      </w:pPr>
      <w:r w:rsidRPr="0088168D">
        <w:t>49.</w:t>
      </w:r>
      <w:r w:rsidRPr="0088168D">
        <w:tab/>
        <w:t>Новые формы насилия в отношении женщин, такие как киберпорногр</w:t>
      </w:r>
      <w:r w:rsidRPr="0088168D">
        <w:t>а</w:t>
      </w:r>
      <w:r w:rsidRPr="0088168D">
        <w:t>фия (электронная, связанная с ИКТ, или Э-НОЖ), насилие в условиях воор</w:t>
      </w:r>
      <w:r w:rsidRPr="0088168D">
        <w:t>у</w:t>
      </w:r>
      <w:r w:rsidRPr="0088168D">
        <w:t>женного конфликта и во</w:t>
      </w:r>
      <w:r w:rsidRPr="007E5D5A">
        <w:t xml:space="preserve"> время стихийных бедствий и катастроф, а также в о</w:t>
      </w:r>
      <w:r w:rsidRPr="007E5D5A">
        <w:t>т</w:t>
      </w:r>
      <w:r w:rsidRPr="007E5D5A">
        <w:t>ношении лесбиянок, бисексуалов</w:t>
      </w:r>
      <w:r w:rsidRPr="0088168D">
        <w:t xml:space="preserve"> и транссексуалов (ЛБТ), теперь признаются и публично обсуждаются. </w:t>
      </w:r>
    </w:p>
    <w:p w:rsidR="00FB6A78" w:rsidRPr="00FB6A78" w:rsidRDefault="00FB6A78" w:rsidP="00FB6A78">
      <w:pPr>
        <w:pStyle w:val="SingleTxt"/>
        <w:spacing w:after="0" w:line="120" w:lineRule="exact"/>
        <w:rPr>
          <w:sz w:val="10"/>
        </w:rPr>
      </w:pPr>
    </w:p>
    <w:p w:rsidR="002665C4" w:rsidRDefault="00FB6A78" w:rsidP="00FB6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Мужчины</w:t>
      </w:r>
      <w:r>
        <w:t xml:space="preserve"> — </w:t>
      </w:r>
      <w:r w:rsidR="002665C4" w:rsidRPr="0088168D">
        <w:t>активисты борьбы с НОЖ (МПН)</w:t>
      </w:r>
    </w:p>
    <w:p w:rsidR="00FB6A78" w:rsidRPr="00FB6A78" w:rsidRDefault="00FB6A78" w:rsidP="00FB6A78">
      <w:pPr>
        <w:pStyle w:val="SingleTxt"/>
        <w:spacing w:after="0" w:line="120" w:lineRule="exact"/>
        <w:rPr>
          <w:sz w:val="10"/>
        </w:rPr>
      </w:pPr>
    </w:p>
    <w:p w:rsidR="002665C4" w:rsidRDefault="002665C4" w:rsidP="007E5D5A">
      <w:pPr>
        <w:pStyle w:val="SingleTxt"/>
      </w:pPr>
      <w:r w:rsidRPr="0088168D">
        <w:t>50.</w:t>
      </w:r>
      <w:r w:rsidRPr="0088168D">
        <w:tab/>
        <w:t>В 2006 году государство-участник в лице ФКЖ помогло в создании орг</w:t>
      </w:r>
      <w:r w:rsidRPr="0088168D">
        <w:t>а</w:t>
      </w:r>
      <w:r w:rsidRPr="0088168D">
        <w:t>низации "Мужчины против НОЖ повсеместно" (МПН) – организации мужчин, намеренных активно участвовать в ликвидации НОЖ. Ее члены обязуются в</w:t>
      </w:r>
      <w:r w:rsidRPr="0088168D">
        <w:t>ы</w:t>
      </w:r>
      <w:r w:rsidRPr="0088168D">
        <w:t>ступать против НОЖ, изучать, предлагать и разрабатывать варианты общего участия мужчин и мероприятия в целях ликвидации НОЖ; налаживать пар</w:t>
      </w:r>
      <w:r w:rsidRPr="0088168D">
        <w:t>т</w:t>
      </w:r>
      <w:r w:rsidRPr="0088168D">
        <w:t>нерские отношения и связи с аналогичными группами, занимающимися пр</w:t>
      </w:r>
      <w:r w:rsidRPr="0088168D">
        <w:t>о</w:t>
      </w:r>
      <w:r w:rsidRPr="0088168D">
        <w:t>блемами НОЖ, на местном и международном уровнях; организовывать и пр</w:t>
      </w:r>
      <w:r w:rsidRPr="0088168D">
        <w:t>о</w:t>
      </w:r>
      <w:r w:rsidRPr="0088168D">
        <w:t>водить исследования и форумы по признанию социальных последствий НОЖ в целях разработки политики и программ; создавать информационную сеть по вопросам НОЖ. За время существования МПН ее члены провели установочные курсы, лекции, информационно-пропагандистские мероприятия по проблеме НОЖ в правительственных учреждениях и местных органах власти, доходя до уровня деревень (барангаев), в частности, в ходе 18-дневной Кампании за ли</w:t>
      </w:r>
      <w:r w:rsidRPr="0088168D">
        <w:t>к</w:t>
      </w:r>
      <w:r w:rsidRPr="0088168D">
        <w:t>видацию НОЖ</w:t>
      </w:r>
      <w:r w:rsidRPr="0088168D" w:rsidDel="00A91C6B">
        <w:t xml:space="preserve"> </w:t>
      </w:r>
      <w:r w:rsidRPr="0088168D">
        <w:t>и празднования Месяца женщин. Они создали сети благодаря представительству на национальных и международных конференциях по в</w:t>
      </w:r>
      <w:r w:rsidRPr="0088168D">
        <w:t>о</w:t>
      </w:r>
      <w:r w:rsidRPr="0088168D">
        <w:t>просам НОЖ. По состоянию на февраль 2014 года организация МПН включала 29 отделений и филиалов в составе более 5 тыс. член</w:t>
      </w:r>
      <w:r w:rsidR="007E5D5A">
        <w:t>ов на всей территории Филиппин.</w:t>
      </w:r>
    </w:p>
    <w:p w:rsidR="007E5D5A" w:rsidRPr="007E5D5A" w:rsidRDefault="007E5D5A" w:rsidP="007E5D5A">
      <w:pPr>
        <w:pStyle w:val="SingleTxt"/>
        <w:spacing w:after="0" w:line="120" w:lineRule="exact"/>
        <w:rPr>
          <w:sz w:val="10"/>
        </w:rPr>
      </w:pPr>
    </w:p>
    <w:p w:rsidR="002665C4" w:rsidRDefault="007E5D5A" w:rsidP="007E5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 внесении изменений в Закон о борьбе с изнасилованиями и другие за</w:t>
      </w:r>
      <w:r>
        <w:t>коны, касающиеся НОЖ</w:t>
      </w:r>
    </w:p>
    <w:p w:rsidR="007E5D5A" w:rsidRPr="007E5D5A" w:rsidRDefault="007E5D5A" w:rsidP="007E5D5A">
      <w:pPr>
        <w:pStyle w:val="SingleTxt"/>
        <w:spacing w:after="0" w:line="120" w:lineRule="exact"/>
        <w:rPr>
          <w:sz w:val="10"/>
        </w:rPr>
      </w:pPr>
    </w:p>
    <w:p w:rsidR="002665C4" w:rsidRPr="0088168D" w:rsidRDefault="002665C4" w:rsidP="007E5D5A">
      <w:pPr>
        <w:pStyle w:val="SingleTxt"/>
      </w:pPr>
      <w:r w:rsidRPr="0088168D">
        <w:t>51.</w:t>
      </w:r>
      <w:r w:rsidRPr="0088168D">
        <w:tab/>
        <w:t>Одним из мероприятий в отношении законодательных актов, касающихся НОЖ и имеющих первостепенное значение, явилось внесение изменений в З</w:t>
      </w:r>
      <w:r w:rsidRPr="0088168D">
        <w:t>а</w:t>
      </w:r>
      <w:r w:rsidRPr="0088168D">
        <w:t>кон о борьбе с изнасилованиями. За период, прошедший после 14-го Конгре</w:t>
      </w:r>
      <w:r w:rsidRPr="0088168D">
        <w:t>с</w:t>
      </w:r>
      <w:r w:rsidRPr="0088168D">
        <w:t>са, законопроект был внесен и повторно внесен. В</w:t>
      </w:r>
      <w:r w:rsidR="007E5D5A">
        <w:t xml:space="preserve"> </w:t>
      </w:r>
      <w:r w:rsidRPr="0088168D">
        <w:t xml:space="preserve">законопроекте изменено определение изнасилования как преступления путем включения элемента </w:t>
      </w:r>
      <w:r w:rsidR="007E5D5A">
        <w:t>«</w:t>
      </w:r>
      <w:r w:rsidRPr="0088168D">
        <w:t>о</w:t>
      </w:r>
      <w:r w:rsidRPr="0088168D">
        <w:t>т</w:t>
      </w:r>
      <w:r w:rsidRPr="0088168D">
        <w:t>сутствие согласия</w:t>
      </w:r>
      <w:r w:rsidR="007E5D5A">
        <w:t>»</w:t>
      </w:r>
      <w:r w:rsidRPr="0088168D">
        <w:t xml:space="preserve"> в основу этого определения; перечисления шести случаев презумпции отсутствия согласия, которая возлагает на обвиняемого бремя д</w:t>
      </w:r>
      <w:r w:rsidRPr="0088168D">
        <w:t>о</w:t>
      </w:r>
      <w:r w:rsidRPr="0088168D">
        <w:t>казательства того, что половой акт с жертвой был совершен по обоюдному с</w:t>
      </w:r>
      <w:r w:rsidRPr="0088168D">
        <w:t>о</w:t>
      </w:r>
      <w:r w:rsidRPr="0088168D">
        <w:t>гласию; отмены положения о прощении насильника в случае его последующего вступления в брак с жертвой или в случае прощения супругой мужа-насильника, и повышает возраст в отношении половой связи с лицом, не д</w:t>
      </w:r>
      <w:r w:rsidRPr="0088168D">
        <w:t>о</w:t>
      </w:r>
      <w:r w:rsidRPr="0088168D">
        <w:t xml:space="preserve">стигшим совершеннолетия, с 12 до 16 лет. </w:t>
      </w:r>
    </w:p>
    <w:p w:rsidR="002665C4" w:rsidRDefault="002665C4" w:rsidP="007E5D5A">
      <w:pPr>
        <w:pStyle w:val="SingleTxt"/>
      </w:pPr>
      <w:r w:rsidRPr="0088168D">
        <w:t>52.</w:t>
      </w:r>
      <w:r w:rsidRPr="0088168D">
        <w:tab/>
      </w:r>
      <w:r w:rsidRPr="0088168D">
        <w:rPr>
          <w:bCs/>
        </w:rPr>
        <w:t xml:space="preserve">Был также внесен законопроект, который </w:t>
      </w:r>
      <w:r w:rsidRPr="0088168D">
        <w:t>вводит уголовную ответстве</w:t>
      </w:r>
      <w:r w:rsidRPr="0088168D">
        <w:t>н</w:t>
      </w:r>
      <w:r w:rsidRPr="0088168D">
        <w:t>ность вместо женщин, занимающихся проституцией,</w:t>
      </w:r>
      <w:r w:rsidRPr="0088168D">
        <w:rPr>
          <w:bCs/>
        </w:rPr>
        <w:t xml:space="preserve"> </w:t>
      </w:r>
      <w:r w:rsidRPr="0088168D">
        <w:t>для сводников, сутенеров и потребителей сексуальных услуг.</w:t>
      </w:r>
    </w:p>
    <w:p w:rsidR="007E5D5A" w:rsidRPr="007E5D5A" w:rsidRDefault="007E5D5A" w:rsidP="007E5D5A">
      <w:pPr>
        <w:pStyle w:val="SingleTxt"/>
        <w:spacing w:after="0" w:line="120" w:lineRule="exact"/>
        <w:rPr>
          <w:sz w:val="10"/>
        </w:rPr>
      </w:pPr>
    </w:p>
    <w:p w:rsidR="002665C4" w:rsidRDefault="007E5D5A" w:rsidP="007E5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 расширении сбора данных и проведении исследований по пробл</w:t>
      </w:r>
      <w:r w:rsidR="002665C4" w:rsidRPr="0088168D">
        <w:t>е</w:t>
      </w:r>
      <w:r w:rsidR="002665C4" w:rsidRPr="0088168D">
        <w:t>ме НОЖ</w:t>
      </w:r>
    </w:p>
    <w:p w:rsidR="007E5D5A" w:rsidRPr="007E5D5A" w:rsidRDefault="007E5D5A" w:rsidP="007E5D5A">
      <w:pPr>
        <w:pStyle w:val="SingleTxt"/>
        <w:spacing w:after="0" w:line="120" w:lineRule="exact"/>
        <w:rPr>
          <w:sz w:val="10"/>
        </w:rPr>
      </w:pPr>
    </w:p>
    <w:p w:rsidR="002665C4" w:rsidRPr="0088168D" w:rsidRDefault="002665C4" w:rsidP="007E5D5A">
      <w:pPr>
        <w:pStyle w:val="SingleTxt"/>
      </w:pPr>
      <w:r w:rsidRPr="0088168D">
        <w:t>53.</w:t>
      </w:r>
      <w:r w:rsidR="007E5D5A">
        <w:tab/>
      </w:r>
      <w:r w:rsidRPr="0088168D">
        <w:t>В 2010 году была разработана Национальная система документирования случаев НОЖ (NVAWDocS). Это система документирования на веб-основе, предназначенная для определения масштаба случаев НОЖ на Филиппинах. После полного вступления в строй система способна создавать отчеты в целях определения количества жертв НОЖ и мониторинга услуг различными п</w:t>
      </w:r>
      <w:r w:rsidRPr="0088168D">
        <w:t>о</w:t>
      </w:r>
      <w:r w:rsidRPr="0088168D">
        <w:t>ставщиками услуг. Было проведено ее апробирование в девяти точках при ф</w:t>
      </w:r>
      <w:r w:rsidRPr="0088168D">
        <w:t>и</w:t>
      </w:r>
      <w:r w:rsidRPr="0088168D">
        <w:t>нансовой поддержке со стороны фонда Организации Объединенных Наций в области народонаселения (ЮНФПА) и Испанского агентства по междунаро</w:t>
      </w:r>
      <w:r w:rsidRPr="0088168D">
        <w:t>д</w:t>
      </w:r>
      <w:r w:rsidRPr="0088168D">
        <w:t>ному сотрудничеству в целях развития (ИАМСР), результаты которого прод</w:t>
      </w:r>
      <w:r w:rsidRPr="0088168D">
        <w:t>е</w:t>
      </w:r>
      <w:r w:rsidRPr="0088168D">
        <w:t>монстрировали возможность объединения данных из разных источников и в ходе этого процесса устранения дублирования. Информация, собранная на эк</w:t>
      </w:r>
      <w:r w:rsidRPr="0088168D">
        <w:t>с</w:t>
      </w:r>
      <w:r w:rsidRPr="0088168D">
        <w:t>периментальных участках, была полезна для усовершенствования системы и формирования отчетности. В настоящее время осуществляется ее реализация в масштабах провинции при содействии ИАМСР, после чего система будет утверждена для реализации в масштабах всей страны.</w:t>
      </w:r>
    </w:p>
    <w:p w:rsidR="002665C4" w:rsidRDefault="002665C4" w:rsidP="007E5D5A">
      <w:pPr>
        <w:pStyle w:val="SingleTxt"/>
      </w:pPr>
      <w:r w:rsidRPr="0088168D">
        <w:t>54.</w:t>
      </w:r>
      <w:r w:rsidR="007E5D5A">
        <w:tab/>
      </w:r>
      <w:r w:rsidRPr="0088168D">
        <w:t>Некоторые НПО на данный момент проводят или планируют исследов</w:t>
      </w:r>
      <w:r w:rsidRPr="0088168D">
        <w:t>а</w:t>
      </w:r>
      <w:r w:rsidRPr="0088168D">
        <w:t xml:space="preserve">ния по проблеме насилия в отношении женщин. Организация </w:t>
      </w:r>
      <w:r w:rsidR="007E5D5A">
        <w:t>«</w:t>
      </w:r>
      <w:r w:rsidRPr="0088168D">
        <w:t>Междунаро</w:t>
      </w:r>
      <w:r w:rsidRPr="0088168D">
        <w:t>д</w:t>
      </w:r>
      <w:r w:rsidRPr="0088168D">
        <w:t>ный план Филиппин</w:t>
      </w:r>
      <w:r w:rsidR="007E5D5A">
        <w:t>»</w:t>
      </w:r>
      <w:r w:rsidRPr="0088168D">
        <w:t xml:space="preserve"> сообщила о предполагаемом исследовании случаев и</w:t>
      </w:r>
      <w:r w:rsidRPr="0088168D">
        <w:t>н</w:t>
      </w:r>
      <w:r w:rsidRPr="0088168D">
        <w:t>цеста, бытового насилия и насилия с помощью технологий. Другая НПО</w:t>
      </w:r>
      <w:r w:rsidR="007E5D5A">
        <w:t xml:space="preserve"> — </w:t>
      </w:r>
      <w:r w:rsidRPr="0088168D">
        <w:t>Фонд медийных альтернатив</w:t>
      </w:r>
      <w:r w:rsidR="007E5D5A">
        <w:t xml:space="preserve"> — </w:t>
      </w:r>
      <w:r w:rsidRPr="0088168D">
        <w:t>в настоящее время проводит исследование по случаям НОЖ на основе ИКТ, или электронного НОЖ.</w:t>
      </w:r>
    </w:p>
    <w:p w:rsidR="007E5D5A" w:rsidRPr="007E5D5A" w:rsidRDefault="007E5D5A" w:rsidP="007E5D5A">
      <w:pPr>
        <w:pStyle w:val="SingleTxt"/>
        <w:spacing w:after="0" w:line="120" w:lineRule="exact"/>
        <w:rPr>
          <w:sz w:val="10"/>
        </w:rPr>
      </w:pPr>
    </w:p>
    <w:p w:rsidR="002665C4" w:rsidRDefault="007E5D5A" w:rsidP="007E5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Об изменении патриархальных обычаев и стереотипных представл</w:t>
      </w:r>
      <w:r w:rsidR="002665C4" w:rsidRPr="0088168D">
        <w:t>е</w:t>
      </w:r>
      <w:r>
        <w:t>ний</w:t>
      </w:r>
      <w:r>
        <w:br/>
        <w:t>о роли полов</w:t>
      </w:r>
    </w:p>
    <w:p w:rsidR="007E5D5A" w:rsidRPr="007E5D5A" w:rsidRDefault="007E5D5A" w:rsidP="007E5D5A">
      <w:pPr>
        <w:pStyle w:val="SingleTxt"/>
        <w:spacing w:after="0" w:line="120" w:lineRule="exact"/>
        <w:rPr>
          <w:sz w:val="10"/>
        </w:rPr>
      </w:pPr>
    </w:p>
    <w:p w:rsidR="002665C4" w:rsidRPr="0088168D" w:rsidRDefault="002665C4" w:rsidP="007E5D5A">
      <w:pPr>
        <w:pStyle w:val="SingleTxt"/>
      </w:pPr>
      <w:r w:rsidRPr="0088168D">
        <w:t>55.</w:t>
      </w:r>
      <w:r w:rsidRPr="0088168D">
        <w:tab/>
        <w:t>Празднование национального месяца женщин на Филиппинах стало о</w:t>
      </w:r>
      <w:r w:rsidRPr="0088168D">
        <w:t>д</w:t>
      </w:r>
      <w:r w:rsidRPr="0088168D">
        <w:t>ним из основных факторов пропаганды изменения традиционных понятий и представлений о женщине. Государство-участник через соответствующие учреждения, включая школы и местные органы власти, планирует информац</w:t>
      </w:r>
      <w:r w:rsidRPr="0088168D">
        <w:t>и</w:t>
      </w:r>
      <w:r w:rsidRPr="0088168D">
        <w:t>онно-пропагандистские мероприятия и</w:t>
      </w:r>
      <w:r w:rsidR="00F173BA">
        <w:t xml:space="preserve"> </w:t>
      </w:r>
      <w:r w:rsidRPr="0088168D">
        <w:t>другие виды деятельности, направле</w:t>
      </w:r>
      <w:r w:rsidRPr="0088168D">
        <w:t>н</w:t>
      </w:r>
      <w:r w:rsidRPr="0088168D">
        <w:t>ные на повышение осведомленности населения и поддержку мер по решению первоочередных гендерных проблем. В течение ряда лет их тематика обращ</w:t>
      </w:r>
      <w:r w:rsidRPr="0088168D">
        <w:t>а</w:t>
      </w:r>
      <w:r w:rsidRPr="0088168D">
        <w:t>лась вокруг вопросов, рассматриваемых в КЛДЖ, таких как насилие в отнош</w:t>
      </w:r>
      <w:r w:rsidRPr="0088168D">
        <w:t>е</w:t>
      </w:r>
      <w:r w:rsidRPr="0088168D">
        <w:t>нии женщин, расширение экономических прав и возможностей женщин и зд</w:t>
      </w:r>
      <w:r w:rsidRPr="0088168D">
        <w:t>о</w:t>
      </w:r>
      <w:r w:rsidRPr="0088168D">
        <w:t>ровье. В последующие годы главное внимание переместилось на популяриз</w:t>
      </w:r>
      <w:r w:rsidRPr="0088168D">
        <w:t>а</w:t>
      </w:r>
      <w:r w:rsidRPr="0088168D">
        <w:t>цию КЛДЖ и ВХЖ и ее положений, таких как воздействие изменения климата и стихийных бедствий на положение женщин. (</w:t>
      </w:r>
      <w:r w:rsidRPr="0088168D">
        <w:rPr>
          <w:i/>
        </w:rPr>
        <w:t>См. приложение 2. Фотогр</w:t>
      </w:r>
      <w:r w:rsidRPr="0088168D">
        <w:rPr>
          <w:i/>
        </w:rPr>
        <w:t>а</w:t>
      </w:r>
      <w:r w:rsidRPr="0088168D">
        <w:rPr>
          <w:i/>
        </w:rPr>
        <w:t>фии и публикации о</w:t>
      </w:r>
      <w:r w:rsidR="007E5D5A">
        <w:rPr>
          <w:i/>
        </w:rPr>
        <w:t xml:space="preserve"> </w:t>
      </w:r>
      <w:r w:rsidRPr="0088168D">
        <w:rPr>
          <w:i/>
        </w:rPr>
        <w:t>кампаниях</w:t>
      </w:r>
      <w:r w:rsidRPr="0088168D">
        <w:t>.)</w:t>
      </w:r>
    </w:p>
    <w:p w:rsidR="002665C4" w:rsidRPr="0088168D" w:rsidRDefault="002665C4" w:rsidP="007E5D5A">
      <w:pPr>
        <w:pStyle w:val="SingleTxt"/>
      </w:pPr>
      <w:r w:rsidRPr="0088168D">
        <w:t>56.</w:t>
      </w:r>
      <w:r w:rsidRPr="0088168D">
        <w:tab/>
        <w:t xml:space="preserve"> ВХЖ предусматривает, что </w:t>
      </w:r>
      <w:r w:rsidR="007E5D5A">
        <w:t>«</w:t>
      </w:r>
      <w:r w:rsidRPr="0088168D">
        <w:t>государство обеспечивает соответствующий и надлежащий пересмотр гендерных стереотипов и изображений в ныне де</w:t>
      </w:r>
      <w:r w:rsidRPr="0088168D">
        <w:t>й</w:t>
      </w:r>
      <w:r w:rsidRPr="0088168D">
        <w:t>ствующих учебных материалах и планах. Всегда используется язык, учитыв</w:t>
      </w:r>
      <w:r w:rsidRPr="0088168D">
        <w:t>а</w:t>
      </w:r>
      <w:r w:rsidRPr="0088168D">
        <w:t>ющий гендерный аспект. С этой целью осуществляется повышение квалифик</w:t>
      </w:r>
      <w:r w:rsidRPr="0088168D">
        <w:t>а</w:t>
      </w:r>
      <w:r w:rsidRPr="0088168D">
        <w:t>ции в деле просвещения среди учителей, а также всех, кто участвует в секторе образования по гендерным вопросам и вопросам развития (ГИР), мира и прав человека</w:t>
      </w:r>
      <w:r w:rsidR="007E5D5A">
        <w:t>»</w:t>
      </w:r>
      <w:r w:rsidRPr="0088168D">
        <w:t>. В связи с этим были разработаны и введены в 176 школьных окр</w:t>
      </w:r>
      <w:r w:rsidRPr="0088168D">
        <w:t>у</w:t>
      </w:r>
      <w:r w:rsidRPr="0088168D">
        <w:t xml:space="preserve">гах модули, касающиеся гендерной проблематики, для включения в базовые учебные планы. Дополнительно проводилась подготовка по вопросам учета гендерного аспекта должностных лиц на уровне округа и школы, организация координационных центров ГИР и включение гендерного аспекта в школьные мероприятия. </w:t>
      </w:r>
    </w:p>
    <w:p w:rsidR="002665C4" w:rsidRPr="0088168D" w:rsidRDefault="002665C4" w:rsidP="007E5D5A">
      <w:pPr>
        <w:pStyle w:val="SingleTxt"/>
      </w:pPr>
      <w:r w:rsidRPr="0088168D">
        <w:t>57.</w:t>
      </w:r>
      <w:r w:rsidRPr="0088168D">
        <w:tab/>
        <w:t>Высшие учебные заведения усилили Соглашение ГИР в поддержку ВХЖ и осуществление его положений, касающихся образования. Ранее группа пр</w:t>
      </w:r>
      <w:r w:rsidRPr="0088168D">
        <w:t>е</w:t>
      </w:r>
      <w:r w:rsidRPr="0088168D">
        <w:t>подавателей высших учебных заведений образовала Ассоциацию за изучение проблем женщин Филиппин (АПЖФ) в целях оказания влияния на предлож</w:t>
      </w:r>
      <w:r w:rsidRPr="0088168D">
        <w:t>е</w:t>
      </w:r>
      <w:r w:rsidRPr="0088168D">
        <w:t>ния по учебным планам. Входящие в ее состав учебные заведения, такие как Система университетов Филиппин (СУФ) и частные колледжи, включили ге</w:t>
      </w:r>
      <w:r w:rsidRPr="0088168D">
        <w:t>н</w:t>
      </w:r>
      <w:r w:rsidRPr="0088168D">
        <w:t>дерный аспект в свои учебные планы, а КЛДЖ используется в качестве спр</w:t>
      </w:r>
      <w:r w:rsidRPr="0088168D">
        <w:t>а</w:t>
      </w:r>
      <w:r w:rsidRPr="0088168D">
        <w:t>вочного материала при реформировании учебных программ, в том числе ку</w:t>
      </w:r>
      <w:r w:rsidRPr="0088168D">
        <w:t>р</w:t>
      </w:r>
      <w:r w:rsidRPr="0088168D">
        <w:t>сов по государственному администрированию и управлению. Курсы по генде</w:t>
      </w:r>
      <w:r w:rsidRPr="0088168D">
        <w:t>р</w:t>
      </w:r>
      <w:r w:rsidRPr="0088168D">
        <w:t>ной проблематике также включены в учебную программу по общественным наукам, в Колледже социологии и общественного развития Университета Ф</w:t>
      </w:r>
      <w:r w:rsidRPr="0088168D">
        <w:t>и</w:t>
      </w:r>
      <w:r w:rsidRPr="0088168D">
        <w:t xml:space="preserve">липпин регулярно предлагается обучение на степень магистра по проблемам женщин и вопросам развития. </w:t>
      </w:r>
    </w:p>
    <w:p w:rsidR="002665C4" w:rsidRPr="0088168D" w:rsidRDefault="002665C4" w:rsidP="007E5D5A">
      <w:pPr>
        <w:pStyle w:val="SingleTxt"/>
      </w:pPr>
      <w:r w:rsidRPr="0088168D">
        <w:t>58.</w:t>
      </w:r>
      <w:r w:rsidRPr="0088168D">
        <w:tab/>
        <w:t>Государство в рамках Филиппинской национальной полицейской акад</w:t>
      </w:r>
      <w:r w:rsidRPr="0088168D">
        <w:t>е</w:t>
      </w:r>
      <w:r w:rsidRPr="0088168D">
        <w:t>мии (ФНПА) и Филиппинского колледжа общественной безопасности (ФКОБ) включило проблемы гендерного равенства и НОЖ в учебные и практические курсы для проходящих обучение полицейских. В других областях главным профессионально-техническим учебным заведением разработаны и распр</w:t>
      </w:r>
      <w:r w:rsidRPr="0088168D">
        <w:t>о</w:t>
      </w:r>
      <w:r w:rsidRPr="0088168D">
        <w:t xml:space="preserve">странены модули с учетом гендерной проблематики для профессионально-технических училищ. </w:t>
      </w:r>
    </w:p>
    <w:p w:rsidR="002665C4" w:rsidRDefault="002665C4" w:rsidP="007E5D5A">
      <w:pPr>
        <w:pStyle w:val="SingleTxt"/>
      </w:pPr>
      <w:r w:rsidRPr="0088168D">
        <w:t>59.</w:t>
      </w:r>
      <w:r w:rsidRPr="0088168D">
        <w:tab/>
        <w:t xml:space="preserve">Мусульманские религиозные лидеры при содействии ИАМСР и ЮНФПА разработали и распространили справочник по учитывающим гендерный аспект </w:t>
      </w:r>
      <w:r w:rsidR="007E5D5A">
        <w:t>«</w:t>
      </w:r>
      <w:r w:rsidRPr="0088168D">
        <w:t>хутбам</w:t>
      </w:r>
      <w:r w:rsidR="007E5D5A">
        <w:t>»</w:t>
      </w:r>
      <w:r w:rsidRPr="0088168D">
        <w:t xml:space="preserve"> (руководство по пятничным проповедям мусульманских религиозных лидеров, или МРЛ). </w:t>
      </w:r>
      <w:r w:rsidR="007E5D5A">
        <w:t>«</w:t>
      </w:r>
      <w:r w:rsidRPr="0088168D">
        <w:t>Хутбы</w:t>
      </w:r>
      <w:r w:rsidR="007E5D5A">
        <w:t>»</w:t>
      </w:r>
      <w:r w:rsidRPr="0088168D">
        <w:t xml:space="preserve"> содержат толкование и разъяснение отдельных текстов Корана, в большей мер</w:t>
      </w:r>
      <w:r w:rsidR="007E5D5A">
        <w:t>е учитывающих гендерный аспект.</w:t>
      </w:r>
    </w:p>
    <w:p w:rsidR="007E5D5A" w:rsidRPr="007E5D5A" w:rsidRDefault="007E5D5A" w:rsidP="007E5D5A">
      <w:pPr>
        <w:pStyle w:val="SingleTxt"/>
        <w:spacing w:after="0" w:line="120" w:lineRule="exact"/>
        <w:rPr>
          <w:sz w:val="10"/>
        </w:rPr>
      </w:pPr>
    </w:p>
    <w:p w:rsidR="002665C4" w:rsidRDefault="007E5D5A" w:rsidP="007E5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Привлечение средств массовой информации к пропаганде гендерной пробле</w:t>
      </w:r>
      <w:r>
        <w:t>матики</w:t>
      </w:r>
    </w:p>
    <w:p w:rsidR="007E5D5A" w:rsidRPr="007E5D5A" w:rsidRDefault="007E5D5A" w:rsidP="007E5D5A">
      <w:pPr>
        <w:pStyle w:val="SingleTxt"/>
        <w:spacing w:after="0" w:line="120" w:lineRule="exact"/>
        <w:rPr>
          <w:sz w:val="10"/>
        </w:rPr>
      </w:pPr>
    </w:p>
    <w:p w:rsidR="002665C4" w:rsidRPr="0088168D" w:rsidRDefault="002665C4" w:rsidP="007E5D5A">
      <w:pPr>
        <w:pStyle w:val="SingleTxt"/>
      </w:pPr>
      <w:r w:rsidRPr="0088168D">
        <w:t>60.</w:t>
      </w:r>
      <w:r w:rsidRPr="0088168D">
        <w:tab/>
        <w:t>В 2012 году государство-участник учредило Комитет по средствам масс</w:t>
      </w:r>
      <w:r w:rsidRPr="0088168D">
        <w:t>о</w:t>
      </w:r>
      <w:r w:rsidRPr="0088168D">
        <w:t>вой информации и гендерному равенству (КСМИГР) в соответствии со стат</w:t>
      </w:r>
      <w:r w:rsidRPr="0088168D">
        <w:t>ь</w:t>
      </w:r>
      <w:r w:rsidRPr="0088168D">
        <w:t>ей 16 ВХЖ о недискриминационном и не негативном представлении женщин в средствах массовой информации и кинофильмах. КСМИГР выпустил Этич</w:t>
      </w:r>
      <w:r w:rsidRPr="0088168D">
        <w:t>е</w:t>
      </w:r>
      <w:r w:rsidRPr="0088168D">
        <w:t>ский кодекс для СМИ, Руководящие принципы по гендерному равенству и Р</w:t>
      </w:r>
      <w:r w:rsidRPr="0088168D">
        <w:t>у</w:t>
      </w:r>
      <w:r w:rsidRPr="0088168D">
        <w:t>ководящие принципы для СМИ по защите женщин от дискриминации в сре</w:t>
      </w:r>
      <w:r w:rsidRPr="0088168D">
        <w:t>д</w:t>
      </w:r>
      <w:r w:rsidRPr="0088168D">
        <w:t>ствах массовой информации и кинофильмах, которые были введены в действие в марте 2013 года для государственных СМИ, саморегулирующихся организ</w:t>
      </w:r>
      <w:r w:rsidRPr="0088168D">
        <w:t>а</w:t>
      </w:r>
      <w:r w:rsidRPr="0088168D">
        <w:t xml:space="preserve">ций, факультетов журналистики, информации и связи, а также национальных федераций и ассоциаций в целях усиления учета гендерных проблем в СМИ, при одновременном соблюдении саморегулирования СМИ. В 2013 году был выпущен циркулярный меморандум № 48, </w:t>
      </w:r>
      <w:r w:rsidR="007E5D5A">
        <w:t>«</w:t>
      </w:r>
      <w:r w:rsidRPr="0088168D">
        <w:t>предписывающий всем соотве</w:t>
      </w:r>
      <w:r w:rsidRPr="0088168D">
        <w:t>т</w:t>
      </w:r>
      <w:r w:rsidRPr="0088168D">
        <w:t>ствующим правительственным учреждениям применять руководящие принц</w:t>
      </w:r>
      <w:r w:rsidRPr="0088168D">
        <w:t>и</w:t>
      </w:r>
      <w:r w:rsidRPr="0088168D">
        <w:t>пы по гендерному равенству при разработке своей соответствующей политики в области средств массовой информации и осуществлении программ в целях поощрения учета гендерной проблематики</w:t>
      </w:r>
      <w:r w:rsidR="007E5D5A">
        <w:t>».</w:t>
      </w:r>
    </w:p>
    <w:p w:rsidR="002665C4" w:rsidRPr="0088168D" w:rsidRDefault="002665C4" w:rsidP="007E5D5A">
      <w:pPr>
        <w:pStyle w:val="SingleTxt"/>
      </w:pPr>
      <w:r w:rsidRPr="0088168D">
        <w:t>61.</w:t>
      </w:r>
      <w:r w:rsidRPr="0088168D">
        <w:tab/>
        <w:t>Организации государственных СМИ выступают активными партнерами в информационно-пропагандистской деятельности, направленной против созд</w:t>
      </w:r>
      <w:r w:rsidRPr="0088168D">
        <w:t>а</w:t>
      </w:r>
      <w:r w:rsidRPr="0088168D">
        <w:t>ния негативного образа женщин в средствах массовой информации. Ежен</w:t>
      </w:r>
      <w:r w:rsidRPr="0088168D">
        <w:t>е</w:t>
      </w:r>
      <w:r w:rsidRPr="0088168D">
        <w:t xml:space="preserve">дельная интерактивная радиопрограмма </w:t>
      </w:r>
      <w:r w:rsidR="007E5D5A">
        <w:t>«</w:t>
      </w:r>
      <w:r w:rsidRPr="0088168D">
        <w:t>Голос женщин!</w:t>
      </w:r>
      <w:r w:rsidR="007E5D5A">
        <w:t>»</w:t>
      </w:r>
      <w:r w:rsidRPr="0088168D">
        <w:t xml:space="preserve"> (</w:t>
      </w:r>
      <w:r w:rsidR="007E5D5A" w:rsidRPr="007E5D5A">
        <w:t>“</w:t>
      </w:r>
      <w:r w:rsidRPr="0088168D">
        <w:t>Tinig Ng Kababaihan!</w:t>
      </w:r>
      <w:r w:rsidR="007E5D5A" w:rsidRPr="007E5D5A">
        <w:t>”</w:t>
      </w:r>
      <w:r w:rsidRPr="0088168D">
        <w:t>) выходит в эфир с мая 2009 года в целях повышения осведомле</w:t>
      </w:r>
      <w:r w:rsidRPr="0088168D">
        <w:t>н</w:t>
      </w:r>
      <w:r w:rsidRPr="0088168D">
        <w:t>ности населения о мерах, принимаемых государством по содействию достиж</w:t>
      </w:r>
      <w:r w:rsidRPr="0088168D">
        <w:t>е</w:t>
      </w:r>
      <w:r w:rsidRPr="0088168D">
        <w:t xml:space="preserve">нию гендерного равенства и соблюдению прав человека женщин, в том числе гарантированных КЛДЖ. Выпущенные материалы по </w:t>
      </w:r>
      <w:r w:rsidRPr="0088168D">
        <w:rPr>
          <w:bCs/>
        </w:rPr>
        <w:t>информации, образов</w:t>
      </w:r>
      <w:r w:rsidRPr="0088168D">
        <w:rPr>
          <w:bCs/>
        </w:rPr>
        <w:t>а</w:t>
      </w:r>
      <w:r w:rsidRPr="0088168D">
        <w:rPr>
          <w:bCs/>
        </w:rPr>
        <w:t xml:space="preserve">нию и консультациям </w:t>
      </w:r>
      <w:r w:rsidRPr="0088168D">
        <w:t>о законах, касающихся борьбы с НОЖ, распространяю</w:t>
      </w:r>
      <w:r w:rsidRPr="0088168D">
        <w:t>т</w:t>
      </w:r>
      <w:r w:rsidRPr="0088168D">
        <w:t>ся в виде комиксов, буклетов, брошюр и листовок. В отдельных местных орг</w:t>
      </w:r>
      <w:r w:rsidRPr="0088168D">
        <w:t>а</w:t>
      </w:r>
      <w:r w:rsidRPr="0088168D">
        <w:t>нах власти проводятся информационные встречи/брифинги о борьбе с насил</w:t>
      </w:r>
      <w:r w:rsidRPr="0088168D">
        <w:t>и</w:t>
      </w:r>
      <w:r w:rsidRPr="0088168D">
        <w:t xml:space="preserve">ем в отношении женщин и детей. </w:t>
      </w:r>
    </w:p>
    <w:p w:rsidR="002665C4" w:rsidRPr="0088168D" w:rsidRDefault="002665C4" w:rsidP="007E5D5A">
      <w:pPr>
        <w:pStyle w:val="SingleTxt"/>
      </w:pPr>
      <w:r w:rsidRPr="0088168D">
        <w:t>62.</w:t>
      </w:r>
      <w:r w:rsidRPr="0088168D">
        <w:tab/>
        <w:t>Государство-участник через свои регулирующие органы, такие как Совет по визуальным СМИ (СВСМИ) и Совет по контролю и классификации кинем</w:t>
      </w:r>
      <w:r w:rsidRPr="0088168D">
        <w:t>а</w:t>
      </w:r>
      <w:r w:rsidRPr="0088168D">
        <w:t>тографической и телевизионной продукции (СОККТП), также усилил меры по борьбе с женской и детской порнографией путем конфискации порнографич</w:t>
      </w:r>
      <w:r w:rsidRPr="0088168D">
        <w:t>е</w:t>
      </w:r>
      <w:r w:rsidRPr="0088168D">
        <w:t>ских материалов, в частности видео сексуального содержания. СОККТП пр</w:t>
      </w:r>
      <w:r w:rsidRPr="0088168D">
        <w:t>и</w:t>
      </w:r>
      <w:r w:rsidRPr="0088168D">
        <w:t>остановил показ телевизионных программ, признанных представляющими женщин как сексуальный объект. В последнее время он требовал, чтобы с</w:t>
      </w:r>
      <w:r w:rsidRPr="0088168D">
        <w:t>о</w:t>
      </w:r>
      <w:r w:rsidRPr="0088168D">
        <w:t>трудники основных телевизионных сетей проходили семинары по вопросам учета гендерной проблематики. Совет по продвижению туризма (СПТ) расп</w:t>
      </w:r>
      <w:r w:rsidRPr="0088168D">
        <w:t>о</w:t>
      </w:r>
      <w:r w:rsidRPr="0088168D">
        <w:t>рядился, чтобы его рекламные агентства проводили маркетинговые кампании и выпускали рекламные продукты с учетом гендерного аспекта и не показывали в текстах или видеоматериалах дискриминацию в отношении мужчин и же</w:t>
      </w:r>
      <w:r w:rsidRPr="0088168D">
        <w:t>н</w:t>
      </w:r>
      <w:r w:rsidRPr="0088168D">
        <w:t xml:space="preserve">щин. Соглашение между Министерством образования и Федерацией вещателей Филиппин, а также с Филиппинской ассоциацией рекламодателей направлено на совместный мониторинг и рассмотрение жалоб относительно </w:t>
      </w:r>
      <w:r w:rsidR="007E5D5A">
        <w:t>«</w:t>
      </w:r>
      <w:r w:rsidRPr="0088168D">
        <w:t>нежелател</w:t>
      </w:r>
      <w:r w:rsidRPr="0088168D">
        <w:t>ь</w:t>
      </w:r>
      <w:r w:rsidRPr="0088168D">
        <w:t>ных</w:t>
      </w:r>
      <w:r w:rsidR="007E5D5A">
        <w:t>»</w:t>
      </w:r>
      <w:r w:rsidRPr="0088168D">
        <w:t xml:space="preserve"> вредных для детей телевизионных программ и рекламы. По этому согл</w:t>
      </w:r>
      <w:r w:rsidRPr="0088168D">
        <w:t>а</w:t>
      </w:r>
      <w:r w:rsidRPr="0088168D">
        <w:t>шению были проведены два диалога в целях продвижения благоприятной для детей культуры, корректирования дискриминационного изображения женщин и мужчин в определенных ситуациях, включение ценной информации в сюже</w:t>
      </w:r>
      <w:r w:rsidRPr="0088168D">
        <w:t>т</w:t>
      </w:r>
      <w:r w:rsidRPr="0088168D">
        <w:t>ные линии, сцены и персонажи самых рейтинговых телепередач, особенно транслируемых на всю страну или на весь мир по сетевым филиппинским к</w:t>
      </w:r>
      <w:r w:rsidRPr="0088168D">
        <w:t>а</w:t>
      </w:r>
      <w:r w:rsidRPr="0088168D">
        <w:t>налам. На местном уровне Совет города Куезон принял постановление о выд</w:t>
      </w:r>
      <w:r w:rsidRPr="0088168D">
        <w:t>е</w:t>
      </w:r>
      <w:r w:rsidRPr="0088168D">
        <w:t>лении средств на присуждение ежегодного приза в области гендерной пробл</w:t>
      </w:r>
      <w:r w:rsidRPr="0088168D">
        <w:t>е</w:t>
      </w:r>
      <w:r w:rsidRPr="0088168D">
        <w:t xml:space="preserve">матики и развития (ГИР) </w:t>
      </w:r>
      <w:r w:rsidR="007E5D5A">
        <w:t>«</w:t>
      </w:r>
      <w:r w:rsidRPr="0088168D">
        <w:t>За лучшее освещение гендерных вопросов в фил</w:t>
      </w:r>
      <w:r w:rsidRPr="0088168D">
        <w:t>ь</w:t>
      </w:r>
      <w:r w:rsidRPr="0088168D">
        <w:t>ме</w:t>
      </w:r>
      <w:r w:rsidR="007E5D5A">
        <w:t>»</w:t>
      </w:r>
      <w:r w:rsidRPr="0088168D">
        <w:t>, представленном на Манильском кинофестивале.</w:t>
      </w:r>
    </w:p>
    <w:p w:rsidR="002665C4" w:rsidRDefault="002665C4" w:rsidP="007E5D5A">
      <w:pPr>
        <w:pStyle w:val="SingleTxt"/>
      </w:pPr>
      <w:r w:rsidRPr="0088168D">
        <w:t>63.</w:t>
      </w:r>
      <w:r w:rsidRPr="0088168D">
        <w:tab/>
        <w:t>Уникальным информационно-пропагандистским механизмом стала пр</w:t>
      </w:r>
      <w:r w:rsidRPr="0088168D">
        <w:t>е</w:t>
      </w:r>
      <w:r w:rsidRPr="0088168D">
        <w:t xml:space="preserve">мия </w:t>
      </w:r>
      <w:r w:rsidR="007E5D5A">
        <w:t>«</w:t>
      </w:r>
      <w:r w:rsidRPr="0088168D">
        <w:t>Гендерное правосудие</w:t>
      </w:r>
      <w:r w:rsidR="007E5D5A">
        <w:t>»</w:t>
      </w:r>
      <w:r w:rsidRPr="0088168D">
        <w:t>, учрежденная в 2003 году в знак признания заслуг судей разных судов, учитывающих гендерный аспект, в том числе суда Санд</w:t>
      </w:r>
      <w:r w:rsidRPr="0088168D">
        <w:t>и</w:t>
      </w:r>
      <w:r w:rsidRPr="0088168D">
        <w:t>ганбайан (суд по борьбе со взяточничеством), и шариатских судей, выноси</w:t>
      </w:r>
      <w:r w:rsidRPr="0088168D">
        <w:t>в</w:t>
      </w:r>
      <w:r w:rsidRPr="0088168D">
        <w:t>ших решения с учетом гендерного аспекта по делам о НОЖ, составившим свои решения, используя формулировки, отражающие равное отношение к предст</w:t>
      </w:r>
      <w:r w:rsidRPr="0088168D">
        <w:t>а</w:t>
      </w:r>
      <w:r w:rsidRPr="0088168D">
        <w:t>вителям обоих полов, продемонстрировали учет гендерных факторов в ходе судебного разбирательства и в короткие сроки разрешали имеющиеся дела. Партнерами в этой программе выступали Университет Фонда филиппинского центра изучения проблем женщин, ЮНИФЕМ (ныне Структура "ООН-женщины"), клуб "Зонта" и альтернативные юридические и женские организ</w:t>
      </w:r>
      <w:r w:rsidRPr="0088168D">
        <w:t>а</w:t>
      </w:r>
      <w:r w:rsidRPr="0088168D">
        <w:t>ции. Поиск кандидатов и вручение премий проводились в 2003 и 2008</w:t>
      </w:r>
      <w:r>
        <w:t> </w:t>
      </w:r>
      <w:r w:rsidRPr="0088168D">
        <w:t>годах. С тех пор конкурсы на присуждение Премии правосудия не проводились.</w:t>
      </w:r>
    </w:p>
    <w:p w:rsidR="007E5D5A" w:rsidRPr="007E5D5A" w:rsidRDefault="007E5D5A" w:rsidP="007E5D5A">
      <w:pPr>
        <w:pStyle w:val="SingleTxt"/>
        <w:spacing w:after="0" w:line="120" w:lineRule="exact"/>
        <w:rPr>
          <w:sz w:val="10"/>
        </w:rPr>
      </w:pPr>
    </w:p>
    <w:p w:rsidR="002665C4" w:rsidRDefault="007E5D5A" w:rsidP="007E5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Торговля людьми</w:t>
      </w:r>
    </w:p>
    <w:p w:rsidR="007E5D5A" w:rsidRPr="007E5D5A" w:rsidRDefault="007E5D5A" w:rsidP="007E5D5A">
      <w:pPr>
        <w:pStyle w:val="SingleTxt"/>
        <w:spacing w:after="0" w:line="120" w:lineRule="exact"/>
        <w:rPr>
          <w:sz w:val="10"/>
        </w:rPr>
      </w:pPr>
    </w:p>
    <w:p w:rsidR="002665C4" w:rsidRPr="0088168D" w:rsidRDefault="002665C4" w:rsidP="007E5D5A">
      <w:pPr>
        <w:pStyle w:val="SingleTxt"/>
      </w:pPr>
      <w:r w:rsidRPr="0088168D">
        <w:t>64.</w:t>
      </w:r>
      <w:r w:rsidRPr="0088168D">
        <w:tab/>
        <w:t>В своем тринадцатом ежегодном докладе о торговле людьми (ТЛ) Гос</w:t>
      </w:r>
      <w:r w:rsidRPr="0088168D">
        <w:t>у</w:t>
      </w:r>
      <w:r w:rsidRPr="0088168D">
        <w:t>дарственный департамент США изъял Филиппины из списка особого вним</w:t>
      </w:r>
      <w:r w:rsidRPr="0088168D">
        <w:t>а</w:t>
      </w:r>
      <w:r w:rsidRPr="0088168D">
        <w:t xml:space="preserve">ния и поместил в категорию </w:t>
      </w:r>
      <w:r w:rsidR="007E5D5A">
        <w:t>«</w:t>
      </w:r>
      <w:r w:rsidRPr="0088168D">
        <w:t>вторая группа</w:t>
      </w:r>
      <w:r w:rsidR="007E5D5A">
        <w:t>»</w:t>
      </w:r>
      <w:r w:rsidRPr="0088168D">
        <w:t xml:space="preserve">. Категория </w:t>
      </w:r>
      <w:r w:rsidR="007E5D5A">
        <w:t>«</w:t>
      </w:r>
      <w:r w:rsidRPr="0088168D">
        <w:t>вторая группа</w:t>
      </w:r>
      <w:r w:rsidR="007E5D5A">
        <w:t>»</w:t>
      </w:r>
      <w:r w:rsidRPr="0088168D">
        <w:t xml:space="preserve"> оф</w:t>
      </w:r>
      <w:r w:rsidRPr="0088168D">
        <w:t>и</w:t>
      </w:r>
      <w:r w:rsidRPr="0088168D">
        <w:t>циально признает значительные усилия страны по соблюдению базовых крит</w:t>
      </w:r>
      <w:r w:rsidRPr="0088168D">
        <w:t>е</w:t>
      </w:r>
      <w:r w:rsidRPr="0088168D">
        <w:t>риев, предписанных Государственным департаментом США в отношении д</w:t>
      </w:r>
      <w:r w:rsidRPr="0088168D">
        <w:t>о</w:t>
      </w:r>
      <w:r w:rsidRPr="0088168D">
        <w:t>стижения минимальных стандартов. Это достижение стало результатом более ш</w:t>
      </w:r>
      <w:r w:rsidRPr="0088168D">
        <w:t>и</w:t>
      </w:r>
      <w:r w:rsidRPr="0088168D">
        <w:t>рокого привлечения к ответственности подозреваемых правонарушителей и защиты свидетелей по делам о торговле людьми в рамках Межучрежденческ</w:t>
      </w:r>
      <w:r w:rsidRPr="0088168D">
        <w:t>о</w:t>
      </w:r>
      <w:r w:rsidRPr="0088168D">
        <w:t>го совета по борьбе с торговлей людьми (МСБТЛ). Государство-участник в л</w:t>
      </w:r>
      <w:r w:rsidRPr="0088168D">
        <w:t>и</w:t>
      </w:r>
      <w:r w:rsidRPr="0088168D">
        <w:t>це МЮ официально оформило механизм сотрудничества между следователями и прокурорами, в результате чего повысилась согласованность расследований и возросло число осужденных преступников. Существенные меры, направле</w:t>
      </w:r>
      <w:r w:rsidRPr="0088168D">
        <w:t>н</w:t>
      </w:r>
      <w:r w:rsidRPr="0088168D">
        <w:t>ные на совершенствование процессов выявления, привлечения к ответственн</w:t>
      </w:r>
      <w:r w:rsidRPr="0088168D">
        <w:t>о</w:t>
      </w:r>
      <w:r w:rsidRPr="0088168D">
        <w:t>сти и увольнения должностных лиц, принимающих участие в торговле люд</w:t>
      </w:r>
      <w:r w:rsidRPr="0088168D">
        <w:t>ь</w:t>
      </w:r>
      <w:r w:rsidRPr="0088168D">
        <w:t>ми, и два зарегистрированных уголовных дела, возбужденных против госуда</w:t>
      </w:r>
      <w:r w:rsidRPr="0088168D">
        <w:t>р</w:t>
      </w:r>
      <w:r w:rsidRPr="0088168D">
        <w:t>ственных чиновников, содействовавших незаконному выезду иностранных р</w:t>
      </w:r>
      <w:r w:rsidRPr="0088168D">
        <w:t>а</w:t>
      </w:r>
      <w:r w:rsidRPr="0088168D">
        <w:t xml:space="preserve">бочих, также способствовали улучшению положения. </w:t>
      </w:r>
    </w:p>
    <w:p w:rsidR="002665C4" w:rsidRPr="0088168D" w:rsidRDefault="002665C4" w:rsidP="007E5D5A">
      <w:pPr>
        <w:pStyle w:val="SingleTxt"/>
      </w:pPr>
      <w:r w:rsidRPr="0088168D">
        <w:t>65.</w:t>
      </w:r>
      <w:r w:rsidRPr="0088168D">
        <w:tab/>
        <w:t>Государство-участник в лице Министерства иностранных дел (МИД) с</w:t>
      </w:r>
      <w:r w:rsidRPr="0088168D">
        <w:t>о</w:t>
      </w:r>
      <w:r w:rsidRPr="0088168D">
        <w:t>действует ратификации Палермского протокола о предупреждении и пресеч</w:t>
      </w:r>
      <w:r w:rsidRPr="0088168D">
        <w:t>е</w:t>
      </w:r>
      <w:r w:rsidRPr="0088168D">
        <w:t>нии торговли людьми и полному и эффективному осуществлению Глобального плана действий по борьбе с торговлей людьми. Оно входит в число 20</w:t>
      </w:r>
      <w:r w:rsidR="007E5D5A">
        <w:t> </w:t>
      </w:r>
      <w:r w:rsidRPr="0088168D">
        <w:t>стран, образовавших Группу друзей, объединившихся в борьбе с торговлей люд</w:t>
      </w:r>
      <w:r w:rsidRPr="0088168D">
        <w:t>ь</w:t>
      </w:r>
      <w:r w:rsidRPr="0088168D">
        <w:t>ми,</w:t>
      </w:r>
      <w:r w:rsidR="007E5D5A">
        <w:t xml:space="preserve"> — </w:t>
      </w:r>
      <w:r w:rsidRPr="0088168D">
        <w:t>неформальную, добровольную ассоциацию открытого состава гос</w:t>
      </w:r>
      <w:r w:rsidRPr="0088168D">
        <w:t>у</w:t>
      </w:r>
      <w:r w:rsidRPr="0088168D">
        <w:t>дарств</w:t>
      </w:r>
      <w:r w:rsidR="007E5D5A">
        <w:t xml:space="preserve"> — </w:t>
      </w:r>
      <w:r w:rsidRPr="0088168D">
        <w:t>членов ООН, целью которой является активизация общемировой борьбы с торговлей людьми. Она главным образом содействует осуществлению Глобального плана действий по борьбе с торговлей людьми, в котором учас</w:t>
      </w:r>
      <w:r w:rsidRPr="0088168D">
        <w:t>т</w:t>
      </w:r>
      <w:r w:rsidRPr="0088168D">
        <w:t>вуют основные заинтересованные стороны, такие как правительства, гражда</w:t>
      </w:r>
      <w:r w:rsidRPr="0088168D">
        <w:t>н</w:t>
      </w:r>
      <w:r w:rsidRPr="0088168D">
        <w:t>ское общество, средства массовой информации и частный бизнес. Она выст</w:t>
      </w:r>
      <w:r w:rsidRPr="0088168D">
        <w:t>у</w:t>
      </w:r>
      <w:r w:rsidRPr="0088168D">
        <w:t xml:space="preserve">пает одним из авторов ежегодной резолюции Совета по правам человека </w:t>
      </w:r>
      <w:r w:rsidR="007E5D5A">
        <w:t>Орг</w:t>
      </w:r>
      <w:r w:rsidR="007E5D5A">
        <w:t>а</w:t>
      </w:r>
      <w:r w:rsidR="007E5D5A">
        <w:t xml:space="preserve">низации Объединенных Наций </w:t>
      </w:r>
      <w:r w:rsidRPr="0088168D">
        <w:t>о торговле людьми.</w:t>
      </w:r>
    </w:p>
    <w:p w:rsidR="002665C4" w:rsidRDefault="002665C4" w:rsidP="007E5D5A">
      <w:pPr>
        <w:pStyle w:val="SingleTxt"/>
      </w:pPr>
      <w:r w:rsidRPr="0088168D">
        <w:t>66.</w:t>
      </w:r>
      <w:r w:rsidRPr="0088168D">
        <w:tab/>
        <w:t>Государство-участник также активно выступало в АСЕАН за усиление с</w:t>
      </w:r>
      <w:r w:rsidRPr="0088168D">
        <w:t>о</w:t>
      </w:r>
      <w:r w:rsidRPr="0088168D">
        <w:t>трудничества в борьбе с торговлей людьми между государствами</w:t>
      </w:r>
      <w:r w:rsidR="007E5D5A">
        <w:t xml:space="preserve"> — </w:t>
      </w:r>
      <w:r w:rsidRPr="0088168D">
        <w:t>членами АСЕАН. Существует действующая Декларация АСЕАН о борьбе с торговлей людьми, особенно женщинами и детьми, подписанная в 2004 году, и План де</w:t>
      </w:r>
      <w:r w:rsidRPr="0088168D">
        <w:t>й</w:t>
      </w:r>
      <w:r w:rsidRPr="0088168D">
        <w:t>ствий АСЕАН в области борьбы с транснациональной преступностью, выпо</w:t>
      </w:r>
      <w:r w:rsidRPr="0088168D">
        <w:t>л</w:t>
      </w:r>
      <w:r w:rsidRPr="0088168D">
        <w:t>ненный в 2010–2012 годах, направленные на дальнейшее усиление регионал</w:t>
      </w:r>
      <w:r w:rsidRPr="0088168D">
        <w:t>ь</w:t>
      </w:r>
      <w:r w:rsidRPr="0088168D">
        <w:t>ного и международного сотрудничества в целях борьбы с торговлей людьми и искоренения торговли людьми. Оценка результатов этого плана действий и</w:t>
      </w:r>
      <w:r w:rsidRPr="0088168D">
        <w:t>с</w:t>
      </w:r>
      <w:r w:rsidRPr="0088168D">
        <w:t>пользуется в качестве основы в постоянном обсуждении возможной конвенции о торговле людьми и регионального плана действий. В совместном заявлении, с которым выступили лидеры АСЕАН в 2011 году, они договорились, помимо прочего, поставить министрам, отвечающим за борьбу с транснациональной преступностью, задачу ускорения рассмотрения Конвенции АСЕАН о торговле людьми.</w:t>
      </w:r>
    </w:p>
    <w:p w:rsidR="007E5D5A" w:rsidRPr="007E5D5A" w:rsidRDefault="007E5D5A" w:rsidP="007E5D5A">
      <w:pPr>
        <w:pStyle w:val="SingleTxtG"/>
        <w:tabs>
          <w:tab w:val="left" w:pos="1560"/>
        </w:tabs>
        <w:spacing w:after="0" w:line="120" w:lineRule="exact"/>
        <w:rPr>
          <w:sz w:val="10"/>
        </w:rPr>
      </w:pPr>
    </w:p>
    <w:p w:rsidR="002665C4" w:rsidRDefault="007E5D5A" w:rsidP="007E5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88168D">
        <w:t>О задержании и привлечении к ответственности торговцев людьми</w:t>
      </w:r>
    </w:p>
    <w:p w:rsidR="007E5D5A" w:rsidRPr="007E5D5A" w:rsidRDefault="007E5D5A" w:rsidP="007E5D5A">
      <w:pPr>
        <w:pStyle w:val="SingleTxt"/>
        <w:spacing w:after="0" w:line="120" w:lineRule="exact"/>
        <w:rPr>
          <w:sz w:val="10"/>
        </w:rPr>
      </w:pPr>
    </w:p>
    <w:p w:rsidR="002665C4" w:rsidRPr="0088168D" w:rsidRDefault="002665C4" w:rsidP="007E5D5A">
      <w:pPr>
        <w:pStyle w:val="SingleTxt"/>
      </w:pPr>
      <w:r w:rsidRPr="0088168D">
        <w:t>67.</w:t>
      </w:r>
      <w:r w:rsidRPr="0088168D">
        <w:tab/>
        <w:t>Государство-участник принимает меры по совершенствованию политики и стратегии выявления и привлечения к ответственности торговцев людьми. Одной из основных политических мер, осуществленных за рассматриваемый период, стало внесение поправок в Закон 2003 года о борьбе с торговлей людьми (RA 9208) Республиканским законом № 10364, или Расширенным з</w:t>
      </w:r>
      <w:r w:rsidRPr="0088168D">
        <w:t>а</w:t>
      </w:r>
      <w:r w:rsidRPr="0088168D">
        <w:t>коном 2012 года о борьбе с торговлей людьми. Важнейшие положения нового закона включают следующие:</w:t>
      </w:r>
    </w:p>
    <w:p w:rsidR="002665C4" w:rsidRPr="0088168D" w:rsidRDefault="002665C4" w:rsidP="007E5D5A">
      <w:pPr>
        <w:pStyle w:val="SingleTxt"/>
      </w:pPr>
      <w:r>
        <w:tab/>
      </w:r>
      <w:r w:rsidRPr="0088168D">
        <w:t>a)</w:t>
      </w:r>
      <w:r w:rsidRPr="0088168D">
        <w:tab/>
        <w:t>расширение перечня действий, рассматриваемых как содействующие торговле людьми, например наем для сексуальной эксплуатации под видом д</w:t>
      </w:r>
      <w:r w:rsidRPr="0088168D">
        <w:t>о</w:t>
      </w:r>
      <w:r w:rsidRPr="0088168D">
        <w:t>машней работы или работы за рубежом, принудительный труд или вынужде</w:t>
      </w:r>
      <w:r w:rsidRPr="0088168D">
        <w:t>н</w:t>
      </w:r>
      <w:r w:rsidRPr="0088168D">
        <w:t>ная долговая кабала, уничтожение или фальсификация доказательств, возде</w:t>
      </w:r>
      <w:r w:rsidRPr="0088168D">
        <w:t>й</w:t>
      </w:r>
      <w:r w:rsidRPr="0088168D">
        <w:t xml:space="preserve">ствие на свидетелей в ходе следствия, использование служебного положения для воспрепятствования проведению расследования или выполнению законных приказов; </w:t>
      </w:r>
    </w:p>
    <w:p w:rsidR="002665C4" w:rsidRPr="0088168D" w:rsidRDefault="002665C4" w:rsidP="007E5D5A">
      <w:pPr>
        <w:pStyle w:val="SingleTxt"/>
      </w:pPr>
      <w:r>
        <w:tab/>
      </w:r>
      <w:r w:rsidRPr="0088168D">
        <w:t>b)</w:t>
      </w:r>
      <w:r w:rsidRPr="0088168D">
        <w:tab/>
        <w:t>ужесточение наказания: виновные в торговле людьми могут быть приговорены к тюремному заключению сроком от 6 до 40 лет и штрафу от 50 тыс. до 5 млн. филиппинских песо. Покушение на торговлю людьми нак</w:t>
      </w:r>
      <w:r w:rsidRPr="0088168D">
        <w:t>а</w:t>
      </w:r>
      <w:r w:rsidRPr="0088168D">
        <w:t>зывается тюремным заключением сроком на 15 лет и штрафом от 500 тыс. до 1 млн. филиппинских песо;</w:t>
      </w:r>
    </w:p>
    <w:p w:rsidR="002665C4" w:rsidRPr="0088168D" w:rsidRDefault="002665C4" w:rsidP="007E5D5A">
      <w:pPr>
        <w:pStyle w:val="SingleTxt"/>
      </w:pPr>
      <w:r>
        <w:tab/>
      </w:r>
      <w:r w:rsidRPr="0088168D">
        <w:t>c)</w:t>
      </w:r>
      <w:r w:rsidRPr="0088168D">
        <w:tab/>
        <w:t>информирование населения о лицах, обвиняемых в торговле люд</w:t>
      </w:r>
      <w:r w:rsidRPr="0088168D">
        <w:t>ь</w:t>
      </w:r>
      <w:r w:rsidRPr="0088168D">
        <w:t>ми, в целях предостережения возможных жертв и запрещение раскрытия им</w:t>
      </w:r>
      <w:r w:rsidRPr="0088168D">
        <w:t>е</w:t>
      </w:r>
      <w:r w:rsidRPr="0088168D">
        <w:t>ни и личных данных жертв торговли людьми;</w:t>
      </w:r>
    </w:p>
    <w:p w:rsidR="002665C4" w:rsidRPr="0088168D" w:rsidRDefault="002665C4" w:rsidP="007E5D5A">
      <w:pPr>
        <w:pStyle w:val="SingleTxt"/>
      </w:pPr>
      <w:r>
        <w:tab/>
      </w:r>
      <w:r w:rsidRPr="0088168D">
        <w:t>d)</w:t>
      </w:r>
      <w:r w:rsidRPr="0088168D">
        <w:tab/>
        <w:t>проведение консультаций перед отъездом из страны для филиппи</w:t>
      </w:r>
      <w:r w:rsidRPr="0088168D">
        <w:t>н</w:t>
      </w:r>
      <w:r w:rsidRPr="0088168D">
        <w:t>цев, состоящих в смешанном браке, с тем чтобы женщины, состоя в смеша</w:t>
      </w:r>
      <w:r w:rsidRPr="0088168D">
        <w:t>н</w:t>
      </w:r>
      <w:r w:rsidRPr="0088168D">
        <w:t>ном браке, не стали жертвой торговли людьми под прикрытием брака; и</w:t>
      </w:r>
    </w:p>
    <w:p w:rsidR="002665C4" w:rsidRPr="0088168D" w:rsidRDefault="002665C4" w:rsidP="007E5D5A">
      <w:pPr>
        <w:pStyle w:val="SingleTxt"/>
      </w:pPr>
      <w:r>
        <w:tab/>
      </w:r>
      <w:r w:rsidRPr="0088168D">
        <w:t>e)</w:t>
      </w:r>
      <w:r w:rsidRPr="0088168D">
        <w:tab/>
        <w:t>увеличение финансирования для правительственных учреждений, участвующих в борьбе с торговлей людьми.</w:t>
      </w:r>
    </w:p>
    <w:p w:rsidR="002665C4" w:rsidRPr="0088168D" w:rsidRDefault="002665C4" w:rsidP="007E5D5A">
      <w:pPr>
        <w:pStyle w:val="SingleTxt"/>
      </w:pPr>
      <w:r w:rsidRPr="0088168D">
        <w:t>68.</w:t>
      </w:r>
      <w:r w:rsidRPr="0088168D">
        <w:tab/>
        <w:t xml:space="preserve">Межучрежденческий совет по борьбе с торговлей людьми </w:t>
      </w:r>
      <w:r w:rsidRPr="0088168D">
        <w:rPr>
          <w:bCs/>
          <w:iCs/>
        </w:rPr>
        <w:t>(МСБТЛ) гос</w:t>
      </w:r>
      <w:r w:rsidRPr="0088168D">
        <w:rPr>
          <w:bCs/>
          <w:iCs/>
        </w:rPr>
        <w:t>у</w:t>
      </w:r>
      <w:r w:rsidRPr="0088168D">
        <w:rPr>
          <w:bCs/>
          <w:iCs/>
        </w:rPr>
        <w:t>дарства-участника как государственный механизм</w:t>
      </w:r>
      <w:r w:rsidRPr="0088168D">
        <w:t xml:space="preserve"> разработал следующие п</w:t>
      </w:r>
      <w:r w:rsidRPr="0088168D">
        <w:t>о</w:t>
      </w:r>
      <w:r w:rsidRPr="0088168D">
        <w:t>литические меры и руководящие принципы по усилению расследований и уг</w:t>
      </w:r>
      <w:r w:rsidRPr="0088168D">
        <w:t>о</w:t>
      </w:r>
      <w:r w:rsidRPr="0088168D">
        <w:t>ловного преследования по делам о торговле людьми: a) Стандартные опер</w:t>
      </w:r>
      <w:r w:rsidRPr="0088168D">
        <w:t>а</w:t>
      </w:r>
      <w:r w:rsidRPr="0088168D">
        <w:t>тивные процедуры для оперативных групп по борьбе с торговлей людьми в международных аэропортах; b) Руководство по правоохранительной деятел</w:t>
      </w:r>
      <w:r w:rsidRPr="0088168D">
        <w:t>ь</w:t>
      </w:r>
      <w:r w:rsidRPr="0088168D">
        <w:t xml:space="preserve">ности и уголовному преследованию по делам о торговле людьми; c) Типовое местное постановление о борьбе с торговлей людьми. </w:t>
      </w:r>
    </w:p>
    <w:p w:rsidR="002665C4" w:rsidRPr="0088168D" w:rsidRDefault="002665C4" w:rsidP="007E5D5A">
      <w:pPr>
        <w:pStyle w:val="SingleTxt"/>
      </w:pPr>
      <w:r w:rsidRPr="0088168D">
        <w:t>69.</w:t>
      </w:r>
      <w:r w:rsidRPr="0088168D">
        <w:tab/>
        <w:t>В целях совершенствования розыска и задержания преступников МСБТЛ образовал оперативные группы для немедленного пресечения деятельности подозреваемых в торговле людьми преступных синдикатов в аэропортах тра</w:t>
      </w:r>
      <w:r w:rsidRPr="0088168D">
        <w:t>н</w:t>
      </w:r>
      <w:r w:rsidRPr="0088168D">
        <w:t>зитных пунктов, на суше и на воде, а также для реагирования на случаи то</w:t>
      </w:r>
      <w:r w:rsidRPr="0088168D">
        <w:t>р</w:t>
      </w:r>
      <w:r w:rsidRPr="0088168D">
        <w:t>говли людьми. Они включают оперативную группу по борьбе с торговлей людьми Министерства юстиции, в состав которой входят имеющие специал</w:t>
      </w:r>
      <w:r w:rsidRPr="0088168D">
        <w:t>ь</w:t>
      </w:r>
      <w:r w:rsidRPr="0088168D">
        <w:t>ную подготовку прокуроры из центрального управления, региональных и г</w:t>
      </w:r>
      <w:r w:rsidRPr="0088168D">
        <w:t>о</w:t>
      </w:r>
      <w:r w:rsidRPr="0088168D">
        <w:t>родских отделов; а также оперативную группу по борьбе с торговлей людьми международного аэропорта имени Ниноя Акино в составе сотрудников разли</w:t>
      </w:r>
      <w:r w:rsidRPr="0088168D">
        <w:t>ч</w:t>
      </w:r>
      <w:r w:rsidRPr="0088168D">
        <w:t>ных правоохранительных органов, которые отслеживают случаи, связанные с торговлей людьми (ТЛ), в аэропорту, задерживают не имеющих документов пассажиров, содействуют возвращению жертв ТЛ и оказывают помощь в во</w:t>
      </w:r>
      <w:r w:rsidRPr="0088168D">
        <w:t>з</w:t>
      </w:r>
      <w:r w:rsidRPr="0088168D">
        <w:t>буждении дел о ТЛ. В международном аэропорту также создана судебная лаб</w:t>
      </w:r>
      <w:r w:rsidRPr="0088168D">
        <w:t>о</w:t>
      </w:r>
      <w:r w:rsidRPr="0088168D">
        <w:t>ратория по определению подлинности документов в целях выявления фальш</w:t>
      </w:r>
      <w:r w:rsidRPr="0088168D">
        <w:t>и</w:t>
      </w:r>
      <w:r w:rsidRPr="0088168D">
        <w:t>вых проездных документов.</w:t>
      </w:r>
    </w:p>
    <w:p w:rsidR="002665C4" w:rsidRDefault="002665C4" w:rsidP="007E5D5A">
      <w:pPr>
        <w:pStyle w:val="SingleTxt"/>
      </w:pPr>
      <w:r w:rsidRPr="0088168D">
        <w:t>70.</w:t>
      </w:r>
      <w:r w:rsidRPr="0088168D">
        <w:tab/>
        <w:t>Что касается обвинительных приговоров, по состоянию на январь 2014 года в государстве-участнике было вынесено 118 приговоров и осуждены 137 человек. Как видно из приведенных ниже цифр, за период с 2005–2010 г</w:t>
      </w:r>
      <w:r w:rsidRPr="0088168D">
        <w:t>о</w:t>
      </w:r>
      <w:r w:rsidRPr="0088168D">
        <w:t>дов до 2010–2014 (январь) годов количество обвинительных приговоров заме</w:t>
      </w:r>
      <w:r w:rsidRPr="0088168D">
        <w:t>т</w:t>
      </w:r>
      <w:r w:rsidRPr="0088168D">
        <w:t>но возросло:</w:t>
      </w:r>
    </w:p>
    <w:p w:rsidR="002665C4" w:rsidRPr="007E5D5A" w:rsidRDefault="002665C4" w:rsidP="007E5D5A">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968"/>
        <w:gridCol w:w="2176"/>
        <w:gridCol w:w="2177"/>
      </w:tblGrid>
      <w:tr w:rsidR="007E5D5A" w:rsidRPr="000A63A8" w:rsidTr="00EB61BD">
        <w:trPr>
          <w:tblHeader/>
        </w:trPr>
        <w:tc>
          <w:tcPr>
            <w:tcW w:w="2968" w:type="dxa"/>
            <w:tcBorders>
              <w:top w:val="single" w:sz="4" w:space="0" w:color="auto"/>
              <w:bottom w:val="single" w:sz="12" w:space="0" w:color="auto"/>
            </w:tcBorders>
            <w:shd w:val="clear" w:color="auto" w:fill="auto"/>
            <w:vAlign w:val="bottom"/>
          </w:tcPr>
          <w:p w:rsidR="007E5D5A" w:rsidRPr="000A63A8" w:rsidRDefault="007E5D5A" w:rsidP="007E5D5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7E5D5A">
              <w:rPr>
                <w:rFonts w:eastAsia="Times New Roman"/>
                <w:i/>
                <w:sz w:val="14"/>
              </w:rPr>
              <w:t>Годы</w:t>
            </w:r>
          </w:p>
        </w:tc>
        <w:tc>
          <w:tcPr>
            <w:tcW w:w="2176" w:type="dxa"/>
            <w:tcBorders>
              <w:top w:val="single" w:sz="4" w:space="0" w:color="auto"/>
              <w:bottom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E5D5A">
              <w:rPr>
                <w:rFonts w:eastAsia="Times New Roman"/>
                <w:i/>
                <w:sz w:val="14"/>
              </w:rPr>
              <w:t>Количество приговоров</w:t>
            </w:r>
          </w:p>
        </w:tc>
        <w:tc>
          <w:tcPr>
            <w:tcW w:w="2177" w:type="dxa"/>
            <w:tcBorders>
              <w:top w:val="single" w:sz="4" w:space="0" w:color="auto"/>
              <w:bottom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E5D5A">
              <w:rPr>
                <w:rFonts w:eastAsia="Times New Roman"/>
                <w:i/>
                <w:sz w:val="14"/>
              </w:rPr>
              <w:t>Количество осужденных</w:t>
            </w:r>
          </w:p>
        </w:tc>
      </w:tr>
      <w:tr w:rsidR="007E5D5A" w:rsidRPr="000A63A8" w:rsidTr="00EB61BD">
        <w:trPr>
          <w:trHeight w:hRule="exact" w:val="115"/>
          <w:tblHeader/>
        </w:trPr>
        <w:tc>
          <w:tcPr>
            <w:tcW w:w="2968" w:type="dxa"/>
            <w:tcBorders>
              <w:top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2176" w:type="dxa"/>
            <w:tcBorders>
              <w:top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177" w:type="dxa"/>
            <w:tcBorders>
              <w:top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7E5D5A" w:rsidRPr="000A63A8" w:rsidTr="00EB61BD">
        <w:tc>
          <w:tcPr>
            <w:tcW w:w="2968" w:type="dxa"/>
            <w:shd w:val="clear" w:color="auto" w:fill="auto"/>
            <w:vAlign w:val="bottom"/>
          </w:tcPr>
          <w:p w:rsidR="007E5D5A" w:rsidRPr="000A63A8" w:rsidRDefault="007E5D5A" w:rsidP="007E5D5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7E5D5A">
              <w:rPr>
                <w:rFonts w:eastAsia="Times New Roman"/>
                <w:sz w:val="17"/>
              </w:rPr>
              <w:t>2005–2010 годы (до июня)</w:t>
            </w:r>
          </w:p>
        </w:tc>
        <w:tc>
          <w:tcPr>
            <w:tcW w:w="2176" w:type="dxa"/>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A63A8">
              <w:rPr>
                <w:rFonts w:eastAsia="Times New Roman"/>
                <w:sz w:val="17"/>
              </w:rPr>
              <w:t>29</w:t>
            </w:r>
          </w:p>
        </w:tc>
        <w:tc>
          <w:tcPr>
            <w:tcW w:w="2177" w:type="dxa"/>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A63A8">
              <w:rPr>
                <w:rFonts w:eastAsia="Times New Roman"/>
                <w:sz w:val="17"/>
              </w:rPr>
              <w:t>30</w:t>
            </w:r>
          </w:p>
        </w:tc>
      </w:tr>
      <w:tr w:rsidR="007E5D5A" w:rsidRPr="000A63A8" w:rsidTr="00EB61BD">
        <w:tc>
          <w:tcPr>
            <w:tcW w:w="2968" w:type="dxa"/>
            <w:tcBorders>
              <w:bottom w:val="single" w:sz="4" w:space="0" w:color="auto"/>
            </w:tcBorders>
            <w:shd w:val="clear" w:color="auto" w:fill="auto"/>
            <w:vAlign w:val="bottom"/>
          </w:tcPr>
          <w:p w:rsidR="007E5D5A" w:rsidRPr="000A63A8" w:rsidRDefault="007E5D5A" w:rsidP="007E5D5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Times New Roman"/>
                <w:sz w:val="17"/>
              </w:rPr>
            </w:pPr>
            <w:r w:rsidRPr="007E5D5A">
              <w:rPr>
                <w:rFonts w:eastAsia="Times New Roman"/>
                <w:sz w:val="17"/>
              </w:rPr>
              <w:t>июль 2010 года</w:t>
            </w:r>
            <w:r>
              <w:rPr>
                <w:rFonts w:eastAsia="Times New Roman"/>
                <w:sz w:val="17"/>
              </w:rPr>
              <w:t xml:space="preserve"> — </w:t>
            </w:r>
            <w:r w:rsidRPr="007E5D5A">
              <w:rPr>
                <w:rFonts w:eastAsia="Times New Roman"/>
                <w:sz w:val="17"/>
              </w:rPr>
              <w:t>январь 2014 года</w:t>
            </w:r>
          </w:p>
        </w:tc>
        <w:tc>
          <w:tcPr>
            <w:tcW w:w="2176" w:type="dxa"/>
            <w:tcBorders>
              <w:bottom w:val="single" w:sz="4"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0A63A8">
              <w:rPr>
                <w:rFonts w:eastAsia="Times New Roman"/>
                <w:sz w:val="17"/>
              </w:rPr>
              <w:t>89</w:t>
            </w:r>
          </w:p>
        </w:tc>
        <w:tc>
          <w:tcPr>
            <w:tcW w:w="2177" w:type="dxa"/>
            <w:tcBorders>
              <w:bottom w:val="single" w:sz="4"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0A63A8">
              <w:rPr>
                <w:rFonts w:eastAsia="Times New Roman"/>
                <w:sz w:val="17"/>
              </w:rPr>
              <w:t>107</w:t>
            </w:r>
          </w:p>
        </w:tc>
      </w:tr>
      <w:tr w:rsidR="007E5D5A" w:rsidRPr="000A63A8" w:rsidTr="00EB61BD">
        <w:tc>
          <w:tcPr>
            <w:tcW w:w="2968" w:type="dxa"/>
            <w:tcBorders>
              <w:top w:val="single" w:sz="4" w:space="0" w:color="auto"/>
              <w:bottom w:val="single" w:sz="12" w:space="0" w:color="auto"/>
            </w:tcBorders>
            <w:shd w:val="clear" w:color="auto" w:fill="auto"/>
            <w:vAlign w:val="bottom"/>
          </w:tcPr>
          <w:p w:rsidR="007E5D5A" w:rsidRPr="000A63A8" w:rsidRDefault="007E5D5A" w:rsidP="007E5D5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rFonts w:eastAsia="Times New Roman"/>
                <w:b/>
                <w:sz w:val="17"/>
              </w:rPr>
            </w:pPr>
            <w:r w:rsidRPr="000A63A8">
              <w:rPr>
                <w:rFonts w:eastAsia="Times New Roman"/>
                <w:b/>
                <w:sz w:val="17"/>
              </w:rPr>
              <w:tab/>
            </w:r>
            <w:r w:rsidRPr="007E5D5A">
              <w:rPr>
                <w:rFonts w:eastAsia="Times New Roman"/>
                <w:b/>
                <w:sz w:val="17"/>
              </w:rPr>
              <w:t>Всего</w:t>
            </w:r>
          </w:p>
        </w:tc>
        <w:tc>
          <w:tcPr>
            <w:tcW w:w="2176" w:type="dxa"/>
            <w:tcBorders>
              <w:top w:val="single" w:sz="4" w:space="0" w:color="auto"/>
              <w:bottom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0A63A8">
              <w:rPr>
                <w:rFonts w:eastAsia="Times New Roman"/>
                <w:b/>
                <w:sz w:val="17"/>
              </w:rPr>
              <w:t>118</w:t>
            </w:r>
          </w:p>
        </w:tc>
        <w:tc>
          <w:tcPr>
            <w:tcW w:w="2177" w:type="dxa"/>
            <w:tcBorders>
              <w:top w:val="single" w:sz="4" w:space="0" w:color="auto"/>
              <w:bottom w:val="single" w:sz="12" w:space="0" w:color="auto"/>
            </w:tcBorders>
            <w:shd w:val="clear" w:color="auto" w:fill="auto"/>
            <w:vAlign w:val="bottom"/>
          </w:tcPr>
          <w:p w:rsidR="007E5D5A" w:rsidRPr="000A63A8" w:rsidRDefault="007E5D5A" w:rsidP="00EB61B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0A63A8">
              <w:rPr>
                <w:rFonts w:eastAsia="Times New Roman"/>
                <w:b/>
                <w:sz w:val="17"/>
              </w:rPr>
              <w:t>137</w:t>
            </w:r>
          </w:p>
        </w:tc>
      </w:tr>
    </w:tbl>
    <w:p w:rsidR="002665C4" w:rsidRPr="004F0A21" w:rsidRDefault="002665C4" w:rsidP="004F0A21">
      <w:pPr>
        <w:pStyle w:val="SingleTxt"/>
        <w:spacing w:after="0" w:line="120" w:lineRule="exact"/>
        <w:rPr>
          <w:sz w:val="10"/>
        </w:rPr>
      </w:pPr>
    </w:p>
    <w:p w:rsidR="004F0A21" w:rsidRPr="004F0A21" w:rsidRDefault="004F0A21" w:rsidP="004F0A21">
      <w:pPr>
        <w:pStyle w:val="SingleTxt"/>
        <w:spacing w:after="0" w:line="120" w:lineRule="exact"/>
        <w:rPr>
          <w:sz w:val="10"/>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Механизмы и программы совершенствования ответных мер и помощи жерт</w:t>
      </w:r>
      <w:r>
        <w:t>вам</w:t>
      </w:r>
    </w:p>
    <w:p w:rsidR="004F0A21" w:rsidRPr="004F0A21" w:rsidRDefault="004F0A21" w:rsidP="004F0A21">
      <w:pPr>
        <w:pStyle w:val="SingleTxt"/>
        <w:spacing w:after="0" w:line="120" w:lineRule="exact"/>
        <w:rPr>
          <w:sz w:val="10"/>
        </w:rPr>
      </w:pPr>
    </w:p>
    <w:p w:rsidR="002665C4" w:rsidRPr="002665C4" w:rsidRDefault="002665C4" w:rsidP="007E5D5A">
      <w:pPr>
        <w:pStyle w:val="SingleTxt"/>
      </w:pPr>
      <w:r w:rsidRPr="002665C4">
        <w:t>71.</w:t>
      </w:r>
      <w:r w:rsidRPr="002665C4">
        <w:tab/>
        <w:t>МСБТЛ является механизмом государства-участника, который координ</w:t>
      </w:r>
      <w:r w:rsidRPr="002665C4">
        <w:t>и</w:t>
      </w:r>
      <w:r w:rsidRPr="002665C4">
        <w:t>рует и контролирует осуществление мер борьбы с торговлей людьми. Он был учрежден в соответствии с требованием Республиканского закона № 9208, или Закона 2003 года о борьбе с торговлей людьми. Его сопредседателями являю</w:t>
      </w:r>
      <w:r w:rsidRPr="002665C4">
        <w:t>т</w:t>
      </w:r>
      <w:r w:rsidRPr="002665C4">
        <w:t>ся министры юстиции и социального обеспечения и развития (МСОР), в его состав входят другие соответствующие ведомства. Он представлен на субнац</w:t>
      </w:r>
      <w:r w:rsidRPr="002665C4">
        <w:t>и</w:t>
      </w:r>
      <w:r w:rsidRPr="002665C4">
        <w:t>ональном уровне региональными советами РМСБТЛ-НОДЖ (региональные с</w:t>
      </w:r>
      <w:r w:rsidRPr="002665C4">
        <w:t>о</w:t>
      </w:r>
      <w:r w:rsidRPr="002665C4">
        <w:t>веты) и МСБТЛ-НОДЖ (местные советы). Они действуют в 17 регионах стр</w:t>
      </w:r>
      <w:r w:rsidRPr="002665C4">
        <w:t>а</w:t>
      </w:r>
      <w:r w:rsidRPr="002665C4">
        <w:t>ны</w:t>
      </w:r>
      <w:r w:rsidRPr="002665C4">
        <w:rPr>
          <w:bCs/>
          <w:iCs/>
        </w:rPr>
        <w:t xml:space="preserve">, а также в 40 провинциях, 38 городах и 82 </w:t>
      </w:r>
      <w:r w:rsidRPr="002665C4">
        <w:t>муниципалитетах. Эти механи</w:t>
      </w:r>
      <w:r w:rsidRPr="002665C4">
        <w:t>з</w:t>
      </w:r>
      <w:r w:rsidRPr="002665C4">
        <w:t>мы предназначены для надзора за реализацией законов о торговле людьми и борьбе с НОЖ на местном уровне и повышения потенциала местных партн</w:t>
      </w:r>
      <w:r w:rsidRPr="002665C4">
        <w:t>е</w:t>
      </w:r>
      <w:r w:rsidRPr="002665C4">
        <w:t xml:space="preserve">ров для разработки и осуществления политики и программ борьбы против НОЖ с учетом гендерных факторов. </w:t>
      </w:r>
    </w:p>
    <w:p w:rsidR="002665C4" w:rsidRPr="002665C4" w:rsidRDefault="002665C4" w:rsidP="007E5D5A">
      <w:pPr>
        <w:pStyle w:val="SingleTxt"/>
      </w:pPr>
      <w:r w:rsidRPr="002665C4">
        <w:t>72.</w:t>
      </w:r>
      <w:r w:rsidRPr="002665C4">
        <w:tab/>
        <w:t>Филиппинская база данных о борьбе с торговлей людьми (ФБТЛ) связана с необходимостью создания системы, систематически регистрирующей и о</w:t>
      </w:r>
      <w:r w:rsidRPr="002665C4">
        <w:t>т</w:t>
      </w:r>
      <w:r w:rsidRPr="002665C4">
        <w:t>слеживающей все обращения за предоставлением соответствующих услуг об</w:t>
      </w:r>
      <w:r w:rsidRPr="002665C4">
        <w:t>ъ</w:t>
      </w:r>
      <w:r w:rsidRPr="002665C4">
        <w:t>ектам торговли людьми, а также расследования и уголовного преследования нарушений в соответствии с Республиканским законом № 9208. ФБТЛ является общенациональной базой данных, утвержденной и принятой в целях своевр</w:t>
      </w:r>
      <w:r w:rsidRPr="002665C4">
        <w:t>е</w:t>
      </w:r>
      <w:r w:rsidRPr="002665C4">
        <w:t>менного, согласованного и эффективного реагирования на случаи торговли людьми. ФБТЛ содержит три компонента: услуги по реабилитации и реинт</w:t>
      </w:r>
      <w:r w:rsidRPr="002665C4">
        <w:t>е</w:t>
      </w:r>
      <w:r w:rsidRPr="002665C4">
        <w:t>грации лиц, ставших объектами торговли, расследования и судебное преслед</w:t>
      </w:r>
      <w:r w:rsidRPr="002665C4">
        <w:t>о</w:t>
      </w:r>
      <w:r w:rsidRPr="002665C4">
        <w:t xml:space="preserve">вание по делам о торговле людьми. </w:t>
      </w:r>
    </w:p>
    <w:p w:rsidR="002665C4" w:rsidRPr="002665C4" w:rsidRDefault="002665C4" w:rsidP="007E5D5A">
      <w:pPr>
        <w:pStyle w:val="SingleTxt"/>
      </w:pPr>
      <w:r w:rsidRPr="002665C4">
        <w:t>73.</w:t>
      </w:r>
      <w:r w:rsidRPr="002665C4">
        <w:tab/>
        <w:t>Создана также справочно-информационная система по реабилитации и реинтеграции жертв торговли людьми. Это система, направленная на усиление справочно-информационной сети учреждений, занимающихся объектами то</w:t>
      </w:r>
      <w:r w:rsidRPr="002665C4">
        <w:t>р</w:t>
      </w:r>
      <w:r w:rsidRPr="002665C4">
        <w:t>говли людьми, в целях создания механизма принятия мер и предоставления услуг во избежание повторных опросов жертв. Она также содержит базисные данные для Национальной базы данных по реабилитации и реинтеграции (НБВР)</w:t>
      </w:r>
      <w:r w:rsidR="004F0A21">
        <w:t xml:space="preserve"> — </w:t>
      </w:r>
      <w:r w:rsidRPr="002665C4">
        <w:t>системы баз данных для лиц, ставших объектом торговли людьми, разработанной БМСР. Она была создана в первую очередь для систематизации сбора данных, подготовки докладов о текущей ситуации, тенденциях и потре</w:t>
      </w:r>
      <w:r w:rsidRPr="002665C4">
        <w:t>б</w:t>
      </w:r>
      <w:r w:rsidRPr="002665C4">
        <w:t>ностях жертв и объектов торговли людьми и совершенствования оказания услуг. Кроме того, она предназначена служить механизмом контроля для о</w:t>
      </w:r>
      <w:r w:rsidRPr="002665C4">
        <w:t>т</w:t>
      </w:r>
      <w:r w:rsidRPr="002665C4">
        <w:t>слеживания мероприятий и услуг, предоставляемых лицам, ставшим объектами торговли, в целях обеспечения их благополучной реабилитации и реинтегр</w:t>
      </w:r>
      <w:r w:rsidRPr="002665C4">
        <w:t>а</w:t>
      </w:r>
      <w:r w:rsidRPr="002665C4">
        <w:t>ции в общество. НБВР соединена с Филиппинской базой данных о борьбе с торговлей людьми (ФБТЛ).</w:t>
      </w:r>
    </w:p>
    <w:p w:rsidR="002665C4" w:rsidRPr="002665C4" w:rsidRDefault="002665C4" w:rsidP="007E5D5A">
      <w:pPr>
        <w:pStyle w:val="SingleTxt"/>
      </w:pPr>
      <w:r w:rsidRPr="002665C4">
        <w:t>74.</w:t>
      </w:r>
      <w:r w:rsidRPr="002665C4">
        <w:tab/>
        <w:t>Помимо обеспечения защиты, государство-участник в лице МСОР ос</w:t>
      </w:r>
      <w:r w:rsidRPr="002665C4">
        <w:t>у</w:t>
      </w:r>
      <w:r w:rsidRPr="002665C4">
        <w:t>ществляет всеобъемлющую программу, обеспечивающую надлежащую реаб</w:t>
      </w:r>
      <w:r w:rsidRPr="002665C4">
        <w:t>и</w:t>
      </w:r>
      <w:r w:rsidRPr="002665C4">
        <w:t>литацию и реинтеграцию с помощью услуг, предоставляемых лицам, ставшим объектами торговли,</w:t>
      </w:r>
      <w:r w:rsidR="004F0A21">
        <w:t xml:space="preserve"> — </w:t>
      </w:r>
      <w:r w:rsidRPr="002665C4">
        <w:t>Программу реабилитации и реинтеграции лиц, ста</w:t>
      </w:r>
      <w:r w:rsidRPr="002665C4">
        <w:t>в</w:t>
      </w:r>
      <w:r w:rsidRPr="002665C4">
        <w:t>ших объектами торговли (ПРРОТ). За счет применения многосекторального подхода она обеспечивает полный комплекс услуг по удовлетворению псих</w:t>
      </w:r>
      <w:r w:rsidRPr="002665C4">
        <w:t>о</w:t>
      </w:r>
      <w:r w:rsidRPr="002665C4">
        <w:t>социальных, социальных и экономических потребностей клиентов. Эти услуги включают повышение осведомленности, квалификации и способностей среди членов семьи жертв торговли и общества, в</w:t>
      </w:r>
      <w:r w:rsidR="004F0A21">
        <w:t xml:space="preserve"> </w:t>
      </w:r>
      <w:r w:rsidRPr="002665C4">
        <w:t>которое они будут реинтегриров</w:t>
      </w:r>
      <w:r w:rsidRPr="002665C4">
        <w:t>а</w:t>
      </w:r>
      <w:r w:rsidRPr="002665C4">
        <w:t>ны. ПРРОТ осуществляется в 17 регионах по всей стране, включая АРММ.</w:t>
      </w:r>
    </w:p>
    <w:p w:rsidR="002665C4" w:rsidRPr="002665C4" w:rsidRDefault="002665C4" w:rsidP="002665C4">
      <w:pPr>
        <w:pStyle w:val="SingleTxt"/>
      </w:pPr>
      <w:r w:rsidRPr="002665C4">
        <w:t>75.</w:t>
      </w:r>
      <w:r w:rsidRPr="002665C4">
        <w:tab/>
        <w:t>Государство-участник в 2012</w:t>
      </w:r>
      <w:r w:rsidR="004F0A21">
        <w:t> </w:t>
      </w:r>
      <w:r w:rsidRPr="002665C4">
        <w:t>году предоставило услуги в целом 949 лицам, ставшим жертвами торговли, из 17 регионов и оказало поддержку в виде увеличения финансирования 32 местным органам власти, которое они и</w:t>
      </w:r>
      <w:r w:rsidRPr="002665C4">
        <w:t>с</w:t>
      </w:r>
      <w:r w:rsidRPr="002665C4">
        <w:t>пользовали для оказания экономической помощи и повышения квалификации для жертв торговли людьми, а также на ремонт шести центров в целях расш</w:t>
      </w:r>
      <w:r w:rsidRPr="002665C4">
        <w:t>и</w:t>
      </w:r>
      <w:r w:rsidRPr="002665C4">
        <w:t>рения предоставления услуг в прошлом году. В 2013 году помощь получили в целом 1979 жертв торговли людьми. Основные три ситуации, по которым предоставлялись услуги в рамках данной программы,</w:t>
      </w:r>
      <w:r w:rsidR="004F0A21">
        <w:t xml:space="preserve"> — </w:t>
      </w:r>
      <w:r w:rsidRPr="002665C4">
        <w:t xml:space="preserve">это принудительный труд, проституция и сексуальная эксплуатация. </w:t>
      </w:r>
    </w:p>
    <w:p w:rsidR="002665C4" w:rsidRDefault="002665C4" w:rsidP="002665C4">
      <w:pPr>
        <w:pStyle w:val="SingleTxt"/>
      </w:pPr>
      <w:r w:rsidRPr="002665C4">
        <w:t>76.</w:t>
      </w:r>
      <w:r w:rsidRPr="002665C4">
        <w:tab/>
        <w:t>Специально для филиппинцев за рубежом (ФЗР) и работающих за руб</w:t>
      </w:r>
      <w:r w:rsidRPr="002665C4">
        <w:t>е</w:t>
      </w:r>
      <w:r w:rsidRPr="002665C4">
        <w:t>жом филиппинцев (РЗРФ), находящихся в бедственном положении или в кр</w:t>
      </w:r>
      <w:r w:rsidRPr="002665C4">
        <w:t>и</w:t>
      </w:r>
      <w:r w:rsidRPr="002665C4">
        <w:t xml:space="preserve">зисной ситуации, в частности депортированных и/или репатриантов, ставших жертвами торговли людьми и других форм жестокого обращения, государство-участник в лице МСОР осуществляет программу </w:t>
      </w:r>
      <w:r w:rsidR="004F0A21">
        <w:t>«</w:t>
      </w:r>
      <w:r w:rsidRPr="002665C4">
        <w:t>Услуги по международному социальному обеспечению филиппинских граждан</w:t>
      </w:r>
      <w:r w:rsidR="004F0A21">
        <w:t>»</w:t>
      </w:r>
      <w:r w:rsidRPr="002665C4">
        <w:t xml:space="preserve"> </w:t>
      </w:r>
      <w:r w:rsidRPr="002665C4">
        <w:rPr>
          <w:bCs/>
          <w:iCs/>
        </w:rPr>
        <w:t>(УМСОФГ). УМСОФГ</w:t>
      </w:r>
      <w:r w:rsidRPr="002665C4" w:rsidDel="00A17F61">
        <w:t xml:space="preserve"> </w:t>
      </w:r>
      <w:r w:rsidRPr="002665C4">
        <w:t>официально оформляет систему направления атташе по вопросам социального обеспечения или стажеров по социальному обеспечению в зарубежные страны с большой численностью ФЗР и РЗРФ для оказания всеобъемлющих услуг по социальному обеспечению и социальной защите уязвимым и обездоленным ФЗР и РЗРФ и членам их семей.</w:t>
      </w:r>
    </w:p>
    <w:p w:rsidR="004F0A21" w:rsidRPr="004F0A21" w:rsidRDefault="004F0A21" w:rsidP="004F0A21">
      <w:pPr>
        <w:pStyle w:val="SingleTxt"/>
        <w:spacing w:after="0" w:line="120" w:lineRule="exact"/>
        <w:rPr>
          <w:sz w:val="10"/>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Работа с жертвами</w:t>
      </w:r>
    </w:p>
    <w:p w:rsidR="004F0A21" w:rsidRPr="004F0A21" w:rsidRDefault="004F0A21" w:rsidP="004F0A21">
      <w:pPr>
        <w:pStyle w:val="SingleTxt"/>
        <w:spacing w:after="0" w:line="120" w:lineRule="exact"/>
        <w:rPr>
          <w:sz w:val="10"/>
        </w:rPr>
      </w:pPr>
    </w:p>
    <w:p w:rsidR="002665C4" w:rsidRPr="002665C4" w:rsidRDefault="002665C4" w:rsidP="007E5D5A">
      <w:pPr>
        <w:pStyle w:val="SingleTxt"/>
      </w:pPr>
      <w:r w:rsidRPr="002665C4">
        <w:t>77.</w:t>
      </w:r>
      <w:r w:rsidRPr="002665C4">
        <w:tab/>
        <w:t>В целях улучшения обращения с жертвами, ведения наблюдения, спас</w:t>
      </w:r>
      <w:r w:rsidRPr="002665C4">
        <w:t>е</w:t>
      </w:r>
      <w:r w:rsidRPr="002665C4">
        <w:t>ния, а также сбора и мониторинга данных государство-участник через учр</w:t>
      </w:r>
      <w:r w:rsidRPr="002665C4">
        <w:t>е</w:t>
      </w:r>
      <w:r w:rsidRPr="002665C4">
        <w:t>ждения при МСБТЛ осуществляет меры по укреплению потенциала поставщ</w:t>
      </w:r>
      <w:r w:rsidRPr="002665C4">
        <w:t>и</w:t>
      </w:r>
      <w:r w:rsidRPr="002665C4">
        <w:t>ков услуг. В целом проведено 104 учебных занятия и семинара для сотрудн</w:t>
      </w:r>
      <w:r w:rsidRPr="002665C4">
        <w:t>и</w:t>
      </w:r>
      <w:r w:rsidRPr="002665C4">
        <w:t>ков правоохранительных органов (агентов разведки, сотрудников иммиграц</w:t>
      </w:r>
      <w:r w:rsidRPr="002665C4">
        <w:t>и</w:t>
      </w:r>
      <w:r w:rsidRPr="002665C4">
        <w:t>онной службы, полицейских и даже морских пехотинцев), прокуроров, судей, социальных работников, сотрудников служб занятости, сотрудников местных органов власти, а также членов неправительственных организаций и организ</w:t>
      </w:r>
      <w:r w:rsidRPr="002665C4">
        <w:t>а</w:t>
      </w:r>
      <w:r w:rsidRPr="002665C4">
        <w:t>ций государственных служащих. МЮ и МИД также организовали учебную подготовку для сотрудников дипломатической службы (СДС), работающих в странах, где отмечено значительное количество случаев торговли людьми.</w:t>
      </w:r>
    </w:p>
    <w:p w:rsidR="002665C4" w:rsidRPr="002665C4" w:rsidRDefault="002665C4" w:rsidP="002665C4">
      <w:pPr>
        <w:pStyle w:val="SingleTxt"/>
        <w:rPr>
          <w:bCs/>
          <w:iCs/>
        </w:rPr>
      </w:pPr>
      <w:r w:rsidRPr="002665C4">
        <w:rPr>
          <w:bCs/>
          <w:iCs/>
        </w:rPr>
        <w:t>78.</w:t>
      </w:r>
      <w:r w:rsidRPr="002665C4">
        <w:rPr>
          <w:bCs/>
          <w:iCs/>
        </w:rPr>
        <w:tab/>
      </w:r>
      <w:r w:rsidRPr="002665C4">
        <w:t>Государство в рамках Юридической академии Верховного суда Филиппин (САВСФ) провело обязательную подготовку должностных лиц правоохран</w:t>
      </w:r>
      <w:r w:rsidRPr="002665C4">
        <w:t>и</w:t>
      </w:r>
      <w:r w:rsidRPr="002665C4">
        <w:t>тельных органов, прокуроров и судей по законодательству в области борьбы с торговлей людьми</w:t>
      </w:r>
      <w:r w:rsidRPr="002665C4">
        <w:rPr>
          <w:bCs/>
        </w:rPr>
        <w:t xml:space="preserve">. В целом за </w:t>
      </w:r>
      <w:r w:rsidRPr="002665C4">
        <w:rPr>
          <w:bCs/>
          <w:iCs/>
        </w:rPr>
        <w:t xml:space="preserve">2008–2013 годы </w:t>
      </w:r>
      <w:r w:rsidRPr="002665C4">
        <w:rPr>
          <w:bCs/>
        </w:rPr>
        <w:t>проведено 36 учебных пр</w:t>
      </w:r>
      <w:r w:rsidRPr="002665C4">
        <w:rPr>
          <w:bCs/>
        </w:rPr>
        <w:t>о</w:t>
      </w:r>
      <w:r w:rsidRPr="002665C4">
        <w:rPr>
          <w:bCs/>
        </w:rPr>
        <w:t xml:space="preserve">грамм по Закону RA 9208, в том числе 24 курса </w:t>
      </w:r>
      <w:r w:rsidR="004F0A21">
        <w:rPr>
          <w:bCs/>
        </w:rPr>
        <w:t>«</w:t>
      </w:r>
      <w:r w:rsidRPr="002665C4">
        <w:rPr>
          <w:bCs/>
        </w:rPr>
        <w:t>Повышение квалификации с</w:t>
      </w:r>
      <w:r w:rsidRPr="002665C4">
        <w:rPr>
          <w:bCs/>
        </w:rPr>
        <w:t>у</w:t>
      </w:r>
      <w:r w:rsidRPr="002665C4">
        <w:rPr>
          <w:bCs/>
        </w:rPr>
        <w:t>дей судов по семейным делам и сотрудников судов по ведению дел о жестоком обращении с детьми и торговле людьми</w:t>
      </w:r>
      <w:r w:rsidR="004F0A21">
        <w:rPr>
          <w:bCs/>
        </w:rPr>
        <w:t>»</w:t>
      </w:r>
      <w:r w:rsidRPr="002665C4">
        <w:rPr>
          <w:bCs/>
          <w:iCs/>
        </w:rPr>
        <w:t>. Целью программы является повыш</w:t>
      </w:r>
      <w:r w:rsidRPr="002665C4">
        <w:rPr>
          <w:bCs/>
          <w:iCs/>
        </w:rPr>
        <w:t>е</w:t>
      </w:r>
      <w:r w:rsidRPr="002665C4">
        <w:rPr>
          <w:bCs/>
          <w:iCs/>
        </w:rPr>
        <w:t>ние квалификации судей, прокуроров и сотрудников судов по семейным делам и мировых</w:t>
      </w:r>
      <w:r w:rsidRPr="002665C4">
        <w:rPr>
          <w:b/>
          <w:bCs/>
          <w:i/>
          <w:iCs/>
        </w:rPr>
        <w:t xml:space="preserve"> </w:t>
      </w:r>
      <w:r w:rsidRPr="002665C4">
        <w:rPr>
          <w:bCs/>
          <w:iCs/>
        </w:rPr>
        <w:t>судов по ведению дел о сексуальном надругательстве и коммерч</w:t>
      </w:r>
      <w:r w:rsidRPr="002665C4">
        <w:rPr>
          <w:bCs/>
          <w:iCs/>
        </w:rPr>
        <w:t>е</w:t>
      </w:r>
      <w:r w:rsidRPr="002665C4">
        <w:rPr>
          <w:bCs/>
          <w:iCs/>
        </w:rPr>
        <w:t>ской сексуальной эксплуатации</w:t>
      </w:r>
      <w:r w:rsidRPr="002665C4">
        <w:rPr>
          <w:iCs/>
        </w:rPr>
        <w:t xml:space="preserve">. </w:t>
      </w:r>
    </w:p>
    <w:p w:rsidR="002665C4" w:rsidRPr="002665C4" w:rsidRDefault="002665C4" w:rsidP="002665C4">
      <w:pPr>
        <w:pStyle w:val="SingleTxt"/>
      </w:pPr>
      <w:r w:rsidRPr="002665C4">
        <w:t>79.</w:t>
      </w:r>
      <w:r w:rsidRPr="002665C4">
        <w:tab/>
        <w:t>МСБТЛ разработал руководящие принципы системного и учитывающего гендерные факторы обращения с жертвами для соответствующих учреждений. Они включают Руководство по реабилитации и реинтеграции жертв торговли людьми и еще два пособия по обращению с жертвами торговли людьми в о</w:t>
      </w:r>
      <w:r w:rsidRPr="002665C4">
        <w:t>т</w:t>
      </w:r>
      <w:r w:rsidRPr="002665C4">
        <w:t>ношении детей и женщин соответственно. Еще одно руководство, разработа</w:t>
      </w:r>
      <w:r w:rsidRPr="002665C4">
        <w:t>н</w:t>
      </w:r>
      <w:r w:rsidRPr="002665C4">
        <w:t xml:space="preserve">ное МСОР, </w:t>
      </w:r>
      <w:r w:rsidR="004F0A21">
        <w:t>«</w:t>
      </w:r>
      <w:r w:rsidRPr="002665C4">
        <w:t>Ведение дел с учетом гендерных факторов</w:t>
      </w:r>
      <w:r w:rsidR="004F0A21">
        <w:t>»</w:t>
      </w:r>
      <w:r w:rsidRPr="002665C4">
        <w:t xml:space="preserve"> (ВДГФ), включающее модели практических методов, руководящие принципы, механизмы и инстр</w:t>
      </w:r>
      <w:r w:rsidRPr="002665C4">
        <w:t>у</w:t>
      </w:r>
      <w:r w:rsidRPr="002665C4">
        <w:t xml:space="preserve">менты (в едином комплексе), используется для улучшения ведения дел жертв НОЖ. </w:t>
      </w:r>
    </w:p>
    <w:p w:rsidR="002665C4" w:rsidRPr="002665C4" w:rsidRDefault="002665C4" w:rsidP="002665C4">
      <w:pPr>
        <w:pStyle w:val="SingleTxt"/>
      </w:pPr>
      <w:r w:rsidRPr="002665C4">
        <w:t>80.</w:t>
      </w:r>
      <w:r w:rsidRPr="002665C4">
        <w:tab/>
      </w:r>
      <w:r w:rsidRPr="002665C4">
        <w:rPr>
          <w:iCs/>
        </w:rPr>
        <w:t xml:space="preserve">Государство-участник в лице Министерства труда и занятости </w:t>
      </w:r>
      <w:r w:rsidRPr="002665C4">
        <w:t>(МТЗ) применяет Руководство по рассмотрению жалоб о торговле людьми, незако</w:t>
      </w:r>
      <w:r w:rsidRPr="002665C4">
        <w:t>н</w:t>
      </w:r>
      <w:r w:rsidRPr="002665C4">
        <w:t>ном найме и использовании детского труда в целях упорядочения и повышения эффективности деятельности в отношении дел о торговле людьми, незаконном найме и использования детского труда при применении положений Трудового кодекса и связанных с ним законов: Закона об особой защите детей от жесток</w:t>
      </w:r>
      <w:r w:rsidRPr="002665C4">
        <w:t>о</w:t>
      </w:r>
      <w:r w:rsidRPr="002665C4">
        <w:t>го обращения, эксплуатации и дискриминации, Закона 2003 года о борьбе с торговлей людьми и Закона о рабочих-мигрантах. Описанные в руководстве поэтапные процедуры ориентируют ведомства МТЗ в рассмотрении жалоб на Филиппинах и за рубежом.</w:t>
      </w:r>
    </w:p>
    <w:p w:rsidR="002665C4" w:rsidRDefault="002665C4" w:rsidP="002665C4">
      <w:pPr>
        <w:pStyle w:val="SingleTxt"/>
      </w:pPr>
      <w:r w:rsidRPr="002665C4">
        <w:t>81.</w:t>
      </w:r>
      <w:r w:rsidRPr="002665C4">
        <w:tab/>
        <w:t xml:space="preserve">Информационно-пропагандистская деятельность всегда была составной частью мер по борьбе с торговлей людьми. МЮ организовало </w:t>
      </w:r>
      <w:r w:rsidR="004F0A21">
        <w:t>«</w:t>
      </w:r>
      <w:r w:rsidRPr="002665C4">
        <w:t>информацио</w:t>
      </w:r>
      <w:r w:rsidRPr="002665C4">
        <w:t>н</w:t>
      </w:r>
      <w:r w:rsidR="004F0A21">
        <w:t>ные караваны»</w:t>
      </w:r>
      <w:r w:rsidRPr="002665C4">
        <w:t xml:space="preserve"> в целях распространения информации об указанных законах и предостережения потенциальных жертв. С 2007 года на уровне общин в о</w:t>
      </w:r>
      <w:r w:rsidRPr="002665C4">
        <w:t>т</w:t>
      </w:r>
      <w:r w:rsidRPr="002665C4">
        <w:t>дельных органах власти Комиссией по делам филиппинцев за рубежом (КФР) также проводились просветительские программы, посвященные законам по борьбе с торговлей людьми и по борьбе с НОЖ и другим проблемам, связа</w:t>
      </w:r>
      <w:r w:rsidRPr="002665C4">
        <w:t>н</w:t>
      </w:r>
      <w:r w:rsidRPr="002665C4">
        <w:t>ным с миграцией. С 2010 года КФР председательствует в Комитете пропаганды и коммуникаций (ПРОПКОМ) МСБТЛ и проводит занятия для работников средств массовой информации с целью содействовать повышению качества их материалов о борьбе с торговлей людьми. Кроме того, она обеспечивает в партнерстве с частной структурой горячую линию 1343 по борьбе с торговлей людьми.</w:t>
      </w:r>
    </w:p>
    <w:p w:rsidR="004F0A21" w:rsidRPr="004F0A21" w:rsidRDefault="004F0A21" w:rsidP="004F0A21">
      <w:pPr>
        <w:pStyle w:val="SingleTxt"/>
        <w:spacing w:after="0" w:line="120" w:lineRule="exact"/>
        <w:rPr>
          <w:sz w:val="10"/>
        </w:rPr>
      </w:pPr>
    </w:p>
    <w:p w:rsidR="002665C4" w:rsidRDefault="004F0A21" w:rsidP="004F0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Двусторонние соглашения с принимающими странами в интересах трудящихся-мигрантов</w:t>
      </w:r>
    </w:p>
    <w:p w:rsidR="004F0A21" w:rsidRPr="004F0A21" w:rsidRDefault="004F0A21" w:rsidP="004F0A21">
      <w:pPr>
        <w:pStyle w:val="SingleTxt"/>
        <w:spacing w:after="0" w:line="120" w:lineRule="exact"/>
        <w:rPr>
          <w:sz w:val="10"/>
        </w:rPr>
      </w:pPr>
    </w:p>
    <w:p w:rsidR="002665C4" w:rsidRPr="002665C4" w:rsidRDefault="002665C4" w:rsidP="002665C4">
      <w:pPr>
        <w:pStyle w:val="SingleTxt"/>
      </w:pPr>
      <w:r w:rsidRPr="002665C4">
        <w:t>82.</w:t>
      </w:r>
      <w:r w:rsidRPr="002665C4">
        <w:tab/>
      </w:r>
      <w:r w:rsidRPr="002665C4">
        <w:rPr>
          <w:iCs/>
        </w:rPr>
        <w:t xml:space="preserve">Государство-участник представляет и охраняет интересы работающих за рубежом филиппинцев посредством двусторонних трудовых соглашений. </w:t>
      </w:r>
      <w:r w:rsidRPr="002665C4">
        <w:t xml:space="preserve">В 2013 году </w:t>
      </w:r>
      <w:r w:rsidRPr="002665C4">
        <w:rPr>
          <w:iCs/>
        </w:rPr>
        <w:t>с помощью Филиппинского управления по трудоустройству за р</w:t>
      </w:r>
      <w:r w:rsidRPr="002665C4">
        <w:rPr>
          <w:iCs/>
        </w:rPr>
        <w:t>у</w:t>
      </w:r>
      <w:r w:rsidRPr="002665C4">
        <w:rPr>
          <w:iCs/>
        </w:rPr>
        <w:t xml:space="preserve">бежом </w:t>
      </w:r>
      <w:r w:rsidRPr="002665C4">
        <w:t>(ФУТЗР) оно пересмотрело двусторонние трудовые соглашения (ДТС) с 20 странами, принимающими филиппинских трудящихся-мигрантов. В мае т</w:t>
      </w:r>
      <w:r w:rsidRPr="002665C4">
        <w:t>о</w:t>
      </w:r>
      <w:r w:rsidRPr="002665C4">
        <w:t>го же года оно подписало трудовое соглашение с Королевством Саудовская Аравия, регулирующее льготы и пособия для домашних работников, например еженедельный выходной день, при этом не допуская вычета расходов по найму из их жалованья. Соглашение также включало открытие работодателем ба</w:t>
      </w:r>
      <w:r w:rsidRPr="002665C4">
        <w:t>н</w:t>
      </w:r>
      <w:r w:rsidRPr="002665C4">
        <w:t>ковских счетов на имя работника для контроля за выплатой зарплаты, был с</w:t>
      </w:r>
      <w:r w:rsidRPr="002665C4">
        <w:t>о</w:t>
      </w:r>
      <w:r w:rsidRPr="002665C4">
        <w:t>здан механизм подачи жалоб, начиная с круглосуточной горячей линии по ур</w:t>
      </w:r>
      <w:r w:rsidRPr="002665C4">
        <w:t>е</w:t>
      </w:r>
      <w:r w:rsidRPr="002665C4">
        <w:t>гулированию споров, и гарантирован заработок в размере 400 долл. США еж</w:t>
      </w:r>
      <w:r w:rsidRPr="002665C4">
        <w:t>е</w:t>
      </w:r>
      <w:r w:rsidRPr="002665C4">
        <w:t xml:space="preserve">месячно. Это соглашение может оказать помощь примерно 60 тыс. домашних работников в Саудовской Аравии. </w:t>
      </w:r>
    </w:p>
    <w:p w:rsidR="002665C4" w:rsidRDefault="002665C4" w:rsidP="002665C4">
      <w:pPr>
        <w:pStyle w:val="SingleTxt"/>
      </w:pPr>
      <w:r w:rsidRPr="002665C4">
        <w:t>83.</w:t>
      </w:r>
      <w:r w:rsidRPr="002665C4">
        <w:tab/>
        <w:t>Идет работа над трудовыми соглашениями с другими принимающими странами в интересах благополучия и достоинства РЗРФ. В этих же целях налаживается сотрудничество и заключаются соглашения с другими прав</w:t>
      </w:r>
      <w:r w:rsidRPr="002665C4">
        <w:t>и</w:t>
      </w:r>
      <w:r w:rsidRPr="002665C4">
        <w:t>тельственными, неправительственными организациями и организациями гра</w:t>
      </w:r>
      <w:r w:rsidRPr="002665C4">
        <w:t>ж</w:t>
      </w:r>
      <w:r w:rsidRPr="002665C4">
        <w:t>данского общества, ведущими информационно-пропагандистскую деятел</w:t>
      </w:r>
      <w:r w:rsidRPr="002665C4">
        <w:t>ь</w:t>
      </w:r>
      <w:r w:rsidRPr="002665C4">
        <w:t xml:space="preserve">ность и оказывающими услуги в борьбе против незаконной вербовки, торговли людьми и </w:t>
      </w:r>
      <w:r w:rsidR="004F0A21">
        <w:t>«</w:t>
      </w:r>
      <w:r w:rsidRPr="002665C4">
        <w:t>переработки</w:t>
      </w:r>
      <w:r w:rsidR="004F0A21">
        <w:t>»</w:t>
      </w:r>
      <w:r w:rsidRPr="002665C4">
        <w:t xml:space="preserve"> или замены контрактов. По этим соглашениям рабо</w:t>
      </w:r>
      <w:r w:rsidRPr="002665C4">
        <w:t>т</w:t>
      </w:r>
      <w:r w:rsidRPr="002665C4">
        <w:t>ники находятся под контролем в плане здоровья, страхования жизни, жилья и социального обеспечения. Аналогичные меры принимает КФР, которая уст</w:t>
      </w:r>
      <w:r w:rsidRPr="002665C4">
        <w:t>а</w:t>
      </w:r>
      <w:r w:rsidRPr="002665C4">
        <w:t>навливает связи и партнерские отношения с филиппинскими общинами, обр</w:t>
      </w:r>
      <w:r w:rsidRPr="002665C4">
        <w:t>а</w:t>
      </w:r>
      <w:r w:rsidRPr="002665C4">
        <w:t>щаясь к ним за помощью в обеспечении интеграции вновь прибывающих м</w:t>
      </w:r>
      <w:r w:rsidRPr="002665C4">
        <w:t>и</w:t>
      </w:r>
      <w:r w:rsidRPr="002665C4">
        <w:t>грантов, например в Северной Америке, Европе, Австралии и Азии. КФР также сотрудничает с соответствующими учреждениями по оказанию помощи лицам, ставшим мигрантами в связи со вступлением в брак, в вопросах переселения, адаптации и асси</w:t>
      </w:r>
      <w:r w:rsidR="004F0A21">
        <w:t>миляции.</w:t>
      </w:r>
    </w:p>
    <w:p w:rsidR="004F0A21" w:rsidRPr="004F0A21" w:rsidRDefault="004F0A21" w:rsidP="004F0A21">
      <w:pPr>
        <w:pStyle w:val="SingleTxt"/>
        <w:spacing w:after="0" w:line="120" w:lineRule="exact"/>
        <w:rPr>
          <w:sz w:val="10"/>
        </w:rPr>
      </w:pPr>
    </w:p>
    <w:p w:rsidR="002665C4" w:rsidRDefault="004F0A21" w:rsidP="004F0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Меры по защите трудящихся-мигрантов</w:t>
      </w:r>
    </w:p>
    <w:p w:rsidR="004F0A21" w:rsidRPr="004F0A21" w:rsidRDefault="004F0A21" w:rsidP="004F0A21">
      <w:pPr>
        <w:pStyle w:val="SingleTxt"/>
        <w:spacing w:after="0" w:line="120" w:lineRule="exact"/>
        <w:rPr>
          <w:sz w:val="10"/>
        </w:rPr>
      </w:pPr>
    </w:p>
    <w:p w:rsidR="002665C4" w:rsidRPr="002665C4" w:rsidRDefault="002665C4" w:rsidP="002665C4">
      <w:pPr>
        <w:pStyle w:val="SingleTxt"/>
      </w:pPr>
      <w:r w:rsidRPr="002665C4">
        <w:t>84.</w:t>
      </w:r>
      <w:r w:rsidRPr="002665C4">
        <w:tab/>
        <w:t>Государство-участник внесло изменения в политику отправки домашних работников (ДР) за рубеж, направленные на пресечение разных форм жесток</w:t>
      </w:r>
      <w:r w:rsidRPr="002665C4">
        <w:t>о</w:t>
      </w:r>
      <w:r w:rsidRPr="002665C4">
        <w:t>го обращения и дискриминации в отношении них. В пересмотренной политике ограничение по минимальному возрасту для ДР повышается с 18 до 23</w:t>
      </w:r>
      <w:r w:rsidR="004F0A21">
        <w:t> </w:t>
      </w:r>
      <w:r w:rsidRPr="002665C4">
        <w:t xml:space="preserve">лет, предписывается </w:t>
      </w:r>
      <w:r w:rsidR="004F0A21">
        <w:t>«</w:t>
      </w:r>
      <w:r w:rsidRPr="002665C4">
        <w:t>плата за простой</w:t>
      </w:r>
      <w:r w:rsidR="004F0A21">
        <w:t>»</w:t>
      </w:r>
      <w:r w:rsidRPr="002665C4">
        <w:t>, вводится обязательная подготовка по кв</w:t>
      </w:r>
      <w:r w:rsidRPr="002665C4">
        <w:t>а</w:t>
      </w:r>
      <w:r w:rsidRPr="002665C4">
        <w:t>лификации и языку, а также устанавливается минимальный уровень зарабо</w:t>
      </w:r>
      <w:r w:rsidRPr="002665C4">
        <w:t>т</w:t>
      </w:r>
      <w:r w:rsidRPr="002665C4">
        <w:t>ной платы в размере 400 долл. США в месяц. Согласно этой политике Фили</w:t>
      </w:r>
      <w:r w:rsidRPr="002665C4">
        <w:t>п</w:t>
      </w:r>
      <w:r w:rsidRPr="002665C4">
        <w:t>пинское бюро труда за рубежом (ФБТЗР) и Филиппинское управление по тр</w:t>
      </w:r>
      <w:r w:rsidRPr="002665C4">
        <w:t>у</w:t>
      </w:r>
      <w:r w:rsidRPr="002665C4">
        <w:t>доустройству за рубежом (ФУТЗР) составляют черные списки работодателей, признанных виновными в злоупотреблениях и жестоком обращении с фили</w:t>
      </w:r>
      <w:r w:rsidRPr="002665C4">
        <w:t>п</w:t>
      </w:r>
      <w:r w:rsidRPr="002665C4">
        <w:t xml:space="preserve">пинскими работниками или нарушивших контракт, особенно о невыплате или неполной выплате жалованья. </w:t>
      </w:r>
    </w:p>
    <w:p w:rsidR="002665C4" w:rsidRPr="002665C4" w:rsidRDefault="002665C4" w:rsidP="002665C4">
      <w:pPr>
        <w:pStyle w:val="SingleTxt"/>
      </w:pPr>
      <w:r w:rsidRPr="002665C4">
        <w:t>85.</w:t>
      </w:r>
      <w:r w:rsidRPr="002665C4">
        <w:tab/>
        <w:t>Как предписывает Закон о трудящихся-мигрантах с внесенными в него поправками (Республиканский закон № 10022), дипломатические представ</w:t>
      </w:r>
      <w:r w:rsidRPr="002665C4">
        <w:t>и</w:t>
      </w:r>
      <w:r w:rsidRPr="002665C4">
        <w:t>тельства (ДП) сертифицировали страны, входящие в их юрисдикцию, либо как соблюдающие, либо как не соблюдающие правила или принявшие/не приня</w:t>
      </w:r>
      <w:r w:rsidRPr="002665C4">
        <w:t>в</w:t>
      </w:r>
      <w:r w:rsidRPr="002665C4">
        <w:t>шие позитивные конкретные меры по защите прав филиппинских трудящихся-мигрантов. Исходя из сертификации ДП, Совет управляющих ФУТЗР в одн</w:t>
      </w:r>
      <w:r w:rsidRPr="002665C4">
        <w:t>о</w:t>
      </w:r>
      <w:r w:rsidRPr="002665C4">
        <w:t>стороннем порядке либо утверждает, либо запрещает направление РЗРФ в ко</w:t>
      </w:r>
      <w:r w:rsidRPr="002665C4">
        <w:t>н</w:t>
      </w:r>
      <w:r w:rsidRPr="002665C4">
        <w:t>кретную страну. Процесс сертификации периодически подвергается пересмо</w:t>
      </w:r>
      <w:r w:rsidRPr="002665C4">
        <w:t>т</w:t>
      </w:r>
      <w:r w:rsidRPr="002665C4">
        <w:t xml:space="preserve">ру, а страны, не соблюдающие правила, убеждают заключить двустороннее трудовое соглашение. </w:t>
      </w:r>
    </w:p>
    <w:p w:rsidR="002665C4" w:rsidRPr="002665C4" w:rsidRDefault="002665C4" w:rsidP="002665C4">
      <w:pPr>
        <w:pStyle w:val="SingleTxt"/>
      </w:pPr>
      <w:r w:rsidRPr="002665C4">
        <w:t>86.</w:t>
      </w:r>
      <w:r w:rsidRPr="002665C4">
        <w:tab/>
        <w:t>Закон о трудящихся-мигрантах (RA 8042) предписывает применение по</w:t>
      </w:r>
      <w:r w:rsidRPr="002665C4">
        <w:t>д</w:t>
      </w:r>
      <w:r w:rsidRPr="002665C4">
        <w:t xml:space="preserve">хода </w:t>
      </w:r>
      <w:r w:rsidR="004F0A21">
        <w:t>«</w:t>
      </w:r>
      <w:r w:rsidRPr="002665C4">
        <w:t>единая страновая команда</w:t>
      </w:r>
      <w:r w:rsidR="004F0A21">
        <w:t>»</w:t>
      </w:r>
      <w:r w:rsidRPr="002665C4">
        <w:t xml:space="preserve"> в решении проблем трудящихся-мигрантов. Направленные за рубеж атташе по вопросам социального обеспечения, атташе по труду и сотрудники дипломатической службы работают вместе в отдельных странах, особенно странах с высокой концентрацией работников, для решения вопросов социального обеспечения, занятости и других проблем РЗРФ. И</w:t>
      </w:r>
      <w:r w:rsidRPr="002665C4">
        <w:t>н</w:t>
      </w:r>
      <w:r w:rsidRPr="002665C4">
        <w:t>формационные центры для трудящихся-мигрантов и других находящихся за рубежом филиппинских граждан (ИЦТМЗРФ) создаются и управляются со</w:t>
      </w:r>
      <w:r w:rsidRPr="002665C4">
        <w:t>в</w:t>
      </w:r>
      <w:r w:rsidRPr="002665C4">
        <w:t>местно посольскими/консульскими координаторами и атташе по труду, кома</w:t>
      </w:r>
      <w:r w:rsidRPr="002665C4">
        <w:t>н</w:t>
      </w:r>
      <w:r w:rsidRPr="002665C4">
        <w:t>дированными в данный район. МИД и МТЗ совместно подготовили Единое р</w:t>
      </w:r>
      <w:r w:rsidRPr="002665C4">
        <w:t>у</w:t>
      </w:r>
      <w:r w:rsidRPr="002665C4">
        <w:t>ководство по оперативному оказанию помощи гражданам (ПГ) и Руководящие принципы управления ИЦТМЗРФ</w:t>
      </w:r>
      <w:r w:rsidR="00F173BA">
        <w:t xml:space="preserve"> </w:t>
      </w:r>
      <w:r w:rsidRPr="002665C4">
        <w:t>в целях упорядочения и более эффективного осуществления ПГ, включая деятельность ИЦТМЗРФ. МИД и МТЗ увеличили направление женщин в центры ПГ и ФБТЗР в целях большего учета гендерных факторов при оказании помощи РЗРФ, оказавшимся в беде. МИД назначает к</w:t>
      </w:r>
      <w:r w:rsidRPr="002665C4">
        <w:t>о</w:t>
      </w:r>
      <w:r w:rsidRPr="002665C4">
        <w:t>ординаторов по ГИР в посольствах и продолжает подготовку сотрудников по вопросам насилия и сексуального домогательства и ведению таких дел для в</w:t>
      </w:r>
      <w:r w:rsidRPr="002665C4">
        <w:t>ы</w:t>
      </w:r>
      <w:r w:rsidRPr="002665C4">
        <w:t>полнения своих обязанностей в своей стране и за рубежом.</w:t>
      </w:r>
    </w:p>
    <w:p w:rsidR="002665C4" w:rsidRPr="002665C4" w:rsidRDefault="002665C4" w:rsidP="002665C4">
      <w:pPr>
        <w:pStyle w:val="SingleTxt"/>
      </w:pPr>
      <w:r w:rsidRPr="002665C4">
        <w:t>87.</w:t>
      </w:r>
      <w:r w:rsidRPr="002665C4">
        <w:tab/>
        <w:t>Государство-участник в лице своих дипломатических представительств (ДП) содержит приюты для попавших в беду женщин-РЗРФ, где они получают различную консульскую, юридическую и гуманитарную помощь. Например, ДП помогают мигрантам, имеющим проблемы со здоровьем, договариваясь с больницами об оказании необходимой медицинской или финансовой помощи; сообщая родственникам о госпитализации/состоянии здоровья РЗРФ и орган</w:t>
      </w:r>
      <w:r w:rsidRPr="002665C4">
        <w:t>и</w:t>
      </w:r>
      <w:r w:rsidRPr="002665C4">
        <w:t xml:space="preserve">зуя им по их просьбе приезд в данную страну; а также организуя в случае необходимости репатриацию по медицинским показаниям. </w:t>
      </w:r>
    </w:p>
    <w:p w:rsidR="002665C4" w:rsidRPr="002665C4" w:rsidRDefault="002665C4" w:rsidP="002665C4">
      <w:pPr>
        <w:pStyle w:val="SingleTxt"/>
      </w:pPr>
      <w:r w:rsidRPr="002665C4">
        <w:t>88.</w:t>
      </w:r>
      <w:r w:rsidRPr="002665C4">
        <w:tab/>
        <w:t>Государство-участник создает в странах, где находится не менее 10 тыс. филиппинцев, ФБТЗР, которые предоставляют консультации по вопросам тр</w:t>
      </w:r>
      <w:r w:rsidRPr="002665C4">
        <w:t>у</w:t>
      </w:r>
      <w:r w:rsidRPr="002665C4">
        <w:t>доустройства, выступают посредниками в спорах между РЗРФ и работодател</w:t>
      </w:r>
      <w:r w:rsidRPr="002665C4">
        <w:t>я</w:t>
      </w:r>
      <w:r w:rsidRPr="002665C4">
        <w:t>ми, вынуждают агентства по найму обеспечивать соблюдение условий труд</w:t>
      </w:r>
      <w:r w:rsidRPr="002665C4">
        <w:t>о</w:t>
      </w:r>
      <w:r w:rsidRPr="002665C4">
        <w:t>вых договоров и организуют курсы повышения квалификации для РЗРФ, в том числе по финансовой грамотности и другим навыкам реинтеграции. Госуда</w:t>
      </w:r>
      <w:r w:rsidRPr="002665C4">
        <w:t>р</w:t>
      </w:r>
      <w:r w:rsidRPr="002665C4">
        <w:t>ство-участник также назначило атташе по вопросам социального обеспечения в Куала-Лумпур (Малайзия) и Эр-Рияд (Саудовская Аравия) для предоставл</w:t>
      </w:r>
      <w:r w:rsidRPr="002665C4">
        <w:t>е</w:t>
      </w:r>
      <w:r w:rsidRPr="002665C4">
        <w:t>ния консультаций и социальных услуг. Дополнительно атташе по вопросам с</w:t>
      </w:r>
      <w:r w:rsidRPr="002665C4">
        <w:t>о</w:t>
      </w:r>
      <w:r w:rsidRPr="002665C4">
        <w:t xml:space="preserve">циального обеспечения будут направлены в Южную Корею, Объединенные Арабские Эмираты, Катар, Гонконг, Кувейт и в Бейрут (Ливан). </w:t>
      </w:r>
    </w:p>
    <w:p w:rsidR="002665C4" w:rsidRPr="002665C4" w:rsidRDefault="002665C4" w:rsidP="002665C4">
      <w:pPr>
        <w:pStyle w:val="SingleTxt"/>
      </w:pPr>
      <w:r w:rsidRPr="002665C4">
        <w:t>89.</w:t>
      </w:r>
      <w:r w:rsidRPr="002665C4">
        <w:tab/>
        <w:t xml:space="preserve">Государство-участник выделило государственные средства </w:t>
      </w:r>
      <w:r w:rsidR="004F0A21">
        <w:t>«</w:t>
      </w:r>
      <w:r w:rsidRPr="002665C4">
        <w:t>на усмотр</w:t>
      </w:r>
      <w:r w:rsidRPr="002665C4">
        <w:t>е</w:t>
      </w:r>
      <w:r w:rsidRPr="002665C4">
        <w:t>ние</w:t>
      </w:r>
      <w:r w:rsidR="004F0A21">
        <w:t>»</w:t>
      </w:r>
      <w:r w:rsidRPr="002665C4">
        <w:t xml:space="preserve"> для филиппинцев за рубежом под названием Фонд помощи гражданам (Фонд ПГ), предназначенный для репатриации, отправки тела/кремации, обе</w:t>
      </w:r>
      <w:r w:rsidRPr="002665C4">
        <w:t>с</w:t>
      </w:r>
      <w:r w:rsidRPr="002665C4">
        <w:t>печения временного жилья, питания и основных товаров, эвакуации по мед</w:t>
      </w:r>
      <w:r w:rsidRPr="002665C4">
        <w:t>и</w:t>
      </w:r>
      <w:r w:rsidRPr="002665C4">
        <w:t>цинским показателям, госпитализации, миссий ПГ, иммиграционных штрафов и других связанных с иммиграцией сборов. Фонд правовой помощи (ФПП) о</w:t>
      </w:r>
      <w:r w:rsidRPr="002665C4">
        <w:t>б</w:t>
      </w:r>
      <w:r w:rsidRPr="002665C4">
        <w:t>разован для решения вопросов, связанных с уголовными делами и трудовыми спорами, обжалованием смертного приговора или пожизненного заключения или возбуждением дела в отношении допустивших ошибку/злоупотребление работодателей, а также в интересах жертв изнасилования. Жертв изнасилов</w:t>
      </w:r>
      <w:r w:rsidRPr="002665C4">
        <w:t>а</w:t>
      </w:r>
      <w:r w:rsidRPr="002665C4">
        <w:t>ния также призывают возбуждать дела против насильников с участием ФПП для привлечения компетентных адвокатов.</w:t>
      </w:r>
    </w:p>
    <w:p w:rsidR="004F0A21" w:rsidRDefault="002665C4" w:rsidP="002665C4">
      <w:pPr>
        <w:pStyle w:val="SingleTxt"/>
      </w:pPr>
      <w:r w:rsidRPr="002665C4">
        <w:t>90.</w:t>
      </w:r>
      <w:r w:rsidRPr="002665C4">
        <w:tab/>
        <w:t>Государство в рамках КФР сформировало список особого внимания из иностранных спонсоров и базу данных в целях отслеживания 1) филиппинцев, состоящих в браке с иностранными гражданами; 2) иностранных граждан и филиппинцев, вошедших в список особого внимания КФР; 3) филиппинцев, обращавшихся за советом и консультацией более одного раза; и 4) иностра</w:t>
      </w:r>
      <w:r w:rsidRPr="002665C4">
        <w:t>н</w:t>
      </w:r>
      <w:r w:rsidRPr="002665C4">
        <w:t>ных граждан, выступивших спонсорами более одного раза, независимо от наличия или отсутствия приводов или судимости. Оно уделяет особое вним</w:t>
      </w:r>
      <w:r w:rsidRPr="002665C4">
        <w:t>а</w:t>
      </w:r>
      <w:r w:rsidRPr="002665C4">
        <w:t>ние многочисленным или серийным спонсированиям филиппинских женщин. Список особого внимания и база данных по иностранным спонсорам пред</w:t>
      </w:r>
      <w:r w:rsidRPr="002665C4">
        <w:t>у</w:t>
      </w:r>
      <w:r w:rsidRPr="002665C4">
        <w:t>преждают женихов и невест, супругов и партнеров о личности, истории семе</w:t>
      </w:r>
      <w:r w:rsidRPr="002665C4">
        <w:t>й</w:t>
      </w:r>
      <w:r w:rsidRPr="002665C4">
        <w:t>ного положения, досье и прошлом иностранца (иностранки), с тем чтобы п</w:t>
      </w:r>
      <w:r w:rsidRPr="002665C4">
        <w:t>о</w:t>
      </w:r>
      <w:r w:rsidRPr="002665C4">
        <w:t>мочь в принятии более обоснованного решения. Через них государство-участник может препятствовать торговле людьми, рабству или бытовому нас</w:t>
      </w:r>
      <w:r w:rsidRPr="002665C4">
        <w:t>и</w:t>
      </w:r>
      <w:r w:rsidRPr="002665C4">
        <w:t>лию, осуществляемым под прикрытием и с использованием смешанного брака.</w:t>
      </w:r>
    </w:p>
    <w:p w:rsidR="004F0A21" w:rsidRPr="004F0A21" w:rsidRDefault="004F0A21" w:rsidP="004F0A21">
      <w:pPr>
        <w:pStyle w:val="SingleTxt"/>
        <w:spacing w:after="0" w:line="120" w:lineRule="exact"/>
        <w:rPr>
          <w:sz w:val="10"/>
        </w:rPr>
      </w:pPr>
    </w:p>
    <w:p w:rsidR="002665C4" w:rsidRDefault="004F0A21" w:rsidP="004F0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О мерах по пресечению эксплуатации проституции женщин</w:t>
      </w:r>
    </w:p>
    <w:p w:rsidR="004F0A21" w:rsidRPr="004F0A21" w:rsidRDefault="004F0A21" w:rsidP="004F0A21">
      <w:pPr>
        <w:pStyle w:val="SingleTxt"/>
        <w:spacing w:after="0" w:line="120" w:lineRule="exact"/>
        <w:rPr>
          <w:sz w:val="10"/>
        </w:rPr>
      </w:pPr>
    </w:p>
    <w:p w:rsidR="002665C4" w:rsidRDefault="002665C4" w:rsidP="002665C4">
      <w:pPr>
        <w:pStyle w:val="SingleTxt"/>
      </w:pPr>
      <w:r w:rsidRPr="002665C4">
        <w:t>91.</w:t>
      </w:r>
      <w:r w:rsidRPr="002665C4">
        <w:tab/>
        <w:t>Агитация за изменение статьи 202 ПУК путем принятия законопроекта, освобождающего проституцию от уголовной ответственности, началась с 14-го Конгресса. Помимо отдельного законопроекта, отмену уголовной ответстве</w:t>
      </w:r>
      <w:r w:rsidRPr="002665C4">
        <w:t>н</w:t>
      </w:r>
      <w:r w:rsidRPr="002665C4">
        <w:t>ности за проституцию также предлагалось включить при пересмотре ПУК в его том II. До принятия национального закона некоторые местные органы вл</w:t>
      </w:r>
      <w:r w:rsidRPr="002665C4">
        <w:t>а</w:t>
      </w:r>
      <w:r w:rsidRPr="002665C4">
        <w:t>сти заняли более активную позицию в борьбе с проституцией и ее организат</w:t>
      </w:r>
      <w:r w:rsidRPr="002665C4">
        <w:t>о</w:t>
      </w:r>
      <w:r w:rsidRPr="002665C4">
        <w:t>рами, приняв собственные постановления по борьбе с проституцией, как сд</w:t>
      </w:r>
      <w:r w:rsidRPr="002665C4">
        <w:t>е</w:t>
      </w:r>
      <w:r w:rsidRPr="002665C4">
        <w:t>лали некоторые города, такие как Кесон, Нага, Давао и Олонгапо.</w:t>
      </w:r>
    </w:p>
    <w:p w:rsidR="004F0A21" w:rsidRPr="004F0A21" w:rsidRDefault="004F0A21" w:rsidP="004F0A21">
      <w:pPr>
        <w:pStyle w:val="SingleTxt"/>
        <w:spacing w:after="0" w:line="120" w:lineRule="exact"/>
        <w:rPr>
          <w:sz w:val="10"/>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 xml:space="preserve">Программы реабилитации, социальной интеграции и расширения экономических прав и возможностей жертв проституции </w:t>
      </w:r>
    </w:p>
    <w:p w:rsidR="004F0A21" w:rsidRPr="004F0A21" w:rsidRDefault="004F0A21" w:rsidP="004F0A21">
      <w:pPr>
        <w:pStyle w:val="SingleTxt"/>
        <w:spacing w:after="0" w:line="120" w:lineRule="exact"/>
        <w:rPr>
          <w:sz w:val="10"/>
        </w:rPr>
      </w:pPr>
    </w:p>
    <w:p w:rsidR="002665C4" w:rsidRPr="002665C4" w:rsidRDefault="002665C4" w:rsidP="002665C4">
      <w:pPr>
        <w:pStyle w:val="SingleTxt"/>
      </w:pPr>
      <w:r w:rsidRPr="002665C4">
        <w:t>92.</w:t>
      </w:r>
      <w:r w:rsidRPr="002665C4">
        <w:tab/>
        <w:t>Государство-участник посредством МСОР предоставляет услуги по защ</w:t>
      </w:r>
      <w:r w:rsidRPr="002665C4">
        <w:t>и</w:t>
      </w:r>
      <w:r w:rsidRPr="002665C4">
        <w:t>те жертв жестокого обращения и эксплуатации, включая проституцию, в целях обеспечения их реабилитации, социальной интеграции и расширения эконом</w:t>
      </w:r>
      <w:r w:rsidRPr="002665C4">
        <w:t>и</w:t>
      </w:r>
      <w:r w:rsidRPr="002665C4">
        <w:t>ческих прав и возможностей, разделяя их на категории услуг центрального уровня и уровня общин. Услуги центрального уровня</w:t>
      </w:r>
      <w:r w:rsidR="004F0A21">
        <w:t xml:space="preserve"> — </w:t>
      </w:r>
      <w:r w:rsidRPr="002665C4">
        <w:t xml:space="preserve">это программы и услуги, предоставляемые в специальных учреждениях. Основными центрами являются дома под общим названием </w:t>
      </w:r>
      <w:r w:rsidR="004F0A21">
        <w:t>«</w:t>
      </w:r>
      <w:r w:rsidRPr="002665C4">
        <w:t>Приют</w:t>
      </w:r>
      <w:r w:rsidR="004F0A21">
        <w:t>»</w:t>
      </w:r>
      <w:r w:rsidRPr="002665C4">
        <w:t xml:space="preserve">, заменяющие домашний уход для женщин, ставших жертвами гендерного насилия, в возрасте 18–59 лет; </w:t>
      </w:r>
      <w:r w:rsidR="004F0A21">
        <w:t>«</w:t>
      </w:r>
      <w:r w:rsidRPr="002665C4">
        <w:t>Мариллак Хиллз</w:t>
      </w:r>
      <w:r w:rsidR="004F0A21">
        <w:t xml:space="preserve">» — </w:t>
      </w:r>
      <w:r w:rsidRPr="002665C4">
        <w:t>дома-интернаты для девочек, нарушивших закон, а та</w:t>
      </w:r>
      <w:r w:rsidRPr="002665C4">
        <w:t>к</w:t>
      </w:r>
      <w:r w:rsidRPr="002665C4">
        <w:t>же для подвергшихся жестокому обращению и эксплуатации девочек в во</w:t>
      </w:r>
      <w:r w:rsidRPr="002665C4">
        <w:t>з</w:t>
      </w:r>
      <w:r w:rsidRPr="002665C4">
        <w:t>расте до 18</w:t>
      </w:r>
      <w:r w:rsidR="004F0A21">
        <w:t> </w:t>
      </w:r>
      <w:r w:rsidRPr="002665C4">
        <w:t xml:space="preserve">лет; и </w:t>
      </w:r>
      <w:r w:rsidR="004F0A21">
        <w:t>«</w:t>
      </w:r>
      <w:r w:rsidRPr="002665C4">
        <w:t>Дом/Центр для девочек</w:t>
      </w:r>
      <w:r w:rsidR="004F0A21">
        <w:t xml:space="preserve">» — </w:t>
      </w:r>
      <w:r w:rsidRPr="002665C4">
        <w:t>детские дома. Предлагаемые этими учрежден</w:t>
      </w:r>
      <w:r w:rsidRPr="002665C4">
        <w:t>и</w:t>
      </w:r>
      <w:r w:rsidRPr="002665C4">
        <w:t>ями программы и услуги включают лечение и реабилитацию, жизнь в коллективе и домашний уход, медицинское обслуживание и питание, производстве</w:t>
      </w:r>
      <w:r w:rsidRPr="002665C4">
        <w:t>н</w:t>
      </w:r>
      <w:r w:rsidRPr="002665C4">
        <w:t xml:space="preserve">ное и профессиональное обучение. </w:t>
      </w:r>
    </w:p>
    <w:p w:rsidR="002665C4" w:rsidRPr="002665C4" w:rsidRDefault="002665C4" w:rsidP="002665C4">
      <w:pPr>
        <w:pStyle w:val="SingleTxt"/>
      </w:pPr>
      <w:r w:rsidRPr="002665C4">
        <w:t>93.</w:t>
      </w:r>
      <w:r w:rsidRPr="002665C4">
        <w:tab/>
        <w:t>Услуги на уровне общин включают лечение, восстановление и программы послелечебной реабилитации, а также услуги, включающие активное участие в делах общины, в которой они проживают. Службы включают бригаду быстрого реагирования и оказание содействия в профессиональном обучении и фина</w:t>
      </w:r>
      <w:r w:rsidRPr="002665C4">
        <w:t>н</w:t>
      </w:r>
      <w:r w:rsidRPr="002665C4">
        <w:t>совой помощи; послелечебные услуги содействуют реинтеграции и предупр</w:t>
      </w:r>
      <w:r w:rsidRPr="002665C4">
        <w:t>е</w:t>
      </w:r>
      <w:r w:rsidRPr="002665C4">
        <w:t>ждению рецидивов у</w:t>
      </w:r>
      <w:r w:rsidR="004F0A21">
        <w:t xml:space="preserve"> </w:t>
      </w:r>
      <w:r w:rsidRPr="002665C4">
        <w:t>женщин и их детей, выписанных из домов-интернатов.</w:t>
      </w:r>
    </w:p>
    <w:p w:rsidR="002665C4" w:rsidRDefault="002665C4" w:rsidP="002665C4">
      <w:pPr>
        <w:pStyle w:val="SingleTxt"/>
      </w:pPr>
      <w:r w:rsidRPr="002665C4">
        <w:t>94.</w:t>
      </w:r>
      <w:r w:rsidRPr="002665C4">
        <w:tab/>
        <w:t>Государство-участник через МСОР поддерживает 42 временных убежища, предоставляет временный вид на жительство, помогает освобождению от д</w:t>
      </w:r>
      <w:r w:rsidRPr="002665C4">
        <w:t>е</w:t>
      </w:r>
      <w:r w:rsidRPr="002665C4">
        <w:t>портации, обеспечивает доступ к юридическим, медицинским и психологич</w:t>
      </w:r>
      <w:r w:rsidRPr="002665C4">
        <w:t>е</w:t>
      </w:r>
      <w:r w:rsidRPr="002665C4">
        <w:t>ским услугам для жертв торговли людьми и насилия. В 2013 году оно пред</w:t>
      </w:r>
      <w:r w:rsidRPr="002665C4">
        <w:t>о</w:t>
      </w:r>
      <w:r w:rsidRPr="002665C4">
        <w:t>ставило обслуживание в целом 118 жертвам проституции в рамках услуг, ок</w:t>
      </w:r>
      <w:r w:rsidRPr="002665C4">
        <w:t>а</w:t>
      </w:r>
      <w:r w:rsidRPr="002665C4">
        <w:t>зываемых на уровне центра и на уровне общин.</w:t>
      </w:r>
    </w:p>
    <w:p w:rsidR="004F0A21" w:rsidRPr="004F0A21" w:rsidRDefault="004F0A21" w:rsidP="004F0A21">
      <w:pPr>
        <w:pStyle w:val="SingleTxt"/>
        <w:spacing w:after="0" w:line="120" w:lineRule="exact"/>
        <w:rPr>
          <w:sz w:val="10"/>
        </w:rPr>
      </w:pPr>
    </w:p>
    <w:p w:rsidR="002665C4" w:rsidRDefault="004F0A21" w:rsidP="004F0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Об устранении коренных причин торговли людьми и миграции с помощью поддержки предпринимательства, расширения возможностей трудоустройства и социального обеспечения малоимущих</w:t>
      </w:r>
    </w:p>
    <w:p w:rsidR="004F0A21" w:rsidRPr="004F0A21" w:rsidRDefault="004F0A21" w:rsidP="004F0A21">
      <w:pPr>
        <w:pStyle w:val="SingleTxt"/>
        <w:spacing w:after="0" w:line="120" w:lineRule="exact"/>
        <w:rPr>
          <w:sz w:val="10"/>
        </w:rPr>
      </w:pPr>
    </w:p>
    <w:p w:rsidR="002665C4" w:rsidRPr="002665C4" w:rsidRDefault="002665C4" w:rsidP="002665C4">
      <w:pPr>
        <w:pStyle w:val="SingleTxt"/>
      </w:pPr>
      <w:r w:rsidRPr="002665C4">
        <w:t>95.</w:t>
      </w:r>
      <w:r w:rsidRPr="002665C4">
        <w:tab/>
        <w:t>Государство-участник привержено созданию более широких возможн</w:t>
      </w:r>
      <w:r w:rsidRPr="002665C4">
        <w:t>о</w:t>
      </w:r>
      <w:r w:rsidRPr="002665C4">
        <w:t>стей трудоустройства внутри страны в результате всеобъемлющего экономич</w:t>
      </w:r>
      <w:r w:rsidRPr="002665C4">
        <w:t>е</w:t>
      </w:r>
      <w:r w:rsidRPr="002665C4">
        <w:t xml:space="preserve">ского развития. Одним из обязательств действующего президента государства-участника является создание большего количества рабочих мест на родине, </w:t>
      </w:r>
      <w:r w:rsidR="004F0A21">
        <w:t>«</w:t>
      </w:r>
      <w:r w:rsidRPr="002665C4">
        <w:t>чтобы работа за рубежом была одним из возможных, но не неизбежных вар</w:t>
      </w:r>
      <w:r w:rsidRPr="002665C4">
        <w:t>и</w:t>
      </w:r>
      <w:r w:rsidRPr="002665C4">
        <w:t>антов; и если его граждане предпочитают стать работающими за рубежом ф</w:t>
      </w:r>
      <w:r w:rsidRPr="002665C4">
        <w:t>и</w:t>
      </w:r>
      <w:r w:rsidRPr="002665C4">
        <w:t>липпинцами, обеспечение их благополучия и защиты должно быть первооч</w:t>
      </w:r>
      <w:r w:rsidRPr="002665C4">
        <w:t>е</w:t>
      </w:r>
      <w:r w:rsidRPr="002665C4">
        <w:t>редной задачей правительства</w:t>
      </w:r>
      <w:r w:rsidR="004F0A21">
        <w:t>»</w:t>
      </w:r>
      <w:r w:rsidRPr="002665C4">
        <w:t xml:space="preserve">. </w:t>
      </w:r>
    </w:p>
    <w:p w:rsidR="002665C4" w:rsidRDefault="002665C4" w:rsidP="002665C4">
      <w:pPr>
        <w:pStyle w:val="SingleTxt"/>
      </w:pPr>
      <w:r w:rsidRPr="002665C4">
        <w:t>96.</w:t>
      </w:r>
      <w:r w:rsidRPr="002665C4">
        <w:tab/>
        <w:t>Снижение уровня бедности и рост занятости в качестве пути достижения всеобъемлющего экономического роста составляют цели пятилетнего Плана развития Филиппин (ПРФ) на 2011–2016 годы</w:t>
      </w:r>
      <w:r w:rsidR="004F0A21">
        <w:t xml:space="preserve"> — </w:t>
      </w:r>
      <w:r w:rsidRPr="002665C4">
        <w:t>программы экономического развития страны. Эти цели ПРФ заданы в трех широких стратегиях высокого и устойчивого экономического роста, равного доступа к возможностям развития и эффективных и оперативных систем социальной защиты. В ПРФ всеобъе</w:t>
      </w:r>
      <w:r w:rsidRPr="002665C4">
        <w:t>м</w:t>
      </w:r>
      <w:r w:rsidRPr="002665C4">
        <w:t xml:space="preserve">лющий рост определяется как </w:t>
      </w:r>
      <w:r w:rsidR="004F0A21">
        <w:t>«</w:t>
      </w:r>
      <w:r w:rsidRPr="002665C4">
        <w:t>устойчивый рост, обеспечивающий широк</w:t>
      </w:r>
      <w:r w:rsidRPr="002665C4">
        <w:t>о</w:t>
      </w:r>
      <w:r w:rsidRPr="002665C4">
        <w:t>масштабное создание рабочих мест, вовлекающий подавляющее большинство населения в экономическую и общественную жизнь. В 2009 году, по данным ПРФ, малоимущие составляли 26,5 процента населения (в 2013 году уровень бедности снизился до 24,9 процента, по данным последнего доклада о ЦРТ). Цель состоит в сокращении доли бедных до 16,6 процента в 2015 году посре</w:t>
      </w:r>
      <w:r w:rsidRPr="002665C4">
        <w:t>д</w:t>
      </w:r>
      <w:r w:rsidRPr="002665C4">
        <w:t>ством реализации различных государственных планов и программ, направле</w:t>
      </w:r>
      <w:r w:rsidRPr="002665C4">
        <w:t>н</w:t>
      </w:r>
      <w:r w:rsidRPr="002665C4">
        <w:t>ных в том числе на увеличение капиталовложений в развитие человеческого капитала и создание рабочих мест как для наемных работников, так и для с</w:t>
      </w:r>
      <w:r w:rsidRPr="002665C4">
        <w:t>а</w:t>
      </w:r>
      <w:r w:rsidRPr="002665C4">
        <w:t>мозанятых. Инвестиции в человеческий капитал ориентированы на качестве</w:t>
      </w:r>
      <w:r w:rsidRPr="002665C4">
        <w:t>н</w:t>
      </w:r>
      <w:r w:rsidRPr="002665C4">
        <w:t>ное развитие людских ресурсов в области образования, квалификации, здор</w:t>
      </w:r>
      <w:r w:rsidRPr="002665C4">
        <w:t>о</w:t>
      </w:r>
      <w:r w:rsidRPr="002665C4">
        <w:t>вья и т.д., что обеспечивает расширение перспектив доступа к продуктивной занятости, рост производительности и доходов.</w:t>
      </w:r>
    </w:p>
    <w:p w:rsidR="004F0A21" w:rsidRPr="004F0A21" w:rsidRDefault="004F0A21" w:rsidP="004F0A21">
      <w:pPr>
        <w:pStyle w:val="SingleTxt"/>
        <w:spacing w:after="0" w:line="120" w:lineRule="exact"/>
        <w:rPr>
          <w:sz w:val="10"/>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5C4" w:rsidRPr="002665C4">
        <w:t xml:space="preserve">Поддержка предпринимательской деятельности женщин </w:t>
      </w:r>
    </w:p>
    <w:p w:rsidR="004F0A21" w:rsidRPr="004F0A21" w:rsidRDefault="004F0A21" w:rsidP="004F0A21">
      <w:pPr>
        <w:pStyle w:val="SingleTxt"/>
        <w:spacing w:after="0" w:line="120" w:lineRule="exact"/>
        <w:rPr>
          <w:sz w:val="10"/>
        </w:rPr>
      </w:pPr>
    </w:p>
    <w:p w:rsidR="002665C4" w:rsidRPr="002665C4" w:rsidRDefault="002665C4" w:rsidP="002665C4">
      <w:pPr>
        <w:pStyle w:val="SingleTxt"/>
      </w:pPr>
      <w:r w:rsidRPr="002665C4">
        <w:t>97.</w:t>
      </w:r>
      <w:r w:rsidRPr="002665C4">
        <w:tab/>
        <w:t>Улучшение условий для предпринимательской деятельности и содействие росту микро-, малых и средних предприятий (ММСП) продолжает служить о</w:t>
      </w:r>
      <w:r w:rsidRPr="002665C4">
        <w:t>д</w:t>
      </w:r>
      <w:r w:rsidRPr="002665C4">
        <w:t>ним из важнейших факторов развития экономики. По оценкам Министерства торговли и промышленности (МТП), на этот сектор приходится не менее 60 процентов рабочих мест, создаваемых всеми предприятиями. ММСП нере</w:t>
      </w:r>
      <w:r w:rsidRPr="002665C4">
        <w:t>д</w:t>
      </w:r>
      <w:r w:rsidRPr="002665C4">
        <w:t>ко служат единственным источником новой занятости и системой социальной защиты не только для бедного населения городов, но и для сельских женщин, имеющих ограниченные возможности для официального трудоустройства. Примерно 4 из 10 филиппинцев в возрасте от 18 до 64 лет занимаются бизн</w:t>
      </w:r>
      <w:r w:rsidRPr="002665C4">
        <w:t>е</w:t>
      </w:r>
      <w:r w:rsidRPr="002665C4">
        <w:t>сом и составляют половину рабочей силы Филиппин.</w:t>
      </w:r>
    </w:p>
    <w:p w:rsidR="002665C4" w:rsidRPr="002665C4" w:rsidRDefault="002665C4" w:rsidP="002665C4">
      <w:pPr>
        <w:pStyle w:val="SingleTxt"/>
      </w:pPr>
      <w:r w:rsidRPr="002665C4">
        <w:t>98.</w:t>
      </w:r>
      <w:r w:rsidRPr="002665C4">
        <w:tab/>
        <w:t>Великая хартия 2008 года для микро-, малых и средних предприятий (ММСП) призвана содействовать предпринимательской деятельности и по</w:t>
      </w:r>
      <w:r w:rsidRPr="002665C4">
        <w:t>д</w:t>
      </w:r>
      <w:r w:rsidRPr="002665C4">
        <w:t>держивать развитие ММСП. В целях оказания поддержки предпринимател</w:t>
      </w:r>
      <w:r w:rsidRPr="002665C4">
        <w:t>ь</w:t>
      </w:r>
      <w:r w:rsidRPr="002665C4">
        <w:t>ской деятельности женщин План развития микро-, малых и средних предпри</w:t>
      </w:r>
      <w:r w:rsidRPr="002665C4">
        <w:t>я</w:t>
      </w:r>
      <w:r w:rsidRPr="002665C4">
        <w:t>тий [План РММСП] на 2011</w:t>
      </w:r>
      <w:r w:rsidRPr="002665C4">
        <w:sym w:font="Symbol" w:char="F02D"/>
      </w:r>
      <w:r w:rsidRPr="002665C4">
        <w:t>2016 годы включает в составе основных тем о</w:t>
      </w:r>
      <w:r w:rsidRPr="002665C4">
        <w:t>б</w:t>
      </w:r>
      <w:r w:rsidRPr="002665C4">
        <w:t>легчение им доступа к производственным ресурсам для своих предприятий. План направлен на решение некоторых гендерных проблем, препятствующих росту бизнеса у женщин, таких как ограниченность доступа к ресурсам и п</w:t>
      </w:r>
      <w:r w:rsidRPr="002665C4">
        <w:t>о</w:t>
      </w:r>
      <w:r w:rsidRPr="002665C4">
        <w:t xml:space="preserve">тенциала для поддержания и расширения бизнеса. </w:t>
      </w:r>
    </w:p>
    <w:p w:rsidR="002665C4" w:rsidRDefault="002665C4" w:rsidP="002665C4">
      <w:pPr>
        <w:pStyle w:val="SingleTxt"/>
        <w:rPr>
          <w:lang w:val="en-US"/>
        </w:rPr>
      </w:pPr>
      <w:r w:rsidRPr="002665C4">
        <w:t>99.</w:t>
      </w:r>
      <w:r w:rsidRPr="002665C4">
        <w:tab/>
        <w:t xml:space="preserve">Еще одной мерой по поддержке предпринимательства служит программа МТЗ под названием </w:t>
      </w:r>
      <w:r w:rsidR="004F0A21">
        <w:t>«</w:t>
      </w:r>
      <w:r w:rsidRPr="002665C4">
        <w:t>Кабугайская программа</w:t>
      </w:r>
      <w:r w:rsidR="004F0A21">
        <w:t>»</w:t>
      </w:r>
      <w:r w:rsidRPr="002665C4">
        <w:t xml:space="preserve"> (источники дохода)</w:t>
      </w:r>
      <w:r w:rsidR="004F0A21">
        <w:t xml:space="preserve"> — </w:t>
      </w:r>
      <w:r w:rsidRPr="002665C4">
        <w:t>механизм укрепления потенциала и предпринимательских начинаний для работников неформального сектора экономики и уязвимых групп трудящихся, таких как женщины, молодежь, родители несовершеннолетних работников, представит</w:t>
      </w:r>
      <w:r w:rsidRPr="002665C4">
        <w:t>е</w:t>
      </w:r>
      <w:r w:rsidRPr="002665C4">
        <w:t>ли коренного населения, инвалиды. С 2009 по 2013 год бенефициарами пр</w:t>
      </w:r>
      <w:r w:rsidRPr="002665C4">
        <w:t>о</w:t>
      </w:r>
      <w:r w:rsidRPr="002665C4">
        <w:t>граммы стали 413 513 работников, занятых в неформальном секторе эконом</w:t>
      </w:r>
      <w:r w:rsidRPr="002665C4">
        <w:t>и</w:t>
      </w:r>
      <w:r w:rsidRPr="002665C4">
        <w:t>ки, из них 27 процентов (112 026) составляют женщины.</w:t>
      </w:r>
    </w:p>
    <w:p w:rsidR="004F0A21" w:rsidRPr="004F0A21" w:rsidRDefault="004F0A21" w:rsidP="004F0A21">
      <w:pPr>
        <w:pStyle w:val="SingleTxt"/>
        <w:spacing w:after="0" w:line="120" w:lineRule="exact"/>
        <w:rPr>
          <w:sz w:val="10"/>
          <w:lang w:val="en-US"/>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2665C4" w:rsidRPr="002665C4">
        <w:t xml:space="preserve">Расширение возможностей трудоустройства </w:t>
      </w:r>
    </w:p>
    <w:p w:rsidR="004F0A21" w:rsidRPr="004F0A21" w:rsidRDefault="004F0A21" w:rsidP="004F0A21">
      <w:pPr>
        <w:pStyle w:val="SingleTxt"/>
        <w:spacing w:after="0" w:line="120" w:lineRule="exact"/>
        <w:rPr>
          <w:sz w:val="10"/>
          <w:lang w:val="en-US"/>
        </w:rPr>
      </w:pPr>
    </w:p>
    <w:p w:rsidR="002665C4" w:rsidRPr="002665C4" w:rsidRDefault="002665C4" w:rsidP="002665C4">
      <w:pPr>
        <w:pStyle w:val="SingleTxt"/>
      </w:pPr>
      <w:r w:rsidRPr="002665C4">
        <w:t>100.</w:t>
      </w:r>
      <w:r w:rsidRPr="002665C4">
        <w:tab/>
        <w:t>Государство-участник также осуществляет программы по расширению занятости посредством содействия трудоустройству нуждающихся и маргин</w:t>
      </w:r>
      <w:r w:rsidRPr="002665C4">
        <w:t>а</w:t>
      </w:r>
      <w:r w:rsidRPr="002665C4">
        <w:t>лизованных безработных, а также перемещенных работников в сельской мес</w:t>
      </w:r>
      <w:r w:rsidRPr="002665C4">
        <w:t>т</w:t>
      </w:r>
      <w:r w:rsidRPr="002665C4">
        <w:t>ности во всех регионах, такие как Специальная программа трудоустройства студентов (СПТС), проведение ярмарок вакансий и услуг по содействию тр</w:t>
      </w:r>
      <w:r w:rsidRPr="002665C4">
        <w:t>у</w:t>
      </w:r>
      <w:r w:rsidRPr="002665C4">
        <w:t xml:space="preserve">доустройству Отделениями государственной службы занятости (ОГСЗ). </w:t>
      </w:r>
    </w:p>
    <w:p w:rsidR="002665C4" w:rsidRPr="002665C4" w:rsidRDefault="002665C4" w:rsidP="002665C4">
      <w:pPr>
        <w:pStyle w:val="SingleTxt"/>
      </w:pPr>
      <w:r w:rsidRPr="002665C4">
        <w:t>101.</w:t>
      </w:r>
      <w:r w:rsidRPr="002665C4">
        <w:tab/>
        <w:t>Ярмарки вакансий проводятся круглый год, в том числе ежегодные Я</w:t>
      </w:r>
      <w:r w:rsidRPr="002665C4">
        <w:t>р</w:t>
      </w:r>
      <w:r w:rsidRPr="002665C4">
        <w:t>марки вакансий в День труда. Они собирают вместе в определенное время, день и в определенном месте тех, кто ищет работу, зарубежных агентов по набору персонала и работодателей, сокращая расходы, затраты времени и сил ищущих работу. Они также оказывают поддержку кампании борьбы против н</w:t>
      </w:r>
      <w:r w:rsidRPr="002665C4">
        <w:t>е</w:t>
      </w:r>
      <w:r w:rsidRPr="002665C4">
        <w:t>легальной вербовки, содействуя доступу к законным работодателям и лиценз</w:t>
      </w:r>
      <w:r w:rsidRPr="002665C4">
        <w:t>и</w:t>
      </w:r>
      <w:r w:rsidRPr="002665C4">
        <w:t>рованным агентствам по трудоустройству. Оказывается помощь в плане и</w:t>
      </w:r>
      <w:r w:rsidRPr="002665C4">
        <w:t>н</w:t>
      </w:r>
      <w:r w:rsidRPr="002665C4">
        <w:t>формирования по вопросам трудоустройства, например направление на учебу, помощь в организации самозанятости, а также предоставляются услуги соц</w:t>
      </w:r>
      <w:r w:rsidRPr="002665C4">
        <w:t>и</w:t>
      </w:r>
      <w:r w:rsidRPr="002665C4">
        <w:t xml:space="preserve">ального обеспечения филиппинским трудящимся-мигрантам. </w:t>
      </w:r>
    </w:p>
    <w:p w:rsidR="002665C4" w:rsidRDefault="002665C4" w:rsidP="002665C4">
      <w:pPr>
        <w:pStyle w:val="SingleTxt"/>
        <w:rPr>
          <w:lang w:val="en-US"/>
        </w:rPr>
      </w:pPr>
      <w:r w:rsidRPr="002665C4">
        <w:t>102.</w:t>
      </w:r>
      <w:r w:rsidRPr="002665C4">
        <w:tab/>
        <w:t>Сеть общенациональных ОГСЗ также оказывает услуги по содействию трудоустройству и женщинам и мужчинам. ОГСЗ представляют собой беспла</w:t>
      </w:r>
      <w:r w:rsidRPr="002665C4">
        <w:t>т</w:t>
      </w:r>
      <w:r w:rsidRPr="002665C4">
        <w:t>ные многопрофильные службы, которые нередко предлагают следующие усл</w:t>
      </w:r>
      <w:r w:rsidRPr="002665C4">
        <w:t>у</w:t>
      </w:r>
      <w:r w:rsidRPr="002665C4">
        <w:t>ги: ярмарки вакансий, базары источников дохода и самозанятости, помощь в получении специальных кредитов работающим за рубежом, трудоустройство студентов и не посещающей школу молодежи, программа оценки работы, наем работников для инфраструктурных проектов. По состоянию на май 2013 года по всей стране было образовано в целом 1835 ОГСЗ.</w:t>
      </w:r>
    </w:p>
    <w:p w:rsidR="004F0A21" w:rsidRPr="004F0A21" w:rsidRDefault="004F0A21" w:rsidP="004F0A21">
      <w:pPr>
        <w:pStyle w:val="SingleTxt"/>
        <w:spacing w:after="0" w:line="120" w:lineRule="exact"/>
        <w:rPr>
          <w:sz w:val="10"/>
          <w:lang w:val="en-US"/>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2665C4" w:rsidRPr="002665C4">
        <w:t>Программы реинтеграции для возвращающихся РЗРФ</w:t>
      </w:r>
    </w:p>
    <w:p w:rsidR="004F0A21" w:rsidRPr="004F0A21" w:rsidRDefault="004F0A21" w:rsidP="004F0A21">
      <w:pPr>
        <w:pStyle w:val="SingleTxt"/>
        <w:spacing w:after="0" w:line="120" w:lineRule="exact"/>
        <w:rPr>
          <w:sz w:val="10"/>
          <w:lang w:val="en-US"/>
        </w:rPr>
      </w:pPr>
    </w:p>
    <w:p w:rsidR="002665C4" w:rsidRPr="002665C4" w:rsidRDefault="002665C4" w:rsidP="002665C4">
      <w:pPr>
        <w:pStyle w:val="SingleTxt"/>
      </w:pPr>
      <w:r w:rsidRPr="002665C4">
        <w:t>103.</w:t>
      </w:r>
      <w:r w:rsidRPr="002665C4">
        <w:tab/>
        <w:t xml:space="preserve">Государство-участник в лице МТЗ запустило проект </w:t>
      </w:r>
      <w:r w:rsidR="004F0A21">
        <w:t>«</w:t>
      </w:r>
      <w:r w:rsidRPr="002665C4">
        <w:t>Возвращайтесь, ф</w:t>
      </w:r>
      <w:r w:rsidRPr="002665C4">
        <w:t>и</w:t>
      </w:r>
      <w:r w:rsidRPr="002665C4">
        <w:t>липпинцы! Возвращайтесь к жизни!</w:t>
      </w:r>
      <w:r w:rsidR="004F0A21">
        <w:t>»</w:t>
      </w:r>
      <w:r w:rsidRPr="002665C4">
        <w:t xml:space="preserve"> (</w:t>
      </w:r>
      <w:r w:rsidR="004F0A21" w:rsidRPr="004F0A21">
        <w:t>“</w:t>
      </w:r>
      <w:r w:rsidRPr="002665C4">
        <w:t>BalikPinay! Balik-Hanapbuhay!</w:t>
      </w:r>
      <w:r w:rsidR="004F0A21" w:rsidRPr="004F0A21">
        <w:t>”</w:t>
      </w:r>
      <w:r w:rsidRPr="002665C4">
        <w:t>) в кач</w:t>
      </w:r>
      <w:r w:rsidRPr="002665C4">
        <w:t>е</w:t>
      </w:r>
      <w:r w:rsidRPr="002665C4">
        <w:t>стве проекта реинтеграции перемещенных филиппинских женщин, работа</w:t>
      </w:r>
      <w:r w:rsidRPr="002665C4">
        <w:t>ю</w:t>
      </w:r>
      <w:r w:rsidRPr="002665C4">
        <w:t>щих за рубежом. Располагая бюджетными средствами в размере 24 млн. ф</w:t>
      </w:r>
      <w:r w:rsidRPr="002665C4">
        <w:t>и</w:t>
      </w:r>
      <w:r w:rsidRPr="002665C4">
        <w:t>липпинских песо (571 тыс. долл. США), Проект в первую очередь помогает 2400 женщинам-бенефициарам, прошедшим краткосрочный курс подготовки в области предпринимательства и направления на работу, включая услуги по с</w:t>
      </w:r>
      <w:r w:rsidRPr="002665C4">
        <w:t>о</w:t>
      </w:r>
      <w:r w:rsidRPr="002665C4">
        <w:t>циальной защите, такие как социальное обеспечение и медицинское страхов</w:t>
      </w:r>
      <w:r w:rsidRPr="002665C4">
        <w:t>а</w:t>
      </w:r>
      <w:r w:rsidRPr="002665C4">
        <w:t xml:space="preserve">ние. </w:t>
      </w:r>
    </w:p>
    <w:p w:rsidR="002665C4" w:rsidRDefault="002665C4" w:rsidP="002665C4">
      <w:pPr>
        <w:pStyle w:val="SingleTxt"/>
      </w:pPr>
      <w:r w:rsidRPr="002665C4">
        <w:t>104.</w:t>
      </w:r>
      <w:r w:rsidRPr="002665C4">
        <w:tab/>
        <w:t>Государство-участник таким же образом осуществляет Программу реи</w:t>
      </w:r>
      <w:r w:rsidRPr="002665C4">
        <w:t>н</w:t>
      </w:r>
      <w:r w:rsidRPr="002665C4">
        <w:t>теграции возвращающихся РЗРФ через Филиппинское управление по труд</w:t>
      </w:r>
      <w:r w:rsidRPr="002665C4">
        <w:t>о</w:t>
      </w:r>
      <w:r w:rsidRPr="002665C4">
        <w:t>устройству за рубежом (ФУТЗР). Программа направлена на удовлетворение психосоциальных и экономических потребностей возвращающихся РЗРФ и членов их семей путем подготовки семей РЗРФ, предоставляя консультиров</w:t>
      </w:r>
      <w:r w:rsidRPr="002665C4">
        <w:t>а</w:t>
      </w:r>
      <w:r w:rsidRPr="002665C4">
        <w:t>ние по вопросам ведения бизнеса, обеспечивая освоение технических навыков и подготовку по вопросам развития предпринимательства и пакет экономич</w:t>
      </w:r>
      <w:r w:rsidRPr="002665C4">
        <w:t>е</w:t>
      </w:r>
      <w:r w:rsidRPr="002665C4">
        <w:t xml:space="preserve">ских предложений. </w:t>
      </w:r>
    </w:p>
    <w:p w:rsidR="004F0A21" w:rsidRPr="004F0A21" w:rsidRDefault="004F0A21" w:rsidP="004F0A21">
      <w:pPr>
        <w:pStyle w:val="SingleTxt"/>
        <w:spacing w:after="0" w:line="120" w:lineRule="exact"/>
        <w:rPr>
          <w:sz w:val="10"/>
        </w:rPr>
      </w:pPr>
    </w:p>
    <w:p w:rsidR="002665C4" w:rsidRDefault="004F0A21" w:rsidP="004F0A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r>
      <w:r w:rsidR="002665C4" w:rsidRPr="002665C4">
        <w:rPr>
          <w:i w:val="0"/>
        </w:rPr>
        <w:t xml:space="preserve">Совершенствование социального обеспечения и социальной защиты </w:t>
      </w:r>
    </w:p>
    <w:p w:rsidR="004F0A21" w:rsidRPr="004F0A21" w:rsidRDefault="004F0A21" w:rsidP="004F0A21">
      <w:pPr>
        <w:pStyle w:val="SingleTxt"/>
        <w:spacing w:after="0" w:line="120" w:lineRule="exact"/>
        <w:rPr>
          <w:sz w:val="10"/>
        </w:rPr>
      </w:pPr>
    </w:p>
    <w:p w:rsidR="002665C4" w:rsidRPr="002665C4" w:rsidRDefault="002665C4" w:rsidP="002665C4">
      <w:pPr>
        <w:pStyle w:val="SingleTxt"/>
      </w:pPr>
      <w:r w:rsidRPr="002665C4">
        <w:t>105.</w:t>
      </w:r>
      <w:r w:rsidRPr="002665C4">
        <w:tab/>
        <w:t xml:space="preserve">Социальная защита на Филиппинах определяется как </w:t>
      </w:r>
      <w:r w:rsidR="004F0A21">
        <w:t>«</w:t>
      </w:r>
      <w:r w:rsidRPr="002665C4">
        <w:t>политика и пр</w:t>
      </w:r>
      <w:r w:rsidRPr="002665C4">
        <w:t>о</w:t>
      </w:r>
      <w:r w:rsidRPr="002665C4">
        <w:t>граммы, направленные на сокращение уровня нищеты и подверженности ри</w:t>
      </w:r>
      <w:r w:rsidRPr="002665C4">
        <w:t>с</w:t>
      </w:r>
      <w:r w:rsidRPr="002665C4">
        <w:t>кам, повышение социального статуса и расширение прав маргинализованных лиц путем содействия развитию и сохранения источников дохода и труд</w:t>
      </w:r>
      <w:r w:rsidRPr="002665C4">
        <w:t>о</w:t>
      </w:r>
      <w:r w:rsidRPr="002665C4">
        <w:t>устройства, защиты от рисков и внезапной утраты дохода, а также повышения потенциала населения по управлению рисками</w:t>
      </w:r>
      <w:r w:rsidR="004F0A21">
        <w:t>»</w:t>
      </w:r>
      <w:r w:rsidRPr="002665C4">
        <w:t>. Четыре компонента социал</w:t>
      </w:r>
      <w:r w:rsidRPr="002665C4">
        <w:t>ь</w:t>
      </w:r>
      <w:r w:rsidRPr="002665C4">
        <w:t>ной защиты включают 1) программы на рынке труда; 2) социальное страхов</w:t>
      </w:r>
      <w:r w:rsidRPr="002665C4">
        <w:t>а</w:t>
      </w:r>
      <w:r w:rsidRPr="002665C4">
        <w:t>ние; 3) социальное обеспечение; 4) системы социальной защиты. Работники, занятые в неформальном секторе экономики, рассматриваются как отдельная крупная категория, потребности и проблемы которой должны решаться в ко</w:t>
      </w:r>
      <w:r w:rsidRPr="002665C4">
        <w:t>м</w:t>
      </w:r>
      <w:r w:rsidRPr="002665C4">
        <w:t>плексе интенсивных и активных программ социальной защиты и услуг. В 2007 году государство в рамках МТЗ разработало Рамочную программу МТЗ для работающих женщин и вышло с предложением целей и результатов в о</w:t>
      </w:r>
      <w:r w:rsidRPr="002665C4">
        <w:t>т</w:t>
      </w:r>
      <w:r w:rsidRPr="002665C4">
        <w:t>ношении социальной защиты женщин, которые должны быть достигнуты к 2010 году. Цели были следующими: улучшение рабочих мест для женщин; улучшение условий жизни для женщин и членов их семей; активное участие женщин в жизни общины.</w:t>
      </w:r>
    </w:p>
    <w:p w:rsidR="002665C4" w:rsidRPr="002665C4" w:rsidRDefault="002665C4" w:rsidP="002665C4">
      <w:pPr>
        <w:pStyle w:val="SingleTxt"/>
      </w:pPr>
      <w:r w:rsidRPr="002665C4">
        <w:t>106.</w:t>
      </w:r>
      <w:r w:rsidRPr="002665C4">
        <w:tab/>
        <w:t>Государство-участник в лице МСОР применяет стратегию сближения (TATSULO) в целях согласования своих основных программ по сокращению нищеты</w:t>
      </w:r>
      <w:r w:rsidR="004F0A21">
        <w:t xml:space="preserve"> — </w:t>
      </w:r>
      <w:r w:rsidRPr="002665C4">
        <w:t>Программы обусловленных денежных переводов (ОДП) (</w:t>
      </w:r>
      <w:r w:rsidR="004F0A21" w:rsidRPr="004F0A21">
        <w:t>“</w:t>
      </w:r>
      <w:r w:rsidRPr="002665C4">
        <w:t>Pantawid Pamilya</w:t>
      </w:r>
      <w:r w:rsidR="004F0A21" w:rsidRPr="004F0A21">
        <w:t>”</w:t>
      </w:r>
      <w:r w:rsidRPr="002665C4">
        <w:t>), Программы всеобъемлющего и комплексного оказания социальных услуг (</w:t>
      </w:r>
      <w:r w:rsidR="004F0A21" w:rsidRPr="004F0A21">
        <w:t>“</w:t>
      </w:r>
      <w:r w:rsidRPr="002665C4">
        <w:t>Kapit-Bisig Laban sa Kahirapan</w:t>
      </w:r>
      <w:r w:rsidR="004F0A21" w:rsidRPr="004F0A21">
        <w:t>”</w:t>
      </w:r>
      <w:r w:rsidRPr="002665C4">
        <w:t>) (KALAHI-CIDDS), недавно преобр</w:t>
      </w:r>
      <w:r w:rsidRPr="002665C4">
        <w:t>а</w:t>
      </w:r>
      <w:r w:rsidRPr="002665C4">
        <w:t>зованной в Национальную программу развития по инициативе общин (НПРИО), и Программы по обеспечению устойчивых источников дохода, пр</w:t>
      </w:r>
      <w:r w:rsidRPr="002665C4">
        <w:t>и</w:t>
      </w:r>
      <w:r w:rsidRPr="002665C4">
        <w:t>званной содействовать устранению коренных причин миграции. Путем выя</w:t>
      </w:r>
      <w:r w:rsidRPr="002665C4">
        <w:t>с</w:t>
      </w:r>
      <w:r w:rsidRPr="002665C4">
        <w:t>нения состава малоимущих и районов их проживания посредством Наци</w:t>
      </w:r>
      <w:r w:rsidRPr="002665C4">
        <w:t>о</w:t>
      </w:r>
      <w:r w:rsidRPr="002665C4">
        <w:t>нальной системы работы с домохозяйствами в целях сокращения нищеты (НСРД-СН) возможно достижение максимального увеличения ресурсов и сво</w:t>
      </w:r>
      <w:r w:rsidRPr="002665C4">
        <w:t>е</w:t>
      </w:r>
      <w:r w:rsidRPr="002665C4">
        <w:t>временного, эффекти</w:t>
      </w:r>
      <w:r w:rsidRPr="002665C4">
        <w:t>в</w:t>
      </w:r>
      <w:r w:rsidRPr="002665C4">
        <w:t>ного и оперативного оказания услуг маргинализованным группам населения.</w:t>
      </w:r>
    </w:p>
    <w:p w:rsidR="002665C4" w:rsidRPr="002665C4" w:rsidRDefault="002665C4" w:rsidP="002665C4">
      <w:pPr>
        <w:pStyle w:val="SingleTxt"/>
      </w:pPr>
      <w:r w:rsidRPr="002665C4">
        <w:t>107.</w:t>
      </w:r>
      <w:r w:rsidRPr="002665C4">
        <w:tab/>
        <w:t>ОДП</w:t>
      </w:r>
      <w:r w:rsidR="004F0A21">
        <w:t xml:space="preserve"> — </w:t>
      </w:r>
      <w:r w:rsidRPr="002665C4">
        <w:t>это основанная на соблюдении прав программа с акцентом на и</w:t>
      </w:r>
      <w:r w:rsidRPr="002665C4">
        <w:t>н</w:t>
      </w:r>
      <w:r w:rsidRPr="002665C4">
        <w:t>вестиции в человеческий капитал путем предоставления денежных грантов на цели здоровья и образования бедным домохозяйствам, отвечающим соотве</w:t>
      </w:r>
      <w:r w:rsidRPr="002665C4">
        <w:t>т</w:t>
      </w:r>
      <w:r w:rsidRPr="002665C4">
        <w:t>ствующим критериям. Она призвана обеспечить бедным домохозяйствам во</w:t>
      </w:r>
      <w:r w:rsidRPr="002665C4">
        <w:t>з</w:t>
      </w:r>
      <w:r w:rsidRPr="002665C4">
        <w:t>можность достижения определенных целей в области человеческого развития и разорвать круг бедности, переходящей из поколения в поколение. Она пред</w:t>
      </w:r>
      <w:r w:rsidRPr="002665C4">
        <w:t>о</w:t>
      </w:r>
      <w:r w:rsidRPr="002665C4">
        <w:t>ставляет денежные гранты дополнительно к доходу бедных домохозяйств, обеспечивая им возможность удовлетворения своих потребностей при условии соблюдения определенных условий.</w:t>
      </w:r>
    </w:p>
    <w:p w:rsidR="002665C4" w:rsidRPr="002665C4" w:rsidRDefault="002665C4" w:rsidP="002665C4">
      <w:pPr>
        <w:pStyle w:val="SingleTxt"/>
        <w:rPr>
          <w:u w:val="single"/>
        </w:rPr>
      </w:pPr>
      <w:r w:rsidRPr="002665C4">
        <w:rPr>
          <w:u w:val="single"/>
        </w:rPr>
        <w:t xml:space="preserve">Здоровье и питание </w:t>
      </w:r>
    </w:p>
    <w:p w:rsidR="002665C4" w:rsidRPr="002665C4" w:rsidRDefault="004F0A21" w:rsidP="004F0A21">
      <w:pPr>
        <w:pStyle w:val="SingleTxt"/>
        <w:tabs>
          <w:tab w:val="right" w:pos="1685"/>
        </w:tabs>
        <w:ind w:left="1742" w:hanging="475"/>
      </w:pPr>
      <w:r>
        <w:tab/>
        <w:t>•</w:t>
      </w:r>
      <w:r>
        <w:tab/>
      </w:r>
      <w:r w:rsidR="002665C4" w:rsidRPr="002665C4">
        <w:t>Беременные женщины должны до родов и после родов получать помощь квалифицированного/дипломированного профессионального медицинск</w:t>
      </w:r>
      <w:r w:rsidR="002665C4" w:rsidRPr="002665C4">
        <w:t>о</w:t>
      </w:r>
      <w:r w:rsidR="002665C4" w:rsidRPr="002665C4">
        <w:t>го р</w:t>
      </w:r>
      <w:r w:rsidR="002665C4" w:rsidRPr="002665C4">
        <w:t>а</w:t>
      </w:r>
      <w:r w:rsidR="002665C4" w:rsidRPr="002665C4">
        <w:t>ботника при рождении ребенка.</w:t>
      </w:r>
    </w:p>
    <w:p w:rsidR="002665C4" w:rsidRPr="002665C4" w:rsidRDefault="004F0A21" w:rsidP="004F0A21">
      <w:pPr>
        <w:pStyle w:val="SingleTxt"/>
        <w:tabs>
          <w:tab w:val="right" w:pos="1685"/>
        </w:tabs>
        <w:ind w:left="1742" w:hanging="475"/>
      </w:pPr>
      <w:r>
        <w:tab/>
        <w:t>•</w:t>
      </w:r>
      <w:r>
        <w:tab/>
      </w:r>
      <w:r w:rsidR="002665C4" w:rsidRPr="002665C4">
        <w:t>Дети в возрасте 0–5 лет должны проходить регулярные профилактические м</w:t>
      </w:r>
      <w:r w:rsidR="002665C4" w:rsidRPr="002665C4">
        <w:t>е</w:t>
      </w:r>
      <w:r w:rsidR="002665C4" w:rsidRPr="002665C4">
        <w:t>дицинские осмотры и вакцинацию.</w:t>
      </w:r>
    </w:p>
    <w:p w:rsidR="002665C4" w:rsidRPr="002665C4" w:rsidRDefault="004F0A21" w:rsidP="004F0A21">
      <w:pPr>
        <w:pStyle w:val="SingleTxt"/>
        <w:tabs>
          <w:tab w:val="right" w:pos="1685"/>
        </w:tabs>
        <w:ind w:left="1742" w:hanging="475"/>
      </w:pPr>
      <w:r>
        <w:tab/>
        <w:t>•</w:t>
      </w:r>
      <w:r>
        <w:tab/>
      </w:r>
      <w:r w:rsidR="002665C4" w:rsidRPr="002665C4">
        <w:t>Дети в возрасте 0–14 лет должны принимать таблетки от глистов каждые 5 месяцев.</w:t>
      </w:r>
    </w:p>
    <w:p w:rsidR="002665C4" w:rsidRPr="002665C4" w:rsidRDefault="002665C4" w:rsidP="002665C4">
      <w:pPr>
        <w:pStyle w:val="SingleTxt"/>
        <w:rPr>
          <w:u w:val="single"/>
        </w:rPr>
      </w:pPr>
      <w:r w:rsidRPr="002665C4">
        <w:rPr>
          <w:u w:val="single"/>
        </w:rPr>
        <w:t>Образование</w:t>
      </w:r>
    </w:p>
    <w:p w:rsidR="002665C4" w:rsidRPr="002665C4" w:rsidRDefault="004F0A21" w:rsidP="004F0A21">
      <w:pPr>
        <w:pStyle w:val="SingleTxt"/>
        <w:tabs>
          <w:tab w:val="right" w:pos="1685"/>
        </w:tabs>
        <w:ind w:left="1742" w:hanging="475"/>
      </w:pPr>
      <w:r>
        <w:tab/>
        <w:t>•</w:t>
      </w:r>
      <w:r>
        <w:tab/>
      </w:r>
      <w:r w:rsidR="002665C4" w:rsidRPr="002665C4">
        <w:t>Дети в возрасте 3–5 лет должны находиться в детских садах и яслях не менее 85 процентов времени.</w:t>
      </w:r>
    </w:p>
    <w:p w:rsidR="002665C4" w:rsidRPr="002665C4" w:rsidRDefault="004F0A21" w:rsidP="004F0A21">
      <w:pPr>
        <w:pStyle w:val="SingleTxt"/>
        <w:tabs>
          <w:tab w:val="right" w:pos="1685"/>
        </w:tabs>
        <w:ind w:left="1742" w:hanging="475"/>
      </w:pPr>
      <w:r>
        <w:tab/>
        <w:t>•</w:t>
      </w:r>
      <w:r>
        <w:tab/>
      </w:r>
      <w:r w:rsidR="002665C4" w:rsidRPr="002665C4">
        <w:t>Дети в возрасте 6–18 лет должны посещать начальную или старшую шк</w:t>
      </w:r>
      <w:r w:rsidR="002665C4" w:rsidRPr="002665C4">
        <w:t>о</w:t>
      </w:r>
      <w:r w:rsidR="002665C4" w:rsidRPr="002665C4">
        <w:t>лу не менее 85 процентов времени.</w:t>
      </w:r>
    </w:p>
    <w:p w:rsidR="002665C4" w:rsidRPr="002665C4" w:rsidRDefault="002665C4" w:rsidP="002665C4">
      <w:pPr>
        <w:pStyle w:val="SingleTxt"/>
        <w:rPr>
          <w:u w:val="single"/>
        </w:rPr>
      </w:pPr>
      <w:r w:rsidRPr="002665C4">
        <w:rPr>
          <w:u w:val="single"/>
        </w:rPr>
        <w:t xml:space="preserve">Посещение занятий по развитию семьи </w:t>
      </w:r>
    </w:p>
    <w:p w:rsidR="002665C4" w:rsidRPr="002665C4" w:rsidRDefault="004F0A21" w:rsidP="004F0A21">
      <w:pPr>
        <w:pStyle w:val="SingleTxt"/>
        <w:tabs>
          <w:tab w:val="right" w:pos="1685"/>
        </w:tabs>
        <w:ind w:left="1742" w:hanging="475"/>
      </w:pPr>
      <w:r>
        <w:tab/>
        <w:t>•</w:t>
      </w:r>
      <w:r>
        <w:tab/>
      </w:r>
      <w:r w:rsidR="002665C4" w:rsidRPr="002665C4">
        <w:t>Родители или опекуны должны посещать занятия по вопросам отве</w:t>
      </w:r>
      <w:r w:rsidR="002665C4" w:rsidRPr="002665C4">
        <w:t>т</w:t>
      </w:r>
      <w:r w:rsidR="002665C4" w:rsidRPr="002665C4">
        <w:t>ственного отношения к родительским обязанностям, занятия для матерей и с</w:t>
      </w:r>
      <w:r w:rsidR="002665C4" w:rsidRPr="002665C4">
        <w:t>е</w:t>
      </w:r>
      <w:r w:rsidR="002665C4" w:rsidRPr="002665C4">
        <w:t>минары для родителей не реже одного раза в месяц.</w:t>
      </w:r>
    </w:p>
    <w:p w:rsidR="002665C4" w:rsidRPr="002665C4" w:rsidRDefault="002665C4" w:rsidP="002665C4">
      <w:pPr>
        <w:pStyle w:val="SingleTxt"/>
      </w:pPr>
      <w:r w:rsidRPr="002665C4">
        <w:t>108.</w:t>
      </w:r>
      <w:r w:rsidRPr="002665C4">
        <w:tab/>
        <w:t>Бедные домохозяйства, имеющие детей в возрасте до 18 лет (в 2013 году возраст был повышен с 14 лет, чтобы дать им возможность закончить среднее образование) и в которых есть беременные женщины или кормящие матери, имеют право на пособие на цели здоровья, установленное в размере 500 филиппинских песо (приблизительно 10 долл. США) на домохозяйство в месяц. Пособие на образование составляет 300 филиппинских песо (приблиз</w:t>
      </w:r>
      <w:r w:rsidRPr="002665C4">
        <w:t>и</w:t>
      </w:r>
      <w:r w:rsidRPr="002665C4">
        <w:t>тельно 6 долл. США) в месяц 10 месяцев в год (3 тыс. филиппинских песо, или приблизительно 62 долл. США, в год) максимум на троих детей в одной семье. По состоянию на декабрь 2013 года программа осуществлялась в 1484 мун</w:t>
      </w:r>
      <w:r w:rsidRPr="002665C4">
        <w:t>и</w:t>
      </w:r>
      <w:r w:rsidRPr="002665C4">
        <w:t>ципалитетах, 143 городах и 79 провинциях на территории всей страны, охв</w:t>
      </w:r>
      <w:r w:rsidRPr="002665C4">
        <w:t>а</w:t>
      </w:r>
      <w:r w:rsidRPr="002665C4">
        <w:t>тывая более 3 841 147 домохозяйств, 91,3 процента (3 505 703) получателей грантов составляли женщины.</w:t>
      </w:r>
    </w:p>
    <w:p w:rsidR="002665C4" w:rsidRPr="002665C4" w:rsidRDefault="002665C4" w:rsidP="002665C4">
      <w:pPr>
        <w:pStyle w:val="SingleTxt"/>
      </w:pPr>
      <w:r w:rsidRPr="002665C4">
        <w:t>109.</w:t>
      </w:r>
      <w:r w:rsidRPr="002665C4">
        <w:tab/>
        <w:t>Программа дает женщинам дополнительный доход на основные нужды семьи и обеспечивает определенную степень финансовой независимости от мужа. В результате ее осуществления также увеличилась численность детей, посещающих школу, и численность женщин, получающих дородовую и посл</w:t>
      </w:r>
      <w:r w:rsidRPr="002665C4">
        <w:t>е</w:t>
      </w:r>
      <w:r w:rsidRPr="002665C4">
        <w:t>родовую медицинскую помощь, а также они получили возможность осущест</w:t>
      </w:r>
      <w:r w:rsidRPr="002665C4">
        <w:t>в</w:t>
      </w:r>
      <w:r w:rsidRPr="002665C4">
        <w:t>ления контроля за здоровьем и учебой своих детей. Кроме того, женщины п</w:t>
      </w:r>
      <w:r w:rsidRPr="002665C4">
        <w:t>о</w:t>
      </w:r>
      <w:r w:rsidRPr="002665C4">
        <w:t>лучают информацию о своих правах, о гендерных отношениях, уходе за детьми и улучшении общения с ними в рамках семинаров по вопросам развития с</w:t>
      </w:r>
      <w:r w:rsidRPr="002665C4">
        <w:t>е</w:t>
      </w:r>
      <w:r w:rsidRPr="002665C4">
        <w:t xml:space="preserve">мьи. </w:t>
      </w:r>
    </w:p>
    <w:p w:rsidR="002665C4" w:rsidRPr="002665C4" w:rsidRDefault="002665C4" w:rsidP="002665C4">
      <w:pPr>
        <w:pStyle w:val="SingleTxt"/>
      </w:pPr>
      <w:r w:rsidRPr="002665C4">
        <w:t>110.</w:t>
      </w:r>
      <w:r w:rsidRPr="002665C4">
        <w:tab/>
        <w:t>Программа KALAHI-CIDDS/НПРИО направлена на расширение прав и возможностей общин за счет расширения участия членов общин, в частности женщин, в местном управлении и проектах общины. Ее целью является ра</w:t>
      </w:r>
      <w:r w:rsidRPr="002665C4">
        <w:t>с</w:t>
      </w:r>
      <w:r w:rsidRPr="002665C4">
        <w:t>ширение участия населения в процессах и системах управления, повышения их прозрачности и подотчетности. Члены общин определяют свои проекты, г</w:t>
      </w:r>
      <w:r w:rsidRPr="002665C4">
        <w:t>о</w:t>
      </w:r>
      <w:r w:rsidRPr="002665C4">
        <w:t>товят предложения, участвуют в их осуществлении или контролируют их в ц</w:t>
      </w:r>
      <w:r w:rsidRPr="002665C4">
        <w:t>е</w:t>
      </w:r>
      <w:r w:rsidRPr="002665C4">
        <w:t>лях усиления заинтересованности, подотчетности и устойчивости. Средства на утвержденные проекты выделяются через счета местных проектов, которые ведут волонтеры. Проекты направлены на самые разные объекты</w:t>
      </w:r>
      <w:r>
        <w:t xml:space="preserve"> — </w:t>
      </w:r>
      <w:r w:rsidRPr="002665C4">
        <w:t>дороги, дренажные системы, центры по дневному уходу, медицинские центры, соор</w:t>
      </w:r>
      <w:r w:rsidRPr="002665C4">
        <w:t>у</w:t>
      </w:r>
      <w:r w:rsidRPr="002665C4">
        <w:t>жения для хранения и переработки урожая, водоснабжение и санитарию.</w:t>
      </w:r>
    </w:p>
    <w:p w:rsidR="002665C4" w:rsidRPr="002665C4" w:rsidRDefault="002665C4" w:rsidP="002665C4">
      <w:pPr>
        <w:pStyle w:val="SingleTxt"/>
      </w:pPr>
      <w:r w:rsidRPr="002665C4">
        <w:t>111.</w:t>
      </w:r>
      <w:r w:rsidRPr="002665C4">
        <w:tab/>
        <w:t>По состоянию на январь 2014 года проектом KALAHI-CIDSS было пр</w:t>
      </w:r>
      <w:r w:rsidRPr="002665C4">
        <w:t>о</w:t>
      </w:r>
      <w:r w:rsidRPr="002665C4">
        <w:t>финансировано 4243 общинных субпроекта на сумму 4,952 млрд. филиппи</w:t>
      </w:r>
      <w:r w:rsidRPr="002665C4">
        <w:t>н</w:t>
      </w:r>
      <w:r w:rsidRPr="002665C4">
        <w:t>ских песо (более 117 млн. долл. США) для 959 368 домохозяйств в 4337 бара</w:t>
      </w:r>
      <w:r w:rsidRPr="002665C4">
        <w:t>н</w:t>
      </w:r>
      <w:r w:rsidRPr="002665C4">
        <w:t>гаях. Бенефициарами этой программы являются и женщины и мужчины. Ее р</w:t>
      </w:r>
      <w:r w:rsidRPr="002665C4">
        <w:t>е</w:t>
      </w:r>
      <w:r w:rsidRPr="002665C4">
        <w:t>зультатом, в частности, стало расширение их участия в составе рабочей силы и в принятии решений на местном уровне, способствующих развитию посре</w:t>
      </w:r>
      <w:r w:rsidRPr="002665C4">
        <w:t>д</w:t>
      </w:r>
      <w:r w:rsidRPr="002665C4">
        <w:t>ством проектов, учитывающих потребности общин, и ответственному упра</w:t>
      </w:r>
      <w:r w:rsidRPr="002665C4">
        <w:t>в</w:t>
      </w:r>
      <w:r w:rsidRPr="002665C4">
        <w:t xml:space="preserve">лению. </w:t>
      </w:r>
    </w:p>
    <w:p w:rsidR="002665C4" w:rsidRPr="002665C4" w:rsidRDefault="002665C4" w:rsidP="002665C4">
      <w:pPr>
        <w:pStyle w:val="SingleTxt"/>
      </w:pPr>
      <w:r w:rsidRPr="002665C4">
        <w:t>112.</w:t>
      </w:r>
      <w:r w:rsidRPr="002665C4">
        <w:tab/>
        <w:t>Программа по обеспечению устойчивых источников дохода обеспечивает укрепление потенциала для улучшения социально-экономического положения участников программы, осуществляемого с применением двоякой стратегии. Во</w:t>
      </w:r>
      <w:r w:rsidRPr="002665C4">
        <w:noBreakHyphen/>
        <w:t>первых, она помогает микропредприятиям обрести организационную и экономическую жизнестойкость посредством программы укрепления потенц</w:t>
      </w:r>
      <w:r w:rsidRPr="002665C4">
        <w:t>и</w:t>
      </w:r>
      <w:r w:rsidRPr="002665C4">
        <w:t>ала, нацеленной на развитие общины, повышение квалификации, построение сетей и материальной помощи бедным домохозяйствам, включенным в список Национальной системы работы с домохозяйствами в целях сокращения нищ</w:t>
      </w:r>
      <w:r w:rsidRPr="002665C4">
        <w:t>е</w:t>
      </w:r>
      <w:r w:rsidRPr="002665C4">
        <w:t>ты (НСРД-СН), выдвижения на первый план получателей ОДП в целях улу</w:t>
      </w:r>
      <w:r w:rsidRPr="002665C4">
        <w:t>ч</w:t>
      </w:r>
      <w:r w:rsidRPr="002665C4">
        <w:t>шения их возможностей для управления устойчивым микропредприятием. Во-вторых, она создает для участников возможности трудоустройства, оказывая помощь безработным бедным семьям, включенным в список НСРД-СН, а та</w:t>
      </w:r>
      <w:r w:rsidRPr="002665C4">
        <w:t>к</w:t>
      </w:r>
      <w:r w:rsidRPr="002665C4">
        <w:t>же уделяя первоочередное внимание получателям ОДП, которые проходят пр</w:t>
      </w:r>
      <w:r w:rsidRPr="002665C4">
        <w:t>о</w:t>
      </w:r>
      <w:r w:rsidRPr="002665C4">
        <w:t>фессиональное профилирование, подбор работы, профессиональную ориент</w:t>
      </w:r>
      <w:r w:rsidRPr="002665C4">
        <w:t>а</w:t>
      </w:r>
      <w:r w:rsidRPr="002665C4">
        <w:t xml:space="preserve">цию и консультации, а также получают направления на работу. </w:t>
      </w:r>
    </w:p>
    <w:p w:rsidR="002665C4" w:rsidRPr="002665C4" w:rsidRDefault="002665C4" w:rsidP="002665C4">
      <w:pPr>
        <w:pStyle w:val="SingleTxt"/>
      </w:pPr>
      <w:r w:rsidRPr="002665C4">
        <w:t>113.</w:t>
      </w:r>
      <w:r w:rsidRPr="002665C4">
        <w:tab/>
        <w:t>По состоянию на январь 2014 года всего с января 2011 года по октябрь 2013 года обслуживание получили 340 163 бедных домохозяйства: 288 601 (94,74 процента) домохозяйство включено в направление развития микропре</w:t>
      </w:r>
      <w:r w:rsidRPr="002665C4">
        <w:t>д</w:t>
      </w:r>
      <w:r w:rsidRPr="002665C4">
        <w:t>приятий, а 16 488 (5,40 процента)</w:t>
      </w:r>
      <w:r>
        <w:t xml:space="preserve"> — </w:t>
      </w:r>
      <w:r w:rsidRPr="002665C4">
        <w:t>в направление содействия трудоустро</w:t>
      </w:r>
      <w:r w:rsidRPr="002665C4">
        <w:t>й</w:t>
      </w:r>
      <w:r w:rsidRPr="002665C4">
        <w:t>ству. Программа оказывает помощь и женщинам и мужчинам, содействуя иск</w:t>
      </w:r>
      <w:r w:rsidRPr="002665C4">
        <w:t>о</w:t>
      </w:r>
      <w:r w:rsidRPr="002665C4">
        <w:t xml:space="preserve">ренению нищеты и голода, достижению гендерного равенства и расширению прав и возможностей женщин. </w:t>
      </w:r>
    </w:p>
    <w:p w:rsidR="002665C4" w:rsidRDefault="002665C4" w:rsidP="002665C4">
      <w:pPr>
        <w:pStyle w:val="SingleTxt"/>
      </w:pPr>
      <w:r w:rsidRPr="002665C4">
        <w:t>114.</w:t>
      </w:r>
      <w:r w:rsidRPr="002665C4">
        <w:tab/>
        <w:t>В целях обеспечения социальной защиты женщин и членов их семей го</w:t>
      </w:r>
      <w:r w:rsidRPr="002665C4">
        <w:t>с</w:t>
      </w:r>
      <w:r w:rsidRPr="002665C4">
        <w:t>ударство-участник с помощью Филиппинской корпорации медицинского стр</w:t>
      </w:r>
      <w:r w:rsidRPr="002665C4">
        <w:t>а</w:t>
      </w:r>
      <w:r w:rsidRPr="002665C4">
        <w:t>хования (PhilHealth) разработало страховой пакет для решения проблемы д</w:t>
      </w:r>
      <w:r w:rsidRPr="002665C4">
        <w:t>о</w:t>
      </w:r>
      <w:r w:rsidRPr="002665C4">
        <w:t>ступа к качественному медицинскому обслуживанию для женщин, занятых в неформальном секторе экономики, и его приемлемой стоимости. PhilHealth одобрила осуществление схемы частичного субсидирования для женщин</w:t>
      </w:r>
      <w:r>
        <w:t>-</w:t>
      </w:r>
      <w:r w:rsidRPr="002665C4">
        <w:t>владельцев микропредприятий (ЖВМ), мелких индивидуальных предприним</w:t>
      </w:r>
      <w:r w:rsidRPr="002665C4">
        <w:t>а</w:t>
      </w:r>
      <w:r w:rsidRPr="002665C4">
        <w:t xml:space="preserve">телей и других работников с низким доходом, занятых в </w:t>
      </w:r>
      <w:r>
        <w:t>неформальном секторе экономики.</w:t>
      </w:r>
    </w:p>
    <w:p w:rsidR="002665C4" w:rsidRPr="002665C4" w:rsidRDefault="002665C4" w:rsidP="002665C4">
      <w:pPr>
        <w:pStyle w:val="SingleTxt"/>
        <w:spacing w:after="0" w:line="120" w:lineRule="exact"/>
        <w:rPr>
          <w:sz w:val="10"/>
        </w:rPr>
      </w:pPr>
    </w:p>
    <w:p w:rsidR="002665C4" w:rsidRDefault="002665C4" w:rsidP="00266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 xml:space="preserve">Развитие потенциала и профессиональное обучение </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115.</w:t>
      </w:r>
      <w:r w:rsidRPr="002665C4">
        <w:tab/>
        <w:t>Государство-участник посредством своих соответствующих учреждений предоставляет услуги по укреплению потенциала, содействуя трудоустройству или предпринимательской деятельности и женщин и мужчин. Через Женский центр</w:t>
      </w:r>
      <w:r>
        <w:t xml:space="preserve"> — </w:t>
      </w:r>
      <w:r w:rsidRPr="002665C4">
        <w:t>Орган по техническому образованию и развитию навыков (ОТОРН)</w:t>
      </w:r>
      <w:r>
        <w:t xml:space="preserve"> — </w:t>
      </w:r>
      <w:r w:rsidRPr="002665C4">
        <w:t>оно занимается вопросами обеспечения потребностей женщин в области профессионально-технического образования, в частности по спец</w:t>
      </w:r>
      <w:r w:rsidRPr="002665C4">
        <w:t>и</w:t>
      </w:r>
      <w:r w:rsidRPr="002665C4">
        <w:t>альностям, в которых традиционно преобладают мужчины. На некоторых ку</w:t>
      </w:r>
      <w:r w:rsidRPr="002665C4">
        <w:t>р</w:t>
      </w:r>
      <w:r w:rsidRPr="002665C4">
        <w:t>сах численность женщин постепенно стала превышать численность мужчин, что расширяет их возможности трудоустройства в таких областях, как сварка, холодильное оборудование и авторемонт. Все больше женщин проходят вн</w:t>
      </w:r>
      <w:r w:rsidRPr="002665C4">
        <w:t>е</w:t>
      </w:r>
      <w:r w:rsidRPr="002665C4">
        <w:t>школьное обучение или подготовку на базе общины</w:t>
      </w:r>
      <w:r>
        <w:t xml:space="preserve"> — </w:t>
      </w:r>
      <w:r w:rsidRPr="002665C4">
        <w:t>такая стратегия обесп</w:t>
      </w:r>
      <w:r w:rsidRPr="002665C4">
        <w:t>е</w:t>
      </w:r>
      <w:r w:rsidRPr="002665C4">
        <w:t xml:space="preserve">чивает женщинам более гибкий график занятий. </w:t>
      </w:r>
    </w:p>
    <w:p w:rsidR="002665C4" w:rsidRDefault="002665C4" w:rsidP="002665C4">
      <w:pPr>
        <w:pStyle w:val="SingleTxt"/>
      </w:pPr>
      <w:r w:rsidRPr="002665C4">
        <w:t>116.</w:t>
      </w:r>
      <w:r w:rsidRPr="002665C4">
        <w:tab/>
        <w:t>Экономические меры преобразования в интересах женщин с учетом ге</w:t>
      </w:r>
      <w:r w:rsidRPr="002665C4">
        <w:t>н</w:t>
      </w:r>
      <w:r w:rsidRPr="002665C4">
        <w:t>дерного аспекта (Проект для женщин GREAT), которым оказывает поддержку правительство Канады,</w:t>
      </w:r>
      <w:r>
        <w:t xml:space="preserve"> — </w:t>
      </w:r>
      <w:r w:rsidRPr="002665C4">
        <w:t>представляют собой проект содействия управлению с учетом гендерных факторов и развития женского микропредпринимател</w:t>
      </w:r>
      <w:r w:rsidRPr="002665C4">
        <w:t>ь</w:t>
      </w:r>
      <w:r w:rsidRPr="002665C4">
        <w:t>ства. Проект содействовал созданию благоприятных условий, учитывающих гендерный аспект, для расширения экономических прав и возможностей же</w:t>
      </w:r>
      <w:r w:rsidRPr="002665C4">
        <w:t>н</w:t>
      </w:r>
      <w:r w:rsidRPr="002665C4">
        <w:t>щин на национальном и местном уровнях, включая инициативы по укрепл</w:t>
      </w:r>
      <w:r w:rsidRPr="002665C4">
        <w:t>е</w:t>
      </w:r>
      <w:r w:rsidRPr="002665C4">
        <w:t>нию потенциала женщин-микропредпринимателей. С помощью группы соц</w:t>
      </w:r>
      <w:r w:rsidRPr="002665C4">
        <w:t>и</w:t>
      </w:r>
      <w:r w:rsidRPr="002665C4">
        <w:t xml:space="preserve">альных предприятий была создана торговая марка </w:t>
      </w:r>
      <w:r>
        <w:t>«</w:t>
      </w:r>
      <w:r w:rsidRPr="002665C4">
        <w:t>Женщины GREAT</w:t>
      </w:r>
      <w:r>
        <w:t>»</w:t>
      </w:r>
      <w:r w:rsidRPr="002665C4">
        <w:t>. Это ведущая торговая марка для продукции женщин-микропредпринимателей, п</w:t>
      </w:r>
      <w:r w:rsidRPr="002665C4">
        <w:t>о</w:t>
      </w:r>
      <w:r w:rsidRPr="002665C4">
        <w:t>лучивших подготовку по разработке, упаковке продуктов и т.д., продукция к</w:t>
      </w:r>
      <w:r w:rsidRPr="002665C4">
        <w:t>о</w:t>
      </w:r>
      <w:r w:rsidRPr="002665C4">
        <w:t>торых, кроме того, прошла ряд проверок качества и теперь продается в ко</w:t>
      </w:r>
      <w:r w:rsidRPr="002665C4">
        <w:t>м</w:t>
      </w:r>
      <w:r w:rsidRPr="002665C4">
        <w:t>мерческих масштабах. (</w:t>
      </w:r>
      <w:r w:rsidRPr="002665C4">
        <w:rPr>
          <w:i/>
        </w:rPr>
        <w:t>См. приложение 3. Справка о Проекте для женщин GREAT.</w:t>
      </w:r>
      <w:r w:rsidRPr="002665C4">
        <w:t>)</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О финансовой поддержке НПО, которые организуют приюты и пункты для реабилитации женщин и дев</w:t>
      </w:r>
      <w:r>
        <w:t>очек, занимающихся проституцией</w:t>
      </w:r>
    </w:p>
    <w:p w:rsidR="002665C4" w:rsidRPr="002665C4" w:rsidRDefault="002665C4" w:rsidP="002665C4">
      <w:pPr>
        <w:pStyle w:val="SingleTxt"/>
        <w:spacing w:after="0" w:line="120" w:lineRule="exact"/>
        <w:rPr>
          <w:sz w:val="10"/>
        </w:rPr>
      </w:pPr>
    </w:p>
    <w:p w:rsidR="002665C4" w:rsidRDefault="002665C4" w:rsidP="002665C4">
      <w:pPr>
        <w:pStyle w:val="SingleTxt"/>
        <w:rPr>
          <w:bCs/>
        </w:rPr>
      </w:pPr>
      <w:r w:rsidRPr="002665C4">
        <w:rPr>
          <w:bCs/>
        </w:rPr>
        <w:t>117.</w:t>
      </w:r>
      <w:r w:rsidRPr="002665C4">
        <w:rPr>
          <w:bCs/>
        </w:rPr>
        <w:tab/>
      </w:r>
      <w:r w:rsidRPr="002665C4">
        <w:t>Признавая их деятельность и вклад в дело развития, законодательство предписывает государству-участнику использовать частные средства на час</w:t>
      </w:r>
      <w:r w:rsidRPr="002665C4">
        <w:t>т</w:t>
      </w:r>
      <w:r w:rsidRPr="002665C4">
        <w:t>ные цели и в силу этого оно не вправе оказывать прямую финансовую по</w:t>
      </w:r>
      <w:r w:rsidRPr="002665C4">
        <w:t>д</w:t>
      </w:r>
      <w:r w:rsidRPr="002665C4">
        <w:t>держку НПО, которые организуют приюты и пункты реабилитации. Тем не м</w:t>
      </w:r>
      <w:r w:rsidRPr="002665C4">
        <w:t>е</w:t>
      </w:r>
      <w:r w:rsidRPr="002665C4">
        <w:t>нее государство-участник предоставляет льготы и преимущества наряду с с</w:t>
      </w:r>
      <w:r w:rsidRPr="002665C4">
        <w:t>о</w:t>
      </w:r>
      <w:r w:rsidRPr="002665C4">
        <w:t>блюдением установленных норм путем регистрации, лицензирования и аккр</w:t>
      </w:r>
      <w:r w:rsidRPr="002665C4">
        <w:t>е</w:t>
      </w:r>
      <w:r w:rsidRPr="002665C4">
        <w:t>дитации НПО, которые действуют в области социального обеспечения и разв</w:t>
      </w:r>
      <w:r w:rsidRPr="002665C4">
        <w:t>и</w:t>
      </w:r>
      <w:r w:rsidRPr="002665C4">
        <w:t xml:space="preserve">тия, а именно организуют приюты и пункты реабилитации и называются агентствами по развитию социального обеспечения </w:t>
      </w:r>
      <w:r w:rsidRPr="002665C4">
        <w:rPr>
          <w:bCs/>
        </w:rPr>
        <w:t>(АРСО). Примерами таких льгот и преимуществ может служить включение в реестр МСОР зарегистрир</w:t>
      </w:r>
      <w:r w:rsidRPr="002665C4">
        <w:rPr>
          <w:bCs/>
        </w:rPr>
        <w:t>о</w:t>
      </w:r>
      <w:r w:rsidRPr="002665C4">
        <w:rPr>
          <w:bCs/>
        </w:rPr>
        <w:t>ванных, лицензированных и/или аккредитованных АРСО, техническая помощь по программам и оказанию услуг.</w:t>
      </w:r>
    </w:p>
    <w:p w:rsidR="002665C4" w:rsidRPr="002665C4" w:rsidRDefault="002665C4" w:rsidP="002665C4">
      <w:pPr>
        <w:pStyle w:val="SingleTxt"/>
        <w:spacing w:after="0" w:line="120" w:lineRule="exact"/>
        <w:rPr>
          <w:bCs/>
          <w:sz w:val="10"/>
        </w:rPr>
      </w:pPr>
    </w:p>
    <w:p w:rsidR="002665C4" w:rsidRDefault="00F173BA"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665C4">
        <w:tab/>
      </w:r>
      <w:r w:rsidR="002665C4">
        <w:tab/>
      </w:r>
      <w:r w:rsidR="002665C4" w:rsidRPr="002665C4">
        <w:t>Об активизации участия женщин в политике</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118.</w:t>
      </w:r>
      <w:r w:rsidRPr="002665C4">
        <w:tab/>
        <w:t xml:space="preserve">Статья 11 ВХЖ предусматривает, что </w:t>
      </w:r>
      <w:r>
        <w:t>«</w:t>
      </w:r>
      <w:r w:rsidRPr="002665C4">
        <w:t>государство осуществляет време</w:t>
      </w:r>
      <w:r w:rsidRPr="002665C4">
        <w:t>н</w:t>
      </w:r>
      <w:r w:rsidRPr="002665C4">
        <w:t>ные специальные меры по активизации участия и равному представительству женщин… в процессах принятия решений и выработки политики</w:t>
      </w:r>
      <w:r>
        <w:t>»</w:t>
      </w:r>
      <w:r w:rsidRPr="002665C4">
        <w:t>. В соотве</w:t>
      </w:r>
      <w:r w:rsidRPr="002665C4">
        <w:t>т</w:t>
      </w:r>
      <w:r w:rsidRPr="002665C4">
        <w:t>ствии с этим положением Избирательная комиссия (Избирком) должна вкл</w:t>
      </w:r>
      <w:r w:rsidRPr="002665C4">
        <w:t>ю</w:t>
      </w:r>
      <w:r w:rsidRPr="002665C4">
        <w:t>чать при аккредитации политических партий, в том числе организаций из па</w:t>
      </w:r>
      <w:r w:rsidRPr="002665C4">
        <w:t>р</w:t>
      </w:r>
      <w:r w:rsidRPr="002665C4">
        <w:t>тийных списков, конкретные положения, содействующие включению женщин в состав руководства, внутриполитические структуры и в процесс выдвижения кандидатур на назначаемые и выборные посты в указанных партиях. Полит</w:t>
      </w:r>
      <w:r w:rsidRPr="002665C4">
        <w:t>и</w:t>
      </w:r>
      <w:r w:rsidRPr="002665C4">
        <w:t>ческим партиям предлагается создавать программы, в которых их члены имеют возможность выдвигать предложения по политическим вопросам, а их члены-женщины могут принимать конструктивное</w:t>
      </w:r>
      <w:r>
        <w:t xml:space="preserve"> участие в деятельности партии.</w:t>
      </w:r>
    </w:p>
    <w:p w:rsidR="002665C4" w:rsidRPr="002665C4" w:rsidRDefault="002665C4" w:rsidP="002665C4">
      <w:pPr>
        <w:pStyle w:val="SingleTxt"/>
      </w:pPr>
      <w:r w:rsidRPr="002665C4">
        <w:t>119.</w:t>
      </w:r>
      <w:r w:rsidRPr="002665C4">
        <w:tab/>
        <w:t>Что касается государственных служащих, ВХЖ ставит цель, чтобы среди них женщин и мужчин было поровну на руководящих постах третьего уровня, включая должности от заместителя директора управления до заместителя м</w:t>
      </w:r>
      <w:r w:rsidRPr="002665C4">
        <w:t>и</w:t>
      </w:r>
      <w:r w:rsidRPr="002665C4">
        <w:t>нистра. В отношении участия женщин на местном уровне закон предусматр</w:t>
      </w:r>
      <w:r w:rsidRPr="002665C4">
        <w:t>и</w:t>
      </w:r>
      <w:r w:rsidRPr="002665C4">
        <w:t>вает, что они должны составлять не менее 40 процентов членов местных сов</w:t>
      </w:r>
      <w:r w:rsidRPr="002665C4">
        <w:t>е</w:t>
      </w:r>
      <w:r w:rsidRPr="002665C4">
        <w:t>тов по вопросам развития. Он также предписывает создание для женщин во</w:t>
      </w:r>
      <w:r w:rsidRPr="002665C4">
        <w:t>з</w:t>
      </w:r>
      <w:r w:rsidRPr="002665C4">
        <w:t>можности наравне с мужчинами представлять государство на международном уровне и участвовать в работе международных организаций.</w:t>
      </w:r>
    </w:p>
    <w:p w:rsidR="002665C4" w:rsidRPr="002665C4" w:rsidRDefault="002665C4" w:rsidP="002665C4">
      <w:pPr>
        <w:pStyle w:val="SingleTxt"/>
        <w:rPr>
          <w:bCs/>
        </w:rPr>
      </w:pPr>
      <w:r w:rsidRPr="002665C4">
        <w:rPr>
          <w:bCs/>
        </w:rPr>
        <w:t>120.</w:t>
      </w:r>
      <w:r w:rsidRPr="002665C4">
        <w:rPr>
          <w:bCs/>
        </w:rPr>
        <w:tab/>
      </w:r>
      <w:r w:rsidRPr="002665C4">
        <w:t xml:space="preserve">Поддержка участия женщин в управлении на местном уровне входит в руководящие принципы, изданные в целях применения ВХЖ на местном уровне, согласно которым </w:t>
      </w:r>
      <w:r>
        <w:t>«</w:t>
      </w:r>
      <w:r w:rsidRPr="002665C4">
        <w:rPr>
          <w:bCs/>
        </w:rPr>
        <w:t>МОВ обеспечивают активное участие местных к</w:t>
      </w:r>
      <w:r w:rsidRPr="002665C4">
        <w:rPr>
          <w:bCs/>
        </w:rPr>
        <w:t>о</w:t>
      </w:r>
      <w:r w:rsidRPr="002665C4">
        <w:rPr>
          <w:bCs/>
        </w:rPr>
        <w:t>митетов/советов в сотрудничестве с национальными/региональными органами власти, научным сообществом, частным сектором и организациями гражда</w:t>
      </w:r>
      <w:r w:rsidRPr="002665C4">
        <w:rPr>
          <w:bCs/>
        </w:rPr>
        <w:t>н</w:t>
      </w:r>
      <w:r w:rsidRPr="002665C4">
        <w:rPr>
          <w:bCs/>
        </w:rPr>
        <w:t>ского общества (ОГО), действующими на местном уровне, для обеспечения эффективного учета гендерных факторов</w:t>
      </w:r>
      <w:r>
        <w:rPr>
          <w:bCs/>
        </w:rPr>
        <w:t>»</w:t>
      </w:r>
      <w:r w:rsidRPr="002665C4">
        <w:rPr>
          <w:bCs/>
        </w:rPr>
        <w:t>.</w:t>
      </w:r>
    </w:p>
    <w:p w:rsidR="002665C4" w:rsidRPr="002665C4" w:rsidRDefault="002665C4" w:rsidP="002665C4">
      <w:pPr>
        <w:pStyle w:val="SingleTxt"/>
      </w:pPr>
      <w:r w:rsidRPr="002665C4">
        <w:t>121.</w:t>
      </w:r>
      <w:r w:rsidRPr="002665C4">
        <w:tab/>
        <w:t>В ныне действующем Конгрессе (2013</w:t>
      </w:r>
      <w:r>
        <w:t> </w:t>
      </w:r>
      <w:r w:rsidRPr="002665C4">
        <w:t>года) женщины занимают 6 из 24</w:t>
      </w:r>
      <w:r>
        <w:t> </w:t>
      </w:r>
      <w:r w:rsidRPr="002665C4">
        <w:t>мест в Сенате (25</w:t>
      </w:r>
      <w:r>
        <w:t> </w:t>
      </w:r>
      <w:r w:rsidRPr="002665C4">
        <w:t>процентов) и примерно такой же процент мест (25,64 процента) в Конгрессе. На местном уровне увеличился процент женщин среди губернаторов провинций</w:t>
      </w:r>
      <w:r>
        <w:t xml:space="preserve"> — </w:t>
      </w:r>
      <w:r w:rsidRPr="002665C4">
        <w:t>с 15,4 процента в 1998 году до 22,5 процента в 2013</w:t>
      </w:r>
      <w:r>
        <w:t> </w:t>
      </w:r>
      <w:r w:rsidRPr="002665C4">
        <w:t>году. На муниципальном уровне растет число женщин-мэров</w:t>
      </w:r>
      <w:r>
        <w:t xml:space="preserve"> — </w:t>
      </w:r>
      <w:r w:rsidRPr="002665C4">
        <w:t>с 15,26</w:t>
      </w:r>
      <w:r>
        <w:t> </w:t>
      </w:r>
      <w:r w:rsidRPr="002665C4">
        <w:t xml:space="preserve">процента в 2004 году до 20,86 процента в 2013 году. </w:t>
      </w:r>
    </w:p>
    <w:p w:rsidR="002665C4" w:rsidRPr="002665C4" w:rsidRDefault="002665C4" w:rsidP="002665C4">
      <w:pPr>
        <w:pStyle w:val="SingleTxt"/>
      </w:pPr>
      <w:r w:rsidRPr="002665C4">
        <w:t>122.</w:t>
      </w:r>
      <w:r w:rsidRPr="002665C4">
        <w:tab/>
        <w:t>В Конгрессе Филиппин женская организация</w:t>
      </w:r>
      <w:r>
        <w:t xml:space="preserve"> — </w:t>
      </w:r>
      <w:r w:rsidRPr="002665C4">
        <w:t xml:space="preserve">Женская партия </w:t>
      </w:r>
      <w:r>
        <w:t>«</w:t>
      </w:r>
      <w:r w:rsidRPr="002665C4">
        <w:t>Габри</w:t>
      </w:r>
      <w:r w:rsidRPr="002665C4">
        <w:t>э</w:t>
      </w:r>
      <w:r w:rsidRPr="002665C4">
        <w:t>ла</w:t>
      </w:r>
      <w:r>
        <w:t>»</w:t>
      </w:r>
      <w:r w:rsidRPr="002665C4">
        <w:t>, которая проходит по партийным спискам,</w:t>
      </w:r>
      <w:r>
        <w:t xml:space="preserve"> — </w:t>
      </w:r>
      <w:r w:rsidRPr="002665C4">
        <w:t xml:space="preserve">сохраняет свое присутствие в Конгрессе уже на протяжении четырех сроков. </w:t>
      </w:r>
      <w:r>
        <w:t>«</w:t>
      </w:r>
      <w:r w:rsidRPr="002665C4">
        <w:t>Габриэла</w:t>
      </w:r>
      <w:r>
        <w:t>»</w:t>
      </w:r>
      <w:r w:rsidRPr="002665C4">
        <w:t xml:space="preserve"> продвигает законы, учитывающие гендерные факторы, в том числе законопроект о разводе.</w:t>
      </w:r>
    </w:p>
    <w:p w:rsidR="002665C4" w:rsidRPr="002665C4" w:rsidRDefault="002665C4" w:rsidP="002665C4">
      <w:pPr>
        <w:pStyle w:val="SingleTxt"/>
      </w:pPr>
      <w:r w:rsidRPr="002665C4">
        <w:t>123.</w:t>
      </w:r>
      <w:r w:rsidRPr="002665C4">
        <w:tab/>
        <w:t>По состоянию на 2013 год установленный целевой показатель равного представительства в составе государственных служащих недовыполнен на 5 процентных пунктов</w:t>
      </w:r>
      <w:r>
        <w:t xml:space="preserve"> — </w:t>
      </w:r>
      <w:r w:rsidRPr="002665C4">
        <w:t>должности третьего уровня заняты женщинами на 45 процентов. Однако президент назначил женщин на важные должности в к</w:t>
      </w:r>
      <w:r w:rsidRPr="002665C4">
        <w:t>а</w:t>
      </w:r>
      <w:r w:rsidRPr="002665C4">
        <w:t>бинете или на весьма серьезные посты в органах власти, такие как главный с</w:t>
      </w:r>
      <w:r w:rsidRPr="002665C4">
        <w:t>у</w:t>
      </w:r>
      <w:r w:rsidRPr="002665C4">
        <w:t>дья Верховного суда, министр юстиции, председатель ФКПЧ и уполномоче</w:t>
      </w:r>
      <w:r w:rsidRPr="002665C4">
        <w:t>н</w:t>
      </w:r>
      <w:r w:rsidRPr="002665C4">
        <w:t>ный по правам человека</w:t>
      </w:r>
      <w:r>
        <w:t xml:space="preserve"> — </w:t>
      </w:r>
      <w:r w:rsidRPr="002665C4">
        <w:t>все они играют важную роль в отправлении прав</w:t>
      </w:r>
      <w:r w:rsidRPr="002665C4">
        <w:t>о</w:t>
      </w:r>
      <w:r w:rsidRPr="002665C4">
        <w:t>судия в отношении женщин. Кроме того, в кабинет входят женщины, возгла</w:t>
      </w:r>
      <w:r w:rsidRPr="002665C4">
        <w:t>в</w:t>
      </w:r>
      <w:r w:rsidRPr="002665C4">
        <w:t>ляющие МТЗ, Управление советника президента по мирному процессу, и глава Правительственной комиссии по мирным переговорам, МСОР, КПВО и КФР. На неминистерском уровне президент назначил женщин на такие важные п</w:t>
      </w:r>
      <w:r w:rsidRPr="002665C4">
        <w:t>о</w:t>
      </w:r>
      <w:r w:rsidRPr="002665C4">
        <w:t xml:space="preserve">сты, как глава Управления по налогам и сборам и Фонд </w:t>
      </w:r>
      <w:r>
        <w:t>«</w:t>
      </w:r>
      <w:r w:rsidRPr="002665C4">
        <w:t>Паг-Ибиг</w:t>
      </w:r>
      <w:r>
        <w:t>»</w:t>
      </w:r>
      <w:r w:rsidRPr="002665C4">
        <w:t xml:space="preserve"> (фонд ра</w:t>
      </w:r>
      <w:r w:rsidRPr="002665C4">
        <w:t>з</w:t>
      </w:r>
      <w:r w:rsidRPr="002665C4">
        <w:t>вития городского строительства). Улучшается представленность женщин на дипломатической службе. За период 2002–2010 годов процент женщин на кл</w:t>
      </w:r>
      <w:r w:rsidRPr="002665C4">
        <w:t>ю</w:t>
      </w:r>
      <w:r w:rsidRPr="002665C4">
        <w:t>чевых постах (посла и генерального консула) вырос с 28 до 35 процентов.</w:t>
      </w:r>
    </w:p>
    <w:p w:rsidR="002665C4" w:rsidRPr="002665C4" w:rsidRDefault="002665C4" w:rsidP="002665C4">
      <w:pPr>
        <w:pStyle w:val="SingleTxt"/>
      </w:pPr>
      <w:r w:rsidRPr="002665C4">
        <w:t>124.</w:t>
      </w:r>
      <w:r w:rsidRPr="002665C4">
        <w:tab/>
        <w:t>В плане представленности женщин в местных органах власти цифры та</w:t>
      </w:r>
      <w:r w:rsidRPr="002665C4">
        <w:t>к</w:t>
      </w:r>
      <w:r w:rsidRPr="002665C4">
        <w:t>же обнадеживают, особенно по мере повышения осведомленности о положен</w:t>
      </w:r>
      <w:r w:rsidRPr="002665C4">
        <w:t>и</w:t>
      </w:r>
      <w:r w:rsidRPr="002665C4">
        <w:t>ях ВХЖ. Женщины составляют 48 процентов в местных отделах образования, 50 процентов в местных отделах здравоохранения, 30 процентов в местных о</w:t>
      </w:r>
      <w:r w:rsidRPr="002665C4">
        <w:t>т</w:t>
      </w:r>
      <w:r w:rsidRPr="002665C4">
        <w:t>делах общественного порядка, 31 процент в местных отделах по жилищным вопросам, но всего лишь 16 процентов в местных советах по вопросам разв</w:t>
      </w:r>
      <w:r w:rsidRPr="002665C4">
        <w:t>и</w:t>
      </w:r>
      <w:r w:rsidRPr="002665C4">
        <w:t xml:space="preserve">тия. </w:t>
      </w:r>
    </w:p>
    <w:p w:rsidR="002665C4" w:rsidRDefault="002665C4" w:rsidP="002665C4">
      <w:pPr>
        <w:pStyle w:val="SingleTxt"/>
      </w:pPr>
      <w:r w:rsidRPr="002665C4">
        <w:t>125.</w:t>
      </w:r>
      <w:r w:rsidRPr="002665C4">
        <w:tab/>
        <w:t>Участие женских НПО в реализации повестки дня правительства по борьбе с бедностью институционально оформлено в рамках Национальной к</w:t>
      </w:r>
      <w:r w:rsidRPr="002665C4">
        <w:t>о</w:t>
      </w:r>
      <w:r w:rsidRPr="002665C4">
        <w:t>миссии по борьбе с бедностью (НКББ). В состав НКББ входят ведущие прав</w:t>
      </w:r>
      <w:r w:rsidRPr="002665C4">
        <w:t>и</w:t>
      </w:r>
      <w:r w:rsidRPr="002665C4">
        <w:t>тельственные учреждения и 14 основных секторальных советов</w:t>
      </w:r>
      <w:r>
        <w:t xml:space="preserve"> — </w:t>
      </w:r>
      <w:r w:rsidRPr="002665C4">
        <w:t>по делам крестьян и рыбаков, официальной занятости, неформального сектора, труд</w:t>
      </w:r>
      <w:r w:rsidRPr="002665C4">
        <w:t>я</w:t>
      </w:r>
      <w:r w:rsidRPr="002665C4">
        <w:t>щихся-мигрантов, бедных слоев городского населения, коренных народов, лиц с ограниченными возможностями, пожилых людей, женщин, молодежи и ст</w:t>
      </w:r>
      <w:r w:rsidRPr="002665C4">
        <w:t>у</w:t>
      </w:r>
      <w:r w:rsidRPr="002665C4">
        <w:t>дентов, детей, жертв стихийных бедствий и катастроф и т.д. Помимо 30</w:t>
      </w:r>
      <w:r w:rsidRPr="002665C4">
        <w:noBreakHyphen/>
        <w:t>процентного участия женщин в каждом из секторальных советов, существ</w:t>
      </w:r>
      <w:r w:rsidRPr="002665C4">
        <w:t>у</w:t>
      </w:r>
      <w:r w:rsidRPr="002665C4">
        <w:t>ет женский секторальный совет, 100 процентов членов которого составляют женщины. Эти женщины, представляющие секторальные советы, и женщины, входящие в с</w:t>
      </w:r>
      <w:r w:rsidRPr="002665C4">
        <w:t>о</w:t>
      </w:r>
      <w:r w:rsidRPr="002665C4">
        <w:t>став других основных секторальных советов, прошли подготовку по ВХЖ в целях обеспечения включения гендерного аспекта и вопросов прав женщин в повестку дня всех основных секторальных советов. Их члены оказ</w:t>
      </w:r>
      <w:r w:rsidRPr="002665C4">
        <w:t>ы</w:t>
      </w:r>
      <w:r w:rsidRPr="002665C4">
        <w:t>вают помощь в мониторинге осуществления ВХЖ на местном уровне и прин</w:t>
      </w:r>
      <w:r w:rsidRPr="002665C4">
        <w:t>и</w:t>
      </w:r>
      <w:r w:rsidRPr="002665C4">
        <w:t>мают участие в принятии решений на местном уровне.</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О доступе женщин к услугам по охране репродуктивного здоровья</w:t>
      </w:r>
    </w:p>
    <w:p w:rsidR="002665C4" w:rsidRPr="002665C4" w:rsidRDefault="002665C4" w:rsidP="002665C4">
      <w:pPr>
        <w:pStyle w:val="SingleTxt"/>
        <w:spacing w:after="0" w:line="120" w:lineRule="exact"/>
        <w:rPr>
          <w:sz w:val="10"/>
        </w:rPr>
      </w:pPr>
    </w:p>
    <w:p w:rsidR="002665C4" w:rsidRDefault="002665C4" w:rsidP="00266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Политические инициативы в интересах репродуктивного здоровья и прав женщин</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126.</w:t>
      </w:r>
      <w:r w:rsidRPr="002665C4">
        <w:tab/>
        <w:t>ВХЖ предписывает осуществление мер по комплексной охране здоровья женщин и информационно-просветительские мероприятия по вопросам здор</w:t>
      </w:r>
      <w:r w:rsidRPr="002665C4">
        <w:t>о</w:t>
      </w:r>
      <w:r w:rsidRPr="002665C4">
        <w:t>вья, охватывающие все стадии жизненного цикла женщины. Она предписывает соответствующим правительственным учреждениям и местным органам власти обеспечить всеобъемлющие, учитывающие культурные особенности и генде</w:t>
      </w:r>
      <w:r w:rsidRPr="002665C4">
        <w:t>р</w:t>
      </w:r>
      <w:r w:rsidRPr="002665C4">
        <w:t xml:space="preserve">ные факторы программы в области здравоохранения, а также надлежащую, своевременную, полную и точную информацию и просвещение. </w:t>
      </w:r>
    </w:p>
    <w:p w:rsidR="002665C4" w:rsidRPr="002665C4" w:rsidRDefault="002665C4" w:rsidP="002665C4">
      <w:pPr>
        <w:pStyle w:val="SingleTxt"/>
      </w:pPr>
      <w:r w:rsidRPr="002665C4">
        <w:t>127.</w:t>
      </w:r>
      <w:r w:rsidRPr="002665C4">
        <w:tab/>
        <w:t>До принятия Закона ОРОРЗ правительство опубликовало Стратегию р</w:t>
      </w:r>
      <w:r w:rsidRPr="002665C4">
        <w:t>е</w:t>
      </w:r>
      <w:r w:rsidRPr="002665C4">
        <w:t>формы здравоохранения в целях быстрого снижения уровня смертности среди матерей и новорожденных</w:t>
      </w:r>
      <w:r w:rsidRPr="002665C4">
        <w:rPr>
          <w:iCs/>
        </w:rPr>
        <w:t>. Стратегия выступает за запланированную и жела</w:t>
      </w:r>
      <w:r w:rsidRPr="002665C4">
        <w:rPr>
          <w:iCs/>
        </w:rPr>
        <w:t>н</w:t>
      </w:r>
      <w:r w:rsidRPr="002665C4">
        <w:rPr>
          <w:iCs/>
        </w:rPr>
        <w:t>ную беременность и роды в медицинском учреждении, направлена на сущ</w:t>
      </w:r>
      <w:r w:rsidRPr="002665C4">
        <w:rPr>
          <w:iCs/>
        </w:rPr>
        <w:t>е</w:t>
      </w:r>
      <w:r w:rsidRPr="002665C4">
        <w:rPr>
          <w:iCs/>
        </w:rPr>
        <w:t xml:space="preserve">ственное сокращение уровня материнской смертности и смертности детей младше пяти лет к </w:t>
      </w:r>
      <w:r w:rsidRPr="002665C4">
        <w:t xml:space="preserve">2015 году. </w:t>
      </w:r>
    </w:p>
    <w:p w:rsidR="002665C4" w:rsidRPr="002665C4" w:rsidRDefault="002665C4" w:rsidP="002665C4">
      <w:pPr>
        <w:pStyle w:val="SingleTxt"/>
      </w:pPr>
      <w:r w:rsidRPr="002665C4">
        <w:t>128.</w:t>
      </w:r>
      <w:r w:rsidRPr="002665C4">
        <w:tab/>
        <w:t>Еще одна важная стратегия в области здравоохранения содержится в З</w:t>
      </w:r>
      <w:r w:rsidRPr="002665C4">
        <w:t>а</w:t>
      </w:r>
      <w:r w:rsidRPr="002665C4">
        <w:t>коне RA 10028, или Законе 2009 года о более эффективном поощрении грудн</w:t>
      </w:r>
      <w:r w:rsidRPr="002665C4">
        <w:t>о</w:t>
      </w:r>
      <w:r w:rsidRPr="002665C4">
        <w:t>го кормления, который внес изменения в Закон RA 7600, или Закон 1992 года о нахождении новорожденного в одной палате с матерью и грудном вскармлив</w:t>
      </w:r>
      <w:r w:rsidRPr="002665C4">
        <w:t>а</w:t>
      </w:r>
      <w:r w:rsidRPr="002665C4">
        <w:t>нии. Закон вводит национальную политику поощрения, защиты и поддержки практики грудного вскармливания, ориентированную на создание пунктов кормления грудью по месту работы и предоставление оплаченного времени для кормления в период грудного вскармливания.</w:t>
      </w:r>
    </w:p>
    <w:p w:rsidR="002665C4" w:rsidRPr="002665C4" w:rsidRDefault="002665C4" w:rsidP="002665C4">
      <w:pPr>
        <w:pStyle w:val="SingleTxt"/>
      </w:pPr>
      <w:r w:rsidRPr="002665C4">
        <w:t>129.</w:t>
      </w:r>
      <w:r w:rsidRPr="002665C4">
        <w:tab/>
        <w:t>Как указывалось ранее, в ряде местных органов власти уже были свои собственные кодексы репродуктивного здоровья еще до принятия ВХЖ и Зак</w:t>
      </w:r>
      <w:r w:rsidRPr="002665C4">
        <w:t>о</w:t>
      </w:r>
      <w:r w:rsidRPr="002665C4">
        <w:t>на ОРОРЗ. На сегодняшний день в стране тридцать местных органов власти имеют кодексы или постановления о репродуктивном здоровье. Другие МОВ предусматривают потребности женщин своего района в области репродукти</w:t>
      </w:r>
      <w:r w:rsidRPr="002665C4">
        <w:t>в</w:t>
      </w:r>
      <w:r w:rsidRPr="002665C4">
        <w:t xml:space="preserve">ного здоровья в своих местных кодексах ГИР. </w:t>
      </w:r>
    </w:p>
    <w:p w:rsidR="002665C4" w:rsidRDefault="002665C4" w:rsidP="002665C4">
      <w:pPr>
        <w:pStyle w:val="SingleTxt"/>
      </w:pPr>
      <w:r w:rsidRPr="002665C4">
        <w:rPr>
          <w:bCs/>
        </w:rPr>
        <w:t>130.</w:t>
      </w:r>
      <w:r w:rsidRPr="002665C4">
        <w:rPr>
          <w:bCs/>
        </w:rPr>
        <w:tab/>
      </w:r>
      <w:r w:rsidRPr="002665C4">
        <w:t>Что касается мусульманской общины, в результате совместных усилий международных учреждений в области развития, национального правительства и местных органов власти в сотрудничестве с мусульманскими религиозными группами выпущена фатва, или религиозное постановление, которая гласит, что планирование семьи охраняет права женщин и детей. Фатва также разр</w:t>
      </w:r>
      <w:r w:rsidRPr="002665C4">
        <w:t>е</w:t>
      </w:r>
      <w:r w:rsidRPr="002665C4">
        <w:t>шает применение методов планирования семьи, которые соответствуют исла</w:t>
      </w:r>
      <w:r w:rsidRPr="002665C4">
        <w:t>м</w:t>
      </w:r>
      <w:r w:rsidRPr="002665C4">
        <w:t>скому шариату и одобрены заслуживающим доверия врачом, предпочтительно мусульманским. АРММ принял свой Закон 2012 года об охране репродукти</w:t>
      </w:r>
      <w:r w:rsidRPr="002665C4">
        <w:t>в</w:t>
      </w:r>
      <w:r w:rsidRPr="002665C4">
        <w:t>ного здоровья (Закон № 2921 Автономного региона мусульманского Минд</w:t>
      </w:r>
      <w:r w:rsidRPr="002665C4">
        <w:t>а</w:t>
      </w:r>
      <w:r w:rsidRPr="002665C4">
        <w:t>нао), призванный защитить права и обеспечить благополучие женщин и детей путем не только требования к правительству автономного региона об ос</w:t>
      </w:r>
      <w:r w:rsidRPr="002665C4">
        <w:t>у</w:t>
      </w:r>
      <w:r w:rsidRPr="002665C4">
        <w:t>ществлении программ планирования семьи и обеспечении информирования об этих программах, но и путем выделения средств на реализацию этих пр</w:t>
      </w:r>
      <w:r w:rsidRPr="002665C4">
        <w:t>о</w:t>
      </w:r>
      <w:r w:rsidRPr="002665C4">
        <w:t>грамм. Закон гарантирует свободу информации о методах не только естестве</w:t>
      </w:r>
      <w:r w:rsidRPr="002665C4">
        <w:t>н</w:t>
      </w:r>
      <w:r w:rsidRPr="002665C4">
        <w:t>ного, но и искусственного планирования семьи, соблюдения свободы выбора и представлений в осуществлении прав в области репродуктивного здоровья.</w:t>
      </w:r>
    </w:p>
    <w:p w:rsidR="002665C4" w:rsidRPr="002665C4" w:rsidRDefault="002665C4" w:rsidP="002665C4">
      <w:pPr>
        <w:pStyle w:val="SingleTxt"/>
        <w:spacing w:after="0" w:line="120" w:lineRule="exact"/>
        <w:rPr>
          <w:sz w:val="10"/>
        </w:rPr>
      </w:pPr>
    </w:p>
    <w:p w:rsidR="002665C4" w:rsidRDefault="002665C4" w:rsidP="00266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 xml:space="preserve">Принятие Закона ОРОРЗ </w:t>
      </w:r>
    </w:p>
    <w:p w:rsidR="002665C4" w:rsidRPr="002665C4" w:rsidRDefault="002665C4" w:rsidP="002665C4">
      <w:pPr>
        <w:pStyle w:val="SingleTxt"/>
        <w:spacing w:after="0" w:line="120" w:lineRule="exact"/>
        <w:rPr>
          <w:sz w:val="10"/>
        </w:rPr>
      </w:pPr>
    </w:p>
    <w:p w:rsidR="002665C4" w:rsidRPr="002665C4" w:rsidRDefault="002665C4" w:rsidP="002665C4">
      <w:pPr>
        <w:pStyle w:val="SingleTxt"/>
        <w:rPr>
          <w:bCs/>
        </w:rPr>
      </w:pPr>
      <w:r w:rsidRPr="002665C4">
        <w:rPr>
          <w:bCs/>
        </w:rPr>
        <w:t>131.</w:t>
      </w:r>
      <w:r w:rsidRPr="002665C4">
        <w:rPr>
          <w:bCs/>
        </w:rPr>
        <w:tab/>
      </w:r>
      <w:r w:rsidRPr="002665C4">
        <w:t>Законодательная власть Филиппин окончательно приняла Закон 2012 года об ответственном отношении к родительским обязанностям и репродуктивном здоровье (Закон ОРОРЗ), который гарантирует всеобщий доступ к услугам по охране репродуктивного здоровья, включая в том числе просвещение по всем видам контрацепции, сексуальным отношениям и репродуктивному здоровью, охрану здоровья матери, новорожденного и ребенка. Закон направлен на реш</w:t>
      </w:r>
      <w:r w:rsidRPr="002665C4">
        <w:t>е</w:t>
      </w:r>
      <w:r w:rsidRPr="002665C4">
        <w:t>ние проблем предоставления услуг по охране репродуктивного здоровья. Ос</w:t>
      </w:r>
      <w:r w:rsidRPr="002665C4">
        <w:t>у</w:t>
      </w:r>
      <w:r w:rsidRPr="002665C4">
        <w:t>ществление Закона ОРОРЗ составляет одну из основных функций Министе</w:t>
      </w:r>
      <w:r w:rsidRPr="002665C4">
        <w:t>р</w:t>
      </w:r>
      <w:r w:rsidRPr="002665C4">
        <w:t>ства здравоохранения через центры развития системы здравоохранения (ЦРЗ) при координации действий с местными органами власти через Сеть обслуж</w:t>
      </w:r>
      <w:r w:rsidRPr="002665C4">
        <w:t>и</w:t>
      </w:r>
      <w:r w:rsidRPr="002665C4">
        <w:t>вания (СО), включающую государственные медицинские учреждения и час</w:t>
      </w:r>
      <w:r w:rsidRPr="002665C4">
        <w:t>т</w:t>
      </w:r>
      <w:r w:rsidRPr="002665C4">
        <w:t>ный сектор медицинских услуг. Финансирование услуг в области РЗ, в том числе бюджета на решение гендерных проблем и вопросов развития, должно поступать из общих ежегодных ассигнований. Перед PhilHealth поставлена з</w:t>
      </w:r>
      <w:r w:rsidRPr="002665C4">
        <w:t>а</w:t>
      </w:r>
      <w:r w:rsidRPr="002665C4">
        <w:t>дача дать предложения по руководящим принципам финансирования охраны РЗ, включая привилегии в случае тяжелых и опасных для жизни нарушений РЗ, таких как ВИЧ/СПИД, рак груди и половых путей. 8 апреля 2014 года Верхо</w:t>
      </w:r>
      <w:r w:rsidRPr="002665C4">
        <w:t>в</w:t>
      </w:r>
      <w:r w:rsidRPr="002665C4">
        <w:t>ный суд объявил, что закон о РЗ не является неконституционным, но изъял н</w:t>
      </w:r>
      <w:r w:rsidRPr="002665C4">
        <w:t>е</w:t>
      </w:r>
      <w:r w:rsidRPr="002665C4">
        <w:t xml:space="preserve">которые положения, такие как наказание частных медицинских учреждений, отказывающихся поддержать данный закон. </w:t>
      </w:r>
    </w:p>
    <w:p w:rsidR="002665C4" w:rsidRDefault="002665C4" w:rsidP="002665C4">
      <w:pPr>
        <w:pStyle w:val="SingleTxt"/>
        <w:rPr>
          <w:bCs/>
        </w:rPr>
      </w:pPr>
      <w:r w:rsidRPr="002665C4">
        <w:rPr>
          <w:bCs/>
        </w:rPr>
        <w:t>132.</w:t>
      </w:r>
      <w:r w:rsidRPr="002665C4">
        <w:rPr>
          <w:bCs/>
        </w:rPr>
        <w:tab/>
        <w:t>Помимо комплексного медицинского обслуживания и информирования, в Законе ОРОРЗ подчеркивается значение просвещения по вопросам здоровья и сексуальных отношений, введены соответствующие возрасту основные пон</w:t>
      </w:r>
      <w:r w:rsidRPr="002665C4">
        <w:rPr>
          <w:bCs/>
        </w:rPr>
        <w:t>я</w:t>
      </w:r>
      <w:r w:rsidRPr="002665C4">
        <w:rPr>
          <w:bCs/>
        </w:rPr>
        <w:t>тия и стратегии, которые должны включаться в учебные программы как баз</w:t>
      </w:r>
      <w:r w:rsidRPr="002665C4">
        <w:rPr>
          <w:bCs/>
        </w:rPr>
        <w:t>о</w:t>
      </w:r>
      <w:r w:rsidRPr="002665C4">
        <w:rPr>
          <w:bCs/>
        </w:rPr>
        <w:t>вого, так и высшего образования, а источникам информации по вопросам зд</w:t>
      </w:r>
      <w:r w:rsidRPr="002665C4">
        <w:rPr>
          <w:bCs/>
        </w:rPr>
        <w:t>о</w:t>
      </w:r>
      <w:r w:rsidRPr="002665C4">
        <w:rPr>
          <w:bCs/>
        </w:rPr>
        <w:t>ровья предписывается пройти необходимую подготовку и программы повыш</w:t>
      </w:r>
      <w:r w:rsidRPr="002665C4">
        <w:rPr>
          <w:bCs/>
        </w:rPr>
        <w:t>е</w:t>
      </w:r>
      <w:r>
        <w:rPr>
          <w:bCs/>
        </w:rPr>
        <w:t>ния квалификации.</w:t>
      </w:r>
    </w:p>
    <w:p w:rsidR="002665C4" w:rsidRPr="002665C4" w:rsidRDefault="002665C4" w:rsidP="002665C4">
      <w:pPr>
        <w:pStyle w:val="SingleTxt"/>
        <w:spacing w:after="0" w:line="120" w:lineRule="exact"/>
        <w:rPr>
          <w:bCs/>
          <w:sz w:val="10"/>
        </w:rPr>
      </w:pPr>
    </w:p>
    <w:p w:rsidR="002665C4" w:rsidRDefault="002665C4" w:rsidP="00266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 xml:space="preserve">Меры по содействию целям охраны репродуктивного здоровья </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133.</w:t>
      </w:r>
      <w:r w:rsidRPr="002665C4">
        <w:tab/>
        <w:t>Государство-участник в рамках МЗ осуществляет стратегию Охраны зд</w:t>
      </w:r>
      <w:r w:rsidRPr="002665C4">
        <w:t>о</w:t>
      </w:r>
      <w:r w:rsidRPr="002665C4">
        <w:t>ровья матерей, новорожденных и детей и питания (ЗМНДП), которая напра</w:t>
      </w:r>
      <w:r w:rsidRPr="002665C4">
        <w:t>в</w:t>
      </w:r>
      <w:r w:rsidRPr="002665C4">
        <w:t>ляет разработку, осуществление и оценку различных программ, адресованных женщинам, матерям и детям с конечной целью сокращения смертности мат</w:t>
      </w:r>
      <w:r w:rsidRPr="002665C4">
        <w:t>е</w:t>
      </w:r>
      <w:r w:rsidRPr="002665C4">
        <w:t>рей и новорожденных. Организуются местные медицинские бригады во главе с медсестрой или акушеркой для обеспечения надлежащей ЗМНДП и активной агитации за организацию надлежащих родильных помещений, необходимого дородового наблюдения, родов в соответствующих условиях, обеспечение п</w:t>
      </w:r>
      <w:r w:rsidRPr="002665C4">
        <w:t>о</w:t>
      </w:r>
      <w:r w:rsidRPr="002665C4">
        <w:t>слеродового ухода и плавного перехода к другим видам комплексного обсл</w:t>
      </w:r>
      <w:r w:rsidRPr="002665C4">
        <w:t>у</w:t>
      </w:r>
      <w:r w:rsidRPr="002665C4">
        <w:t>живания для женщин и детей. Комплексное медицинского обслуживание в рамках ЗМНДП включает клинические и общественные мероприятия по охране здоровья женщин и детей, родившихся в рамках подхода по принципу жизненного цикла.</w:t>
      </w:r>
    </w:p>
    <w:p w:rsidR="002665C4" w:rsidRPr="002665C4" w:rsidRDefault="002665C4" w:rsidP="002665C4">
      <w:pPr>
        <w:pStyle w:val="SingleTxt"/>
      </w:pPr>
      <w:r w:rsidRPr="002665C4">
        <w:t>134.</w:t>
      </w:r>
      <w:r w:rsidRPr="002665C4">
        <w:tab/>
        <w:t>Программы МЗ включают Национальную программу безопасного мат</w:t>
      </w:r>
      <w:r w:rsidRPr="002665C4">
        <w:t>е</w:t>
      </w:r>
      <w:r w:rsidRPr="002665C4">
        <w:t>ринства, Национальную программу планирования семьи и Программу для по</w:t>
      </w:r>
      <w:r w:rsidRPr="002665C4">
        <w:t>д</w:t>
      </w:r>
      <w:r w:rsidRPr="002665C4">
        <w:t>ростков и молодежи. Национальная программа безопасного материнства ор</w:t>
      </w:r>
      <w:r w:rsidRPr="002665C4">
        <w:t>и</w:t>
      </w:r>
      <w:r w:rsidRPr="002665C4">
        <w:t>ентирована на повышение безопасности беременности и родов в условиях м</w:t>
      </w:r>
      <w:r w:rsidRPr="002665C4">
        <w:t>е</w:t>
      </w:r>
      <w:r w:rsidRPr="002665C4">
        <w:t>няющейся динамики общества, что влияет на принятие решений относительно беременности и рождения детей, обеспечивая качественную скорую акуше</w:t>
      </w:r>
      <w:r w:rsidRPr="002665C4">
        <w:t>р</w:t>
      </w:r>
      <w:r w:rsidRPr="002665C4">
        <w:t>скую помощь 252 медицинским учреждениям третьего и второго уровней и 1824 первичным, которые расположены ближе всего к дому. Эта мера открыв</w:t>
      </w:r>
      <w:r w:rsidRPr="002665C4">
        <w:t>а</w:t>
      </w:r>
      <w:r w:rsidRPr="002665C4">
        <w:t>ет легкий доступ к такой помощи для наиболее нуждающихся в качественном медицинском обслуживании. Программа достигла 65 процентов своих целевых показателей по дородовой медицинской помощи, родам в специальных пом</w:t>
      </w:r>
      <w:r w:rsidRPr="002665C4">
        <w:t>е</w:t>
      </w:r>
      <w:r w:rsidRPr="002665C4">
        <w:t xml:space="preserve">щениях и послеродовой помощи по состоянию на декабрь 2012 года. То, что не удалось выполнить показатели на 100 процентов, объясняется трудностями с материально-техническим снабжением и другими факторами, связанными со структурой и приоритетными задачами МОВ. </w:t>
      </w:r>
    </w:p>
    <w:p w:rsidR="002665C4" w:rsidRPr="002665C4" w:rsidRDefault="002665C4" w:rsidP="002665C4">
      <w:pPr>
        <w:pStyle w:val="SingleTxt"/>
      </w:pPr>
      <w:r w:rsidRPr="002665C4">
        <w:t>135.</w:t>
      </w:r>
      <w:r w:rsidRPr="002665C4">
        <w:tab/>
        <w:t>Подготовка по элементарной и комплексной акушерской помощи и пом</w:t>
      </w:r>
      <w:r w:rsidRPr="002665C4">
        <w:t>о</w:t>
      </w:r>
      <w:r w:rsidRPr="002665C4">
        <w:t>щи новорожденным (BEmONC и CEmONC) проводится для врачей и акушерок в медицинских учреждениях, предназначенных для оказания скорой акуше</w:t>
      </w:r>
      <w:r w:rsidRPr="002665C4">
        <w:t>р</w:t>
      </w:r>
      <w:r w:rsidRPr="002665C4">
        <w:t xml:space="preserve">ской помощи и помощи новорожденным. </w:t>
      </w:r>
    </w:p>
    <w:p w:rsidR="002665C4" w:rsidRPr="002665C4" w:rsidRDefault="002665C4" w:rsidP="002665C4">
      <w:pPr>
        <w:pStyle w:val="SingleTxt"/>
      </w:pPr>
      <w:r w:rsidRPr="002665C4">
        <w:t>136.</w:t>
      </w:r>
      <w:r w:rsidRPr="002665C4">
        <w:tab/>
        <w:t>Аборты не разрешены филиппинским законодательством. Тем не менее Закон ОРОРЗ предписывает оказание ряда услуг в области репродуктивного здоровья, направленных на предупреждение и лечение осложнений после аборта, которые могут помочь женщинам, которые перенесли опасный аборт и обратились за медицинской помощью по поводу осложнений. В Нормах и пр</w:t>
      </w:r>
      <w:r w:rsidRPr="002665C4">
        <w:t>а</w:t>
      </w:r>
      <w:r w:rsidRPr="002665C4">
        <w:t xml:space="preserve">вилах (НПР) для практической реализации Закона ОРОРЗ указано, что </w:t>
      </w:r>
      <w:r>
        <w:t>«</w:t>
      </w:r>
      <w:r w:rsidRPr="002665C4">
        <w:t>хотя настоящими Правилами аборт признается незаконным и наказуемым по закону, правительство обеспечивает всем женщинам, нуждающимся в лечении осло</w:t>
      </w:r>
      <w:r w:rsidRPr="002665C4">
        <w:t>ж</w:t>
      </w:r>
      <w:r w:rsidRPr="002665C4">
        <w:t>нений после аборта и всех других осложнений, возникающих в результате б</w:t>
      </w:r>
      <w:r w:rsidRPr="002665C4">
        <w:t>е</w:t>
      </w:r>
      <w:r w:rsidRPr="002665C4">
        <w:t>ременности, схваток и родов, а также связанных с ними проблем, лечение и консультации в духе гуманного отношения, без осуждения и с проявлением с</w:t>
      </w:r>
      <w:r w:rsidRPr="002665C4">
        <w:t>о</w:t>
      </w:r>
      <w:r w:rsidRPr="002665C4">
        <w:t>чувствия в соответствии с нормами медицинской этики</w:t>
      </w:r>
      <w:r>
        <w:t>»</w:t>
      </w:r>
      <w:r w:rsidRPr="002665C4">
        <w:t xml:space="preserve">. </w:t>
      </w:r>
    </w:p>
    <w:p w:rsidR="002665C4" w:rsidRPr="002665C4" w:rsidRDefault="002665C4" w:rsidP="002665C4">
      <w:pPr>
        <w:pStyle w:val="SingleTxt"/>
      </w:pPr>
      <w:r w:rsidRPr="002665C4">
        <w:t>137.</w:t>
      </w:r>
      <w:r w:rsidRPr="002665C4">
        <w:tab/>
        <w:t>Главное в деятельности государства-участника в области здравоохран</w:t>
      </w:r>
      <w:r w:rsidRPr="002665C4">
        <w:t>е</w:t>
      </w:r>
      <w:r w:rsidRPr="002665C4">
        <w:t>ния</w:t>
      </w:r>
      <w:r>
        <w:t xml:space="preserve"> — </w:t>
      </w:r>
      <w:r w:rsidRPr="002665C4">
        <w:t xml:space="preserve">единая система здравоохранения </w:t>
      </w:r>
      <w:r w:rsidRPr="002665C4">
        <w:rPr>
          <w:iCs/>
        </w:rPr>
        <w:t>(ЕСЗ), или</w:t>
      </w:r>
      <w:r w:rsidRPr="002665C4">
        <w:rPr>
          <w:i/>
          <w:iCs/>
        </w:rPr>
        <w:t xml:space="preserve"> </w:t>
      </w:r>
      <w:r w:rsidRPr="002665C4">
        <w:rPr>
          <w:iCs/>
        </w:rPr>
        <w:t>“Kalusugan Pangkalahatan</w:t>
      </w:r>
      <w:r w:rsidRPr="002665C4">
        <w:t>”</w:t>
      </w:r>
      <w:r w:rsidRPr="002665C4">
        <w:rPr>
          <w:iCs/>
        </w:rPr>
        <w:t xml:space="preserve"> (KP), направленная на обеспечение равного доступа к качественному медици</w:t>
      </w:r>
      <w:r w:rsidRPr="002665C4">
        <w:rPr>
          <w:iCs/>
        </w:rPr>
        <w:t>н</w:t>
      </w:r>
      <w:r w:rsidRPr="002665C4">
        <w:rPr>
          <w:iCs/>
        </w:rPr>
        <w:t>скому обслуживанию по приемлемой стоимости для всех, особенно малоим</w:t>
      </w:r>
      <w:r w:rsidRPr="002665C4">
        <w:rPr>
          <w:iCs/>
        </w:rPr>
        <w:t>у</w:t>
      </w:r>
      <w:r w:rsidRPr="002665C4">
        <w:rPr>
          <w:iCs/>
        </w:rPr>
        <w:t>щих</w:t>
      </w:r>
      <w:r w:rsidRPr="002665C4">
        <w:t>. Она призвана сократить финансовое бремя за счет охвата бедного насел</w:t>
      </w:r>
      <w:r w:rsidRPr="002665C4">
        <w:t>е</w:t>
      </w:r>
      <w:r w:rsidRPr="002665C4">
        <w:t>ния универсальным социальным медицинским страхованием, укреплением м</w:t>
      </w:r>
      <w:r w:rsidRPr="002665C4">
        <w:t>е</w:t>
      </w:r>
      <w:r w:rsidRPr="002665C4">
        <w:t>дицинских учреждений в целях улучшения доступа в больницы и пункты пе</w:t>
      </w:r>
      <w:r w:rsidRPr="002665C4">
        <w:t>р</w:t>
      </w:r>
      <w:r w:rsidRPr="002665C4">
        <w:t>вичной медико-санитарной помощи, оказывающие высококачественные усл</w:t>
      </w:r>
      <w:r w:rsidRPr="002665C4">
        <w:t>у</w:t>
      </w:r>
      <w:r w:rsidRPr="002665C4">
        <w:t>ги, а также обеспечить достижение касающихся здравоохранения ЦРТ. Прав</w:t>
      </w:r>
      <w:r w:rsidRPr="002665C4">
        <w:t>и</w:t>
      </w:r>
      <w:r w:rsidRPr="002665C4">
        <w:t>тельство планирует добиться 100-процентного субсидированного участия бе</w:t>
      </w:r>
      <w:r w:rsidRPr="002665C4">
        <w:t>д</w:t>
      </w:r>
      <w:r w:rsidRPr="002665C4">
        <w:t>ных семей в программе, спонсируемой корпорацией медицинского страхования PhilHealth.</w:t>
      </w:r>
    </w:p>
    <w:p w:rsidR="002665C4" w:rsidRPr="002665C4" w:rsidRDefault="002665C4" w:rsidP="002665C4">
      <w:pPr>
        <w:pStyle w:val="SingleTxt"/>
      </w:pPr>
      <w:r w:rsidRPr="002665C4">
        <w:t>138.</w:t>
      </w:r>
      <w:r w:rsidRPr="002665C4">
        <w:tab/>
        <w:t>Государство-участник в рамках PhilHealth также внедрило в 2011</w:t>
      </w:r>
      <w:r>
        <w:t> </w:t>
      </w:r>
      <w:r w:rsidRPr="002665C4">
        <w:t>году Систему частичного субсидирования для малоимущих, которая позволяет д</w:t>
      </w:r>
      <w:r w:rsidRPr="002665C4">
        <w:t>е</w:t>
      </w:r>
      <w:r w:rsidRPr="002665C4">
        <w:t>лить ежегодный вклад между местными органами власти, упрощенный пр</w:t>
      </w:r>
      <w:r w:rsidRPr="002665C4">
        <w:t>о</w:t>
      </w:r>
      <w:r w:rsidRPr="002665C4">
        <w:t>цесс, в частности для жителей отдаленных и сельских районов, расширенные льготы по медицинскому обслуживанию, отдавая приоритет женщинам. Пе</w:t>
      </w:r>
      <w:r w:rsidRPr="002665C4">
        <w:t>р</w:t>
      </w:r>
      <w:r w:rsidRPr="002665C4">
        <w:t>вым обл</w:t>
      </w:r>
      <w:r w:rsidRPr="002665C4">
        <w:t>а</w:t>
      </w:r>
      <w:r w:rsidRPr="002665C4">
        <w:t xml:space="preserve">дателем семейной карточки PhilHealth сегодня является женщина. </w:t>
      </w:r>
    </w:p>
    <w:p w:rsidR="002665C4" w:rsidRPr="002665C4" w:rsidRDefault="002665C4" w:rsidP="002665C4">
      <w:pPr>
        <w:pStyle w:val="SingleTxt"/>
      </w:pPr>
      <w:r w:rsidRPr="002665C4">
        <w:t>139.</w:t>
      </w:r>
      <w:r w:rsidRPr="002665C4">
        <w:tab/>
        <w:t>PhilHealth предоставляет пакет услуг по охране материнства при ест</w:t>
      </w:r>
      <w:r w:rsidRPr="002665C4">
        <w:t>е</w:t>
      </w:r>
      <w:r w:rsidRPr="002665C4">
        <w:t>ственных родах и кесаревом сечении, включающий медицинское обслуживание в дородовой и послеродовой периоды. Детям участников также гарантирован медицинский пакет для новорожденных (МПН), который предоставляется в аккредитованных больницах и родильных домах; в него входит физический осмотр, профилактический осмотр глаз, введение витамина К, прививка БЦЖ, первая прививка гепатита В, скрининговый тест новорожденных, консультации для матерей по кормлению грудью. Предлагается полное возмещение стоим</w:t>
      </w:r>
      <w:r w:rsidRPr="002665C4">
        <w:t>о</w:t>
      </w:r>
      <w:r w:rsidRPr="002665C4">
        <w:t>сти двусторонней перевязки маточных труб и процедуры вазэктомии бесскал</w:t>
      </w:r>
      <w:r w:rsidRPr="002665C4">
        <w:t>ь</w:t>
      </w:r>
      <w:r w:rsidRPr="002665C4">
        <w:t>пельным методом (ВБМ), которые проводятся в аккредитованных медицинских учреждениях, требования для аккредитации которых Министерство здрав</w:t>
      </w:r>
      <w:r w:rsidRPr="002665C4">
        <w:t>о</w:t>
      </w:r>
      <w:r w:rsidRPr="002665C4">
        <w:t>охранения упростило в 2005 году.</w:t>
      </w:r>
    </w:p>
    <w:p w:rsidR="002665C4" w:rsidRPr="002665C4" w:rsidRDefault="002665C4" w:rsidP="002665C4">
      <w:pPr>
        <w:pStyle w:val="SingleTxt"/>
      </w:pPr>
      <w:r w:rsidRPr="002665C4">
        <w:t>140.</w:t>
      </w:r>
      <w:r w:rsidRPr="002665C4">
        <w:tab/>
        <w:t>Рассмотренная выше программа ОДП представляет собой инвестирование средств в здоровье и образование бедных домохозяйств. Обусловленность включает дородовое и послеродовое медицинское обслуживание, денежный грант на медицинские услуги, питание и расходы на школу, а также посещение занятий по развитию семьи (ЗРС), включающих вопросы планирования семьи, супружеских и гендерных отношений, воспитания детей и развития молодежи. В результате институционального оформления указанного гранта возросло число женщин, получающих дородовое и послеродовое медицинское обслуж</w:t>
      </w:r>
      <w:r w:rsidRPr="002665C4">
        <w:t>и</w:t>
      </w:r>
      <w:r w:rsidRPr="002665C4">
        <w:t>вание на основе оценки воздействия, проведенной Всемирным банком и опу</w:t>
      </w:r>
      <w:r w:rsidRPr="002665C4">
        <w:t>б</w:t>
      </w:r>
      <w:r w:rsidRPr="002665C4">
        <w:t>ликованной 23 января 2013 года.</w:t>
      </w:r>
    </w:p>
    <w:p w:rsidR="002665C4" w:rsidRDefault="002665C4" w:rsidP="002665C4">
      <w:pPr>
        <w:pStyle w:val="SingleTxt"/>
        <w:rPr>
          <w:lang w:val="en-US"/>
        </w:rPr>
      </w:pPr>
      <w:r w:rsidRPr="002665C4">
        <w:t>141.</w:t>
      </w:r>
      <w:r w:rsidRPr="002665C4">
        <w:tab/>
        <w:t>Признавая значение участия мужчин в заботе о репродуктивном здоровье их самих и женщин, государство выпустило Рамочную программу национал</w:t>
      </w:r>
      <w:r w:rsidRPr="002665C4">
        <w:t>ь</w:t>
      </w:r>
      <w:r w:rsidRPr="002665C4">
        <w:t>ной политики и стратегии в отношении участия мужчин в охране репродукти</w:t>
      </w:r>
      <w:r w:rsidRPr="002665C4">
        <w:t>в</w:t>
      </w:r>
      <w:r w:rsidRPr="002665C4">
        <w:t>ного здоровья. Руководящие принципы охраны здоровья матери и ребенка б</w:t>
      </w:r>
      <w:r w:rsidRPr="002665C4">
        <w:t>ы</w:t>
      </w:r>
      <w:r w:rsidRPr="002665C4">
        <w:t>ли пересмотрены в целях дальнейшего оказания содействия участию мужчин в охране здоровья матери и ребенка и четкого увязывания с возможностями пл</w:t>
      </w:r>
      <w:r w:rsidRPr="002665C4">
        <w:t>а</w:t>
      </w:r>
      <w:r w:rsidRPr="002665C4">
        <w:t>нирования семьи в предродовой период (Clark, et. al. 2007).</w:t>
      </w:r>
    </w:p>
    <w:p w:rsidR="002665C4" w:rsidRPr="002665C4" w:rsidRDefault="002665C4" w:rsidP="002665C4">
      <w:pPr>
        <w:pStyle w:val="SingleTxt"/>
        <w:spacing w:after="0" w:line="120" w:lineRule="exact"/>
        <w:rPr>
          <w:sz w:val="10"/>
          <w:lang w:val="en-US"/>
        </w:rPr>
      </w:pPr>
    </w:p>
    <w:p w:rsidR="002665C4" w:rsidRP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2665C4">
        <w:t>О мерах по решению проблемы сексуального и репродуктивного здоровья по</w:t>
      </w:r>
      <w:r w:rsidRPr="002665C4">
        <w:t>д</w:t>
      </w:r>
      <w:r w:rsidRPr="002665C4">
        <w:t>ростков</w:t>
      </w:r>
    </w:p>
    <w:p w:rsidR="002665C4" w:rsidRPr="002665C4" w:rsidRDefault="002665C4" w:rsidP="002665C4">
      <w:pPr>
        <w:pStyle w:val="SingleTxt"/>
        <w:spacing w:after="0" w:line="120" w:lineRule="exact"/>
        <w:rPr>
          <w:sz w:val="10"/>
        </w:rPr>
      </w:pPr>
    </w:p>
    <w:p w:rsidR="002665C4" w:rsidRPr="002665C4" w:rsidRDefault="002665C4" w:rsidP="002665C4">
      <w:pPr>
        <w:pStyle w:val="SingleTxt"/>
        <w:rPr>
          <w:b/>
          <w:bCs/>
        </w:rPr>
      </w:pPr>
      <w:r w:rsidRPr="002665C4">
        <w:rPr>
          <w:bCs/>
        </w:rPr>
        <w:t>142.</w:t>
      </w:r>
      <w:r w:rsidRPr="002665C4">
        <w:rPr>
          <w:bCs/>
        </w:rPr>
        <w:tab/>
        <w:t>Результаты проведенного в 2013 году исследования фертильности и се</w:t>
      </w:r>
      <w:r w:rsidRPr="002665C4">
        <w:rPr>
          <w:bCs/>
        </w:rPr>
        <w:t>к</w:t>
      </w:r>
      <w:r w:rsidRPr="002665C4">
        <w:rPr>
          <w:bCs/>
        </w:rPr>
        <w:t xml:space="preserve">суальности молодежи </w:t>
      </w:r>
      <w:r w:rsidRPr="002665C4">
        <w:t>(ФСМ) свидетельствуют, что количество молодых мат</w:t>
      </w:r>
      <w:r w:rsidRPr="002665C4">
        <w:t>е</w:t>
      </w:r>
      <w:r w:rsidRPr="002665C4">
        <w:t>рей увеличилось за последнее десятилетие более чем вдвое. С 6,3 процента, по данным исследования 2002 года, доля девушек, родивших в возрасте 15–19 лет, выросла до 13,6 процента, то есть достигла 700 тыс. молодых женщин этой возрастной группы. Исследователи объясняют вызывающую обеспокоенность распространенность добрачных сексуальных отношений среди молодежи. Приблизительно 32 процента из 19,2 млн., или каждый третий юноша или д</w:t>
      </w:r>
      <w:r w:rsidRPr="002665C4">
        <w:t>е</w:t>
      </w:r>
      <w:r w:rsidRPr="002665C4">
        <w:t>вушка, уже вступали в добрачные сексуальные отношения по сравнению с 23,2 процента в 2002 году и 17,8 процента в 1994</w:t>
      </w:r>
      <w:r>
        <w:rPr>
          <w:lang w:val="en-US"/>
        </w:rPr>
        <w:t> </w:t>
      </w:r>
      <w:r w:rsidRPr="002665C4">
        <w:t>году. Еще один тревожный факт состоит в том, что в 78 процентах случаев первый половой акт соверша</w:t>
      </w:r>
      <w:r w:rsidRPr="002665C4">
        <w:t>л</w:t>
      </w:r>
      <w:r w:rsidRPr="002665C4">
        <w:t>ся без предохранения от беременности и передаваемых половым путем инфе</w:t>
      </w:r>
      <w:r w:rsidRPr="002665C4">
        <w:t>к</w:t>
      </w:r>
      <w:r w:rsidRPr="002665C4">
        <w:t>ций.</w:t>
      </w:r>
    </w:p>
    <w:p w:rsidR="002665C4" w:rsidRPr="002665C4" w:rsidRDefault="002665C4" w:rsidP="002665C4">
      <w:pPr>
        <w:pStyle w:val="SingleTxt"/>
      </w:pPr>
      <w:r w:rsidRPr="002665C4">
        <w:t>143.</w:t>
      </w:r>
      <w:r w:rsidRPr="002665C4">
        <w:tab/>
        <w:t>Закон ОРОРЗ и ВХЖ предписывают взаимодействие между семьей и го</w:t>
      </w:r>
      <w:r w:rsidRPr="002665C4">
        <w:t>с</w:t>
      </w:r>
      <w:r w:rsidRPr="002665C4">
        <w:t>ударством в вопросах сексуальных отношений и медицинской помощи мол</w:t>
      </w:r>
      <w:r w:rsidRPr="002665C4">
        <w:t>о</w:t>
      </w:r>
      <w:r w:rsidRPr="002665C4">
        <w:t>дежи, в том числе информационные и просветительские кампании, а также включение вопросов половой жизни и санитарного просвещения в школьную программу. Политические и программные меры обязывают правительства, научное сообщество, НПО и МОВ включать, помимо прочего: a)</w:t>
      </w:r>
      <w:r>
        <w:rPr>
          <w:lang w:val="en-US"/>
        </w:rPr>
        <w:t> </w:t>
      </w:r>
      <w:r w:rsidRPr="002665C4">
        <w:t>установление стандартов и разработку информационных, образовательных и пропагандис</w:t>
      </w:r>
      <w:r w:rsidRPr="002665C4">
        <w:t>т</w:t>
      </w:r>
      <w:r w:rsidRPr="002665C4">
        <w:t>ских программ; b)</w:t>
      </w:r>
      <w:r>
        <w:rPr>
          <w:lang w:val="en-US"/>
        </w:rPr>
        <w:t> </w:t>
      </w:r>
      <w:r w:rsidRPr="002665C4">
        <w:t>обучение, с учетом возраста подростков, по вопросам здор</w:t>
      </w:r>
      <w:r w:rsidRPr="002665C4">
        <w:t>о</w:t>
      </w:r>
      <w:r w:rsidRPr="002665C4">
        <w:t>вья и сексуальных отношений квалифицированными преподавателями как в государственных, так и в частных школах; c)</w:t>
      </w:r>
      <w:r>
        <w:rPr>
          <w:lang w:val="en-US"/>
        </w:rPr>
        <w:t> </w:t>
      </w:r>
      <w:r w:rsidRPr="002665C4">
        <w:t>создание подростковых центров по просвещению и консультированию по вопросам здоровья и сексуальных о</w:t>
      </w:r>
      <w:r w:rsidRPr="002665C4">
        <w:t>т</w:t>
      </w:r>
      <w:r w:rsidRPr="002665C4">
        <w:t>ношений; d) разработку и осуществление с учетом гендерных факторов, прав и культурных традиций местных постановлений и политических мер, соде</w:t>
      </w:r>
      <w:r w:rsidRPr="002665C4">
        <w:t>й</w:t>
      </w:r>
      <w:r w:rsidRPr="002665C4">
        <w:t>ствующих комплексной охране здоровья девочек, подростков, женщин и пож</w:t>
      </w:r>
      <w:r w:rsidRPr="002665C4">
        <w:t>и</w:t>
      </w:r>
      <w:r w:rsidRPr="002665C4">
        <w:t>лых женщин.</w:t>
      </w:r>
    </w:p>
    <w:p w:rsidR="002665C4" w:rsidRPr="002665C4" w:rsidRDefault="002665C4" w:rsidP="002665C4">
      <w:pPr>
        <w:pStyle w:val="SingleTxt"/>
      </w:pPr>
      <w:r w:rsidRPr="002665C4">
        <w:t>144.</w:t>
      </w:r>
      <w:r w:rsidRPr="002665C4">
        <w:tab/>
        <w:t>Государство-участник в лице МЗ еще в 2001 году ввело Программу зд</w:t>
      </w:r>
      <w:r w:rsidRPr="002665C4">
        <w:t>о</w:t>
      </w:r>
      <w:r w:rsidRPr="002665C4">
        <w:t>ровья подростков и молодежи (ПЗПМ) для решения проблем со здоровьем, с которыми сталкивается молодежь в возрасте 10–24 лет, включая подростковую беременность и смертность среди молодых матерей. В рамках Программы ра</w:t>
      </w:r>
      <w:r w:rsidRPr="002665C4">
        <w:t>з</w:t>
      </w:r>
      <w:r w:rsidRPr="002665C4">
        <w:t>рабатываются политика и стандарты развития отвечающих интересам подрос</w:t>
      </w:r>
      <w:r w:rsidRPr="002665C4">
        <w:t>т</w:t>
      </w:r>
      <w:r w:rsidRPr="002665C4">
        <w:t>ков медицинских услуг, которые должны быть объединены в систему здрав</w:t>
      </w:r>
      <w:r w:rsidRPr="002665C4">
        <w:t>о</w:t>
      </w:r>
      <w:r w:rsidRPr="002665C4">
        <w:t>охранения. В марте 2013 года была опубликована новая политика, призванная заполнить такие пробелы, как отсутствие четких директив для МОВ, обращ</w:t>
      </w:r>
      <w:r w:rsidRPr="002665C4">
        <w:t>е</w:t>
      </w:r>
      <w:r w:rsidRPr="002665C4">
        <w:t>ние с подростками в чрезвычайных ситуациях, механизм мониторинга и оце</w:t>
      </w:r>
      <w:r w:rsidRPr="002665C4">
        <w:t>н</w:t>
      </w:r>
      <w:r w:rsidRPr="002665C4">
        <w:t>ки, а также определение функций различных учреждений. Она ориентирована на возраст 10–19</w:t>
      </w:r>
      <w:r>
        <w:rPr>
          <w:lang w:val="en-US"/>
        </w:rPr>
        <w:t> </w:t>
      </w:r>
      <w:r w:rsidRPr="002665C4">
        <w:t>лет в целях учета новых и возникающих проблем у фили</w:t>
      </w:r>
      <w:r w:rsidRPr="002665C4">
        <w:t>п</w:t>
      </w:r>
      <w:r w:rsidRPr="002665C4">
        <w:t>пинских подростков. Еще одной мерой является повышение квалификации м</w:t>
      </w:r>
      <w:r w:rsidRPr="002665C4">
        <w:t>е</w:t>
      </w:r>
      <w:r w:rsidRPr="002665C4">
        <w:t>дицинских работников в вопросах работы с подростками. В школах были по</w:t>
      </w:r>
      <w:r w:rsidRPr="002665C4">
        <w:t>д</w:t>
      </w:r>
      <w:r w:rsidRPr="002665C4">
        <w:t>готовлены инструкторы по вопросам здоровья из числа сверстников, а также руководители и пропагандисты по вопросам здоровья для подростков, не п</w:t>
      </w:r>
      <w:r w:rsidRPr="002665C4">
        <w:t>о</w:t>
      </w:r>
      <w:r w:rsidRPr="002665C4">
        <w:t>сещающих школу, в целях расширения доступа и наличия качественных мед</w:t>
      </w:r>
      <w:r w:rsidRPr="002665C4">
        <w:t>и</w:t>
      </w:r>
      <w:r w:rsidRPr="002665C4">
        <w:t xml:space="preserve">цинских услуг для молодых людей. Стратегия, инициированная в отношении здоровья подростков, направлена на создание Консорциума целевых групп </w:t>
      </w:r>
      <w:r>
        <w:t>«</w:t>
      </w:r>
      <w:r w:rsidRPr="002665C4">
        <w:t>Матери детей</w:t>
      </w:r>
      <w:r>
        <w:t>»</w:t>
      </w:r>
      <w:r w:rsidRPr="002665C4">
        <w:t xml:space="preserve"> (“Batang Ina”) в качестве площадки для обсуждения вопросов подросткового, сексуального и репродуктивного здоровья и прав, в который входят правительственные, научные организации и организации гражданского общ</w:t>
      </w:r>
      <w:r w:rsidRPr="002665C4">
        <w:t>е</w:t>
      </w:r>
      <w:r w:rsidRPr="002665C4">
        <w:t xml:space="preserve">ства. </w:t>
      </w:r>
    </w:p>
    <w:p w:rsidR="002665C4" w:rsidRDefault="002665C4" w:rsidP="002665C4">
      <w:pPr>
        <w:pStyle w:val="SingleTxt"/>
      </w:pPr>
      <w:r w:rsidRPr="002665C4">
        <w:t>145.</w:t>
      </w:r>
      <w:r w:rsidRPr="002665C4">
        <w:tab/>
        <w:t>Государство-участник также провело цикл семинаров по всестороннему половому воспитанию (ВПВ) в целях разработки единой рамочной программы всестороннего полового воспитания с надлежащим учетом возраста, уровня развития и культурных традиций Филиппин. Консультации по ВПВ направл</w:t>
      </w:r>
      <w:r w:rsidRPr="002665C4">
        <w:t>е</w:t>
      </w:r>
      <w:r w:rsidRPr="002665C4">
        <w:t>ны на продвижение практического опыта в отношении воздействия полового воспитания среди молодых людей и рассматривают проблемы, с которыми сталкиваются воспитатели в разных условиях и в связи с разными проблемами, такими как подростковая беременность, передача ВИЧ-инфекции, сексуальное насилие и другие виды насилия, торговля людьми, наложение клейма позора и дискриминация, а также вопросы доступа подростков к информации и услугам в области репродуктивного здоровья.</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О законодательстве о разводе</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146.</w:t>
      </w:r>
      <w:r w:rsidRPr="002665C4">
        <w:tab/>
        <w:t>Развод по-прежнему не разрешен филиппинским законодательством. Возможность прекращения брака существует только в результате решения суда о раздельном жительстве супругов либо посредством объявления брака неде</w:t>
      </w:r>
      <w:r w:rsidRPr="002665C4">
        <w:t>й</w:t>
      </w:r>
      <w:r w:rsidRPr="002665C4">
        <w:t>ствительным или аннулирования его, как предусмотрено Семейным кодексом государства-участника. Семейный кодекс также разрешает гражданам Фили</w:t>
      </w:r>
      <w:r w:rsidRPr="002665C4">
        <w:t>п</w:t>
      </w:r>
      <w:r w:rsidRPr="002665C4">
        <w:t>пин повторно вступать в брак в случае получения его/ее иностранным супр</w:t>
      </w:r>
      <w:r w:rsidRPr="002665C4">
        <w:t>у</w:t>
      </w:r>
      <w:r w:rsidRPr="002665C4">
        <w:t>гой/супругом развода, дающего право на повторный брак.</w:t>
      </w:r>
    </w:p>
    <w:p w:rsidR="002665C4" w:rsidRPr="002665C4" w:rsidRDefault="002665C4" w:rsidP="002665C4">
      <w:pPr>
        <w:pStyle w:val="SingleTxt"/>
      </w:pPr>
      <w:r w:rsidRPr="002665C4">
        <w:t>147.</w:t>
      </w:r>
      <w:r w:rsidRPr="002665C4">
        <w:tab/>
        <w:t xml:space="preserve">Объединенная коллегия адвокатов Филиппин (ОКАФ), Правовой центр Университета Филиппин (УФ), Центр по правам человека </w:t>
      </w:r>
      <w:r>
        <w:t>«</w:t>
      </w:r>
      <w:r w:rsidRPr="002665C4">
        <w:t>Атенео</w:t>
      </w:r>
      <w:r>
        <w:t>»</w:t>
      </w:r>
      <w:r w:rsidRPr="002665C4">
        <w:t xml:space="preserve"> (ЦПЧА), Бюро судебных поверенных (БСП) и другие предоставляют бесплатные юр</w:t>
      </w:r>
      <w:r w:rsidRPr="002665C4">
        <w:t>и</w:t>
      </w:r>
      <w:r w:rsidRPr="002665C4">
        <w:t>дические услуги супружеским парам, решившим пройти разрешенную Семе</w:t>
      </w:r>
      <w:r w:rsidRPr="002665C4">
        <w:t>й</w:t>
      </w:r>
      <w:r w:rsidRPr="002665C4">
        <w:t>ным кодексом процедуру аннулирования брака.</w:t>
      </w:r>
    </w:p>
    <w:p w:rsidR="002665C4" w:rsidRPr="002665C4" w:rsidRDefault="002665C4" w:rsidP="002665C4">
      <w:pPr>
        <w:pStyle w:val="SingleTxt"/>
      </w:pPr>
      <w:r w:rsidRPr="002665C4">
        <w:t>148.</w:t>
      </w:r>
      <w:r w:rsidRPr="002665C4">
        <w:tab/>
        <w:t xml:space="preserve">Легализующий развод законопроект, который был внесен в 15-й Конгресс Женской партией </w:t>
      </w:r>
      <w:r>
        <w:t>«</w:t>
      </w:r>
      <w:r w:rsidRPr="002665C4">
        <w:t>Габриэла</w:t>
      </w:r>
      <w:r>
        <w:t>»</w:t>
      </w:r>
      <w:r w:rsidRPr="002665C4">
        <w:t xml:space="preserve"> (HB 1799), не был принят, но был снова внесен в 16</w:t>
      </w:r>
      <w:r w:rsidRPr="002665C4">
        <w:noBreakHyphen/>
        <w:t>й Конгресс</w:t>
      </w:r>
      <w:r w:rsidRPr="002665C4">
        <w:rPr>
          <w:bCs/>
        </w:rPr>
        <w:t>. Согласно предлагаемому законодательному акту в качестве о</w:t>
      </w:r>
      <w:r w:rsidRPr="002665C4">
        <w:rPr>
          <w:bCs/>
        </w:rPr>
        <w:t>с</w:t>
      </w:r>
      <w:r w:rsidRPr="002665C4">
        <w:rPr>
          <w:bCs/>
        </w:rPr>
        <w:t>нований для развода принимается невосстановимый распад семейных связей и полное неисполнение супружеских обязанностей</w:t>
      </w:r>
      <w:r w:rsidRPr="002665C4">
        <w:t xml:space="preserve">. </w:t>
      </w:r>
    </w:p>
    <w:p w:rsidR="002665C4" w:rsidRDefault="002665C4" w:rsidP="002665C4">
      <w:pPr>
        <w:pStyle w:val="SingleTxt"/>
      </w:pPr>
      <w:r w:rsidRPr="002665C4">
        <w:t>149.</w:t>
      </w:r>
      <w:r w:rsidRPr="002665C4">
        <w:tab/>
        <w:t>Мнения членов Конгресса и Сената по вопросу о разводе разделились.</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 xml:space="preserve">О сельских женщинах, представительницах коренных народов и мусульманских женщинах </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150.</w:t>
      </w:r>
      <w:r w:rsidRPr="002665C4">
        <w:tab/>
        <w:t>В ВХЖ первоочередное внимание уделяется маргинализованным группам детей и женщин, таким как сельские женщины, представительницы коренных народов и мусульманские женщины. Закон содействует соблюдению прав сел</w:t>
      </w:r>
      <w:r w:rsidRPr="002665C4">
        <w:t>ь</w:t>
      </w:r>
      <w:r w:rsidRPr="002665C4">
        <w:t>ских женщин на производственные ресурсы и получение основных услуг в о</w:t>
      </w:r>
      <w:r w:rsidRPr="002665C4">
        <w:t>б</w:t>
      </w:r>
      <w:r w:rsidRPr="002665C4">
        <w:t>ласти здравоохранения, образования, жилья и т.д. для удовлетворения их п</w:t>
      </w:r>
      <w:r w:rsidRPr="002665C4">
        <w:t>о</w:t>
      </w:r>
      <w:r w:rsidRPr="002665C4">
        <w:t>требностей в отношении развития человеческого потенциала. В нем подчерк</w:t>
      </w:r>
      <w:r w:rsidRPr="002665C4">
        <w:t>и</w:t>
      </w:r>
      <w:r w:rsidRPr="002665C4">
        <w:t>вается, что женщины и мужчины должны иметь равный статус, независимо от того, состоят они в браке или нет, независимо от наличия правового титула на землю, предоставления контрактов на управление, свидетельств об освобожд</w:t>
      </w:r>
      <w:r w:rsidRPr="002665C4">
        <w:t>е</w:t>
      </w:r>
      <w:r w:rsidRPr="002665C4">
        <w:t xml:space="preserve">нии земли и свидетельств о собственности на землю. </w:t>
      </w:r>
    </w:p>
    <w:p w:rsidR="002665C4" w:rsidRPr="002665C4" w:rsidRDefault="002665C4" w:rsidP="002665C4">
      <w:pPr>
        <w:pStyle w:val="SingleTxt"/>
      </w:pPr>
      <w:r w:rsidRPr="002665C4">
        <w:t>151.</w:t>
      </w:r>
      <w:r w:rsidRPr="002665C4">
        <w:tab/>
        <w:t>Закон о правах коренных народов, или ЗПКН 1997 года (RA 8371), пред</w:t>
      </w:r>
      <w:r w:rsidRPr="002665C4">
        <w:t>у</w:t>
      </w:r>
      <w:r w:rsidRPr="002665C4">
        <w:t xml:space="preserve">сматривает, что </w:t>
      </w:r>
      <w:r>
        <w:t>«</w:t>
      </w:r>
      <w:r w:rsidRPr="002665C4">
        <w:t>женщины</w:t>
      </w:r>
      <w:r>
        <w:t xml:space="preserve"> — </w:t>
      </w:r>
      <w:r w:rsidRPr="002665C4">
        <w:t>представительницы местных культурных о</w:t>
      </w:r>
      <w:r w:rsidRPr="002665C4">
        <w:t>б</w:t>
      </w:r>
      <w:r w:rsidRPr="002665C4">
        <w:t>щин/коренных народов пользуются равными с мужчинами правами и возмо</w:t>
      </w:r>
      <w:r w:rsidRPr="002665C4">
        <w:t>ж</w:t>
      </w:r>
      <w:r w:rsidRPr="002665C4">
        <w:t>ностями в том, что касается социальной, экономической, политической и кул</w:t>
      </w:r>
      <w:r w:rsidRPr="002665C4">
        <w:t>ь</w:t>
      </w:r>
      <w:r w:rsidRPr="002665C4">
        <w:t>турной сфер жизни. Участие женщин, принадлежащих к коренным народам, в процессе принятия решений на всех уровнях, а также в развитии общества, должно пользоваться уважением и признанием. Государство обеспечивает представительницам коренных народов полный доступ к услугам в сфере обр</w:t>
      </w:r>
      <w:r w:rsidRPr="002665C4">
        <w:t>а</w:t>
      </w:r>
      <w:r w:rsidRPr="002665C4">
        <w:t>зования, охрану здоровья матери и ребенка, медицинское обслуживание, пит</w:t>
      </w:r>
      <w:r w:rsidRPr="002665C4">
        <w:t>а</w:t>
      </w:r>
      <w:r w:rsidRPr="002665C4">
        <w:t>ние и жилье. Профессионально-техническое и другие виды образования обе</w:t>
      </w:r>
      <w:r w:rsidRPr="002665C4">
        <w:t>с</w:t>
      </w:r>
      <w:r w:rsidRPr="002665C4">
        <w:t>печиваются этим женщинам в целях их полноценного участия во всех аспектах общественной жизни. По мере возможностей государство обеспечивает для женщин, принадлежащих к коренным народам, полный доступ ко всем услугам на их языках</w:t>
      </w:r>
      <w:r>
        <w:t>»</w:t>
      </w:r>
      <w:r w:rsidRPr="002665C4">
        <w:t>.</w:t>
      </w:r>
    </w:p>
    <w:p w:rsidR="002665C4" w:rsidRPr="002665C4" w:rsidRDefault="002665C4" w:rsidP="002665C4">
      <w:pPr>
        <w:pStyle w:val="SingleTxt"/>
      </w:pPr>
      <w:r w:rsidRPr="002665C4">
        <w:t>152.</w:t>
      </w:r>
      <w:r w:rsidRPr="002665C4">
        <w:tab/>
        <w:t>Государство-участник в последнее время концентрировало внимание на АРММ, где проживают преимущественно мусульманские общины и многие группы коренного населения. Среди всех регионов Филиппин в АРММ зарег</w:t>
      </w:r>
      <w:r w:rsidRPr="002665C4">
        <w:t>и</w:t>
      </w:r>
      <w:r w:rsidRPr="002665C4">
        <w:t>стрированы самые низкие социально-экономические показатели. При наличии Всеобъемлющего соглашения по Бангсаморо государство-участник надеется на прекращение вооруженного конфликта и осуществление большего количества мероприятий в области развития, чтобы дать возможность региону догнать остальные регионы страны. Ведущей программой в этом направле</w:t>
      </w:r>
      <w:r>
        <w:t>нии является программа ПАМАНА (</w:t>
      </w:r>
      <w:r w:rsidRPr="002665C4">
        <w:t xml:space="preserve">“Payapa at Masaganang Pamayanan”, или </w:t>
      </w:r>
      <w:r>
        <w:t>«</w:t>
      </w:r>
      <w:r w:rsidRPr="002665C4">
        <w:t>Мирные и жизнестойкие общины</w:t>
      </w:r>
      <w:r>
        <w:t>»</w:t>
      </w:r>
      <w:r w:rsidRPr="002665C4">
        <w:t>), которая представляет собой рамочную стратегию национального правительства по вопросам мира и развития в целях расшир</w:t>
      </w:r>
      <w:r w:rsidRPr="002665C4">
        <w:t>е</w:t>
      </w:r>
      <w:r w:rsidRPr="002665C4">
        <w:t>ния прав и возможностей затронутых конфликтом районов страны. За пред</w:t>
      </w:r>
      <w:r w:rsidRPr="002665C4">
        <w:t>е</w:t>
      </w:r>
      <w:r w:rsidRPr="002665C4">
        <w:t>лами АРММ программа осуществляется еще в шести районах Филиппин. Ее основными задачами являются увеличение источников дохода и расширение возможностей трудоустройства, укрепление потенциала МОВ для осуществл</w:t>
      </w:r>
      <w:r w:rsidRPr="002665C4">
        <w:t>е</w:t>
      </w:r>
      <w:r w:rsidRPr="002665C4">
        <w:t>ния местных программ по вопросам мира и развития, обеспечение прозрачн</w:t>
      </w:r>
      <w:r w:rsidRPr="002665C4">
        <w:t>о</w:t>
      </w:r>
      <w:r w:rsidRPr="002665C4">
        <w:t>сти и подотчетности и создание возможностей для более широкого участия общин в усилиях по достижению мира и развития. В 2013 году МЗ АРММ с</w:t>
      </w:r>
      <w:r w:rsidRPr="002665C4">
        <w:t>о</w:t>
      </w:r>
      <w:r w:rsidRPr="002665C4">
        <w:t>общил, что 45 659 женщин посещали врачей до родов, 36 876 после родов и проведен скрининг 14 179 новорожденных. Получателей средств по программе ОДП в АРММ насчитывалось 389 656.</w:t>
      </w:r>
    </w:p>
    <w:p w:rsidR="002665C4" w:rsidRPr="002665C4" w:rsidRDefault="002665C4" w:rsidP="002665C4">
      <w:pPr>
        <w:pStyle w:val="SingleTxt"/>
      </w:pPr>
      <w:r w:rsidRPr="002665C4">
        <w:t>153.</w:t>
      </w:r>
      <w:r w:rsidRPr="002665C4">
        <w:tab/>
        <w:t xml:space="preserve">Региональное правительство АРММ также начало осуществление своей программы </w:t>
      </w:r>
      <w:r>
        <w:t>«</w:t>
      </w:r>
      <w:r w:rsidRPr="002665C4">
        <w:t>Здравоохранение, образование, источники доходов, мир, управл</w:t>
      </w:r>
      <w:r w:rsidRPr="002665C4">
        <w:t>е</w:t>
      </w:r>
      <w:r w:rsidRPr="002665C4">
        <w:t>ние и синергия</w:t>
      </w:r>
      <w:r>
        <w:t>»</w:t>
      </w:r>
      <w:r w:rsidRPr="002665C4">
        <w:t xml:space="preserve"> (HELPS), направленной на принятие более согласованных и целенаправленных мер на местном уровне. Учитывая широкую поддержку ра</w:t>
      </w:r>
      <w:r w:rsidRPr="002665C4">
        <w:t>з</w:t>
      </w:r>
      <w:r w:rsidRPr="002665C4">
        <w:t>вития в АРММ и мощное движение за благое управление, государство-участник надеется, что эта программа будет содействовать улучшению соц</w:t>
      </w:r>
      <w:r w:rsidRPr="002665C4">
        <w:t>и</w:t>
      </w:r>
      <w:r w:rsidRPr="002665C4">
        <w:t>ально-экономических условий в регионе. ФКЖ предоставляет техническую помощь Региональной комиссии по делам женщин Бангсморо (РКЖБ)</w:t>
      </w:r>
      <w:r>
        <w:rPr>
          <w:lang w:val="en-US"/>
        </w:rPr>
        <w:t> </w:t>
      </w:r>
      <w:r w:rsidRPr="002665C4">
        <w:t>— ан</w:t>
      </w:r>
      <w:r w:rsidRPr="002665C4">
        <w:t>а</w:t>
      </w:r>
      <w:r w:rsidRPr="002665C4">
        <w:t>логичному ей механизму в АРММ, в учете гендерных факторов в целях укре</w:t>
      </w:r>
      <w:r w:rsidRPr="002665C4">
        <w:t>п</w:t>
      </w:r>
      <w:r w:rsidRPr="002665C4">
        <w:t>ления ее способности выполнять функцию продвижения и мониторинга разр</w:t>
      </w:r>
      <w:r w:rsidRPr="002665C4">
        <w:t>а</w:t>
      </w:r>
      <w:r w:rsidRPr="002665C4">
        <w:t xml:space="preserve">ботки и осуществления программ, учитывающих гендерную проблематику, в АРММ. </w:t>
      </w:r>
    </w:p>
    <w:p w:rsidR="002665C4" w:rsidRPr="002665C4" w:rsidRDefault="002665C4" w:rsidP="002665C4">
      <w:pPr>
        <w:pStyle w:val="SingleTxt"/>
      </w:pPr>
      <w:r w:rsidRPr="002665C4">
        <w:t>154.</w:t>
      </w:r>
      <w:r w:rsidRPr="002665C4">
        <w:tab/>
        <w:t>Одна из инициатив НПО, посвященная проблеме грамотности в мусул</w:t>
      </w:r>
      <w:r w:rsidRPr="002665C4">
        <w:t>ь</w:t>
      </w:r>
      <w:r w:rsidRPr="002665C4">
        <w:t xml:space="preserve">манском Минданао, выдвинута Фондом “Magbassa Kita Foundation Incorporated”. Фонд начал Проект </w:t>
      </w:r>
      <w:r>
        <w:t>«</w:t>
      </w:r>
      <w:r w:rsidRPr="002665C4">
        <w:t>Грамотность в интересах мира и разв</w:t>
      </w:r>
      <w:r w:rsidRPr="002665C4">
        <w:t>и</w:t>
      </w:r>
      <w:r w:rsidRPr="002665C4">
        <w:t>тия</w:t>
      </w:r>
      <w:r>
        <w:t>»</w:t>
      </w:r>
      <w:r w:rsidRPr="002665C4">
        <w:t xml:space="preserve"> (ГЦМИР) в 2010 году по итогам Обследования по вопросам функциональной грамотности, образования и средств массовой информации, которое проводи</w:t>
      </w:r>
      <w:r w:rsidRPr="002665C4">
        <w:t>т</w:t>
      </w:r>
      <w:r w:rsidRPr="002665C4">
        <w:t>ся каждые пять лет Национальным статистическим управлением. По данным этого обследования, в АРММ зарегистрирован самый низкий уровень грамо</w:t>
      </w:r>
      <w:r w:rsidRPr="002665C4">
        <w:t>т</w:t>
      </w:r>
      <w:r w:rsidRPr="002665C4">
        <w:t>ности в двух обследованиях подряд</w:t>
      </w:r>
      <w:r>
        <w:t xml:space="preserve"> — </w:t>
      </w:r>
      <w:r w:rsidRPr="002665C4">
        <w:t>в 2003 и 2008 годах. Цель проекта</w:t>
      </w:r>
      <w:r>
        <w:t xml:space="preserve"> — </w:t>
      </w:r>
      <w:r w:rsidRPr="002665C4">
        <w:t>обучить грамотности не менее 62 500 взрослых до 2013</w:t>
      </w:r>
      <w:r>
        <w:t> </w:t>
      </w:r>
      <w:r w:rsidRPr="002665C4">
        <w:t>года. Кроме того, он направлен на усиление мер по достижению мира и развития путем включ</w:t>
      </w:r>
      <w:r w:rsidRPr="002665C4">
        <w:t>е</w:t>
      </w:r>
      <w:r w:rsidRPr="002665C4">
        <w:t>ния темы мира и развития в программу обучения. В последнее время он также включил основные идеи гендерного характера, например касающиеся прав ч</w:t>
      </w:r>
      <w:r w:rsidRPr="002665C4">
        <w:t>е</w:t>
      </w:r>
      <w:r w:rsidRPr="002665C4">
        <w:t>ловека женщин. ГЦМИР планирует направить 1250 инструкторов по обучению грамотности на всей территории региона. Он выпустил пособия для обучения грамотности и перевел их на пять основных диалектов региона. По состоянию на апрель 2013 года ГЦМИР обучил, по оценкам, 46 тыс. неграмотных более чем в 42 муниципалитетах и в 619 барангаях в АРММ.</w:t>
      </w:r>
    </w:p>
    <w:p w:rsidR="002665C4" w:rsidRPr="002665C4" w:rsidRDefault="002665C4" w:rsidP="002665C4">
      <w:pPr>
        <w:pStyle w:val="SingleTxt"/>
      </w:pPr>
      <w:r w:rsidRPr="002665C4">
        <w:t>155.</w:t>
      </w:r>
      <w:r w:rsidRPr="002665C4">
        <w:tab/>
        <w:t>Что касается сельских женщин в целом, государство-участник осущест</w:t>
      </w:r>
      <w:r w:rsidRPr="002665C4">
        <w:t>в</w:t>
      </w:r>
      <w:r w:rsidRPr="002665C4">
        <w:t>ляет ряд программ, направленных в первую очередь на расширение доступа к ресурсам для получения источников средств к существованию, образования, здравоохранения, возможности участвовать в руководстве. Различные прав</w:t>
      </w:r>
      <w:r w:rsidRPr="002665C4">
        <w:t>и</w:t>
      </w:r>
      <w:r w:rsidRPr="002665C4">
        <w:t>тельственные учреждения занимаются проблемами сельских женщин в соо</w:t>
      </w:r>
      <w:r w:rsidRPr="002665C4">
        <w:t>т</w:t>
      </w:r>
      <w:r w:rsidRPr="002665C4">
        <w:t>ветствии со своим кругом обязанностей. Осуществляемые ими меры включают обучение технологиям (производство, хранение урожая, переработка проду</w:t>
      </w:r>
      <w:r w:rsidRPr="002665C4">
        <w:t>к</w:t>
      </w:r>
      <w:r w:rsidRPr="002665C4">
        <w:t>ции и т.д.); сельскохозяйственные средства производства (удобрения, семена и посадочный материал); займы/кредиты; а также помощь по сбыту продукции со стороны местных органов власти фермерам, рыбакам и организациям мес</w:t>
      </w:r>
      <w:r w:rsidRPr="002665C4">
        <w:t>т</w:t>
      </w:r>
      <w:r w:rsidRPr="002665C4">
        <w:t>ных женщин, таким как клубы сельского развития (КСР) и другие сельские о</w:t>
      </w:r>
      <w:r w:rsidRPr="002665C4">
        <w:t>р</w:t>
      </w:r>
      <w:r w:rsidRPr="002665C4">
        <w:t>ганизации (СО).</w:t>
      </w:r>
    </w:p>
    <w:p w:rsidR="002665C4" w:rsidRPr="002665C4" w:rsidRDefault="002665C4" w:rsidP="002665C4">
      <w:pPr>
        <w:pStyle w:val="SingleTxt"/>
        <w:rPr>
          <w:bCs/>
        </w:rPr>
      </w:pPr>
      <w:r w:rsidRPr="002665C4">
        <w:rPr>
          <w:bCs/>
        </w:rPr>
        <w:t>156.</w:t>
      </w:r>
      <w:r w:rsidRPr="002665C4">
        <w:rPr>
          <w:bCs/>
        </w:rPr>
        <w:tab/>
      </w:r>
      <w:r w:rsidRPr="002665C4">
        <w:t>Для укрепления статуса бенефициара аграрной реформы (БАР) Мин</w:t>
      </w:r>
      <w:r w:rsidRPr="002665C4">
        <w:t>и</w:t>
      </w:r>
      <w:r w:rsidRPr="002665C4">
        <w:t xml:space="preserve">стерство по сельскохозяйственной реформе (МСР) выпустило </w:t>
      </w:r>
      <w:r w:rsidRPr="002665C4">
        <w:rPr>
          <w:bCs/>
        </w:rPr>
        <w:t xml:space="preserve">Директиву по вопросам гендерного равенства в осуществлении законов о </w:t>
      </w:r>
      <w:r w:rsidRPr="002665C4">
        <w:t>сельскохозяйстве</w:t>
      </w:r>
      <w:r w:rsidRPr="002665C4">
        <w:t>н</w:t>
      </w:r>
      <w:r w:rsidRPr="002665C4">
        <w:t>ной</w:t>
      </w:r>
      <w:r w:rsidRPr="002665C4">
        <w:rPr>
          <w:bCs/>
        </w:rPr>
        <w:t xml:space="preserve"> реформе и учете гендерных факторов и проблем развития. Эта директива гарантирует равные права как супругов, так и партнеров в гражданском браке в процессе определения, анализа и выбора выгодоприобретателей от </w:t>
      </w:r>
      <w:r w:rsidRPr="002665C4">
        <w:t>сельскох</w:t>
      </w:r>
      <w:r w:rsidRPr="002665C4">
        <w:t>о</w:t>
      </w:r>
      <w:r w:rsidRPr="002665C4">
        <w:t>зяйственной</w:t>
      </w:r>
      <w:r w:rsidRPr="002665C4">
        <w:rPr>
          <w:bCs/>
        </w:rPr>
        <w:t xml:space="preserve"> реформы. В целях признания прав супругов-фермеров именам обоих супругов, занесенным в свидетельство об освобождении зе</w:t>
      </w:r>
      <w:r w:rsidRPr="002665C4">
        <w:rPr>
          <w:bCs/>
        </w:rPr>
        <w:t>м</w:t>
      </w:r>
      <w:r w:rsidRPr="002665C4">
        <w:rPr>
          <w:bCs/>
        </w:rPr>
        <w:t>ли/</w:t>
      </w:r>
      <w:r>
        <w:rPr>
          <w:bCs/>
        </w:rPr>
        <w:br/>
      </w:r>
      <w:r w:rsidRPr="002665C4">
        <w:rPr>
          <w:bCs/>
        </w:rPr>
        <w:t>свидетельство о приобретении прав на землю (СОЗ/СППЗ), предшествует сл</w:t>
      </w:r>
      <w:r w:rsidRPr="002665C4">
        <w:rPr>
          <w:bCs/>
        </w:rPr>
        <w:t>о</w:t>
      </w:r>
      <w:r w:rsidRPr="002665C4">
        <w:rPr>
          <w:bCs/>
        </w:rPr>
        <w:t xml:space="preserve">во </w:t>
      </w:r>
      <w:r>
        <w:rPr>
          <w:bCs/>
        </w:rPr>
        <w:t>«</w:t>
      </w:r>
      <w:r w:rsidRPr="002665C4">
        <w:rPr>
          <w:bCs/>
        </w:rPr>
        <w:t>супруги</w:t>
      </w:r>
      <w:r>
        <w:rPr>
          <w:bCs/>
        </w:rPr>
        <w:t>»</w:t>
      </w:r>
      <w:r w:rsidRPr="002665C4">
        <w:rPr>
          <w:bCs/>
        </w:rPr>
        <w:t>. В случае гражданского брака имена обеих сторон также внося</w:t>
      </w:r>
      <w:r w:rsidRPr="002665C4">
        <w:rPr>
          <w:bCs/>
        </w:rPr>
        <w:t>т</w:t>
      </w:r>
      <w:r w:rsidRPr="002665C4">
        <w:rPr>
          <w:bCs/>
        </w:rPr>
        <w:t xml:space="preserve">ся в СОЗ/СППЗ с союзом </w:t>
      </w:r>
      <w:r>
        <w:rPr>
          <w:bCs/>
        </w:rPr>
        <w:t>«</w:t>
      </w:r>
      <w:r w:rsidRPr="002665C4">
        <w:rPr>
          <w:bCs/>
        </w:rPr>
        <w:t>и</w:t>
      </w:r>
      <w:r>
        <w:rPr>
          <w:bCs/>
        </w:rPr>
        <w:t>»</w:t>
      </w:r>
      <w:r w:rsidRPr="002665C4">
        <w:rPr>
          <w:bCs/>
        </w:rPr>
        <w:t xml:space="preserve"> между ними. Эта политика также направлена на усиление и развитие механизмов, программ, политики, систем и процедур по</w:t>
      </w:r>
      <w:r w:rsidRPr="002665C4">
        <w:rPr>
          <w:bCs/>
        </w:rPr>
        <w:t>д</w:t>
      </w:r>
      <w:r w:rsidRPr="002665C4">
        <w:rPr>
          <w:bCs/>
        </w:rPr>
        <w:t>держки в целях осуществления сельскохозяйственных законов с учетом ге</w:t>
      </w:r>
      <w:r w:rsidRPr="002665C4">
        <w:rPr>
          <w:bCs/>
        </w:rPr>
        <w:t>н</w:t>
      </w:r>
      <w:r w:rsidRPr="002665C4">
        <w:rPr>
          <w:bCs/>
        </w:rPr>
        <w:t>дерной проблематики.</w:t>
      </w:r>
    </w:p>
    <w:p w:rsidR="002665C4" w:rsidRPr="002665C4" w:rsidRDefault="002665C4" w:rsidP="002665C4">
      <w:pPr>
        <w:pStyle w:val="SingleTxt"/>
      </w:pPr>
      <w:r w:rsidRPr="002665C4">
        <w:t>157.</w:t>
      </w:r>
      <w:r w:rsidRPr="002665C4">
        <w:tab/>
        <w:t>В Программе всеобъемлющей сельскохозяйственной реформы с внесе</w:t>
      </w:r>
      <w:r w:rsidRPr="002665C4">
        <w:t>н</w:t>
      </w:r>
      <w:r w:rsidRPr="002665C4">
        <w:t xml:space="preserve">ными в нее поправками, озаглавленной </w:t>
      </w:r>
      <w:r>
        <w:t>«</w:t>
      </w:r>
      <w:r w:rsidRPr="002665C4">
        <w:t>Расширенная программа всеобъе</w:t>
      </w:r>
      <w:r w:rsidRPr="002665C4">
        <w:t>м</w:t>
      </w:r>
      <w:r w:rsidRPr="002665C4">
        <w:t>лющей сельскохозяйственной реформы</w:t>
      </w:r>
      <w:r>
        <w:t>»</w:t>
      </w:r>
      <w:r w:rsidRPr="002665C4">
        <w:t xml:space="preserve"> (CARPER), или RA 9700, главное м</w:t>
      </w:r>
      <w:r w:rsidRPr="002665C4">
        <w:t>е</w:t>
      </w:r>
      <w:r w:rsidRPr="002665C4">
        <w:t>сто отводится социальному обеспечению безземельных крестьян и сельскох</w:t>
      </w:r>
      <w:r w:rsidRPr="002665C4">
        <w:t>о</w:t>
      </w:r>
      <w:r w:rsidRPr="002665C4">
        <w:t>зяйственных рабочих. В ней признаются права сельских женщин на владение и управление землей и гарантируется равенство по существу между мужчинами и женщинами в отношении права непосредственной или коллективной со</w:t>
      </w:r>
      <w:r w:rsidRPr="002665C4">
        <w:t>б</w:t>
      </w:r>
      <w:r w:rsidRPr="002665C4">
        <w:t>ственности на землю, которую они обрабатывают, или получения справедливой доли ее плодов. Для поддержки сельскохозяйственных предприятий госуда</w:t>
      </w:r>
      <w:r w:rsidRPr="002665C4">
        <w:t>р</w:t>
      </w:r>
      <w:r w:rsidRPr="002665C4">
        <w:t>ство-участник в рамках Министерства торговли и промышленности (МТП) и других правительственных учреждений, осуществляет программы сельских микропредприятий, большинство выгодоприобретателей от которых составл</w:t>
      </w:r>
      <w:r w:rsidRPr="002665C4">
        <w:t>я</w:t>
      </w:r>
      <w:r w:rsidRPr="002665C4">
        <w:t>ю</w:t>
      </w:r>
      <w:r w:rsidR="00F173BA">
        <w:t>т женщины-микропредприниматели.</w:t>
      </w:r>
    </w:p>
    <w:p w:rsidR="002665C4" w:rsidRPr="002665C4" w:rsidRDefault="002665C4" w:rsidP="002665C4">
      <w:pPr>
        <w:pStyle w:val="SingleTxt"/>
      </w:pPr>
      <w:r w:rsidRPr="002665C4">
        <w:t>158.</w:t>
      </w:r>
      <w:r w:rsidRPr="002665C4">
        <w:tab/>
        <w:t>Еще одна программа государства-участника для сельских работников – Программа социальных улучшений (ПСУ), закрепляющая права рабочих с</w:t>
      </w:r>
      <w:r w:rsidRPr="002665C4">
        <w:t>а</w:t>
      </w:r>
      <w:r w:rsidRPr="002665C4">
        <w:t>харной промышленности на справедливую долю продукции и предоставля</w:t>
      </w:r>
      <w:r w:rsidRPr="002665C4">
        <w:t>ю</w:t>
      </w:r>
      <w:r w:rsidRPr="002665C4">
        <w:t>щая им дополнительные денежные и социальные пособия, которые обеспеч</w:t>
      </w:r>
      <w:r w:rsidRPr="002665C4">
        <w:t>и</w:t>
      </w:r>
      <w:r w:rsidRPr="002665C4">
        <w:t>вают им и членам их семей достойные условия жизни. Она включает програ</w:t>
      </w:r>
      <w:r w:rsidRPr="002665C4">
        <w:t>м</w:t>
      </w:r>
      <w:r w:rsidRPr="002665C4">
        <w:t>му распределения денежных премий, финансируемую за счет 80</w:t>
      </w:r>
      <w:r w:rsidRPr="002665C4">
        <w:noBreakHyphen/>
        <w:t>процентной доли права пользования землей, которая распределяется в виде денежных пр</w:t>
      </w:r>
      <w:r w:rsidRPr="002665C4">
        <w:t>е</w:t>
      </w:r>
      <w:r w:rsidRPr="002665C4">
        <w:t>мий заводским рабочим и работникам плантаций, программу пособий по бер</w:t>
      </w:r>
      <w:r w:rsidRPr="002665C4">
        <w:t>е</w:t>
      </w:r>
      <w:r w:rsidRPr="002665C4">
        <w:t>менности и родам работницам сахарной промышленности, которая оказывает финансовую помощь всем работницам сахарной промышленности, пособие на похороны и социально-экономические проекты или программу улучшения эк</w:t>
      </w:r>
      <w:r w:rsidRPr="002665C4">
        <w:t>о</w:t>
      </w:r>
      <w:r>
        <w:t>номического положения рабочих.</w:t>
      </w:r>
    </w:p>
    <w:p w:rsidR="002665C4" w:rsidRPr="002665C4" w:rsidRDefault="002665C4" w:rsidP="002665C4">
      <w:pPr>
        <w:pStyle w:val="SingleTxt"/>
        <w:spacing w:after="0" w:line="120" w:lineRule="exact"/>
        <w:rPr>
          <w:sz w:val="10"/>
        </w:rPr>
      </w:pPr>
    </w:p>
    <w:p w:rsidR="002665C4" w:rsidRPr="002665C4" w:rsidRDefault="002665C4" w:rsidP="002665C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2665C4">
        <w:t xml:space="preserve">Участие в местных органах управления и директивных органах </w:t>
      </w:r>
    </w:p>
    <w:p w:rsidR="002665C4" w:rsidRPr="002665C4" w:rsidRDefault="002665C4" w:rsidP="002665C4">
      <w:pPr>
        <w:pStyle w:val="SingleTxt"/>
        <w:spacing w:after="0" w:line="120" w:lineRule="exact"/>
        <w:rPr>
          <w:sz w:val="10"/>
        </w:rPr>
      </w:pPr>
    </w:p>
    <w:p w:rsidR="002665C4" w:rsidRPr="002665C4" w:rsidRDefault="002665C4" w:rsidP="002665C4">
      <w:pPr>
        <w:pStyle w:val="SingleTxt"/>
      </w:pPr>
      <w:r w:rsidRPr="002665C4">
        <w:t>159.</w:t>
      </w:r>
      <w:r w:rsidRPr="002665C4">
        <w:tab/>
        <w:t>Участие женщин в принятии решений местного уровня составляет одну из проблем, рассматриваемых в ВХЖ. Закон предусматривает, что женщины должны составлять 40 процентов в местных специальных органах. Положение о таком представительстве распространяется на местные советы по конкре</w:t>
      </w:r>
      <w:r w:rsidRPr="002665C4">
        <w:t>т</w:t>
      </w:r>
      <w:r w:rsidRPr="002665C4">
        <w:t>ным секторам. Например, Национальный совет по управлению рыболовством и водными ресурсами включал 129 женщин (20 процентов) в качестве предст</w:t>
      </w:r>
      <w:r w:rsidRPr="002665C4">
        <w:t>а</w:t>
      </w:r>
      <w:r w:rsidRPr="002665C4">
        <w:t>вителей рыбаков. Женщины также составляют 43 процента организаций сел</w:t>
      </w:r>
      <w:r w:rsidRPr="002665C4">
        <w:t>ь</w:t>
      </w:r>
      <w:r w:rsidRPr="002665C4">
        <w:t>скохозяйственной реформы и присутствуют также в местных советах по сел</w:t>
      </w:r>
      <w:r w:rsidRPr="002665C4">
        <w:t>ь</w:t>
      </w:r>
      <w:r w:rsidRPr="002665C4">
        <w:t>скому хозяйству и рыболовству. Существует также Национальная коалиция сельских женщин (“Pambansang Koalisyon ng Kababaihan sa Kanayunan”, или ПKKK), в состав которой входят организации и федерации ассоциаций же</w:t>
      </w:r>
      <w:r w:rsidRPr="002665C4">
        <w:t>н</w:t>
      </w:r>
      <w:r w:rsidRPr="002665C4">
        <w:t>щин из числа крестьян, рыбаков, сельскохозяйственных рабочих и коренных народов; включая сельских женщин, занятых в неформальном секторе, пож</w:t>
      </w:r>
      <w:r w:rsidRPr="002665C4">
        <w:t>и</w:t>
      </w:r>
      <w:r w:rsidRPr="002665C4">
        <w:t>лых, молодежь и инвалидов; а также НПО. Она выступает за действия в инт</w:t>
      </w:r>
      <w:r w:rsidRPr="002665C4">
        <w:t>е</w:t>
      </w:r>
      <w:r w:rsidRPr="002665C4">
        <w:t>ресах сельских женщин, представительниц коренных народов и мусульманских женщин.</w:t>
      </w:r>
    </w:p>
    <w:p w:rsidR="002665C4" w:rsidRDefault="002665C4" w:rsidP="002665C4">
      <w:pPr>
        <w:pStyle w:val="SingleTxt"/>
      </w:pPr>
      <w:r w:rsidRPr="002665C4">
        <w:t>160.</w:t>
      </w:r>
      <w:r w:rsidRPr="002665C4">
        <w:tab/>
        <w:t>По состоянию на декабрь 2010 года более четверти (27 процентов) из 1 143 914 бенефициаров сельскохозяйственной реформы составили женщины. Сельские женщины получили почти половину из всех сельскохозяйственных кредитов от государственных финансовых учреждений Кедан и Сельская ко</w:t>
      </w:r>
      <w:r w:rsidRPr="002665C4">
        <w:t>р</w:t>
      </w:r>
      <w:r w:rsidRPr="002665C4">
        <w:t>порация кредитного обеспечения (Кеданкор). Женщины</w:t>
      </w:r>
      <w:r>
        <w:t xml:space="preserve"> — </w:t>
      </w:r>
      <w:r w:rsidRPr="002665C4">
        <w:t>бенефициары а</w:t>
      </w:r>
      <w:r w:rsidRPr="002665C4">
        <w:t>г</w:t>
      </w:r>
      <w:r w:rsidRPr="002665C4">
        <w:t>рарной реформы также имеют доступ к услугам по сельскохозяйственному и мик</w:t>
      </w:r>
      <w:r>
        <w:t>рофинансовому кредитованию.</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О КЛДЖ и ЦРТ</w:t>
      </w:r>
    </w:p>
    <w:p w:rsidR="002665C4" w:rsidRPr="002665C4" w:rsidRDefault="002665C4" w:rsidP="002665C4">
      <w:pPr>
        <w:pStyle w:val="SingleTxt"/>
        <w:spacing w:after="0" w:line="120" w:lineRule="exact"/>
        <w:rPr>
          <w:sz w:val="10"/>
        </w:rPr>
      </w:pPr>
    </w:p>
    <w:p w:rsidR="002665C4" w:rsidRDefault="002665C4" w:rsidP="002665C4">
      <w:pPr>
        <w:pStyle w:val="SingleTxt"/>
      </w:pPr>
      <w:r w:rsidRPr="002665C4">
        <w:t>161.</w:t>
      </w:r>
      <w:r w:rsidRPr="002665C4">
        <w:tab/>
        <w:t>Включение вопросов гендерного равенства и расширения прав и возмо</w:t>
      </w:r>
      <w:r w:rsidRPr="002665C4">
        <w:t>ж</w:t>
      </w:r>
      <w:r w:rsidRPr="002665C4">
        <w:t>ностей женщин во все целевые показатели ЦРТ и расширение перечня генде</w:t>
      </w:r>
      <w:r w:rsidRPr="002665C4">
        <w:t>р</w:t>
      </w:r>
      <w:r w:rsidRPr="002665C4">
        <w:t>ных показателей по цели 3 (гендерное равенство) всегда пропагандировалось государством-участником через ФКЖ и другие правительственные учрежд</w:t>
      </w:r>
      <w:r w:rsidRPr="002665C4">
        <w:t>е</w:t>
      </w:r>
      <w:r w:rsidRPr="002665C4">
        <w:t>ния. В результате повысилось осознание гендерного аспекта в каждой цели ЦРТ и ее соответствующих показателях, при этом больше внимания уделяется потребностям и проблемам женщин и девочек в осуществлении задач в обл</w:t>
      </w:r>
      <w:r w:rsidRPr="002665C4">
        <w:t>а</w:t>
      </w:r>
      <w:r w:rsidRPr="002665C4">
        <w:t>сти образования, искоренения бедности, здравоохранения и охраны окружа</w:t>
      </w:r>
      <w:r w:rsidRPr="002665C4">
        <w:t>ю</w:t>
      </w:r>
      <w:r w:rsidRPr="002665C4">
        <w:t>щей среды. В периодических отчетах по ЦРТ показатели НОЖ рассматриваю</w:t>
      </w:r>
      <w:r w:rsidRPr="002665C4">
        <w:t>т</w:t>
      </w:r>
      <w:r w:rsidR="00F173BA">
        <w:t>ся в рамках цели 3.</w:t>
      </w:r>
    </w:p>
    <w:p w:rsidR="002665C4" w:rsidRPr="002665C4" w:rsidRDefault="002665C4" w:rsidP="002665C4">
      <w:pPr>
        <w:pStyle w:val="SingleTxt"/>
        <w:spacing w:after="0" w:line="120" w:lineRule="exact"/>
        <w:rPr>
          <w:sz w:val="10"/>
        </w:rPr>
      </w:pPr>
    </w:p>
    <w:p w:rsidR="002665C4" w:rsidRDefault="002665C4" w:rsidP="002665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5C4">
        <w:t xml:space="preserve">О распространении заключительных замечаний </w:t>
      </w:r>
    </w:p>
    <w:p w:rsidR="002665C4" w:rsidRPr="002665C4" w:rsidRDefault="002665C4" w:rsidP="002665C4">
      <w:pPr>
        <w:pStyle w:val="SingleTxt"/>
        <w:spacing w:after="0" w:line="120" w:lineRule="exact"/>
        <w:rPr>
          <w:sz w:val="10"/>
        </w:rPr>
      </w:pPr>
    </w:p>
    <w:p w:rsidR="002665C4" w:rsidRPr="002665C4" w:rsidRDefault="002665C4" w:rsidP="002665C4">
      <w:pPr>
        <w:pStyle w:val="SingleTxt"/>
        <w:rPr>
          <w:i/>
        </w:rPr>
      </w:pPr>
      <w:r w:rsidRPr="002665C4">
        <w:t>162.</w:t>
      </w:r>
      <w:r w:rsidRPr="002665C4">
        <w:tab/>
        <w:t>После получения в 2006 году заключительных замечаний по пятому и ш</w:t>
      </w:r>
      <w:r w:rsidRPr="002665C4">
        <w:t>е</w:t>
      </w:r>
      <w:r w:rsidRPr="002665C4">
        <w:t>стому докладам о ходе выполнения государство-участник организовало фор</w:t>
      </w:r>
      <w:r w:rsidRPr="002665C4">
        <w:t>у</w:t>
      </w:r>
      <w:r w:rsidRPr="002665C4">
        <w:t>мы и конференции, в том числе в регионах, посвященные замечаниям Комит</w:t>
      </w:r>
      <w:r w:rsidRPr="002665C4">
        <w:t>е</w:t>
      </w:r>
      <w:r w:rsidRPr="002665C4">
        <w:t>та. Они были размножены и переведены на шесть региональных языков. (</w:t>
      </w:r>
      <w:r w:rsidRPr="002665C4">
        <w:rPr>
          <w:i/>
        </w:rPr>
        <w:t>См.</w:t>
      </w:r>
      <w:r>
        <w:rPr>
          <w:i/>
        </w:rPr>
        <w:t> </w:t>
      </w:r>
      <w:r w:rsidRPr="002665C4">
        <w:rPr>
          <w:i/>
        </w:rPr>
        <w:t>приложение 4 о выпущенных материала о заключительных замечаниях.</w:t>
      </w:r>
      <w:r w:rsidRPr="002665C4">
        <w:t>)</w:t>
      </w:r>
    </w:p>
    <w:p w:rsidR="002665C4" w:rsidRPr="002665C4" w:rsidRDefault="002665C4" w:rsidP="002665C4">
      <w:pPr>
        <w:pStyle w:val="SingleTxt"/>
      </w:pPr>
      <w:r w:rsidRPr="002665C4">
        <w:t>163.</w:t>
      </w:r>
      <w:r w:rsidRPr="002665C4">
        <w:tab/>
        <w:t xml:space="preserve">Структура </w:t>
      </w:r>
      <w:r>
        <w:t>«</w:t>
      </w:r>
      <w:r w:rsidRPr="002665C4">
        <w:t>ООН-женщины</w:t>
      </w:r>
      <w:r>
        <w:t>»</w:t>
      </w:r>
      <w:r w:rsidRPr="002665C4">
        <w:t xml:space="preserve"> опубликовала 200-страничный документ</w:t>
      </w:r>
      <w:r>
        <w:t> — «</w:t>
      </w:r>
      <w:r w:rsidRPr="002665C4">
        <w:t>КЛДЖ действует на Филиппинах</w:t>
      </w:r>
      <w:r>
        <w:t xml:space="preserve">» — </w:t>
      </w:r>
      <w:r w:rsidRPr="002665C4">
        <w:t>о совместных усилиях правител</w:t>
      </w:r>
      <w:r w:rsidRPr="002665C4">
        <w:t>ь</w:t>
      </w:r>
      <w:r w:rsidRPr="002665C4">
        <w:t>ства и НПО по осуществлению КЛДЖ, подготовленный Информационной службой по положению женщин (ИСЖ). Его экземпляры были разосланы средствам массовой информации, законодателям, различным организациям и лицам. ИСЖ также выпустила 14 материалов об опыте осуществления КЛДЖ в Юго-Восточной Азии, пять из которых были опубликованы в национальных сре</w:t>
      </w:r>
      <w:r w:rsidRPr="002665C4">
        <w:t>д</w:t>
      </w:r>
      <w:r w:rsidRPr="002665C4">
        <w:t>ствах массовой информации и три размещены на веб-сайте ЮНИФЕМ.</w:t>
      </w:r>
    </w:p>
    <w:p w:rsidR="002665C4" w:rsidRDefault="002665C4" w:rsidP="002665C4">
      <w:pPr>
        <w:pStyle w:val="SingleTxt"/>
      </w:pPr>
      <w:r w:rsidRPr="002665C4">
        <w:t>164.</w:t>
      </w:r>
      <w:r w:rsidRPr="002665C4">
        <w:tab/>
        <w:t>Стенды с заключительными замечаниями были выставлены в торговых центрах, их также выставляли в школах, различных государственных учрежд</w:t>
      </w:r>
      <w:r w:rsidRPr="002665C4">
        <w:t>е</w:t>
      </w:r>
      <w:r w:rsidRPr="002665C4">
        <w:t>ниях и на мероприятиях. НПО занимались заключительными замечаниями совместно с правительством.</w:t>
      </w:r>
    </w:p>
    <w:p w:rsidR="002665C4" w:rsidRPr="002665C4" w:rsidRDefault="002665C4" w:rsidP="002665C4">
      <w:pPr>
        <w:pStyle w:val="SingleTxt"/>
        <w:spacing w:after="0" w:line="240" w:lineRule="auto"/>
      </w:pPr>
      <w:r>
        <w:rPr>
          <w:noProof/>
          <w:w w:val="100"/>
          <w:lang w:val="en-US"/>
        </w:rPr>
        <w:pict>
          <v:line id="_x0000_s1026" style="position:absolute;left:0;text-align:left;z-index:1" from="210.2pt,30pt" to="282.2pt,30pt" strokecolor="#010000" strokeweight=".25pt"/>
        </w:pict>
      </w:r>
    </w:p>
    <w:sectPr w:rsidR="002665C4" w:rsidRPr="002665C4" w:rsidSect="00B87751">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4T16:27:00Z" w:initials="Start">
    <w:p w:rsidR="00B87751" w:rsidRPr="002665C4" w:rsidRDefault="00B87751">
      <w:pPr>
        <w:pStyle w:val="CommentText"/>
        <w:rPr>
          <w:lang w:val="en-US"/>
        </w:rPr>
      </w:pPr>
      <w:r>
        <w:fldChar w:fldCharType="begin"/>
      </w:r>
      <w:r w:rsidRPr="002665C4">
        <w:rPr>
          <w:rStyle w:val="CommentReference"/>
          <w:lang w:val="en-US"/>
        </w:rPr>
        <w:instrText xml:space="preserve"> </w:instrText>
      </w:r>
      <w:r w:rsidRPr="002665C4">
        <w:rPr>
          <w:lang w:val="en-US"/>
        </w:rPr>
        <w:instrText>PAGE \# "'Page: '#'</w:instrText>
      </w:r>
      <w:r w:rsidRPr="002665C4">
        <w:rPr>
          <w:lang w:val="en-US"/>
        </w:rPr>
        <w:br/>
        <w:instrText>'"</w:instrText>
      </w:r>
      <w:r w:rsidRPr="002665C4">
        <w:rPr>
          <w:rStyle w:val="CommentReference"/>
          <w:lang w:val="en-US"/>
        </w:rPr>
        <w:instrText xml:space="preserve"> </w:instrText>
      </w:r>
      <w:r>
        <w:fldChar w:fldCharType="end"/>
      </w:r>
      <w:r>
        <w:rPr>
          <w:rStyle w:val="CommentReference"/>
        </w:rPr>
        <w:annotationRef/>
      </w:r>
      <w:r w:rsidRPr="002665C4">
        <w:rPr>
          <w:lang w:val="en-US"/>
        </w:rPr>
        <w:t>&lt;&lt;ODS JOB NO&gt;&gt;N1505579R&lt;&lt;ODS JOB NO&gt;&gt;</w:t>
      </w:r>
    </w:p>
    <w:p w:rsidR="00B87751" w:rsidRPr="002665C4" w:rsidRDefault="00B87751">
      <w:pPr>
        <w:pStyle w:val="CommentText"/>
        <w:rPr>
          <w:lang w:val="en-US"/>
        </w:rPr>
      </w:pPr>
      <w:r w:rsidRPr="002665C4">
        <w:rPr>
          <w:lang w:val="en-US"/>
        </w:rPr>
        <w:t>&lt;&lt;ODS DOC SYMBOL1&gt;&gt;CEDAW/C/PHL/7-8&lt;&lt;ODS DOC SYMBOL1&gt;&gt;</w:t>
      </w:r>
    </w:p>
    <w:p w:rsidR="00B87751" w:rsidRPr="002665C4" w:rsidRDefault="00B87751">
      <w:pPr>
        <w:pStyle w:val="CommentText"/>
        <w:rPr>
          <w:lang w:val="en-US"/>
        </w:rPr>
      </w:pPr>
      <w:r w:rsidRPr="002665C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7A8" w:rsidRDefault="006747A8" w:rsidP="008A1A7A">
      <w:pPr>
        <w:spacing w:line="240" w:lineRule="auto"/>
      </w:pPr>
      <w:r>
        <w:separator/>
      </w:r>
    </w:p>
  </w:endnote>
  <w:endnote w:type="continuationSeparator" w:id="0">
    <w:p w:rsidR="006747A8" w:rsidRDefault="006747A8"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B87751" w:rsidTr="00B87751">
      <w:tblPrEx>
        <w:tblCellMar>
          <w:top w:w="0" w:type="dxa"/>
          <w:bottom w:w="0" w:type="dxa"/>
        </w:tblCellMar>
      </w:tblPrEx>
      <w:tc>
        <w:tcPr>
          <w:tcW w:w="5028" w:type="dxa"/>
          <w:shd w:val="clear" w:color="auto" w:fill="auto"/>
          <w:vAlign w:val="bottom"/>
        </w:tcPr>
        <w:p w:rsidR="00B87751" w:rsidRPr="000A1A53" w:rsidRDefault="00B87751" w:rsidP="00B87751">
          <w:pPr>
            <w:pStyle w:val="Footer"/>
            <w:rPr>
              <w:color w:val="000000"/>
              <w:szCs w:val="22"/>
              <w:lang w:eastAsia="en-US"/>
            </w:rPr>
          </w:pPr>
          <w:r w:rsidRPr="000A1A53">
            <w:rPr>
              <w:szCs w:val="22"/>
              <w:lang w:eastAsia="en-US"/>
            </w:rPr>
            <w:fldChar w:fldCharType="begin"/>
          </w:r>
          <w:r w:rsidRPr="000A1A53">
            <w:rPr>
              <w:szCs w:val="22"/>
              <w:lang w:eastAsia="en-US"/>
            </w:rPr>
            <w:instrText xml:space="preserve"> PAGE  \* Arabic  \* MERGEFORMAT </w:instrText>
          </w:r>
          <w:r w:rsidRPr="000A1A53">
            <w:rPr>
              <w:szCs w:val="22"/>
              <w:lang w:eastAsia="en-US"/>
            </w:rPr>
            <w:fldChar w:fldCharType="separate"/>
          </w:r>
          <w:r w:rsidR="00EA0638" w:rsidRPr="000A1A53">
            <w:rPr>
              <w:noProof/>
              <w:szCs w:val="22"/>
              <w:lang w:eastAsia="en-US"/>
            </w:rPr>
            <w:t>44</w:t>
          </w:r>
          <w:r w:rsidRPr="000A1A53">
            <w:rPr>
              <w:szCs w:val="22"/>
              <w:lang w:eastAsia="en-US"/>
            </w:rPr>
            <w:fldChar w:fldCharType="end"/>
          </w:r>
          <w:r w:rsidRPr="000A1A53">
            <w:rPr>
              <w:szCs w:val="22"/>
              <w:lang w:eastAsia="en-US"/>
            </w:rPr>
            <w:t>/</w:t>
          </w:r>
          <w:fldSimple w:instr=" NUMPAGES  \* Arabic  \* MERGEFORMAT ">
            <w:r w:rsidR="00EA0638" w:rsidRPr="000A1A53">
              <w:rPr>
                <w:noProof/>
                <w:szCs w:val="22"/>
                <w:lang w:eastAsia="en-US"/>
              </w:rPr>
              <w:t>45</w:t>
            </w:r>
          </w:fldSimple>
        </w:p>
      </w:tc>
      <w:tc>
        <w:tcPr>
          <w:tcW w:w="5028" w:type="dxa"/>
          <w:shd w:val="clear" w:color="auto" w:fill="auto"/>
          <w:vAlign w:val="bottom"/>
        </w:tcPr>
        <w:p w:rsidR="00B87751" w:rsidRPr="000A1A53" w:rsidRDefault="00B87751" w:rsidP="00B87751">
          <w:pPr>
            <w:pStyle w:val="Footer"/>
            <w:jc w:val="right"/>
            <w:rPr>
              <w:b w:val="0"/>
              <w:color w:val="000000"/>
              <w:sz w:val="14"/>
              <w:szCs w:val="22"/>
              <w:lang w:val="en-US" w:eastAsia="en-US"/>
            </w:rPr>
          </w:pPr>
          <w:fldSimple w:instr=" DOCVARIABLE &quot;FooterJN&quot; \* MERGEFORMAT ">
            <w:r w:rsidR="00EA0638" w:rsidRPr="000A1A53">
              <w:rPr>
                <w:b w:val="0"/>
                <w:color w:val="000000"/>
                <w:sz w:val="14"/>
                <w:szCs w:val="22"/>
                <w:lang w:eastAsia="en-US"/>
              </w:rPr>
              <w:t>15-03079</w:t>
            </w:r>
          </w:fldSimple>
          <w:r w:rsidR="002665C4" w:rsidRPr="000A1A53">
            <w:rPr>
              <w:b w:val="0"/>
              <w:color w:val="000000"/>
              <w:sz w:val="14"/>
              <w:szCs w:val="22"/>
              <w:lang w:val="en-US" w:eastAsia="en-US"/>
            </w:rPr>
            <w:t xml:space="preserve"> X</w:t>
          </w:r>
        </w:p>
      </w:tc>
    </w:tr>
  </w:tbl>
  <w:p w:rsidR="00B87751" w:rsidRPr="00B87751" w:rsidRDefault="00B87751" w:rsidP="00B8775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B87751" w:rsidTr="00B87751">
      <w:tblPrEx>
        <w:tblCellMar>
          <w:top w:w="0" w:type="dxa"/>
          <w:bottom w:w="0" w:type="dxa"/>
        </w:tblCellMar>
      </w:tblPrEx>
      <w:tc>
        <w:tcPr>
          <w:tcW w:w="5028" w:type="dxa"/>
          <w:shd w:val="clear" w:color="auto" w:fill="auto"/>
          <w:vAlign w:val="bottom"/>
        </w:tcPr>
        <w:p w:rsidR="00B87751" w:rsidRPr="000A1A53" w:rsidRDefault="00B87751" w:rsidP="00B87751">
          <w:pPr>
            <w:pStyle w:val="Footer"/>
            <w:rPr>
              <w:b w:val="0"/>
              <w:color w:val="000000"/>
              <w:sz w:val="14"/>
              <w:szCs w:val="22"/>
              <w:lang w:eastAsia="en-US"/>
            </w:rPr>
          </w:pPr>
          <w:fldSimple w:instr=" DOCVARIABLE &quot;FooterJN&quot; \* MERGEFORMAT ">
            <w:r w:rsidR="00EA0638" w:rsidRPr="000A1A53">
              <w:rPr>
                <w:b w:val="0"/>
                <w:color w:val="000000"/>
                <w:sz w:val="14"/>
                <w:szCs w:val="22"/>
                <w:lang w:eastAsia="en-US"/>
              </w:rPr>
              <w:t>15-03079</w:t>
            </w:r>
          </w:fldSimple>
          <w:r w:rsidR="002665C4" w:rsidRPr="000A1A53">
            <w:rPr>
              <w:b w:val="0"/>
              <w:color w:val="000000"/>
              <w:sz w:val="14"/>
              <w:szCs w:val="22"/>
              <w:lang w:eastAsia="en-US"/>
            </w:rPr>
            <w:t xml:space="preserve"> </w:t>
          </w:r>
          <w:r w:rsidR="002665C4" w:rsidRPr="000A1A53">
            <w:rPr>
              <w:b w:val="0"/>
              <w:color w:val="000000"/>
              <w:sz w:val="14"/>
              <w:szCs w:val="22"/>
              <w:lang w:val="en-US" w:eastAsia="en-US"/>
            </w:rPr>
            <w:t>X</w:t>
          </w:r>
        </w:p>
      </w:tc>
      <w:tc>
        <w:tcPr>
          <w:tcW w:w="5028" w:type="dxa"/>
          <w:shd w:val="clear" w:color="auto" w:fill="auto"/>
          <w:vAlign w:val="bottom"/>
        </w:tcPr>
        <w:p w:rsidR="00B87751" w:rsidRPr="000A1A53" w:rsidRDefault="00B87751" w:rsidP="00B87751">
          <w:pPr>
            <w:pStyle w:val="Footer"/>
            <w:jc w:val="right"/>
            <w:rPr>
              <w:szCs w:val="22"/>
              <w:lang w:eastAsia="en-US"/>
            </w:rPr>
          </w:pPr>
          <w:r w:rsidRPr="000A1A53">
            <w:rPr>
              <w:szCs w:val="22"/>
              <w:lang w:eastAsia="en-US"/>
            </w:rPr>
            <w:fldChar w:fldCharType="begin"/>
          </w:r>
          <w:r w:rsidRPr="000A1A53">
            <w:rPr>
              <w:szCs w:val="22"/>
              <w:lang w:eastAsia="en-US"/>
            </w:rPr>
            <w:instrText xml:space="preserve"> PAGE  \* Arabic  \* MERGEFORMAT </w:instrText>
          </w:r>
          <w:r w:rsidRPr="000A1A53">
            <w:rPr>
              <w:szCs w:val="22"/>
              <w:lang w:eastAsia="en-US"/>
            </w:rPr>
            <w:fldChar w:fldCharType="separate"/>
          </w:r>
          <w:r w:rsidR="00EA0638" w:rsidRPr="000A1A53">
            <w:rPr>
              <w:noProof/>
              <w:szCs w:val="22"/>
              <w:lang w:eastAsia="en-US"/>
            </w:rPr>
            <w:t>45</w:t>
          </w:r>
          <w:r w:rsidRPr="000A1A53">
            <w:rPr>
              <w:szCs w:val="22"/>
              <w:lang w:eastAsia="en-US"/>
            </w:rPr>
            <w:fldChar w:fldCharType="end"/>
          </w:r>
          <w:r w:rsidRPr="000A1A53">
            <w:rPr>
              <w:szCs w:val="22"/>
              <w:lang w:eastAsia="en-US"/>
            </w:rPr>
            <w:t>/</w:t>
          </w:r>
          <w:fldSimple w:instr=" NUMPAGES  \* Arabic  \* MERGEFORMAT ">
            <w:r w:rsidR="00EA0638" w:rsidRPr="000A1A53">
              <w:rPr>
                <w:noProof/>
                <w:szCs w:val="22"/>
                <w:lang w:eastAsia="en-US"/>
              </w:rPr>
              <w:t>45</w:t>
            </w:r>
          </w:fldSimple>
        </w:p>
      </w:tc>
    </w:tr>
  </w:tbl>
  <w:p w:rsidR="00B87751" w:rsidRPr="00B87751" w:rsidRDefault="00B87751" w:rsidP="00B8775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751" w:rsidRDefault="00B87751">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4pt;margin-top:683.3pt;width:54.7pt;height:54.7pt;z-index:1;mso-position-horizontal-relative:page;mso-position-vertical-relative:page">
          <v:imagedata r:id="rId1" o:title="7-8&amp;Size =1&amp;Lang = R"/>
          <w10:wrap anchorx="page" anchory="page"/>
        </v:shape>
      </w:pict>
    </w:r>
  </w:p>
  <w:tbl>
    <w:tblPr>
      <w:tblW w:w="0" w:type="auto"/>
      <w:tblLayout w:type="fixed"/>
      <w:tblLook w:val="0000"/>
    </w:tblPr>
    <w:tblGrid>
      <w:gridCol w:w="3830"/>
      <w:gridCol w:w="5028"/>
    </w:tblGrid>
    <w:tr w:rsidR="00B87751" w:rsidTr="00B87751">
      <w:tblPrEx>
        <w:tblCellMar>
          <w:top w:w="0" w:type="dxa"/>
          <w:bottom w:w="0" w:type="dxa"/>
        </w:tblCellMar>
      </w:tblPrEx>
      <w:tc>
        <w:tcPr>
          <w:tcW w:w="3830" w:type="dxa"/>
        </w:tcPr>
        <w:p w:rsidR="00B87751" w:rsidRDefault="00B87751" w:rsidP="00B87751">
          <w:pPr>
            <w:pStyle w:val="ReleaseDate"/>
            <w:rPr>
              <w:color w:val="010000"/>
            </w:rPr>
          </w:pPr>
          <w:r>
            <w:t xml:space="preserve">15-03079 </w:t>
          </w:r>
          <w:r w:rsidR="002665C4">
            <w:rPr>
              <w:lang w:val="en-US"/>
            </w:rPr>
            <w:t xml:space="preserve">X </w:t>
          </w:r>
          <w:r>
            <w:t>(R)</w:t>
          </w:r>
          <w:r>
            <w:rPr>
              <w:color w:val="010000"/>
            </w:rPr>
            <w:t xml:space="preserve">    040515    040515</w:t>
          </w:r>
        </w:p>
        <w:p w:rsidR="00B87751" w:rsidRPr="00B87751" w:rsidRDefault="00B87751" w:rsidP="00B87751">
          <w:pPr>
            <w:spacing w:before="80" w:line="210" w:lineRule="exact"/>
            <w:rPr>
              <w:rFonts w:ascii="Barcode 3 of 9 by request" w:hAnsi="Barcode 3 of 9 by request"/>
              <w:w w:val="100"/>
              <w:sz w:val="24"/>
            </w:rPr>
          </w:pPr>
          <w:r>
            <w:rPr>
              <w:rFonts w:ascii="Barcode 3 of 9 by request" w:hAnsi="Barcode 3 of 9 by request"/>
              <w:w w:val="100"/>
              <w:sz w:val="24"/>
            </w:rPr>
            <w:t>*1503079(R)*</w:t>
          </w:r>
        </w:p>
      </w:tc>
      <w:tc>
        <w:tcPr>
          <w:tcW w:w="5028" w:type="dxa"/>
        </w:tcPr>
        <w:p w:rsidR="00B87751" w:rsidRPr="000A1A53" w:rsidRDefault="00B87751" w:rsidP="00B87751">
          <w:pPr>
            <w:pStyle w:val="Footer"/>
            <w:spacing w:line="240" w:lineRule="atLeast"/>
            <w:jc w:val="right"/>
            <w:rPr>
              <w:b w:val="0"/>
              <w:sz w:val="20"/>
              <w:szCs w:val="22"/>
              <w:lang w:eastAsia="en-US"/>
            </w:rPr>
          </w:pPr>
          <w:r w:rsidRPr="000A1A53">
            <w:rPr>
              <w:b w:val="0"/>
              <w:sz w:val="20"/>
              <w:szCs w:val="22"/>
              <w:lang w:eastAsia="en-US"/>
            </w:rPr>
            <w:pict>
              <v:shape id="_x0000_i1026" type="#_x0000_t75" style="width:213pt;height:18pt">
                <v:imagedata r:id="rId2" o:title="recycle_Russian"/>
              </v:shape>
            </w:pict>
          </w:r>
        </w:p>
      </w:tc>
    </w:tr>
  </w:tbl>
  <w:p w:rsidR="00B87751" w:rsidRPr="00B87751" w:rsidRDefault="00B87751" w:rsidP="00B8775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7A8" w:rsidRPr="002665C4" w:rsidRDefault="006747A8" w:rsidP="002665C4">
      <w:pPr>
        <w:pStyle w:val="Footer"/>
        <w:spacing w:after="80"/>
        <w:ind w:left="792"/>
        <w:rPr>
          <w:sz w:val="16"/>
        </w:rPr>
      </w:pPr>
      <w:r w:rsidRPr="002665C4">
        <w:rPr>
          <w:sz w:val="16"/>
        </w:rPr>
        <w:t>__________________</w:t>
      </w:r>
    </w:p>
  </w:footnote>
  <w:footnote w:type="continuationSeparator" w:id="0">
    <w:p w:rsidR="006747A8" w:rsidRPr="002665C4" w:rsidRDefault="006747A8" w:rsidP="002665C4">
      <w:pPr>
        <w:pStyle w:val="Footer"/>
        <w:spacing w:after="80"/>
        <w:ind w:left="792"/>
        <w:rPr>
          <w:sz w:val="16"/>
        </w:rPr>
      </w:pPr>
      <w:r w:rsidRPr="002665C4">
        <w:rPr>
          <w:sz w:val="16"/>
        </w:rPr>
        <w:t>__________________</w:t>
      </w:r>
    </w:p>
  </w:footnote>
  <w:footnote w:id="1">
    <w:p w:rsidR="002665C4" w:rsidRPr="002665C4" w:rsidRDefault="002665C4" w:rsidP="002665C4">
      <w:pPr>
        <w:pStyle w:val="FootnoteText"/>
        <w:tabs>
          <w:tab w:val="right" w:pos="1195"/>
          <w:tab w:val="left" w:pos="1267"/>
          <w:tab w:val="left" w:pos="1742"/>
          <w:tab w:val="left" w:pos="2218"/>
          <w:tab w:val="left" w:pos="2693"/>
        </w:tabs>
        <w:ind w:left="1267" w:right="1260" w:hanging="432"/>
      </w:pPr>
      <w:r w:rsidRPr="002665C4">
        <w:rPr>
          <w:rStyle w:val="FootnoteReference"/>
        </w:rPr>
        <w:tab/>
      </w:r>
      <w:r>
        <w:rPr>
          <w:rStyle w:val="FootnoteReference"/>
        </w:rPr>
        <w:t>*</w:t>
      </w:r>
      <w:r w:rsidRPr="002665C4">
        <w:tab/>
        <w:t>Настоящий документ выпускается без официального редактирования.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87751" w:rsidTr="00B87751">
      <w:tblPrEx>
        <w:tblCellMar>
          <w:top w:w="0" w:type="dxa"/>
          <w:bottom w:w="0" w:type="dxa"/>
        </w:tblCellMar>
      </w:tblPrEx>
      <w:trPr>
        <w:trHeight w:hRule="exact" w:val="864"/>
      </w:trPr>
      <w:tc>
        <w:tcPr>
          <w:tcW w:w="4838" w:type="dxa"/>
          <w:shd w:val="clear" w:color="auto" w:fill="auto"/>
          <w:vAlign w:val="bottom"/>
        </w:tcPr>
        <w:p w:rsidR="00B87751" w:rsidRPr="000A1A53" w:rsidRDefault="00B87751" w:rsidP="00B87751">
          <w:pPr>
            <w:pStyle w:val="Header"/>
            <w:spacing w:after="80"/>
            <w:rPr>
              <w:b/>
              <w:szCs w:val="22"/>
              <w:lang w:eastAsia="en-US"/>
            </w:rPr>
          </w:pPr>
          <w:fldSimple w:instr=" DOCVARIABLE &quot;sss1&quot; \* MERGEFORMAT ">
            <w:r w:rsidR="00EA0638" w:rsidRPr="000A1A53">
              <w:rPr>
                <w:b/>
                <w:szCs w:val="22"/>
                <w:lang w:eastAsia="en-US"/>
              </w:rPr>
              <w:t>CEDAW/C/PHL/7-8</w:t>
            </w:r>
          </w:fldSimple>
        </w:p>
      </w:tc>
      <w:tc>
        <w:tcPr>
          <w:tcW w:w="5028" w:type="dxa"/>
          <w:shd w:val="clear" w:color="auto" w:fill="auto"/>
          <w:vAlign w:val="bottom"/>
        </w:tcPr>
        <w:p w:rsidR="00B87751" w:rsidRPr="000A1A53" w:rsidRDefault="00B87751" w:rsidP="00B87751">
          <w:pPr>
            <w:pStyle w:val="Header"/>
            <w:rPr>
              <w:szCs w:val="22"/>
              <w:lang w:eastAsia="en-US"/>
            </w:rPr>
          </w:pPr>
        </w:p>
      </w:tc>
    </w:tr>
  </w:tbl>
  <w:p w:rsidR="00B87751" w:rsidRPr="00B87751" w:rsidRDefault="00B87751" w:rsidP="00B8775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87751" w:rsidTr="00B87751">
      <w:tblPrEx>
        <w:tblCellMar>
          <w:top w:w="0" w:type="dxa"/>
          <w:bottom w:w="0" w:type="dxa"/>
        </w:tblCellMar>
      </w:tblPrEx>
      <w:trPr>
        <w:trHeight w:hRule="exact" w:val="864"/>
      </w:trPr>
      <w:tc>
        <w:tcPr>
          <w:tcW w:w="4838" w:type="dxa"/>
          <w:shd w:val="clear" w:color="auto" w:fill="auto"/>
          <w:vAlign w:val="bottom"/>
        </w:tcPr>
        <w:p w:rsidR="00B87751" w:rsidRPr="000A1A53" w:rsidRDefault="00B87751" w:rsidP="00B87751">
          <w:pPr>
            <w:pStyle w:val="Header"/>
            <w:rPr>
              <w:szCs w:val="22"/>
              <w:lang w:eastAsia="en-US"/>
            </w:rPr>
          </w:pPr>
        </w:p>
      </w:tc>
      <w:tc>
        <w:tcPr>
          <w:tcW w:w="5028" w:type="dxa"/>
          <w:shd w:val="clear" w:color="auto" w:fill="auto"/>
          <w:vAlign w:val="bottom"/>
        </w:tcPr>
        <w:p w:rsidR="00B87751" w:rsidRPr="000A1A53" w:rsidRDefault="00B87751" w:rsidP="00B87751">
          <w:pPr>
            <w:pStyle w:val="Header"/>
            <w:spacing w:after="80"/>
            <w:jc w:val="right"/>
            <w:rPr>
              <w:b/>
              <w:szCs w:val="22"/>
              <w:lang w:eastAsia="en-US"/>
            </w:rPr>
          </w:pPr>
          <w:fldSimple w:instr=" DOCVARIABLE &quot;sss1&quot; \* MERGEFORMAT ">
            <w:r w:rsidR="00EA0638" w:rsidRPr="000A1A53">
              <w:rPr>
                <w:b/>
                <w:szCs w:val="22"/>
                <w:lang w:eastAsia="en-US"/>
              </w:rPr>
              <w:t>CEDAW/C/PHL/7-8</w:t>
            </w:r>
          </w:fldSimple>
        </w:p>
      </w:tc>
    </w:tr>
  </w:tbl>
  <w:p w:rsidR="00B87751" w:rsidRPr="00B87751" w:rsidRDefault="00B87751" w:rsidP="00B8775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3154"/>
      <w:gridCol w:w="245"/>
      <w:gridCol w:w="1828"/>
      <w:gridCol w:w="245"/>
      <w:gridCol w:w="3140"/>
      <w:gridCol w:w="40"/>
    </w:tblGrid>
    <w:tr w:rsidR="00B87751" w:rsidTr="00B87751">
      <w:tblPrEx>
        <w:tblCellMar>
          <w:top w:w="0" w:type="dxa"/>
          <w:bottom w:w="0" w:type="dxa"/>
        </w:tblCellMar>
      </w:tblPrEx>
      <w:trPr>
        <w:gridAfter w:val="1"/>
        <w:wAfter w:w="40" w:type="dxa"/>
        <w:trHeight w:hRule="exact" w:val="864"/>
      </w:trPr>
      <w:tc>
        <w:tcPr>
          <w:tcW w:w="4421" w:type="dxa"/>
          <w:gridSpan w:val="2"/>
          <w:tcBorders>
            <w:bottom w:val="single" w:sz="4" w:space="0" w:color="auto"/>
          </w:tcBorders>
          <w:shd w:val="clear" w:color="auto" w:fill="auto"/>
          <w:vAlign w:val="bottom"/>
        </w:tcPr>
        <w:p w:rsidR="00B87751" w:rsidRPr="00B87751" w:rsidRDefault="00B87751" w:rsidP="00B87751">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B87751" w:rsidRPr="000A1A53" w:rsidRDefault="00B87751" w:rsidP="00B87751">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B87751" w:rsidRPr="000A1A53" w:rsidRDefault="00B87751" w:rsidP="00B87751">
          <w:pPr>
            <w:pStyle w:val="Header"/>
            <w:spacing w:after="20"/>
            <w:jc w:val="right"/>
            <w:rPr>
              <w:sz w:val="20"/>
              <w:szCs w:val="22"/>
              <w:lang w:eastAsia="en-US"/>
            </w:rPr>
          </w:pPr>
          <w:r w:rsidRPr="000A1A53">
            <w:rPr>
              <w:sz w:val="40"/>
              <w:szCs w:val="22"/>
              <w:lang w:eastAsia="en-US"/>
            </w:rPr>
            <w:t>CEDAW</w:t>
          </w:r>
          <w:r w:rsidRPr="000A1A53">
            <w:rPr>
              <w:sz w:val="20"/>
              <w:szCs w:val="22"/>
              <w:lang w:eastAsia="en-US"/>
            </w:rPr>
            <w:t>/C/PHL/7-8</w:t>
          </w:r>
        </w:p>
      </w:tc>
    </w:tr>
    <w:tr w:rsidR="00B87751" w:rsidRPr="002665C4" w:rsidTr="00B877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87751" w:rsidRPr="000A1A53" w:rsidRDefault="00B87751" w:rsidP="00B87751">
          <w:pPr>
            <w:pStyle w:val="Header"/>
            <w:spacing w:before="109"/>
            <w:rPr>
              <w:szCs w:val="22"/>
              <w:lang w:eastAsia="en-US"/>
            </w:rPr>
          </w:pPr>
          <w:r w:rsidRPr="000A1A53">
            <w:rPr>
              <w:szCs w:val="22"/>
              <w:lang w:eastAsia="en-US"/>
            </w:rPr>
            <w:t xml:space="preserve"> </w:t>
          </w:r>
          <w:r w:rsidRPr="000A1A53">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87751" w:rsidRPr="00B87751" w:rsidRDefault="00B87751" w:rsidP="00B87751">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B87751" w:rsidRPr="000A1A53" w:rsidRDefault="00B87751" w:rsidP="00B87751">
          <w:pPr>
            <w:pStyle w:val="Header"/>
            <w:spacing w:before="109"/>
            <w:rPr>
              <w:szCs w:val="22"/>
              <w:lang w:eastAsia="en-US"/>
            </w:rPr>
          </w:pPr>
        </w:p>
      </w:tc>
      <w:tc>
        <w:tcPr>
          <w:tcW w:w="3180" w:type="dxa"/>
          <w:gridSpan w:val="2"/>
          <w:tcBorders>
            <w:top w:val="single" w:sz="4" w:space="0" w:color="auto"/>
            <w:bottom w:val="single" w:sz="12" w:space="0" w:color="auto"/>
          </w:tcBorders>
          <w:shd w:val="clear" w:color="auto" w:fill="auto"/>
        </w:tcPr>
        <w:p w:rsidR="00B87751" w:rsidRPr="002665C4" w:rsidRDefault="00B87751" w:rsidP="00B87751">
          <w:pPr>
            <w:pStyle w:val="Distribution"/>
            <w:rPr>
              <w:color w:val="000000"/>
              <w:lang w:val="en-US"/>
            </w:rPr>
          </w:pPr>
          <w:r w:rsidRPr="002665C4">
            <w:rPr>
              <w:color w:val="000000"/>
              <w:lang w:val="en-US"/>
            </w:rPr>
            <w:t>Distr.: General</w:t>
          </w:r>
        </w:p>
        <w:p w:rsidR="00B87751" w:rsidRPr="002665C4" w:rsidRDefault="00B87751" w:rsidP="00B87751">
          <w:pPr>
            <w:pStyle w:val="Publication"/>
            <w:rPr>
              <w:color w:val="000000"/>
              <w:lang w:val="en-US"/>
            </w:rPr>
          </w:pPr>
          <w:r w:rsidRPr="002665C4">
            <w:rPr>
              <w:color w:val="000000"/>
              <w:lang w:val="en-US"/>
            </w:rPr>
            <w:t>2 March 2015</w:t>
          </w:r>
        </w:p>
        <w:p w:rsidR="00B87751" w:rsidRPr="002665C4" w:rsidRDefault="00B87751" w:rsidP="00B87751">
          <w:pPr>
            <w:rPr>
              <w:color w:val="000000"/>
              <w:lang w:val="en-US"/>
            </w:rPr>
          </w:pPr>
          <w:r w:rsidRPr="002665C4">
            <w:rPr>
              <w:color w:val="000000"/>
              <w:lang w:val="en-US"/>
            </w:rPr>
            <w:t>Russian</w:t>
          </w:r>
        </w:p>
        <w:p w:rsidR="00B87751" w:rsidRPr="002665C4" w:rsidRDefault="00B87751" w:rsidP="00B87751">
          <w:pPr>
            <w:pStyle w:val="Original"/>
            <w:rPr>
              <w:color w:val="000000"/>
              <w:lang w:val="en-US"/>
            </w:rPr>
          </w:pPr>
          <w:r w:rsidRPr="002665C4">
            <w:rPr>
              <w:color w:val="000000"/>
              <w:lang w:val="en-US"/>
            </w:rPr>
            <w:t>Original: English</w:t>
          </w:r>
        </w:p>
        <w:p w:rsidR="00B87751" w:rsidRPr="002665C4" w:rsidRDefault="00B87751" w:rsidP="00B87751">
          <w:pPr>
            <w:rPr>
              <w:lang w:val="en-US"/>
            </w:rPr>
          </w:pPr>
        </w:p>
      </w:tc>
    </w:tr>
  </w:tbl>
  <w:p w:rsidR="00B87751" w:rsidRPr="002665C4" w:rsidRDefault="00B87751" w:rsidP="00B87751">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B975E77"/>
    <w:multiLevelType w:val="singleLevel"/>
    <w:tmpl w:val="6C6CD296"/>
    <w:lvl w:ilvl="0">
      <w:start w:val="1"/>
      <w:numFmt w:val="decimal"/>
      <w:lvlRestart w:val="0"/>
      <w:lvlText w:val="%1."/>
      <w:lvlJc w:val="left"/>
      <w:pPr>
        <w:tabs>
          <w:tab w:val="num" w:pos="475"/>
        </w:tabs>
        <w:ind w:left="0" w:firstLine="0"/>
      </w:pPr>
      <w:rPr>
        <w:spacing w:val="0"/>
        <w:w w:val="100"/>
      </w:rPr>
    </w:lvl>
  </w:abstractNum>
  <w:abstractNum w:abstractNumId="6">
    <w:nsid w:val="19CF6117"/>
    <w:multiLevelType w:val="singleLevel"/>
    <w:tmpl w:val="6C6CD296"/>
    <w:lvl w:ilvl="0">
      <w:start w:val="1"/>
      <w:numFmt w:val="decimal"/>
      <w:lvlRestart w:val="0"/>
      <w:lvlText w:val="%1."/>
      <w:lvlJc w:val="left"/>
      <w:pPr>
        <w:tabs>
          <w:tab w:val="num" w:pos="475"/>
        </w:tabs>
        <w:ind w:left="0" w:firstLine="0"/>
      </w:pPr>
      <w:rPr>
        <w:spacing w:val="0"/>
        <w:w w:val="100"/>
      </w:rPr>
    </w:lvl>
  </w:abstractNum>
  <w:abstractNum w:abstractNumId="7">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8">
    <w:nsid w:val="32286F25"/>
    <w:multiLevelType w:val="singleLevel"/>
    <w:tmpl w:val="6C6CD296"/>
    <w:lvl w:ilvl="0">
      <w:start w:val="1"/>
      <w:numFmt w:val="decimal"/>
      <w:lvlRestart w:val="0"/>
      <w:lvlText w:val="%1."/>
      <w:lvlJc w:val="left"/>
      <w:pPr>
        <w:tabs>
          <w:tab w:val="num" w:pos="475"/>
        </w:tabs>
        <w:ind w:left="0" w:firstLine="0"/>
      </w:pPr>
      <w:rPr>
        <w:spacing w:val="0"/>
        <w:w w:val="100"/>
      </w:rPr>
    </w:lvl>
  </w:abstractNum>
  <w:abstractNum w:abstractNumId="9">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60305E"/>
    <w:multiLevelType w:val="singleLevel"/>
    <w:tmpl w:val="6C6CD296"/>
    <w:lvl w:ilvl="0">
      <w:start w:val="1"/>
      <w:numFmt w:val="decimal"/>
      <w:lvlRestart w:val="0"/>
      <w:lvlText w:val="%1."/>
      <w:lvlJc w:val="left"/>
      <w:pPr>
        <w:tabs>
          <w:tab w:val="num" w:pos="475"/>
        </w:tabs>
        <w:ind w:left="0" w:firstLine="0"/>
      </w:pPr>
      <w:rPr>
        <w:spacing w:val="0"/>
        <w:w w:val="100"/>
      </w:rPr>
    </w:lvl>
  </w:abstractNum>
  <w:abstractNum w:abstractNumId="11">
    <w:nsid w:val="583F2EB3"/>
    <w:multiLevelType w:val="singleLevel"/>
    <w:tmpl w:val="6C6CD296"/>
    <w:lvl w:ilvl="0">
      <w:start w:val="1"/>
      <w:numFmt w:val="decimal"/>
      <w:lvlRestart w:val="0"/>
      <w:lvlText w:val="%1."/>
      <w:lvlJc w:val="left"/>
      <w:pPr>
        <w:tabs>
          <w:tab w:val="num" w:pos="475"/>
        </w:tabs>
        <w:ind w:left="0" w:firstLine="0"/>
      </w:pPr>
      <w:rPr>
        <w:spacing w:val="0"/>
        <w:w w:val="100"/>
      </w:rPr>
    </w:lvl>
  </w:abstractNum>
  <w:abstractNum w:abstractNumId="12">
    <w:nsid w:val="681076A5"/>
    <w:multiLevelType w:val="singleLevel"/>
    <w:tmpl w:val="6C6CD296"/>
    <w:lvl w:ilvl="0">
      <w:start w:val="1"/>
      <w:numFmt w:val="decimal"/>
      <w:lvlRestart w:val="0"/>
      <w:lvlText w:val="%1."/>
      <w:lvlJc w:val="left"/>
      <w:pPr>
        <w:tabs>
          <w:tab w:val="num" w:pos="475"/>
        </w:tabs>
        <w:ind w:left="0" w:firstLine="0"/>
      </w:pPr>
      <w:rPr>
        <w:spacing w:val="0"/>
        <w:w w:val="100"/>
      </w:rPr>
    </w:lvl>
  </w:abstractNum>
  <w:num w:numId="1">
    <w:abstractNumId w:val="7"/>
  </w:num>
  <w:num w:numId="2">
    <w:abstractNumId w:val="9"/>
  </w:num>
  <w:num w:numId="3">
    <w:abstractNumId w:val="4"/>
  </w:num>
  <w:num w:numId="4">
    <w:abstractNumId w:val="3"/>
  </w:num>
  <w:num w:numId="5">
    <w:abstractNumId w:val="2"/>
  </w:num>
  <w:num w:numId="6">
    <w:abstractNumId w:val="1"/>
  </w:num>
  <w:num w:numId="7">
    <w:abstractNumId w:val="0"/>
  </w:num>
  <w:num w:numId="8">
    <w:abstractNumId w:val="10"/>
  </w:num>
  <w:num w:numId="9">
    <w:abstractNumId w:val="11"/>
  </w:num>
  <w:num w:numId="10">
    <w:abstractNumId w:val="5"/>
  </w:num>
  <w:num w:numId="11">
    <w:abstractNumId w:val="8"/>
  </w:num>
  <w:num w:numId="12">
    <w:abstractNumId w:val="6"/>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9*"/>
    <w:docVar w:name="CreationDt" w:val="04/05/2015 4:27: PM"/>
    <w:docVar w:name="DocCategory" w:val="Doc"/>
    <w:docVar w:name="DocType" w:val="Final"/>
    <w:docVar w:name="DutyStation" w:val="New York"/>
    <w:docVar w:name="FooterJN" w:val="15-03079"/>
    <w:docVar w:name="jobn" w:val="15-03079 (R)"/>
    <w:docVar w:name="jobnDT" w:val="15-03079 (R)   040515"/>
    <w:docVar w:name="jobnDTDT" w:val="15-03079 (R)   040515   040515"/>
    <w:docVar w:name="JobNo" w:val="1503079R"/>
    <w:docVar w:name="JobNo2" w:val="1505579R"/>
    <w:docVar w:name="LocalDrive" w:val="False"/>
    <w:docVar w:name="OandT" w:val=" "/>
    <w:docVar w:name="PaperSize" w:val="Letter"/>
    <w:docVar w:name="sss1" w:val="CEDAW/C/PHL/7-8"/>
    <w:docVar w:name="sss2" w:val="-"/>
    <w:docVar w:name="Symbol1" w:val="CEDAW/C/PHL/7-8"/>
    <w:docVar w:name="Symbol2" w:val="-"/>
  </w:docVars>
  <w:rsids>
    <w:rsidRoot w:val="002F0C27"/>
    <w:rsid w:val="00004615"/>
    <w:rsid w:val="00004756"/>
    <w:rsid w:val="00024A67"/>
    <w:rsid w:val="00033C1F"/>
    <w:rsid w:val="000513EF"/>
    <w:rsid w:val="0005420D"/>
    <w:rsid w:val="00055EA2"/>
    <w:rsid w:val="00067A90"/>
    <w:rsid w:val="00070C37"/>
    <w:rsid w:val="00076F88"/>
    <w:rsid w:val="0008067C"/>
    <w:rsid w:val="00092464"/>
    <w:rsid w:val="000A111E"/>
    <w:rsid w:val="000A1A53"/>
    <w:rsid w:val="000C069D"/>
    <w:rsid w:val="000C67BC"/>
    <w:rsid w:val="000E0F08"/>
    <w:rsid w:val="000E30BA"/>
    <w:rsid w:val="000E4411"/>
    <w:rsid w:val="000F1ACD"/>
    <w:rsid w:val="000F5D07"/>
    <w:rsid w:val="00105B0E"/>
    <w:rsid w:val="00113678"/>
    <w:rsid w:val="001235FD"/>
    <w:rsid w:val="001444A3"/>
    <w:rsid w:val="00153645"/>
    <w:rsid w:val="00153E8C"/>
    <w:rsid w:val="00160648"/>
    <w:rsid w:val="00161F29"/>
    <w:rsid w:val="00162E88"/>
    <w:rsid w:val="001726A4"/>
    <w:rsid w:val="00175AC4"/>
    <w:rsid w:val="00177361"/>
    <w:rsid w:val="001A39EE"/>
    <w:rsid w:val="001A4338"/>
    <w:rsid w:val="001A6777"/>
    <w:rsid w:val="001C54CE"/>
    <w:rsid w:val="001D1749"/>
    <w:rsid w:val="001E21CE"/>
    <w:rsid w:val="001E25A2"/>
    <w:rsid w:val="001E61AD"/>
    <w:rsid w:val="001E639C"/>
    <w:rsid w:val="002078A2"/>
    <w:rsid w:val="00211A7E"/>
    <w:rsid w:val="00217A24"/>
    <w:rsid w:val="00223C57"/>
    <w:rsid w:val="00242477"/>
    <w:rsid w:val="002535D8"/>
    <w:rsid w:val="00254046"/>
    <w:rsid w:val="00261386"/>
    <w:rsid w:val="00261C41"/>
    <w:rsid w:val="00264124"/>
    <w:rsid w:val="00264A43"/>
    <w:rsid w:val="002665C4"/>
    <w:rsid w:val="002726BA"/>
    <w:rsid w:val="00277697"/>
    <w:rsid w:val="002A0BAE"/>
    <w:rsid w:val="002B6501"/>
    <w:rsid w:val="002B6E2A"/>
    <w:rsid w:val="002C66D0"/>
    <w:rsid w:val="002D396F"/>
    <w:rsid w:val="002D4606"/>
    <w:rsid w:val="002D68C7"/>
    <w:rsid w:val="002D6F6F"/>
    <w:rsid w:val="002E1F79"/>
    <w:rsid w:val="002F0C27"/>
    <w:rsid w:val="002F5C45"/>
    <w:rsid w:val="002F6149"/>
    <w:rsid w:val="00326F5F"/>
    <w:rsid w:val="00333B06"/>
    <w:rsid w:val="00337D91"/>
    <w:rsid w:val="00346BFB"/>
    <w:rsid w:val="00350756"/>
    <w:rsid w:val="003542EE"/>
    <w:rsid w:val="003658B0"/>
    <w:rsid w:val="00382D9E"/>
    <w:rsid w:val="0038527A"/>
    <w:rsid w:val="0039505F"/>
    <w:rsid w:val="003A150E"/>
    <w:rsid w:val="003C2842"/>
    <w:rsid w:val="003D0825"/>
    <w:rsid w:val="003D2003"/>
    <w:rsid w:val="003D5DA2"/>
    <w:rsid w:val="003E5193"/>
    <w:rsid w:val="00427FE5"/>
    <w:rsid w:val="00433222"/>
    <w:rsid w:val="00436A23"/>
    <w:rsid w:val="00436F13"/>
    <w:rsid w:val="004420FB"/>
    <w:rsid w:val="00445A4E"/>
    <w:rsid w:val="004504A6"/>
    <w:rsid w:val="00460D23"/>
    <w:rsid w:val="004645DD"/>
    <w:rsid w:val="004964B8"/>
    <w:rsid w:val="004A7499"/>
    <w:rsid w:val="004B1314"/>
    <w:rsid w:val="004B722C"/>
    <w:rsid w:val="004C64A4"/>
    <w:rsid w:val="004D275F"/>
    <w:rsid w:val="004D474D"/>
    <w:rsid w:val="004D656E"/>
    <w:rsid w:val="004E6443"/>
    <w:rsid w:val="004F0A21"/>
    <w:rsid w:val="00504669"/>
    <w:rsid w:val="005058E0"/>
    <w:rsid w:val="005121DC"/>
    <w:rsid w:val="00513113"/>
    <w:rsid w:val="00515869"/>
    <w:rsid w:val="005214BA"/>
    <w:rsid w:val="00522E6D"/>
    <w:rsid w:val="00524A24"/>
    <w:rsid w:val="005251C4"/>
    <w:rsid w:val="00526E12"/>
    <w:rsid w:val="00533411"/>
    <w:rsid w:val="005427EA"/>
    <w:rsid w:val="0054563F"/>
    <w:rsid w:val="005469E1"/>
    <w:rsid w:val="00552E08"/>
    <w:rsid w:val="005635F7"/>
    <w:rsid w:val="0056579C"/>
    <w:rsid w:val="00567706"/>
    <w:rsid w:val="00572298"/>
    <w:rsid w:val="005734C2"/>
    <w:rsid w:val="00574AA1"/>
    <w:rsid w:val="0057633B"/>
    <w:rsid w:val="00590EDF"/>
    <w:rsid w:val="005933CB"/>
    <w:rsid w:val="00593E2F"/>
    <w:rsid w:val="005A002C"/>
    <w:rsid w:val="005A1D01"/>
    <w:rsid w:val="005B064E"/>
    <w:rsid w:val="005B499C"/>
    <w:rsid w:val="005C0440"/>
    <w:rsid w:val="005D38B6"/>
    <w:rsid w:val="005D7642"/>
    <w:rsid w:val="005E0A46"/>
    <w:rsid w:val="005E7DCF"/>
    <w:rsid w:val="005F6E5C"/>
    <w:rsid w:val="00602F9D"/>
    <w:rsid w:val="00616B8D"/>
    <w:rsid w:val="006261A6"/>
    <w:rsid w:val="0062751F"/>
    <w:rsid w:val="0063491E"/>
    <w:rsid w:val="00634A27"/>
    <w:rsid w:val="00635AF8"/>
    <w:rsid w:val="006409EF"/>
    <w:rsid w:val="00646363"/>
    <w:rsid w:val="00647668"/>
    <w:rsid w:val="00655212"/>
    <w:rsid w:val="00657EE4"/>
    <w:rsid w:val="006747A8"/>
    <w:rsid w:val="006A09AE"/>
    <w:rsid w:val="006A1698"/>
    <w:rsid w:val="006A1D06"/>
    <w:rsid w:val="006A3F10"/>
    <w:rsid w:val="006B34CB"/>
    <w:rsid w:val="006B590B"/>
    <w:rsid w:val="006D370E"/>
    <w:rsid w:val="006F3683"/>
    <w:rsid w:val="00700738"/>
    <w:rsid w:val="00705549"/>
    <w:rsid w:val="0071210D"/>
    <w:rsid w:val="00716BC5"/>
    <w:rsid w:val="007170E5"/>
    <w:rsid w:val="00723115"/>
    <w:rsid w:val="00724550"/>
    <w:rsid w:val="00731830"/>
    <w:rsid w:val="00736A19"/>
    <w:rsid w:val="00745258"/>
    <w:rsid w:val="0077374B"/>
    <w:rsid w:val="00781ACA"/>
    <w:rsid w:val="00785F8F"/>
    <w:rsid w:val="00787B44"/>
    <w:rsid w:val="00795A5A"/>
    <w:rsid w:val="00796EC3"/>
    <w:rsid w:val="007B098D"/>
    <w:rsid w:val="007B1DE5"/>
    <w:rsid w:val="007B5785"/>
    <w:rsid w:val="007B5CF3"/>
    <w:rsid w:val="007B67AE"/>
    <w:rsid w:val="007C62D1"/>
    <w:rsid w:val="007C706F"/>
    <w:rsid w:val="007E0E39"/>
    <w:rsid w:val="007E2B60"/>
    <w:rsid w:val="007E5D5A"/>
    <w:rsid w:val="007F5107"/>
    <w:rsid w:val="00803EC5"/>
    <w:rsid w:val="008042D6"/>
    <w:rsid w:val="00821CE2"/>
    <w:rsid w:val="00830FF8"/>
    <w:rsid w:val="00833A04"/>
    <w:rsid w:val="00844407"/>
    <w:rsid w:val="00853E2A"/>
    <w:rsid w:val="008541E9"/>
    <w:rsid w:val="00856EEB"/>
    <w:rsid w:val="008776BB"/>
    <w:rsid w:val="00880540"/>
    <w:rsid w:val="0088396E"/>
    <w:rsid w:val="0089529A"/>
    <w:rsid w:val="008A1A7A"/>
    <w:rsid w:val="008B0632"/>
    <w:rsid w:val="008B08A3"/>
    <w:rsid w:val="008B4F64"/>
    <w:rsid w:val="008B53C0"/>
    <w:rsid w:val="008B5F7F"/>
    <w:rsid w:val="008B709D"/>
    <w:rsid w:val="008C2A03"/>
    <w:rsid w:val="008C6372"/>
    <w:rsid w:val="008D0CE3"/>
    <w:rsid w:val="008F12FD"/>
    <w:rsid w:val="008F13EA"/>
    <w:rsid w:val="008F24E6"/>
    <w:rsid w:val="00904F3C"/>
    <w:rsid w:val="0090623F"/>
    <w:rsid w:val="00907EDB"/>
    <w:rsid w:val="009110C5"/>
    <w:rsid w:val="00912FB5"/>
    <w:rsid w:val="00915944"/>
    <w:rsid w:val="009228D9"/>
    <w:rsid w:val="009327BF"/>
    <w:rsid w:val="00935F33"/>
    <w:rsid w:val="0094745A"/>
    <w:rsid w:val="00952B5F"/>
    <w:rsid w:val="00953546"/>
    <w:rsid w:val="0095649D"/>
    <w:rsid w:val="00963BDB"/>
    <w:rsid w:val="00984EE4"/>
    <w:rsid w:val="0099354F"/>
    <w:rsid w:val="009B16EA"/>
    <w:rsid w:val="009B3444"/>
    <w:rsid w:val="009B5DCD"/>
    <w:rsid w:val="009D6E3D"/>
    <w:rsid w:val="009F0808"/>
    <w:rsid w:val="00A1426A"/>
    <w:rsid w:val="00A14F1D"/>
    <w:rsid w:val="00A1703F"/>
    <w:rsid w:val="00A2180A"/>
    <w:rsid w:val="00A22293"/>
    <w:rsid w:val="00A253F9"/>
    <w:rsid w:val="00A344D5"/>
    <w:rsid w:val="00A5707F"/>
    <w:rsid w:val="00A63339"/>
    <w:rsid w:val="00A90F41"/>
    <w:rsid w:val="00A910E7"/>
    <w:rsid w:val="00A951DD"/>
    <w:rsid w:val="00A9600A"/>
    <w:rsid w:val="00A96C80"/>
    <w:rsid w:val="00AA0ABF"/>
    <w:rsid w:val="00AA27C2"/>
    <w:rsid w:val="00AD6322"/>
    <w:rsid w:val="00AD6752"/>
    <w:rsid w:val="00AD78B1"/>
    <w:rsid w:val="00AF0B91"/>
    <w:rsid w:val="00AF1A65"/>
    <w:rsid w:val="00AF3B70"/>
    <w:rsid w:val="00B133CB"/>
    <w:rsid w:val="00B17A11"/>
    <w:rsid w:val="00B2296A"/>
    <w:rsid w:val="00B2472B"/>
    <w:rsid w:val="00B2753B"/>
    <w:rsid w:val="00B33139"/>
    <w:rsid w:val="00B43E84"/>
    <w:rsid w:val="00B5129B"/>
    <w:rsid w:val="00B56376"/>
    <w:rsid w:val="00B606B7"/>
    <w:rsid w:val="00B62C69"/>
    <w:rsid w:val="00B77FC0"/>
    <w:rsid w:val="00B87751"/>
    <w:rsid w:val="00BB052D"/>
    <w:rsid w:val="00BB1F92"/>
    <w:rsid w:val="00BB5B7F"/>
    <w:rsid w:val="00BB7E8A"/>
    <w:rsid w:val="00BC20A0"/>
    <w:rsid w:val="00BC75AA"/>
    <w:rsid w:val="00BD2F16"/>
    <w:rsid w:val="00BE2D25"/>
    <w:rsid w:val="00BE448A"/>
    <w:rsid w:val="00BE531D"/>
    <w:rsid w:val="00BF3D60"/>
    <w:rsid w:val="00BF5FCB"/>
    <w:rsid w:val="00C16B93"/>
    <w:rsid w:val="00C2210E"/>
    <w:rsid w:val="00C2524E"/>
    <w:rsid w:val="00C32802"/>
    <w:rsid w:val="00C40B0B"/>
    <w:rsid w:val="00C41B6F"/>
    <w:rsid w:val="00C60105"/>
    <w:rsid w:val="00C623BF"/>
    <w:rsid w:val="00C640D1"/>
    <w:rsid w:val="00C7011D"/>
    <w:rsid w:val="00C70D59"/>
    <w:rsid w:val="00C7432F"/>
    <w:rsid w:val="00C77473"/>
    <w:rsid w:val="00C91210"/>
    <w:rsid w:val="00CA2CF3"/>
    <w:rsid w:val="00CB519E"/>
    <w:rsid w:val="00CC5B37"/>
    <w:rsid w:val="00CD2ED3"/>
    <w:rsid w:val="00CD3C62"/>
    <w:rsid w:val="00CF021B"/>
    <w:rsid w:val="00CF066B"/>
    <w:rsid w:val="00CF07BE"/>
    <w:rsid w:val="00D028FF"/>
    <w:rsid w:val="00D05963"/>
    <w:rsid w:val="00D11640"/>
    <w:rsid w:val="00D1470E"/>
    <w:rsid w:val="00D20AA4"/>
    <w:rsid w:val="00D434AF"/>
    <w:rsid w:val="00D44FA6"/>
    <w:rsid w:val="00D61BB7"/>
    <w:rsid w:val="00D7165D"/>
    <w:rsid w:val="00D75705"/>
    <w:rsid w:val="00D961D6"/>
    <w:rsid w:val="00D97B17"/>
    <w:rsid w:val="00DA1A4A"/>
    <w:rsid w:val="00DA4AFE"/>
    <w:rsid w:val="00DC1E7E"/>
    <w:rsid w:val="00DC7A5F"/>
    <w:rsid w:val="00DD6A66"/>
    <w:rsid w:val="00DE0D15"/>
    <w:rsid w:val="00DF1CF0"/>
    <w:rsid w:val="00DF7388"/>
    <w:rsid w:val="00E04C73"/>
    <w:rsid w:val="00E079A3"/>
    <w:rsid w:val="00E12674"/>
    <w:rsid w:val="00E132AC"/>
    <w:rsid w:val="00E15CCC"/>
    <w:rsid w:val="00E15D7D"/>
    <w:rsid w:val="00E17234"/>
    <w:rsid w:val="00E261F5"/>
    <w:rsid w:val="00E34A5B"/>
    <w:rsid w:val="00E478DE"/>
    <w:rsid w:val="00E54D94"/>
    <w:rsid w:val="00E6111E"/>
    <w:rsid w:val="00E616D0"/>
    <w:rsid w:val="00E62CCE"/>
    <w:rsid w:val="00E64F51"/>
    <w:rsid w:val="00E65C07"/>
    <w:rsid w:val="00E8225E"/>
    <w:rsid w:val="00E90547"/>
    <w:rsid w:val="00E970B0"/>
    <w:rsid w:val="00EA0638"/>
    <w:rsid w:val="00EA1656"/>
    <w:rsid w:val="00EA1819"/>
    <w:rsid w:val="00EA255B"/>
    <w:rsid w:val="00EB61BD"/>
    <w:rsid w:val="00EB646E"/>
    <w:rsid w:val="00EC6F5D"/>
    <w:rsid w:val="00EF1FBD"/>
    <w:rsid w:val="00F07DDF"/>
    <w:rsid w:val="00F16256"/>
    <w:rsid w:val="00F173BA"/>
    <w:rsid w:val="00F231E8"/>
    <w:rsid w:val="00F30632"/>
    <w:rsid w:val="00F33544"/>
    <w:rsid w:val="00F35ACF"/>
    <w:rsid w:val="00F624BD"/>
    <w:rsid w:val="00F62A5E"/>
    <w:rsid w:val="00F6634F"/>
    <w:rsid w:val="00F72CD1"/>
    <w:rsid w:val="00F74A39"/>
    <w:rsid w:val="00F8138E"/>
    <w:rsid w:val="00F85203"/>
    <w:rsid w:val="00F92676"/>
    <w:rsid w:val="00F94262"/>
    <w:rsid w:val="00F979A8"/>
    <w:rsid w:val="00FA1B93"/>
    <w:rsid w:val="00FA5551"/>
    <w:rsid w:val="00FA7C7A"/>
    <w:rsid w:val="00FB6A78"/>
    <w:rsid w:val="00FD213B"/>
    <w:rsid w:val="00FD3CE8"/>
    <w:rsid w:val="00FD5B91"/>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footnote reference" w:uiPriority="1"/>
    <w:lsdException w:name="annotation reference" w:uiPriority="1"/>
    <w:lsdException w:name="line number" w:semiHidden="0" w:unhideWhenUsed="0"/>
    <w:lsdException w:name="endnote reference" w:uiPriority="0"/>
    <w:lsdException w:name="endnote text" w:uiPriority="1"/>
    <w:lsdException w:name="List Number" w:semiHidden="0" w:unhideWhenUsed="0"/>
    <w:lsdException w:name="List Number 2" w:semiHidden="0" w:uiPriority="0" w:unhideWhenUsed="0"/>
    <w:lsdException w:name="List Number 3" w:semiHidden="0" w:uiPriority="0" w:unhideWhenUsed="0"/>
    <w:lsdException w:name="List Number 4" w:semiHidden="0" w:unhideWhenUsed="0"/>
    <w:lsdException w:name="List Number 5" w:semiHidden="0" w:unhideWhenUsed="0"/>
    <w:lsdException w:name="Title" w:uiPriority="10" w:unhideWhenUsed="0"/>
    <w:lsdException w:name="Default Paragraph Font" w:uiPriority="1"/>
    <w:lsdException w:name="List Continue" w:semiHidden="0" w:unhideWhenUsed="0"/>
    <w:lsdException w:name="List Continue 2" w:semiHidden="0" w:unhideWhenUsed="0"/>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basedOn w:val="Normal"/>
    <w:next w:val="Normal"/>
    <w:link w:val="Heading1Char"/>
    <w:uiPriority w:val="9"/>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uiPriority w:val="9"/>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uiPriority w:val="9"/>
    <w:qFormat/>
    <w:rsid w:val="0071210D"/>
    <w:pPr>
      <w:keepNext/>
      <w:spacing w:before="240" w:after="60"/>
      <w:outlineLvl w:val="2"/>
    </w:pPr>
    <w:rPr>
      <w:rFonts w:ascii="Arial" w:eastAsia="SimSun" w:hAnsi="Arial"/>
      <w:b/>
      <w:bCs/>
      <w:sz w:val="26"/>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SingleTxt"/>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uiPriority w:val="9"/>
    <w:rsid w:val="0088396E"/>
    <w:rPr>
      <w:rFonts w:ascii="Arial" w:eastAsia="SimSun" w:hAnsi="Arial" w:cs="Times New Roman"/>
      <w:b/>
      <w:bCs/>
      <w:spacing w:val="4"/>
      <w:w w:val="103"/>
      <w:kern w:val="14"/>
      <w:sz w:val="32"/>
      <w:szCs w:val="28"/>
    </w:rPr>
  </w:style>
  <w:style w:type="character" w:customStyle="1" w:styleId="Heading2Char">
    <w:name w:val="Heading 2 Char"/>
    <w:link w:val="Heading2"/>
    <w:uiPriority w:val="9"/>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uiPriority w:val="9"/>
    <w:rsid w:val="0071210D"/>
    <w:rPr>
      <w:rFonts w:ascii="Arial" w:eastAsia="SimSun" w:hAnsi="Arial" w:cs="Times New Roman"/>
      <w:b/>
      <w:bCs/>
      <w:spacing w:val="4"/>
      <w:w w:val="103"/>
      <w:kern w:val="14"/>
      <w:sz w:val="26"/>
    </w:rPr>
  </w:style>
  <w:style w:type="paragraph" w:styleId="ListContinue">
    <w:name w:val="List Continue"/>
    <w:basedOn w:val="Normal"/>
    <w:uiPriority w:val="99"/>
    <w:semiHidden/>
    <w:rsid w:val="00DA1A4A"/>
    <w:pPr>
      <w:spacing w:after="120"/>
      <w:ind w:left="360"/>
      <w:contextualSpacing/>
    </w:pPr>
  </w:style>
  <w:style w:type="paragraph" w:styleId="ListContinue2">
    <w:name w:val="List Continue 2"/>
    <w:basedOn w:val="Normal"/>
    <w:next w:val="Normal"/>
    <w:uiPriority w:val="99"/>
    <w:rsid w:val="00DA1A4A"/>
    <w:pPr>
      <w:numPr>
        <w:numId w:val="2"/>
      </w:numPr>
      <w:tabs>
        <w:tab w:val="left" w:pos="792"/>
      </w:tabs>
      <w:spacing w:after="120"/>
    </w:pPr>
  </w:style>
  <w:style w:type="paragraph" w:styleId="ListNumber">
    <w:name w:val="List Number"/>
    <w:basedOn w:val="H1"/>
    <w:next w:val="Normal"/>
    <w:uiPriority w:val="99"/>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uiPriority w:val="99"/>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uiPriority w:val="99"/>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basedOn w:val="Normal"/>
    <w:link w:val="FootnoteTextChar"/>
    <w:uiPriority w:val="1"/>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uiPriority w:val="1"/>
    <w:semiHidden/>
    <w:unhideWhenUsed/>
    <w:rsid w:val="00EC6F5D"/>
    <w:rPr>
      <w:spacing w:val="-5"/>
      <w:w w:val="130"/>
      <w:position w:val="-4"/>
      <w:vertAlign w:val="superscript"/>
    </w:rPr>
  </w:style>
  <w:style w:type="paragraph" w:styleId="EndnoteText">
    <w:name w:val="endnote text"/>
    <w:basedOn w:val="Normal"/>
    <w:link w:val="EndnoteTextChar"/>
    <w:uiPriority w:val="1"/>
    <w:semiHidden/>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1"/>
    <w:semiHidden/>
    <w:unhideWhenUsed/>
    <w:rsid w:val="00B87751"/>
    <w:rPr>
      <w:sz w:val="16"/>
      <w:szCs w:val="16"/>
    </w:rPr>
  </w:style>
  <w:style w:type="paragraph" w:styleId="CommentText">
    <w:name w:val="annotation text"/>
    <w:basedOn w:val="Normal"/>
    <w:link w:val="CommentTextChar"/>
    <w:uiPriority w:val="99"/>
    <w:semiHidden/>
    <w:unhideWhenUsed/>
    <w:rsid w:val="00B87751"/>
    <w:rPr>
      <w:szCs w:val="20"/>
      <w:lang/>
    </w:rPr>
  </w:style>
  <w:style w:type="character" w:customStyle="1" w:styleId="CommentTextChar">
    <w:name w:val="Comment Text Char"/>
    <w:link w:val="CommentText"/>
    <w:uiPriority w:val="99"/>
    <w:semiHidden/>
    <w:rsid w:val="00B87751"/>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B87751"/>
    <w:rPr>
      <w:b/>
      <w:bCs/>
    </w:rPr>
  </w:style>
  <w:style w:type="character" w:customStyle="1" w:styleId="CommentSubjectChar">
    <w:name w:val="Comment Subject Char"/>
    <w:link w:val="CommentSubject"/>
    <w:uiPriority w:val="99"/>
    <w:semiHidden/>
    <w:rsid w:val="00B87751"/>
    <w:rPr>
      <w:rFonts w:ascii="Times New Roman" w:hAnsi="Times New Roman" w:cs="Times New Roman"/>
      <w:b/>
      <w:bCs/>
      <w:spacing w:val="4"/>
      <w:w w:val="103"/>
      <w:kern w:val="14"/>
      <w:lang w:val="ru-RU"/>
    </w:rPr>
  </w:style>
  <w:style w:type="character" w:styleId="EndnoteReference">
    <w:name w:val="endnote reference"/>
    <w:aliases w:val="1_G"/>
    <w:rsid w:val="002665C4"/>
    <w:rPr>
      <w:rFonts w:ascii="Times New Roman" w:hAnsi="Times New Roman"/>
      <w:sz w:val="18"/>
      <w:vertAlign w:val="superscript"/>
    </w:rPr>
  </w:style>
  <w:style w:type="paragraph" w:customStyle="1" w:styleId="SingleTxtG">
    <w:name w:val="_ Single Txt_G"/>
    <w:basedOn w:val="Normal"/>
    <w:rsid w:val="002665C4"/>
    <w:pPr>
      <w:suppressAutoHyphens/>
      <w:spacing w:after="120" w:line="240" w:lineRule="atLeast"/>
      <w:ind w:left="1134" w:right="1134"/>
      <w:jc w:val="both"/>
    </w:pPr>
    <w:rPr>
      <w:rFonts w:eastAsia="Times New Roman"/>
      <w:spacing w:val="0"/>
      <w:w w:val="100"/>
      <w:kern w:val="0"/>
      <w:szCs w:val="20"/>
    </w:rPr>
  </w:style>
  <w:style w:type="paragraph" w:customStyle="1" w:styleId="H23G">
    <w:name w:val="_ H_2/3_G"/>
    <w:basedOn w:val="Normal"/>
    <w:next w:val="Normal"/>
    <w:rsid w:val="002665C4"/>
    <w:pPr>
      <w:keepNext/>
      <w:keepLines/>
      <w:tabs>
        <w:tab w:val="right" w:pos="851"/>
      </w:tabs>
      <w:suppressAutoHyphens/>
      <w:spacing w:before="240" w:after="120"/>
      <w:ind w:left="1134" w:right="1134"/>
    </w:pPr>
    <w:rPr>
      <w:rFonts w:eastAsia="Times New Roman"/>
      <w:b/>
      <w:spacing w:val="0"/>
      <w:w w:val="100"/>
      <w:kern w:val="0"/>
      <w:szCs w:val="20"/>
    </w:rPr>
  </w:style>
  <w:style w:type="paragraph" w:customStyle="1" w:styleId="-b-c">
    <w:name w:val="а-b-c"/>
    <w:basedOn w:val="SingleTxtG"/>
    <w:qFormat/>
    <w:rsid w:val="002665C4"/>
    <w:pPr>
      <w:tabs>
        <w:tab w:val="left" w:pos="1560"/>
        <w:tab w:val="left" w:pos="2030"/>
      </w:tabs>
    </w:pPr>
  </w:style>
  <w:style w:type="character" w:styleId="Hyperlink">
    <w:name w:val="Hyperlink"/>
    <w:uiPriority w:val="99"/>
    <w:semiHidden/>
    <w:unhideWhenUsed/>
    <w:rsid w:val="00382D9E"/>
    <w:rPr>
      <w:color w:val="0000FF"/>
      <w:u w:val="none"/>
    </w:rPr>
  </w:style>
  <w:style w:type="character" w:styleId="FollowedHyperlink">
    <w:name w:val="FollowedHyperlink"/>
    <w:uiPriority w:val="99"/>
    <w:semiHidden/>
    <w:unhideWhenUsed/>
    <w:rsid w:val="00382D9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19646</Words>
  <Characters>111988</Characters>
  <Application>Microsoft Office Outlook</Application>
  <DocSecurity>4</DocSecurity>
  <Lines>933</Lines>
  <Paragraphs>262</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131372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Svetlana Evseeva</dc:creator>
  <cp:keywords/>
  <cp:lastModifiedBy>Front Desk</cp:lastModifiedBy>
  <cp:revision>4</cp:revision>
  <cp:lastPrinted>2015-05-04T16:20:00Z</cp:lastPrinted>
  <dcterms:created xsi:type="dcterms:W3CDTF">2015-05-04T16:18:00Z</dcterms:created>
  <dcterms:modified xsi:type="dcterms:W3CDTF">2015-05-04T16:36:00Z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1503079R</vt:lpwstr>
  </property>
  <property fmtid="{D5CDD505-2E9C-101B-9397-08002B2CF9AE}" pid="3" name="ODSRefJobNo">
    <vt:lpwstr>1505579R</vt:lpwstr>
  </property>
  <property fmtid="{D5CDD505-2E9C-101B-9397-08002B2CF9AE}" pid="4" name="Symbol1">
    <vt:lpwstr>CEDAW/C/PHL/7-8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March 2015</vt:lpwstr>
  </property>
  <property fmtid="{D5CDD505-2E9C-101B-9397-08002B2CF9AE}" pid="9" name="Original">
    <vt:lpwstr>English</vt:lpwstr>
  </property>
  <property fmtid="{D5CDD505-2E9C-101B-9397-08002B2CF9AE}" pid="10" name="Release Date">
    <vt:lpwstr>040515</vt:lpwstr>
  </property>
  <property fmtid="{D5CDD505-2E9C-101B-9397-08002B2CF9AE}" pid="11" name="Comment">
    <vt:lpwstr/>
  </property>
  <property fmtid="{D5CDD505-2E9C-101B-9397-08002B2CF9AE}" pid="12" name="DraftPages">
    <vt:lpwstr>45 </vt:lpwstr>
  </property>
  <property fmtid="{D5CDD505-2E9C-101B-9397-08002B2CF9AE}" pid="13" name="Operator">
    <vt:lpwstr>EVSEEVA</vt:lpwstr>
  </property>
</Properties>
</file>