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2003</w:t>
      </w:r>
      <w:r>
        <w:rPr>
          <w:rFonts w:hint="eastAsia"/>
        </w:rPr>
        <w:t>年实质性会议</w:t>
      </w:r>
    </w:p>
    <w:p w:rsidR="00000000" w:rsidRDefault="00000000">
      <w:pPr>
        <w:spacing w:after="320"/>
        <w:rPr>
          <w:rFonts w:hint="eastAsia"/>
        </w:rPr>
      </w:pPr>
    </w:p>
    <w:p w:rsidR="00000000" w:rsidRDefault="00000000">
      <w:pPr>
        <w:pStyle w:val="Heading2"/>
        <w:rPr>
          <w:rFonts w:hint="eastAsia"/>
        </w:rPr>
      </w:pPr>
      <w:r>
        <w:rPr>
          <w:rFonts w:hint="eastAsia"/>
        </w:rPr>
        <w:t>《经济、社会、文化权利国际公约》执行情况</w:t>
      </w:r>
    </w:p>
    <w:p w:rsidR="00000000" w:rsidRDefault="00000000">
      <w:pPr>
        <w:pStyle w:val="Heading3"/>
        <w:rPr>
          <w:rFonts w:hint="eastAsia"/>
        </w:rPr>
      </w:pPr>
      <w:r>
        <w:rPr>
          <w:rFonts w:hint="eastAsia"/>
        </w:rPr>
        <w:t>缔约国根据公约第</w:t>
      </w:r>
      <w:r>
        <w:rPr>
          <w:rFonts w:hint="eastAsia"/>
        </w:rPr>
        <w:t>16</w:t>
      </w:r>
      <w:r>
        <w:rPr>
          <w:rFonts w:hint="eastAsia"/>
        </w:rPr>
        <w:t>条和第</w:t>
      </w:r>
      <w:r>
        <w:rPr>
          <w:rFonts w:hint="eastAsia"/>
        </w:rPr>
        <w:t>17</w:t>
      </w:r>
      <w:r>
        <w:rPr>
          <w:rFonts w:hint="eastAsia"/>
        </w:rPr>
        <w:t>条</w:t>
      </w:r>
      <w:r>
        <w:br/>
      </w:r>
      <w:r>
        <w:rPr>
          <w:rFonts w:hint="eastAsia"/>
        </w:rPr>
        <w:t>提交的初次报告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ascii="Time New Roman" w:eastAsia="SimHei" w:hAnsi="Time New Roman" w:hint="eastAsia"/>
          <w:u w:val="none"/>
        </w:rPr>
      </w:pPr>
      <w:r>
        <w:rPr>
          <w:rFonts w:ascii="Time New Roman" w:eastAsia="SimHei" w:hAnsi="Time New Roman"/>
          <w:u w:val="none"/>
        </w:rPr>
        <w:t xml:space="preserve"> </w:t>
      </w:r>
      <w:r>
        <w:rPr>
          <w:rFonts w:ascii="Time New Roman" w:eastAsia="SimHei" w:hAnsi="Time New Roman" w:hint="eastAsia"/>
          <w:u w:val="none"/>
        </w:rPr>
        <w:t>希</w:t>
      </w:r>
      <w:r>
        <w:rPr>
          <w:rFonts w:ascii="Time New Roman" w:eastAsia="SimHei" w:hAnsi="Time New Roman" w:hint="eastAsia"/>
          <w:u w:val="none"/>
        </w:rPr>
        <w:t xml:space="preserve">  </w:t>
      </w:r>
      <w:r>
        <w:rPr>
          <w:rFonts w:ascii="Time New Roman" w:eastAsia="SimHei" w:hAnsi="Time New Roman" w:hint="eastAsia"/>
          <w:u w:val="none"/>
        </w:rPr>
        <w:t>腊</w:t>
      </w:r>
      <w:r>
        <w:rPr>
          <w:rStyle w:val="FootnoteReference"/>
          <w:b w:val="0"/>
          <w:bCs/>
          <w:u w:val="none"/>
          <w:vertAlign w:val="baseline"/>
        </w:rPr>
        <w:footnoteReference w:customMarkFollows="1" w:id="1"/>
        <w:t>*</w:t>
      </w:r>
    </w:p>
    <w:p w:rsidR="00000000" w:rsidRDefault="00000000">
      <w:pPr>
        <w:ind w:left="7140"/>
        <w:rPr>
          <w:rFonts w:hint="eastAsia"/>
        </w:rPr>
      </w:pPr>
      <w:r>
        <w:rPr>
          <w:rFonts w:hint="eastAsia"/>
        </w:rPr>
        <w:t>[2002</w:t>
      </w:r>
      <w:r>
        <w:rPr>
          <w:rFonts w:hint="eastAsia"/>
        </w:rPr>
        <w:t>年</w:t>
      </w:r>
      <w:r>
        <w:rPr>
          <w:rFonts w:hint="eastAsia"/>
        </w:rPr>
        <w:t>9</w:t>
      </w:r>
      <w:r>
        <w:rPr>
          <w:rFonts w:hint="eastAsia"/>
        </w:rPr>
        <w:t>月</w:t>
      </w:r>
      <w:r>
        <w:rPr>
          <w:rFonts w:hint="eastAsia"/>
        </w:rPr>
        <w:t>17</w:t>
      </w:r>
      <w:r>
        <w:rPr>
          <w:rFonts w:hint="eastAsia"/>
        </w:rPr>
        <w:t>日</w:t>
      </w:r>
      <w:r>
        <w:rPr>
          <w:rFonts w:hint="eastAsia"/>
        </w:rPr>
        <w:t>]</w:t>
      </w:r>
    </w:p>
    <w:p w:rsidR="00000000" w:rsidRDefault="00000000">
      <w:pPr>
        <w:pStyle w:val="ac"/>
      </w:pPr>
      <w:r>
        <w:br w:type="page"/>
      </w:r>
      <w:r>
        <w:rPr>
          <w:rFonts w:hint="eastAsia"/>
        </w:rPr>
        <w:t>目</w:t>
      </w:r>
      <w:r>
        <w:tab/>
      </w:r>
      <w:r>
        <w:rPr>
          <w:rFonts w:hint="eastAsia"/>
        </w:rPr>
        <w:t>录</w:t>
      </w:r>
    </w:p>
    <w:p w:rsidR="00000000" w:rsidRDefault="00000000">
      <w:pPr>
        <w:pStyle w:val="ac"/>
        <w:rPr>
          <w:rFonts w:eastAsia="长城楷体"/>
        </w:rPr>
      </w:pPr>
      <w:r>
        <w:rPr>
          <w:rFonts w:hint="eastAsia"/>
        </w:rPr>
        <w:tab/>
      </w:r>
      <w:r>
        <w:rPr>
          <w:rFonts w:hint="eastAsia"/>
        </w:rPr>
        <w:tab/>
      </w:r>
      <w:r>
        <w:rPr>
          <w:rFonts w:hint="eastAsia"/>
          <w:u w:val="single"/>
        </w:rPr>
        <w:t>段</w:t>
      </w:r>
      <w:r>
        <w:rPr>
          <w:u w:val="single"/>
        </w:rPr>
        <w:tab/>
      </w:r>
      <w:r>
        <w:rPr>
          <w:rFonts w:hint="eastAsia"/>
          <w:u w:val="single"/>
        </w:rPr>
        <w:t>次</w:t>
      </w:r>
      <w:r>
        <w:tab/>
      </w:r>
      <w:r>
        <w:tab/>
      </w:r>
      <w:r>
        <w:rPr>
          <w:rFonts w:hint="eastAsia"/>
          <w:u w:val="single"/>
        </w:rPr>
        <w:t>页</w:t>
      </w:r>
      <w:r>
        <w:rPr>
          <w:u w:val="single"/>
        </w:rPr>
        <w:tab/>
      </w:r>
      <w:r>
        <w:rPr>
          <w:rFonts w:hint="eastAsia"/>
          <w:u w:val="single"/>
        </w:rPr>
        <w:t>次</w:t>
      </w:r>
    </w:p>
    <w:p w:rsidR="00000000" w:rsidRDefault="00000000">
      <w:pPr>
        <w:pStyle w:val="a4"/>
      </w:pPr>
      <w:r>
        <w:rPr>
          <w:rFonts w:hint="eastAsia"/>
        </w:rPr>
        <w:t>导</w:t>
      </w:r>
      <w:r>
        <w:rPr>
          <w:rFonts w:hint="eastAsia"/>
        </w:rPr>
        <w:t xml:space="preserve">  </w:t>
      </w:r>
      <w:r>
        <w:rPr>
          <w:rFonts w:hint="eastAsia"/>
        </w:rPr>
        <w:t>言</w:t>
      </w:r>
      <w:r>
        <w:t>………………………</w:t>
      </w:r>
      <w:r>
        <w:rPr>
          <w:rFonts w:hint="eastAsia"/>
        </w:rPr>
        <w:t>..</w:t>
      </w:r>
      <w:r>
        <w:rPr>
          <w:rFonts w:hint="eastAsia"/>
        </w:rPr>
        <w:tab/>
      </w:r>
      <w:r>
        <w:rPr>
          <w:rFonts w:hint="eastAsia"/>
        </w:rPr>
        <w:tab/>
        <w:t>1</w:t>
      </w:r>
      <w:r>
        <w:rPr>
          <w:rFonts w:hint="eastAsia"/>
        </w:rPr>
        <w:tab/>
        <w:t>-</w:t>
      </w:r>
      <w:r>
        <w:rPr>
          <w:rFonts w:hint="eastAsia"/>
        </w:rPr>
        <w:tab/>
        <w:t>10</w:t>
      </w:r>
      <w:r>
        <w:rPr>
          <w:rFonts w:hint="eastAsia"/>
        </w:rPr>
        <w:tab/>
      </w:r>
      <w:r>
        <w:t>3</w:t>
      </w:r>
    </w:p>
    <w:p w:rsidR="00000000" w:rsidRDefault="00000000">
      <w:pPr>
        <w:pStyle w:val="a4"/>
        <w:tabs>
          <w:tab w:val="clear" w:pos="510"/>
        </w:tabs>
      </w:pPr>
      <w:r>
        <w:rPr>
          <w:rFonts w:hint="eastAsia"/>
        </w:rPr>
        <w:t>一、</w:t>
      </w:r>
      <w:r>
        <w:rPr>
          <w:rFonts w:hint="eastAsia"/>
          <w:spacing w:val="0"/>
        </w:rPr>
        <w:t>《经济、社会、文化权利国际公约》的一般规定</w:t>
      </w:r>
      <w:r>
        <w:t>…</w:t>
      </w:r>
      <w:r>
        <w:rPr>
          <w:rFonts w:hint="eastAsia"/>
        </w:rPr>
        <w:t>.</w:t>
      </w:r>
      <w:r>
        <w:rPr>
          <w:rFonts w:hint="eastAsia"/>
        </w:rPr>
        <w:tab/>
      </w:r>
      <w:r>
        <w:rPr>
          <w:rFonts w:hint="eastAsia"/>
        </w:rPr>
        <w:tab/>
        <w:t>11</w:t>
      </w:r>
      <w:r>
        <w:rPr>
          <w:rFonts w:hint="eastAsia"/>
        </w:rPr>
        <w:tab/>
        <w:t>-</w:t>
      </w:r>
      <w:r>
        <w:rPr>
          <w:rFonts w:hint="eastAsia"/>
        </w:rPr>
        <w:tab/>
        <w:t>62</w:t>
      </w:r>
      <w:r>
        <w:rPr>
          <w:rFonts w:hint="eastAsia"/>
        </w:rPr>
        <w:tab/>
      </w:r>
      <w:r>
        <w:t>5</w:t>
      </w:r>
    </w:p>
    <w:p w:rsidR="00000000" w:rsidRDefault="00000000">
      <w:pPr>
        <w:pStyle w:val="a4"/>
        <w:tabs>
          <w:tab w:val="clear" w:pos="510"/>
        </w:tabs>
        <w:ind w:left="1020"/>
      </w:pPr>
      <w:r>
        <w:rPr>
          <w:rFonts w:hint="eastAsia"/>
        </w:rPr>
        <w:t>第</w:t>
      </w:r>
      <w:r>
        <w:rPr>
          <w:rFonts w:hint="eastAsia"/>
        </w:rPr>
        <w:t>1</w:t>
      </w:r>
      <w:r>
        <w:rPr>
          <w:rFonts w:hint="eastAsia"/>
        </w:rPr>
        <w:t>条</w:t>
      </w:r>
      <w:r>
        <w:t>………………</w:t>
      </w:r>
      <w:r>
        <w:rPr>
          <w:rFonts w:hint="eastAsia"/>
        </w:rPr>
        <w:tab/>
      </w:r>
      <w:r>
        <w:rPr>
          <w:rFonts w:hint="eastAsia"/>
        </w:rPr>
        <w:tab/>
        <w:t>11</w:t>
      </w:r>
      <w:r>
        <w:rPr>
          <w:rFonts w:hint="eastAsia"/>
        </w:rPr>
        <w:tab/>
        <w:t>-</w:t>
      </w:r>
      <w:r>
        <w:rPr>
          <w:rFonts w:hint="eastAsia"/>
        </w:rPr>
        <w:tab/>
        <w:t>29</w:t>
      </w:r>
      <w:r>
        <w:rPr>
          <w:rFonts w:hint="eastAsia"/>
        </w:rPr>
        <w:tab/>
      </w:r>
      <w:r>
        <w:t>5</w:t>
      </w:r>
    </w:p>
    <w:p w:rsidR="00000000" w:rsidRDefault="00000000">
      <w:pPr>
        <w:pStyle w:val="a4"/>
        <w:tabs>
          <w:tab w:val="clear" w:pos="510"/>
        </w:tabs>
        <w:ind w:left="1020"/>
      </w:pPr>
      <w:r>
        <w:rPr>
          <w:rFonts w:hint="eastAsia"/>
        </w:rPr>
        <w:t>第</w:t>
      </w:r>
      <w:r>
        <w:rPr>
          <w:rFonts w:hint="eastAsia"/>
        </w:rPr>
        <w:t>2</w:t>
      </w:r>
      <w:r>
        <w:rPr>
          <w:rFonts w:hint="eastAsia"/>
        </w:rPr>
        <w:t>条</w:t>
      </w:r>
      <w:r>
        <w:t>……………</w:t>
      </w:r>
      <w:r>
        <w:rPr>
          <w:rFonts w:hint="eastAsia"/>
        </w:rPr>
        <w:tab/>
      </w:r>
      <w:r>
        <w:rPr>
          <w:rFonts w:hint="eastAsia"/>
        </w:rPr>
        <w:tab/>
        <w:t>30</w:t>
      </w:r>
      <w:r>
        <w:rPr>
          <w:rFonts w:hint="eastAsia"/>
        </w:rPr>
        <w:tab/>
        <w:t>-</w:t>
      </w:r>
      <w:r>
        <w:rPr>
          <w:rFonts w:hint="eastAsia"/>
        </w:rPr>
        <w:tab/>
        <w:t>62</w:t>
      </w:r>
      <w:r>
        <w:rPr>
          <w:rFonts w:hint="eastAsia"/>
        </w:rPr>
        <w:tab/>
      </w:r>
      <w:r>
        <w:t>9</w:t>
      </w:r>
    </w:p>
    <w:p w:rsidR="00000000" w:rsidRDefault="00000000">
      <w:pPr>
        <w:pStyle w:val="a4"/>
        <w:tabs>
          <w:tab w:val="clear" w:pos="510"/>
        </w:tabs>
      </w:pPr>
      <w:r>
        <w:rPr>
          <w:rFonts w:hint="eastAsia"/>
        </w:rPr>
        <w:t>二、《经济、社会、文化权利国际公约》所规定的具体权利</w:t>
      </w:r>
      <w:r>
        <w:t>…….</w:t>
      </w:r>
      <w:r>
        <w:rPr>
          <w:rFonts w:hint="eastAsia"/>
        </w:rPr>
        <w:tab/>
      </w:r>
      <w:r>
        <w:rPr>
          <w:rFonts w:hint="eastAsia"/>
        </w:rPr>
        <w:tab/>
        <w:t>63</w:t>
      </w:r>
      <w:r>
        <w:rPr>
          <w:rFonts w:hint="eastAsia"/>
        </w:rPr>
        <w:tab/>
        <w:t>-</w:t>
      </w:r>
      <w:r>
        <w:rPr>
          <w:rFonts w:hint="eastAsia"/>
        </w:rPr>
        <w:tab/>
        <w:t>699</w:t>
      </w:r>
      <w:r>
        <w:rPr>
          <w:rFonts w:hint="eastAsia"/>
        </w:rPr>
        <w:tab/>
      </w:r>
      <w:r>
        <w:t>14</w:t>
      </w:r>
    </w:p>
    <w:p w:rsidR="00000000" w:rsidRDefault="00000000">
      <w:pPr>
        <w:pStyle w:val="a4"/>
        <w:tabs>
          <w:tab w:val="clear" w:pos="510"/>
        </w:tabs>
        <w:ind w:left="1020"/>
      </w:pPr>
      <w:r>
        <w:rPr>
          <w:rFonts w:hint="eastAsia"/>
        </w:rPr>
        <w:t>第</w:t>
      </w:r>
      <w:r>
        <w:rPr>
          <w:rFonts w:hint="eastAsia"/>
        </w:rPr>
        <w:t>6</w:t>
      </w:r>
      <w:r>
        <w:rPr>
          <w:rFonts w:hint="eastAsia"/>
        </w:rPr>
        <w:t>条</w:t>
      </w:r>
      <w:r>
        <w:t>…………</w:t>
      </w:r>
      <w:r>
        <w:rPr>
          <w:rFonts w:hint="eastAsia"/>
        </w:rPr>
        <w:tab/>
      </w:r>
      <w:r>
        <w:rPr>
          <w:rFonts w:hint="eastAsia"/>
        </w:rPr>
        <w:tab/>
        <w:t>63</w:t>
      </w:r>
      <w:r>
        <w:rPr>
          <w:rFonts w:hint="eastAsia"/>
        </w:rPr>
        <w:tab/>
        <w:t>-</w:t>
      </w:r>
      <w:r>
        <w:rPr>
          <w:rFonts w:hint="eastAsia"/>
        </w:rPr>
        <w:tab/>
        <w:t>141</w:t>
      </w:r>
      <w:r>
        <w:rPr>
          <w:rFonts w:hint="eastAsia"/>
        </w:rPr>
        <w:tab/>
      </w:r>
      <w:r>
        <w:t>14</w:t>
      </w:r>
    </w:p>
    <w:p w:rsidR="00000000" w:rsidRDefault="00000000">
      <w:pPr>
        <w:pStyle w:val="a4"/>
        <w:tabs>
          <w:tab w:val="clear" w:pos="510"/>
        </w:tabs>
        <w:ind w:left="1020"/>
      </w:pPr>
      <w:r>
        <w:rPr>
          <w:rFonts w:hint="eastAsia"/>
        </w:rPr>
        <w:t>第</w:t>
      </w:r>
      <w:r>
        <w:rPr>
          <w:rFonts w:hint="eastAsia"/>
        </w:rPr>
        <w:t>7</w:t>
      </w:r>
      <w:r>
        <w:rPr>
          <w:rFonts w:hint="eastAsia"/>
        </w:rPr>
        <w:t>条</w:t>
      </w:r>
      <w:r>
        <w:t>…………</w:t>
      </w:r>
      <w:r>
        <w:rPr>
          <w:rFonts w:hint="eastAsia"/>
        </w:rPr>
        <w:tab/>
      </w:r>
      <w:r>
        <w:rPr>
          <w:rFonts w:hint="eastAsia"/>
        </w:rPr>
        <w:tab/>
        <w:t>142</w:t>
      </w:r>
      <w:r>
        <w:rPr>
          <w:rFonts w:hint="eastAsia"/>
        </w:rPr>
        <w:tab/>
        <w:t>-</w:t>
      </w:r>
      <w:r>
        <w:rPr>
          <w:rFonts w:hint="eastAsia"/>
        </w:rPr>
        <w:tab/>
        <w:t>187</w:t>
      </w:r>
      <w:r>
        <w:rPr>
          <w:rFonts w:hint="eastAsia"/>
        </w:rPr>
        <w:tab/>
      </w:r>
      <w:r>
        <w:t>34</w:t>
      </w:r>
    </w:p>
    <w:p w:rsidR="00000000" w:rsidRDefault="00000000">
      <w:pPr>
        <w:pStyle w:val="a4"/>
        <w:tabs>
          <w:tab w:val="clear" w:pos="510"/>
        </w:tabs>
        <w:ind w:left="1020"/>
      </w:pPr>
      <w:r>
        <w:rPr>
          <w:rFonts w:hint="eastAsia"/>
        </w:rPr>
        <w:t>第</w:t>
      </w:r>
      <w:r>
        <w:rPr>
          <w:rFonts w:hint="eastAsia"/>
        </w:rPr>
        <w:t>8</w:t>
      </w:r>
      <w:r>
        <w:rPr>
          <w:rFonts w:hint="eastAsia"/>
        </w:rPr>
        <w:t>条</w:t>
      </w:r>
      <w:r>
        <w:t>…………</w:t>
      </w:r>
      <w:r>
        <w:rPr>
          <w:rFonts w:hint="eastAsia"/>
        </w:rPr>
        <w:tab/>
      </w:r>
      <w:r>
        <w:rPr>
          <w:rFonts w:hint="eastAsia"/>
        </w:rPr>
        <w:tab/>
        <w:t>188</w:t>
      </w:r>
      <w:r>
        <w:rPr>
          <w:rFonts w:hint="eastAsia"/>
        </w:rPr>
        <w:tab/>
        <w:t>-</w:t>
      </w:r>
      <w:r>
        <w:rPr>
          <w:rFonts w:hint="eastAsia"/>
        </w:rPr>
        <w:tab/>
        <w:t>227</w:t>
      </w:r>
      <w:r>
        <w:rPr>
          <w:rFonts w:hint="eastAsia"/>
        </w:rPr>
        <w:tab/>
      </w:r>
      <w:r>
        <w:t>44</w:t>
      </w:r>
    </w:p>
    <w:p w:rsidR="00000000" w:rsidRDefault="00000000">
      <w:pPr>
        <w:pStyle w:val="a4"/>
        <w:tabs>
          <w:tab w:val="clear" w:pos="510"/>
        </w:tabs>
        <w:ind w:left="1020"/>
      </w:pPr>
      <w:r>
        <w:rPr>
          <w:rFonts w:hint="eastAsia"/>
        </w:rPr>
        <w:t>第</w:t>
      </w:r>
      <w:r>
        <w:rPr>
          <w:rFonts w:hint="eastAsia"/>
        </w:rPr>
        <w:t>9</w:t>
      </w:r>
      <w:r>
        <w:rPr>
          <w:rFonts w:hint="eastAsia"/>
        </w:rPr>
        <w:t>条</w:t>
      </w:r>
      <w:r>
        <w:t>…………</w:t>
      </w:r>
      <w:r>
        <w:rPr>
          <w:rFonts w:hint="eastAsia"/>
        </w:rPr>
        <w:tab/>
      </w:r>
      <w:r>
        <w:rPr>
          <w:rFonts w:hint="eastAsia"/>
        </w:rPr>
        <w:tab/>
        <w:t>228</w:t>
      </w:r>
      <w:r>
        <w:rPr>
          <w:rFonts w:hint="eastAsia"/>
        </w:rPr>
        <w:tab/>
        <w:t>-</w:t>
      </w:r>
      <w:r>
        <w:rPr>
          <w:rFonts w:hint="eastAsia"/>
        </w:rPr>
        <w:tab/>
        <w:t>269</w:t>
      </w:r>
      <w:r>
        <w:rPr>
          <w:rFonts w:hint="eastAsia"/>
        </w:rPr>
        <w:tab/>
      </w:r>
      <w:r>
        <w:t>50</w:t>
      </w:r>
    </w:p>
    <w:p w:rsidR="00000000" w:rsidRDefault="00000000">
      <w:pPr>
        <w:pStyle w:val="a4"/>
        <w:tabs>
          <w:tab w:val="clear" w:pos="510"/>
        </w:tabs>
        <w:ind w:left="1020"/>
      </w:pPr>
      <w:r>
        <w:rPr>
          <w:rFonts w:hint="eastAsia"/>
        </w:rPr>
        <w:t>第</w:t>
      </w:r>
      <w:r>
        <w:rPr>
          <w:rFonts w:hint="eastAsia"/>
        </w:rPr>
        <w:t>10</w:t>
      </w:r>
      <w:r>
        <w:rPr>
          <w:rFonts w:hint="eastAsia"/>
        </w:rPr>
        <w:t>条</w:t>
      </w:r>
      <w:r>
        <w:t>…………</w:t>
      </w:r>
      <w:r>
        <w:rPr>
          <w:rFonts w:hint="eastAsia"/>
        </w:rPr>
        <w:tab/>
      </w:r>
      <w:r>
        <w:rPr>
          <w:rFonts w:hint="eastAsia"/>
        </w:rPr>
        <w:tab/>
        <w:t>270</w:t>
      </w:r>
      <w:r>
        <w:rPr>
          <w:rFonts w:hint="eastAsia"/>
        </w:rPr>
        <w:tab/>
        <w:t>-</w:t>
      </w:r>
      <w:r>
        <w:rPr>
          <w:rFonts w:hint="eastAsia"/>
        </w:rPr>
        <w:tab/>
        <w:t>287</w:t>
      </w:r>
      <w:r>
        <w:rPr>
          <w:rFonts w:hint="eastAsia"/>
        </w:rPr>
        <w:tab/>
      </w:r>
      <w:r>
        <w:t>58</w:t>
      </w:r>
    </w:p>
    <w:p w:rsidR="00000000" w:rsidRDefault="00000000">
      <w:pPr>
        <w:pStyle w:val="a4"/>
        <w:tabs>
          <w:tab w:val="clear" w:pos="510"/>
        </w:tabs>
        <w:ind w:left="1020"/>
      </w:pPr>
      <w:r>
        <w:rPr>
          <w:rFonts w:hint="eastAsia"/>
        </w:rPr>
        <w:t>第</w:t>
      </w:r>
      <w:r>
        <w:rPr>
          <w:rFonts w:hint="eastAsia"/>
        </w:rPr>
        <w:t>11</w:t>
      </w:r>
      <w:r>
        <w:rPr>
          <w:rFonts w:hint="eastAsia"/>
        </w:rPr>
        <w:t>条</w:t>
      </w:r>
      <w:r>
        <w:t>…………</w:t>
      </w:r>
      <w:r>
        <w:rPr>
          <w:rFonts w:hint="eastAsia"/>
        </w:rPr>
        <w:tab/>
      </w:r>
      <w:r>
        <w:rPr>
          <w:rFonts w:hint="eastAsia"/>
        </w:rPr>
        <w:tab/>
        <w:t>288</w:t>
      </w:r>
      <w:r>
        <w:rPr>
          <w:rFonts w:hint="eastAsia"/>
        </w:rPr>
        <w:tab/>
        <w:t>-</w:t>
      </w:r>
      <w:r>
        <w:rPr>
          <w:rFonts w:hint="eastAsia"/>
        </w:rPr>
        <w:tab/>
        <w:t>407</w:t>
      </w:r>
      <w:r>
        <w:rPr>
          <w:rFonts w:hint="eastAsia"/>
        </w:rPr>
        <w:tab/>
      </w:r>
      <w:r>
        <w:t>62</w:t>
      </w:r>
    </w:p>
    <w:p w:rsidR="00000000" w:rsidRDefault="00000000">
      <w:pPr>
        <w:pStyle w:val="a4"/>
        <w:tabs>
          <w:tab w:val="clear" w:pos="510"/>
        </w:tabs>
        <w:ind w:left="1020"/>
      </w:pPr>
      <w:r>
        <w:rPr>
          <w:rFonts w:hint="eastAsia"/>
        </w:rPr>
        <w:t>第</w:t>
      </w:r>
      <w:r>
        <w:rPr>
          <w:rFonts w:hint="eastAsia"/>
        </w:rPr>
        <w:t>12</w:t>
      </w:r>
      <w:r>
        <w:rPr>
          <w:rFonts w:hint="eastAsia"/>
        </w:rPr>
        <w:t>条</w:t>
      </w:r>
      <w:r>
        <w:t>…………</w:t>
      </w:r>
      <w:r>
        <w:rPr>
          <w:rFonts w:hint="eastAsia"/>
        </w:rPr>
        <w:tab/>
      </w:r>
      <w:r>
        <w:rPr>
          <w:rFonts w:hint="eastAsia"/>
        </w:rPr>
        <w:tab/>
        <w:t>408</w:t>
      </w:r>
      <w:r>
        <w:rPr>
          <w:rFonts w:hint="eastAsia"/>
        </w:rPr>
        <w:tab/>
        <w:t>-</w:t>
      </w:r>
      <w:r>
        <w:rPr>
          <w:rFonts w:hint="eastAsia"/>
        </w:rPr>
        <w:tab/>
        <w:t>533</w:t>
      </w:r>
      <w:r>
        <w:rPr>
          <w:rFonts w:hint="eastAsia"/>
        </w:rPr>
        <w:tab/>
      </w:r>
      <w:r>
        <w:t>87</w:t>
      </w:r>
    </w:p>
    <w:p w:rsidR="00000000" w:rsidRDefault="00000000">
      <w:pPr>
        <w:pStyle w:val="a4"/>
        <w:tabs>
          <w:tab w:val="clear" w:pos="510"/>
        </w:tabs>
        <w:ind w:left="1020"/>
      </w:pPr>
      <w:r>
        <w:rPr>
          <w:rFonts w:hint="eastAsia"/>
        </w:rPr>
        <w:t>第</w:t>
      </w:r>
      <w:r>
        <w:rPr>
          <w:rFonts w:hint="eastAsia"/>
        </w:rPr>
        <w:t>13</w:t>
      </w:r>
      <w:r>
        <w:rPr>
          <w:rFonts w:hint="eastAsia"/>
        </w:rPr>
        <w:t>条</w:t>
      </w:r>
      <w:r>
        <w:t>…………</w:t>
      </w:r>
      <w:r>
        <w:rPr>
          <w:rFonts w:hint="eastAsia"/>
        </w:rPr>
        <w:tab/>
      </w:r>
      <w:r>
        <w:rPr>
          <w:rFonts w:hint="eastAsia"/>
        </w:rPr>
        <w:tab/>
        <w:t>534</w:t>
      </w:r>
      <w:r>
        <w:rPr>
          <w:rFonts w:hint="eastAsia"/>
        </w:rPr>
        <w:tab/>
        <w:t>-</w:t>
      </w:r>
      <w:r>
        <w:rPr>
          <w:rFonts w:hint="eastAsia"/>
        </w:rPr>
        <w:tab/>
        <w:t>592</w:t>
      </w:r>
      <w:r>
        <w:rPr>
          <w:rFonts w:hint="eastAsia"/>
        </w:rPr>
        <w:tab/>
      </w:r>
      <w:r>
        <w:t>113</w:t>
      </w:r>
    </w:p>
    <w:p w:rsidR="00000000" w:rsidRDefault="00000000">
      <w:pPr>
        <w:pStyle w:val="a4"/>
        <w:tabs>
          <w:tab w:val="clear" w:pos="510"/>
        </w:tabs>
        <w:ind w:left="1020"/>
      </w:pPr>
      <w:r>
        <w:rPr>
          <w:rFonts w:hint="eastAsia"/>
        </w:rPr>
        <w:t>第</w:t>
      </w:r>
      <w:r>
        <w:rPr>
          <w:rFonts w:hint="eastAsia"/>
        </w:rPr>
        <w:t>14</w:t>
      </w:r>
      <w:r>
        <w:rPr>
          <w:rFonts w:hint="eastAsia"/>
        </w:rPr>
        <w:t>条</w:t>
      </w:r>
      <w:r>
        <w:t>…………</w:t>
      </w:r>
      <w:r>
        <w:rPr>
          <w:rFonts w:hint="eastAsia"/>
        </w:rPr>
        <w:tab/>
      </w:r>
      <w:r>
        <w:rPr>
          <w:rFonts w:hint="eastAsia"/>
        </w:rPr>
        <w:tab/>
      </w:r>
      <w:r>
        <w:rPr>
          <w:rFonts w:hint="eastAsia"/>
        </w:rPr>
        <w:tab/>
        <w:t>593</w:t>
      </w:r>
      <w:r>
        <w:rPr>
          <w:rFonts w:hint="eastAsia"/>
        </w:rPr>
        <w:tab/>
      </w:r>
      <w:r>
        <w:t>126</w:t>
      </w:r>
    </w:p>
    <w:p w:rsidR="00000000" w:rsidRDefault="00000000">
      <w:pPr>
        <w:pStyle w:val="a4"/>
        <w:tabs>
          <w:tab w:val="clear" w:pos="510"/>
        </w:tabs>
        <w:ind w:left="1020"/>
      </w:pPr>
      <w:r>
        <w:rPr>
          <w:rFonts w:hint="eastAsia"/>
        </w:rPr>
        <w:t>第</w:t>
      </w:r>
      <w:r>
        <w:rPr>
          <w:rFonts w:hint="eastAsia"/>
        </w:rPr>
        <w:t>15</w:t>
      </w:r>
      <w:r>
        <w:rPr>
          <w:rFonts w:hint="eastAsia"/>
        </w:rPr>
        <w:t>条</w:t>
      </w:r>
      <w:r>
        <w:t>…………</w:t>
      </w:r>
      <w:r>
        <w:rPr>
          <w:rFonts w:hint="eastAsia"/>
        </w:rPr>
        <w:tab/>
      </w:r>
      <w:r>
        <w:rPr>
          <w:rFonts w:hint="eastAsia"/>
        </w:rPr>
        <w:tab/>
        <w:t>594</w:t>
      </w:r>
      <w:r>
        <w:rPr>
          <w:rFonts w:hint="eastAsia"/>
        </w:rPr>
        <w:tab/>
        <w:t>-</w:t>
      </w:r>
      <w:r>
        <w:rPr>
          <w:rFonts w:hint="eastAsia"/>
        </w:rPr>
        <w:tab/>
        <w:t>699</w:t>
      </w:r>
      <w:r>
        <w:rPr>
          <w:rFonts w:hint="eastAsia"/>
        </w:rPr>
        <w:tab/>
      </w:r>
      <w:r>
        <w:t>126</w:t>
      </w:r>
    </w:p>
    <w:p w:rsidR="00000000" w:rsidRDefault="00000000">
      <w:pPr>
        <w:pStyle w:val="a4"/>
        <w:tabs>
          <w:tab w:val="clear" w:pos="510"/>
        </w:tabs>
        <w:ind w:left="1530"/>
        <w:rPr>
          <w:rFonts w:hint="eastAsia"/>
        </w:rPr>
      </w:pPr>
    </w:p>
    <w:p w:rsidR="00000000" w:rsidRDefault="00000000">
      <w:pPr>
        <w:pStyle w:val="Heading2"/>
        <w:rPr>
          <w:rFonts w:hint="eastAsia"/>
        </w:rPr>
      </w:pPr>
      <w:r>
        <w:br w:type="page"/>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希腊有幸向经济、社会、文化权利委员会提交其初次报告。该报告主要涉及</w:t>
      </w:r>
      <w:r>
        <w:rPr>
          <w:rFonts w:hint="eastAsia"/>
        </w:rPr>
        <w:t>1996-2001</w:t>
      </w:r>
      <w:r>
        <w:rPr>
          <w:rFonts w:hint="eastAsia"/>
        </w:rPr>
        <w:t>年时期；但是在某些领域中，报告涉及</w:t>
      </w:r>
      <w:r>
        <w:rPr>
          <w:rFonts w:hint="eastAsia"/>
        </w:rPr>
        <w:t>1990</w:t>
      </w:r>
      <w:r>
        <w:rPr>
          <w:rFonts w:hint="eastAsia"/>
        </w:rPr>
        <w:t>年代的全部或者部分，或追溯到</w:t>
      </w:r>
      <w:r>
        <w:rPr>
          <w:rFonts w:hint="eastAsia"/>
        </w:rPr>
        <w:t>1980</w:t>
      </w:r>
      <w:r>
        <w:rPr>
          <w:rFonts w:hint="eastAsia"/>
        </w:rPr>
        <w:t>年代或者甚至几十年前。报告中的数据也涉及各个时期，有的是</w:t>
      </w:r>
      <w:r>
        <w:rPr>
          <w:rFonts w:hint="eastAsia"/>
        </w:rPr>
        <w:t>1980</w:t>
      </w:r>
      <w:r>
        <w:rPr>
          <w:rFonts w:hint="eastAsia"/>
        </w:rPr>
        <w:t>年代的，有的甚至是本年度的，例如有关受教育权利的讨论</w:t>
      </w:r>
      <w:r>
        <w:rPr>
          <w:rFonts w:hint="eastAsia"/>
        </w:rPr>
        <w:t>(2001-2002</w:t>
      </w:r>
      <w:r>
        <w:rPr>
          <w:rFonts w:hint="eastAsia"/>
        </w:rPr>
        <w:t>学年</w:t>
      </w:r>
      <w:r>
        <w:rPr>
          <w:rFonts w:hint="eastAsia"/>
        </w:rPr>
        <w:t>)</w:t>
      </w:r>
      <w:r>
        <w:rPr>
          <w:rFonts w:hint="eastAsia"/>
        </w:rPr>
        <w:t>。</w:t>
      </w:r>
    </w:p>
    <w:p w:rsidR="00000000" w:rsidRDefault="00000000">
      <w:pPr>
        <w:rPr>
          <w:rFonts w:hint="eastAsia"/>
        </w:rPr>
      </w:pPr>
      <w:r>
        <w:rPr>
          <w:rFonts w:hint="eastAsia"/>
        </w:rPr>
        <w:tab/>
        <w:t xml:space="preserve">2.  </w:t>
      </w:r>
      <w:r>
        <w:rPr>
          <w:rFonts w:hint="eastAsia"/>
        </w:rPr>
        <w:t>总共有</w:t>
      </w:r>
      <w:r>
        <w:rPr>
          <w:rFonts w:hint="eastAsia"/>
        </w:rPr>
        <w:t>13</w:t>
      </w:r>
      <w:r>
        <w:rPr>
          <w:rFonts w:hint="eastAsia"/>
        </w:rPr>
        <w:t>个部参与了本报告的编写工作，每一个部负责其主管领域，或者由几个部共同负责同一个领域的编写工作。这些部列举如下，以《公约》的有关条款为序，同时也根据</w:t>
      </w:r>
      <w:r>
        <w:rPr>
          <w:rFonts w:hint="eastAsia"/>
        </w:rPr>
        <w:t>2001</w:t>
      </w:r>
      <w:r>
        <w:rPr>
          <w:rFonts w:hint="eastAsia"/>
        </w:rPr>
        <w:t>年</w:t>
      </w:r>
      <w:r>
        <w:rPr>
          <w:rFonts w:hint="eastAsia"/>
        </w:rPr>
        <w:t>5</w:t>
      </w:r>
      <w:r>
        <w:rPr>
          <w:rFonts w:hint="eastAsia"/>
        </w:rPr>
        <w:t>月</w:t>
      </w:r>
      <w:r>
        <w:rPr>
          <w:rFonts w:hint="eastAsia"/>
        </w:rPr>
        <w:t>9</w:t>
      </w:r>
      <w:r>
        <w:rPr>
          <w:rFonts w:hint="eastAsia"/>
        </w:rPr>
        <w:t>日</w:t>
      </w:r>
      <w:r>
        <w:rPr>
          <w:rFonts w:hint="eastAsia"/>
        </w:rPr>
        <w:t>HRI/GEN/2/</w:t>
      </w:r>
      <w:r>
        <w:t>Rev.1</w:t>
      </w:r>
      <w:r>
        <w:rPr>
          <w:rFonts w:hint="eastAsia"/>
        </w:rPr>
        <w:t>号文件第二章中所列的《编写指导》的顺序：</w:t>
      </w:r>
    </w:p>
    <w:p w:rsidR="00000000" w:rsidRDefault="00000000">
      <w:pPr>
        <w:pStyle w:val="a0"/>
        <w:tabs>
          <w:tab w:val="num" w:pos="1530"/>
        </w:tabs>
        <w:ind w:left="1530"/>
        <w:rPr>
          <w:rFonts w:hint="eastAsia"/>
        </w:rPr>
      </w:pPr>
      <w:r>
        <w:rPr>
          <w:rFonts w:hint="eastAsia"/>
        </w:rPr>
        <w:t>外交部：全面协调参与编写工作的部，负责报告的编辑和综合、导言以及第</w:t>
      </w:r>
      <w:r>
        <w:rPr>
          <w:rFonts w:hint="eastAsia"/>
        </w:rPr>
        <w:t>1</w:t>
      </w:r>
      <w:r>
        <w:rPr>
          <w:rFonts w:hint="eastAsia"/>
        </w:rPr>
        <w:t>条和第</w:t>
      </w:r>
      <w:r>
        <w:rPr>
          <w:rFonts w:hint="eastAsia"/>
        </w:rPr>
        <w:t>2</w:t>
      </w:r>
      <w:r>
        <w:rPr>
          <w:rFonts w:hint="eastAsia"/>
        </w:rPr>
        <w:t>条</w:t>
      </w:r>
      <w:r>
        <w:rPr>
          <w:rFonts w:hint="eastAsia"/>
        </w:rPr>
        <w:t>(</w:t>
      </w:r>
      <w:r>
        <w:rPr>
          <w:rFonts w:hint="eastAsia"/>
        </w:rPr>
        <w:t>第</w:t>
      </w:r>
      <w:r>
        <w:rPr>
          <w:rFonts w:hint="eastAsia"/>
        </w:rPr>
        <w:t>5</w:t>
      </w:r>
      <w:r>
        <w:rPr>
          <w:rFonts w:hint="eastAsia"/>
        </w:rPr>
        <w:t>和第</w:t>
      </w:r>
      <w:r>
        <w:rPr>
          <w:rFonts w:hint="eastAsia"/>
        </w:rPr>
        <w:t>6</w:t>
      </w:r>
      <w:r>
        <w:rPr>
          <w:rFonts w:hint="eastAsia"/>
        </w:rPr>
        <w:t>段</w:t>
      </w:r>
      <w:r>
        <w:rPr>
          <w:rFonts w:hint="eastAsia"/>
        </w:rPr>
        <w:t>)</w:t>
      </w:r>
      <w:r>
        <w:rPr>
          <w:rFonts w:hint="eastAsia"/>
        </w:rPr>
        <w:t>；</w:t>
      </w:r>
    </w:p>
    <w:p w:rsidR="00000000" w:rsidRDefault="00000000">
      <w:pPr>
        <w:pStyle w:val="a0"/>
        <w:tabs>
          <w:tab w:val="num" w:pos="1530"/>
        </w:tabs>
        <w:ind w:left="1530"/>
        <w:rPr>
          <w:rFonts w:hint="eastAsia"/>
        </w:rPr>
      </w:pPr>
      <w:r>
        <w:rPr>
          <w:rFonts w:hint="eastAsia"/>
        </w:rPr>
        <w:t>国民经济和财政部：第</w:t>
      </w:r>
      <w:r>
        <w:rPr>
          <w:rFonts w:hint="eastAsia"/>
        </w:rPr>
        <w:t>2</w:t>
      </w:r>
      <w:r>
        <w:rPr>
          <w:rFonts w:hint="eastAsia"/>
        </w:rPr>
        <w:t>条</w:t>
      </w:r>
      <w:r>
        <w:rPr>
          <w:rFonts w:hint="eastAsia"/>
        </w:rPr>
        <w:t>(</w:t>
      </w:r>
      <w:r>
        <w:rPr>
          <w:rFonts w:hint="eastAsia"/>
        </w:rPr>
        <w:t>第</w:t>
      </w:r>
      <w:r>
        <w:rPr>
          <w:rFonts w:hint="eastAsia"/>
        </w:rPr>
        <w:t>7</w:t>
      </w:r>
      <w:r>
        <w:rPr>
          <w:rFonts w:hint="eastAsia"/>
        </w:rPr>
        <w:t>段</w:t>
      </w:r>
      <w:r>
        <w:rPr>
          <w:rFonts w:hint="eastAsia"/>
        </w:rPr>
        <w:t>)</w:t>
      </w:r>
      <w:r>
        <w:rPr>
          <w:rFonts w:hint="eastAsia"/>
        </w:rPr>
        <w:t>和第</w:t>
      </w:r>
      <w:r>
        <w:rPr>
          <w:rFonts w:hint="eastAsia"/>
        </w:rPr>
        <w:t>11</w:t>
      </w:r>
      <w:r>
        <w:rPr>
          <w:rFonts w:hint="eastAsia"/>
        </w:rPr>
        <w:t>条</w:t>
      </w:r>
      <w:r>
        <w:rPr>
          <w:rFonts w:hint="eastAsia"/>
        </w:rPr>
        <w:t>(</w:t>
      </w:r>
      <w:r>
        <w:rPr>
          <w:rFonts w:hint="eastAsia"/>
        </w:rPr>
        <w:t>第</w:t>
      </w:r>
      <w:r>
        <w:rPr>
          <w:rFonts w:hint="eastAsia"/>
        </w:rPr>
        <w:t>42</w:t>
      </w:r>
      <w:r>
        <w:rPr>
          <w:rFonts w:hint="eastAsia"/>
        </w:rPr>
        <w:t>段</w:t>
      </w:r>
      <w:r>
        <w:rPr>
          <w:rFonts w:hint="eastAsia"/>
        </w:rPr>
        <w:t>)</w:t>
      </w:r>
      <w:r>
        <w:rPr>
          <w:rFonts w:hint="eastAsia"/>
        </w:rPr>
        <w:t>；</w:t>
      </w:r>
    </w:p>
    <w:p w:rsidR="00000000" w:rsidRDefault="00000000">
      <w:pPr>
        <w:pStyle w:val="a0"/>
        <w:tabs>
          <w:tab w:val="num" w:pos="1530"/>
        </w:tabs>
        <w:ind w:left="1530"/>
        <w:rPr>
          <w:rFonts w:hint="eastAsia"/>
        </w:rPr>
      </w:pPr>
      <w:r>
        <w:rPr>
          <w:rFonts w:hint="eastAsia"/>
        </w:rPr>
        <w:t>劳动和社会保障部：第</w:t>
      </w:r>
      <w:r>
        <w:rPr>
          <w:rFonts w:hint="eastAsia"/>
        </w:rPr>
        <w:t>6</w:t>
      </w:r>
      <w:r>
        <w:rPr>
          <w:rFonts w:hint="eastAsia"/>
        </w:rPr>
        <w:t>、</w:t>
      </w:r>
      <w:r>
        <w:rPr>
          <w:rFonts w:hint="eastAsia"/>
        </w:rPr>
        <w:t>7</w:t>
      </w:r>
      <w:r>
        <w:rPr>
          <w:rFonts w:hint="eastAsia"/>
        </w:rPr>
        <w:t>和</w:t>
      </w:r>
      <w:r>
        <w:rPr>
          <w:rFonts w:hint="eastAsia"/>
        </w:rPr>
        <w:t>8</w:t>
      </w:r>
      <w:r>
        <w:rPr>
          <w:rFonts w:hint="eastAsia"/>
        </w:rPr>
        <w:t>条的主要编写者，其合作者包括：</w:t>
      </w:r>
    </w:p>
    <w:p w:rsidR="00000000" w:rsidRDefault="00000000">
      <w:pPr>
        <w:pStyle w:val="a0"/>
        <w:numPr>
          <w:ilvl w:val="0"/>
          <w:numId w:val="26"/>
        </w:numPr>
        <w:tabs>
          <w:tab w:val="clear" w:pos="227"/>
        </w:tabs>
        <w:ind w:left="1984"/>
        <w:rPr>
          <w:rFonts w:hint="eastAsia"/>
        </w:rPr>
      </w:pPr>
      <w:r>
        <w:rPr>
          <w:rFonts w:hint="eastAsia"/>
        </w:rPr>
        <w:t>内务、公共管理以及权力下放部</w:t>
      </w:r>
      <w:r>
        <w:rPr>
          <w:rFonts w:hint="eastAsia"/>
        </w:rPr>
        <w:t>/</w:t>
      </w:r>
      <w:r>
        <w:rPr>
          <w:rFonts w:hint="eastAsia"/>
        </w:rPr>
        <w:t>男女平等委员会秘书长负责第</w:t>
      </w:r>
      <w:r>
        <w:rPr>
          <w:rFonts w:hint="eastAsia"/>
        </w:rPr>
        <w:t>6</w:t>
      </w:r>
      <w:r>
        <w:rPr>
          <w:rFonts w:hint="eastAsia"/>
        </w:rPr>
        <w:t>条</w:t>
      </w:r>
      <w:r>
        <w:rPr>
          <w:rFonts w:hint="eastAsia"/>
        </w:rPr>
        <w:t>(</w:t>
      </w:r>
      <w:r>
        <w:rPr>
          <w:rFonts w:hint="eastAsia"/>
        </w:rPr>
        <w:t>第</w:t>
      </w:r>
      <w:r>
        <w:rPr>
          <w:rFonts w:hint="eastAsia"/>
        </w:rPr>
        <w:t>8</w:t>
      </w:r>
      <w:r>
        <w:rPr>
          <w:rFonts w:hint="eastAsia"/>
        </w:rPr>
        <w:t>、</w:t>
      </w:r>
      <w:r>
        <w:rPr>
          <w:rFonts w:hint="eastAsia"/>
        </w:rPr>
        <w:t>9</w:t>
      </w:r>
      <w:r>
        <w:rPr>
          <w:rFonts w:hint="eastAsia"/>
        </w:rPr>
        <w:t>和</w:t>
      </w:r>
      <w:r>
        <w:rPr>
          <w:rFonts w:hint="eastAsia"/>
        </w:rPr>
        <w:t>10</w:t>
      </w:r>
      <w:r>
        <w:rPr>
          <w:rFonts w:hint="eastAsia"/>
        </w:rPr>
        <w:t>段</w:t>
      </w:r>
      <w:r>
        <w:rPr>
          <w:rFonts w:hint="eastAsia"/>
        </w:rPr>
        <w:t>)</w:t>
      </w:r>
      <w:r>
        <w:rPr>
          <w:rFonts w:hint="eastAsia"/>
        </w:rPr>
        <w:t>以及第</w:t>
      </w:r>
      <w:r>
        <w:rPr>
          <w:rFonts w:hint="eastAsia"/>
        </w:rPr>
        <w:t>7</w:t>
      </w:r>
      <w:r>
        <w:rPr>
          <w:rFonts w:hint="eastAsia"/>
        </w:rPr>
        <w:t>条</w:t>
      </w:r>
      <w:r>
        <w:rPr>
          <w:rFonts w:hint="eastAsia"/>
        </w:rPr>
        <w:t>(</w:t>
      </w:r>
      <w:r>
        <w:rPr>
          <w:rFonts w:hint="eastAsia"/>
        </w:rPr>
        <w:t>第</w:t>
      </w:r>
      <w:r>
        <w:rPr>
          <w:rFonts w:hint="eastAsia"/>
        </w:rPr>
        <w:t>15</w:t>
      </w:r>
      <w:r>
        <w:rPr>
          <w:rFonts w:hint="eastAsia"/>
        </w:rPr>
        <w:t>和第</w:t>
      </w:r>
      <w:r>
        <w:rPr>
          <w:rFonts w:hint="eastAsia"/>
        </w:rPr>
        <w:t>17</w:t>
      </w:r>
      <w:r>
        <w:rPr>
          <w:rFonts w:hint="eastAsia"/>
        </w:rPr>
        <w:t>段</w:t>
      </w:r>
      <w:r>
        <w:rPr>
          <w:rFonts w:hint="eastAsia"/>
        </w:rPr>
        <w:t>)</w:t>
      </w:r>
      <w:r>
        <w:rPr>
          <w:rFonts w:hint="eastAsia"/>
        </w:rPr>
        <w:t>；</w:t>
      </w:r>
    </w:p>
    <w:p w:rsidR="00000000" w:rsidRDefault="00000000">
      <w:pPr>
        <w:pStyle w:val="a0"/>
        <w:numPr>
          <w:ilvl w:val="0"/>
          <w:numId w:val="26"/>
        </w:numPr>
        <w:tabs>
          <w:tab w:val="clear" w:pos="227"/>
        </w:tabs>
        <w:ind w:left="1984"/>
        <w:rPr>
          <w:rFonts w:hint="eastAsia"/>
        </w:rPr>
      </w:pPr>
      <w:r>
        <w:rPr>
          <w:rFonts w:hint="eastAsia"/>
        </w:rPr>
        <w:t>内务、公共管理和权力下放部负责第</w:t>
      </w:r>
      <w:r>
        <w:rPr>
          <w:rFonts w:hint="eastAsia"/>
        </w:rPr>
        <w:t>6</w:t>
      </w:r>
      <w:r>
        <w:rPr>
          <w:rFonts w:hint="eastAsia"/>
        </w:rPr>
        <w:t>条和第</w:t>
      </w:r>
      <w:r>
        <w:rPr>
          <w:rFonts w:hint="eastAsia"/>
        </w:rPr>
        <w:t>8</w:t>
      </w:r>
      <w:r>
        <w:rPr>
          <w:rFonts w:hint="eastAsia"/>
        </w:rPr>
        <w:t>条</w:t>
      </w:r>
      <w:r>
        <w:rPr>
          <w:rFonts w:hint="eastAsia"/>
        </w:rPr>
        <w:t>(</w:t>
      </w:r>
      <w:r>
        <w:rPr>
          <w:rFonts w:hint="eastAsia"/>
        </w:rPr>
        <w:t>第</w:t>
      </w:r>
      <w:r>
        <w:rPr>
          <w:rFonts w:hint="eastAsia"/>
        </w:rPr>
        <w:t>24</w:t>
      </w:r>
      <w:r>
        <w:rPr>
          <w:rFonts w:hint="eastAsia"/>
        </w:rPr>
        <w:t>段</w:t>
      </w:r>
      <w:r>
        <w:rPr>
          <w:rFonts w:hint="eastAsia"/>
        </w:rPr>
        <w:t>)</w:t>
      </w:r>
      <w:r>
        <w:rPr>
          <w:rFonts w:hint="eastAsia"/>
        </w:rPr>
        <w:t>；</w:t>
      </w:r>
    </w:p>
    <w:p w:rsidR="00000000" w:rsidRDefault="00000000">
      <w:pPr>
        <w:pStyle w:val="a0"/>
        <w:numPr>
          <w:ilvl w:val="0"/>
          <w:numId w:val="26"/>
        </w:numPr>
        <w:tabs>
          <w:tab w:val="clear" w:pos="227"/>
        </w:tabs>
        <w:ind w:left="1984"/>
        <w:rPr>
          <w:rFonts w:hint="eastAsia"/>
        </w:rPr>
      </w:pPr>
      <w:r>
        <w:rPr>
          <w:rFonts w:hint="eastAsia"/>
        </w:rPr>
        <w:t>公共秩序部负责第</w:t>
      </w:r>
      <w:r>
        <w:rPr>
          <w:rFonts w:hint="eastAsia"/>
        </w:rPr>
        <w:t>8</w:t>
      </w:r>
      <w:r>
        <w:rPr>
          <w:rFonts w:hint="eastAsia"/>
        </w:rPr>
        <w:t>条</w:t>
      </w:r>
      <w:r>
        <w:rPr>
          <w:rFonts w:hint="eastAsia"/>
        </w:rPr>
        <w:t>(</w:t>
      </w:r>
      <w:r>
        <w:rPr>
          <w:rFonts w:hint="eastAsia"/>
        </w:rPr>
        <w:t>第</w:t>
      </w:r>
      <w:r>
        <w:rPr>
          <w:rFonts w:hint="eastAsia"/>
        </w:rPr>
        <w:t>24</w:t>
      </w:r>
      <w:r>
        <w:rPr>
          <w:rFonts w:hint="eastAsia"/>
        </w:rPr>
        <w:t>段</w:t>
      </w:r>
      <w:r>
        <w:rPr>
          <w:rFonts w:hint="eastAsia"/>
        </w:rPr>
        <w:t>)</w:t>
      </w:r>
      <w:r>
        <w:rPr>
          <w:rFonts w:hint="eastAsia"/>
        </w:rPr>
        <w:t>；以及</w:t>
      </w:r>
    </w:p>
    <w:p w:rsidR="00000000" w:rsidRDefault="00000000">
      <w:pPr>
        <w:pStyle w:val="a0"/>
        <w:numPr>
          <w:ilvl w:val="0"/>
          <w:numId w:val="26"/>
        </w:numPr>
        <w:tabs>
          <w:tab w:val="clear" w:pos="227"/>
        </w:tabs>
        <w:ind w:left="1984"/>
        <w:rPr>
          <w:rFonts w:hint="eastAsia"/>
        </w:rPr>
      </w:pPr>
      <w:r>
        <w:rPr>
          <w:rFonts w:hint="eastAsia"/>
        </w:rPr>
        <w:t>国防部负责第</w:t>
      </w:r>
      <w:r>
        <w:rPr>
          <w:rFonts w:hint="eastAsia"/>
        </w:rPr>
        <w:t>8</w:t>
      </w:r>
      <w:r>
        <w:rPr>
          <w:rFonts w:hint="eastAsia"/>
        </w:rPr>
        <w:t>条</w:t>
      </w:r>
      <w:r>
        <w:rPr>
          <w:rFonts w:hint="eastAsia"/>
        </w:rPr>
        <w:t>(</w:t>
      </w:r>
      <w:r>
        <w:rPr>
          <w:rFonts w:hint="eastAsia"/>
        </w:rPr>
        <w:t>第</w:t>
      </w:r>
      <w:r>
        <w:rPr>
          <w:rFonts w:hint="eastAsia"/>
        </w:rPr>
        <w:t>24</w:t>
      </w:r>
      <w:r>
        <w:rPr>
          <w:rFonts w:hint="eastAsia"/>
        </w:rPr>
        <w:t>段</w:t>
      </w:r>
      <w:r>
        <w:rPr>
          <w:rFonts w:hint="eastAsia"/>
        </w:rPr>
        <w:t>)</w:t>
      </w:r>
      <w:r>
        <w:rPr>
          <w:rFonts w:hint="eastAsia"/>
        </w:rPr>
        <w:t>；</w:t>
      </w:r>
    </w:p>
    <w:p w:rsidR="00000000" w:rsidRDefault="00000000">
      <w:pPr>
        <w:pStyle w:val="a0"/>
        <w:ind w:left="1530"/>
        <w:rPr>
          <w:rFonts w:hint="eastAsia"/>
        </w:rPr>
      </w:pPr>
      <w:r>
        <w:rPr>
          <w:rFonts w:hint="eastAsia"/>
        </w:rPr>
        <w:t>劳动和社会保障部</w:t>
      </w:r>
      <w:r>
        <w:rPr>
          <w:rFonts w:hint="eastAsia"/>
        </w:rPr>
        <w:t>/</w:t>
      </w:r>
      <w:r>
        <w:rPr>
          <w:rFonts w:hint="eastAsia"/>
        </w:rPr>
        <w:t>社会保障委员会秘书长：负责第</w:t>
      </w:r>
      <w:r>
        <w:rPr>
          <w:rFonts w:hint="eastAsia"/>
        </w:rPr>
        <w:t>9</w:t>
      </w:r>
      <w:r>
        <w:rPr>
          <w:rFonts w:hint="eastAsia"/>
        </w:rPr>
        <w:t>条；</w:t>
      </w:r>
    </w:p>
    <w:p w:rsidR="00000000" w:rsidRDefault="00000000">
      <w:pPr>
        <w:pStyle w:val="a0"/>
        <w:ind w:left="1530"/>
        <w:rPr>
          <w:rFonts w:hint="eastAsia"/>
        </w:rPr>
      </w:pPr>
      <w:r>
        <w:rPr>
          <w:rFonts w:hint="eastAsia"/>
        </w:rPr>
        <w:t>农业部：负责第</w:t>
      </w:r>
      <w:r>
        <w:rPr>
          <w:rFonts w:hint="eastAsia"/>
        </w:rPr>
        <w:t>6</w:t>
      </w:r>
      <w:r>
        <w:rPr>
          <w:rFonts w:hint="eastAsia"/>
        </w:rPr>
        <w:t>条</w:t>
      </w:r>
      <w:r>
        <w:rPr>
          <w:rFonts w:hint="eastAsia"/>
        </w:rPr>
        <w:t>(</w:t>
      </w:r>
      <w:r>
        <w:rPr>
          <w:rFonts w:hint="eastAsia"/>
        </w:rPr>
        <w:t>第</w:t>
      </w:r>
      <w:r>
        <w:rPr>
          <w:rFonts w:hint="eastAsia"/>
        </w:rPr>
        <w:t>8</w:t>
      </w:r>
      <w:r>
        <w:rPr>
          <w:rFonts w:hint="eastAsia"/>
        </w:rPr>
        <w:t>、</w:t>
      </w:r>
      <w:r>
        <w:rPr>
          <w:rFonts w:hint="eastAsia"/>
        </w:rPr>
        <w:t>9</w:t>
      </w:r>
      <w:r>
        <w:rPr>
          <w:rFonts w:hint="eastAsia"/>
        </w:rPr>
        <w:t>和</w:t>
      </w:r>
      <w:r>
        <w:rPr>
          <w:rFonts w:hint="eastAsia"/>
        </w:rPr>
        <w:t>13</w:t>
      </w:r>
      <w:r>
        <w:rPr>
          <w:rFonts w:hint="eastAsia"/>
        </w:rPr>
        <w:t>段</w:t>
      </w:r>
      <w:r>
        <w:rPr>
          <w:rFonts w:hint="eastAsia"/>
        </w:rPr>
        <w:t>)</w:t>
      </w:r>
      <w:r>
        <w:rPr>
          <w:rFonts w:hint="eastAsia"/>
        </w:rPr>
        <w:t>以及第</w:t>
      </w:r>
      <w:r>
        <w:rPr>
          <w:rFonts w:hint="eastAsia"/>
        </w:rPr>
        <w:t>11</w:t>
      </w:r>
      <w:r>
        <w:rPr>
          <w:rFonts w:hint="eastAsia"/>
        </w:rPr>
        <w:t>条</w:t>
      </w:r>
      <w:r>
        <w:rPr>
          <w:rFonts w:hint="eastAsia"/>
        </w:rPr>
        <w:t>(</w:t>
      </w:r>
      <w:r>
        <w:rPr>
          <w:rFonts w:hint="eastAsia"/>
        </w:rPr>
        <w:t>第</w:t>
      </w:r>
      <w:r>
        <w:rPr>
          <w:rFonts w:hint="eastAsia"/>
        </w:rPr>
        <w:t>43</w:t>
      </w:r>
      <w:r>
        <w:rPr>
          <w:rFonts w:hint="eastAsia"/>
        </w:rPr>
        <w:t>段</w:t>
      </w:r>
      <w:r>
        <w:rPr>
          <w:rFonts w:hint="eastAsia"/>
        </w:rPr>
        <w:t>)</w:t>
      </w:r>
      <w:r>
        <w:rPr>
          <w:rFonts w:hint="eastAsia"/>
        </w:rPr>
        <w:t>；</w:t>
      </w:r>
    </w:p>
    <w:p w:rsidR="00000000" w:rsidRDefault="00000000">
      <w:pPr>
        <w:pStyle w:val="a0"/>
        <w:ind w:left="1530"/>
        <w:rPr>
          <w:rFonts w:hint="eastAsia"/>
        </w:rPr>
      </w:pPr>
      <w:r>
        <w:rPr>
          <w:rFonts w:hint="eastAsia"/>
        </w:rPr>
        <w:t>卫生和社会福利部：第</w:t>
      </w:r>
      <w:r>
        <w:rPr>
          <w:rFonts w:hint="eastAsia"/>
        </w:rPr>
        <w:t>9</w:t>
      </w:r>
      <w:r>
        <w:rPr>
          <w:rFonts w:hint="eastAsia"/>
        </w:rPr>
        <w:t>条</w:t>
      </w:r>
      <w:r>
        <w:rPr>
          <w:rFonts w:hint="eastAsia"/>
        </w:rPr>
        <w:t>(</w:t>
      </w:r>
      <w:r>
        <w:rPr>
          <w:rFonts w:hint="eastAsia"/>
        </w:rPr>
        <w:t>第</w:t>
      </w:r>
      <w:r>
        <w:rPr>
          <w:rFonts w:hint="eastAsia"/>
        </w:rPr>
        <w:t>27</w:t>
      </w:r>
      <w:r>
        <w:rPr>
          <w:rFonts w:hint="eastAsia"/>
        </w:rPr>
        <w:t>和第</w:t>
      </w:r>
      <w:r>
        <w:rPr>
          <w:rFonts w:hint="eastAsia"/>
        </w:rPr>
        <w:t>28</w:t>
      </w:r>
      <w:r>
        <w:rPr>
          <w:rFonts w:hint="eastAsia"/>
        </w:rPr>
        <w:t>段</w:t>
      </w:r>
      <w:r>
        <w:rPr>
          <w:rFonts w:hint="eastAsia"/>
        </w:rPr>
        <w:t>)</w:t>
      </w:r>
      <w:r>
        <w:rPr>
          <w:rFonts w:hint="eastAsia"/>
        </w:rPr>
        <w:t>、第</w:t>
      </w:r>
      <w:r>
        <w:rPr>
          <w:rFonts w:hint="eastAsia"/>
        </w:rPr>
        <w:t>10</w:t>
      </w:r>
      <w:r>
        <w:rPr>
          <w:rFonts w:hint="eastAsia"/>
        </w:rPr>
        <w:t>和第</w:t>
      </w:r>
      <w:r>
        <w:rPr>
          <w:rFonts w:hint="eastAsia"/>
        </w:rPr>
        <w:t>11</w:t>
      </w:r>
      <w:r>
        <w:rPr>
          <w:rFonts w:hint="eastAsia"/>
        </w:rPr>
        <w:t>条</w:t>
      </w:r>
      <w:r>
        <w:rPr>
          <w:rFonts w:hint="eastAsia"/>
        </w:rPr>
        <w:t>(</w:t>
      </w:r>
      <w:r>
        <w:rPr>
          <w:rFonts w:hint="eastAsia"/>
        </w:rPr>
        <w:t>第</w:t>
      </w:r>
      <w:r>
        <w:rPr>
          <w:rFonts w:hint="eastAsia"/>
        </w:rPr>
        <w:t>43</w:t>
      </w:r>
      <w:r>
        <w:rPr>
          <w:rFonts w:hint="eastAsia"/>
        </w:rPr>
        <w:t>段</w:t>
      </w:r>
      <w:r>
        <w:rPr>
          <w:rFonts w:hint="eastAsia"/>
        </w:rPr>
        <w:t>)</w:t>
      </w:r>
      <w:r>
        <w:rPr>
          <w:rFonts w:hint="eastAsia"/>
        </w:rPr>
        <w:t>以及第</w:t>
      </w:r>
      <w:r>
        <w:rPr>
          <w:rFonts w:hint="eastAsia"/>
        </w:rPr>
        <w:t>12</w:t>
      </w:r>
      <w:r>
        <w:rPr>
          <w:rFonts w:hint="eastAsia"/>
        </w:rPr>
        <w:t>条；</w:t>
      </w:r>
    </w:p>
    <w:p w:rsidR="00000000" w:rsidRDefault="00000000">
      <w:pPr>
        <w:pStyle w:val="a0"/>
        <w:ind w:left="1530"/>
        <w:rPr>
          <w:rFonts w:hint="eastAsia"/>
        </w:rPr>
      </w:pPr>
      <w:r>
        <w:rPr>
          <w:rFonts w:hint="eastAsia"/>
        </w:rPr>
        <w:t>环境、城镇规划和公共工程部：第</w:t>
      </w:r>
      <w:r>
        <w:rPr>
          <w:rFonts w:hint="eastAsia"/>
        </w:rPr>
        <w:t>11</w:t>
      </w:r>
      <w:r>
        <w:rPr>
          <w:rFonts w:hint="eastAsia"/>
        </w:rPr>
        <w:t>条</w:t>
      </w:r>
      <w:r>
        <w:rPr>
          <w:rFonts w:hint="eastAsia"/>
        </w:rPr>
        <w:t>(</w:t>
      </w:r>
      <w:r>
        <w:rPr>
          <w:rFonts w:hint="eastAsia"/>
        </w:rPr>
        <w:t>第</w:t>
      </w:r>
      <w:r>
        <w:rPr>
          <w:rFonts w:hint="eastAsia"/>
        </w:rPr>
        <w:t>44</w:t>
      </w:r>
      <w:r>
        <w:rPr>
          <w:rFonts w:hint="eastAsia"/>
        </w:rPr>
        <w:t>段</w:t>
      </w:r>
      <w:r>
        <w:rPr>
          <w:rFonts w:hint="eastAsia"/>
        </w:rPr>
        <w:t>)</w:t>
      </w:r>
      <w:r>
        <w:rPr>
          <w:rFonts w:hint="eastAsia"/>
        </w:rPr>
        <w:t>；</w:t>
      </w:r>
    </w:p>
    <w:p w:rsidR="00000000" w:rsidRDefault="00000000">
      <w:pPr>
        <w:pStyle w:val="a0"/>
        <w:ind w:left="1530"/>
        <w:rPr>
          <w:rFonts w:hint="eastAsia"/>
        </w:rPr>
      </w:pPr>
      <w:r>
        <w:rPr>
          <w:rFonts w:hint="eastAsia"/>
        </w:rPr>
        <w:t>国民教育和宗教事务部：第</w:t>
      </w:r>
      <w:r>
        <w:rPr>
          <w:rFonts w:hint="eastAsia"/>
        </w:rPr>
        <w:t>13</w:t>
      </w:r>
      <w:r>
        <w:rPr>
          <w:rFonts w:hint="eastAsia"/>
        </w:rPr>
        <w:t>条和第</w:t>
      </w:r>
      <w:r>
        <w:rPr>
          <w:rFonts w:hint="eastAsia"/>
        </w:rPr>
        <w:t>14</w:t>
      </w:r>
      <w:r>
        <w:rPr>
          <w:rFonts w:hint="eastAsia"/>
        </w:rPr>
        <w:t>条；</w:t>
      </w:r>
    </w:p>
    <w:p w:rsidR="00000000" w:rsidRDefault="00000000">
      <w:pPr>
        <w:pStyle w:val="a0"/>
        <w:ind w:left="1530"/>
        <w:rPr>
          <w:rFonts w:hint="eastAsia"/>
        </w:rPr>
      </w:pPr>
      <w:r>
        <w:rPr>
          <w:rFonts w:hint="eastAsia"/>
        </w:rPr>
        <w:t>文化部：第</w:t>
      </w:r>
      <w:r>
        <w:rPr>
          <w:rFonts w:hint="eastAsia"/>
        </w:rPr>
        <w:t>15</w:t>
      </w:r>
      <w:r>
        <w:rPr>
          <w:rFonts w:hint="eastAsia"/>
        </w:rPr>
        <w:t>条的主要编写者，其合作者包括：</w:t>
      </w:r>
    </w:p>
    <w:p w:rsidR="00000000" w:rsidRDefault="00000000">
      <w:pPr>
        <w:pStyle w:val="a0"/>
        <w:numPr>
          <w:ilvl w:val="0"/>
          <w:numId w:val="29"/>
        </w:numPr>
        <w:tabs>
          <w:tab w:val="clear" w:pos="227"/>
        </w:tabs>
        <w:ind w:left="1984"/>
        <w:rPr>
          <w:rFonts w:hint="eastAsia"/>
        </w:rPr>
      </w:pPr>
      <w:r>
        <w:rPr>
          <w:rFonts w:hint="eastAsia"/>
        </w:rPr>
        <w:t>发展部</w:t>
      </w:r>
      <w:r>
        <w:rPr>
          <w:rFonts w:hint="eastAsia"/>
        </w:rPr>
        <w:t>/</w:t>
      </w:r>
      <w:r>
        <w:rPr>
          <w:rFonts w:hint="eastAsia"/>
        </w:rPr>
        <w:t>研究和技术委员会秘书长负责第</w:t>
      </w:r>
      <w:r>
        <w:rPr>
          <w:rFonts w:hint="eastAsia"/>
        </w:rPr>
        <w:t>15</w:t>
      </w:r>
      <w:r>
        <w:rPr>
          <w:rFonts w:hint="eastAsia"/>
        </w:rPr>
        <w:t>条</w:t>
      </w:r>
      <w:r>
        <w:rPr>
          <w:rFonts w:hint="eastAsia"/>
        </w:rPr>
        <w:t>(</w:t>
      </w:r>
      <w:r>
        <w:rPr>
          <w:rFonts w:hint="eastAsia"/>
        </w:rPr>
        <w:t>第</w:t>
      </w:r>
      <w:r>
        <w:rPr>
          <w:rFonts w:hint="eastAsia"/>
        </w:rPr>
        <w:t>67</w:t>
      </w:r>
      <w:r>
        <w:rPr>
          <w:rFonts w:hint="eastAsia"/>
        </w:rPr>
        <w:t>、</w:t>
      </w:r>
      <w:r>
        <w:rPr>
          <w:rFonts w:hint="eastAsia"/>
        </w:rPr>
        <w:t>68</w:t>
      </w:r>
      <w:r>
        <w:rPr>
          <w:rFonts w:hint="eastAsia"/>
        </w:rPr>
        <w:t>、</w:t>
      </w:r>
      <w:r>
        <w:rPr>
          <w:rFonts w:hint="eastAsia"/>
        </w:rPr>
        <w:t>69</w:t>
      </w:r>
      <w:r>
        <w:rPr>
          <w:rFonts w:hint="eastAsia"/>
        </w:rPr>
        <w:t>和</w:t>
      </w:r>
      <w:r>
        <w:rPr>
          <w:rFonts w:hint="eastAsia"/>
        </w:rPr>
        <w:t>71</w:t>
      </w:r>
      <w:r>
        <w:rPr>
          <w:rFonts w:hint="eastAsia"/>
        </w:rPr>
        <w:t>段</w:t>
      </w:r>
      <w:r>
        <w:rPr>
          <w:rFonts w:hint="eastAsia"/>
        </w:rPr>
        <w:t>)</w:t>
      </w:r>
      <w:r>
        <w:rPr>
          <w:rFonts w:hint="eastAsia"/>
        </w:rPr>
        <w:t>；以及</w:t>
      </w:r>
    </w:p>
    <w:p w:rsidR="00000000" w:rsidRDefault="00000000">
      <w:pPr>
        <w:pStyle w:val="a0"/>
        <w:numPr>
          <w:ilvl w:val="0"/>
          <w:numId w:val="29"/>
        </w:numPr>
        <w:tabs>
          <w:tab w:val="clear" w:pos="227"/>
        </w:tabs>
        <w:ind w:left="1984"/>
        <w:rPr>
          <w:rFonts w:hint="eastAsia"/>
        </w:rPr>
      </w:pPr>
      <w:r>
        <w:rPr>
          <w:rFonts w:hint="eastAsia"/>
        </w:rPr>
        <w:t>报刊和大众传媒部负责第</w:t>
      </w:r>
      <w:r>
        <w:rPr>
          <w:rFonts w:hint="eastAsia"/>
        </w:rPr>
        <w:t>15</w:t>
      </w:r>
      <w:r>
        <w:rPr>
          <w:rFonts w:hint="eastAsia"/>
        </w:rPr>
        <w:t>条</w:t>
      </w:r>
      <w:r>
        <w:rPr>
          <w:rFonts w:hint="eastAsia"/>
        </w:rPr>
        <w:t>(</w:t>
      </w:r>
      <w:r>
        <w:rPr>
          <w:rFonts w:hint="eastAsia"/>
        </w:rPr>
        <w:t>第</w:t>
      </w:r>
      <w:r>
        <w:rPr>
          <w:rFonts w:hint="eastAsia"/>
        </w:rPr>
        <w:t>66</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3.  </w:t>
      </w:r>
      <w:r>
        <w:rPr>
          <w:rFonts w:hint="eastAsia"/>
        </w:rPr>
        <w:t>事实证明，编写本报告是一项有趣和富有成效的工作，在编写报告的过程中，我们尽了一切努力遵循全面和周详的有关缔约国向经济、社会、文化权利委员会提交报告的形式和内容的《编写指导》。</w:t>
      </w:r>
    </w:p>
    <w:p w:rsidR="00000000" w:rsidRDefault="00000000">
      <w:pPr>
        <w:rPr>
          <w:rFonts w:hint="eastAsia"/>
        </w:rPr>
      </w:pPr>
      <w:r>
        <w:rPr>
          <w:rFonts w:hint="eastAsia"/>
        </w:rPr>
        <w:tab/>
        <w:t xml:space="preserve">4.  </w:t>
      </w:r>
      <w:r>
        <w:rPr>
          <w:rFonts w:hint="eastAsia"/>
        </w:rPr>
        <w:t>总的来说，由于这份报告是希腊向委员会递交的初次报告，人们认为，比《编写指导》更加深入地阐述某些重要问题是有益的，而且这种做法也符合许多参与编写工作的部的思路。在某些情况下，对于相同或者类似的问题讨论了两次，这是因为有些问题属于几个部的管辖范围，例如第</w:t>
      </w:r>
      <w:r>
        <w:rPr>
          <w:rFonts w:hint="eastAsia"/>
        </w:rPr>
        <w:t>9</w:t>
      </w:r>
      <w:r>
        <w:rPr>
          <w:rFonts w:hint="eastAsia"/>
        </w:rPr>
        <w:t>段的</w:t>
      </w:r>
      <w:r>
        <w:t>(a)</w:t>
      </w:r>
      <w:r>
        <w:rPr>
          <w:rFonts w:hint="eastAsia"/>
        </w:rPr>
        <w:t>项和</w:t>
      </w:r>
      <w:r>
        <w:t>(b)</w:t>
      </w:r>
      <w:r>
        <w:rPr>
          <w:rFonts w:hint="eastAsia"/>
        </w:rPr>
        <w:t>项</w:t>
      </w:r>
      <w:r>
        <w:rPr>
          <w:rFonts w:hint="eastAsia"/>
        </w:rPr>
        <w:t>(</w:t>
      </w:r>
      <w:r>
        <w:rPr>
          <w:rFonts w:hint="eastAsia"/>
        </w:rPr>
        <w:t>就业状况</w:t>
      </w:r>
      <w:r>
        <w:rPr>
          <w:rFonts w:hint="eastAsia"/>
        </w:rPr>
        <w:t>)</w:t>
      </w:r>
      <w:r>
        <w:rPr>
          <w:rFonts w:hint="eastAsia"/>
        </w:rPr>
        <w:t>，有些问题是一个部主管的，但是在多处地方都值得予以讨论，例如第</w:t>
      </w:r>
      <w:r>
        <w:rPr>
          <w:rFonts w:hint="eastAsia"/>
        </w:rPr>
        <w:t>66</w:t>
      </w:r>
      <w:r>
        <w:rPr>
          <w:rFonts w:hint="eastAsia"/>
        </w:rPr>
        <w:t>段</w:t>
      </w:r>
      <w:r>
        <w:t>(b)</w:t>
      </w:r>
      <w:r>
        <w:rPr>
          <w:rFonts w:hint="eastAsia"/>
        </w:rPr>
        <w:t>项和</w:t>
      </w:r>
      <w:r>
        <w:t>(f)</w:t>
      </w:r>
      <w:r>
        <w:rPr>
          <w:rFonts w:hint="eastAsia"/>
        </w:rPr>
        <w:t>项以及第</w:t>
      </w:r>
      <w:r>
        <w:rPr>
          <w:rFonts w:hint="eastAsia"/>
        </w:rPr>
        <w:t>69</w:t>
      </w:r>
      <w:r>
        <w:rPr>
          <w:rFonts w:hint="eastAsia"/>
        </w:rPr>
        <w:t>段</w:t>
      </w:r>
      <w:r>
        <w:rPr>
          <w:rFonts w:hint="eastAsia"/>
        </w:rPr>
        <w:t>(</w:t>
      </w:r>
      <w:r>
        <w:rPr>
          <w:rFonts w:hint="eastAsia"/>
        </w:rPr>
        <w:t>斯通中心</w:t>
      </w:r>
      <w:r>
        <w:rPr>
          <w:rFonts w:hint="eastAsia"/>
        </w:rPr>
        <w:t>)</w:t>
      </w:r>
      <w:r>
        <w:rPr>
          <w:rFonts w:hint="eastAsia"/>
        </w:rPr>
        <w:t>。在另外一些情况下，为了行文的连贯，段落和分段落的排列顺序同《编写指导》有些不同，例如有关享受适足住房权利的第</w:t>
      </w:r>
      <w:r>
        <w:rPr>
          <w:rFonts w:hint="eastAsia"/>
        </w:rPr>
        <w:t>44</w:t>
      </w:r>
      <w:r>
        <w:rPr>
          <w:rFonts w:hint="eastAsia"/>
        </w:rPr>
        <w:t>段。</w:t>
      </w:r>
    </w:p>
    <w:p w:rsidR="00000000" w:rsidRDefault="00000000">
      <w:pPr>
        <w:rPr>
          <w:rFonts w:hint="eastAsia"/>
        </w:rPr>
      </w:pPr>
      <w:r>
        <w:rPr>
          <w:rFonts w:hint="eastAsia"/>
        </w:rPr>
        <w:tab/>
        <w:t xml:space="preserve">5.  </w:t>
      </w:r>
      <w:r>
        <w:rPr>
          <w:rFonts w:hint="eastAsia"/>
        </w:rPr>
        <w:t>《编写指导》里提出的某些问题，本报告没有给予答复，这主要是因为这些问题不符合希腊的情况。特别是有些条款的最后章节，因为它们涉及国际援助在实现有关权利方面的作用。作为于</w:t>
      </w:r>
      <w:r>
        <w:rPr>
          <w:rFonts w:hint="eastAsia"/>
        </w:rPr>
        <w:t>1981</w:t>
      </w:r>
      <w:r>
        <w:rPr>
          <w:rFonts w:hint="eastAsia"/>
        </w:rPr>
        <w:t>年参加欧洲联盟的发达国家，除了欧洲联盟为其成员国所制定的某些方案提供的援助之外，希腊原则上不接受旨在帮助实现《公约》规定权利的国际援助。下文第</w:t>
      </w:r>
      <w:r>
        <w:rPr>
          <w:rFonts w:hint="eastAsia"/>
        </w:rPr>
        <w:t>55</w:t>
      </w:r>
      <w:r>
        <w:rPr>
          <w:rFonts w:hint="eastAsia"/>
        </w:rPr>
        <w:t>段中所提到的卫生组织提供的技术援助可能是一个例外。</w:t>
      </w:r>
    </w:p>
    <w:p w:rsidR="00000000" w:rsidRDefault="00000000">
      <w:pPr>
        <w:rPr>
          <w:rFonts w:hint="eastAsia"/>
        </w:rPr>
      </w:pPr>
      <w:r>
        <w:rPr>
          <w:rFonts w:hint="eastAsia"/>
        </w:rPr>
        <w:tab/>
        <w:t xml:space="preserve">6.  </w:t>
      </w:r>
      <w:r>
        <w:rPr>
          <w:rFonts w:hint="eastAsia"/>
        </w:rPr>
        <w:t>然而，在多数情况下，本报告回答了就这些最后章节提出的问题，提供了有关希腊以双边方式或者在欧盟的构架内向第三国提供国际援助的资料，例如有关帮助实现取得适足食品权利的第</w:t>
      </w:r>
      <w:r>
        <w:rPr>
          <w:rFonts w:hint="eastAsia"/>
        </w:rPr>
        <w:t>43</w:t>
      </w:r>
      <w:r>
        <w:rPr>
          <w:rFonts w:hint="eastAsia"/>
        </w:rPr>
        <w:t>段</w:t>
      </w:r>
      <w:r>
        <w:t>(h)</w:t>
      </w:r>
      <w:r>
        <w:rPr>
          <w:rFonts w:hint="eastAsia"/>
        </w:rPr>
        <w:t>项。</w:t>
      </w:r>
    </w:p>
    <w:p w:rsidR="00000000" w:rsidRDefault="00000000">
      <w:pPr>
        <w:rPr>
          <w:rFonts w:hint="eastAsia"/>
        </w:rPr>
      </w:pPr>
      <w:r>
        <w:rPr>
          <w:rFonts w:hint="eastAsia"/>
        </w:rPr>
        <w:tab/>
        <w:t xml:space="preserve">7.  </w:t>
      </w:r>
      <w:r>
        <w:rPr>
          <w:rFonts w:hint="eastAsia"/>
        </w:rPr>
        <w:t>同时，报告也提供了有关通过欧盟方案提供财政资助，用于改进基础设施、设备或者服务的信息，例如有关实现《公约》第</w:t>
      </w:r>
      <w:r>
        <w:rPr>
          <w:rFonts w:hint="eastAsia"/>
        </w:rPr>
        <w:t>10</w:t>
      </w:r>
      <w:r>
        <w:rPr>
          <w:rFonts w:hint="eastAsia"/>
        </w:rPr>
        <w:t>条和第</w:t>
      </w:r>
      <w:r>
        <w:rPr>
          <w:rFonts w:hint="eastAsia"/>
        </w:rPr>
        <w:t>13</w:t>
      </w:r>
      <w:r>
        <w:rPr>
          <w:rFonts w:hint="eastAsia"/>
        </w:rPr>
        <w:t>条所规定权利的第</w:t>
      </w:r>
      <w:r>
        <w:rPr>
          <w:rFonts w:hint="eastAsia"/>
        </w:rPr>
        <w:t>41</w:t>
      </w:r>
      <w:r>
        <w:rPr>
          <w:rFonts w:hint="eastAsia"/>
        </w:rPr>
        <w:t>段和第</w:t>
      </w:r>
      <w:r>
        <w:rPr>
          <w:rFonts w:hint="eastAsia"/>
        </w:rPr>
        <w:t>64</w:t>
      </w:r>
      <w:r>
        <w:rPr>
          <w:rFonts w:hint="eastAsia"/>
        </w:rPr>
        <w:t>段。</w:t>
      </w:r>
    </w:p>
    <w:p w:rsidR="00000000" w:rsidRDefault="00000000">
      <w:pPr>
        <w:rPr>
          <w:rFonts w:hint="eastAsia"/>
        </w:rPr>
      </w:pPr>
      <w:r>
        <w:rPr>
          <w:rFonts w:hint="eastAsia"/>
        </w:rPr>
        <w:tab/>
        <w:t xml:space="preserve">8.  </w:t>
      </w:r>
      <w:r>
        <w:rPr>
          <w:rFonts w:hint="eastAsia"/>
        </w:rPr>
        <w:t>无论是作为实质性的内容，还是作为一般性言论，都必须指出，在</w:t>
      </w:r>
      <w:r>
        <w:rPr>
          <w:rFonts w:hint="eastAsia"/>
        </w:rPr>
        <w:t>2001</w:t>
      </w:r>
      <w:r>
        <w:rPr>
          <w:rFonts w:hint="eastAsia"/>
        </w:rPr>
        <w:t>年修订的希腊《宪法》中社会性质得到了加强。特别是，经修订的《宪法》明确地将“法律的社会状况”的原则引入了希腊的法制</w:t>
      </w:r>
      <w:r>
        <w:rPr>
          <w:rFonts w:hint="eastAsia"/>
        </w:rPr>
        <w:t>(</w:t>
      </w:r>
      <w:r>
        <w:rPr>
          <w:rFonts w:hint="eastAsia"/>
        </w:rPr>
        <w:t>第</w:t>
      </w:r>
      <w:r>
        <w:rPr>
          <w:rFonts w:hint="eastAsia"/>
        </w:rPr>
        <w:t>25</w:t>
      </w:r>
      <w:r>
        <w:rPr>
          <w:rFonts w:hint="eastAsia"/>
        </w:rPr>
        <w:t>条第</w:t>
      </w:r>
      <w:r>
        <w:rPr>
          <w:rFonts w:hint="eastAsia"/>
        </w:rPr>
        <w:t>1</w:t>
      </w:r>
      <w:r>
        <w:rPr>
          <w:rFonts w:hint="eastAsia"/>
        </w:rPr>
        <w:t>款</w:t>
      </w:r>
      <w:r>
        <w:rPr>
          <w:rFonts w:hint="eastAsia"/>
        </w:rPr>
        <w:t>)</w:t>
      </w:r>
      <w:r>
        <w:rPr>
          <w:rFonts w:hint="eastAsia"/>
        </w:rPr>
        <w:t>，将这条原则同个人权利和社会成员的权利一起置于国家的保护之下。</w:t>
      </w:r>
    </w:p>
    <w:p w:rsidR="00000000" w:rsidRDefault="00000000">
      <w:pPr>
        <w:rPr>
          <w:rFonts w:hint="eastAsia"/>
        </w:rPr>
      </w:pPr>
      <w:r>
        <w:rPr>
          <w:rFonts w:hint="eastAsia"/>
        </w:rPr>
        <w:tab/>
        <w:t xml:space="preserve">9.  </w:t>
      </w:r>
      <w:r>
        <w:rPr>
          <w:rFonts w:hint="eastAsia"/>
        </w:rPr>
        <w:t>这项根本的立法原则在其他一些宪法条款中得到了具体的体现，例如第</w:t>
      </w:r>
      <w:r>
        <w:rPr>
          <w:rFonts w:hint="eastAsia"/>
        </w:rPr>
        <w:t>21</w:t>
      </w:r>
      <w:r>
        <w:rPr>
          <w:rFonts w:hint="eastAsia"/>
        </w:rPr>
        <w:t>条第</w:t>
      </w:r>
      <w:r>
        <w:rPr>
          <w:rFonts w:hint="eastAsia"/>
        </w:rPr>
        <w:t>6</w:t>
      </w:r>
      <w:r>
        <w:rPr>
          <w:rFonts w:hint="eastAsia"/>
        </w:rPr>
        <w:t>款</w:t>
      </w:r>
      <w:r>
        <w:rPr>
          <w:rFonts w:hint="eastAsia"/>
        </w:rPr>
        <w:t>(</w:t>
      </w:r>
      <w:r>
        <w:rPr>
          <w:rFonts w:hint="eastAsia"/>
        </w:rPr>
        <w:t>“保护残疾人士”</w:t>
      </w:r>
      <w:r>
        <w:rPr>
          <w:rFonts w:hint="eastAsia"/>
        </w:rPr>
        <w:t>)</w:t>
      </w:r>
      <w:r>
        <w:rPr>
          <w:rFonts w:hint="eastAsia"/>
        </w:rPr>
        <w:t>以及第</w:t>
      </w:r>
      <w:r>
        <w:rPr>
          <w:rFonts w:hint="eastAsia"/>
        </w:rPr>
        <w:t>22</w:t>
      </w:r>
      <w:r>
        <w:rPr>
          <w:rFonts w:hint="eastAsia"/>
        </w:rPr>
        <w:t>条第</w:t>
      </w:r>
      <w:r>
        <w:rPr>
          <w:rFonts w:hint="eastAsia"/>
        </w:rPr>
        <w:t>3</w:t>
      </w:r>
      <w:r>
        <w:rPr>
          <w:rFonts w:hint="eastAsia"/>
        </w:rPr>
        <w:t>款</w:t>
      </w:r>
      <w:r>
        <w:rPr>
          <w:rFonts w:hint="eastAsia"/>
        </w:rPr>
        <w:t>(</w:t>
      </w:r>
      <w:r>
        <w:rPr>
          <w:rFonts w:hint="eastAsia"/>
        </w:rPr>
        <w:t>“公务员以及地方管理机构或者其他公共组织工作人员的集体劳动协议”</w:t>
      </w:r>
      <w:r>
        <w:rPr>
          <w:rFonts w:hint="eastAsia"/>
        </w:rPr>
        <w:t>)</w:t>
      </w:r>
      <w:r>
        <w:rPr>
          <w:rFonts w:hint="eastAsia"/>
        </w:rPr>
        <w:t>；这些条款明确地说明了希腊新法制的趋势；强调保护居住在希腊的所有人的全部社会权利并且给予实质性的内容。</w:t>
      </w:r>
    </w:p>
    <w:p w:rsidR="00000000" w:rsidRDefault="00000000">
      <w:pPr>
        <w:spacing w:after="320"/>
      </w:pPr>
      <w:r>
        <w:rPr>
          <w:rFonts w:hint="eastAsia"/>
        </w:rPr>
        <w:tab/>
        <w:t xml:space="preserve">10.  </w:t>
      </w:r>
      <w:r>
        <w:rPr>
          <w:rFonts w:hint="eastAsia"/>
        </w:rPr>
        <w:t>与此同时，上述宪法条款导致国家承担新的重要义务，国家部门必须根据《宪法》第</w:t>
      </w:r>
      <w:r>
        <w:rPr>
          <w:rFonts w:hint="eastAsia"/>
        </w:rPr>
        <w:t>25</w:t>
      </w:r>
      <w:r>
        <w:rPr>
          <w:rFonts w:hint="eastAsia"/>
        </w:rPr>
        <w:t>条第</w:t>
      </w:r>
      <w:r>
        <w:rPr>
          <w:rFonts w:hint="eastAsia"/>
        </w:rPr>
        <w:t>1</w:t>
      </w:r>
      <w:r>
        <w:rPr>
          <w:rFonts w:hint="eastAsia"/>
        </w:rPr>
        <w:t>款的规定，确保不受阻碍地和有效地实行公民和社会权利以及“法律的社会状况”原则。</w:t>
      </w:r>
    </w:p>
    <w:p w:rsidR="00000000" w:rsidRDefault="00000000">
      <w:pPr>
        <w:pStyle w:val="Heading2"/>
        <w:rPr>
          <w:rFonts w:hint="eastAsia"/>
        </w:rPr>
      </w:pPr>
      <w:r>
        <w:rPr>
          <w:rFonts w:hint="eastAsia"/>
        </w:rPr>
        <w:t>一、《经济、社会、文化权利国际公约》的一般规定</w:t>
      </w:r>
    </w:p>
    <w:p w:rsidR="00000000" w:rsidRDefault="00000000">
      <w:pPr>
        <w:pStyle w:val="Heading3"/>
        <w:rPr>
          <w:rFonts w:hint="eastAsia"/>
        </w:rPr>
      </w:pPr>
      <w:r>
        <w:rPr>
          <w:rFonts w:hint="eastAsia"/>
        </w:rPr>
        <w:t>第</w:t>
      </w:r>
      <w:r>
        <w:rPr>
          <w:rFonts w:hint="eastAsia"/>
        </w:rPr>
        <w:t xml:space="preserve"> 1 </w:t>
      </w:r>
      <w:r>
        <w:rPr>
          <w:rFonts w:hint="eastAsia"/>
        </w:rPr>
        <w:t>条</w:t>
      </w:r>
    </w:p>
    <w:p w:rsidR="00000000" w:rsidRDefault="00000000">
      <w:pPr>
        <w:rPr>
          <w:rFonts w:hint="eastAsia"/>
        </w:rPr>
      </w:pPr>
      <w:r>
        <w:rPr>
          <w:rFonts w:hint="eastAsia"/>
        </w:rPr>
        <w:tab/>
        <w:t xml:space="preserve">11.  </w:t>
      </w:r>
      <w:r>
        <w:rPr>
          <w:rFonts w:hint="eastAsia"/>
        </w:rPr>
        <w:t>根据《公约》第</w:t>
      </w:r>
      <w:r>
        <w:rPr>
          <w:rFonts w:hint="eastAsia"/>
        </w:rPr>
        <w:t>1</w:t>
      </w:r>
      <w:r>
        <w:rPr>
          <w:rFonts w:hint="eastAsia"/>
        </w:rPr>
        <w:t>条的定义，以及根据所有国际保护人权文书的定义，自决权通常包括三个方面；</w:t>
      </w:r>
    </w:p>
    <w:p w:rsidR="00000000" w:rsidRDefault="00000000">
      <w:pPr>
        <w:numPr>
          <w:ilvl w:val="0"/>
          <w:numId w:val="28"/>
        </w:numPr>
        <w:rPr>
          <w:rFonts w:hint="eastAsia"/>
        </w:rPr>
      </w:pPr>
      <w:r>
        <w:rPr>
          <w:rFonts w:hint="eastAsia"/>
        </w:rPr>
        <w:t>外部自决权，以及遭受殖民主义或者种族主义政权统治的人民、遭到外国占领的人民或者被迫并入另一国家的人民的自决权。联合国大会的决议以及大会</w:t>
      </w:r>
      <w:r>
        <w:rPr>
          <w:rFonts w:hint="eastAsia"/>
        </w:rPr>
        <w:t>1948</w:t>
      </w:r>
      <w:r>
        <w:rPr>
          <w:rFonts w:hint="eastAsia"/>
        </w:rPr>
        <w:t>年</w:t>
      </w:r>
      <w:r>
        <w:rPr>
          <w:rFonts w:hint="eastAsia"/>
        </w:rPr>
        <w:t>12</w:t>
      </w:r>
      <w:r>
        <w:rPr>
          <w:rFonts w:hint="eastAsia"/>
        </w:rPr>
        <w:t>月</w:t>
      </w:r>
      <w:r>
        <w:rPr>
          <w:rFonts w:hint="eastAsia"/>
        </w:rPr>
        <w:t>12</w:t>
      </w:r>
      <w:r>
        <w:rPr>
          <w:rFonts w:hint="eastAsia"/>
        </w:rPr>
        <w:t>日的第</w:t>
      </w:r>
      <w:r>
        <w:rPr>
          <w:rFonts w:hint="eastAsia"/>
        </w:rPr>
        <w:t>1314(XII)</w:t>
      </w:r>
      <w:r>
        <w:rPr>
          <w:rFonts w:hint="eastAsia"/>
        </w:rPr>
        <w:t>号声明，</w:t>
      </w:r>
      <w:r>
        <w:rPr>
          <w:rFonts w:hint="eastAsia"/>
        </w:rPr>
        <w:t>1960</w:t>
      </w:r>
      <w:r>
        <w:rPr>
          <w:rFonts w:hint="eastAsia"/>
        </w:rPr>
        <w:t>年</w:t>
      </w:r>
      <w:r>
        <w:rPr>
          <w:rFonts w:hint="eastAsia"/>
        </w:rPr>
        <w:t>12</w:t>
      </w:r>
      <w:r>
        <w:rPr>
          <w:rFonts w:hint="eastAsia"/>
        </w:rPr>
        <w:t>月</w:t>
      </w:r>
      <w:r>
        <w:rPr>
          <w:rFonts w:hint="eastAsia"/>
        </w:rPr>
        <w:t>14</w:t>
      </w:r>
      <w:r>
        <w:rPr>
          <w:rFonts w:hint="eastAsia"/>
        </w:rPr>
        <w:t>日第</w:t>
      </w:r>
      <w:r>
        <w:rPr>
          <w:rFonts w:hint="eastAsia"/>
        </w:rPr>
        <w:t>1514(XV)</w:t>
      </w:r>
      <w:r>
        <w:rPr>
          <w:rFonts w:hint="eastAsia"/>
        </w:rPr>
        <w:t>号声明及</w:t>
      </w:r>
      <w:r>
        <w:rPr>
          <w:rFonts w:hint="eastAsia"/>
        </w:rPr>
        <w:t>1970</w:t>
      </w:r>
      <w:r>
        <w:rPr>
          <w:rFonts w:hint="eastAsia"/>
        </w:rPr>
        <w:t>年第</w:t>
      </w:r>
      <w:r>
        <w:rPr>
          <w:rFonts w:hint="eastAsia"/>
        </w:rPr>
        <w:t>2625</w:t>
      </w:r>
      <w:r>
        <w:rPr>
          <w:rFonts w:hint="eastAsia"/>
        </w:rPr>
        <w:t>号声明都承认以及保障这种自决权；</w:t>
      </w:r>
    </w:p>
    <w:p w:rsidR="00000000" w:rsidRDefault="00000000">
      <w:pPr>
        <w:numPr>
          <w:ilvl w:val="0"/>
          <w:numId w:val="28"/>
        </w:numPr>
        <w:rPr>
          <w:rFonts w:hint="eastAsia"/>
        </w:rPr>
      </w:pPr>
      <w:r>
        <w:rPr>
          <w:rFonts w:hint="eastAsia"/>
        </w:rPr>
        <w:t>内部自决权一方面涉及有权自由选择国家的社会制度和政体，另一方面也涉及有义务定期举行全国性和地方性的选举；</w:t>
      </w:r>
    </w:p>
    <w:p w:rsidR="00000000" w:rsidRDefault="00000000">
      <w:pPr>
        <w:numPr>
          <w:ilvl w:val="0"/>
          <w:numId w:val="28"/>
        </w:numPr>
        <w:spacing w:after="320"/>
        <w:rPr>
          <w:rFonts w:hint="eastAsia"/>
        </w:rPr>
      </w:pPr>
      <w:r>
        <w:rPr>
          <w:rFonts w:hint="eastAsia"/>
        </w:rPr>
        <w:t>自由支配和使用人民的自然财富和资源的权利。</w:t>
      </w:r>
    </w:p>
    <w:p w:rsidR="00000000" w:rsidRDefault="00000000">
      <w:pPr>
        <w:pStyle w:val="Heading3"/>
        <w:rPr>
          <w:rFonts w:hint="eastAsia"/>
        </w:rPr>
      </w:pPr>
      <w:r>
        <w:rPr>
          <w:rFonts w:hint="eastAsia"/>
          <w:u w:val="none"/>
        </w:rPr>
        <w:t xml:space="preserve">A.  </w:t>
      </w:r>
      <w:r>
        <w:rPr>
          <w:rFonts w:hint="eastAsia"/>
        </w:rPr>
        <w:t>外部自决权</w:t>
      </w:r>
    </w:p>
    <w:p w:rsidR="00000000" w:rsidRDefault="00000000">
      <w:pPr>
        <w:spacing w:after="320"/>
        <w:rPr>
          <w:rFonts w:hint="eastAsia"/>
        </w:rPr>
      </w:pPr>
      <w:r>
        <w:rPr>
          <w:rFonts w:hint="eastAsia"/>
        </w:rPr>
        <w:tab/>
        <w:t xml:space="preserve">12.  </w:t>
      </w:r>
      <w:r>
        <w:rPr>
          <w:rFonts w:hint="eastAsia"/>
        </w:rPr>
        <w:t>希腊于</w:t>
      </w:r>
      <w:r>
        <w:rPr>
          <w:rFonts w:hint="eastAsia"/>
        </w:rPr>
        <w:t>1830</w:t>
      </w:r>
      <w:r>
        <w:rPr>
          <w:rFonts w:hint="eastAsia"/>
        </w:rPr>
        <w:t>年成为独立自主的国家。在此以后，希腊逐步壮大并且拥有目前版图以内的领土。</w:t>
      </w:r>
      <w:r>
        <w:rPr>
          <w:rFonts w:hint="eastAsia"/>
        </w:rPr>
        <w:t>1948</w:t>
      </w:r>
      <w:r>
        <w:rPr>
          <w:rFonts w:hint="eastAsia"/>
        </w:rPr>
        <w:t>年，佐泽卡尼索斯正式并入希腊，该国的边界发生了最后一次变化，从而形成了目前的国家疆域。目前在希腊居住的绝大多数居民都属于希腊人。在希腊从来也没有什么人提出过分离主义的要求。因此，就上述的形式和意义而言，希腊领土上的人民从来没有提出过有关自决权的问题。</w:t>
      </w:r>
    </w:p>
    <w:p w:rsidR="00000000" w:rsidRDefault="00000000">
      <w:pPr>
        <w:pStyle w:val="Heading3"/>
        <w:rPr>
          <w:rFonts w:hint="eastAsia"/>
        </w:rPr>
      </w:pPr>
      <w:r>
        <w:rPr>
          <w:rFonts w:hint="eastAsia"/>
          <w:u w:val="none"/>
        </w:rPr>
        <w:t xml:space="preserve">B.  </w:t>
      </w:r>
      <w:r>
        <w:rPr>
          <w:rFonts w:hint="eastAsia"/>
        </w:rPr>
        <w:t>内部自决权</w:t>
      </w:r>
    </w:p>
    <w:p w:rsidR="00000000" w:rsidRDefault="00000000">
      <w:pPr>
        <w:pStyle w:val="Heading3"/>
        <w:rPr>
          <w:rFonts w:hint="eastAsia"/>
        </w:rPr>
      </w:pPr>
      <w:r>
        <w:rPr>
          <w:rFonts w:hint="eastAsia"/>
          <w:u w:val="none"/>
        </w:rPr>
        <w:t xml:space="preserve">1.  </w:t>
      </w:r>
      <w:r>
        <w:rPr>
          <w:rFonts w:hint="eastAsia"/>
        </w:rPr>
        <w:t>自由选择政体－社会和政治制度－定期举行选举</w:t>
      </w:r>
    </w:p>
    <w:p w:rsidR="00000000" w:rsidRDefault="00000000">
      <w:pPr>
        <w:rPr>
          <w:rFonts w:hint="eastAsia"/>
        </w:rPr>
      </w:pPr>
      <w:r>
        <w:rPr>
          <w:rFonts w:hint="eastAsia"/>
        </w:rPr>
        <w:tab/>
        <w:t xml:space="preserve">13.  </w:t>
      </w:r>
      <w:r>
        <w:rPr>
          <w:rFonts w:hint="eastAsia"/>
        </w:rPr>
        <w:t>有关希腊政体的基本原则如下：人民掌握最高权利的原则；议会选举国家首脑、代议制民主的原则；议会制原则；法治和福利国家的原则。特别重要的是《宪法》第</w:t>
      </w:r>
      <w:r>
        <w:rPr>
          <w:rFonts w:hint="eastAsia"/>
        </w:rPr>
        <w:t>1</w:t>
      </w:r>
      <w:r>
        <w:rPr>
          <w:rFonts w:hint="eastAsia"/>
        </w:rPr>
        <w:t>条第</w:t>
      </w:r>
      <w:r>
        <w:rPr>
          <w:rFonts w:hint="eastAsia"/>
        </w:rPr>
        <w:t>1</w:t>
      </w:r>
      <w:r>
        <w:rPr>
          <w:rFonts w:hint="eastAsia"/>
        </w:rPr>
        <w:t>、</w:t>
      </w:r>
      <w:r>
        <w:rPr>
          <w:rFonts w:hint="eastAsia"/>
        </w:rPr>
        <w:t>2</w:t>
      </w:r>
      <w:r>
        <w:rPr>
          <w:rFonts w:hint="eastAsia"/>
        </w:rPr>
        <w:t>和</w:t>
      </w:r>
      <w:r>
        <w:rPr>
          <w:rFonts w:hint="eastAsia"/>
        </w:rPr>
        <w:t>3</w:t>
      </w:r>
      <w:r>
        <w:rPr>
          <w:rFonts w:hint="eastAsia"/>
        </w:rPr>
        <w:t>款，因为这些条款规定希腊人民有权选择国家政体，并且承认，所有权利来自人民，所有权利属于人民和国家以及必须根据《宪法》的规定行使权利。</w:t>
      </w:r>
    </w:p>
    <w:p w:rsidR="00000000" w:rsidRDefault="00000000">
      <w:pPr>
        <w:rPr>
          <w:rFonts w:hint="eastAsia"/>
        </w:rPr>
      </w:pPr>
      <w:r>
        <w:rPr>
          <w:rFonts w:hint="eastAsia"/>
        </w:rPr>
        <w:tab/>
        <w:t>14.  1974</w:t>
      </w:r>
      <w:r>
        <w:rPr>
          <w:rFonts w:hint="eastAsia"/>
        </w:rPr>
        <w:t>年</w:t>
      </w:r>
      <w:r>
        <w:rPr>
          <w:rFonts w:hint="eastAsia"/>
        </w:rPr>
        <w:t>12</w:t>
      </w:r>
      <w:r>
        <w:rPr>
          <w:rFonts w:hint="eastAsia"/>
        </w:rPr>
        <w:t>月</w:t>
      </w:r>
      <w:r>
        <w:rPr>
          <w:rFonts w:hint="eastAsia"/>
        </w:rPr>
        <w:t>8</w:t>
      </w:r>
      <w:r>
        <w:rPr>
          <w:rFonts w:hint="eastAsia"/>
        </w:rPr>
        <w:t>日的公民投票确定了总统制和议会制共和国的政体并且对立法人员实施了某些限制。这次公民投票要求人民在总统制民主和君主立宪制民主之间作出选择。大约</w:t>
      </w:r>
      <w:r>
        <w:rPr>
          <w:rFonts w:hint="eastAsia"/>
        </w:rPr>
        <w:t>70%</w:t>
      </w:r>
      <w:r>
        <w:rPr>
          <w:rFonts w:hint="eastAsia"/>
        </w:rPr>
        <w:t>的希腊人民投票赞成总统制民主，根据《宪法》第</w:t>
      </w:r>
      <w:r>
        <w:rPr>
          <w:rFonts w:hint="eastAsia"/>
        </w:rPr>
        <w:t>110</w:t>
      </w:r>
      <w:r>
        <w:rPr>
          <w:rFonts w:hint="eastAsia"/>
        </w:rPr>
        <w:t>条第</w:t>
      </w:r>
      <w:r>
        <w:rPr>
          <w:rFonts w:hint="eastAsia"/>
        </w:rPr>
        <w:t>1</w:t>
      </w:r>
      <w:r>
        <w:rPr>
          <w:rFonts w:hint="eastAsia"/>
        </w:rPr>
        <w:t>款的规定，有关条款是不能修订的。因此，希腊目前的政体已经在人民明确授权的基础上得到了巩固，同时通过宪法中有关的明确规定固定下来。在这一框架内，立法人员可自由地改变政体的机构组织。人民参加修改《宪法》的程序，因为确定需要修改《宪法》的议会尚未完成这一程序，需要以后的议会采取后续行动。</w:t>
      </w:r>
    </w:p>
    <w:p w:rsidR="00000000" w:rsidRDefault="00000000">
      <w:pPr>
        <w:rPr>
          <w:rFonts w:hint="eastAsia"/>
        </w:rPr>
      </w:pPr>
      <w:r>
        <w:rPr>
          <w:rFonts w:hint="eastAsia"/>
        </w:rPr>
        <w:tab/>
        <w:t xml:space="preserve">15.  </w:t>
      </w:r>
      <w:r>
        <w:rPr>
          <w:rFonts w:hint="eastAsia"/>
        </w:rPr>
        <w:t>人民在议会代议制民主的机构框架内定期选举其议会代表。《宪法》第</w:t>
      </w:r>
      <w:r>
        <w:rPr>
          <w:rFonts w:hint="eastAsia"/>
        </w:rPr>
        <w:t>53</w:t>
      </w:r>
      <w:r>
        <w:rPr>
          <w:rFonts w:hint="eastAsia"/>
        </w:rPr>
        <w:t>条规定，每届议会任期为四年。《宪法》第</w:t>
      </w:r>
      <w:r>
        <w:rPr>
          <w:rFonts w:hint="eastAsia"/>
        </w:rPr>
        <w:t>51</w:t>
      </w:r>
      <w:r>
        <w:rPr>
          <w:rFonts w:hint="eastAsia"/>
        </w:rPr>
        <w:t>条第</w:t>
      </w:r>
      <w:r>
        <w:rPr>
          <w:rFonts w:hint="eastAsia"/>
        </w:rPr>
        <w:t>3</w:t>
      </w:r>
      <w:r>
        <w:rPr>
          <w:rFonts w:hint="eastAsia"/>
        </w:rPr>
        <w:t>款规定，人民通过直接、全面和不记名投票选举其代表，同时还规定，每位选民必须具备某些法定条件，另外对限制人民选举权利的某些情况也作出规定。《宪法》第</w:t>
      </w:r>
      <w:r>
        <w:rPr>
          <w:rFonts w:hint="eastAsia"/>
        </w:rPr>
        <w:t>52</w:t>
      </w:r>
      <w:r>
        <w:rPr>
          <w:rFonts w:hint="eastAsia"/>
        </w:rPr>
        <w:t>条是特别重要的，因为该条规定，国家工作人员必须在任何情况下确保人民拥有最高权利，并且可以自由和真实地表达自己的意愿。触犯这项规定将遭到法律制裁。这些规定适用于举行公民投票和选举地方政府官员。</w:t>
      </w:r>
    </w:p>
    <w:p w:rsidR="00000000" w:rsidRDefault="00000000">
      <w:pPr>
        <w:rPr>
          <w:rFonts w:hint="eastAsia"/>
        </w:rPr>
      </w:pPr>
      <w:r>
        <w:rPr>
          <w:rFonts w:hint="eastAsia"/>
        </w:rPr>
        <w:tab/>
        <w:t xml:space="preserve">16.  </w:t>
      </w:r>
      <w:r>
        <w:rPr>
          <w:rFonts w:hint="eastAsia"/>
        </w:rPr>
        <w:t>此外，从</w:t>
      </w:r>
      <w:r>
        <w:rPr>
          <w:rFonts w:hint="eastAsia"/>
        </w:rPr>
        <w:t>1981</w:t>
      </w:r>
      <w:r>
        <w:rPr>
          <w:rFonts w:hint="eastAsia"/>
        </w:rPr>
        <w:t>年开始，每五年一次选举在欧洲议会中的希腊代表已经成为希腊政治生活中的一项制度。为实施《欧洲共同体法》的条款，第</w:t>
      </w:r>
      <w:r>
        <w:rPr>
          <w:rFonts w:hint="eastAsia"/>
        </w:rPr>
        <w:t>2196/1994</w:t>
      </w:r>
      <w:r>
        <w:rPr>
          <w:rFonts w:hint="eastAsia"/>
        </w:rPr>
        <w:t>号法令规定，居住在希腊的欧盟成员国公民也可参加有关的投票。欧洲议会代表的作用已经十分重要，由于《欧洲共同体法》日益深入希腊的政治生活，这种作用将日益重要。</w:t>
      </w:r>
    </w:p>
    <w:p w:rsidR="00000000" w:rsidRDefault="00000000">
      <w:pPr>
        <w:rPr>
          <w:rFonts w:hint="eastAsia"/>
        </w:rPr>
      </w:pPr>
      <w:r>
        <w:rPr>
          <w:rFonts w:hint="eastAsia"/>
        </w:rPr>
        <w:tab/>
        <w:t xml:space="preserve">17.  </w:t>
      </w:r>
      <w:r>
        <w:rPr>
          <w:rFonts w:hint="eastAsia"/>
        </w:rPr>
        <w:t>希腊《宪法》有限度地承认直接民主制度。《宪法》第</w:t>
      </w:r>
      <w:r>
        <w:rPr>
          <w:rFonts w:hint="eastAsia"/>
        </w:rPr>
        <w:t>44</w:t>
      </w:r>
      <w:r>
        <w:rPr>
          <w:rFonts w:hint="eastAsia"/>
        </w:rPr>
        <w:t>条第</w:t>
      </w:r>
      <w:r>
        <w:rPr>
          <w:rFonts w:hint="eastAsia"/>
        </w:rPr>
        <w:t>2</w:t>
      </w:r>
      <w:r>
        <w:rPr>
          <w:rFonts w:hint="eastAsia"/>
        </w:rPr>
        <w:t>款规定，可由共和国总统宣布举行公民投票：</w:t>
      </w:r>
      <w:r>
        <w:t>(a)</w:t>
      </w:r>
      <w:r>
        <w:rPr>
          <w:rFonts w:hint="eastAsia"/>
        </w:rPr>
        <w:t xml:space="preserve"> </w:t>
      </w:r>
      <w:r>
        <w:rPr>
          <w:rFonts w:hint="eastAsia"/>
        </w:rPr>
        <w:t>经内阁提议，绝大多数议员投票赞成通过决议，可就重大的全国性事务举行公民投票；以及</w:t>
      </w:r>
      <w:r>
        <w:t>(b)</w:t>
      </w:r>
      <w:r>
        <w:rPr>
          <w:rFonts w:hint="eastAsia"/>
        </w:rPr>
        <w:t xml:space="preserve"> </w:t>
      </w:r>
      <w:r>
        <w:rPr>
          <w:rFonts w:hint="eastAsia"/>
        </w:rPr>
        <w:t>可就议会通过的有关重大社会问题</w:t>
      </w:r>
      <w:r>
        <w:rPr>
          <w:rFonts w:hint="eastAsia"/>
        </w:rPr>
        <w:t>(</w:t>
      </w:r>
      <w:r>
        <w:rPr>
          <w:rFonts w:hint="eastAsia"/>
        </w:rPr>
        <w:t>财政问题除外</w:t>
      </w:r>
      <w:r>
        <w:rPr>
          <w:rFonts w:hint="eastAsia"/>
        </w:rPr>
        <w:t>)</w:t>
      </w:r>
      <w:r>
        <w:rPr>
          <w:rFonts w:hint="eastAsia"/>
        </w:rPr>
        <w:t>的法案进行公民投票，但是必须要有五分之二的议员提议，并经五分之三的议员投票赞成，同时还有一项限制：在同一届议会中，不得就同一项法案举行两次以上的公民投票。人民经公民投票作出的决定对于其他的国家机构都有全面的约束力。</w:t>
      </w:r>
    </w:p>
    <w:p w:rsidR="00000000" w:rsidRDefault="00000000">
      <w:pPr>
        <w:spacing w:after="320"/>
        <w:rPr>
          <w:rFonts w:hint="eastAsia"/>
        </w:rPr>
      </w:pPr>
      <w:r>
        <w:rPr>
          <w:rFonts w:hint="eastAsia"/>
        </w:rPr>
        <w:tab/>
        <w:t xml:space="preserve">18.  </w:t>
      </w:r>
      <w:r>
        <w:rPr>
          <w:rFonts w:hint="eastAsia"/>
        </w:rPr>
        <w:t>关于自由选择经济制度的问题，必须注意到，《宪法》保障经济自由</w:t>
      </w:r>
      <w:r>
        <w:rPr>
          <w:rFonts w:hint="eastAsia"/>
        </w:rPr>
        <w:t>(</w:t>
      </w:r>
      <w:r>
        <w:rPr>
          <w:rFonts w:hint="eastAsia"/>
        </w:rPr>
        <w:t>第</w:t>
      </w:r>
      <w:r>
        <w:rPr>
          <w:rFonts w:hint="eastAsia"/>
        </w:rPr>
        <w:t>5</w:t>
      </w:r>
      <w:r>
        <w:rPr>
          <w:rFonts w:hint="eastAsia"/>
        </w:rPr>
        <w:t>条第</w:t>
      </w:r>
      <w:r>
        <w:rPr>
          <w:rFonts w:hint="eastAsia"/>
        </w:rPr>
        <w:t>1</w:t>
      </w:r>
      <w:r>
        <w:rPr>
          <w:rFonts w:hint="eastAsia"/>
        </w:rPr>
        <w:t>款</w:t>
      </w:r>
      <w:r>
        <w:rPr>
          <w:rFonts w:hint="eastAsia"/>
        </w:rPr>
        <w:t>)</w:t>
      </w:r>
      <w:r>
        <w:rPr>
          <w:rFonts w:hint="eastAsia"/>
        </w:rPr>
        <w:t>以及财产权</w:t>
      </w:r>
      <w:r>
        <w:rPr>
          <w:rFonts w:hint="eastAsia"/>
        </w:rPr>
        <w:t>(</w:t>
      </w:r>
      <w:r>
        <w:rPr>
          <w:rFonts w:hint="eastAsia"/>
        </w:rPr>
        <w:t>第</w:t>
      </w:r>
      <w:r>
        <w:rPr>
          <w:rFonts w:hint="eastAsia"/>
        </w:rPr>
        <w:t>17</w:t>
      </w:r>
      <w:r>
        <w:rPr>
          <w:rFonts w:hint="eastAsia"/>
        </w:rPr>
        <w:t>条</w:t>
      </w:r>
      <w:r>
        <w:rPr>
          <w:rFonts w:hint="eastAsia"/>
        </w:rPr>
        <w:t>)</w:t>
      </w:r>
      <w:r>
        <w:rPr>
          <w:rFonts w:hint="eastAsia"/>
        </w:rPr>
        <w:t>，同时规定了对于私人经济活动的限制</w:t>
      </w:r>
      <w:r>
        <w:rPr>
          <w:rFonts w:hint="eastAsia"/>
        </w:rPr>
        <w:t>(</w:t>
      </w:r>
      <w:r>
        <w:rPr>
          <w:rFonts w:hint="eastAsia"/>
        </w:rPr>
        <w:t>第</w:t>
      </w:r>
      <w:r>
        <w:rPr>
          <w:rFonts w:hint="eastAsia"/>
        </w:rPr>
        <w:t>106</w:t>
      </w:r>
      <w:r>
        <w:rPr>
          <w:rFonts w:hint="eastAsia"/>
        </w:rPr>
        <w:t>条第</w:t>
      </w:r>
      <w:r>
        <w:rPr>
          <w:rFonts w:hint="eastAsia"/>
        </w:rPr>
        <w:t>2</w:t>
      </w:r>
      <w:r>
        <w:rPr>
          <w:rFonts w:hint="eastAsia"/>
        </w:rPr>
        <w:t>款</w:t>
      </w:r>
      <w:r>
        <w:rPr>
          <w:rFonts w:hint="eastAsia"/>
        </w:rPr>
        <w:t>)</w:t>
      </w:r>
      <w:r>
        <w:rPr>
          <w:rFonts w:hint="eastAsia"/>
        </w:rPr>
        <w:t>和要求依据保护环境的根本原则协调经济发展</w:t>
      </w:r>
      <w:r>
        <w:rPr>
          <w:rFonts w:hint="eastAsia"/>
        </w:rPr>
        <w:t>(</w:t>
      </w:r>
      <w:r>
        <w:rPr>
          <w:rFonts w:hint="eastAsia"/>
        </w:rPr>
        <w:t>第</w:t>
      </w:r>
      <w:r>
        <w:rPr>
          <w:rFonts w:hint="eastAsia"/>
        </w:rPr>
        <w:t>24</w:t>
      </w:r>
      <w:r>
        <w:rPr>
          <w:rFonts w:hint="eastAsia"/>
        </w:rPr>
        <w:t>条</w:t>
      </w:r>
      <w:r>
        <w:rPr>
          <w:rFonts w:hint="eastAsia"/>
        </w:rPr>
        <w:t>)</w:t>
      </w:r>
      <w:r>
        <w:rPr>
          <w:rFonts w:hint="eastAsia"/>
        </w:rPr>
        <w:t>。在这个框架内，享有直接或间接人民授权的立法人员和政府可自由制定希腊的经济政策。</w:t>
      </w:r>
    </w:p>
    <w:p w:rsidR="00000000" w:rsidRDefault="00000000">
      <w:pPr>
        <w:pStyle w:val="Heading3"/>
        <w:rPr>
          <w:rFonts w:hint="eastAsia"/>
        </w:rPr>
      </w:pPr>
      <w:r>
        <w:rPr>
          <w:rFonts w:hint="eastAsia"/>
          <w:u w:val="none"/>
        </w:rPr>
        <w:t xml:space="preserve">2.  </w:t>
      </w:r>
      <w:r>
        <w:rPr>
          <w:rFonts w:hint="eastAsia"/>
        </w:rPr>
        <w:t>地方事务的管理</w:t>
      </w:r>
    </w:p>
    <w:p w:rsidR="00000000" w:rsidRDefault="00000000">
      <w:pPr>
        <w:rPr>
          <w:rFonts w:hint="eastAsia"/>
        </w:rPr>
      </w:pPr>
      <w:r>
        <w:rPr>
          <w:rFonts w:hint="eastAsia"/>
        </w:rPr>
        <w:tab/>
        <w:t xml:space="preserve">19.  </w:t>
      </w:r>
      <w:r>
        <w:rPr>
          <w:rFonts w:hint="eastAsia"/>
        </w:rPr>
        <w:t>希腊《宪法》第</w:t>
      </w:r>
      <w:r>
        <w:rPr>
          <w:rFonts w:hint="eastAsia"/>
        </w:rPr>
        <w:t>101</w:t>
      </w:r>
      <w:r>
        <w:rPr>
          <w:rFonts w:hint="eastAsia"/>
        </w:rPr>
        <w:t>和第</w:t>
      </w:r>
      <w:r>
        <w:rPr>
          <w:rFonts w:hint="eastAsia"/>
        </w:rPr>
        <w:t>102</w:t>
      </w:r>
      <w:r>
        <w:rPr>
          <w:rFonts w:hint="eastAsia"/>
        </w:rPr>
        <w:t>条既规定了在权力下放制度基础上的国家管理，又规定了地方政府机构在地方事务方面的主管范围。以下各点涉及在国家管理方面实施权力下放制度</w:t>
      </w:r>
      <w:r>
        <w:rPr>
          <w:rFonts w:hint="eastAsia"/>
        </w:rPr>
        <w:t>(</w:t>
      </w:r>
      <w:r>
        <w:rPr>
          <w:rFonts w:hint="eastAsia"/>
        </w:rPr>
        <w:t>第</w:t>
      </w:r>
      <w:r>
        <w:rPr>
          <w:rFonts w:hint="eastAsia"/>
        </w:rPr>
        <w:t>101</w:t>
      </w:r>
      <w:r>
        <w:rPr>
          <w:rFonts w:hint="eastAsia"/>
        </w:rPr>
        <w:t>条第</w:t>
      </w:r>
      <w:r>
        <w:rPr>
          <w:rFonts w:hint="eastAsia"/>
        </w:rPr>
        <w:t>1</w:t>
      </w:r>
      <w:r>
        <w:rPr>
          <w:rFonts w:hint="eastAsia"/>
        </w:rPr>
        <w:t>款</w:t>
      </w:r>
      <w:r>
        <w:rPr>
          <w:rFonts w:hint="eastAsia"/>
        </w:rPr>
        <w:t>)</w:t>
      </w:r>
      <w:r>
        <w:rPr>
          <w:rFonts w:hint="eastAsia"/>
        </w:rPr>
        <w:t>的问题：</w:t>
      </w:r>
    </w:p>
    <w:p w:rsidR="00000000" w:rsidRDefault="00000000">
      <w:pPr>
        <w:rPr>
          <w:rFonts w:hint="eastAsia"/>
        </w:rPr>
      </w:pPr>
      <w:r>
        <w:rPr>
          <w:rFonts w:hint="eastAsia"/>
        </w:rPr>
        <w:tab/>
        <w:t xml:space="preserve">20.  </w:t>
      </w:r>
      <w:r>
        <w:rPr>
          <w:rFonts w:hint="eastAsia"/>
        </w:rPr>
        <w:t>将全国分为行政区域的做法加强了根据权力下放原则管理国家的工作，行政区域是根据某些实质性标准划分的，例如，地理、经济、社会和运输等方面的条件。</w:t>
      </w:r>
      <w:r>
        <w:rPr>
          <w:rFonts w:hint="eastAsia"/>
        </w:rPr>
        <w:t>(</w:t>
      </w:r>
      <w:r>
        <w:rPr>
          <w:rFonts w:hint="eastAsia"/>
        </w:rPr>
        <w:t>《宪法》第</w:t>
      </w:r>
      <w:r>
        <w:rPr>
          <w:rFonts w:hint="eastAsia"/>
        </w:rPr>
        <w:t>101</w:t>
      </w:r>
      <w:r>
        <w:rPr>
          <w:rFonts w:hint="eastAsia"/>
        </w:rPr>
        <w:t>条第</w:t>
      </w:r>
      <w:r>
        <w:rPr>
          <w:rFonts w:hint="eastAsia"/>
        </w:rPr>
        <w:t>2</w:t>
      </w:r>
      <w:r>
        <w:rPr>
          <w:rFonts w:hint="eastAsia"/>
        </w:rPr>
        <w:t>款</w:t>
      </w:r>
      <w:r>
        <w:rPr>
          <w:rFonts w:hint="eastAsia"/>
        </w:rPr>
        <w:t>)</w:t>
      </w:r>
      <w:r>
        <w:rPr>
          <w:rFonts w:hint="eastAsia"/>
        </w:rPr>
        <w:t>。根据这种办法，应建立区域性的国家管理机构，对于本区域的事务拥有普遍的决定性的管理权。中央政府的各个部门，除了特别职权以外，还应为区域的国家工作人员提供一般性指导，同时协调和监督其合法行动</w:t>
      </w:r>
      <w:r>
        <w:rPr>
          <w:rFonts w:hint="eastAsia"/>
        </w:rPr>
        <w:t>(</w:t>
      </w:r>
      <w:r>
        <w:rPr>
          <w:rFonts w:hint="eastAsia"/>
        </w:rPr>
        <w:t>第</w:t>
      </w:r>
      <w:r>
        <w:rPr>
          <w:rFonts w:hint="eastAsia"/>
        </w:rPr>
        <w:t>101</w:t>
      </w:r>
      <w:r>
        <w:rPr>
          <w:rFonts w:hint="eastAsia"/>
        </w:rPr>
        <w:t>条第</w:t>
      </w:r>
      <w:r>
        <w:rPr>
          <w:rFonts w:hint="eastAsia"/>
        </w:rPr>
        <w:t>3</w:t>
      </w:r>
      <w:r>
        <w:rPr>
          <w:rFonts w:hint="eastAsia"/>
        </w:rPr>
        <w:t>款</w:t>
      </w:r>
      <w:r>
        <w:rPr>
          <w:rFonts w:hint="eastAsia"/>
        </w:rPr>
        <w:t>)</w:t>
      </w:r>
      <w:r>
        <w:rPr>
          <w:rFonts w:hint="eastAsia"/>
        </w:rPr>
        <w:t>。中央和地方的国家管理部门应以这种方式协调其行动。</w:t>
      </w:r>
    </w:p>
    <w:p w:rsidR="00000000" w:rsidRDefault="00000000">
      <w:pPr>
        <w:rPr>
          <w:rFonts w:hint="eastAsia"/>
        </w:rPr>
      </w:pPr>
      <w:r>
        <w:rPr>
          <w:rFonts w:hint="eastAsia"/>
        </w:rPr>
        <w:tab/>
        <w:t xml:space="preserve">21.  </w:t>
      </w:r>
      <w:r>
        <w:rPr>
          <w:rFonts w:hint="eastAsia"/>
        </w:rPr>
        <w:t>《宪法》明确规定，地方事务的管理属于地方政府机构的主管范围。在这个领域中，《宪法》有如下规定：</w:t>
      </w:r>
    </w:p>
    <w:p w:rsidR="00000000" w:rsidRDefault="00000000">
      <w:pPr>
        <w:rPr>
          <w:rFonts w:hint="eastAsia"/>
        </w:rPr>
      </w:pPr>
      <w:r>
        <w:rPr>
          <w:rFonts w:hint="eastAsia"/>
        </w:rPr>
        <w:tab/>
        <w:t xml:space="preserve">22.  </w:t>
      </w:r>
      <w:r>
        <w:rPr>
          <w:rFonts w:hint="eastAsia"/>
        </w:rPr>
        <w:t>地方政府机构统一管理，处理，以及以任何其他方式控制属于地方事务的事项</w:t>
      </w:r>
      <w:r>
        <w:rPr>
          <w:rFonts w:hint="eastAsia"/>
        </w:rPr>
        <w:t>(</w:t>
      </w:r>
      <w:r>
        <w:rPr>
          <w:rFonts w:hint="eastAsia"/>
        </w:rPr>
        <w:t>《宪法》第</w:t>
      </w:r>
      <w:r>
        <w:rPr>
          <w:rFonts w:hint="eastAsia"/>
        </w:rPr>
        <w:t>102</w:t>
      </w:r>
      <w:r>
        <w:rPr>
          <w:rFonts w:hint="eastAsia"/>
        </w:rPr>
        <w:t>条第</w:t>
      </w:r>
      <w:r>
        <w:rPr>
          <w:rFonts w:hint="eastAsia"/>
        </w:rPr>
        <w:t>1</w:t>
      </w:r>
      <w:r>
        <w:rPr>
          <w:rFonts w:hint="eastAsia"/>
        </w:rPr>
        <w:t>款以及有关《市镇和社区管理办法》的第</w:t>
      </w:r>
      <w:r>
        <w:rPr>
          <w:rFonts w:hint="eastAsia"/>
        </w:rPr>
        <w:t>410/1995</w:t>
      </w:r>
      <w:r>
        <w:rPr>
          <w:rFonts w:hint="eastAsia"/>
        </w:rPr>
        <w:t>号总统令</w:t>
      </w:r>
      <w:r>
        <w:rPr>
          <w:rFonts w:hint="eastAsia"/>
        </w:rPr>
        <w:t>)</w:t>
      </w:r>
      <w:r>
        <w:rPr>
          <w:rFonts w:hint="eastAsia"/>
        </w:rPr>
        <w:t>。《宪法》确保地方政府机构有权管理地方事务，并且要求制定法律以便确定地方事务的范围和种类，并且把地方事务分配给各级地方政府。</w:t>
      </w:r>
    </w:p>
    <w:p w:rsidR="00000000" w:rsidRDefault="00000000">
      <w:pPr>
        <w:rPr>
          <w:rFonts w:hint="eastAsia"/>
        </w:rPr>
      </w:pPr>
      <w:r>
        <w:rPr>
          <w:rFonts w:hint="eastAsia"/>
        </w:rPr>
        <w:tab/>
        <w:t xml:space="preserve">23.  </w:t>
      </w:r>
      <w:r>
        <w:rPr>
          <w:rFonts w:hint="eastAsia"/>
        </w:rPr>
        <w:t>涉及部分人士的事务之所以被称为“地方事务”，是因为“从社会、文化、精神、经济以及生态的角度来说”这些事务涉及地方管理部门管辖下的公民的利益，同时还涉及满足这些人士的某些基本需求。《宪法》第</w:t>
      </w:r>
      <w:r>
        <w:rPr>
          <w:rFonts w:hint="eastAsia"/>
        </w:rPr>
        <w:t>102</w:t>
      </w:r>
      <w:r>
        <w:rPr>
          <w:rFonts w:hint="eastAsia"/>
        </w:rPr>
        <w:t>条第</w:t>
      </w:r>
      <w:r>
        <w:rPr>
          <w:rFonts w:hint="eastAsia"/>
        </w:rPr>
        <w:t>1</w:t>
      </w:r>
      <w:r>
        <w:rPr>
          <w:rFonts w:hint="eastAsia"/>
        </w:rPr>
        <w:t>款规定，地方政府部门可依据法律行使属于国家任务的职权。根据判例法，从权力下放管理国家的角度来说，只能从中央或者区域机构下放权力到地方政府机构，而不是相反。</w:t>
      </w:r>
    </w:p>
    <w:p w:rsidR="00000000" w:rsidRDefault="00000000">
      <w:pPr>
        <w:rPr>
          <w:rFonts w:hint="eastAsia"/>
        </w:rPr>
      </w:pPr>
      <w:r>
        <w:rPr>
          <w:rFonts w:hint="eastAsia"/>
        </w:rPr>
        <w:tab/>
        <w:t xml:space="preserve">24.  </w:t>
      </w:r>
      <w:r>
        <w:rPr>
          <w:rFonts w:hint="eastAsia"/>
        </w:rPr>
        <w:t>经过</w:t>
      </w:r>
      <w:r>
        <w:rPr>
          <w:rFonts w:hint="eastAsia"/>
        </w:rPr>
        <w:t>2001</w:t>
      </w:r>
      <w:r>
        <w:rPr>
          <w:rFonts w:hint="eastAsia"/>
        </w:rPr>
        <w:t>年修订的《宪法》保障了有关市镇和社区的第一级地方管理和有关省份的第二级地方管理。早在宪法修订之前，已经根据第</w:t>
      </w:r>
      <w:r>
        <w:rPr>
          <w:rFonts w:hint="eastAsia"/>
        </w:rPr>
        <w:t>2218/1994</w:t>
      </w:r>
      <w:r>
        <w:rPr>
          <w:rFonts w:hint="eastAsia"/>
        </w:rPr>
        <w:t>号法令以及其他有关法律</w:t>
      </w:r>
      <w:r>
        <w:rPr>
          <w:rFonts w:hint="eastAsia"/>
        </w:rPr>
        <w:t>(</w:t>
      </w:r>
      <w:r>
        <w:rPr>
          <w:rFonts w:hint="eastAsia"/>
        </w:rPr>
        <w:t>即第</w:t>
      </w:r>
      <w:r>
        <w:rPr>
          <w:rFonts w:hint="eastAsia"/>
        </w:rPr>
        <w:t>2240/1994</w:t>
      </w:r>
      <w:r>
        <w:rPr>
          <w:rFonts w:hint="eastAsia"/>
        </w:rPr>
        <w:t>号法令、第</w:t>
      </w:r>
      <w:r>
        <w:rPr>
          <w:rFonts w:hint="eastAsia"/>
        </w:rPr>
        <w:t>2307/1995</w:t>
      </w:r>
      <w:r>
        <w:rPr>
          <w:rFonts w:hint="eastAsia"/>
        </w:rPr>
        <w:t>号法令、第</w:t>
      </w:r>
      <w:r>
        <w:rPr>
          <w:rFonts w:hint="eastAsia"/>
        </w:rPr>
        <w:t>2396/1996</w:t>
      </w:r>
      <w:r>
        <w:rPr>
          <w:rFonts w:hint="eastAsia"/>
        </w:rPr>
        <w:t>号法令、第</w:t>
      </w:r>
      <w:r>
        <w:rPr>
          <w:rFonts w:hint="eastAsia"/>
        </w:rPr>
        <w:t>2399/1996</w:t>
      </w:r>
      <w:r>
        <w:rPr>
          <w:rFonts w:hint="eastAsia"/>
        </w:rPr>
        <w:t>号法令第</w:t>
      </w:r>
      <w:r>
        <w:rPr>
          <w:rFonts w:hint="eastAsia"/>
        </w:rPr>
        <w:t>2503/1997</w:t>
      </w:r>
      <w:r>
        <w:rPr>
          <w:rFonts w:hint="eastAsia"/>
        </w:rPr>
        <w:t>号法令，将以上法令汇编的第</w:t>
      </w:r>
      <w:r>
        <w:rPr>
          <w:rFonts w:hint="eastAsia"/>
        </w:rPr>
        <w:t>30/1996</w:t>
      </w:r>
      <w:r>
        <w:rPr>
          <w:rFonts w:hint="eastAsia"/>
        </w:rPr>
        <w:t>号总统令以及《省份政府管理办法》，开展了省级的地方政府工作。在希腊的政治生活中选举省长的制度为时不久，这是因为希腊公民于</w:t>
      </w:r>
      <w:r>
        <w:rPr>
          <w:rFonts w:hint="eastAsia"/>
        </w:rPr>
        <w:t>1994</w:t>
      </w:r>
      <w:r>
        <w:rPr>
          <w:rFonts w:hint="eastAsia"/>
        </w:rPr>
        <w:t>才初次选举省级领导，</w:t>
      </w:r>
      <w:r>
        <w:rPr>
          <w:rFonts w:hint="eastAsia"/>
        </w:rPr>
        <w:t>1998</w:t>
      </w:r>
      <w:r>
        <w:rPr>
          <w:rFonts w:hint="eastAsia"/>
        </w:rPr>
        <w:t>年第二次选举。顺便提一下，第</w:t>
      </w:r>
      <w:r>
        <w:rPr>
          <w:rFonts w:hint="eastAsia"/>
        </w:rPr>
        <w:t>133/1997</w:t>
      </w:r>
      <w:r>
        <w:rPr>
          <w:rFonts w:hint="eastAsia"/>
        </w:rPr>
        <w:t>号总统令规定欧盟成员国的公民可参加市镇和省级的选举。</w:t>
      </w:r>
    </w:p>
    <w:p w:rsidR="00000000" w:rsidRDefault="00000000">
      <w:pPr>
        <w:rPr>
          <w:rFonts w:hint="eastAsia"/>
        </w:rPr>
      </w:pPr>
      <w:r>
        <w:rPr>
          <w:rFonts w:hint="eastAsia"/>
        </w:rPr>
        <w:tab/>
        <w:t xml:space="preserve">25.  </w:t>
      </w:r>
      <w:r>
        <w:rPr>
          <w:rFonts w:hint="eastAsia"/>
        </w:rPr>
        <w:t>《宪法》明确规定，地方政府机构享有管理自主权，也就是说有权依靠本身的管理机构实现其目标。地方政府机构的领导通过普遍的不记名投票选举产生</w:t>
      </w:r>
      <w:r>
        <w:rPr>
          <w:rFonts w:hint="eastAsia"/>
        </w:rPr>
        <w:t>(</w:t>
      </w:r>
      <w:r>
        <w:rPr>
          <w:rFonts w:hint="eastAsia"/>
        </w:rPr>
        <w:t>第</w:t>
      </w:r>
      <w:r>
        <w:rPr>
          <w:rFonts w:hint="eastAsia"/>
        </w:rPr>
        <w:t>102</w:t>
      </w:r>
      <w:r>
        <w:rPr>
          <w:rFonts w:hint="eastAsia"/>
        </w:rPr>
        <w:t>条第</w:t>
      </w:r>
      <w:r>
        <w:rPr>
          <w:rFonts w:hint="eastAsia"/>
        </w:rPr>
        <w:t>2</w:t>
      </w:r>
      <w:r>
        <w:rPr>
          <w:rFonts w:hint="eastAsia"/>
        </w:rPr>
        <w:t>款</w:t>
      </w:r>
      <w:r>
        <w:rPr>
          <w:rFonts w:hint="eastAsia"/>
        </w:rPr>
        <w:t>)</w:t>
      </w:r>
      <w:r>
        <w:rPr>
          <w:rFonts w:hint="eastAsia"/>
        </w:rPr>
        <w:t>。</w:t>
      </w:r>
    </w:p>
    <w:p w:rsidR="00000000" w:rsidRDefault="00000000">
      <w:pPr>
        <w:rPr>
          <w:rFonts w:hint="eastAsia"/>
        </w:rPr>
      </w:pPr>
      <w:r>
        <w:rPr>
          <w:rFonts w:hint="eastAsia"/>
        </w:rPr>
        <w:tab/>
        <w:t xml:space="preserve">26.  </w:t>
      </w:r>
      <w:r>
        <w:rPr>
          <w:rFonts w:hint="eastAsia"/>
        </w:rPr>
        <w:t>《宪法》还规定，国家有义务提供必要的资金，以便享有财政自主权的地方政府机构完成其任务</w:t>
      </w:r>
      <w:r>
        <w:rPr>
          <w:rFonts w:hint="eastAsia"/>
        </w:rPr>
        <w:t>(</w:t>
      </w:r>
      <w:r>
        <w:rPr>
          <w:rFonts w:hint="eastAsia"/>
        </w:rPr>
        <w:t>第</w:t>
      </w:r>
      <w:r>
        <w:rPr>
          <w:rFonts w:hint="eastAsia"/>
        </w:rPr>
        <w:t>101</w:t>
      </w:r>
      <w:r>
        <w:rPr>
          <w:rFonts w:hint="eastAsia"/>
        </w:rPr>
        <w:t>条第</w:t>
      </w:r>
      <w:r>
        <w:rPr>
          <w:rFonts w:hint="eastAsia"/>
        </w:rPr>
        <w:t>5</w:t>
      </w:r>
      <w:r>
        <w:rPr>
          <w:rFonts w:hint="eastAsia"/>
        </w:rPr>
        <w:t>款</w:t>
      </w:r>
      <w:r>
        <w:rPr>
          <w:rFonts w:hint="eastAsia"/>
        </w:rPr>
        <w:t>)</w:t>
      </w:r>
      <w:r>
        <w:rPr>
          <w:rFonts w:hint="eastAsia"/>
        </w:rPr>
        <w:t>。《宪法》具体规定，凡是中央或者区域的国家工作人员向地方政府工作人员下放权力时，必须同时下放必要的资金。除此以外，《宪法》还确保在管理这些资金方面实行透明的原则，并且明确规定，由地方政府确定和征收本地的税收。</w:t>
      </w:r>
    </w:p>
    <w:p w:rsidR="00000000" w:rsidRDefault="00000000">
      <w:pPr>
        <w:rPr>
          <w:rFonts w:hint="eastAsia"/>
        </w:rPr>
      </w:pPr>
      <w:r>
        <w:rPr>
          <w:rFonts w:hint="eastAsia"/>
        </w:rPr>
        <w:tab/>
        <w:t xml:space="preserve">27.  </w:t>
      </w:r>
      <w:r>
        <w:rPr>
          <w:rFonts w:hint="eastAsia"/>
        </w:rPr>
        <w:t>此外，《宪法》还规定，由中央政府部门对地方政府机构实行监督</w:t>
      </w:r>
      <w:r>
        <w:rPr>
          <w:rFonts w:hint="eastAsia"/>
        </w:rPr>
        <w:t>(</w:t>
      </w:r>
      <w:r>
        <w:rPr>
          <w:rFonts w:hint="eastAsia"/>
        </w:rPr>
        <w:t>第</w:t>
      </w:r>
      <w:r>
        <w:rPr>
          <w:rFonts w:hint="eastAsia"/>
        </w:rPr>
        <w:t>102</w:t>
      </w:r>
      <w:r>
        <w:rPr>
          <w:rFonts w:hint="eastAsia"/>
        </w:rPr>
        <w:t>条第</w:t>
      </w:r>
      <w:r>
        <w:rPr>
          <w:rFonts w:hint="eastAsia"/>
        </w:rPr>
        <w:t>4</w:t>
      </w:r>
      <w:r>
        <w:rPr>
          <w:rFonts w:hint="eastAsia"/>
        </w:rPr>
        <w:t>款。然而，这种监督只是确保其行动的合法性，而不会阻碍其主动性和行动自由。</w:t>
      </w:r>
    </w:p>
    <w:p w:rsidR="00000000" w:rsidRDefault="00000000">
      <w:pPr>
        <w:spacing w:after="320"/>
        <w:rPr>
          <w:rFonts w:hint="eastAsia"/>
        </w:rPr>
      </w:pPr>
      <w:r>
        <w:rPr>
          <w:rFonts w:hint="eastAsia"/>
        </w:rPr>
        <w:tab/>
        <w:t xml:space="preserve">28.  </w:t>
      </w:r>
      <w:r>
        <w:rPr>
          <w:rFonts w:hint="eastAsia"/>
        </w:rPr>
        <w:t>为了第一级的地方政府机构更加有效地操作和行动，已经制定了一项法律，规定市镇和社区进行大规模的组合</w:t>
      </w:r>
      <w:r>
        <w:rPr>
          <w:rFonts w:hint="eastAsia"/>
        </w:rPr>
        <w:t>(</w:t>
      </w:r>
      <w:r>
        <w:rPr>
          <w:rFonts w:hint="eastAsia"/>
        </w:rPr>
        <w:t>第</w:t>
      </w:r>
      <w:r>
        <w:rPr>
          <w:rFonts w:hint="eastAsia"/>
        </w:rPr>
        <w:t>2539/1997</w:t>
      </w:r>
      <w:r>
        <w:rPr>
          <w:rFonts w:hint="eastAsia"/>
        </w:rPr>
        <w:t>号法令</w:t>
      </w:r>
      <w:r>
        <w:rPr>
          <w:rFonts w:hint="eastAsia"/>
        </w:rPr>
        <w:t>)</w:t>
      </w:r>
      <w:r>
        <w:rPr>
          <w:rFonts w:hint="eastAsia"/>
        </w:rPr>
        <w:t>。在这项法令生效之前，市镇和社区的总数大约为</w:t>
      </w:r>
      <w:r>
        <w:rPr>
          <w:rFonts w:hint="eastAsia"/>
        </w:rPr>
        <w:t xml:space="preserve">600, </w:t>
      </w:r>
      <w:r>
        <w:rPr>
          <w:rFonts w:hint="eastAsia"/>
        </w:rPr>
        <w:t>在法令生效之后这个数字已经上升到</w:t>
      </w:r>
      <w:r>
        <w:rPr>
          <w:rFonts w:hint="eastAsia"/>
        </w:rPr>
        <w:t>1,300</w:t>
      </w:r>
      <w:r>
        <w:rPr>
          <w:rFonts w:hint="eastAsia"/>
        </w:rPr>
        <w:t>。</w:t>
      </w:r>
    </w:p>
    <w:p w:rsidR="00000000" w:rsidRDefault="00000000">
      <w:pPr>
        <w:pStyle w:val="Heading3"/>
        <w:spacing w:after="240"/>
        <w:rPr>
          <w:rFonts w:hint="eastAsia"/>
        </w:rPr>
      </w:pPr>
      <w:r>
        <w:rPr>
          <w:rFonts w:hint="eastAsia"/>
          <w:u w:val="none"/>
        </w:rPr>
        <w:t xml:space="preserve">C.  </w:t>
      </w:r>
      <w:r>
        <w:rPr>
          <w:rFonts w:hint="eastAsia"/>
        </w:rPr>
        <w:t>自由和不受阻碍地处置和利用</w:t>
      </w:r>
      <w:r>
        <w:br/>
      </w:r>
      <w:r>
        <w:rPr>
          <w:rFonts w:hint="eastAsia"/>
        </w:rPr>
        <w:t>自然财富和资源的权利</w:t>
      </w:r>
    </w:p>
    <w:p w:rsidR="00000000" w:rsidRDefault="00000000">
      <w:pPr>
        <w:spacing w:after="320"/>
        <w:rPr>
          <w:rFonts w:hint="eastAsia"/>
        </w:rPr>
      </w:pPr>
      <w:r>
        <w:rPr>
          <w:rFonts w:hint="eastAsia"/>
        </w:rPr>
        <w:tab/>
        <w:t xml:space="preserve">29.  </w:t>
      </w:r>
      <w:r>
        <w:rPr>
          <w:rFonts w:hint="eastAsia"/>
        </w:rPr>
        <w:t>根据《宪法》与有关法律所规定的先决条件和限制，希腊人民可以自由支配和享用本国的自然财富和资源。</w:t>
      </w:r>
    </w:p>
    <w:p w:rsidR="00000000" w:rsidRDefault="00000000">
      <w:pPr>
        <w:pStyle w:val="Heading3"/>
        <w:spacing w:after="240"/>
        <w:rPr>
          <w:rFonts w:hint="eastAsia"/>
        </w:rPr>
      </w:pPr>
      <w:r>
        <w:rPr>
          <w:rFonts w:hint="eastAsia"/>
        </w:rPr>
        <w:t>第</w:t>
      </w:r>
      <w:r>
        <w:rPr>
          <w:rFonts w:hint="eastAsia"/>
        </w:rPr>
        <w:t xml:space="preserve"> 2 </w:t>
      </w:r>
      <w:r>
        <w:rPr>
          <w:rFonts w:hint="eastAsia"/>
        </w:rPr>
        <w:t>条</w:t>
      </w:r>
    </w:p>
    <w:p w:rsidR="00000000" w:rsidRDefault="00000000">
      <w:pPr>
        <w:pStyle w:val="Heading3"/>
        <w:rPr>
          <w:rFonts w:hint="eastAsia"/>
        </w:rPr>
      </w:pPr>
      <w:r>
        <w:rPr>
          <w:rFonts w:hint="eastAsia"/>
        </w:rPr>
        <w:t>对于不歧视原则的宪法保障</w:t>
      </w:r>
    </w:p>
    <w:p w:rsidR="00000000" w:rsidRDefault="00000000">
      <w:pPr>
        <w:rPr>
          <w:rFonts w:hint="eastAsia"/>
        </w:rPr>
      </w:pPr>
      <w:r>
        <w:rPr>
          <w:rFonts w:hint="eastAsia"/>
        </w:rPr>
        <w:tab/>
        <w:t xml:space="preserve">30.  </w:t>
      </w:r>
      <w:r>
        <w:rPr>
          <w:rFonts w:hint="eastAsia"/>
        </w:rPr>
        <w:t>不歧视原则载于希腊《宪法》的各项条款。第</w:t>
      </w:r>
      <w:r>
        <w:rPr>
          <w:rFonts w:hint="eastAsia"/>
        </w:rPr>
        <w:t>2</w:t>
      </w:r>
      <w:r>
        <w:rPr>
          <w:rFonts w:hint="eastAsia"/>
        </w:rPr>
        <w:t>条第</w:t>
      </w:r>
      <w:r>
        <w:rPr>
          <w:rFonts w:hint="eastAsia"/>
        </w:rPr>
        <w:t>1</w:t>
      </w:r>
      <w:r>
        <w:rPr>
          <w:rFonts w:hint="eastAsia"/>
        </w:rPr>
        <w:t>款规定，“尊重和保护人类的价值构成国家的首要义务”。第</w:t>
      </w:r>
      <w:r>
        <w:rPr>
          <w:rFonts w:hint="eastAsia"/>
        </w:rPr>
        <w:t>4</w:t>
      </w:r>
      <w:r>
        <w:rPr>
          <w:rFonts w:hint="eastAsia"/>
        </w:rPr>
        <w:t>条树立了平等的普遍原则。该条具体保障；</w:t>
      </w:r>
    </w:p>
    <w:p w:rsidR="00000000" w:rsidRDefault="00000000">
      <w:pPr>
        <w:pStyle w:val="a0"/>
        <w:tabs>
          <w:tab w:val="num" w:pos="1530"/>
        </w:tabs>
        <w:ind w:left="1530"/>
        <w:rPr>
          <w:rFonts w:hint="eastAsia"/>
        </w:rPr>
      </w:pPr>
      <w:r>
        <w:rPr>
          <w:rFonts w:hint="eastAsia"/>
        </w:rPr>
        <w:t>法律面前人人平等的原则</w:t>
      </w:r>
      <w:r>
        <w:rPr>
          <w:rFonts w:hint="eastAsia"/>
        </w:rPr>
        <w:t>(</w:t>
      </w:r>
      <w:r>
        <w:rPr>
          <w:rFonts w:hint="eastAsia"/>
        </w:rPr>
        <w:t>第</w:t>
      </w:r>
      <w:r>
        <w:rPr>
          <w:rFonts w:hint="eastAsia"/>
        </w:rPr>
        <w:t>4</w:t>
      </w:r>
      <w:r>
        <w:rPr>
          <w:rFonts w:hint="eastAsia"/>
        </w:rPr>
        <w:t>条第</w:t>
      </w:r>
      <w:r>
        <w:rPr>
          <w:rFonts w:hint="eastAsia"/>
        </w:rPr>
        <w:t>1</w:t>
      </w:r>
      <w:r>
        <w:rPr>
          <w:rFonts w:hint="eastAsia"/>
        </w:rPr>
        <w:t>款</w:t>
      </w:r>
      <w:r>
        <w:rPr>
          <w:rFonts w:hint="eastAsia"/>
        </w:rPr>
        <w:t>)</w:t>
      </w:r>
      <w:r>
        <w:rPr>
          <w:rFonts w:hint="eastAsia"/>
        </w:rPr>
        <w:t>；</w:t>
      </w:r>
    </w:p>
    <w:p w:rsidR="00000000" w:rsidRDefault="00000000">
      <w:pPr>
        <w:pStyle w:val="a0"/>
        <w:tabs>
          <w:tab w:val="num" w:pos="1530"/>
        </w:tabs>
        <w:ind w:left="1530"/>
        <w:rPr>
          <w:rFonts w:hint="eastAsia"/>
        </w:rPr>
      </w:pPr>
      <w:r>
        <w:rPr>
          <w:rFonts w:hint="eastAsia"/>
        </w:rPr>
        <w:t>男女平等的原则</w:t>
      </w:r>
      <w:r>
        <w:rPr>
          <w:rFonts w:hint="eastAsia"/>
        </w:rPr>
        <w:t>(</w:t>
      </w:r>
      <w:r>
        <w:rPr>
          <w:rFonts w:hint="eastAsia"/>
        </w:rPr>
        <w:t>第</w:t>
      </w:r>
      <w:r>
        <w:rPr>
          <w:rFonts w:hint="eastAsia"/>
        </w:rPr>
        <w:t>4</w:t>
      </w:r>
      <w:r>
        <w:rPr>
          <w:rFonts w:hint="eastAsia"/>
        </w:rPr>
        <w:t>条第</w:t>
      </w:r>
      <w:r>
        <w:rPr>
          <w:rFonts w:hint="eastAsia"/>
        </w:rPr>
        <w:t>2</w:t>
      </w:r>
      <w:r>
        <w:rPr>
          <w:rFonts w:hint="eastAsia"/>
        </w:rPr>
        <w:t>款</w:t>
      </w:r>
      <w:r>
        <w:rPr>
          <w:rFonts w:hint="eastAsia"/>
        </w:rPr>
        <w:t>)</w:t>
      </w:r>
      <w:r>
        <w:rPr>
          <w:rFonts w:hint="eastAsia"/>
        </w:rPr>
        <w:t>；第</w:t>
      </w:r>
      <w:r>
        <w:rPr>
          <w:rFonts w:hint="eastAsia"/>
        </w:rPr>
        <w:t>116</w:t>
      </w:r>
      <w:r>
        <w:rPr>
          <w:rFonts w:hint="eastAsia"/>
        </w:rPr>
        <w:t>条第</w:t>
      </w:r>
      <w:r>
        <w:rPr>
          <w:rFonts w:hint="eastAsia"/>
        </w:rPr>
        <w:t>2</w:t>
      </w:r>
      <w:r>
        <w:rPr>
          <w:rFonts w:hint="eastAsia"/>
        </w:rPr>
        <w:t>款规定采取积极措施促进男女平等；</w:t>
      </w:r>
    </w:p>
    <w:p w:rsidR="00000000" w:rsidRDefault="00000000">
      <w:pPr>
        <w:pStyle w:val="a0"/>
        <w:tabs>
          <w:tab w:val="num" w:pos="1530"/>
        </w:tabs>
        <w:ind w:left="1530"/>
        <w:rPr>
          <w:rFonts w:hint="eastAsia"/>
        </w:rPr>
      </w:pPr>
      <w:r>
        <w:rPr>
          <w:rFonts w:hint="eastAsia"/>
        </w:rPr>
        <w:t>在申请公务员职位的条件方面实行公平的原则</w:t>
      </w:r>
      <w:r>
        <w:rPr>
          <w:rFonts w:hint="eastAsia"/>
        </w:rPr>
        <w:t>(</w:t>
      </w:r>
      <w:r>
        <w:rPr>
          <w:rFonts w:hint="eastAsia"/>
        </w:rPr>
        <w:t>第</w:t>
      </w:r>
      <w:r>
        <w:rPr>
          <w:rFonts w:hint="eastAsia"/>
        </w:rPr>
        <w:t>4</w:t>
      </w:r>
      <w:r>
        <w:rPr>
          <w:rFonts w:hint="eastAsia"/>
        </w:rPr>
        <w:t>条第</w:t>
      </w:r>
      <w:r>
        <w:rPr>
          <w:rFonts w:hint="eastAsia"/>
        </w:rPr>
        <w:t>3</w:t>
      </w:r>
      <w:r>
        <w:rPr>
          <w:rFonts w:hint="eastAsia"/>
        </w:rPr>
        <w:t>款</w:t>
      </w:r>
      <w:r>
        <w:rPr>
          <w:rFonts w:hint="eastAsia"/>
        </w:rPr>
        <w:t>)</w:t>
      </w:r>
      <w:r>
        <w:rPr>
          <w:rFonts w:hint="eastAsia"/>
        </w:rPr>
        <w:t>；</w:t>
      </w:r>
    </w:p>
    <w:p w:rsidR="00000000" w:rsidRDefault="00000000">
      <w:pPr>
        <w:pStyle w:val="a0"/>
        <w:tabs>
          <w:tab w:val="num" w:pos="1530"/>
        </w:tabs>
        <w:ind w:left="1530"/>
        <w:rPr>
          <w:rFonts w:hint="eastAsia"/>
        </w:rPr>
      </w:pPr>
      <w:r>
        <w:rPr>
          <w:rFonts w:hint="eastAsia"/>
        </w:rPr>
        <w:t>公平承受公共负担的原则</w:t>
      </w:r>
      <w:r>
        <w:rPr>
          <w:rFonts w:hint="eastAsia"/>
        </w:rPr>
        <w:t>(</w:t>
      </w:r>
      <w:r>
        <w:rPr>
          <w:rFonts w:hint="eastAsia"/>
        </w:rPr>
        <w:t>第</w:t>
      </w:r>
      <w:r>
        <w:rPr>
          <w:rFonts w:hint="eastAsia"/>
        </w:rPr>
        <w:t>4</w:t>
      </w:r>
      <w:r>
        <w:rPr>
          <w:rFonts w:hint="eastAsia"/>
        </w:rPr>
        <w:t>条第</w:t>
      </w:r>
      <w:r>
        <w:rPr>
          <w:rFonts w:hint="eastAsia"/>
        </w:rPr>
        <w:t>5</w:t>
      </w:r>
      <w:r>
        <w:rPr>
          <w:rFonts w:hint="eastAsia"/>
        </w:rPr>
        <w:t>款</w:t>
      </w:r>
      <w:r>
        <w:rPr>
          <w:rFonts w:hint="eastAsia"/>
        </w:rPr>
        <w:t>)</w:t>
      </w:r>
      <w:r>
        <w:rPr>
          <w:rFonts w:hint="eastAsia"/>
        </w:rPr>
        <w:t>；以及</w:t>
      </w:r>
    </w:p>
    <w:p w:rsidR="00000000" w:rsidRDefault="00000000">
      <w:pPr>
        <w:pStyle w:val="a0"/>
        <w:tabs>
          <w:tab w:val="num" w:pos="1530"/>
        </w:tabs>
        <w:ind w:left="1530"/>
        <w:rPr>
          <w:rFonts w:hint="eastAsia"/>
        </w:rPr>
      </w:pPr>
      <w:r>
        <w:rPr>
          <w:rFonts w:hint="eastAsia"/>
        </w:rPr>
        <w:t>公平服兵役的原则</w:t>
      </w:r>
      <w:r>
        <w:rPr>
          <w:rFonts w:hint="eastAsia"/>
        </w:rPr>
        <w:t>(</w:t>
      </w:r>
      <w:r>
        <w:rPr>
          <w:rFonts w:hint="eastAsia"/>
        </w:rPr>
        <w:t>第</w:t>
      </w:r>
      <w:r>
        <w:rPr>
          <w:rFonts w:hint="eastAsia"/>
        </w:rPr>
        <w:t>4</w:t>
      </w:r>
      <w:r>
        <w:rPr>
          <w:rFonts w:hint="eastAsia"/>
        </w:rPr>
        <w:t>条第</w:t>
      </w:r>
      <w:r>
        <w:rPr>
          <w:rFonts w:hint="eastAsia"/>
        </w:rPr>
        <w:t>6</w:t>
      </w:r>
      <w:r>
        <w:rPr>
          <w:rFonts w:hint="eastAsia"/>
        </w:rPr>
        <w:t>款</w:t>
      </w:r>
      <w:r>
        <w:rPr>
          <w:rFonts w:hint="eastAsia"/>
        </w:rPr>
        <w:t>)</w:t>
      </w:r>
      <w:r>
        <w:rPr>
          <w:rFonts w:hint="eastAsia"/>
        </w:rPr>
        <w:t>。</w:t>
      </w:r>
    </w:p>
    <w:p w:rsidR="00000000" w:rsidRDefault="00000000">
      <w:pPr>
        <w:rPr>
          <w:rFonts w:hint="eastAsia"/>
        </w:rPr>
      </w:pPr>
      <w:r>
        <w:rPr>
          <w:rFonts w:hint="eastAsia"/>
        </w:rPr>
        <w:tab/>
        <w:t xml:space="preserve">31.  </w:t>
      </w:r>
      <w:r>
        <w:rPr>
          <w:rFonts w:hint="eastAsia"/>
        </w:rPr>
        <w:t>除此以外，《宪法》第</w:t>
      </w:r>
      <w:r>
        <w:rPr>
          <w:rFonts w:hint="eastAsia"/>
        </w:rPr>
        <w:t>5</w:t>
      </w:r>
      <w:r>
        <w:rPr>
          <w:rFonts w:hint="eastAsia"/>
        </w:rPr>
        <w:t>条第</w:t>
      </w:r>
      <w:r>
        <w:rPr>
          <w:rFonts w:hint="eastAsia"/>
        </w:rPr>
        <w:t>2</w:t>
      </w:r>
      <w:r>
        <w:rPr>
          <w:rFonts w:hint="eastAsia"/>
        </w:rPr>
        <w:t>款规定，“居住在希腊的所有人均享有对其生命、荣誉和自由的全面保护，不论其国籍、种族、语言、宗教或者政治信仰。只有在国际法所规定的情况下才可有例外”。第</w:t>
      </w:r>
      <w:r>
        <w:rPr>
          <w:rFonts w:hint="eastAsia"/>
        </w:rPr>
        <w:t>13</w:t>
      </w:r>
      <w:r>
        <w:rPr>
          <w:rFonts w:hint="eastAsia"/>
        </w:rPr>
        <w:t>条第</w:t>
      </w:r>
      <w:r>
        <w:rPr>
          <w:rFonts w:hint="eastAsia"/>
        </w:rPr>
        <w:t>1</w:t>
      </w:r>
      <w:r>
        <w:rPr>
          <w:rFonts w:hint="eastAsia"/>
        </w:rPr>
        <w:t>款规定，享受个人和公民权利并不取决于个人的宗教信仰。</w:t>
      </w:r>
    </w:p>
    <w:p w:rsidR="00000000" w:rsidRDefault="00000000">
      <w:pPr>
        <w:spacing w:after="240"/>
        <w:rPr>
          <w:rFonts w:hint="eastAsia"/>
        </w:rPr>
      </w:pPr>
      <w:r>
        <w:rPr>
          <w:rFonts w:hint="eastAsia"/>
        </w:rPr>
        <w:tab/>
        <w:t xml:space="preserve">32.  </w:t>
      </w:r>
      <w:r>
        <w:rPr>
          <w:rFonts w:hint="eastAsia"/>
        </w:rPr>
        <w:t>《宪法》第</w:t>
      </w:r>
      <w:r>
        <w:rPr>
          <w:rFonts w:hint="eastAsia"/>
        </w:rPr>
        <w:t>22</w:t>
      </w:r>
      <w:r>
        <w:rPr>
          <w:rFonts w:hint="eastAsia"/>
        </w:rPr>
        <w:t>条第</w:t>
      </w:r>
      <w:r>
        <w:rPr>
          <w:rFonts w:hint="eastAsia"/>
        </w:rPr>
        <w:t>1</w:t>
      </w:r>
      <w:r>
        <w:rPr>
          <w:rFonts w:hint="eastAsia"/>
        </w:rPr>
        <w:t>款</w:t>
      </w:r>
      <w:r>
        <w:t>(b)</w:t>
      </w:r>
      <w:r>
        <w:rPr>
          <w:rFonts w:hint="eastAsia"/>
        </w:rPr>
        <w:t>项规定，“所有劳动者，无论其在性别或者其他方面的区别，均有权享受同工同酬。一般来说，在享受和行使个人和社会权利方面的任何形式的歧视均被视为违反《宪法》。</w:t>
      </w:r>
    </w:p>
    <w:p w:rsidR="00000000" w:rsidRDefault="00000000">
      <w:pPr>
        <w:pStyle w:val="Heading4"/>
        <w:rPr>
          <w:rFonts w:hint="eastAsia"/>
        </w:rPr>
      </w:pPr>
      <w:r>
        <w:rPr>
          <w:rFonts w:hint="eastAsia"/>
        </w:rPr>
        <w:t>采取积极措施</w:t>
      </w:r>
    </w:p>
    <w:p w:rsidR="00000000" w:rsidRDefault="00000000">
      <w:pPr>
        <w:rPr>
          <w:rFonts w:hint="eastAsia"/>
        </w:rPr>
      </w:pPr>
      <w:r>
        <w:rPr>
          <w:rFonts w:hint="eastAsia"/>
        </w:rPr>
        <w:tab/>
        <w:t xml:space="preserve">33.  </w:t>
      </w:r>
      <w:r>
        <w:rPr>
          <w:rFonts w:hint="eastAsia"/>
        </w:rPr>
        <w:t>国务委员会于</w:t>
      </w:r>
      <w:r>
        <w:rPr>
          <w:rFonts w:hint="eastAsia"/>
        </w:rPr>
        <w:t>1998</w:t>
      </w:r>
      <w:r>
        <w:rPr>
          <w:rFonts w:hint="eastAsia"/>
        </w:rPr>
        <w:t>年明确表示有必要采取积极措施，以便有效地实现男女平等，并且认为正面行动的政策符合《宪法》。国务委员会认为，“如果人们发现，某些类别的人士由于社会偏见而遭到歧视，结果坚定实施的公平原则反而造成公平的假象，这种情况实际上巩固和延续了目前的不平等状况，在这种情况下，立法机构必须采取适当和必要的积极措施帮助这些类型的人士，直到实现真正的平等，直到符合《宪法》所规定的公平原则。因此，如果存在这些情况的话，采取帮助妇女的积极措施，以便加速实现有效的男女平等是符合《宪法》的”</w:t>
      </w:r>
      <w:r>
        <w:rPr>
          <w:rFonts w:hint="eastAsia"/>
        </w:rPr>
        <w:t>(</w:t>
      </w:r>
      <w:r>
        <w:rPr>
          <w:rFonts w:hint="eastAsia"/>
        </w:rPr>
        <w:t>第</w:t>
      </w:r>
      <w:r>
        <w:rPr>
          <w:rFonts w:hint="eastAsia"/>
        </w:rPr>
        <w:t>1917-1929/1998</w:t>
      </w:r>
      <w:r>
        <w:rPr>
          <w:rFonts w:hint="eastAsia"/>
        </w:rPr>
        <w:t>号裁决以及第</w:t>
      </w:r>
      <w:r>
        <w:rPr>
          <w:rFonts w:hint="eastAsia"/>
        </w:rPr>
        <w:t>1933/1998</w:t>
      </w:r>
      <w:r>
        <w:rPr>
          <w:rFonts w:hint="eastAsia"/>
        </w:rPr>
        <w:t>号裁决</w:t>
      </w:r>
      <w:r>
        <w:rPr>
          <w:rFonts w:hint="eastAsia"/>
        </w:rPr>
        <w:t>)</w:t>
      </w:r>
      <w:r>
        <w:rPr>
          <w:rFonts w:hint="eastAsia"/>
        </w:rPr>
        <w:t>。</w:t>
      </w:r>
    </w:p>
    <w:p w:rsidR="00000000" w:rsidRDefault="00000000">
      <w:pPr>
        <w:rPr>
          <w:rFonts w:hint="eastAsia"/>
        </w:rPr>
      </w:pPr>
      <w:r>
        <w:rPr>
          <w:rFonts w:hint="eastAsia"/>
        </w:rPr>
        <w:tab/>
        <w:t xml:space="preserve">34.  </w:t>
      </w:r>
      <w:r>
        <w:rPr>
          <w:rFonts w:hint="eastAsia"/>
        </w:rPr>
        <w:t>以上有关性别平等的判例法也可能同一些歧视行为有关。这些歧视行为起因于种族、肤色、出身、国籍或者族裔，因此其目的在于取消或者损害在平等的条件下承认、享有或者行使人权和基本自由。在这些情况下，为了实现法律上的和事实上的平等而采取积极措施完全符合《宪法》第</w:t>
      </w:r>
      <w:r>
        <w:rPr>
          <w:rFonts w:hint="eastAsia"/>
        </w:rPr>
        <w:t>1</w:t>
      </w:r>
      <w:r>
        <w:rPr>
          <w:rFonts w:hint="eastAsia"/>
        </w:rPr>
        <w:t>条第</w:t>
      </w:r>
      <w:r>
        <w:rPr>
          <w:rFonts w:hint="eastAsia"/>
        </w:rPr>
        <w:t>4</w:t>
      </w:r>
      <w:r>
        <w:rPr>
          <w:rFonts w:hint="eastAsia"/>
        </w:rPr>
        <w:t>款的规定。</w:t>
      </w:r>
    </w:p>
    <w:p w:rsidR="00000000" w:rsidRDefault="00000000">
      <w:pPr>
        <w:rPr>
          <w:rFonts w:hint="eastAsia"/>
        </w:rPr>
      </w:pPr>
      <w:r>
        <w:rPr>
          <w:rFonts w:hint="eastAsia"/>
        </w:rPr>
        <w:tab/>
        <w:t xml:space="preserve">35.  </w:t>
      </w:r>
      <w:r>
        <w:rPr>
          <w:rFonts w:hint="eastAsia"/>
        </w:rPr>
        <w:t>采取正面行动最近也反映在宪法的修订上。经过修订的《宪法》第</w:t>
      </w:r>
      <w:r>
        <w:rPr>
          <w:rFonts w:hint="eastAsia"/>
        </w:rPr>
        <w:t>116</w:t>
      </w:r>
      <w:r>
        <w:rPr>
          <w:rFonts w:hint="eastAsia"/>
        </w:rPr>
        <w:t>条第</w:t>
      </w:r>
      <w:r>
        <w:rPr>
          <w:rFonts w:hint="eastAsia"/>
        </w:rPr>
        <w:t>2</w:t>
      </w:r>
      <w:r>
        <w:rPr>
          <w:rFonts w:hint="eastAsia"/>
        </w:rPr>
        <w:t>款规定，采取积极措施促进男女平等并不构成性别歧视。国家应致力于消除实际存在的不平等状况，特别是损害妇女的不平等状况。</w:t>
      </w:r>
    </w:p>
    <w:p w:rsidR="00000000" w:rsidRDefault="00000000">
      <w:pPr>
        <w:rPr>
          <w:rFonts w:hint="eastAsia"/>
        </w:rPr>
      </w:pPr>
      <w:r>
        <w:rPr>
          <w:rFonts w:hint="eastAsia"/>
        </w:rPr>
        <w:tab/>
        <w:t xml:space="preserve">36.  </w:t>
      </w:r>
      <w:r>
        <w:rPr>
          <w:rFonts w:hint="eastAsia"/>
        </w:rPr>
        <w:t>在立法方面，希腊议会最近通过了一项立法条款</w:t>
      </w:r>
      <w:r>
        <w:rPr>
          <w:rFonts w:hint="eastAsia"/>
        </w:rPr>
        <w:t>(</w:t>
      </w:r>
      <w:r>
        <w:rPr>
          <w:rFonts w:hint="eastAsia"/>
        </w:rPr>
        <w:t>第</w:t>
      </w:r>
      <w:r>
        <w:rPr>
          <w:rFonts w:hint="eastAsia"/>
        </w:rPr>
        <w:t>2839/2000</w:t>
      </w:r>
      <w:r>
        <w:rPr>
          <w:rFonts w:hint="eastAsia"/>
        </w:rPr>
        <w:t>号法令第</w:t>
      </w:r>
      <w:r>
        <w:rPr>
          <w:rFonts w:hint="eastAsia"/>
        </w:rPr>
        <w:t>6</w:t>
      </w:r>
      <w:r>
        <w:rPr>
          <w:rFonts w:hint="eastAsia"/>
        </w:rPr>
        <w:t>条</w:t>
      </w:r>
      <w:r>
        <w:rPr>
          <w:rFonts w:hint="eastAsia"/>
        </w:rPr>
        <w:t>)</w:t>
      </w:r>
      <w:r>
        <w:rPr>
          <w:rFonts w:hint="eastAsia"/>
        </w:rPr>
        <w:t>，其中规定，在国家、公立部门和私营部门以及第一级和第二级地方政府机关的决策过程中必须要有男女的均衡参与。</w:t>
      </w:r>
    </w:p>
    <w:p w:rsidR="00000000" w:rsidRDefault="00000000">
      <w:pPr>
        <w:rPr>
          <w:rFonts w:hint="eastAsia"/>
        </w:rPr>
      </w:pPr>
      <w:r>
        <w:rPr>
          <w:rFonts w:hint="eastAsia"/>
        </w:rPr>
        <w:tab/>
        <w:t xml:space="preserve">37.  </w:t>
      </w:r>
      <w:r>
        <w:rPr>
          <w:rFonts w:hint="eastAsia"/>
        </w:rPr>
        <w:t>在政治权利方面，第</w:t>
      </w:r>
      <w:r>
        <w:rPr>
          <w:rFonts w:hint="eastAsia"/>
        </w:rPr>
        <w:t>2910/2001</w:t>
      </w:r>
      <w:r>
        <w:rPr>
          <w:rFonts w:hint="eastAsia"/>
        </w:rPr>
        <w:t>号法令在有关《市镇和社区管理办法》的第</w:t>
      </w:r>
      <w:r>
        <w:rPr>
          <w:rFonts w:hint="eastAsia"/>
        </w:rPr>
        <w:t>410/1995</w:t>
      </w:r>
      <w:r>
        <w:rPr>
          <w:rFonts w:hint="eastAsia"/>
        </w:rPr>
        <w:t>号总统令第</w:t>
      </w:r>
      <w:r>
        <w:rPr>
          <w:rFonts w:hint="eastAsia"/>
        </w:rPr>
        <w:t>54</w:t>
      </w:r>
      <w:r>
        <w:rPr>
          <w:rFonts w:hint="eastAsia"/>
        </w:rPr>
        <w:t>条后加上了新的第</w:t>
      </w:r>
      <w:r>
        <w:rPr>
          <w:rFonts w:hint="eastAsia"/>
        </w:rPr>
        <w:t>3</w:t>
      </w:r>
      <w:r>
        <w:rPr>
          <w:rFonts w:hint="eastAsia"/>
        </w:rPr>
        <w:t>款。根据这款规定，男子或妇女议员候选人的人数必须至少相当于每项名单中候选人总数的三分之一。在有关《省级地方政府管理办法》的第</w:t>
      </w:r>
      <w:r>
        <w:rPr>
          <w:rFonts w:hint="eastAsia"/>
        </w:rPr>
        <w:t>30/1996</w:t>
      </w:r>
      <w:r>
        <w:rPr>
          <w:rFonts w:hint="eastAsia"/>
        </w:rPr>
        <w:t>号总统令</w:t>
      </w:r>
      <w:r>
        <w:rPr>
          <w:rFonts w:hint="eastAsia"/>
        </w:rPr>
        <w:t>(</w:t>
      </w:r>
      <w:r>
        <w:rPr>
          <w:rFonts w:hint="eastAsia"/>
        </w:rPr>
        <w:t>《政府公报》</w:t>
      </w:r>
      <w:r>
        <w:rPr>
          <w:rFonts w:hint="eastAsia"/>
        </w:rPr>
        <w:t>21A)</w:t>
      </w:r>
      <w:r>
        <w:rPr>
          <w:rFonts w:hint="eastAsia"/>
        </w:rPr>
        <w:t>的后面也加上了类似的条款。</w:t>
      </w:r>
    </w:p>
    <w:p w:rsidR="00000000" w:rsidRDefault="00000000">
      <w:pPr>
        <w:rPr>
          <w:rFonts w:hint="eastAsia"/>
          <w:spacing w:val="6"/>
        </w:rPr>
      </w:pPr>
      <w:r>
        <w:rPr>
          <w:rFonts w:hint="eastAsia"/>
        </w:rPr>
        <w:tab/>
        <w:t xml:space="preserve">38.  </w:t>
      </w:r>
      <w:r>
        <w:rPr>
          <w:rFonts w:hint="eastAsia"/>
          <w:spacing w:val="6"/>
        </w:rPr>
        <w:t>为确保实现《经济、社会、文化权利国际公约》所载的权利而采取的积极措施还包括：制定了有关雇用特殊类别人士的第</w:t>
      </w:r>
      <w:r>
        <w:rPr>
          <w:rFonts w:hint="eastAsia"/>
          <w:spacing w:val="6"/>
        </w:rPr>
        <w:t>2643/1998</w:t>
      </w:r>
      <w:r>
        <w:rPr>
          <w:rFonts w:hint="eastAsia"/>
          <w:spacing w:val="6"/>
        </w:rPr>
        <w:t>号法令以及有关人员雇用组织的重新安排的</w:t>
      </w:r>
      <w:r>
        <w:rPr>
          <w:rFonts w:hint="eastAsia"/>
          <w:spacing w:val="6"/>
        </w:rPr>
        <w:t>2956/2001</w:t>
      </w:r>
      <w:r>
        <w:rPr>
          <w:rFonts w:hint="eastAsia"/>
          <w:spacing w:val="6"/>
        </w:rPr>
        <w:t>号法令，就有特殊需要人士的雇用条件作出了规定。</w:t>
      </w:r>
    </w:p>
    <w:p w:rsidR="00000000" w:rsidRDefault="00000000">
      <w:pPr>
        <w:spacing w:after="240"/>
        <w:rPr>
          <w:rFonts w:hint="eastAsia"/>
        </w:rPr>
      </w:pPr>
      <w:r>
        <w:rPr>
          <w:rFonts w:hint="eastAsia"/>
        </w:rPr>
        <w:tab/>
        <w:t xml:space="preserve">39.  </w:t>
      </w:r>
      <w:r>
        <w:rPr>
          <w:rFonts w:hint="eastAsia"/>
        </w:rPr>
        <w:t>关于在公共部门雇用有特殊需要人士的问题，根据上述立法，公共服务部门、公共法人企业以及地方政府机构必须优先任命或者雇用处于不利地位的人士、多子女的父母以及属于其他易受伤害群体的人士。这些人士无须参加公开竞争或者选拔程序，必须占有所宣布空缺总数的</w:t>
      </w:r>
      <w:r>
        <w:rPr>
          <w:rFonts w:hint="eastAsia"/>
        </w:rPr>
        <w:t>5%</w:t>
      </w:r>
      <w:r>
        <w:rPr>
          <w:rFonts w:hint="eastAsia"/>
        </w:rPr>
        <w:t>。第</w:t>
      </w:r>
      <w:r>
        <w:rPr>
          <w:rFonts w:hint="eastAsia"/>
        </w:rPr>
        <w:t>2643/1998</w:t>
      </w:r>
      <w:r>
        <w:rPr>
          <w:rFonts w:hint="eastAsia"/>
        </w:rPr>
        <w:t>号法令还就私营部门，即在希腊运营的希腊资本或者外资企业安置有特殊需要人士的问题作出了规定。</w:t>
      </w:r>
    </w:p>
    <w:p w:rsidR="00000000" w:rsidRDefault="00000000">
      <w:pPr>
        <w:pStyle w:val="Heading4"/>
        <w:rPr>
          <w:rFonts w:hint="eastAsia"/>
        </w:rPr>
      </w:pPr>
      <w:r>
        <w:rPr>
          <w:rFonts w:hint="eastAsia"/>
        </w:rPr>
        <w:t>外国人享有的人权</w:t>
      </w:r>
    </w:p>
    <w:p w:rsidR="00000000" w:rsidRDefault="00000000">
      <w:pPr>
        <w:rPr>
          <w:rFonts w:hint="eastAsia"/>
        </w:rPr>
      </w:pPr>
      <w:r>
        <w:rPr>
          <w:rFonts w:hint="eastAsia"/>
        </w:rPr>
        <w:tab/>
        <w:t xml:space="preserve">40.  </w:t>
      </w:r>
      <w:r>
        <w:rPr>
          <w:rFonts w:hint="eastAsia"/>
        </w:rPr>
        <w:t>从原则上说，所有人士，无论其国籍如何，均有权享受《宪法》所保障的公民和社会权利，但是宪法有关条款为希腊公民保留了一些具体权利。这些权利包括：平等权利</w:t>
      </w:r>
      <w:r>
        <w:rPr>
          <w:rFonts w:hint="eastAsia"/>
        </w:rPr>
        <w:t>(</w:t>
      </w:r>
      <w:r>
        <w:rPr>
          <w:rFonts w:hint="eastAsia"/>
        </w:rPr>
        <w:t>第</w:t>
      </w:r>
      <w:r>
        <w:rPr>
          <w:rFonts w:hint="eastAsia"/>
        </w:rPr>
        <w:t>4</w:t>
      </w:r>
      <w:r>
        <w:rPr>
          <w:rFonts w:hint="eastAsia"/>
        </w:rPr>
        <w:t>条</w:t>
      </w:r>
      <w:r>
        <w:rPr>
          <w:rFonts w:hint="eastAsia"/>
        </w:rPr>
        <w:t>)</w:t>
      </w:r>
      <w:r>
        <w:rPr>
          <w:rFonts w:hint="eastAsia"/>
        </w:rPr>
        <w:t>、自由出入国境的权利</w:t>
      </w:r>
      <w:r>
        <w:rPr>
          <w:rFonts w:hint="eastAsia"/>
        </w:rPr>
        <w:t>(</w:t>
      </w:r>
      <w:r>
        <w:rPr>
          <w:rFonts w:hint="eastAsia"/>
        </w:rPr>
        <w:t>第</w:t>
      </w:r>
      <w:r>
        <w:rPr>
          <w:rFonts w:hint="eastAsia"/>
        </w:rPr>
        <w:t>5</w:t>
      </w:r>
      <w:r>
        <w:rPr>
          <w:rFonts w:hint="eastAsia"/>
        </w:rPr>
        <w:t>条第</w:t>
      </w:r>
      <w:r>
        <w:rPr>
          <w:rFonts w:hint="eastAsia"/>
        </w:rPr>
        <w:t>4</w:t>
      </w:r>
      <w:r>
        <w:rPr>
          <w:rFonts w:hint="eastAsia"/>
        </w:rPr>
        <w:t>款，第二项</w:t>
      </w:r>
      <w:r>
        <w:rPr>
          <w:rFonts w:hint="eastAsia"/>
        </w:rPr>
        <w:t>)</w:t>
      </w:r>
      <w:r>
        <w:rPr>
          <w:rFonts w:hint="eastAsia"/>
        </w:rPr>
        <w:t>、集会权利</w:t>
      </w:r>
      <w:r>
        <w:rPr>
          <w:rFonts w:hint="eastAsia"/>
        </w:rPr>
        <w:t>(</w:t>
      </w:r>
      <w:r>
        <w:rPr>
          <w:rFonts w:hint="eastAsia"/>
        </w:rPr>
        <w:t>第</w:t>
      </w:r>
      <w:r>
        <w:rPr>
          <w:rFonts w:hint="eastAsia"/>
        </w:rPr>
        <w:t>11</w:t>
      </w:r>
      <w:r>
        <w:rPr>
          <w:rFonts w:hint="eastAsia"/>
        </w:rPr>
        <w:t>条第</w:t>
      </w:r>
      <w:r>
        <w:rPr>
          <w:rFonts w:hint="eastAsia"/>
        </w:rPr>
        <w:t>1</w:t>
      </w:r>
      <w:r>
        <w:rPr>
          <w:rFonts w:hint="eastAsia"/>
        </w:rPr>
        <w:t>款</w:t>
      </w:r>
      <w:r>
        <w:rPr>
          <w:rFonts w:hint="eastAsia"/>
        </w:rPr>
        <w:t>)</w:t>
      </w:r>
      <w:r>
        <w:rPr>
          <w:rFonts w:hint="eastAsia"/>
        </w:rPr>
        <w:t>、结社自由</w:t>
      </w:r>
      <w:r>
        <w:rPr>
          <w:rFonts w:hint="eastAsia"/>
        </w:rPr>
        <w:t>(</w:t>
      </w:r>
      <w:r>
        <w:rPr>
          <w:rFonts w:hint="eastAsia"/>
        </w:rPr>
        <w:t>第</w:t>
      </w:r>
      <w:r>
        <w:rPr>
          <w:rFonts w:hint="eastAsia"/>
        </w:rPr>
        <w:t>12</w:t>
      </w:r>
      <w:r>
        <w:rPr>
          <w:rFonts w:hint="eastAsia"/>
        </w:rPr>
        <w:t>条</w:t>
      </w:r>
      <w:r>
        <w:rPr>
          <w:rFonts w:hint="eastAsia"/>
        </w:rPr>
        <w:t>)</w:t>
      </w:r>
      <w:r>
        <w:rPr>
          <w:rFonts w:hint="eastAsia"/>
        </w:rPr>
        <w:t>、接受免费教育的权利</w:t>
      </w:r>
      <w:r>
        <w:rPr>
          <w:rFonts w:hint="eastAsia"/>
        </w:rPr>
        <w:t>(</w:t>
      </w:r>
      <w:r>
        <w:rPr>
          <w:rFonts w:hint="eastAsia"/>
        </w:rPr>
        <w:t>第</w:t>
      </w:r>
      <w:r>
        <w:rPr>
          <w:rFonts w:hint="eastAsia"/>
        </w:rPr>
        <w:t>16</w:t>
      </w:r>
      <w:r>
        <w:rPr>
          <w:rFonts w:hint="eastAsia"/>
        </w:rPr>
        <w:t>条第</w:t>
      </w:r>
      <w:r>
        <w:rPr>
          <w:rFonts w:hint="eastAsia"/>
        </w:rPr>
        <w:t>4</w:t>
      </w:r>
      <w:r>
        <w:rPr>
          <w:rFonts w:hint="eastAsia"/>
        </w:rPr>
        <w:t>款</w:t>
      </w:r>
      <w:r>
        <w:rPr>
          <w:rFonts w:hint="eastAsia"/>
        </w:rPr>
        <w:t>)</w:t>
      </w:r>
      <w:r>
        <w:rPr>
          <w:rFonts w:hint="eastAsia"/>
        </w:rPr>
        <w:t>、组建政党的权利</w:t>
      </w:r>
      <w:r>
        <w:rPr>
          <w:rFonts w:hint="eastAsia"/>
        </w:rPr>
        <w:t>(</w:t>
      </w:r>
      <w:r>
        <w:rPr>
          <w:rFonts w:hint="eastAsia"/>
        </w:rPr>
        <w:t>第</w:t>
      </w:r>
      <w:r>
        <w:rPr>
          <w:rFonts w:hint="eastAsia"/>
        </w:rPr>
        <w:t>29</w:t>
      </w:r>
      <w:r>
        <w:rPr>
          <w:rFonts w:hint="eastAsia"/>
        </w:rPr>
        <w:t>条第</w:t>
      </w:r>
      <w:r>
        <w:rPr>
          <w:rFonts w:hint="eastAsia"/>
        </w:rPr>
        <w:t>1</w:t>
      </w:r>
      <w:r>
        <w:rPr>
          <w:rFonts w:hint="eastAsia"/>
        </w:rPr>
        <w:t>款</w:t>
      </w:r>
      <w:r>
        <w:rPr>
          <w:rFonts w:hint="eastAsia"/>
        </w:rPr>
        <w:t>)</w:t>
      </w:r>
      <w:r>
        <w:rPr>
          <w:rFonts w:hint="eastAsia"/>
        </w:rPr>
        <w:t>以及选举和当选议员的权利</w:t>
      </w:r>
      <w:r>
        <w:rPr>
          <w:rFonts w:hint="eastAsia"/>
        </w:rPr>
        <w:t>(</w:t>
      </w:r>
      <w:r>
        <w:rPr>
          <w:rFonts w:hint="eastAsia"/>
        </w:rPr>
        <w:t>第</w:t>
      </w:r>
      <w:r>
        <w:rPr>
          <w:rFonts w:hint="eastAsia"/>
        </w:rPr>
        <w:t>51</w:t>
      </w:r>
      <w:r>
        <w:rPr>
          <w:rFonts w:hint="eastAsia"/>
        </w:rPr>
        <w:t>条第</w:t>
      </w:r>
      <w:r>
        <w:rPr>
          <w:rFonts w:hint="eastAsia"/>
        </w:rPr>
        <w:t>3</w:t>
      </w:r>
      <w:r>
        <w:rPr>
          <w:rFonts w:hint="eastAsia"/>
        </w:rPr>
        <w:t>款及第</w:t>
      </w:r>
      <w:r>
        <w:rPr>
          <w:rFonts w:hint="eastAsia"/>
        </w:rPr>
        <w:t>55</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41.  </w:t>
      </w:r>
      <w:r>
        <w:rPr>
          <w:rFonts w:hint="eastAsia"/>
        </w:rPr>
        <w:t>然而，在上述情况下，《宪法》并没有禁止外国人行使和享有个人和社会权利，只是把有关问题提交公共的立法机构。在任何情况下，立法机构必须考虑到有关保护在希腊居住的所有人的人类尊严</w:t>
      </w:r>
      <w:r>
        <w:rPr>
          <w:rFonts w:hint="eastAsia"/>
        </w:rPr>
        <w:t>(</w:t>
      </w:r>
      <w:r>
        <w:rPr>
          <w:rFonts w:hint="eastAsia"/>
        </w:rPr>
        <w:t>第</w:t>
      </w:r>
      <w:r>
        <w:rPr>
          <w:rFonts w:hint="eastAsia"/>
        </w:rPr>
        <w:t>2</w:t>
      </w:r>
      <w:r>
        <w:rPr>
          <w:rFonts w:hint="eastAsia"/>
        </w:rPr>
        <w:t>条</w:t>
      </w:r>
      <w:r>
        <w:rPr>
          <w:rFonts w:hint="eastAsia"/>
        </w:rPr>
        <w:t>)</w:t>
      </w:r>
      <w:r>
        <w:rPr>
          <w:rFonts w:hint="eastAsia"/>
        </w:rPr>
        <w:t>以及保护其生命、荣誉和自由的宪法条款，而不论其是否公民</w:t>
      </w:r>
      <w:r>
        <w:rPr>
          <w:rFonts w:hint="eastAsia"/>
        </w:rPr>
        <w:t>(</w:t>
      </w:r>
      <w:r>
        <w:rPr>
          <w:rFonts w:hint="eastAsia"/>
        </w:rPr>
        <w:t>第</w:t>
      </w:r>
      <w:r>
        <w:rPr>
          <w:rFonts w:hint="eastAsia"/>
        </w:rPr>
        <w:t>5</w:t>
      </w:r>
      <w:r>
        <w:rPr>
          <w:rFonts w:hint="eastAsia"/>
        </w:rPr>
        <w:t>条第</w:t>
      </w:r>
      <w:r>
        <w:rPr>
          <w:rFonts w:hint="eastAsia"/>
        </w:rPr>
        <w:t>2</w:t>
      </w:r>
      <w:r>
        <w:rPr>
          <w:rFonts w:hint="eastAsia"/>
        </w:rPr>
        <w:t>款</w:t>
      </w:r>
      <w:r>
        <w:rPr>
          <w:rFonts w:hint="eastAsia"/>
        </w:rPr>
        <w:t>)</w:t>
      </w:r>
      <w:r>
        <w:rPr>
          <w:rFonts w:hint="eastAsia"/>
        </w:rPr>
        <w:t>；同时必须考虑到有关保护人权的国际条约，因为这些条约并不区分是本国公民还是外国人。如果没有符合《宪法》以及国际条约的明确法律规定，政府不得禁止外国国民开展活动。</w:t>
      </w:r>
    </w:p>
    <w:p w:rsidR="00000000" w:rsidRDefault="00000000">
      <w:pPr>
        <w:rPr>
          <w:rFonts w:hint="eastAsia"/>
        </w:rPr>
      </w:pPr>
      <w:r>
        <w:rPr>
          <w:rFonts w:hint="eastAsia"/>
        </w:rPr>
        <w:tab/>
        <w:t xml:space="preserve">42.  </w:t>
      </w:r>
      <w:r>
        <w:rPr>
          <w:rFonts w:hint="eastAsia"/>
        </w:rPr>
        <w:t>根据《民法》第</w:t>
      </w:r>
      <w:r>
        <w:rPr>
          <w:rFonts w:hint="eastAsia"/>
        </w:rPr>
        <w:t>4</w:t>
      </w:r>
      <w:r>
        <w:rPr>
          <w:rFonts w:hint="eastAsia"/>
        </w:rPr>
        <w:t>条，外国国民享有与希腊公民同等的社会权利。</w:t>
      </w:r>
    </w:p>
    <w:p w:rsidR="00000000" w:rsidRDefault="00000000">
      <w:pPr>
        <w:rPr>
          <w:rFonts w:hint="eastAsia"/>
        </w:rPr>
      </w:pPr>
      <w:r>
        <w:rPr>
          <w:rFonts w:hint="eastAsia"/>
        </w:rPr>
        <w:tab/>
        <w:t xml:space="preserve">43.  </w:t>
      </w:r>
      <w:r>
        <w:rPr>
          <w:rFonts w:hint="eastAsia"/>
        </w:rPr>
        <w:t>根据第</w:t>
      </w:r>
      <w:r>
        <w:rPr>
          <w:rFonts w:hint="eastAsia"/>
        </w:rPr>
        <w:t>499/1987</w:t>
      </w:r>
      <w:r>
        <w:rPr>
          <w:rFonts w:hint="eastAsia"/>
        </w:rPr>
        <w:t>号总统令以及第</w:t>
      </w:r>
      <w:r>
        <w:rPr>
          <w:rFonts w:hint="eastAsia"/>
        </w:rPr>
        <w:t>545/1983</w:t>
      </w:r>
      <w:r>
        <w:rPr>
          <w:rFonts w:hint="eastAsia"/>
        </w:rPr>
        <w:t>号总统令来自欧洲联盟成员国的外国人如果符合相同的条件，可与希腊公民一样为进行一项付费或者免费活动而在希腊境内自由旅行和居留。</w:t>
      </w:r>
    </w:p>
    <w:p w:rsidR="00000000" w:rsidRDefault="00000000">
      <w:pPr>
        <w:rPr>
          <w:rFonts w:hint="eastAsia"/>
        </w:rPr>
      </w:pPr>
      <w:r>
        <w:rPr>
          <w:rFonts w:hint="eastAsia"/>
        </w:rPr>
        <w:tab/>
        <w:t xml:space="preserve">44.  </w:t>
      </w:r>
      <w:r>
        <w:rPr>
          <w:rFonts w:hint="eastAsia"/>
        </w:rPr>
        <w:t>持有居留证的非欧盟成员国的外国国民在劳动报酬、工作条件以及社会保障权利等方面享有同希腊工人同样的劳动权利和承担同样的义务，同时也承担现有立法所规定的其他财政义务</w:t>
      </w:r>
      <w:r>
        <w:rPr>
          <w:rFonts w:hint="eastAsia"/>
        </w:rPr>
        <w:t>(</w:t>
      </w:r>
      <w:r>
        <w:rPr>
          <w:rFonts w:hint="eastAsia"/>
        </w:rPr>
        <w:t>“有关向外国人发放短期居留证的”第</w:t>
      </w:r>
      <w:r>
        <w:rPr>
          <w:rFonts w:hint="eastAsia"/>
        </w:rPr>
        <w:t>359/1997</w:t>
      </w:r>
      <w:r>
        <w:rPr>
          <w:rFonts w:hint="eastAsia"/>
        </w:rPr>
        <w:t>号总统令第</w:t>
      </w:r>
      <w:r>
        <w:rPr>
          <w:rFonts w:hint="eastAsia"/>
        </w:rPr>
        <w:t>6</w:t>
      </w:r>
      <w:r>
        <w:rPr>
          <w:rFonts w:hint="eastAsia"/>
        </w:rPr>
        <w:t>条以及“有关在希腊居住的非欧盟成员国的欧洲国家国民的合法居留和工作的条件和程序的”第</w:t>
      </w:r>
      <w:r>
        <w:rPr>
          <w:rFonts w:hint="eastAsia"/>
        </w:rPr>
        <w:t>358/1997</w:t>
      </w:r>
      <w:r>
        <w:rPr>
          <w:rFonts w:hint="eastAsia"/>
        </w:rPr>
        <w:t>号总统令第</w:t>
      </w:r>
      <w:r>
        <w:rPr>
          <w:rFonts w:hint="eastAsia"/>
        </w:rPr>
        <w:t>4</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45.  </w:t>
      </w:r>
      <w:r>
        <w:rPr>
          <w:rFonts w:hint="eastAsia"/>
        </w:rPr>
        <w:t>凡是根据有关“外国人在希腊入境和居留、通过归化和其他规定获得希腊国籍的”第</w:t>
      </w:r>
      <w:r>
        <w:rPr>
          <w:rFonts w:hint="eastAsia"/>
        </w:rPr>
        <w:t>2910/2001</w:t>
      </w:r>
      <w:r>
        <w:rPr>
          <w:rFonts w:hint="eastAsia"/>
        </w:rPr>
        <w:t>号法令所规定的程序获得工作证的外国人也适用于上述规定。同样，希腊国家保障难民的工作权利。</w:t>
      </w:r>
    </w:p>
    <w:p w:rsidR="00000000" w:rsidRDefault="00000000">
      <w:pPr>
        <w:rPr>
          <w:rFonts w:hint="eastAsia"/>
        </w:rPr>
      </w:pPr>
      <w:r>
        <w:rPr>
          <w:rFonts w:hint="eastAsia"/>
        </w:rPr>
        <w:tab/>
        <w:t xml:space="preserve">46.  </w:t>
      </w:r>
      <w:r>
        <w:rPr>
          <w:rFonts w:hint="eastAsia"/>
        </w:rPr>
        <w:t>此外，依据有关工会权利的第</w:t>
      </w:r>
      <w:r>
        <w:rPr>
          <w:rFonts w:hint="eastAsia"/>
        </w:rPr>
        <w:t>264/1982</w:t>
      </w:r>
      <w:r>
        <w:rPr>
          <w:rFonts w:hint="eastAsia"/>
        </w:rPr>
        <w:t>号法令第</w:t>
      </w:r>
      <w:r>
        <w:rPr>
          <w:rFonts w:hint="eastAsia"/>
        </w:rPr>
        <w:t>7</w:t>
      </w:r>
      <w:r>
        <w:rPr>
          <w:rFonts w:hint="eastAsia"/>
        </w:rPr>
        <w:t>条的规定，在希腊合法工作的外国人有权参加工会。</w:t>
      </w:r>
    </w:p>
    <w:p w:rsidR="00000000" w:rsidRDefault="00000000">
      <w:pPr>
        <w:rPr>
          <w:rFonts w:hint="eastAsia"/>
        </w:rPr>
      </w:pPr>
      <w:r>
        <w:rPr>
          <w:rFonts w:hint="eastAsia"/>
        </w:rPr>
        <w:tab/>
        <w:t xml:space="preserve">47.  </w:t>
      </w:r>
      <w:r>
        <w:rPr>
          <w:rFonts w:hint="eastAsia"/>
        </w:rPr>
        <w:t>关于住房问题，凡是在希腊长期居住和工作并且在其收入中为工人住房局扣税的移民根据法律可在不受歧视的情况下获得该局的服务。</w:t>
      </w:r>
    </w:p>
    <w:p w:rsidR="00000000" w:rsidRDefault="00000000">
      <w:pPr>
        <w:rPr>
          <w:rFonts w:hint="eastAsia"/>
        </w:rPr>
      </w:pPr>
      <w:r>
        <w:rPr>
          <w:rFonts w:hint="eastAsia"/>
        </w:rPr>
        <w:tab/>
        <w:t xml:space="preserve">48.  </w:t>
      </w:r>
      <w:r>
        <w:rPr>
          <w:rFonts w:hint="eastAsia"/>
        </w:rPr>
        <w:t>同样，全国劳动集体总协议规定了禁止歧视的措施。根据</w:t>
      </w:r>
      <w:r>
        <w:rPr>
          <w:rFonts w:hint="eastAsia"/>
        </w:rPr>
        <w:t>2000</w:t>
      </w:r>
      <w:r>
        <w:rPr>
          <w:rFonts w:hint="eastAsia"/>
        </w:rPr>
        <w:t>年和</w:t>
      </w:r>
      <w:r>
        <w:rPr>
          <w:rFonts w:hint="eastAsia"/>
        </w:rPr>
        <w:t>2001</w:t>
      </w:r>
      <w:r>
        <w:rPr>
          <w:rFonts w:hint="eastAsia"/>
        </w:rPr>
        <w:t>年全国劳动集体总协议的第</w:t>
      </w:r>
      <w:r>
        <w:rPr>
          <w:rFonts w:hint="eastAsia"/>
        </w:rPr>
        <w:t>20</w:t>
      </w:r>
      <w:r>
        <w:rPr>
          <w:rFonts w:hint="eastAsia"/>
        </w:rPr>
        <w:t>条，在有关职工健康和安全的事务中确保平等待遇，同时规定保护工人不在以下方面遭受任何形式的歧视：以性别、国籍、种族或者信仰为由决定是否聘用、最低就业年龄、产妇保护、获得培训或者进修、尊重组织和采取集体行动的权利以及便利其获得社会保障和教育。</w:t>
      </w:r>
    </w:p>
    <w:p w:rsidR="00000000" w:rsidRDefault="00000000">
      <w:pPr>
        <w:rPr>
          <w:rFonts w:hint="eastAsia"/>
        </w:rPr>
      </w:pPr>
      <w:r>
        <w:rPr>
          <w:rFonts w:hint="eastAsia"/>
        </w:rPr>
        <w:tab/>
        <w:t xml:space="preserve">49.  </w:t>
      </w:r>
      <w:r>
        <w:rPr>
          <w:rFonts w:hint="eastAsia"/>
        </w:rPr>
        <w:t>根据全国劳动集体总协议第</w:t>
      </w:r>
      <w:r>
        <w:rPr>
          <w:rFonts w:hint="eastAsia"/>
        </w:rPr>
        <w:t>22</w:t>
      </w:r>
      <w:r>
        <w:rPr>
          <w:rFonts w:hint="eastAsia"/>
        </w:rPr>
        <w:t>条，协议各方商定，应当作出一切努力确保尊重所有工人，无论其种族、国籍、文化或者宗教信仰如何，同时促进工人适应其工作环境。</w:t>
      </w:r>
    </w:p>
    <w:p w:rsidR="00000000" w:rsidRDefault="00000000">
      <w:pPr>
        <w:rPr>
          <w:rFonts w:hint="eastAsia"/>
        </w:rPr>
      </w:pPr>
      <w:r>
        <w:rPr>
          <w:rFonts w:hint="eastAsia"/>
        </w:rPr>
        <w:tab/>
        <w:t xml:space="preserve">50.  </w:t>
      </w:r>
      <w:r>
        <w:rPr>
          <w:rFonts w:hint="eastAsia"/>
        </w:rPr>
        <w:t>在希腊从事附属劳动的外国人，无论其是否具有合法的居留身份，如果没有在任何其他社会保险公司投保的话，就必须参加社会保障基金会的保险。与此同时，有关社会保护的条款既适用于希腊公民，又适用于外国人。在一般性规定之外还就例外情况作出了规定：如果外国人没有护照、其他合法旅游证件、入境签证或者居留证，公共服务设施一般来说不得向他们提供服务。一般来说，这些外国人无法证明他们在希腊的合法居留身份，但是急需在医院、治疗中心或者诊所求医的外国人及其家属不在此例。</w:t>
      </w:r>
    </w:p>
    <w:p w:rsidR="00000000" w:rsidRDefault="00000000">
      <w:pPr>
        <w:rPr>
          <w:rFonts w:hint="eastAsia"/>
        </w:rPr>
      </w:pPr>
      <w:r>
        <w:rPr>
          <w:rFonts w:hint="eastAsia"/>
        </w:rPr>
        <w:tab/>
        <w:t xml:space="preserve">51.  </w:t>
      </w:r>
      <w:r>
        <w:rPr>
          <w:rFonts w:hint="eastAsia"/>
        </w:rPr>
        <w:t>此外，凡是没有为其外国雇员购买保险的雇主必须交纳大约</w:t>
      </w:r>
      <w:r>
        <w:rPr>
          <w:rFonts w:hint="eastAsia"/>
        </w:rPr>
        <w:t>75%</w:t>
      </w:r>
      <w:r>
        <w:rPr>
          <w:rFonts w:hint="eastAsia"/>
        </w:rPr>
        <w:t>的特别附加税</w:t>
      </w:r>
      <w:r>
        <w:rPr>
          <w:rFonts w:hint="eastAsia"/>
        </w:rPr>
        <w:t>(</w:t>
      </w:r>
      <w:r>
        <w:rPr>
          <w:rFonts w:hint="eastAsia"/>
        </w:rPr>
        <w:t>第</w:t>
      </w:r>
      <w:r>
        <w:rPr>
          <w:rFonts w:hint="eastAsia"/>
        </w:rPr>
        <w:t>1976/1991</w:t>
      </w:r>
      <w:r>
        <w:rPr>
          <w:rFonts w:hint="eastAsia"/>
        </w:rPr>
        <w:t>号法令第</w:t>
      </w:r>
      <w:r>
        <w:rPr>
          <w:rFonts w:hint="eastAsia"/>
        </w:rPr>
        <w:t>11</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52.  </w:t>
      </w:r>
      <w:r>
        <w:rPr>
          <w:rFonts w:hint="eastAsia"/>
        </w:rPr>
        <w:t>除此以外，依据审计院的判例法，为保护所有人，在公务员及其家属领取养老金方面，也必须确保外国人在相同的条件下享受与希腊国民相同的权利。根据上述判例法，有关保护婚姻和家庭的《宪法》第</w:t>
      </w:r>
      <w:r>
        <w:rPr>
          <w:rFonts w:hint="eastAsia"/>
        </w:rPr>
        <w:t>21</w:t>
      </w:r>
      <w:r>
        <w:rPr>
          <w:rFonts w:hint="eastAsia"/>
        </w:rPr>
        <w:t>条第</w:t>
      </w:r>
      <w:r>
        <w:rPr>
          <w:rFonts w:hint="eastAsia"/>
        </w:rPr>
        <w:t>1</w:t>
      </w:r>
      <w:r>
        <w:rPr>
          <w:rFonts w:hint="eastAsia"/>
        </w:rPr>
        <w:t>款也适用于希腊人和外国人组成的家庭，而无论其子女是否亲生</w:t>
      </w:r>
      <w:r>
        <w:rPr>
          <w:rFonts w:hint="eastAsia"/>
        </w:rPr>
        <w:t>(</w:t>
      </w:r>
      <w:r>
        <w:rPr>
          <w:rFonts w:hint="eastAsia"/>
        </w:rPr>
        <w:t>第</w:t>
      </w:r>
      <w:r>
        <w:rPr>
          <w:rFonts w:hint="eastAsia"/>
        </w:rPr>
        <w:t>1617/1998</w:t>
      </w:r>
      <w:r>
        <w:rPr>
          <w:rFonts w:hint="eastAsia"/>
        </w:rPr>
        <w:t>号裁决</w:t>
      </w:r>
      <w:r>
        <w:rPr>
          <w:rFonts w:hint="eastAsia"/>
        </w:rPr>
        <w:t>)</w:t>
      </w:r>
      <w:r>
        <w:rPr>
          <w:rFonts w:hint="eastAsia"/>
        </w:rPr>
        <w:t>。</w:t>
      </w:r>
    </w:p>
    <w:p w:rsidR="00000000" w:rsidRDefault="00000000">
      <w:pPr>
        <w:spacing w:after="320"/>
        <w:rPr>
          <w:rFonts w:hint="eastAsia"/>
        </w:rPr>
      </w:pPr>
      <w:r>
        <w:rPr>
          <w:rFonts w:hint="eastAsia"/>
        </w:rPr>
        <w:tab/>
        <w:t xml:space="preserve">53.  </w:t>
      </w:r>
      <w:r>
        <w:rPr>
          <w:rFonts w:hint="eastAsia"/>
        </w:rPr>
        <w:t>有关希腊为确保弱势社会群体的平等机会而实施的措施和方案的进一步信息，请参看下文第</w:t>
      </w:r>
      <w:r>
        <w:rPr>
          <w:rFonts w:hint="eastAsia"/>
        </w:rPr>
        <w:t>6</w:t>
      </w:r>
      <w:r>
        <w:rPr>
          <w:rFonts w:hint="eastAsia"/>
        </w:rPr>
        <w:t>条和第</w:t>
      </w:r>
      <w:r>
        <w:rPr>
          <w:rFonts w:hint="eastAsia"/>
        </w:rPr>
        <w:t>9</w:t>
      </w:r>
      <w:r>
        <w:rPr>
          <w:rFonts w:hint="eastAsia"/>
        </w:rPr>
        <w:t>条。</w:t>
      </w:r>
    </w:p>
    <w:p w:rsidR="00000000" w:rsidRDefault="00000000">
      <w:pPr>
        <w:pStyle w:val="Heading3"/>
        <w:rPr>
          <w:rFonts w:hint="eastAsia"/>
        </w:rPr>
      </w:pPr>
      <w:r>
        <w:rPr>
          <w:rFonts w:hint="eastAsia"/>
          <w:u w:val="none"/>
        </w:rPr>
        <w:t xml:space="preserve">A.  </w:t>
      </w:r>
      <w:r>
        <w:rPr>
          <w:rFonts w:hint="eastAsia"/>
        </w:rPr>
        <w:t>参与发展合作</w:t>
      </w:r>
    </w:p>
    <w:p w:rsidR="00000000" w:rsidRDefault="00000000">
      <w:pPr>
        <w:rPr>
          <w:rFonts w:hint="eastAsia"/>
        </w:rPr>
      </w:pPr>
      <w:r>
        <w:rPr>
          <w:rFonts w:hint="eastAsia"/>
        </w:rPr>
        <w:tab/>
        <w:t xml:space="preserve">54.  </w:t>
      </w:r>
      <w:r>
        <w:rPr>
          <w:rFonts w:hint="eastAsia"/>
        </w:rPr>
        <w:t>希腊已经实施一项援助第三国的方案：“</w:t>
      </w:r>
      <w:r>
        <w:rPr>
          <w:rFonts w:hint="eastAsia"/>
        </w:rPr>
        <w:t>1997</w:t>
      </w:r>
      <w:r>
        <w:rPr>
          <w:rFonts w:hint="eastAsia"/>
        </w:rPr>
        <w:t>年至</w:t>
      </w:r>
      <w:r>
        <w:rPr>
          <w:rFonts w:hint="eastAsia"/>
        </w:rPr>
        <w:t>2001</w:t>
      </w:r>
      <w:r>
        <w:rPr>
          <w:rFonts w:hint="eastAsia"/>
        </w:rPr>
        <w:t>年希腊援助方案”。除其他外，该方案涉及促进第三国的经济、社会或文化权利，在希腊参加经合发组织下属的发展援助委员会之后，该方案已经提交该委员会。希腊每年向该委员会提交《希腊双边和多边官方发展合作和援助年度报告》。</w:t>
      </w:r>
    </w:p>
    <w:p w:rsidR="00000000" w:rsidRDefault="00000000">
      <w:pPr>
        <w:rPr>
          <w:rFonts w:hint="eastAsia"/>
        </w:rPr>
      </w:pPr>
      <w:r>
        <w:rPr>
          <w:rFonts w:hint="eastAsia"/>
        </w:rPr>
        <w:tab/>
        <w:t xml:space="preserve">55.  </w:t>
      </w:r>
      <w:r>
        <w:rPr>
          <w:rFonts w:hint="eastAsia"/>
        </w:rPr>
        <w:t>希腊还参加了《东南欧稳定公约》以及高级别指导小组，两者都是旨在重建和发展东南欧的国际努力的一部分。希腊在</w:t>
      </w:r>
      <w:r>
        <w:rPr>
          <w:rFonts w:hint="eastAsia"/>
        </w:rPr>
        <w:t>2000</w:t>
      </w:r>
      <w:r>
        <w:rPr>
          <w:rFonts w:hint="eastAsia"/>
        </w:rPr>
        <w:t>年和</w:t>
      </w:r>
      <w:r>
        <w:rPr>
          <w:rFonts w:hint="eastAsia"/>
        </w:rPr>
        <w:t>2001</w:t>
      </w:r>
      <w:r>
        <w:rPr>
          <w:rFonts w:hint="eastAsia"/>
        </w:rPr>
        <w:t>年为《稳定公约》捐助了</w:t>
      </w:r>
      <w:r>
        <w:rPr>
          <w:rFonts w:hint="eastAsia"/>
        </w:rPr>
        <w:t>25,800,000</w:t>
      </w:r>
      <w:r>
        <w:rPr>
          <w:rFonts w:hint="eastAsia"/>
        </w:rPr>
        <w:t>欧元。</w:t>
      </w:r>
    </w:p>
    <w:p w:rsidR="00000000" w:rsidRDefault="00000000">
      <w:pPr>
        <w:rPr>
          <w:rFonts w:hint="eastAsia"/>
        </w:rPr>
      </w:pPr>
      <w:r>
        <w:rPr>
          <w:rFonts w:hint="eastAsia"/>
        </w:rPr>
        <w:tab/>
        <w:t xml:space="preserve">56.  </w:t>
      </w:r>
      <w:r>
        <w:rPr>
          <w:rFonts w:hint="eastAsia"/>
        </w:rPr>
        <w:t>与此同时，希腊还制定了“有关巴尔干经济重建的希腊计划”。该计划的目的是要为实施在经济和政治重建、服务和生产等领域中的各种方案提供经济支助。为实施这一计划，希腊已经在</w:t>
      </w:r>
      <w:r>
        <w:rPr>
          <w:rFonts w:hint="eastAsia"/>
        </w:rPr>
        <w:t>2001</w:t>
      </w:r>
      <w:r>
        <w:rPr>
          <w:rFonts w:hint="eastAsia"/>
        </w:rPr>
        <w:t>年至</w:t>
      </w:r>
      <w:r>
        <w:rPr>
          <w:rFonts w:hint="eastAsia"/>
        </w:rPr>
        <w:t>2005</w:t>
      </w:r>
      <w:r>
        <w:rPr>
          <w:rFonts w:hint="eastAsia"/>
        </w:rPr>
        <w:t>年五年期的国家预算中拨出相当于</w:t>
      </w:r>
      <w:r>
        <w:rPr>
          <w:rFonts w:hint="eastAsia"/>
        </w:rPr>
        <w:t>5.5</w:t>
      </w:r>
      <w:r>
        <w:rPr>
          <w:rFonts w:hint="eastAsia"/>
        </w:rPr>
        <w:t>千万欧元的经济资源。</w:t>
      </w:r>
    </w:p>
    <w:p w:rsidR="00000000" w:rsidRDefault="00000000">
      <w:pPr>
        <w:rPr>
          <w:rFonts w:hint="eastAsia"/>
        </w:rPr>
      </w:pPr>
      <w:r>
        <w:rPr>
          <w:rFonts w:hint="eastAsia"/>
        </w:rPr>
        <w:tab/>
        <w:t xml:space="preserve">57.  </w:t>
      </w:r>
      <w:r>
        <w:rPr>
          <w:rFonts w:hint="eastAsia"/>
        </w:rPr>
        <w:t>除此以外，希腊还是成立于</w:t>
      </w:r>
      <w:r>
        <w:rPr>
          <w:rFonts w:hint="eastAsia"/>
        </w:rPr>
        <w:t>1992</w:t>
      </w:r>
      <w:r>
        <w:rPr>
          <w:rFonts w:hint="eastAsia"/>
        </w:rPr>
        <w:t>年黑海经济合作组织的成员国。黑海经济合作组织发表了《民主和繁荣声明》，要求该地区各国实现自由经济、社会平等和安全，希腊为此作了捐助。</w:t>
      </w:r>
    </w:p>
    <w:p w:rsidR="00000000" w:rsidRDefault="00000000">
      <w:pPr>
        <w:rPr>
          <w:rFonts w:hint="eastAsia"/>
        </w:rPr>
      </w:pPr>
      <w:r>
        <w:rPr>
          <w:rFonts w:hint="eastAsia"/>
        </w:rPr>
        <w:tab/>
        <w:t>58.  1999</w:t>
      </w:r>
      <w:r>
        <w:rPr>
          <w:rFonts w:hint="eastAsia"/>
        </w:rPr>
        <w:t>年，希腊官方发展援助在国民生产总值中所占的百分比达到</w:t>
      </w:r>
      <w:r>
        <w:rPr>
          <w:rFonts w:hint="eastAsia"/>
        </w:rPr>
        <w:t>0.17%</w:t>
      </w:r>
      <w:r>
        <w:rPr>
          <w:rFonts w:hint="eastAsia"/>
        </w:rPr>
        <w:t>，到</w:t>
      </w:r>
      <w:r>
        <w:rPr>
          <w:rFonts w:hint="eastAsia"/>
        </w:rPr>
        <w:t>2000</w:t>
      </w:r>
      <w:r>
        <w:rPr>
          <w:rFonts w:hint="eastAsia"/>
        </w:rPr>
        <w:t>年年底，该百分比已经上升到大约</w:t>
      </w:r>
      <w:r>
        <w:rPr>
          <w:rFonts w:hint="eastAsia"/>
        </w:rPr>
        <w:t>0.20%</w:t>
      </w:r>
      <w:r>
        <w:rPr>
          <w:rFonts w:hint="eastAsia"/>
        </w:rPr>
        <w:t>。</w:t>
      </w:r>
    </w:p>
    <w:p w:rsidR="00000000" w:rsidRDefault="00000000">
      <w:pPr>
        <w:rPr>
          <w:rFonts w:hint="eastAsia"/>
        </w:rPr>
      </w:pPr>
      <w:r>
        <w:rPr>
          <w:rFonts w:hint="eastAsia"/>
        </w:rPr>
        <w:tab/>
        <w:t xml:space="preserve">59.  </w:t>
      </w:r>
      <w:r>
        <w:rPr>
          <w:rFonts w:hint="eastAsia"/>
        </w:rPr>
        <w:t>决定希腊发展合作战略的基本原则包括：同饥荒作斗争、促进和平、支助尊重自由、人权、民主和法治的协会、提供基本医疗服务以及推动环境保护和可持续性。</w:t>
      </w:r>
    </w:p>
    <w:p w:rsidR="00000000" w:rsidRDefault="00000000">
      <w:pPr>
        <w:rPr>
          <w:rFonts w:hint="eastAsia"/>
        </w:rPr>
      </w:pPr>
      <w:r>
        <w:rPr>
          <w:rFonts w:hint="eastAsia"/>
        </w:rPr>
        <w:tab/>
        <w:t xml:space="preserve">60.  </w:t>
      </w:r>
      <w:r>
        <w:rPr>
          <w:rFonts w:hint="eastAsia"/>
          <w:spacing w:val="6"/>
        </w:rPr>
        <w:t>总的来说，希腊承认，旨在促进发展和改善第三国的国民资源的结构性改革需要大量的国际援助。希腊特别强调发展人力资源，同时强调在男女平等和社会平等基础上的社会进步。希腊还认为，处理这些事务的统一思路应当考虑到保护环境和自然资源的需要。在解决所有这些问题方面，希腊特别重视与受援国建立伙伴关系，以便确保希腊所提供的援助得到最有效的使用，同时符合受援国的需要和愿望。</w:t>
      </w:r>
    </w:p>
    <w:p w:rsidR="00000000" w:rsidRDefault="00000000">
      <w:pPr>
        <w:rPr>
          <w:rFonts w:hint="eastAsia"/>
        </w:rPr>
      </w:pPr>
      <w:r>
        <w:rPr>
          <w:rFonts w:hint="eastAsia"/>
        </w:rPr>
        <w:tab/>
        <w:t xml:space="preserve">61.  </w:t>
      </w:r>
      <w:r>
        <w:rPr>
          <w:rFonts w:hint="eastAsia"/>
        </w:rPr>
        <w:t>关于实现取得适足食物的权利问题，希腊从</w:t>
      </w:r>
      <w:r>
        <w:rPr>
          <w:rFonts w:hint="eastAsia"/>
        </w:rPr>
        <w:t>1988</w:t>
      </w:r>
      <w:r>
        <w:rPr>
          <w:rFonts w:hint="eastAsia"/>
        </w:rPr>
        <w:t>年以来，通过主管这项工作的农业部同非加太国家和地中海国家发展了伙伴关系，最近又同东南欧国家、中欧和东欧国家以及独立国家联合体发展了伙伴关系。这些伙伴关系就多边的技术援助和粮食援助作出了规定。</w:t>
      </w:r>
    </w:p>
    <w:p w:rsidR="00000000" w:rsidRDefault="00000000">
      <w:pPr>
        <w:rPr>
          <w:rFonts w:hint="eastAsia"/>
        </w:rPr>
      </w:pPr>
      <w:r>
        <w:rPr>
          <w:rFonts w:hint="eastAsia"/>
        </w:rPr>
        <w:tab/>
        <w:t xml:space="preserve">62.  </w:t>
      </w:r>
      <w:r>
        <w:rPr>
          <w:rFonts w:hint="eastAsia"/>
        </w:rPr>
        <w:t>为小土地所有者、男子、妇女、青年农民、合作社和协会的成员、公共部门的专家、研究者等等制定了项目。自从</w:t>
      </w:r>
      <w:r>
        <w:rPr>
          <w:rFonts w:hint="eastAsia"/>
        </w:rPr>
        <w:t>1988</w:t>
      </w:r>
      <w:r>
        <w:rPr>
          <w:rFonts w:hint="eastAsia"/>
        </w:rPr>
        <w:t>年以来所实施的项目涉及以下更加广泛的内容：创造非农业收入；生产多样化；动物、植物和鱼类的生产、加工和销售；合作社；机构能力建设；公共部门机构的咨询；有关农村妇女经济作用的国际会议和讲习班。</w:t>
      </w:r>
    </w:p>
    <w:p w:rsidR="00000000" w:rsidRDefault="00000000">
      <w:pPr>
        <w:pStyle w:val="Heading2"/>
        <w:rPr>
          <w:rFonts w:hint="eastAsia"/>
        </w:rPr>
      </w:pPr>
      <w:r>
        <w:rPr>
          <w:rFonts w:hint="eastAsia"/>
        </w:rPr>
        <w:t>二、《经济、社会、文化权利国际公约》</w:t>
      </w:r>
      <w:r>
        <w:br/>
      </w:r>
      <w:r>
        <w:rPr>
          <w:rFonts w:hint="eastAsia"/>
        </w:rPr>
        <w:t>所规定的具体权利</w:t>
      </w:r>
    </w:p>
    <w:p w:rsidR="00000000" w:rsidRDefault="00000000">
      <w:pPr>
        <w:pStyle w:val="Heading3"/>
        <w:rPr>
          <w:rFonts w:hint="eastAsia"/>
        </w:rPr>
      </w:pPr>
      <w:r>
        <w:rPr>
          <w:rFonts w:hint="eastAsia"/>
        </w:rPr>
        <w:t>第</w:t>
      </w:r>
      <w:r>
        <w:rPr>
          <w:rFonts w:hint="eastAsia"/>
        </w:rPr>
        <w:t xml:space="preserve"> 6 </w:t>
      </w:r>
      <w:r>
        <w:rPr>
          <w:rFonts w:hint="eastAsia"/>
        </w:rPr>
        <w:t>条</w:t>
      </w:r>
    </w:p>
    <w:p w:rsidR="00000000" w:rsidRDefault="00000000">
      <w:pPr>
        <w:spacing w:line="312" w:lineRule="auto"/>
        <w:rPr>
          <w:rFonts w:hint="eastAsia"/>
        </w:rPr>
      </w:pPr>
      <w:r>
        <w:rPr>
          <w:rFonts w:hint="eastAsia"/>
        </w:rPr>
        <w:tab/>
        <w:t xml:space="preserve">63.  </w:t>
      </w:r>
      <w:r>
        <w:rPr>
          <w:rFonts w:hint="eastAsia"/>
        </w:rPr>
        <w:t>在</w:t>
      </w:r>
      <w:r>
        <w:rPr>
          <w:rFonts w:hint="eastAsia"/>
        </w:rPr>
        <w:t>1980-1990</w:t>
      </w:r>
      <w:r>
        <w:rPr>
          <w:rFonts w:hint="eastAsia"/>
        </w:rPr>
        <w:t>年的十年期间，希腊作出了更大的努力向其农村妇女提供了立法援助，扩大了农村妇女的经济和政治权利，使她们能够充分参加经济和社会活动。制定了法律和法令，规定在合作社、农民协会、工会以及其他政治和经济组织中的男女平等参与和代表。诸如保险、信贷和筹款等其他问题也从男女平等的角度予以处理。</w:t>
      </w:r>
    </w:p>
    <w:p w:rsidR="00000000" w:rsidRDefault="00000000">
      <w:pPr>
        <w:spacing w:line="312" w:lineRule="auto"/>
        <w:rPr>
          <w:rFonts w:hint="eastAsia"/>
        </w:rPr>
      </w:pPr>
      <w:r>
        <w:rPr>
          <w:rFonts w:hint="eastAsia"/>
        </w:rPr>
        <w:tab/>
        <w:t xml:space="preserve">64.  </w:t>
      </w:r>
      <w:r>
        <w:rPr>
          <w:rFonts w:hint="eastAsia"/>
        </w:rPr>
        <w:t>在国家一级实施的主要的法律、部级决定以及有关的“共同体成果”的规定如下：</w:t>
      </w:r>
    </w:p>
    <w:p w:rsidR="00000000" w:rsidRDefault="00000000">
      <w:pPr>
        <w:pStyle w:val="a0"/>
        <w:tabs>
          <w:tab w:val="num" w:pos="1550"/>
        </w:tabs>
        <w:spacing w:line="312" w:lineRule="auto"/>
        <w:ind w:left="1550"/>
        <w:rPr>
          <w:rFonts w:hint="eastAsia"/>
        </w:rPr>
      </w:pPr>
      <w:r>
        <w:rPr>
          <w:rFonts w:hint="eastAsia"/>
        </w:rPr>
        <w:t>有关合作社的第</w:t>
      </w:r>
      <w:r>
        <w:rPr>
          <w:rFonts w:hint="eastAsia"/>
        </w:rPr>
        <w:t>1257/82</w:t>
      </w:r>
      <w:r>
        <w:rPr>
          <w:rFonts w:hint="eastAsia"/>
        </w:rPr>
        <w:t>号法令就拥有农村资产</w:t>
      </w:r>
      <w:r>
        <w:rPr>
          <w:rFonts w:hint="eastAsia"/>
        </w:rPr>
        <w:t>(</w:t>
      </w:r>
      <w:r>
        <w:rPr>
          <w:rFonts w:hint="eastAsia"/>
        </w:rPr>
        <w:t>土地、设备以及其他</w:t>
      </w:r>
      <w:r>
        <w:rPr>
          <w:rFonts w:hint="eastAsia"/>
        </w:rPr>
        <w:t>)</w:t>
      </w:r>
      <w:r>
        <w:rPr>
          <w:rFonts w:hint="eastAsia"/>
        </w:rPr>
        <w:t>的已婚妇女、离婚妇女以及寡妇参加合作社作出了规定。同时规定，凡是其主要活动或者辅助活动为农业的已婚妇女享有代表权，而不论所有权或者占有权的归属如何；</w:t>
      </w:r>
    </w:p>
    <w:p w:rsidR="00000000" w:rsidRDefault="00000000">
      <w:pPr>
        <w:pStyle w:val="a0"/>
        <w:tabs>
          <w:tab w:val="num" w:pos="1550"/>
        </w:tabs>
        <w:spacing w:line="312" w:lineRule="auto"/>
        <w:ind w:left="1550"/>
        <w:rPr>
          <w:rFonts w:hint="eastAsia"/>
        </w:rPr>
      </w:pPr>
      <w:r>
        <w:rPr>
          <w:rFonts w:hint="eastAsia"/>
        </w:rPr>
        <w:t>第</w:t>
      </w:r>
      <w:r>
        <w:rPr>
          <w:rFonts w:hint="eastAsia"/>
        </w:rPr>
        <w:t>1361/83</w:t>
      </w:r>
      <w:r>
        <w:rPr>
          <w:rFonts w:hint="eastAsia"/>
        </w:rPr>
        <w:t>号法令规定妇女可以无条件地参加任何工会组织</w:t>
      </w:r>
      <w:r>
        <w:rPr>
          <w:rFonts w:hint="eastAsia"/>
        </w:rPr>
        <w:t>(</w:t>
      </w:r>
      <w:r>
        <w:rPr>
          <w:rFonts w:hint="eastAsia"/>
        </w:rPr>
        <w:t>包括农业协会</w:t>
      </w:r>
      <w:r>
        <w:rPr>
          <w:rFonts w:hint="eastAsia"/>
        </w:rPr>
        <w:t>)</w:t>
      </w:r>
      <w:r>
        <w:rPr>
          <w:rFonts w:hint="eastAsia"/>
        </w:rPr>
        <w:t>，从而消除了任何性别歧视，因为这涉及政治代表的问题；</w:t>
      </w:r>
    </w:p>
    <w:p w:rsidR="00000000" w:rsidRDefault="00000000">
      <w:pPr>
        <w:pStyle w:val="a0"/>
        <w:tabs>
          <w:tab w:val="num" w:pos="1550"/>
        </w:tabs>
        <w:spacing w:line="312" w:lineRule="auto"/>
        <w:ind w:left="1550"/>
        <w:rPr>
          <w:rFonts w:hint="eastAsia"/>
        </w:rPr>
      </w:pPr>
      <w:r>
        <w:rPr>
          <w:rFonts w:hint="eastAsia"/>
        </w:rPr>
        <w:t>为实施欧盟委员会第</w:t>
      </w:r>
      <w:r>
        <w:rPr>
          <w:rFonts w:hint="eastAsia"/>
        </w:rPr>
        <w:t>797/85</w:t>
      </w:r>
      <w:r>
        <w:rPr>
          <w:rFonts w:hint="eastAsia"/>
        </w:rPr>
        <w:t>号规定，第</w:t>
      </w:r>
      <w:r>
        <w:rPr>
          <w:rFonts w:hint="eastAsia"/>
        </w:rPr>
        <w:t>28331/86</w:t>
      </w:r>
      <w:r>
        <w:rPr>
          <w:rFonts w:hint="eastAsia"/>
        </w:rPr>
        <w:t>号部级决定规定，在农业领导方面不得存在任何以性别为基础的限制，认为农业是一种“共同拥有的产业”；</w:t>
      </w:r>
    </w:p>
    <w:p w:rsidR="00000000" w:rsidRDefault="00000000">
      <w:pPr>
        <w:pStyle w:val="a0"/>
        <w:tabs>
          <w:tab w:val="num" w:pos="1550"/>
        </w:tabs>
        <w:spacing w:line="312" w:lineRule="auto"/>
        <w:ind w:left="1550"/>
        <w:rPr>
          <w:rFonts w:hint="eastAsia"/>
        </w:rPr>
      </w:pPr>
      <w:r>
        <w:rPr>
          <w:rFonts w:hint="eastAsia"/>
        </w:rPr>
        <w:t>第</w:t>
      </w:r>
      <w:r>
        <w:rPr>
          <w:rFonts w:hint="eastAsia"/>
        </w:rPr>
        <w:t>1790/88</w:t>
      </w:r>
      <w:r>
        <w:rPr>
          <w:rFonts w:hint="eastAsia"/>
        </w:rPr>
        <w:t>号法令消除了在居住点计划中登记权利方面针对未婚妇女的歧视；</w:t>
      </w:r>
    </w:p>
    <w:p w:rsidR="00000000" w:rsidRDefault="00000000">
      <w:pPr>
        <w:pStyle w:val="a0"/>
        <w:tabs>
          <w:tab w:val="num" w:pos="1550"/>
        </w:tabs>
        <w:spacing w:line="312" w:lineRule="auto"/>
        <w:ind w:left="1550"/>
        <w:rPr>
          <w:rFonts w:hint="eastAsia"/>
        </w:rPr>
      </w:pPr>
      <w:r>
        <w:rPr>
          <w:rFonts w:hint="eastAsia"/>
        </w:rPr>
        <w:t>第</w:t>
      </w:r>
      <w:r>
        <w:rPr>
          <w:rFonts w:hint="eastAsia"/>
        </w:rPr>
        <w:t>1759/88</w:t>
      </w:r>
      <w:r>
        <w:rPr>
          <w:rFonts w:hint="eastAsia"/>
        </w:rPr>
        <w:t>号法令就在家庭农庄中劳动而又不领取工资的农村妇女的保险计划作出了规定；</w:t>
      </w:r>
    </w:p>
    <w:p w:rsidR="00000000" w:rsidRDefault="00000000">
      <w:pPr>
        <w:pStyle w:val="a0"/>
        <w:tabs>
          <w:tab w:val="num" w:pos="1550"/>
        </w:tabs>
        <w:spacing w:line="312" w:lineRule="auto"/>
        <w:ind w:left="1550"/>
        <w:rPr>
          <w:rFonts w:hint="eastAsia"/>
        </w:rPr>
      </w:pPr>
      <w:r>
        <w:rPr>
          <w:rFonts w:hint="eastAsia"/>
        </w:rPr>
        <w:t>第</w:t>
      </w:r>
      <w:r>
        <w:rPr>
          <w:rFonts w:hint="eastAsia"/>
        </w:rPr>
        <w:t>1329/83</w:t>
      </w:r>
      <w:r>
        <w:rPr>
          <w:rFonts w:hint="eastAsia"/>
        </w:rPr>
        <w:t>号法令就配偶的财产独立权作出了规定。同一项法令还规定，农村妇女同其丈夫一样享有农村信贷的权利。</w:t>
      </w:r>
    </w:p>
    <w:p w:rsidR="00000000" w:rsidRDefault="00000000">
      <w:pPr>
        <w:pStyle w:val="a0"/>
        <w:tabs>
          <w:tab w:val="num" w:pos="1550"/>
        </w:tabs>
        <w:spacing w:line="312" w:lineRule="auto"/>
        <w:ind w:left="1550"/>
        <w:rPr>
          <w:rFonts w:hint="eastAsia"/>
        </w:rPr>
      </w:pPr>
      <w:r>
        <w:rPr>
          <w:rFonts w:hint="eastAsia"/>
        </w:rPr>
        <w:t>希腊已经批准了《经济、社会、文化权利国际公约指导方针》第</w:t>
      </w:r>
      <w:r>
        <w:rPr>
          <w:rFonts w:hint="eastAsia"/>
        </w:rPr>
        <w:t>8</w:t>
      </w:r>
      <w:r>
        <w:rPr>
          <w:rFonts w:hint="eastAsia"/>
        </w:rPr>
        <w:t>条中所提到的所有的国际公约。</w:t>
      </w:r>
    </w:p>
    <w:p w:rsidR="00000000" w:rsidRDefault="00000000">
      <w:pPr>
        <w:pStyle w:val="a0"/>
        <w:tabs>
          <w:tab w:val="num" w:pos="1550"/>
        </w:tabs>
        <w:spacing w:line="312" w:lineRule="auto"/>
        <w:ind w:left="1550"/>
        <w:rPr>
          <w:rFonts w:hint="eastAsia"/>
        </w:rPr>
      </w:pPr>
      <w:r>
        <w:rPr>
          <w:rFonts w:hint="eastAsia"/>
        </w:rPr>
        <w:t>希腊还批准了《欧洲社会宪章》</w:t>
      </w:r>
      <w:r>
        <w:rPr>
          <w:rFonts w:hint="eastAsia"/>
        </w:rPr>
        <w:t>(1961</w:t>
      </w:r>
      <w:r>
        <w:rPr>
          <w:rFonts w:hint="eastAsia"/>
        </w:rPr>
        <w:t>年</w:t>
      </w:r>
      <w:r>
        <w:rPr>
          <w:rFonts w:hint="eastAsia"/>
        </w:rPr>
        <w:t>)</w:t>
      </w:r>
      <w:r>
        <w:rPr>
          <w:rFonts w:hint="eastAsia"/>
        </w:rPr>
        <w:t>、《欧洲社会宪章附加议定书》</w:t>
      </w:r>
      <w:r>
        <w:rPr>
          <w:rFonts w:hint="eastAsia"/>
        </w:rPr>
        <w:t>(1988</w:t>
      </w:r>
      <w:r>
        <w:rPr>
          <w:rFonts w:hint="eastAsia"/>
        </w:rPr>
        <w:t>年</w:t>
      </w:r>
      <w:r>
        <w:rPr>
          <w:rFonts w:hint="eastAsia"/>
        </w:rPr>
        <w:t>)</w:t>
      </w:r>
      <w:r>
        <w:rPr>
          <w:rFonts w:hint="eastAsia"/>
        </w:rPr>
        <w:t>以及有关规定集体申诉制度的《欧洲社会宪章附加议定书》</w:t>
      </w:r>
      <w:r>
        <w:rPr>
          <w:rFonts w:hint="eastAsia"/>
        </w:rPr>
        <w:t>(1995</w:t>
      </w:r>
      <w:r>
        <w:rPr>
          <w:rFonts w:hint="eastAsia"/>
        </w:rPr>
        <w:t>年</w:t>
      </w:r>
      <w:r>
        <w:rPr>
          <w:rFonts w:hint="eastAsia"/>
        </w:rPr>
        <w:t>)</w:t>
      </w:r>
      <w:r>
        <w:rPr>
          <w:rFonts w:hint="eastAsia"/>
        </w:rPr>
        <w:t>。</w:t>
      </w:r>
    </w:p>
    <w:p w:rsidR="00000000" w:rsidRDefault="00000000">
      <w:pPr>
        <w:spacing w:after="320"/>
        <w:rPr>
          <w:rFonts w:hint="eastAsia"/>
        </w:rPr>
      </w:pPr>
      <w:r>
        <w:rPr>
          <w:rFonts w:hint="eastAsia"/>
        </w:rPr>
        <w:tab/>
        <w:t xml:space="preserve">65.  </w:t>
      </w:r>
      <w:r>
        <w:rPr>
          <w:rFonts w:hint="eastAsia"/>
        </w:rPr>
        <w:t>希腊《宪法》第</w:t>
      </w:r>
      <w:r>
        <w:rPr>
          <w:rFonts w:hint="eastAsia"/>
        </w:rPr>
        <w:t>22</w:t>
      </w:r>
      <w:r>
        <w:rPr>
          <w:rFonts w:hint="eastAsia"/>
        </w:rPr>
        <w:t>条保护人民的劳动权利，该条规定：“劳动构成一项权利，受到国家保护，国家努力为所有公民创造就业条件，并且谋求提高城乡劳动人民在道德和物质方面的地位”。</w:t>
      </w:r>
    </w:p>
    <w:p w:rsidR="00000000" w:rsidRDefault="00000000">
      <w:pPr>
        <w:pStyle w:val="Heading3"/>
        <w:spacing w:after="160"/>
        <w:rPr>
          <w:rFonts w:hint="eastAsia"/>
        </w:rPr>
      </w:pPr>
      <w:r>
        <w:rPr>
          <w:rFonts w:hint="eastAsia"/>
        </w:rPr>
        <w:t>表</w:t>
      </w:r>
      <w:r>
        <w:rPr>
          <w:rFonts w:hint="eastAsia"/>
        </w:rPr>
        <w:t xml:space="preserve">  1</w:t>
      </w:r>
    </w:p>
    <w:p w:rsidR="00000000" w:rsidRDefault="00000000">
      <w:pPr>
        <w:pStyle w:val="Heading3"/>
        <w:spacing w:after="160"/>
        <w:rPr>
          <w:rFonts w:hint="eastAsia"/>
        </w:rPr>
      </w:pPr>
      <w:r>
        <w:rPr>
          <w:rFonts w:hint="eastAsia"/>
          <w:u w:val="none"/>
        </w:rPr>
        <w:t xml:space="preserve">A.  </w:t>
      </w:r>
      <w:r>
        <w:rPr>
          <w:rFonts w:hint="eastAsia"/>
        </w:rPr>
        <w:t>1998-1999</w:t>
      </w:r>
      <w:r>
        <w:rPr>
          <w:rFonts w:hint="eastAsia"/>
        </w:rPr>
        <w:t>年劳动力情况调查</w:t>
      </w:r>
    </w:p>
    <w:p w:rsidR="00000000" w:rsidRDefault="00000000">
      <w:pPr>
        <w:pStyle w:val="Heading3"/>
        <w:spacing w:after="40"/>
        <w:rPr>
          <w:rFonts w:hint="eastAsia"/>
        </w:rPr>
      </w:pPr>
      <w:r>
        <w:rPr>
          <w:rFonts w:hint="eastAsia"/>
        </w:rPr>
        <w:t>按就业状况和性别排列的农村地区</w:t>
      </w:r>
      <w:r>
        <w:rPr>
          <w:rFonts w:hint="eastAsia"/>
        </w:rPr>
        <w:t>15</w:t>
      </w:r>
      <w:r>
        <w:rPr>
          <w:rFonts w:hint="eastAsia"/>
        </w:rPr>
        <w:t>岁以上人口</w:t>
      </w:r>
    </w:p>
    <w:p w:rsidR="00000000" w:rsidRDefault="00000000">
      <w:pPr>
        <w:rPr>
          <w:rFonts w:hint="eastAsia"/>
        </w:rPr>
      </w:pPr>
      <w:r>
        <w:rPr>
          <w:rFonts w:hint="eastAsia"/>
          <w:u w:val="single"/>
        </w:rPr>
        <w:t>1998</w:t>
      </w:r>
      <w:r>
        <w:rPr>
          <w:rFonts w:hint="eastAsia"/>
          <w:u w:val="single"/>
        </w:rPr>
        <w:t>年</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u w:val="single"/>
        </w:rPr>
        <w:t>单位：</w:t>
      </w:r>
      <w:r>
        <w:rPr>
          <w:rFonts w:hint="eastAsia"/>
          <w:u w:val="single"/>
        </w:rPr>
        <w:t>(</w:t>
      </w:r>
      <w:r>
        <w:rPr>
          <w:rFonts w:hint="eastAsia"/>
          <w:u w:val="single"/>
        </w:rPr>
        <w:t>千</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14"/>
        <w:gridCol w:w="1914"/>
        <w:gridCol w:w="1914"/>
        <w:gridCol w:w="1915"/>
      </w:tblGrid>
      <w:tr w:rsidR="00000000">
        <w:tblPrEx>
          <w:tblCellMar>
            <w:top w:w="0" w:type="dxa"/>
            <w:bottom w:w="0" w:type="dxa"/>
          </w:tblCellMar>
        </w:tblPrEx>
        <w:tc>
          <w:tcPr>
            <w:tcW w:w="1913" w:type="dxa"/>
            <w:tcBorders>
              <w:bottom w:val="single" w:sz="4" w:space="0" w:color="auto"/>
            </w:tcBorders>
          </w:tcPr>
          <w:p w:rsidR="00000000" w:rsidRDefault="00000000">
            <w:pPr>
              <w:pStyle w:val="aa"/>
              <w:jc w:val="center"/>
              <w:rPr>
                <w:rFonts w:hint="eastAsia"/>
              </w:rPr>
            </w:pPr>
          </w:p>
        </w:tc>
        <w:tc>
          <w:tcPr>
            <w:tcW w:w="1914" w:type="dxa"/>
            <w:tcBorders>
              <w:bottom w:val="single" w:sz="4" w:space="0" w:color="auto"/>
            </w:tcBorders>
          </w:tcPr>
          <w:p w:rsidR="00000000" w:rsidRDefault="00000000">
            <w:pPr>
              <w:pStyle w:val="aa"/>
              <w:jc w:val="center"/>
              <w:rPr>
                <w:rFonts w:hint="eastAsia"/>
              </w:rPr>
            </w:pPr>
            <w:r>
              <w:rPr>
                <w:rFonts w:hint="eastAsia"/>
              </w:rPr>
              <w:t>第一季度</w:t>
            </w:r>
          </w:p>
        </w:tc>
        <w:tc>
          <w:tcPr>
            <w:tcW w:w="1914" w:type="dxa"/>
            <w:tcBorders>
              <w:bottom w:val="single" w:sz="4" w:space="0" w:color="auto"/>
            </w:tcBorders>
          </w:tcPr>
          <w:p w:rsidR="00000000" w:rsidRDefault="00000000">
            <w:pPr>
              <w:pStyle w:val="aa"/>
              <w:jc w:val="center"/>
              <w:rPr>
                <w:rFonts w:hint="eastAsia"/>
              </w:rPr>
            </w:pPr>
            <w:r>
              <w:rPr>
                <w:rFonts w:hint="eastAsia"/>
              </w:rPr>
              <w:t>第二季度</w:t>
            </w:r>
          </w:p>
        </w:tc>
        <w:tc>
          <w:tcPr>
            <w:tcW w:w="1914" w:type="dxa"/>
            <w:tcBorders>
              <w:bottom w:val="single" w:sz="4" w:space="0" w:color="auto"/>
            </w:tcBorders>
          </w:tcPr>
          <w:p w:rsidR="00000000" w:rsidRDefault="00000000">
            <w:pPr>
              <w:pStyle w:val="aa"/>
              <w:jc w:val="center"/>
              <w:rPr>
                <w:rFonts w:hint="eastAsia"/>
              </w:rPr>
            </w:pPr>
            <w:r>
              <w:rPr>
                <w:rFonts w:hint="eastAsia"/>
              </w:rPr>
              <w:t>第三季度</w:t>
            </w:r>
          </w:p>
        </w:tc>
        <w:tc>
          <w:tcPr>
            <w:tcW w:w="1915" w:type="dxa"/>
            <w:tcBorders>
              <w:bottom w:val="single" w:sz="4" w:space="0" w:color="auto"/>
            </w:tcBorders>
          </w:tcPr>
          <w:p w:rsidR="00000000" w:rsidRDefault="00000000">
            <w:pPr>
              <w:pStyle w:val="aa"/>
              <w:jc w:val="center"/>
              <w:rPr>
                <w:rFonts w:hint="eastAsia"/>
              </w:rPr>
            </w:pPr>
            <w:r>
              <w:rPr>
                <w:rFonts w:hint="eastAsia"/>
              </w:rPr>
              <w:t>第四季度</w:t>
            </w:r>
          </w:p>
        </w:tc>
      </w:tr>
      <w:tr w:rsidR="00000000">
        <w:tblPrEx>
          <w:tblCellMar>
            <w:top w:w="0" w:type="dxa"/>
            <w:bottom w:w="0" w:type="dxa"/>
          </w:tblCellMar>
        </w:tblPrEx>
        <w:tc>
          <w:tcPr>
            <w:tcW w:w="1913" w:type="dxa"/>
            <w:tcBorders>
              <w:bottom w:val="nil"/>
            </w:tcBorders>
          </w:tcPr>
          <w:p w:rsidR="00000000" w:rsidRDefault="00000000">
            <w:pPr>
              <w:pStyle w:val="aa"/>
              <w:jc w:val="left"/>
              <w:rPr>
                <w:rFonts w:hint="eastAsia"/>
              </w:rPr>
            </w:pPr>
            <w:r>
              <w:rPr>
                <w:rFonts w:hint="eastAsia"/>
              </w:rPr>
              <w:t>男女共计</w:t>
            </w:r>
          </w:p>
        </w:tc>
        <w:tc>
          <w:tcPr>
            <w:tcW w:w="1914" w:type="dxa"/>
            <w:tcBorders>
              <w:bottom w:val="nil"/>
            </w:tcBorders>
          </w:tcPr>
          <w:p w:rsidR="00000000" w:rsidRDefault="00000000">
            <w:pPr>
              <w:pStyle w:val="aa"/>
              <w:jc w:val="center"/>
              <w:rPr>
                <w:rFonts w:hint="eastAsia"/>
              </w:rPr>
            </w:pPr>
          </w:p>
        </w:tc>
        <w:tc>
          <w:tcPr>
            <w:tcW w:w="1914" w:type="dxa"/>
            <w:tcBorders>
              <w:bottom w:val="nil"/>
            </w:tcBorders>
          </w:tcPr>
          <w:p w:rsidR="00000000" w:rsidRDefault="00000000">
            <w:pPr>
              <w:pStyle w:val="aa"/>
              <w:jc w:val="center"/>
              <w:rPr>
                <w:rFonts w:hint="eastAsia"/>
              </w:rPr>
            </w:pPr>
          </w:p>
        </w:tc>
        <w:tc>
          <w:tcPr>
            <w:tcW w:w="1914" w:type="dxa"/>
            <w:tcBorders>
              <w:bottom w:val="nil"/>
            </w:tcBorders>
          </w:tcPr>
          <w:p w:rsidR="00000000" w:rsidRDefault="00000000">
            <w:pPr>
              <w:pStyle w:val="aa"/>
              <w:jc w:val="center"/>
              <w:rPr>
                <w:rFonts w:hint="eastAsia"/>
              </w:rPr>
            </w:pPr>
          </w:p>
        </w:tc>
        <w:tc>
          <w:tcPr>
            <w:tcW w:w="1915" w:type="dxa"/>
            <w:tcBorders>
              <w:bottom w:val="nil"/>
            </w:tcBorders>
          </w:tcPr>
          <w:p w:rsidR="00000000" w:rsidRDefault="00000000">
            <w:pPr>
              <w:pStyle w:val="aa"/>
              <w:jc w:val="center"/>
              <w:rPr>
                <w:rFonts w:hint="eastAsia"/>
              </w:rPr>
            </w:pPr>
          </w:p>
        </w:tc>
      </w:tr>
      <w:tr w:rsidR="00000000">
        <w:tblPrEx>
          <w:tblCellMar>
            <w:top w:w="0" w:type="dxa"/>
            <w:bottom w:w="0" w:type="dxa"/>
          </w:tblCellMar>
        </w:tblPrEx>
        <w:tc>
          <w:tcPr>
            <w:tcW w:w="1913" w:type="dxa"/>
            <w:tcBorders>
              <w:top w:val="nil"/>
              <w:bottom w:val="nil"/>
            </w:tcBorders>
          </w:tcPr>
          <w:p w:rsidR="00000000" w:rsidRDefault="00000000">
            <w:pPr>
              <w:pStyle w:val="aa"/>
              <w:ind w:left="227"/>
              <w:rPr>
                <w:rFonts w:hint="eastAsia"/>
              </w:rPr>
            </w:pPr>
            <w:r>
              <w:rPr>
                <w:rFonts w:hint="eastAsia"/>
              </w:rPr>
              <w:t>劳动力</w:t>
            </w:r>
          </w:p>
        </w:tc>
        <w:tc>
          <w:tcPr>
            <w:tcW w:w="1914" w:type="dxa"/>
            <w:tcBorders>
              <w:top w:val="nil"/>
              <w:bottom w:val="nil"/>
            </w:tcBorders>
          </w:tcPr>
          <w:p w:rsidR="00000000" w:rsidRDefault="00000000">
            <w:pPr>
              <w:pStyle w:val="aa"/>
              <w:ind w:right="567"/>
              <w:jc w:val="right"/>
              <w:rPr>
                <w:rFonts w:hint="eastAsia"/>
              </w:rPr>
            </w:pPr>
            <w:r>
              <w:rPr>
                <w:rFonts w:hint="eastAsia"/>
              </w:rPr>
              <w:t>1</w:t>
            </w:r>
            <w:r>
              <w:t>,</w:t>
            </w:r>
            <w:r>
              <w:rPr>
                <w:rFonts w:hint="eastAsia"/>
              </w:rPr>
              <w:t>004.2</w:t>
            </w:r>
          </w:p>
        </w:tc>
        <w:tc>
          <w:tcPr>
            <w:tcW w:w="1914" w:type="dxa"/>
            <w:tcBorders>
              <w:top w:val="nil"/>
              <w:bottom w:val="nil"/>
            </w:tcBorders>
          </w:tcPr>
          <w:p w:rsidR="00000000" w:rsidRDefault="00000000">
            <w:pPr>
              <w:pStyle w:val="aa"/>
              <w:ind w:right="567"/>
              <w:jc w:val="right"/>
              <w:rPr>
                <w:rFonts w:hint="eastAsia"/>
              </w:rPr>
            </w:pPr>
            <w:r>
              <w:rPr>
                <w:rFonts w:hint="eastAsia"/>
              </w:rPr>
              <w:t>1</w:t>
            </w:r>
            <w:r>
              <w:t>,</w:t>
            </w:r>
            <w:r>
              <w:rPr>
                <w:rFonts w:hint="eastAsia"/>
              </w:rPr>
              <w:t>008.4</w:t>
            </w:r>
          </w:p>
        </w:tc>
        <w:tc>
          <w:tcPr>
            <w:tcW w:w="1914" w:type="dxa"/>
            <w:tcBorders>
              <w:top w:val="nil"/>
              <w:bottom w:val="nil"/>
            </w:tcBorders>
          </w:tcPr>
          <w:p w:rsidR="00000000" w:rsidRDefault="00000000">
            <w:pPr>
              <w:pStyle w:val="aa"/>
              <w:ind w:right="567"/>
              <w:jc w:val="right"/>
              <w:rPr>
                <w:rFonts w:hint="eastAsia"/>
              </w:rPr>
            </w:pPr>
            <w:r>
              <w:rPr>
                <w:rFonts w:hint="eastAsia"/>
              </w:rPr>
              <w:t>1</w:t>
            </w:r>
            <w:r>
              <w:t>,</w:t>
            </w:r>
            <w:r>
              <w:rPr>
                <w:rFonts w:hint="eastAsia"/>
              </w:rPr>
              <w:t>017.6</w:t>
            </w:r>
          </w:p>
        </w:tc>
        <w:tc>
          <w:tcPr>
            <w:tcW w:w="1915" w:type="dxa"/>
            <w:tcBorders>
              <w:top w:val="nil"/>
              <w:bottom w:val="nil"/>
            </w:tcBorders>
          </w:tcPr>
          <w:p w:rsidR="00000000" w:rsidRDefault="00000000">
            <w:pPr>
              <w:pStyle w:val="aa"/>
              <w:ind w:right="567"/>
              <w:jc w:val="right"/>
              <w:rPr>
                <w:rFonts w:hint="eastAsia"/>
              </w:rPr>
            </w:pPr>
            <w:r>
              <w:rPr>
                <w:rFonts w:hint="eastAsia"/>
              </w:rPr>
              <w:t>1</w:t>
            </w:r>
            <w:r>
              <w:t>,</w:t>
            </w:r>
            <w:r>
              <w:rPr>
                <w:rFonts w:hint="eastAsia"/>
              </w:rPr>
              <w:t>005.3</w:t>
            </w:r>
          </w:p>
        </w:tc>
      </w:tr>
      <w:tr w:rsidR="00000000">
        <w:tblPrEx>
          <w:tblCellMar>
            <w:top w:w="0" w:type="dxa"/>
            <w:bottom w:w="0" w:type="dxa"/>
          </w:tblCellMar>
        </w:tblPrEx>
        <w:tc>
          <w:tcPr>
            <w:tcW w:w="1913" w:type="dxa"/>
            <w:tcBorders>
              <w:top w:val="nil"/>
              <w:bottom w:val="nil"/>
            </w:tcBorders>
          </w:tcPr>
          <w:p w:rsidR="00000000" w:rsidRDefault="00000000">
            <w:pPr>
              <w:pStyle w:val="aa"/>
              <w:ind w:left="227"/>
              <w:rPr>
                <w:rFonts w:hint="eastAsia"/>
              </w:rPr>
            </w:pPr>
            <w:r>
              <w:rPr>
                <w:rFonts w:hint="eastAsia"/>
              </w:rPr>
              <w:t>就业人口</w:t>
            </w:r>
          </w:p>
        </w:tc>
        <w:tc>
          <w:tcPr>
            <w:tcW w:w="1914" w:type="dxa"/>
            <w:tcBorders>
              <w:top w:val="nil"/>
              <w:bottom w:val="nil"/>
            </w:tcBorders>
          </w:tcPr>
          <w:p w:rsidR="00000000" w:rsidRDefault="00000000">
            <w:pPr>
              <w:pStyle w:val="aa"/>
              <w:ind w:right="567"/>
              <w:jc w:val="right"/>
              <w:rPr>
                <w:rFonts w:hint="eastAsia"/>
              </w:rPr>
            </w:pPr>
            <w:r>
              <w:rPr>
                <w:rFonts w:hint="eastAsia"/>
              </w:rPr>
              <w:t>931.7</w:t>
            </w:r>
          </w:p>
        </w:tc>
        <w:tc>
          <w:tcPr>
            <w:tcW w:w="1914" w:type="dxa"/>
            <w:tcBorders>
              <w:top w:val="nil"/>
              <w:bottom w:val="nil"/>
            </w:tcBorders>
          </w:tcPr>
          <w:p w:rsidR="00000000" w:rsidRDefault="00000000">
            <w:pPr>
              <w:pStyle w:val="aa"/>
              <w:ind w:right="567"/>
              <w:jc w:val="right"/>
              <w:rPr>
                <w:rFonts w:hint="eastAsia"/>
              </w:rPr>
            </w:pPr>
            <w:r>
              <w:rPr>
                <w:rFonts w:hint="eastAsia"/>
              </w:rPr>
              <w:t>949.6</w:t>
            </w:r>
          </w:p>
        </w:tc>
        <w:tc>
          <w:tcPr>
            <w:tcW w:w="1914" w:type="dxa"/>
            <w:tcBorders>
              <w:top w:val="nil"/>
              <w:bottom w:val="nil"/>
            </w:tcBorders>
          </w:tcPr>
          <w:p w:rsidR="00000000" w:rsidRDefault="00000000">
            <w:pPr>
              <w:pStyle w:val="aa"/>
              <w:ind w:right="567"/>
              <w:jc w:val="right"/>
              <w:rPr>
                <w:rFonts w:hint="eastAsia"/>
              </w:rPr>
            </w:pPr>
            <w:r>
              <w:rPr>
                <w:rFonts w:hint="eastAsia"/>
              </w:rPr>
              <w:t>965.3</w:t>
            </w:r>
          </w:p>
        </w:tc>
        <w:tc>
          <w:tcPr>
            <w:tcW w:w="1915" w:type="dxa"/>
            <w:tcBorders>
              <w:top w:val="nil"/>
              <w:bottom w:val="nil"/>
            </w:tcBorders>
          </w:tcPr>
          <w:p w:rsidR="00000000" w:rsidRDefault="00000000">
            <w:pPr>
              <w:pStyle w:val="aa"/>
              <w:ind w:right="567"/>
              <w:jc w:val="right"/>
              <w:rPr>
                <w:rFonts w:hint="eastAsia"/>
              </w:rPr>
            </w:pPr>
            <w:r>
              <w:rPr>
                <w:rFonts w:hint="eastAsia"/>
              </w:rPr>
              <w:t>938.8</w:t>
            </w:r>
          </w:p>
        </w:tc>
      </w:tr>
      <w:tr w:rsidR="00000000">
        <w:tblPrEx>
          <w:tblCellMar>
            <w:top w:w="0" w:type="dxa"/>
            <w:bottom w:w="0" w:type="dxa"/>
          </w:tblCellMar>
        </w:tblPrEx>
        <w:tc>
          <w:tcPr>
            <w:tcW w:w="1913" w:type="dxa"/>
            <w:tcBorders>
              <w:top w:val="nil"/>
            </w:tcBorders>
          </w:tcPr>
          <w:p w:rsidR="00000000" w:rsidRDefault="00000000">
            <w:pPr>
              <w:pStyle w:val="aa"/>
              <w:ind w:left="227"/>
              <w:rPr>
                <w:rFonts w:hint="eastAsia"/>
              </w:rPr>
            </w:pPr>
            <w:r>
              <w:rPr>
                <w:rFonts w:hint="eastAsia"/>
              </w:rPr>
              <w:t>失业人口</w:t>
            </w:r>
          </w:p>
        </w:tc>
        <w:tc>
          <w:tcPr>
            <w:tcW w:w="1914" w:type="dxa"/>
            <w:tcBorders>
              <w:top w:val="nil"/>
            </w:tcBorders>
          </w:tcPr>
          <w:p w:rsidR="00000000" w:rsidRDefault="00000000">
            <w:pPr>
              <w:pStyle w:val="aa"/>
              <w:ind w:right="567"/>
              <w:jc w:val="right"/>
              <w:rPr>
                <w:rFonts w:hint="eastAsia"/>
              </w:rPr>
            </w:pPr>
            <w:r>
              <w:rPr>
                <w:rFonts w:hint="eastAsia"/>
              </w:rPr>
              <w:t>72.6</w:t>
            </w:r>
          </w:p>
        </w:tc>
        <w:tc>
          <w:tcPr>
            <w:tcW w:w="1914" w:type="dxa"/>
            <w:tcBorders>
              <w:top w:val="nil"/>
            </w:tcBorders>
          </w:tcPr>
          <w:p w:rsidR="00000000" w:rsidRDefault="00000000">
            <w:pPr>
              <w:pStyle w:val="aa"/>
              <w:ind w:right="567"/>
              <w:jc w:val="right"/>
              <w:rPr>
                <w:rFonts w:hint="eastAsia"/>
              </w:rPr>
            </w:pPr>
            <w:r>
              <w:rPr>
                <w:rFonts w:hint="eastAsia"/>
              </w:rPr>
              <w:t>58.8</w:t>
            </w:r>
          </w:p>
        </w:tc>
        <w:tc>
          <w:tcPr>
            <w:tcW w:w="1914" w:type="dxa"/>
            <w:tcBorders>
              <w:top w:val="nil"/>
            </w:tcBorders>
          </w:tcPr>
          <w:p w:rsidR="00000000" w:rsidRDefault="00000000">
            <w:pPr>
              <w:pStyle w:val="aa"/>
              <w:ind w:right="567"/>
              <w:jc w:val="right"/>
              <w:rPr>
                <w:rFonts w:hint="eastAsia"/>
              </w:rPr>
            </w:pPr>
            <w:r>
              <w:rPr>
                <w:rFonts w:hint="eastAsia"/>
              </w:rPr>
              <w:t>52.4</w:t>
            </w:r>
          </w:p>
        </w:tc>
        <w:tc>
          <w:tcPr>
            <w:tcW w:w="1915" w:type="dxa"/>
            <w:tcBorders>
              <w:top w:val="nil"/>
            </w:tcBorders>
          </w:tcPr>
          <w:p w:rsidR="00000000" w:rsidRDefault="00000000">
            <w:pPr>
              <w:pStyle w:val="aa"/>
              <w:ind w:right="567"/>
              <w:jc w:val="right"/>
              <w:rPr>
                <w:rFonts w:hint="eastAsia"/>
              </w:rPr>
            </w:pPr>
            <w:r>
              <w:rPr>
                <w:rFonts w:hint="eastAsia"/>
              </w:rPr>
              <w:t>66.6</w:t>
            </w:r>
          </w:p>
        </w:tc>
      </w:tr>
      <w:tr w:rsidR="00000000">
        <w:tblPrEx>
          <w:tblCellMar>
            <w:top w:w="0" w:type="dxa"/>
            <w:bottom w:w="0" w:type="dxa"/>
          </w:tblCellMar>
        </w:tblPrEx>
        <w:tc>
          <w:tcPr>
            <w:tcW w:w="1913" w:type="dxa"/>
            <w:tcBorders>
              <w:bottom w:val="nil"/>
            </w:tcBorders>
          </w:tcPr>
          <w:p w:rsidR="00000000" w:rsidRDefault="00000000">
            <w:pPr>
              <w:pStyle w:val="aa"/>
              <w:rPr>
                <w:rFonts w:hint="eastAsia"/>
              </w:rPr>
            </w:pPr>
            <w:r>
              <w:rPr>
                <w:rFonts w:hint="eastAsia"/>
              </w:rPr>
              <w:t>男性</w:t>
            </w:r>
          </w:p>
        </w:tc>
        <w:tc>
          <w:tcPr>
            <w:tcW w:w="1914" w:type="dxa"/>
            <w:tcBorders>
              <w:bottom w:val="nil"/>
            </w:tcBorders>
          </w:tcPr>
          <w:p w:rsidR="00000000" w:rsidRDefault="00000000">
            <w:pPr>
              <w:pStyle w:val="aa"/>
              <w:ind w:right="567"/>
              <w:jc w:val="right"/>
              <w:rPr>
                <w:rFonts w:hint="eastAsia"/>
              </w:rPr>
            </w:pPr>
          </w:p>
        </w:tc>
        <w:tc>
          <w:tcPr>
            <w:tcW w:w="1914" w:type="dxa"/>
            <w:tcBorders>
              <w:bottom w:val="nil"/>
            </w:tcBorders>
          </w:tcPr>
          <w:p w:rsidR="00000000" w:rsidRDefault="00000000">
            <w:pPr>
              <w:pStyle w:val="aa"/>
              <w:ind w:right="567"/>
              <w:jc w:val="right"/>
              <w:rPr>
                <w:rFonts w:hint="eastAsia"/>
              </w:rPr>
            </w:pPr>
          </w:p>
        </w:tc>
        <w:tc>
          <w:tcPr>
            <w:tcW w:w="1914" w:type="dxa"/>
            <w:tcBorders>
              <w:bottom w:val="nil"/>
            </w:tcBorders>
          </w:tcPr>
          <w:p w:rsidR="00000000" w:rsidRDefault="00000000">
            <w:pPr>
              <w:pStyle w:val="aa"/>
              <w:ind w:right="567"/>
              <w:jc w:val="right"/>
              <w:rPr>
                <w:rFonts w:hint="eastAsia"/>
              </w:rPr>
            </w:pPr>
          </w:p>
        </w:tc>
        <w:tc>
          <w:tcPr>
            <w:tcW w:w="1915" w:type="dxa"/>
            <w:tcBorders>
              <w:bottom w:val="nil"/>
            </w:tcBorders>
          </w:tcPr>
          <w:p w:rsidR="00000000" w:rsidRDefault="00000000">
            <w:pPr>
              <w:pStyle w:val="aa"/>
              <w:ind w:right="567"/>
              <w:jc w:val="right"/>
              <w:rPr>
                <w:rFonts w:hint="eastAsia"/>
              </w:rPr>
            </w:pPr>
          </w:p>
        </w:tc>
      </w:tr>
      <w:tr w:rsidR="00000000">
        <w:tblPrEx>
          <w:tblCellMar>
            <w:top w:w="0" w:type="dxa"/>
            <w:bottom w:w="0" w:type="dxa"/>
          </w:tblCellMar>
        </w:tblPrEx>
        <w:tc>
          <w:tcPr>
            <w:tcW w:w="1913" w:type="dxa"/>
            <w:tcBorders>
              <w:top w:val="nil"/>
              <w:bottom w:val="nil"/>
            </w:tcBorders>
          </w:tcPr>
          <w:p w:rsidR="00000000" w:rsidRDefault="00000000">
            <w:pPr>
              <w:pStyle w:val="aa"/>
              <w:ind w:left="227"/>
              <w:rPr>
                <w:rFonts w:hint="eastAsia"/>
              </w:rPr>
            </w:pPr>
            <w:r>
              <w:rPr>
                <w:rFonts w:hint="eastAsia"/>
              </w:rPr>
              <w:t>劳动力</w:t>
            </w:r>
          </w:p>
        </w:tc>
        <w:tc>
          <w:tcPr>
            <w:tcW w:w="1914" w:type="dxa"/>
            <w:tcBorders>
              <w:top w:val="nil"/>
              <w:bottom w:val="nil"/>
            </w:tcBorders>
          </w:tcPr>
          <w:p w:rsidR="00000000" w:rsidRDefault="00000000">
            <w:pPr>
              <w:pStyle w:val="aa"/>
              <w:ind w:right="567"/>
              <w:jc w:val="right"/>
              <w:rPr>
                <w:rFonts w:hint="eastAsia"/>
              </w:rPr>
            </w:pPr>
            <w:r>
              <w:rPr>
                <w:rFonts w:hint="eastAsia"/>
              </w:rPr>
              <w:t>622.0</w:t>
            </w:r>
          </w:p>
        </w:tc>
        <w:tc>
          <w:tcPr>
            <w:tcW w:w="1914" w:type="dxa"/>
            <w:tcBorders>
              <w:top w:val="nil"/>
              <w:bottom w:val="nil"/>
            </w:tcBorders>
          </w:tcPr>
          <w:p w:rsidR="00000000" w:rsidRDefault="00000000">
            <w:pPr>
              <w:pStyle w:val="aa"/>
              <w:ind w:right="567"/>
              <w:jc w:val="right"/>
              <w:rPr>
                <w:rFonts w:hint="eastAsia"/>
              </w:rPr>
            </w:pPr>
            <w:r>
              <w:rPr>
                <w:rFonts w:hint="eastAsia"/>
              </w:rPr>
              <w:t>622.8</w:t>
            </w:r>
          </w:p>
        </w:tc>
        <w:tc>
          <w:tcPr>
            <w:tcW w:w="1914" w:type="dxa"/>
            <w:tcBorders>
              <w:top w:val="nil"/>
              <w:bottom w:val="nil"/>
            </w:tcBorders>
          </w:tcPr>
          <w:p w:rsidR="00000000" w:rsidRDefault="00000000">
            <w:pPr>
              <w:pStyle w:val="aa"/>
              <w:ind w:right="567"/>
              <w:jc w:val="right"/>
              <w:rPr>
                <w:rFonts w:hint="eastAsia"/>
              </w:rPr>
            </w:pPr>
            <w:r>
              <w:rPr>
                <w:rFonts w:hint="eastAsia"/>
              </w:rPr>
              <w:t>626.7</w:t>
            </w:r>
          </w:p>
        </w:tc>
        <w:tc>
          <w:tcPr>
            <w:tcW w:w="1915" w:type="dxa"/>
            <w:tcBorders>
              <w:top w:val="nil"/>
              <w:bottom w:val="nil"/>
            </w:tcBorders>
          </w:tcPr>
          <w:p w:rsidR="00000000" w:rsidRDefault="00000000">
            <w:pPr>
              <w:pStyle w:val="aa"/>
              <w:ind w:right="567"/>
              <w:jc w:val="right"/>
              <w:rPr>
                <w:rFonts w:hint="eastAsia"/>
              </w:rPr>
            </w:pPr>
            <w:r>
              <w:rPr>
                <w:rFonts w:hint="eastAsia"/>
              </w:rPr>
              <w:t>620.0</w:t>
            </w:r>
          </w:p>
        </w:tc>
      </w:tr>
      <w:tr w:rsidR="00000000">
        <w:tblPrEx>
          <w:tblCellMar>
            <w:top w:w="0" w:type="dxa"/>
            <w:bottom w:w="0" w:type="dxa"/>
          </w:tblCellMar>
        </w:tblPrEx>
        <w:tc>
          <w:tcPr>
            <w:tcW w:w="1913" w:type="dxa"/>
            <w:tcBorders>
              <w:top w:val="nil"/>
              <w:bottom w:val="nil"/>
            </w:tcBorders>
          </w:tcPr>
          <w:p w:rsidR="00000000" w:rsidRDefault="00000000">
            <w:pPr>
              <w:pStyle w:val="aa"/>
              <w:ind w:left="227"/>
              <w:rPr>
                <w:rFonts w:hint="eastAsia"/>
              </w:rPr>
            </w:pPr>
            <w:r>
              <w:rPr>
                <w:rFonts w:hint="eastAsia"/>
              </w:rPr>
              <w:t>就业人口</w:t>
            </w:r>
          </w:p>
        </w:tc>
        <w:tc>
          <w:tcPr>
            <w:tcW w:w="1914" w:type="dxa"/>
            <w:tcBorders>
              <w:top w:val="nil"/>
              <w:bottom w:val="nil"/>
            </w:tcBorders>
          </w:tcPr>
          <w:p w:rsidR="00000000" w:rsidRDefault="00000000">
            <w:pPr>
              <w:pStyle w:val="aa"/>
              <w:ind w:right="567"/>
              <w:jc w:val="right"/>
              <w:rPr>
                <w:rFonts w:hint="eastAsia"/>
              </w:rPr>
            </w:pPr>
            <w:r>
              <w:rPr>
                <w:rFonts w:hint="eastAsia"/>
              </w:rPr>
              <w:t>589.3</w:t>
            </w:r>
          </w:p>
        </w:tc>
        <w:tc>
          <w:tcPr>
            <w:tcW w:w="1914" w:type="dxa"/>
            <w:tcBorders>
              <w:top w:val="nil"/>
              <w:bottom w:val="nil"/>
            </w:tcBorders>
          </w:tcPr>
          <w:p w:rsidR="00000000" w:rsidRDefault="00000000">
            <w:pPr>
              <w:pStyle w:val="aa"/>
              <w:ind w:right="567"/>
              <w:jc w:val="right"/>
              <w:rPr>
                <w:rFonts w:hint="eastAsia"/>
              </w:rPr>
            </w:pPr>
            <w:r>
              <w:rPr>
                <w:rFonts w:hint="eastAsia"/>
              </w:rPr>
              <w:t>596.6</w:t>
            </w:r>
          </w:p>
        </w:tc>
        <w:tc>
          <w:tcPr>
            <w:tcW w:w="1914" w:type="dxa"/>
            <w:tcBorders>
              <w:top w:val="nil"/>
              <w:bottom w:val="nil"/>
            </w:tcBorders>
          </w:tcPr>
          <w:p w:rsidR="00000000" w:rsidRDefault="00000000">
            <w:pPr>
              <w:pStyle w:val="aa"/>
              <w:ind w:right="567"/>
              <w:jc w:val="right"/>
              <w:rPr>
                <w:rFonts w:hint="eastAsia"/>
              </w:rPr>
            </w:pPr>
            <w:r>
              <w:rPr>
                <w:rFonts w:hint="eastAsia"/>
              </w:rPr>
              <w:t>606.7</w:t>
            </w:r>
          </w:p>
        </w:tc>
        <w:tc>
          <w:tcPr>
            <w:tcW w:w="1915" w:type="dxa"/>
            <w:tcBorders>
              <w:top w:val="nil"/>
              <w:bottom w:val="nil"/>
            </w:tcBorders>
          </w:tcPr>
          <w:p w:rsidR="00000000" w:rsidRDefault="00000000">
            <w:pPr>
              <w:pStyle w:val="aa"/>
              <w:ind w:right="567"/>
              <w:jc w:val="right"/>
              <w:rPr>
                <w:rFonts w:hint="eastAsia"/>
              </w:rPr>
            </w:pPr>
            <w:r>
              <w:rPr>
                <w:rFonts w:hint="eastAsia"/>
              </w:rPr>
              <w:t>593.0</w:t>
            </w:r>
          </w:p>
        </w:tc>
      </w:tr>
      <w:tr w:rsidR="00000000">
        <w:tblPrEx>
          <w:tblCellMar>
            <w:top w:w="0" w:type="dxa"/>
            <w:bottom w:w="0" w:type="dxa"/>
          </w:tblCellMar>
        </w:tblPrEx>
        <w:tc>
          <w:tcPr>
            <w:tcW w:w="1913" w:type="dxa"/>
            <w:tcBorders>
              <w:top w:val="nil"/>
            </w:tcBorders>
          </w:tcPr>
          <w:p w:rsidR="00000000" w:rsidRDefault="00000000">
            <w:pPr>
              <w:pStyle w:val="aa"/>
              <w:ind w:left="227"/>
              <w:rPr>
                <w:rFonts w:hint="eastAsia"/>
              </w:rPr>
            </w:pPr>
            <w:r>
              <w:rPr>
                <w:rFonts w:hint="eastAsia"/>
              </w:rPr>
              <w:t>失业人口</w:t>
            </w:r>
          </w:p>
        </w:tc>
        <w:tc>
          <w:tcPr>
            <w:tcW w:w="1914" w:type="dxa"/>
            <w:tcBorders>
              <w:top w:val="nil"/>
            </w:tcBorders>
          </w:tcPr>
          <w:p w:rsidR="00000000" w:rsidRDefault="00000000">
            <w:pPr>
              <w:pStyle w:val="aa"/>
              <w:ind w:right="567"/>
              <w:jc w:val="right"/>
              <w:rPr>
                <w:rFonts w:hint="eastAsia"/>
              </w:rPr>
            </w:pPr>
            <w:r>
              <w:rPr>
                <w:rFonts w:hint="eastAsia"/>
              </w:rPr>
              <w:t>32.7</w:t>
            </w:r>
          </w:p>
        </w:tc>
        <w:tc>
          <w:tcPr>
            <w:tcW w:w="1914" w:type="dxa"/>
            <w:tcBorders>
              <w:top w:val="nil"/>
            </w:tcBorders>
          </w:tcPr>
          <w:p w:rsidR="00000000" w:rsidRDefault="00000000">
            <w:pPr>
              <w:pStyle w:val="aa"/>
              <w:ind w:right="567"/>
              <w:jc w:val="right"/>
              <w:rPr>
                <w:rFonts w:hint="eastAsia"/>
              </w:rPr>
            </w:pPr>
            <w:r>
              <w:rPr>
                <w:rFonts w:hint="eastAsia"/>
              </w:rPr>
              <w:t>26.1</w:t>
            </w:r>
          </w:p>
        </w:tc>
        <w:tc>
          <w:tcPr>
            <w:tcW w:w="1914" w:type="dxa"/>
            <w:tcBorders>
              <w:top w:val="nil"/>
            </w:tcBorders>
          </w:tcPr>
          <w:p w:rsidR="00000000" w:rsidRDefault="00000000">
            <w:pPr>
              <w:pStyle w:val="aa"/>
              <w:ind w:right="567"/>
              <w:jc w:val="right"/>
              <w:rPr>
                <w:rFonts w:hint="eastAsia"/>
              </w:rPr>
            </w:pPr>
            <w:r>
              <w:rPr>
                <w:rFonts w:hint="eastAsia"/>
              </w:rPr>
              <w:t>20.0</w:t>
            </w:r>
          </w:p>
        </w:tc>
        <w:tc>
          <w:tcPr>
            <w:tcW w:w="1915" w:type="dxa"/>
            <w:tcBorders>
              <w:top w:val="nil"/>
            </w:tcBorders>
          </w:tcPr>
          <w:p w:rsidR="00000000" w:rsidRDefault="00000000">
            <w:pPr>
              <w:pStyle w:val="aa"/>
              <w:ind w:right="567"/>
              <w:jc w:val="right"/>
              <w:rPr>
                <w:rFonts w:hint="eastAsia"/>
              </w:rPr>
            </w:pPr>
            <w:r>
              <w:rPr>
                <w:rFonts w:hint="eastAsia"/>
              </w:rPr>
              <w:t>27.0</w:t>
            </w:r>
          </w:p>
        </w:tc>
      </w:tr>
      <w:tr w:rsidR="00000000">
        <w:tblPrEx>
          <w:tblCellMar>
            <w:top w:w="0" w:type="dxa"/>
            <w:bottom w:w="0" w:type="dxa"/>
          </w:tblCellMar>
        </w:tblPrEx>
        <w:tc>
          <w:tcPr>
            <w:tcW w:w="1913" w:type="dxa"/>
            <w:tcBorders>
              <w:bottom w:val="nil"/>
            </w:tcBorders>
          </w:tcPr>
          <w:p w:rsidR="00000000" w:rsidRDefault="00000000">
            <w:pPr>
              <w:pStyle w:val="aa"/>
              <w:rPr>
                <w:rFonts w:hint="eastAsia"/>
              </w:rPr>
            </w:pPr>
            <w:r>
              <w:rPr>
                <w:rFonts w:hint="eastAsia"/>
              </w:rPr>
              <w:t>女性</w:t>
            </w:r>
          </w:p>
        </w:tc>
        <w:tc>
          <w:tcPr>
            <w:tcW w:w="1914" w:type="dxa"/>
            <w:tcBorders>
              <w:bottom w:val="nil"/>
            </w:tcBorders>
          </w:tcPr>
          <w:p w:rsidR="00000000" w:rsidRDefault="00000000">
            <w:pPr>
              <w:pStyle w:val="aa"/>
              <w:ind w:right="567"/>
              <w:jc w:val="right"/>
              <w:rPr>
                <w:rFonts w:hint="eastAsia"/>
              </w:rPr>
            </w:pPr>
          </w:p>
        </w:tc>
        <w:tc>
          <w:tcPr>
            <w:tcW w:w="1914" w:type="dxa"/>
            <w:tcBorders>
              <w:bottom w:val="nil"/>
            </w:tcBorders>
          </w:tcPr>
          <w:p w:rsidR="00000000" w:rsidRDefault="00000000">
            <w:pPr>
              <w:pStyle w:val="aa"/>
              <w:ind w:right="567"/>
              <w:jc w:val="right"/>
              <w:rPr>
                <w:rFonts w:hint="eastAsia"/>
              </w:rPr>
            </w:pPr>
          </w:p>
        </w:tc>
        <w:tc>
          <w:tcPr>
            <w:tcW w:w="1914" w:type="dxa"/>
            <w:tcBorders>
              <w:bottom w:val="nil"/>
            </w:tcBorders>
          </w:tcPr>
          <w:p w:rsidR="00000000" w:rsidRDefault="00000000">
            <w:pPr>
              <w:pStyle w:val="aa"/>
              <w:ind w:right="567"/>
              <w:jc w:val="right"/>
              <w:rPr>
                <w:rFonts w:hint="eastAsia"/>
              </w:rPr>
            </w:pPr>
          </w:p>
        </w:tc>
        <w:tc>
          <w:tcPr>
            <w:tcW w:w="1915" w:type="dxa"/>
            <w:tcBorders>
              <w:bottom w:val="nil"/>
            </w:tcBorders>
          </w:tcPr>
          <w:p w:rsidR="00000000" w:rsidRDefault="00000000">
            <w:pPr>
              <w:pStyle w:val="aa"/>
              <w:ind w:right="567"/>
              <w:jc w:val="right"/>
              <w:rPr>
                <w:rFonts w:hint="eastAsia"/>
              </w:rPr>
            </w:pPr>
          </w:p>
        </w:tc>
      </w:tr>
      <w:tr w:rsidR="00000000">
        <w:tblPrEx>
          <w:tblCellMar>
            <w:top w:w="0" w:type="dxa"/>
            <w:bottom w:w="0" w:type="dxa"/>
          </w:tblCellMar>
        </w:tblPrEx>
        <w:tc>
          <w:tcPr>
            <w:tcW w:w="1913" w:type="dxa"/>
            <w:tcBorders>
              <w:top w:val="nil"/>
              <w:bottom w:val="nil"/>
            </w:tcBorders>
          </w:tcPr>
          <w:p w:rsidR="00000000" w:rsidRDefault="00000000">
            <w:pPr>
              <w:pStyle w:val="aa"/>
              <w:ind w:left="227"/>
              <w:rPr>
                <w:rFonts w:hint="eastAsia"/>
              </w:rPr>
            </w:pPr>
            <w:r>
              <w:rPr>
                <w:rFonts w:hint="eastAsia"/>
              </w:rPr>
              <w:t>劳动力</w:t>
            </w:r>
          </w:p>
        </w:tc>
        <w:tc>
          <w:tcPr>
            <w:tcW w:w="1914" w:type="dxa"/>
            <w:tcBorders>
              <w:top w:val="nil"/>
              <w:bottom w:val="nil"/>
            </w:tcBorders>
          </w:tcPr>
          <w:p w:rsidR="00000000" w:rsidRDefault="00000000">
            <w:pPr>
              <w:pStyle w:val="aa"/>
              <w:ind w:right="567"/>
              <w:jc w:val="right"/>
              <w:rPr>
                <w:rFonts w:hint="eastAsia"/>
              </w:rPr>
            </w:pPr>
            <w:r>
              <w:rPr>
                <w:rFonts w:hint="eastAsia"/>
              </w:rPr>
              <w:t>382.2</w:t>
            </w:r>
          </w:p>
        </w:tc>
        <w:tc>
          <w:tcPr>
            <w:tcW w:w="1914" w:type="dxa"/>
            <w:tcBorders>
              <w:top w:val="nil"/>
              <w:bottom w:val="nil"/>
            </w:tcBorders>
          </w:tcPr>
          <w:p w:rsidR="00000000" w:rsidRDefault="00000000">
            <w:pPr>
              <w:pStyle w:val="aa"/>
              <w:ind w:right="567"/>
              <w:jc w:val="right"/>
              <w:rPr>
                <w:rFonts w:hint="eastAsia"/>
              </w:rPr>
            </w:pPr>
            <w:r>
              <w:rPr>
                <w:rFonts w:hint="eastAsia"/>
              </w:rPr>
              <w:t>385.6</w:t>
            </w:r>
          </w:p>
        </w:tc>
        <w:tc>
          <w:tcPr>
            <w:tcW w:w="1914" w:type="dxa"/>
            <w:tcBorders>
              <w:top w:val="nil"/>
              <w:bottom w:val="nil"/>
            </w:tcBorders>
          </w:tcPr>
          <w:p w:rsidR="00000000" w:rsidRDefault="00000000">
            <w:pPr>
              <w:pStyle w:val="aa"/>
              <w:ind w:right="567"/>
              <w:jc w:val="right"/>
              <w:rPr>
                <w:rFonts w:hint="eastAsia"/>
              </w:rPr>
            </w:pPr>
            <w:r>
              <w:rPr>
                <w:rFonts w:hint="eastAsia"/>
              </w:rPr>
              <w:t>391.0</w:t>
            </w:r>
          </w:p>
        </w:tc>
        <w:tc>
          <w:tcPr>
            <w:tcW w:w="1915" w:type="dxa"/>
            <w:tcBorders>
              <w:top w:val="nil"/>
              <w:bottom w:val="nil"/>
            </w:tcBorders>
          </w:tcPr>
          <w:p w:rsidR="00000000" w:rsidRDefault="00000000">
            <w:pPr>
              <w:pStyle w:val="aa"/>
              <w:ind w:right="567"/>
              <w:jc w:val="right"/>
              <w:rPr>
                <w:rFonts w:hint="eastAsia"/>
              </w:rPr>
            </w:pPr>
            <w:r>
              <w:rPr>
                <w:rFonts w:hint="eastAsia"/>
              </w:rPr>
              <w:t>385.3</w:t>
            </w:r>
          </w:p>
        </w:tc>
      </w:tr>
      <w:tr w:rsidR="00000000">
        <w:tblPrEx>
          <w:tblCellMar>
            <w:top w:w="0" w:type="dxa"/>
            <w:bottom w:w="0" w:type="dxa"/>
          </w:tblCellMar>
        </w:tblPrEx>
        <w:tc>
          <w:tcPr>
            <w:tcW w:w="1913" w:type="dxa"/>
            <w:tcBorders>
              <w:top w:val="nil"/>
              <w:bottom w:val="nil"/>
            </w:tcBorders>
          </w:tcPr>
          <w:p w:rsidR="00000000" w:rsidRDefault="00000000">
            <w:pPr>
              <w:pStyle w:val="aa"/>
              <w:ind w:left="227"/>
              <w:rPr>
                <w:rFonts w:hint="eastAsia"/>
              </w:rPr>
            </w:pPr>
            <w:r>
              <w:rPr>
                <w:rFonts w:hint="eastAsia"/>
              </w:rPr>
              <w:t>就业人口</w:t>
            </w:r>
          </w:p>
        </w:tc>
        <w:tc>
          <w:tcPr>
            <w:tcW w:w="1914" w:type="dxa"/>
            <w:tcBorders>
              <w:top w:val="nil"/>
              <w:bottom w:val="nil"/>
            </w:tcBorders>
          </w:tcPr>
          <w:p w:rsidR="00000000" w:rsidRDefault="00000000">
            <w:pPr>
              <w:pStyle w:val="aa"/>
              <w:ind w:right="567"/>
              <w:jc w:val="right"/>
              <w:rPr>
                <w:rFonts w:hint="eastAsia"/>
              </w:rPr>
            </w:pPr>
            <w:r>
              <w:rPr>
                <w:rFonts w:hint="eastAsia"/>
              </w:rPr>
              <w:t>342.3</w:t>
            </w:r>
          </w:p>
        </w:tc>
        <w:tc>
          <w:tcPr>
            <w:tcW w:w="1914" w:type="dxa"/>
            <w:tcBorders>
              <w:top w:val="nil"/>
              <w:bottom w:val="nil"/>
            </w:tcBorders>
          </w:tcPr>
          <w:p w:rsidR="00000000" w:rsidRDefault="00000000">
            <w:pPr>
              <w:pStyle w:val="aa"/>
              <w:ind w:right="567"/>
              <w:jc w:val="right"/>
              <w:rPr>
                <w:rFonts w:hint="eastAsia"/>
              </w:rPr>
            </w:pPr>
            <w:r>
              <w:rPr>
                <w:rFonts w:hint="eastAsia"/>
              </w:rPr>
              <w:t>352.9</w:t>
            </w:r>
          </w:p>
        </w:tc>
        <w:tc>
          <w:tcPr>
            <w:tcW w:w="1914" w:type="dxa"/>
            <w:tcBorders>
              <w:top w:val="nil"/>
              <w:bottom w:val="nil"/>
            </w:tcBorders>
          </w:tcPr>
          <w:p w:rsidR="00000000" w:rsidRDefault="00000000">
            <w:pPr>
              <w:pStyle w:val="aa"/>
              <w:ind w:right="567"/>
              <w:jc w:val="right"/>
              <w:rPr>
                <w:rFonts w:hint="eastAsia"/>
              </w:rPr>
            </w:pPr>
            <w:r>
              <w:rPr>
                <w:rFonts w:hint="eastAsia"/>
              </w:rPr>
              <w:t>358.5</w:t>
            </w:r>
          </w:p>
        </w:tc>
        <w:tc>
          <w:tcPr>
            <w:tcW w:w="1915" w:type="dxa"/>
            <w:tcBorders>
              <w:top w:val="nil"/>
              <w:bottom w:val="nil"/>
            </w:tcBorders>
          </w:tcPr>
          <w:p w:rsidR="00000000" w:rsidRDefault="00000000">
            <w:pPr>
              <w:pStyle w:val="aa"/>
              <w:ind w:right="567"/>
              <w:jc w:val="right"/>
              <w:rPr>
                <w:rFonts w:hint="eastAsia"/>
              </w:rPr>
            </w:pPr>
            <w:r>
              <w:rPr>
                <w:rFonts w:hint="eastAsia"/>
              </w:rPr>
              <w:t>345.8</w:t>
            </w:r>
          </w:p>
        </w:tc>
      </w:tr>
      <w:tr w:rsidR="00000000">
        <w:tblPrEx>
          <w:tblCellMar>
            <w:top w:w="0" w:type="dxa"/>
            <w:bottom w:w="0" w:type="dxa"/>
          </w:tblCellMar>
        </w:tblPrEx>
        <w:tc>
          <w:tcPr>
            <w:tcW w:w="1913" w:type="dxa"/>
            <w:tcBorders>
              <w:top w:val="nil"/>
            </w:tcBorders>
          </w:tcPr>
          <w:p w:rsidR="00000000" w:rsidRDefault="00000000">
            <w:pPr>
              <w:pStyle w:val="aa"/>
              <w:ind w:left="227"/>
              <w:rPr>
                <w:rFonts w:hint="eastAsia"/>
              </w:rPr>
            </w:pPr>
            <w:r>
              <w:rPr>
                <w:rFonts w:hint="eastAsia"/>
              </w:rPr>
              <w:t>失业人口</w:t>
            </w:r>
          </w:p>
        </w:tc>
        <w:tc>
          <w:tcPr>
            <w:tcW w:w="1914" w:type="dxa"/>
            <w:tcBorders>
              <w:top w:val="nil"/>
            </w:tcBorders>
          </w:tcPr>
          <w:p w:rsidR="00000000" w:rsidRDefault="00000000">
            <w:pPr>
              <w:pStyle w:val="aa"/>
              <w:ind w:right="567"/>
              <w:jc w:val="right"/>
              <w:rPr>
                <w:rFonts w:hint="eastAsia"/>
              </w:rPr>
            </w:pPr>
            <w:r>
              <w:rPr>
                <w:rFonts w:hint="eastAsia"/>
              </w:rPr>
              <w:t>39.9</w:t>
            </w:r>
          </w:p>
        </w:tc>
        <w:tc>
          <w:tcPr>
            <w:tcW w:w="1914" w:type="dxa"/>
            <w:tcBorders>
              <w:top w:val="nil"/>
            </w:tcBorders>
          </w:tcPr>
          <w:p w:rsidR="00000000" w:rsidRDefault="00000000">
            <w:pPr>
              <w:pStyle w:val="aa"/>
              <w:ind w:right="567"/>
              <w:jc w:val="right"/>
              <w:rPr>
                <w:rFonts w:hint="eastAsia"/>
              </w:rPr>
            </w:pPr>
            <w:r>
              <w:rPr>
                <w:rFonts w:hint="eastAsia"/>
              </w:rPr>
              <w:t>32.7</w:t>
            </w:r>
          </w:p>
        </w:tc>
        <w:tc>
          <w:tcPr>
            <w:tcW w:w="1914" w:type="dxa"/>
            <w:tcBorders>
              <w:top w:val="nil"/>
            </w:tcBorders>
          </w:tcPr>
          <w:p w:rsidR="00000000" w:rsidRDefault="00000000">
            <w:pPr>
              <w:pStyle w:val="aa"/>
              <w:ind w:right="567"/>
              <w:jc w:val="right"/>
              <w:rPr>
                <w:rFonts w:hint="eastAsia"/>
              </w:rPr>
            </w:pPr>
            <w:r>
              <w:rPr>
                <w:rFonts w:hint="eastAsia"/>
              </w:rPr>
              <w:t>32.4</w:t>
            </w:r>
          </w:p>
        </w:tc>
        <w:tc>
          <w:tcPr>
            <w:tcW w:w="1915" w:type="dxa"/>
            <w:tcBorders>
              <w:top w:val="nil"/>
            </w:tcBorders>
          </w:tcPr>
          <w:p w:rsidR="00000000" w:rsidRDefault="00000000">
            <w:pPr>
              <w:pStyle w:val="aa"/>
              <w:ind w:right="567"/>
              <w:jc w:val="right"/>
              <w:rPr>
                <w:rFonts w:hint="eastAsia"/>
              </w:rPr>
            </w:pPr>
            <w:r>
              <w:rPr>
                <w:rFonts w:hint="eastAsia"/>
              </w:rPr>
              <w:t>39.6</w:t>
            </w:r>
          </w:p>
        </w:tc>
      </w:tr>
    </w:tbl>
    <w:p w:rsidR="00000000" w:rsidRDefault="00000000">
      <w:pPr>
        <w:spacing w:before="120"/>
        <w:rPr>
          <w:rFonts w:hint="eastAsia"/>
        </w:rPr>
      </w:pPr>
      <w:r>
        <w:rPr>
          <w:rFonts w:hint="eastAsia"/>
          <w:u w:val="single"/>
        </w:rPr>
        <w:t>1999</w:t>
      </w:r>
      <w:r>
        <w:rPr>
          <w:rFonts w:hint="eastAsia"/>
          <w:u w:val="single"/>
        </w:rPr>
        <w:t>年</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u w:val="single"/>
        </w:rPr>
        <w:t>单位：</w:t>
      </w:r>
      <w:r>
        <w:rPr>
          <w:rFonts w:hint="eastAsia"/>
          <w:u w:val="single"/>
        </w:rPr>
        <w:t>(</w:t>
      </w:r>
      <w:r>
        <w:rPr>
          <w:rFonts w:hint="eastAsia"/>
          <w:u w:val="single"/>
        </w:rPr>
        <w:t>千</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14"/>
        <w:gridCol w:w="1914"/>
        <w:gridCol w:w="1914"/>
        <w:gridCol w:w="1915"/>
      </w:tblGrid>
      <w:tr w:rsidR="00000000">
        <w:tblPrEx>
          <w:tblCellMar>
            <w:top w:w="0" w:type="dxa"/>
            <w:bottom w:w="0" w:type="dxa"/>
          </w:tblCellMar>
        </w:tblPrEx>
        <w:tc>
          <w:tcPr>
            <w:tcW w:w="1913" w:type="dxa"/>
          </w:tcPr>
          <w:p w:rsidR="00000000" w:rsidRDefault="00000000">
            <w:pPr>
              <w:pStyle w:val="aa"/>
              <w:jc w:val="center"/>
              <w:rPr>
                <w:rFonts w:hint="eastAsia"/>
              </w:rPr>
            </w:pPr>
          </w:p>
        </w:tc>
        <w:tc>
          <w:tcPr>
            <w:tcW w:w="1914" w:type="dxa"/>
          </w:tcPr>
          <w:p w:rsidR="00000000" w:rsidRDefault="00000000">
            <w:pPr>
              <w:pStyle w:val="aa"/>
              <w:jc w:val="center"/>
              <w:rPr>
                <w:rFonts w:hint="eastAsia"/>
              </w:rPr>
            </w:pPr>
            <w:r>
              <w:rPr>
                <w:rFonts w:hint="eastAsia"/>
              </w:rPr>
              <w:t>第一季度</w:t>
            </w:r>
          </w:p>
        </w:tc>
        <w:tc>
          <w:tcPr>
            <w:tcW w:w="1914" w:type="dxa"/>
          </w:tcPr>
          <w:p w:rsidR="00000000" w:rsidRDefault="00000000">
            <w:pPr>
              <w:pStyle w:val="aa"/>
              <w:jc w:val="center"/>
              <w:rPr>
                <w:rFonts w:hint="eastAsia"/>
              </w:rPr>
            </w:pPr>
            <w:r>
              <w:rPr>
                <w:rFonts w:hint="eastAsia"/>
              </w:rPr>
              <w:t>第二季度</w:t>
            </w:r>
          </w:p>
        </w:tc>
        <w:tc>
          <w:tcPr>
            <w:tcW w:w="1914" w:type="dxa"/>
          </w:tcPr>
          <w:p w:rsidR="00000000" w:rsidRDefault="00000000">
            <w:pPr>
              <w:pStyle w:val="aa"/>
              <w:jc w:val="center"/>
              <w:rPr>
                <w:rFonts w:hint="eastAsia"/>
              </w:rPr>
            </w:pPr>
            <w:r>
              <w:rPr>
                <w:rFonts w:hint="eastAsia"/>
              </w:rPr>
              <w:t>第三季度</w:t>
            </w:r>
          </w:p>
        </w:tc>
        <w:tc>
          <w:tcPr>
            <w:tcW w:w="1915" w:type="dxa"/>
          </w:tcPr>
          <w:p w:rsidR="00000000" w:rsidRDefault="00000000">
            <w:pPr>
              <w:pStyle w:val="aa"/>
              <w:jc w:val="center"/>
              <w:rPr>
                <w:rFonts w:hint="eastAsia"/>
              </w:rPr>
            </w:pPr>
            <w:r>
              <w:rPr>
                <w:rFonts w:hint="eastAsia"/>
              </w:rPr>
              <w:t>第四季度</w:t>
            </w:r>
          </w:p>
        </w:tc>
      </w:tr>
      <w:tr w:rsidR="00000000">
        <w:tblPrEx>
          <w:tblCellMar>
            <w:top w:w="0" w:type="dxa"/>
            <w:bottom w:w="0" w:type="dxa"/>
          </w:tblCellMar>
        </w:tblPrEx>
        <w:tc>
          <w:tcPr>
            <w:tcW w:w="1913" w:type="dxa"/>
            <w:tcBorders>
              <w:bottom w:val="nil"/>
            </w:tcBorders>
          </w:tcPr>
          <w:p w:rsidR="00000000" w:rsidRDefault="00000000">
            <w:pPr>
              <w:pStyle w:val="aa"/>
              <w:rPr>
                <w:rFonts w:hint="eastAsia"/>
              </w:rPr>
            </w:pPr>
            <w:r>
              <w:rPr>
                <w:rFonts w:hint="eastAsia"/>
              </w:rPr>
              <w:t>男女共计</w:t>
            </w:r>
          </w:p>
        </w:tc>
        <w:tc>
          <w:tcPr>
            <w:tcW w:w="1914" w:type="dxa"/>
            <w:tcBorders>
              <w:bottom w:val="nil"/>
            </w:tcBorders>
          </w:tcPr>
          <w:p w:rsidR="00000000" w:rsidRDefault="00000000">
            <w:pPr>
              <w:pStyle w:val="aa"/>
              <w:jc w:val="center"/>
              <w:rPr>
                <w:rFonts w:hint="eastAsia"/>
              </w:rPr>
            </w:pPr>
          </w:p>
        </w:tc>
        <w:tc>
          <w:tcPr>
            <w:tcW w:w="1914" w:type="dxa"/>
            <w:tcBorders>
              <w:bottom w:val="nil"/>
            </w:tcBorders>
          </w:tcPr>
          <w:p w:rsidR="00000000" w:rsidRDefault="00000000">
            <w:pPr>
              <w:pStyle w:val="aa"/>
              <w:jc w:val="center"/>
              <w:rPr>
                <w:rFonts w:hint="eastAsia"/>
              </w:rPr>
            </w:pPr>
          </w:p>
        </w:tc>
        <w:tc>
          <w:tcPr>
            <w:tcW w:w="1914" w:type="dxa"/>
            <w:tcBorders>
              <w:bottom w:val="nil"/>
            </w:tcBorders>
          </w:tcPr>
          <w:p w:rsidR="00000000" w:rsidRDefault="00000000">
            <w:pPr>
              <w:pStyle w:val="aa"/>
              <w:jc w:val="center"/>
              <w:rPr>
                <w:rFonts w:hint="eastAsia"/>
              </w:rPr>
            </w:pPr>
          </w:p>
        </w:tc>
        <w:tc>
          <w:tcPr>
            <w:tcW w:w="1915" w:type="dxa"/>
            <w:tcBorders>
              <w:bottom w:val="nil"/>
            </w:tcBorders>
          </w:tcPr>
          <w:p w:rsidR="00000000" w:rsidRDefault="00000000">
            <w:pPr>
              <w:pStyle w:val="aa"/>
              <w:jc w:val="center"/>
              <w:rPr>
                <w:rFonts w:hint="eastAsia"/>
              </w:rPr>
            </w:pPr>
          </w:p>
        </w:tc>
      </w:tr>
      <w:tr w:rsidR="00000000">
        <w:tblPrEx>
          <w:tblCellMar>
            <w:top w:w="0" w:type="dxa"/>
            <w:bottom w:w="0" w:type="dxa"/>
          </w:tblCellMar>
        </w:tblPrEx>
        <w:tc>
          <w:tcPr>
            <w:tcW w:w="1913" w:type="dxa"/>
            <w:tcBorders>
              <w:top w:val="nil"/>
              <w:bottom w:val="nil"/>
            </w:tcBorders>
          </w:tcPr>
          <w:p w:rsidR="00000000" w:rsidRDefault="00000000">
            <w:pPr>
              <w:pStyle w:val="aa"/>
              <w:ind w:left="227"/>
              <w:rPr>
                <w:rFonts w:hint="eastAsia"/>
              </w:rPr>
            </w:pPr>
            <w:r>
              <w:rPr>
                <w:rFonts w:hint="eastAsia"/>
              </w:rPr>
              <w:t>劳动力</w:t>
            </w:r>
          </w:p>
        </w:tc>
        <w:tc>
          <w:tcPr>
            <w:tcW w:w="1914" w:type="dxa"/>
            <w:tcBorders>
              <w:top w:val="nil"/>
              <w:bottom w:val="nil"/>
            </w:tcBorders>
          </w:tcPr>
          <w:p w:rsidR="00000000" w:rsidRDefault="00000000">
            <w:pPr>
              <w:pStyle w:val="aa"/>
              <w:ind w:right="567"/>
              <w:jc w:val="right"/>
              <w:rPr>
                <w:rFonts w:hint="eastAsia"/>
              </w:rPr>
            </w:pPr>
            <w:r>
              <w:rPr>
                <w:rFonts w:hint="eastAsia"/>
              </w:rPr>
              <w:t>1</w:t>
            </w:r>
            <w:r>
              <w:t>,</w:t>
            </w:r>
            <w:r>
              <w:rPr>
                <w:rFonts w:hint="eastAsia"/>
              </w:rPr>
              <w:t>006.9</w:t>
            </w:r>
          </w:p>
        </w:tc>
        <w:tc>
          <w:tcPr>
            <w:tcW w:w="1914" w:type="dxa"/>
            <w:tcBorders>
              <w:top w:val="nil"/>
              <w:bottom w:val="nil"/>
            </w:tcBorders>
          </w:tcPr>
          <w:p w:rsidR="00000000" w:rsidRDefault="00000000">
            <w:pPr>
              <w:pStyle w:val="aa"/>
              <w:ind w:right="567"/>
              <w:jc w:val="right"/>
              <w:rPr>
                <w:rFonts w:hint="eastAsia"/>
              </w:rPr>
            </w:pPr>
            <w:r>
              <w:rPr>
                <w:rFonts w:hint="eastAsia"/>
              </w:rPr>
              <w:t>974.3</w:t>
            </w:r>
          </w:p>
        </w:tc>
        <w:tc>
          <w:tcPr>
            <w:tcW w:w="1914" w:type="dxa"/>
            <w:tcBorders>
              <w:top w:val="nil"/>
              <w:bottom w:val="nil"/>
            </w:tcBorders>
          </w:tcPr>
          <w:p w:rsidR="00000000" w:rsidRDefault="00000000">
            <w:pPr>
              <w:pStyle w:val="aa"/>
              <w:ind w:right="567"/>
              <w:jc w:val="right"/>
              <w:rPr>
                <w:rFonts w:hint="eastAsia"/>
              </w:rPr>
            </w:pPr>
            <w:r>
              <w:rPr>
                <w:rFonts w:hint="eastAsia"/>
              </w:rPr>
              <w:t>978.2</w:t>
            </w:r>
          </w:p>
        </w:tc>
        <w:tc>
          <w:tcPr>
            <w:tcW w:w="1915" w:type="dxa"/>
            <w:tcBorders>
              <w:top w:val="nil"/>
              <w:bottom w:val="nil"/>
            </w:tcBorders>
          </w:tcPr>
          <w:p w:rsidR="00000000" w:rsidRDefault="00000000">
            <w:pPr>
              <w:pStyle w:val="aa"/>
              <w:ind w:right="567"/>
              <w:jc w:val="right"/>
              <w:rPr>
                <w:rFonts w:hint="eastAsia"/>
              </w:rPr>
            </w:pPr>
            <w:r>
              <w:rPr>
                <w:rFonts w:hint="eastAsia"/>
              </w:rPr>
              <w:t>973.7</w:t>
            </w:r>
          </w:p>
        </w:tc>
      </w:tr>
      <w:tr w:rsidR="00000000">
        <w:tblPrEx>
          <w:tblCellMar>
            <w:top w:w="0" w:type="dxa"/>
            <w:bottom w:w="0" w:type="dxa"/>
          </w:tblCellMar>
        </w:tblPrEx>
        <w:tc>
          <w:tcPr>
            <w:tcW w:w="1913" w:type="dxa"/>
            <w:tcBorders>
              <w:top w:val="nil"/>
              <w:bottom w:val="nil"/>
            </w:tcBorders>
          </w:tcPr>
          <w:p w:rsidR="00000000" w:rsidRDefault="00000000">
            <w:pPr>
              <w:pStyle w:val="aa"/>
              <w:ind w:left="227"/>
              <w:rPr>
                <w:rFonts w:hint="eastAsia"/>
              </w:rPr>
            </w:pPr>
            <w:r>
              <w:rPr>
                <w:rFonts w:hint="eastAsia"/>
              </w:rPr>
              <w:t>就业人口</w:t>
            </w:r>
          </w:p>
        </w:tc>
        <w:tc>
          <w:tcPr>
            <w:tcW w:w="1914" w:type="dxa"/>
            <w:tcBorders>
              <w:top w:val="nil"/>
              <w:bottom w:val="nil"/>
            </w:tcBorders>
          </w:tcPr>
          <w:p w:rsidR="00000000" w:rsidRDefault="00000000">
            <w:pPr>
              <w:pStyle w:val="aa"/>
              <w:ind w:right="567"/>
              <w:jc w:val="right"/>
              <w:rPr>
                <w:rFonts w:hint="eastAsia"/>
              </w:rPr>
            </w:pPr>
            <w:r>
              <w:rPr>
                <w:rFonts w:hint="eastAsia"/>
              </w:rPr>
              <w:t>928.8</w:t>
            </w:r>
          </w:p>
        </w:tc>
        <w:tc>
          <w:tcPr>
            <w:tcW w:w="1914" w:type="dxa"/>
            <w:tcBorders>
              <w:top w:val="nil"/>
              <w:bottom w:val="nil"/>
            </w:tcBorders>
          </w:tcPr>
          <w:p w:rsidR="00000000" w:rsidRDefault="00000000">
            <w:pPr>
              <w:pStyle w:val="aa"/>
              <w:ind w:right="567"/>
              <w:jc w:val="right"/>
              <w:rPr>
                <w:rFonts w:hint="eastAsia"/>
              </w:rPr>
            </w:pPr>
            <w:r>
              <w:rPr>
                <w:rFonts w:hint="eastAsia"/>
              </w:rPr>
              <w:t>903.1</w:t>
            </w:r>
          </w:p>
        </w:tc>
        <w:tc>
          <w:tcPr>
            <w:tcW w:w="1914" w:type="dxa"/>
            <w:tcBorders>
              <w:top w:val="nil"/>
              <w:bottom w:val="nil"/>
            </w:tcBorders>
          </w:tcPr>
          <w:p w:rsidR="00000000" w:rsidRDefault="00000000">
            <w:pPr>
              <w:pStyle w:val="aa"/>
              <w:ind w:right="567"/>
              <w:jc w:val="right"/>
              <w:rPr>
                <w:rFonts w:hint="eastAsia"/>
              </w:rPr>
            </w:pPr>
            <w:r>
              <w:rPr>
                <w:rFonts w:hint="eastAsia"/>
              </w:rPr>
              <w:t>912.4</w:t>
            </w:r>
          </w:p>
        </w:tc>
        <w:tc>
          <w:tcPr>
            <w:tcW w:w="1915" w:type="dxa"/>
            <w:tcBorders>
              <w:top w:val="nil"/>
              <w:bottom w:val="nil"/>
            </w:tcBorders>
          </w:tcPr>
          <w:p w:rsidR="00000000" w:rsidRDefault="00000000">
            <w:pPr>
              <w:pStyle w:val="aa"/>
              <w:ind w:right="567"/>
              <w:jc w:val="right"/>
              <w:rPr>
                <w:rFonts w:hint="eastAsia"/>
              </w:rPr>
            </w:pPr>
            <w:r>
              <w:rPr>
                <w:rFonts w:hint="eastAsia"/>
              </w:rPr>
              <w:t>896.1</w:t>
            </w:r>
          </w:p>
        </w:tc>
      </w:tr>
      <w:tr w:rsidR="00000000">
        <w:tblPrEx>
          <w:tblCellMar>
            <w:top w:w="0" w:type="dxa"/>
            <w:bottom w:w="0" w:type="dxa"/>
          </w:tblCellMar>
        </w:tblPrEx>
        <w:tc>
          <w:tcPr>
            <w:tcW w:w="1913" w:type="dxa"/>
            <w:tcBorders>
              <w:top w:val="nil"/>
            </w:tcBorders>
          </w:tcPr>
          <w:p w:rsidR="00000000" w:rsidRDefault="00000000">
            <w:pPr>
              <w:pStyle w:val="aa"/>
              <w:ind w:left="227"/>
              <w:rPr>
                <w:rFonts w:hint="eastAsia"/>
              </w:rPr>
            </w:pPr>
            <w:r>
              <w:rPr>
                <w:rFonts w:hint="eastAsia"/>
              </w:rPr>
              <w:t>失业人口</w:t>
            </w:r>
          </w:p>
        </w:tc>
        <w:tc>
          <w:tcPr>
            <w:tcW w:w="1914" w:type="dxa"/>
            <w:tcBorders>
              <w:top w:val="nil"/>
            </w:tcBorders>
          </w:tcPr>
          <w:p w:rsidR="00000000" w:rsidRDefault="00000000">
            <w:pPr>
              <w:pStyle w:val="aa"/>
              <w:ind w:right="567"/>
              <w:jc w:val="right"/>
              <w:rPr>
                <w:rFonts w:hint="eastAsia"/>
              </w:rPr>
            </w:pPr>
            <w:r>
              <w:rPr>
                <w:rFonts w:hint="eastAsia"/>
              </w:rPr>
              <w:t>78.0</w:t>
            </w:r>
          </w:p>
        </w:tc>
        <w:tc>
          <w:tcPr>
            <w:tcW w:w="1914" w:type="dxa"/>
            <w:tcBorders>
              <w:top w:val="nil"/>
            </w:tcBorders>
          </w:tcPr>
          <w:p w:rsidR="00000000" w:rsidRDefault="00000000">
            <w:pPr>
              <w:pStyle w:val="aa"/>
              <w:ind w:right="567"/>
              <w:jc w:val="right"/>
              <w:rPr>
                <w:rFonts w:hint="eastAsia"/>
              </w:rPr>
            </w:pPr>
            <w:r>
              <w:rPr>
                <w:rFonts w:hint="eastAsia"/>
              </w:rPr>
              <w:t>71.2</w:t>
            </w:r>
          </w:p>
        </w:tc>
        <w:tc>
          <w:tcPr>
            <w:tcW w:w="1914" w:type="dxa"/>
            <w:tcBorders>
              <w:top w:val="nil"/>
            </w:tcBorders>
          </w:tcPr>
          <w:p w:rsidR="00000000" w:rsidRDefault="00000000">
            <w:pPr>
              <w:pStyle w:val="aa"/>
              <w:ind w:right="567"/>
              <w:jc w:val="right"/>
              <w:rPr>
                <w:rFonts w:hint="eastAsia"/>
              </w:rPr>
            </w:pPr>
            <w:r>
              <w:rPr>
                <w:rFonts w:hint="eastAsia"/>
              </w:rPr>
              <w:t>65.8</w:t>
            </w:r>
          </w:p>
        </w:tc>
        <w:tc>
          <w:tcPr>
            <w:tcW w:w="1915" w:type="dxa"/>
            <w:tcBorders>
              <w:top w:val="nil"/>
            </w:tcBorders>
          </w:tcPr>
          <w:p w:rsidR="00000000" w:rsidRDefault="00000000">
            <w:pPr>
              <w:pStyle w:val="aa"/>
              <w:ind w:right="567"/>
              <w:jc w:val="right"/>
              <w:rPr>
                <w:rFonts w:hint="eastAsia"/>
              </w:rPr>
            </w:pPr>
            <w:r>
              <w:rPr>
                <w:rFonts w:hint="eastAsia"/>
              </w:rPr>
              <w:t>77.6</w:t>
            </w:r>
          </w:p>
        </w:tc>
      </w:tr>
      <w:tr w:rsidR="00000000">
        <w:tblPrEx>
          <w:tblCellMar>
            <w:top w:w="0" w:type="dxa"/>
            <w:bottom w:w="0" w:type="dxa"/>
          </w:tblCellMar>
        </w:tblPrEx>
        <w:tc>
          <w:tcPr>
            <w:tcW w:w="1913" w:type="dxa"/>
            <w:tcBorders>
              <w:bottom w:val="nil"/>
            </w:tcBorders>
          </w:tcPr>
          <w:p w:rsidR="00000000" w:rsidRDefault="00000000">
            <w:pPr>
              <w:pStyle w:val="aa"/>
              <w:rPr>
                <w:rFonts w:hint="eastAsia"/>
              </w:rPr>
            </w:pPr>
            <w:r>
              <w:rPr>
                <w:rFonts w:hint="eastAsia"/>
              </w:rPr>
              <w:t>男性</w:t>
            </w:r>
          </w:p>
        </w:tc>
        <w:tc>
          <w:tcPr>
            <w:tcW w:w="1914" w:type="dxa"/>
            <w:tcBorders>
              <w:bottom w:val="nil"/>
            </w:tcBorders>
          </w:tcPr>
          <w:p w:rsidR="00000000" w:rsidRDefault="00000000">
            <w:pPr>
              <w:pStyle w:val="aa"/>
              <w:ind w:right="567"/>
              <w:jc w:val="right"/>
              <w:rPr>
                <w:rFonts w:hint="eastAsia"/>
              </w:rPr>
            </w:pPr>
          </w:p>
        </w:tc>
        <w:tc>
          <w:tcPr>
            <w:tcW w:w="1914" w:type="dxa"/>
            <w:tcBorders>
              <w:bottom w:val="nil"/>
            </w:tcBorders>
          </w:tcPr>
          <w:p w:rsidR="00000000" w:rsidRDefault="00000000">
            <w:pPr>
              <w:pStyle w:val="aa"/>
              <w:ind w:right="567"/>
              <w:jc w:val="right"/>
              <w:rPr>
                <w:rFonts w:hint="eastAsia"/>
              </w:rPr>
            </w:pPr>
          </w:p>
        </w:tc>
        <w:tc>
          <w:tcPr>
            <w:tcW w:w="1914" w:type="dxa"/>
            <w:tcBorders>
              <w:bottom w:val="nil"/>
            </w:tcBorders>
          </w:tcPr>
          <w:p w:rsidR="00000000" w:rsidRDefault="00000000">
            <w:pPr>
              <w:pStyle w:val="aa"/>
              <w:ind w:right="567"/>
              <w:jc w:val="right"/>
              <w:rPr>
                <w:rFonts w:hint="eastAsia"/>
              </w:rPr>
            </w:pPr>
          </w:p>
        </w:tc>
        <w:tc>
          <w:tcPr>
            <w:tcW w:w="1915" w:type="dxa"/>
            <w:tcBorders>
              <w:bottom w:val="nil"/>
            </w:tcBorders>
          </w:tcPr>
          <w:p w:rsidR="00000000" w:rsidRDefault="00000000">
            <w:pPr>
              <w:pStyle w:val="aa"/>
              <w:ind w:right="567"/>
              <w:jc w:val="right"/>
              <w:rPr>
                <w:rFonts w:hint="eastAsia"/>
              </w:rPr>
            </w:pPr>
          </w:p>
        </w:tc>
      </w:tr>
      <w:tr w:rsidR="00000000">
        <w:tblPrEx>
          <w:tblCellMar>
            <w:top w:w="0" w:type="dxa"/>
            <w:bottom w:w="0" w:type="dxa"/>
          </w:tblCellMar>
        </w:tblPrEx>
        <w:tc>
          <w:tcPr>
            <w:tcW w:w="1913" w:type="dxa"/>
            <w:tcBorders>
              <w:top w:val="nil"/>
              <w:bottom w:val="nil"/>
            </w:tcBorders>
          </w:tcPr>
          <w:p w:rsidR="00000000" w:rsidRDefault="00000000">
            <w:pPr>
              <w:pStyle w:val="aa"/>
              <w:ind w:left="227"/>
              <w:rPr>
                <w:rFonts w:hint="eastAsia"/>
              </w:rPr>
            </w:pPr>
            <w:r>
              <w:rPr>
                <w:rFonts w:hint="eastAsia"/>
              </w:rPr>
              <w:t>劳动力</w:t>
            </w:r>
          </w:p>
        </w:tc>
        <w:tc>
          <w:tcPr>
            <w:tcW w:w="1914" w:type="dxa"/>
            <w:tcBorders>
              <w:top w:val="nil"/>
              <w:bottom w:val="nil"/>
            </w:tcBorders>
          </w:tcPr>
          <w:p w:rsidR="00000000" w:rsidRDefault="00000000">
            <w:pPr>
              <w:pStyle w:val="aa"/>
              <w:ind w:right="567"/>
              <w:jc w:val="right"/>
              <w:rPr>
                <w:rFonts w:hint="eastAsia"/>
              </w:rPr>
            </w:pPr>
            <w:r>
              <w:rPr>
                <w:rFonts w:hint="eastAsia"/>
              </w:rPr>
              <w:t>614.2</w:t>
            </w:r>
          </w:p>
        </w:tc>
        <w:tc>
          <w:tcPr>
            <w:tcW w:w="1914" w:type="dxa"/>
            <w:tcBorders>
              <w:top w:val="nil"/>
              <w:bottom w:val="nil"/>
            </w:tcBorders>
          </w:tcPr>
          <w:p w:rsidR="00000000" w:rsidRDefault="00000000">
            <w:pPr>
              <w:pStyle w:val="aa"/>
              <w:ind w:right="567"/>
              <w:jc w:val="right"/>
              <w:rPr>
                <w:rFonts w:hint="eastAsia"/>
              </w:rPr>
            </w:pPr>
            <w:r>
              <w:rPr>
                <w:rFonts w:hint="eastAsia"/>
              </w:rPr>
              <w:t>592.0</w:t>
            </w:r>
          </w:p>
        </w:tc>
        <w:tc>
          <w:tcPr>
            <w:tcW w:w="1914" w:type="dxa"/>
            <w:tcBorders>
              <w:top w:val="nil"/>
              <w:bottom w:val="nil"/>
            </w:tcBorders>
          </w:tcPr>
          <w:p w:rsidR="00000000" w:rsidRDefault="00000000">
            <w:pPr>
              <w:pStyle w:val="aa"/>
              <w:ind w:right="567"/>
              <w:jc w:val="right"/>
              <w:rPr>
                <w:rFonts w:hint="eastAsia"/>
              </w:rPr>
            </w:pPr>
            <w:r>
              <w:rPr>
                <w:rFonts w:hint="eastAsia"/>
              </w:rPr>
              <w:t>594.5</w:t>
            </w:r>
          </w:p>
        </w:tc>
        <w:tc>
          <w:tcPr>
            <w:tcW w:w="1915" w:type="dxa"/>
            <w:tcBorders>
              <w:top w:val="nil"/>
              <w:bottom w:val="nil"/>
            </w:tcBorders>
          </w:tcPr>
          <w:p w:rsidR="00000000" w:rsidRDefault="00000000">
            <w:pPr>
              <w:pStyle w:val="aa"/>
              <w:ind w:right="567"/>
              <w:jc w:val="right"/>
              <w:rPr>
                <w:rFonts w:hint="eastAsia"/>
              </w:rPr>
            </w:pPr>
            <w:r>
              <w:rPr>
                <w:rFonts w:hint="eastAsia"/>
              </w:rPr>
              <w:t>594.3</w:t>
            </w:r>
          </w:p>
        </w:tc>
      </w:tr>
      <w:tr w:rsidR="00000000">
        <w:tblPrEx>
          <w:tblCellMar>
            <w:top w:w="0" w:type="dxa"/>
            <w:bottom w:w="0" w:type="dxa"/>
          </w:tblCellMar>
        </w:tblPrEx>
        <w:tc>
          <w:tcPr>
            <w:tcW w:w="1913" w:type="dxa"/>
            <w:tcBorders>
              <w:top w:val="nil"/>
              <w:bottom w:val="nil"/>
            </w:tcBorders>
          </w:tcPr>
          <w:p w:rsidR="00000000" w:rsidRDefault="00000000">
            <w:pPr>
              <w:pStyle w:val="aa"/>
              <w:ind w:left="227"/>
              <w:rPr>
                <w:rFonts w:hint="eastAsia"/>
              </w:rPr>
            </w:pPr>
            <w:r>
              <w:rPr>
                <w:rFonts w:hint="eastAsia"/>
              </w:rPr>
              <w:t>就业人口</w:t>
            </w:r>
          </w:p>
        </w:tc>
        <w:tc>
          <w:tcPr>
            <w:tcW w:w="1914" w:type="dxa"/>
            <w:tcBorders>
              <w:top w:val="nil"/>
              <w:bottom w:val="nil"/>
            </w:tcBorders>
          </w:tcPr>
          <w:p w:rsidR="00000000" w:rsidRDefault="00000000">
            <w:pPr>
              <w:pStyle w:val="aa"/>
              <w:ind w:right="567"/>
              <w:jc w:val="right"/>
              <w:rPr>
                <w:rFonts w:hint="eastAsia"/>
              </w:rPr>
            </w:pPr>
            <w:r>
              <w:rPr>
                <w:rFonts w:hint="eastAsia"/>
              </w:rPr>
              <w:t>581.2</w:t>
            </w:r>
          </w:p>
        </w:tc>
        <w:tc>
          <w:tcPr>
            <w:tcW w:w="1914" w:type="dxa"/>
            <w:tcBorders>
              <w:top w:val="nil"/>
              <w:bottom w:val="nil"/>
            </w:tcBorders>
          </w:tcPr>
          <w:p w:rsidR="00000000" w:rsidRDefault="00000000">
            <w:pPr>
              <w:pStyle w:val="aa"/>
              <w:ind w:right="567"/>
              <w:jc w:val="right"/>
              <w:rPr>
                <w:rFonts w:hint="eastAsia"/>
              </w:rPr>
            </w:pPr>
            <w:r>
              <w:rPr>
                <w:rFonts w:hint="eastAsia"/>
              </w:rPr>
              <w:t>564.5</w:t>
            </w:r>
          </w:p>
        </w:tc>
        <w:tc>
          <w:tcPr>
            <w:tcW w:w="1914" w:type="dxa"/>
            <w:tcBorders>
              <w:top w:val="nil"/>
              <w:bottom w:val="nil"/>
            </w:tcBorders>
          </w:tcPr>
          <w:p w:rsidR="00000000" w:rsidRDefault="00000000">
            <w:pPr>
              <w:pStyle w:val="aa"/>
              <w:ind w:right="567"/>
              <w:jc w:val="right"/>
              <w:rPr>
                <w:rFonts w:hint="eastAsia"/>
              </w:rPr>
            </w:pPr>
            <w:r>
              <w:rPr>
                <w:rFonts w:hint="eastAsia"/>
              </w:rPr>
              <w:t>569.1</w:t>
            </w:r>
          </w:p>
        </w:tc>
        <w:tc>
          <w:tcPr>
            <w:tcW w:w="1915" w:type="dxa"/>
            <w:tcBorders>
              <w:top w:val="nil"/>
              <w:bottom w:val="nil"/>
            </w:tcBorders>
          </w:tcPr>
          <w:p w:rsidR="00000000" w:rsidRDefault="00000000">
            <w:pPr>
              <w:pStyle w:val="aa"/>
              <w:ind w:right="567"/>
              <w:jc w:val="right"/>
              <w:rPr>
                <w:rFonts w:hint="eastAsia"/>
              </w:rPr>
            </w:pPr>
            <w:r>
              <w:rPr>
                <w:rFonts w:hint="eastAsia"/>
              </w:rPr>
              <w:t>562.1</w:t>
            </w:r>
          </w:p>
        </w:tc>
      </w:tr>
      <w:tr w:rsidR="00000000">
        <w:tblPrEx>
          <w:tblCellMar>
            <w:top w:w="0" w:type="dxa"/>
            <w:bottom w:w="0" w:type="dxa"/>
          </w:tblCellMar>
        </w:tblPrEx>
        <w:tc>
          <w:tcPr>
            <w:tcW w:w="1913" w:type="dxa"/>
            <w:tcBorders>
              <w:top w:val="nil"/>
              <w:bottom w:val="single" w:sz="4" w:space="0" w:color="auto"/>
            </w:tcBorders>
          </w:tcPr>
          <w:p w:rsidR="00000000" w:rsidRDefault="00000000">
            <w:pPr>
              <w:pStyle w:val="aa"/>
              <w:ind w:left="227"/>
              <w:rPr>
                <w:rFonts w:hint="eastAsia"/>
              </w:rPr>
            </w:pPr>
            <w:r>
              <w:rPr>
                <w:rFonts w:hint="eastAsia"/>
              </w:rPr>
              <w:t>失业人口</w:t>
            </w:r>
          </w:p>
        </w:tc>
        <w:tc>
          <w:tcPr>
            <w:tcW w:w="1914" w:type="dxa"/>
            <w:tcBorders>
              <w:top w:val="nil"/>
              <w:bottom w:val="single" w:sz="4" w:space="0" w:color="auto"/>
            </w:tcBorders>
          </w:tcPr>
          <w:p w:rsidR="00000000" w:rsidRDefault="00000000">
            <w:pPr>
              <w:pStyle w:val="aa"/>
              <w:ind w:right="567"/>
              <w:jc w:val="right"/>
              <w:rPr>
                <w:rFonts w:hint="eastAsia"/>
              </w:rPr>
            </w:pPr>
            <w:r>
              <w:rPr>
                <w:rFonts w:hint="eastAsia"/>
              </w:rPr>
              <w:t>33.0</w:t>
            </w:r>
          </w:p>
        </w:tc>
        <w:tc>
          <w:tcPr>
            <w:tcW w:w="1914" w:type="dxa"/>
            <w:tcBorders>
              <w:top w:val="nil"/>
              <w:bottom w:val="single" w:sz="4" w:space="0" w:color="auto"/>
            </w:tcBorders>
          </w:tcPr>
          <w:p w:rsidR="00000000" w:rsidRDefault="00000000">
            <w:pPr>
              <w:pStyle w:val="aa"/>
              <w:ind w:right="567"/>
              <w:jc w:val="right"/>
              <w:rPr>
                <w:rFonts w:hint="eastAsia"/>
              </w:rPr>
            </w:pPr>
            <w:r>
              <w:rPr>
                <w:rFonts w:hint="eastAsia"/>
              </w:rPr>
              <w:t>27.5</w:t>
            </w:r>
          </w:p>
        </w:tc>
        <w:tc>
          <w:tcPr>
            <w:tcW w:w="1914" w:type="dxa"/>
            <w:tcBorders>
              <w:top w:val="nil"/>
              <w:bottom w:val="single" w:sz="4" w:space="0" w:color="auto"/>
            </w:tcBorders>
          </w:tcPr>
          <w:p w:rsidR="00000000" w:rsidRDefault="00000000">
            <w:pPr>
              <w:pStyle w:val="aa"/>
              <w:ind w:right="567"/>
              <w:jc w:val="right"/>
              <w:rPr>
                <w:rFonts w:hint="eastAsia"/>
              </w:rPr>
            </w:pPr>
            <w:r>
              <w:rPr>
                <w:rFonts w:hint="eastAsia"/>
              </w:rPr>
              <w:t>25.4</w:t>
            </w:r>
          </w:p>
        </w:tc>
        <w:tc>
          <w:tcPr>
            <w:tcW w:w="1915" w:type="dxa"/>
            <w:tcBorders>
              <w:top w:val="nil"/>
              <w:bottom w:val="single" w:sz="4" w:space="0" w:color="auto"/>
            </w:tcBorders>
          </w:tcPr>
          <w:p w:rsidR="00000000" w:rsidRDefault="00000000">
            <w:pPr>
              <w:pStyle w:val="aa"/>
              <w:ind w:right="567"/>
              <w:jc w:val="right"/>
              <w:rPr>
                <w:rFonts w:hint="eastAsia"/>
              </w:rPr>
            </w:pPr>
            <w:r>
              <w:rPr>
                <w:rFonts w:hint="eastAsia"/>
              </w:rPr>
              <w:t>32.2</w:t>
            </w:r>
          </w:p>
        </w:tc>
      </w:tr>
      <w:tr w:rsidR="00000000">
        <w:tblPrEx>
          <w:tblCellMar>
            <w:top w:w="0" w:type="dxa"/>
            <w:bottom w:w="0" w:type="dxa"/>
          </w:tblCellMar>
        </w:tblPrEx>
        <w:tc>
          <w:tcPr>
            <w:tcW w:w="1913" w:type="dxa"/>
            <w:tcBorders>
              <w:bottom w:val="nil"/>
            </w:tcBorders>
          </w:tcPr>
          <w:p w:rsidR="00000000" w:rsidRDefault="00000000">
            <w:pPr>
              <w:pStyle w:val="aa"/>
              <w:rPr>
                <w:rFonts w:hint="eastAsia"/>
              </w:rPr>
            </w:pPr>
            <w:r>
              <w:rPr>
                <w:rFonts w:hint="eastAsia"/>
              </w:rPr>
              <w:t>女性</w:t>
            </w:r>
          </w:p>
        </w:tc>
        <w:tc>
          <w:tcPr>
            <w:tcW w:w="1914" w:type="dxa"/>
            <w:tcBorders>
              <w:bottom w:val="nil"/>
            </w:tcBorders>
          </w:tcPr>
          <w:p w:rsidR="00000000" w:rsidRDefault="00000000">
            <w:pPr>
              <w:pStyle w:val="aa"/>
              <w:ind w:right="567"/>
              <w:jc w:val="right"/>
              <w:rPr>
                <w:rFonts w:hint="eastAsia"/>
              </w:rPr>
            </w:pPr>
          </w:p>
        </w:tc>
        <w:tc>
          <w:tcPr>
            <w:tcW w:w="1914" w:type="dxa"/>
            <w:tcBorders>
              <w:bottom w:val="nil"/>
            </w:tcBorders>
          </w:tcPr>
          <w:p w:rsidR="00000000" w:rsidRDefault="00000000">
            <w:pPr>
              <w:pStyle w:val="aa"/>
              <w:ind w:right="567"/>
              <w:jc w:val="right"/>
              <w:rPr>
                <w:rFonts w:hint="eastAsia"/>
              </w:rPr>
            </w:pPr>
          </w:p>
        </w:tc>
        <w:tc>
          <w:tcPr>
            <w:tcW w:w="1914" w:type="dxa"/>
            <w:tcBorders>
              <w:bottom w:val="nil"/>
            </w:tcBorders>
          </w:tcPr>
          <w:p w:rsidR="00000000" w:rsidRDefault="00000000">
            <w:pPr>
              <w:pStyle w:val="aa"/>
              <w:ind w:right="567"/>
              <w:jc w:val="right"/>
              <w:rPr>
                <w:rFonts w:hint="eastAsia"/>
              </w:rPr>
            </w:pPr>
          </w:p>
        </w:tc>
        <w:tc>
          <w:tcPr>
            <w:tcW w:w="1915" w:type="dxa"/>
            <w:tcBorders>
              <w:bottom w:val="nil"/>
            </w:tcBorders>
          </w:tcPr>
          <w:p w:rsidR="00000000" w:rsidRDefault="00000000">
            <w:pPr>
              <w:pStyle w:val="aa"/>
              <w:ind w:right="567"/>
              <w:jc w:val="right"/>
              <w:rPr>
                <w:rFonts w:hint="eastAsia"/>
              </w:rPr>
            </w:pPr>
          </w:p>
        </w:tc>
      </w:tr>
      <w:tr w:rsidR="00000000">
        <w:tblPrEx>
          <w:tblCellMar>
            <w:top w:w="0" w:type="dxa"/>
            <w:bottom w:w="0" w:type="dxa"/>
          </w:tblCellMar>
        </w:tblPrEx>
        <w:tc>
          <w:tcPr>
            <w:tcW w:w="1913" w:type="dxa"/>
            <w:tcBorders>
              <w:top w:val="nil"/>
              <w:bottom w:val="nil"/>
            </w:tcBorders>
          </w:tcPr>
          <w:p w:rsidR="00000000" w:rsidRDefault="00000000">
            <w:pPr>
              <w:pStyle w:val="aa"/>
              <w:ind w:left="170"/>
              <w:rPr>
                <w:rFonts w:hint="eastAsia"/>
              </w:rPr>
            </w:pPr>
            <w:r>
              <w:rPr>
                <w:rFonts w:hint="eastAsia"/>
              </w:rPr>
              <w:t>劳动力</w:t>
            </w:r>
          </w:p>
        </w:tc>
        <w:tc>
          <w:tcPr>
            <w:tcW w:w="1914" w:type="dxa"/>
            <w:tcBorders>
              <w:top w:val="nil"/>
              <w:bottom w:val="nil"/>
            </w:tcBorders>
          </w:tcPr>
          <w:p w:rsidR="00000000" w:rsidRDefault="00000000">
            <w:pPr>
              <w:pStyle w:val="aa"/>
              <w:ind w:right="567"/>
              <w:jc w:val="right"/>
              <w:rPr>
                <w:rFonts w:hint="eastAsia"/>
              </w:rPr>
            </w:pPr>
            <w:r>
              <w:rPr>
                <w:rFonts w:hint="eastAsia"/>
              </w:rPr>
              <w:t>392.7</w:t>
            </w:r>
          </w:p>
        </w:tc>
        <w:tc>
          <w:tcPr>
            <w:tcW w:w="1914" w:type="dxa"/>
            <w:tcBorders>
              <w:top w:val="nil"/>
              <w:bottom w:val="nil"/>
            </w:tcBorders>
          </w:tcPr>
          <w:p w:rsidR="00000000" w:rsidRDefault="00000000">
            <w:pPr>
              <w:pStyle w:val="aa"/>
              <w:ind w:right="567"/>
              <w:jc w:val="right"/>
              <w:rPr>
                <w:rFonts w:hint="eastAsia"/>
              </w:rPr>
            </w:pPr>
            <w:r>
              <w:rPr>
                <w:rFonts w:hint="eastAsia"/>
              </w:rPr>
              <w:t>382.3</w:t>
            </w:r>
          </w:p>
        </w:tc>
        <w:tc>
          <w:tcPr>
            <w:tcW w:w="1914" w:type="dxa"/>
            <w:tcBorders>
              <w:top w:val="nil"/>
              <w:bottom w:val="nil"/>
            </w:tcBorders>
          </w:tcPr>
          <w:p w:rsidR="00000000" w:rsidRDefault="00000000">
            <w:pPr>
              <w:pStyle w:val="aa"/>
              <w:ind w:right="567"/>
              <w:jc w:val="right"/>
              <w:rPr>
                <w:rFonts w:hint="eastAsia"/>
              </w:rPr>
            </w:pPr>
            <w:r>
              <w:rPr>
                <w:rFonts w:hint="eastAsia"/>
              </w:rPr>
              <w:t>383.7</w:t>
            </w:r>
          </w:p>
        </w:tc>
        <w:tc>
          <w:tcPr>
            <w:tcW w:w="1915" w:type="dxa"/>
            <w:tcBorders>
              <w:top w:val="nil"/>
              <w:bottom w:val="nil"/>
            </w:tcBorders>
          </w:tcPr>
          <w:p w:rsidR="00000000" w:rsidRDefault="00000000">
            <w:pPr>
              <w:pStyle w:val="aa"/>
              <w:ind w:right="567"/>
              <w:jc w:val="right"/>
              <w:rPr>
                <w:rFonts w:hint="eastAsia"/>
              </w:rPr>
            </w:pPr>
            <w:r>
              <w:rPr>
                <w:rFonts w:hint="eastAsia"/>
              </w:rPr>
              <w:t>3</w:t>
            </w:r>
            <w:r>
              <w:t>,</w:t>
            </w:r>
            <w:r>
              <w:rPr>
                <w:rFonts w:hint="eastAsia"/>
              </w:rPr>
              <w:t>379.4</w:t>
            </w:r>
          </w:p>
        </w:tc>
      </w:tr>
      <w:tr w:rsidR="00000000">
        <w:tblPrEx>
          <w:tblCellMar>
            <w:top w:w="0" w:type="dxa"/>
            <w:bottom w:w="0" w:type="dxa"/>
          </w:tblCellMar>
        </w:tblPrEx>
        <w:tc>
          <w:tcPr>
            <w:tcW w:w="1913" w:type="dxa"/>
            <w:tcBorders>
              <w:top w:val="nil"/>
              <w:bottom w:val="nil"/>
            </w:tcBorders>
          </w:tcPr>
          <w:p w:rsidR="00000000" w:rsidRDefault="00000000">
            <w:pPr>
              <w:pStyle w:val="aa"/>
              <w:ind w:left="170"/>
              <w:rPr>
                <w:rFonts w:hint="eastAsia"/>
              </w:rPr>
            </w:pPr>
            <w:r>
              <w:rPr>
                <w:rFonts w:hint="eastAsia"/>
              </w:rPr>
              <w:t>就业人口</w:t>
            </w:r>
          </w:p>
        </w:tc>
        <w:tc>
          <w:tcPr>
            <w:tcW w:w="1914" w:type="dxa"/>
            <w:tcBorders>
              <w:top w:val="nil"/>
              <w:bottom w:val="nil"/>
            </w:tcBorders>
          </w:tcPr>
          <w:p w:rsidR="00000000" w:rsidRDefault="00000000">
            <w:pPr>
              <w:pStyle w:val="aa"/>
              <w:ind w:right="567"/>
              <w:jc w:val="right"/>
              <w:rPr>
                <w:rFonts w:hint="eastAsia"/>
              </w:rPr>
            </w:pPr>
            <w:r>
              <w:rPr>
                <w:rFonts w:hint="eastAsia"/>
              </w:rPr>
              <w:t>347.7</w:t>
            </w:r>
          </w:p>
        </w:tc>
        <w:tc>
          <w:tcPr>
            <w:tcW w:w="1914" w:type="dxa"/>
            <w:tcBorders>
              <w:top w:val="nil"/>
              <w:bottom w:val="nil"/>
            </w:tcBorders>
          </w:tcPr>
          <w:p w:rsidR="00000000" w:rsidRDefault="00000000">
            <w:pPr>
              <w:pStyle w:val="aa"/>
              <w:ind w:right="567"/>
              <w:jc w:val="right"/>
              <w:rPr>
                <w:rFonts w:hint="eastAsia"/>
              </w:rPr>
            </w:pPr>
            <w:r>
              <w:rPr>
                <w:rFonts w:hint="eastAsia"/>
              </w:rPr>
              <w:t>338.6</w:t>
            </w:r>
          </w:p>
        </w:tc>
        <w:tc>
          <w:tcPr>
            <w:tcW w:w="1914" w:type="dxa"/>
            <w:tcBorders>
              <w:top w:val="nil"/>
              <w:bottom w:val="nil"/>
            </w:tcBorders>
          </w:tcPr>
          <w:p w:rsidR="00000000" w:rsidRDefault="00000000">
            <w:pPr>
              <w:pStyle w:val="aa"/>
              <w:ind w:right="567"/>
              <w:jc w:val="right"/>
              <w:rPr>
                <w:rFonts w:hint="eastAsia"/>
              </w:rPr>
            </w:pPr>
            <w:r>
              <w:rPr>
                <w:rFonts w:hint="eastAsia"/>
              </w:rPr>
              <w:t>343.3</w:t>
            </w:r>
          </w:p>
        </w:tc>
        <w:tc>
          <w:tcPr>
            <w:tcW w:w="1915" w:type="dxa"/>
            <w:tcBorders>
              <w:top w:val="nil"/>
              <w:bottom w:val="nil"/>
            </w:tcBorders>
          </w:tcPr>
          <w:p w:rsidR="00000000" w:rsidRDefault="00000000">
            <w:pPr>
              <w:pStyle w:val="aa"/>
              <w:ind w:right="567"/>
              <w:jc w:val="right"/>
              <w:rPr>
                <w:rFonts w:hint="eastAsia"/>
              </w:rPr>
            </w:pPr>
            <w:r>
              <w:rPr>
                <w:rFonts w:hint="eastAsia"/>
              </w:rPr>
              <w:t>334.0</w:t>
            </w:r>
          </w:p>
        </w:tc>
      </w:tr>
      <w:tr w:rsidR="00000000">
        <w:tblPrEx>
          <w:tblCellMar>
            <w:top w:w="0" w:type="dxa"/>
            <w:bottom w:w="0" w:type="dxa"/>
          </w:tblCellMar>
        </w:tblPrEx>
        <w:tc>
          <w:tcPr>
            <w:tcW w:w="1913" w:type="dxa"/>
            <w:tcBorders>
              <w:top w:val="nil"/>
            </w:tcBorders>
          </w:tcPr>
          <w:p w:rsidR="00000000" w:rsidRDefault="00000000">
            <w:pPr>
              <w:pStyle w:val="aa"/>
              <w:ind w:left="170"/>
              <w:rPr>
                <w:rFonts w:hint="eastAsia"/>
              </w:rPr>
            </w:pPr>
            <w:r>
              <w:rPr>
                <w:rFonts w:hint="eastAsia"/>
              </w:rPr>
              <w:t>失业人口</w:t>
            </w:r>
          </w:p>
        </w:tc>
        <w:tc>
          <w:tcPr>
            <w:tcW w:w="1914" w:type="dxa"/>
            <w:tcBorders>
              <w:top w:val="nil"/>
            </w:tcBorders>
          </w:tcPr>
          <w:p w:rsidR="00000000" w:rsidRDefault="00000000">
            <w:pPr>
              <w:pStyle w:val="aa"/>
              <w:ind w:right="567"/>
              <w:jc w:val="right"/>
              <w:rPr>
                <w:rFonts w:hint="eastAsia"/>
              </w:rPr>
            </w:pPr>
            <w:r>
              <w:rPr>
                <w:rFonts w:hint="eastAsia"/>
              </w:rPr>
              <w:t>45.0</w:t>
            </w:r>
          </w:p>
        </w:tc>
        <w:tc>
          <w:tcPr>
            <w:tcW w:w="1914" w:type="dxa"/>
            <w:tcBorders>
              <w:top w:val="nil"/>
            </w:tcBorders>
          </w:tcPr>
          <w:p w:rsidR="00000000" w:rsidRDefault="00000000">
            <w:pPr>
              <w:pStyle w:val="aa"/>
              <w:ind w:right="567"/>
              <w:jc w:val="right"/>
              <w:rPr>
                <w:rFonts w:hint="eastAsia"/>
              </w:rPr>
            </w:pPr>
            <w:r>
              <w:rPr>
                <w:rFonts w:hint="eastAsia"/>
              </w:rPr>
              <w:t>43.7</w:t>
            </w:r>
          </w:p>
        </w:tc>
        <w:tc>
          <w:tcPr>
            <w:tcW w:w="1914" w:type="dxa"/>
            <w:tcBorders>
              <w:top w:val="nil"/>
            </w:tcBorders>
          </w:tcPr>
          <w:p w:rsidR="00000000" w:rsidRDefault="00000000">
            <w:pPr>
              <w:pStyle w:val="aa"/>
              <w:ind w:right="567"/>
              <w:jc w:val="right"/>
              <w:rPr>
                <w:rFonts w:hint="eastAsia"/>
              </w:rPr>
            </w:pPr>
            <w:r>
              <w:rPr>
                <w:rFonts w:hint="eastAsia"/>
              </w:rPr>
              <w:t>40.4</w:t>
            </w:r>
          </w:p>
        </w:tc>
        <w:tc>
          <w:tcPr>
            <w:tcW w:w="1915" w:type="dxa"/>
            <w:tcBorders>
              <w:top w:val="nil"/>
            </w:tcBorders>
          </w:tcPr>
          <w:p w:rsidR="00000000" w:rsidRDefault="00000000">
            <w:pPr>
              <w:pStyle w:val="aa"/>
              <w:ind w:right="567"/>
              <w:jc w:val="right"/>
              <w:rPr>
                <w:rFonts w:hint="eastAsia"/>
              </w:rPr>
            </w:pPr>
            <w:r>
              <w:rPr>
                <w:rFonts w:hint="eastAsia"/>
              </w:rPr>
              <w:t>45.4</w:t>
            </w:r>
          </w:p>
        </w:tc>
      </w:tr>
    </w:tbl>
    <w:p w:rsidR="00000000" w:rsidRDefault="00000000">
      <w:pPr>
        <w:rPr>
          <w:rFonts w:hint="eastAsia"/>
        </w:rPr>
      </w:pPr>
    </w:p>
    <w:p w:rsidR="00000000" w:rsidRDefault="00000000">
      <w:pPr>
        <w:pStyle w:val="Heading3"/>
        <w:rPr>
          <w:rFonts w:hint="eastAsia"/>
        </w:rPr>
      </w:pPr>
      <w:r>
        <w:rPr>
          <w:rFonts w:hint="eastAsia"/>
          <w:u w:val="none"/>
        </w:rPr>
        <w:t xml:space="preserve">B.  </w:t>
      </w:r>
      <w:r>
        <w:rPr>
          <w:rFonts w:hint="eastAsia"/>
        </w:rPr>
        <w:t>按经济活动和性别排列的</w:t>
      </w:r>
      <w:r>
        <w:rPr>
          <w:rFonts w:hint="eastAsia"/>
        </w:rPr>
        <w:t>1998</w:t>
      </w:r>
      <w:r>
        <w:rPr>
          <w:rFonts w:hint="eastAsia"/>
        </w:rPr>
        <w:t>年和</w:t>
      </w:r>
      <w:r>
        <w:rPr>
          <w:rFonts w:hint="eastAsia"/>
        </w:rPr>
        <w:t>1999</w:t>
      </w:r>
      <w:r>
        <w:rPr>
          <w:rFonts w:hint="eastAsia"/>
        </w:rPr>
        <w:t>年在农业、</w:t>
      </w:r>
      <w:r>
        <w:br/>
      </w:r>
      <w:r>
        <w:rPr>
          <w:rFonts w:hint="eastAsia"/>
        </w:rPr>
        <w:t>畜牧业和渔业部门工作的</w:t>
      </w:r>
      <w:r>
        <w:rPr>
          <w:rFonts w:hint="eastAsia"/>
        </w:rPr>
        <w:t>15</w:t>
      </w:r>
      <w:r>
        <w:rPr>
          <w:rFonts w:hint="eastAsia"/>
        </w:rPr>
        <w:t>岁以上的就业人口</w:t>
      </w:r>
    </w:p>
    <w:p w:rsidR="00000000" w:rsidRDefault="00000000">
      <w:pPr>
        <w:rPr>
          <w:rFonts w:hint="eastAsia"/>
        </w:rPr>
      </w:pPr>
      <w:r>
        <w:rPr>
          <w:rFonts w:hint="eastAsia"/>
          <w:u w:val="single"/>
        </w:rPr>
        <w:t>1998</w:t>
      </w:r>
      <w:r>
        <w:rPr>
          <w:rFonts w:hint="eastAsia"/>
          <w:u w:val="single"/>
        </w:rPr>
        <w:t>年</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u w:val="single"/>
        </w:rPr>
        <w:t>单位：</w:t>
      </w:r>
      <w:r>
        <w:rPr>
          <w:rFonts w:hint="eastAsia"/>
          <w:u w:val="single"/>
        </w:rPr>
        <w:t>(</w:t>
      </w:r>
      <w:r>
        <w:rPr>
          <w:rFonts w:hint="eastAsia"/>
          <w:u w:val="single"/>
        </w:rPr>
        <w:t>千</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pStyle w:val="aa"/>
              <w:jc w:val="center"/>
              <w:rPr>
                <w:rFonts w:hint="eastAsia"/>
              </w:rPr>
            </w:pPr>
          </w:p>
        </w:tc>
        <w:tc>
          <w:tcPr>
            <w:tcW w:w="1914" w:type="dxa"/>
          </w:tcPr>
          <w:p w:rsidR="00000000" w:rsidRDefault="00000000">
            <w:pPr>
              <w:pStyle w:val="aa"/>
              <w:jc w:val="center"/>
              <w:rPr>
                <w:rFonts w:hint="eastAsia"/>
              </w:rPr>
            </w:pPr>
            <w:r>
              <w:rPr>
                <w:rFonts w:hint="eastAsia"/>
              </w:rPr>
              <w:t>第一季度</w:t>
            </w:r>
          </w:p>
        </w:tc>
        <w:tc>
          <w:tcPr>
            <w:tcW w:w="1914" w:type="dxa"/>
          </w:tcPr>
          <w:p w:rsidR="00000000" w:rsidRDefault="00000000">
            <w:pPr>
              <w:pStyle w:val="aa"/>
              <w:jc w:val="center"/>
              <w:rPr>
                <w:rFonts w:hint="eastAsia"/>
              </w:rPr>
            </w:pPr>
            <w:r>
              <w:rPr>
                <w:rFonts w:hint="eastAsia"/>
              </w:rPr>
              <w:t>第二季度</w:t>
            </w:r>
          </w:p>
        </w:tc>
        <w:tc>
          <w:tcPr>
            <w:tcW w:w="1914" w:type="dxa"/>
          </w:tcPr>
          <w:p w:rsidR="00000000" w:rsidRDefault="00000000">
            <w:pPr>
              <w:pStyle w:val="aa"/>
              <w:jc w:val="center"/>
              <w:rPr>
                <w:rFonts w:hint="eastAsia"/>
              </w:rPr>
            </w:pPr>
            <w:r>
              <w:rPr>
                <w:rFonts w:hint="eastAsia"/>
              </w:rPr>
              <w:t>第三季度</w:t>
            </w:r>
          </w:p>
        </w:tc>
        <w:tc>
          <w:tcPr>
            <w:tcW w:w="1915" w:type="dxa"/>
          </w:tcPr>
          <w:p w:rsidR="00000000" w:rsidRDefault="00000000">
            <w:pPr>
              <w:pStyle w:val="aa"/>
              <w:jc w:val="center"/>
              <w:rPr>
                <w:rFonts w:hint="eastAsia"/>
              </w:rPr>
            </w:pPr>
            <w:r>
              <w:rPr>
                <w:rFonts w:hint="eastAsia"/>
              </w:rPr>
              <w:t>第四季度</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男女共计</w:t>
            </w:r>
          </w:p>
        </w:tc>
        <w:tc>
          <w:tcPr>
            <w:tcW w:w="1914" w:type="dxa"/>
          </w:tcPr>
          <w:p w:rsidR="00000000" w:rsidRDefault="00000000">
            <w:pPr>
              <w:pStyle w:val="aa"/>
              <w:ind w:right="567"/>
              <w:jc w:val="right"/>
              <w:rPr>
                <w:rFonts w:hint="eastAsia"/>
              </w:rPr>
            </w:pPr>
            <w:r>
              <w:rPr>
                <w:rFonts w:hint="eastAsia"/>
              </w:rPr>
              <w:t>713.0</w:t>
            </w:r>
          </w:p>
        </w:tc>
        <w:tc>
          <w:tcPr>
            <w:tcW w:w="1914" w:type="dxa"/>
          </w:tcPr>
          <w:p w:rsidR="00000000" w:rsidRDefault="00000000">
            <w:pPr>
              <w:pStyle w:val="aa"/>
              <w:ind w:right="567"/>
              <w:jc w:val="right"/>
              <w:rPr>
                <w:rFonts w:hint="eastAsia"/>
              </w:rPr>
            </w:pPr>
            <w:r>
              <w:rPr>
                <w:rFonts w:hint="eastAsia"/>
              </w:rPr>
              <w:t>704.2</w:t>
            </w:r>
          </w:p>
        </w:tc>
        <w:tc>
          <w:tcPr>
            <w:tcW w:w="1914" w:type="dxa"/>
          </w:tcPr>
          <w:p w:rsidR="00000000" w:rsidRDefault="00000000">
            <w:pPr>
              <w:pStyle w:val="aa"/>
              <w:ind w:right="567"/>
              <w:jc w:val="right"/>
              <w:rPr>
                <w:rFonts w:hint="eastAsia"/>
              </w:rPr>
            </w:pPr>
            <w:r>
              <w:rPr>
                <w:rFonts w:hint="eastAsia"/>
              </w:rPr>
              <w:t>701.2</w:t>
            </w:r>
          </w:p>
        </w:tc>
        <w:tc>
          <w:tcPr>
            <w:tcW w:w="1915" w:type="dxa"/>
          </w:tcPr>
          <w:p w:rsidR="00000000" w:rsidRDefault="00000000">
            <w:pPr>
              <w:pStyle w:val="aa"/>
              <w:ind w:right="567"/>
              <w:jc w:val="right"/>
              <w:rPr>
                <w:rFonts w:hint="eastAsia"/>
              </w:rPr>
            </w:pPr>
            <w:r>
              <w:rPr>
                <w:rFonts w:hint="eastAsia"/>
              </w:rPr>
              <w:t>699.7</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男性</w:t>
            </w:r>
          </w:p>
        </w:tc>
        <w:tc>
          <w:tcPr>
            <w:tcW w:w="1914" w:type="dxa"/>
          </w:tcPr>
          <w:p w:rsidR="00000000" w:rsidRDefault="00000000">
            <w:pPr>
              <w:pStyle w:val="aa"/>
              <w:ind w:right="567"/>
              <w:jc w:val="right"/>
              <w:rPr>
                <w:rFonts w:hint="eastAsia"/>
              </w:rPr>
            </w:pPr>
            <w:r>
              <w:rPr>
                <w:rFonts w:hint="eastAsia"/>
              </w:rPr>
              <w:t>414.7</w:t>
            </w:r>
          </w:p>
        </w:tc>
        <w:tc>
          <w:tcPr>
            <w:tcW w:w="1914" w:type="dxa"/>
          </w:tcPr>
          <w:p w:rsidR="00000000" w:rsidRDefault="00000000">
            <w:pPr>
              <w:pStyle w:val="aa"/>
              <w:ind w:right="567"/>
              <w:jc w:val="right"/>
              <w:rPr>
                <w:rFonts w:hint="eastAsia"/>
              </w:rPr>
            </w:pPr>
            <w:r>
              <w:rPr>
                <w:rFonts w:hint="eastAsia"/>
              </w:rPr>
              <w:t>406.9</w:t>
            </w:r>
          </w:p>
        </w:tc>
        <w:tc>
          <w:tcPr>
            <w:tcW w:w="1914" w:type="dxa"/>
          </w:tcPr>
          <w:p w:rsidR="00000000" w:rsidRDefault="00000000">
            <w:pPr>
              <w:pStyle w:val="aa"/>
              <w:ind w:right="567"/>
              <w:jc w:val="right"/>
              <w:rPr>
                <w:rFonts w:hint="eastAsia"/>
              </w:rPr>
            </w:pPr>
            <w:r>
              <w:rPr>
                <w:rFonts w:hint="eastAsia"/>
              </w:rPr>
              <w:t>405.7</w:t>
            </w:r>
          </w:p>
        </w:tc>
        <w:tc>
          <w:tcPr>
            <w:tcW w:w="1915" w:type="dxa"/>
          </w:tcPr>
          <w:p w:rsidR="00000000" w:rsidRDefault="00000000">
            <w:pPr>
              <w:pStyle w:val="aa"/>
              <w:ind w:right="567"/>
              <w:jc w:val="right"/>
              <w:rPr>
                <w:rFonts w:hint="eastAsia"/>
              </w:rPr>
            </w:pPr>
            <w:r>
              <w:rPr>
                <w:rFonts w:hint="eastAsia"/>
              </w:rPr>
              <w:t>403.0</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女性</w:t>
            </w:r>
          </w:p>
        </w:tc>
        <w:tc>
          <w:tcPr>
            <w:tcW w:w="1914" w:type="dxa"/>
          </w:tcPr>
          <w:p w:rsidR="00000000" w:rsidRDefault="00000000">
            <w:pPr>
              <w:pStyle w:val="aa"/>
              <w:ind w:right="567"/>
              <w:jc w:val="right"/>
              <w:rPr>
                <w:rFonts w:hint="eastAsia"/>
              </w:rPr>
            </w:pPr>
            <w:r>
              <w:rPr>
                <w:rFonts w:hint="eastAsia"/>
              </w:rPr>
              <w:t>298.3</w:t>
            </w:r>
          </w:p>
        </w:tc>
        <w:tc>
          <w:tcPr>
            <w:tcW w:w="1914" w:type="dxa"/>
          </w:tcPr>
          <w:p w:rsidR="00000000" w:rsidRDefault="00000000">
            <w:pPr>
              <w:pStyle w:val="aa"/>
              <w:ind w:right="567"/>
              <w:jc w:val="right"/>
              <w:rPr>
                <w:rFonts w:hint="eastAsia"/>
              </w:rPr>
            </w:pPr>
            <w:r>
              <w:rPr>
                <w:rFonts w:hint="eastAsia"/>
              </w:rPr>
              <w:t>297.3</w:t>
            </w:r>
          </w:p>
        </w:tc>
        <w:tc>
          <w:tcPr>
            <w:tcW w:w="1914" w:type="dxa"/>
          </w:tcPr>
          <w:p w:rsidR="00000000" w:rsidRDefault="00000000">
            <w:pPr>
              <w:pStyle w:val="aa"/>
              <w:ind w:right="567"/>
              <w:jc w:val="right"/>
              <w:rPr>
                <w:rFonts w:hint="eastAsia"/>
              </w:rPr>
            </w:pPr>
            <w:r>
              <w:rPr>
                <w:rFonts w:hint="eastAsia"/>
              </w:rPr>
              <w:t>295.5</w:t>
            </w:r>
          </w:p>
        </w:tc>
        <w:tc>
          <w:tcPr>
            <w:tcW w:w="1915" w:type="dxa"/>
          </w:tcPr>
          <w:p w:rsidR="00000000" w:rsidRDefault="00000000">
            <w:pPr>
              <w:pStyle w:val="aa"/>
              <w:ind w:right="567"/>
              <w:jc w:val="right"/>
              <w:rPr>
                <w:rFonts w:hint="eastAsia"/>
              </w:rPr>
            </w:pPr>
            <w:r>
              <w:rPr>
                <w:rFonts w:hint="eastAsia"/>
              </w:rPr>
              <w:t>296.6</w:t>
            </w:r>
          </w:p>
        </w:tc>
      </w:tr>
    </w:tbl>
    <w:p w:rsidR="00000000" w:rsidRDefault="00000000">
      <w:pPr>
        <w:rPr>
          <w:rFonts w:hint="eastAsia"/>
        </w:rPr>
      </w:pPr>
    </w:p>
    <w:p w:rsidR="00000000" w:rsidRDefault="00000000">
      <w:pPr>
        <w:rPr>
          <w:rFonts w:hint="eastAsia"/>
        </w:rPr>
      </w:pPr>
      <w:r>
        <w:rPr>
          <w:rFonts w:hint="eastAsia"/>
          <w:u w:val="single"/>
        </w:rPr>
        <w:t>1999</w:t>
      </w:r>
      <w:r>
        <w:rPr>
          <w:rFonts w:hint="eastAsia"/>
          <w:u w:val="single"/>
        </w:rPr>
        <w:t>年</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u w:val="single"/>
        </w:rPr>
        <w:t>单位：</w:t>
      </w:r>
      <w:r>
        <w:rPr>
          <w:rFonts w:hint="eastAsia"/>
          <w:u w:val="single"/>
        </w:rPr>
        <w:t>(</w:t>
      </w:r>
      <w:r>
        <w:rPr>
          <w:rFonts w:hint="eastAsia"/>
          <w:u w:val="single"/>
        </w:rPr>
        <w:t>千</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pStyle w:val="aa"/>
              <w:jc w:val="center"/>
              <w:rPr>
                <w:rFonts w:hint="eastAsia"/>
              </w:rPr>
            </w:pPr>
          </w:p>
        </w:tc>
        <w:tc>
          <w:tcPr>
            <w:tcW w:w="1914" w:type="dxa"/>
          </w:tcPr>
          <w:p w:rsidR="00000000" w:rsidRDefault="00000000">
            <w:pPr>
              <w:pStyle w:val="aa"/>
              <w:jc w:val="center"/>
              <w:rPr>
                <w:rFonts w:hint="eastAsia"/>
              </w:rPr>
            </w:pPr>
            <w:r>
              <w:rPr>
                <w:rFonts w:hint="eastAsia"/>
              </w:rPr>
              <w:t>第一季度</w:t>
            </w:r>
          </w:p>
        </w:tc>
        <w:tc>
          <w:tcPr>
            <w:tcW w:w="1914" w:type="dxa"/>
          </w:tcPr>
          <w:p w:rsidR="00000000" w:rsidRDefault="00000000">
            <w:pPr>
              <w:pStyle w:val="aa"/>
              <w:jc w:val="center"/>
              <w:rPr>
                <w:rFonts w:hint="eastAsia"/>
              </w:rPr>
            </w:pPr>
            <w:r>
              <w:rPr>
                <w:rFonts w:hint="eastAsia"/>
              </w:rPr>
              <w:t>第二季度</w:t>
            </w:r>
          </w:p>
        </w:tc>
        <w:tc>
          <w:tcPr>
            <w:tcW w:w="1914" w:type="dxa"/>
          </w:tcPr>
          <w:p w:rsidR="00000000" w:rsidRDefault="00000000">
            <w:pPr>
              <w:pStyle w:val="aa"/>
              <w:jc w:val="center"/>
              <w:rPr>
                <w:rFonts w:hint="eastAsia"/>
              </w:rPr>
            </w:pPr>
            <w:r>
              <w:rPr>
                <w:rFonts w:hint="eastAsia"/>
              </w:rPr>
              <w:t>第三季度</w:t>
            </w:r>
          </w:p>
        </w:tc>
        <w:tc>
          <w:tcPr>
            <w:tcW w:w="1915" w:type="dxa"/>
          </w:tcPr>
          <w:p w:rsidR="00000000" w:rsidRDefault="00000000">
            <w:pPr>
              <w:pStyle w:val="aa"/>
              <w:jc w:val="center"/>
              <w:rPr>
                <w:rFonts w:hint="eastAsia"/>
              </w:rPr>
            </w:pPr>
            <w:r>
              <w:rPr>
                <w:rFonts w:hint="eastAsia"/>
              </w:rPr>
              <w:t>第四季度</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男女共计</w:t>
            </w:r>
          </w:p>
        </w:tc>
        <w:tc>
          <w:tcPr>
            <w:tcW w:w="1914" w:type="dxa"/>
          </w:tcPr>
          <w:p w:rsidR="00000000" w:rsidRDefault="00000000">
            <w:pPr>
              <w:pStyle w:val="aa"/>
              <w:ind w:right="567"/>
              <w:jc w:val="right"/>
              <w:rPr>
                <w:rFonts w:hint="eastAsia"/>
              </w:rPr>
            </w:pPr>
            <w:r>
              <w:rPr>
                <w:rFonts w:hint="eastAsia"/>
              </w:rPr>
              <w:t>712.3</w:t>
            </w:r>
          </w:p>
        </w:tc>
        <w:tc>
          <w:tcPr>
            <w:tcW w:w="1914" w:type="dxa"/>
          </w:tcPr>
          <w:p w:rsidR="00000000" w:rsidRDefault="00000000">
            <w:pPr>
              <w:pStyle w:val="aa"/>
              <w:ind w:right="567"/>
              <w:jc w:val="right"/>
              <w:rPr>
                <w:rFonts w:hint="eastAsia"/>
              </w:rPr>
            </w:pPr>
            <w:r>
              <w:rPr>
                <w:rFonts w:hint="eastAsia"/>
              </w:rPr>
              <w:t>669.1</w:t>
            </w:r>
          </w:p>
        </w:tc>
        <w:tc>
          <w:tcPr>
            <w:tcW w:w="1914" w:type="dxa"/>
          </w:tcPr>
          <w:p w:rsidR="00000000" w:rsidRDefault="00000000">
            <w:pPr>
              <w:pStyle w:val="aa"/>
              <w:ind w:right="567"/>
              <w:jc w:val="right"/>
              <w:rPr>
                <w:rFonts w:hint="eastAsia"/>
              </w:rPr>
            </w:pPr>
            <w:r>
              <w:rPr>
                <w:rFonts w:hint="eastAsia"/>
              </w:rPr>
              <w:t>679.3</w:t>
            </w:r>
          </w:p>
        </w:tc>
        <w:tc>
          <w:tcPr>
            <w:tcW w:w="1915" w:type="dxa"/>
          </w:tcPr>
          <w:p w:rsidR="00000000" w:rsidRDefault="00000000">
            <w:pPr>
              <w:pStyle w:val="aa"/>
              <w:ind w:right="567"/>
              <w:jc w:val="right"/>
              <w:rPr>
                <w:rFonts w:hint="eastAsia"/>
              </w:rPr>
            </w:pPr>
            <w:r>
              <w:rPr>
                <w:rFonts w:hint="eastAsia"/>
              </w:rPr>
              <w:t>690.8</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男性</w:t>
            </w:r>
          </w:p>
        </w:tc>
        <w:tc>
          <w:tcPr>
            <w:tcW w:w="1914" w:type="dxa"/>
          </w:tcPr>
          <w:p w:rsidR="00000000" w:rsidRDefault="00000000">
            <w:pPr>
              <w:pStyle w:val="aa"/>
              <w:ind w:right="567"/>
              <w:jc w:val="right"/>
              <w:rPr>
                <w:rFonts w:hint="eastAsia"/>
              </w:rPr>
            </w:pPr>
            <w:r>
              <w:rPr>
                <w:rFonts w:hint="eastAsia"/>
              </w:rPr>
              <w:t>403.3</w:t>
            </w:r>
          </w:p>
        </w:tc>
        <w:tc>
          <w:tcPr>
            <w:tcW w:w="1914" w:type="dxa"/>
          </w:tcPr>
          <w:p w:rsidR="00000000" w:rsidRDefault="00000000">
            <w:pPr>
              <w:pStyle w:val="aa"/>
              <w:ind w:right="567"/>
              <w:jc w:val="right"/>
              <w:rPr>
                <w:rFonts w:hint="eastAsia"/>
              </w:rPr>
            </w:pPr>
            <w:r>
              <w:rPr>
                <w:rFonts w:hint="eastAsia"/>
              </w:rPr>
              <w:t>385.3</w:t>
            </w:r>
          </w:p>
        </w:tc>
        <w:tc>
          <w:tcPr>
            <w:tcW w:w="1914" w:type="dxa"/>
          </w:tcPr>
          <w:p w:rsidR="00000000" w:rsidRDefault="00000000">
            <w:pPr>
              <w:pStyle w:val="aa"/>
              <w:ind w:right="567"/>
              <w:jc w:val="right"/>
              <w:rPr>
                <w:rFonts w:hint="eastAsia"/>
              </w:rPr>
            </w:pPr>
            <w:r>
              <w:rPr>
                <w:rFonts w:hint="eastAsia"/>
              </w:rPr>
              <w:t>389.8</w:t>
            </w:r>
          </w:p>
        </w:tc>
        <w:tc>
          <w:tcPr>
            <w:tcW w:w="1915" w:type="dxa"/>
          </w:tcPr>
          <w:p w:rsidR="00000000" w:rsidRDefault="00000000">
            <w:pPr>
              <w:pStyle w:val="aa"/>
              <w:ind w:right="567"/>
              <w:jc w:val="right"/>
              <w:rPr>
                <w:rFonts w:hint="eastAsia"/>
              </w:rPr>
            </w:pPr>
            <w:r>
              <w:rPr>
                <w:rFonts w:hint="eastAsia"/>
              </w:rPr>
              <w:t>394.8</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女性</w:t>
            </w:r>
          </w:p>
        </w:tc>
        <w:tc>
          <w:tcPr>
            <w:tcW w:w="1914" w:type="dxa"/>
          </w:tcPr>
          <w:p w:rsidR="00000000" w:rsidRDefault="00000000">
            <w:pPr>
              <w:pStyle w:val="aa"/>
              <w:ind w:right="567"/>
              <w:jc w:val="right"/>
              <w:rPr>
                <w:rFonts w:hint="eastAsia"/>
              </w:rPr>
            </w:pPr>
            <w:r>
              <w:rPr>
                <w:rFonts w:hint="eastAsia"/>
              </w:rPr>
              <w:t>308.9</w:t>
            </w:r>
          </w:p>
        </w:tc>
        <w:tc>
          <w:tcPr>
            <w:tcW w:w="1914" w:type="dxa"/>
          </w:tcPr>
          <w:p w:rsidR="00000000" w:rsidRDefault="00000000">
            <w:pPr>
              <w:pStyle w:val="aa"/>
              <w:ind w:right="567"/>
              <w:jc w:val="right"/>
              <w:rPr>
                <w:rFonts w:hint="eastAsia"/>
              </w:rPr>
            </w:pPr>
            <w:r>
              <w:rPr>
                <w:rFonts w:hint="eastAsia"/>
              </w:rPr>
              <w:t>238.8</w:t>
            </w:r>
          </w:p>
        </w:tc>
        <w:tc>
          <w:tcPr>
            <w:tcW w:w="1914" w:type="dxa"/>
          </w:tcPr>
          <w:p w:rsidR="00000000" w:rsidRDefault="00000000">
            <w:pPr>
              <w:pStyle w:val="aa"/>
              <w:ind w:right="567"/>
              <w:jc w:val="right"/>
              <w:rPr>
                <w:rFonts w:hint="eastAsia"/>
              </w:rPr>
            </w:pPr>
            <w:r>
              <w:rPr>
                <w:rFonts w:hint="eastAsia"/>
              </w:rPr>
              <w:t>289.5</w:t>
            </w:r>
          </w:p>
        </w:tc>
        <w:tc>
          <w:tcPr>
            <w:tcW w:w="1915" w:type="dxa"/>
          </w:tcPr>
          <w:p w:rsidR="00000000" w:rsidRDefault="00000000">
            <w:pPr>
              <w:pStyle w:val="aa"/>
              <w:ind w:right="567"/>
              <w:jc w:val="right"/>
              <w:rPr>
                <w:rFonts w:hint="eastAsia"/>
              </w:rPr>
            </w:pPr>
            <w:r>
              <w:rPr>
                <w:rFonts w:hint="eastAsia"/>
              </w:rPr>
              <w:t>296.0</w:t>
            </w:r>
          </w:p>
        </w:tc>
      </w:tr>
    </w:tbl>
    <w:p w:rsidR="00000000" w:rsidRDefault="00000000">
      <w:pPr>
        <w:rPr>
          <w:rFonts w:hint="eastAsia"/>
        </w:rPr>
      </w:pPr>
    </w:p>
    <w:p w:rsidR="00000000" w:rsidRDefault="00000000">
      <w:pPr>
        <w:pStyle w:val="Heading3"/>
        <w:rPr>
          <w:rFonts w:hint="eastAsia"/>
        </w:rPr>
      </w:pPr>
      <w:r>
        <w:rPr>
          <w:rFonts w:hint="eastAsia"/>
          <w:u w:val="none"/>
        </w:rPr>
        <w:t xml:space="preserve">C.  </w:t>
      </w:r>
      <w:r>
        <w:rPr>
          <w:rFonts w:hint="eastAsia"/>
        </w:rPr>
        <w:t>按性别排列的农村地区</w:t>
      </w:r>
      <w:r>
        <w:rPr>
          <w:rFonts w:hint="eastAsia"/>
        </w:rPr>
        <w:t>15</w:t>
      </w:r>
      <w:r>
        <w:rPr>
          <w:rFonts w:hint="eastAsia"/>
        </w:rPr>
        <w:t>岁以上的就业人口</w:t>
      </w:r>
    </w:p>
    <w:p w:rsidR="00000000" w:rsidRDefault="00000000">
      <w:pPr>
        <w:rPr>
          <w:rFonts w:hint="eastAsia"/>
        </w:rPr>
      </w:pPr>
      <w:r>
        <w:rPr>
          <w:rFonts w:hint="eastAsia"/>
          <w:u w:val="single"/>
        </w:rPr>
        <w:t>1998</w:t>
      </w:r>
      <w:r>
        <w:rPr>
          <w:rFonts w:hint="eastAsia"/>
          <w:u w:val="single"/>
        </w:rPr>
        <w:t>年</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u w:val="single"/>
        </w:rPr>
        <w:t>单位：</w:t>
      </w:r>
      <w:r>
        <w:rPr>
          <w:rFonts w:hint="eastAsia"/>
          <w:u w:val="single"/>
        </w:rPr>
        <w:t>(</w:t>
      </w:r>
      <w:r>
        <w:rPr>
          <w:rFonts w:hint="eastAsia"/>
          <w:u w:val="single"/>
        </w:rPr>
        <w:t>千</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pStyle w:val="aa"/>
              <w:jc w:val="center"/>
              <w:rPr>
                <w:rFonts w:hint="eastAsia"/>
              </w:rPr>
            </w:pPr>
          </w:p>
        </w:tc>
        <w:tc>
          <w:tcPr>
            <w:tcW w:w="1914" w:type="dxa"/>
          </w:tcPr>
          <w:p w:rsidR="00000000" w:rsidRDefault="00000000">
            <w:pPr>
              <w:pStyle w:val="aa"/>
              <w:jc w:val="center"/>
              <w:rPr>
                <w:rFonts w:hint="eastAsia"/>
              </w:rPr>
            </w:pPr>
            <w:r>
              <w:rPr>
                <w:rFonts w:hint="eastAsia"/>
              </w:rPr>
              <w:t>第一季度</w:t>
            </w:r>
          </w:p>
        </w:tc>
        <w:tc>
          <w:tcPr>
            <w:tcW w:w="1914" w:type="dxa"/>
          </w:tcPr>
          <w:p w:rsidR="00000000" w:rsidRDefault="00000000">
            <w:pPr>
              <w:pStyle w:val="aa"/>
              <w:jc w:val="center"/>
              <w:rPr>
                <w:rFonts w:hint="eastAsia"/>
              </w:rPr>
            </w:pPr>
            <w:r>
              <w:rPr>
                <w:rFonts w:hint="eastAsia"/>
              </w:rPr>
              <w:t>第二季度</w:t>
            </w:r>
          </w:p>
        </w:tc>
        <w:tc>
          <w:tcPr>
            <w:tcW w:w="1914" w:type="dxa"/>
          </w:tcPr>
          <w:p w:rsidR="00000000" w:rsidRDefault="00000000">
            <w:pPr>
              <w:pStyle w:val="aa"/>
              <w:jc w:val="center"/>
              <w:rPr>
                <w:rFonts w:hint="eastAsia"/>
              </w:rPr>
            </w:pPr>
            <w:r>
              <w:rPr>
                <w:rFonts w:hint="eastAsia"/>
              </w:rPr>
              <w:t>第三季度</w:t>
            </w:r>
          </w:p>
        </w:tc>
        <w:tc>
          <w:tcPr>
            <w:tcW w:w="1915" w:type="dxa"/>
          </w:tcPr>
          <w:p w:rsidR="00000000" w:rsidRDefault="00000000">
            <w:pPr>
              <w:pStyle w:val="aa"/>
              <w:jc w:val="center"/>
              <w:rPr>
                <w:rFonts w:hint="eastAsia"/>
              </w:rPr>
            </w:pPr>
            <w:r>
              <w:rPr>
                <w:rFonts w:hint="eastAsia"/>
              </w:rPr>
              <w:t>第四季度</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男女共计</w:t>
            </w:r>
          </w:p>
        </w:tc>
        <w:tc>
          <w:tcPr>
            <w:tcW w:w="1914" w:type="dxa"/>
          </w:tcPr>
          <w:p w:rsidR="00000000" w:rsidRDefault="00000000">
            <w:pPr>
              <w:pStyle w:val="aa"/>
              <w:ind w:right="567"/>
              <w:jc w:val="right"/>
              <w:rPr>
                <w:rFonts w:hint="eastAsia"/>
              </w:rPr>
            </w:pPr>
            <w:r>
              <w:rPr>
                <w:rFonts w:hint="eastAsia"/>
              </w:rPr>
              <w:t>931.7</w:t>
            </w:r>
          </w:p>
        </w:tc>
        <w:tc>
          <w:tcPr>
            <w:tcW w:w="1914" w:type="dxa"/>
          </w:tcPr>
          <w:p w:rsidR="00000000" w:rsidRDefault="00000000">
            <w:pPr>
              <w:pStyle w:val="aa"/>
              <w:ind w:right="567"/>
              <w:jc w:val="right"/>
              <w:rPr>
                <w:rFonts w:hint="eastAsia"/>
              </w:rPr>
            </w:pPr>
            <w:r>
              <w:rPr>
                <w:rFonts w:hint="eastAsia"/>
              </w:rPr>
              <w:t>949.6</w:t>
            </w:r>
          </w:p>
        </w:tc>
        <w:tc>
          <w:tcPr>
            <w:tcW w:w="1914" w:type="dxa"/>
          </w:tcPr>
          <w:p w:rsidR="00000000" w:rsidRDefault="00000000">
            <w:pPr>
              <w:pStyle w:val="aa"/>
              <w:ind w:right="567"/>
              <w:jc w:val="right"/>
              <w:rPr>
                <w:rFonts w:hint="eastAsia"/>
              </w:rPr>
            </w:pPr>
            <w:r>
              <w:rPr>
                <w:rFonts w:hint="eastAsia"/>
              </w:rPr>
              <w:t>965.3</w:t>
            </w:r>
          </w:p>
        </w:tc>
        <w:tc>
          <w:tcPr>
            <w:tcW w:w="1915" w:type="dxa"/>
          </w:tcPr>
          <w:p w:rsidR="00000000" w:rsidRDefault="00000000">
            <w:pPr>
              <w:pStyle w:val="aa"/>
              <w:ind w:right="567"/>
              <w:jc w:val="right"/>
              <w:rPr>
                <w:rFonts w:hint="eastAsia"/>
              </w:rPr>
            </w:pPr>
            <w:r>
              <w:rPr>
                <w:rFonts w:hint="eastAsia"/>
              </w:rPr>
              <w:t>938.7</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男性</w:t>
            </w:r>
          </w:p>
        </w:tc>
        <w:tc>
          <w:tcPr>
            <w:tcW w:w="1914" w:type="dxa"/>
          </w:tcPr>
          <w:p w:rsidR="00000000" w:rsidRDefault="00000000">
            <w:pPr>
              <w:pStyle w:val="aa"/>
              <w:ind w:right="567"/>
              <w:jc w:val="right"/>
              <w:rPr>
                <w:rFonts w:hint="eastAsia"/>
              </w:rPr>
            </w:pPr>
            <w:r>
              <w:rPr>
                <w:rFonts w:hint="eastAsia"/>
              </w:rPr>
              <w:t>589.3</w:t>
            </w:r>
          </w:p>
        </w:tc>
        <w:tc>
          <w:tcPr>
            <w:tcW w:w="1914" w:type="dxa"/>
          </w:tcPr>
          <w:p w:rsidR="00000000" w:rsidRDefault="00000000">
            <w:pPr>
              <w:pStyle w:val="aa"/>
              <w:ind w:right="567"/>
              <w:jc w:val="right"/>
              <w:rPr>
                <w:rFonts w:hint="eastAsia"/>
              </w:rPr>
            </w:pPr>
            <w:r>
              <w:rPr>
                <w:rFonts w:hint="eastAsia"/>
              </w:rPr>
              <w:t>596.6</w:t>
            </w:r>
          </w:p>
        </w:tc>
        <w:tc>
          <w:tcPr>
            <w:tcW w:w="1914" w:type="dxa"/>
          </w:tcPr>
          <w:p w:rsidR="00000000" w:rsidRDefault="00000000">
            <w:pPr>
              <w:pStyle w:val="aa"/>
              <w:ind w:right="567"/>
              <w:jc w:val="right"/>
              <w:rPr>
                <w:rFonts w:hint="eastAsia"/>
              </w:rPr>
            </w:pPr>
            <w:r>
              <w:rPr>
                <w:rFonts w:hint="eastAsia"/>
              </w:rPr>
              <w:t>606.7</w:t>
            </w:r>
          </w:p>
        </w:tc>
        <w:tc>
          <w:tcPr>
            <w:tcW w:w="1915" w:type="dxa"/>
          </w:tcPr>
          <w:p w:rsidR="00000000" w:rsidRDefault="00000000">
            <w:pPr>
              <w:pStyle w:val="aa"/>
              <w:ind w:right="567"/>
              <w:jc w:val="right"/>
              <w:rPr>
                <w:rFonts w:hint="eastAsia"/>
              </w:rPr>
            </w:pPr>
            <w:r>
              <w:rPr>
                <w:rFonts w:hint="eastAsia"/>
              </w:rPr>
              <w:t>593.0</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女性</w:t>
            </w:r>
          </w:p>
        </w:tc>
        <w:tc>
          <w:tcPr>
            <w:tcW w:w="1914" w:type="dxa"/>
          </w:tcPr>
          <w:p w:rsidR="00000000" w:rsidRDefault="00000000">
            <w:pPr>
              <w:pStyle w:val="aa"/>
              <w:ind w:right="567"/>
              <w:jc w:val="right"/>
              <w:rPr>
                <w:rFonts w:hint="eastAsia"/>
              </w:rPr>
            </w:pPr>
            <w:r>
              <w:rPr>
                <w:rFonts w:hint="eastAsia"/>
              </w:rPr>
              <w:t>342.3</w:t>
            </w:r>
          </w:p>
        </w:tc>
        <w:tc>
          <w:tcPr>
            <w:tcW w:w="1914" w:type="dxa"/>
          </w:tcPr>
          <w:p w:rsidR="00000000" w:rsidRDefault="00000000">
            <w:pPr>
              <w:pStyle w:val="aa"/>
              <w:ind w:right="567"/>
              <w:jc w:val="right"/>
              <w:rPr>
                <w:rFonts w:hint="eastAsia"/>
              </w:rPr>
            </w:pPr>
            <w:r>
              <w:rPr>
                <w:rFonts w:hint="eastAsia"/>
              </w:rPr>
              <w:t>352.9</w:t>
            </w:r>
          </w:p>
        </w:tc>
        <w:tc>
          <w:tcPr>
            <w:tcW w:w="1914" w:type="dxa"/>
          </w:tcPr>
          <w:p w:rsidR="00000000" w:rsidRDefault="00000000">
            <w:pPr>
              <w:pStyle w:val="aa"/>
              <w:ind w:right="567"/>
              <w:jc w:val="right"/>
              <w:rPr>
                <w:rFonts w:hint="eastAsia"/>
              </w:rPr>
            </w:pPr>
            <w:r>
              <w:rPr>
                <w:rFonts w:hint="eastAsia"/>
              </w:rPr>
              <w:t>358.5</w:t>
            </w:r>
          </w:p>
        </w:tc>
        <w:tc>
          <w:tcPr>
            <w:tcW w:w="1915" w:type="dxa"/>
          </w:tcPr>
          <w:p w:rsidR="00000000" w:rsidRDefault="00000000">
            <w:pPr>
              <w:pStyle w:val="aa"/>
              <w:ind w:right="567"/>
              <w:jc w:val="right"/>
              <w:rPr>
                <w:rFonts w:hint="eastAsia"/>
              </w:rPr>
            </w:pPr>
            <w:r>
              <w:rPr>
                <w:rFonts w:hint="eastAsia"/>
              </w:rPr>
              <w:t>345.8</w:t>
            </w:r>
          </w:p>
        </w:tc>
      </w:tr>
    </w:tbl>
    <w:p w:rsidR="00000000" w:rsidRDefault="00000000">
      <w:pPr>
        <w:rPr>
          <w:rFonts w:hint="eastAsia"/>
        </w:rPr>
      </w:pPr>
    </w:p>
    <w:p w:rsidR="00000000" w:rsidRDefault="00000000">
      <w:pPr>
        <w:rPr>
          <w:rFonts w:hint="eastAsia"/>
        </w:rPr>
      </w:pPr>
      <w:r>
        <w:rPr>
          <w:rFonts w:hint="eastAsia"/>
          <w:u w:val="single"/>
        </w:rPr>
        <w:t>1999</w:t>
      </w:r>
      <w:r>
        <w:rPr>
          <w:rFonts w:hint="eastAsia"/>
          <w:u w:val="single"/>
        </w:rPr>
        <w:t>年</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u w:val="single"/>
        </w:rPr>
        <w:t>单位：</w:t>
      </w:r>
      <w:r>
        <w:rPr>
          <w:rFonts w:hint="eastAsia"/>
          <w:u w:val="single"/>
        </w:rPr>
        <w:t>(</w:t>
      </w:r>
      <w:r>
        <w:rPr>
          <w:rFonts w:hint="eastAsia"/>
          <w:u w:val="single"/>
        </w:rPr>
        <w:t>千</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pStyle w:val="aa"/>
              <w:jc w:val="center"/>
              <w:rPr>
                <w:rFonts w:hint="eastAsia"/>
              </w:rPr>
            </w:pPr>
          </w:p>
        </w:tc>
        <w:tc>
          <w:tcPr>
            <w:tcW w:w="1914" w:type="dxa"/>
          </w:tcPr>
          <w:p w:rsidR="00000000" w:rsidRDefault="00000000">
            <w:pPr>
              <w:pStyle w:val="aa"/>
              <w:jc w:val="center"/>
              <w:rPr>
                <w:rFonts w:hint="eastAsia"/>
              </w:rPr>
            </w:pPr>
            <w:r>
              <w:rPr>
                <w:rFonts w:hint="eastAsia"/>
              </w:rPr>
              <w:t>第一季度</w:t>
            </w:r>
          </w:p>
        </w:tc>
        <w:tc>
          <w:tcPr>
            <w:tcW w:w="1914" w:type="dxa"/>
          </w:tcPr>
          <w:p w:rsidR="00000000" w:rsidRDefault="00000000">
            <w:pPr>
              <w:pStyle w:val="aa"/>
              <w:jc w:val="center"/>
              <w:rPr>
                <w:rFonts w:hint="eastAsia"/>
              </w:rPr>
            </w:pPr>
            <w:r>
              <w:rPr>
                <w:rFonts w:hint="eastAsia"/>
              </w:rPr>
              <w:t>第二季度</w:t>
            </w:r>
          </w:p>
        </w:tc>
        <w:tc>
          <w:tcPr>
            <w:tcW w:w="1914" w:type="dxa"/>
          </w:tcPr>
          <w:p w:rsidR="00000000" w:rsidRDefault="00000000">
            <w:pPr>
              <w:pStyle w:val="aa"/>
              <w:jc w:val="center"/>
              <w:rPr>
                <w:rFonts w:hint="eastAsia"/>
              </w:rPr>
            </w:pPr>
            <w:r>
              <w:rPr>
                <w:rFonts w:hint="eastAsia"/>
              </w:rPr>
              <w:t>第三季度</w:t>
            </w:r>
          </w:p>
        </w:tc>
        <w:tc>
          <w:tcPr>
            <w:tcW w:w="1915" w:type="dxa"/>
          </w:tcPr>
          <w:p w:rsidR="00000000" w:rsidRDefault="00000000">
            <w:pPr>
              <w:pStyle w:val="aa"/>
              <w:jc w:val="center"/>
              <w:rPr>
                <w:rFonts w:hint="eastAsia"/>
              </w:rPr>
            </w:pPr>
            <w:r>
              <w:rPr>
                <w:rFonts w:hint="eastAsia"/>
              </w:rPr>
              <w:t>第四季度</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男女共计</w:t>
            </w:r>
          </w:p>
        </w:tc>
        <w:tc>
          <w:tcPr>
            <w:tcW w:w="1914" w:type="dxa"/>
          </w:tcPr>
          <w:p w:rsidR="00000000" w:rsidRDefault="00000000">
            <w:pPr>
              <w:pStyle w:val="aa"/>
              <w:ind w:right="567"/>
              <w:jc w:val="right"/>
              <w:rPr>
                <w:rFonts w:hint="eastAsia"/>
              </w:rPr>
            </w:pPr>
            <w:r>
              <w:rPr>
                <w:rFonts w:hint="eastAsia"/>
              </w:rPr>
              <w:t>928.8</w:t>
            </w:r>
          </w:p>
        </w:tc>
        <w:tc>
          <w:tcPr>
            <w:tcW w:w="1914" w:type="dxa"/>
          </w:tcPr>
          <w:p w:rsidR="00000000" w:rsidRDefault="00000000">
            <w:pPr>
              <w:pStyle w:val="aa"/>
              <w:ind w:right="567"/>
              <w:jc w:val="right"/>
              <w:rPr>
                <w:rFonts w:hint="eastAsia"/>
              </w:rPr>
            </w:pPr>
            <w:r>
              <w:rPr>
                <w:rFonts w:hint="eastAsia"/>
              </w:rPr>
              <w:t>903.1</w:t>
            </w:r>
          </w:p>
        </w:tc>
        <w:tc>
          <w:tcPr>
            <w:tcW w:w="1914" w:type="dxa"/>
          </w:tcPr>
          <w:p w:rsidR="00000000" w:rsidRDefault="00000000">
            <w:pPr>
              <w:pStyle w:val="aa"/>
              <w:ind w:right="567"/>
              <w:jc w:val="right"/>
              <w:rPr>
                <w:rFonts w:hint="eastAsia"/>
              </w:rPr>
            </w:pPr>
            <w:r>
              <w:rPr>
                <w:rFonts w:hint="eastAsia"/>
              </w:rPr>
              <w:t>912.4</w:t>
            </w:r>
          </w:p>
        </w:tc>
        <w:tc>
          <w:tcPr>
            <w:tcW w:w="1915" w:type="dxa"/>
          </w:tcPr>
          <w:p w:rsidR="00000000" w:rsidRDefault="00000000">
            <w:pPr>
              <w:pStyle w:val="aa"/>
              <w:ind w:right="567"/>
              <w:jc w:val="right"/>
              <w:rPr>
                <w:rFonts w:hint="eastAsia"/>
              </w:rPr>
            </w:pPr>
            <w:r>
              <w:rPr>
                <w:rFonts w:hint="eastAsia"/>
              </w:rPr>
              <w:t>896.1</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男性</w:t>
            </w:r>
          </w:p>
        </w:tc>
        <w:tc>
          <w:tcPr>
            <w:tcW w:w="1914" w:type="dxa"/>
          </w:tcPr>
          <w:p w:rsidR="00000000" w:rsidRDefault="00000000">
            <w:pPr>
              <w:pStyle w:val="aa"/>
              <w:ind w:right="567"/>
              <w:jc w:val="right"/>
              <w:rPr>
                <w:rFonts w:hint="eastAsia"/>
              </w:rPr>
            </w:pPr>
            <w:r>
              <w:rPr>
                <w:rFonts w:hint="eastAsia"/>
              </w:rPr>
              <w:t>581.2</w:t>
            </w:r>
          </w:p>
        </w:tc>
        <w:tc>
          <w:tcPr>
            <w:tcW w:w="1914" w:type="dxa"/>
          </w:tcPr>
          <w:p w:rsidR="00000000" w:rsidRDefault="00000000">
            <w:pPr>
              <w:pStyle w:val="aa"/>
              <w:ind w:right="567"/>
              <w:jc w:val="right"/>
              <w:rPr>
                <w:rFonts w:hint="eastAsia"/>
              </w:rPr>
            </w:pPr>
            <w:r>
              <w:rPr>
                <w:rFonts w:hint="eastAsia"/>
              </w:rPr>
              <w:t>564.5</w:t>
            </w:r>
          </w:p>
        </w:tc>
        <w:tc>
          <w:tcPr>
            <w:tcW w:w="1914" w:type="dxa"/>
          </w:tcPr>
          <w:p w:rsidR="00000000" w:rsidRDefault="00000000">
            <w:pPr>
              <w:pStyle w:val="aa"/>
              <w:ind w:right="567"/>
              <w:jc w:val="right"/>
              <w:rPr>
                <w:rFonts w:hint="eastAsia"/>
              </w:rPr>
            </w:pPr>
            <w:r>
              <w:rPr>
                <w:rFonts w:hint="eastAsia"/>
              </w:rPr>
              <w:t>569.1</w:t>
            </w:r>
          </w:p>
        </w:tc>
        <w:tc>
          <w:tcPr>
            <w:tcW w:w="1915" w:type="dxa"/>
          </w:tcPr>
          <w:p w:rsidR="00000000" w:rsidRDefault="00000000">
            <w:pPr>
              <w:pStyle w:val="aa"/>
              <w:ind w:right="567"/>
              <w:jc w:val="right"/>
              <w:rPr>
                <w:rFonts w:hint="eastAsia"/>
              </w:rPr>
            </w:pPr>
            <w:r>
              <w:rPr>
                <w:rFonts w:hint="eastAsia"/>
              </w:rPr>
              <w:t>562.1</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女性</w:t>
            </w:r>
          </w:p>
        </w:tc>
        <w:tc>
          <w:tcPr>
            <w:tcW w:w="1914" w:type="dxa"/>
          </w:tcPr>
          <w:p w:rsidR="00000000" w:rsidRDefault="00000000">
            <w:pPr>
              <w:pStyle w:val="aa"/>
              <w:ind w:right="567"/>
              <w:jc w:val="right"/>
              <w:rPr>
                <w:rFonts w:hint="eastAsia"/>
              </w:rPr>
            </w:pPr>
            <w:r>
              <w:rPr>
                <w:rFonts w:hint="eastAsia"/>
              </w:rPr>
              <w:t>347.7</w:t>
            </w:r>
          </w:p>
        </w:tc>
        <w:tc>
          <w:tcPr>
            <w:tcW w:w="1914" w:type="dxa"/>
          </w:tcPr>
          <w:p w:rsidR="00000000" w:rsidRDefault="00000000">
            <w:pPr>
              <w:pStyle w:val="aa"/>
              <w:ind w:right="567"/>
              <w:jc w:val="right"/>
              <w:rPr>
                <w:rFonts w:hint="eastAsia"/>
              </w:rPr>
            </w:pPr>
            <w:r>
              <w:rPr>
                <w:rFonts w:hint="eastAsia"/>
              </w:rPr>
              <w:t>338.6</w:t>
            </w:r>
          </w:p>
        </w:tc>
        <w:tc>
          <w:tcPr>
            <w:tcW w:w="1914" w:type="dxa"/>
          </w:tcPr>
          <w:p w:rsidR="00000000" w:rsidRDefault="00000000">
            <w:pPr>
              <w:pStyle w:val="aa"/>
              <w:ind w:right="567"/>
              <w:jc w:val="right"/>
              <w:rPr>
                <w:rFonts w:hint="eastAsia"/>
              </w:rPr>
            </w:pPr>
            <w:r>
              <w:rPr>
                <w:rFonts w:hint="eastAsia"/>
              </w:rPr>
              <w:t>343.3</w:t>
            </w:r>
          </w:p>
        </w:tc>
        <w:tc>
          <w:tcPr>
            <w:tcW w:w="1915" w:type="dxa"/>
          </w:tcPr>
          <w:p w:rsidR="00000000" w:rsidRDefault="00000000">
            <w:pPr>
              <w:pStyle w:val="aa"/>
              <w:ind w:right="567"/>
              <w:jc w:val="right"/>
              <w:rPr>
                <w:rFonts w:hint="eastAsia"/>
              </w:rPr>
            </w:pPr>
            <w:r>
              <w:rPr>
                <w:rFonts w:hint="eastAsia"/>
              </w:rPr>
              <w:t>334.0</w:t>
            </w:r>
          </w:p>
        </w:tc>
      </w:tr>
    </w:tbl>
    <w:p w:rsidR="00000000" w:rsidRDefault="00000000">
      <w:pPr>
        <w:rPr>
          <w:rFonts w:hint="eastAsia"/>
        </w:rPr>
      </w:pPr>
    </w:p>
    <w:p w:rsidR="00000000" w:rsidRDefault="00000000">
      <w:pPr>
        <w:pStyle w:val="Heading3"/>
        <w:rPr>
          <w:rFonts w:hint="eastAsia"/>
        </w:rPr>
      </w:pPr>
      <w:r>
        <w:rPr>
          <w:u w:val="none"/>
        </w:rPr>
        <w:br w:type="page"/>
      </w:r>
      <w:r>
        <w:rPr>
          <w:rFonts w:hint="eastAsia"/>
          <w:u w:val="none"/>
        </w:rPr>
        <w:t xml:space="preserve">D.  </w:t>
      </w:r>
      <w:r>
        <w:rPr>
          <w:rFonts w:hint="eastAsia"/>
        </w:rPr>
        <w:t>按性别排列的农村地区</w:t>
      </w:r>
      <w:r>
        <w:rPr>
          <w:rFonts w:hint="eastAsia"/>
        </w:rPr>
        <w:t>15</w:t>
      </w:r>
      <w:r>
        <w:rPr>
          <w:rFonts w:hint="eastAsia"/>
        </w:rPr>
        <w:t>岁以上失业人口</w:t>
      </w:r>
    </w:p>
    <w:p w:rsidR="00000000" w:rsidRDefault="00000000">
      <w:pPr>
        <w:rPr>
          <w:rFonts w:hint="eastAsia"/>
        </w:rPr>
      </w:pPr>
      <w:r>
        <w:rPr>
          <w:rFonts w:hint="eastAsia"/>
          <w:u w:val="single"/>
        </w:rPr>
        <w:t>1998</w:t>
      </w:r>
      <w:r>
        <w:rPr>
          <w:rFonts w:hint="eastAsia"/>
          <w:u w:val="single"/>
        </w:rPr>
        <w:t>年</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u w:val="single"/>
        </w:rPr>
        <w:t>单位：</w:t>
      </w:r>
      <w:r>
        <w:rPr>
          <w:rFonts w:hint="eastAsia"/>
          <w:u w:val="single"/>
        </w:rPr>
        <w:t>(</w:t>
      </w:r>
      <w:r>
        <w:rPr>
          <w:rFonts w:hint="eastAsia"/>
          <w:u w:val="single"/>
        </w:rPr>
        <w:t>千</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pStyle w:val="aa"/>
              <w:jc w:val="center"/>
              <w:rPr>
                <w:rFonts w:hint="eastAsia"/>
              </w:rPr>
            </w:pPr>
          </w:p>
        </w:tc>
        <w:tc>
          <w:tcPr>
            <w:tcW w:w="1914" w:type="dxa"/>
          </w:tcPr>
          <w:p w:rsidR="00000000" w:rsidRDefault="00000000">
            <w:pPr>
              <w:pStyle w:val="aa"/>
              <w:jc w:val="center"/>
              <w:rPr>
                <w:rFonts w:hint="eastAsia"/>
              </w:rPr>
            </w:pPr>
            <w:r>
              <w:rPr>
                <w:rFonts w:hint="eastAsia"/>
              </w:rPr>
              <w:t>第一季度</w:t>
            </w:r>
          </w:p>
        </w:tc>
        <w:tc>
          <w:tcPr>
            <w:tcW w:w="1914" w:type="dxa"/>
          </w:tcPr>
          <w:p w:rsidR="00000000" w:rsidRDefault="00000000">
            <w:pPr>
              <w:pStyle w:val="aa"/>
              <w:jc w:val="center"/>
              <w:rPr>
                <w:rFonts w:hint="eastAsia"/>
              </w:rPr>
            </w:pPr>
            <w:r>
              <w:rPr>
                <w:rFonts w:hint="eastAsia"/>
              </w:rPr>
              <w:t>第二季度</w:t>
            </w:r>
          </w:p>
        </w:tc>
        <w:tc>
          <w:tcPr>
            <w:tcW w:w="1914" w:type="dxa"/>
          </w:tcPr>
          <w:p w:rsidR="00000000" w:rsidRDefault="00000000">
            <w:pPr>
              <w:pStyle w:val="aa"/>
              <w:jc w:val="center"/>
              <w:rPr>
                <w:rFonts w:hint="eastAsia"/>
              </w:rPr>
            </w:pPr>
            <w:r>
              <w:rPr>
                <w:rFonts w:hint="eastAsia"/>
              </w:rPr>
              <w:t>第三季度</w:t>
            </w:r>
          </w:p>
        </w:tc>
        <w:tc>
          <w:tcPr>
            <w:tcW w:w="1915" w:type="dxa"/>
          </w:tcPr>
          <w:p w:rsidR="00000000" w:rsidRDefault="00000000">
            <w:pPr>
              <w:pStyle w:val="aa"/>
              <w:jc w:val="center"/>
              <w:rPr>
                <w:rFonts w:hint="eastAsia"/>
              </w:rPr>
            </w:pPr>
            <w:r>
              <w:rPr>
                <w:rFonts w:hint="eastAsia"/>
              </w:rPr>
              <w:t>第四季度</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男女共计</w:t>
            </w:r>
          </w:p>
        </w:tc>
        <w:tc>
          <w:tcPr>
            <w:tcW w:w="1914" w:type="dxa"/>
          </w:tcPr>
          <w:p w:rsidR="00000000" w:rsidRDefault="00000000">
            <w:pPr>
              <w:pStyle w:val="aa"/>
              <w:ind w:right="567"/>
              <w:jc w:val="right"/>
              <w:rPr>
                <w:rFonts w:hint="eastAsia"/>
              </w:rPr>
            </w:pPr>
            <w:r>
              <w:rPr>
                <w:rFonts w:hint="eastAsia"/>
              </w:rPr>
              <w:t>72.6</w:t>
            </w:r>
          </w:p>
        </w:tc>
        <w:tc>
          <w:tcPr>
            <w:tcW w:w="1914" w:type="dxa"/>
          </w:tcPr>
          <w:p w:rsidR="00000000" w:rsidRDefault="00000000">
            <w:pPr>
              <w:pStyle w:val="aa"/>
              <w:ind w:right="567"/>
              <w:jc w:val="right"/>
              <w:rPr>
                <w:rFonts w:hint="eastAsia"/>
              </w:rPr>
            </w:pPr>
            <w:r>
              <w:rPr>
                <w:rFonts w:hint="eastAsia"/>
              </w:rPr>
              <w:t>58.8</w:t>
            </w:r>
          </w:p>
        </w:tc>
        <w:tc>
          <w:tcPr>
            <w:tcW w:w="1914" w:type="dxa"/>
          </w:tcPr>
          <w:p w:rsidR="00000000" w:rsidRDefault="00000000">
            <w:pPr>
              <w:pStyle w:val="aa"/>
              <w:ind w:right="567"/>
              <w:jc w:val="right"/>
              <w:rPr>
                <w:rFonts w:hint="eastAsia"/>
              </w:rPr>
            </w:pPr>
            <w:r>
              <w:rPr>
                <w:rFonts w:hint="eastAsia"/>
              </w:rPr>
              <w:t>52.4</w:t>
            </w:r>
          </w:p>
        </w:tc>
        <w:tc>
          <w:tcPr>
            <w:tcW w:w="1915" w:type="dxa"/>
          </w:tcPr>
          <w:p w:rsidR="00000000" w:rsidRDefault="00000000">
            <w:pPr>
              <w:pStyle w:val="aa"/>
              <w:ind w:right="567"/>
              <w:jc w:val="right"/>
              <w:rPr>
                <w:rFonts w:hint="eastAsia"/>
              </w:rPr>
            </w:pPr>
            <w:r>
              <w:rPr>
                <w:rFonts w:hint="eastAsia"/>
              </w:rPr>
              <w:t>66.6</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男性</w:t>
            </w:r>
          </w:p>
        </w:tc>
        <w:tc>
          <w:tcPr>
            <w:tcW w:w="1914" w:type="dxa"/>
          </w:tcPr>
          <w:p w:rsidR="00000000" w:rsidRDefault="00000000">
            <w:pPr>
              <w:pStyle w:val="aa"/>
              <w:ind w:right="567"/>
              <w:jc w:val="right"/>
              <w:rPr>
                <w:rFonts w:hint="eastAsia"/>
              </w:rPr>
            </w:pPr>
            <w:r>
              <w:rPr>
                <w:rFonts w:hint="eastAsia"/>
              </w:rPr>
              <w:t>32.7</w:t>
            </w:r>
          </w:p>
        </w:tc>
        <w:tc>
          <w:tcPr>
            <w:tcW w:w="1914" w:type="dxa"/>
          </w:tcPr>
          <w:p w:rsidR="00000000" w:rsidRDefault="00000000">
            <w:pPr>
              <w:pStyle w:val="aa"/>
              <w:ind w:right="567"/>
              <w:jc w:val="right"/>
              <w:rPr>
                <w:rFonts w:hint="eastAsia"/>
              </w:rPr>
            </w:pPr>
            <w:r>
              <w:rPr>
                <w:rFonts w:hint="eastAsia"/>
              </w:rPr>
              <w:t>26.1</w:t>
            </w:r>
          </w:p>
        </w:tc>
        <w:tc>
          <w:tcPr>
            <w:tcW w:w="1914" w:type="dxa"/>
          </w:tcPr>
          <w:p w:rsidR="00000000" w:rsidRDefault="00000000">
            <w:pPr>
              <w:pStyle w:val="aa"/>
              <w:ind w:right="567"/>
              <w:jc w:val="right"/>
              <w:rPr>
                <w:rFonts w:hint="eastAsia"/>
              </w:rPr>
            </w:pPr>
            <w:r>
              <w:rPr>
                <w:rFonts w:hint="eastAsia"/>
              </w:rPr>
              <w:t>20.0</w:t>
            </w:r>
          </w:p>
        </w:tc>
        <w:tc>
          <w:tcPr>
            <w:tcW w:w="1915" w:type="dxa"/>
          </w:tcPr>
          <w:p w:rsidR="00000000" w:rsidRDefault="00000000">
            <w:pPr>
              <w:pStyle w:val="aa"/>
              <w:ind w:right="567"/>
              <w:jc w:val="right"/>
              <w:rPr>
                <w:rFonts w:hint="eastAsia"/>
              </w:rPr>
            </w:pPr>
            <w:r>
              <w:rPr>
                <w:rFonts w:hint="eastAsia"/>
              </w:rPr>
              <w:t>27.0</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女性</w:t>
            </w:r>
          </w:p>
        </w:tc>
        <w:tc>
          <w:tcPr>
            <w:tcW w:w="1914" w:type="dxa"/>
          </w:tcPr>
          <w:p w:rsidR="00000000" w:rsidRDefault="00000000">
            <w:pPr>
              <w:pStyle w:val="aa"/>
              <w:ind w:right="567"/>
              <w:jc w:val="right"/>
              <w:rPr>
                <w:rFonts w:hint="eastAsia"/>
              </w:rPr>
            </w:pPr>
            <w:r>
              <w:rPr>
                <w:rFonts w:hint="eastAsia"/>
              </w:rPr>
              <w:t>39.9</w:t>
            </w:r>
          </w:p>
        </w:tc>
        <w:tc>
          <w:tcPr>
            <w:tcW w:w="1914" w:type="dxa"/>
          </w:tcPr>
          <w:p w:rsidR="00000000" w:rsidRDefault="00000000">
            <w:pPr>
              <w:pStyle w:val="aa"/>
              <w:ind w:right="567"/>
              <w:jc w:val="right"/>
              <w:rPr>
                <w:rFonts w:hint="eastAsia"/>
              </w:rPr>
            </w:pPr>
            <w:r>
              <w:rPr>
                <w:rFonts w:hint="eastAsia"/>
              </w:rPr>
              <w:t>32.7</w:t>
            </w:r>
          </w:p>
        </w:tc>
        <w:tc>
          <w:tcPr>
            <w:tcW w:w="1914" w:type="dxa"/>
          </w:tcPr>
          <w:p w:rsidR="00000000" w:rsidRDefault="00000000">
            <w:pPr>
              <w:pStyle w:val="aa"/>
              <w:ind w:right="567"/>
              <w:jc w:val="right"/>
              <w:rPr>
                <w:rFonts w:hint="eastAsia"/>
              </w:rPr>
            </w:pPr>
            <w:r>
              <w:rPr>
                <w:rFonts w:hint="eastAsia"/>
              </w:rPr>
              <w:t>32.4</w:t>
            </w:r>
          </w:p>
        </w:tc>
        <w:tc>
          <w:tcPr>
            <w:tcW w:w="1915" w:type="dxa"/>
          </w:tcPr>
          <w:p w:rsidR="00000000" w:rsidRDefault="00000000">
            <w:pPr>
              <w:pStyle w:val="aa"/>
              <w:ind w:right="567"/>
              <w:jc w:val="right"/>
              <w:rPr>
                <w:rFonts w:hint="eastAsia"/>
              </w:rPr>
            </w:pPr>
            <w:r>
              <w:rPr>
                <w:rFonts w:hint="eastAsia"/>
              </w:rPr>
              <w:t>39.6</w:t>
            </w:r>
          </w:p>
        </w:tc>
      </w:tr>
    </w:tbl>
    <w:p w:rsidR="00000000" w:rsidRDefault="00000000">
      <w:pPr>
        <w:rPr>
          <w:rFonts w:hint="eastAsia"/>
        </w:rPr>
      </w:pPr>
    </w:p>
    <w:p w:rsidR="00000000" w:rsidRDefault="00000000">
      <w:pPr>
        <w:rPr>
          <w:rFonts w:hint="eastAsia"/>
        </w:rPr>
      </w:pPr>
      <w:r>
        <w:rPr>
          <w:rFonts w:hint="eastAsia"/>
          <w:u w:val="single"/>
        </w:rPr>
        <w:t>1999</w:t>
      </w:r>
      <w:r>
        <w:rPr>
          <w:rFonts w:hint="eastAsia"/>
          <w:u w:val="single"/>
        </w:rPr>
        <w:t>年</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u w:val="single"/>
        </w:rPr>
        <w:t>单位：</w:t>
      </w:r>
      <w:r>
        <w:rPr>
          <w:rFonts w:hint="eastAsia"/>
          <w:u w:val="single"/>
        </w:rPr>
        <w:t>(</w:t>
      </w:r>
      <w:r>
        <w:rPr>
          <w:rFonts w:hint="eastAsia"/>
          <w:u w:val="single"/>
        </w:rPr>
        <w:t>千</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pStyle w:val="aa"/>
              <w:jc w:val="center"/>
              <w:rPr>
                <w:rFonts w:hint="eastAsia"/>
              </w:rPr>
            </w:pPr>
          </w:p>
        </w:tc>
        <w:tc>
          <w:tcPr>
            <w:tcW w:w="1914" w:type="dxa"/>
          </w:tcPr>
          <w:p w:rsidR="00000000" w:rsidRDefault="00000000">
            <w:pPr>
              <w:pStyle w:val="aa"/>
              <w:jc w:val="center"/>
              <w:rPr>
                <w:rFonts w:hint="eastAsia"/>
              </w:rPr>
            </w:pPr>
            <w:r>
              <w:rPr>
                <w:rFonts w:hint="eastAsia"/>
              </w:rPr>
              <w:t>第一季度</w:t>
            </w:r>
          </w:p>
        </w:tc>
        <w:tc>
          <w:tcPr>
            <w:tcW w:w="1914" w:type="dxa"/>
          </w:tcPr>
          <w:p w:rsidR="00000000" w:rsidRDefault="00000000">
            <w:pPr>
              <w:pStyle w:val="aa"/>
              <w:jc w:val="center"/>
              <w:rPr>
                <w:rFonts w:hint="eastAsia"/>
              </w:rPr>
            </w:pPr>
            <w:r>
              <w:rPr>
                <w:rFonts w:hint="eastAsia"/>
              </w:rPr>
              <w:t>第二季度</w:t>
            </w:r>
          </w:p>
        </w:tc>
        <w:tc>
          <w:tcPr>
            <w:tcW w:w="1914" w:type="dxa"/>
          </w:tcPr>
          <w:p w:rsidR="00000000" w:rsidRDefault="00000000">
            <w:pPr>
              <w:pStyle w:val="aa"/>
              <w:jc w:val="center"/>
              <w:rPr>
                <w:rFonts w:hint="eastAsia"/>
              </w:rPr>
            </w:pPr>
            <w:r>
              <w:rPr>
                <w:rFonts w:hint="eastAsia"/>
              </w:rPr>
              <w:t>第三季度</w:t>
            </w:r>
          </w:p>
        </w:tc>
        <w:tc>
          <w:tcPr>
            <w:tcW w:w="1915" w:type="dxa"/>
          </w:tcPr>
          <w:p w:rsidR="00000000" w:rsidRDefault="00000000">
            <w:pPr>
              <w:pStyle w:val="aa"/>
              <w:jc w:val="center"/>
              <w:rPr>
                <w:rFonts w:hint="eastAsia"/>
              </w:rPr>
            </w:pPr>
            <w:r>
              <w:rPr>
                <w:rFonts w:hint="eastAsia"/>
              </w:rPr>
              <w:t>第四季度</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男女共计</w:t>
            </w:r>
          </w:p>
        </w:tc>
        <w:tc>
          <w:tcPr>
            <w:tcW w:w="1914" w:type="dxa"/>
          </w:tcPr>
          <w:p w:rsidR="00000000" w:rsidRDefault="00000000">
            <w:pPr>
              <w:pStyle w:val="aa"/>
              <w:ind w:right="567"/>
              <w:jc w:val="right"/>
              <w:rPr>
                <w:rFonts w:hint="eastAsia"/>
              </w:rPr>
            </w:pPr>
            <w:r>
              <w:rPr>
                <w:rFonts w:hint="eastAsia"/>
              </w:rPr>
              <w:t>78.0</w:t>
            </w:r>
          </w:p>
        </w:tc>
        <w:tc>
          <w:tcPr>
            <w:tcW w:w="1914" w:type="dxa"/>
          </w:tcPr>
          <w:p w:rsidR="00000000" w:rsidRDefault="00000000">
            <w:pPr>
              <w:pStyle w:val="aa"/>
              <w:ind w:right="567"/>
              <w:jc w:val="right"/>
              <w:rPr>
                <w:rFonts w:hint="eastAsia"/>
              </w:rPr>
            </w:pPr>
            <w:r>
              <w:rPr>
                <w:rFonts w:hint="eastAsia"/>
              </w:rPr>
              <w:t>71.2</w:t>
            </w:r>
          </w:p>
        </w:tc>
        <w:tc>
          <w:tcPr>
            <w:tcW w:w="1914" w:type="dxa"/>
          </w:tcPr>
          <w:p w:rsidR="00000000" w:rsidRDefault="00000000">
            <w:pPr>
              <w:pStyle w:val="aa"/>
              <w:ind w:right="567"/>
              <w:jc w:val="right"/>
              <w:rPr>
                <w:rFonts w:hint="eastAsia"/>
              </w:rPr>
            </w:pPr>
            <w:r>
              <w:rPr>
                <w:rFonts w:hint="eastAsia"/>
              </w:rPr>
              <w:t>65.8</w:t>
            </w:r>
          </w:p>
        </w:tc>
        <w:tc>
          <w:tcPr>
            <w:tcW w:w="1915" w:type="dxa"/>
          </w:tcPr>
          <w:p w:rsidR="00000000" w:rsidRDefault="00000000">
            <w:pPr>
              <w:pStyle w:val="aa"/>
              <w:ind w:right="567"/>
              <w:jc w:val="right"/>
              <w:rPr>
                <w:rFonts w:hint="eastAsia"/>
              </w:rPr>
            </w:pPr>
            <w:r>
              <w:rPr>
                <w:rFonts w:hint="eastAsia"/>
              </w:rPr>
              <w:t>77.6</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男性</w:t>
            </w:r>
          </w:p>
        </w:tc>
        <w:tc>
          <w:tcPr>
            <w:tcW w:w="1914" w:type="dxa"/>
          </w:tcPr>
          <w:p w:rsidR="00000000" w:rsidRDefault="00000000">
            <w:pPr>
              <w:pStyle w:val="aa"/>
              <w:ind w:right="567"/>
              <w:jc w:val="right"/>
              <w:rPr>
                <w:rFonts w:hint="eastAsia"/>
              </w:rPr>
            </w:pPr>
            <w:r>
              <w:rPr>
                <w:rFonts w:hint="eastAsia"/>
              </w:rPr>
              <w:t>33.0</w:t>
            </w:r>
          </w:p>
        </w:tc>
        <w:tc>
          <w:tcPr>
            <w:tcW w:w="1914" w:type="dxa"/>
          </w:tcPr>
          <w:p w:rsidR="00000000" w:rsidRDefault="00000000">
            <w:pPr>
              <w:pStyle w:val="aa"/>
              <w:ind w:right="567"/>
              <w:jc w:val="right"/>
              <w:rPr>
                <w:rFonts w:hint="eastAsia"/>
              </w:rPr>
            </w:pPr>
            <w:r>
              <w:rPr>
                <w:rFonts w:hint="eastAsia"/>
              </w:rPr>
              <w:t>27.5</w:t>
            </w:r>
          </w:p>
        </w:tc>
        <w:tc>
          <w:tcPr>
            <w:tcW w:w="1914" w:type="dxa"/>
          </w:tcPr>
          <w:p w:rsidR="00000000" w:rsidRDefault="00000000">
            <w:pPr>
              <w:pStyle w:val="aa"/>
              <w:ind w:right="567"/>
              <w:jc w:val="right"/>
              <w:rPr>
                <w:rFonts w:hint="eastAsia"/>
              </w:rPr>
            </w:pPr>
            <w:r>
              <w:rPr>
                <w:rFonts w:hint="eastAsia"/>
              </w:rPr>
              <w:t>25.4</w:t>
            </w:r>
          </w:p>
        </w:tc>
        <w:tc>
          <w:tcPr>
            <w:tcW w:w="1915" w:type="dxa"/>
          </w:tcPr>
          <w:p w:rsidR="00000000" w:rsidRDefault="00000000">
            <w:pPr>
              <w:pStyle w:val="aa"/>
              <w:ind w:right="567"/>
              <w:jc w:val="right"/>
              <w:rPr>
                <w:rFonts w:hint="eastAsia"/>
              </w:rPr>
            </w:pPr>
            <w:r>
              <w:rPr>
                <w:rFonts w:hint="eastAsia"/>
              </w:rPr>
              <w:t>32.2</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女性</w:t>
            </w:r>
          </w:p>
        </w:tc>
        <w:tc>
          <w:tcPr>
            <w:tcW w:w="1914" w:type="dxa"/>
          </w:tcPr>
          <w:p w:rsidR="00000000" w:rsidRDefault="00000000">
            <w:pPr>
              <w:pStyle w:val="aa"/>
              <w:ind w:right="567"/>
              <w:jc w:val="right"/>
              <w:rPr>
                <w:rFonts w:hint="eastAsia"/>
              </w:rPr>
            </w:pPr>
            <w:r>
              <w:rPr>
                <w:rFonts w:hint="eastAsia"/>
              </w:rPr>
              <w:t>45.0</w:t>
            </w:r>
          </w:p>
        </w:tc>
        <w:tc>
          <w:tcPr>
            <w:tcW w:w="1914" w:type="dxa"/>
          </w:tcPr>
          <w:p w:rsidR="00000000" w:rsidRDefault="00000000">
            <w:pPr>
              <w:pStyle w:val="aa"/>
              <w:ind w:right="567"/>
              <w:jc w:val="right"/>
              <w:rPr>
                <w:rFonts w:hint="eastAsia"/>
              </w:rPr>
            </w:pPr>
            <w:r>
              <w:rPr>
                <w:rFonts w:hint="eastAsia"/>
              </w:rPr>
              <w:t>43.7</w:t>
            </w:r>
          </w:p>
        </w:tc>
        <w:tc>
          <w:tcPr>
            <w:tcW w:w="1914" w:type="dxa"/>
          </w:tcPr>
          <w:p w:rsidR="00000000" w:rsidRDefault="00000000">
            <w:pPr>
              <w:pStyle w:val="aa"/>
              <w:ind w:right="567"/>
              <w:jc w:val="right"/>
              <w:rPr>
                <w:rFonts w:hint="eastAsia"/>
              </w:rPr>
            </w:pPr>
            <w:r>
              <w:rPr>
                <w:rFonts w:hint="eastAsia"/>
              </w:rPr>
              <w:t>40.4</w:t>
            </w:r>
          </w:p>
        </w:tc>
        <w:tc>
          <w:tcPr>
            <w:tcW w:w="1915" w:type="dxa"/>
          </w:tcPr>
          <w:p w:rsidR="00000000" w:rsidRDefault="00000000">
            <w:pPr>
              <w:pStyle w:val="aa"/>
              <w:ind w:right="567"/>
              <w:jc w:val="right"/>
              <w:rPr>
                <w:rFonts w:hint="eastAsia"/>
              </w:rPr>
            </w:pPr>
            <w:r>
              <w:rPr>
                <w:rFonts w:hint="eastAsia"/>
              </w:rPr>
              <w:t>45.4</w:t>
            </w:r>
          </w:p>
        </w:tc>
      </w:tr>
    </w:tbl>
    <w:p w:rsidR="00000000" w:rsidRDefault="00000000">
      <w:pPr>
        <w:spacing w:line="480" w:lineRule="auto"/>
        <w:rPr>
          <w:rFonts w:hint="eastAsia"/>
        </w:rPr>
      </w:pPr>
    </w:p>
    <w:p w:rsidR="00000000" w:rsidRDefault="00000000">
      <w:pPr>
        <w:pStyle w:val="Heading3"/>
        <w:spacing w:after="160"/>
        <w:rPr>
          <w:rFonts w:hint="eastAsia"/>
        </w:rPr>
      </w:pPr>
      <w:r>
        <w:rPr>
          <w:rFonts w:hint="eastAsia"/>
          <w:u w:val="none"/>
        </w:rPr>
        <w:t xml:space="preserve">E.  </w:t>
      </w:r>
      <w:r>
        <w:rPr>
          <w:rFonts w:hint="eastAsia"/>
        </w:rPr>
        <w:t>失业妇女年龄组</w:t>
      </w:r>
      <w:r>
        <w:rPr>
          <w:rFonts w:hint="eastAsia"/>
          <w:u w:val="none"/>
        </w:rPr>
        <w:t>：</w:t>
      </w:r>
    </w:p>
    <w:p w:rsidR="00000000" w:rsidRDefault="00000000">
      <w:pPr>
        <w:rPr>
          <w:rFonts w:hint="eastAsia"/>
        </w:rPr>
      </w:pPr>
      <w:r>
        <w:rPr>
          <w:rFonts w:hint="eastAsia"/>
          <w:u w:val="single"/>
        </w:rPr>
        <w:t>1998</w:t>
      </w:r>
      <w:r>
        <w:rPr>
          <w:rFonts w:hint="eastAsia"/>
          <w:u w:val="single"/>
        </w:rPr>
        <w:t>年</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u w:val="single"/>
        </w:rPr>
        <w:t>单位：</w:t>
      </w:r>
      <w:r>
        <w:rPr>
          <w:rFonts w:hint="eastAsia"/>
          <w:u w:val="single"/>
        </w:rPr>
        <w:t>(</w:t>
      </w:r>
      <w:r>
        <w:rPr>
          <w:rFonts w:hint="eastAsia"/>
          <w:u w:val="single"/>
        </w:rPr>
        <w:t>千</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pStyle w:val="aa"/>
              <w:jc w:val="center"/>
              <w:rPr>
                <w:rFonts w:hint="eastAsia"/>
              </w:rPr>
            </w:pPr>
          </w:p>
        </w:tc>
        <w:tc>
          <w:tcPr>
            <w:tcW w:w="1914" w:type="dxa"/>
          </w:tcPr>
          <w:p w:rsidR="00000000" w:rsidRDefault="00000000">
            <w:pPr>
              <w:pStyle w:val="aa"/>
              <w:jc w:val="center"/>
              <w:rPr>
                <w:rFonts w:hint="eastAsia"/>
              </w:rPr>
            </w:pPr>
            <w:r>
              <w:rPr>
                <w:rFonts w:hint="eastAsia"/>
              </w:rPr>
              <w:t>第一季度</w:t>
            </w:r>
          </w:p>
        </w:tc>
        <w:tc>
          <w:tcPr>
            <w:tcW w:w="1914" w:type="dxa"/>
          </w:tcPr>
          <w:p w:rsidR="00000000" w:rsidRDefault="00000000">
            <w:pPr>
              <w:pStyle w:val="aa"/>
              <w:jc w:val="center"/>
              <w:rPr>
                <w:rFonts w:hint="eastAsia"/>
              </w:rPr>
            </w:pPr>
            <w:r>
              <w:rPr>
                <w:rFonts w:hint="eastAsia"/>
              </w:rPr>
              <w:t>第二季度</w:t>
            </w:r>
          </w:p>
        </w:tc>
        <w:tc>
          <w:tcPr>
            <w:tcW w:w="1914" w:type="dxa"/>
          </w:tcPr>
          <w:p w:rsidR="00000000" w:rsidRDefault="00000000">
            <w:pPr>
              <w:pStyle w:val="aa"/>
              <w:jc w:val="center"/>
              <w:rPr>
                <w:rFonts w:hint="eastAsia"/>
              </w:rPr>
            </w:pPr>
            <w:r>
              <w:rPr>
                <w:rFonts w:hint="eastAsia"/>
              </w:rPr>
              <w:t>第三季度</w:t>
            </w:r>
          </w:p>
        </w:tc>
        <w:tc>
          <w:tcPr>
            <w:tcW w:w="1915" w:type="dxa"/>
          </w:tcPr>
          <w:p w:rsidR="00000000" w:rsidRDefault="00000000">
            <w:pPr>
              <w:pStyle w:val="aa"/>
              <w:jc w:val="center"/>
              <w:rPr>
                <w:rFonts w:hint="eastAsia"/>
              </w:rPr>
            </w:pPr>
            <w:r>
              <w:rPr>
                <w:rFonts w:hint="eastAsia"/>
              </w:rPr>
              <w:t>第四季度</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女性</w:t>
            </w:r>
          </w:p>
        </w:tc>
        <w:tc>
          <w:tcPr>
            <w:tcW w:w="1914" w:type="dxa"/>
          </w:tcPr>
          <w:p w:rsidR="00000000" w:rsidRDefault="00000000">
            <w:pPr>
              <w:pStyle w:val="aa"/>
              <w:ind w:right="567"/>
              <w:jc w:val="right"/>
              <w:rPr>
                <w:rFonts w:hint="eastAsia"/>
              </w:rPr>
            </w:pPr>
            <w:r>
              <w:rPr>
                <w:rFonts w:hint="eastAsia"/>
              </w:rPr>
              <w:t>39.9</w:t>
            </w:r>
          </w:p>
        </w:tc>
        <w:tc>
          <w:tcPr>
            <w:tcW w:w="1914" w:type="dxa"/>
          </w:tcPr>
          <w:p w:rsidR="00000000" w:rsidRDefault="00000000">
            <w:pPr>
              <w:pStyle w:val="aa"/>
              <w:ind w:right="567"/>
              <w:jc w:val="right"/>
              <w:rPr>
                <w:rFonts w:hint="eastAsia"/>
              </w:rPr>
            </w:pPr>
            <w:r>
              <w:rPr>
                <w:rFonts w:hint="eastAsia"/>
              </w:rPr>
              <w:t>32.7</w:t>
            </w:r>
          </w:p>
        </w:tc>
        <w:tc>
          <w:tcPr>
            <w:tcW w:w="1914" w:type="dxa"/>
          </w:tcPr>
          <w:p w:rsidR="00000000" w:rsidRDefault="00000000">
            <w:pPr>
              <w:pStyle w:val="aa"/>
              <w:ind w:right="567"/>
              <w:jc w:val="right"/>
              <w:rPr>
                <w:rFonts w:hint="eastAsia"/>
              </w:rPr>
            </w:pPr>
            <w:r>
              <w:rPr>
                <w:rFonts w:hint="eastAsia"/>
              </w:rPr>
              <w:t>32.4</w:t>
            </w:r>
          </w:p>
        </w:tc>
        <w:tc>
          <w:tcPr>
            <w:tcW w:w="1915" w:type="dxa"/>
          </w:tcPr>
          <w:p w:rsidR="00000000" w:rsidRDefault="00000000">
            <w:pPr>
              <w:pStyle w:val="aa"/>
              <w:ind w:right="567"/>
              <w:jc w:val="right"/>
              <w:rPr>
                <w:rFonts w:hint="eastAsia"/>
              </w:rPr>
            </w:pPr>
            <w:r>
              <w:rPr>
                <w:rFonts w:hint="eastAsia"/>
              </w:rPr>
              <w:t>39.6</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15-19</w:t>
            </w:r>
            <w:r>
              <w:rPr>
                <w:rFonts w:hint="eastAsia"/>
              </w:rPr>
              <w:t>岁</w:t>
            </w:r>
          </w:p>
        </w:tc>
        <w:tc>
          <w:tcPr>
            <w:tcW w:w="1914" w:type="dxa"/>
          </w:tcPr>
          <w:p w:rsidR="00000000" w:rsidRDefault="00000000">
            <w:pPr>
              <w:pStyle w:val="aa"/>
              <w:ind w:right="567"/>
              <w:jc w:val="right"/>
              <w:rPr>
                <w:rFonts w:hint="eastAsia"/>
              </w:rPr>
            </w:pPr>
            <w:r>
              <w:rPr>
                <w:rFonts w:hint="eastAsia"/>
              </w:rPr>
              <w:t>5.0</w:t>
            </w:r>
          </w:p>
        </w:tc>
        <w:tc>
          <w:tcPr>
            <w:tcW w:w="1914" w:type="dxa"/>
          </w:tcPr>
          <w:p w:rsidR="00000000" w:rsidRDefault="00000000">
            <w:pPr>
              <w:pStyle w:val="aa"/>
              <w:ind w:right="567"/>
              <w:jc w:val="right"/>
              <w:rPr>
                <w:rFonts w:hint="eastAsia"/>
              </w:rPr>
            </w:pPr>
            <w:r>
              <w:rPr>
                <w:rFonts w:hint="eastAsia"/>
              </w:rPr>
              <w:t>4.5</w:t>
            </w:r>
          </w:p>
        </w:tc>
        <w:tc>
          <w:tcPr>
            <w:tcW w:w="1914" w:type="dxa"/>
          </w:tcPr>
          <w:p w:rsidR="00000000" w:rsidRDefault="00000000">
            <w:pPr>
              <w:pStyle w:val="aa"/>
              <w:ind w:right="567"/>
              <w:jc w:val="right"/>
              <w:rPr>
                <w:rFonts w:hint="eastAsia"/>
              </w:rPr>
            </w:pPr>
            <w:r>
              <w:rPr>
                <w:rFonts w:hint="eastAsia"/>
              </w:rPr>
              <w:t>5.7</w:t>
            </w:r>
          </w:p>
        </w:tc>
        <w:tc>
          <w:tcPr>
            <w:tcW w:w="1915" w:type="dxa"/>
          </w:tcPr>
          <w:p w:rsidR="00000000" w:rsidRDefault="00000000">
            <w:pPr>
              <w:pStyle w:val="aa"/>
              <w:ind w:right="567"/>
              <w:jc w:val="right"/>
              <w:rPr>
                <w:rFonts w:hint="eastAsia"/>
              </w:rPr>
            </w:pPr>
            <w:r>
              <w:rPr>
                <w:rFonts w:hint="eastAsia"/>
              </w:rPr>
              <w:t>5.1</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20-24</w:t>
            </w:r>
            <w:r>
              <w:rPr>
                <w:rFonts w:hint="eastAsia"/>
              </w:rPr>
              <w:t>岁</w:t>
            </w:r>
          </w:p>
        </w:tc>
        <w:tc>
          <w:tcPr>
            <w:tcW w:w="1914" w:type="dxa"/>
          </w:tcPr>
          <w:p w:rsidR="00000000" w:rsidRDefault="00000000">
            <w:pPr>
              <w:pStyle w:val="aa"/>
              <w:ind w:right="567"/>
              <w:jc w:val="right"/>
              <w:rPr>
                <w:rFonts w:hint="eastAsia"/>
              </w:rPr>
            </w:pPr>
            <w:r>
              <w:rPr>
                <w:rFonts w:hint="eastAsia"/>
              </w:rPr>
              <w:t>13.9</w:t>
            </w:r>
          </w:p>
        </w:tc>
        <w:tc>
          <w:tcPr>
            <w:tcW w:w="1914" w:type="dxa"/>
          </w:tcPr>
          <w:p w:rsidR="00000000" w:rsidRDefault="00000000">
            <w:pPr>
              <w:pStyle w:val="aa"/>
              <w:ind w:right="567"/>
              <w:jc w:val="right"/>
              <w:rPr>
                <w:rFonts w:hint="eastAsia"/>
              </w:rPr>
            </w:pPr>
            <w:r>
              <w:rPr>
                <w:rFonts w:hint="eastAsia"/>
              </w:rPr>
              <w:t>11.5</w:t>
            </w:r>
          </w:p>
        </w:tc>
        <w:tc>
          <w:tcPr>
            <w:tcW w:w="1914" w:type="dxa"/>
          </w:tcPr>
          <w:p w:rsidR="00000000" w:rsidRDefault="00000000">
            <w:pPr>
              <w:pStyle w:val="aa"/>
              <w:ind w:right="567"/>
              <w:jc w:val="right"/>
              <w:rPr>
                <w:rFonts w:hint="eastAsia"/>
              </w:rPr>
            </w:pPr>
            <w:r>
              <w:rPr>
                <w:rFonts w:hint="eastAsia"/>
              </w:rPr>
              <w:t>12.2</w:t>
            </w:r>
          </w:p>
        </w:tc>
        <w:tc>
          <w:tcPr>
            <w:tcW w:w="1915" w:type="dxa"/>
          </w:tcPr>
          <w:p w:rsidR="00000000" w:rsidRDefault="00000000">
            <w:pPr>
              <w:pStyle w:val="aa"/>
              <w:ind w:right="567"/>
              <w:jc w:val="right"/>
              <w:rPr>
                <w:rFonts w:hint="eastAsia"/>
              </w:rPr>
            </w:pPr>
            <w:r>
              <w:rPr>
                <w:rFonts w:hint="eastAsia"/>
              </w:rPr>
              <w:t>13.2</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25-29</w:t>
            </w:r>
            <w:r>
              <w:rPr>
                <w:rFonts w:hint="eastAsia"/>
              </w:rPr>
              <w:t>岁</w:t>
            </w:r>
          </w:p>
        </w:tc>
        <w:tc>
          <w:tcPr>
            <w:tcW w:w="1914" w:type="dxa"/>
          </w:tcPr>
          <w:p w:rsidR="00000000" w:rsidRDefault="00000000">
            <w:pPr>
              <w:pStyle w:val="aa"/>
              <w:ind w:right="567"/>
              <w:jc w:val="right"/>
              <w:rPr>
                <w:rFonts w:hint="eastAsia"/>
              </w:rPr>
            </w:pPr>
            <w:r>
              <w:rPr>
                <w:rFonts w:hint="eastAsia"/>
              </w:rPr>
              <w:t>6.3</w:t>
            </w:r>
          </w:p>
        </w:tc>
        <w:tc>
          <w:tcPr>
            <w:tcW w:w="1914" w:type="dxa"/>
          </w:tcPr>
          <w:p w:rsidR="00000000" w:rsidRDefault="00000000">
            <w:pPr>
              <w:pStyle w:val="aa"/>
              <w:ind w:right="567"/>
              <w:jc w:val="right"/>
              <w:rPr>
                <w:rFonts w:hint="eastAsia"/>
              </w:rPr>
            </w:pPr>
            <w:r>
              <w:rPr>
                <w:rFonts w:hint="eastAsia"/>
              </w:rPr>
              <w:t>6.4</w:t>
            </w:r>
          </w:p>
        </w:tc>
        <w:tc>
          <w:tcPr>
            <w:tcW w:w="1914" w:type="dxa"/>
          </w:tcPr>
          <w:p w:rsidR="00000000" w:rsidRDefault="00000000">
            <w:pPr>
              <w:pStyle w:val="aa"/>
              <w:ind w:right="567"/>
              <w:jc w:val="right"/>
              <w:rPr>
                <w:rFonts w:hint="eastAsia"/>
              </w:rPr>
            </w:pPr>
            <w:r>
              <w:rPr>
                <w:rFonts w:hint="eastAsia"/>
              </w:rPr>
              <w:t>5.2</w:t>
            </w:r>
          </w:p>
        </w:tc>
        <w:tc>
          <w:tcPr>
            <w:tcW w:w="1915" w:type="dxa"/>
          </w:tcPr>
          <w:p w:rsidR="00000000" w:rsidRDefault="00000000">
            <w:pPr>
              <w:pStyle w:val="aa"/>
              <w:ind w:right="567"/>
              <w:jc w:val="right"/>
              <w:rPr>
                <w:rFonts w:hint="eastAsia"/>
              </w:rPr>
            </w:pPr>
            <w:r>
              <w:rPr>
                <w:rFonts w:hint="eastAsia"/>
              </w:rPr>
              <w:t>7.4</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30-44</w:t>
            </w:r>
            <w:r>
              <w:rPr>
                <w:rFonts w:hint="eastAsia"/>
              </w:rPr>
              <w:t>岁</w:t>
            </w:r>
          </w:p>
        </w:tc>
        <w:tc>
          <w:tcPr>
            <w:tcW w:w="1914" w:type="dxa"/>
          </w:tcPr>
          <w:p w:rsidR="00000000" w:rsidRDefault="00000000">
            <w:pPr>
              <w:pStyle w:val="aa"/>
              <w:ind w:right="567"/>
              <w:jc w:val="right"/>
              <w:rPr>
                <w:rFonts w:hint="eastAsia"/>
              </w:rPr>
            </w:pPr>
            <w:r>
              <w:rPr>
                <w:rFonts w:hint="eastAsia"/>
              </w:rPr>
              <w:t>10.1</w:t>
            </w:r>
          </w:p>
        </w:tc>
        <w:tc>
          <w:tcPr>
            <w:tcW w:w="1914" w:type="dxa"/>
          </w:tcPr>
          <w:p w:rsidR="00000000" w:rsidRDefault="00000000">
            <w:pPr>
              <w:pStyle w:val="aa"/>
              <w:ind w:right="567"/>
              <w:jc w:val="right"/>
              <w:rPr>
                <w:rFonts w:hint="eastAsia"/>
              </w:rPr>
            </w:pPr>
            <w:r>
              <w:rPr>
                <w:rFonts w:hint="eastAsia"/>
              </w:rPr>
              <w:t>7.5</w:t>
            </w:r>
          </w:p>
        </w:tc>
        <w:tc>
          <w:tcPr>
            <w:tcW w:w="1914" w:type="dxa"/>
          </w:tcPr>
          <w:p w:rsidR="00000000" w:rsidRDefault="00000000">
            <w:pPr>
              <w:pStyle w:val="aa"/>
              <w:ind w:right="567"/>
              <w:jc w:val="right"/>
              <w:rPr>
                <w:rFonts w:hint="eastAsia"/>
              </w:rPr>
            </w:pPr>
            <w:r>
              <w:rPr>
                <w:rFonts w:hint="eastAsia"/>
              </w:rPr>
              <w:t>7.0</w:t>
            </w:r>
          </w:p>
        </w:tc>
        <w:tc>
          <w:tcPr>
            <w:tcW w:w="1915" w:type="dxa"/>
          </w:tcPr>
          <w:p w:rsidR="00000000" w:rsidRDefault="00000000">
            <w:pPr>
              <w:pStyle w:val="aa"/>
              <w:ind w:right="567"/>
              <w:jc w:val="right"/>
              <w:rPr>
                <w:rFonts w:hint="eastAsia"/>
              </w:rPr>
            </w:pPr>
            <w:r>
              <w:rPr>
                <w:rFonts w:hint="eastAsia"/>
              </w:rPr>
              <w:t>9.7</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45-64</w:t>
            </w:r>
            <w:r>
              <w:rPr>
                <w:rFonts w:hint="eastAsia"/>
              </w:rPr>
              <w:t>岁</w:t>
            </w:r>
          </w:p>
        </w:tc>
        <w:tc>
          <w:tcPr>
            <w:tcW w:w="1914" w:type="dxa"/>
          </w:tcPr>
          <w:p w:rsidR="00000000" w:rsidRDefault="00000000">
            <w:pPr>
              <w:pStyle w:val="aa"/>
              <w:ind w:right="567"/>
              <w:jc w:val="right"/>
              <w:rPr>
                <w:rFonts w:hint="eastAsia"/>
              </w:rPr>
            </w:pPr>
            <w:r>
              <w:rPr>
                <w:rFonts w:hint="eastAsia"/>
              </w:rPr>
              <w:t>4.5</w:t>
            </w:r>
          </w:p>
        </w:tc>
        <w:tc>
          <w:tcPr>
            <w:tcW w:w="1914" w:type="dxa"/>
          </w:tcPr>
          <w:p w:rsidR="00000000" w:rsidRDefault="00000000">
            <w:pPr>
              <w:pStyle w:val="aa"/>
              <w:ind w:right="567"/>
              <w:jc w:val="right"/>
              <w:rPr>
                <w:rFonts w:hint="eastAsia"/>
              </w:rPr>
            </w:pPr>
            <w:r>
              <w:rPr>
                <w:rFonts w:hint="eastAsia"/>
              </w:rPr>
              <w:t>2.8</w:t>
            </w:r>
          </w:p>
        </w:tc>
        <w:tc>
          <w:tcPr>
            <w:tcW w:w="1914" w:type="dxa"/>
          </w:tcPr>
          <w:p w:rsidR="00000000" w:rsidRDefault="00000000">
            <w:pPr>
              <w:pStyle w:val="aa"/>
              <w:ind w:right="567"/>
              <w:jc w:val="right"/>
              <w:rPr>
                <w:rFonts w:hint="eastAsia"/>
              </w:rPr>
            </w:pPr>
            <w:r>
              <w:rPr>
                <w:rFonts w:hint="eastAsia"/>
              </w:rPr>
              <w:t>2.3</w:t>
            </w:r>
          </w:p>
        </w:tc>
        <w:tc>
          <w:tcPr>
            <w:tcW w:w="1915" w:type="dxa"/>
          </w:tcPr>
          <w:p w:rsidR="00000000" w:rsidRDefault="00000000">
            <w:pPr>
              <w:pStyle w:val="aa"/>
              <w:ind w:right="567"/>
              <w:jc w:val="right"/>
            </w:pPr>
            <w:r>
              <w:rPr>
                <w:rFonts w:hint="eastAsia"/>
              </w:rPr>
              <w:t>4.1</w:t>
            </w:r>
          </w:p>
        </w:tc>
      </w:tr>
    </w:tbl>
    <w:p w:rsidR="00000000" w:rsidRDefault="00000000">
      <w:pPr>
        <w:rPr>
          <w:rFonts w:hint="eastAsia"/>
        </w:rPr>
      </w:pPr>
    </w:p>
    <w:p w:rsidR="00000000" w:rsidRDefault="00000000">
      <w:pPr>
        <w:rPr>
          <w:rFonts w:hint="eastAsia"/>
        </w:rPr>
      </w:pPr>
      <w:r>
        <w:rPr>
          <w:rFonts w:hint="eastAsia"/>
          <w:u w:val="single"/>
        </w:rPr>
        <w:t>1999</w:t>
      </w:r>
      <w:r>
        <w:rPr>
          <w:rFonts w:hint="eastAsia"/>
          <w:u w:val="single"/>
        </w:rPr>
        <w:t>年</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Pr>
          <w:rFonts w:hint="eastAsia"/>
          <w:u w:val="single"/>
        </w:rPr>
        <w:t>单位：</w:t>
      </w:r>
      <w:r>
        <w:rPr>
          <w:rFonts w:hint="eastAsia"/>
          <w:u w:val="single"/>
        </w:rPr>
        <w:t>(</w:t>
      </w:r>
      <w:r>
        <w:rPr>
          <w:rFonts w:hint="eastAsia"/>
          <w:u w:val="single"/>
        </w:rPr>
        <w:t>千</w:t>
      </w:r>
      <w:r>
        <w:rPr>
          <w:rFonts w:hint="eastAsia"/>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pStyle w:val="aa"/>
              <w:jc w:val="center"/>
              <w:rPr>
                <w:rFonts w:hint="eastAsia"/>
              </w:rPr>
            </w:pPr>
          </w:p>
        </w:tc>
        <w:tc>
          <w:tcPr>
            <w:tcW w:w="1914" w:type="dxa"/>
          </w:tcPr>
          <w:p w:rsidR="00000000" w:rsidRDefault="00000000">
            <w:pPr>
              <w:pStyle w:val="aa"/>
              <w:jc w:val="center"/>
              <w:rPr>
                <w:rFonts w:hint="eastAsia"/>
              </w:rPr>
            </w:pPr>
            <w:r>
              <w:rPr>
                <w:rFonts w:hint="eastAsia"/>
              </w:rPr>
              <w:t>第一季度</w:t>
            </w:r>
          </w:p>
        </w:tc>
        <w:tc>
          <w:tcPr>
            <w:tcW w:w="1914" w:type="dxa"/>
          </w:tcPr>
          <w:p w:rsidR="00000000" w:rsidRDefault="00000000">
            <w:pPr>
              <w:pStyle w:val="aa"/>
              <w:jc w:val="center"/>
              <w:rPr>
                <w:rFonts w:hint="eastAsia"/>
              </w:rPr>
            </w:pPr>
            <w:r>
              <w:rPr>
                <w:rFonts w:hint="eastAsia"/>
              </w:rPr>
              <w:t>第二季度</w:t>
            </w:r>
          </w:p>
        </w:tc>
        <w:tc>
          <w:tcPr>
            <w:tcW w:w="1914" w:type="dxa"/>
          </w:tcPr>
          <w:p w:rsidR="00000000" w:rsidRDefault="00000000">
            <w:pPr>
              <w:pStyle w:val="aa"/>
              <w:jc w:val="center"/>
              <w:rPr>
                <w:rFonts w:hint="eastAsia"/>
              </w:rPr>
            </w:pPr>
            <w:r>
              <w:rPr>
                <w:rFonts w:hint="eastAsia"/>
              </w:rPr>
              <w:t>第三季度</w:t>
            </w:r>
          </w:p>
        </w:tc>
        <w:tc>
          <w:tcPr>
            <w:tcW w:w="1915" w:type="dxa"/>
          </w:tcPr>
          <w:p w:rsidR="00000000" w:rsidRDefault="00000000">
            <w:pPr>
              <w:pStyle w:val="aa"/>
              <w:jc w:val="center"/>
              <w:rPr>
                <w:rFonts w:hint="eastAsia"/>
              </w:rPr>
            </w:pPr>
            <w:r>
              <w:rPr>
                <w:rFonts w:hint="eastAsia"/>
              </w:rPr>
              <w:t>第四季度</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女性</w:t>
            </w:r>
          </w:p>
        </w:tc>
        <w:tc>
          <w:tcPr>
            <w:tcW w:w="1914" w:type="dxa"/>
          </w:tcPr>
          <w:p w:rsidR="00000000" w:rsidRDefault="00000000">
            <w:pPr>
              <w:pStyle w:val="aa"/>
              <w:ind w:right="567"/>
              <w:jc w:val="right"/>
              <w:rPr>
                <w:rFonts w:hint="eastAsia"/>
              </w:rPr>
            </w:pPr>
            <w:r>
              <w:rPr>
                <w:rFonts w:hint="eastAsia"/>
              </w:rPr>
              <w:t>45.0</w:t>
            </w:r>
          </w:p>
        </w:tc>
        <w:tc>
          <w:tcPr>
            <w:tcW w:w="1914" w:type="dxa"/>
          </w:tcPr>
          <w:p w:rsidR="00000000" w:rsidRDefault="00000000">
            <w:pPr>
              <w:pStyle w:val="aa"/>
              <w:ind w:right="567"/>
              <w:jc w:val="right"/>
              <w:rPr>
                <w:rFonts w:hint="eastAsia"/>
              </w:rPr>
            </w:pPr>
            <w:r>
              <w:rPr>
                <w:rFonts w:hint="eastAsia"/>
              </w:rPr>
              <w:t>43.7</w:t>
            </w:r>
          </w:p>
        </w:tc>
        <w:tc>
          <w:tcPr>
            <w:tcW w:w="1914" w:type="dxa"/>
          </w:tcPr>
          <w:p w:rsidR="00000000" w:rsidRDefault="00000000">
            <w:pPr>
              <w:pStyle w:val="aa"/>
              <w:ind w:right="567"/>
              <w:jc w:val="right"/>
              <w:rPr>
                <w:rFonts w:hint="eastAsia"/>
              </w:rPr>
            </w:pPr>
            <w:r>
              <w:rPr>
                <w:rFonts w:hint="eastAsia"/>
              </w:rPr>
              <w:t>40.4</w:t>
            </w:r>
          </w:p>
        </w:tc>
        <w:tc>
          <w:tcPr>
            <w:tcW w:w="1915" w:type="dxa"/>
          </w:tcPr>
          <w:p w:rsidR="00000000" w:rsidRDefault="00000000">
            <w:pPr>
              <w:pStyle w:val="aa"/>
              <w:ind w:right="567"/>
              <w:jc w:val="right"/>
              <w:rPr>
                <w:rFonts w:hint="eastAsia"/>
              </w:rPr>
            </w:pPr>
            <w:r>
              <w:rPr>
                <w:rFonts w:hint="eastAsia"/>
              </w:rPr>
              <w:t>45.4</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15-19</w:t>
            </w:r>
            <w:r>
              <w:rPr>
                <w:rFonts w:hint="eastAsia"/>
              </w:rPr>
              <w:t>岁</w:t>
            </w:r>
          </w:p>
        </w:tc>
        <w:tc>
          <w:tcPr>
            <w:tcW w:w="1914" w:type="dxa"/>
          </w:tcPr>
          <w:p w:rsidR="00000000" w:rsidRDefault="00000000">
            <w:pPr>
              <w:pStyle w:val="aa"/>
              <w:ind w:right="567"/>
              <w:jc w:val="right"/>
              <w:rPr>
                <w:rFonts w:hint="eastAsia"/>
              </w:rPr>
            </w:pPr>
            <w:r>
              <w:rPr>
                <w:rFonts w:hint="eastAsia"/>
              </w:rPr>
              <w:t>5.7</w:t>
            </w:r>
          </w:p>
        </w:tc>
        <w:tc>
          <w:tcPr>
            <w:tcW w:w="1914" w:type="dxa"/>
          </w:tcPr>
          <w:p w:rsidR="00000000" w:rsidRDefault="00000000">
            <w:pPr>
              <w:pStyle w:val="aa"/>
              <w:ind w:right="567"/>
              <w:jc w:val="right"/>
              <w:rPr>
                <w:rFonts w:hint="eastAsia"/>
              </w:rPr>
            </w:pPr>
            <w:r>
              <w:rPr>
                <w:rFonts w:hint="eastAsia"/>
              </w:rPr>
              <w:t>5.2</w:t>
            </w:r>
          </w:p>
        </w:tc>
        <w:tc>
          <w:tcPr>
            <w:tcW w:w="1914" w:type="dxa"/>
          </w:tcPr>
          <w:p w:rsidR="00000000" w:rsidRDefault="00000000">
            <w:pPr>
              <w:pStyle w:val="aa"/>
              <w:ind w:right="567"/>
              <w:jc w:val="right"/>
              <w:rPr>
                <w:rFonts w:hint="eastAsia"/>
              </w:rPr>
            </w:pPr>
            <w:r>
              <w:rPr>
                <w:rFonts w:hint="eastAsia"/>
              </w:rPr>
              <w:t>5.9</w:t>
            </w:r>
          </w:p>
        </w:tc>
        <w:tc>
          <w:tcPr>
            <w:tcW w:w="1915" w:type="dxa"/>
          </w:tcPr>
          <w:p w:rsidR="00000000" w:rsidRDefault="00000000">
            <w:pPr>
              <w:pStyle w:val="aa"/>
              <w:ind w:right="567"/>
              <w:jc w:val="right"/>
              <w:rPr>
                <w:rFonts w:hint="eastAsia"/>
              </w:rPr>
            </w:pPr>
            <w:r>
              <w:rPr>
                <w:rFonts w:hint="eastAsia"/>
              </w:rPr>
              <w:t>6.1</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20-24</w:t>
            </w:r>
            <w:r>
              <w:rPr>
                <w:rFonts w:hint="eastAsia"/>
              </w:rPr>
              <w:t>岁</w:t>
            </w:r>
          </w:p>
        </w:tc>
        <w:tc>
          <w:tcPr>
            <w:tcW w:w="1914" w:type="dxa"/>
          </w:tcPr>
          <w:p w:rsidR="00000000" w:rsidRDefault="00000000">
            <w:pPr>
              <w:pStyle w:val="aa"/>
              <w:ind w:right="567"/>
              <w:jc w:val="right"/>
              <w:rPr>
                <w:rFonts w:hint="eastAsia"/>
              </w:rPr>
            </w:pPr>
            <w:r>
              <w:rPr>
                <w:rFonts w:hint="eastAsia"/>
              </w:rPr>
              <w:t>12.9</w:t>
            </w:r>
          </w:p>
        </w:tc>
        <w:tc>
          <w:tcPr>
            <w:tcW w:w="1914" w:type="dxa"/>
          </w:tcPr>
          <w:p w:rsidR="00000000" w:rsidRDefault="00000000">
            <w:pPr>
              <w:pStyle w:val="aa"/>
              <w:ind w:right="567"/>
              <w:jc w:val="right"/>
              <w:rPr>
                <w:rFonts w:hint="eastAsia"/>
              </w:rPr>
            </w:pPr>
            <w:r>
              <w:rPr>
                <w:rFonts w:hint="eastAsia"/>
              </w:rPr>
              <w:t>13.5</w:t>
            </w:r>
          </w:p>
        </w:tc>
        <w:tc>
          <w:tcPr>
            <w:tcW w:w="1914" w:type="dxa"/>
          </w:tcPr>
          <w:p w:rsidR="00000000" w:rsidRDefault="00000000">
            <w:pPr>
              <w:pStyle w:val="aa"/>
              <w:ind w:right="567"/>
              <w:jc w:val="right"/>
              <w:rPr>
                <w:rFonts w:hint="eastAsia"/>
              </w:rPr>
            </w:pPr>
            <w:r>
              <w:rPr>
                <w:rFonts w:hint="eastAsia"/>
              </w:rPr>
              <w:t>11.5</w:t>
            </w:r>
          </w:p>
        </w:tc>
        <w:tc>
          <w:tcPr>
            <w:tcW w:w="1915" w:type="dxa"/>
          </w:tcPr>
          <w:p w:rsidR="00000000" w:rsidRDefault="00000000">
            <w:pPr>
              <w:pStyle w:val="aa"/>
              <w:ind w:right="567"/>
              <w:jc w:val="right"/>
              <w:rPr>
                <w:rFonts w:hint="eastAsia"/>
              </w:rPr>
            </w:pPr>
            <w:r>
              <w:rPr>
                <w:rFonts w:hint="eastAsia"/>
              </w:rPr>
              <w:t>12.3</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25-29</w:t>
            </w:r>
            <w:r>
              <w:rPr>
                <w:rFonts w:hint="eastAsia"/>
              </w:rPr>
              <w:t>岁</w:t>
            </w:r>
          </w:p>
        </w:tc>
        <w:tc>
          <w:tcPr>
            <w:tcW w:w="1914" w:type="dxa"/>
          </w:tcPr>
          <w:p w:rsidR="00000000" w:rsidRDefault="00000000">
            <w:pPr>
              <w:pStyle w:val="aa"/>
              <w:ind w:right="567"/>
              <w:jc w:val="right"/>
              <w:rPr>
                <w:rFonts w:hint="eastAsia"/>
              </w:rPr>
            </w:pPr>
            <w:r>
              <w:rPr>
                <w:rFonts w:hint="eastAsia"/>
              </w:rPr>
              <w:t>9.0</w:t>
            </w:r>
          </w:p>
        </w:tc>
        <w:tc>
          <w:tcPr>
            <w:tcW w:w="1914" w:type="dxa"/>
          </w:tcPr>
          <w:p w:rsidR="00000000" w:rsidRDefault="00000000">
            <w:pPr>
              <w:pStyle w:val="aa"/>
              <w:ind w:right="567"/>
              <w:jc w:val="right"/>
              <w:rPr>
                <w:rFonts w:hint="eastAsia"/>
              </w:rPr>
            </w:pPr>
            <w:r>
              <w:rPr>
                <w:rFonts w:hint="eastAsia"/>
              </w:rPr>
              <w:t>8.5</w:t>
            </w:r>
          </w:p>
        </w:tc>
        <w:tc>
          <w:tcPr>
            <w:tcW w:w="1914" w:type="dxa"/>
          </w:tcPr>
          <w:p w:rsidR="00000000" w:rsidRDefault="00000000">
            <w:pPr>
              <w:pStyle w:val="aa"/>
              <w:ind w:right="567"/>
              <w:jc w:val="right"/>
              <w:rPr>
                <w:rFonts w:hint="eastAsia"/>
              </w:rPr>
            </w:pPr>
            <w:r>
              <w:rPr>
                <w:rFonts w:hint="eastAsia"/>
              </w:rPr>
              <w:t>8.4</w:t>
            </w:r>
          </w:p>
        </w:tc>
        <w:tc>
          <w:tcPr>
            <w:tcW w:w="1915" w:type="dxa"/>
          </w:tcPr>
          <w:p w:rsidR="00000000" w:rsidRDefault="00000000">
            <w:pPr>
              <w:pStyle w:val="aa"/>
              <w:ind w:right="567"/>
              <w:jc w:val="right"/>
              <w:rPr>
                <w:rFonts w:hint="eastAsia"/>
              </w:rPr>
            </w:pPr>
            <w:r>
              <w:rPr>
                <w:rFonts w:hint="eastAsia"/>
              </w:rPr>
              <w:t>8.4</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30-44</w:t>
            </w:r>
            <w:r>
              <w:rPr>
                <w:rFonts w:hint="eastAsia"/>
              </w:rPr>
              <w:t>岁</w:t>
            </w:r>
          </w:p>
        </w:tc>
        <w:tc>
          <w:tcPr>
            <w:tcW w:w="1914" w:type="dxa"/>
          </w:tcPr>
          <w:p w:rsidR="00000000" w:rsidRDefault="00000000">
            <w:pPr>
              <w:pStyle w:val="aa"/>
              <w:ind w:right="567"/>
              <w:jc w:val="right"/>
              <w:rPr>
                <w:rFonts w:hint="eastAsia"/>
              </w:rPr>
            </w:pPr>
            <w:r>
              <w:rPr>
                <w:rFonts w:hint="eastAsia"/>
              </w:rPr>
              <w:t>11.8</w:t>
            </w:r>
          </w:p>
        </w:tc>
        <w:tc>
          <w:tcPr>
            <w:tcW w:w="1914" w:type="dxa"/>
          </w:tcPr>
          <w:p w:rsidR="00000000" w:rsidRDefault="00000000">
            <w:pPr>
              <w:pStyle w:val="aa"/>
              <w:ind w:right="567"/>
              <w:jc w:val="right"/>
              <w:rPr>
                <w:rFonts w:hint="eastAsia"/>
              </w:rPr>
            </w:pPr>
            <w:r>
              <w:rPr>
                <w:rFonts w:hint="eastAsia"/>
              </w:rPr>
              <w:t>10.1</w:t>
            </w:r>
          </w:p>
        </w:tc>
        <w:tc>
          <w:tcPr>
            <w:tcW w:w="1914" w:type="dxa"/>
          </w:tcPr>
          <w:p w:rsidR="00000000" w:rsidRDefault="00000000">
            <w:pPr>
              <w:pStyle w:val="aa"/>
              <w:ind w:right="567"/>
              <w:jc w:val="right"/>
              <w:rPr>
                <w:rFonts w:hint="eastAsia"/>
              </w:rPr>
            </w:pPr>
            <w:r>
              <w:rPr>
                <w:rFonts w:hint="eastAsia"/>
              </w:rPr>
              <w:t>10.0</w:t>
            </w:r>
          </w:p>
        </w:tc>
        <w:tc>
          <w:tcPr>
            <w:tcW w:w="1915" w:type="dxa"/>
          </w:tcPr>
          <w:p w:rsidR="00000000" w:rsidRDefault="00000000">
            <w:pPr>
              <w:pStyle w:val="aa"/>
              <w:ind w:right="567"/>
              <w:jc w:val="right"/>
              <w:rPr>
                <w:rFonts w:hint="eastAsia"/>
              </w:rPr>
            </w:pPr>
            <w:r>
              <w:rPr>
                <w:rFonts w:hint="eastAsia"/>
              </w:rPr>
              <w:t>13.3</w:t>
            </w:r>
          </w:p>
        </w:tc>
      </w:tr>
      <w:tr w:rsidR="00000000">
        <w:tblPrEx>
          <w:tblCellMar>
            <w:top w:w="0" w:type="dxa"/>
            <w:bottom w:w="0" w:type="dxa"/>
          </w:tblCellMar>
        </w:tblPrEx>
        <w:tc>
          <w:tcPr>
            <w:tcW w:w="1914" w:type="dxa"/>
          </w:tcPr>
          <w:p w:rsidR="00000000" w:rsidRDefault="00000000">
            <w:pPr>
              <w:pStyle w:val="aa"/>
              <w:rPr>
                <w:rFonts w:hint="eastAsia"/>
              </w:rPr>
            </w:pPr>
            <w:r>
              <w:rPr>
                <w:rFonts w:hint="eastAsia"/>
              </w:rPr>
              <w:t>45-64</w:t>
            </w:r>
            <w:r>
              <w:rPr>
                <w:rFonts w:hint="eastAsia"/>
              </w:rPr>
              <w:t>岁</w:t>
            </w:r>
          </w:p>
        </w:tc>
        <w:tc>
          <w:tcPr>
            <w:tcW w:w="1914" w:type="dxa"/>
          </w:tcPr>
          <w:p w:rsidR="00000000" w:rsidRDefault="00000000">
            <w:pPr>
              <w:pStyle w:val="aa"/>
              <w:ind w:right="567"/>
              <w:jc w:val="right"/>
              <w:rPr>
                <w:rFonts w:hint="eastAsia"/>
              </w:rPr>
            </w:pPr>
            <w:r>
              <w:rPr>
                <w:rFonts w:hint="eastAsia"/>
              </w:rPr>
              <w:t>5.7</w:t>
            </w:r>
          </w:p>
        </w:tc>
        <w:tc>
          <w:tcPr>
            <w:tcW w:w="1914" w:type="dxa"/>
          </w:tcPr>
          <w:p w:rsidR="00000000" w:rsidRDefault="00000000">
            <w:pPr>
              <w:pStyle w:val="aa"/>
              <w:ind w:right="567"/>
              <w:jc w:val="right"/>
              <w:rPr>
                <w:rFonts w:hint="eastAsia"/>
              </w:rPr>
            </w:pPr>
            <w:r>
              <w:rPr>
                <w:rFonts w:hint="eastAsia"/>
              </w:rPr>
              <w:t>6.5</w:t>
            </w:r>
          </w:p>
        </w:tc>
        <w:tc>
          <w:tcPr>
            <w:tcW w:w="1914" w:type="dxa"/>
          </w:tcPr>
          <w:p w:rsidR="00000000" w:rsidRDefault="00000000">
            <w:pPr>
              <w:pStyle w:val="aa"/>
              <w:ind w:right="567"/>
              <w:jc w:val="right"/>
              <w:rPr>
                <w:rFonts w:hint="eastAsia"/>
              </w:rPr>
            </w:pPr>
            <w:r>
              <w:rPr>
                <w:rFonts w:hint="eastAsia"/>
              </w:rPr>
              <w:t>4.7</w:t>
            </w:r>
          </w:p>
        </w:tc>
        <w:tc>
          <w:tcPr>
            <w:tcW w:w="1915" w:type="dxa"/>
          </w:tcPr>
          <w:p w:rsidR="00000000" w:rsidRDefault="00000000">
            <w:pPr>
              <w:pStyle w:val="aa"/>
              <w:ind w:right="567"/>
              <w:jc w:val="right"/>
              <w:rPr>
                <w:rFonts w:hint="eastAsia"/>
              </w:rPr>
            </w:pPr>
            <w:r>
              <w:rPr>
                <w:rFonts w:hint="eastAsia"/>
              </w:rPr>
              <w:t>5.4</w:t>
            </w:r>
          </w:p>
        </w:tc>
      </w:tr>
    </w:tbl>
    <w:p w:rsidR="00000000" w:rsidRDefault="00000000"/>
    <w:p w:rsidR="00000000" w:rsidRDefault="00000000">
      <w:pPr>
        <w:rPr>
          <w:rFonts w:hint="eastAsia"/>
        </w:rPr>
      </w:pPr>
      <w:r>
        <w:br w:type="page"/>
      </w:r>
      <w:r>
        <w:rPr>
          <w:rFonts w:hint="eastAsia"/>
        </w:rPr>
        <w:tab/>
        <w:t xml:space="preserve">66.  </w:t>
      </w:r>
      <w:r>
        <w:rPr>
          <w:rFonts w:hint="eastAsia"/>
        </w:rPr>
        <w:t>以上数据说明了三个基本假设</w:t>
      </w:r>
      <w:r>
        <w:rPr>
          <w:rFonts w:hint="eastAsia"/>
        </w:rPr>
        <w:t>(</w:t>
      </w:r>
      <w:r>
        <w:rPr>
          <w:rFonts w:hint="eastAsia"/>
        </w:rPr>
        <w:t>有待证实的假设</w:t>
      </w:r>
      <w:r>
        <w:rPr>
          <w:rFonts w:hint="eastAsia"/>
        </w:rPr>
        <w:t>)</w:t>
      </w:r>
      <w:r>
        <w:rPr>
          <w:rFonts w:hint="eastAsia"/>
        </w:rPr>
        <w:t>：</w:t>
      </w:r>
    </w:p>
    <w:p w:rsidR="00000000" w:rsidRDefault="00000000">
      <w:pPr>
        <w:pStyle w:val="a0"/>
        <w:tabs>
          <w:tab w:val="num" w:pos="1550"/>
        </w:tabs>
        <w:ind w:left="1550"/>
        <w:rPr>
          <w:rFonts w:hint="eastAsia"/>
        </w:rPr>
      </w:pPr>
      <w:r>
        <w:rPr>
          <w:rFonts w:hint="eastAsia"/>
        </w:rPr>
        <w:t>在农村地区整体就业</w:t>
      </w:r>
      <w:r>
        <w:rPr>
          <w:rFonts w:hint="eastAsia"/>
        </w:rPr>
        <w:t>(</w:t>
      </w:r>
      <w:r>
        <w:rPr>
          <w:rFonts w:hint="eastAsia"/>
        </w:rPr>
        <w:t>农业和非农业机会</w:t>
      </w:r>
      <w:r>
        <w:rPr>
          <w:rFonts w:hint="eastAsia"/>
        </w:rPr>
        <w:t>)</w:t>
      </w:r>
      <w:r>
        <w:rPr>
          <w:rFonts w:hint="eastAsia"/>
        </w:rPr>
        <w:t>方面存在性别差异；</w:t>
      </w:r>
    </w:p>
    <w:p w:rsidR="00000000" w:rsidRDefault="00000000">
      <w:pPr>
        <w:pStyle w:val="a0"/>
        <w:tabs>
          <w:tab w:val="num" w:pos="1550"/>
        </w:tabs>
        <w:ind w:left="1550"/>
        <w:rPr>
          <w:rFonts w:hint="eastAsia"/>
        </w:rPr>
      </w:pPr>
      <w:r>
        <w:rPr>
          <w:rFonts w:hint="eastAsia"/>
        </w:rPr>
        <w:t>妇女失业百分比似乎要比男子高出不少。在农业、畜牧业和渔业部门工作的人口也属于这种情况；以及</w:t>
      </w:r>
    </w:p>
    <w:p w:rsidR="00000000" w:rsidRDefault="00000000">
      <w:pPr>
        <w:pStyle w:val="a0"/>
        <w:tabs>
          <w:tab w:val="num" w:pos="1550"/>
        </w:tabs>
        <w:ind w:left="1550"/>
        <w:rPr>
          <w:rFonts w:hint="eastAsia"/>
        </w:rPr>
      </w:pPr>
      <w:r>
        <w:rPr>
          <w:rFonts w:hint="eastAsia"/>
        </w:rPr>
        <w:t>20-24</w:t>
      </w:r>
      <w:r>
        <w:rPr>
          <w:rFonts w:hint="eastAsia"/>
        </w:rPr>
        <w:t>岁以及</w:t>
      </w:r>
      <w:r>
        <w:rPr>
          <w:rFonts w:hint="eastAsia"/>
        </w:rPr>
        <w:t>30-44</w:t>
      </w:r>
      <w:r>
        <w:rPr>
          <w:rFonts w:hint="eastAsia"/>
        </w:rPr>
        <w:t>岁的妇女年龄组遭受失业的影响更为严重。</w:t>
      </w:r>
    </w:p>
    <w:p w:rsidR="00000000" w:rsidRDefault="00000000">
      <w:pPr>
        <w:spacing w:after="320"/>
        <w:rPr>
          <w:rFonts w:hint="eastAsia"/>
        </w:rPr>
      </w:pPr>
      <w:r>
        <w:rPr>
          <w:rFonts w:hint="eastAsia"/>
        </w:rPr>
        <w:tab/>
        <w:t xml:space="preserve">67.  </w:t>
      </w:r>
      <w:r>
        <w:rPr>
          <w:rFonts w:hint="eastAsia"/>
        </w:rPr>
        <w:t>希腊政府的首要优先项目是使希腊人民富裕起来。要达到这个目的的一个重要因素是改进就业状况。从市场角度来看，希腊政府的宏观经济政策是可行的，在这种政策的指导下，取得了持续的高增长率，同时又将通货膨胀率和利率保持在低水平上。除此以外，这种政策促进了结构变革，从而确保市场更好运作以及加强竞争。在过去几年中希腊政府实行的宏观经济政策使得希腊达到了《欧洲联盟条约》所规定的标准；这一事实本身就是一项了不起的成就。然而，最重要的是，这种政策创造了经济进一步增长的有利条件。由于财政良好、价格和汇率稳定以及利率下降，导致实际收入、经济活动以及投资的增长。投资增加以及利率下降将促进创造就业机会。</w:t>
      </w:r>
    </w:p>
    <w:p w:rsidR="00000000" w:rsidRDefault="00000000">
      <w:pPr>
        <w:pStyle w:val="Heading4"/>
        <w:rPr>
          <w:rFonts w:hint="eastAsia"/>
        </w:rPr>
      </w:pPr>
      <w:r>
        <w:rPr>
          <w:rFonts w:hint="eastAsia"/>
        </w:rPr>
        <w:t>就业的一般趋势</w:t>
      </w:r>
    </w:p>
    <w:p w:rsidR="00000000" w:rsidRDefault="00000000">
      <w:pPr>
        <w:spacing w:after="320"/>
      </w:pPr>
      <w:r>
        <w:rPr>
          <w:rFonts w:hint="eastAsia"/>
        </w:rPr>
        <w:tab/>
        <w:t xml:space="preserve">68.  </w:t>
      </w:r>
      <w:r>
        <w:rPr>
          <w:rFonts w:hint="eastAsia"/>
        </w:rPr>
        <w:t>从长期来看，希腊就业率的增幅会很大，但是从短期来说，就业增长率不是很高。随着季节的变化，某些经济部门</w:t>
      </w:r>
      <w:r>
        <w:rPr>
          <w:rFonts w:hint="eastAsia"/>
        </w:rPr>
        <w:t>(</w:t>
      </w:r>
      <w:r>
        <w:rPr>
          <w:rFonts w:hint="eastAsia"/>
        </w:rPr>
        <w:t>例如旅游业</w:t>
      </w:r>
      <w:r>
        <w:rPr>
          <w:rFonts w:hint="eastAsia"/>
        </w:rPr>
        <w:t>)</w:t>
      </w:r>
      <w:r>
        <w:rPr>
          <w:rFonts w:hint="eastAsia"/>
        </w:rPr>
        <w:t>的就业率会发生波动，就旅游业而言，春夏的就业率最高，而秋冬时又有回落。</w:t>
      </w:r>
    </w:p>
    <w:p w:rsidR="00000000" w:rsidRDefault="00000000">
      <w:pPr>
        <w:pStyle w:val="Heading3"/>
        <w:spacing w:after="160"/>
        <w:rPr>
          <w:rFonts w:hint="eastAsia"/>
        </w:rPr>
      </w:pPr>
      <w:r>
        <w:rPr>
          <w:rFonts w:hint="eastAsia"/>
        </w:rPr>
        <w:t>表</w:t>
      </w:r>
      <w:r>
        <w:rPr>
          <w:rFonts w:hint="eastAsia"/>
        </w:rPr>
        <w:t xml:space="preserve">  2</w:t>
      </w:r>
    </w:p>
    <w:p w:rsidR="00000000" w:rsidRDefault="00000000">
      <w:pPr>
        <w:pStyle w:val="Heading3"/>
        <w:spacing w:after="160"/>
        <w:rPr>
          <w:rFonts w:hint="eastAsia"/>
        </w:rPr>
      </w:pPr>
      <w:r>
        <w:rPr>
          <w:rFonts w:hint="eastAsia"/>
        </w:rPr>
        <w:t>就业的趋势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
        <w:gridCol w:w="957"/>
        <w:gridCol w:w="957"/>
        <w:gridCol w:w="957"/>
        <w:gridCol w:w="957"/>
        <w:gridCol w:w="957"/>
        <w:gridCol w:w="957"/>
        <w:gridCol w:w="957"/>
        <w:gridCol w:w="957"/>
        <w:gridCol w:w="958"/>
      </w:tblGrid>
      <w:tr w:rsidR="00000000">
        <w:tblPrEx>
          <w:tblCellMar>
            <w:top w:w="0" w:type="dxa"/>
            <w:bottom w:w="0" w:type="dxa"/>
          </w:tblCellMar>
        </w:tblPrEx>
        <w:trPr>
          <w:cantSplit/>
        </w:trPr>
        <w:tc>
          <w:tcPr>
            <w:tcW w:w="957" w:type="dxa"/>
            <w:tcBorders>
              <w:bottom w:val="nil"/>
            </w:tcBorders>
          </w:tcPr>
          <w:p w:rsidR="00000000" w:rsidRDefault="00000000">
            <w:pPr>
              <w:pStyle w:val="aa"/>
              <w:jc w:val="center"/>
              <w:rPr>
                <w:rFonts w:hint="eastAsia"/>
              </w:rPr>
            </w:pPr>
          </w:p>
        </w:tc>
        <w:tc>
          <w:tcPr>
            <w:tcW w:w="2871" w:type="dxa"/>
            <w:gridSpan w:val="3"/>
          </w:tcPr>
          <w:p w:rsidR="00000000" w:rsidRDefault="00000000">
            <w:pPr>
              <w:pStyle w:val="aa"/>
              <w:jc w:val="center"/>
              <w:rPr>
                <w:rFonts w:hint="eastAsia"/>
              </w:rPr>
            </w:pPr>
            <w:r>
              <w:rPr>
                <w:rFonts w:hint="eastAsia"/>
              </w:rPr>
              <w:t>1989</w:t>
            </w:r>
            <w:r>
              <w:rPr>
                <w:rFonts w:hint="eastAsia"/>
              </w:rPr>
              <w:t>年</w:t>
            </w:r>
          </w:p>
        </w:tc>
        <w:tc>
          <w:tcPr>
            <w:tcW w:w="2871" w:type="dxa"/>
            <w:gridSpan w:val="3"/>
          </w:tcPr>
          <w:p w:rsidR="00000000" w:rsidRDefault="00000000">
            <w:pPr>
              <w:pStyle w:val="aa"/>
              <w:jc w:val="center"/>
              <w:rPr>
                <w:rFonts w:hint="eastAsia"/>
              </w:rPr>
            </w:pPr>
            <w:r>
              <w:rPr>
                <w:rFonts w:hint="eastAsia"/>
              </w:rPr>
              <w:t>1994</w:t>
            </w:r>
            <w:r>
              <w:rPr>
                <w:rFonts w:hint="eastAsia"/>
              </w:rPr>
              <w:t>年</w:t>
            </w:r>
          </w:p>
        </w:tc>
        <w:tc>
          <w:tcPr>
            <w:tcW w:w="2872" w:type="dxa"/>
            <w:gridSpan w:val="3"/>
          </w:tcPr>
          <w:p w:rsidR="00000000" w:rsidRDefault="00000000">
            <w:pPr>
              <w:pStyle w:val="aa"/>
              <w:jc w:val="center"/>
              <w:rPr>
                <w:rFonts w:hint="eastAsia"/>
              </w:rPr>
            </w:pPr>
            <w:r>
              <w:rPr>
                <w:rFonts w:hint="eastAsia"/>
              </w:rPr>
              <w:t>1999</w:t>
            </w:r>
            <w:r>
              <w:rPr>
                <w:rFonts w:hint="eastAsia"/>
              </w:rPr>
              <w:t>年</w:t>
            </w:r>
          </w:p>
        </w:tc>
      </w:tr>
      <w:tr w:rsidR="00000000">
        <w:tblPrEx>
          <w:tblCellMar>
            <w:top w:w="0" w:type="dxa"/>
            <w:bottom w:w="0" w:type="dxa"/>
          </w:tblCellMar>
        </w:tblPrEx>
        <w:tc>
          <w:tcPr>
            <w:tcW w:w="957" w:type="dxa"/>
            <w:tcBorders>
              <w:top w:val="nil"/>
            </w:tcBorders>
          </w:tcPr>
          <w:p w:rsidR="00000000" w:rsidRDefault="00000000">
            <w:pPr>
              <w:pStyle w:val="aa"/>
              <w:jc w:val="center"/>
              <w:rPr>
                <w:rFonts w:hint="eastAsia"/>
              </w:rPr>
            </w:pPr>
          </w:p>
        </w:tc>
        <w:tc>
          <w:tcPr>
            <w:tcW w:w="957" w:type="dxa"/>
          </w:tcPr>
          <w:p w:rsidR="00000000" w:rsidRDefault="00000000">
            <w:pPr>
              <w:pStyle w:val="aa"/>
              <w:jc w:val="center"/>
              <w:rPr>
                <w:rFonts w:hint="eastAsia"/>
              </w:rPr>
            </w:pPr>
            <w:r>
              <w:rPr>
                <w:rFonts w:hint="eastAsia"/>
              </w:rPr>
              <w:t>男子</w:t>
            </w:r>
          </w:p>
        </w:tc>
        <w:tc>
          <w:tcPr>
            <w:tcW w:w="957" w:type="dxa"/>
          </w:tcPr>
          <w:p w:rsidR="00000000" w:rsidRDefault="00000000">
            <w:pPr>
              <w:pStyle w:val="aa"/>
              <w:jc w:val="center"/>
              <w:rPr>
                <w:rFonts w:hint="eastAsia"/>
              </w:rPr>
            </w:pPr>
            <w:r>
              <w:rPr>
                <w:rFonts w:hint="eastAsia"/>
              </w:rPr>
              <w:t>妇女</w:t>
            </w:r>
          </w:p>
        </w:tc>
        <w:tc>
          <w:tcPr>
            <w:tcW w:w="957" w:type="dxa"/>
          </w:tcPr>
          <w:p w:rsidR="00000000" w:rsidRDefault="00000000">
            <w:pPr>
              <w:pStyle w:val="aa"/>
              <w:jc w:val="center"/>
              <w:rPr>
                <w:rFonts w:hint="eastAsia"/>
              </w:rPr>
            </w:pPr>
            <w:r>
              <w:rPr>
                <w:rFonts w:hint="eastAsia"/>
              </w:rPr>
              <w:t>总数</w:t>
            </w:r>
          </w:p>
        </w:tc>
        <w:tc>
          <w:tcPr>
            <w:tcW w:w="957" w:type="dxa"/>
          </w:tcPr>
          <w:p w:rsidR="00000000" w:rsidRDefault="00000000">
            <w:pPr>
              <w:pStyle w:val="aa"/>
              <w:jc w:val="center"/>
              <w:rPr>
                <w:rFonts w:hint="eastAsia"/>
              </w:rPr>
            </w:pPr>
            <w:r>
              <w:rPr>
                <w:rFonts w:hint="eastAsia"/>
              </w:rPr>
              <w:t>男子</w:t>
            </w:r>
          </w:p>
        </w:tc>
        <w:tc>
          <w:tcPr>
            <w:tcW w:w="957" w:type="dxa"/>
          </w:tcPr>
          <w:p w:rsidR="00000000" w:rsidRDefault="00000000">
            <w:pPr>
              <w:pStyle w:val="aa"/>
              <w:jc w:val="center"/>
              <w:rPr>
                <w:rFonts w:hint="eastAsia"/>
              </w:rPr>
            </w:pPr>
            <w:r>
              <w:rPr>
                <w:rFonts w:hint="eastAsia"/>
              </w:rPr>
              <w:t>妇女</w:t>
            </w:r>
          </w:p>
        </w:tc>
        <w:tc>
          <w:tcPr>
            <w:tcW w:w="957" w:type="dxa"/>
          </w:tcPr>
          <w:p w:rsidR="00000000" w:rsidRDefault="00000000">
            <w:pPr>
              <w:pStyle w:val="aa"/>
              <w:jc w:val="center"/>
              <w:rPr>
                <w:rFonts w:hint="eastAsia"/>
              </w:rPr>
            </w:pPr>
            <w:r>
              <w:rPr>
                <w:rFonts w:hint="eastAsia"/>
              </w:rPr>
              <w:t>总数</w:t>
            </w:r>
          </w:p>
        </w:tc>
        <w:tc>
          <w:tcPr>
            <w:tcW w:w="957" w:type="dxa"/>
          </w:tcPr>
          <w:p w:rsidR="00000000" w:rsidRDefault="00000000">
            <w:pPr>
              <w:pStyle w:val="aa"/>
              <w:jc w:val="center"/>
              <w:rPr>
                <w:rFonts w:hint="eastAsia"/>
              </w:rPr>
            </w:pPr>
            <w:r>
              <w:rPr>
                <w:rFonts w:hint="eastAsia"/>
              </w:rPr>
              <w:t>男子</w:t>
            </w:r>
          </w:p>
        </w:tc>
        <w:tc>
          <w:tcPr>
            <w:tcW w:w="957" w:type="dxa"/>
          </w:tcPr>
          <w:p w:rsidR="00000000" w:rsidRDefault="00000000">
            <w:pPr>
              <w:pStyle w:val="aa"/>
              <w:jc w:val="center"/>
              <w:rPr>
                <w:rFonts w:hint="eastAsia"/>
              </w:rPr>
            </w:pPr>
            <w:r>
              <w:rPr>
                <w:rFonts w:hint="eastAsia"/>
              </w:rPr>
              <w:t>妇女</w:t>
            </w:r>
          </w:p>
        </w:tc>
        <w:tc>
          <w:tcPr>
            <w:tcW w:w="958" w:type="dxa"/>
          </w:tcPr>
          <w:p w:rsidR="00000000" w:rsidRDefault="00000000">
            <w:pPr>
              <w:pStyle w:val="aa"/>
              <w:jc w:val="center"/>
              <w:rPr>
                <w:rFonts w:hint="eastAsia"/>
              </w:rPr>
            </w:pPr>
            <w:r>
              <w:rPr>
                <w:rFonts w:hint="eastAsia"/>
              </w:rPr>
              <w:t>总数</w:t>
            </w:r>
          </w:p>
        </w:tc>
      </w:tr>
      <w:tr w:rsidR="00000000">
        <w:tblPrEx>
          <w:tblCellMar>
            <w:top w:w="0" w:type="dxa"/>
            <w:bottom w:w="0" w:type="dxa"/>
          </w:tblCellMar>
        </w:tblPrEx>
        <w:tc>
          <w:tcPr>
            <w:tcW w:w="957" w:type="dxa"/>
          </w:tcPr>
          <w:p w:rsidR="00000000" w:rsidRDefault="00000000">
            <w:pPr>
              <w:pStyle w:val="aa"/>
              <w:rPr>
                <w:rFonts w:hint="eastAsia"/>
                <w:sz w:val="18"/>
              </w:rPr>
            </w:pPr>
            <w:r>
              <w:rPr>
                <w:rFonts w:hint="eastAsia"/>
                <w:sz w:val="18"/>
              </w:rPr>
              <w:t>就业人口</w:t>
            </w:r>
          </w:p>
        </w:tc>
        <w:tc>
          <w:tcPr>
            <w:tcW w:w="957" w:type="dxa"/>
          </w:tcPr>
          <w:p w:rsidR="00000000" w:rsidRDefault="00000000">
            <w:pPr>
              <w:pStyle w:val="aa"/>
              <w:jc w:val="right"/>
              <w:rPr>
                <w:rFonts w:hint="eastAsia"/>
                <w:sz w:val="18"/>
              </w:rPr>
            </w:pPr>
            <w:r>
              <w:rPr>
                <w:rFonts w:hint="eastAsia"/>
                <w:sz w:val="18"/>
              </w:rPr>
              <w:t>2,379,702</w:t>
            </w:r>
          </w:p>
        </w:tc>
        <w:tc>
          <w:tcPr>
            <w:tcW w:w="957" w:type="dxa"/>
          </w:tcPr>
          <w:p w:rsidR="00000000" w:rsidRDefault="00000000">
            <w:pPr>
              <w:pStyle w:val="aa"/>
              <w:jc w:val="right"/>
              <w:rPr>
                <w:rFonts w:hint="eastAsia"/>
                <w:sz w:val="18"/>
              </w:rPr>
            </w:pPr>
            <w:r>
              <w:rPr>
                <w:rFonts w:hint="eastAsia"/>
                <w:sz w:val="18"/>
              </w:rPr>
              <w:t>1,283,365</w:t>
            </w:r>
          </w:p>
        </w:tc>
        <w:tc>
          <w:tcPr>
            <w:tcW w:w="957" w:type="dxa"/>
          </w:tcPr>
          <w:p w:rsidR="00000000" w:rsidRDefault="00000000">
            <w:pPr>
              <w:pStyle w:val="aa"/>
              <w:jc w:val="right"/>
              <w:rPr>
                <w:rFonts w:hint="eastAsia"/>
                <w:sz w:val="18"/>
              </w:rPr>
            </w:pPr>
            <w:r>
              <w:rPr>
                <w:rFonts w:hint="eastAsia"/>
                <w:sz w:val="18"/>
              </w:rPr>
              <w:t>3,663,067</w:t>
            </w:r>
          </w:p>
        </w:tc>
        <w:tc>
          <w:tcPr>
            <w:tcW w:w="957" w:type="dxa"/>
          </w:tcPr>
          <w:p w:rsidR="00000000" w:rsidRDefault="00000000">
            <w:pPr>
              <w:pStyle w:val="aa"/>
              <w:jc w:val="right"/>
              <w:rPr>
                <w:rFonts w:hint="eastAsia"/>
                <w:sz w:val="18"/>
              </w:rPr>
            </w:pPr>
            <w:r>
              <w:rPr>
                <w:rFonts w:hint="eastAsia"/>
                <w:sz w:val="18"/>
              </w:rPr>
              <w:t>2,449,439</w:t>
            </w:r>
          </w:p>
        </w:tc>
        <w:tc>
          <w:tcPr>
            <w:tcW w:w="957" w:type="dxa"/>
          </w:tcPr>
          <w:p w:rsidR="00000000" w:rsidRDefault="00000000">
            <w:pPr>
              <w:pStyle w:val="aa"/>
              <w:jc w:val="right"/>
              <w:rPr>
                <w:rFonts w:hint="eastAsia"/>
                <w:sz w:val="18"/>
              </w:rPr>
            </w:pPr>
            <w:r>
              <w:rPr>
                <w:rFonts w:hint="eastAsia"/>
                <w:sz w:val="18"/>
              </w:rPr>
              <w:t>1,336,718</w:t>
            </w:r>
          </w:p>
        </w:tc>
        <w:tc>
          <w:tcPr>
            <w:tcW w:w="957" w:type="dxa"/>
          </w:tcPr>
          <w:p w:rsidR="00000000" w:rsidRDefault="00000000">
            <w:pPr>
              <w:pStyle w:val="aa"/>
              <w:jc w:val="right"/>
              <w:rPr>
                <w:rFonts w:hint="eastAsia"/>
                <w:sz w:val="18"/>
              </w:rPr>
            </w:pPr>
            <w:r>
              <w:rPr>
                <w:rFonts w:hint="eastAsia"/>
                <w:sz w:val="18"/>
              </w:rPr>
              <w:t>3,786,157</w:t>
            </w:r>
          </w:p>
        </w:tc>
        <w:tc>
          <w:tcPr>
            <w:tcW w:w="957" w:type="dxa"/>
          </w:tcPr>
          <w:p w:rsidR="00000000" w:rsidRDefault="00000000">
            <w:pPr>
              <w:pStyle w:val="aa"/>
              <w:jc w:val="right"/>
              <w:rPr>
                <w:rFonts w:hint="eastAsia"/>
                <w:sz w:val="18"/>
              </w:rPr>
            </w:pPr>
            <w:r>
              <w:rPr>
                <w:rFonts w:hint="eastAsia"/>
                <w:sz w:val="18"/>
              </w:rPr>
              <w:t>2,466,482</w:t>
            </w:r>
          </w:p>
        </w:tc>
        <w:tc>
          <w:tcPr>
            <w:tcW w:w="957" w:type="dxa"/>
          </w:tcPr>
          <w:p w:rsidR="00000000" w:rsidRDefault="00000000">
            <w:pPr>
              <w:pStyle w:val="aa"/>
              <w:jc w:val="right"/>
              <w:rPr>
                <w:rFonts w:hint="eastAsia"/>
                <w:sz w:val="18"/>
              </w:rPr>
            </w:pPr>
            <w:r>
              <w:rPr>
                <w:rFonts w:hint="eastAsia"/>
                <w:sz w:val="18"/>
              </w:rPr>
              <w:t>1,473,310</w:t>
            </w:r>
          </w:p>
        </w:tc>
        <w:tc>
          <w:tcPr>
            <w:tcW w:w="958" w:type="dxa"/>
          </w:tcPr>
          <w:p w:rsidR="00000000" w:rsidRDefault="00000000">
            <w:pPr>
              <w:pStyle w:val="aa"/>
              <w:jc w:val="right"/>
              <w:rPr>
                <w:rFonts w:hint="eastAsia"/>
                <w:sz w:val="18"/>
              </w:rPr>
            </w:pPr>
            <w:r>
              <w:rPr>
                <w:rFonts w:hint="eastAsia"/>
                <w:sz w:val="18"/>
              </w:rPr>
              <w:t>3,939,792</w:t>
            </w:r>
          </w:p>
        </w:tc>
      </w:tr>
      <w:tr w:rsidR="00000000">
        <w:tblPrEx>
          <w:tblCellMar>
            <w:top w:w="0" w:type="dxa"/>
            <w:bottom w:w="0" w:type="dxa"/>
          </w:tblCellMar>
        </w:tblPrEx>
        <w:tc>
          <w:tcPr>
            <w:tcW w:w="957" w:type="dxa"/>
          </w:tcPr>
          <w:p w:rsidR="00000000" w:rsidRDefault="00000000">
            <w:pPr>
              <w:pStyle w:val="aa"/>
              <w:rPr>
                <w:rFonts w:hint="eastAsia"/>
                <w:sz w:val="18"/>
              </w:rPr>
            </w:pPr>
            <w:r>
              <w:rPr>
                <w:rFonts w:hint="eastAsia"/>
                <w:sz w:val="18"/>
              </w:rPr>
              <w:t>失业人口</w:t>
            </w:r>
          </w:p>
        </w:tc>
        <w:tc>
          <w:tcPr>
            <w:tcW w:w="957" w:type="dxa"/>
          </w:tcPr>
          <w:p w:rsidR="00000000" w:rsidRDefault="00000000">
            <w:pPr>
              <w:pStyle w:val="aa"/>
              <w:jc w:val="right"/>
              <w:rPr>
                <w:rFonts w:hint="eastAsia"/>
                <w:sz w:val="18"/>
              </w:rPr>
            </w:pPr>
            <w:r>
              <w:rPr>
                <w:rFonts w:hint="eastAsia"/>
                <w:sz w:val="18"/>
              </w:rPr>
              <w:t>104,806</w:t>
            </w:r>
          </w:p>
        </w:tc>
        <w:tc>
          <w:tcPr>
            <w:tcW w:w="957" w:type="dxa"/>
          </w:tcPr>
          <w:p w:rsidR="00000000" w:rsidRDefault="00000000">
            <w:pPr>
              <w:pStyle w:val="aa"/>
              <w:jc w:val="right"/>
              <w:rPr>
                <w:rFonts w:hint="eastAsia"/>
                <w:sz w:val="18"/>
              </w:rPr>
            </w:pPr>
            <w:r>
              <w:rPr>
                <w:rFonts w:hint="eastAsia"/>
                <w:sz w:val="18"/>
              </w:rPr>
              <w:t>150,662</w:t>
            </w:r>
          </w:p>
        </w:tc>
        <w:tc>
          <w:tcPr>
            <w:tcW w:w="957" w:type="dxa"/>
          </w:tcPr>
          <w:p w:rsidR="00000000" w:rsidRDefault="00000000">
            <w:pPr>
              <w:pStyle w:val="aa"/>
              <w:jc w:val="right"/>
              <w:rPr>
                <w:rFonts w:hint="eastAsia"/>
                <w:sz w:val="18"/>
              </w:rPr>
            </w:pPr>
            <w:r>
              <w:rPr>
                <w:rFonts w:hint="eastAsia"/>
                <w:sz w:val="18"/>
              </w:rPr>
              <w:t>255,468</w:t>
            </w:r>
          </w:p>
        </w:tc>
        <w:tc>
          <w:tcPr>
            <w:tcW w:w="957" w:type="dxa"/>
          </w:tcPr>
          <w:p w:rsidR="00000000" w:rsidRDefault="00000000">
            <w:pPr>
              <w:pStyle w:val="aa"/>
              <w:jc w:val="right"/>
              <w:rPr>
                <w:rFonts w:hint="eastAsia"/>
                <w:sz w:val="18"/>
              </w:rPr>
            </w:pPr>
            <w:r>
              <w:rPr>
                <w:rFonts w:hint="eastAsia"/>
                <w:sz w:val="18"/>
              </w:rPr>
              <w:t>157,871</w:t>
            </w:r>
          </w:p>
        </w:tc>
        <w:tc>
          <w:tcPr>
            <w:tcW w:w="957" w:type="dxa"/>
          </w:tcPr>
          <w:p w:rsidR="00000000" w:rsidRDefault="00000000">
            <w:pPr>
              <w:pStyle w:val="aa"/>
              <w:jc w:val="right"/>
              <w:rPr>
                <w:rFonts w:hint="eastAsia"/>
                <w:sz w:val="18"/>
              </w:rPr>
            </w:pPr>
            <w:r>
              <w:rPr>
                <w:rFonts w:hint="eastAsia"/>
                <w:sz w:val="18"/>
              </w:rPr>
              <w:t>212,389</w:t>
            </w:r>
          </w:p>
        </w:tc>
        <w:tc>
          <w:tcPr>
            <w:tcW w:w="957" w:type="dxa"/>
          </w:tcPr>
          <w:p w:rsidR="00000000" w:rsidRDefault="00000000">
            <w:pPr>
              <w:pStyle w:val="aa"/>
              <w:jc w:val="right"/>
              <w:rPr>
                <w:rFonts w:hint="eastAsia"/>
                <w:sz w:val="18"/>
              </w:rPr>
            </w:pPr>
            <w:r>
              <w:rPr>
                <w:rFonts w:hint="eastAsia"/>
                <w:sz w:val="18"/>
              </w:rPr>
              <w:t>370,261</w:t>
            </w:r>
          </w:p>
        </w:tc>
        <w:tc>
          <w:tcPr>
            <w:tcW w:w="957" w:type="dxa"/>
          </w:tcPr>
          <w:p w:rsidR="00000000" w:rsidRDefault="00000000">
            <w:pPr>
              <w:pStyle w:val="aa"/>
              <w:jc w:val="right"/>
              <w:rPr>
                <w:rFonts w:hint="eastAsia"/>
                <w:sz w:val="18"/>
              </w:rPr>
            </w:pPr>
            <w:r>
              <w:rPr>
                <w:rFonts w:hint="eastAsia"/>
                <w:sz w:val="18"/>
              </w:rPr>
              <w:t>201,789</w:t>
            </w:r>
          </w:p>
        </w:tc>
        <w:tc>
          <w:tcPr>
            <w:tcW w:w="957" w:type="dxa"/>
          </w:tcPr>
          <w:p w:rsidR="00000000" w:rsidRDefault="00000000">
            <w:pPr>
              <w:pStyle w:val="aa"/>
              <w:jc w:val="right"/>
              <w:rPr>
                <w:rFonts w:hint="eastAsia"/>
                <w:sz w:val="18"/>
              </w:rPr>
            </w:pPr>
            <w:r>
              <w:rPr>
                <w:rFonts w:hint="eastAsia"/>
                <w:sz w:val="18"/>
              </w:rPr>
              <w:t>321,589</w:t>
            </w:r>
          </w:p>
        </w:tc>
        <w:tc>
          <w:tcPr>
            <w:tcW w:w="958" w:type="dxa"/>
          </w:tcPr>
          <w:p w:rsidR="00000000" w:rsidRDefault="00000000">
            <w:pPr>
              <w:pStyle w:val="aa"/>
              <w:jc w:val="right"/>
              <w:rPr>
                <w:rFonts w:hint="eastAsia"/>
                <w:sz w:val="18"/>
              </w:rPr>
            </w:pPr>
            <w:r>
              <w:rPr>
                <w:rFonts w:hint="eastAsia"/>
                <w:sz w:val="18"/>
              </w:rPr>
              <w:t>523,375</w:t>
            </w:r>
          </w:p>
        </w:tc>
      </w:tr>
      <w:tr w:rsidR="00000000">
        <w:tblPrEx>
          <w:tblCellMar>
            <w:top w:w="0" w:type="dxa"/>
            <w:bottom w:w="0" w:type="dxa"/>
          </w:tblCellMar>
        </w:tblPrEx>
        <w:tc>
          <w:tcPr>
            <w:tcW w:w="957" w:type="dxa"/>
          </w:tcPr>
          <w:p w:rsidR="00000000" w:rsidRDefault="00000000">
            <w:pPr>
              <w:pStyle w:val="aa"/>
              <w:rPr>
                <w:rFonts w:hint="eastAsia"/>
                <w:sz w:val="18"/>
              </w:rPr>
            </w:pPr>
            <w:r>
              <w:rPr>
                <w:rFonts w:hint="eastAsia"/>
                <w:sz w:val="18"/>
              </w:rPr>
              <w:t>劳动力</w:t>
            </w:r>
          </w:p>
        </w:tc>
        <w:tc>
          <w:tcPr>
            <w:tcW w:w="957" w:type="dxa"/>
          </w:tcPr>
          <w:p w:rsidR="00000000" w:rsidRDefault="00000000">
            <w:pPr>
              <w:pStyle w:val="aa"/>
              <w:jc w:val="right"/>
              <w:rPr>
                <w:rFonts w:hint="eastAsia"/>
                <w:sz w:val="18"/>
              </w:rPr>
            </w:pPr>
            <w:r>
              <w:rPr>
                <w:rFonts w:hint="eastAsia"/>
                <w:sz w:val="18"/>
              </w:rPr>
              <w:t>2,484,507</w:t>
            </w:r>
          </w:p>
        </w:tc>
        <w:tc>
          <w:tcPr>
            <w:tcW w:w="957" w:type="dxa"/>
          </w:tcPr>
          <w:p w:rsidR="00000000" w:rsidRDefault="00000000">
            <w:pPr>
              <w:pStyle w:val="aa"/>
              <w:jc w:val="right"/>
              <w:rPr>
                <w:rFonts w:hint="eastAsia"/>
                <w:sz w:val="18"/>
              </w:rPr>
            </w:pPr>
            <w:r>
              <w:rPr>
                <w:rFonts w:hint="eastAsia"/>
                <w:sz w:val="18"/>
              </w:rPr>
              <w:t>1,434,028</w:t>
            </w:r>
          </w:p>
        </w:tc>
        <w:tc>
          <w:tcPr>
            <w:tcW w:w="957" w:type="dxa"/>
          </w:tcPr>
          <w:p w:rsidR="00000000" w:rsidRDefault="00000000">
            <w:pPr>
              <w:pStyle w:val="aa"/>
              <w:jc w:val="right"/>
              <w:rPr>
                <w:rFonts w:hint="eastAsia"/>
                <w:sz w:val="18"/>
              </w:rPr>
            </w:pPr>
            <w:r>
              <w:rPr>
                <w:rFonts w:hint="eastAsia"/>
                <w:sz w:val="18"/>
              </w:rPr>
              <w:t>3,918,535</w:t>
            </w:r>
          </w:p>
        </w:tc>
        <w:tc>
          <w:tcPr>
            <w:tcW w:w="957" w:type="dxa"/>
          </w:tcPr>
          <w:p w:rsidR="00000000" w:rsidRDefault="00000000">
            <w:pPr>
              <w:pStyle w:val="aa"/>
              <w:jc w:val="right"/>
              <w:rPr>
                <w:rFonts w:hint="eastAsia"/>
                <w:sz w:val="18"/>
              </w:rPr>
            </w:pPr>
            <w:r>
              <w:rPr>
                <w:rFonts w:hint="eastAsia"/>
                <w:sz w:val="18"/>
              </w:rPr>
              <w:t>2,607,310</w:t>
            </w:r>
          </w:p>
        </w:tc>
        <w:tc>
          <w:tcPr>
            <w:tcW w:w="957" w:type="dxa"/>
          </w:tcPr>
          <w:p w:rsidR="00000000" w:rsidRDefault="00000000">
            <w:pPr>
              <w:pStyle w:val="aa"/>
              <w:jc w:val="right"/>
              <w:rPr>
                <w:rFonts w:hint="eastAsia"/>
                <w:sz w:val="18"/>
              </w:rPr>
            </w:pPr>
            <w:r>
              <w:rPr>
                <w:rFonts w:hint="eastAsia"/>
                <w:sz w:val="18"/>
              </w:rPr>
              <w:t>1,549,108</w:t>
            </w:r>
          </w:p>
        </w:tc>
        <w:tc>
          <w:tcPr>
            <w:tcW w:w="957" w:type="dxa"/>
          </w:tcPr>
          <w:p w:rsidR="00000000" w:rsidRDefault="00000000">
            <w:pPr>
              <w:pStyle w:val="aa"/>
              <w:jc w:val="right"/>
              <w:rPr>
                <w:rFonts w:hint="eastAsia"/>
                <w:sz w:val="18"/>
              </w:rPr>
            </w:pPr>
            <w:r>
              <w:rPr>
                <w:rFonts w:hint="eastAsia"/>
                <w:sz w:val="18"/>
              </w:rPr>
              <w:t>4,156,418</w:t>
            </w:r>
          </w:p>
        </w:tc>
        <w:tc>
          <w:tcPr>
            <w:tcW w:w="957" w:type="dxa"/>
          </w:tcPr>
          <w:p w:rsidR="00000000" w:rsidRDefault="00000000">
            <w:pPr>
              <w:pStyle w:val="aa"/>
              <w:jc w:val="right"/>
              <w:rPr>
                <w:rFonts w:hint="eastAsia"/>
                <w:sz w:val="18"/>
              </w:rPr>
            </w:pPr>
            <w:r>
              <w:rPr>
                <w:rFonts w:hint="eastAsia"/>
                <w:sz w:val="18"/>
              </w:rPr>
              <w:t>2,668,268</w:t>
            </w:r>
          </w:p>
        </w:tc>
        <w:tc>
          <w:tcPr>
            <w:tcW w:w="957" w:type="dxa"/>
          </w:tcPr>
          <w:p w:rsidR="00000000" w:rsidRDefault="00000000">
            <w:pPr>
              <w:pStyle w:val="aa"/>
              <w:jc w:val="right"/>
              <w:rPr>
                <w:rFonts w:hint="eastAsia"/>
                <w:sz w:val="18"/>
              </w:rPr>
            </w:pPr>
            <w:r>
              <w:rPr>
                <w:rFonts w:hint="eastAsia"/>
                <w:sz w:val="18"/>
              </w:rPr>
              <w:t>1,794,899</w:t>
            </w:r>
          </w:p>
        </w:tc>
        <w:tc>
          <w:tcPr>
            <w:tcW w:w="958" w:type="dxa"/>
          </w:tcPr>
          <w:p w:rsidR="00000000" w:rsidRDefault="00000000">
            <w:pPr>
              <w:pStyle w:val="aa"/>
              <w:jc w:val="right"/>
              <w:rPr>
                <w:rFonts w:hint="eastAsia"/>
                <w:sz w:val="18"/>
              </w:rPr>
            </w:pPr>
            <w:r>
              <w:rPr>
                <w:rFonts w:hint="eastAsia"/>
                <w:sz w:val="18"/>
              </w:rPr>
              <w:t>4,463,167</w:t>
            </w:r>
          </w:p>
        </w:tc>
      </w:tr>
      <w:tr w:rsidR="00000000">
        <w:tblPrEx>
          <w:tblCellMar>
            <w:top w:w="0" w:type="dxa"/>
            <w:bottom w:w="0" w:type="dxa"/>
          </w:tblCellMar>
        </w:tblPrEx>
        <w:tc>
          <w:tcPr>
            <w:tcW w:w="957" w:type="dxa"/>
          </w:tcPr>
          <w:p w:rsidR="00000000" w:rsidRDefault="00000000">
            <w:pPr>
              <w:pStyle w:val="aa"/>
              <w:ind w:left="-113" w:right="-113"/>
              <w:rPr>
                <w:rFonts w:hint="eastAsia"/>
                <w:sz w:val="18"/>
              </w:rPr>
            </w:pPr>
            <w:r>
              <w:rPr>
                <w:rFonts w:hint="eastAsia"/>
                <w:sz w:val="18"/>
              </w:rPr>
              <w:t>失业百分比</w:t>
            </w:r>
          </w:p>
        </w:tc>
        <w:tc>
          <w:tcPr>
            <w:tcW w:w="957" w:type="dxa"/>
          </w:tcPr>
          <w:p w:rsidR="00000000" w:rsidRDefault="00000000">
            <w:pPr>
              <w:pStyle w:val="aa"/>
              <w:jc w:val="right"/>
              <w:rPr>
                <w:rFonts w:hint="eastAsia"/>
                <w:sz w:val="18"/>
              </w:rPr>
            </w:pPr>
            <w:r>
              <w:rPr>
                <w:rFonts w:hint="eastAsia"/>
                <w:sz w:val="18"/>
              </w:rPr>
              <w:t>4.4</w:t>
            </w:r>
          </w:p>
        </w:tc>
        <w:tc>
          <w:tcPr>
            <w:tcW w:w="957" w:type="dxa"/>
          </w:tcPr>
          <w:p w:rsidR="00000000" w:rsidRDefault="00000000">
            <w:pPr>
              <w:pStyle w:val="aa"/>
              <w:jc w:val="right"/>
              <w:rPr>
                <w:rFonts w:hint="eastAsia"/>
                <w:sz w:val="18"/>
              </w:rPr>
            </w:pPr>
            <w:r>
              <w:rPr>
                <w:rFonts w:hint="eastAsia"/>
                <w:sz w:val="18"/>
              </w:rPr>
              <w:t>10.5</w:t>
            </w:r>
          </w:p>
        </w:tc>
        <w:tc>
          <w:tcPr>
            <w:tcW w:w="957" w:type="dxa"/>
          </w:tcPr>
          <w:p w:rsidR="00000000" w:rsidRDefault="00000000">
            <w:pPr>
              <w:pStyle w:val="aa"/>
              <w:jc w:val="right"/>
              <w:rPr>
                <w:rFonts w:hint="eastAsia"/>
                <w:sz w:val="18"/>
              </w:rPr>
            </w:pPr>
            <w:r>
              <w:rPr>
                <w:rFonts w:hint="eastAsia"/>
                <w:sz w:val="18"/>
              </w:rPr>
              <w:t>6.5</w:t>
            </w:r>
          </w:p>
        </w:tc>
        <w:tc>
          <w:tcPr>
            <w:tcW w:w="957" w:type="dxa"/>
          </w:tcPr>
          <w:p w:rsidR="00000000" w:rsidRDefault="00000000">
            <w:pPr>
              <w:pStyle w:val="aa"/>
              <w:jc w:val="right"/>
              <w:rPr>
                <w:rFonts w:hint="eastAsia"/>
                <w:sz w:val="18"/>
              </w:rPr>
            </w:pPr>
            <w:r>
              <w:rPr>
                <w:rFonts w:hint="eastAsia"/>
                <w:sz w:val="18"/>
              </w:rPr>
              <w:t>6.1</w:t>
            </w:r>
          </w:p>
        </w:tc>
        <w:tc>
          <w:tcPr>
            <w:tcW w:w="957" w:type="dxa"/>
          </w:tcPr>
          <w:p w:rsidR="00000000" w:rsidRDefault="00000000">
            <w:pPr>
              <w:pStyle w:val="aa"/>
              <w:jc w:val="right"/>
              <w:rPr>
                <w:rFonts w:hint="eastAsia"/>
                <w:sz w:val="18"/>
              </w:rPr>
            </w:pPr>
            <w:r>
              <w:rPr>
                <w:rFonts w:hint="eastAsia"/>
                <w:sz w:val="18"/>
              </w:rPr>
              <w:t>13.7</w:t>
            </w:r>
          </w:p>
        </w:tc>
        <w:tc>
          <w:tcPr>
            <w:tcW w:w="957" w:type="dxa"/>
          </w:tcPr>
          <w:p w:rsidR="00000000" w:rsidRDefault="00000000">
            <w:pPr>
              <w:pStyle w:val="aa"/>
              <w:jc w:val="right"/>
              <w:rPr>
                <w:rFonts w:hint="eastAsia"/>
                <w:sz w:val="18"/>
              </w:rPr>
            </w:pPr>
            <w:r>
              <w:rPr>
                <w:rFonts w:hint="eastAsia"/>
                <w:sz w:val="18"/>
              </w:rPr>
              <w:t>8.9</w:t>
            </w:r>
          </w:p>
        </w:tc>
        <w:tc>
          <w:tcPr>
            <w:tcW w:w="957" w:type="dxa"/>
          </w:tcPr>
          <w:p w:rsidR="00000000" w:rsidRDefault="00000000">
            <w:pPr>
              <w:pStyle w:val="aa"/>
              <w:jc w:val="right"/>
              <w:rPr>
                <w:rFonts w:hint="eastAsia"/>
                <w:sz w:val="18"/>
              </w:rPr>
            </w:pPr>
            <w:r>
              <w:rPr>
                <w:rFonts w:hint="eastAsia"/>
                <w:sz w:val="18"/>
              </w:rPr>
              <w:t>7.6</w:t>
            </w:r>
          </w:p>
        </w:tc>
        <w:tc>
          <w:tcPr>
            <w:tcW w:w="957" w:type="dxa"/>
          </w:tcPr>
          <w:p w:rsidR="00000000" w:rsidRDefault="00000000">
            <w:pPr>
              <w:pStyle w:val="aa"/>
              <w:jc w:val="right"/>
              <w:rPr>
                <w:rFonts w:hint="eastAsia"/>
                <w:sz w:val="18"/>
              </w:rPr>
            </w:pPr>
            <w:r>
              <w:rPr>
                <w:rFonts w:hint="eastAsia"/>
                <w:sz w:val="18"/>
              </w:rPr>
              <w:t>17.9</w:t>
            </w:r>
          </w:p>
        </w:tc>
        <w:tc>
          <w:tcPr>
            <w:tcW w:w="958" w:type="dxa"/>
          </w:tcPr>
          <w:p w:rsidR="00000000" w:rsidRDefault="00000000">
            <w:pPr>
              <w:pStyle w:val="aa"/>
              <w:jc w:val="right"/>
              <w:rPr>
                <w:rFonts w:hint="eastAsia"/>
                <w:sz w:val="18"/>
              </w:rPr>
            </w:pPr>
            <w:r>
              <w:rPr>
                <w:rFonts w:hint="eastAsia"/>
                <w:sz w:val="18"/>
              </w:rPr>
              <w:t>11.7</w:t>
            </w:r>
          </w:p>
        </w:tc>
      </w:tr>
    </w:tbl>
    <w:p w:rsidR="00000000" w:rsidRDefault="00000000">
      <w:pPr>
        <w:pStyle w:val="EndnoteText"/>
        <w:spacing w:before="160"/>
        <w:rPr>
          <w:rFonts w:hint="eastAsia"/>
        </w:rPr>
      </w:pPr>
      <w:r>
        <w:rPr>
          <w:rFonts w:hint="eastAsia"/>
          <w:u w:val="single"/>
        </w:rPr>
        <w:t>资料来源</w:t>
      </w:r>
      <w:r>
        <w:rPr>
          <w:rFonts w:hint="eastAsia"/>
        </w:rPr>
        <w:t>：希腊国家统计局、劳动力调查、国家就业观察站。</w:t>
      </w:r>
    </w:p>
    <w:p w:rsidR="00000000" w:rsidRDefault="00000000">
      <w:pPr>
        <w:spacing w:before="240"/>
        <w:rPr>
          <w:rFonts w:hint="eastAsia"/>
        </w:rPr>
      </w:pPr>
      <w:r>
        <w:rPr>
          <w:rFonts w:hint="eastAsia"/>
        </w:rPr>
        <w:tab/>
        <w:t>69.  1999</w:t>
      </w:r>
      <w:r>
        <w:rPr>
          <w:rFonts w:hint="eastAsia"/>
        </w:rPr>
        <w:t>年就业人口总数为</w:t>
      </w:r>
      <w:r>
        <w:rPr>
          <w:rFonts w:hint="eastAsia"/>
        </w:rPr>
        <w:t xml:space="preserve">3,939,792, </w:t>
      </w:r>
      <w:r>
        <w:rPr>
          <w:rFonts w:hint="eastAsia"/>
        </w:rPr>
        <w:t>其中</w:t>
      </w:r>
      <w:r>
        <w:rPr>
          <w:rFonts w:hint="eastAsia"/>
        </w:rPr>
        <w:t>2,466,482</w:t>
      </w:r>
      <w:r>
        <w:rPr>
          <w:rFonts w:hint="eastAsia"/>
        </w:rPr>
        <w:t>人为男子，</w:t>
      </w:r>
      <w:r>
        <w:rPr>
          <w:rFonts w:hint="eastAsia"/>
        </w:rPr>
        <w:t>1,473,310</w:t>
      </w:r>
      <w:r>
        <w:rPr>
          <w:rFonts w:hint="eastAsia"/>
        </w:rPr>
        <w:t>人为妇女。从</w:t>
      </w:r>
      <w:r>
        <w:rPr>
          <w:rFonts w:hint="eastAsia"/>
        </w:rPr>
        <w:t>1988</w:t>
      </w:r>
      <w:r>
        <w:rPr>
          <w:rFonts w:hint="eastAsia"/>
        </w:rPr>
        <w:t>年至</w:t>
      </w:r>
      <w:r>
        <w:rPr>
          <w:rFonts w:hint="eastAsia"/>
        </w:rPr>
        <w:t>1999</w:t>
      </w:r>
      <w:r>
        <w:rPr>
          <w:rFonts w:hint="eastAsia"/>
        </w:rPr>
        <w:t>年，就业率上升了大约</w:t>
      </w:r>
      <w:r>
        <w:rPr>
          <w:rFonts w:hint="eastAsia"/>
        </w:rPr>
        <w:t>7.7%</w:t>
      </w:r>
      <w:r>
        <w:rPr>
          <w:rFonts w:hint="eastAsia"/>
        </w:rPr>
        <w:t>。在同一时期，妇女就业率的增长较快，达到</w:t>
      </w:r>
      <w:r>
        <w:rPr>
          <w:rFonts w:hint="eastAsia"/>
        </w:rPr>
        <w:t>15.4%</w:t>
      </w:r>
      <w:r>
        <w:rPr>
          <w:rFonts w:hint="eastAsia"/>
        </w:rPr>
        <w:t>，而男子的增长率约为</w:t>
      </w:r>
      <w:r>
        <w:rPr>
          <w:rFonts w:hint="eastAsia"/>
        </w:rPr>
        <w:t>3.6%</w:t>
      </w:r>
      <w:r>
        <w:rPr>
          <w:rFonts w:hint="eastAsia"/>
        </w:rPr>
        <w:t>。</w:t>
      </w:r>
    </w:p>
    <w:p w:rsidR="00000000" w:rsidRDefault="00000000">
      <w:pPr>
        <w:spacing w:after="320"/>
        <w:rPr>
          <w:rFonts w:hint="eastAsia"/>
        </w:rPr>
      </w:pPr>
      <w:r>
        <w:rPr>
          <w:rFonts w:hint="eastAsia"/>
        </w:rPr>
        <w:tab/>
        <w:t xml:space="preserve">70.  </w:t>
      </w:r>
      <w:r>
        <w:rPr>
          <w:rFonts w:hint="eastAsia"/>
        </w:rPr>
        <w:t>多数就业人士</w:t>
      </w:r>
      <w:r>
        <w:rPr>
          <w:rFonts w:hint="eastAsia"/>
        </w:rPr>
        <w:t>(</w:t>
      </w:r>
      <w:r>
        <w:rPr>
          <w:rFonts w:hint="eastAsia"/>
        </w:rPr>
        <w:t>约</w:t>
      </w:r>
      <w:r>
        <w:rPr>
          <w:rFonts w:hint="eastAsia"/>
        </w:rPr>
        <w:t>3,704,140</w:t>
      </w:r>
      <w:r>
        <w:rPr>
          <w:rFonts w:hint="eastAsia"/>
        </w:rPr>
        <w:t>人</w:t>
      </w:r>
      <w:r>
        <w:rPr>
          <w:rFonts w:hint="eastAsia"/>
        </w:rPr>
        <w:t>)</w:t>
      </w:r>
      <w:r>
        <w:rPr>
          <w:rFonts w:hint="eastAsia"/>
        </w:rPr>
        <w:t>从事全职工作，只有</w:t>
      </w:r>
      <w:r>
        <w:rPr>
          <w:rFonts w:hint="eastAsia"/>
        </w:rPr>
        <w:t>228,721</w:t>
      </w:r>
      <w:r>
        <w:rPr>
          <w:rFonts w:hint="eastAsia"/>
        </w:rPr>
        <w:t>人从事非全日制工作。从</w:t>
      </w:r>
      <w:r>
        <w:rPr>
          <w:rFonts w:hint="eastAsia"/>
        </w:rPr>
        <w:t>1988</w:t>
      </w:r>
      <w:r>
        <w:rPr>
          <w:rFonts w:hint="eastAsia"/>
        </w:rPr>
        <w:t>年到</w:t>
      </w:r>
      <w:r>
        <w:rPr>
          <w:rFonts w:hint="eastAsia"/>
        </w:rPr>
        <w:t>1999</w:t>
      </w:r>
      <w:r>
        <w:rPr>
          <w:rFonts w:hint="eastAsia"/>
        </w:rPr>
        <w:t>年，非全日制工作岗位要比全职工作岗位增长得快。在同一时期，全职岗位增加了</w:t>
      </w:r>
      <w:r>
        <w:rPr>
          <w:rFonts w:hint="eastAsia"/>
        </w:rPr>
        <w:t>7.3%</w:t>
      </w:r>
      <w:r>
        <w:rPr>
          <w:rFonts w:hint="eastAsia"/>
        </w:rPr>
        <w:t>，而非全日制岗位增加了</w:t>
      </w:r>
      <w:r>
        <w:rPr>
          <w:rFonts w:hint="eastAsia"/>
        </w:rPr>
        <w:t>15.9%</w:t>
      </w:r>
      <w:r>
        <w:rPr>
          <w:rFonts w:hint="eastAsia"/>
        </w:rPr>
        <w:t>。虽然同整个就业率相比，非全日制工作所占的比例仍然很低，但是从长期来说有上升的趋势。</w:t>
      </w:r>
    </w:p>
    <w:p w:rsidR="00000000" w:rsidRDefault="00000000">
      <w:pPr>
        <w:pStyle w:val="Heading4"/>
        <w:rPr>
          <w:rFonts w:hint="eastAsia"/>
        </w:rPr>
      </w:pPr>
      <w:r>
        <w:rPr>
          <w:rFonts w:hint="eastAsia"/>
        </w:rPr>
        <w:t>在失业领域中失业时间和结构的情况变化</w:t>
      </w:r>
    </w:p>
    <w:p w:rsidR="00000000" w:rsidRDefault="00000000">
      <w:pPr>
        <w:rPr>
          <w:rFonts w:hint="eastAsia"/>
        </w:rPr>
      </w:pPr>
      <w:r>
        <w:rPr>
          <w:rFonts w:hint="eastAsia"/>
        </w:rPr>
        <w:tab/>
        <w:t>71.  1999</w:t>
      </w:r>
      <w:r>
        <w:rPr>
          <w:rFonts w:hint="eastAsia"/>
        </w:rPr>
        <w:t>年，根据劳动力调查所提供的数据，失业者总数为</w:t>
      </w:r>
      <w:r>
        <w:rPr>
          <w:rFonts w:hint="eastAsia"/>
        </w:rPr>
        <w:t>532,578</w:t>
      </w:r>
      <w:r>
        <w:rPr>
          <w:rFonts w:hint="eastAsia"/>
        </w:rPr>
        <w:t>人，其中</w:t>
      </w:r>
      <w:r>
        <w:rPr>
          <w:rFonts w:hint="eastAsia"/>
        </w:rPr>
        <w:t>210,169</w:t>
      </w:r>
      <w:r>
        <w:rPr>
          <w:rFonts w:hint="eastAsia"/>
        </w:rPr>
        <w:t>人为男子，</w:t>
      </w:r>
      <w:r>
        <w:rPr>
          <w:rFonts w:hint="eastAsia"/>
        </w:rPr>
        <w:t>322,419</w:t>
      </w:r>
      <w:r>
        <w:rPr>
          <w:rFonts w:hint="eastAsia"/>
        </w:rPr>
        <w:t>人为妇女。</w:t>
      </w:r>
      <w:r>
        <w:rPr>
          <w:rFonts w:hint="eastAsia"/>
        </w:rPr>
        <w:t>1999</w:t>
      </w:r>
      <w:r>
        <w:rPr>
          <w:rFonts w:hint="eastAsia"/>
        </w:rPr>
        <w:t>年的平均失业率为</w:t>
      </w:r>
      <w:r>
        <w:rPr>
          <w:rFonts w:hint="eastAsia"/>
        </w:rPr>
        <w:t>11.9%(1999</w:t>
      </w:r>
      <w:r>
        <w:rPr>
          <w:rFonts w:hint="eastAsia"/>
        </w:rPr>
        <w:t>年第一、第二、第三以及第四季度的失业率分别为：</w:t>
      </w:r>
      <w:r>
        <w:rPr>
          <w:rFonts w:hint="eastAsia"/>
        </w:rPr>
        <w:t>11.9%</w:t>
      </w:r>
      <w:r>
        <w:rPr>
          <w:rFonts w:hint="eastAsia"/>
        </w:rPr>
        <w:t>、</w:t>
      </w:r>
      <w:r>
        <w:rPr>
          <w:rFonts w:hint="eastAsia"/>
        </w:rPr>
        <w:t>11.7%</w:t>
      </w:r>
      <w:r>
        <w:rPr>
          <w:rFonts w:hint="eastAsia"/>
        </w:rPr>
        <w:t>、</w:t>
      </w:r>
      <w:r>
        <w:rPr>
          <w:rFonts w:hint="eastAsia"/>
        </w:rPr>
        <w:t>11.6%</w:t>
      </w:r>
      <w:r>
        <w:rPr>
          <w:rFonts w:hint="eastAsia"/>
        </w:rPr>
        <w:t>以及</w:t>
      </w:r>
      <w:r>
        <w:rPr>
          <w:rFonts w:hint="eastAsia"/>
        </w:rPr>
        <w:t>12.4%)</w:t>
      </w:r>
      <w:r>
        <w:rPr>
          <w:rFonts w:hint="eastAsia"/>
        </w:rPr>
        <w:t>。从</w:t>
      </w:r>
      <w:r>
        <w:rPr>
          <w:rFonts w:hint="eastAsia"/>
        </w:rPr>
        <w:t>1990</w:t>
      </w:r>
      <w:r>
        <w:rPr>
          <w:rFonts w:hint="eastAsia"/>
        </w:rPr>
        <w:t>年到</w:t>
      </w:r>
      <w:r>
        <w:rPr>
          <w:rFonts w:hint="eastAsia"/>
        </w:rPr>
        <w:t>1999</w:t>
      </w:r>
      <w:r>
        <w:rPr>
          <w:rFonts w:hint="eastAsia"/>
        </w:rPr>
        <w:t>年，希腊的失业人数增加了</w:t>
      </w:r>
      <w:r>
        <w:rPr>
          <w:rFonts w:hint="eastAsia"/>
        </w:rPr>
        <w:t>164,000</w:t>
      </w:r>
      <w:r>
        <w:rPr>
          <w:rFonts w:hint="eastAsia"/>
        </w:rPr>
        <w:t>人。然而，应当指出，在同一时期内，希腊劳动力的年平均增长率是欧洲联盟成员国中第三高的。虽然希望进入希腊劳动力市场的人数已有增加，但是希腊的年平均就业增长率要比欧盟的平均增长率高出</w:t>
      </w:r>
      <w:r>
        <w:rPr>
          <w:rFonts w:hint="eastAsia"/>
        </w:rPr>
        <w:t>5.5</w:t>
      </w:r>
      <w:r>
        <w:rPr>
          <w:rFonts w:hint="eastAsia"/>
        </w:rPr>
        <w:t>倍，从而导致创造了</w:t>
      </w:r>
      <w:r>
        <w:rPr>
          <w:rFonts w:hint="eastAsia"/>
        </w:rPr>
        <w:t>255,000</w:t>
      </w:r>
      <w:r>
        <w:rPr>
          <w:rFonts w:hint="eastAsia"/>
        </w:rPr>
        <w:t>个新的工作岗位。这些情况表明，希腊失业人数的增加主要是由于劳动力的增加，特别是由于妇女和移民涌入劳动力市场。然而，与此同时，希腊经济已经显示出稳定创造就业机会的能力，其比例是近年来最高的。据估计，刚才已经分析的这种稳定的宏观经济构架以及预期中的生产力的发展将在今后几年中创造新的工作岗位方面发挥更加有利的影响。</w:t>
      </w:r>
    </w:p>
    <w:p w:rsidR="00000000" w:rsidRDefault="00000000">
      <w:pPr>
        <w:spacing w:after="320"/>
        <w:rPr>
          <w:rFonts w:hint="eastAsia"/>
        </w:rPr>
      </w:pPr>
      <w:r>
        <w:rPr>
          <w:rFonts w:hint="eastAsia"/>
        </w:rPr>
        <w:tab/>
        <w:t xml:space="preserve">72.  </w:t>
      </w:r>
      <w:r>
        <w:rPr>
          <w:rFonts w:hint="eastAsia"/>
        </w:rPr>
        <w:t>根据最近提供的数据，</w:t>
      </w:r>
      <w:r>
        <w:rPr>
          <w:rFonts w:hint="eastAsia"/>
        </w:rPr>
        <w:t>2001</w:t>
      </w:r>
      <w:r>
        <w:rPr>
          <w:rFonts w:hint="eastAsia"/>
        </w:rPr>
        <w:t>年第二季度的失业率几乎下降了</w:t>
      </w:r>
      <w:r>
        <w:rPr>
          <w:rFonts w:hint="eastAsia"/>
        </w:rPr>
        <w:t>1%(</w:t>
      </w:r>
      <w:r>
        <w:rPr>
          <w:rFonts w:hint="eastAsia"/>
        </w:rPr>
        <w:t>从</w:t>
      </w:r>
      <w:r>
        <w:rPr>
          <w:rFonts w:hint="eastAsia"/>
        </w:rPr>
        <w:t>2000</w:t>
      </w:r>
      <w:r>
        <w:rPr>
          <w:rFonts w:hint="eastAsia"/>
        </w:rPr>
        <w:t>年第二季度的</w:t>
      </w:r>
      <w:r>
        <w:rPr>
          <w:rFonts w:hint="eastAsia"/>
        </w:rPr>
        <w:t>11.1%</w:t>
      </w:r>
      <w:r>
        <w:rPr>
          <w:rFonts w:hint="eastAsia"/>
        </w:rPr>
        <w:t>下降到</w:t>
      </w:r>
      <w:r>
        <w:rPr>
          <w:rFonts w:hint="eastAsia"/>
        </w:rPr>
        <w:t>10.2%)</w:t>
      </w:r>
      <w:r>
        <w:rPr>
          <w:rFonts w:hint="eastAsia"/>
        </w:rPr>
        <w:t>。男子的失业率为</w:t>
      </w:r>
      <w:r>
        <w:rPr>
          <w:rFonts w:hint="eastAsia"/>
        </w:rPr>
        <w:t>6.7%</w:t>
      </w:r>
      <w:r>
        <w:rPr>
          <w:rFonts w:hint="eastAsia"/>
        </w:rPr>
        <w:t>，下降了</w:t>
      </w:r>
      <w:r>
        <w:rPr>
          <w:rFonts w:hint="eastAsia"/>
        </w:rPr>
        <w:t>0.6%</w:t>
      </w:r>
      <w:r>
        <w:rPr>
          <w:rFonts w:hint="eastAsia"/>
        </w:rPr>
        <w:t>，而妇女的失业率</w:t>
      </w:r>
      <w:r>
        <w:rPr>
          <w:rFonts w:hint="eastAsia"/>
        </w:rPr>
        <w:t>(15.4%)</w:t>
      </w:r>
      <w:r>
        <w:rPr>
          <w:rFonts w:hint="eastAsia"/>
        </w:rPr>
        <w:t>下降幅度更大。失业人数估计为</w:t>
      </w:r>
      <w:r>
        <w:rPr>
          <w:rFonts w:hint="eastAsia"/>
        </w:rPr>
        <w:t>444,700</w:t>
      </w:r>
      <w:r>
        <w:rPr>
          <w:rFonts w:hint="eastAsia"/>
        </w:rPr>
        <w:t>人</w:t>
      </w:r>
      <w:r>
        <w:rPr>
          <w:rFonts w:hint="eastAsia"/>
        </w:rPr>
        <w:t>(</w:t>
      </w:r>
      <w:r>
        <w:rPr>
          <w:rFonts w:hint="eastAsia"/>
        </w:rPr>
        <w:t>与</w:t>
      </w:r>
      <w:r>
        <w:rPr>
          <w:rFonts w:hint="eastAsia"/>
        </w:rPr>
        <w:t>2000</w:t>
      </w:r>
      <w:r>
        <w:rPr>
          <w:rFonts w:hint="eastAsia"/>
        </w:rPr>
        <w:t>年相比，下降了</w:t>
      </w:r>
      <w:r>
        <w:rPr>
          <w:rFonts w:hint="eastAsia"/>
        </w:rPr>
        <w:t>9.4%)</w:t>
      </w:r>
      <w:r>
        <w:rPr>
          <w:rFonts w:hint="eastAsia"/>
        </w:rPr>
        <w:t>。青年失业率明显下降</w:t>
      </w:r>
      <w:r>
        <w:rPr>
          <w:rFonts w:hint="eastAsia"/>
        </w:rPr>
        <w:t>(15-29</w:t>
      </w:r>
      <w:r>
        <w:rPr>
          <w:rFonts w:hint="eastAsia"/>
        </w:rPr>
        <w:t>岁年龄组下降了</w:t>
      </w:r>
      <w:r>
        <w:rPr>
          <w:rFonts w:hint="eastAsia"/>
        </w:rPr>
        <w:t>11.8%)</w:t>
      </w:r>
      <w:r>
        <w:rPr>
          <w:rFonts w:hint="eastAsia"/>
        </w:rPr>
        <w:t>，长期失业率也明显下降</w:t>
      </w:r>
      <w:r>
        <w:rPr>
          <w:rFonts w:hint="eastAsia"/>
        </w:rPr>
        <w:t>(</w:t>
      </w:r>
      <w:r>
        <w:rPr>
          <w:rFonts w:hint="eastAsia"/>
        </w:rPr>
        <w:t>下降了</w:t>
      </w:r>
      <w:r>
        <w:rPr>
          <w:rFonts w:hint="eastAsia"/>
        </w:rPr>
        <w:t>15.5%)</w:t>
      </w:r>
      <w:r>
        <w:rPr>
          <w:rFonts w:hint="eastAsia"/>
        </w:rPr>
        <w:t>。</w:t>
      </w:r>
    </w:p>
    <w:p w:rsidR="00000000" w:rsidRDefault="00000000">
      <w:pPr>
        <w:pStyle w:val="Heading4"/>
        <w:rPr>
          <w:rFonts w:hint="eastAsia"/>
        </w:rPr>
      </w:pPr>
      <w:r>
        <w:rPr>
          <w:rFonts w:hint="eastAsia"/>
        </w:rPr>
        <w:t>在性别基础上的就业结构</w:t>
      </w:r>
    </w:p>
    <w:p w:rsidR="00000000" w:rsidRDefault="00000000">
      <w:pPr>
        <w:rPr>
          <w:rFonts w:hint="eastAsia"/>
        </w:rPr>
      </w:pPr>
      <w:r>
        <w:rPr>
          <w:rFonts w:hint="eastAsia"/>
        </w:rPr>
        <w:tab/>
        <w:t xml:space="preserve">73.  </w:t>
      </w:r>
      <w:r>
        <w:rPr>
          <w:rFonts w:hint="eastAsia"/>
        </w:rPr>
        <w:t>男子和妇女的就业数据是不同的。同男子相比，妇女在寻找工作方面面临更大的困难。在</w:t>
      </w:r>
      <w:r>
        <w:rPr>
          <w:rFonts w:hint="eastAsia"/>
        </w:rPr>
        <w:t>1999</w:t>
      </w:r>
      <w:r>
        <w:rPr>
          <w:rFonts w:hint="eastAsia"/>
        </w:rPr>
        <w:t>年的失业人士中，</w:t>
      </w:r>
      <w:r>
        <w:rPr>
          <w:rFonts w:hint="eastAsia"/>
        </w:rPr>
        <w:t>60.5%</w:t>
      </w:r>
      <w:r>
        <w:rPr>
          <w:rFonts w:hint="eastAsia"/>
        </w:rPr>
        <w:t>是妇女。在同一时期，平均失业率为</w:t>
      </w:r>
      <w:r>
        <w:rPr>
          <w:rFonts w:hint="eastAsia"/>
        </w:rPr>
        <w:t>11.9%</w:t>
      </w:r>
      <w:r>
        <w:rPr>
          <w:rFonts w:hint="eastAsia"/>
        </w:rPr>
        <w:t>，男子和妇女的失业率分别为</w:t>
      </w:r>
      <w:r>
        <w:rPr>
          <w:rFonts w:hint="eastAsia"/>
        </w:rPr>
        <w:t>8%</w:t>
      </w:r>
      <w:r>
        <w:rPr>
          <w:rFonts w:hint="eastAsia"/>
        </w:rPr>
        <w:t>和</w:t>
      </w:r>
      <w:r>
        <w:rPr>
          <w:rFonts w:hint="eastAsia"/>
        </w:rPr>
        <w:t>18%</w:t>
      </w:r>
      <w:r>
        <w:rPr>
          <w:rFonts w:hint="eastAsia"/>
        </w:rPr>
        <w:t>。然而，由于妇女在劳动力市场的参与率迅速上升，就业状况似乎发生了有利于妇女的变化。</w:t>
      </w:r>
      <w:r>
        <w:rPr>
          <w:rFonts w:hint="eastAsia"/>
        </w:rPr>
        <w:t>1988</w:t>
      </w:r>
      <w:r>
        <w:rPr>
          <w:rFonts w:hint="eastAsia"/>
        </w:rPr>
        <w:t>年，妇女占就业人口的</w:t>
      </w:r>
      <w:r>
        <w:rPr>
          <w:rFonts w:hint="eastAsia"/>
        </w:rPr>
        <w:t>34.9%</w:t>
      </w:r>
      <w:r>
        <w:rPr>
          <w:rFonts w:hint="eastAsia"/>
        </w:rPr>
        <w:t>，占劳动力的</w:t>
      </w:r>
      <w:r>
        <w:rPr>
          <w:rFonts w:hint="eastAsia"/>
        </w:rPr>
        <w:t>36.7%</w:t>
      </w:r>
      <w:r>
        <w:rPr>
          <w:rFonts w:hint="eastAsia"/>
        </w:rPr>
        <w:t>，而</w:t>
      </w:r>
      <w:r>
        <w:rPr>
          <w:rFonts w:hint="eastAsia"/>
        </w:rPr>
        <w:t>1999</w:t>
      </w:r>
      <w:r>
        <w:rPr>
          <w:rFonts w:hint="eastAsia"/>
        </w:rPr>
        <w:t>年这两项数字分别为</w:t>
      </w:r>
      <w:r>
        <w:rPr>
          <w:rFonts w:hint="eastAsia"/>
        </w:rPr>
        <w:t>37.4%</w:t>
      </w:r>
      <w:r>
        <w:rPr>
          <w:rFonts w:hint="eastAsia"/>
        </w:rPr>
        <w:t>和</w:t>
      </w:r>
      <w:r>
        <w:rPr>
          <w:rFonts w:hint="eastAsia"/>
        </w:rPr>
        <w:t>40.2%</w:t>
      </w:r>
      <w:r>
        <w:rPr>
          <w:rFonts w:hint="eastAsia"/>
        </w:rPr>
        <w:t>。同男子相比，妇女往往更多地从事非全日制工作。</w:t>
      </w:r>
      <w:r>
        <w:rPr>
          <w:rFonts w:hint="eastAsia"/>
        </w:rPr>
        <w:t>1999</w:t>
      </w:r>
      <w:r>
        <w:rPr>
          <w:rFonts w:hint="eastAsia"/>
        </w:rPr>
        <w:t>年，男子从事非全日制工作的比例为</w:t>
      </w:r>
      <w:r>
        <w:rPr>
          <w:rFonts w:hint="eastAsia"/>
        </w:rPr>
        <w:t>3.3%</w:t>
      </w:r>
      <w:r>
        <w:rPr>
          <w:rFonts w:hint="eastAsia"/>
        </w:rPr>
        <w:t>，而妇女的比例为</w:t>
      </w:r>
      <w:r>
        <w:rPr>
          <w:rFonts w:hint="eastAsia"/>
        </w:rPr>
        <w:t>9.9%</w:t>
      </w:r>
      <w:r>
        <w:rPr>
          <w:rFonts w:hint="eastAsia"/>
        </w:rPr>
        <w:t>。实际上，一些年来男子参加非全日制工作的比例上升得比妇女快，这种情况将导致这方面的男女比例更加平等。</w:t>
      </w:r>
    </w:p>
    <w:p w:rsidR="00000000" w:rsidRDefault="00000000">
      <w:pPr>
        <w:rPr>
          <w:rFonts w:hint="eastAsia"/>
        </w:rPr>
      </w:pPr>
      <w:r>
        <w:rPr>
          <w:rFonts w:hint="eastAsia"/>
        </w:rPr>
        <w:tab/>
        <w:t xml:space="preserve">74.  </w:t>
      </w:r>
      <w:r>
        <w:rPr>
          <w:rFonts w:hint="eastAsia"/>
        </w:rPr>
        <w:t>为了帮助妇女克服在劳动力市场所面临的困难，希腊政府和社会伙伴除了采取附加措施以外，还决定将性别平等的原则纳入《国家就业行动计划》的四大支柱之中。性别平等的原则也纳入了就业和职业培训计划，妇女参加这些计划的比例相当于妇女的失业比例。政府提供了新的机会，以便加强妇女的创业精神，同时妇女还获得了培训和教育，准备从事面向信息社会的更具活力的职业。</w:t>
      </w:r>
    </w:p>
    <w:p w:rsidR="00000000" w:rsidRDefault="00000000">
      <w:pPr>
        <w:spacing w:after="320"/>
        <w:rPr>
          <w:rFonts w:hint="eastAsia"/>
        </w:rPr>
      </w:pPr>
      <w:r>
        <w:rPr>
          <w:rFonts w:hint="eastAsia"/>
        </w:rPr>
        <w:tab/>
        <w:t xml:space="preserve">75.  </w:t>
      </w:r>
      <w:r>
        <w:rPr>
          <w:rFonts w:hint="eastAsia"/>
        </w:rPr>
        <w:t>关于为促进妇女就业和减少妇女失业而采取的措施，向国际劳工组织提交的下列国家报告均有提及：</w:t>
      </w:r>
      <w:r>
        <w:rPr>
          <w:rFonts w:hint="eastAsia"/>
        </w:rPr>
        <w:t>2000</w:t>
      </w:r>
      <w:r>
        <w:rPr>
          <w:rFonts w:hint="eastAsia"/>
        </w:rPr>
        <w:t>年有关实施国际劳工组织第</w:t>
      </w:r>
      <w:r>
        <w:rPr>
          <w:rFonts w:hint="eastAsia"/>
        </w:rPr>
        <w:t>122</w:t>
      </w:r>
      <w:r>
        <w:rPr>
          <w:rFonts w:hint="eastAsia"/>
        </w:rPr>
        <w:t>号公约的报告</w:t>
      </w:r>
      <w:r>
        <w:rPr>
          <w:rFonts w:hint="eastAsia"/>
        </w:rPr>
        <w:t>(</w:t>
      </w:r>
      <w:r>
        <w:rPr>
          <w:rFonts w:hint="eastAsia"/>
        </w:rPr>
        <w:t>附录二</w:t>
      </w:r>
      <w:r>
        <w:rPr>
          <w:rFonts w:hint="eastAsia"/>
        </w:rPr>
        <w:t>)</w:t>
      </w:r>
      <w:r>
        <w:rPr>
          <w:rFonts w:hint="eastAsia"/>
        </w:rPr>
        <w:t>；</w:t>
      </w:r>
      <w:r>
        <w:rPr>
          <w:rFonts w:hint="eastAsia"/>
        </w:rPr>
        <w:t>1997</w:t>
      </w:r>
      <w:r>
        <w:rPr>
          <w:rFonts w:hint="eastAsia"/>
        </w:rPr>
        <w:t>年有关实施国际劳工组织第</w:t>
      </w:r>
      <w:r>
        <w:rPr>
          <w:rFonts w:hint="eastAsia"/>
        </w:rPr>
        <w:t>111</w:t>
      </w:r>
      <w:r>
        <w:rPr>
          <w:rFonts w:hint="eastAsia"/>
        </w:rPr>
        <w:t>号公约的报告</w:t>
      </w:r>
      <w:r>
        <w:rPr>
          <w:rFonts w:hint="eastAsia"/>
        </w:rPr>
        <w:t>(</w:t>
      </w:r>
      <w:r>
        <w:rPr>
          <w:rFonts w:hint="eastAsia"/>
        </w:rPr>
        <w:t>附录二</w:t>
      </w:r>
      <w:r>
        <w:rPr>
          <w:rFonts w:hint="eastAsia"/>
        </w:rPr>
        <w:t>)</w:t>
      </w:r>
      <w:r>
        <w:rPr>
          <w:rFonts w:hint="eastAsia"/>
        </w:rPr>
        <w:t>；</w:t>
      </w:r>
      <w:r>
        <w:rPr>
          <w:rFonts w:hint="eastAsia"/>
        </w:rPr>
        <w:t>1999</w:t>
      </w:r>
      <w:r>
        <w:rPr>
          <w:rFonts w:hint="eastAsia"/>
        </w:rPr>
        <w:t>年有关实施国际劳工组织第</w:t>
      </w:r>
      <w:r>
        <w:rPr>
          <w:rFonts w:hint="eastAsia"/>
        </w:rPr>
        <w:t>111</w:t>
      </w:r>
      <w:r>
        <w:rPr>
          <w:rFonts w:hint="eastAsia"/>
        </w:rPr>
        <w:t>号公约的报告</w:t>
      </w:r>
      <w:r>
        <w:rPr>
          <w:rFonts w:hint="eastAsia"/>
        </w:rPr>
        <w:t>(</w:t>
      </w:r>
      <w:r>
        <w:rPr>
          <w:rFonts w:hint="eastAsia"/>
        </w:rPr>
        <w:t>附录二</w:t>
      </w:r>
      <w:r>
        <w:rPr>
          <w:rFonts w:hint="eastAsia"/>
        </w:rPr>
        <w:t>)</w:t>
      </w:r>
      <w:r>
        <w:rPr>
          <w:rFonts w:hint="eastAsia"/>
        </w:rPr>
        <w:t>以及</w:t>
      </w:r>
      <w:r>
        <w:rPr>
          <w:rFonts w:hint="eastAsia"/>
        </w:rPr>
        <w:t>2000</w:t>
      </w:r>
      <w:r>
        <w:rPr>
          <w:rFonts w:hint="eastAsia"/>
        </w:rPr>
        <w:t>年有关实施国际劳工组织第</w:t>
      </w:r>
      <w:r>
        <w:rPr>
          <w:rFonts w:hint="eastAsia"/>
        </w:rPr>
        <w:t>100</w:t>
      </w:r>
      <w:r>
        <w:rPr>
          <w:rFonts w:hint="eastAsia"/>
        </w:rPr>
        <w:t>号公约的报告</w:t>
      </w:r>
      <w:r>
        <w:rPr>
          <w:rFonts w:hint="eastAsia"/>
        </w:rPr>
        <w:t>(</w:t>
      </w:r>
      <w:r>
        <w:rPr>
          <w:rFonts w:hint="eastAsia"/>
        </w:rPr>
        <w:t>附录二</w:t>
      </w:r>
      <w:r>
        <w:rPr>
          <w:rFonts w:hint="eastAsia"/>
        </w:rPr>
        <w:t>)</w:t>
      </w:r>
      <w:r>
        <w:rPr>
          <w:rFonts w:hint="eastAsia"/>
        </w:rPr>
        <w:t>。</w:t>
      </w:r>
    </w:p>
    <w:p w:rsidR="00000000" w:rsidRDefault="00000000">
      <w:pPr>
        <w:pStyle w:val="Heading4"/>
        <w:rPr>
          <w:rFonts w:hint="eastAsia"/>
        </w:rPr>
      </w:pPr>
      <w:r>
        <w:rPr>
          <w:rFonts w:hint="eastAsia"/>
        </w:rPr>
        <w:t>以年龄为基础的就业结构</w:t>
      </w:r>
    </w:p>
    <w:p w:rsidR="00000000" w:rsidRDefault="00000000">
      <w:pPr>
        <w:spacing w:after="320"/>
        <w:rPr>
          <w:rFonts w:hint="eastAsia"/>
        </w:rPr>
      </w:pPr>
      <w:r>
        <w:rPr>
          <w:rFonts w:hint="eastAsia"/>
        </w:rPr>
        <w:tab/>
        <w:t xml:space="preserve">76.  </w:t>
      </w:r>
      <w:r>
        <w:rPr>
          <w:rFonts w:hint="eastAsia"/>
        </w:rPr>
        <w:t>在希腊，年轻人是在寻找工作方面遭遇困难的第二个群体。然而，</w:t>
      </w:r>
      <w:r>
        <w:rPr>
          <w:rFonts w:hint="eastAsia"/>
        </w:rPr>
        <w:t>1988</w:t>
      </w:r>
      <w:r>
        <w:rPr>
          <w:rFonts w:hint="eastAsia"/>
        </w:rPr>
        <w:t>年</w:t>
      </w:r>
      <w:r>
        <w:rPr>
          <w:rFonts w:hint="eastAsia"/>
        </w:rPr>
        <w:t>-1999</w:t>
      </w:r>
      <w:r>
        <w:rPr>
          <w:rFonts w:hint="eastAsia"/>
        </w:rPr>
        <w:t>年以年龄为基础的群体失业情况表明，在同一时期中，年轻人在失业整体中所占的比例已经下降。</w:t>
      </w:r>
      <w:r>
        <w:rPr>
          <w:rFonts w:hint="eastAsia"/>
        </w:rPr>
        <w:t>1988</w:t>
      </w:r>
      <w:r>
        <w:rPr>
          <w:rFonts w:hint="eastAsia"/>
        </w:rPr>
        <w:t>年</w:t>
      </w:r>
      <w:r>
        <w:rPr>
          <w:rFonts w:hint="eastAsia"/>
        </w:rPr>
        <w:t>15-19</w:t>
      </w:r>
      <w:r>
        <w:rPr>
          <w:rFonts w:hint="eastAsia"/>
        </w:rPr>
        <w:t>岁和</w:t>
      </w:r>
      <w:r>
        <w:rPr>
          <w:rFonts w:hint="eastAsia"/>
        </w:rPr>
        <w:t>20-24</w:t>
      </w:r>
      <w:r>
        <w:rPr>
          <w:rFonts w:hint="eastAsia"/>
        </w:rPr>
        <w:t>岁的年轻人占失业人士总数的</w:t>
      </w:r>
      <w:r>
        <w:rPr>
          <w:rFonts w:hint="eastAsia"/>
        </w:rPr>
        <w:t>14.3%</w:t>
      </w:r>
      <w:r>
        <w:rPr>
          <w:rFonts w:hint="eastAsia"/>
        </w:rPr>
        <w:t>和</w:t>
      </w:r>
      <w:r>
        <w:rPr>
          <w:rFonts w:hint="eastAsia"/>
        </w:rPr>
        <w:t>29.7%</w:t>
      </w:r>
      <w:r>
        <w:rPr>
          <w:rFonts w:hint="eastAsia"/>
        </w:rPr>
        <w:t>，到</w:t>
      </w:r>
      <w:r>
        <w:rPr>
          <w:rFonts w:hint="eastAsia"/>
        </w:rPr>
        <w:t>1999</w:t>
      </w:r>
      <w:r>
        <w:rPr>
          <w:rFonts w:hint="eastAsia"/>
        </w:rPr>
        <w:t>年这两项数字已经下降到</w:t>
      </w:r>
      <w:r>
        <w:rPr>
          <w:rFonts w:hint="eastAsia"/>
        </w:rPr>
        <w:t>8.6%</w:t>
      </w:r>
      <w:r>
        <w:rPr>
          <w:rFonts w:hint="eastAsia"/>
        </w:rPr>
        <w:t>和</w:t>
      </w:r>
      <w:r>
        <w:rPr>
          <w:rFonts w:hint="eastAsia"/>
        </w:rPr>
        <w:t>24.5%</w:t>
      </w:r>
      <w:r>
        <w:rPr>
          <w:rFonts w:hint="eastAsia"/>
        </w:rPr>
        <w:t>。</w:t>
      </w:r>
    </w:p>
    <w:p w:rsidR="00000000" w:rsidRDefault="00000000">
      <w:pPr>
        <w:pStyle w:val="Heading4"/>
        <w:rPr>
          <w:rFonts w:hint="eastAsia"/>
        </w:rPr>
      </w:pPr>
      <w:r>
        <w:rPr>
          <w:rFonts w:hint="eastAsia"/>
        </w:rPr>
        <w:t>旨在防止和减少青年失业的政策措施</w:t>
      </w:r>
    </w:p>
    <w:p w:rsidR="00000000" w:rsidRDefault="00000000">
      <w:pPr>
        <w:rPr>
          <w:rFonts w:hint="eastAsia"/>
        </w:rPr>
      </w:pPr>
      <w:r>
        <w:rPr>
          <w:rFonts w:hint="eastAsia"/>
        </w:rPr>
        <w:tab/>
        <w:t xml:space="preserve">77.  </w:t>
      </w:r>
      <w:r>
        <w:rPr>
          <w:rFonts w:hint="eastAsia"/>
        </w:rPr>
        <w:t>所实施政策的基本目标是要防止年轻人的长期失业</w:t>
      </w:r>
      <w:r>
        <w:rPr>
          <w:rFonts w:hint="eastAsia"/>
        </w:rPr>
        <w:t>(</w:t>
      </w:r>
      <w:r>
        <w:rPr>
          <w:rFonts w:hint="eastAsia"/>
        </w:rPr>
        <w:t>失业超过六个月</w:t>
      </w:r>
      <w:r>
        <w:rPr>
          <w:rFonts w:hint="eastAsia"/>
        </w:rPr>
        <w:t>)</w:t>
      </w:r>
      <w:r>
        <w:rPr>
          <w:rFonts w:hint="eastAsia"/>
        </w:rPr>
        <w:t>，其办法是：帮助他们寻找工作，或者提供各种培训计划增加其就业机会。将以相同的方法解决失业超过六个月的年轻人的问题。</w:t>
      </w:r>
    </w:p>
    <w:p w:rsidR="00000000" w:rsidRDefault="00000000">
      <w:pPr>
        <w:rPr>
          <w:rFonts w:hint="eastAsia"/>
        </w:rPr>
      </w:pPr>
      <w:r>
        <w:rPr>
          <w:rFonts w:hint="eastAsia"/>
        </w:rPr>
        <w:tab/>
        <w:t xml:space="preserve">78.  </w:t>
      </w:r>
      <w:r>
        <w:rPr>
          <w:rFonts w:hint="eastAsia"/>
        </w:rPr>
        <w:t>正在实施旨在防止和解决失业问题的综合干预方案，为了更好地满足个别对象组的需要以及劳动力市场的要求，已经提出了一系列的措施</w:t>
      </w:r>
      <w:r>
        <w:rPr>
          <w:rFonts w:hint="eastAsia"/>
        </w:rPr>
        <w:t>(</w:t>
      </w:r>
      <w:r>
        <w:rPr>
          <w:rFonts w:hint="eastAsia"/>
        </w:rPr>
        <w:t>培训、工作经验、就业以及自营职业</w:t>
      </w:r>
      <w:r>
        <w:rPr>
          <w:rFonts w:hint="eastAsia"/>
        </w:rPr>
        <w:t>)</w:t>
      </w:r>
      <w:r>
        <w:rPr>
          <w:rFonts w:hint="eastAsia"/>
        </w:rPr>
        <w:t>。正在提出针对具体群体</w:t>
      </w:r>
      <w:r>
        <w:rPr>
          <w:rFonts w:hint="eastAsia"/>
        </w:rPr>
        <w:t>(</w:t>
      </w:r>
      <w:r>
        <w:rPr>
          <w:rFonts w:hint="eastAsia"/>
        </w:rPr>
        <w:t>例如大学毕业生</w:t>
      </w:r>
      <w:r>
        <w:rPr>
          <w:rFonts w:hint="eastAsia"/>
        </w:rPr>
        <w:t>)</w:t>
      </w:r>
      <w:r>
        <w:rPr>
          <w:rFonts w:hint="eastAsia"/>
        </w:rPr>
        <w:t>的特殊方案，同时正在通过现有的针对具体群体的方案</w:t>
      </w:r>
      <w:r>
        <w:rPr>
          <w:rFonts w:hint="eastAsia"/>
        </w:rPr>
        <w:t>(</w:t>
      </w:r>
      <w:r>
        <w:rPr>
          <w:rFonts w:hint="eastAsia"/>
        </w:rPr>
        <w:t>例如帮助严重失业地区的失业人士的方案</w:t>
      </w:r>
      <w:r>
        <w:rPr>
          <w:rFonts w:hint="eastAsia"/>
        </w:rPr>
        <w:t>)</w:t>
      </w:r>
      <w:r>
        <w:rPr>
          <w:rFonts w:hint="eastAsia"/>
        </w:rPr>
        <w:t>作出有利安排。就方案中的部门专业化而言，正在那些估计就业会增加的部门或者在那些失业问题十分严重的部门实施某些项目</w:t>
      </w:r>
      <w:r>
        <w:rPr>
          <w:rFonts w:hint="eastAsia"/>
        </w:rPr>
        <w:t>(</w:t>
      </w:r>
      <w:r>
        <w:rPr>
          <w:rFonts w:hint="eastAsia"/>
        </w:rPr>
        <w:t>例如，已经制定一些有关文化事业的方案，目前正在实施之中</w:t>
      </w:r>
      <w:r>
        <w:rPr>
          <w:rFonts w:hint="eastAsia"/>
        </w:rPr>
        <w:t>)</w:t>
      </w:r>
      <w:r>
        <w:rPr>
          <w:rFonts w:hint="eastAsia"/>
        </w:rPr>
        <w:t>。同时为现有的方案制定了特别奖励措施，以便鼓励失业人士学习新技术。</w:t>
      </w:r>
    </w:p>
    <w:p w:rsidR="00000000" w:rsidRDefault="00000000">
      <w:pPr>
        <w:rPr>
          <w:rFonts w:hint="eastAsia"/>
        </w:rPr>
      </w:pPr>
      <w:r>
        <w:rPr>
          <w:rFonts w:hint="eastAsia"/>
        </w:rPr>
        <w:tab/>
        <w:t xml:space="preserve">79.  </w:t>
      </w:r>
      <w:r>
        <w:rPr>
          <w:rFonts w:hint="eastAsia"/>
        </w:rPr>
        <w:t>通过综合干预解决失业问题是人力雇佣组织下属的就业促进中心的目标。在这些中心中，特别顾问为失业人士提供个别辅导。这些顾问试图为失业的年轻人提供没有补助的工作，如果没有可能安排工作的话，就向他们提供以下的选择：</w:t>
      </w:r>
    </w:p>
    <w:p w:rsidR="00000000" w:rsidRDefault="00000000">
      <w:pPr>
        <w:pStyle w:val="a0"/>
        <w:tabs>
          <w:tab w:val="num" w:pos="1550"/>
        </w:tabs>
        <w:ind w:left="1550"/>
        <w:rPr>
          <w:rFonts w:hint="eastAsia"/>
        </w:rPr>
      </w:pPr>
      <w:r>
        <w:rPr>
          <w:rFonts w:hint="eastAsia"/>
        </w:rPr>
        <w:t>参加求职俱乐部举办的短期培训班；</w:t>
      </w:r>
    </w:p>
    <w:p w:rsidR="00000000" w:rsidRDefault="00000000">
      <w:pPr>
        <w:pStyle w:val="a0"/>
        <w:tabs>
          <w:tab w:val="num" w:pos="1550"/>
        </w:tabs>
        <w:ind w:left="1550"/>
        <w:rPr>
          <w:rFonts w:hint="eastAsia"/>
        </w:rPr>
      </w:pPr>
      <w:r>
        <w:rPr>
          <w:rFonts w:hint="eastAsia"/>
        </w:rPr>
        <w:t>参加与人才雇佣组织下属的就业促进中心和职业技术培训中心合办的连续培训班；</w:t>
      </w:r>
    </w:p>
    <w:p w:rsidR="00000000" w:rsidRDefault="00000000">
      <w:pPr>
        <w:pStyle w:val="a0"/>
        <w:tabs>
          <w:tab w:val="num" w:pos="1550"/>
        </w:tabs>
        <w:ind w:left="1550"/>
        <w:rPr>
          <w:rFonts w:hint="eastAsia"/>
        </w:rPr>
      </w:pPr>
      <w:r>
        <w:rPr>
          <w:rFonts w:hint="eastAsia"/>
        </w:rPr>
        <w:t>参加为</w:t>
      </w:r>
      <w:r>
        <w:rPr>
          <w:rFonts w:hint="eastAsia"/>
        </w:rPr>
        <w:t>18</w:t>
      </w:r>
      <w:r>
        <w:rPr>
          <w:rFonts w:hint="eastAsia"/>
        </w:rPr>
        <w:t>岁以下青年人举办的学徒班；</w:t>
      </w:r>
    </w:p>
    <w:p w:rsidR="00000000" w:rsidRDefault="00000000">
      <w:pPr>
        <w:pStyle w:val="a0"/>
        <w:tabs>
          <w:tab w:val="num" w:pos="1550"/>
        </w:tabs>
        <w:ind w:left="1550"/>
        <w:rPr>
          <w:rFonts w:hint="eastAsia"/>
        </w:rPr>
      </w:pPr>
      <w:r>
        <w:rPr>
          <w:rFonts w:hint="eastAsia"/>
        </w:rPr>
        <w:t>参加职业培训所为艺术院校毕业生举办的培训班；</w:t>
      </w:r>
    </w:p>
    <w:p w:rsidR="00000000" w:rsidRDefault="00000000">
      <w:pPr>
        <w:pStyle w:val="a0"/>
        <w:tabs>
          <w:tab w:val="num" w:pos="1550"/>
        </w:tabs>
        <w:ind w:left="1550"/>
        <w:rPr>
          <w:rFonts w:hint="eastAsia"/>
        </w:rPr>
      </w:pPr>
      <w:r>
        <w:rPr>
          <w:rFonts w:hint="eastAsia"/>
        </w:rPr>
        <w:t>通过“舞台”方案取得工作经验；以及</w:t>
      </w:r>
    </w:p>
    <w:p w:rsidR="00000000" w:rsidRDefault="00000000">
      <w:pPr>
        <w:pStyle w:val="a0"/>
        <w:tabs>
          <w:tab w:val="num" w:pos="1550"/>
        </w:tabs>
        <w:ind w:left="1550"/>
        <w:rPr>
          <w:rFonts w:hint="eastAsia"/>
        </w:rPr>
      </w:pPr>
      <w:r>
        <w:rPr>
          <w:rFonts w:hint="eastAsia"/>
        </w:rPr>
        <w:t>参加人才雇佣组织题为“积极生活中的年轻人”的主要方案，该方案由两个次级方案组成，其中之一是促进自营职业的名为“年轻的专业人员”的次级方案。必须指出，通过上述方案创造的就业机会的</w:t>
      </w:r>
      <w:r>
        <w:rPr>
          <w:rFonts w:hint="eastAsia"/>
        </w:rPr>
        <w:t>60%</w:t>
      </w:r>
      <w:r>
        <w:rPr>
          <w:rFonts w:hint="eastAsia"/>
        </w:rPr>
        <w:t>在方案结束以后依然存在。</w:t>
      </w:r>
    </w:p>
    <w:p w:rsidR="00000000" w:rsidRDefault="00000000">
      <w:pPr>
        <w:rPr>
          <w:rFonts w:hint="eastAsia"/>
        </w:rPr>
      </w:pPr>
      <w:r>
        <w:rPr>
          <w:rFonts w:hint="eastAsia"/>
        </w:rPr>
        <w:tab/>
        <w:t xml:space="preserve">80.  </w:t>
      </w:r>
      <w:r>
        <w:rPr>
          <w:rFonts w:hint="eastAsia"/>
        </w:rPr>
        <w:t>同前些年相比，</w:t>
      </w:r>
      <w:r>
        <w:rPr>
          <w:rFonts w:hint="eastAsia"/>
        </w:rPr>
        <w:t>1999</w:t>
      </w:r>
      <w:r>
        <w:rPr>
          <w:rFonts w:hint="eastAsia"/>
        </w:rPr>
        <w:t>年在实施“积极生活中的年轻人”的方案时提出了一项创新，部分方案涉及资助在文化部门中创造新的工作岗位以及举办新的企业。所谓文化部门是指那些开发文化遗产、音乐、表演、视觉和书画艺术、书籍、文化旅游业以及视听媒体的部门。其中有些行业面临严重的失业问题</w:t>
      </w:r>
      <w:r>
        <w:rPr>
          <w:rFonts w:hint="eastAsia"/>
        </w:rPr>
        <w:t>(</w:t>
      </w:r>
      <w:r>
        <w:rPr>
          <w:rFonts w:hint="eastAsia"/>
        </w:rPr>
        <w:t>例如表演艺术</w:t>
      </w:r>
      <w:r>
        <w:rPr>
          <w:rFonts w:hint="eastAsia"/>
        </w:rPr>
        <w:t>)</w:t>
      </w:r>
      <w:r>
        <w:rPr>
          <w:rFonts w:hint="eastAsia"/>
        </w:rPr>
        <w:t>，而在另外一些行业中，就业率估计会有相当大的增长</w:t>
      </w:r>
      <w:r>
        <w:rPr>
          <w:rFonts w:hint="eastAsia"/>
        </w:rPr>
        <w:t>(</w:t>
      </w:r>
      <w:r>
        <w:rPr>
          <w:rFonts w:hint="eastAsia"/>
        </w:rPr>
        <w:t>例如视听媒体</w:t>
      </w:r>
      <w:r>
        <w:rPr>
          <w:rFonts w:hint="eastAsia"/>
        </w:rPr>
        <w:t>)</w:t>
      </w:r>
      <w:r>
        <w:rPr>
          <w:rFonts w:hint="eastAsia"/>
        </w:rPr>
        <w:t>。</w:t>
      </w:r>
    </w:p>
    <w:p w:rsidR="00000000" w:rsidRDefault="00000000">
      <w:pPr>
        <w:spacing w:after="320"/>
        <w:rPr>
          <w:rFonts w:hint="eastAsia"/>
        </w:rPr>
      </w:pPr>
      <w:r>
        <w:rPr>
          <w:rFonts w:hint="eastAsia"/>
        </w:rPr>
        <w:tab/>
        <w:t xml:space="preserve">81.  </w:t>
      </w:r>
      <w:r>
        <w:rPr>
          <w:rFonts w:hint="eastAsia"/>
        </w:rPr>
        <w:t>为了确保更多的失业年轻人参加“积极生活中的年轻人”这个方案，目前正在简化实施方案的程序，而且只要失业人士的活动涉及电脑或者一般技术，“年轻的专业人员”次级方案提供的资助就会更加有利。为那些发展缓慢而且失业率高的地区、农村地区以及岛屿提供了更多的资金。</w:t>
      </w:r>
    </w:p>
    <w:p w:rsidR="00000000" w:rsidRDefault="00000000">
      <w:pPr>
        <w:pStyle w:val="Heading4"/>
        <w:rPr>
          <w:rFonts w:hint="eastAsia"/>
        </w:rPr>
      </w:pPr>
      <w:r>
        <w:rPr>
          <w:rFonts w:hint="eastAsia"/>
        </w:rPr>
        <w:t>有特殊需要的人士</w:t>
      </w:r>
    </w:p>
    <w:p w:rsidR="00000000" w:rsidRDefault="00000000">
      <w:pPr>
        <w:rPr>
          <w:rFonts w:hint="eastAsia"/>
        </w:rPr>
      </w:pPr>
      <w:r>
        <w:rPr>
          <w:rFonts w:hint="eastAsia"/>
        </w:rPr>
        <w:tab/>
        <w:t xml:space="preserve">82.  </w:t>
      </w:r>
      <w:r>
        <w:rPr>
          <w:rFonts w:hint="eastAsia"/>
        </w:rPr>
        <w:t>具有特殊需要的人士在劳动力市场的竞争中面临困难。为了提高这个弱势群体的就业率，已经制定了特别的保护法律以及促进就业的方案。希腊第</w:t>
      </w:r>
      <w:r>
        <w:rPr>
          <w:rFonts w:hint="eastAsia"/>
        </w:rPr>
        <w:t>2643/1998</w:t>
      </w:r>
      <w:r>
        <w:rPr>
          <w:rFonts w:hint="eastAsia"/>
        </w:rPr>
        <w:t>号法令以及第</w:t>
      </w:r>
      <w:r>
        <w:rPr>
          <w:rFonts w:hint="eastAsia"/>
        </w:rPr>
        <w:t>2956/2001</w:t>
      </w:r>
      <w:r>
        <w:rPr>
          <w:rFonts w:hint="eastAsia"/>
        </w:rPr>
        <w:t>号法令已经生效，这两项法令就在公共部门工作的处于不利地位人士的就业条件作出了规定。</w:t>
      </w:r>
    </w:p>
    <w:p w:rsidR="00000000" w:rsidRDefault="00000000">
      <w:pPr>
        <w:rPr>
          <w:rFonts w:hint="eastAsia"/>
        </w:rPr>
      </w:pPr>
      <w:r>
        <w:rPr>
          <w:rFonts w:hint="eastAsia"/>
        </w:rPr>
        <w:tab/>
        <w:t xml:space="preserve">83.  </w:t>
      </w:r>
      <w:r>
        <w:rPr>
          <w:rFonts w:hint="eastAsia"/>
        </w:rPr>
        <w:t>依照这些法令，在安排具有特殊需要的人士在公共部门就业方面，公共服务部门、公共企业和公司以及地方政府机构必须根据优先秩序任命或者雇用残疾人士、多子女父母以及其他的弱势群体。这些人士无须参加公共竞争或者选拔，应占所宣布空缺总数的</w:t>
      </w:r>
      <w:r>
        <w:rPr>
          <w:rFonts w:hint="eastAsia"/>
        </w:rPr>
        <w:t>5%</w:t>
      </w:r>
      <w:r>
        <w:rPr>
          <w:rFonts w:hint="eastAsia"/>
        </w:rPr>
        <w:t>。同时，凡是残疾率达到</w:t>
      </w:r>
      <w:r>
        <w:rPr>
          <w:rFonts w:hint="eastAsia"/>
        </w:rPr>
        <w:t>50%</w:t>
      </w:r>
      <w:r>
        <w:rPr>
          <w:rFonts w:hint="eastAsia"/>
        </w:rPr>
        <w:t>以上同时又很难找到工作的人士，有权获得上述</w:t>
      </w:r>
      <w:r>
        <w:rPr>
          <w:rFonts w:hint="eastAsia"/>
        </w:rPr>
        <w:t>5%</w:t>
      </w:r>
      <w:r>
        <w:rPr>
          <w:rFonts w:hint="eastAsia"/>
        </w:rPr>
        <w:t>之中的八分之三的职位。此外，凡是其子女或者兄弟的残疾率达到</w:t>
      </w:r>
      <w:r>
        <w:rPr>
          <w:rFonts w:hint="eastAsia"/>
        </w:rPr>
        <w:t>67%</w:t>
      </w:r>
      <w:r>
        <w:rPr>
          <w:rFonts w:hint="eastAsia"/>
        </w:rPr>
        <w:t>以上的人士有权获得上述</w:t>
      </w:r>
      <w:r>
        <w:rPr>
          <w:rFonts w:hint="eastAsia"/>
        </w:rPr>
        <w:t>5%</w:t>
      </w:r>
      <w:r>
        <w:rPr>
          <w:rFonts w:hint="eastAsia"/>
        </w:rPr>
        <w:t>职位中的八分之一。</w:t>
      </w:r>
    </w:p>
    <w:p w:rsidR="00000000" w:rsidRDefault="00000000">
      <w:pPr>
        <w:rPr>
          <w:rFonts w:hint="eastAsia"/>
        </w:rPr>
      </w:pPr>
      <w:r>
        <w:rPr>
          <w:rFonts w:hint="eastAsia"/>
        </w:rPr>
        <w:tab/>
        <w:t xml:space="preserve">84.  </w:t>
      </w:r>
      <w:r>
        <w:rPr>
          <w:rFonts w:hint="eastAsia"/>
        </w:rPr>
        <w:t>除此以外，公共服务部门、执法部门以及地方政府的行政机构也必须雇用盲人学校的毕业生担任电话接线员。盲人应占电讯中心有关空缺总数的</w:t>
      </w:r>
      <w:r>
        <w:rPr>
          <w:rFonts w:hint="eastAsia"/>
        </w:rPr>
        <w:t>80%</w:t>
      </w:r>
      <w:r>
        <w:rPr>
          <w:rFonts w:hint="eastAsia"/>
        </w:rPr>
        <w:t>。</w:t>
      </w:r>
    </w:p>
    <w:p w:rsidR="00000000" w:rsidRDefault="00000000">
      <w:pPr>
        <w:rPr>
          <w:rFonts w:hint="eastAsia"/>
        </w:rPr>
      </w:pPr>
      <w:r>
        <w:rPr>
          <w:rFonts w:hint="eastAsia"/>
        </w:rPr>
        <w:tab/>
        <w:t xml:space="preserve">85.  </w:t>
      </w:r>
      <w:r>
        <w:rPr>
          <w:rFonts w:hint="eastAsia"/>
        </w:rPr>
        <w:t>除了残疾人士应占空缺的百分比以外，上述法令还规定，残疾人士就业的年龄上限为</w:t>
      </w:r>
      <w:r>
        <w:rPr>
          <w:rFonts w:hint="eastAsia"/>
        </w:rPr>
        <w:t>45</w:t>
      </w:r>
      <w:r>
        <w:rPr>
          <w:rFonts w:hint="eastAsia"/>
        </w:rPr>
        <w:t>岁，要比正常人的</w:t>
      </w:r>
      <w:r>
        <w:rPr>
          <w:rFonts w:hint="eastAsia"/>
        </w:rPr>
        <w:t>35</w:t>
      </w:r>
      <w:r>
        <w:rPr>
          <w:rFonts w:hint="eastAsia"/>
        </w:rPr>
        <w:t>岁高出许多。</w:t>
      </w:r>
    </w:p>
    <w:p w:rsidR="00000000" w:rsidRDefault="00000000">
      <w:pPr>
        <w:rPr>
          <w:rFonts w:hint="eastAsia"/>
        </w:rPr>
      </w:pPr>
      <w:r>
        <w:rPr>
          <w:rFonts w:hint="eastAsia"/>
        </w:rPr>
        <w:tab/>
        <w:t xml:space="preserve">86.  </w:t>
      </w:r>
      <w:r>
        <w:rPr>
          <w:rFonts w:hint="eastAsia"/>
        </w:rPr>
        <w:t>必须指出，上述规定不仅仅适用于残疾人士在公共服务部门、执法部门以及地方政府的行政机构中的就业，同时适用于这些人士在公立以及私营的公司和企业中的就业。</w:t>
      </w:r>
    </w:p>
    <w:p w:rsidR="00000000" w:rsidRDefault="00000000">
      <w:pPr>
        <w:rPr>
          <w:rFonts w:hint="eastAsia"/>
        </w:rPr>
      </w:pPr>
      <w:r>
        <w:rPr>
          <w:rFonts w:hint="eastAsia"/>
        </w:rPr>
        <w:tab/>
        <w:t xml:space="preserve">87.  </w:t>
      </w:r>
      <w:r>
        <w:rPr>
          <w:rFonts w:hint="eastAsia"/>
        </w:rPr>
        <w:t>最后一点但是并非最不重要的一点是，照顾残疾人士的措施已经扩大到行政机构，涉及诸如减少工作时间、便利出入公共建筑物以及改进行政机构的服务等方面。</w:t>
      </w:r>
    </w:p>
    <w:p w:rsidR="00000000" w:rsidRDefault="00000000">
      <w:pPr>
        <w:rPr>
          <w:rFonts w:hint="eastAsia"/>
        </w:rPr>
      </w:pPr>
      <w:r>
        <w:rPr>
          <w:rFonts w:hint="eastAsia"/>
        </w:rPr>
        <w:tab/>
        <w:t xml:space="preserve">88.  </w:t>
      </w:r>
      <w:r>
        <w:rPr>
          <w:rFonts w:hint="eastAsia"/>
        </w:rPr>
        <w:t>具体来说，第</w:t>
      </w:r>
      <w:r>
        <w:rPr>
          <w:rFonts w:hint="eastAsia"/>
        </w:rPr>
        <w:t>2527/1997</w:t>
      </w:r>
      <w:r>
        <w:rPr>
          <w:rFonts w:hint="eastAsia"/>
        </w:rPr>
        <w:t>号法令规定，凡是其子女的残疾率达到</w:t>
      </w:r>
      <w:r>
        <w:rPr>
          <w:rFonts w:hint="eastAsia"/>
        </w:rPr>
        <w:t>67%</w:t>
      </w:r>
      <w:r>
        <w:rPr>
          <w:rFonts w:hint="eastAsia"/>
        </w:rPr>
        <w:t>以上或者其配偶的残疾率达到</w:t>
      </w:r>
      <w:r>
        <w:rPr>
          <w:rFonts w:hint="eastAsia"/>
        </w:rPr>
        <w:t>100%</w:t>
      </w:r>
      <w:r>
        <w:rPr>
          <w:rFonts w:hint="eastAsia"/>
        </w:rPr>
        <w:t>的公务员有权每天减少工作时间</w:t>
      </w:r>
      <w:r>
        <w:rPr>
          <w:rFonts w:hint="eastAsia"/>
        </w:rPr>
        <w:t>1</w:t>
      </w:r>
      <w:r>
        <w:rPr>
          <w:rFonts w:hint="eastAsia"/>
        </w:rPr>
        <w:t>小时。同一规定也适用于那些失明或者截瘫的公务员。盲人接线员每天可减少工作时间两小时。</w:t>
      </w:r>
    </w:p>
    <w:p w:rsidR="00000000" w:rsidRDefault="00000000">
      <w:pPr>
        <w:rPr>
          <w:rFonts w:hint="eastAsia"/>
        </w:rPr>
      </w:pPr>
      <w:r>
        <w:rPr>
          <w:rFonts w:hint="eastAsia"/>
        </w:rPr>
        <w:tab/>
        <w:t xml:space="preserve">89.  </w:t>
      </w:r>
      <w:r>
        <w:rPr>
          <w:rFonts w:hint="eastAsia"/>
        </w:rPr>
        <w:t>根据第</w:t>
      </w:r>
      <w:r>
        <w:rPr>
          <w:rFonts w:hint="eastAsia"/>
        </w:rPr>
        <w:t>2880/2001</w:t>
      </w:r>
      <w:r>
        <w:rPr>
          <w:rFonts w:hint="eastAsia"/>
        </w:rPr>
        <w:t>号法令，上述每天减少工作时间</w:t>
      </w:r>
      <w:r>
        <w:rPr>
          <w:rFonts w:hint="eastAsia"/>
        </w:rPr>
        <w:t>1</w:t>
      </w:r>
      <w:r>
        <w:rPr>
          <w:rFonts w:hint="eastAsia"/>
        </w:rPr>
        <w:t>小时的规定的适用范围已经扩大，凡经法庭裁决获得残疾人士监护权的公务员以及在某些条件下承担抚养残疾人士责任的单亲公务员在承担这一责任期间享有同等权利。</w:t>
      </w:r>
    </w:p>
    <w:p w:rsidR="00000000" w:rsidRDefault="00000000">
      <w:pPr>
        <w:rPr>
          <w:rFonts w:hint="eastAsia"/>
        </w:rPr>
      </w:pPr>
      <w:r>
        <w:rPr>
          <w:rFonts w:hint="eastAsia"/>
        </w:rPr>
        <w:tab/>
        <w:t xml:space="preserve">90.  </w:t>
      </w:r>
      <w:r>
        <w:rPr>
          <w:rFonts w:hint="eastAsia"/>
        </w:rPr>
        <w:t>所有建筑物都必须为残疾人士提供纵向和横向的设施，以便这些人士无障碍地出入这些建筑物，特别是中央部委、执法机构以及地方政府的行政部门的办公大楼，以及提供卫生和社会福利、教育、税收和贸易、以及停车等公共服务的大楼，以及其他有多人等待的公共服务建筑物。</w:t>
      </w:r>
    </w:p>
    <w:p w:rsidR="00000000" w:rsidRDefault="00000000">
      <w:pPr>
        <w:rPr>
          <w:rFonts w:hint="eastAsia"/>
        </w:rPr>
      </w:pPr>
      <w:r>
        <w:rPr>
          <w:rFonts w:hint="eastAsia"/>
        </w:rPr>
        <w:tab/>
        <w:t xml:space="preserve">91.  </w:t>
      </w:r>
      <w:r>
        <w:rPr>
          <w:rFonts w:hint="eastAsia"/>
        </w:rPr>
        <w:t>最后，关于改进行政机构的服务问题，已经采取了一系列的措施，例如：</w:t>
      </w:r>
    </w:p>
    <w:p w:rsidR="00000000" w:rsidRDefault="00000000">
      <w:pPr>
        <w:pStyle w:val="a0"/>
        <w:tabs>
          <w:tab w:val="num" w:pos="1550"/>
        </w:tabs>
        <w:ind w:left="1550"/>
        <w:rPr>
          <w:rFonts w:hint="eastAsia"/>
        </w:rPr>
      </w:pPr>
      <w:r>
        <w:rPr>
          <w:rFonts w:hint="eastAsia"/>
        </w:rPr>
        <w:t>残疾人士优先；</w:t>
      </w:r>
    </w:p>
    <w:p w:rsidR="00000000" w:rsidRDefault="00000000">
      <w:pPr>
        <w:pStyle w:val="a0"/>
        <w:tabs>
          <w:tab w:val="num" w:pos="1550"/>
        </w:tabs>
        <w:ind w:left="1550"/>
        <w:rPr>
          <w:rFonts w:hint="eastAsia"/>
        </w:rPr>
      </w:pPr>
      <w:r>
        <w:rPr>
          <w:rFonts w:hint="eastAsia"/>
        </w:rPr>
        <w:t>关于内部文件往来，由公务员而不是残疾人士本人承担必要的程序；</w:t>
      </w:r>
    </w:p>
    <w:p w:rsidR="00000000" w:rsidRDefault="00000000">
      <w:pPr>
        <w:pStyle w:val="a0"/>
        <w:tabs>
          <w:tab w:val="num" w:pos="1550"/>
        </w:tabs>
        <w:ind w:left="1550"/>
        <w:rPr>
          <w:rFonts w:hint="eastAsia"/>
        </w:rPr>
      </w:pPr>
      <w:r>
        <w:rPr>
          <w:rFonts w:hint="eastAsia"/>
        </w:rPr>
        <w:t>尽快签发证明以及其他文件，以免再次奔波；</w:t>
      </w:r>
    </w:p>
    <w:p w:rsidR="00000000" w:rsidRDefault="00000000">
      <w:pPr>
        <w:pStyle w:val="a0"/>
        <w:tabs>
          <w:tab w:val="num" w:pos="1550"/>
        </w:tabs>
        <w:ind w:left="1550"/>
        <w:rPr>
          <w:rFonts w:hint="eastAsia"/>
        </w:rPr>
      </w:pPr>
      <w:r>
        <w:rPr>
          <w:rFonts w:hint="eastAsia"/>
        </w:rPr>
        <w:t>残疾人士可以通过电话提出要求，以邮寄方式领取证明和其他文件；</w:t>
      </w:r>
    </w:p>
    <w:p w:rsidR="00000000" w:rsidRDefault="00000000">
      <w:pPr>
        <w:pStyle w:val="a0"/>
        <w:tabs>
          <w:tab w:val="num" w:pos="1550"/>
        </w:tabs>
        <w:ind w:left="1550"/>
        <w:rPr>
          <w:rFonts w:hint="eastAsia"/>
        </w:rPr>
      </w:pPr>
      <w:r>
        <w:rPr>
          <w:rFonts w:hint="eastAsia"/>
        </w:rPr>
        <w:t>重要的公共服务机构，例如警察局、消防局、医院以及其他机构，配备有特别为残疾人士设计的特殊的通知和电话装置；以及</w:t>
      </w:r>
    </w:p>
    <w:p w:rsidR="00000000" w:rsidRDefault="00000000">
      <w:pPr>
        <w:pStyle w:val="a0"/>
        <w:tabs>
          <w:tab w:val="num" w:pos="1550"/>
        </w:tabs>
        <w:ind w:left="1550"/>
        <w:rPr>
          <w:rFonts w:hint="eastAsia"/>
        </w:rPr>
      </w:pPr>
      <w:r>
        <w:rPr>
          <w:rFonts w:hint="eastAsia"/>
        </w:rPr>
        <w:t>所有的公共服务机构都提供为残疾人士专门设计的登记表。</w:t>
      </w:r>
    </w:p>
    <w:p w:rsidR="00000000" w:rsidRDefault="00000000">
      <w:pPr>
        <w:rPr>
          <w:rFonts w:hint="eastAsia"/>
        </w:rPr>
      </w:pPr>
      <w:r>
        <w:rPr>
          <w:rFonts w:hint="eastAsia"/>
        </w:rPr>
        <w:tab/>
        <w:t xml:space="preserve">92.  </w:t>
      </w:r>
      <w:r>
        <w:rPr>
          <w:rFonts w:hint="eastAsia"/>
        </w:rPr>
        <w:t>第</w:t>
      </w:r>
      <w:r>
        <w:rPr>
          <w:rFonts w:hint="eastAsia"/>
        </w:rPr>
        <w:t>2643/1998</w:t>
      </w:r>
      <w:r>
        <w:rPr>
          <w:rFonts w:hint="eastAsia"/>
        </w:rPr>
        <w:t>号法案也就在私营部门，即在希腊营业的希腊资本或者外国资本的公司和企业中安排具有特殊需要人士就业的问题作出了规定。如上所述，第</w:t>
      </w:r>
      <w:r>
        <w:rPr>
          <w:rFonts w:hint="eastAsia"/>
        </w:rPr>
        <w:t>2643/1998</w:t>
      </w:r>
      <w:r>
        <w:rPr>
          <w:rFonts w:hint="eastAsia"/>
        </w:rPr>
        <w:t>号法令已经取代了第</w:t>
      </w:r>
      <w:r>
        <w:rPr>
          <w:rFonts w:hint="eastAsia"/>
        </w:rPr>
        <w:t>1648/1986</w:t>
      </w:r>
      <w:r>
        <w:rPr>
          <w:rFonts w:hint="eastAsia"/>
        </w:rPr>
        <w:t>号法令。从</w:t>
      </w:r>
      <w:r>
        <w:rPr>
          <w:rFonts w:hint="eastAsia"/>
        </w:rPr>
        <w:t>1987</w:t>
      </w:r>
      <w:r>
        <w:rPr>
          <w:rFonts w:hint="eastAsia"/>
        </w:rPr>
        <w:t>年安排第一批岗位到</w:t>
      </w:r>
      <w:r>
        <w:rPr>
          <w:rFonts w:hint="eastAsia"/>
        </w:rPr>
        <w:t>1998</w:t>
      </w:r>
      <w:r>
        <w:rPr>
          <w:rFonts w:hint="eastAsia"/>
        </w:rPr>
        <w:t>年，已经为具有特殊需要的人士安排了</w:t>
      </w:r>
      <w:r>
        <w:rPr>
          <w:rFonts w:hint="eastAsia"/>
        </w:rPr>
        <w:t>13,000</w:t>
      </w:r>
      <w:r>
        <w:rPr>
          <w:rFonts w:hint="eastAsia"/>
        </w:rPr>
        <w:t>个工作岗位。</w:t>
      </w:r>
    </w:p>
    <w:p w:rsidR="00000000" w:rsidRDefault="00000000">
      <w:pPr>
        <w:spacing w:after="240"/>
        <w:rPr>
          <w:rFonts w:hint="eastAsia"/>
        </w:rPr>
      </w:pPr>
      <w:r>
        <w:rPr>
          <w:rFonts w:hint="eastAsia"/>
        </w:rPr>
        <w:tab/>
        <w:t xml:space="preserve">93.  </w:t>
      </w:r>
      <w:r>
        <w:rPr>
          <w:rFonts w:hint="eastAsia"/>
        </w:rPr>
        <w:t>关于为促进具有特殊需要人士就业的方案的详细情况，请参看</w:t>
      </w:r>
      <w:r>
        <w:rPr>
          <w:rFonts w:hint="eastAsia"/>
        </w:rPr>
        <w:t>2000</w:t>
      </w:r>
      <w:r>
        <w:rPr>
          <w:rFonts w:hint="eastAsia"/>
        </w:rPr>
        <w:t>年向国际劳工组织提交的有关实施国际劳工组织第</w:t>
      </w:r>
      <w:r>
        <w:rPr>
          <w:rFonts w:hint="eastAsia"/>
        </w:rPr>
        <w:t>122</w:t>
      </w:r>
      <w:r>
        <w:rPr>
          <w:rFonts w:hint="eastAsia"/>
        </w:rPr>
        <w:t>号公约的国家报告。</w:t>
      </w:r>
    </w:p>
    <w:p w:rsidR="00000000" w:rsidRDefault="00000000">
      <w:pPr>
        <w:pStyle w:val="Heading4"/>
        <w:rPr>
          <w:rFonts w:hint="eastAsia"/>
        </w:rPr>
      </w:pPr>
      <w:r>
        <w:rPr>
          <w:rFonts w:hint="eastAsia"/>
        </w:rPr>
        <w:t>地区差别</w:t>
      </w:r>
    </w:p>
    <w:p w:rsidR="00000000" w:rsidRDefault="00000000">
      <w:pPr>
        <w:rPr>
          <w:rFonts w:hint="eastAsia"/>
        </w:rPr>
      </w:pPr>
      <w:r>
        <w:rPr>
          <w:rFonts w:hint="eastAsia"/>
        </w:rPr>
        <w:tab/>
        <w:t xml:space="preserve">94.  </w:t>
      </w:r>
      <w:r>
        <w:rPr>
          <w:rFonts w:hint="eastAsia"/>
        </w:rPr>
        <w:t>希腊各个地区的失业率各不相同，</w:t>
      </w:r>
      <w:r>
        <w:rPr>
          <w:rFonts w:hint="eastAsia"/>
        </w:rPr>
        <w:t>1999</w:t>
      </w:r>
      <w:r>
        <w:rPr>
          <w:rFonts w:hint="eastAsia"/>
        </w:rPr>
        <w:t>年最高为</w:t>
      </w:r>
      <w:r>
        <w:rPr>
          <w:rFonts w:hint="eastAsia"/>
        </w:rPr>
        <w:t>14.5%(</w:t>
      </w:r>
      <w:r>
        <w:rPr>
          <w:rFonts w:hint="eastAsia"/>
        </w:rPr>
        <w:t>西马其顿</w:t>
      </w:r>
      <w:r>
        <w:rPr>
          <w:rFonts w:hint="eastAsia"/>
        </w:rPr>
        <w:t>)</w:t>
      </w:r>
      <w:r>
        <w:rPr>
          <w:rFonts w:hint="eastAsia"/>
        </w:rPr>
        <w:t>，最低为</w:t>
      </w:r>
      <w:r>
        <w:rPr>
          <w:rFonts w:hint="eastAsia"/>
        </w:rPr>
        <w:t>7.8%(</w:t>
      </w:r>
      <w:r>
        <w:rPr>
          <w:rFonts w:hint="eastAsia"/>
        </w:rPr>
        <w:t>伯罗奔尼撒</w:t>
      </w:r>
      <w:r>
        <w:rPr>
          <w:rFonts w:hint="eastAsia"/>
        </w:rPr>
        <w:t>)</w:t>
      </w:r>
      <w:r>
        <w:rPr>
          <w:rFonts w:hint="eastAsia"/>
        </w:rPr>
        <w:t>。值得注意的是一些地区在不同的季节中失业率的水平和类型。在伊奥尼亚群岛、克里特以及南爱琴群岛，各个季节的失业率起伏很大，失业率在夏季大幅度下降。例如，在南爱琴群岛，</w:t>
      </w:r>
      <w:r>
        <w:rPr>
          <w:rFonts w:hint="eastAsia"/>
        </w:rPr>
        <w:t>1999</w:t>
      </w:r>
      <w:r>
        <w:rPr>
          <w:rFonts w:hint="eastAsia"/>
        </w:rPr>
        <w:t>年第一、二、三和四季度，其失业率分别为</w:t>
      </w:r>
      <w:r>
        <w:rPr>
          <w:rFonts w:hint="eastAsia"/>
        </w:rPr>
        <w:t>20.3%</w:t>
      </w:r>
      <w:r>
        <w:rPr>
          <w:rFonts w:hint="eastAsia"/>
        </w:rPr>
        <w:t>、</w:t>
      </w:r>
      <w:r>
        <w:rPr>
          <w:rFonts w:hint="eastAsia"/>
        </w:rPr>
        <w:t>7.3%</w:t>
      </w:r>
      <w:r>
        <w:rPr>
          <w:rFonts w:hint="eastAsia"/>
        </w:rPr>
        <w:t>、</w:t>
      </w:r>
      <w:r>
        <w:rPr>
          <w:rFonts w:hint="eastAsia"/>
        </w:rPr>
        <w:t>4.5%</w:t>
      </w:r>
      <w:r>
        <w:rPr>
          <w:rFonts w:hint="eastAsia"/>
        </w:rPr>
        <w:t>以及</w:t>
      </w:r>
      <w:r>
        <w:rPr>
          <w:rFonts w:hint="eastAsia"/>
        </w:rPr>
        <w:t>14.4%</w:t>
      </w:r>
      <w:r>
        <w:rPr>
          <w:rFonts w:hint="eastAsia"/>
        </w:rPr>
        <w:t>。这种波动的原因在于旅游业在上述地区的经济中占有很大比重，夏季游客众多，而在年初以及年尾旅游业几乎陷于停顿。</w:t>
      </w:r>
    </w:p>
    <w:p w:rsidR="00000000" w:rsidRDefault="00000000">
      <w:pPr>
        <w:rPr>
          <w:rFonts w:hint="eastAsia"/>
        </w:rPr>
      </w:pPr>
      <w:r>
        <w:rPr>
          <w:rFonts w:hint="eastAsia"/>
        </w:rPr>
        <w:tab/>
        <w:t xml:space="preserve">95.  </w:t>
      </w:r>
      <w:r>
        <w:rPr>
          <w:rFonts w:hint="eastAsia"/>
        </w:rPr>
        <w:t>为了防止和解决失业问题，政府制定了促使劳动力市场现代化的规章制度，执行了一系列的积极政策，促进就业以及利用新的信息和通讯技术所提供的各种机会，以便取得知识，加强商业活动和改进公共部门。</w:t>
      </w:r>
    </w:p>
    <w:p w:rsidR="00000000" w:rsidRDefault="00000000">
      <w:pPr>
        <w:rPr>
          <w:rFonts w:hint="eastAsia"/>
        </w:rPr>
      </w:pPr>
      <w:r>
        <w:rPr>
          <w:rFonts w:hint="eastAsia"/>
        </w:rPr>
        <w:tab/>
        <w:t xml:space="preserve">96.  </w:t>
      </w:r>
      <w:r>
        <w:rPr>
          <w:rFonts w:hint="eastAsia"/>
        </w:rPr>
        <w:t>在全面就业政策的框架内，从</w:t>
      </w:r>
      <w:r>
        <w:rPr>
          <w:rFonts w:hint="eastAsia"/>
        </w:rPr>
        <w:t>1998</w:t>
      </w:r>
      <w:r>
        <w:rPr>
          <w:rFonts w:hint="eastAsia"/>
        </w:rPr>
        <w:t>年开始每年制定《国家就业行动计划》。</w:t>
      </w:r>
      <w:r>
        <w:rPr>
          <w:rFonts w:hint="eastAsia"/>
        </w:rPr>
        <w:t>1999</w:t>
      </w:r>
      <w:r>
        <w:rPr>
          <w:rFonts w:hint="eastAsia"/>
        </w:rPr>
        <w:t>年和</w:t>
      </w:r>
      <w:r>
        <w:rPr>
          <w:rFonts w:hint="eastAsia"/>
        </w:rPr>
        <w:t>2000</w:t>
      </w:r>
      <w:r>
        <w:rPr>
          <w:rFonts w:hint="eastAsia"/>
        </w:rPr>
        <w:t>年的《国家就业行动计划》是根据欧洲委员会指导方针围绕以下四个方面</w:t>
      </w:r>
      <w:r>
        <w:rPr>
          <w:rFonts w:hint="eastAsia"/>
        </w:rPr>
        <w:t>(</w:t>
      </w:r>
      <w:r>
        <w:rPr>
          <w:rFonts w:hint="eastAsia"/>
        </w:rPr>
        <w:t>支柱</w:t>
      </w:r>
      <w:r>
        <w:rPr>
          <w:rFonts w:hint="eastAsia"/>
        </w:rPr>
        <w:t>)</w:t>
      </w:r>
      <w:r>
        <w:rPr>
          <w:rFonts w:hint="eastAsia"/>
        </w:rPr>
        <w:t>而制定出来的；</w:t>
      </w:r>
    </w:p>
    <w:p w:rsidR="00000000" w:rsidRDefault="00000000">
      <w:pPr>
        <w:pStyle w:val="a0"/>
        <w:tabs>
          <w:tab w:val="num" w:pos="1550"/>
        </w:tabs>
        <w:ind w:left="1550"/>
        <w:rPr>
          <w:rFonts w:hint="eastAsia"/>
        </w:rPr>
      </w:pPr>
      <w:r>
        <w:rPr>
          <w:rFonts w:hint="eastAsia"/>
        </w:rPr>
        <w:t>支柱一：改进就业机会</w:t>
      </w:r>
      <w:r>
        <w:rPr>
          <w:rFonts w:hint="eastAsia"/>
          <w:spacing w:val="-50"/>
        </w:rPr>
        <w:t>―</w:t>
      </w:r>
      <w:r>
        <w:rPr>
          <w:rFonts w:hint="eastAsia"/>
        </w:rPr>
        <w:t>―已经采取措施解决所有人口群组的失业问题以及防止长期失业；</w:t>
      </w:r>
    </w:p>
    <w:p w:rsidR="00000000" w:rsidRDefault="00000000">
      <w:pPr>
        <w:pStyle w:val="a0"/>
        <w:tabs>
          <w:tab w:val="num" w:pos="1550"/>
        </w:tabs>
        <w:ind w:left="1550"/>
        <w:rPr>
          <w:rFonts w:hint="eastAsia"/>
        </w:rPr>
      </w:pPr>
      <w:r>
        <w:rPr>
          <w:rFonts w:hint="eastAsia"/>
        </w:rPr>
        <w:t>支柱二：发展创业精神</w:t>
      </w:r>
      <w:r>
        <w:rPr>
          <w:rFonts w:hint="eastAsia"/>
          <w:spacing w:val="-50"/>
        </w:rPr>
        <w:t>―</w:t>
      </w:r>
      <w:r>
        <w:rPr>
          <w:rFonts w:hint="eastAsia"/>
        </w:rPr>
        <w:t>―已经采取措施鼓励开办企业；</w:t>
      </w:r>
    </w:p>
    <w:p w:rsidR="00000000" w:rsidRDefault="00000000">
      <w:pPr>
        <w:pStyle w:val="a0"/>
        <w:tabs>
          <w:tab w:val="num" w:pos="1550"/>
        </w:tabs>
        <w:ind w:left="1550"/>
        <w:rPr>
          <w:rFonts w:hint="eastAsia"/>
        </w:rPr>
      </w:pPr>
      <w:r>
        <w:rPr>
          <w:rFonts w:hint="eastAsia"/>
        </w:rPr>
        <w:t>支柱三</w:t>
      </w:r>
      <w:r>
        <w:t>：</w:t>
      </w:r>
      <w:r>
        <w:rPr>
          <w:rFonts w:hint="eastAsia"/>
        </w:rPr>
        <w:t>加强企业及其工人的适应能力</w:t>
      </w:r>
      <w:r>
        <w:rPr>
          <w:rFonts w:hint="eastAsia"/>
          <w:spacing w:val="-50"/>
        </w:rPr>
        <w:t>―</w:t>
      </w:r>
      <w:r>
        <w:rPr>
          <w:rFonts w:hint="eastAsia"/>
        </w:rPr>
        <w:t>―已经采取措施促使劳动组织现代化；</w:t>
      </w:r>
    </w:p>
    <w:p w:rsidR="00000000" w:rsidRDefault="00000000">
      <w:pPr>
        <w:pStyle w:val="a0"/>
        <w:tabs>
          <w:tab w:val="num" w:pos="1550"/>
        </w:tabs>
        <w:ind w:left="1550"/>
        <w:rPr>
          <w:rFonts w:hint="eastAsia"/>
        </w:rPr>
      </w:pPr>
      <w:r>
        <w:rPr>
          <w:rFonts w:hint="eastAsia"/>
        </w:rPr>
        <w:t>支柱四：加强男女平等机会政策</w:t>
      </w:r>
      <w:r>
        <w:rPr>
          <w:rFonts w:hint="eastAsia"/>
          <w:spacing w:val="-50"/>
        </w:rPr>
        <w:t>―</w:t>
      </w:r>
      <w:r>
        <w:rPr>
          <w:rFonts w:hint="eastAsia"/>
        </w:rPr>
        <w:t>―已经采取措施以便消除男女在就业方面的差别，解决在职业和家庭生活之间的矛盾，以及推动妇女重返劳动市场。</w:t>
      </w:r>
    </w:p>
    <w:p w:rsidR="00000000" w:rsidRDefault="00000000">
      <w:pPr>
        <w:rPr>
          <w:rFonts w:hint="eastAsia"/>
        </w:rPr>
      </w:pPr>
      <w:r>
        <w:rPr>
          <w:rFonts w:hint="eastAsia"/>
        </w:rPr>
        <w:tab/>
        <w:t xml:space="preserve">97.  </w:t>
      </w:r>
      <w:r>
        <w:rPr>
          <w:rFonts w:hint="eastAsia"/>
        </w:rPr>
        <w:t>有关为防止和解决失业问题而执行政策的更多信息，请参看</w:t>
      </w:r>
      <w:r>
        <w:rPr>
          <w:rFonts w:hint="eastAsia"/>
        </w:rPr>
        <w:t>2000</w:t>
      </w:r>
      <w:r>
        <w:rPr>
          <w:rFonts w:hint="eastAsia"/>
        </w:rPr>
        <w:t>年</w:t>
      </w:r>
      <w:r>
        <w:rPr>
          <w:rFonts w:hint="eastAsia"/>
        </w:rPr>
        <w:t>8</w:t>
      </w:r>
      <w:r>
        <w:rPr>
          <w:rFonts w:hint="eastAsia"/>
        </w:rPr>
        <w:t>月提交国际劳工组织的有关实施国际劳工组织第</w:t>
      </w:r>
      <w:r>
        <w:rPr>
          <w:rFonts w:hint="eastAsia"/>
        </w:rPr>
        <w:t>122</w:t>
      </w:r>
      <w:r>
        <w:rPr>
          <w:rFonts w:hint="eastAsia"/>
        </w:rPr>
        <w:t>号公约的国家报告。</w:t>
      </w:r>
    </w:p>
    <w:p w:rsidR="00000000" w:rsidRDefault="00000000">
      <w:pPr>
        <w:rPr>
          <w:rFonts w:hint="eastAsia"/>
        </w:rPr>
      </w:pPr>
      <w:r>
        <w:rPr>
          <w:rFonts w:hint="eastAsia"/>
        </w:rPr>
        <w:tab/>
        <w:t xml:space="preserve">98.  </w:t>
      </w:r>
      <w:r>
        <w:rPr>
          <w:rFonts w:hint="eastAsia"/>
        </w:rPr>
        <w:t>此外，最新的情况是：</w:t>
      </w:r>
      <w:r>
        <w:rPr>
          <w:rFonts w:hint="eastAsia"/>
        </w:rPr>
        <w:t>2000</w:t>
      </w:r>
      <w:r>
        <w:rPr>
          <w:rFonts w:hint="eastAsia"/>
        </w:rPr>
        <w:t>年</w:t>
      </w:r>
      <w:r>
        <w:rPr>
          <w:rFonts w:hint="eastAsia"/>
        </w:rPr>
        <w:t>12</w:t>
      </w:r>
      <w:r>
        <w:rPr>
          <w:rFonts w:hint="eastAsia"/>
        </w:rPr>
        <w:t>月通过了有关“促进就业和其他规定”的第</w:t>
      </w:r>
      <w:r>
        <w:rPr>
          <w:rFonts w:hint="eastAsia"/>
        </w:rPr>
        <w:t>2874/2000</w:t>
      </w:r>
      <w:r>
        <w:rPr>
          <w:rFonts w:hint="eastAsia"/>
        </w:rPr>
        <w:t>号法案，以便补充就业政策，为加强这种政策的有效性而创造或</w:t>
      </w:r>
      <w:r>
        <w:rPr>
          <w:rFonts w:hint="eastAsia"/>
        </w:rPr>
        <w:t>/</w:t>
      </w:r>
      <w:r>
        <w:rPr>
          <w:rFonts w:hint="eastAsia"/>
        </w:rPr>
        <w:t>和改进业务和机构条件。据估计，这项新法案会增强积极就业政策的有效性，其主要规定如下：</w:t>
      </w:r>
    </w:p>
    <w:p w:rsidR="00000000" w:rsidRDefault="00000000">
      <w:pPr>
        <w:numPr>
          <w:ilvl w:val="0"/>
          <w:numId w:val="125"/>
        </w:numPr>
        <w:rPr>
          <w:rFonts w:hint="eastAsia"/>
        </w:rPr>
      </w:pPr>
      <w:r>
        <w:rPr>
          <w:rFonts w:hint="eastAsia"/>
        </w:rPr>
        <w:t>取消超出合同规定的工作时间以及增加加班费，其目的是要促使招收新的职工</w:t>
      </w:r>
      <w:r>
        <w:rPr>
          <w:rFonts w:hint="eastAsia"/>
        </w:rPr>
        <w:t>(</w:t>
      </w:r>
      <w:r>
        <w:rPr>
          <w:rFonts w:hint="eastAsia"/>
        </w:rPr>
        <w:t>第</w:t>
      </w:r>
      <w:r>
        <w:rPr>
          <w:rFonts w:hint="eastAsia"/>
        </w:rPr>
        <w:t>2874/2000</w:t>
      </w:r>
      <w:r>
        <w:rPr>
          <w:rFonts w:hint="eastAsia"/>
        </w:rPr>
        <w:t>号法案第</w:t>
      </w:r>
      <w:r>
        <w:rPr>
          <w:rFonts w:hint="eastAsia"/>
        </w:rPr>
        <w:t>4</w:t>
      </w:r>
      <w:r>
        <w:rPr>
          <w:rFonts w:hint="eastAsia"/>
        </w:rPr>
        <w:t>条</w:t>
      </w:r>
      <w:r>
        <w:rPr>
          <w:rFonts w:hint="eastAsia"/>
        </w:rPr>
        <w:t>)</w:t>
      </w:r>
      <w:r>
        <w:rPr>
          <w:rFonts w:hint="eastAsia"/>
        </w:rPr>
        <w:t>；</w:t>
      </w:r>
    </w:p>
    <w:p w:rsidR="00000000" w:rsidRDefault="00000000">
      <w:pPr>
        <w:numPr>
          <w:ilvl w:val="0"/>
          <w:numId w:val="125"/>
        </w:numPr>
        <w:rPr>
          <w:rFonts w:hint="eastAsia"/>
        </w:rPr>
      </w:pPr>
      <w:r>
        <w:rPr>
          <w:rFonts w:hint="eastAsia"/>
        </w:rPr>
        <w:t>通过企业和工人就每年工作时数的安排签订协议，安排工作时间</w:t>
      </w:r>
      <w:r>
        <w:rPr>
          <w:rFonts w:hint="eastAsia"/>
        </w:rPr>
        <w:t>(</w:t>
      </w:r>
      <w:r>
        <w:rPr>
          <w:rFonts w:hint="eastAsia"/>
        </w:rPr>
        <w:t>第</w:t>
      </w:r>
      <w:r>
        <w:rPr>
          <w:rFonts w:hint="eastAsia"/>
        </w:rPr>
        <w:t>2874/2000</w:t>
      </w:r>
      <w:r>
        <w:rPr>
          <w:rFonts w:hint="eastAsia"/>
        </w:rPr>
        <w:t>号法案第</w:t>
      </w:r>
      <w:r>
        <w:rPr>
          <w:rFonts w:hint="eastAsia"/>
        </w:rPr>
        <w:t>5</w:t>
      </w:r>
      <w:r>
        <w:rPr>
          <w:rFonts w:hint="eastAsia"/>
        </w:rPr>
        <w:t>条</w:t>
      </w:r>
      <w:r>
        <w:rPr>
          <w:rFonts w:hint="eastAsia"/>
        </w:rPr>
        <w:t>)</w:t>
      </w:r>
      <w:r>
        <w:rPr>
          <w:rFonts w:hint="eastAsia"/>
        </w:rPr>
        <w:t>。有关每年工作时间的安排使得企业可以按照正在变化的需求更好地安排生产，同时更加合理地发展企业的资本设备。这将导致生产成本的降低以及生产率的增加，并且最终增强企业的竞争能力，扩大就业以及降低失业率；</w:t>
      </w:r>
    </w:p>
    <w:p w:rsidR="00000000" w:rsidRDefault="00000000">
      <w:pPr>
        <w:numPr>
          <w:ilvl w:val="0"/>
          <w:numId w:val="125"/>
        </w:numPr>
        <w:rPr>
          <w:rFonts w:hint="eastAsia"/>
        </w:rPr>
      </w:pPr>
      <w:r>
        <w:rPr>
          <w:rFonts w:hint="eastAsia"/>
        </w:rPr>
        <w:t>减少雇员所交纳的社会保险费</w:t>
      </w:r>
      <w:r>
        <w:rPr>
          <w:rFonts w:hint="eastAsia"/>
        </w:rPr>
        <w:t>(</w:t>
      </w:r>
      <w:r>
        <w:rPr>
          <w:rFonts w:hint="eastAsia"/>
        </w:rPr>
        <w:t>第</w:t>
      </w:r>
      <w:r>
        <w:rPr>
          <w:rFonts w:hint="eastAsia"/>
        </w:rPr>
        <w:t>2874/2000</w:t>
      </w:r>
      <w:r>
        <w:rPr>
          <w:rFonts w:hint="eastAsia"/>
        </w:rPr>
        <w:t>号法案第</w:t>
      </w:r>
      <w:r>
        <w:rPr>
          <w:rFonts w:hint="eastAsia"/>
        </w:rPr>
        <w:t>6</w:t>
      </w:r>
      <w:r>
        <w:rPr>
          <w:rFonts w:hint="eastAsia"/>
        </w:rPr>
        <w:t>条</w:t>
      </w:r>
      <w:r>
        <w:rPr>
          <w:rFonts w:hint="eastAsia"/>
        </w:rPr>
        <w:t>)</w:t>
      </w:r>
      <w:r>
        <w:rPr>
          <w:rFonts w:hint="eastAsia"/>
        </w:rPr>
        <w:t>，除其他外，这将减少所有企业的劳动成本，从而鼓励企业为满足生产需要而招收新的员工。</w:t>
      </w:r>
    </w:p>
    <w:p w:rsidR="00000000" w:rsidRDefault="00000000">
      <w:pPr>
        <w:spacing w:after="240"/>
        <w:rPr>
          <w:rFonts w:hint="eastAsia"/>
        </w:rPr>
      </w:pPr>
      <w:r>
        <w:rPr>
          <w:rFonts w:hint="eastAsia"/>
        </w:rPr>
        <w:tab/>
        <w:t xml:space="preserve">99.  </w:t>
      </w:r>
      <w:r>
        <w:rPr>
          <w:rFonts w:hint="eastAsia"/>
        </w:rPr>
        <w:t>同时，根据以上法案，在劳工和社会保障部成立了一个专家委员会，处理有关就业、社会保障以及社会政策的事务。该专家委员会负责提出建议，并且研究和分析国家、欧洲和国际各级的动态。该委员会也负责研究是否有可能另外选择适当的措施，评估有关干预措施的有效性，同时就劳动和社会保障部部长所提出的任何问题提供专家意见。该专家委员会的成立意味着，从此有了一个就上述事项提供专家咨询意见的中央机构。</w:t>
      </w:r>
    </w:p>
    <w:p w:rsidR="00000000" w:rsidRDefault="00000000">
      <w:pPr>
        <w:pStyle w:val="Heading3"/>
        <w:rPr>
          <w:rFonts w:hint="eastAsia"/>
        </w:rPr>
      </w:pPr>
      <w:r>
        <w:rPr>
          <w:rFonts w:hint="eastAsia"/>
        </w:rPr>
        <w:t>富有成效的工作</w:t>
      </w:r>
    </w:p>
    <w:p w:rsidR="00000000" w:rsidRDefault="00000000">
      <w:pPr>
        <w:pStyle w:val="Heading4"/>
        <w:rPr>
          <w:rFonts w:hint="eastAsia"/>
        </w:rPr>
      </w:pPr>
      <w:r>
        <w:rPr>
          <w:rFonts w:hint="eastAsia"/>
        </w:rPr>
        <w:t>《国家就业行动计划》</w:t>
      </w:r>
    </w:p>
    <w:p w:rsidR="00000000" w:rsidRDefault="00000000">
      <w:pPr>
        <w:spacing w:after="240"/>
        <w:rPr>
          <w:rFonts w:hint="eastAsia"/>
        </w:rPr>
      </w:pPr>
      <w:r>
        <w:rPr>
          <w:rFonts w:hint="eastAsia"/>
        </w:rPr>
        <w:tab/>
        <w:t xml:space="preserve">100.  </w:t>
      </w:r>
      <w:r>
        <w:rPr>
          <w:rFonts w:hint="eastAsia"/>
        </w:rPr>
        <w:t>使得企业和工人适应新的生产条件和劳动组织是希腊就业政策的支柱之一。《国家就业行动计划》的第三个支柱</w:t>
      </w:r>
      <w:r>
        <w:rPr>
          <w:rFonts w:hint="eastAsia"/>
        </w:rPr>
        <w:t>(</w:t>
      </w:r>
      <w:r>
        <w:rPr>
          <w:rFonts w:hint="eastAsia"/>
        </w:rPr>
        <w:t>基本方面</w:t>
      </w:r>
      <w:r>
        <w:rPr>
          <w:rFonts w:hint="eastAsia"/>
        </w:rPr>
        <w:t>)</w:t>
      </w:r>
      <w:r>
        <w:rPr>
          <w:rFonts w:hint="eastAsia"/>
        </w:rPr>
        <w:t>特别提到要鼓励企业及其工人的适应，以便企业能够适应在不断变化的条件，从而保存和加强企业的竞争能力，对就业产生有益的影响。</w:t>
      </w:r>
    </w:p>
    <w:p w:rsidR="00000000" w:rsidRDefault="00000000">
      <w:pPr>
        <w:pStyle w:val="Heading4"/>
        <w:rPr>
          <w:rFonts w:hint="eastAsia"/>
        </w:rPr>
      </w:pPr>
      <w:r>
        <w:rPr>
          <w:rFonts w:hint="eastAsia"/>
        </w:rPr>
        <w:t>人才雇佣组织的雇员在职进修方案</w:t>
      </w:r>
    </w:p>
    <w:p w:rsidR="00000000" w:rsidRDefault="00000000">
      <w:pPr>
        <w:spacing w:after="240"/>
        <w:rPr>
          <w:rFonts w:hint="eastAsia"/>
        </w:rPr>
      </w:pPr>
      <w:r>
        <w:rPr>
          <w:rFonts w:hint="eastAsia"/>
        </w:rPr>
        <w:tab/>
        <w:t xml:space="preserve">101.  </w:t>
      </w:r>
      <w:r>
        <w:rPr>
          <w:rFonts w:hint="eastAsia"/>
        </w:rPr>
        <w:t>人才雇佣组织为私营部门和公立部门的工人实施了在职培训方案，以便帮助工人更快地适应由于引进新的技术和劳动组织方法而提出的新的要求。这些方案的目的是要提高工人的生产率和企业的竞争能力。这些方案由两个次级方案组成，第一个次级方案涉及</w:t>
      </w:r>
      <w:r>
        <w:rPr>
          <w:rFonts w:hint="eastAsia"/>
        </w:rPr>
        <w:t>99</w:t>
      </w:r>
      <w:r>
        <w:rPr>
          <w:rFonts w:hint="eastAsia"/>
        </w:rPr>
        <w:t>名雇员以下的企业，第二个次级方案涉及</w:t>
      </w:r>
      <w:r>
        <w:rPr>
          <w:rFonts w:hint="eastAsia"/>
        </w:rPr>
        <w:t>100</w:t>
      </w:r>
      <w:r>
        <w:rPr>
          <w:rFonts w:hint="eastAsia"/>
        </w:rPr>
        <w:t>名雇员以上的企业。上述方案实施得非常成功。人才雇佣组织还为自营企业者以及雇员为</w:t>
      </w:r>
      <w:r>
        <w:rPr>
          <w:rFonts w:hint="eastAsia"/>
        </w:rPr>
        <w:t>5</w:t>
      </w:r>
      <w:r>
        <w:rPr>
          <w:rFonts w:hint="eastAsia"/>
        </w:rPr>
        <w:t>名以下的小企业举办了培训班。</w:t>
      </w:r>
    </w:p>
    <w:p w:rsidR="00000000" w:rsidRDefault="00000000">
      <w:pPr>
        <w:pStyle w:val="Heading4"/>
        <w:rPr>
          <w:rFonts w:hint="eastAsia"/>
        </w:rPr>
      </w:pPr>
      <w:r>
        <w:rPr>
          <w:rFonts w:hint="eastAsia"/>
        </w:rPr>
        <w:t>欧洲共同体倡议</w:t>
      </w:r>
      <w:r>
        <w:t>ADAPT</w:t>
      </w:r>
    </w:p>
    <w:p w:rsidR="00000000" w:rsidRDefault="00000000">
      <w:pPr>
        <w:spacing w:after="240"/>
        <w:rPr>
          <w:rFonts w:hint="eastAsia"/>
        </w:rPr>
      </w:pPr>
      <w:r>
        <w:rPr>
          <w:rFonts w:hint="eastAsia"/>
        </w:rPr>
        <w:tab/>
        <w:t xml:space="preserve">102.  </w:t>
      </w:r>
      <w:r>
        <w:rPr>
          <w:rFonts w:hint="eastAsia"/>
        </w:rPr>
        <w:t>欧洲共同体倡议</w:t>
      </w:r>
      <w:r>
        <w:t>ADAPT</w:t>
      </w:r>
      <w:r>
        <w:rPr>
          <w:rFonts w:hint="eastAsia"/>
        </w:rPr>
        <w:t>为提高生产率作出了贡献。该倡议谋求促使工人适应工业变革，同时帮助企业提高其生产率。应当指出，社会伙伴在实施这一倡议方面发挥了积极的作用，因为其中许多项目都涉及伙伴关系。</w:t>
      </w:r>
    </w:p>
    <w:p w:rsidR="00000000" w:rsidRDefault="00000000">
      <w:pPr>
        <w:pStyle w:val="Heading4"/>
        <w:rPr>
          <w:rFonts w:hint="eastAsia"/>
        </w:rPr>
      </w:pPr>
      <w:r>
        <w:rPr>
          <w:rFonts w:hint="eastAsia"/>
        </w:rPr>
        <w:t>第</w:t>
      </w:r>
      <w:r>
        <w:rPr>
          <w:rFonts w:hint="eastAsia"/>
        </w:rPr>
        <w:t>2639/1998</w:t>
      </w:r>
      <w:r>
        <w:rPr>
          <w:rFonts w:hint="eastAsia"/>
        </w:rPr>
        <w:t>号法令</w:t>
      </w:r>
    </w:p>
    <w:p w:rsidR="00000000" w:rsidRDefault="00000000">
      <w:pPr>
        <w:spacing w:after="240"/>
        <w:rPr>
          <w:rFonts w:hint="eastAsia"/>
        </w:rPr>
      </w:pPr>
      <w:r>
        <w:rPr>
          <w:rFonts w:hint="eastAsia"/>
        </w:rPr>
        <w:tab/>
        <w:t xml:space="preserve">103.  </w:t>
      </w:r>
      <w:r>
        <w:rPr>
          <w:rFonts w:hint="eastAsia"/>
        </w:rPr>
        <w:t>于</w:t>
      </w:r>
      <w:r>
        <w:rPr>
          <w:rFonts w:hint="eastAsia"/>
        </w:rPr>
        <w:t>1998</w:t>
      </w:r>
      <w:r>
        <w:rPr>
          <w:rFonts w:hint="eastAsia"/>
        </w:rPr>
        <w:t>年通过的第</w:t>
      </w:r>
      <w:r>
        <w:rPr>
          <w:rFonts w:hint="eastAsia"/>
        </w:rPr>
        <w:t>2639</w:t>
      </w:r>
      <w:r>
        <w:rPr>
          <w:rFonts w:hint="eastAsia"/>
        </w:rPr>
        <w:t>号法令规定了更加灵活的工时安排。该法令制定了有关非正式就业安排的条例，提出了有关坚持就业的措施，同时就私营职业介绍机构的运作作出了规定。这种新的立法框架导致到</w:t>
      </w:r>
      <w:r>
        <w:rPr>
          <w:rFonts w:hint="eastAsia"/>
        </w:rPr>
        <w:t>1999</w:t>
      </w:r>
      <w:r>
        <w:rPr>
          <w:rFonts w:hint="eastAsia"/>
        </w:rPr>
        <w:t>年</w:t>
      </w:r>
      <w:r>
        <w:rPr>
          <w:rFonts w:hint="eastAsia"/>
        </w:rPr>
        <w:t>12</w:t>
      </w:r>
      <w:r>
        <w:rPr>
          <w:rFonts w:hint="eastAsia"/>
        </w:rPr>
        <w:t>月</w:t>
      </w:r>
      <w:r>
        <w:rPr>
          <w:rFonts w:hint="eastAsia"/>
        </w:rPr>
        <w:t>31</w:t>
      </w:r>
      <w:r>
        <w:rPr>
          <w:rFonts w:hint="eastAsia"/>
        </w:rPr>
        <w:t>日在希腊全国签订了</w:t>
      </w:r>
      <w:r>
        <w:rPr>
          <w:rFonts w:hint="eastAsia"/>
        </w:rPr>
        <w:t>190,311</w:t>
      </w:r>
      <w:r>
        <w:rPr>
          <w:rFonts w:hint="eastAsia"/>
        </w:rPr>
        <w:t>项新型就业合同。新条例的目的是要在劳动力市场进行一系列的结构变革，推动保留现有的工作岗位以及创造新的就业机会，同时增加企业的生产率和竞争能力。</w:t>
      </w:r>
    </w:p>
    <w:p w:rsidR="00000000" w:rsidRDefault="00000000">
      <w:pPr>
        <w:pStyle w:val="Heading4"/>
        <w:rPr>
          <w:rFonts w:hint="eastAsia"/>
        </w:rPr>
      </w:pPr>
      <w:r>
        <w:rPr>
          <w:rFonts w:hint="eastAsia"/>
        </w:rPr>
        <w:t>第</w:t>
      </w:r>
      <w:r>
        <w:rPr>
          <w:rFonts w:hint="eastAsia"/>
        </w:rPr>
        <w:t>2874/2000</w:t>
      </w:r>
      <w:r>
        <w:rPr>
          <w:rFonts w:hint="eastAsia"/>
        </w:rPr>
        <w:t>号法令</w:t>
      </w:r>
      <w:r>
        <w:rPr>
          <w:rFonts w:hint="eastAsia"/>
        </w:rPr>
        <w:t>(</w:t>
      </w:r>
      <w:r>
        <w:rPr>
          <w:rFonts w:hint="eastAsia"/>
        </w:rPr>
        <w:t>“促进就业和其他规定”</w:t>
      </w:r>
      <w:r>
        <w:rPr>
          <w:rFonts w:hint="eastAsia"/>
        </w:rPr>
        <w:t>)</w:t>
      </w:r>
    </w:p>
    <w:p w:rsidR="00000000" w:rsidRDefault="00000000">
      <w:pPr>
        <w:spacing w:after="240"/>
        <w:rPr>
          <w:rFonts w:hint="eastAsia"/>
        </w:rPr>
      </w:pPr>
      <w:r>
        <w:rPr>
          <w:rFonts w:hint="eastAsia"/>
        </w:rPr>
        <w:tab/>
        <w:t xml:space="preserve">104.  </w:t>
      </w:r>
      <w:r>
        <w:rPr>
          <w:rFonts w:hint="eastAsia"/>
        </w:rPr>
        <w:t>第</w:t>
      </w:r>
      <w:r>
        <w:rPr>
          <w:rFonts w:hint="eastAsia"/>
        </w:rPr>
        <w:t>2874/2000</w:t>
      </w:r>
      <w:r>
        <w:rPr>
          <w:rFonts w:hint="eastAsia"/>
        </w:rPr>
        <w:t>号法令规定了年度工时安排，使得企业可以通过减少储备以及更加合理地利用其资本设备，尽快根据需求的变化安排生产。这种做法可能减少生产成本，同时提高生产率，从而增加就业和减少失业。希腊许多工业企业和贸易企业希望实施灵活的工时安排。另一方面，就工人而言，灵活的工时安排使得他们有可能将工作、进修以及家庭生活更好地结合起来。</w:t>
      </w:r>
    </w:p>
    <w:p w:rsidR="00000000" w:rsidRDefault="00000000">
      <w:pPr>
        <w:pStyle w:val="Heading4"/>
        <w:rPr>
          <w:rFonts w:hint="eastAsia"/>
        </w:rPr>
      </w:pPr>
      <w:r>
        <w:rPr>
          <w:rFonts w:hint="eastAsia"/>
        </w:rPr>
        <w:t>自由选择职业</w:t>
      </w:r>
      <w:r>
        <w:rPr>
          <w:rFonts w:hint="eastAsia"/>
          <w:spacing w:val="-50"/>
        </w:rPr>
        <w:t>―</w:t>
      </w:r>
      <w:r>
        <w:rPr>
          <w:rFonts w:hint="eastAsia"/>
        </w:rPr>
        <w:t>―保障权利</w:t>
      </w:r>
    </w:p>
    <w:p w:rsidR="00000000" w:rsidRDefault="00000000">
      <w:pPr>
        <w:spacing w:after="240"/>
        <w:rPr>
          <w:rFonts w:hint="eastAsia"/>
        </w:rPr>
      </w:pPr>
      <w:r>
        <w:rPr>
          <w:rFonts w:hint="eastAsia"/>
        </w:rPr>
        <w:tab/>
        <w:t xml:space="preserve">105.  </w:t>
      </w:r>
      <w:r>
        <w:rPr>
          <w:rFonts w:hint="eastAsia"/>
        </w:rPr>
        <w:t>自由参加国家的经济生活和社会生活的权利是希腊公民的基本权利之一</w:t>
      </w:r>
      <w:r>
        <w:rPr>
          <w:rFonts w:hint="eastAsia"/>
        </w:rPr>
        <w:t>(</w:t>
      </w:r>
      <w:r>
        <w:rPr>
          <w:rFonts w:hint="eastAsia"/>
        </w:rPr>
        <w:t>《宪法》第</w:t>
      </w:r>
      <w:r>
        <w:rPr>
          <w:rFonts w:hint="eastAsia"/>
        </w:rPr>
        <w:t>5</w:t>
      </w:r>
      <w:r>
        <w:rPr>
          <w:rFonts w:hint="eastAsia"/>
        </w:rPr>
        <w:t>条</w:t>
      </w:r>
      <w:r>
        <w:rPr>
          <w:rFonts w:hint="eastAsia"/>
        </w:rPr>
        <w:t>)</w:t>
      </w:r>
      <w:r>
        <w:rPr>
          <w:rFonts w:hint="eastAsia"/>
        </w:rPr>
        <w:t>。《宪法》第</w:t>
      </w:r>
      <w:r>
        <w:rPr>
          <w:rFonts w:hint="eastAsia"/>
        </w:rPr>
        <w:t>22</w:t>
      </w:r>
      <w:r>
        <w:rPr>
          <w:rFonts w:hint="eastAsia"/>
        </w:rPr>
        <w:t>条第</w:t>
      </w:r>
      <w:r>
        <w:rPr>
          <w:rFonts w:hint="eastAsia"/>
        </w:rPr>
        <w:t>3</w:t>
      </w:r>
      <w:r>
        <w:rPr>
          <w:rFonts w:hint="eastAsia"/>
        </w:rPr>
        <w:t>款特别禁止任何形式的强迫劳动，并且就战争以及由灾难引起的社会紧急状态作出了特别规定。希腊国民和外国人，无论是否受到劳动契约的约束以及无论是否自由职业者，均可享受以上权利。</w:t>
      </w:r>
    </w:p>
    <w:p w:rsidR="00000000" w:rsidRDefault="00000000">
      <w:pPr>
        <w:pStyle w:val="Heading4"/>
        <w:rPr>
          <w:rFonts w:hint="eastAsia"/>
        </w:rPr>
      </w:pPr>
      <w:r>
        <w:rPr>
          <w:rFonts w:hint="eastAsia"/>
        </w:rPr>
        <w:t>现有的技术和职业培训方案</w:t>
      </w:r>
    </w:p>
    <w:p w:rsidR="00000000" w:rsidRDefault="00000000">
      <w:pPr>
        <w:rPr>
          <w:rFonts w:hint="eastAsia"/>
        </w:rPr>
      </w:pPr>
      <w:r>
        <w:rPr>
          <w:rFonts w:hint="eastAsia"/>
        </w:rPr>
        <w:tab/>
        <w:t xml:space="preserve">106.  </w:t>
      </w:r>
      <w:r>
        <w:rPr>
          <w:rFonts w:hint="eastAsia"/>
        </w:rPr>
        <w:t>农业部</w:t>
      </w:r>
      <w:r>
        <w:rPr>
          <w:rFonts w:hint="eastAsia"/>
        </w:rPr>
        <w:t>/</w:t>
      </w:r>
      <w:r>
        <w:rPr>
          <w:rFonts w:hint="eastAsia"/>
        </w:rPr>
        <w:t>农业推广处理事会以及国内农业经济理事会在以下部门组织了技术和职业培训班：农业部门</w:t>
      </w:r>
      <w:r>
        <w:rPr>
          <w:rFonts w:hint="eastAsia"/>
        </w:rPr>
        <w:t>(</w:t>
      </w:r>
      <w:r>
        <w:rPr>
          <w:rFonts w:hint="eastAsia"/>
        </w:rPr>
        <w:t>林业、植物生产、渔业及牲畜繁殖</w:t>
      </w:r>
      <w:r>
        <w:rPr>
          <w:rFonts w:hint="eastAsia"/>
        </w:rPr>
        <w:t>)</w:t>
      </w:r>
      <w:r>
        <w:rPr>
          <w:rFonts w:hint="eastAsia"/>
        </w:rPr>
        <w:t>；国内农业经济部门</w:t>
      </w:r>
      <w:r>
        <w:rPr>
          <w:rFonts w:hint="eastAsia"/>
        </w:rPr>
        <w:t>(</w:t>
      </w:r>
      <w:r>
        <w:rPr>
          <w:rFonts w:hint="eastAsia"/>
        </w:rPr>
        <w:t>营养</w:t>
      </w:r>
      <w:r>
        <w:rPr>
          <w:rFonts w:hint="eastAsia"/>
          <w:spacing w:val="-50"/>
        </w:rPr>
        <w:t>―</w:t>
      </w:r>
      <w:r>
        <w:rPr>
          <w:rFonts w:hint="eastAsia"/>
        </w:rPr>
        <w:t>―食品技术、家庭资源的管理、消费者保护、家庭护理以及男女平等</w:t>
      </w:r>
      <w:r>
        <w:rPr>
          <w:rFonts w:hint="eastAsia"/>
        </w:rPr>
        <w:t>)</w:t>
      </w:r>
      <w:r>
        <w:rPr>
          <w:rFonts w:hint="eastAsia"/>
        </w:rPr>
        <w:t>；合作社</w:t>
      </w:r>
      <w:r>
        <w:rPr>
          <w:rFonts w:hint="eastAsia"/>
        </w:rPr>
        <w:t>(</w:t>
      </w:r>
      <w:r>
        <w:rPr>
          <w:rFonts w:hint="eastAsia"/>
        </w:rPr>
        <w:t>行政管理</w:t>
      </w:r>
      <w:r>
        <w:rPr>
          <w:rFonts w:hint="eastAsia"/>
        </w:rPr>
        <w:t>)</w:t>
      </w:r>
      <w:r>
        <w:rPr>
          <w:rFonts w:hint="eastAsia"/>
        </w:rPr>
        <w:t>；以及非农业活动</w:t>
      </w:r>
      <w:r>
        <w:rPr>
          <w:rFonts w:hint="eastAsia"/>
        </w:rPr>
        <w:t>(</w:t>
      </w:r>
      <w:r>
        <w:rPr>
          <w:rFonts w:hint="eastAsia"/>
        </w:rPr>
        <w:t>农业旅游业、加工和销售、手工艺品、农业机械、小企业管理以及电脑</w:t>
      </w:r>
      <w:r>
        <w:rPr>
          <w:rFonts w:hint="eastAsia"/>
        </w:rPr>
        <w:t>)</w:t>
      </w:r>
      <w:r>
        <w:rPr>
          <w:rFonts w:hint="eastAsia"/>
        </w:rPr>
        <w:t>。</w:t>
      </w:r>
    </w:p>
    <w:p w:rsidR="00000000" w:rsidRDefault="00000000">
      <w:pPr>
        <w:rPr>
          <w:rFonts w:hint="eastAsia"/>
        </w:rPr>
      </w:pPr>
      <w:r>
        <w:rPr>
          <w:rFonts w:hint="eastAsia"/>
        </w:rPr>
        <w:tab/>
        <w:t xml:space="preserve">107.  </w:t>
      </w:r>
      <w:r>
        <w:rPr>
          <w:rFonts w:hint="eastAsia"/>
        </w:rPr>
        <w:t>在</w:t>
      </w:r>
      <w:r>
        <w:rPr>
          <w:rFonts w:hint="eastAsia"/>
        </w:rPr>
        <w:t>1995-1999</w:t>
      </w:r>
      <w:r>
        <w:rPr>
          <w:rFonts w:hint="eastAsia"/>
        </w:rPr>
        <w:t>年期间，国内农业经济理事会同希腊的区域服务机构合作举办了以下的培训班：</w:t>
      </w:r>
    </w:p>
    <w:p w:rsidR="00000000" w:rsidRDefault="00000000">
      <w:pPr>
        <w:pStyle w:val="Heading3"/>
        <w:spacing w:after="160"/>
        <w:rPr>
          <w:rFonts w:hint="eastAsia"/>
        </w:rPr>
      </w:pPr>
      <w:r>
        <w:rPr>
          <w:rFonts w:hint="eastAsia"/>
        </w:rPr>
        <w:t>表</w:t>
      </w:r>
      <w:r>
        <w:rPr>
          <w:rFonts w:hint="eastAsia"/>
        </w:rPr>
        <w:t xml:space="preserve">  3</w:t>
      </w:r>
    </w:p>
    <w:p w:rsidR="00000000" w:rsidRDefault="00000000">
      <w:pPr>
        <w:pStyle w:val="Heading3"/>
        <w:spacing w:after="160"/>
        <w:rPr>
          <w:rFonts w:hint="eastAsia"/>
        </w:rPr>
      </w:pPr>
      <w:r>
        <w:rPr>
          <w:rFonts w:hint="eastAsia"/>
        </w:rPr>
        <w:t>培</w:t>
      </w:r>
      <w:r>
        <w:rPr>
          <w:rFonts w:hint="eastAsia"/>
        </w:rPr>
        <w:t xml:space="preserve">  </w:t>
      </w:r>
      <w:r>
        <w:rPr>
          <w:rFonts w:hint="eastAsia"/>
        </w:rPr>
        <w:t>训</w:t>
      </w:r>
      <w:r>
        <w:rPr>
          <w:rFonts w:hint="eastAsia"/>
        </w:rPr>
        <w:t xml:space="preserve">  </w:t>
      </w:r>
      <w:r>
        <w:rPr>
          <w:rFonts w:hint="eastAsia"/>
        </w:rPr>
        <w:t>班</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701"/>
        <w:gridCol w:w="2654"/>
      </w:tblGrid>
      <w:tr w:rsidR="00000000">
        <w:tblPrEx>
          <w:tblCellMar>
            <w:top w:w="0" w:type="dxa"/>
            <w:bottom w:w="0" w:type="dxa"/>
          </w:tblCellMar>
        </w:tblPrEx>
        <w:tc>
          <w:tcPr>
            <w:tcW w:w="2940" w:type="dxa"/>
          </w:tcPr>
          <w:p w:rsidR="00000000" w:rsidRDefault="00000000">
            <w:pPr>
              <w:spacing w:before="100"/>
              <w:rPr>
                <w:rFonts w:hint="eastAsia"/>
                <w:sz w:val="22"/>
              </w:rPr>
            </w:pPr>
            <w:r>
              <w:rPr>
                <w:rFonts w:hint="eastAsia"/>
                <w:sz w:val="22"/>
              </w:rPr>
              <w:t xml:space="preserve">   </w:t>
            </w:r>
            <w:r>
              <w:rPr>
                <w:rFonts w:hint="eastAsia"/>
                <w:sz w:val="22"/>
              </w:rPr>
              <w:t>部</w:t>
            </w:r>
            <w:r>
              <w:rPr>
                <w:rFonts w:hint="eastAsia"/>
                <w:sz w:val="22"/>
              </w:rPr>
              <w:t xml:space="preserve">  </w:t>
            </w:r>
            <w:r>
              <w:rPr>
                <w:rFonts w:hint="eastAsia"/>
                <w:sz w:val="22"/>
              </w:rPr>
              <w:t>门</w:t>
            </w:r>
          </w:p>
        </w:tc>
        <w:tc>
          <w:tcPr>
            <w:tcW w:w="2701" w:type="dxa"/>
          </w:tcPr>
          <w:p w:rsidR="00000000" w:rsidRDefault="00000000">
            <w:pPr>
              <w:spacing w:before="100"/>
              <w:jc w:val="center"/>
              <w:rPr>
                <w:rFonts w:hint="eastAsia"/>
                <w:sz w:val="22"/>
              </w:rPr>
            </w:pPr>
            <w:r>
              <w:rPr>
                <w:rFonts w:hint="eastAsia"/>
                <w:sz w:val="22"/>
              </w:rPr>
              <w:t>培训班数目</w:t>
            </w:r>
          </w:p>
        </w:tc>
        <w:tc>
          <w:tcPr>
            <w:tcW w:w="2654" w:type="dxa"/>
          </w:tcPr>
          <w:p w:rsidR="00000000" w:rsidRDefault="00000000">
            <w:pPr>
              <w:spacing w:before="100"/>
              <w:jc w:val="center"/>
              <w:rPr>
                <w:rFonts w:hint="eastAsia"/>
                <w:sz w:val="22"/>
              </w:rPr>
            </w:pPr>
            <w:r>
              <w:rPr>
                <w:rFonts w:hint="eastAsia"/>
                <w:sz w:val="22"/>
              </w:rPr>
              <w:t>参加人数</w:t>
            </w:r>
          </w:p>
        </w:tc>
      </w:tr>
      <w:tr w:rsidR="00000000">
        <w:tblPrEx>
          <w:tblCellMar>
            <w:top w:w="0" w:type="dxa"/>
            <w:bottom w:w="0" w:type="dxa"/>
          </w:tblCellMar>
        </w:tblPrEx>
        <w:tc>
          <w:tcPr>
            <w:tcW w:w="2940" w:type="dxa"/>
            <w:tcBorders>
              <w:bottom w:val="nil"/>
            </w:tcBorders>
          </w:tcPr>
          <w:p w:rsidR="00000000" w:rsidRDefault="00000000">
            <w:pPr>
              <w:spacing w:before="80" w:line="240" w:lineRule="auto"/>
              <w:ind w:left="57"/>
              <w:rPr>
                <w:rFonts w:hint="eastAsia"/>
                <w:sz w:val="22"/>
              </w:rPr>
            </w:pPr>
            <w:r>
              <w:rPr>
                <w:rFonts w:hint="eastAsia"/>
                <w:sz w:val="22"/>
              </w:rPr>
              <w:t>手工艺品</w:t>
            </w:r>
          </w:p>
        </w:tc>
        <w:tc>
          <w:tcPr>
            <w:tcW w:w="2701" w:type="dxa"/>
            <w:tcBorders>
              <w:bottom w:val="nil"/>
            </w:tcBorders>
          </w:tcPr>
          <w:p w:rsidR="00000000" w:rsidRDefault="00000000">
            <w:pPr>
              <w:spacing w:before="80" w:line="240" w:lineRule="auto"/>
              <w:ind w:right="1134"/>
              <w:jc w:val="right"/>
              <w:rPr>
                <w:sz w:val="22"/>
              </w:rPr>
            </w:pPr>
            <w:r>
              <w:rPr>
                <w:sz w:val="22"/>
              </w:rPr>
              <w:t>329</w:t>
            </w:r>
          </w:p>
        </w:tc>
        <w:tc>
          <w:tcPr>
            <w:tcW w:w="2654" w:type="dxa"/>
            <w:tcBorders>
              <w:bottom w:val="nil"/>
            </w:tcBorders>
          </w:tcPr>
          <w:p w:rsidR="00000000" w:rsidRDefault="00000000">
            <w:pPr>
              <w:spacing w:before="80" w:line="240" w:lineRule="auto"/>
              <w:ind w:right="964"/>
              <w:jc w:val="right"/>
              <w:rPr>
                <w:sz w:val="22"/>
              </w:rPr>
            </w:pPr>
            <w:r>
              <w:rPr>
                <w:sz w:val="22"/>
              </w:rPr>
              <w:t>7,739</w:t>
            </w:r>
          </w:p>
        </w:tc>
      </w:tr>
      <w:tr w:rsidR="00000000">
        <w:tblPrEx>
          <w:tblCellMar>
            <w:top w:w="0" w:type="dxa"/>
            <w:bottom w:w="0" w:type="dxa"/>
          </w:tblCellMar>
        </w:tblPrEx>
        <w:tc>
          <w:tcPr>
            <w:tcW w:w="2940" w:type="dxa"/>
            <w:tcBorders>
              <w:top w:val="nil"/>
              <w:bottom w:val="nil"/>
            </w:tcBorders>
          </w:tcPr>
          <w:p w:rsidR="00000000" w:rsidRDefault="00000000">
            <w:pPr>
              <w:spacing w:line="240" w:lineRule="auto"/>
              <w:ind w:left="57"/>
              <w:rPr>
                <w:rFonts w:hint="eastAsia"/>
                <w:sz w:val="22"/>
              </w:rPr>
            </w:pPr>
            <w:r>
              <w:rPr>
                <w:rFonts w:hint="eastAsia"/>
                <w:sz w:val="22"/>
              </w:rPr>
              <w:t>衣</w:t>
            </w:r>
            <w:r>
              <w:rPr>
                <w:rFonts w:hint="eastAsia"/>
                <w:sz w:val="22"/>
              </w:rPr>
              <w:t xml:space="preserve"> </w:t>
            </w:r>
            <w:r>
              <w:rPr>
                <w:rFonts w:hint="eastAsia"/>
                <w:sz w:val="22"/>
              </w:rPr>
              <w:t>服</w:t>
            </w:r>
          </w:p>
        </w:tc>
        <w:tc>
          <w:tcPr>
            <w:tcW w:w="2701" w:type="dxa"/>
            <w:tcBorders>
              <w:top w:val="nil"/>
              <w:bottom w:val="nil"/>
            </w:tcBorders>
          </w:tcPr>
          <w:p w:rsidR="00000000" w:rsidRDefault="00000000">
            <w:pPr>
              <w:spacing w:line="240" w:lineRule="auto"/>
              <w:ind w:right="1134"/>
              <w:jc w:val="right"/>
              <w:rPr>
                <w:sz w:val="22"/>
              </w:rPr>
            </w:pPr>
            <w:r>
              <w:rPr>
                <w:sz w:val="22"/>
              </w:rPr>
              <w:t>173</w:t>
            </w:r>
          </w:p>
        </w:tc>
        <w:tc>
          <w:tcPr>
            <w:tcW w:w="2654" w:type="dxa"/>
            <w:tcBorders>
              <w:top w:val="nil"/>
              <w:bottom w:val="nil"/>
            </w:tcBorders>
          </w:tcPr>
          <w:p w:rsidR="00000000" w:rsidRDefault="00000000">
            <w:pPr>
              <w:spacing w:line="240" w:lineRule="auto"/>
              <w:ind w:right="964"/>
              <w:jc w:val="right"/>
              <w:rPr>
                <w:sz w:val="22"/>
              </w:rPr>
            </w:pPr>
            <w:r>
              <w:rPr>
                <w:sz w:val="22"/>
              </w:rPr>
              <w:t>4,300</w:t>
            </w:r>
          </w:p>
        </w:tc>
      </w:tr>
      <w:tr w:rsidR="00000000">
        <w:tblPrEx>
          <w:tblCellMar>
            <w:top w:w="0" w:type="dxa"/>
            <w:bottom w:w="0" w:type="dxa"/>
          </w:tblCellMar>
        </w:tblPrEx>
        <w:tc>
          <w:tcPr>
            <w:tcW w:w="2940" w:type="dxa"/>
            <w:tcBorders>
              <w:top w:val="nil"/>
              <w:bottom w:val="nil"/>
            </w:tcBorders>
          </w:tcPr>
          <w:p w:rsidR="00000000" w:rsidRDefault="00000000">
            <w:pPr>
              <w:spacing w:line="240" w:lineRule="auto"/>
              <w:ind w:left="57"/>
              <w:rPr>
                <w:rFonts w:hint="eastAsia"/>
                <w:sz w:val="22"/>
              </w:rPr>
            </w:pPr>
            <w:r>
              <w:rPr>
                <w:rFonts w:hint="eastAsia"/>
                <w:sz w:val="22"/>
              </w:rPr>
              <w:t>食品技术</w:t>
            </w:r>
          </w:p>
        </w:tc>
        <w:tc>
          <w:tcPr>
            <w:tcW w:w="2701" w:type="dxa"/>
            <w:tcBorders>
              <w:top w:val="nil"/>
              <w:bottom w:val="nil"/>
            </w:tcBorders>
          </w:tcPr>
          <w:p w:rsidR="00000000" w:rsidRDefault="00000000">
            <w:pPr>
              <w:spacing w:line="240" w:lineRule="auto"/>
              <w:ind w:right="1134"/>
              <w:jc w:val="right"/>
              <w:rPr>
                <w:sz w:val="22"/>
              </w:rPr>
            </w:pPr>
            <w:r>
              <w:rPr>
                <w:sz w:val="22"/>
              </w:rPr>
              <w:t>136</w:t>
            </w:r>
          </w:p>
        </w:tc>
        <w:tc>
          <w:tcPr>
            <w:tcW w:w="2654" w:type="dxa"/>
            <w:tcBorders>
              <w:top w:val="nil"/>
              <w:bottom w:val="nil"/>
            </w:tcBorders>
          </w:tcPr>
          <w:p w:rsidR="00000000" w:rsidRDefault="00000000">
            <w:pPr>
              <w:spacing w:line="240" w:lineRule="auto"/>
              <w:ind w:right="964"/>
              <w:jc w:val="right"/>
              <w:rPr>
                <w:sz w:val="22"/>
              </w:rPr>
            </w:pPr>
            <w:r>
              <w:rPr>
                <w:sz w:val="22"/>
              </w:rPr>
              <w:t>3,118</w:t>
            </w:r>
          </w:p>
        </w:tc>
      </w:tr>
      <w:tr w:rsidR="00000000">
        <w:tblPrEx>
          <w:tblCellMar>
            <w:top w:w="0" w:type="dxa"/>
            <w:bottom w:w="0" w:type="dxa"/>
          </w:tblCellMar>
        </w:tblPrEx>
        <w:tc>
          <w:tcPr>
            <w:tcW w:w="2940" w:type="dxa"/>
            <w:tcBorders>
              <w:top w:val="nil"/>
              <w:bottom w:val="nil"/>
            </w:tcBorders>
          </w:tcPr>
          <w:p w:rsidR="00000000" w:rsidRDefault="00000000">
            <w:pPr>
              <w:spacing w:line="240" w:lineRule="auto"/>
              <w:ind w:left="57"/>
              <w:rPr>
                <w:rFonts w:hint="eastAsia"/>
                <w:sz w:val="22"/>
              </w:rPr>
            </w:pPr>
            <w:r>
              <w:rPr>
                <w:rFonts w:hint="eastAsia"/>
                <w:sz w:val="22"/>
              </w:rPr>
              <w:t>农业旅游业</w:t>
            </w:r>
          </w:p>
        </w:tc>
        <w:tc>
          <w:tcPr>
            <w:tcW w:w="2701" w:type="dxa"/>
            <w:tcBorders>
              <w:top w:val="nil"/>
              <w:bottom w:val="nil"/>
            </w:tcBorders>
          </w:tcPr>
          <w:p w:rsidR="00000000" w:rsidRDefault="00000000">
            <w:pPr>
              <w:spacing w:line="240" w:lineRule="auto"/>
              <w:ind w:right="1134"/>
              <w:jc w:val="right"/>
              <w:rPr>
                <w:sz w:val="22"/>
              </w:rPr>
            </w:pPr>
            <w:r>
              <w:rPr>
                <w:sz w:val="22"/>
              </w:rPr>
              <w:t>107</w:t>
            </w:r>
          </w:p>
        </w:tc>
        <w:tc>
          <w:tcPr>
            <w:tcW w:w="2654" w:type="dxa"/>
            <w:tcBorders>
              <w:top w:val="nil"/>
              <w:bottom w:val="nil"/>
            </w:tcBorders>
          </w:tcPr>
          <w:p w:rsidR="00000000" w:rsidRDefault="00000000">
            <w:pPr>
              <w:spacing w:line="240" w:lineRule="auto"/>
              <w:ind w:right="964"/>
              <w:jc w:val="right"/>
              <w:rPr>
                <w:sz w:val="22"/>
              </w:rPr>
            </w:pPr>
            <w:r>
              <w:rPr>
                <w:sz w:val="22"/>
              </w:rPr>
              <w:t>2,499</w:t>
            </w:r>
          </w:p>
        </w:tc>
      </w:tr>
      <w:tr w:rsidR="00000000">
        <w:tblPrEx>
          <w:tblCellMar>
            <w:top w:w="0" w:type="dxa"/>
            <w:bottom w:w="0" w:type="dxa"/>
          </w:tblCellMar>
        </w:tblPrEx>
        <w:tc>
          <w:tcPr>
            <w:tcW w:w="2940" w:type="dxa"/>
            <w:tcBorders>
              <w:top w:val="nil"/>
              <w:bottom w:val="nil"/>
            </w:tcBorders>
          </w:tcPr>
          <w:p w:rsidR="00000000" w:rsidRDefault="00000000">
            <w:pPr>
              <w:spacing w:line="240" w:lineRule="auto"/>
              <w:ind w:left="57"/>
              <w:rPr>
                <w:rFonts w:hint="eastAsia"/>
                <w:sz w:val="22"/>
              </w:rPr>
            </w:pPr>
            <w:r>
              <w:rPr>
                <w:rFonts w:hint="eastAsia"/>
                <w:sz w:val="22"/>
              </w:rPr>
              <w:t>电</w:t>
            </w:r>
            <w:r>
              <w:rPr>
                <w:rFonts w:hint="eastAsia"/>
                <w:sz w:val="22"/>
              </w:rPr>
              <w:t xml:space="preserve"> </w:t>
            </w:r>
            <w:r>
              <w:rPr>
                <w:rFonts w:hint="eastAsia"/>
                <w:sz w:val="22"/>
              </w:rPr>
              <w:t>脑</w:t>
            </w:r>
          </w:p>
        </w:tc>
        <w:tc>
          <w:tcPr>
            <w:tcW w:w="2701" w:type="dxa"/>
            <w:tcBorders>
              <w:top w:val="nil"/>
              <w:bottom w:val="nil"/>
            </w:tcBorders>
          </w:tcPr>
          <w:p w:rsidR="00000000" w:rsidRDefault="00000000">
            <w:pPr>
              <w:spacing w:line="240" w:lineRule="auto"/>
              <w:ind w:right="1134"/>
              <w:jc w:val="right"/>
              <w:rPr>
                <w:sz w:val="22"/>
              </w:rPr>
            </w:pPr>
            <w:r>
              <w:rPr>
                <w:sz w:val="22"/>
              </w:rPr>
              <w:t>5</w:t>
            </w:r>
          </w:p>
        </w:tc>
        <w:tc>
          <w:tcPr>
            <w:tcW w:w="2654" w:type="dxa"/>
            <w:tcBorders>
              <w:top w:val="nil"/>
              <w:bottom w:val="nil"/>
            </w:tcBorders>
          </w:tcPr>
          <w:p w:rsidR="00000000" w:rsidRDefault="00000000">
            <w:pPr>
              <w:spacing w:line="240" w:lineRule="auto"/>
              <w:ind w:right="964"/>
              <w:jc w:val="right"/>
              <w:rPr>
                <w:sz w:val="22"/>
              </w:rPr>
            </w:pPr>
            <w:r>
              <w:rPr>
                <w:sz w:val="22"/>
              </w:rPr>
              <w:t>109</w:t>
            </w:r>
          </w:p>
        </w:tc>
      </w:tr>
      <w:tr w:rsidR="00000000">
        <w:tblPrEx>
          <w:tblCellMar>
            <w:top w:w="0" w:type="dxa"/>
            <w:bottom w:w="0" w:type="dxa"/>
          </w:tblCellMar>
        </w:tblPrEx>
        <w:tc>
          <w:tcPr>
            <w:tcW w:w="2940" w:type="dxa"/>
            <w:tcBorders>
              <w:top w:val="nil"/>
              <w:bottom w:val="nil"/>
            </w:tcBorders>
          </w:tcPr>
          <w:p w:rsidR="00000000" w:rsidRDefault="00000000">
            <w:pPr>
              <w:spacing w:line="240" w:lineRule="auto"/>
              <w:ind w:left="57"/>
              <w:rPr>
                <w:rFonts w:hint="eastAsia"/>
                <w:sz w:val="22"/>
              </w:rPr>
            </w:pPr>
            <w:r>
              <w:rPr>
                <w:rFonts w:hint="eastAsia"/>
                <w:sz w:val="22"/>
              </w:rPr>
              <w:t>管</w:t>
            </w:r>
            <w:r>
              <w:rPr>
                <w:rFonts w:hint="eastAsia"/>
                <w:sz w:val="22"/>
              </w:rPr>
              <w:t xml:space="preserve"> </w:t>
            </w:r>
            <w:r>
              <w:rPr>
                <w:rFonts w:hint="eastAsia"/>
                <w:sz w:val="22"/>
              </w:rPr>
              <w:t>理</w:t>
            </w:r>
          </w:p>
        </w:tc>
        <w:tc>
          <w:tcPr>
            <w:tcW w:w="2701" w:type="dxa"/>
            <w:tcBorders>
              <w:top w:val="nil"/>
              <w:bottom w:val="nil"/>
            </w:tcBorders>
          </w:tcPr>
          <w:p w:rsidR="00000000" w:rsidRDefault="00000000">
            <w:pPr>
              <w:spacing w:line="240" w:lineRule="auto"/>
              <w:ind w:right="1134"/>
              <w:jc w:val="right"/>
              <w:rPr>
                <w:sz w:val="22"/>
              </w:rPr>
            </w:pPr>
            <w:r>
              <w:rPr>
                <w:sz w:val="22"/>
              </w:rPr>
              <w:t>3</w:t>
            </w:r>
          </w:p>
        </w:tc>
        <w:tc>
          <w:tcPr>
            <w:tcW w:w="2654" w:type="dxa"/>
            <w:tcBorders>
              <w:top w:val="nil"/>
              <w:bottom w:val="nil"/>
            </w:tcBorders>
          </w:tcPr>
          <w:p w:rsidR="00000000" w:rsidRDefault="00000000">
            <w:pPr>
              <w:spacing w:line="240" w:lineRule="auto"/>
              <w:ind w:right="964"/>
              <w:jc w:val="right"/>
              <w:rPr>
                <w:sz w:val="22"/>
              </w:rPr>
            </w:pPr>
            <w:r>
              <w:rPr>
                <w:sz w:val="22"/>
              </w:rPr>
              <w:t>62</w:t>
            </w:r>
          </w:p>
        </w:tc>
      </w:tr>
      <w:tr w:rsidR="00000000">
        <w:tblPrEx>
          <w:tblCellMar>
            <w:top w:w="0" w:type="dxa"/>
            <w:bottom w:w="0" w:type="dxa"/>
          </w:tblCellMar>
        </w:tblPrEx>
        <w:tc>
          <w:tcPr>
            <w:tcW w:w="2940" w:type="dxa"/>
            <w:tcBorders>
              <w:top w:val="nil"/>
              <w:bottom w:val="nil"/>
            </w:tcBorders>
          </w:tcPr>
          <w:p w:rsidR="00000000" w:rsidRDefault="00000000">
            <w:pPr>
              <w:spacing w:line="240" w:lineRule="auto"/>
              <w:ind w:left="57"/>
              <w:rPr>
                <w:rFonts w:hint="eastAsia"/>
                <w:sz w:val="22"/>
              </w:rPr>
            </w:pPr>
            <w:r>
              <w:rPr>
                <w:rFonts w:hint="eastAsia"/>
                <w:sz w:val="22"/>
              </w:rPr>
              <w:t>老人护理</w:t>
            </w:r>
          </w:p>
        </w:tc>
        <w:tc>
          <w:tcPr>
            <w:tcW w:w="2701" w:type="dxa"/>
            <w:tcBorders>
              <w:top w:val="nil"/>
              <w:bottom w:val="nil"/>
            </w:tcBorders>
          </w:tcPr>
          <w:p w:rsidR="00000000" w:rsidRDefault="00000000">
            <w:pPr>
              <w:spacing w:line="240" w:lineRule="auto"/>
              <w:ind w:right="1134"/>
              <w:jc w:val="right"/>
              <w:rPr>
                <w:sz w:val="22"/>
              </w:rPr>
            </w:pPr>
            <w:r>
              <w:rPr>
                <w:sz w:val="22"/>
              </w:rPr>
              <w:t>3</w:t>
            </w:r>
          </w:p>
        </w:tc>
        <w:tc>
          <w:tcPr>
            <w:tcW w:w="2654" w:type="dxa"/>
            <w:tcBorders>
              <w:top w:val="nil"/>
              <w:bottom w:val="nil"/>
            </w:tcBorders>
          </w:tcPr>
          <w:p w:rsidR="00000000" w:rsidRDefault="00000000">
            <w:pPr>
              <w:spacing w:line="240" w:lineRule="auto"/>
              <w:ind w:right="964"/>
              <w:jc w:val="right"/>
              <w:rPr>
                <w:sz w:val="22"/>
              </w:rPr>
            </w:pPr>
            <w:r>
              <w:rPr>
                <w:sz w:val="22"/>
              </w:rPr>
              <w:t>59</w:t>
            </w:r>
          </w:p>
        </w:tc>
      </w:tr>
      <w:tr w:rsidR="00000000">
        <w:tblPrEx>
          <w:tblCellMar>
            <w:top w:w="0" w:type="dxa"/>
            <w:bottom w:w="0" w:type="dxa"/>
          </w:tblCellMar>
        </w:tblPrEx>
        <w:tc>
          <w:tcPr>
            <w:tcW w:w="2940" w:type="dxa"/>
            <w:tcBorders>
              <w:top w:val="nil"/>
              <w:bottom w:val="nil"/>
            </w:tcBorders>
          </w:tcPr>
          <w:p w:rsidR="00000000" w:rsidRDefault="00000000">
            <w:pPr>
              <w:spacing w:line="240" w:lineRule="auto"/>
              <w:ind w:left="57"/>
              <w:rPr>
                <w:rFonts w:hint="eastAsia"/>
                <w:sz w:val="22"/>
              </w:rPr>
            </w:pPr>
            <w:r>
              <w:rPr>
                <w:rFonts w:hint="eastAsia"/>
                <w:sz w:val="22"/>
              </w:rPr>
              <w:t>儿童护理</w:t>
            </w:r>
          </w:p>
        </w:tc>
        <w:tc>
          <w:tcPr>
            <w:tcW w:w="2701" w:type="dxa"/>
            <w:tcBorders>
              <w:top w:val="nil"/>
              <w:bottom w:val="nil"/>
            </w:tcBorders>
          </w:tcPr>
          <w:p w:rsidR="00000000" w:rsidRDefault="00000000">
            <w:pPr>
              <w:spacing w:line="240" w:lineRule="auto"/>
              <w:ind w:right="1134"/>
              <w:jc w:val="right"/>
              <w:rPr>
                <w:sz w:val="22"/>
              </w:rPr>
            </w:pPr>
            <w:r>
              <w:rPr>
                <w:sz w:val="22"/>
              </w:rPr>
              <w:t>1</w:t>
            </w:r>
          </w:p>
        </w:tc>
        <w:tc>
          <w:tcPr>
            <w:tcW w:w="2654" w:type="dxa"/>
            <w:tcBorders>
              <w:top w:val="nil"/>
              <w:bottom w:val="nil"/>
            </w:tcBorders>
          </w:tcPr>
          <w:p w:rsidR="00000000" w:rsidRDefault="00000000">
            <w:pPr>
              <w:spacing w:line="240" w:lineRule="auto"/>
              <w:ind w:right="964"/>
              <w:jc w:val="right"/>
              <w:rPr>
                <w:sz w:val="22"/>
              </w:rPr>
            </w:pPr>
            <w:r>
              <w:rPr>
                <w:sz w:val="22"/>
              </w:rPr>
              <w:t>25</w:t>
            </w:r>
          </w:p>
        </w:tc>
      </w:tr>
      <w:tr w:rsidR="00000000">
        <w:tblPrEx>
          <w:tblCellMar>
            <w:top w:w="0" w:type="dxa"/>
            <w:bottom w:w="0" w:type="dxa"/>
          </w:tblCellMar>
        </w:tblPrEx>
        <w:tc>
          <w:tcPr>
            <w:tcW w:w="2940" w:type="dxa"/>
            <w:tcBorders>
              <w:top w:val="nil"/>
            </w:tcBorders>
          </w:tcPr>
          <w:p w:rsidR="00000000" w:rsidRDefault="00000000">
            <w:pPr>
              <w:spacing w:line="240" w:lineRule="auto"/>
              <w:ind w:left="57"/>
              <w:rPr>
                <w:rFonts w:hint="eastAsia"/>
                <w:sz w:val="22"/>
              </w:rPr>
            </w:pPr>
            <w:r>
              <w:rPr>
                <w:rFonts w:hint="eastAsia"/>
                <w:sz w:val="22"/>
              </w:rPr>
              <w:t>农业机械</w:t>
            </w:r>
          </w:p>
        </w:tc>
        <w:tc>
          <w:tcPr>
            <w:tcW w:w="2701" w:type="dxa"/>
            <w:tcBorders>
              <w:top w:val="nil"/>
            </w:tcBorders>
          </w:tcPr>
          <w:p w:rsidR="00000000" w:rsidRDefault="00000000">
            <w:pPr>
              <w:spacing w:line="240" w:lineRule="auto"/>
              <w:ind w:right="1134"/>
              <w:jc w:val="right"/>
              <w:rPr>
                <w:sz w:val="22"/>
              </w:rPr>
            </w:pPr>
            <w:r>
              <w:rPr>
                <w:sz w:val="22"/>
              </w:rPr>
              <w:t>2</w:t>
            </w:r>
          </w:p>
        </w:tc>
        <w:tc>
          <w:tcPr>
            <w:tcW w:w="2654" w:type="dxa"/>
            <w:tcBorders>
              <w:top w:val="nil"/>
            </w:tcBorders>
          </w:tcPr>
          <w:p w:rsidR="00000000" w:rsidRDefault="00000000">
            <w:pPr>
              <w:spacing w:line="240" w:lineRule="auto"/>
              <w:ind w:right="964"/>
              <w:jc w:val="right"/>
              <w:rPr>
                <w:sz w:val="22"/>
              </w:rPr>
            </w:pPr>
            <w:r>
              <w:rPr>
                <w:sz w:val="22"/>
              </w:rPr>
              <w:t>65</w:t>
            </w:r>
          </w:p>
        </w:tc>
      </w:tr>
      <w:tr w:rsidR="00000000">
        <w:tblPrEx>
          <w:tblCellMar>
            <w:top w:w="0" w:type="dxa"/>
            <w:bottom w:w="0" w:type="dxa"/>
          </w:tblCellMar>
        </w:tblPrEx>
        <w:tc>
          <w:tcPr>
            <w:tcW w:w="2940" w:type="dxa"/>
          </w:tcPr>
          <w:p w:rsidR="00000000" w:rsidRDefault="00000000">
            <w:pPr>
              <w:spacing w:before="80" w:line="240" w:lineRule="auto"/>
              <w:rPr>
                <w:rFonts w:hint="eastAsia"/>
                <w:sz w:val="22"/>
              </w:rPr>
            </w:pPr>
            <w:r>
              <w:rPr>
                <w:rFonts w:hint="eastAsia"/>
                <w:sz w:val="22"/>
              </w:rPr>
              <w:t xml:space="preserve">    </w:t>
            </w:r>
            <w:r>
              <w:rPr>
                <w:rFonts w:hint="eastAsia"/>
                <w:sz w:val="22"/>
              </w:rPr>
              <w:t>总</w:t>
            </w:r>
            <w:r>
              <w:rPr>
                <w:rFonts w:hint="eastAsia"/>
                <w:sz w:val="22"/>
              </w:rPr>
              <w:t xml:space="preserve">  </w:t>
            </w:r>
            <w:r>
              <w:rPr>
                <w:rFonts w:hint="eastAsia"/>
                <w:sz w:val="22"/>
              </w:rPr>
              <w:t>数</w:t>
            </w:r>
          </w:p>
        </w:tc>
        <w:tc>
          <w:tcPr>
            <w:tcW w:w="2701" w:type="dxa"/>
          </w:tcPr>
          <w:p w:rsidR="00000000" w:rsidRDefault="00000000">
            <w:pPr>
              <w:spacing w:before="80" w:line="240" w:lineRule="auto"/>
              <w:ind w:right="1134"/>
              <w:jc w:val="right"/>
              <w:rPr>
                <w:sz w:val="22"/>
              </w:rPr>
            </w:pPr>
            <w:r>
              <w:rPr>
                <w:sz w:val="22"/>
              </w:rPr>
              <w:t>759</w:t>
            </w:r>
          </w:p>
        </w:tc>
        <w:tc>
          <w:tcPr>
            <w:tcW w:w="2654" w:type="dxa"/>
          </w:tcPr>
          <w:p w:rsidR="00000000" w:rsidRDefault="00000000">
            <w:pPr>
              <w:spacing w:before="80" w:line="240" w:lineRule="auto"/>
              <w:ind w:right="964"/>
              <w:jc w:val="right"/>
              <w:rPr>
                <w:sz w:val="22"/>
              </w:rPr>
            </w:pPr>
            <w:r>
              <w:rPr>
                <w:sz w:val="22"/>
              </w:rPr>
              <w:t>17,976</w:t>
            </w:r>
          </w:p>
        </w:tc>
      </w:tr>
    </w:tbl>
    <w:p w:rsidR="00000000" w:rsidRDefault="00000000">
      <w:pPr>
        <w:rPr>
          <w:rFonts w:hint="eastAsia"/>
        </w:rPr>
      </w:pPr>
    </w:p>
    <w:p w:rsidR="00000000" w:rsidRDefault="00000000">
      <w:pPr>
        <w:rPr>
          <w:rFonts w:hint="eastAsia"/>
        </w:rPr>
      </w:pPr>
      <w:r>
        <w:rPr>
          <w:rFonts w:hint="eastAsia"/>
        </w:rPr>
        <w:t>上述培训班的培训对象是农村妇女，其中有些直接从事初级商品的生产，有些间接参与</w:t>
      </w:r>
      <w:r>
        <w:rPr>
          <w:rFonts w:hint="eastAsia"/>
        </w:rPr>
        <w:t>(</w:t>
      </w:r>
      <w:r>
        <w:rPr>
          <w:rFonts w:hint="eastAsia"/>
        </w:rPr>
        <w:t>从事家庭劳动而不领取工资的农村妇女</w:t>
      </w:r>
      <w:r>
        <w:rPr>
          <w:rFonts w:hint="eastAsia"/>
        </w:rPr>
        <w:t>)</w:t>
      </w:r>
      <w:r>
        <w:rPr>
          <w:rFonts w:hint="eastAsia"/>
        </w:rPr>
        <w:t>，还有一些从事非农业活动。</w:t>
      </w:r>
    </w:p>
    <w:p w:rsidR="00000000" w:rsidRDefault="00000000">
      <w:pPr>
        <w:rPr>
          <w:rFonts w:hint="eastAsia"/>
        </w:rPr>
      </w:pPr>
      <w:r>
        <w:rPr>
          <w:rFonts w:hint="eastAsia"/>
        </w:rPr>
        <w:tab/>
        <w:t xml:space="preserve">108.  </w:t>
      </w:r>
      <w:r>
        <w:rPr>
          <w:rFonts w:hint="eastAsia"/>
        </w:rPr>
        <w:t>目前已经权力下放的农业推广处理事会集中举办有关加工、销售和多样化内容的培训班，但是农民仍然很需要有关先进耕作方法和保护方法的培训。</w:t>
      </w:r>
    </w:p>
    <w:p w:rsidR="00000000" w:rsidRDefault="00000000">
      <w:pPr>
        <w:spacing w:after="320"/>
        <w:rPr>
          <w:rFonts w:hint="eastAsia"/>
        </w:rPr>
      </w:pPr>
      <w:r>
        <w:rPr>
          <w:rFonts w:hint="eastAsia"/>
        </w:rPr>
        <w:tab/>
        <w:t xml:space="preserve">109.  </w:t>
      </w:r>
      <w:r>
        <w:rPr>
          <w:rFonts w:hint="eastAsia"/>
        </w:rPr>
        <w:t>这些培训班的培训对象为男女农民。按性格分列的有关专业培训的数据如下。同前几年相比，参加</w:t>
      </w:r>
      <w:r>
        <w:rPr>
          <w:rFonts w:hint="eastAsia"/>
        </w:rPr>
        <w:t>2001</w:t>
      </w:r>
      <w:r>
        <w:rPr>
          <w:rFonts w:hint="eastAsia"/>
        </w:rPr>
        <w:t>年专业培训的人数似乎大大减少。人数减少的原因完全在于：从</w:t>
      </w:r>
      <w:r>
        <w:rPr>
          <w:rFonts w:hint="eastAsia"/>
        </w:rPr>
        <w:t>2001</w:t>
      </w:r>
      <w:r>
        <w:rPr>
          <w:rFonts w:hint="eastAsia"/>
        </w:rPr>
        <w:t>年开始，专业培训由新的农业和职业培训组织“</w:t>
      </w:r>
      <w:r>
        <w:rPr>
          <w:rFonts w:hint="eastAsia"/>
        </w:rPr>
        <w:t>DIMITRA</w:t>
      </w:r>
      <w:r>
        <w:rPr>
          <w:rFonts w:hint="eastAsia"/>
        </w:rPr>
        <w:t>”接管。</w:t>
      </w:r>
    </w:p>
    <w:p w:rsidR="00000000" w:rsidRDefault="00000000">
      <w:pPr>
        <w:pStyle w:val="Heading3"/>
        <w:spacing w:after="240"/>
        <w:rPr>
          <w:rFonts w:hint="eastAsia"/>
        </w:rPr>
      </w:pPr>
      <w:r>
        <w:rPr>
          <w:rFonts w:hint="eastAsia"/>
        </w:rPr>
        <w:t>表</w:t>
      </w:r>
      <w:r>
        <w:rPr>
          <w:rFonts w:hint="eastAsia"/>
        </w:rPr>
        <w:t xml:space="preserve">   4</w:t>
      </w:r>
    </w:p>
    <w:p w:rsidR="00000000" w:rsidRDefault="00000000">
      <w:pPr>
        <w:pStyle w:val="Heading3"/>
        <w:spacing w:after="160"/>
        <w:rPr>
          <w:rFonts w:hint="eastAsia"/>
        </w:rPr>
      </w:pPr>
      <w:r>
        <w:rPr>
          <w:rFonts w:hint="eastAsia"/>
        </w:rPr>
        <w:t>按性别分列的培训班数据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000000">
        <w:tblPrEx>
          <w:tblCellMar>
            <w:top w:w="0" w:type="dxa"/>
            <w:bottom w:w="0" w:type="dxa"/>
          </w:tblCellMar>
        </w:tblPrEx>
        <w:tc>
          <w:tcPr>
            <w:tcW w:w="2392" w:type="dxa"/>
          </w:tcPr>
          <w:p w:rsidR="00000000" w:rsidRDefault="00000000">
            <w:pPr>
              <w:spacing w:before="120"/>
              <w:jc w:val="center"/>
              <w:rPr>
                <w:rFonts w:hint="eastAsia"/>
                <w:sz w:val="22"/>
              </w:rPr>
            </w:pPr>
            <w:r>
              <w:rPr>
                <w:rFonts w:hint="eastAsia"/>
                <w:sz w:val="22"/>
              </w:rPr>
              <w:t>年</w:t>
            </w:r>
            <w:r>
              <w:rPr>
                <w:rFonts w:hint="eastAsia"/>
                <w:sz w:val="22"/>
              </w:rPr>
              <w:t xml:space="preserve"> </w:t>
            </w:r>
            <w:r>
              <w:rPr>
                <w:rFonts w:hint="eastAsia"/>
                <w:sz w:val="22"/>
              </w:rPr>
              <w:t>份</w:t>
            </w:r>
          </w:p>
        </w:tc>
        <w:tc>
          <w:tcPr>
            <w:tcW w:w="2393" w:type="dxa"/>
          </w:tcPr>
          <w:p w:rsidR="00000000" w:rsidRDefault="00000000">
            <w:pPr>
              <w:spacing w:before="120"/>
              <w:jc w:val="center"/>
              <w:rPr>
                <w:rFonts w:hint="eastAsia"/>
                <w:sz w:val="22"/>
              </w:rPr>
            </w:pPr>
            <w:r>
              <w:rPr>
                <w:rFonts w:hint="eastAsia"/>
                <w:sz w:val="22"/>
              </w:rPr>
              <w:t>参加人数</w:t>
            </w:r>
          </w:p>
        </w:tc>
        <w:tc>
          <w:tcPr>
            <w:tcW w:w="2393" w:type="dxa"/>
          </w:tcPr>
          <w:p w:rsidR="00000000" w:rsidRDefault="00000000">
            <w:pPr>
              <w:spacing w:before="120"/>
              <w:jc w:val="center"/>
              <w:rPr>
                <w:rFonts w:hint="eastAsia"/>
                <w:sz w:val="22"/>
              </w:rPr>
            </w:pPr>
            <w:r>
              <w:rPr>
                <w:rFonts w:hint="eastAsia"/>
                <w:sz w:val="22"/>
              </w:rPr>
              <w:t xml:space="preserve"> </w:t>
            </w:r>
            <w:r>
              <w:rPr>
                <w:rFonts w:hint="eastAsia"/>
                <w:sz w:val="22"/>
              </w:rPr>
              <w:t>男性</w:t>
            </w:r>
            <w:r>
              <w:rPr>
                <w:rFonts w:hint="eastAsia"/>
                <w:sz w:val="22"/>
              </w:rPr>
              <w:t>(</w:t>
            </w:r>
            <w:r>
              <w:rPr>
                <w:rFonts w:hint="eastAsia"/>
                <w:sz w:val="22"/>
              </w:rPr>
              <w:t>百分比</w:t>
            </w:r>
            <w:r>
              <w:rPr>
                <w:rFonts w:hint="eastAsia"/>
                <w:sz w:val="22"/>
              </w:rPr>
              <w:t>)</w:t>
            </w:r>
          </w:p>
        </w:tc>
        <w:tc>
          <w:tcPr>
            <w:tcW w:w="2393" w:type="dxa"/>
          </w:tcPr>
          <w:p w:rsidR="00000000" w:rsidRDefault="00000000">
            <w:pPr>
              <w:spacing w:before="120"/>
              <w:jc w:val="center"/>
              <w:rPr>
                <w:rFonts w:hint="eastAsia"/>
                <w:sz w:val="22"/>
              </w:rPr>
            </w:pPr>
            <w:r>
              <w:rPr>
                <w:rFonts w:hint="eastAsia"/>
                <w:sz w:val="22"/>
              </w:rPr>
              <w:t xml:space="preserve"> </w:t>
            </w:r>
            <w:r>
              <w:rPr>
                <w:rFonts w:hint="eastAsia"/>
                <w:sz w:val="22"/>
              </w:rPr>
              <w:t>女性</w:t>
            </w:r>
            <w:r>
              <w:rPr>
                <w:rFonts w:hint="eastAsia"/>
                <w:sz w:val="22"/>
              </w:rPr>
              <w:t>(</w:t>
            </w:r>
            <w:r>
              <w:rPr>
                <w:rFonts w:hint="eastAsia"/>
                <w:sz w:val="22"/>
              </w:rPr>
              <w:t>百分比</w:t>
            </w:r>
            <w:r>
              <w:rPr>
                <w:rFonts w:hint="eastAsia"/>
                <w:sz w:val="22"/>
              </w:rPr>
              <w:t>)</w:t>
            </w:r>
          </w:p>
        </w:tc>
      </w:tr>
      <w:tr w:rsidR="00000000">
        <w:tblPrEx>
          <w:tblCellMar>
            <w:top w:w="0" w:type="dxa"/>
            <w:bottom w:w="0" w:type="dxa"/>
          </w:tblCellMar>
        </w:tblPrEx>
        <w:tc>
          <w:tcPr>
            <w:tcW w:w="2392" w:type="dxa"/>
            <w:tcBorders>
              <w:bottom w:val="nil"/>
            </w:tcBorders>
          </w:tcPr>
          <w:p w:rsidR="00000000" w:rsidRDefault="00000000">
            <w:pPr>
              <w:spacing w:before="80"/>
              <w:jc w:val="center"/>
              <w:rPr>
                <w:sz w:val="22"/>
              </w:rPr>
            </w:pPr>
            <w:r>
              <w:rPr>
                <w:sz w:val="22"/>
              </w:rPr>
              <w:t>1997</w:t>
            </w:r>
          </w:p>
        </w:tc>
        <w:tc>
          <w:tcPr>
            <w:tcW w:w="2393" w:type="dxa"/>
            <w:tcBorders>
              <w:bottom w:val="nil"/>
            </w:tcBorders>
          </w:tcPr>
          <w:p w:rsidR="00000000" w:rsidRDefault="00000000">
            <w:pPr>
              <w:spacing w:before="80"/>
              <w:ind w:right="601"/>
              <w:jc w:val="right"/>
              <w:rPr>
                <w:sz w:val="22"/>
              </w:rPr>
            </w:pPr>
            <w:r>
              <w:rPr>
                <w:sz w:val="22"/>
              </w:rPr>
              <w:t>21,567</w:t>
            </w:r>
          </w:p>
        </w:tc>
        <w:tc>
          <w:tcPr>
            <w:tcW w:w="2393" w:type="dxa"/>
            <w:tcBorders>
              <w:bottom w:val="nil"/>
            </w:tcBorders>
          </w:tcPr>
          <w:p w:rsidR="00000000" w:rsidRDefault="00000000">
            <w:pPr>
              <w:spacing w:before="80"/>
              <w:ind w:right="742"/>
              <w:jc w:val="right"/>
              <w:rPr>
                <w:sz w:val="22"/>
              </w:rPr>
            </w:pPr>
            <w:r>
              <w:rPr>
                <w:sz w:val="22"/>
              </w:rPr>
              <w:t>55.5</w:t>
            </w:r>
          </w:p>
        </w:tc>
        <w:tc>
          <w:tcPr>
            <w:tcW w:w="2393" w:type="dxa"/>
            <w:tcBorders>
              <w:bottom w:val="nil"/>
            </w:tcBorders>
          </w:tcPr>
          <w:p w:rsidR="00000000" w:rsidRDefault="00000000">
            <w:pPr>
              <w:spacing w:before="80"/>
              <w:ind w:right="884"/>
              <w:jc w:val="right"/>
              <w:rPr>
                <w:sz w:val="22"/>
              </w:rPr>
            </w:pPr>
            <w:r>
              <w:rPr>
                <w:sz w:val="22"/>
              </w:rPr>
              <w:t>44.5</w:t>
            </w:r>
          </w:p>
        </w:tc>
      </w:tr>
      <w:tr w:rsidR="00000000">
        <w:tblPrEx>
          <w:tblCellMar>
            <w:top w:w="0" w:type="dxa"/>
            <w:bottom w:w="0" w:type="dxa"/>
          </w:tblCellMar>
        </w:tblPrEx>
        <w:tc>
          <w:tcPr>
            <w:tcW w:w="2392" w:type="dxa"/>
            <w:tcBorders>
              <w:top w:val="nil"/>
              <w:bottom w:val="nil"/>
            </w:tcBorders>
          </w:tcPr>
          <w:p w:rsidR="00000000" w:rsidRDefault="00000000">
            <w:pPr>
              <w:jc w:val="center"/>
              <w:rPr>
                <w:sz w:val="22"/>
              </w:rPr>
            </w:pPr>
            <w:r>
              <w:rPr>
                <w:sz w:val="22"/>
              </w:rPr>
              <w:t>1998</w:t>
            </w:r>
          </w:p>
        </w:tc>
        <w:tc>
          <w:tcPr>
            <w:tcW w:w="2393" w:type="dxa"/>
            <w:tcBorders>
              <w:top w:val="nil"/>
              <w:bottom w:val="nil"/>
            </w:tcBorders>
          </w:tcPr>
          <w:p w:rsidR="00000000" w:rsidRDefault="00000000">
            <w:pPr>
              <w:ind w:right="601"/>
              <w:jc w:val="right"/>
              <w:rPr>
                <w:sz w:val="22"/>
              </w:rPr>
            </w:pPr>
            <w:r>
              <w:rPr>
                <w:sz w:val="22"/>
              </w:rPr>
              <w:t>23,965</w:t>
            </w:r>
          </w:p>
        </w:tc>
        <w:tc>
          <w:tcPr>
            <w:tcW w:w="2393" w:type="dxa"/>
            <w:tcBorders>
              <w:top w:val="nil"/>
              <w:bottom w:val="nil"/>
            </w:tcBorders>
          </w:tcPr>
          <w:p w:rsidR="00000000" w:rsidRDefault="00000000">
            <w:pPr>
              <w:ind w:right="742"/>
              <w:jc w:val="right"/>
              <w:rPr>
                <w:sz w:val="22"/>
              </w:rPr>
            </w:pPr>
            <w:r>
              <w:rPr>
                <w:sz w:val="22"/>
              </w:rPr>
              <w:t>48.4</w:t>
            </w:r>
          </w:p>
        </w:tc>
        <w:tc>
          <w:tcPr>
            <w:tcW w:w="2393" w:type="dxa"/>
            <w:tcBorders>
              <w:top w:val="nil"/>
              <w:bottom w:val="nil"/>
            </w:tcBorders>
          </w:tcPr>
          <w:p w:rsidR="00000000" w:rsidRDefault="00000000">
            <w:pPr>
              <w:ind w:right="884"/>
              <w:jc w:val="right"/>
              <w:rPr>
                <w:sz w:val="22"/>
              </w:rPr>
            </w:pPr>
            <w:r>
              <w:rPr>
                <w:sz w:val="22"/>
              </w:rPr>
              <w:t>51.6</w:t>
            </w:r>
          </w:p>
        </w:tc>
      </w:tr>
      <w:tr w:rsidR="00000000">
        <w:tblPrEx>
          <w:tblCellMar>
            <w:top w:w="0" w:type="dxa"/>
            <w:bottom w:w="0" w:type="dxa"/>
          </w:tblCellMar>
        </w:tblPrEx>
        <w:tc>
          <w:tcPr>
            <w:tcW w:w="2392" w:type="dxa"/>
            <w:tcBorders>
              <w:top w:val="nil"/>
              <w:bottom w:val="nil"/>
            </w:tcBorders>
          </w:tcPr>
          <w:p w:rsidR="00000000" w:rsidRDefault="00000000">
            <w:pPr>
              <w:jc w:val="center"/>
              <w:rPr>
                <w:sz w:val="22"/>
              </w:rPr>
            </w:pPr>
            <w:r>
              <w:rPr>
                <w:sz w:val="22"/>
              </w:rPr>
              <w:t>1999</w:t>
            </w:r>
          </w:p>
        </w:tc>
        <w:tc>
          <w:tcPr>
            <w:tcW w:w="2393" w:type="dxa"/>
            <w:tcBorders>
              <w:top w:val="nil"/>
              <w:bottom w:val="nil"/>
            </w:tcBorders>
          </w:tcPr>
          <w:p w:rsidR="00000000" w:rsidRDefault="00000000">
            <w:pPr>
              <w:ind w:right="601"/>
              <w:jc w:val="right"/>
              <w:rPr>
                <w:sz w:val="22"/>
              </w:rPr>
            </w:pPr>
            <w:r>
              <w:rPr>
                <w:sz w:val="22"/>
              </w:rPr>
              <w:t>15,903</w:t>
            </w:r>
          </w:p>
        </w:tc>
        <w:tc>
          <w:tcPr>
            <w:tcW w:w="2393" w:type="dxa"/>
            <w:tcBorders>
              <w:top w:val="nil"/>
              <w:bottom w:val="nil"/>
            </w:tcBorders>
          </w:tcPr>
          <w:p w:rsidR="00000000" w:rsidRDefault="00000000">
            <w:pPr>
              <w:ind w:right="742"/>
              <w:jc w:val="right"/>
              <w:rPr>
                <w:sz w:val="22"/>
              </w:rPr>
            </w:pPr>
            <w:r>
              <w:rPr>
                <w:sz w:val="22"/>
              </w:rPr>
              <w:t>30.7</w:t>
            </w:r>
          </w:p>
        </w:tc>
        <w:tc>
          <w:tcPr>
            <w:tcW w:w="2393" w:type="dxa"/>
            <w:tcBorders>
              <w:top w:val="nil"/>
              <w:bottom w:val="nil"/>
            </w:tcBorders>
          </w:tcPr>
          <w:p w:rsidR="00000000" w:rsidRDefault="00000000">
            <w:pPr>
              <w:ind w:right="884"/>
              <w:jc w:val="right"/>
              <w:rPr>
                <w:sz w:val="22"/>
              </w:rPr>
            </w:pPr>
            <w:r>
              <w:rPr>
                <w:sz w:val="22"/>
              </w:rPr>
              <w:t>49.3</w:t>
            </w:r>
          </w:p>
        </w:tc>
      </w:tr>
      <w:tr w:rsidR="00000000">
        <w:tblPrEx>
          <w:tblCellMar>
            <w:top w:w="0" w:type="dxa"/>
            <w:bottom w:w="0" w:type="dxa"/>
          </w:tblCellMar>
        </w:tblPrEx>
        <w:tc>
          <w:tcPr>
            <w:tcW w:w="2392" w:type="dxa"/>
            <w:tcBorders>
              <w:top w:val="nil"/>
              <w:bottom w:val="single" w:sz="4" w:space="0" w:color="auto"/>
            </w:tcBorders>
          </w:tcPr>
          <w:p w:rsidR="00000000" w:rsidRDefault="00000000">
            <w:pPr>
              <w:jc w:val="center"/>
              <w:rPr>
                <w:sz w:val="22"/>
              </w:rPr>
            </w:pPr>
            <w:r>
              <w:rPr>
                <w:sz w:val="22"/>
              </w:rPr>
              <w:t>2001</w:t>
            </w:r>
          </w:p>
        </w:tc>
        <w:tc>
          <w:tcPr>
            <w:tcW w:w="2393" w:type="dxa"/>
            <w:tcBorders>
              <w:top w:val="nil"/>
              <w:bottom w:val="single" w:sz="4" w:space="0" w:color="auto"/>
            </w:tcBorders>
          </w:tcPr>
          <w:p w:rsidR="00000000" w:rsidRDefault="00000000">
            <w:pPr>
              <w:ind w:right="601"/>
              <w:jc w:val="right"/>
              <w:rPr>
                <w:sz w:val="22"/>
              </w:rPr>
            </w:pPr>
            <w:r>
              <w:rPr>
                <w:sz w:val="22"/>
              </w:rPr>
              <w:t>861</w:t>
            </w:r>
          </w:p>
        </w:tc>
        <w:tc>
          <w:tcPr>
            <w:tcW w:w="2393" w:type="dxa"/>
            <w:tcBorders>
              <w:top w:val="nil"/>
              <w:bottom w:val="single" w:sz="4" w:space="0" w:color="auto"/>
            </w:tcBorders>
          </w:tcPr>
          <w:p w:rsidR="00000000" w:rsidRDefault="00000000">
            <w:pPr>
              <w:ind w:right="742"/>
              <w:jc w:val="right"/>
              <w:rPr>
                <w:sz w:val="22"/>
              </w:rPr>
            </w:pPr>
            <w:r>
              <w:rPr>
                <w:sz w:val="22"/>
              </w:rPr>
              <w:t>62.7</w:t>
            </w:r>
          </w:p>
        </w:tc>
        <w:tc>
          <w:tcPr>
            <w:tcW w:w="2393" w:type="dxa"/>
            <w:tcBorders>
              <w:top w:val="nil"/>
              <w:bottom w:val="single" w:sz="4" w:space="0" w:color="auto"/>
            </w:tcBorders>
          </w:tcPr>
          <w:p w:rsidR="00000000" w:rsidRDefault="00000000">
            <w:pPr>
              <w:ind w:right="884"/>
              <w:jc w:val="right"/>
              <w:rPr>
                <w:sz w:val="22"/>
              </w:rPr>
            </w:pPr>
            <w:r>
              <w:rPr>
                <w:sz w:val="22"/>
              </w:rPr>
              <w:t>37.3</w:t>
            </w:r>
          </w:p>
        </w:tc>
      </w:tr>
    </w:tbl>
    <w:p w:rsidR="00000000" w:rsidRDefault="00000000">
      <w:pPr>
        <w:spacing w:before="240"/>
        <w:ind w:left="510"/>
        <w:rPr>
          <w:rFonts w:eastAsia="KaiTi_GB2312" w:hint="eastAsia"/>
          <w:spacing w:val="0"/>
        </w:rPr>
      </w:pPr>
      <w:r>
        <w:rPr>
          <w:rFonts w:eastAsia="KaiTi_GB2312" w:hint="eastAsia"/>
          <w:spacing w:val="0"/>
          <w:u w:val="single"/>
        </w:rPr>
        <w:t>资料来源</w:t>
      </w:r>
      <w:r>
        <w:rPr>
          <w:rFonts w:eastAsia="KaiTi_GB2312" w:hint="eastAsia"/>
          <w:spacing w:val="0"/>
        </w:rPr>
        <w:t>：推广处理事会</w:t>
      </w:r>
      <w:r>
        <w:rPr>
          <w:rFonts w:eastAsia="KaiTi_GB2312" w:hint="eastAsia"/>
          <w:spacing w:val="0"/>
        </w:rPr>
        <w:t>/</w:t>
      </w:r>
      <w:r>
        <w:rPr>
          <w:rFonts w:eastAsia="KaiTi_GB2312" w:hint="eastAsia"/>
          <w:spacing w:val="0"/>
        </w:rPr>
        <w:t>农业部。</w:t>
      </w:r>
    </w:p>
    <w:p w:rsidR="00000000" w:rsidRDefault="00000000">
      <w:pPr>
        <w:pStyle w:val="Heading4"/>
        <w:spacing w:before="480"/>
        <w:rPr>
          <w:rFonts w:hint="eastAsia"/>
        </w:rPr>
      </w:pPr>
      <w:r>
        <w:rPr>
          <w:rFonts w:hint="eastAsia"/>
        </w:rPr>
        <w:t>技术和职业培训制度</w:t>
      </w:r>
      <w:r>
        <w:rPr>
          <w:rFonts w:hint="eastAsia"/>
        </w:rPr>
        <w:t>/</w:t>
      </w:r>
      <w:r>
        <w:rPr>
          <w:rFonts w:hint="eastAsia"/>
        </w:rPr>
        <w:t>方案</w:t>
      </w:r>
    </w:p>
    <w:p w:rsidR="00000000" w:rsidRDefault="00000000">
      <w:pPr>
        <w:rPr>
          <w:rFonts w:hint="eastAsia"/>
        </w:rPr>
      </w:pPr>
      <w:r>
        <w:rPr>
          <w:rFonts w:hint="eastAsia"/>
        </w:rPr>
        <w:tab/>
        <w:t xml:space="preserve">110.  </w:t>
      </w:r>
      <w:r>
        <w:rPr>
          <w:rFonts w:hint="eastAsia"/>
        </w:rPr>
        <w:t>希腊制定了两种职业培训制度：初级职业培训和进修职业培训。</w:t>
      </w:r>
    </w:p>
    <w:p w:rsidR="00000000" w:rsidRDefault="00000000">
      <w:pPr>
        <w:pStyle w:val="a0"/>
        <w:tabs>
          <w:tab w:val="num" w:pos="1550"/>
        </w:tabs>
        <w:ind w:left="1550"/>
        <w:rPr>
          <w:rFonts w:hint="eastAsia"/>
        </w:rPr>
      </w:pPr>
      <w:r>
        <w:rPr>
          <w:rFonts w:hint="eastAsia"/>
        </w:rPr>
        <w:t>初级职业培训包括：学徒学校和职业培训所。学徒学校的学制为</w:t>
      </w:r>
      <w:r>
        <w:rPr>
          <w:rFonts w:hint="eastAsia"/>
        </w:rPr>
        <w:t>3</w:t>
      </w:r>
      <w:r>
        <w:rPr>
          <w:rFonts w:hint="eastAsia"/>
        </w:rPr>
        <w:t>年，在校学生为初中毕业生。</w:t>
      </w:r>
    </w:p>
    <w:p w:rsidR="00000000" w:rsidRDefault="00000000">
      <w:pPr>
        <w:pStyle w:val="a0"/>
        <w:tabs>
          <w:tab w:val="num" w:pos="1550"/>
        </w:tabs>
        <w:ind w:left="1550"/>
        <w:rPr>
          <w:rFonts w:hint="eastAsia"/>
        </w:rPr>
      </w:pPr>
      <w:r>
        <w:rPr>
          <w:rFonts w:hint="eastAsia"/>
        </w:rPr>
        <w:t>公立学校和私立学校负责进修职业培训。</w:t>
      </w:r>
    </w:p>
    <w:p w:rsidR="00000000" w:rsidRDefault="00000000">
      <w:pPr>
        <w:rPr>
          <w:rFonts w:hint="eastAsia"/>
        </w:rPr>
      </w:pPr>
      <w:r>
        <w:rPr>
          <w:rFonts w:hint="eastAsia"/>
        </w:rPr>
        <w:tab/>
        <w:t xml:space="preserve">111.  </w:t>
      </w:r>
      <w:r>
        <w:rPr>
          <w:rFonts w:hint="eastAsia"/>
        </w:rPr>
        <w:t>人才雇佣组织在实施职业培训方案方面发挥了主要的作用。该组织是个公共机构，在劳动和社会保障部的监督下开展工作。该组织由一个行政委员会管理，其中委员国家和社会伙伴各占一半。人才雇佣组织负责实施学徒学校和职业培训所的初级培训方案、各种进修培训方案以及为失业的年轻人专门设计的其他培训方案，将理论培训同实际操作结合起来，帮助学员获得职业资格以满足劳动力市场的需要。同时，该组织还通过特殊社会群体服务局为那些无法参加正常培训方案的具有特殊需要的人士实施职业培训方案和社会心理支助方案。上述方案为期两年至四年，目前正由人才雇佣组织下属的特殊职业培训中心予以实施。</w:t>
      </w:r>
    </w:p>
    <w:p w:rsidR="00000000" w:rsidRDefault="00000000">
      <w:pPr>
        <w:rPr>
          <w:rFonts w:hint="eastAsia"/>
        </w:rPr>
      </w:pPr>
      <w:r>
        <w:rPr>
          <w:rFonts w:hint="eastAsia"/>
        </w:rPr>
        <w:tab/>
        <w:t xml:space="preserve">112.  </w:t>
      </w:r>
      <w:r>
        <w:rPr>
          <w:rFonts w:hint="eastAsia"/>
        </w:rPr>
        <w:t>必须指出，已经就人才雇佣组织今后培训方案的规划作出了决定，先是确定企业的需要，然后让所有毕业生在某些企业中接受培训并且取得工作经验，这些企业将纳入有关补贴雇用的特殊方案。结果，凡是参加培训方案的学员都能获得具体的工作岗位并且取得工作经验。</w:t>
      </w:r>
    </w:p>
    <w:p w:rsidR="00000000" w:rsidRDefault="00000000">
      <w:pPr>
        <w:rPr>
          <w:rFonts w:hint="eastAsia"/>
        </w:rPr>
      </w:pPr>
      <w:r>
        <w:rPr>
          <w:rFonts w:hint="eastAsia"/>
        </w:rPr>
        <w:tab/>
        <w:t>113.  1999</w:t>
      </w:r>
      <w:r>
        <w:rPr>
          <w:rFonts w:hint="eastAsia"/>
        </w:rPr>
        <w:t>年在提供职业培训方案方面取得了重大进展：方案的法定框架和行政框架得到了改善，社会伙伴和当地机构在设计和实施方案方面的参与得到了加强，同时在培训机构的核准方面也进行了实质性的改革。经过改进的职业培训将贯彻工人的整个职业生涯，并且为他们提供终生学习机会，以适应不断变化的环境。详细情况请参看于</w:t>
      </w:r>
      <w:r>
        <w:rPr>
          <w:rFonts w:hint="eastAsia"/>
        </w:rPr>
        <w:t>2000</w:t>
      </w:r>
      <w:r>
        <w:rPr>
          <w:rFonts w:hint="eastAsia"/>
        </w:rPr>
        <w:t>年提交的有关实施国际劳工组织关于“就业政策”的第</w:t>
      </w:r>
      <w:r>
        <w:rPr>
          <w:rFonts w:hint="eastAsia"/>
        </w:rPr>
        <w:t>122</w:t>
      </w:r>
      <w:r>
        <w:rPr>
          <w:rFonts w:hint="eastAsia"/>
        </w:rPr>
        <w:t>号公约的国家报告</w:t>
      </w:r>
      <w:r>
        <w:rPr>
          <w:rFonts w:hint="eastAsia"/>
        </w:rPr>
        <w:t>(</w:t>
      </w:r>
      <w:r>
        <w:rPr>
          <w:rFonts w:hint="eastAsia"/>
        </w:rPr>
        <w:t>附录二</w:t>
      </w:r>
      <w:r>
        <w:rPr>
          <w:rFonts w:hint="eastAsia"/>
        </w:rPr>
        <w:t>)</w:t>
      </w:r>
      <w:r>
        <w:rPr>
          <w:rFonts w:hint="eastAsia"/>
        </w:rPr>
        <w:t>。</w:t>
      </w:r>
    </w:p>
    <w:p w:rsidR="00000000" w:rsidRDefault="00000000">
      <w:pPr>
        <w:spacing w:after="240"/>
        <w:rPr>
          <w:rFonts w:hint="eastAsia"/>
        </w:rPr>
      </w:pPr>
      <w:r>
        <w:rPr>
          <w:rFonts w:hint="eastAsia"/>
        </w:rPr>
        <w:tab/>
        <w:t xml:space="preserve">114.  </w:t>
      </w:r>
      <w:r>
        <w:rPr>
          <w:rFonts w:hint="eastAsia"/>
        </w:rPr>
        <w:t>农村妇女和自营职业的妇女往往面临必须照顾学龄前儿童和老人而又没有机构支助的困难。这种困难主要存在于山区以及偏远地区。</w:t>
      </w:r>
    </w:p>
    <w:p w:rsidR="00000000" w:rsidRDefault="00000000">
      <w:pPr>
        <w:pStyle w:val="Heading4"/>
        <w:rPr>
          <w:rFonts w:hint="eastAsia"/>
        </w:rPr>
      </w:pPr>
      <w:r>
        <w:rPr>
          <w:rFonts w:hint="eastAsia"/>
        </w:rPr>
        <w:t>在实现全面就业、有效就业和自由选择职业方面的特殊困难</w:t>
      </w:r>
    </w:p>
    <w:p w:rsidR="00000000" w:rsidRDefault="00000000">
      <w:pPr>
        <w:rPr>
          <w:rFonts w:hint="eastAsia"/>
        </w:rPr>
      </w:pPr>
      <w:r>
        <w:rPr>
          <w:rFonts w:hint="eastAsia"/>
        </w:rPr>
        <w:tab/>
        <w:t xml:space="preserve">115.  </w:t>
      </w:r>
      <w:r>
        <w:rPr>
          <w:rFonts w:hint="eastAsia"/>
        </w:rPr>
        <w:t>在实现有关全面就业、有效就业以及自由选择职业的目标方面遇到的特殊困难如下：</w:t>
      </w:r>
    </w:p>
    <w:p w:rsidR="00000000" w:rsidRDefault="00000000">
      <w:pPr>
        <w:pStyle w:val="a0"/>
        <w:tabs>
          <w:tab w:val="num" w:pos="1550"/>
        </w:tabs>
        <w:ind w:left="1550"/>
        <w:rPr>
          <w:rFonts w:hint="eastAsia"/>
        </w:rPr>
      </w:pPr>
      <w:r>
        <w:rPr>
          <w:rFonts w:hint="eastAsia"/>
        </w:rPr>
        <w:t>企业提供的职位空缺大大低于需求；</w:t>
      </w:r>
    </w:p>
    <w:p w:rsidR="00000000" w:rsidRDefault="00000000">
      <w:pPr>
        <w:pStyle w:val="a0"/>
        <w:tabs>
          <w:tab w:val="num" w:pos="1550"/>
        </w:tabs>
        <w:ind w:left="1550"/>
        <w:rPr>
          <w:rFonts w:hint="eastAsia"/>
        </w:rPr>
      </w:pPr>
      <w:r>
        <w:rPr>
          <w:rFonts w:hint="eastAsia"/>
        </w:rPr>
        <w:t>企业提供的空缺与应聘人士在职业资格要求方面存在很大差距，其主要原因在于职业教育制度未能迅速适应劳动力市场的需求；以及</w:t>
      </w:r>
    </w:p>
    <w:p w:rsidR="00000000" w:rsidRDefault="00000000">
      <w:pPr>
        <w:pStyle w:val="a0"/>
        <w:tabs>
          <w:tab w:val="num" w:pos="1550"/>
        </w:tabs>
        <w:ind w:left="1550"/>
        <w:rPr>
          <w:rFonts w:hint="eastAsia"/>
        </w:rPr>
      </w:pPr>
      <w:r>
        <w:rPr>
          <w:rFonts w:hint="eastAsia"/>
        </w:rPr>
        <w:t>移民工人大量增加。</w:t>
      </w:r>
    </w:p>
    <w:p w:rsidR="00000000" w:rsidRDefault="00000000">
      <w:pPr>
        <w:rPr>
          <w:rFonts w:hint="eastAsia"/>
        </w:rPr>
      </w:pPr>
      <w:r>
        <w:rPr>
          <w:rFonts w:hint="eastAsia"/>
        </w:rPr>
        <w:tab/>
        <w:t xml:space="preserve">116.  </w:t>
      </w:r>
      <w:r>
        <w:rPr>
          <w:rFonts w:hint="eastAsia"/>
        </w:rPr>
        <w:t>为克服以上困难，正在作出以下努力：</w:t>
      </w:r>
    </w:p>
    <w:p w:rsidR="00000000" w:rsidRDefault="00000000">
      <w:pPr>
        <w:pStyle w:val="a0"/>
        <w:tabs>
          <w:tab w:val="num" w:pos="1550"/>
        </w:tabs>
        <w:ind w:left="1550"/>
        <w:rPr>
          <w:rFonts w:hint="eastAsia"/>
        </w:rPr>
      </w:pPr>
      <w:r>
        <w:rPr>
          <w:rFonts w:hint="eastAsia"/>
        </w:rPr>
        <w:t>更加紧密和有系统地将职业教育同进修培训结合起来；</w:t>
      </w:r>
    </w:p>
    <w:p w:rsidR="00000000" w:rsidRDefault="00000000">
      <w:pPr>
        <w:pStyle w:val="a0"/>
        <w:tabs>
          <w:tab w:val="num" w:pos="1550"/>
        </w:tabs>
        <w:ind w:left="1550"/>
        <w:rPr>
          <w:rFonts w:hint="eastAsia"/>
        </w:rPr>
      </w:pPr>
      <w:r>
        <w:rPr>
          <w:rFonts w:hint="eastAsia"/>
        </w:rPr>
        <w:t>有系统地调查当地劳动力市场的需求；</w:t>
      </w:r>
    </w:p>
    <w:p w:rsidR="00000000" w:rsidRDefault="00000000">
      <w:pPr>
        <w:pStyle w:val="a0"/>
        <w:tabs>
          <w:tab w:val="num" w:pos="1550"/>
        </w:tabs>
        <w:ind w:left="1550"/>
        <w:rPr>
          <w:rFonts w:hint="eastAsia"/>
        </w:rPr>
      </w:pPr>
      <w:r>
        <w:rPr>
          <w:rFonts w:hint="eastAsia"/>
        </w:rPr>
        <w:t>确保促进就业中心同职业培训中心、社会伙伴以及当地劳动力市场的管理机构之间的更加密切和有系统的合作；以及</w:t>
      </w:r>
    </w:p>
    <w:p w:rsidR="00000000" w:rsidRDefault="00000000">
      <w:pPr>
        <w:pStyle w:val="a0"/>
        <w:tabs>
          <w:tab w:val="num" w:pos="1550"/>
        </w:tabs>
        <w:spacing w:after="240"/>
        <w:ind w:left="1550"/>
        <w:rPr>
          <w:rFonts w:hint="eastAsia"/>
        </w:rPr>
      </w:pPr>
      <w:r>
        <w:rPr>
          <w:rFonts w:hint="eastAsia"/>
        </w:rPr>
        <w:t>实施和延长旨在解决失业问题的积极政策，特别是要通过人才雇佣组织实施的特别方案，向失业人士提供符合其实际情况的支助。</w:t>
      </w:r>
    </w:p>
    <w:p w:rsidR="00000000" w:rsidRDefault="00000000">
      <w:pPr>
        <w:pStyle w:val="Heading4"/>
        <w:rPr>
          <w:rFonts w:hint="eastAsia"/>
        </w:rPr>
      </w:pPr>
      <w:r>
        <w:rPr>
          <w:rFonts w:hint="eastAsia"/>
        </w:rPr>
        <w:t>禁止在职业指导和就业培训方面以种族、性别、宗教信仰以及原籍为由进行歧视</w:t>
      </w:r>
    </w:p>
    <w:p w:rsidR="00000000" w:rsidRDefault="00000000">
      <w:pPr>
        <w:spacing w:after="240"/>
        <w:rPr>
          <w:rFonts w:hint="eastAsia"/>
        </w:rPr>
      </w:pPr>
      <w:r>
        <w:rPr>
          <w:rFonts w:hint="eastAsia"/>
        </w:rPr>
        <w:tab/>
        <w:t xml:space="preserve">117.  </w:t>
      </w:r>
      <w:r>
        <w:rPr>
          <w:rFonts w:hint="eastAsia"/>
        </w:rPr>
        <w:t>根据希腊《宪法》第</w:t>
      </w:r>
      <w:r>
        <w:rPr>
          <w:rFonts w:hint="eastAsia"/>
        </w:rPr>
        <w:t>5</w:t>
      </w:r>
      <w:r>
        <w:rPr>
          <w:rFonts w:hint="eastAsia"/>
        </w:rPr>
        <w:t>条的规定，“所有人都有权自由发展其人格，并且参加国家的社会、经济和政治生活，但是不得损害他人的权利或者违反《宪法》以及法令规定。在希腊国土上生活的所有人均享有对其生命、荣誉和自由的全面保护，无论其国籍、种族、语言、宗教信仰或者政治信仰。”同时，《宪法》第</w:t>
      </w:r>
      <w:r>
        <w:rPr>
          <w:rFonts w:hint="eastAsia"/>
        </w:rPr>
        <w:t>13</w:t>
      </w:r>
      <w:r>
        <w:rPr>
          <w:rFonts w:hint="eastAsia"/>
        </w:rPr>
        <w:t>条也规定，“宗教良知自由不容侵犯。个人的宗教信仰并不影响享受公民权利和自由。”</w:t>
      </w:r>
    </w:p>
    <w:p w:rsidR="00000000" w:rsidRDefault="00000000">
      <w:pPr>
        <w:pStyle w:val="Heading4"/>
        <w:rPr>
          <w:rFonts w:hint="eastAsia"/>
        </w:rPr>
      </w:pPr>
      <w:r>
        <w:rPr>
          <w:rFonts w:hint="eastAsia"/>
        </w:rPr>
        <w:t>移民工人</w:t>
      </w:r>
    </w:p>
    <w:p w:rsidR="00000000" w:rsidRDefault="00000000">
      <w:pPr>
        <w:rPr>
          <w:rFonts w:hint="eastAsia"/>
        </w:rPr>
      </w:pPr>
      <w:r>
        <w:rPr>
          <w:rFonts w:hint="eastAsia"/>
        </w:rPr>
        <w:tab/>
        <w:t xml:space="preserve">118.  </w:t>
      </w:r>
      <w:r>
        <w:rPr>
          <w:rFonts w:hint="eastAsia"/>
        </w:rPr>
        <w:t>《民法》规定，“移民工人享有与希腊国民同等的权利”</w:t>
      </w:r>
      <w:r>
        <w:rPr>
          <w:rFonts w:hint="eastAsia"/>
        </w:rPr>
        <w:t>(</w:t>
      </w:r>
      <w:r>
        <w:rPr>
          <w:rFonts w:hint="eastAsia"/>
        </w:rPr>
        <w:t>第</w:t>
      </w:r>
      <w:r>
        <w:rPr>
          <w:rFonts w:hint="eastAsia"/>
        </w:rPr>
        <w:t>4</w:t>
      </w:r>
      <w:r>
        <w:rPr>
          <w:rFonts w:hint="eastAsia"/>
        </w:rPr>
        <w:t>条</w:t>
      </w:r>
      <w:r>
        <w:rPr>
          <w:rFonts w:hint="eastAsia"/>
        </w:rPr>
        <w:t>)</w:t>
      </w:r>
      <w:r>
        <w:rPr>
          <w:rFonts w:hint="eastAsia"/>
        </w:rPr>
        <w:t>以及“缔约方可以选择适用其合约关系的法律”</w:t>
      </w:r>
      <w:r>
        <w:rPr>
          <w:rFonts w:hint="eastAsia"/>
        </w:rPr>
        <w:t>(</w:t>
      </w:r>
      <w:r>
        <w:rPr>
          <w:rFonts w:hint="eastAsia"/>
        </w:rPr>
        <w:t>第</w:t>
      </w:r>
      <w:r>
        <w:rPr>
          <w:rFonts w:hint="eastAsia"/>
        </w:rPr>
        <w:t>25</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119.  </w:t>
      </w:r>
      <w:r>
        <w:rPr>
          <w:rFonts w:hint="eastAsia"/>
        </w:rPr>
        <w:t>根据第</w:t>
      </w:r>
      <w:r>
        <w:rPr>
          <w:rFonts w:hint="eastAsia"/>
        </w:rPr>
        <w:t>499/1987</w:t>
      </w:r>
      <w:r>
        <w:rPr>
          <w:rFonts w:hint="eastAsia"/>
        </w:rPr>
        <w:t>号总统令及第</w:t>
      </w:r>
      <w:r>
        <w:rPr>
          <w:rFonts w:hint="eastAsia"/>
        </w:rPr>
        <w:t>545/1983</w:t>
      </w:r>
      <w:r>
        <w:rPr>
          <w:rFonts w:hint="eastAsia"/>
        </w:rPr>
        <w:t>号总统令的规定，欧洲联盟成员国的国民在同等的条件下有权同希腊工人一样在希腊自由活动和居留，从事有偿或者无偿的活动。</w:t>
      </w:r>
    </w:p>
    <w:p w:rsidR="00000000" w:rsidRDefault="00000000">
      <w:pPr>
        <w:spacing w:after="240"/>
        <w:rPr>
          <w:rFonts w:hint="eastAsia"/>
        </w:rPr>
      </w:pPr>
      <w:r>
        <w:rPr>
          <w:rFonts w:hint="eastAsia"/>
        </w:rPr>
        <w:tab/>
        <w:t xml:space="preserve">120.  </w:t>
      </w:r>
      <w:r>
        <w:rPr>
          <w:rFonts w:hint="eastAsia"/>
        </w:rPr>
        <w:t>持有居留证的非欧盟成员国的外国国民在劳动报酬、工作条件以及社会保障权利等方面享有同希腊工人同样的劳动权利和承担同样的义务，同时也承担现有立法所规定的其他财政义务</w:t>
      </w:r>
      <w:r>
        <w:rPr>
          <w:rFonts w:hint="eastAsia"/>
        </w:rPr>
        <w:t>(</w:t>
      </w:r>
      <w:r>
        <w:rPr>
          <w:rFonts w:hint="eastAsia"/>
        </w:rPr>
        <w:t>“有关向外国人发放短期居留证的”第</w:t>
      </w:r>
      <w:r>
        <w:rPr>
          <w:rFonts w:hint="eastAsia"/>
        </w:rPr>
        <w:t>359/1997</w:t>
      </w:r>
      <w:r>
        <w:rPr>
          <w:rFonts w:hint="eastAsia"/>
        </w:rPr>
        <w:t>号总统令第</w:t>
      </w:r>
      <w:r>
        <w:rPr>
          <w:rFonts w:hint="eastAsia"/>
        </w:rPr>
        <w:t>6</w:t>
      </w:r>
      <w:r>
        <w:rPr>
          <w:rFonts w:hint="eastAsia"/>
        </w:rPr>
        <w:t>条以及“有关在希腊居住的非欧盟成员国的欧洲国家国民的合法居留和工作条件和秩序的”第</w:t>
      </w:r>
      <w:r>
        <w:rPr>
          <w:rFonts w:hint="eastAsia"/>
        </w:rPr>
        <w:t>358/1997</w:t>
      </w:r>
      <w:r>
        <w:rPr>
          <w:rFonts w:hint="eastAsia"/>
        </w:rPr>
        <w:t>号总统令第</w:t>
      </w:r>
      <w:r>
        <w:rPr>
          <w:rFonts w:hint="eastAsia"/>
        </w:rPr>
        <w:t>4</w:t>
      </w:r>
      <w:r>
        <w:rPr>
          <w:rFonts w:hint="eastAsia"/>
        </w:rPr>
        <w:t>条</w:t>
      </w:r>
      <w:r>
        <w:rPr>
          <w:rFonts w:hint="eastAsia"/>
        </w:rPr>
        <w:t>)</w:t>
      </w:r>
      <w:r>
        <w:rPr>
          <w:rFonts w:hint="eastAsia"/>
        </w:rPr>
        <w:t>。凡是根据有关外国人在希腊入境和居留的第</w:t>
      </w:r>
      <w:r>
        <w:rPr>
          <w:rFonts w:hint="eastAsia"/>
        </w:rPr>
        <w:t>2910/2001</w:t>
      </w:r>
      <w:r>
        <w:rPr>
          <w:rFonts w:hint="eastAsia"/>
        </w:rPr>
        <w:t>号法令所规定的程序获得工作证的外国人也适用于上述规定。</w:t>
      </w:r>
    </w:p>
    <w:p w:rsidR="00000000" w:rsidRDefault="00000000">
      <w:pPr>
        <w:pStyle w:val="Heading4"/>
        <w:rPr>
          <w:rFonts w:hint="eastAsia"/>
        </w:rPr>
      </w:pPr>
      <w:r>
        <w:rPr>
          <w:rFonts w:hint="eastAsia"/>
        </w:rPr>
        <w:t>禁止性别歧视</w:t>
      </w:r>
    </w:p>
    <w:p w:rsidR="00000000" w:rsidRDefault="00000000">
      <w:pPr>
        <w:rPr>
          <w:rFonts w:hint="eastAsia"/>
        </w:rPr>
      </w:pPr>
      <w:r>
        <w:rPr>
          <w:rFonts w:hint="eastAsia"/>
        </w:rPr>
        <w:tab/>
        <w:t xml:space="preserve">121.  </w:t>
      </w:r>
      <w:r>
        <w:rPr>
          <w:rFonts w:hint="eastAsia"/>
        </w:rPr>
        <w:t>有关在就业和其他方面实施性别平等原则的第</w:t>
      </w:r>
      <w:r>
        <w:rPr>
          <w:rFonts w:hint="eastAsia"/>
        </w:rPr>
        <w:t>1414/84</w:t>
      </w:r>
      <w:r>
        <w:rPr>
          <w:rFonts w:hint="eastAsia"/>
        </w:rPr>
        <w:t>号法令</w:t>
      </w:r>
      <w:r>
        <w:rPr>
          <w:rFonts w:hint="eastAsia"/>
        </w:rPr>
        <w:t>(</w:t>
      </w:r>
      <w:r>
        <w:rPr>
          <w:rFonts w:hint="eastAsia"/>
        </w:rPr>
        <w:t>《政府公报》</w:t>
      </w:r>
      <w:r>
        <w:rPr>
          <w:rFonts w:hint="eastAsia"/>
        </w:rPr>
        <w:t>10/A)</w:t>
      </w:r>
      <w:r>
        <w:rPr>
          <w:rFonts w:hint="eastAsia"/>
        </w:rPr>
        <w:t>确保男子和妇女在就业方面获得同等待遇和同等机会。所有部门在招收各级和各类职工时不得以性别或者家庭情况为由实行歧视</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122.  </w:t>
      </w:r>
      <w:r>
        <w:rPr>
          <w:rFonts w:hint="eastAsia"/>
        </w:rPr>
        <w:t>在出版物、广告、宣传、竞赛通知、有关填补空缺的通知和规定、指示、职业培训以及在职进修之中，禁止提到有关人士的性别或者家庭情况，禁止采用可能会间接引起性别歧视的标准或者内容。第</w:t>
      </w:r>
      <w:r>
        <w:rPr>
          <w:rFonts w:hint="eastAsia"/>
        </w:rPr>
        <w:t>1414/84</w:t>
      </w:r>
      <w:r>
        <w:rPr>
          <w:rFonts w:hint="eastAsia"/>
        </w:rPr>
        <w:t>号法令第</w:t>
      </w:r>
      <w:r>
        <w:rPr>
          <w:rFonts w:hint="eastAsia"/>
        </w:rPr>
        <w:t>6</w:t>
      </w:r>
      <w:r>
        <w:rPr>
          <w:rFonts w:hint="eastAsia"/>
        </w:rPr>
        <w:t>条</w:t>
      </w:r>
      <w:r>
        <w:t>(a)</w:t>
      </w:r>
      <w:r>
        <w:rPr>
          <w:rFonts w:hint="eastAsia"/>
        </w:rPr>
        <w:t>款规定，禁止以性别为由终止雇用关系。</w:t>
      </w:r>
    </w:p>
    <w:p w:rsidR="00000000" w:rsidRDefault="00000000">
      <w:pPr>
        <w:rPr>
          <w:rFonts w:hint="eastAsia"/>
        </w:rPr>
      </w:pPr>
      <w:r>
        <w:rPr>
          <w:rFonts w:hint="eastAsia"/>
        </w:rPr>
        <w:tab/>
        <w:t xml:space="preserve">123.  </w:t>
      </w:r>
      <w:r>
        <w:rPr>
          <w:rFonts w:hint="eastAsia"/>
        </w:rPr>
        <w:t>同时，按照以上法令第</w:t>
      </w:r>
      <w:r>
        <w:rPr>
          <w:rFonts w:hint="eastAsia"/>
        </w:rPr>
        <w:t>2</w:t>
      </w:r>
      <w:r>
        <w:rPr>
          <w:rFonts w:hint="eastAsia"/>
        </w:rPr>
        <w:t>条的规定，禁止在制订和实施有关职业指导和再培训、关于改变职业的培训、针对一般公众的培训以及关于工人及其家庭的信息的方案或者计划之中以及在参加这些方案方面以性别和家庭情况为由给予不同待遇。</w:t>
      </w:r>
    </w:p>
    <w:p w:rsidR="00000000" w:rsidRDefault="00000000">
      <w:pPr>
        <w:rPr>
          <w:rFonts w:hint="eastAsia"/>
        </w:rPr>
      </w:pPr>
      <w:r>
        <w:rPr>
          <w:rFonts w:hint="eastAsia"/>
        </w:rPr>
        <w:tab/>
        <w:t xml:space="preserve">124.  </w:t>
      </w:r>
      <w:r>
        <w:rPr>
          <w:rFonts w:hint="eastAsia"/>
        </w:rPr>
        <w:t>在工人的工作条件、职务晋升以及职业发展方面也禁止任何形式的性别歧视</w:t>
      </w:r>
      <w:r>
        <w:rPr>
          <w:rFonts w:hint="eastAsia"/>
        </w:rPr>
        <w:t>(</w:t>
      </w:r>
      <w:r>
        <w:rPr>
          <w:rFonts w:hint="eastAsia"/>
        </w:rPr>
        <w:t>第</w:t>
      </w:r>
      <w:r>
        <w:rPr>
          <w:rFonts w:hint="eastAsia"/>
        </w:rPr>
        <w:t>1414/84</w:t>
      </w:r>
      <w:r>
        <w:rPr>
          <w:rFonts w:hint="eastAsia"/>
        </w:rPr>
        <w:t>号法令第</w:t>
      </w:r>
      <w:r>
        <w:rPr>
          <w:rFonts w:hint="eastAsia"/>
        </w:rPr>
        <w:t>5</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125.  </w:t>
      </w:r>
      <w:r>
        <w:rPr>
          <w:rFonts w:hint="eastAsia"/>
        </w:rPr>
        <w:t>有关平等待遇的劳工法的有关规定是在劳动监察局的监督下予以实施的。同时，凡是受到上述法律影响的女工有权向民事法庭提出上诉。为保护女工，第</w:t>
      </w:r>
      <w:r>
        <w:rPr>
          <w:rFonts w:hint="eastAsia"/>
        </w:rPr>
        <w:t>1414/84</w:t>
      </w:r>
      <w:r>
        <w:rPr>
          <w:rFonts w:hint="eastAsia"/>
        </w:rPr>
        <w:t>号法令第</w:t>
      </w:r>
      <w:r>
        <w:rPr>
          <w:rFonts w:hint="eastAsia"/>
        </w:rPr>
        <w:t>6</w:t>
      </w:r>
      <w:r>
        <w:rPr>
          <w:rFonts w:hint="eastAsia"/>
        </w:rPr>
        <w:t>条</w:t>
      </w:r>
      <w:r>
        <w:t>(b)</w:t>
      </w:r>
      <w:r>
        <w:rPr>
          <w:rFonts w:hint="eastAsia"/>
        </w:rPr>
        <w:t>款规定，凡是女工为实现就业方面性别平等的目的而提出上诉或者采取任何其他行动者，雇主不得采取报复行动终止有关雇用关系。</w:t>
      </w:r>
    </w:p>
    <w:p w:rsidR="00000000" w:rsidRDefault="00000000">
      <w:pPr>
        <w:rPr>
          <w:rFonts w:hint="eastAsia"/>
        </w:rPr>
      </w:pPr>
      <w:r>
        <w:rPr>
          <w:rFonts w:hint="eastAsia"/>
        </w:rPr>
        <w:tab/>
        <w:t xml:space="preserve">126.  </w:t>
      </w:r>
      <w:r>
        <w:rPr>
          <w:rFonts w:hint="eastAsia"/>
        </w:rPr>
        <w:t>希腊政府坚决致力于实现男女实质上的平等。最近根据</w:t>
      </w:r>
      <w:r>
        <w:rPr>
          <w:rFonts w:hint="eastAsia"/>
        </w:rPr>
        <w:t>2001</w:t>
      </w:r>
      <w:r>
        <w:rPr>
          <w:rFonts w:hint="eastAsia"/>
        </w:rPr>
        <w:t>年</w:t>
      </w:r>
      <w:r>
        <w:rPr>
          <w:rFonts w:hint="eastAsia"/>
        </w:rPr>
        <w:t>4</w:t>
      </w:r>
      <w:r>
        <w:rPr>
          <w:rFonts w:hint="eastAsia"/>
        </w:rPr>
        <w:t>月</w:t>
      </w:r>
      <w:r>
        <w:rPr>
          <w:rFonts w:hint="eastAsia"/>
        </w:rPr>
        <w:t>6</w:t>
      </w:r>
      <w:r>
        <w:rPr>
          <w:rFonts w:hint="eastAsia"/>
        </w:rPr>
        <w:t>日第三次议会修改宪法会议的决议，对希腊《宪法》进行了修订。经修订后的《宪法》第</w:t>
      </w:r>
      <w:r>
        <w:rPr>
          <w:rFonts w:hint="eastAsia"/>
        </w:rPr>
        <w:t>116</w:t>
      </w:r>
      <w:r>
        <w:rPr>
          <w:rFonts w:hint="eastAsia"/>
        </w:rPr>
        <w:t>条第</w:t>
      </w:r>
      <w:r>
        <w:rPr>
          <w:rFonts w:hint="eastAsia"/>
        </w:rPr>
        <w:t>2</w:t>
      </w:r>
      <w:r>
        <w:rPr>
          <w:rFonts w:hint="eastAsia"/>
        </w:rPr>
        <w:t>款规定：“采取积极措施促进男女平等并不构成性别歧视。国家计划消除目前存在的主要是针对妇女的不平等现象。”这是希腊《宪法》第一次规定采取积极措施消除目前存在的针对妇女的不平等现象。</w:t>
      </w:r>
    </w:p>
    <w:p w:rsidR="00000000" w:rsidRDefault="00000000">
      <w:pPr>
        <w:rPr>
          <w:rFonts w:hint="eastAsia"/>
        </w:rPr>
      </w:pPr>
      <w:r>
        <w:rPr>
          <w:rFonts w:hint="eastAsia"/>
        </w:rPr>
        <w:tab/>
        <w:t xml:space="preserve">127.  </w:t>
      </w:r>
      <w:r>
        <w:rPr>
          <w:rFonts w:hint="eastAsia"/>
        </w:rPr>
        <w:t>《国家劳动集体总协定》也规定采取措施消除歧视。</w:t>
      </w:r>
      <w:r>
        <w:rPr>
          <w:rFonts w:hint="eastAsia"/>
        </w:rPr>
        <w:t>2000-2001</w:t>
      </w:r>
      <w:r>
        <w:rPr>
          <w:rFonts w:hint="eastAsia"/>
        </w:rPr>
        <w:t>年《国家劳动集体总协定》第</w:t>
      </w:r>
      <w:r>
        <w:rPr>
          <w:rFonts w:hint="eastAsia"/>
        </w:rPr>
        <w:t>20</w:t>
      </w:r>
      <w:r>
        <w:rPr>
          <w:rFonts w:hint="eastAsia"/>
        </w:rPr>
        <w:t>条规定，“从事独立工作的人士在相同的劳动条件下，必须根据实际情况，获得同其他工人同样或者相似的待遇。同等待遇主要是指：在劳动场所的卫生和安全、保护工人不会因为性别、国籍、种族或者信仰等原因在就业方面遭受任何形式的歧视、最低就业年龄、产妇保护，获得培训和进修的机会、尊重其组织的权利以及采取集体行动的权利以及推动工人参加社会保险和教育计划等方面的平等待遇。”。</w:t>
      </w:r>
    </w:p>
    <w:p w:rsidR="00000000" w:rsidRDefault="00000000">
      <w:pPr>
        <w:rPr>
          <w:rFonts w:hint="eastAsia"/>
        </w:rPr>
      </w:pPr>
      <w:r>
        <w:rPr>
          <w:rFonts w:hint="eastAsia"/>
        </w:rPr>
        <w:tab/>
        <w:t xml:space="preserve">128.  </w:t>
      </w:r>
      <w:r>
        <w:rPr>
          <w:rFonts w:hint="eastAsia"/>
        </w:rPr>
        <w:t>同时，上述《协定》第</w:t>
      </w:r>
      <w:r>
        <w:rPr>
          <w:rFonts w:hint="eastAsia"/>
        </w:rPr>
        <w:t>22</w:t>
      </w:r>
      <w:r>
        <w:rPr>
          <w:rFonts w:hint="eastAsia"/>
        </w:rPr>
        <w:t>条规定，“缔约各方认为，应当作出一切努力尊重所有工人在种族、国籍、宗教以及文化方面的特征并且帮助他们适应工作环境。”</w:t>
      </w:r>
    </w:p>
    <w:p w:rsidR="00000000" w:rsidRDefault="00000000">
      <w:pPr>
        <w:rPr>
          <w:rFonts w:hint="eastAsia"/>
        </w:rPr>
      </w:pPr>
      <w:r>
        <w:rPr>
          <w:rFonts w:hint="eastAsia"/>
        </w:rPr>
        <w:tab/>
        <w:t xml:space="preserve">129.  </w:t>
      </w:r>
      <w:r>
        <w:rPr>
          <w:rFonts w:hint="eastAsia"/>
        </w:rPr>
        <w:t>人力雇佣组织提供了有关职业指导的服务，无论是个人还是团体均可获得这种服务，其目的是要提供有关就业机会的信息。法律保障所有有关人士</w:t>
      </w:r>
      <w:r>
        <w:rPr>
          <w:rFonts w:hint="eastAsia"/>
        </w:rPr>
        <w:t>(</w:t>
      </w:r>
      <w:r>
        <w:rPr>
          <w:rFonts w:hint="eastAsia"/>
        </w:rPr>
        <w:t>包括外国人</w:t>
      </w:r>
      <w:r>
        <w:rPr>
          <w:rFonts w:hint="eastAsia"/>
        </w:rPr>
        <w:t>)</w:t>
      </w:r>
      <w:r>
        <w:rPr>
          <w:rFonts w:hint="eastAsia"/>
        </w:rPr>
        <w:t>获得职业指导服务。</w:t>
      </w:r>
    </w:p>
    <w:p w:rsidR="00000000" w:rsidRDefault="00000000">
      <w:pPr>
        <w:rPr>
          <w:rFonts w:hint="eastAsia"/>
        </w:rPr>
      </w:pPr>
      <w:r>
        <w:rPr>
          <w:rFonts w:hint="eastAsia"/>
        </w:rPr>
        <w:tab/>
        <w:t xml:space="preserve">130.  </w:t>
      </w:r>
      <w:r>
        <w:rPr>
          <w:rFonts w:hint="eastAsia"/>
        </w:rPr>
        <w:t>为了确保所有人在就业方面获得平等机会，目前正在实施“有关防止劳动力市场排挤的业务方案”。这个方案的受益者是没有固定职业的失业人士，属于以下群体：具有特殊需要的人士、被遣返回国的希腊人、移民、难民、囚犯、劳改释放分子、少年犯、单亲家庭的户主、前吸毒者、具有文化和宗教特征的人士以及居住在山区和偏远地区的人士。</w:t>
      </w:r>
    </w:p>
    <w:p w:rsidR="00000000" w:rsidRDefault="00000000">
      <w:pPr>
        <w:rPr>
          <w:rFonts w:hint="eastAsia"/>
        </w:rPr>
      </w:pPr>
      <w:r>
        <w:rPr>
          <w:rFonts w:hint="eastAsia"/>
        </w:rPr>
        <w:tab/>
        <w:t xml:space="preserve">131.  </w:t>
      </w:r>
      <w:r>
        <w:rPr>
          <w:rFonts w:hint="eastAsia"/>
        </w:rPr>
        <w:t>该业务方案以以下方式帮助弱势群体的成员重新就业：第一，主要是通过职业培训帮助他们发展技巧和获得专业资格。第二，通过帮助他们创业或者鼓励雇主雇用经过上述方案培训的人士，促进他们进入劳动力市场。第三，通过附带支助服务，向他们提供社会和心理方面的援助，并且帮助他们迅速适应其工作岗位。提供附带支助服务的工作人员负责鼓励和提供信息及心理方面的援助，向雇主作宣传并且提供信息以及向有关家庭提供咨询和支助。</w:t>
      </w:r>
    </w:p>
    <w:p w:rsidR="00000000" w:rsidRDefault="00000000">
      <w:pPr>
        <w:spacing w:after="320"/>
        <w:rPr>
          <w:rFonts w:hint="eastAsia"/>
        </w:rPr>
      </w:pPr>
      <w:r>
        <w:rPr>
          <w:rFonts w:hint="eastAsia"/>
        </w:rPr>
        <w:tab/>
        <w:t xml:space="preserve">132.  </w:t>
      </w:r>
      <w:r>
        <w:rPr>
          <w:rFonts w:hint="eastAsia"/>
        </w:rPr>
        <w:t>每项综合方案都包括初步培训，帮助对象人士参加方案。向被遣返国民、移民以及难民等对象群体提供初步培训的目的主要是让他们学习希腊语，以便熟悉从事某些经济活动，掌握工作岗位技巧所必需的术语。</w:t>
      </w:r>
    </w:p>
    <w:p w:rsidR="00000000" w:rsidRDefault="00000000">
      <w:pPr>
        <w:pStyle w:val="Heading3"/>
        <w:spacing w:after="240"/>
        <w:rPr>
          <w:rFonts w:hint="eastAsia"/>
        </w:rPr>
      </w:pPr>
      <w:r>
        <w:rPr>
          <w:rFonts w:hint="eastAsia"/>
        </w:rPr>
        <w:t>表</w:t>
      </w:r>
      <w:r>
        <w:rPr>
          <w:rFonts w:hint="eastAsia"/>
        </w:rPr>
        <w:t xml:space="preserve">   5</w:t>
      </w:r>
    </w:p>
    <w:p w:rsidR="00000000" w:rsidRDefault="00000000">
      <w:pPr>
        <w:pStyle w:val="Heading3"/>
        <w:spacing w:after="160"/>
        <w:rPr>
          <w:rFonts w:hint="eastAsia"/>
        </w:rPr>
      </w:pPr>
      <w:r>
        <w:rPr>
          <w:rFonts w:hint="eastAsia"/>
        </w:rPr>
        <w:t>有关针对移民、难民、被遣返回国人士以及</w:t>
      </w:r>
      <w:r>
        <w:br/>
      </w:r>
      <w:r>
        <w:rPr>
          <w:rFonts w:hint="eastAsia"/>
        </w:rPr>
        <w:t>具有文化特征人士的业务方案的数据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8"/>
        <w:gridCol w:w="2040"/>
        <w:gridCol w:w="2040"/>
        <w:gridCol w:w="2143"/>
      </w:tblGrid>
      <w:tr w:rsidR="00000000">
        <w:tblPrEx>
          <w:tblCellMar>
            <w:top w:w="0" w:type="dxa"/>
            <w:bottom w:w="0" w:type="dxa"/>
          </w:tblCellMar>
        </w:tblPrEx>
        <w:trPr>
          <w:cantSplit/>
        </w:trPr>
        <w:tc>
          <w:tcPr>
            <w:tcW w:w="9571" w:type="dxa"/>
            <w:gridSpan w:val="4"/>
          </w:tcPr>
          <w:p w:rsidR="00000000" w:rsidRDefault="00000000">
            <w:pPr>
              <w:spacing w:before="120"/>
              <w:jc w:val="center"/>
              <w:rPr>
                <w:rFonts w:hint="eastAsia"/>
                <w:sz w:val="22"/>
              </w:rPr>
            </w:pPr>
            <w:r>
              <w:rPr>
                <w:rFonts w:hint="eastAsia"/>
                <w:sz w:val="22"/>
              </w:rPr>
              <w:t>1997</w:t>
            </w:r>
            <w:r>
              <w:rPr>
                <w:rFonts w:hint="eastAsia"/>
                <w:sz w:val="22"/>
              </w:rPr>
              <w:t>年至</w:t>
            </w:r>
            <w:r>
              <w:rPr>
                <w:rFonts w:hint="eastAsia"/>
                <w:sz w:val="22"/>
              </w:rPr>
              <w:t>2000</w:t>
            </w:r>
            <w:r>
              <w:rPr>
                <w:rFonts w:hint="eastAsia"/>
                <w:sz w:val="22"/>
              </w:rPr>
              <w:t>年“防止劳动力市场排斥”的业务方案</w:t>
            </w:r>
          </w:p>
        </w:tc>
      </w:tr>
      <w:tr w:rsidR="00000000">
        <w:tblPrEx>
          <w:tblCellMar>
            <w:top w:w="0" w:type="dxa"/>
            <w:bottom w:w="0" w:type="dxa"/>
          </w:tblCellMar>
        </w:tblPrEx>
        <w:tc>
          <w:tcPr>
            <w:tcW w:w="3348" w:type="dxa"/>
          </w:tcPr>
          <w:p w:rsidR="00000000" w:rsidRDefault="00000000">
            <w:pPr>
              <w:spacing w:before="120"/>
              <w:rPr>
                <w:rFonts w:hint="eastAsia"/>
                <w:sz w:val="22"/>
              </w:rPr>
            </w:pPr>
            <w:r>
              <w:rPr>
                <w:rFonts w:hint="eastAsia"/>
                <w:sz w:val="22"/>
              </w:rPr>
              <w:t xml:space="preserve">   </w:t>
            </w:r>
            <w:r>
              <w:rPr>
                <w:rFonts w:hint="eastAsia"/>
                <w:sz w:val="22"/>
              </w:rPr>
              <w:t>对</w:t>
            </w:r>
            <w:r>
              <w:rPr>
                <w:rFonts w:hint="eastAsia"/>
                <w:sz w:val="22"/>
              </w:rPr>
              <w:t xml:space="preserve"> </w:t>
            </w:r>
            <w:r>
              <w:rPr>
                <w:rFonts w:hint="eastAsia"/>
                <w:sz w:val="22"/>
              </w:rPr>
              <w:t>象</w:t>
            </w:r>
            <w:r>
              <w:rPr>
                <w:rFonts w:hint="eastAsia"/>
                <w:sz w:val="22"/>
              </w:rPr>
              <w:t xml:space="preserve"> </w:t>
            </w:r>
            <w:r>
              <w:rPr>
                <w:rFonts w:hint="eastAsia"/>
                <w:sz w:val="22"/>
              </w:rPr>
              <w:t>组</w:t>
            </w:r>
          </w:p>
        </w:tc>
        <w:tc>
          <w:tcPr>
            <w:tcW w:w="2040" w:type="dxa"/>
          </w:tcPr>
          <w:p w:rsidR="00000000" w:rsidRDefault="00000000">
            <w:pPr>
              <w:spacing w:before="120"/>
              <w:jc w:val="center"/>
              <w:rPr>
                <w:rFonts w:hint="eastAsia"/>
                <w:sz w:val="22"/>
              </w:rPr>
            </w:pPr>
            <w:r>
              <w:rPr>
                <w:rFonts w:hint="eastAsia"/>
                <w:sz w:val="22"/>
              </w:rPr>
              <w:t>方案数目</w:t>
            </w:r>
          </w:p>
        </w:tc>
        <w:tc>
          <w:tcPr>
            <w:tcW w:w="2040" w:type="dxa"/>
          </w:tcPr>
          <w:p w:rsidR="00000000" w:rsidRDefault="00000000">
            <w:pPr>
              <w:spacing w:before="120"/>
              <w:jc w:val="center"/>
              <w:rPr>
                <w:rFonts w:hint="eastAsia"/>
                <w:sz w:val="22"/>
              </w:rPr>
            </w:pPr>
            <w:r>
              <w:rPr>
                <w:rFonts w:hint="eastAsia"/>
                <w:sz w:val="22"/>
              </w:rPr>
              <w:t>参加人数</w:t>
            </w:r>
          </w:p>
        </w:tc>
        <w:tc>
          <w:tcPr>
            <w:tcW w:w="2143" w:type="dxa"/>
          </w:tcPr>
          <w:p w:rsidR="00000000" w:rsidRDefault="00000000">
            <w:pPr>
              <w:spacing w:before="60" w:line="264" w:lineRule="auto"/>
              <w:jc w:val="center"/>
              <w:rPr>
                <w:rFonts w:hint="eastAsia"/>
                <w:sz w:val="22"/>
              </w:rPr>
            </w:pPr>
            <w:r>
              <w:rPr>
                <w:rFonts w:hint="eastAsia"/>
                <w:sz w:val="22"/>
              </w:rPr>
              <w:t>开支总额</w:t>
            </w:r>
            <w:r>
              <w:rPr>
                <w:rFonts w:hint="eastAsia"/>
                <w:sz w:val="22"/>
              </w:rPr>
              <w:t>(</w:t>
            </w:r>
            <w:r>
              <w:rPr>
                <w:rFonts w:hint="eastAsia"/>
                <w:sz w:val="22"/>
              </w:rPr>
              <w:t>以希腊德拉马克计算</w:t>
            </w:r>
            <w:r>
              <w:rPr>
                <w:rFonts w:hint="eastAsia"/>
                <w:sz w:val="22"/>
              </w:rPr>
              <w:t>)</w:t>
            </w:r>
          </w:p>
        </w:tc>
      </w:tr>
      <w:tr w:rsidR="00000000">
        <w:tblPrEx>
          <w:tblCellMar>
            <w:top w:w="0" w:type="dxa"/>
            <w:bottom w:w="0" w:type="dxa"/>
          </w:tblCellMar>
        </w:tblPrEx>
        <w:tc>
          <w:tcPr>
            <w:tcW w:w="3348" w:type="dxa"/>
            <w:tcBorders>
              <w:bottom w:val="nil"/>
            </w:tcBorders>
          </w:tcPr>
          <w:p w:rsidR="00000000" w:rsidRDefault="00000000">
            <w:pPr>
              <w:spacing w:before="120" w:line="288" w:lineRule="auto"/>
              <w:ind w:left="57"/>
              <w:rPr>
                <w:rFonts w:hint="eastAsia"/>
                <w:sz w:val="22"/>
              </w:rPr>
            </w:pPr>
            <w:r>
              <w:rPr>
                <w:rFonts w:hint="eastAsia"/>
                <w:sz w:val="22"/>
              </w:rPr>
              <w:t>来自第三国的移民</w:t>
            </w:r>
          </w:p>
        </w:tc>
        <w:tc>
          <w:tcPr>
            <w:tcW w:w="2040" w:type="dxa"/>
            <w:tcBorders>
              <w:bottom w:val="nil"/>
            </w:tcBorders>
          </w:tcPr>
          <w:p w:rsidR="00000000" w:rsidRDefault="00000000">
            <w:pPr>
              <w:spacing w:before="120" w:line="288" w:lineRule="auto"/>
              <w:jc w:val="center"/>
              <w:rPr>
                <w:sz w:val="22"/>
              </w:rPr>
            </w:pPr>
            <w:r>
              <w:rPr>
                <w:sz w:val="22"/>
              </w:rPr>
              <w:t>21</w:t>
            </w:r>
          </w:p>
        </w:tc>
        <w:tc>
          <w:tcPr>
            <w:tcW w:w="2040" w:type="dxa"/>
            <w:tcBorders>
              <w:bottom w:val="nil"/>
            </w:tcBorders>
          </w:tcPr>
          <w:p w:rsidR="00000000" w:rsidRDefault="00000000">
            <w:pPr>
              <w:spacing w:before="120" w:line="288" w:lineRule="auto"/>
              <w:jc w:val="center"/>
              <w:rPr>
                <w:sz w:val="22"/>
              </w:rPr>
            </w:pPr>
            <w:r>
              <w:rPr>
                <w:sz w:val="22"/>
              </w:rPr>
              <w:t>325</w:t>
            </w:r>
          </w:p>
        </w:tc>
        <w:tc>
          <w:tcPr>
            <w:tcW w:w="2143" w:type="dxa"/>
            <w:tcBorders>
              <w:bottom w:val="nil"/>
            </w:tcBorders>
          </w:tcPr>
          <w:p w:rsidR="00000000" w:rsidRDefault="00000000">
            <w:pPr>
              <w:spacing w:before="120" w:line="288" w:lineRule="auto"/>
              <w:ind w:right="284"/>
              <w:jc w:val="right"/>
              <w:rPr>
                <w:sz w:val="22"/>
              </w:rPr>
            </w:pPr>
            <w:r>
              <w:rPr>
                <w:sz w:val="22"/>
              </w:rPr>
              <w:t>907,107,340</w:t>
            </w:r>
          </w:p>
        </w:tc>
      </w:tr>
      <w:tr w:rsidR="00000000">
        <w:tblPrEx>
          <w:tblCellMar>
            <w:top w:w="0" w:type="dxa"/>
            <w:bottom w:w="0" w:type="dxa"/>
          </w:tblCellMar>
        </w:tblPrEx>
        <w:tc>
          <w:tcPr>
            <w:tcW w:w="3348" w:type="dxa"/>
            <w:tcBorders>
              <w:top w:val="nil"/>
              <w:bottom w:val="nil"/>
            </w:tcBorders>
          </w:tcPr>
          <w:p w:rsidR="00000000" w:rsidRDefault="00000000">
            <w:pPr>
              <w:spacing w:line="288" w:lineRule="auto"/>
              <w:ind w:left="57"/>
              <w:rPr>
                <w:rFonts w:hint="eastAsia"/>
                <w:sz w:val="22"/>
              </w:rPr>
            </w:pPr>
            <w:r>
              <w:rPr>
                <w:rFonts w:hint="eastAsia"/>
                <w:sz w:val="22"/>
              </w:rPr>
              <w:t>难</w:t>
            </w:r>
            <w:r>
              <w:rPr>
                <w:rFonts w:hint="eastAsia"/>
                <w:sz w:val="22"/>
              </w:rPr>
              <w:t xml:space="preserve"> </w:t>
            </w:r>
            <w:r>
              <w:rPr>
                <w:rFonts w:hint="eastAsia"/>
                <w:sz w:val="22"/>
              </w:rPr>
              <w:t>民</w:t>
            </w:r>
          </w:p>
        </w:tc>
        <w:tc>
          <w:tcPr>
            <w:tcW w:w="2040" w:type="dxa"/>
            <w:tcBorders>
              <w:top w:val="nil"/>
              <w:bottom w:val="nil"/>
            </w:tcBorders>
          </w:tcPr>
          <w:p w:rsidR="00000000" w:rsidRDefault="00000000">
            <w:pPr>
              <w:spacing w:line="288" w:lineRule="auto"/>
              <w:jc w:val="center"/>
              <w:rPr>
                <w:sz w:val="22"/>
              </w:rPr>
            </w:pPr>
            <w:r>
              <w:rPr>
                <w:sz w:val="22"/>
              </w:rPr>
              <w:t>19</w:t>
            </w:r>
          </w:p>
        </w:tc>
        <w:tc>
          <w:tcPr>
            <w:tcW w:w="2040" w:type="dxa"/>
            <w:tcBorders>
              <w:top w:val="nil"/>
              <w:bottom w:val="nil"/>
            </w:tcBorders>
          </w:tcPr>
          <w:p w:rsidR="00000000" w:rsidRDefault="00000000">
            <w:pPr>
              <w:spacing w:line="288" w:lineRule="auto"/>
              <w:jc w:val="center"/>
              <w:rPr>
                <w:sz w:val="22"/>
              </w:rPr>
            </w:pPr>
            <w:r>
              <w:rPr>
                <w:sz w:val="22"/>
              </w:rPr>
              <w:t>284</w:t>
            </w:r>
          </w:p>
        </w:tc>
        <w:tc>
          <w:tcPr>
            <w:tcW w:w="2143" w:type="dxa"/>
            <w:tcBorders>
              <w:top w:val="nil"/>
              <w:bottom w:val="nil"/>
            </w:tcBorders>
          </w:tcPr>
          <w:p w:rsidR="00000000" w:rsidRDefault="00000000">
            <w:pPr>
              <w:spacing w:line="288" w:lineRule="auto"/>
              <w:ind w:right="284"/>
              <w:jc w:val="right"/>
              <w:rPr>
                <w:sz w:val="22"/>
              </w:rPr>
            </w:pPr>
            <w:r>
              <w:rPr>
                <w:sz w:val="22"/>
              </w:rPr>
              <w:t>843,490,106</w:t>
            </w:r>
          </w:p>
        </w:tc>
      </w:tr>
      <w:tr w:rsidR="00000000">
        <w:tblPrEx>
          <w:tblCellMar>
            <w:top w:w="0" w:type="dxa"/>
            <w:bottom w:w="0" w:type="dxa"/>
          </w:tblCellMar>
        </w:tblPrEx>
        <w:tc>
          <w:tcPr>
            <w:tcW w:w="3348" w:type="dxa"/>
            <w:tcBorders>
              <w:top w:val="nil"/>
              <w:bottom w:val="nil"/>
            </w:tcBorders>
          </w:tcPr>
          <w:p w:rsidR="00000000" w:rsidRDefault="00000000">
            <w:pPr>
              <w:spacing w:line="288" w:lineRule="auto"/>
              <w:ind w:left="57"/>
              <w:rPr>
                <w:rFonts w:hint="eastAsia"/>
                <w:sz w:val="22"/>
              </w:rPr>
            </w:pPr>
            <w:r>
              <w:rPr>
                <w:rFonts w:hint="eastAsia"/>
                <w:sz w:val="22"/>
              </w:rPr>
              <w:t>从西欧国家遣返的人士</w:t>
            </w:r>
          </w:p>
        </w:tc>
        <w:tc>
          <w:tcPr>
            <w:tcW w:w="2040" w:type="dxa"/>
            <w:tcBorders>
              <w:top w:val="nil"/>
              <w:bottom w:val="nil"/>
            </w:tcBorders>
          </w:tcPr>
          <w:p w:rsidR="00000000" w:rsidRDefault="00000000">
            <w:pPr>
              <w:spacing w:line="288" w:lineRule="auto"/>
              <w:jc w:val="center"/>
              <w:rPr>
                <w:sz w:val="22"/>
              </w:rPr>
            </w:pPr>
            <w:r>
              <w:rPr>
                <w:rFonts w:hint="eastAsia"/>
                <w:sz w:val="22"/>
              </w:rPr>
              <w:t xml:space="preserve"> </w:t>
            </w:r>
            <w:r>
              <w:rPr>
                <w:sz w:val="22"/>
              </w:rPr>
              <w:t>5</w:t>
            </w:r>
          </w:p>
        </w:tc>
        <w:tc>
          <w:tcPr>
            <w:tcW w:w="2040" w:type="dxa"/>
            <w:tcBorders>
              <w:top w:val="nil"/>
              <w:bottom w:val="nil"/>
            </w:tcBorders>
          </w:tcPr>
          <w:p w:rsidR="00000000" w:rsidRDefault="00000000">
            <w:pPr>
              <w:spacing w:line="288" w:lineRule="auto"/>
              <w:jc w:val="center"/>
              <w:rPr>
                <w:sz w:val="22"/>
              </w:rPr>
            </w:pPr>
            <w:r>
              <w:rPr>
                <w:rFonts w:hint="eastAsia"/>
                <w:sz w:val="22"/>
              </w:rPr>
              <w:t xml:space="preserve"> </w:t>
            </w:r>
            <w:r>
              <w:rPr>
                <w:sz w:val="22"/>
              </w:rPr>
              <w:t>93</w:t>
            </w:r>
          </w:p>
        </w:tc>
        <w:tc>
          <w:tcPr>
            <w:tcW w:w="2143" w:type="dxa"/>
            <w:tcBorders>
              <w:top w:val="nil"/>
              <w:bottom w:val="nil"/>
            </w:tcBorders>
          </w:tcPr>
          <w:p w:rsidR="00000000" w:rsidRDefault="00000000">
            <w:pPr>
              <w:spacing w:line="288" w:lineRule="auto"/>
              <w:ind w:right="284"/>
              <w:jc w:val="right"/>
              <w:rPr>
                <w:sz w:val="22"/>
              </w:rPr>
            </w:pPr>
            <w:r>
              <w:rPr>
                <w:sz w:val="22"/>
              </w:rPr>
              <w:t>94,889,075</w:t>
            </w:r>
          </w:p>
        </w:tc>
      </w:tr>
      <w:tr w:rsidR="00000000">
        <w:tblPrEx>
          <w:tblCellMar>
            <w:top w:w="0" w:type="dxa"/>
            <w:bottom w:w="0" w:type="dxa"/>
          </w:tblCellMar>
        </w:tblPrEx>
        <w:tc>
          <w:tcPr>
            <w:tcW w:w="3348" w:type="dxa"/>
            <w:tcBorders>
              <w:top w:val="nil"/>
              <w:bottom w:val="nil"/>
            </w:tcBorders>
          </w:tcPr>
          <w:p w:rsidR="00000000" w:rsidRDefault="00000000">
            <w:pPr>
              <w:spacing w:line="288" w:lineRule="auto"/>
              <w:ind w:left="57"/>
              <w:rPr>
                <w:rFonts w:hint="eastAsia"/>
                <w:sz w:val="22"/>
              </w:rPr>
            </w:pPr>
            <w:r>
              <w:rPr>
                <w:rFonts w:hint="eastAsia"/>
                <w:sz w:val="22"/>
              </w:rPr>
              <w:t>从非西欧国家遣返的人士</w:t>
            </w:r>
          </w:p>
        </w:tc>
        <w:tc>
          <w:tcPr>
            <w:tcW w:w="2040" w:type="dxa"/>
            <w:tcBorders>
              <w:top w:val="nil"/>
              <w:bottom w:val="nil"/>
            </w:tcBorders>
          </w:tcPr>
          <w:p w:rsidR="00000000" w:rsidRDefault="00000000">
            <w:pPr>
              <w:spacing w:line="288" w:lineRule="auto"/>
              <w:jc w:val="center"/>
              <w:rPr>
                <w:sz w:val="22"/>
                <w:lang w:val="fr-FR"/>
              </w:rPr>
            </w:pPr>
            <w:r>
              <w:rPr>
                <w:sz w:val="22"/>
                <w:lang w:val="fr-FR"/>
              </w:rPr>
              <w:t>50</w:t>
            </w:r>
          </w:p>
        </w:tc>
        <w:tc>
          <w:tcPr>
            <w:tcW w:w="2040" w:type="dxa"/>
            <w:tcBorders>
              <w:top w:val="nil"/>
              <w:bottom w:val="nil"/>
            </w:tcBorders>
          </w:tcPr>
          <w:p w:rsidR="00000000" w:rsidRDefault="00000000">
            <w:pPr>
              <w:spacing w:line="288" w:lineRule="auto"/>
              <w:jc w:val="center"/>
              <w:rPr>
                <w:sz w:val="22"/>
                <w:lang w:val="fr-FR"/>
              </w:rPr>
            </w:pPr>
            <w:r>
              <w:rPr>
                <w:sz w:val="22"/>
                <w:lang w:val="fr-FR"/>
              </w:rPr>
              <w:t>884</w:t>
            </w:r>
          </w:p>
        </w:tc>
        <w:tc>
          <w:tcPr>
            <w:tcW w:w="2143" w:type="dxa"/>
            <w:tcBorders>
              <w:top w:val="nil"/>
              <w:bottom w:val="nil"/>
            </w:tcBorders>
          </w:tcPr>
          <w:p w:rsidR="00000000" w:rsidRDefault="00000000">
            <w:pPr>
              <w:spacing w:line="288" w:lineRule="auto"/>
              <w:ind w:right="284"/>
              <w:jc w:val="right"/>
              <w:rPr>
                <w:sz w:val="22"/>
                <w:lang w:val="fr-FR"/>
              </w:rPr>
            </w:pPr>
            <w:r>
              <w:rPr>
                <w:sz w:val="22"/>
                <w:lang w:val="fr-FR"/>
              </w:rPr>
              <w:t>1,367,463,098</w:t>
            </w:r>
          </w:p>
        </w:tc>
      </w:tr>
      <w:tr w:rsidR="00000000">
        <w:tblPrEx>
          <w:tblCellMar>
            <w:top w:w="0" w:type="dxa"/>
            <w:bottom w:w="0" w:type="dxa"/>
          </w:tblCellMar>
        </w:tblPrEx>
        <w:tc>
          <w:tcPr>
            <w:tcW w:w="3348" w:type="dxa"/>
            <w:tcBorders>
              <w:top w:val="nil"/>
              <w:bottom w:val="nil"/>
            </w:tcBorders>
          </w:tcPr>
          <w:p w:rsidR="00000000" w:rsidRDefault="00000000">
            <w:pPr>
              <w:spacing w:line="288" w:lineRule="auto"/>
              <w:ind w:left="57"/>
              <w:rPr>
                <w:rFonts w:hint="eastAsia"/>
                <w:sz w:val="22"/>
              </w:rPr>
            </w:pPr>
            <w:r>
              <w:rPr>
                <w:rFonts w:hint="eastAsia"/>
                <w:sz w:val="22"/>
              </w:rPr>
              <w:t>波马克人</w:t>
            </w:r>
          </w:p>
        </w:tc>
        <w:tc>
          <w:tcPr>
            <w:tcW w:w="2040" w:type="dxa"/>
            <w:tcBorders>
              <w:top w:val="nil"/>
              <w:bottom w:val="nil"/>
            </w:tcBorders>
          </w:tcPr>
          <w:p w:rsidR="00000000" w:rsidRDefault="00000000">
            <w:pPr>
              <w:spacing w:line="288" w:lineRule="auto"/>
              <w:jc w:val="center"/>
              <w:rPr>
                <w:sz w:val="22"/>
                <w:lang w:val="fr-FR"/>
              </w:rPr>
            </w:pPr>
            <w:r>
              <w:rPr>
                <w:sz w:val="22"/>
                <w:lang w:val="fr-FR"/>
              </w:rPr>
              <w:t>20</w:t>
            </w:r>
          </w:p>
        </w:tc>
        <w:tc>
          <w:tcPr>
            <w:tcW w:w="2040" w:type="dxa"/>
            <w:tcBorders>
              <w:top w:val="nil"/>
              <w:bottom w:val="nil"/>
            </w:tcBorders>
          </w:tcPr>
          <w:p w:rsidR="00000000" w:rsidRDefault="00000000">
            <w:pPr>
              <w:spacing w:line="288" w:lineRule="auto"/>
              <w:jc w:val="center"/>
              <w:rPr>
                <w:sz w:val="22"/>
                <w:lang w:val="fr-FR"/>
              </w:rPr>
            </w:pPr>
            <w:r>
              <w:rPr>
                <w:sz w:val="22"/>
                <w:lang w:val="fr-FR"/>
              </w:rPr>
              <w:t>326</w:t>
            </w:r>
          </w:p>
        </w:tc>
        <w:tc>
          <w:tcPr>
            <w:tcW w:w="2143" w:type="dxa"/>
            <w:tcBorders>
              <w:top w:val="nil"/>
              <w:bottom w:val="nil"/>
            </w:tcBorders>
          </w:tcPr>
          <w:p w:rsidR="00000000" w:rsidRDefault="00000000">
            <w:pPr>
              <w:spacing w:line="288" w:lineRule="auto"/>
              <w:ind w:right="284"/>
              <w:jc w:val="right"/>
              <w:rPr>
                <w:sz w:val="22"/>
                <w:lang w:val="fr-FR"/>
              </w:rPr>
            </w:pPr>
            <w:r>
              <w:rPr>
                <w:sz w:val="22"/>
                <w:lang w:val="fr-FR"/>
              </w:rPr>
              <w:t>674,647,655</w:t>
            </w:r>
          </w:p>
        </w:tc>
      </w:tr>
      <w:tr w:rsidR="00000000">
        <w:tblPrEx>
          <w:tblCellMar>
            <w:top w:w="0" w:type="dxa"/>
            <w:bottom w:w="0" w:type="dxa"/>
          </w:tblCellMar>
        </w:tblPrEx>
        <w:tc>
          <w:tcPr>
            <w:tcW w:w="3348" w:type="dxa"/>
            <w:tcBorders>
              <w:top w:val="nil"/>
            </w:tcBorders>
          </w:tcPr>
          <w:p w:rsidR="00000000" w:rsidRDefault="00000000">
            <w:pPr>
              <w:spacing w:line="288" w:lineRule="auto"/>
              <w:ind w:left="57"/>
              <w:rPr>
                <w:rFonts w:hint="eastAsia"/>
                <w:sz w:val="22"/>
              </w:rPr>
            </w:pPr>
            <w:r>
              <w:rPr>
                <w:rFonts w:hint="eastAsia"/>
                <w:sz w:val="22"/>
              </w:rPr>
              <w:t>罗姆人</w:t>
            </w:r>
          </w:p>
        </w:tc>
        <w:tc>
          <w:tcPr>
            <w:tcW w:w="2040" w:type="dxa"/>
            <w:tcBorders>
              <w:top w:val="nil"/>
            </w:tcBorders>
          </w:tcPr>
          <w:p w:rsidR="00000000" w:rsidRDefault="00000000">
            <w:pPr>
              <w:spacing w:line="288" w:lineRule="auto"/>
              <w:jc w:val="center"/>
              <w:rPr>
                <w:sz w:val="22"/>
                <w:lang w:val="fr-FR"/>
              </w:rPr>
            </w:pPr>
            <w:r>
              <w:rPr>
                <w:sz w:val="22"/>
                <w:lang w:val="fr-FR"/>
              </w:rPr>
              <w:t>35</w:t>
            </w:r>
          </w:p>
        </w:tc>
        <w:tc>
          <w:tcPr>
            <w:tcW w:w="2040" w:type="dxa"/>
            <w:tcBorders>
              <w:top w:val="nil"/>
            </w:tcBorders>
          </w:tcPr>
          <w:p w:rsidR="00000000" w:rsidRDefault="00000000">
            <w:pPr>
              <w:spacing w:line="288" w:lineRule="auto"/>
              <w:jc w:val="center"/>
              <w:rPr>
                <w:sz w:val="22"/>
                <w:lang w:val="fr-FR"/>
              </w:rPr>
            </w:pPr>
            <w:r>
              <w:rPr>
                <w:sz w:val="22"/>
                <w:lang w:val="fr-FR"/>
              </w:rPr>
              <w:t>531</w:t>
            </w:r>
          </w:p>
        </w:tc>
        <w:tc>
          <w:tcPr>
            <w:tcW w:w="2143" w:type="dxa"/>
            <w:tcBorders>
              <w:top w:val="nil"/>
            </w:tcBorders>
          </w:tcPr>
          <w:p w:rsidR="00000000" w:rsidRDefault="00000000">
            <w:pPr>
              <w:spacing w:line="288" w:lineRule="auto"/>
              <w:ind w:right="284"/>
              <w:jc w:val="right"/>
              <w:rPr>
                <w:sz w:val="22"/>
                <w:lang w:val="fr-FR"/>
              </w:rPr>
            </w:pPr>
            <w:r>
              <w:rPr>
                <w:sz w:val="22"/>
                <w:lang w:val="fr-FR"/>
              </w:rPr>
              <w:t>1,342,266,116</w:t>
            </w:r>
          </w:p>
        </w:tc>
      </w:tr>
    </w:tbl>
    <w:p w:rsidR="00000000" w:rsidRDefault="00000000">
      <w:pPr>
        <w:rPr>
          <w:rFonts w:hint="eastAsia"/>
        </w:rPr>
      </w:pPr>
    </w:p>
    <w:p w:rsidR="00000000" w:rsidRDefault="00000000">
      <w:pPr>
        <w:pStyle w:val="Heading4"/>
        <w:spacing w:before="240"/>
        <w:rPr>
          <w:rFonts w:hint="eastAsia"/>
        </w:rPr>
      </w:pPr>
      <w:r>
        <w:rPr>
          <w:rFonts w:hint="eastAsia"/>
        </w:rPr>
        <w:t>移民的就业</w:t>
      </w:r>
    </w:p>
    <w:p w:rsidR="00000000" w:rsidRDefault="00000000">
      <w:pPr>
        <w:spacing w:after="320"/>
        <w:rPr>
          <w:rFonts w:hint="eastAsia"/>
        </w:rPr>
      </w:pPr>
      <w:r>
        <w:rPr>
          <w:rFonts w:hint="eastAsia"/>
        </w:rPr>
        <w:tab/>
        <w:t xml:space="preserve">133.  </w:t>
      </w:r>
      <w:r>
        <w:rPr>
          <w:rFonts w:hint="eastAsia"/>
        </w:rPr>
        <w:t>从</w:t>
      </w:r>
      <w:r>
        <w:rPr>
          <w:rFonts w:hint="eastAsia"/>
        </w:rPr>
        <w:t>1990</w:t>
      </w:r>
      <w:r>
        <w:rPr>
          <w:rFonts w:hint="eastAsia"/>
        </w:rPr>
        <w:t>年代之初开始，希腊从原籍国转变为收容国。希腊国家统计局根据“有关外国人入境、离境、居留和就业”的第</w:t>
      </w:r>
      <w:r>
        <w:rPr>
          <w:rFonts w:hint="eastAsia"/>
        </w:rPr>
        <w:t>1975/1991</w:t>
      </w:r>
      <w:r>
        <w:rPr>
          <w:rFonts w:hint="eastAsia"/>
        </w:rPr>
        <w:t>号法令收集的有关移民就业情况的数据显示，向移民工人发放工作证的情况如下：</w:t>
      </w:r>
    </w:p>
    <w:p w:rsidR="00000000" w:rsidRDefault="00000000">
      <w:pPr>
        <w:pStyle w:val="Heading3"/>
        <w:spacing w:after="240"/>
        <w:rPr>
          <w:rFonts w:hint="eastAsia"/>
        </w:rPr>
      </w:pPr>
      <w:r>
        <w:rPr>
          <w:rFonts w:hint="eastAsia"/>
        </w:rPr>
        <w:t>表</w:t>
      </w:r>
      <w:r>
        <w:rPr>
          <w:rFonts w:hint="eastAsia"/>
        </w:rPr>
        <w:t xml:space="preserve">   6</w:t>
      </w:r>
    </w:p>
    <w:p w:rsidR="00000000" w:rsidRDefault="00000000">
      <w:pPr>
        <w:pStyle w:val="Heading3"/>
        <w:spacing w:after="160"/>
        <w:rPr>
          <w:rFonts w:hint="eastAsia"/>
        </w:rPr>
      </w:pPr>
      <w:r>
        <w:rPr>
          <w:rFonts w:hint="eastAsia"/>
        </w:rPr>
        <w:t>发放的工作证</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37"/>
        <w:gridCol w:w="3723"/>
      </w:tblGrid>
      <w:tr w:rsidR="00000000">
        <w:tblPrEx>
          <w:tblCellMar>
            <w:top w:w="0" w:type="dxa"/>
            <w:bottom w:w="0" w:type="dxa"/>
          </w:tblCellMar>
        </w:tblPrEx>
        <w:tc>
          <w:tcPr>
            <w:tcW w:w="3837" w:type="dxa"/>
          </w:tcPr>
          <w:p w:rsidR="00000000" w:rsidRDefault="00000000">
            <w:pPr>
              <w:spacing w:before="120"/>
              <w:jc w:val="center"/>
              <w:rPr>
                <w:rFonts w:hint="eastAsia"/>
                <w:sz w:val="22"/>
              </w:rPr>
            </w:pPr>
            <w:r>
              <w:rPr>
                <w:rFonts w:hint="eastAsia"/>
                <w:sz w:val="22"/>
              </w:rPr>
              <w:t>年</w:t>
            </w:r>
            <w:r>
              <w:rPr>
                <w:rFonts w:hint="eastAsia"/>
                <w:sz w:val="22"/>
              </w:rPr>
              <w:t xml:space="preserve">  </w:t>
            </w:r>
            <w:r>
              <w:rPr>
                <w:rFonts w:hint="eastAsia"/>
                <w:sz w:val="22"/>
              </w:rPr>
              <w:t>份</w:t>
            </w:r>
          </w:p>
        </w:tc>
        <w:tc>
          <w:tcPr>
            <w:tcW w:w="3723" w:type="dxa"/>
          </w:tcPr>
          <w:p w:rsidR="00000000" w:rsidRDefault="00000000">
            <w:pPr>
              <w:spacing w:before="120"/>
              <w:jc w:val="center"/>
              <w:rPr>
                <w:rFonts w:hint="eastAsia"/>
                <w:sz w:val="22"/>
              </w:rPr>
            </w:pPr>
            <w:r>
              <w:rPr>
                <w:rFonts w:hint="eastAsia"/>
                <w:sz w:val="22"/>
              </w:rPr>
              <w:t>工</w:t>
            </w:r>
            <w:r>
              <w:rPr>
                <w:rFonts w:hint="eastAsia"/>
                <w:sz w:val="22"/>
              </w:rPr>
              <w:t xml:space="preserve"> </w:t>
            </w:r>
            <w:r>
              <w:rPr>
                <w:rFonts w:hint="eastAsia"/>
                <w:sz w:val="22"/>
              </w:rPr>
              <w:t>作</w:t>
            </w:r>
            <w:r>
              <w:rPr>
                <w:rFonts w:hint="eastAsia"/>
                <w:sz w:val="22"/>
              </w:rPr>
              <w:t xml:space="preserve"> </w:t>
            </w:r>
            <w:r>
              <w:rPr>
                <w:rFonts w:hint="eastAsia"/>
                <w:sz w:val="22"/>
              </w:rPr>
              <w:t>证</w:t>
            </w:r>
          </w:p>
        </w:tc>
      </w:tr>
      <w:tr w:rsidR="00000000">
        <w:tblPrEx>
          <w:tblCellMar>
            <w:top w:w="0" w:type="dxa"/>
            <w:bottom w:w="0" w:type="dxa"/>
          </w:tblCellMar>
        </w:tblPrEx>
        <w:tc>
          <w:tcPr>
            <w:tcW w:w="3837" w:type="dxa"/>
            <w:tcBorders>
              <w:bottom w:val="nil"/>
            </w:tcBorders>
          </w:tcPr>
          <w:p w:rsidR="00000000" w:rsidRDefault="00000000">
            <w:pPr>
              <w:spacing w:before="120"/>
              <w:jc w:val="center"/>
              <w:rPr>
                <w:sz w:val="22"/>
              </w:rPr>
            </w:pPr>
            <w:r>
              <w:rPr>
                <w:sz w:val="22"/>
              </w:rPr>
              <w:t>1994</w:t>
            </w:r>
          </w:p>
        </w:tc>
        <w:tc>
          <w:tcPr>
            <w:tcW w:w="3723" w:type="dxa"/>
            <w:tcBorders>
              <w:bottom w:val="nil"/>
            </w:tcBorders>
          </w:tcPr>
          <w:p w:rsidR="00000000" w:rsidRDefault="00000000">
            <w:pPr>
              <w:spacing w:before="120"/>
              <w:jc w:val="center"/>
              <w:rPr>
                <w:sz w:val="22"/>
              </w:rPr>
            </w:pPr>
            <w:r>
              <w:rPr>
                <w:sz w:val="22"/>
              </w:rPr>
              <w:t>28,730</w:t>
            </w:r>
          </w:p>
        </w:tc>
      </w:tr>
      <w:tr w:rsidR="00000000">
        <w:tblPrEx>
          <w:tblCellMar>
            <w:top w:w="0" w:type="dxa"/>
            <w:bottom w:w="0" w:type="dxa"/>
          </w:tblCellMar>
        </w:tblPrEx>
        <w:tc>
          <w:tcPr>
            <w:tcW w:w="3837" w:type="dxa"/>
            <w:tcBorders>
              <w:top w:val="nil"/>
              <w:bottom w:val="nil"/>
            </w:tcBorders>
          </w:tcPr>
          <w:p w:rsidR="00000000" w:rsidRDefault="00000000">
            <w:pPr>
              <w:jc w:val="center"/>
              <w:rPr>
                <w:sz w:val="22"/>
              </w:rPr>
            </w:pPr>
            <w:r>
              <w:rPr>
                <w:sz w:val="22"/>
              </w:rPr>
              <w:t>1995</w:t>
            </w:r>
          </w:p>
        </w:tc>
        <w:tc>
          <w:tcPr>
            <w:tcW w:w="3723" w:type="dxa"/>
            <w:tcBorders>
              <w:top w:val="nil"/>
              <w:bottom w:val="nil"/>
            </w:tcBorders>
          </w:tcPr>
          <w:p w:rsidR="00000000" w:rsidRDefault="00000000">
            <w:pPr>
              <w:jc w:val="center"/>
              <w:rPr>
                <w:sz w:val="22"/>
              </w:rPr>
            </w:pPr>
            <w:r>
              <w:rPr>
                <w:sz w:val="22"/>
              </w:rPr>
              <w:t>27,434</w:t>
            </w:r>
          </w:p>
        </w:tc>
      </w:tr>
      <w:tr w:rsidR="00000000">
        <w:tblPrEx>
          <w:tblCellMar>
            <w:top w:w="0" w:type="dxa"/>
            <w:bottom w:w="0" w:type="dxa"/>
          </w:tblCellMar>
        </w:tblPrEx>
        <w:tc>
          <w:tcPr>
            <w:tcW w:w="3837" w:type="dxa"/>
            <w:tcBorders>
              <w:top w:val="nil"/>
              <w:bottom w:val="nil"/>
            </w:tcBorders>
          </w:tcPr>
          <w:p w:rsidR="00000000" w:rsidRDefault="00000000">
            <w:pPr>
              <w:jc w:val="center"/>
              <w:rPr>
                <w:sz w:val="22"/>
              </w:rPr>
            </w:pPr>
            <w:r>
              <w:rPr>
                <w:sz w:val="22"/>
              </w:rPr>
              <w:t>1996</w:t>
            </w:r>
          </w:p>
        </w:tc>
        <w:tc>
          <w:tcPr>
            <w:tcW w:w="3723" w:type="dxa"/>
            <w:tcBorders>
              <w:top w:val="nil"/>
              <w:bottom w:val="nil"/>
            </w:tcBorders>
          </w:tcPr>
          <w:p w:rsidR="00000000" w:rsidRDefault="00000000">
            <w:pPr>
              <w:jc w:val="center"/>
              <w:rPr>
                <w:sz w:val="22"/>
              </w:rPr>
            </w:pPr>
            <w:r>
              <w:rPr>
                <w:sz w:val="22"/>
              </w:rPr>
              <w:t>24,965</w:t>
            </w:r>
          </w:p>
        </w:tc>
      </w:tr>
      <w:tr w:rsidR="00000000">
        <w:tblPrEx>
          <w:tblCellMar>
            <w:top w:w="0" w:type="dxa"/>
            <w:bottom w:w="0" w:type="dxa"/>
          </w:tblCellMar>
        </w:tblPrEx>
        <w:tc>
          <w:tcPr>
            <w:tcW w:w="3837" w:type="dxa"/>
            <w:tcBorders>
              <w:top w:val="nil"/>
              <w:bottom w:val="nil"/>
            </w:tcBorders>
          </w:tcPr>
          <w:p w:rsidR="00000000" w:rsidRDefault="00000000">
            <w:pPr>
              <w:jc w:val="center"/>
              <w:rPr>
                <w:sz w:val="22"/>
              </w:rPr>
            </w:pPr>
            <w:r>
              <w:rPr>
                <w:sz w:val="22"/>
              </w:rPr>
              <w:t>1997</w:t>
            </w:r>
          </w:p>
        </w:tc>
        <w:tc>
          <w:tcPr>
            <w:tcW w:w="3723" w:type="dxa"/>
            <w:tcBorders>
              <w:top w:val="nil"/>
              <w:bottom w:val="nil"/>
            </w:tcBorders>
          </w:tcPr>
          <w:p w:rsidR="00000000" w:rsidRDefault="00000000">
            <w:pPr>
              <w:jc w:val="center"/>
              <w:rPr>
                <w:sz w:val="22"/>
              </w:rPr>
            </w:pPr>
            <w:r>
              <w:rPr>
                <w:sz w:val="22"/>
              </w:rPr>
              <w:t>23,551</w:t>
            </w:r>
          </w:p>
        </w:tc>
      </w:tr>
      <w:tr w:rsidR="00000000">
        <w:tblPrEx>
          <w:tblCellMar>
            <w:top w:w="0" w:type="dxa"/>
            <w:bottom w:w="0" w:type="dxa"/>
          </w:tblCellMar>
        </w:tblPrEx>
        <w:tc>
          <w:tcPr>
            <w:tcW w:w="3837" w:type="dxa"/>
            <w:tcBorders>
              <w:top w:val="nil"/>
              <w:bottom w:val="nil"/>
            </w:tcBorders>
          </w:tcPr>
          <w:p w:rsidR="00000000" w:rsidRDefault="00000000">
            <w:pPr>
              <w:jc w:val="center"/>
              <w:rPr>
                <w:sz w:val="22"/>
              </w:rPr>
            </w:pPr>
            <w:r>
              <w:rPr>
                <w:sz w:val="22"/>
              </w:rPr>
              <w:t>1998</w:t>
            </w:r>
          </w:p>
        </w:tc>
        <w:tc>
          <w:tcPr>
            <w:tcW w:w="3723" w:type="dxa"/>
            <w:tcBorders>
              <w:top w:val="nil"/>
              <w:bottom w:val="nil"/>
            </w:tcBorders>
          </w:tcPr>
          <w:p w:rsidR="00000000" w:rsidRDefault="00000000">
            <w:pPr>
              <w:jc w:val="center"/>
              <w:rPr>
                <w:sz w:val="22"/>
              </w:rPr>
            </w:pPr>
            <w:r>
              <w:rPr>
                <w:sz w:val="22"/>
              </w:rPr>
              <w:t>25,017</w:t>
            </w:r>
          </w:p>
        </w:tc>
      </w:tr>
      <w:tr w:rsidR="00000000">
        <w:tblPrEx>
          <w:tblCellMar>
            <w:top w:w="0" w:type="dxa"/>
            <w:bottom w:w="0" w:type="dxa"/>
          </w:tblCellMar>
        </w:tblPrEx>
        <w:tc>
          <w:tcPr>
            <w:tcW w:w="3837" w:type="dxa"/>
            <w:tcBorders>
              <w:top w:val="nil"/>
            </w:tcBorders>
          </w:tcPr>
          <w:p w:rsidR="00000000" w:rsidRDefault="00000000">
            <w:pPr>
              <w:jc w:val="center"/>
              <w:rPr>
                <w:sz w:val="22"/>
              </w:rPr>
            </w:pPr>
            <w:r>
              <w:rPr>
                <w:sz w:val="22"/>
              </w:rPr>
              <w:t>1999</w:t>
            </w:r>
          </w:p>
        </w:tc>
        <w:tc>
          <w:tcPr>
            <w:tcW w:w="3723" w:type="dxa"/>
            <w:tcBorders>
              <w:top w:val="nil"/>
            </w:tcBorders>
          </w:tcPr>
          <w:p w:rsidR="00000000" w:rsidRDefault="00000000">
            <w:pPr>
              <w:jc w:val="center"/>
              <w:rPr>
                <w:sz w:val="22"/>
              </w:rPr>
            </w:pPr>
            <w:r>
              <w:rPr>
                <w:sz w:val="22"/>
              </w:rPr>
              <w:t>20,365</w:t>
            </w:r>
          </w:p>
        </w:tc>
      </w:tr>
    </w:tbl>
    <w:p w:rsidR="00000000" w:rsidRDefault="00000000">
      <w:pPr>
        <w:rPr>
          <w:rFonts w:hint="eastAsia"/>
        </w:rPr>
      </w:pPr>
    </w:p>
    <w:p w:rsidR="00000000" w:rsidRDefault="00000000">
      <w:pPr>
        <w:rPr>
          <w:rFonts w:hint="eastAsia"/>
        </w:rPr>
      </w:pPr>
      <w:r>
        <w:rPr>
          <w:rFonts w:hint="eastAsia"/>
        </w:rPr>
        <w:tab/>
        <w:t xml:space="preserve">134.  </w:t>
      </w:r>
      <w:r>
        <w:rPr>
          <w:rFonts w:hint="eastAsia"/>
        </w:rPr>
        <w:t>根据“有关向外国人发放短期居留证”的第</w:t>
      </w:r>
      <w:r>
        <w:rPr>
          <w:rFonts w:hint="eastAsia"/>
        </w:rPr>
        <w:t>359/97</w:t>
      </w:r>
      <w:r>
        <w:rPr>
          <w:rFonts w:hint="eastAsia"/>
        </w:rPr>
        <w:t>号总统令以及“有关在希腊的外国人合法居留和工作的条件和程序”的第</w:t>
      </w:r>
      <w:r>
        <w:rPr>
          <w:rFonts w:hint="eastAsia"/>
        </w:rPr>
        <w:t>358/97</w:t>
      </w:r>
      <w:r>
        <w:rPr>
          <w:rFonts w:hint="eastAsia"/>
        </w:rPr>
        <w:t>号总统令，可对在希腊非法居留的外国人实行监管。作为这一领域的主管机构，人力雇佣组织根据这一程序，发放了</w:t>
      </w:r>
      <w:r>
        <w:rPr>
          <w:rFonts w:hint="eastAsia"/>
        </w:rPr>
        <w:t>233,000</w:t>
      </w:r>
      <w:r>
        <w:rPr>
          <w:rFonts w:hint="eastAsia"/>
        </w:rPr>
        <w:t>张绿卡，允许有关外国人居留和工作。</w:t>
      </w:r>
    </w:p>
    <w:p w:rsidR="00000000" w:rsidRDefault="00000000">
      <w:pPr>
        <w:rPr>
          <w:rFonts w:hint="eastAsia"/>
        </w:rPr>
      </w:pPr>
      <w:r>
        <w:rPr>
          <w:rFonts w:hint="eastAsia"/>
        </w:rPr>
        <w:tab/>
        <w:t xml:space="preserve">135.  </w:t>
      </w:r>
      <w:r>
        <w:rPr>
          <w:rFonts w:hint="eastAsia"/>
        </w:rPr>
        <w:t>为了解决日益增多的外国人所引起的问题，必须在考虑到新的条件以及国际趋势的情况下，制定长期的移民政策。因此，“有关外国人在希腊的入境和居留，通过归化和其他规定获得希腊国籍”的第</w:t>
      </w:r>
      <w:r>
        <w:rPr>
          <w:rFonts w:hint="eastAsia"/>
        </w:rPr>
        <w:t>2910/2001</w:t>
      </w:r>
      <w:r>
        <w:rPr>
          <w:rFonts w:hint="eastAsia"/>
        </w:rPr>
        <w:t>号法令</w:t>
      </w:r>
      <w:r>
        <w:rPr>
          <w:rFonts w:hint="eastAsia"/>
        </w:rPr>
        <w:t>(</w:t>
      </w:r>
      <w:r>
        <w:rPr>
          <w:rFonts w:hint="eastAsia"/>
        </w:rPr>
        <w:t>《政府公报》，简报</w:t>
      </w:r>
      <w:r>
        <w:rPr>
          <w:rFonts w:hint="eastAsia"/>
        </w:rPr>
        <w:t xml:space="preserve">A, </w:t>
      </w:r>
      <w:r>
        <w:rPr>
          <w:rFonts w:hint="eastAsia"/>
        </w:rPr>
        <w:t>第</w:t>
      </w:r>
      <w:r>
        <w:rPr>
          <w:rFonts w:hint="eastAsia"/>
        </w:rPr>
        <w:t>91/2.5.2001</w:t>
      </w:r>
      <w:r>
        <w:rPr>
          <w:rFonts w:hint="eastAsia"/>
        </w:rPr>
        <w:t>期</w:t>
      </w:r>
      <w:r>
        <w:rPr>
          <w:rFonts w:hint="eastAsia"/>
        </w:rPr>
        <w:t xml:space="preserve">) </w:t>
      </w:r>
      <w:r>
        <w:rPr>
          <w:rFonts w:hint="eastAsia"/>
        </w:rPr>
        <w:t>获得议会投票通过。新的移民政策一方面规定了在希腊的外国人合法入境、居留和工作的条件，另一方面保护了在希腊居住的外国人的权利，并为他们融入希腊社会创造了条件，从而完全解决了移民问题。</w:t>
      </w:r>
    </w:p>
    <w:p w:rsidR="00000000" w:rsidRDefault="00000000">
      <w:pPr>
        <w:spacing w:after="240"/>
        <w:rPr>
          <w:rFonts w:hint="eastAsia"/>
        </w:rPr>
      </w:pPr>
      <w:r>
        <w:rPr>
          <w:rFonts w:hint="eastAsia"/>
        </w:rPr>
        <w:tab/>
        <w:t xml:space="preserve">136.  </w:t>
      </w:r>
      <w:r>
        <w:rPr>
          <w:rFonts w:hint="eastAsia"/>
        </w:rPr>
        <w:t>这项新的法令还为居住在希腊的非法移民提供了办理正常手续的第二次机会。根据现有的初步数据，提出的有关申请已经达到</w:t>
      </w:r>
      <w:r>
        <w:rPr>
          <w:rFonts w:hint="eastAsia"/>
        </w:rPr>
        <w:t>367,504</w:t>
      </w:r>
      <w:r>
        <w:rPr>
          <w:rFonts w:hint="eastAsia"/>
        </w:rPr>
        <w:t>份。</w:t>
      </w:r>
    </w:p>
    <w:p w:rsidR="00000000" w:rsidRDefault="00000000">
      <w:pPr>
        <w:pStyle w:val="Heading4"/>
        <w:rPr>
          <w:rFonts w:hint="eastAsia"/>
        </w:rPr>
      </w:pPr>
      <w:r>
        <w:rPr>
          <w:rFonts w:hint="eastAsia"/>
        </w:rPr>
        <w:t>妇女的就业</w:t>
      </w:r>
    </w:p>
    <w:p w:rsidR="00000000" w:rsidRDefault="00000000">
      <w:pPr>
        <w:rPr>
          <w:rFonts w:hint="eastAsia"/>
        </w:rPr>
      </w:pPr>
      <w:r>
        <w:rPr>
          <w:rFonts w:hint="eastAsia"/>
        </w:rPr>
        <w:tab/>
        <w:t xml:space="preserve">137.  </w:t>
      </w:r>
      <w:r>
        <w:rPr>
          <w:rFonts w:hint="eastAsia"/>
        </w:rPr>
        <w:t>人力雇佣组织为了确保落实男子和妇女在就业方面的同等机会和同等待遇的权利，通过采取特别措施制定和实施有关补贴雇用的方案，以便推动妇女的就业。</w:t>
      </w:r>
    </w:p>
    <w:p w:rsidR="00000000" w:rsidRDefault="00000000">
      <w:pPr>
        <w:rPr>
          <w:rFonts w:hint="eastAsia"/>
        </w:rPr>
      </w:pPr>
      <w:r>
        <w:rPr>
          <w:rFonts w:hint="eastAsia"/>
        </w:rPr>
        <w:tab/>
        <w:t xml:space="preserve">138.  </w:t>
      </w:r>
      <w:r>
        <w:rPr>
          <w:rFonts w:hint="eastAsia"/>
        </w:rPr>
        <w:t>具体来说，人力雇佣组织通过“青年专业工作者”和“新工作岗位”等方案，向包括妇女在内的弱势群体提供更为有利的经济和其他方面的条件，支持和促进他们在劳动力市场的发展，因为这些群体面临更加严重的问题，在进入劳动力市场方面遇到更多的困难。为了帮助妇女解决这些问题，已经采取了有利于她们的特殊措施</w:t>
      </w:r>
      <w:r>
        <w:rPr>
          <w:rFonts w:hint="eastAsia"/>
        </w:rPr>
        <w:t>(</w:t>
      </w:r>
      <w:r>
        <w:rPr>
          <w:rFonts w:hint="eastAsia"/>
        </w:rPr>
        <w:t>例如，增加补助</w:t>
      </w:r>
      <w:r>
        <w:rPr>
          <w:rFonts w:hint="eastAsia"/>
        </w:rPr>
        <w:t>)</w:t>
      </w:r>
      <w:r>
        <w:rPr>
          <w:rFonts w:hint="eastAsia"/>
        </w:rPr>
        <w:t>。</w:t>
      </w:r>
    </w:p>
    <w:p w:rsidR="00000000" w:rsidRDefault="00000000">
      <w:pPr>
        <w:spacing w:after="240"/>
        <w:rPr>
          <w:rFonts w:hint="eastAsia"/>
        </w:rPr>
      </w:pPr>
      <w:r>
        <w:rPr>
          <w:rFonts w:hint="eastAsia"/>
        </w:rPr>
        <w:tab/>
        <w:t xml:space="preserve">139.  </w:t>
      </w:r>
      <w:r>
        <w:rPr>
          <w:rFonts w:hint="eastAsia"/>
        </w:rPr>
        <w:t>关于促进弱势群体就业方案的详细情况，请参看</w:t>
      </w:r>
      <w:r>
        <w:rPr>
          <w:rFonts w:hint="eastAsia"/>
        </w:rPr>
        <w:t>2000</w:t>
      </w:r>
      <w:r>
        <w:rPr>
          <w:rFonts w:hint="eastAsia"/>
        </w:rPr>
        <w:t>年提交国际劳工组织的有关实施国际劳工组织关于就业政策的第</w:t>
      </w:r>
      <w:r>
        <w:rPr>
          <w:rFonts w:hint="eastAsia"/>
        </w:rPr>
        <w:t>122</w:t>
      </w:r>
      <w:r>
        <w:rPr>
          <w:rFonts w:hint="eastAsia"/>
        </w:rPr>
        <w:t>号公约的国家报告</w:t>
      </w:r>
      <w:r>
        <w:rPr>
          <w:rFonts w:hint="eastAsia"/>
        </w:rPr>
        <w:t>(</w:t>
      </w:r>
      <w:r>
        <w:rPr>
          <w:rFonts w:hint="eastAsia"/>
        </w:rPr>
        <w:t>附录二</w:t>
      </w:r>
      <w:r>
        <w:rPr>
          <w:rFonts w:hint="eastAsia"/>
        </w:rPr>
        <w:t>)</w:t>
      </w:r>
      <w:r>
        <w:rPr>
          <w:rFonts w:hint="eastAsia"/>
        </w:rPr>
        <w:t>。</w:t>
      </w:r>
    </w:p>
    <w:p w:rsidR="00000000" w:rsidRDefault="00000000">
      <w:pPr>
        <w:pStyle w:val="Heading4"/>
        <w:rPr>
          <w:rFonts w:hint="eastAsia"/>
        </w:rPr>
      </w:pPr>
      <w:r>
        <w:rPr>
          <w:rFonts w:hint="eastAsia"/>
        </w:rPr>
        <w:t>兼职劳动人口的比例</w:t>
      </w:r>
    </w:p>
    <w:p w:rsidR="00000000" w:rsidRDefault="00000000">
      <w:pPr>
        <w:spacing w:after="240"/>
        <w:rPr>
          <w:rFonts w:hint="eastAsia"/>
        </w:rPr>
      </w:pPr>
      <w:r>
        <w:rPr>
          <w:rFonts w:hint="eastAsia"/>
        </w:rPr>
        <w:tab/>
        <w:t>140.  1997</w:t>
      </w:r>
      <w:r>
        <w:rPr>
          <w:rFonts w:hint="eastAsia"/>
        </w:rPr>
        <w:t>年至</w:t>
      </w:r>
      <w:r>
        <w:rPr>
          <w:rFonts w:hint="eastAsia"/>
        </w:rPr>
        <w:t>2000</w:t>
      </w:r>
      <w:r>
        <w:rPr>
          <w:rFonts w:hint="eastAsia"/>
        </w:rPr>
        <w:t>年兼职劳动人口的比例请看下文。应当指出，在全部劳动人口之中，全日制和非全日制工作的职工是混杂在一起的，也就是说，数据并不显示，第一份工作是否全日制工作，也没有表明兼职者是否为了享受富足的生活：</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37"/>
        <w:gridCol w:w="3723"/>
      </w:tblGrid>
      <w:tr w:rsidR="00000000">
        <w:tblPrEx>
          <w:tblCellMar>
            <w:top w:w="0" w:type="dxa"/>
            <w:bottom w:w="0" w:type="dxa"/>
          </w:tblCellMar>
        </w:tblPrEx>
        <w:tc>
          <w:tcPr>
            <w:tcW w:w="3837" w:type="dxa"/>
          </w:tcPr>
          <w:p w:rsidR="00000000" w:rsidRDefault="00000000">
            <w:pPr>
              <w:spacing w:before="120"/>
              <w:jc w:val="center"/>
              <w:rPr>
                <w:rFonts w:hint="eastAsia"/>
                <w:sz w:val="22"/>
              </w:rPr>
            </w:pPr>
            <w:r>
              <w:rPr>
                <w:rFonts w:hint="eastAsia"/>
                <w:sz w:val="22"/>
              </w:rPr>
              <w:t>年</w:t>
            </w:r>
            <w:r>
              <w:rPr>
                <w:rFonts w:hint="eastAsia"/>
                <w:sz w:val="22"/>
              </w:rPr>
              <w:t xml:space="preserve">  </w:t>
            </w:r>
            <w:r>
              <w:rPr>
                <w:rFonts w:hint="eastAsia"/>
                <w:sz w:val="22"/>
              </w:rPr>
              <w:t>份</w:t>
            </w:r>
          </w:p>
        </w:tc>
        <w:tc>
          <w:tcPr>
            <w:tcW w:w="3723" w:type="dxa"/>
          </w:tcPr>
          <w:p w:rsidR="00000000" w:rsidRDefault="00000000">
            <w:pPr>
              <w:spacing w:before="120"/>
              <w:jc w:val="center"/>
              <w:rPr>
                <w:rFonts w:hint="eastAsia"/>
                <w:sz w:val="22"/>
              </w:rPr>
            </w:pPr>
            <w:r>
              <w:rPr>
                <w:rFonts w:hint="eastAsia"/>
                <w:sz w:val="22"/>
              </w:rPr>
              <w:t>百</w:t>
            </w:r>
            <w:r>
              <w:rPr>
                <w:rFonts w:hint="eastAsia"/>
                <w:sz w:val="22"/>
              </w:rPr>
              <w:t xml:space="preserve"> </w:t>
            </w:r>
            <w:r>
              <w:rPr>
                <w:rFonts w:hint="eastAsia"/>
                <w:sz w:val="22"/>
              </w:rPr>
              <w:t>分</w:t>
            </w:r>
            <w:r>
              <w:rPr>
                <w:rFonts w:hint="eastAsia"/>
                <w:sz w:val="22"/>
              </w:rPr>
              <w:t xml:space="preserve"> </w:t>
            </w:r>
            <w:r>
              <w:rPr>
                <w:rFonts w:hint="eastAsia"/>
                <w:sz w:val="22"/>
              </w:rPr>
              <w:t>比</w:t>
            </w:r>
          </w:p>
        </w:tc>
      </w:tr>
      <w:tr w:rsidR="00000000">
        <w:tblPrEx>
          <w:tblCellMar>
            <w:top w:w="0" w:type="dxa"/>
            <w:bottom w:w="0" w:type="dxa"/>
          </w:tblCellMar>
        </w:tblPrEx>
        <w:tc>
          <w:tcPr>
            <w:tcW w:w="3837" w:type="dxa"/>
            <w:tcBorders>
              <w:bottom w:val="nil"/>
            </w:tcBorders>
          </w:tcPr>
          <w:p w:rsidR="00000000" w:rsidRDefault="00000000">
            <w:pPr>
              <w:spacing w:before="120"/>
              <w:jc w:val="center"/>
              <w:rPr>
                <w:rFonts w:hint="eastAsia"/>
                <w:sz w:val="22"/>
              </w:rPr>
            </w:pPr>
            <w:r>
              <w:rPr>
                <w:sz w:val="22"/>
              </w:rPr>
              <w:t>199</w:t>
            </w:r>
            <w:r>
              <w:rPr>
                <w:rFonts w:hint="eastAsia"/>
                <w:sz w:val="22"/>
              </w:rPr>
              <w:t>7</w:t>
            </w:r>
          </w:p>
        </w:tc>
        <w:tc>
          <w:tcPr>
            <w:tcW w:w="3723" w:type="dxa"/>
            <w:tcBorders>
              <w:bottom w:val="nil"/>
            </w:tcBorders>
          </w:tcPr>
          <w:p w:rsidR="00000000" w:rsidRDefault="00000000">
            <w:pPr>
              <w:spacing w:before="120"/>
              <w:jc w:val="center"/>
              <w:rPr>
                <w:rFonts w:hint="eastAsia"/>
                <w:sz w:val="22"/>
              </w:rPr>
            </w:pPr>
            <w:r>
              <w:rPr>
                <w:rFonts w:hint="eastAsia"/>
                <w:sz w:val="22"/>
              </w:rPr>
              <w:t>3.6</w:t>
            </w:r>
          </w:p>
        </w:tc>
      </w:tr>
      <w:tr w:rsidR="00000000">
        <w:tblPrEx>
          <w:tblCellMar>
            <w:top w:w="0" w:type="dxa"/>
            <w:bottom w:w="0" w:type="dxa"/>
          </w:tblCellMar>
        </w:tblPrEx>
        <w:tc>
          <w:tcPr>
            <w:tcW w:w="3837" w:type="dxa"/>
            <w:tcBorders>
              <w:top w:val="nil"/>
              <w:bottom w:val="nil"/>
            </w:tcBorders>
          </w:tcPr>
          <w:p w:rsidR="00000000" w:rsidRDefault="00000000">
            <w:pPr>
              <w:jc w:val="center"/>
              <w:rPr>
                <w:rFonts w:hint="eastAsia"/>
                <w:sz w:val="22"/>
              </w:rPr>
            </w:pPr>
            <w:r>
              <w:rPr>
                <w:sz w:val="22"/>
              </w:rPr>
              <w:t>199</w:t>
            </w:r>
            <w:r>
              <w:rPr>
                <w:rFonts w:hint="eastAsia"/>
                <w:sz w:val="22"/>
              </w:rPr>
              <w:t>8</w:t>
            </w:r>
          </w:p>
        </w:tc>
        <w:tc>
          <w:tcPr>
            <w:tcW w:w="3723" w:type="dxa"/>
            <w:tcBorders>
              <w:top w:val="nil"/>
              <w:bottom w:val="nil"/>
            </w:tcBorders>
          </w:tcPr>
          <w:p w:rsidR="00000000" w:rsidRDefault="00000000">
            <w:pPr>
              <w:jc w:val="center"/>
              <w:rPr>
                <w:rFonts w:hint="eastAsia"/>
                <w:sz w:val="22"/>
              </w:rPr>
            </w:pPr>
            <w:r>
              <w:rPr>
                <w:rFonts w:hint="eastAsia"/>
                <w:sz w:val="22"/>
              </w:rPr>
              <w:t>4.7</w:t>
            </w:r>
          </w:p>
        </w:tc>
      </w:tr>
      <w:tr w:rsidR="00000000">
        <w:tblPrEx>
          <w:tblCellMar>
            <w:top w:w="0" w:type="dxa"/>
            <w:bottom w:w="0" w:type="dxa"/>
          </w:tblCellMar>
        </w:tblPrEx>
        <w:tc>
          <w:tcPr>
            <w:tcW w:w="3837" w:type="dxa"/>
            <w:tcBorders>
              <w:top w:val="nil"/>
              <w:bottom w:val="nil"/>
            </w:tcBorders>
          </w:tcPr>
          <w:p w:rsidR="00000000" w:rsidRDefault="00000000">
            <w:pPr>
              <w:jc w:val="center"/>
              <w:rPr>
                <w:rFonts w:hint="eastAsia"/>
                <w:sz w:val="22"/>
              </w:rPr>
            </w:pPr>
            <w:r>
              <w:rPr>
                <w:sz w:val="22"/>
              </w:rPr>
              <w:t>199</w:t>
            </w:r>
            <w:r>
              <w:rPr>
                <w:rFonts w:hint="eastAsia"/>
                <w:sz w:val="22"/>
              </w:rPr>
              <w:t>9</w:t>
            </w:r>
          </w:p>
        </w:tc>
        <w:tc>
          <w:tcPr>
            <w:tcW w:w="3723" w:type="dxa"/>
            <w:tcBorders>
              <w:top w:val="nil"/>
              <w:bottom w:val="nil"/>
            </w:tcBorders>
          </w:tcPr>
          <w:p w:rsidR="00000000" w:rsidRDefault="00000000">
            <w:pPr>
              <w:jc w:val="center"/>
              <w:rPr>
                <w:rFonts w:hint="eastAsia"/>
                <w:sz w:val="22"/>
              </w:rPr>
            </w:pPr>
            <w:r>
              <w:rPr>
                <w:rFonts w:hint="eastAsia"/>
                <w:sz w:val="22"/>
              </w:rPr>
              <w:t>4.3</w:t>
            </w:r>
          </w:p>
        </w:tc>
      </w:tr>
      <w:tr w:rsidR="00000000">
        <w:tblPrEx>
          <w:tblCellMar>
            <w:top w:w="0" w:type="dxa"/>
            <w:bottom w:w="0" w:type="dxa"/>
          </w:tblCellMar>
        </w:tblPrEx>
        <w:tc>
          <w:tcPr>
            <w:tcW w:w="3837" w:type="dxa"/>
            <w:tcBorders>
              <w:top w:val="nil"/>
            </w:tcBorders>
          </w:tcPr>
          <w:p w:rsidR="00000000" w:rsidRDefault="00000000">
            <w:pPr>
              <w:jc w:val="center"/>
              <w:rPr>
                <w:rFonts w:hint="eastAsia"/>
                <w:sz w:val="22"/>
              </w:rPr>
            </w:pPr>
            <w:r>
              <w:rPr>
                <w:rFonts w:hint="eastAsia"/>
                <w:sz w:val="22"/>
              </w:rPr>
              <w:t>2000</w:t>
            </w:r>
          </w:p>
        </w:tc>
        <w:tc>
          <w:tcPr>
            <w:tcW w:w="3723" w:type="dxa"/>
            <w:tcBorders>
              <w:top w:val="nil"/>
            </w:tcBorders>
          </w:tcPr>
          <w:p w:rsidR="00000000" w:rsidRDefault="00000000">
            <w:pPr>
              <w:jc w:val="center"/>
              <w:rPr>
                <w:rFonts w:hint="eastAsia"/>
                <w:sz w:val="22"/>
              </w:rPr>
            </w:pPr>
            <w:r>
              <w:rPr>
                <w:rFonts w:hint="eastAsia"/>
                <w:sz w:val="22"/>
              </w:rPr>
              <w:t>3.6</w:t>
            </w:r>
          </w:p>
        </w:tc>
      </w:tr>
    </w:tbl>
    <w:p w:rsidR="00000000" w:rsidRDefault="00000000">
      <w:pPr>
        <w:spacing w:before="160"/>
        <w:rPr>
          <w:rFonts w:eastAsia="KaiTi_GB2312" w:hint="eastAsia"/>
          <w:spacing w:val="0"/>
        </w:rPr>
      </w:pPr>
      <w:r>
        <w:rPr>
          <w:rFonts w:eastAsia="KaiTi_GB2312" w:hint="eastAsia"/>
          <w:spacing w:val="0"/>
        </w:rPr>
        <w:tab/>
        <w:t xml:space="preserve">  </w:t>
      </w:r>
      <w:r>
        <w:rPr>
          <w:rFonts w:eastAsia="KaiTi_GB2312" w:hint="eastAsia"/>
          <w:spacing w:val="0"/>
          <w:u w:val="single"/>
        </w:rPr>
        <w:t>资料来源</w:t>
      </w:r>
      <w:r>
        <w:rPr>
          <w:rFonts w:eastAsia="KaiTi_GB2312" w:hint="eastAsia"/>
          <w:spacing w:val="0"/>
        </w:rPr>
        <w:t>：《劳动力调查》</w:t>
      </w:r>
      <w:r>
        <w:rPr>
          <w:rFonts w:eastAsia="KaiTi_GB2312" w:hint="eastAsia"/>
          <w:spacing w:val="0"/>
        </w:rPr>
        <w:t>(1997-2000</w:t>
      </w:r>
      <w:r>
        <w:rPr>
          <w:rFonts w:eastAsia="KaiTi_GB2312" w:hint="eastAsia"/>
          <w:spacing w:val="0"/>
        </w:rPr>
        <w:t>年期间的第二季度</w:t>
      </w:r>
      <w:r>
        <w:rPr>
          <w:rFonts w:eastAsia="KaiTi_GB2312" w:hint="eastAsia"/>
          <w:spacing w:val="0"/>
        </w:rPr>
        <w:t>)</w:t>
      </w:r>
      <w:r>
        <w:rPr>
          <w:rFonts w:eastAsia="KaiTi_GB2312" w:hint="eastAsia"/>
          <w:spacing w:val="0"/>
        </w:rPr>
        <w:t>，希腊国家统计局。</w:t>
      </w:r>
    </w:p>
    <w:p w:rsidR="00000000" w:rsidRDefault="00000000">
      <w:pPr>
        <w:rPr>
          <w:rFonts w:hint="eastAsia"/>
        </w:rPr>
      </w:pPr>
    </w:p>
    <w:p w:rsidR="00000000" w:rsidRDefault="00000000">
      <w:pPr>
        <w:spacing w:after="320"/>
        <w:rPr>
          <w:rFonts w:hint="eastAsia"/>
        </w:rPr>
      </w:pPr>
      <w:r>
        <w:rPr>
          <w:rFonts w:hint="eastAsia"/>
        </w:rPr>
        <w:tab/>
        <w:t xml:space="preserve">141.  </w:t>
      </w:r>
      <w:r>
        <w:rPr>
          <w:rFonts w:hint="eastAsia"/>
        </w:rPr>
        <w:t>旨在实施《公约》第</w:t>
      </w:r>
      <w:r>
        <w:rPr>
          <w:rFonts w:hint="eastAsia"/>
        </w:rPr>
        <w:t>6</w:t>
      </w:r>
      <w:r>
        <w:rPr>
          <w:rFonts w:hint="eastAsia"/>
        </w:rPr>
        <w:t>条而给予第三国的国际援助是在欧盟发展合作框架内提供的</w:t>
      </w:r>
      <w:r>
        <w:rPr>
          <w:rFonts w:hint="eastAsia"/>
        </w:rPr>
        <w:t>(</w:t>
      </w:r>
      <w:r>
        <w:rPr>
          <w:rFonts w:hint="eastAsia"/>
        </w:rPr>
        <w:t>《绿色圣经》、《科托努协定》及《欧洲</w:t>
      </w:r>
      <w:r>
        <w:rPr>
          <w:rFonts w:hint="eastAsia"/>
          <w:spacing w:val="-50"/>
        </w:rPr>
        <w:t>―</w:t>
      </w:r>
      <w:r>
        <w:rPr>
          <w:rFonts w:hint="eastAsia"/>
        </w:rPr>
        <w:t>―地中海协定》</w:t>
      </w:r>
      <w:r>
        <w:rPr>
          <w:rFonts w:hint="eastAsia"/>
        </w:rPr>
        <w:t>)</w:t>
      </w:r>
      <w:r>
        <w:rPr>
          <w:rFonts w:hint="eastAsia"/>
        </w:rPr>
        <w:t>，其援助方向是国际发展七大目标，重点是“农村减贫”。</w:t>
      </w:r>
    </w:p>
    <w:p w:rsidR="00000000" w:rsidRDefault="00000000">
      <w:pPr>
        <w:pStyle w:val="Heading3"/>
        <w:rPr>
          <w:rFonts w:hint="eastAsia"/>
        </w:rPr>
      </w:pPr>
      <w:r>
        <w:rPr>
          <w:rFonts w:hint="eastAsia"/>
        </w:rPr>
        <w:t>第</w:t>
      </w:r>
      <w:r>
        <w:rPr>
          <w:rFonts w:hint="eastAsia"/>
        </w:rPr>
        <w:t xml:space="preserve"> 7 </w:t>
      </w:r>
      <w:r>
        <w:rPr>
          <w:rFonts w:hint="eastAsia"/>
        </w:rPr>
        <w:t>条</w:t>
      </w:r>
    </w:p>
    <w:p w:rsidR="00000000" w:rsidRDefault="00000000">
      <w:pPr>
        <w:rPr>
          <w:rFonts w:hint="eastAsia"/>
        </w:rPr>
      </w:pPr>
      <w:r>
        <w:rPr>
          <w:rFonts w:hint="eastAsia"/>
        </w:rPr>
        <w:tab/>
        <w:t xml:space="preserve">142.  </w:t>
      </w:r>
      <w:r>
        <w:rPr>
          <w:rFonts w:hint="eastAsia"/>
        </w:rPr>
        <w:t>希腊是下列国际劳工组织公约的缔约国：</w:t>
      </w:r>
    </w:p>
    <w:p w:rsidR="00000000" w:rsidRDefault="00000000">
      <w:pPr>
        <w:ind w:left="1040"/>
        <w:rPr>
          <w:rFonts w:hint="eastAsia"/>
        </w:rPr>
      </w:pPr>
      <w:r>
        <w:rPr>
          <w:rFonts w:hint="eastAsia"/>
        </w:rPr>
        <w:t>《</w:t>
      </w:r>
      <w:r>
        <w:rPr>
          <w:rFonts w:hint="eastAsia"/>
        </w:rPr>
        <w:t>1951</w:t>
      </w:r>
      <w:r>
        <w:rPr>
          <w:rFonts w:hint="eastAsia"/>
        </w:rPr>
        <w:t>年同酬公约》</w:t>
      </w:r>
      <w:r>
        <w:rPr>
          <w:rFonts w:hint="eastAsia"/>
        </w:rPr>
        <w:t>(</w:t>
      </w:r>
      <w:r>
        <w:rPr>
          <w:rFonts w:hint="eastAsia"/>
        </w:rPr>
        <w:t>第</w:t>
      </w:r>
      <w:r>
        <w:rPr>
          <w:rFonts w:hint="eastAsia"/>
        </w:rPr>
        <w:t>100</w:t>
      </w:r>
      <w:r>
        <w:rPr>
          <w:rFonts w:hint="eastAsia"/>
        </w:rPr>
        <w:t>号公约</w:t>
      </w:r>
      <w:r>
        <w:rPr>
          <w:rFonts w:hint="eastAsia"/>
        </w:rPr>
        <w:t>)</w:t>
      </w:r>
      <w:r>
        <w:rPr>
          <w:rFonts w:hint="eastAsia"/>
        </w:rPr>
        <w:t>；</w:t>
      </w:r>
    </w:p>
    <w:p w:rsidR="00000000" w:rsidRDefault="00000000">
      <w:pPr>
        <w:ind w:left="1040"/>
        <w:rPr>
          <w:rFonts w:hint="eastAsia"/>
        </w:rPr>
      </w:pPr>
      <w:r>
        <w:rPr>
          <w:rFonts w:hint="eastAsia"/>
        </w:rPr>
        <w:t>《</w:t>
      </w:r>
      <w:r>
        <w:rPr>
          <w:rFonts w:hint="eastAsia"/>
        </w:rPr>
        <w:t>1921</w:t>
      </w:r>
      <w:r>
        <w:rPr>
          <w:rFonts w:hint="eastAsia"/>
        </w:rPr>
        <w:t>年每周休息公约</w:t>
      </w:r>
      <w:r>
        <w:rPr>
          <w:rFonts w:hint="eastAsia"/>
        </w:rPr>
        <w:t>(</w:t>
      </w:r>
      <w:r>
        <w:rPr>
          <w:rFonts w:hint="eastAsia"/>
        </w:rPr>
        <w:t>工业</w:t>
      </w:r>
      <w:r>
        <w:rPr>
          <w:rFonts w:hint="eastAsia"/>
        </w:rPr>
        <w:t>)</w:t>
      </w:r>
      <w:r>
        <w:rPr>
          <w:rFonts w:hint="eastAsia"/>
        </w:rPr>
        <w:t>》</w:t>
      </w:r>
      <w:r>
        <w:rPr>
          <w:rFonts w:hint="eastAsia"/>
        </w:rPr>
        <w:t>(</w:t>
      </w:r>
      <w:r>
        <w:rPr>
          <w:rFonts w:hint="eastAsia"/>
        </w:rPr>
        <w:t>第</w:t>
      </w:r>
      <w:r>
        <w:rPr>
          <w:rFonts w:hint="eastAsia"/>
        </w:rPr>
        <w:t>14</w:t>
      </w:r>
      <w:r>
        <w:rPr>
          <w:rFonts w:hint="eastAsia"/>
        </w:rPr>
        <w:t>号公约</w:t>
      </w:r>
      <w:r>
        <w:rPr>
          <w:rFonts w:hint="eastAsia"/>
        </w:rPr>
        <w:t>)</w:t>
      </w:r>
      <w:r>
        <w:rPr>
          <w:rFonts w:hint="eastAsia"/>
        </w:rPr>
        <w:t>；</w:t>
      </w:r>
    </w:p>
    <w:p w:rsidR="00000000" w:rsidRDefault="00000000">
      <w:pPr>
        <w:ind w:left="1040"/>
        <w:rPr>
          <w:rFonts w:hint="eastAsia"/>
        </w:rPr>
      </w:pPr>
      <w:r>
        <w:rPr>
          <w:rFonts w:hint="eastAsia"/>
        </w:rPr>
        <w:t>《</w:t>
      </w:r>
      <w:r>
        <w:rPr>
          <w:rFonts w:hint="eastAsia"/>
        </w:rPr>
        <w:t>1957</w:t>
      </w:r>
      <w:r>
        <w:rPr>
          <w:rFonts w:hint="eastAsia"/>
        </w:rPr>
        <w:t>年每周休息公约</w:t>
      </w:r>
      <w:r>
        <w:rPr>
          <w:rFonts w:hint="eastAsia"/>
        </w:rPr>
        <w:t>(</w:t>
      </w:r>
      <w:r>
        <w:rPr>
          <w:rFonts w:hint="eastAsia"/>
        </w:rPr>
        <w:t>商业和办公室</w:t>
      </w:r>
      <w:r>
        <w:rPr>
          <w:rFonts w:hint="eastAsia"/>
        </w:rPr>
        <w:t>)</w:t>
      </w:r>
      <w:r>
        <w:rPr>
          <w:rFonts w:hint="eastAsia"/>
        </w:rPr>
        <w:t>》</w:t>
      </w:r>
      <w:r>
        <w:rPr>
          <w:rFonts w:hint="eastAsia"/>
        </w:rPr>
        <w:t>(</w:t>
      </w:r>
      <w:r>
        <w:rPr>
          <w:rFonts w:hint="eastAsia"/>
        </w:rPr>
        <w:t>第</w:t>
      </w:r>
      <w:r>
        <w:rPr>
          <w:rFonts w:hint="eastAsia"/>
        </w:rPr>
        <w:t>106</w:t>
      </w:r>
      <w:r>
        <w:rPr>
          <w:rFonts w:hint="eastAsia"/>
        </w:rPr>
        <w:t>号公约</w:t>
      </w:r>
      <w:r>
        <w:rPr>
          <w:rFonts w:hint="eastAsia"/>
        </w:rPr>
        <w:t>)</w:t>
      </w:r>
      <w:r>
        <w:rPr>
          <w:rFonts w:hint="eastAsia"/>
        </w:rPr>
        <w:t>；以及</w:t>
      </w:r>
    </w:p>
    <w:p w:rsidR="00000000" w:rsidRDefault="00000000">
      <w:pPr>
        <w:ind w:left="1040"/>
        <w:rPr>
          <w:rFonts w:hint="eastAsia"/>
        </w:rPr>
      </w:pPr>
      <w:r>
        <w:rPr>
          <w:rFonts w:hint="eastAsia"/>
        </w:rPr>
        <w:t>《</w:t>
      </w:r>
      <w:r>
        <w:rPr>
          <w:rFonts w:hint="eastAsia"/>
        </w:rPr>
        <w:t>1947</w:t>
      </w:r>
      <w:r>
        <w:rPr>
          <w:rFonts w:hint="eastAsia"/>
        </w:rPr>
        <w:t>年劳动监察公约》</w:t>
      </w:r>
      <w:r>
        <w:rPr>
          <w:rFonts w:hint="eastAsia"/>
        </w:rPr>
        <w:t>(</w:t>
      </w:r>
      <w:r>
        <w:rPr>
          <w:rFonts w:hint="eastAsia"/>
        </w:rPr>
        <w:t>第</w:t>
      </w:r>
      <w:r>
        <w:rPr>
          <w:rFonts w:hint="eastAsia"/>
        </w:rPr>
        <w:t>81</w:t>
      </w:r>
      <w:r>
        <w:rPr>
          <w:rFonts w:hint="eastAsia"/>
        </w:rPr>
        <w:t>号公约</w:t>
      </w:r>
      <w:r>
        <w:rPr>
          <w:rFonts w:hint="eastAsia"/>
        </w:rPr>
        <w:t>)</w:t>
      </w:r>
      <w:r>
        <w:rPr>
          <w:rFonts w:hint="eastAsia"/>
        </w:rPr>
        <w:t>。</w:t>
      </w:r>
    </w:p>
    <w:p w:rsidR="00000000" w:rsidRDefault="00000000">
      <w:pPr>
        <w:rPr>
          <w:rFonts w:hint="eastAsia"/>
        </w:rPr>
      </w:pPr>
      <w:r>
        <w:rPr>
          <w:rFonts w:hint="eastAsia"/>
        </w:rPr>
        <w:tab/>
        <w:t xml:space="preserve">143.  </w:t>
      </w:r>
      <w:r>
        <w:rPr>
          <w:rFonts w:hint="eastAsia"/>
        </w:rPr>
        <w:t>希腊《宪法》第</w:t>
      </w:r>
      <w:r>
        <w:rPr>
          <w:rFonts w:hint="eastAsia"/>
        </w:rPr>
        <w:t>22</w:t>
      </w:r>
      <w:r>
        <w:rPr>
          <w:rFonts w:hint="eastAsia"/>
        </w:rPr>
        <w:t>条第</w:t>
      </w:r>
      <w:r>
        <w:rPr>
          <w:rFonts w:hint="eastAsia"/>
        </w:rPr>
        <w:t>2</w:t>
      </w:r>
      <w:r>
        <w:rPr>
          <w:rFonts w:hint="eastAsia"/>
        </w:rPr>
        <w:t>款规定，“一般劳动条件应由法律规定，并由经过自由谈判签订的劳动集体协定加以补充，在没有上述法律和协定的情况下，则通过仲裁加以规定。”</w:t>
      </w:r>
    </w:p>
    <w:p w:rsidR="00000000" w:rsidRDefault="00000000">
      <w:pPr>
        <w:rPr>
          <w:rFonts w:hint="eastAsia"/>
        </w:rPr>
      </w:pPr>
      <w:r>
        <w:rPr>
          <w:rFonts w:hint="eastAsia"/>
        </w:rPr>
        <w:tab/>
        <w:t xml:space="preserve">144.  </w:t>
      </w:r>
      <w:r>
        <w:rPr>
          <w:rFonts w:hint="eastAsia"/>
        </w:rPr>
        <w:t>为此目的并且为了实施《宪法》第</w:t>
      </w:r>
      <w:r>
        <w:rPr>
          <w:rFonts w:hint="eastAsia"/>
        </w:rPr>
        <w:t>22</w:t>
      </w:r>
      <w:r>
        <w:rPr>
          <w:rFonts w:hint="eastAsia"/>
        </w:rPr>
        <w:t>条，希腊议会投票通过了有关“自由集体谈判”的第</w:t>
      </w:r>
      <w:r>
        <w:rPr>
          <w:rFonts w:hint="eastAsia"/>
        </w:rPr>
        <w:t>1876/90</w:t>
      </w:r>
      <w:r>
        <w:rPr>
          <w:rFonts w:hint="eastAsia"/>
        </w:rPr>
        <w:t>号法令，该法令于</w:t>
      </w:r>
      <w:r>
        <w:rPr>
          <w:rFonts w:hint="eastAsia"/>
        </w:rPr>
        <w:t>1990</w:t>
      </w:r>
      <w:r>
        <w:rPr>
          <w:rFonts w:hint="eastAsia"/>
        </w:rPr>
        <w:t>年生效。这项法令赋予职业组织</w:t>
      </w:r>
      <w:r>
        <w:rPr>
          <w:rFonts w:hint="eastAsia"/>
        </w:rPr>
        <w:t>(</w:t>
      </w:r>
      <w:r>
        <w:rPr>
          <w:rFonts w:hint="eastAsia"/>
        </w:rPr>
        <w:t>工人组织和雇主组织</w:t>
      </w:r>
      <w:r>
        <w:rPr>
          <w:rFonts w:hint="eastAsia"/>
        </w:rPr>
        <w:t>)</w:t>
      </w:r>
      <w:r>
        <w:rPr>
          <w:rFonts w:hint="eastAsia"/>
        </w:rPr>
        <w:t>以集体促进和维护其利益的权利，规定这些组织在经过自由集体谈判之后，有权签订劳动集体协议，用以监管职工</w:t>
      </w:r>
      <w:r>
        <w:rPr>
          <w:rFonts w:hint="eastAsia"/>
        </w:rPr>
        <w:t>(</w:t>
      </w:r>
      <w:r>
        <w:rPr>
          <w:rFonts w:hint="eastAsia"/>
        </w:rPr>
        <w:t>包括技术人员和办公室雇员</w:t>
      </w:r>
      <w:r>
        <w:rPr>
          <w:rFonts w:hint="eastAsia"/>
        </w:rPr>
        <w:t>)</w:t>
      </w:r>
      <w:r>
        <w:rPr>
          <w:rFonts w:hint="eastAsia"/>
        </w:rPr>
        <w:t>的工作条件和报酬。</w:t>
      </w:r>
    </w:p>
    <w:p w:rsidR="00000000" w:rsidRDefault="00000000">
      <w:pPr>
        <w:rPr>
          <w:rFonts w:hint="eastAsia"/>
        </w:rPr>
      </w:pPr>
      <w:r>
        <w:rPr>
          <w:rFonts w:hint="eastAsia"/>
        </w:rPr>
        <w:tab/>
        <w:t xml:space="preserve">145.  </w:t>
      </w:r>
      <w:r>
        <w:rPr>
          <w:rFonts w:hint="eastAsia"/>
        </w:rPr>
        <w:t>根据上述规定并且经过雇主组织和雇员组织的自由集体谈判，按照工人的类别和专门知识确定其工资。劳动集体协议的目的是要确保对于职工的最低保护线，也就是每个部门或者每个行业的最低工资。</w:t>
      </w:r>
    </w:p>
    <w:p w:rsidR="00000000" w:rsidRDefault="00000000">
      <w:pPr>
        <w:rPr>
          <w:rFonts w:hint="eastAsia"/>
        </w:rPr>
      </w:pPr>
      <w:r>
        <w:rPr>
          <w:rFonts w:hint="eastAsia"/>
        </w:rPr>
        <w:tab/>
        <w:t xml:space="preserve">146.  </w:t>
      </w:r>
      <w:r>
        <w:rPr>
          <w:rFonts w:hint="eastAsia"/>
        </w:rPr>
        <w:t>除了劳动集体协议之外，由公认的最有代表性的或者全国性的职工工会和雇主组织也签订全国劳动集体总协定。这种协定适用于所有职工，凌驾一切其他具体条例。全国劳动集体总协定为希腊全国的职工规定了最低工资线，即规定了安全工资。根据第</w:t>
      </w:r>
      <w:r>
        <w:rPr>
          <w:rFonts w:hint="eastAsia"/>
        </w:rPr>
        <w:t>1876/1990</w:t>
      </w:r>
      <w:r>
        <w:rPr>
          <w:rFonts w:hint="eastAsia"/>
        </w:rPr>
        <w:t>号法令第</w:t>
      </w:r>
      <w:r>
        <w:rPr>
          <w:rFonts w:hint="eastAsia"/>
        </w:rPr>
        <w:t>7</w:t>
      </w:r>
      <w:r>
        <w:rPr>
          <w:rFonts w:hint="eastAsia"/>
        </w:rPr>
        <w:t>条，这种协定立即生效并且同法令一样具有强制性的效力。</w:t>
      </w:r>
    </w:p>
    <w:p w:rsidR="00000000" w:rsidRDefault="00000000">
      <w:pPr>
        <w:rPr>
          <w:rFonts w:hint="eastAsia"/>
        </w:rPr>
      </w:pPr>
      <w:r>
        <w:rPr>
          <w:rFonts w:hint="eastAsia"/>
        </w:rPr>
        <w:tab/>
        <w:t xml:space="preserve">147.  </w:t>
      </w:r>
      <w:r>
        <w:rPr>
          <w:rFonts w:hint="eastAsia"/>
        </w:rPr>
        <w:t>各方在谈判之中必须遵守诚信的原则。国家机构必须向有关各方提供有关国民经济发展情况的一切必要信息以及有关各个经济部门的就业状况及价格和工资的数据。必须考虑的因素包括同生活费用相比的工资水平以及劳动的公正报酬。有关确定公正报酬的一个重要因素是通货膨胀，因此不得减少实际收入，同时必须确保职工物质生活、精神生活及文化生活的水平。</w:t>
      </w:r>
    </w:p>
    <w:p w:rsidR="00000000" w:rsidRDefault="00000000">
      <w:pPr>
        <w:rPr>
          <w:rFonts w:hint="eastAsia"/>
        </w:rPr>
      </w:pPr>
      <w:r>
        <w:rPr>
          <w:rFonts w:hint="eastAsia"/>
        </w:rPr>
        <w:tab/>
        <w:t xml:space="preserve">148.  </w:t>
      </w:r>
      <w:r>
        <w:rPr>
          <w:rFonts w:hint="eastAsia"/>
        </w:rPr>
        <w:t>在过去十年中，全国劳动集体总协定所规定的职工每月最低工资如下：</w:t>
      </w:r>
    </w:p>
    <w:p w:rsidR="00000000" w:rsidRDefault="00000000">
      <w:pPr>
        <w:pStyle w:val="a0"/>
        <w:tabs>
          <w:tab w:val="num" w:pos="1550"/>
        </w:tabs>
        <w:ind w:left="1550"/>
        <w:rPr>
          <w:rFonts w:hint="eastAsia"/>
        </w:rPr>
      </w:pPr>
      <w:r>
        <w:rPr>
          <w:rFonts w:hint="eastAsia"/>
        </w:rPr>
        <w:t>1990</w:t>
      </w:r>
      <w:r>
        <w:rPr>
          <w:rFonts w:hint="eastAsia"/>
        </w:rPr>
        <w:t>年</w:t>
      </w:r>
      <w:r>
        <w:rPr>
          <w:rFonts w:hint="eastAsia"/>
        </w:rPr>
        <w:t>(</w:t>
      </w:r>
      <w:r>
        <w:rPr>
          <w:rFonts w:hint="eastAsia"/>
        </w:rPr>
        <w:t>从</w:t>
      </w:r>
      <w:r>
        <w:rPr>
          <w:rFonts w:hint="eastAsia"/>
        </w:rPr>
        <w:t>1990</w:t>
      </w:r>
      <w:r>
        <w:rPr>
          <w:rFonts w:hint="eastAsia"/>
        </w:rPr>
        <w:t>年</w:t>
      </w:r>
      <w:r>
        <w:rPr>
          <w:rFonts w:hint="eastAsia"/>
        </w:rPr>
        <w:t>1</w:t>
      </w:r>
      <w:r>
        <w:rPr>
          <w:rFonts w:hint="eastAsia"/>
        </w:rPr>
        <w:t>月</w:t>
      </w:r>
      <w:r>
        <w:rPr>
          <w:rFonts w:hint="eastAsia"/>
        </w:rPr>
        <w:t>1</w:t>
      </w:r>
      <w:r>
        <w:rPr>
          <w:rFonts w:hint="eastAsia"/>
        </w:rPr>
        <w:t>日开始</w:t>
      </w:r>
      <w:r>
        <w:rPr>
          <w:rFonts w:hint="eastAsia"/>
        </w:rPr>
        <w:t>) 65,105</w:t>
      </w:r>
      <w:r>
        <w:rPr>
          <w:rFonts w:hint="eastAsia"/>
        </w:rPr>
        <w:t>德拉克马；从</w:t>
      </w:r>
      <w:r>
        <w:rPr>
          <w:rFonts w:hint="eastAsia"/>
        </w:rPr>
        <w:t>1990</w:t>
      </w:r>
      <w:r>
        <w:rPr>
          <w:rFonts w:hint="eastAsia"/>
        </w:rPr>
        <w:t>年</w:t>
      </w:r>
      <w:r>
        <w:rPr>
          <w:rFonts w:hint="eastAsia"/>
        </w:rPr>
        <w:t>7</w:t>
      </w:r>
      <w:r>
        <w:rPr>
          <w:rFonts w:hint="eastAsia"/>
        </w:rPr>
        <w:t>月</w:t>
      </w:r>
      <w:r>
        <w:rPr>
          <w:rFonts w:hint="eastAsia"/>
        </w:rPr>
        <w:t>1</w:t>
      </w:r>
      <w:r>
        <w:rPr>
          <w:rFonts w:hint="eastAsia"/>
        </w:rPr>
        <w:t>日开始，</w:t>
      </w:r>
      <w:r>
        <w:rPr>
          <w:rFonts w:hint="eastAsia"/>
        </w:rPr>
        <w:t>69,728</w:t>
      </w:r>
      <w:r>
        <w:rPr>
          <w:rFonts w:hint="eastAsia"/>
        </w:rPr>
        <w:t>德拉克马；</w:t>
      </w:r>
    </w:p>
    <w:p w:rsidR="00000000" w:rsidRDefault="00000000">
      <w:pPr>
        <w:pStyle w:val="a0"/>
        <w:tabs>
          <w:tab w:val="num" w:pos="1550"/>
        </w:tabs>
        <w:ind w:left="1550"/>
        <w:rPr>
          <w:rFonts w:hint="eastAsia"/>
        </w:rPr>
      </w:pPr>
      <w:r>
        <w:rPr>
          <w:rFonts w:hint="eastAsia"/>
        </w:rPr>
        <w:t>1995</w:t>
      </w:r>
      <w:r>
        <w:rPr>
          <w:rFonts w:hint="eastAsia"/>
        </w:rPr>
        <w:t>年</w:t>
      </w:r>
      <w:r>
        <w:rPr>
          <w:rFonts w:hint="eastAsia"/>
        </w:rPr>
        <w:t>(</w:t>
      </w:r>
      <w:r>
        <w:rPr>
          <w:rFonts w:hint="eastAsia"/>
        </w:rPr>
        <w:t>从</w:t>
      </w:r>
      <w:r>
        <w:rPr>
          <w:rFonts w:hint="eastAsia"/>
        </w:rPr>
        <w:t>1995</w:t>
      </w:r>
      <w:r>
        <w:rPr>
          <w:rFonts w:hint="eastAsia"/>
        </w:rPr>
        <w:t>年</w:t>
      </w:r>
      <w:r>
        <w:rPr>
          <w:rFonts w:hint="eastAsia"/>
        </w:rPr>
        <w:t>1</w:t>
      </w:r>
      <w:r>
        <w:rPr>
          <w:rFonts w:hint="eastAsia"/>
        </w:rPr>
        <w:t>月</w:t>
      </w:r>
      <w:r>
        <w:rPr>
          <w:rFonts w:hint="eastAsia"/>
        </w:rPr>
        <w:t>1</w:t>
      </w:r>
      <w:r>
        <w:rPr>
          <w:rFonts w:hint="eastAsia"/>
        </w:rPr>
        <w:t>日开始</w:t>
      </w:r>
      <w:r>
        <w:rPr>
          <w:rFonts w:hint="eastAsia"/>
        </w:rPr>
        <w:t>) 114,634</w:t>
      </w:r>
      <w:r>
        <w:rPr>
          <w:rFonts w:hint="eastAsia"/>
        </w:rPr>
        <w:t>德拉克马；从</w:t>
      </w:r>
      <w:r>
        <w:rPr>
          <w:rFonts w:hint="eastAsia"/>
        </w:rPr>
        <w:t>2000</w:t>
      </w:r>
      <w:r>
        <w:rPr>
          <w:rFonts w:hint="eastAsia"/>
        </w:rPr>
        <w:t>年</w:t>
      </w:r>
      <w:r>
        <w:rPr>
          <w:rFonts w:hint="eastAsia"/>
        </w:rPr>
        <w:t>7</w:t>
      </w:r>
      <w:r>
        <w:rPr>
          <w:rFonts w:hint="eastAsia"/>
        </w:rPr>
        <w:t>月</w:t>
      </w:r>
      <w:r>
        <w:rPr>
          <w:rFonts w:hint="eastAsia"/>
        </w:rPr>
        <w:t>1</w:t>
      </w:r>
      <w:r>
        <w:rPr>
          <w:rFonts w:hint="eastAsia"/>
        </w:rPr>
        <w:t>日开始，</w:t>
      </w:r>
      <w:r>
        <w:rPr>
          <w:rFonts w:hint="eastAsia"/>
        </w:rPr>
        <w:t>119,220</w:t>
      </w:r>
      <w:r>
        <w:rPr>
          <w:rFonts w:hint="eastAsia"/>
        </w:rPr>
        <w:t>德拉克马；及</w:t>
      </w:r>
    </w:p>
    <w:p w:rsidR="00000000" w:rsidRDefault="00000000">
      <w:pPr>
        <w:pStyle w:val="a0"/>
        <w:tabs>
          <w:tab w:val="num" w:pos="1550"/>
        </w:tabs>
        <w:ind w:left="1550"/>
        <w:rPr>
          <w:rFonts w:hint="eastAsia"/>
        </w:rPr>
      </w:pPr>
      <w:r>
        <w:rPr>
          <w:rFonts w:hint="eastAsia"/>
        </w:rPr>
        <w:t>2000</w:t>
      </w:r>
      <w:r>
        <w:rPr>
          <w:rFonts w:hint="eastAsia"/>
        </w:rPr>
        <w:t>年</w:t>
      </w:r>
      <w:r>
        <w:rPr>
          <w:rFonts w:hint="eastAsia"/>
        </w:rPr>
        <w:t>(</w:t>
      </w:r>
      <w:r>
        <w:rPr>
          <w:rFonts w:hint="eastAsia"/>
        </w:rPr>
        <w:t>从</w:t>
      </w:r>
      <w:r>
        <w:rPr>
          <w:rFonts w:hint="eastAsia"/>
        </w:rPr>
        <w:t>2000</w:t>
      </w:r>
      <w:r>
        <w:rPr>
          <w:rFonts w:hint="eastAsia"/>
        </w:rPr>
        <w:t>年</w:t>
      </w:r>
      <w:r>
        <w:rPr>
          <w:rFonts w:hint="eastAsia"/>
        </w:rPr>
        <w:t>1</w:t>
      </w:r>
      <w:r>
        <w:rPr>
          <w:rFonts w:hint="eastAsia"/>
        </w:rPr>
        <w:t>月</w:t>
      </w:r>
      <w:r>
        <w:rPr>
          <w:rFonts w:hint="eastAsia"/>
        </w:rPr>
        <w:t>1</w:t>
      </w:r>
      <w:r>
        <w:rPr>
          <w:rFonts w:hint="eastAsia"/>
        </w:rPr>
        <w:t>日开始</w:t>
      </w:r>
      <w:r>
        <w:rPr>
          <w:rFonts w:hint="eastAsia"/>
        </w:rPr>
        <w:t>) 153,643</w:t>
      </w:r>
      <w:r>
        <w:rPr>
          <w:rFonts w:hint="eastAsia"/>
        </w:rPr>
        <w:t>德拉克马；从</w:t>
      </w:r>
      <w:r>
        <w:rPr>
          <w:rFonts w:hint="eastAsia"/>
        </w:rPr>
        <w:t>2000</w:t>
      </w:r>
      <w:r>
        <w:rPr>
          <w:rFonts w:hint="eastAsia"/>
        </w:rPr>
        <w:t>年</w:t>
      </w:r>
      <w:r>
        <w:rPr>
          <w:rFonts w:hint="eastAsia"/>
        </w:rPr>
        <w:t>7</w:t>
      </w:r>
      <w:r>
        <w:rPr>
          <w:rFonts w:hint="eastAsia"/>
        </w:rPr>
        <w:t>月</w:t>
      </w:r>
      <w:r>
        <w:rPr>
          <w:rFonts w:hint="eastAsia"/>
        </w:rPr>
        <w:t>1</w:t>
      </w:r>
      <w:r>
        <w:rPr>
          <w:rFonts w:hint="eastAsia"/>
        </w:rPr>
        <w:t>日开始，</w:t>
      </w:r>
      <w:r>
        <w:rPr>
          <w:rFonts w:hint="eastAsia"/>
        </w:rPr>
        <w:t>155,948</w:t>
      </w:r>
      <w:r>
        <w:rPr>
          <w:rFonts w:hint="eastAsia"/>
        </w:rPr>
        <w:t>德拉克马。</w:t>
      </w:r>
    </w:p>
    <w:p w:rsidR="00000000" w:rsidRDefault="00000000">
      <w:pPr>
        <w:rPr>
          <w:rFonts w:hint="eastAsia"/>
        </w:rPr>
      </w:pPr>
      <w:r>
        <w:rPr>
          <w:rFonts w:hint="eastAsia"/>
        </w:rPr>
        <w:t>在过去十年中，所规定的职工平均月工资毛额如下：</w:t>
      </w:r>
    </w:p>
    <w:p w:rsidR="00000000" w:rsidRDefault="00000000">
      <w:pPr>
        <w:pStyle w:val="a0"/>
        <w:tabs>
          <w:tab w:val="num" w:pos="1550"/>
        </w:tabs>
        <w:ind w:left="1550"/>
        <w:rPr>
          <w:rFonts w:hint="eastAsia"/>
        </w:rPr>
      </w:pPr>
      <w:r>
        <w:rPr>
          <w:rFonts w:hint="eastAsia"/>
        </w:rPr>
        <w:t>1990</w:t>
      </w:r>
      <w:r>
        <w:rPr>
          <w:rFonts w:hint="eastAsia"/>
        </w:rPr>
        <w:t>年，</w:t>
      </w:r>
      <w:r>
        <w:rPr>
          <w:rFonts w:hint="eastAsia"/>
        </w:rPr>
        <w:t>164,076</w:t>
      </w:r>
      <w:r>
        <w:rPr>
          <w:rFonts w:hint="eastAsia"/>
        </w:rPr>
        <w:t>德拉克马；</w:t>
      </w:r>
    </w:p>
    <w:p w:rsidR="00000000" w:rsidRDefault="00000000">
      <w:pPr>
        <w:pStyle w:val="a0"/>
        <w:tabs>
          <w:tab w:val="num" w:pos="1550"/>
        </w:tabs>
        <w:ind w:left="1550"/>
        <w:rPr>
          <w:rFonts w:hint="eastAsia"/>
        </w:rPr>
      </w:pPr>
      <w:r>
        <w:rPr>
          <w:rFonts w:hint="eastAsia"/>
        </w:rPr>
        <w:t>1995</w:t>
      </w:r>
      <w:r>
        <w:rPr>
          <w:rFonts w:hint="eastAsia"/>
        </w:rPr>
        <w:t>年，</w:t>
      </w:r>
      <w:r>
        <w:rPr>
          <w:rFonts w:hint="eastAsia"/>
        </w:rPr>
        <w:t>303,236</w:t>
      </w:r>
      <w:r>
        <w:rPr>
          <w:rFonts w:hint="eastAsia"/>
        </w:rPr>
        <w:t>德拉克马；</w:t>
      </w:r>
    </w:p>
    <w:p w:rsidR="00000000" w:rsidRDefault="00000000">
      <w:pPr>
        <w:pStyle w:val="a0"/>
        <w:tabs>
          <w:tab w:val="num" w:pos="1550"/>
        </w:tabs>
        <w:ind w:left="1550"/>
        <w:rPr>
          <w:rFonts w:hint="eastAsia"/>
        </w:rPr>
      </w:pPr>
      <w:r>
        <w:rPr>
          <w:rFonts w:hint="eastAsia"/>
        </w:rPr>
        <w:t>2000</w:t>
      </w:r>
      <w:r>
        <w:rPr>
          <w:rFonts w:hint="eastAsia"/>
        </w:rPr>
        <w:t>年，</w:t>
      </w:r>
      <w:r>
        <w:rPr>
          <w:rFonts w:hint="eastAsia"/>
        </w:rPr>
        <w:t>442,814</w:t>
      </w:r>
      <w:r>
        <w:rPr>
          <w:rFonts w:hint="eastAsia"/>
        </w:rPr>
        <w:t>德拉克马。</w:t>
      </w:r>
    </w:p>
    <w:p w:rsidR="00000000" w:rsidRDefault="00000000">
      <w:pPr>
        <w:rPr>
          <w:rFonts w:hint="eastAsia"/>
        </w:rPr>
      </w:pPr>
      <w:r>
        <w:rPr>
          <w:rFonts w:hint="eastAsia"/>
        </w:rPr>
        <w:t>上述数额包括雇主和职工所缴纳的社会保险费。</w:t>
      </w:r>
    </w:p>
    <w:p w:rsidR="00000000" w:rsidRDefault="00000000">
      <w:pPr>
        <w:rPr>
          <w:rFonts w:hint="eastAsia"/>
        </w:rPr>
      </w:pPr>
      <w:r>
        <w:rPr>
          <w:rFonts w:hint="eastAsia"/>
        </w:rPr>
        <w:tab/>
        <w:t xml:space="preserve">149.  </w:t>
      </w:r>
      <w:r>
        <w:rPr>
          <w:rFonts w:hint="eastAsia"/>
        </w:rPr>
        <w:t>一般来说，劳动集体协定和劳动法由劳动监察员具体执行。劳动监察员监督企业，如果发现违法行为，便实施法律制裁。有效集体协议所规定的工资表是劳动监察员开展工作的主要工具，用来检查向职工支付的工资。为此，劳动监察局以及劳动和社会保障部正在把集体协议及其工资表存入电脑档案，准备编成法典，作为第一步，有关工资表已经载入劳动和社会保障部在互联网的网页。</w:t>
      </w:r>
    </w:p>
    <w:p w:rsidR="00000000" w:rsidRDefault="00000000">
      <w:pPr>
        <w:rPr>
          <w:rFonts w:hint="eastAsia"/>
        </w:rPr>
      </w:pPr>
      <w:r>
        <w:rPr>
          <w:rFonts w:hint="eastAsia"/>
        </w:rPr>
        <w:tab/>
        <w:t xml:space="preserve">150.  </w:t>
      </w:r>
      <w:r>
        <w:rPr>
          <w:rFonts w:hint="eastAsia"/>
        </w:rPr>
        <w:t>从</w:t>
      </w:r>
      <w:r>
        <w:rPr>
          <w:rFonts w:hint="eastAsia"/>
        </w:rPr>
        <w:t>1999</w:t>
      </w:r>
      <w:r>
        <w:rPr>
          <w:rFonts w:hint="eastAsia"/>
        </w:rPr>
        <w:t>年</w:t>
      </w:r>
      <w:r>
        <w:rPr>
          <w:rFonts w:hint="eastAsia"/>
        </w:rPr>
        <w:t>7</w:t>
      </w:r>
      <w:r>
        <w:rPr>
          <w:rFonts w:hint="eastAsia"/>
        </w:rPr>
        <w:t>月</w:t>
      </w:r>
      <w:r>
        <w:rPr>
          <w:rFonts w:hint="eastAsia"/>
        </w:rPr>
        <w:t>1</w:t>
      </w:r>
      <w:r>
        <w:rPr>
          <w:rFonts w:hint="eastAsia"/>
        </w:rPr>
        <w:t>日开始，根据有关“调整劳动关系、建立劳动监察局以及其他规定”的第</w:t>
      </w:r>
      <w:r>
        <w:rPr>
          <w:rFonts w:hint="eastAsia"/>
        </w:rPr>
        <w:t>2639/98</w:t>
      </w:r>
      <w:r>
        <w:rPr>
          <w:rFonts w:hint="eastAsia"/>
        </w:rPr>
        <w:t>号法令，劳动监察局已经成为具体监督实施劳动法的新的机构。劳动监察局已经取代了以前省政府下属的劳动监察处。劳动监察局在其组织结构以及监管办法方面的主要原则如下：</w:t>
      </w:r>
    </w:p>
    <w:p w:rsidR="00000000" w:rsidRDefault="00000000">
      <w:pPr>
        <w:pStyle w:val="a0"/>
        <w:tabs>
          <w:tab w:val="num" w:pos="1550"/>
        </w:tabs>
        <w:ind w:left="1550"/>
        <w:rPr>
          <w:rFonts w:hint="eastAsia"/>
        </w:rPr>
      </w:pPr>
      <w:r>
        <w:rPr>
          <w:rFonts w:hint="eastAsia"/>
        </w:rPr>
        <w:t>劳动监察局在中央政府劳动和社会保障部的监督下开展工作，以便确保在监督实施劳动法方面执行统一的政策；</w:t>
      </w:r>
    </w:p>
    <w:p w:rsidR="00000000" w:rsidRDefault="00000000">
      <w:pPr>
        <w:pStyle w:val="a0"/>
        <w:tabs>
          <w:tab w:val="num" w:pos="1550"/>
        </w:tabs>
        <w:ind w:left="1550"/>
        <w:rPr>
          <w:rFonts w:hint="eastAsia"/>
        </w:rPr>
      </w:pPr>
      <w:r>
        <w:rPr>
          <w:rFonts w:hint="eastAsia"/>
        </w:rPr>
        <w:t>劳动监察局的结构；在于健全的中央部门及其地区办事机构；</w:t>
      </w:r>
    </w:p>
    <w:p w:rsidR="00000000" w:rsidRDefault="00000000">
      <w:pPr>
        <w:pStyle w:val="a0"/>
        <w:tabs>
          <w:tab w:val="num" w:pos="1550"/>
        </w:tabs>
        <w:ind w:left="1550"/>
        <w:rPr>
          <w:rFonts w:hint="eastAsia"/>
        </w:rPr>
      </w:pPr>
      <w:r>
        <w:rPr>
          <w:rFonts w:hint="eastAsia"/>
        </w:rPr>
        <w:t>扩大其职权，以便解决非法雇用和职工没有保险的问题；</w:t>
      </w:r>
    </w:p>
    <w:p w:rsidR="00000000" w:rsidRDefault="00000000">
      <w:pPr>
        <w:pStyle w:val="a0"/>
        <w:tabs>
          <w:tab w:val="num" w:pos="1550"/>
        </w:tabs>
        <w:ind w:left="1550"/>
        <w:rPr>
          <w:rFonts w:hint="eastAsia"/>
        </w:rPr>
      </w:pPr>
      <w:r>
        <w:rPr>
          <w:rFonts w:hint="eastAsia"/>
        </w:rPr>
        <w:t>区分劳动监察员的职务</w:t>
      </w:r>
      <w:r>
        <w:rPr>
          <w:rFonts w:hint="eastAsia"/>
        </w:rPr>
        <w:t>(</w:t>
      </w:r>
      <w:r>
        <w:rPr>
          <w:rFonts w:hint="eastAsia"/>
        </w:rPr>
        <w:t>分为社会、技术和医疗监察员</w:t>
      </w:r>
      <w:r>
        <w:rPr>
          <w:rFonts w:hint="eastAsia"/>
        </w:rPr>
        <w:t>)</w:t>
      </w:r>
      <w:r>
        <w:rPr>
          <w:rFonts w:hint="eastAsia"/>
        </w:rPr>
        <w:t>，以便提高监察服务的质量；</w:t>
      </w:r>
    </w:p>
    <w:p w:rsidR="00000000" w:rsidRDefault="00000000">
      <w:pPr>
        <w:pStyle w:val="a0"/>
        <w:tabs>
          <w:tab w:val="num" w:pos="1550"/>
        </w:tabs>
        <w:ind w:left="1550"/>
        <w:rPr>
          <w:rFonts w:hint="eastAsia"/>
        </w:rPr>
      </w:pPr>
      <w:r>
        <w:rPr>
          <w:rFonts w:hint="eastAsia"/>
        </w:rPr>
        <w:t>向监察员提供强制性的初期培训和进修培训；及</w:t>
      </w:r>
    </w:p>
    <w:p w:rsidR="00000000" w:rsidRDefault="00000000">
      <w:pPr>
        <w:pStyle w:val="a0"/>
        <w:tabs>
          <w:tab w:val="num" w:pos="1550"/>
        </w:tabs>
        <w:ind w:left="1550"/>
        <w:rPr>
          <w:rFonts w:hint="eastAsia"/>
        </w:rPr>
      </w:pPr>
      <w:r>
        <w:rPr>
          <w:rFonts w:hint="eastAsia"/>
        </w:rPr>
        <w:t>劳动监察局通过雇主代表和职工代表共同参与的机构开展社会监察；</w:t>
      </w:r>
    </w:p>
    <w:p w:rsidR="00000000" w:rsidRDefault="00000000">
      <w:pPr>
        <w:rPr>
          <w:rFonts w:hint="eastAsia"/>
        </w:rPr>
      </w:pPr>
      <w:r>
        <w:rPr>
          <w:rFonts w:hint="eastAsia"/>
        </w:rPr>
        <w:tab/>
        <w:t xml:space="preserve">151.  </w:t>
      </w:r>
      <w:r>
        <w:rPr>
          <w:rFonts w:hint="eastAsia"/>
        </w:rPr>
        <w:t>社会监察局每天办公，由于其工作性质，该局职工每周</w:t>
      </w:r>
      <w:r>
        <w:rPr>
          <w:rFonts w:hint="eastAsia"/>
        </w:rPr>
        <w:t>7</w:t>
      </w:r>
      <w:r>
        <w:rPr>
          <w:rFonts w:hint="eastAsia"/>
        </w:rPr>
        <w:t>天，每天</w:t>
      </w:r>
      <w:r>
        <w:rPr>
          <w:rFonts w:hint="eastAsia"/>
        </w:rPr>
        <w:t>24</w:t>
      </w:r>
      <w:r>
        <w:rPr>
          <w:rFonts w:hint="eastAsia"/>
        </w:rPr>
        <w:t>小时开展监察。劳动监察员有权进行任何必要的审查、测试以及查问，以便确保实施劳动法的规定，执行行政制裁或者提出起诉要求给予刑事处罚。</w:t>
      </w:r>
    </w:p>
    <w:p w:rsidR="00000000" w:rsidRDefault="00000000">
      <w:pPr>
        <w:spacing w:after="320"/>
        <w:rPr>
          <w:rFonts w:hint="eastAsia"/>
        </w:rPr>
      </w:pPr>
      <w:r>
        <w:rPr>
          <w:rFonts w:hint="eastAsia"/>
        </w:rPr>
        <w:tab/>
      </w:r>
      <w:r>
        <w:rPr>
          <w:rFonts w:hint="eastAsia"/>
        </w:rPr>
        <w:t>劳动监察局从</w:t>
      </w:r>
      <w:r>
        <w:rPr>
          <w:rFonts w:hint="eastAsia"/>
        </w:rPr>
        <w:t>1999</w:t>
      </w:r>
      <w:r>
        <w:rPr>
          <w:rFonts w:hint="eastAsia"/>
        </w:rPr>
        <w:t>年</w:t>
      </w:r>
      <w:r>
        <w:rPr>
          <w:rFonts w:hint="eastAsia"/>
        </w:rPr>
        <w:t>7</w:t>
      </w:r>
      <w:r>
        <w:rPr>
          <w:rFonts w:hint="eastAsia"/>
        </w:rPr>
        <w:t>月</w:t>
      </w:r>
      <w:r>
        <w:rPr>
          <w:rFonts w:hint="eastAsia"/>
        </w:rPr>
        <w:t>1</w:t>
      </w:r>
      <w:r>
        <w:rPr>
          <w:rFonts w:hint="eastAsia"/>
        </w:rPr>
        <w:t>日开始工作。因此，下表所列的是</w:t>
      </w:r>
      <w:r>
        <w:rPr>
          <w:rFonts w:hint="eastAsia"/>
        </w:rPr>
        <w:t>1999</w:t>
      </w:r>
      <w:r>
        <w:rPr>
          <w:rFonts w:hint="eastAsia"/>
        </w:rPr>
        <w:t>年</w:t>
      </w:r>
      <w:r>
        <w:rPr>
          <w:rFonts w:hint="eastAsia"/>
        </w:rPr>
        <w:t>7</w:t>
      </w:r>
      <w:r>
        <w:rPr>
          <w:rFonts w:hint="eastAsia"/>
        </w:rPr>
        <w:t>月</w:t>
      </w:r>
      <w:r>
        <w:rPr>
          <w:rFonts w:hint="eastAsia"/>
        </w:rPr>
        <w:t>1</w:t>
      </w:r>
      <w:r>
        <w:rPr>
          <w:rFonts w:hint="eastAsia"/>
        </w:rPr>
        <w:t>日以来的数据：</w:t>
      </w:r>
    </w:p>
    <w:p w:rsidR="00000000" w:rsidRDefault="00000000">
      <w:pPr>
        <w:pStyle w:val="Heading3"/>
        <w:spacing w:after="240"/>
        <w:rPr>
          <w:rFonts w:hint="eastAsia"/>
        </w:rPr>
      </w:pPr>
      <w:r>
        <w:rPr>
          <w:rFonts w:hint="eastAsia"/>
        </w:rPr>
        <w:t>表</w:t>
      </w:r>
      <w:r>
        <w:rPr>
          <w:rFonts w:hint="eastAsia"/>
        </w:rPr>
        <w:t xml:space="preserve">   7</w:t>
      </w:r>
    </w:p>
    <w:p w:rsidR="00000000" w:rsidRDefault="00000000">
      <w:pPr>
        <w:pStyle w:val="Heading3"/>
        <w:spacing w:after="160"/>
        <w:rPr>
          <w:rFonts w:hint="eastAsia"/>
        </w:rPr>
      </w:pPr>
      <w:r>
        <w:rPr>
          <w:rFonts w:hint="eastAsia"/>
        </w:rPr>
        <w:t>1999</w:t>
      </w:r>
      <w:r>
        <w:rPr>
          <w:rFonts w:hint="eastAsia"/>
        </w:rPr>
        <w:t>年至</w:t>
      </w:r>
      <w:r>
        <w:rPr>
          <w:rFonts w:hint="eastAsia"/>
        </w:rPr>
        <w:t>2000</w:t>
      </w:r>
      <w:r>
        <w:rPr>
          <w:rFonts w:hint="eastAsia"/>
        </w:rPr>
        <w:t>年的监察情况</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7"/>
        <w:gridCol w:w="3963"/>
      </w:tblGrid>
      <w:tr w:rsidR="00000000">
        <w:tblPrEx>
          <w:tblCellMar>
            <w:top w:w="0" w:type="dxa"/>
            <w:bottom w:w="0" w:type="dxa"/>
          </w:tblCellMar>
        </w:tblPrEx>
        <w:trPr>
          <w:cantSplit/>
        </w:trPr>
        <w:tc>
          <w:tcPr>
            <w:tcW w:w="7920" w:type="dxa"/>
            <w:gridSpan w:val="2"/>
            <w:tcBorders>
              <w:bottom w:val="single" w:sz="4" w:space="0" w:color="auto"/>
            </w:tcBorders>
          </w:tcPr>
          <w:p w:rsidR="00000000" w:rsidRDefault="00000000">
            <w:pPr>
              <w:spacing w:before="120" w:line="240" w:lineRule="auto"/>
              <w:jc w:val="center"/>
              <w:rPr>
                <w:rFonts w:hint="eastAsia"/>
                <w:sz w:val="22"/>
              </w:rPr>
            </w:pPr>
            <w:r>
              <w:rPr>
                <w:rFonts w:hint="eastAsia"/>
                <w:sz w:val="22"/>
              </w:rPr>
              <w:t>1999</w:t>
            </w:r>
            <w:r>
              <w:rPr>
                <w:rFonts w:hint="eastAsia"/>
                <w:sz w:val="22"/>
              </w:rPr>
              <w:t>年下半年</w:t>
            </w:r>
          </w:p>
        </w:tc>
      </w:tr>
      <w:tr w:rsidR="00000000">
        <w:tblPrEx>
          <w:tblCellMar>
            <w:top w:w="0" w:type="dxa"/>
            <w:bottom w:w="0" w:type="dxa"/>
          </w:tblCellMar>
        </w:tblPrEx>
        <w:trPr>
          <w:cantSplit/>
        </w:trPr>
        <w:tc>
          <w:tcPr>
            <w:tcW w:w="7920" w:type="dxa"/>
            <w:gridSpan w:val="2"/>
            <w:tcBorders>
              <w:bottom w:val="nil"/>
            </w:tcBorders>
          </w:tcPr>
          <w:p w:rsidR="00000000" w:rsidRDefault="00000000">
            <w:pPr>
              <w:spacing w:before="120" w:line="240" w:lineRule="auto"/>
              <w:jc w:val="center"/>
              <w:rPr>
                <w:rFonts w:hint="eastAsia"/>
                <w:sz w:val="22"/>
              </w:rPr>
            </w:pPr>
            <w:r>
              <w:rPr>
                <w:rFonts w:hint="eastAsia"/>
                <w:sz w:val="22"/>
              </w:rPr>
              <w:t xml:space="preserve"> </w:t>
            </w:r>
            <w:r>
              <w:rPr>
                <w:rFonts w:hint="eastAsia"/>
                <w:sz w:val="22"/>
                <w:u w:val="single"/>
              </w:rPr>
              <w:t>社</w:t>
            </w:r>
            <w:r>
              <w:rPr>
                <w:rFonts w:hint="eastAsia"/>
                <w:sz w:val="22"/>
                <w:u w:val="single"/>
              </w:rPr>
              <w:t xml:space="preserve"> </w:t>
            </w:r>
            <w:r>
              <w:rPr>
                <w:rFonts w:hint="eastAsia"/>
                <w:sz w:val="22"/>
                <w:u w:val="single"/>
              </w:rPr>
              <w:t>会</w:t>
            </w:r>
            <w:r>
              <w:rPr>
                <w:rFonts w:hint="eastAsia"/>
                <w:sz w:val="22"/>
                <w:u w:val="single"/>
              </w:rPr>
              <w:t xml:space="preserve"> </w:t>
            </w:r>
            <w:r>
              <w:rPr>
                <w:rFonts w:hint="eastAsia"/>
                <w:sz w:val="22"/>
                <w:u w:val="single"/>
              </w:rPr>
              <w:t>监</w:t>
            </w:r>
            <w:r>
              <w:rPr>
                <w:rFonts w:hint="eastAsia"/>
                <w:sz w:val="22"/>
                <w:u w:val="single"/>
              </w:rPr>
              <w:t xml:space="preserve"> </w:t>
            </w:r>
            <w:r>
              <w:rPr>
                <w:rFonts w:hint="eastAsia"/>
                <w:sz w:val="22"/>
                <w:u w:val="single"/>
              </w:rPr>
              <w:t>察</w:t>
            </w:r>
            <w:r>
              <w:rPr>
                <w:rFonts w:hint="eastAsia"/>
                <w:sz w:val="22"/>
              </w:rPr>
              <w:t xml:space="preserve"> </w:t>
            </w:r>
            <w:r>
              <w:rPr>
                <w:rFonts w:hint="eastAsia"/>
                <w:sz w:val="22"/>
                <w:vertAlign w:val="superscript"/>
              </w:rPr>
              <w:t>1</w:t>
            </w:r>
          </w:p>
        </w:tc>
      </w:tr>
      <w:tr w:rsidR="00000000">
        <w:tblPrEx>
          <w:tblCellMar>
            <w:top w:w="0" w:type="dxa"/>
            <w:bottom w:w="0" w:type="dxa"/>
          </w:tblCellMar>
        </w:tblPrEx>
        <w:tc>
          <w:tcPr>
            <w:tcW w:w="3957" w:type="dxa"/>
            <w:tcBorders>
              <w:top w:val="nil"/>
              <w:bottom w:val="nil"/>
              <w:right w:val="nil"/>
            </w:tcBorders>
          </w:tcPr>
          <w:p w:rsidR="00000000" w:rsidRDefault="00000000">
            <w:pPr>
              <w:spacing w:before="60" w:line="240" w:lineRule="auto"/>
              <w:rPr>
                <w:rFonts w:hint="eastAsia"/>
                <w:sz w:val="22"/>
              </w:rPr>
            </w:pPr>
            <w:r>
              <w:rPr>
                <w:rFonts w:hint="eastAsia"/>
                <w:sz w:val="22"/>
              </w:rPr>
              <w:t>17,027</w:t>
            </w:r>
            <w:r>
              <w:rPr>
                <w:rFonts w:hint="eastAsia"/>
                <w:sz w:val="22"/>
              </w:rPr>
              <w:t>次当场监察</w:t>
            </w:r>
          </w:p>
        </w:tc>
        <w:tc>
          <w:tcPr>
            <w:tcW w:w="3963" w:type="dxa"/>
            <w:tcBorders>
              <w:top w:val="nil"/>
              <w:left w:val="nil"/>
              <w:bottom w:val="nil"/>
            </w:tcBorders>
          </w:tcPr>
          <w:p w:rsidR="00000000" w:rsidRDefault="00000000">
            <w:pPr>
              <w:spacing w:before="60" w:line="240" w:lineRule="auto"/>
              <w:rPr>
                <w:sz w:val="22"/>
              </w:rPr>
            </w:pPr>
            <w:r>
              <w:rPr>
                <w:rFonts w:hint="eastAsia"/>
                <w:sz w:val="22"/>
              </w:rPr>
              <w:t>1,192</w:t>
            </w:r>
            <w:r>
              <w:rPr>
                <w:rFonts w:hint="eastAsia"/>
                <w:sz w:val="22"/>
              </w:rPr>
              <w:t>次制裁：</w:t>
            </w:r>
          </w:p>
          <w:p w:rsidR="00000000" w:rsidRDefault="00000000">
            <w:pPr>
              <w:spacing w:before="60" w:line="240" w:lineRule="auto"/>
              <w:ind w:left="227"/>
              <w:rPr>
                <w:sz w:val="22"/>
              </w:rPr>
            </w:pPr>
            <w:r>
              <w:rPr>
                <w:rFonts w:hint="eastAsia"/>
                <w:sz w:val="22"/>
              </w:rPr>
              <w:t>892</w:t>
            </w:r>
            <w:r>
              <w:rPr>
                <w:rFonts w:hint="eastAsia"/>
                <w:sz w:val="22"/>
              </w:rPr>
              <w:t>次指控</w:t>
            </w:r>
          </w:p>
          <w:p w:rsidR="00000000" w:rsidRDefault="00000000">
            <w:pPr>
              <w:spacing w:before="60" w:line="240" w:lineRule="auto"/>
              <w:ind w:left="227"/>
              <w:rPr>
                <w:rFonts w:hint="eastAsia"/>
                <w:sz w:val="22"/>
              </w:rPr>
            </w:pPr>
            <w:r>
              <w:rPr>
                <w:rFonts w:hint="eastAsia"/>
                <w:sz w:val="22"/>
              </w:rPr>
              <w:t>300</w:t>
            </w:r>
            <w:r>
              <w:rPr>
                <w:rFonts w:hint="eastAsia"/>
                <w:sz w:val="22"/>
              </w:rPr>
              <w:t>次罚款</w:t>
            </w:r>
          </w:p>
        </w:tc>
      </w:tr>
      <w:tr w:rsidR="00000000">
        <w:tblPrEx>
          <w:tblCellMar>
            <w:top w:w="0" w:type="dxa"/>
            <w:bottom w:w="0" w:type="dxa"/>
          </w:tblCellMar>
        </w:tblPrEx>
        <w:trPr>
          <w:cantSplit/>
        </w:trPr>
        <w:tc>
          <w:tcPr>
            <w:tcW w:w="7920" w:type="dxa"/>
            <w:gridSpan w:val="2"/>
            <w:tcBorders>
              <w:top w:val="nil"/>
              <w:bottom w:val="nil"/>
            </w:tcBorders>
          </w:tcPr>
          <w:p w:rsidR="00000000" w:rsidRDefault="00000000">
            <w:pPr>
              <w:spacing w:before="160" w:line="240" w:lineRule="auto"/>
              <w:jc w:val="center"/>
              <w:rPr>
                <w:rFonts w:hint="eastAsia"/>
                <w:sz w:val="22"/>
                <w:u w:val="single"/>
              </w:rPr>
            </w:pPr>
            <w:r>
              <w:rPr>
                <w:rFonts w:hint="eastAsia"/>
                <w:sz w:val="22"/>
                <w:u w:val="single"/>
              </w:rPr>
              <w:t>技</w:t>
            </w:r>
            <w:r>
              <w:rPr>
                <w:rFonts w:hint="eastAsia"/>
                <w:sz w:val="22"/>
                <w:u w:val="single"/>
              </w:rPr>
              <w:t xml:space="preserve"> </w:t>
            </w:r>
            <w:r>
              <w:rPr>
                <w:rFonts w:hint="eastAsia"/>
                <w:sz w:val="22"/>
                <w:u w:val="single"/>
              </w:rPr>
              <w:t>术</w:t>
            </w:r>
            <w:r>
              <w:rPr>
                <w:rFonts w:hint="eastAsia"/>
                <w:sz w:val="22"/>
                <w:u w:val="single"/>
              </w:rPr>
              <w:t xml:space="preserve"> </w:t>
            </w:r>
            <w:r>
              <w:rPr>
                <w:rFonts w:hint="eastAsia"/>
                <w:sz w:val="22"/>
                <w:u w:val="single"/>
              </w:rPr>
              <w:t>监</w:t>
            </w:r>
            <w:r>
              <w:rPr>
                <w:rFonts w:hint="eastAsia"/>
                <w:sz w:val="22"/>
                <w:u w:val="single"/>
              </w:rPr>
              <w:t xml:space="preserve"> </w:t>
            </w:r>
            <w:r>
              <w:rPr>
                <w:rFonts w:hint="eastAsia"/>
                <w:sz w:val="22"/>
                <w:u w:val="single"/>
              </w:rPr>
              <w:t>察</w:t>
            </w:r>
          </w:p>
        </w:tc>
      </w:tr>
      <w:tr w:rsidR="00000000">
        <w:tblPrEx>
          <w:tblCellMar>
            <w:top w:w="0" w:type="dxa"/>
            <w:bottom w:w="0" w:type="dxa"/>
          </w:tblCellMar>
        </w:tblPrEx>
        <w:tc>
          <w:tcPr>
            <w:tcW w:w="3957" w:type="dxa"/>
            <w:tcBorders>
              <w:top w:val="nil"/>
              <w:bottom w:val="single" w:sz="4" w:space="0" w:color="auto"/>
              <w:right w:val="nil"/>
            </w:tcBorders>
          </w:tcPr>
          <w:p w:rsidR="00000000" w:rsidRDefault="00000000">
            <w:pPr>
              <w:spacing w:line="240" w:lineRule="auto"/>
              <w:rPr>
                <w:rFonts w:hint="eastAsia"/>
                <w:sz w:val="22"/>
              </w:rPr>
            </w:pPr>
            <w:r>
              <w:rPr>
                <w:rFonts w:hint="eastAsia"/>
                <w:sz w:val="22"/>
              </w:rPr>
              <w:t>4,413</w:t>
            </w:r>
            <w:r>
              <w:rPr>
                <w:rFonts w:hint="eastAsia"/>
                <w:sz w:val="22"/>
              </w:rPr>
              <w:t>次当场监察</w:t>
            </w:r>
          </w:p>
        </w:tc>
        <w:tc>
          <w:tcPr>
            <w:tcW w:w="3963" w:type="dxa"/>
            <w:tcBorders>
              <w:top w:val="nil"/>
              <w:left w:val="nil"/>
              <w:bottom w:val="single" w:sz="4" w:space="0" w:color="auto"/>
            </w:tcBorders>
          </w:tcPr>
          <w:p w:rsidR="00000000" w:rsidRDefault="00000000">
            <w:pPr>
              <w:spacing w:line="240" w:lineRule="auto"/>
              <w:ind w:firstLine="375"/>
              <w:rPr>
                <w:sz w:val="22"/>
              </w:rPr>
            </w:pPr>
            <w:r>
              <w:rPr>
                <w:rFonts w:hint="eastAsia"/>
                <w:sz w:val="22"/>
              </w:rPr>
              <w:t>98</w:t>
            </w:r>
            <w:r>
              <w:rPr>
                <w:rFonts w:hint="eastAsia"/>
                <w:sz w:val="22"/>
              </w:rPr>
              <w:t>次制裁：</w:t>
            </w:r>
          </w:p>
          <w:p w:rsidR="00000000" w:rsidRDefault="00000000">
            <w:pPr>
              <w:spacing w:line="240" w:lineRule="auto"/>
              <w:ind w:firstLine="375"/>
              <w:rPr>
                <w:sz w:val="22"/>
              </w:rPr>
            </w:pPr>
            <w:r>
              <w:rPr>
                <w:sz w:val="22"/>
              </w:rPr>
              <w:t>26</w:t>
            </w:r>
            <w:r>
              <w:rPr>
                <w:rFonts w:hint="eastAsia"/>
                <w:sz w:val="22"/>
              </w:rPr>
              <w:t>次指控</w:t>
            </w:r>
          </w:p>
          <w:p w:rsidR="00000000" w:rsidRDefault="00000000">
            <w:pPr>
              <w:spacing w:line="240" w:lineRule="auto"/>
              <w:ind w:firstLine="375"/>
              <w:rPr>
                <w:sz w:val="22"/>
              </w:rPr>
            </w:pPr>
            <w:r>
              <w:rPr>
                <w:rFonts w:hint="eastAsia"/>
                <w:sz w:val="22"/>
              </w:rPr>
              <w:t>22</w:t>
            </w:r>
            <w:r>
              <w:rPr>
                <w:rFonts w:hint="eastAsia"/>
                <w:sz w:val="22"/>
              </w:rPr>
              <w:t>次罚款</w:t>
            </w:r>
          </w:p>
          <w:p w:rsidR="00000000" w:rsidRDefault="00000000">
            <w:pPr>
              <w:spacing w:line="240" w:lineRule="auto"/>
              <w:ind w:firstLine="375"/>
              <w:rPr>
                <w:rFonts w:hint="eastAsia"/>
                <w:sz w:val="22"/>
              </w:rPr>
            </w:pPr>
            <w:r>
              <w:rPr>
                <w:rFonts w:hint="eastAsia"/>
                <w:sz w:val="22"/>
              </w:rPr>
              <w:t>50</w:t>
            </w:r>
            <w:r>
              <w:rPr>
                <w:rFonts w:hint="eastAsia"/>
                <w:sz w:val="22"/>
              </w:rPr>
              <w:t>次停业</w:t>
            </w:r>
          </w:p>
        </w:tc>
      </w:tr>
      <w:tr w:rsidR="00000000">
        <w:tblPrEx>
          <w:tblCellMar>
            <w:top w:w="0" w:type="dxa"/>
            <w:bottom w:w="0" w:type="dxa"/>
          </w:tblCellMar>
        </w:tblPrEx>
        <w:trPr>
          <w:cantSplit/>
        </w:trPr>
        <w:tc>
          <w:tcPr>
            <w:tcW w:w="7920" w:type="dxa"/>
            <w:gridSpan w:val="2"/>
            <w:tcBorders>
              <w:top w:val="single" w:sz="4" w:space="0" w:color="auto"/>
              <w:bottom w:val="single" w:sz="4" w:space="0" w:color="auto"/>
            </w:tcBorders>
          </w:tcPr>
          <w:p w:rsidR="00000000" w:rsidRDefault="00000000">
            <w:pPr>
              <w:spacing w:before="120" w:line="240" w:lineRule="auto"/>
              <w:jc w:val="center"/>
              <w:rPr>
                <w:rFonts w:hint="eastAsia"/>
                <w:sz w:val="22"/>
              </w:rPr>
            </w:pPr>
            <w:r>
              <w:rPr>
                <w:sz w:val="22"/>
              </w:rPr>
              <w:t>2000</w:t>
            </w:r>
            <w:r>
              <w:rPr>
                <w:rFonts w:hint="eastAsia"/>
                <w:sz w:val="22"/>
              </w:rPr>
              <w:t>年</w:t>
            </w:r>
          </w:p>
        </w:tc>
      </w:tr>
      <w:tr w:rsidR="00000000">
        <w:tblPrEx>
          <w:tblCellMar>
            <w:top w:w="0" w:type="dxa"/>
            <w:bottom w:w="0" w:type="dxa"/>
          </w:tblCellMar>
        </w:tblPrEx>
        <w:trPr>
          <w:cantSplit/>
        </w:trPr>
        <w:tc>
          <w:tcPr>
            <w:tcW w:w="7920" w:type="dxa"/>
            <w:gridSpan w:val="2"/>
            <w:tcBorders>
              <w:top w:val="single" w:sz="4" w:space="0" w:color="auto"/>
              <w:bottom w:val="nil"/>
            </w:tcBorders>
          </w:tcPr>
          <w:p w:rsidR="00000000" w:rsidRDefault="00000000">
            <w:pPr>
              <w:spacing w:before="100" w:line="240" w:lineRule="auto"/>
              <w:jc w:val="center"/>
              <w:rPr>
                <w:rFonts w:hint="eastAsia"/>
                <w:sz w:val="22"/>
                <w:u w:val="single"/>
              </w:rPr>
            </w:pPr>
            <w:r>
              <w:rPr>
                <w:rFonts w:hint="eastAsia"/>
                <w:sz w:val="22"/>
                <w:u w:val="single"/>
              </w:rPr>
              <w:t>社</w:t>
            </w:r>
            <w:r>
              <w:rPr>
                <w:rFonts w:hint="eastAsia"/>
                <w:sz w:val="22"/>
                <w:u w:val="single"/>
              </w:rPr>
              <w:t xml:space="preserve"> </w:t>
            </w:r>
            <w:r>
              <w:rPr>
                <w:rFonts w:hint="eastAsia"/>
                <w:sz w:val="22"/>
                <w:u w:val="single"/>
              </w:rPr>
              <w:t>会</w:t>
            </w:r>
            <w:r>
              <w:rPr>
                <w:rFonts w:hint="eastAsia"/>
                <w:sz w:val="22"/>
                <w:u w:val="single"/>
              </w:rPr>
              <w:t xml:space="preserve"> </w:t>
            </w:r>
            <w:r>
              <w:rPr>
                <w:rFonts w:hint="eastAsia"/>
                <w:sz w:val="22"/>
                <w:u w:val="single"/>
              </w:rPr>
              <w:t>监</w:t>
            </w:r>
            <w:r>
              <w:rPr>
                <w:rFonts w:hint="eastAsia"/>
                <w:sz w:val="22"/>
                <w:u w:val="single"/>
              </w:rPr>
              <w:t xml:space="preserve"> </w:t>
            </w:r>
            <w:r>
              <w:rPr>
                <w:rFonts w:hint="eastAsia"/>
                <w:sz w:val="22"/>
                <w:u w:val="single"/>
              </w:rPr>
              <w:t>察</w:t>
            </w:r>
          </w:p>
        </w:tc>
      </w:tr>
      <w:tr w:rsidR="00000000">
        <w:tblPrEx>
          <w:tblCellMar>
            <w:top w:w="0" w:type="dxa"/>
            <w:bottom w:w="0" w:type="dxa"/>
          </w:tblCellMar>
        </w:tblPrEx>
        <w:tc>
          <w:tcPr>
            <w:tcW w:w="3957" w:type="dxa"/>
            <w:tcBorders>
              <w:top w:val="nil"/>
              <w:bottom w:val="nil"/>
              <w:right w:val="nil"/>
            </w:tcBorders>
          </w:tcPr>
          <w:p w:rsidR="00000000" w:rsidRDefault="00000000">
            <w:pPr>
              <w:spacing w:line="240" w:lineRule="auto"/>
              <w:rPr>
                <w:rFonts w:hint="eastAsia"/>
                <w:sz w:val="22"/>
              </w:rPr>
            </w:pPr>
            <w:r>
              <w:rPr>
                <w:rFonts w:hint="eastAsia"/>
                <w:sz w:val="22"/>
              </w:rPr>
              <w:t>47,528</w:t>
            </w:r>
            <w:r>
              <w:rPr>
                <w:rFonts w:hint="eastAsia"/>
                <w:sz w:val="22"/>
              </w:rPr>
              <w:t>次当场监察</w:t>
            </w:r>
          </w:p>
        </w:tc>
        <w:tc>
          <w:tcPr>
            <w:tcW w:w="3963" w:type="dxa"/>
            <w:tcBorders>
              <w:top w:val="nil"/>
              <w:left w:val="nil"/>
              <w:bottom w:val="nil"/>
            </w:tcBorders>
          </w:tcPr>
          <w:p w:rsidR="00000000" w:rsidRDefault="00000000">
            <w:pPr>
              <w:spacing w:line="240" w:lineRule="auto"/>
              <w:rPr>
                <w:sz w:val="22"/>
              </w:rPr>
            </w:pPr>
            <w:r>
              <w:rPr>
                <w:rFonts w:hint="eastAsia"/>
                <w:sz w:val="22"/>
              </w:rPr>
              <w:t>2,690</w:t>
            </w:r>
            <w:r>
              <w:rPr>
                <w:rFonts w:hint="eastAsia"/>
                <w:sz w:val="22"/>
              </w:rPr>
              <w:t>次制裁：</w:t>
            </w:r>
          </w:p>
          <w:p w:rsidR="00000000" w:rsidRDefault="00000000">
            <w:pPr>
              <w:spacing w:line="240" w:lineRule="auto"/>
              <w:rPr>
                <w:sz w:val="22"/>
              </w:rPr>
            </w:pPr>
            <w:r>
              <w:rPr>
                <w:sz w:val="22"/>
              </w:rPr>
              <w:t>2,004</w:t>
            </w:r>
            <w:r>
              <w:rPr>
                <w:rFonts w:hint="eastAsia"/>
                <w:sz w:val="22"/>
              </w:rPr>
              <w:t>次指控</w:t>
            </w:r>
          </w:p>
          <w:p w:rsidR="00000000" w:rsidRDefault="00000000">
            <w:pPr>
              <w:spacing w:line="240" w:lineRule="auto"/>
              <w:ind w:firstLine="204"/>
              <w:rPr>
                <w:rFonts w:hint="eastAsia"/>
                <w:sz w:val="22"/>
              </w:rPr>
            </w:pPr>
            <w:r>
              <w:rPr>
                <w:rFonts w:hint="eastAsia"/>
                <w:sz w:val="22"/>
              </w:rPr>
              <w:t>686</w:t>
            </w:r>
            <w:r>
              <w:rPr>
                <w:rFonts w:hint="eastAsia"/>
                <w:sz w:val="22"/>
              </w:rPr>
              <w:t>次罚款</w:t>
            </w:r>
          </w:p>
        </w:tc>
      </w:tr>
      <w:tr w:rsidR="00000000">
        <w:tblPrEx>
          <w:tblCellMar>
            <w:top w:w="0" w:type="dxa"/>
            <w:bottom w:w="0" w:type="dxa"/>
          </w:tblCellMar>
        </w:tblPrEx>
        <w:trPr>
          <w:cantSplit/>
        </w:trPr>
        <w:tc>
          <w:tcPr>
            <w:tcW w:w="7920" w:type="dxa"/>
            <w:gridSpan w:val="2"/>
            <w:tcBorders>
              <w:top w:val="nil"/>
              <w:bottom w:val="nil"/>
            </w:tcBorders>
          </w:tcPr>
          <w:p w:rsidR="00000000" w:rsidRDefault="00000000">
            <w:pPr>
              <w:spacing w:before="120" w:line="240" w:lineRule="auto"/>
              <w:jc w:val="center"/>
              <w:rPr>
                <w:rFonts w:hint="eastAsia"/>
                <w:sz w:val="22"/>
                <w:u w:val="single"/>
              </w:rPr>
            </w:pPr>
            <w:r>
              <w:rPr>
                <w:rFonts w:hint="eastAsia"/>
                <w:sz w:val="22"/>
                <w:u w:val="single"/>
              </w:rPr>
              <w:t>技</w:t>
            </w:r>
            <w:r>
              <w:rPr>
                <w:rFonts w:hint="eastAsia"/>
                <w:sz w:val="22"/>
                <w:u w:val="single"/>
              </w:rPr>
              <w:t xml:space="preserve"> </w:t>
            </w:r>
            <w:r>
              <w:rPr>
                <w:rFonts w:hint="eastAsia"/>
                <w:sz w:val="22"/>
                <w:u w:val="single"/>
              </w:rPr>
              <w:t>术</w:t>
            </w:r>
            <w:r>
              <w:rPr>
                <w:rFonts w:hint="eastAsia"/>
                <w:sz w:val="22"/>
                <w:u w:val="single"/>
              </w:rPr>
              <w:t xml:space="preserve"> </w:t>
            </w:r>
            <w:r>
              <w:rPr>
                <w:rFonts w:hint="eastAsia"/>
                <w:sz w:val="22"/>
                <w:u w:val="single"/>
              </w:rPr>
              <w:t>监</w:t>
            </w:r>
            <w:r>
              <w:rPr>
                <w:rFonts w:hint="eastAsia"/>
                <w:sz w:val="22"/>
                <w:u w:val="single"/>
              </w:rPr>
              <w:t xml:space="preserve"> </w:t>
            </w:r>
            <w:r>
              <w:rPr>
                <w:rFonts w:hint="eastAsia"/>
                <w:sz w:val="22"/>
                <w:u w:val="single"/>
              </w:rPr>
              <w:t>察</w:t>
            </w:r>
          </w:p>
        </w:tc>
      </w:tr>
      <w:tr w:rsidR="00000000">
        <w:tblPrEx>
          <w:tblCellMar>
            <w:top w:w="0" w:type="dxa"/>
            <w:bottom w:w="0" w:type="dxa"/>
          </w:tblCellMar>
        </w:tblPrEx>
        <w:tc>
          <w:tcPr>
            <w:tcW w:w="3957" w:type="dxa"/>
            <w:tcBorders>
              <w:top w:val="nil"/>
              <w:right w:val="nil"/>
            </w:tcBorders>
          </w:tcPr>
          <w:p w:rsidR="00000000" w:rsidRDefault="00000000">
            <w:pPr>
              <w:spacing w:line="240" w:lineRule="auto"/>
              <w:rPr>
                <w:rFonts w:hint="eastAsia"/>
                <w:sz w:val="22"/>
              </w:rPr>
            </w:pPr>
            <w:r>
              <w:rPr>
                <w:rFonts w:hint="eastAsia"/>
                <w:sz w:val="22"/>
              </w:rPr>
              <w:t>18,141</w:t>
            </w:r>
            <w:r>
              <w:rPr>
                <w:rFonts w:hint="eastAsia"/>
                <w:sz w:val="22"/>
              </w:rPr>
              <w:t>次当场监察</w:t>
            </w:r>
          </w:p>
        </w:tc>
        <w:tc>
          <w:tcPr>
            <w:tcW w:w="3963" w:type="dxa"/>
            <w:tcBorders>
              <w:top w:val="nil"/>
              <w:left w:val="nil"/>
            </w:tcBorders>
          </w:tcPr>
          <w:p w:rsidR="00000000" w:rsidRDefault="00000000">
            <w:pPr>
              <w:spacing w:line="240" w:lineRule="auto"/>
              <w:ind w:firstLine="204"/>
              <w:rPr>
                <w:sz w:val="22"/>
              </w:rPr>
            </w:pPr>
            <w:r>
              <w:rPr>
                <w:rFonts w:hint="eastAsia"/>
                <w:sz w:val="22"/>
              </w:rPr>
              <w:t>899</w:t>
            </w:r>
            <w:r>
              <w:rPr>
                <w:rFonts w:hint="eastAsia"/>
                <w:sz w:val="22"/>
              </w:rPr>
              <w:t>次制裁：</w:t>
            </w:r>
          </w:p>
          <w:p w:rsidR="00000000" w:rsidRDefault="00000000">
            <w:pPr>
              <w:spacing w:line="240" w:lineRule="auto"/>
              <w:ind w:firstLine="204"/>
              <w:rPr>
                <w:sz w:val="22"/>
              </w:rPr>
            </w:pPr>
            <w:r>
              <w:rPr>
                <w:rFonts w:hint="eastAsia"/>
                <w:sz w:val="22"/>
              </w:rPr>
              <w:t>299</w:t>
            </w:r>
            <w:r>
              <w:rPr>
                <w:rFonts w:hint="eastAsia"/>
                <w:sz w:val="22"/>
              </w:rPr>
              <w:t>次指控</w:t>
            </w:r>
          </w:p>
          <w:p w:rsidR="00000000" w:rsidRDefault="00000000">
            <w:pPr>
              <w:spacing w:line="240" w:lineRule="auto"/>
              <w:ind w:firstLine="204"/>
              <w:rPr>
                <w:sz w:val="22"/>
              </w:rPr>
            </w:pPr>
            <w:r>
              <w:rPr>
                <w:rFonts w:hint="eastAsia"/>
                <w:sz w:val="22"/>
              </w:rPr>
              <w:t>207</w:t>
            </w:r>
            <w:r>
              <w:rPr>
                <w:rFonts w:hint="eastAsia"/>
                <w:sz w:val="22"/>
              </w:rPr>
              <w:t>次罚款</w:t>
            </w:r>
          </w:p>
          <w:p w:rsidR="00000000" w:rsidRDefault="00000000">
            <w:pPr>
              <w:spacing w:line="240" w:lineRule="auto"/>
              <w:ind w:firstLine="204"/>
              <w:rPr>
                <w:rFonts w:hint="eastAsia"/>
                <w:sz w:val="22"/>
              </w:rPr>
            </w:pPr>
            <w:r>
              <w:rPr>
                <w:rFonts w:hint="eastAsia"/>
                <w:sz w:val="22"/>
              </w:rPr>
              <w:t>393</w:t>
            </w:r>
            <w:r>
              <w:rPr>
                <w:rFonts w:hint="eastAsia"/>
                <w:sz w:val="22"/>
              </w:rPr>
              <w:t>次停业</w:t>
            </w:r>
          </w:p>
        </w:tc>
      </w:tr>
    </w:tbl>
    <w:p w:rsidR="00000000" w:rsidRDefault="00000000">
      <w:pPr>
        <w:spacing w:before="200" w:line="288" w:lineRule="auto"/>
        <w:ind w:left="510"/>
        <w:rPr>
          <w:rFonts w:eastAsia="KaiTi_GB2312" w:hint="eastAsia"/>
          <w:spacing w:val="0"/>
        </w:rPr>
      </w:pPr>
      <w:r>
        <w:rPr>
          <w:rFonts w:eastAsia="KaiTi_GB2312"/>
          <w:spacing w:val="0"/>
          <w:vertAlign w:val="superscript"/>
        </w:rPr>
        <w:tab/>
      </w:r>
      <w:r>
        <w:rPr>
          <w:rFonts w:eastAsia="KaiTi_GB2312" w:hint="eastAsia"/>
          <w:spacing w:val="0"/>
          <w:vertAlign w:val="superscript"/>
        </w:rPr>
        <w:t>1</w:t>
      </w:r>
      <w:r>
        <w:rPr>
          <w:rFonts w:eastAsia="KaiTi_GB2312"/>
          <w:spacing w:val="0"/>
        </w:rPr>
        <w:tab/>
      </w:r>
      <w:r>
        <w:rPr>
          <w:rFonts w:eastAsia="KaiTi_GB2312" w:hint="eastAsia"/>
          <w:spacing w:val="0"/>
        </w:rPr>
        <w:t>“社会监察”一词是指监察工作条件、非法就业以及职工的社会保</w:t>
      </w:r>
      <w:r>
        <w:rPr>
          <w:rFonts w:eastAsia="KaiTi_GB2312"/>
          <w:spacing w:val="0"/>
        </w:rPr>
        <w:br/>
      </w:r>
      <w:r>
        <w:rPr>
          <w:rFonts w:eastAsia="KaiTi_GB2312" w:hint="eastAsia"/>
          <w:spacing w:val="0"/>
        </w:rPr>
        <w:t>险，而“技术监察”一词是指监察工作场所的卫生和安全以及防止职业危害。</w:t>
      </w:r>
    </w:p>
    <w:p w:rsidR="00000000" w:rsidRDefault="00000000">
      <w:pPr>
        <w:spacing w:before="160" w:line="288" w:lineRule="auto"/>
        <w:rPr>
          <w:rFonts w:eastAsia="KaiTi_GB2312" w:hint="eastAsia"/>
          <w:spacing w:val="0"/>
        </w:rPr>
      </w:pPr>
    </w:p>
    <w:p w:rsidR="00000000" w:rsidRDefault="00000000">
      <w:pPr>
        <w:rPr>
          <w:rFonts w:hint="eastAsia"/>
        </w:rPr>
      </w:pPr>
      <w:r>
        <w:rPr>
          <w:rFonts w:hint="eastAsia"/>
        </w:rPr>
        <w:tab/>
        <w:t xml:space="preserve">152.  </w:t>
      </w:r>
      <w:r>
        <w:rPr>
          <w:rFonts w:hint="eastAsia"/>
        </w:rPr>
        <w:t>应当强调指出，上述数字是指几个企业中的当场监察，因为有关劳动监察局所开展的监察的数据是有记录的，而在监察部门发出书面通知或者在这些企业中的劳动监察员进行监察之后监察部门根据企业所提供的数据而开展的监察是没有记录的。</w:t>
      </w:r>
    </w:p>
    <w:p w:rsidR="00000000" w:rsidRDefault="00000000">
      <w:pPr>
        <w:rPr>
          <w:rFonts w:hint="eastAsia"/>
        </w:rPr>
      </w:pPr>
      <w:r>
        <w:rPr>
          <w:rFonts w:hint="eastAsia"/>
        </w:rPr>
        <w:tab/>
        <w:t xml:space="preserve">153.  </w:t>
      </w:r>
      <w:r>
        <w:rPr>
          <w:rFonts w:hint="eastAsia"/>
        </w:rPr>
        <w:t>在劳动监察局开展工作的初期，监察次数不多，罚款也少，这是因为劳动监察局是在</w:t>
      </w:r>
      <w:r>
        <w:rPr>
          <w:rFonts w:hint="eastAsia"/>
        </w:rPr>
        <w:t>1999</w:t>
      </w:r>
      <w:r>
        <w:rPr>
          <w:rFonts w:hint="eastAsia"/>
        </w:rPr>
        <w:t>年</w:t>
      </w:r>
      <w:r>
        <w:rPr>
          <w:rFonts w:hint="eastAsia"/>
        </w:rPr>
        <w:t>7</w:t>
      </w:r>
      <w:r>
        <w:rPr>
          <w:rFonts w:hint="eastAsia"/>
        </w:rPr>
        <w:t>月</w:t>
      </w:r>
      <w:r>
        <w:rPr>
          <w:rFonts w:hint="eastAsia"/>
        </w:rPr>
        <w:t>1</w:t>
      </w:r>
      <w:r>
        <w:rPr>
          <w:rFonts w:hint="eastAsia"/>
        </w:rPr>
        <w:t>日开始工作的，当时作为一个新成立的机构，有好些问题需要解决。后来无论是监察次数还是罚款数额都有所增加，这种情况表明有关问题已经逐步解决，该局的服务也有所改进。</w:t>
      </w:r>
    </w:p>
    <w:p w:rsidR="00000000" w:rsidRDefault="00000000">
      <w:pPr>
        <w:rPr>
          <w:rFonts w:hint="eastAsia"/>
        </w:rPr>
      </w:pPr>
      <w:r>
        <w:rPr>
          <w:rFonts w:hint="eastAsia"/>
        </w:rPr>
        <w:tab/>
        <w:t xml:space="preserve">154.  </w:t>
      </w:r>
      <w:r>
        <w:rPr>
          <w:rFonts w:hint="eastAsia"/>
        </w:rPr>
        <w:t>有关这一方面的进一步资料，请参看</w:t>
      </w:r>
      <w:r>
        <w:rPr>
          <w:rFonts w:hint="eastAsia"/>
        </w:rPr>
        <w:t>1999</w:t>
      </w:r>
      <w:r>
        <w:rPr>
          <w:rFonts w:hint="eastAsia"/>
        </w:rPr>
        <w:t>年和</w:t>
      </w:r>
      <w:r>
        <w:rPr>
          <w:rFonts w:hint="eastAsia"/>
        </w:rPr>
        <w:t>2001</w:t>
      </w:r>
      <w:r>
        <w:rPr>
          <w:rFonts w:hint="eastAsia"/>
        </w:rPr>
        <w:t>年向国际劳工组织提交的有关为实施关于劳动监察的第</w:t>
      </w:r>
      <w:r>
        <w:rPr>
          <w:rFonts w:hint="eastAsia"/>
        </w:rPr>
        <w:t>81</w:t>
      </w:r>
      <w:r>
        <w:rPr>
          <w:rFonts w:hint="eastAsia"/>
        </w:rPr>
        <w:t>号公约而采取措施的国家报告。</w:t>
      </w:r>
    </w:p>
    <w:p w:rsidR="00000000" w:rsidRDefault="00000000">
      <w:pPr>
        <w:rPr>
          <w:rFonts w:hint="eastAsia"/>
        </w:rPr>
      </w:pPr>
      <w:r>
        <w:rPr>
          <w:rFonts w:hint="eastAsia"/>
        </w:rPr>
        <w:tab/>
        <w:t xml:space="preserve">155.  </w:t>
      </w:r>
      <w:r>
        <w:rPr>
          <w:rFonts w:hint="eastAsia"/>
        </w:rPr>
        <w:t>《宪法》第</w:t>
      </w:r>
      <w:r>
        <w:rPr>
          <w:rFonts w:hint="eastAsia"/>
        </w:rPr>
        <w:t>22</w:t>
      </w:r>
      <w:r>
        <w:rPr>
          <w:rFonts w:hint="eastAsia"/>
        </w:rPr>
        <w:t>条第</w:t>
      </w:r>
      <w:r>
        <w:rPr>
          <w:rFonts w:hint="eastAsia"/>
        </w:rPr>
        <w:t>1</w:t>
      </w:r>
      <w:r>
        <w:rPr>
          <w:rFonts w:hint="eastAsia"/>
        </w:rPr>
        <w:t>款规定：“所有职工，无论其在性别或者其他方面的区别，均应享有同工同酬的权利。”</w:t>
      </w:r>
    </w:p>
    <w:p w:rsidR="00000000" w:rsidRDefault="00000000">
      <w:pPr>
        <w:rPr>
          <w:rFonts w:hint="eastAsia"/>
        </w:rPr>
      </w:pPr>
      <w:r>
        <w:rPr>
          <w:rFonts w:hint="eastAsia"/>
        </w:rPr>
        <w:tab/>
        <w:t xml:space="preserve">156.  </w:t>
      </w:r>
      <w:r>
        <w:rPr>
          <w:rFonts w:hint="eastAsia"/>
        </w:rPr>
        <w:t>为了执行上述宪法规定，有关实施就业方面男女平等原则的第</w:t>
      </w:r>
      <w:r>
        <w:rPr>
          <w:rFonts w:hint="eastAsia"/>
        </w:rPr>
        <w:t>1414/84</w:t>
      </w:r>
      <w:r>
        <w:rPr>
          <w:rFonts w:hint="eastAsia"/>
        </w:rPr>
        <w:t>号法令规定，男子和妇女均有权由于从事同等价值的工作而获得同等的酬劳</w:t>
      </w:r>
      <w:r>
        <w:rPr>
          <w:rFonts w:hint="eastAsia"/>
        </w:rPr>
        <w:t>(</w:t>
      </w:r>
      <w:r>
        <w:rPr>
          <w:rFonts w:hint="eastAsia"/>
        </w:rPr>
        <w:t>第</w:t>
      </w:r>
      <w:r>
        <w:rPr>
          <w:rFonts w:hint="eastAsia"/>
        </w:rPr>
        <w:t>4</w:t>
      </w:r>
      <w:r>
        <w:rPr>
          <w:rFonts w:hint="eastAsia"/>
        </w:rPr>
        <w:t>条</w:t>
      </w:r>
      <w:r>
        <w:rPr>
          <w:rFonts w:hint="eastAsia"/>
        </w:rPr>
        <w:t>)</w:t>
      </w:r>
      <w:r>
        <w:rPr>
          <w:rFonts w:hint="eastAsia"/>
        </w:rPr>
        <w:t>。“酬劳”一词是指雇主因所完成的工作而直接或者间接以现金或者实物形式支付给职工的工资以及任何其他利益。在为确定酬劳的金额而划分工作岗位类型时，必须遵循男女职工平等的标准，不得有性别歧视。</w:t>
      </w:r>
    </w:p>
    <w:p w:rsidR="00000000" w:rsidRDefault="00000000">
      <w:pPr>
        <w:spacing w:after="240"/>
        <w:rPr>
          <w:rFonts w:hint="eastAsia"/>
        </w:rPr>
      </w:pPr>
      <w:r>
        <w:rPr>
          <w:rFonts w:hint="eastAsia"/>
        </w:rPr>
        <w:tab/>
        <w:t xml:space="preserve">157.  </w:t>
      </w:r>
      <w:r>
        <w:rPr>
          <w:rFonts w:hint="eastAsia"/>
        </w:rPr>
        <w:t>然而，妇女的平均收入继续低于男子。</w:t>
      </w:r>
      <w:r>
        <w:rPr>
          <w:rFonts w:hint="eastAsia"/>
        </w:rPr>
        <w:t>1998</w:t>
      </w:r>
      <w:r>
        <w:rPr>
          <w:rFonts w:hint="eastAsia"/>
        </w:rPr>
        <w:t>年妇女的收入情况如下：</w:t>
      </w:r>
    </w:p>
    <w:p w:rsidR="00000000" w:rsidRDefault="00000000">
      <w:pPr>
        <w:pStyle w:val="Heading3"/>
        <w:spacing w:after="240"/>
        <w:rPr>
          <w:rFonts w:hint="eastAsia"/>
        </w:rPr>
      </w:pPr>
      <w:r>
        <w:rPr>
          <w:rFonts w:hint="eastAsia"/>
        </w:rPr>
        <w:t>表</w:t>
      </w:r>
      <w:r>
        <w:rPr>
          <w:rFonts w:hint="eastAsia"/>
        </w:rPr>
        <w:t xml:space="preserve">   8</w:t>
      </w:r>
    </w:p>
    <w:p w:rsidR="00000000" w:rsidRDefault="00000000">
      <w:pPr>
        <w:pStyle w:val="Heading3"/>
        <w:spacing w:after="160"/>
        <w:rPr>
          <w:rFonts w:hint="eastAsia"/>
        </w:rPr>
      </w:pPr>
      <w:r>
        <w:rPr>
          <w:rFonts w:hint="eastAsia"/>
        </w:rPr>
        <w:t>妇女收入占男子收入的百分比</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7"/>
        <w:gridCol w:w="4323"/>
      </w:tblGrid>
      <w:tr w:rsidR="00000000">
        <w:tblPrEx>
          <w:tblCellMar>
            <w:top w:w="0" w:type="dxa"/>
            <w:bottom w:w="0" w:type="dxa"/>
          </w:tblCellMar>
        </w:tblPrEx>
        <w:trPr>
          <w:cantSplit/>
        </w:trPr>
        <w:tc>
          <w:tcPr>
            <w:tcW w:w="8400" w:type="dxa"/>
            <w:gridSpan w:val="2"/>
          </w:tcPr>
          <w:p w:rsidR="00000000" w:rsidRDefault="00000000">
            <w:pPr>
              <w:spacing w:before="80"/>
              <w:jc w:val="center"/>
              <w:rPr>
                <w:rFonts w:hint="eastAsia"/>
                <w:sz w:val="22"/>
              </w:rPr>
            </w:pPr>
            <w:r>
              <w:rPr>
                <w:rFonts w:hint="eastAsia"/>
                <w:sz w:val="22"/>
              </w:rPr>
              <w:t>按性别和经济活动部门排列的平均收入</w:t>
            </w:r>
          </w:p>
        </w:tc>
      </w:tr>
      <w:tr w:rsidR="00000000">
        <w:tblPrEx>
          <w:tblCellMar>
            <w:top w:w="0" w:type="dxa"/>
            <w:bottom w:w="0" w:type="dxa"/>
          </w:tblCellMar>
        </w:tblPrEx>
        <w:tc>
          <w:tcPr>
            <w:tcW w:w="4077" w:type="dxa"/>
          </w:tcPr>
          <w:p w:rsidR="00000000" w:rsidRDefault="00000000">
            <w:pPr>
              <w:spacing w:before="80"/>
              <w:jc w:val="center"/>
              <w:rPr>
                <w:rFonts w:hint="eastAsia"/>
                <w:sz w:val="22"/>
              </w:rPr>
            </w:pPr>
            <w:r>
              <w:rPr>
                <w:rFonts w:hint="eastAsia"/>
                <w:sz w:val="22"/>
              </w:rPr>
              <w:t>经济活动部门</w:t>
            </w:r>
          </w:p>
        </w:tc>
        <w:tc>
          <w:tcPr>
            <w:tcW w:w="4323" w:type="dxa"/>
          </w:tcPr>
          <w:p w:rsidR="00000000" w:rsidRDefault="00000000">
            <w:pPr>
              <w:spacing w:before="80"/>
              <w:jc w:val="center"/>
              <w:rPr>
                <w:rFonts w:hint="eastAsia"/>
                <w:sz w:val="22"/>
              </w:rPr>
            </w:pPr>
            <w:r>
              <w:rPr>
                <w:rFonts w:hint="eastAsia"/>
                <w:sz w:val="22"/>
              </w:rPr>
              <w:t>妇女收入占男子收入的百分比</w:t>
            </w:r>
          </w:p>
        </w:tc>
      </w:tr>
      <w:tr w:rsidR="00000000">
        <w:tblPrEx>
          <w:tblCellMar>
            <w:top w:w="0" w:type="dxa"/>
            <w:bottom w:w="0" w:type="dxa"/>
          </w:tblCellMar>
        </w:tblPrEx>
        <w:trPr>
          <w:cantSplit/>
        </w:trPr>
        <w:tc>
          <w:tcPr>
            <w:tcW w:w="8400" w:type="dxa"/>
            <w:gridSpan w:val="2"/>
          </w:tcPr>
          <w:p w:rsidR="00000000" w:rsidRDefault="00000000">
            <w:pPr>
              <w:spacing w:before="80"/>
              <w:jc w:val="center"/>
              <w:rPr>
                <w:rFonts w:hint="eastAsia"/>
                <w:sz w:val="22"/>
              </w:rPr>
            </w:pPr>
            <w:r>
              <w:rPr>
                <w:rFonts w:hint="eastAsia"/>
                <w:sz w:val="22"/>
              </w:rPr>
              <w:t>雇员平均月收入</w:t>
            </w:r>
          </w:p>
        </w:tc>
      </w:tr>
      <w:tr w:rsidR="00000000">
        <w:tblPrEx>
          <w:tblCellMar>
            <w:top w:w="0" w:type="dxa"/>
            <w:bottom w:w="0" w:type="dxa"/>
          </w:tblCellMar>
        </w:tblPrEx>
        <w:tc>
          <w:tcPr>
            <w:tcW w:w="4077" w:type="dxa"/>
            <w:tcBorders>
              <w:bottom w:val="nil"/>
            </w:tcBorders>
          </w:tcPr>
          <w:p w:rsidR="00000000" w:rsidRDefault="00000000">
            <w:pPr>
              <w:spacing w:before="60" w:line="288" w:lineRule="auto"/>
              <w:rPr>
                <w:rFonts w:hint="eastAsia"/>
                <w:sz w:val="22"/>
              </w:rPr>
            </w:pPr>
            <w:r>
              <w:rPr>
                <w:rFonts w:hint="eastAsia"/>
                <w:sz w:val="22"/>
              </w:rPr>
              <w:t>保</w:t>
            </w:r>
            <w:r>
              <w:rPr>
                <w:rFonts w:hint="eastAsia"/>
                <w:sz w:val="22"/>
              </w:rPr>
              <w:t xml:space="preserve"> </w:t>
            </w:r>
            <w:r>
              <w:rPr>
                <w:rFonts w:hint="eastAsia"/>
                <w:sz w:val="22"/>
              </w:rPr>
              <w:t>险</w:t>
            </w:r>
          </w:p>
        </w:tc>
        <w:tc>
          <w:tcPr>
            <w:tcW w:w="4323" w:type="dxa"/>
            <w:tcBorders>
              <w:bottom w:val="nil"/>
            </w:tcBorders>
          </w:tcPr>
          <w:p w:rsidR="00000000" w:rsidRDefault="00000000">
            <w:pPr>
              <w:spacing w:before="60" w:line="288" w:lineRule="auto"/>
              <w:jc w:val="center"/>
              <w:rPr>
                <w:sz w:val="22"/>
              </w:rPr>
            </w:pPr>
            <w:r>
              <w:rPr>
                <w:sz w:val="22"/>
              </w:rPr>
              <w:t>62.8</w:t>
            </w:r>
          </w:p>
        </w:tc>
      </w:tr>
      <w:tr w:rsidR="00000000">
        <w:tblPrEx>
          <w:tblCellMar>
            <w:top w:w="0" w:type="dxa"/>
            <w:bottom w:w="0" w:type="dxa"/>
          </w:tblCellMar>
        </w:tblPrEx>
        <w:tc>
          <w:tcPr>
            <w:tcW w:w="4077" w:type="dxa"/>
            <w:tcBorders>
              <w:top w:val="nil"/>
              <w:bottom w:val="nil"/>
            </w:tcBorders>
          </w:tcPr>
          <w:p w:rsidR="00000000" w:rsidRDefault="00000000">
            <w:pPr>
              <w:spacing w:line="288" w:lineRule="auto"/>
              <w:rPr>
                <w:rFonts w:hint="eastAsia"/>
                <w:sz w:val="22"/>
              </w:rPr>
            </w:pPr>
            <w:r>
              <w:rPr>
                <w:rFonts w:hint="eastAsia"/>
                <w:sz w:val="22"/>
              </w:rPr>
              <w:t>银</w:t>
            </w:r>
            <w:r>
              <w:rPr>
                <w:rFonts w:hint="eastAsia"/>
                <w:sz w:val="22"/>
              </w:rPr>
              <w:t xml:space="preserve"> </w:t>
            </w:r>
            <w:r>
              <w:rPr>
                <w:rFonts w:hint="eastAsia"/>
                <w:sz w:val="22"/>
              </w:rPr>
              <w:t>行</w:t>
            </w:r>
          </w:p>
        </w:tc>
        <w:tc>
          <w:tcPr>
            <w:tcW w:w="4323" w:type="dxa"/>
            <w:tcBorders>
              <w:top w:val="nil"/>
              <w:bottom w:val="nil"/>
            </w:tcBorders>
          </w:tcPr>
          <w:p w:rsidR="00000000" w:rsidRDefault="00000000">
            <w:pPr>
              <w:spacing w:line="288" w:lineRule="auto"/>
              <w:jc w:val="center"/>
              <w:rPr>
                <w:sz w:val="22"/>
              </w:rPr>
            </w:pPr>
            <w:r>
              <w:rPr>
                <w:sz w:val="22"/>
              </w:rPr>
              <w:t>76.8</w:t>
            </w:r>
          </w:p>
        </w:tc>
      </w:tr>
      <w:tr w:rsidR="00000000">
        <w:tblPrEx>
          <w:tblCellMar>
            <w:top w:w="0" w:type="dxa"/>
            <w:bottom w:w="0" w:type="dxa"/>
          </w:tblCellMar>
        </w:tblPrEx>
        <w:tc>
          <w:tcPr>
            <w:tcW w:w="4077" w:type="dxa"/>
            <w:tcBorders>
              <w:top w:val="nil"/>
              <w:bottom w:val="nil"/>
            </w:tcBorders>
          </w:tcPr>
          <w:p w:rsidR="00000000" w:rsidRDefault="00000000">
            <w:pPr>
              <w:spacing w:line="288" w:lineRule="auto"/>
              <w:rPr>
                <w:rFonts w:hint="eastAsia"/>
                <w:sz w:val="22"/>
              </w:rPr>
            </w:pPr>
            <w:r>
              <w:rPr>
                <w:rFonts w:hint="eastAsia"/>
                <w:sz w:val="22"/>
              </w:rPr>
              <w:t>批发贸易</w:t>
            </w:r>
          </w:p>
        </w:tc>
        <w:tc>
          <w:tcPr>
            <w:tcW w:w="4323" w:type="dxa"/>
            <w:tcBorders>
              <w:top w:val="nil"/>
              <w:bottom w:val="nil"/>
            </w:tcBorders>
          </w:tcPr>
          <w:p w:rsidR="00000000" w:rsidRDefault="00000000">
            <w:pPr>
              <w:spacing w:line="288" w:lineRule="auto"/>
              <w:jc w:val="center"/>
              <w:rPr>
                <w:sz w:val="22"/>
              </w:rPr>
            </w:pPr>
            <w:r>
              <w:rPr>
                <w:sz w:val="22"/>
              </w:rPr>
              <w:t>83.5</w:t>
            </w:r>
          </w:p>
        </w:tc>
      </w:tr>
      <w:tr w:rsidR="00000000">
        <w:tblPrEx>
          <w:tblCellMar>
            <w:top w:w="0" w:type="dxa"/>
            <w:bottom w:w="0" w:type="dxa"/>
          </w:tblCellMar>
        </w:tblPrEx>
        <w:tc>
          <w:tcPr>
            <w:tcW w:w="4077" w:type="dxa"/>
            <w:tcBorders>
              <w:top w:val="nil"/>
              <w:bottom w:val="nil"/>
            </w:tcBorders>
          </w:tcPr>
          <w:p w:rsidR="00000000" w:rsidRDefault="00000000">
            <w:pPr>
              <w:spacing w:line="288" w:lineRule="auto"/>
              <w:rPr>
                <w:rFonts w:hint="eastAsia"/>
                <w:sz w:val="22"/>
              </w:rPr>
            </w:pPr>
            <w:r>
              <w:rPr>
                <w:rFonts w:hint="eastAsia"/>
                <w:sz w:val="22"/>
              </w:rPr>
              <w:t>零售贸易</w:t>
            </w:r>
          </w:p>
        </w:tc>
        <w:tc>
          <w:tcPr>
            <w:tcW w:w="4323" w:type="dxa"/>
            <w:tcBorders>
              <w:top w:val="nil"/>
              <w:bottom w:val="nil"/>
            </w:tcBorders>
          </w:tcPr>
          <w:p w:rsidR="00000000" w:rsidRDefault="00000000">
            <w:pPr>
              <w:spacing w:line="288" w:lineRule="auto"/>
              <w:jc w:val="center"/>
              <w:rPr>
                <w:sz w:val="22"/>
              </w:rPr>
            </w:pPr>
            <w:r>
              <w:rPr>
                <w:sz w:val="22"/>
              </w:rPr>
              <w:t>94.4</w:t>
            </w:r>
          </w:p>
        </w:tc>
      </w:tr>
      <w:tr w:rsidR="00000000">
        <w:tblPrEx>
          <w:tblCellMar>
            <w:top w:w="0" w:type="dxa"/>
            <w:bottom w:w="0" w:type="dxa"/>
          </w:tblCellMar>
        </w:tblPrEx>
        <w:tc>
          <w:tcPr>
            <w:tcW w:w="4077" w:type="dxa"/>
            <w:tcBorders>
              <w:top w:val="nil"/>
              <w:bottom w:val="nil"/>
            </w:tcBorders>
          </w:tcPr>
          <w:p w:rsidR="00000000" w:rsidRDefault="00000000">
            <w:pPr>
              <w:spacing w:line="288" w:lineRule="auto"/>
              <w:rPr>
                <w:rFonts w:hint="eastAsia"/>
                <w:sz w:val="22"/>
              </w:rPr>
            </w:pPr>
            <w:r>
              <w:rPr>
                <w:rFonts w:hint="eastAsia"/>
                <w:sz w:val="22"/>
              </w:rPr>
              <w:t>矿</w:t>
            </w:r>
            <w:r>
              <w:rPr>
                <w:rFonts w:hint="eastAsia"/>
                <w:sz w:val="22"/>
              </w:rPr>
              <w:t xml:space="preserve"> </w:t>
            </w:r>
            <w:r>
              <w:rPr>
                <w:rFonts w:hint="eastAsia"/>
                <w:sz w:val="22"/>
              </w:rPr>
              <w:t>业</w:t>
            </w:r>
          </w:p>
        </w:tc>
        <w:tc>
          <w:tcPr>
            <w:tcW w:w="4323" w:type="dxa"/>
            <w:tcBorders>
              <w:top w:val="nil"/>
              <w:bottom w:val="nil"/>
            </w:tcBorders>
          </w:tcPr>
          <w:p w:rsidR="00000000" w:rsidRDefault="00000000">
            <w:pPr>
              <w:spacing w:line="288" w:lineRule="auto"/>
              <w:jc w:val="center"/>
              <w:rPr>
                <w:sz w:val="22"/>
              </w:rPr>
            </w:pPr>
            <w:r>
              <w:rPr>
                <w:sz w:val="22"/>
              </w:rPr>
              <w:t>70.1</w:t>
            </w:r>
          </w:p>
        </w:tc>
      </w:tr>
      <w:tr w:rsidR="00000000">
        <w:tblPrEx>
          <w:tblCellMar>
            <w:top w:w="0" w:type="dxa"/>
            <w:bottom w:w="0" w:type="dxa"/>
          </w:tblCellMar>
        </w:tblPrEx>
        <w:tc>
          <w:tcPr>
            <w:tcW w:w="4077" w:type="dxa"/>
            <w:tcBorders>
              <w:top w:val="nil"/>
              <w:bottom w:val="nil"/>
            </w:tcBorders>
          </w:tcPr>
          <w:p w:rsidR="00000000" w:rsidRDefault="00000000">
            <w:pPr>
              <w:spacing w:line="288" w:lineRule="auto"/>
              <w:rPr>
                <w:rFonts w:hint="eastAsia"/>
                <w:sz w:val="22"/>
              </w:rPr>
            </w:pPr>
            <w:r>
              <w:rPr>
                <w:rFonts w:hint="eastAsia"/>
                <w:sz w:val="22"/>
              </w:rPr>
              <w:t>水电供应</w:t>
            </w:r>
          </w:p>
        </w:tc>
        <w:tc>
          <w:tcPr>
            <w:tcW w:w="4323" w:type="dxa"/>
            <w:tcBorders>
              <w:top w:val="nil"/>
              <w:bottom w:val="nil"/>
            </w:tcBorders>
          </w:tcPr>
          <w:p w:rsidR="00000000" w:rsidRDefault="00000000">
            <w:pPr>
              <w:spacing w:line="288" w:lineRule="auto"/>
              <w:jc w:val="center"/>
              <w:rPr>
                <w:sz w:val="22"/>
              </w:rPr>
            </w:pPr>
            <w:r>
              <w:rPr>
                <w:sz w:val="22"/>
              </w:rPr>
              <w:t>63.1</w:t>
            </w:r>
          </w:p>
        </w:tc>
      </w:tr>
      <w:tr w:rsidR="00000000">
        <w:tblPrEx>
          <w:tblCellMar>
            <w:top w:w="0" w:type="dxa"/>
            <w:bottom w:w="0" w:type="dxa"/>
          </w:tblCellMar>
        </w:tblPrEx>
        <w:tc>
          <w:tcPr>
            <w:tcW w:w="4077" w:type="dxa"/>
            <w:tcBorders>
              <w:top w:val="nil"/>
              <w:bottom w:val="single" w:sz="4" w:space="0" w:color="auto"/>
            </w:tcBorders>
          </w:tcPr>
          <w:p w:rsidR="00000000" w:rsidRDefault="00000000">
            <w:pPr>
              <w:spacing w:line="288" w:lineRule="auto"/>
              <w:rPr>
                <w:rFonts w:hint="eastAsia"/>
                <w:sz w:val="22"/>
              </w:rPr>
            </w:pPr>
            <w:r>
              <w:rPr>
                <w:rFonts w:hint="eastAsia"/>
                <w:sz w:val="22"/>
              </w:rPr>
              <w:t>工业</w:t>
            </w:r>
            <w:r>
              <w:rPr>
                <w:rFonts w:hint="eastAsia"/>
                <w:spacing w:val="-50"/>
                <w:sz w:val="22"/>
              </w:rPr>
              <w:t>―</w:t>
            </w:r>
            <w:r>
              <w:rPr>
                <w:rFonts w:hint="eastAsia"/>
                <w:sz w:val="22"/>
              </w:rPr>
              <w:t>―手工业</w:t>
            </w:r>
          </w:p>
        </w:tc>
        <w:tc>
          <w:tcPr>
            <w:tcW w:w="4323" w:type="dxa"/>
            <w:tcBorders>
              <w:top w:val="nil"/>
              <w:bottom w:val="single" w:sz="4" w:space="0" w:color="auto"/>
            </w:tcBorders>
          </w:tcPr>
          <w:p w:rsidR="00000000" w:rsidRDefault="00000000">
            <w:pPr>
              <w:spacing w:line="288" w:lineRule="auto"/>
              <w:jc w:val="center"/>
              <w:rPr>
                <w:sz w:val="22"/>
              </w:rPr>
            </w:pPr>
            <w:r>
              <w:rPr>
                <w:sz w:val="22"/>
              </w:rPr>
              <w:t>71.1</w:t>
            </w:r>
          </w:p>
        </w:tc>
      </w:tr>
      <w:tr w:rsidR="00000000">
        <w:tblPrEx>
          <w:tblCellMar>
            <w:top w:w="0" w:type="dxa"/>
            <w:bottom w:w="0" w:type="dxa"/>
          </w:tblCellMar>
        </w:tblPrEx>
        <w:trPr>
          <w:cantSplit/>
        </w:trPr>
        <w:tc>
          <w:tcPr>
            <w:tcW w:w="8400" w:type="dxa"/>
            <w:gridSpan w:val="2"/>
            <w:tcBorders>
              <w:top w:val="single" w:sz="4" w:space="0" w:color="auto"/>
              <w:bottom w:val="single" w:sz="4" w:space="0" w:color="auto"/>
            </w:tcBorders>
          </w:tcPr>
          <w:p w:rsidR="00000000" w:rsidRDefault="00000000">
            <w:pPr>
              <w:spacing w:before="100"/>
              <w:jc w:val="center"/>
              <w:rPr>
                <w:rFonts w:hint="eastAsia"/>
                <w:sz w:val="22"/>
              </w:rPr>
            </w:pPr>
            <w:r>
              <w:rPr>
                <w:rFonts w:hint="eastAsia"/>
                <w:sz w:val="22"/>
              </w:rPr>
              <w:t>职工平均每小时收入</w:t>
            </w:r>
          </w:p>
        </w:tc>
      </w:tr>
      <w:tr w:rsidR="00000000">
        <w:tblPrEx>
          <w:tblCellMar>
            <w:top w:w="0" w:type="dxa"/>
            <w:bottom w:w="0" w:type="dxa"/>
          </w:tblCellMar>
        </w:tblPrEx>
        <w:tc>
          <w:tcPr>
            <w:tcW w:w="4077" w:type="dxa"/>
            <w:tcBorders>
              <w:top w:val="single" w:sz="4" w:space="0" w:color="auto"/>
              <w:bottom w:val="nil"/>
            </w:tcBorders>
          </w:tcPr>
          <w:p w:rsidR="00000000" w:rsidRDefault="00000000">
            <w:pPr>
              <w:spacing w:before="60" w:line="288" w:lineRule="auto"/>
              <w:rPr>
                <w:rFonts w:hint="eastAsia"/>
                <w:sz w:val="22"/>
              </w:rPr>
            </w:pPr>
            <w:r>
              <w:rPr>
                <w:rFonts w:hint="eastAsia"/>
                <w:sz w:val="22"/>
              </w:rPr>
              <w:t>矿</w:t>
            </w:r>
            <w:r>
              <w:rPr>
                <w:rFonts w:hint="eastAsia"/>
                <w:sz w:val="22"/>
              </w:rPr>
              <w:t xml:space="preserve"> </w:t>
            </w:r>
            <w:r>
              <w:rPr>
                <w:rFonts w:hint="eastAsia"/>
                <w:sz w:val="22"/>
              </w:rPr>
              <w:t>业</w:t>
            </w:r>
          </w:p>
        </w:tc>
        <w:tc>
          <w:tcPr>
            <w:tcW w:w="4323" w:type="dxa"/>
            <w:tcBorders>
              <w:top w:val="single" w:sz="4" w:space="0" w:color="auto"/>
              <w:bottom w:val="nil"/>
            </w:tcBorders>
          </w:tcPr>
          <w:p w:rsidR="00000000" w:rsidRDefault="00000000">
            <w:pPr>
              <w:spacing w:before="60" w:line="288" w:lineRule="auto"/>
              <w:jc w:val="center"/>
              <w:rPr>
                <w:sz w:val="22"/>
              </w:rPr>
            </w:pPr>
            <w:r>
              <w:rPr>
                <w:sz w:val="22"/>
              </w:rPr>
              <w:t>78.6</w:t>
            </w:r>
          </w:p>
        </w:tc>
      </w:tr>
      <w:tr w:rsidR="00000000">
        <w:tblPrEx>
          <w:tblCellMar>
            <w:top w:w="0" w:type="dxa"/>
            <w:bottom w:w="0" w:type="dxa"/>
          </w:tblCellMar>
        </w:tblPrEx>
        <w:tc>
          <w:tcPr>
            <w:tcW w:w="4077" w:type="dxa"/>
            <w:tcBorders>
              <w:top w:val="nil"/>
              <w:bottom w:val="nil"/>
            </w:tcBorders>
          </w:tcPr>
          <w:p w:rsidR="00000000" w:rsidRDefault="00000000">
            <w:pPr>
              <w:spacing w:line="288" w:lineRule="auto"/>
              <w:rPr>
                <w:rFonts w:hint="eastAsia"/>
                <w:sz w:val="22"/>
              </w:rPr>
            </w:pPr>
            <w:r>
              <w:rPr>
                <w:rFonts w:hint="eastAsia"/>
                <w:sz w:val="22"/>
              </w:rPr>
              <w:t>水电供应</w:t>
            </w:r>
          </w:p>
        </w:tc>
        <w:tc>
          <w:tcPr>
            <w:tcW w:w="4323" w:type="dxa"/>
            <w:tcBorders>
              <w:top w:val="nil"/>
              <w:bottom w:val="nil"/>
            </w:tcBorders>
          </w:tcPr>
          <w:p w:rsidR="00000000" w:rsidRDefault="00000000">
            <w:pPr>
              <w:spacing w:line="288" w:lineRule="auto"/>
              <w:jc w:val="center"/>
              <w:rPr>
                <w:sz w:val="22"/>
              </w:rPr>
            </w:pPr>
            <w:r>
              <w:rPr>
                <w:sz w:val="22"/>
              </w:rPr>
              <w:t>79.0</w:t>
            </w:r>
          </w:p>
        </w:tc>
      </w:tr>
      <w:tr w:rsidR="00000000">
        <w:tblPrEx>
          <w:tblCellMar>
            <w:top w:w="0" w:type="dxa"/>
            <w:bottom w:w="0" w:type="dxa"/>
          </w:tblCellMar>
        </w:tblPrEx>
        <w:tc>
          <w:tcPr>
            <w:tcW w:w="4077" w:type="dxa"/>
            <w:tcBorders>
              <w:top w:val="nil"/>
            </w:tcBorders>
          </w:tcPr>
          <w:p w:rsidR="00000000" w:rsidRDefault="00000000">
            <w:pPr>
              <w:spacing w:line="288" w:lineRule="auto"/>
              <w:rPr>
                <w:rFonts w:hint="eastAsia"/>
                <w:sz w:val="22"/>
              </w:rPr>
            </w:pPr>
            <w:r>
              <w:rPr>
                <w:rFonts w:hint="eastAsia"/>
                <w:sz w:val="22"/>
              </w:rPr>
              <w:t>工业</w:t>
            </w:r>
            <w:r>
              <w:rPr>
                <w:rFonts w:hint="eastAsia"/>
                <w:spacing w:val="-50"/>
                <w:sz w:val="22"/>
              </w:rPr>
              <w:t>―</w:t>
            </w:r>
            <w:r>
              <w:rPr>
                <w:rFonts w:hint="eastAsia"/>
                <w:sz w:val="22"/>
              </w:rPr>
              <w:t>―手工业</w:t>
            </w:r>
          </w:p>
        </w:tc>
        <w:tc>
          <w:tcPr>
            <w:tcW w:w="4323" w:type="dxa"/>
            <w:tcBorders>
              <w:top w:val="nil"/>
            </w:tcBorders>
          </w:tcPr>
          <w:p w:rsidR="00000000" w:rsidRDefault="00000000">
            <w:pPr>
              <w:spacing w:line="288" w:lineRule="auto"/>
              <w:jc w:val="center"/>
              <w:rPr>
                <w:sz w:val="22"/>
              </w:rPr>
            </w:pPr>
            <w:r>
              <w:rPr>
                <w:sz w:val="22"/>
              </w:rPr>
              <w:t>82.5</w:t>
            </w:r>
          </w:p>
        </w:tc>
      </w:tr>
    </w:tbl>
    <w:p w:rsidR="00000000" w:rsidRDefault="00000000">
      <w:pPr>
        <w:spacing w:before="160" w:line="288" w:lineRule="auto"/>
        <w:rPr>
          <w:rFonts w:eastAsia="KaiTi_GB2312" w:hint="eastAsia"/>
          <w:spacing w:val="0"/>
        </w:rPr>
      </w:pPr>
      <w:r>
        <w:rPr>
          <w:rFonts w:eastAsia="KaiTi_GB2312" w:hint="eastAsia"/>
          <w:spacing w:val="0"/>
        </w:rPr>
        <w:t xml:space="preserve">       </w:t>
      </w:r>
      <w:r>
        <w:rPr>
          <w:rFonts w:eastAsia="KaiTi_GB2312" w:hint="eastAsia"/>
          <w:spacing w:val="0"/>
          <w:u w:val="single"/>
        </w:rPr>
        <w:t>资料来源</w:t>
      </w:r>
      <w:r>
        <w:rPr>
          <w:rFonts w:eastAsia="KaiTi_GB2312" w:hint="eastAsia"/>
          <w:spacing w:val="0"/>
        </w:rPr>
        <w:t>：性别平等委员会秘书处、性别平等研究中心，希腊国家统计局处</w:t>
      </w:r>
      <w:r>
        <w:rPr>
          <w:rFonts w:eastAsia="KaiTi_GB2312"/>
          <w:spacing w:val="0"/>
        </w:rPr>
        <w:br/>
      </w:r>
      <w:r>
        <w:rPr>
          <w:rFonts w:eastAsia="KaiTi_GB2312" w:hint="eastAsia"/>
          <w:spacing w:val="0"/>
        </w:rPr>
        <w:tab/>
      </w:r>
      <w:r>
        <w:rPr>
          <w:rFonts w:eastAsia="KaiTi_GB2312" w:hint="eastAsia"/>
          <w:spacing w:val="0"/>
        </w:rPr>
        <w:tab/>
      </w:r>
      <w:r>
        <w:rPr>
          <w:rFonts w:eastAsia="KaiTi_GB2312" w:hint="eastAsia"/>
          <w:spacing w:val="0"/>
        </w:rPr>
        <w:tab/>
      </w:r>
      <w:r>
        <w:rPr>
          <w:rFonts w:eastAsia="KaiTi_GB2312" w:hint="eastAsia"/>
          <w:spacing w:val="0"/>
        </w:rPr>
        <w:tab/>
      </w:r>
      <w:r>
        <w:rPr>
          <w:rFonts w:eastAsia="KaiTi_GB2312" w:hint="eastAsia"/>
          <w:spacing w:val="0"/>
        </w:rPr>
        <w:t>理的数据。</w:t>
      </w:r>
    </w:p>
    <w:p w:rsidR="00000000" w:rsidRDefault="00000000">
      <w:pPr>
        <w:rPr>
          <w:rFonts w:eastAsia="KaiTi_GB2312" w:hint="eastAsia"/>
          <w:spacing w:val="0"/>
        </w:rPr>
      </w:pPr>
    </w:p>
    <w:p w:rsidR="00000000" w:rsidRDefault="00000000">
      <w:pPr>
        <w:spacing w:before="120"/>
        <w:rPr>
          <w:rFonts w:hint="eastAsia"/>
        </w:rPr>
      </w:pPr>
      <w:r>
        <w:rPr>
          <w:rFonts w:hint="eastAsia"/>
        </w:rPr>
        <w:tab/>
        <w:t xml:space="preserve">158.  </w:t>
      </w:r>
      <w:r>
        <w:rPr>
          <w:rFonts w:hint="eastAsia"/>
        </w:rPr>
        <w:t>为确保男女在收入方面的实际平等，欧洲委员会就第五个性别平等中期行动计划中的统计数据和工资结构制度组织了一系列的系统研究。</w:t>
      </w:r>
    </w:p>
    <w:p w:rsidR="00000000" w:rsidRDefault="00000000">
      <w:pPr>
        <w:rPr>
          <w:rFonts w:hint="eastAsia"/>
        </w:rPr>
      </w:pPr>
      <w:r>
        <w:rPr>
          <w:rFonts w:hint="eastAsia"/>
        </w:rPr>
        <w:tab/>
        <w:t xml:space="preserve">159.  </w:t>
      </w:r>
      <w:r>
        <w:rPr>
          <w:rFonts w:hint="eastAsia"/>
        </w:rPr>
        <w:t>通过调查制造业部门和服务业部门的工资结构获得了原始统计数据，目前正在利用这些数据调查造成男女收入差距的决定因素。同时正在考虑在希腊的某些经济部门和职业中收入不公的情况，特别是在以下经济活动部门之中：旅游业、银行、医院和零售业。与此同时，在性别平等秘书处监督下开展工作的性别平等研究所正以协调员的身份执行“平等工资</w:t>
      </w:r>
      <w:r>
        <w:rPr>
          <w:rFonts w:hint="eastAsia"/>
          <w:spacing w:val="-50"/>
        </w:rPr>
        <w:t>―</w:t>
      </w:r>
      <w:r>
        <w:rPr>
          <w:rFonts w:hint="eastAsia"/>
        </w:rPr>
        <w:t>―注意差距”的方案。该中心还以伙伴的身份参与执行“消除在工资方面的性别差距”的方案。</w:t>
      </w:r>
    </w:p>
    <w:p w:rsidR="00000000" w:rsidRDefault="00000000">
      <w:pPr>
        <w:rPr>
          <w:rFonts w:hint="eastAsia"/>
        </w:rPr>
      </w:pPr>
      <w:r>
        <w:rPr>
          <w:rFonts w:hint="eastAsia"/>
        </w:rPr>
        <w:tab/>
        <w:t xml:space="preserve">160.  </w:t>
      </w:r>
      <w:r>
        <w:rPr>
          <w:rFonts w:hint="eastAsia"/>
        </w:rPr>
        <w:t>上述方案旨在为妇女社会伙伴以及专业工作者提供信息，使他们认识到在收入方面的男女不平等，推动在执行措施以确保公平机会方面交流经验，同时寻找消除工资差距的机制。</w:t>
      </w:r>
    </w:p>
    <w:p w:rsidR="00000000" w:rsidRDefault="00000000">
      <w:pPr>
        <w:rPr>
          <w:rFonts w:hint="eastAsia"/>
        </w:rPr>
      </w:pPr>
      <w:r>
        <w:rPr>
          <w:rFonts w:hint="eastAsia"/>
        </w:rPr>
        <w:tab/>
        <w:t xml:space="preserve">161.  </w:t>
      </w:r>
      <w:r>
        <w:rPr>
          <w:rFonts w:hint="eastAsia"/>
        </w:rPr>
        <w:t>详细情况请参看</w:t>
      </w:r>
      <w:r>
        <w:rPr>
          <w:rFonts w:hint="eastAsia"/>
        </w:rPr>
        <w:t>1998</w:t>
      </w:r>
      <w:r>
        <w:rPr>
          <w:rFonts w:hint="eastAsia"/>
        </w:rPr>
        <w:t>年提交国际劳工组织的有关希腊实施劳工组织关于平等酬劳的第</w:t>
      </w:r>
      <w:r>
        <w:rPr>
          <w:rFonts w:hint="eastAsia"/>
        </w:rPr>
        <w:t>100</w:t>
      </w:r>
      <w:r>
        <w:rPr>
          <w:rFonts w:hint="eastAsia"/>
        </w:rPr>
        <w:t>号公约</w:t>
      </w:r>
      <w:r>
        <w:rPr>
          <w:rFonts w:hint="eastAsia"/>
        </w:rPr>
        <w:t>(1951</w:t>
      </w:r>
      <w:r>
        <w:rPr>
          <w:rFonts w:hint="eastAsia"/>
        </w:rPr>
        <w:t>年</w:t>
      </w:r>
      <w:r>
        <w:rPr>
          <w:rFonts w:hint="eastAsia"/>
        </w:rPr>
        <w:t>)</w:t>
      </w:r>
      <w:r>
        <w:rPr>
          <w:rFonts w:hint="eastAsia"/>
        </w:rPr>
        <w:t>的国家报告</w:t>
      </w:r>
      <w:r>
        <w:rPr>
          <w:rFonts w:hint="eastAsia"/>
        </w:rPr>
        <w:t>(</w:t>
      </w:r>
      <w:r>
        <w:rPr>
          <w:rFonts w:hint="eastAsia"/>
        </w:rPr>
        <w:t>附录一</w:t>
      </w:r>
      <w:r>
        <w:rPr>
          <w:rFonts w:hint="eastAsia"/>
        </w:rPr>
        <w:t>)</w:t>
      </w:r>
      <w:r>
        <w:rPr>
          <w:rFonts w:hint="eastAsia"/>
        </w:rPr>
        <w:t>，同时参看</w:t>
      </w:r>
      <w:r>
        <w:rPr>
          <w:rFonts w:hint="eastAsia"/>
        </w:rPr>
        <w:t>1999</w:t>
      </w:r>
      <w:r>
        <w:rPr>
          <w:rFonts w:hint="eastAsia"/>
        </w:rPr>
        <w:t>年提交国际劳工组织的有关实施劳工组织关于消除就业方面歧视的第</w:t>
      </w:r>
      <w:r>
        <w:rPr>
          <w:rFonts w:hint="eastAsia"/>
        </w:rPr>
        <w:t>111</w:t>
      </w:r>
      <w:r>
        <w:rPr>
          <w:rFonts w:hint="eastAsia"/>
        </w:rPr>
        <w:t>号公约的国家报告</w:t>
      </w:r>
      <w:r>
        <w:rPr>
          <w:rFonts w:hint="eastAsia"/>
        </w:rPr>
        <w:t>(</w:t>
      </w:r>
      <w:r>
        <w:rPr>
          <w:rFonts w:hint="eastAsia"/>
        </w:rPr>
        <w:t>附录二</w:t>
      </w:r>
      <w:r>
        <w:rPr>
          <w:rFonts w:hint="eastAsia"/>
        </w:rPr>
        <w:t>)</w:t>
      </w:r>
      <w:r>
        <w:rPr>
          <w:rFonts w:hint="eastAsia"/>
        </w:rPr>
        <w:t>。</w:t>
      </w:r>
    </w:p>
    <w:p w:rsidR="00000000" w:rsidRDefault="00000000">
      <w:pPr>
        <w:rPr>
          <w:rFonts w:hint="eastAsia"/>
        </w:rPr>
      </w:pPr>
      <w:r>
        <w:rPr>
          <w:rFonts w:hint="eastAsia"/>
        </w:rPr>
        <w:tab/>
        <w:t xml:space="preserve">162.  </w:t>
      </w:r>
      <w:r>
        <w:rPr>
          <w:rFonts w:hint="eastAsia"/>
        </w:rPr>
        <w:t>希腊有关职工健康和安全的国内立法包括</w:t>
      </w:r>
      <w:r>
        <w:rPr>
          <w:rFonts w:hint="eastAsia"/>
        </w:rPr>
        <w:t>93</w:t>
      </w:r>
      <w:r>
        <w:rPr>
          <w:rFonts w:hint="eastAsia"/>
        </w:rPr>
        <w:t>项法规和其他条例：工业法规、社会保障法规、环境保护法规、有关防火的条例、环境卫生规定、有关建筑和设备自由流动的条例、有关防止辐射的条例、劳动集体协议、民法、海洋法、以及其他各种条例</w:t>
      </w:r>
      <w:r>
        <w:rPr>
          <w:rFonts w:hint="eastAsia"/>
        </w:rPr>
        <w:t>(</w:t>
      </w:r>
      <w:r>
        <w:rPr>
          <w:rFonts w:hint="eastAsia"/>
        </w:rPr>
        <w:t>例如有关采矿和采石的条例</w:t>
      </w:r>
      <w:r>
        <w:rPr>
          <w:rFonts w:hint="eastAsia"/>
        </w:rPr>
        <w:t>)</w:t>
      </w:r>
      <w:r>
        <w:rPr>
          <w:rFonts w:hint="eastAsia"/>
        </w:rPr>
        <w:t>。</w:t>
      </w:r>
    </w:p>
    <w:p w:rsidR="00000000" w:rsidRDefault="00000000">
      <w:pPr>
        <w:rPr>
          <w:rFonts w:hint="eastAsia"/>
        </w:rPr>
      </w:pPr>
      <w:r>
        <w:rPr>
          <w:rFonts w:hint="eastAsia"/>
        </w:rPr>
        <w:tab/>
        <w:t xml:space="preserve">163.  </w:t>
      </w:r>
      <w:r>
        <w:rPr>
          <w:rFonts w:hint="eastAsia"/>
        </w:rPr>
        <w:t>有关职工卫生和安全的立法框架由以下几部分构成：雇主的义务；职工的义务和权利；以及国家的义务。有关当班工人的健康和安全的规定适用于所有经济活动部门以及在私营部门和公立部门的所有职工。</w:t>
      </w:r>
    </w:p>
    <w:p w:rsidR="00000000" w:rsidRDefault="00000000">
      <w:pPr>
        <w:rPr>
          <w:rFonts w:hint="eastAsia"/>
        </w:rPr>
      </w:pPr>
      <w:r>
        <w:tab/>
        <w:t xml:space="preserve">164.  </w:t>
      </w:r>
      <w:r>
        <w:rPr>
          <w:rFonts w:hint="eastAsia"/>
        </w:rPr>
        <w:t>有关职工健康和安全的立法的总的原则是雇主负责制，也即雇主必须为下属工人的健康和安全负责，即使有关雇员没有履行其义务，或者雇主已经将有关防止职业危害的事务委托给他人或者有关服务公司，雇主也必须承担个人责任。</w:t>
      </w:r>
    </w:p>
    <w:p w:rsidR="00000000" w:rsidRDefault="00000000">
      <w:pPr>
        <w:rPr>
          <w:rFonts w:hint="eastAsia"/>
        </w:rPr>
      </w:pPr>
      <w:r>
        <w:rPr>
          <w:rFonts w:hint="eastAsia"/>
        </w:rPr>
        <w:tab/>
        <w:t xml:space="preserve">165.  </w:t>
      </w:r>
      <w:r>
        <w:rPr>
          <w:rFonts w:hint="eastAsia"/>
        </w:rPr>
        <w:t>雇主必须承担以下义务：</w:t>
      </w:r>
    </w:p>
    <w:p w:rsidR="00000000" w:rsidRDefault="00000000">
      <w:pPr>
        <w:pStyle w:val="a0"/>
        <w:tabs>
          <w:tab w:val="num" w:pos="1550"/>
        </w:tabs>
        <w:ind w:left="1550"/>
        <w:rPr>
          <w:rFonts w:hint="eastAsia"/>
        </w:rPr>
      </w:pPr>
      <w:r>
        <w:rPr>
          <w:rFonts w:hint="eastAsia"/>
        </w:rPr>
        <w:t>提供保护并且预防职业危害</w:t>
      </w:r>
      <w:r>
        <w:rPr>
          <w:rFonts w:hint="eastAsia"/>
        </w:rPr>
        <w:t>(</w:t>
      </w:r>
      <w:r>
        <w:rPr>
          <w:rFonts w:hint="eastAsia"/>
        </w:rPr>
        <w:t>安全检查员和</w:t>
      </w:r>
      <w:r>
        <w:rPr>
          <w:rFonts w:hint="eastAsia"/>
        </w:rPr>
        <w:t>/</w:t>
      </w:r>
      <w:r>
        <w:rPr>
          <w:rFonts w:hint="eastAsia"/>
        </w:rPr>
        <w:t>或厂医的服务</w:t>
      </w:r>
      <w:r>
        <w:rPr>
          <w:rFonts w:hint="eastAsia"/>
        </w:rPr>
        <w:t>)</w:t>
      </w:r>
      <w:r>
        <w:rPr>
          <w:rFonts w:hint="eastAsia"/>
        </w:rPr>
        <w:t>；</w:t>
      </w:r>
    </w:p>
    <w:p w:rsidR="00000000" w:rsidRDefault="00000000">
      <w:pPr>
        <w:pStyle w:val="a0"/>
        <w:tabs>
          <w:tab w:val="num" w:pos="1550"/>
        </w:tabs>
        <w:ind w:left="1550"/>
        <w:rPr>
          <w:rFonts w:hint="eastAsia"/>
        </w:rPr>
      </w:pPr>
      <w:r>
        <w:rPr>
          <w:rFonts w:hint="eastAsia"/>
        </w:rPr>
        <w:t>评估职工在卫生和安全方面的风险，同时根据这种评估拟订有关采取预防行动和改进劳动条件的计划，同时确定应该采取的措施；</w:t>
      </w:r>
    </w:p>
    <w:p w:rsidR="00000000" w:rsidRDefault="00000000">
      <w:pPr>
        <w:pStyle w:val="a0"/>
        <w:tabs>
          <w:tab w:val="num" w:pos="1550"/>
        </w:tabs>
        <w:ind w:left="1550"/>
        <w:rPr>
          <w:rFonts w:hint="eastAsia"/>
        </w:rPr>
      </w:pPr>
      <w:r>
        <w:rPr>
          <w:rFonts w:hint="eastAsia"/>
        </w:rPr>
        <w:t>采取一切必要的措施以保护职工的健康和安全，防止职业危害，提供宣传和培训，建立必要的组织和提供必要的资源；</w:t>
      </w:r>
    </w:p>
    <w:p w:rsidR="00000000" w:rsidRDefault="00000000">
      <w:pPr>
        <w:pStyle w:val="a0"/>
        <w:tabs>
          <w:tab w:val="num" w:pos="1550"/>
        </w:tabs>
        <w:ind w:left="1550"/>
        <w:rPr>
          <w:rFonts w:hint="eastAsia"/>
        </w:rPr>
      </w:pPr>
      <w:r>
        <w:rPr>
          <w:rFonts w:hint="eastAsia"/>
        </w:rPr>
        <w:t>同职工们协商，也即就职工的健康和安全的所有问题征求职工及其代表的意见；</w:t>
      </w:r>
    </w:p>
    <w:p w:rsidR="00000000" w:rsidRDefault="00000000">
      <w:pPr>
        <w:pStyle w:val="a0"/>
        <w:tabs>
          <w:tab w:val="num" w:pos="1550"/>
        </w:tabs>
        <w:ind w:left="1550"/>
        <w:rPr>
          <w:rFonts w:hint="eastAsia"/>
        </w:rPr>
      </w:pPr>
      <w:r>
        <w:rPr>
          <w:rFonts w:hint="eastAsia"/>
        </w:rPr>
        <w:t>将现有的立法及其在企业中的实施情况、所涉风险以及已经采取或者需要采取的所有技术措施和组织措施通知职工及其代表；</w:t>
      </w:r>
    </w:p>
    <w:p w:rsidR="00000000" w:rsidRDefault="00000000">
      <w:pPr>
        <w:pStyle w:val="a0"/>
        <w:tabs>
          <w:tab w:val="num" w:pos="1550"/>
        </w:tabs>
        <w:ind w:left="1550"/>
        <w:rPr>
          <w:rFonts w:hint="eastAsia"/>
        </w:rPr>
      </w:pPr>
      <w:r>
        <w:rPr>
          <w:rFonts w:hint="eastAsia"/>
        </w:rPr>
        <w:t>向所有职工提供有关健康和安全的适当和足够的培训，特别是在职工上岗、调职、启用或者改变劳动设备以及所在工作地点启用新技术的时候向职工提供信息和指导方针；以及</w:t>
      </w:r>
    </w:p>
    <w:p w:rsidR="00000000" w:rsidRDefault="00000000">
      <w:pPr>
        <w:pStyle w:val="a0"/>
        <w:tabs>
          <w:tab w:val="num" w:pos="1550"/>
        </w:tabs>
        <w:ind w:left="1550"/>
        <w:rPr>
          <w:rFonts w:hint="eastAsia"/>
        </w:rPr>
      </w:pPr>
      <w:r>
        <w:rPr>
          <w:rFonts w:hint="eastAsia"/>
        </w:rPr>
        <w:t>如果现有立法有此规定，对职工的健康实施适当的监测。</w:t>
      </w:r>
    </w:p>
    <w:p w:rsidR="00000000" w:rsidRDefault="00000000">
      <w:pPr>
        <w:rPr>
          <w:rFonts w:hint="eastAsia"/>
        </w:rPr>
      </w:pPr>
      <w:r>
        <w:rPr>
          <w:rFonts w:hint="eastAsia"/>
        </w:rPr>
        <w:tab/>
        <w:t xml:space="preserve">166.  </w:t>
      </w:r>
      <w:r>
        <w:rPr>
          <w:rFonts w:hint="eastAsia"/>
        </w:rPr>
        <w:t>职工有义务执行有关健康和安全的规定，并且根据所接受的培训和雇主的有关指示，确保其健康和安全以及受其行为或不行为影响的他人的健康和安全。具体来说，如果职工发现任何会对健康和安全立即产生严重危险的情况，或者发现保护系统发生任何故障，必须立即报告雇主或者主管人员，同时参加安全条例所规定的所有工作，并与雇主合作，确保在环境和劳动条件中消除有关健康和安全的隐患。</w:t>
      </w:r>
    </w:p>
    <w:p w:rsidR="00000000" w:rsidRDefault="00000000">
      <w:pPr>
        <w:rPr>
          <w:rFonts w:hint="eastAsia"/>
        </w:rPr>
      </w:pPr>
      <w:r>
        <w:rPr>
          <w:rFonts w:hint="eastAsia"/>
        </w:rPr>
        <w:tab/>
        <w:t xml:space="preserve">167.  </w:t>
      </w:r>
      <w:r>
        <w:rPr>
          <w:rFonts w:hint="eastAsia"/>
        </w:rPr>
        <w:t>为了帮助雇主履行其义务，已经成立了预防工伤和职业病的服务公司，雇主可同这些公司签订有关提供保护和预防服务的合同。这些服务公司拥有科技人才</w:t>
      </w:r>
      <w:r>
        <w:rPr>
          <w:rFonts w:hint="eastAsia"/>
        </w:rPr>
        <w:t>(</w:t>
      </w:r>
      <w:r>
        <w:rPr>
          <w:rFonts w:hint="eastAsia"/>
        </w:rPr>
        <w:t>技术员和医生</w:t>
      </w:r>
      <w:r>
        <w:rPr>
          <w:rFonts w:hint="eastAsia"/>
        </w:rPr>
        <w:t>)</w:t>
      </w:r>
      <w:r>
        <w:rPr>
          <w:rFonts w:hint="eastAsia"/>
        </w:rPr>
        <w:t>以及在物理、化学和生物等方面抽样和测试的必要设备，因此可就解决职工的健康和安全问题向企业提出实际而有效的解决办法。</w:t>
      </w:r>
    </w:p>
    <w:p w:rsidR="00000000" w:rsidRDefault="00000000">
      <w:pPr>
        <w:rPr>
          <w:rFonts w:hint="eastAsia"/>
        </w:rPr>
      </w:pPr>
      <w:r>
        <w:rPr>
          <w:rFonts w:hint="eastAsia"/>
        </w:rPr>
        <w:tab/>
        <w:t xml:space="preserve">168.  </w:t>
      </w:r>
      <w:r>
        <w:rPr>
          <w:rFonts w:hint="eastAsia"/>
        </w:rPr>
        <w:t>根据法律和其他规定，在社会各级开展了广泛的对话</w:t>
      </w:r>
      <w:r>
        <w:rPr>
          <w:rFonts w:hint="eastAsia"/>
        </w:rPr>
        <w:t>(</w:t>
      </w:r>
      <w:r>
        <w:rPr>
          <w:rFonts w:hint="eastAsia"/>
        </w:rPr>
        <w:t>每次都有职工代表和雇主代表的参加</w:t>
      </w:r>
      <w:r>
        <w:rPr>
          <w:rFonts w:hint="eastAsia"/>
        </w:rPr>
        <w:t>)</w:t>
      </w:r>
      <w:r>
        <w:rPr>
          <w:rFonts w:hint="eastAsia"/>
        </w:rPr>
        <w:t>，在这以后已经采取了行动，以便改进劳动条件和促进职工的健康和安全。</w:t>
      </w:r>
    </w:p>
    <w:p w:rsidR="00000000" w:rsidRDefault="00000000">
      <w:pPr>
        <w:rPr>
          <w:rFonts w:hint="eastAsia"/>
        </w:rPr>
      </w:pPr>
      <w:r>
        <w:rPr>
          <w:rFonts w:hint="eastAsia"/>
        </w:rPr>
        <w:tab/>
        <w:t xml:space="preserve">169.  </w:t>
      </w:r>
      <w:r>
        <w:rPr>
          <w:rFonts w:hint="eastAsia"/>
        </w:rPr>
        <w:t>在国家一级的社会对话是通过职工健康和安全委员会以及劳动监察局的社会控制委员会进行的。在区域一级的社会对话是在劳动监察局社会控制区域委员会中进行的。省级的社会对话是在职工健康和安全省级委员会中举行的。</w:t>
      </w:r>
    </w:p>
    <w:p w:rsidR="00000000" w:rsidRDefault="00000000">
      <w:pPr>
        <w:rPr>
          <w:rFonts w:hint="eastAsia"/>
        </w:rPr>
      </w:pPr>
      <w:r>
        <w:rPr>
          <w:rFonts w:hint="eastAsia"/>
        </w:rPr>
        <w:tab/>
        <w:t xml:space="preserve">170.  </w:t>
      </w:r>
      <w:r>
        <w:rPr>
          <w:rFonts w:hint="eastAsia"/>
        </w:rPr>
        <w:t>除了上述情况之外，在技术和卫生方面的劳动监察员在其职务范围以内推动社会对话：</w:t>
      </w:r>
    </w:p>
    <w:p w:rsidR="00000000" w:rsidRDefault="00000000">
      <w:pPr>
        <w:pStyle w:val="a0"/>
        <w:tabs>
          <w:tab w:val="num" w:pos="1550"/>
        </w:tabs>
        <w:ind w:left="1550"/>
        <w:rPr>
          <w:rFonts w:hint="eastAsia"/>
        </w:rPr>
      </w:pPr>
      <w:r>
        <w:rPr>
          <w:rFonts w:hint="eastAsia"/>
        </w:rPr>
        <w:t>在视察期间同企业的雇主和职工对话，以便监测法律和有关规定的执行情况，同时就改进劳动条件提出建议；以及</w:t>
      </w:r>
    </w:p>
    <w:p w:rsidR="00000000" w:rsidRDefault="00000000">
      <w:pPr>
        <w:pStyle w:val="a0"/>
        <w:tabs>
          <w:tab w:val="num" w:pos="1550"/>
        </w:tabs>
        <w:ind w:left="1550"/>
        <w:rPr>
          <w:rFonts w:hint="eastAsia"/>
        </w:rPr>
      </w:pPr>
      <w:r>
        <w:rPr>
          <w:rFonts w:hint="eastAsia"/>
        </w:rPr>
        <w:t>参加各种涉及职工保护问题的机构在国家和地方各级组织的讨论、一日会议以及其他活动。</w:t>
      </w:r>
    </w:p>
    <w:p w:rsidR="00000000" w:rsidRDefault="00000000">
      <w:pPr>
        <w:rPr>
          <w:rFonts w:hint="eastAsia"/>
        </w:rPr>
      </w:pPr>
      <w:r>
        <w:rPr>
          <w:rFonts w:hint="eastAsia"/>
        </w:rPr>
        <w:tab/>
        <w:t xml:space="preserve">171.  </w:t>
      </w:r>
      <w:r>
        <w:rPr>
          <w:rFonts w:hint="eastAsia"/>
        </w:rPr>
        <w:t>除此以外，劳动和社会保障部支持那些参与职工的健康和安全工作的组织和机构并与它们合作，同时积极参加各部所属的机构、委员会、工作组以及其他组织的工作以及参加旨在促进职工的健康和安全的机构的工作。</w:t>
      </w:r>
    </w:p>
    <w:p w:rsidR="00000000" w:rsidRDefault="00000000">
      <w:pPr>
        <w:rPr>
          <w:rFonts w:hint="eastAsia"/>
        </w:rPr>
      </w:pPr>
      <w:r>
        <w:rPr>
          <w:rFonts w:hint="eastAsia"/>
        </w:rPr>
        <w:tab/>
        <w:t xml:space="preserve">172.  </w:t>
      </w:r>
      <w:r>
        <w:rPr>
          <w:rFonts w:hint="eastAsia"/>
        </w:rPr>
        <w:t>为了执行有关法律，劳动和社会保障部在两个主要方面采取了行动：向有关各方、雇员和职工提供信息；以及监测执法情况。</w:t>
      </w:r>
    </w:p>
    <w:p w:rsidR="00000000" w:rsidRDefault="00000000">
      <w:pPr>
        <w:rPr>
          <w:rFonts w:hint="eastAsia"/>
        </w:rPr>
      </w:pPr>
      <w:r>
        <w:rPr>
          <w:rFonts w:hint="eastAsia"/>
        </w:rPr>
        <w:tab/>
        <w:t xml:space="preserve">173.  </w:t>
      </w:r>
      <w:r>
        <w:rPr>
          <w:rFonts w:hint="eastAsia"/>
        </w:rPr>
        <w:t>就提供信息而言，在互联网和国家信息网上设立了有关职工安全和卫生问题的信息网页</w:t>
      </w:r>
      <w:r>
        <w:rPr>
          <w:rFonts w:hint="eastAsia"/>
        </w:rPr>
        <w:t>(</w:t>
      </w:r>
      <w:r>
        <w:rPr>
          <w:rFonts w:hint="eastAsia"/>
        </w:rPr>
        <w:t>在位于西班牙毕尔巴鄂的欧洲职工健康和安全组织的欧洲信息网的框架内设立网页</w:t>
      </w:r>
      <w:r>
        <w:rPr>
          <w:rFonts w:hint="eastAsia"/>
        </w:rPr>
        <w:t>)</w:t>
      </w:r>
      <w:r>
        <w:rPr>
          <w:rFonts w:hint="eastAsia"/>
        </w:rPr>
        <w:t>，这将有助于有关各方及时获得关于所有有关问题的有效和完整的信息，其中包括关于法律、实际解决办法、执行情况、研究、统计等方面的信息。</w:t>
      </w:r>
    </w:p>
    <w:p w:rsidR="00000000" w:rsidRDefault="00000000">
      <w:pPr>
        <w:rPr>
          <w:rFonts w:hint="eastAsia"/>
        </w:rPr>
      </w:pPr>
      <w:r>
        <w:rPr>
          <w:rFonts w:hint="eastAsia"/>
        </w:rPr>
        <w:tab/>
        <w:t xml:space="preserve">174.  </w:t>
      </w:r>
      <w:r>
        <w:rPr>
          <w:rFonts w:hint="eastAsia"/>
        </w:rPr>
        <w:t>劳动和社会保障部也会：</w:t>
      </w:r>
    </w:p>
    <w:p w:rsidR="00000000" w:rsidRDefault="00000000">
      <w:pPr>
        <w:pStyle w:val="a0"/>
        <w:tabs>
          <w:tab w:val="num" w:pos="1550"/>
        </w:tabs>
        <w:ind w:left="1550"/>
        <w:rPr>
          <w:rFonts w:hint="eastAsia"/>
        </w:rPr>
      </w:pPr>
      <w:r>
        <w:rPr>
          <w:rFonts w:hint="eastAsia"/>
        </w:rPr>
        <w:t>散发有关法律执行情况的通告；</w:t>
      </w:r>
    </w:p>
    <w:p w:rsidR="00000000" w:rsidRDefault="00000000">
      <w:pPr>
        <w:pStyle w:val="a0"/>
        <w:tabs>
          <w:tab w:val="num" w:pos="1550"/>
        </w:tabs>
        <w:ind w:left="1550"/>
        <w:rPr>
          <w:rFonts w:hint="eastAsia"/>
        </w:rPr>
      </w:pPr>
      <w:r>
        <w:rPr>
          <w:rFonts w:hint="eastAsia"/>
        </w:rPr>
        <w:t>散发有关法律和执法情况见解的资料；</w:t>
      </w:r>
    </w:p>
    <w:p w:rsidR="00000000" w:rsidRDefault="00000000">
      <w:pPr>
        <w:pStyle w:val="a0"/>
        <w:tabs>
          <w:tab w:val="num" w:pos="1550"/>
        </w:tabs>
        <w:ind w:left="1550"/>
        <w:rPr>
          <w:rFonts w:hint="eastAsia"/>
        </w:rPr>
      </w:pPr>
      <w:r>
        <w:rPr>
          <w:rFonts w:hint="eastAsia"/>
        </w:rPr>
        <w:t>组织宣传活动；</w:t>
      </w:r>
    </w:p>
    <w:p w:rsidR="00000000" w:rsidRDefault="00000000">
      <w:pPr>
        <w:pStyle w:val="a0"/>
        <w:tabs>
          <w:tab w:val="num" w:pos="1550"/>
        </w:tabs>
        <w:ind w:left="1550"/>
        <w:rPr>
          <w:rFonts w:hint="eastAsia"/>
        </w:rPr>
      </w:pPr>
      <w:r>
        <w:rPr>
          <w:rFonts w:hint="eastAsia"/>
        </w:rPr>
        <w:t>每年组织欧洲职工健康和安全周，在这一周内举行一日会议，散发传单以及插播电视节目；</w:t>
      </w:r>
    </w:p>
    <w:p w:rsidR="00000000" w:rsidRDefault="00000000">
      <w:pPr>
        <w:pStyle w:val="a0"/>
        <w:tabs>
          <w:tab w:val="num" w:pos="1550"/>
        </w:tabs>
        <w:ind w:left="1550"/>
        <w:rPr>
          <w:rFonts w:hint="eastAsia"/>
        </w:rPr>
      </w:pPr>
      <w:r>
        <w:rPr>
          <w:rFonts w:hint="eastAsia"/>
        </w:rPr>
        <w:t>通过职工基金会为工会组织的专门会议和一日会议提供资金。</w:t>
      </w:r>
    </w:p>
    <w:p w:rsidR="00000000" w:rsidRDefault="00000000">
      <w:pPr>
        <w:rPr>
          <w:rFonts w:hint="eastAsia"/>
        </w:rPr>
      </w:pPr>
      <w:r>
        <w:rPr>
          <w:rFonts w:hint="eastAsia"/>
        </w:rPr>
        <w:tab/>
        <w:t xml:space="preserve">175.  </w:t>
      </w:r>
      <w:r>
        <w:rPr>
          <w:rFonts w:hint="eastAsia"/>
        </w:rPr>
        <w:t>第二方面的行动是监测执法情况。为监测执法情况已经成立了新的劳动监察局，该局是一个高标准的独立监测机制，该局的监察员都接受过特别培训。对于有关职工健康和安全法律执行情况的监测是由在技术和医疗方面的劳动监察员具体执行的，这些监察员在发现违法情况时有权给予处罚或者行政制裁。</w:t>
      </w:r>
    </w:p>
    <w:p w:rsidR="00000000" w:rsidRDefault="00000000">
      <w:pPr>
        <w:spacing w:after="320"/>
        <w:rPr>
          <w:rFonts w:hint="eastAsia"/>
        </w:rPr>
      </w:pPr>
      <w:r>
        <w:rPr>
          <w:rFonts w:hint="eastAsia"/>
        </w:rPr>
        <w:tab/>
        <w:t xml:space="preserve">176.  </w:t>
      </w:r>
      <w:r>
        <w:rPr>
          <w:rFonts w:hint="eastAsia"/>
        </w:rPr>
        <w:t>一般来说，劳动集体协议和劳动法是由劳动监察局具体执行的，劳动监察局负责监察企业并且对违法行为给予法律制裁。详细情况请参看</w:t>
      </w:r>
      <w:r>
        <w:rPr>
          <w:rFonts w:hint="eastAsia"/>
        </w:rPr>
        <w:t>1999</w:t>
      </w:r>
      <w:r>
        <w:rPr>
          <w:rFonts w:hint="eastAsia"/>
        </w:rPr>
        <w:t>年提交国际劳工组织的关于执行国际劳工组织有关在工业界和商业界进行劳动监察的第</w:t>
      </w:r>
      <w:r>
        <w:rPr>
          <w:rFonts w:hint="eastAsia"/>
        </w:rPr>
        <w:t>81</w:t>
      </w:r>
      <w:r>
        <w:rPr>
          <w:rFonts w:hint="eastAsia"/>
        </w:rPr>
        <w:t>号公约的国家报告。</w:t>
      </w:r>
    </w:p>
    <w:p w:rsidR="00000000" w:rsidRDefault="00000000">
      <w:pPr>
        <w:pStyle w:val="Heading3"/>
        <w:spacing w:after="240"/>
        <w:rPr>
          <w:rFonts w:hint="eastAsia"/>
        </w:rPr>
      </w:pPr>
      <w:r>
        <w:rPr>
          <w:rFonts w:hint="eastAsia"/>
        </w:rPr>
        <w:t>表</w:t>
      </w:r>
      <w:r>
        <w:rPr>
          <w:rFonts w:hint="eastAsia"/>
        </w:rPr>
        <w:t xml:space="preserve">   9</w:t>
      </w:r>
    </w:p>
    <w:p w:rsidR="00000000" w:rsidRDefault="00000000">
      <w:pPr>
        <w:pStyle w:val="Heading3"/>
        <w:spacing w:after="160"/>
        <w:rPr>
          <w:rFonts w:hint="eastAsia"/>
        </w:rPr>
      </w:pPr>
      <w:r>
        <w:rPr>
          <w:rFonts w:hint="eastAsia"/>
        </w:rPr>
        <w:t>有关工伤事故的选择性统计数字</w:t>
      </w:r>
    </w:p>
    <w:tbl>
      <w:tblPr>
        <w:tblW w:w="0" w:type="auto"/>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0"/>
        <w:gridCol w:w="3720"/>
      </w:tblGrid>
      <w:tr w:rsidR="00000000">
        <w:tblPrEx>
          <w:tblCellMar>
            <w:top w:w="0" w:type="dxa"/>
            <w:bottom w:w="0" w:type="dxa"/>
          </w:tblCellMar>
        </w:tblPrEx>
        <w:tc>
          <w:tcPr>
            <w:tcW w:w="3360" w:type="dxa"/>
          </w:tcPr>
          <w:p w:rsidR="00000000" w:rsidRDefault="00000000">
            <w:pPr>
              <w:spacing w:before="120"/>
              <w:jc w:val="center"/>
              <w:rPr>
                <w:rFonts w:hint="eastAsia"/>
                <w:sz w:val="22"/>
              </w:rPr>
            </w:pPr>
            <w:r>
              <w:rPr>
                <w:rFonts w:hint="eastAsia"/>
                <w:sz w:val="22"/>
              </w:rPr>
              <w:t>年</w:t>
            </w:r>
            <w:r>
              <w:rPr>
                <w:rFonts w:hint="eastAsia"/>
                <w:sz w:val="22"/>
              </w:rPr>
              <w:t xml:space="preserve">  </w:t>
            </w:r>
            <w:r>
              <w:rPr>
                <w:rFonts w:hint="eastAsia"/>
                <w:sz w:val="22"/>
              </w:rPr>
              <w:t>份</w:t>
            </w:r>
          </w:p>
        </w:tc>
        <w:tc>
          <w:tcPr>
            <w:tcW w:w="3720" w:type="dxa"/>
          </w:tcPr>
          <w:p w:rsidR="00000000" w:rsidRDefault="00000000">
            <w:pPr>
              <w:spacing w:before="120"/>
              <w:jc w:val="center"/>
              <w:rPr>
                <w:rFonts w:hint="eastAsia"/>
                <w:sz w:val="22"/>
              </w:rPr>
            </w:pPr>
            <w:r>
              <w:rPr>
                <w:rFonts w:hint="eastAsia"/>
                <w:sz w:val="22"/>
              </w:rPr>
              <w:t>工伤次数</w:t>
            </w:r>
          </w:p>
        </w:tc>
      </w:tr>
      <w:tr w:rsidR="00000000">
        <w:tblPrEx>
          <w:tblCellMar>
            <w:top w:w="0" w:type="dxa"/>
            <w:bottom w:w="0" w:type="dxa"/>
          </w:tblCellMar>
        </w:tblPrEx>
        <w:tc>
          <w:tcPr>
            <w:tcW w:w="3360" w:type="dxa"/>
            <w:tcBorders>
              <w:bottom w:val="nil"/>
            </w:tcBorders>
          </w:tcPr>
          <w:p w:rsidR="00000000" w:rsidRDefault="00000000">
            <w:pPr>
              <w:spacing w:before="120"/>
              <w:jc w:val="center"/>
              <w:rPr>
                <w:sz w:val="22"/>
              </w:rPr>
            </w:pPr>
            <w:r>
              <w:rPr>
                <w:sz w:val="22"/>
              </w:rPr>
              <w:t>1988</w:t>
            </w:r>
          </w:p>
        </w:tc>
        <w:tc>
          <w:tcPr>
            <w:tcW w:w="3720" w:type="dxa"/>
            <w:tcBorders>
              <w:bottom w:val="nil"/>
            </w:tcBorders>
          </w:tcPr>
          <w:p w:rsidR="00000000" w:rsidRDefault="00000000">
            <w:pPr>
              <w:spacing w:before="120"/>
              <w:jc w:val="center"/>
              <w:rPr>
                <w:sz w:val="22"/>
              </w:rPr>
            </w:pPr>
            <w:r>
              <w:rPr>
                <w:sz w:val="22"/>
              </w:rPr>
              <w:t>32,192 (79</w:t>
            </w:r>
            <w:r>
              <w:rPr>
                <w:rFonts w:hint="eastAsia"/>
                <w:sz w:val="22"/>
              </w:rPr>
              <w:t>人死亡</w:t>
            </w:r>
            <w:r>
              <w:rPr>
                <w:sz w:val="22"/>
              </w:rPr>
              <w:t>)</w:t>
            </w:r>
          </w:p>
        </w:tc>
      </w:tr>
      <w:tr w:rsidR="00000000">
        <w:tblPrEx>
          <w:tblCellMar>
            <w:top w:w="0" w:type="dxa"/>
            <w:bottom w:w="0" w:type="dxa"/>
          </w:tblCellMar>
        </w:tblPrEx>
        <w:tc>
          <w:tcPr>
            <w:tcW w:w="3360" w:type="dxa"/>
            <w:tcBorders>
              <w:top w:val="nil"/>
              <w:bottom w:val="nil"/>
            </w:tcBorders>
          </w:tcPr>
          <w:p w:rsidR="00000000" w:rsidRDefault="00000000">
            <w:pPr>
              <w:jc w:val="center"/>
              <w:rPr>
                <w:sz w:val="22"/>
              </w:rPr>
            </w:pPr>
            <w:r>
              <w:rPr>
                <w:sz w:val="22"/>
              </w:rPr>
              <w:t>1993</w:t>
            </w:r>
          </w:p>
        </w:tc>
        <w:tc>
          <w:tcPr>
            <w:tcW w:w="3720" w:type="dxa"/>
            <w:tcBorders>
              <w:top w:val="nil"/>
              <w:bottom w:val="nil"/>
            </w:tcBorders>
          </w:tcPr>
          <w:p w:rsidR="00000000" w:rsidRDefault="00000000">
            <w:pPr>
              <w:jc w:val="center"/>
              <w:rPr>
                <w:sz w:val="22"/>
              </w:rPr>
            </w:pPr>
            <w:r>
              <w:rPr>
                <w:sz w:val="22"/>
              </w:rPr>
              <w:t>23,959 (99</w:t>
            </w:r>
            <w:r>
              <w:rPr>
                <w:rFonts w:hint="eastAsia"/>
                <w:sz w:val="22"/>
              </w:rPr>
              <w:t>人死亡</w:t>
            </w:r>
            <w:r>
              <w:rPr>
                <w:sz w:val="22"/>
              </w:rPr>
              <w:t>)</w:t>
            </w:r>
          </w:p>
        </w:tc>
      </w:tr>
      <w:tr w:rsidR="00000000">
        <w:tblPrEx>
          <w:tblCellMar>
            <w:top w:w="0" w:type="dxa"/>
            <w:bottom w:w="0" w:type="dxa"/>
          </w:tblCellMar>
        </w:tblPrEx>
        <w:tc>
          <w:tcPr>
            <w:tcW w:w="3360" w:type="dxa"/>
            <w:tcBorders>
              <w:top w:val="nil"/>
            </w:tcBorders>
          </w:tcPr>
          <w:p w:rsidR="00000000" w:rsidRDefault="00000000">
            <w:pPr>
              <w:jc w:val="center"/>
              <w:rPr>
                <w:sz w:val="22"/>
              </w:rPr>
            </w:pPr>
            <w:r>
              <w:rPr>
                <w:sz w:val="22"/>
              </w:rPr>
              <w:t>1998</w:t>
            </w:r>
          </w:p>
        </w:tc>
        <w:tc>
          <w:tcPr>
            <w:tcW w:w="3720" w:type="dxa"/>
            <w:tcBorders>
              <w:top w:val="nil"/>
            </w:tcBorders>
          </w:tcPr>
          <w:p w:rsidR="00000000" w:rsidRDefault="00000000">
            <w:pPr>
              <w:jc w:val="center"/>
              <w:rPr>
                <w:sz w:val="22"/>
              </w:rPr>
            </w:pPr>
            <w:r>
              <w:rPr>
                <w:sz w:val="22"/>
              </w:rPr>
              <w:t>18,615 (78</w:t>
            </w:r>
            <w:r>
              <w:rPr>
                <w:rFonts w:hint="eastAsia"/>
                <w:sz w:val="22"/>
              </w:rPr>
              <w:t>人死亡</w:t>
            </w:r>
            <w:r>
              <w:rPr>
                <w:sz w:val="22"/>
              </w:rPr>
              <w:t>)</w:t>
            </w:r>
          </w:p>
        </w:tc>
      </w:tr>
    </w:tbl>
    <w:p w:rsidR="00000000" w:rsidRDefault="00000000">
      <w:pPr>
        <w:spacing w:before="160"/>
        <w:rPr>
          <w:rFonts w:eastAsia="KaiTi_GB2312" w:hint="eastAsia"/>
          <w:spacing w:val="0"/>
        </w:rPr>
      </w:pPr>
      <w:r>
        <w:rPr>
          <w:rFonts w:eastAsia="KaiTi_GB2312" w:hint="eastAsia"/>
          <w:spacing w:val="0"/>
        </w:rPr>
        <w:tab/>
      </w:r>
      <w:r>
        <w:rPr>
          <w:rFonts w:eastAsia="KaiTi_GB2312" w:hint="eastAsia"/>
          <w:spacing w:val="0"/>
        </w:rPr>
        <w:tab/>
        <w:t xml:space="preserve">  </w:t>
      </w:r>
      <w:r>
        <w:rPr>
          <w:rFonts w:eastAsia="KaiTi_GB2312" w:hint="eastAsia"/>
          <w:spacing w:val="0"/>
          <w:u w:val="single"/>
        </w:rPr>
        <w:t>资料来源</w:t>
      </w:r>
      <w:r>
        <w:rPr>
          <w:rFonts w:eastAsia="KaiTi_GB2312" w:hint="eastAsia"/>
          <w:spacing w:val="0"/>
        </w:rPr>
        <w:t>：希腊主要的社会保障组织，社会保障局。</w:t>
      </w:r>
    </w:p>
    <w:p w:rsidR="00000000" w:rsidRDefault="00000000">
      <w:pPr>
        <w:rPr>
          <w:rFonts w:eastAsia="KaiTi_GB2312" w:hint="eastAsia"/>
          <w:spacing w:val="0"/>
        </w:rPr>
      </w:pPr>
    </w:p>
    <w:p w:rsidR="00000000" w:rsidRDefault="00000000">
      <w:pPr>
        <w:rPr>
          <w:rFonts w:hint="eastAsia"/>
        </w:rPr>
      </w:pPr>
      <w:r>
        <w:rPr>
          <w:rFonts w:hint="eastAsia"/>
        </w:rPr>
        <w:tab/>
        <w:t xml:space="preserve">177.  </w:t>
      </w:r>
      <w:r>
        <w:rPr>
          <w:rFonts w:hint="eastAsia"/>
        </w:rPr>
        <w:t>平等待遇是希腊劳动法的根本原则，希腊劳动法约束雇主并且确保所有职工享受平等待遇。根据《民法》第</w:t>
      </w:r>
      <w:r>
        <w:rPr>
          <w:rFonts w:hint="eastAsia"/>
        </w:rPr>
        <w:t>288</w:t>
      </w:r>
      <w:r>
        <w:rPr>
          <w:rFonts w:hint="eastAsia"/>
        </w:rPr>
        <w:t>条，雇主必须依据职业道德诚实履行对下属工人的义务。</w:t>
      </w:r>
    </w:p>
    <w:p w:rsidR="00000000" w:rsidRDefault="00000000">
      <w:pPr>
        <w:rPr>
          <w:rFonts w:hint="eastAsia"/>
        </w:rPr>
      </w:pPr>
      <w:r>
        <w:rPr>
          <w:rFonts w:hint="eastAsia"/>
        </w:rPr>
        <w:tab/>
        <w:t xml:space="preserve">178.  </w:t>
      </w:r>
      <w:r>
        <w:rPr>
          <w:rFonts w:hint="eastAsia"/>
        </w:rPr>
        <w:t>特别是有关男女平等的问题，“关于在劳动关系方面实行男女平等的”第</w:t>
      </w:r>
      <w:r>
        <w:rPr>
          <w:rFonts w:hint="eastAsia"/>
        </w:rPr>
        <w:t>1414/84</w:t>
      </w:r>
      <w:r>
        <w:rPr>
          <w:rFonts w:hint="eastAsia"/>
        </w:rPr>
        <w:t>号法令禁止在职务提升和职业发展方面实施任何性别歧视。</w:t>
      </w:r>
    </w:p>
    <w:p w:rsidR="00000000" w:rsidRDefault="00000000">
      <w:pPr>
        <w:rPr>
          <w:rFonts w:hint="eastAsia"/>
        </w:rPr>
      </w:pPr>
      <w:r>
        <w:rPr>
          <w:rFonts w:hint="eastAsia"/>
        </w:rPr>
        <w:tab/>
        <w:t xml:space="preserve">179.  </w:t>
      </w:r>
      <w:r>
        <w:rPr>
          <w:rFonts w:hint="eastAsia"/>
        </w:rPr>
        <w:t>详细情况请参看</w:t>
      </w:r>
      <w:r>
        <w:rPr>
          <w:rFonts w:hint="eastAsia"/>
        </w:rPr>
        <w:t>1997</w:t>
      </w:r>
      <w:r>
        <w:rPr>
          <w:rFonts w:hint="eastAsia"/>
        </w:rPr>
        <w:t>年和</w:t>
      </w:r>
      <w:r>
        <w:rPr>
          <w:rFonts w:hint="eastAsia"/>
        </w:rPr>
        <w:t>1999</w:t>
      </w:r>
      <w:r>
        <w:rPr>
          <w:rFonts w:hint="eastAsia"/>
        </w:rPr>
        <w:t>年提交国际劳工组织的关于执行劳工组织有关消除就业歧视的第</w:t>
      </w:r>
      <w:r>
        <w:rPr>
          <w:rFonts w:hint="eastAsia"/>
        </w:rPr>
        <w:t>111</w:t>
      </w:r>
      <w:r>
        <w:rPr>
          <w:rFonts w:hint="eastAsia"/>
        </w:rPr>
        <w:t>号公约的国家报告</w:t>
      </w:r>
      <w:r>
        <w:rPr>
          <w:rFonts w:hint="eastAsia"/>
        </w:rPr>
        <w:t>(</w:t>
      </w:r>
      <w:r>
        <w:rPr>
          <w:rFonts w:hint="eastAsia"/>
        </w:rPr>
        <w:t>附录二</w:t>
      </w:r>
      <w:r>
        <w:rPr>
          <w:rFonts w:hint="eastAsia"/>
        </w:rPr>
        <w:t>)</w:t>
      </w:r>
      <w:r>
        <w:rPr>
          <w:rFonts w:hint="eastAsia"/>
        </w:rPr>
        <w:t>。</w:t>
      </w:r>
    </w:p>
    <w:p w:rsidR="00000000" w:rsidRDefault="00000000">
      <w:pPr>
        <w:rPr>
          <w:rFonts w:hint="eastAsia"/>
        </w:rPr>
      </w:pPr>
      <w:r>
        <w:rPr>
          <w:rFonts w:hint="eastAsia"/>
        </w:rPr>
        <w:tab/>
        <w:t xml:space="preserve">180.  </w:t>
      </w:r>
      <w:r>
        <w:rPr>
          <w:rFonts w:hint="eastAsia"/>
        </w:rPr>
        <w:t>凡是在某个企业中连续工作</w:t>
      </w:r>
      <w:r>
        <w:rPr>
          <w:rFonts w:hint="eastAsia"/>
        </w:rPr>
        <w:t>12</w:t>
      </w:r>
      <w:r>
        <w:rPr>
          <w:rFonts w:hint="eastAsia"/>
        </w:rPr>
        <w:t>个月以上的职工有权每年享受</w:t>
      </w:r>
      <w:r>
        <w:rPr>
          <w:rFonts w:hint="eastAsia"/>
        </w:rPr>
        <w:t>24</w:t>
      </w:r>
      <w:r>
        <w:rPr>
          <w:rFonts w:hint="eastAsia"/>
        </w:rPr>
        <w:t>个工作日的有薪假期。在实行</w:t>
      </w:r>
      <w:r>
        <w:rPr>
          <w:rFonts w:hint="eastAsia"/>
        </w:rPr>
        <w:t>5</w:t>
      </w:r>
      <w:r>
        <w:rPr>
          <w:rFonts w:hint="eastAsia"/>
        </w:rPr>
        <w:t>天工作制的企业中工作的职工，有权享受</w:t>
      </w:r>
      <w:r>
        <w:rPr>
          <w:rFonts w:hint="eastAsia"/>
        </w:rPr>
        <w:t>20</w:t>
      </w:r>
      <w:r>
        <w:rPr>
          <w:rFonts w:hint="eastAsia"/>
        </w:rPr>
        <w:t>个工作日的假期</w:t>
      </w:r>
      <w:r>
        <w:rPr>
          <w:rFonts w:hint="eastAsia"/>
        </w:rPr>
        <w:t>(</w:t>
      </w:r>
      <w:r>
        <w:rPr>
          <w:rFonts w:hint="eastAsia"/>
        </w:rPr>
        <w:t>根据劳动制度规定，职工被解雇的当日不得计算在内</w:t>
      </w:r>
      <w:r>
        <w:rPr>
          <w:rFonts w:hint="eastAsia"/>
        </w:rPr>
        <w:t>)</w:t>
      </w:r>
      <w:r>
        <w:rPr>
          <w:rFonts w:hint="eastAsia"/>
        </w:rPr>
        <w:t>。在企业中每工作一年就增加一个工作日的假期，直至假期达到</w:t>
      </w:r>
      <w:r>
        <w:rPr>
          <w:rFonts w:hint="eastAsia"/>
        </w:rPr>
        <w:t>26</w:t>
      </w:r>
      <w:r>
        <w:rPr>
          <w:rFonts w:hint="eastAsia"/>
        </w:rPr>
        <w:t>个工作日，在实行</w:t>
      </w:r>
      <w:r>
        <w:rPr>
          <w:rFonts w:hint="eastAsia"/>
        </w:rPr>
        <w:t>5</w:t>
      </w:r>
      <w:r>
        <w:rPr>
          <w:rFonts w:hint="eastAsia"/>
        </w:rPr>
        <w:t>天工作制的企业中工作的职工可享受</w:t>
      </w:r>
      <w:r>
        <w:rPr>
          <w:rFonts w:hint="eastAsia"/>
        </w:rPr>
        <w:t>22</w:t>
      </w:r>
      <w:r>
        <w:rPr>
          <w:rFonts w:hint="eastAsia"/>
        </w:rPr>
        <w:t>个工作日的假期</w:t>
      </w:r>
      <w:r>
        <w:rPr>
          <w:rFonts w:hint="eastAsia"/>
        </w:rPr>
        <w:t>(</w:t>
      </w:r>
      <w:r>
        <w:rPr>
          <w:rFonts w:hint="eastAsia"/>
        </w:rPr>
        <w:t>第</w:t>
      </w:r>
      <w:r>
        <w:rPr>
          <w:rFonts w:hint="eastAsia"/>
        </w:rPr>
        <w:t>539/45</w:t>
      </w:r>
      <w:r>
        <w:rPr>
          <w:rFonts w:hint="eastAsia"/>
        </w:rPr>
        <w:t>号法令、第</w:t>
      </w:r>
      <w:r>
        <w:rPr>
          <w:rFonts w:hint="eastAsia"/>
        </w:rPr>
        <w:t>1346/83</w:t>
      </w:r>
      <w:r>
        <w:rPr>
          <w:rFonts w:hint="eastAsia"/>
        </w:rPr>
        <w:t>号法令以及目前有效的全国劳动集体总协定全部适用</w:t>
      </w:r>
      <w:r>
        <w:rPr>
          <w:rFonts w:hint="eastAsia"/>
        </w:rPr>
        <w:t>)</w:t>
      </w:r>
      <w:r>
        <w:rPr>
          <w:rFonts w:hint="eastAsia"/>
        </w:rPr>
        <w:t>。</w:t>
      </w:r>
    </w:p>
    <w:p w:rsidR="00000000" w:rsidRDefault="00000000">
      <w:pPr>
        <w:rPr>
          <w:rFonts w:hint="eastAsia"/>
        </w:rPr>
      </w:pPr>
      <w:r>
        <w:rPr>
          <w:rFonts w:hint="eastAsia"/>
        </w:rPr>
        <w:tab/>
        <w:t xml:space="preserve">181.  </w:t>
      </w:r>
      <w:r>
        <w:rPr>
          <w:rFonts w:hint="eastAsia"/>
        </w:rPr>
        <w:t>根据</w:t>
      </w:r>
      <w:r>
        <w:rPr>
          <w:rFonts w:hint="eastAsia"/>
        </w:rPr>
        <w:t>2000</w:t>
      </w:r>
      <w:r>
        <w:rPr>
          <w:rFonts w:hint="eastAsia"/>
        </w:rPr>
        <w:t>年和</w:t>
      </w:r>
      <w:r>
        <w:rPr>
          <w:rFonts w:hint="eastAsia"/>
        </w:rPr>
        <w:t>2001</w:t>
      </w:r>
      <w:r>
        <w:rPr>
          <w:rFonts w:hint="eastAsia"/>
        </w:rPr>
        <w:t>年全国劳动集体总协定第</w:t>
      </w:r>
      <w:r>
        <w:rPr>
          <w:rFonts w:hint="eastAsia"/>
        </w:rPr>
        <w:t>6</w:t>
      </w:r>
      <w:r>
        <w:rPr>
          <w:rFonts w:hint="eastAsia"/>
        </w:rPr>
        <w:t>条的规定，凡是为同一个雇主连续工作</w:t>
      </w:r>
      <w:r>
        <w:rPr>
          <w:rFonts w:hint="eastAsia"/>
        </w:rPr>
        <w:t>10</w:t>
      </w:r>
      <w:r>
        <w:rPr>
          <w:rFonts w:hint="eastAsia"/>
        </w:rPr>
        <w:t>年以上的职工以及以前已经为任何其他雇主工作</w:t>
      </w:r>
      <w:r>
        <w:rPr>
          <w:rFonts w:hint="eastAsia"/>
        </w:rPr>
        <w:t>12</w:t>
      </w:r>
      <w:r>
        <w:rPr>
          <w:rFonts w:hint="eastAsia"/>
        </w:rPr>
        <w:t>年以上的职工，如果他们每周工作</w:t>
      </w:r>
      <w:r>
        <w:rPr>
          <w:rFonts w:hint="eastAsia"/>
        </w:rPr>
        <w:t>5</w:t>
      </w:r>
      <w:r>
        <w:rPr>
          <w:rFonts w:hint="eastAsia"/>
        </w:rPr>
        <w:t>天，有权享受</w:t>
      </w:r>
      <w:r>
        <w:rPr>
          <w:rFonts w:hint="eastAsia"/>
        </w:rPr>
        <w:t>5</w:t>
      </w:r>
      <w:r>
        <w:rPr>
          <w:rFonts w:hint="eastAsia"/>
        </w:rPr>
        <w:t>周或者</w:t>
      </w:r>
      <w:r>
        <w:rPr>
          <w:rFonts w:hint="eastAsia"/>
        </w:rPr>
        <w:t>25</w:t>
      </w:r>
      <w:r>
        <w:rPr>
          <w:rFonts w:hint="eastAsia"/>
        </w:rPr>
        <w:t>个工作日的假期，如果他们每周工作</w:t>
      </w:r>
      <w:r>
        <w:rPr>
          <w:rFonts w:hint="eastAsia"/>
        </w:rPr>
        <w:t>6</w:t>
      </w:r>
      <w:r>
        <w:rPr>
          <w:rFonts w:hint="eastAsia"/>
        </w:rPr>
        <w:t>天，有权享受</w:t>
      </w:r>
      <w:r>
        <w:rPr>
          <w:rFonts w:hint="eastAsia"/>
        </w:rPr>
        <w:t>30</w:t>
      </w:r>
      <w:r>
        <w:rPr>
          <w:rFonts w:hint="eastAsia"/>
        </w:rPr>
        <w:t>天的假期。</w:t>
      </w:r>
    </w:p>
    <w:p w:rsidR="00000000" w:rsidRDefault="00000000">
      <w:pPr>
        <w:rPr>
          <w:rFonts w:hint="eastAsia"/>
        </w:rPr>
      </w:pPr>
      <w:r>
        <w:rPr>
          <w:rFonts w:hint="eastAsia"/>
        </w:rPr>
        <w:tab/>
        <w:t xml:space="preserve">182.  </w:t>
      </w:r>
      <w:r>
        <w:rPr>
          <w:rFonts w:hint="eastAsia"/>
        </w:rPr>
        <w:t>就公共节假日而言，第</w:t>
      </w:r>
      <w:r>
        <w:rPr>
          <w:rFonts w:hint="eastAsia"/>
        </w:rPr>
        <w:t>748/1996</w:t>
      </w:r>
      <w:r>
        <w:rPr>
          <w:rFonts w:hint="eastAsia"/>
        </w:rPr>
        <w:t>号皇家法令第</w:t>
      </w:r>
      <w:r>
        <w:rPr>
          <w:rFonts w:hint="eastAsia"/>
        </w:rPr>
        <w:t>4</w:t>
      </w:r>
      <w:r>
        <w:rPr>
          <w:rFonts w:hint="eastAsia"/>
        </w:rPr>
        <w:t>条明文规定下列日期为私营部门的公众假期：</w:t>
      </w:r>
      <w:r>
        <w:t>(a)</w:t>
      </w:r>
      <w:r>
        <w:rPr>
          <w:rFonts w:hint="eastAsia"/>
        </w:rPr>
        <w:t xml:space="preserve"> 3</w:t>
      </w:r>
      <w:r>
        <w:rPr>
          <w:rFonts w:hint="eastAsia"/>
        </w:rPr>
        <w:t>月</w:t>
      </w:r>
      <w:r>
        <w:rPr>
          <w:rFonts w:hint="eastAsia"/>
        </w:rPr>
        <w:t>25</w:t>
      </w:r>
      <w:r>
        <w:rPr>
          <w:rFonts w:hint="eastAsia"/>
        </w:rPr>
        <w:t>日；</w:t>
      </w:r>
      <w:r>
        <w:t>(b)</w:t>
      </w:r>
      <w:r>
        <w:rPr>
          <w:rFonts w:hint="eastAsia"/>
        </w:rPr>
        <w:t xml:space="preserve"> </w:t>
      </w:r>
      <w:r>
        <w:rPr>
          <w:rFonts w:hint="eastAsia"/>
        </w:rPr>
        <w:t>复活节星期一；</w:t>
      </w:r>
      <w:r>
        <w:t>(c)</w:t>
      </w:r>
      <w:r>
        <w:rPr>
          <w:rFonts w:hint="eastAsia"/>
        </w:rPr>
        <w:t xml:space="preserve"> </w:t>
      </w:r>
      <w:r>
        <w:rPr>
          <w:rFonts w:hint="eastAsia"/>
        </w:rPr>
        <w:t>升天节以及</w:t>
      </w:r>
      <w:r>
        <w:t>(d)</w:t>
      </w:r>
      <w:r>
        <w:rPr>
          <w:rFonts w:hint="eastAsia"/>
        </w:rPr>
        <w:t xml:space="preserve"> 12</w:t>
      </w:r>
      <w:r>
        <w:rPr>
          <w:rFonts w:hint="eastAsia"/>
        </w:rPr>
        <w:t>月</w:t>
      </w:r>
      <w:r>
        <w:rPr>
          <w:rFonts w:hint="eastAsia"/>
        </w:rPr>
        <w:t>25</w:t>
      </w:r>
      <w:r>
        <w:rPr>
          <w:rFonts w:hint="eastAsia"/>
        </w:rPr>
        <w:t>日。任择假期为：</w:t>
      </w:r>
      <w:r>
        <w:rPr>
          <w:rFonts w:hint="eastAsia"/>
        </w:rPr>
        <w:t>10</w:t>
      </w:r>
      <w:r>
        <w:rPr>
          <w:rFonts w:hint="eastAsia"/>
        </w:rPr>
        <w:t>月</w:t>
      </w:r>
      <w:r>
        <w:rPr>
          <w:rFonts w:hint="eastAsia"/>
        </w:rPr>
        <w:t>28</w:t>
      </w:r>
      <w:r>
        <w:rPr>
          <w:rFonts w:hint="eastAsia"/>
        </w:rPr>
        <w:t>日和</w:t>
      </w:r>
      <w:r>
        <w:rPr>
          <w:rFonts w:hint="eastAsia"/>
        </w:rPr>
        <w:t>5</w:t>
      </w:r>
      <w:r>
        <w:rPr>
          <w:rFonts w:hint="eastAsia"/>
        </w:rPr>
        <w:t>月</w:t>
      </w:r>
      <w:r>
        <w:rPr>
          <w:rFonts w:hint="eastAsia"/>
        </w:rPr>
        <w:t>1</w:t>
      </w:r>
      <w:r>
        <w:rPr>
          <w:rFonts w:hint="eastAsia"/>
        </w:rPr>
        <w:t>日，但是劳动和社会保障部可决定宣布这两天为正式的公众假日</w:t>
      </w:r>
      <w:r>
        <w:rPr>
          <w:rFonts w:hint="eastAsia"/>
        </w:rPr>
        <w:t>(</w:t>
      </w:r>
      <w:r>
        <w:rPr>
          <w:rFonts w:hint="eastAsia"/>
        </w:rPr>
        <w:t>第</w:t>
      </w:r>
      <w:r>
        <w:rPr>
          <w:rFonts w:hint="eastAsia"/>
        </w:rPr>
        <w:t>380/68</w:t>
      </w:r>
      <w:r>
        <w:rPr>
          <w:rFonts w:hint="eastAsia"/>
        </w:rPr>
        <w:t>号法令</w:t>
      </w:r>
      <w:r>
        <w:rPr>
          <w:rFonts w:hint="eastAsia"/>
        </w:rPr>
        <w:t>)</w:t>
      </w:r>
      <w:r>
        <w:rPr>
          <w:rFonts w:hint="eastAsia"/>
        </w:rPr>
        <w:t>。</w:t>
      </w:r>
    </w:p>
    <w:p w:rsidR="00000000" w:rsidRDefault="00000000">
      <w:pPr>
        <w:spacing w:after="240"/>
        <w:rPr>
          <w:rFonts w:hint="eastAsia"/>
        </w:rPr>
      </w:pPr>
      <w:r>
        <w:rPr>
          <w:rFonts w:hint="eastAsia"/>
        </w:rPr>
        <w:tab/>
        <w:t xml:space="preserve">183.  </w:t>
      </w:r>
      <w:r>
        <w:rPr>
          <w:rFonts w:hint="eastAsia"/>
        </w:rPr>
        <w:t>在公众节假日休假的职工工资照发，但是如果他们照常上班，则有权领取相当于其工资</w:t>
      </w:r>
      <w:r>
        <w:rPr>
          <w:rFonts w:hint="eastAsia"/>
        </w:rPr>
        <w:t>75%</w:t>
      </w:r>
      <w:r>
        <w:rPr>
          <w:rFonts w:hint="eastAsia"/>
        </w:rPr>
        <w:t>的加班费。</w:t>
      </w:r>
    </w:p>
    <w:p w:rsidR="00000000" w:rsidRDefault="00000000">
      <w:pPr>
        <w:pStyle w:val="Heading4"/>
        <w:rPr>
          <w:rFonts w:hint="eastAsia"/>
        </w:rPr>
      </w:pPr>
      <w:r>
        <w:rPr>
          <w:rFonts w:hint="eastAsia"/>
        </w:rPr>
        <w:t>职工的工间休息</w:t>
      </w:r>
    </w:p>
    <w:p w:rsidR="00000000" w:rsidRDefault="00000000">
      <w:pPr>
        <w:spacing w:after="240"/>
        <w:rPr>
          <w:rFonts w:hint="eastAsia"/>
        </w:rPr>
      </w:pPr>
      <w:r>
        <w:rPr>
          <w:rFonts w:hint="eastAsia"/>
        </w:rPr>
        <w:tab/>
        <w:t xml:space="preserve">184.  </w:t>
      </w:r>
      <w:r>
        <w:rPr>
          <w:rFonts w:hint="eastAsia"/>
        </w:rPr>
        <w:t>第</w:t>
      </w:r>
      <w:r>
        <w:rPr>
          <w:rFonts w:hint="eastAsia"/>
        </w:rPr>
        <w:t>88/1999</w:t>
      </w:r>
      <w:r>
        <w:rPr>
          <w:rFonts w:hint="eastAsia"/>
        </w:rPr>
        <w:t>号总统令根据欧洲共同体第</w:t>
      </w:r>
      <w:r>
        <w:rPr>
          <w:rFonts w:hint="eastAsia"/>
        </w:rPr>
        <w:t>93/104/EC</w:t>
      </w:r>
      <w:r>
        <w:rPr>
          <w:rFonts w:hint="eastAsia"/>
        </w:rPr>
        <w:t>号指示，对工作时间的安排提出了最低要求。希腊的法律遵照欧洲共同体的上述指示，规定凡是日间工作时间超过</w:t>
      </w:r>
      <w:r>
        <w:rPr>
          <w:rFonts w:hint="eastAsia"/>
        </w:rPr>
        <w:t>6</w:t>
      </w:r>
      <w:r>
        <w:rPr>
          <w:rFonts w:hint="eastAsia"/>
        </w:rPr>
        <w:t>小时的职工可享受至少</w:t>
      </w:r>
      <w:r>
        <w:rPr>
          <w:rFonts w:hint="eastAsia"/>
        </w:rPr>
        <w:t>15</w:t>
      </w:r>
      <w:r>
        <w:rPr>
          <w:rFonts w:hint="eastAsia"/>
        </w:rPr>
        <w:t>分钟的工间休息，在工休时职工有权离开工作岗位。而且，这些工休不得安排在每日工作时间的开始或者结束。以上法律还规定了工间休息的详细办法。如果集体协议或者现行法律没有规定工休的时间和条件，则由企业的雇主以及工人代表经协商后自行确定</w:t>
      </w:r>
      <w:r>
        <w:rPr>
          <w:rFonts w:hint="eastAsia"/>
        </w:rPr>
        <w:t>(</w:t>
      </w:r>
      <w:r>
        <w:rPr>
          <w:rFonts w:hint="eastAsia"/>
        </w:rPr>
        <w:t>第</w:t>
      </w:r>
      <w:r>
        <w:rPr>
          <w:rFonts w:hint="eastAsia"/>
        </w:rPr>
        <w:t>1264/82</w:t>
      </w:r>
      <w:r>
        <w:rPr>
          <w:rFonts w:hint="eastAsia"/>
        </w:rPr>
        <w:t>号法令</w:t>
      </w:r>
      <w:r>
        <w:rPr>
          <w:rFonts w:hint="eastAsia"/>
        </w:rPr>
        <w:t>)</w:t>
      </w:r>
      <w:r>
        <w:rPr>
          <w:rFonts w:hint="eastAsia"/>
        </w:rPr>
        <w:t>。</w:t>
      </w:r>
    </w:p>
    <w:p w:rsidR="00000000" w:rsidRDefault="00000000">
      <w:pPr>
        <w:pStyle w:val="Heading4"/>
        <w:rPr>
          <w:rFonts w:hint="eastAsia"/>
        </w:rPr>
      </w:pPr>
      <w:r>
        <w:rPr>
          <w:rFonts w:hint="eastAsia"/>
        </w:rPr>
        <w:t>职工的每日和每周休息时间</w:t>
      </w:r>
    </w:p>
    <w:p w:rsidR="00000000" w:rsidRDefault="00000000">
      <w:pPr>
        <w:rPr>
          <w:rFonts w:hint="eastAsia"/>
        </w:rPr>
      </w:pPr>
      <w:r>
        <w:rPr>
          <w:rFonts w:hint="eastAsia"/>
        </w:rPr>
        <w:tab/>
        <w:t xml:space="preserve">185.  </w:t>
      </w:r>
      <w:r>
        <w:rPr>
          <w:rFonts w:hint="eastAsia"/>
        </w:rPr>
        <w:t>根据现行法律</w:t>
      </w:r>
      <w:r>
        <w:rPr>
          <w:rFonts w:hint="eastAsia"/>
        </w:rPr>
        <w:t>(</w:t>
      </w:r>
      <w:r>
        <w:rPr>
          <w:rFonts w:hint="eastAsia"/>
        </w:rPr>
        <w:t>第</w:t>
      </w:r>
      <w:r>
        <w:rPr>
          <w:rFonts w:hint="eastAsia"/>
        </w:rPr>
        <w:t>88/1999</w:t>
      </w:r>
      <w:r>
        <w:rPr>
          <w:rFonts w:hint="eastAsia"/>
        </w:rPr>
        <w:t>号总统令</w:t>
      </w:r>
      <w:r>
        <w:rPr>
          <w:rFonts w:hint="eastAsia"/>
        </w:rPr>
        <w:t>)</w:t>
      </w:r>
      <w:r>
        <w:rPr>
          <w:rFonts w:hint="eastAsia"/>
        </w:rPr>
        <w:t>，在</w:t>
      </w:r>
      <w:r>
        <w:rPr>
          <w:rFonts w:hint="eastAsia"/>
        </w:rPr>
        <w:t>24</w:t>
      </w:r>
      <w:r>
        <w:rPr>
          <w:rFonts w:hint="eastAsia"/>
        </w:rPr>
        <w:t>小时之中职工的最低连续休息时间不得低于</w:t>
      </w:r>
      <w:r>
        <w:rPr>
          <w:rFonts w:hint="eastAsia"/>
        </w:rPr>
        <w:t>12</w:t>
      </w:r>
      <w:r>
        <w:rPr>
          <w:rFonts w:hint="eastAsia"/>
        </w:rPr>
        <w:t>小时。职工的每周连续休息时间不得低于</w:t>
      </w:r>
      <w:r>
        <w:rPr>
          <w:rFonts w:hint="eastAsia"/>
        </w:rPr>
        <w:t>24</w:t>
      </w:r>
      <w:r>
        <w:rPr>
          <w:rFonts w:hint="eastAsia"/>
        </w:rPr>
        <w:t>小时</w:t>
      </w:r>
      <w:r>
        <w:rPr>
          <w:rFonts w:hint="eastAsia"/>
        </w:rPr>
        <w:t>(</w:t>
      </w:r>
      <w:r>
        <w:rPr>
          <w:rFonts w:hint="eastAsia"/>
        </w:rPr>
        <w:t>包括星期日</w:t>
      </w:r>
      <w:r>
        <w:rPr>
          <w:rFonts w:hint="eastAsia"/>
        </w:rPr>
        <w:t>)</w:t>
      </w:r>
      <w:r>
        <w:rPr>
          <w:rFonts w:hint="eastAsia"/>
        </w:rPr>
        <w:t>。然而，对于每周工作</w:t>
      </w:r>
      <w:r>
        <w:rPr>
          <w:rFonts w:hint="eastAsia"/>
        </w:rPr>
        <w:t>5</w:t>
      </w:r>
      <w:r>
        <w:rPr>
          <w:rFonts w:hint="eastAsia"/>
        </w:rPr>
        <w:t>天的职工来说，每周的连续休息时间延长到</w:t>
      </w:r>
      <w:r>
        <w:rPr>
          <w:rFonts w:hint="eastAsia"/>
        </w:rPr>
        <w:t>48</w:t>
      </w:r>
      <w:r>
        <w:rPr>
          <w:rFonts w:hint="eastAsia"/>
        </w:rPr>
        <w:t>小时。</w:t>
      </w:r>
    </w:p>
    <w:p w:rsidR="00000000" w:rsidRDefault="00000000">
      <w:pPr>
        <w:rPr>
          <w:rFonts w:hint="eastAsia"/>
        </w:rPr>
      </w:pPr>
      <w:r>
        <w:rPr>
          <w:rFonts w:hint="eastAsia"/>
        </w:rPr>
        <w:tab/>
        <w:t xml:space="preserve">186.  </w:t>
      </w:r>
      <w:r>
        <w:rPr>
          <w:rFonts w:hint="eastAsia"/>
        </w:rPr>
        <w:t>详细情况请参看</w:t>
      </w:r>
      <w:r>
        <w:rPr>
          <w:rFonts w:hint="eastAsia"/>
        </w:rPr>
        <w:t>2000</w:t>
      </w:r>
      <w:r>
        <w:rPr>
          <w:rFonts w:hint="eastAsia"/>
        </w:rPr>
        <w:t>年提交国际劳工组织的关于实施劳工组织有关每周休息</w:t>
      </w:r>
      <w:r>
        <w:rPr>
          <w:rFonts w:hint="eastAsia"/>
        </w:rPr>
        <w:t>(</w:t>
      </w:r>
      <w:r>
        <w:rPr>
          <w:rFonts w:hint="eastAsia"/>
        </w:rPr>
        <w:t>商业和办公室</w:t>
      </w:r>
      <w:r>
        <w:rPr>
          <w:rFonts w:hint="eastAsia"/>
        </w:rPr>
        <w:t>)</w:t>
      </w:r>
      <w:r>
        <w:rPr>
          <w:rFonts w:hint="eastAsia"/>
        </w:rPr>
        <w:t>的第</w:t>
      </w:r>
      <w:r>
        <w:rPr>
          <w:rFonts w:hint="eastAsia"/>
        </w:rPr>
        <w:t>166</w:t>
      </w:r>
      <w:r>
        <w:rPr>
          <w:rFonts w:hint="eastAsia"/>
        </w:rPr>
        <w:t>号公约的国家报告</w:t>
      </w:r>
      <w:r>
        <w:rPr>
          <w:rFonts w:hint="eastAsia"/>
        </w:rPr>
        <w:t>(</w:t>
      </w:r>
      <w:r>
        <w:rPr>
          <w:rFonts w:hint="eastAsia"/>
        </w:rPr>
        <w:t>附录一</w:t>
      </w:r>
      <w:r>
        <w:rPr>
          <w:rFonts w:hint="eastAsia"/>
        </w:rPr>
        <w:t>)</w:t>
      </w:r>
      <w:r>
        <w:rPr>
          <w:rFonts w:hint="eastAsia"/>
        </w:rPr>
        <w:t>以及</w:t>
      </w:r>
      <w:r>
        <w:rPr>
          <w:rFonts w:hint="eastAsia"/>
        </w:rPr>
        <w:t>2000</w:t>
      </w:r>
      <w:r>
        <w:rPr>
          <w:rFonts w:hint="eastAsia"/>
        </w:rPr>
        <w:t>年提交国际劳工组织的有关执行劳工组织关于每周休息</w:t>
      </w:r>
      <w:r>
        <w:rPr>
          <w:rFonts w:hint="eastAsia"/>
        </w:rPr>
        <w:t>(</w:t>
      </w:r>
      <w:r>
        <w:rPr>
          <w:rFonts w:hint="eastAsia"/>
        </w:rPr>
        <w:t>工业</w:t>
      </w:r>
      <w:r>
        <w:rPr>
          <w:rFonts w:hint="eastAsia"/>
        </w:rPr>
        <w:t>)</w:t>
      </w:r>
      <w:r>
        <w:rPr>
          <w:rFonts w:hint="eastAsia"/>
        </w:rPr>
        <w:t>的第</w:t>
      </w:r>
      <w:r>
        <w:rPr>
          <w:rFonts w:hint="eastAsia"/>
        </w:rPr>
        <w:t>14</w:t>
      </w:r>
      <w:r>
        <w:rPr>
          <w:rFonts w:hint="eastAsia"/>
        </w:rPr>
        <w:t>号公约的国家报告</w:t>
      </w:r>
      <w:r>
        <w:rPr>
          <w:rFonts w:hint="eastAsia"/>
        </w:rPr>
        <w:t>(</w:t>
      </w:r>
      <w:r>
        <w:rPr>
          <w:rFonts w:hint="eastAsia"/>
        </w:rPr>
        <w:t>附录一和附录二</w:t>
      </w:r>
      <w:r>
        <w:rPr>
          <w:rFonts w:hint="eastAsia"/>
        </w:rPr>
        <w:t>)</w:t>
      </w:r>
      <w:r>
        <w:rPr>
          <w:rFonts w:hint="eastAsia"/>
        </w:rPr>
        <w:t>。</w:t>
      </w:r>
    </w:p>
    <w:p w:rsidR="00000000" w:rsidRDefault="00000000">
      <w:pPr>
        <w:spacing w:after="320"/>
        <w:rPr>
          <w:rFonts w:hint="eastAsia"/>
        </w:rPr>
      </w:pPr>
      <w:r>
        <w:rPr>
          <w:rFonts w:hint="eastAsia"/>
        </w:rPr>
        <w:tab/>
        <w:t xml:space="preserve">187.  </w:t>
      </w:r>
      <w:r>
        <w:rPr>
          <w:rFonts w:hint="eastAsia"/>
        </w:rPr>
        <w:t>关于职工每日和每周休息时间的上述规定并不适用于受到信任的负责监督和指导的人员</w:t>
      </w:r>
      <w:r>
        <w:rPr>
          <w:rFonts w:hint="eastAsia"/>
        </w:rPr>
        <w:t>(</w:t>
      </w:r>
      <w:r>
        <w:rPr>
          <w:rFonts w:hint="eastAsia"/>
        </w:rPr>
        <w:t>例如，企业管理人员</w:t>
      </w:r>
      <w:r>
        <w:rPr>
          <w:rFonts w:hint="eastAsia"/>
        </w:rPr>
        <w:t>)</w:t>
      </w:r>
      <w:r>
        <w:rPr>
          <w:rFonts w:hint="eastAsia"/>
        </w:rPr>
        <w:t>因为这些人员受过特别的教育，具有杰出的能力，特别受到雇主的信任，而且还负责整个企业的全面管理和监督。</w:t>
      </w:r>
    </w:p>
    <w:p w:rsidR="00000000" w:rsidRDefault="00000000">
      <w:pPr>
        <w:pStyle w:val="Heading3"/>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188.  </w:t>
      </w:r>
      <w:r>
        <w:rPr>
          <w:rFonts w:hint="eastAsia"/>
        </w:rPr>
        <w:t>希腊已经批准了《有关报告公约执行情况的指导手册》第</w:t>
      </w:r>
      <w:r>
        <w:rPr>
          <w:rFonts w:hint="eastAsia"/>
        </w:rPr>
        <w:t>21</w:t>
      </w:r>
      <w:r>
        <w:rPr>
          <w:rFonts w:hint="eastAsia"/>
        </w:rPr>
        <w:t>段所提到的所有国际公约。</w:t>
      </w:r>
    </w:p>
    <w:p w:rsidR="00000000" w:rsidRDefault="00000000">
      <w:pPr>
        <w:rPr>
          <w:rFonts w:hint="eastAsia"/>
        </w:rPr>
      </w:pPr>
      <w:r>
        <w:rPr>
          <w:rFonts w:hint="eastAsia"/>
        </w:rPr>
        <w:tab/>
        <w:t xml:space="preserve">189.  </w:t>
      </w:r>
      <w:r>
        <w:rPr>
          <w:rFonts w:hint="eastAsia"/>
        </w:rPr>
        <w:t>希腊《宪法》第</w:t>
      </w:r>
      <w:r>
        <w:rPr>
          <w:rFonts w:hint="eastAsia"/>
        </w:rPr>
        <w:t>23</w:t>
      </w:r>
      <w:r>
        <w:rPr>
          <w:rFonts w:hint="eastAsia"/>
        </w:rPr>
        <w:t>条第</w:t>
      </w:r>
      <w:r>
        <w:rPr>
          <w:rFonts w:hint="eastAsia"/>
        </w:rPr>
        <w:t>1</w:t>
      </w:r>
      <w:r>
        <w:rPr>
          <w:rFonts w:hint="eastAsia"/>
        </w:rPr>
        <w:t>款保证工会享有自由和有关权利，同时规定国家有义务采取一切必要措施确保行使这些权利。除此以外，《宪法》第</w:t>
      </w:r>
      <w:r>
        <w:rPr>
          <w:rFonts w:hint="eastAsia"/>
        </w:rPr>
        <w:t>12</w:t>
      </w:r>
      <w:r>
        <w:rPr>
          <w:rFonts w:hint="eastAsia"/>
        </w:rPr>
        <w:t>条还保证行使组织起来的权利和保护建立工会组织，保障建立非赢利性的协会和联合会的权利。</w:t>
      </w:r>
    </w:p>
    <w:p w:rsidR="00000000" w:rsidRDefault="00000000">
      <w:pPr>
        <w:rPr>
          <w:rFonts w:hint="eastAsia"/>
        </w:rPr>
      </w:pPr>
      <w:r>
        <w:rPr>
          <w:rFonts w:hint="eastAsia"/>
        </w:rPr>
        <w:tab/>
        <w:t xml:space="preserve">190.  </w:t>
      </w:r>
      <w:r>
        <w:rPr>
          <w:rFonts w:hint="eastAsia"/>
        </w:rPr>
        <w:t>“有关工会运动民主化和扩大职工结社自由的”第</w:t>
      </w:r>
      <w:r>
        <w:rPr>
          <w:rFonts w:hint="eastAsia"/>
        </w:rPr>
        <w:t>1284/1982</w:t>
      </w:r>
      <w:r>
        <w:rPr>
          <w:rFonts w:hint="eastAsia"/>
        </w:rPr>
        <w:t>号法令</w:t>
      </w:r>
      <w:r>
        <w:rPr>
          <w:rFonts w:hint="eastAsia"/>
        </w:rPr>
        <w:t>(</w:t>
      </w:r>
      <w:r>
        <w:rPr>
          <w:rFonts w:hint="eastAsia"/>
        </w:rPr>
        <w:t>《政府公报》</w:t>
      </w:r>
      <w:r>
        <w:rPr>
          <w:rFonts w:hint="eastAsia"/>
        </w:rPr>
        <w:t xml:space="preserve">79/A/1.7.1982) </w:t>
      </w:r>
      <w:r>
        <w:rPr>
          <w:rFonts w:hint="eastAsia"/>
        </w:rPr>
        <w:t>规定了职工成立和参加工会组织的必要条件。详细情况请参看</w:t>
      </w:r>
      <w:r>
        <w:rPr>
          <w:rFonts w:hint="eastAsia"/>
        </w:rPr>
        <w:t>1998</w:t>
      </w:r>
      <w:r>
        <w:rPr>
          <w:rFonts w:hint="eastAsia"/>
        </w:rPr>
        <w:t>年和</w:t>
      </w:r>
      <w:r>
        <w:rPr>
          <w:rFonts w:hint="eastAsia"/>
        </w:rPr>
        <w:t>2001</w:t>
      </w:r>
      <w:r>
        <w:rPr>
          <w:rFonts w:hint="eastAsia"/>
        </w:rPr>
        <w:t>年提交国际劳工组织的关于希腊执行劳工组织有关工会自由和保护组织权利的第</w:t>
      </w:r>
      <w:r>
        <w:rPr>
          <w:rFonts w:hint="eastAsia"/>
        </w:rPr>
        <w:t>87</w:t>
      </w:r>
      <w:r>
        <w:rPr>
          <w:rFonts w:hint="eastAsia"/>
        </w:rPr>
        <w:t>号公约的国家报告</w:t>
      </w:r>
      <w:r>
        <w:rPr>
          <w:rFonts w:hint="eastAsia"/>
        </w:rPr>
        <w:t>(</w:t>
      </w:r>
      <w:r>
        <w:rPr>
          <w:rFonts w:hint="eastAsia"/>
        </w:rPr>
        <w:t>第二章</w:t>
      </w:r>
      <w:r>
        <w:rPr>
          <w:rFonts w:hint="eastAsia"/>
        </w:rPr>
        <w:t>)</w:t>
      </w:r>
      <w:r>
        <w:rPr>
          <w:rFonts w:hint="eastAsia"/>
        </w:rPr>
        <w:t>。</w:t>
      </w:r>
    </w:p>
    <w:p w:rsidR="00000000" w:rsidRDefault="00000000">
      <w:pPr>
        <w:rPr>
          <w:rFonts w:hint="eastAsia"/>
        </w:rPr>
      </w:pPr>
      <w:r>
        <w:rPr>
          <w:rFonts w:hint="eastAsia"/>
        </w:rPr>
        <w:tab/>
        <w:t xml:space="preserve">191.  </w:t>
      </w:r>
      <w:r>
        <w:rPr>
          <w:rFonts w:hint="eastAsia"/>
        </w:rPr>
        <w:t>第</w:t>
      </w:r>
      <w:r>
        <w:rPr>
          <w:rFonts w:hint="eastAsia"/>
        </w:rPr>
        <w:t>1264/82</w:t>
      </w:r>
      <w:r>
        <w:rPr>
          <w:rFonts w:hint="eastAsia"/>
        </w:rPr>
        <w:t>号法令</w:t>
      </w:r>
      <w:r>
        <w:rPr>
          <w:rFonts w:hint="eastAsia"/>
        </w:rPr>
        <w:t>(</w:t>
      </w:r>
      <w:r>
        <w:rPr>
          <w:rFonts w:hint="eastAsia"/>
        </w:rPr>
        <w:t>第</w:t>
      </w:r>
      <w:r>
        <w:rPr>
          <w:rFonts w:hint="eastAsia"/>
        </w:rPr>
        <w:t>1</w:t>
      </w:r>
      <w:r>
        <w:rPr>
          <w:rFonts w:hint="eastAsia"/>
        </w:rPr>
        <w:t>条第</w:t>
      </w:r>
      <w:r>
        <w:rPr>
          <w:rFonts w:hint="eastAsia"/>
        </w:rPr>
        <w:t>3</w:t>
      </w:r>
      <w:r>
        <w:rPr>
          <w:rFonts w:hint="eastAsia"/>
        </w:rPr>
        <w:t>款</w:t>
      </w:r>
      <w:r>
        <w:t>(b)</w:t>
      </w:r>
      <w:r>
        <w:rPr>
          <w:rFonts w:hint="eastAsia"/>
        </w:rPr>
        <w:t>项</w:t>
      </w:r>
      <w:r>
        <w:rPr>
          <w:rFonts w:hint="eastAsia"/>
        </w:rPr>
        <w:t>)</w:t>
      </w:r>
      <w:r>
        <w:rPr>
          <w:rFonts w:hint="eastAsia"/>
        </w:rPr>
        <w:t>保障了工会组织成立工会联合会和劳工中心</w:t>
      </w:r>
      <w:r>
        <w:rPr>
          <w:rFonts w:hint="eastAsia"/>
        </w:rPr>
        <w:t>(</w:t>
      </w:r>
      <w:r>
        <w:rPr>
          <w:rFonts w:hint="eastAsia"/>
        </w:rPr>
        <w:t>二级工会组织</w:t>
      </w:r>
      <w:r>
        <w:rPr>
          <w:rFonts w:hint="eastAsia"/>
        </w:rPr>
        <w:t>)</w:t>
      </w:r>
      <w:r>
        <w:rPr>
          <w:rFonts w:hint="eastAsia"/>
        </w:rPr>
        <w:t>的权利。劳工中心由同一个区内两个或者两个以上基层工会组织组成，而工会联合会则由同一个经济活动部门或者同个行业中两个或两个以上基层组织组成。所有工会均有权参加有关的工会联合会和劳工中心。除了工会联合会以外，所有劳工中心都有权参加工会联盟</w:t>
      </w:r>
      <w:r>
        <w:rPr>
          <w:rFonts w:hint="eastAsia"/>
        </w:rPr>
        <w:t>(</w:t>
      </w:r>
      <w:r>
        <w:rPr>
          <w:rFonts w:hint="eastAsia"/>
        </w:rPr>
        <w:t>三级工会组织</w:t>
      </w:r>
      <w:r>
        <w:rPr>
          <w:rFonts w:hint="eastAsia"/>
        </w:rPr>
        <w:t>)</w:t>
      </w:r>
      <w:r>
        <w:rPr>
          <w:rFonts w:hint="eastAsia"/>
        </w:rPr>
        <w:t>。</w:t>
      </w:r>
    </w:p>
    <w:p w:rsidR="00000000" w:rsidRDefault="00000000">
      <w:pPr>
        <w:rPr>
          <w:rFonts w:hint="eastAsia"/>
        </w:rPr>
      </w:pPr>
      <w:r>
        <w:rPr>
          <w:rFonts w:hint="eastAsia"/>
        </w:rPr>
        <w:tab/>
        <w:t xml:space="preserve">192.  </w:t>
      </w:r>
      <w:r>
        <w:rPr>
          <w:rFonts w:hint="eastAsia"/>
        </w:rPr>
        <w:t>国际劳工组织有关工会自由和保护组织权利的第</w:t>
      </w:r>
      <w:r>
        <w:rPr>
          <w:rFonts w:hint="eastAsia"/>
        </w:rPr>
        <w:t>87</w:t>
      </w:r>
      <w:r>
        <w:rPr>
          <w:rFonts w:hint="eastAsia"/>
        </w:rPr>
        <w:t>号公约第</w:t>
      </w:r>
      <w:r>
        <w:rPr>
          <w:rFonts w:hint="eastAsia"/>
        </w:rPr>
        <w:t>5</w:t>
      </w:r>
      <w:r>
        <w:rPr>
          <w:rFonts w:hint="eastAsia"/>
        </w:rPr>
        <w:t>条保障工会组织参加国际工会组织的权利。这项公约是由第</w:t>
      </w:r>
      <w:r>
        <w:rPr>
          <w:rFonts w:hint="eastAsia"/>
        </w:rPr>
        <w:t>4204/61</w:t>
      </w:r>
      <w:r>
        <w:rPr>
          <w:rFonts w:hint="eastAsia"/>
        </w:rPr>
        <w:t>号法令批准的。</w:t>
      </w:r>
    </w:p>
    <w:p w:rsidR="00000000" w:rsidRDefault="00000000">
      <w:pPr>
        <w:spacing w:after="240"/>
        <w:rPr>
          <w:rFonts w:hint="eastAsia"/>
        </w:rPr>
      </w:pPr>
      <w:r>
        <w:rPr>
          <w:rFonts w:hint="eastAsia"/>
        </w:rPr>
        <w:tab/>
        <w:t xml:space="preserve">193.  </w:t>
      </w:r>
      <w:r>
        <w:rPr>
          <w:rFonts w:hint="eastAsia"/>
        </w:rPr>
        <w:t>《宪法》第</w:t>
      </w:r>
      <w:r>
        <w:rPr>
          <w:rFonts w:hint="eastAsia"/>
        </w:rPr>
        <w:t>23</w:t>
      </w:r>
      <w:r>
        <w:rPr>
          <w:rFonts w:hint="eastAsia"/>
        </w:rPr>
        <w:t>条第</w:t>
      </w:r>
      <w:r>
        <w:rPr>
          <w:rFonts w:hint="eastAsia"/>
        </w:rPr>
        <w:t>1</w:t>
      </w:r>
      <w:r>
        <w:rPr>
          <w:rFonts w:hint="eastAsia"/>
        </w:rPr>
        <w:t>款规定，国家有义务采取适当措施，不仅仅保障工会自由，同时保障自由行使有关权利。除了《宪法》和国际劳工组织的各项公约之外，工会活动还受到第</w:t>
      </w:r>
      <w:r>
        <w:rPr>
          <w:rFonts w:hint="eastAsia"/>
        </w:rPr>
        <w:t>1264/82</w:t>
      </w:r>
      <w:r>
        <w:rPr>
          <w:rFonts w:hint="eastAsia"/>
        </w:rPr>
        <w:t>号法令的保护，这项法令规定向工会组织提供一般性保护，向工会领袖提供特别保护。</w:t>
      </w:r>
    </w:p>
    <w:p w:rsidR="00000000" w:rsidRDefault="00000000">
      <w:pPr>
        <w:pStyle w:val="Heading4"/>
        <w:rPr>
          <w:rFonts w:hint="eastAsia"/>
        </w:rPr>
      </w:pPr>
      <w:r>
        <w:rPr>
          <w:rFonts w:hint="eastAsia"/>
        </w:rPr>
        <w:t>一般性保护</w:t>
      </w:r>
    </w:p>
    <w:p w:rsidR="00000000" w:rsidRDefault="00000000">
      <w:pPr>
        <w:rPr>
          <w:rFonts w:hint="eastAsia"/>
        </w:rPr>
      </w:pPr>
      <w:r>
        <w:rPr>
          <w:rFonts w:hint="eastAsia"/>
        </w:rPr>
        <w:tab/>
        <w:t xml:space="preserve">194.  </w:t>
      </w:r>
      <w:r>
        <w:rPr>
          <w:rFonts w:hint="eastAsia"/>
        </w:rPr>
        <w:t>国家有关部门必须采取一切必要措施，保障职工自由行使其组织和管理工会组织的权利</w:t>
      </w:r>
      <w:r>
        <w:rPr>
          <w:rFonts w:hint="eastAsia"/>
        </w:rPr>
        <w:t>(</w:t>
      </w:r>
      <w:r>
        <w:rPr>
          <w:rFonts w:hint="eastAsia"/>
        </w:rPr>
        <w:t>第</w:t>
      </w:r>
      <w:r>
        <w:rPr>
          <w:rFonts w:hint="eastAsia"/>
        </w:rPr>
        <w:t>1264/82</w:t>
      </w:r>
      <w:r>
        <w:rPr>
          <w:rFonts w:hint="eastAsia"/>
        </w:rPr>
        <w:t>号法令第</w:t>
      </w:r>
      <w:r>
        <w:rPr>
          <w:rFonts w:hint="eastAsia"/>
        </w:rPr>
        <w:t>14</w:t>
      </w:r>
      <w:r>
        <w:rPr>
          <w:rFonts w:hint="eastAsia"/>
        </w:rPr>
        <w:t>条</w:t>
      </w:r>
      <w:r>
        <w:rPr>
          <w:rFonts w:hint="eastAsia"/>
        </w:rPr>
        <w:t>)</w:t>
      </w:r>
      <w:r>
        <w:rPr>
          <w:rFonts w:hint="eastAsia"/>
        </w:rPr>
        <w:t>。如果雇主或其代表或任何其他第三方采取任何可能会影响职工行使其工会权利的行为或不行为，是非法的；这些行为包括：</w:t>
      </w:r>
    </w:p>
    <w:p w:rsidR="00000000" w:rsidRDefault="00000000">
      <w:pPr>
        <w:pStyle w:val="a0"/>
        <w:tabs>
          <w:tab w:val="num" w:pos="1550"/>
        </w:tabs>
        <w:ind w:left="1550"/>
        <w:rPr>
          <w:rFonts w:hint="eastAsia"/>
        </w:rPr>
      </w:pPr>
      <w:r>
        <w:rPr>
          <w:rFonts w:hint="eastAsia"/>
        </w:rPr>
        <w:t>向职工施加影响，要求其成立或者不成立工会组织；</w:t>
      </w:r>
    </w:p>
    <w:p w:rsidR="00000000" w:rsidRDefault="00000000">
      <w:pPr>
        <w:pStyle w:val="a0"/>
        <w:tabs>
          <w:tab w:val="num" w:pos="1550"/>
        </w:tabs>
        <w:ind w:left="1550"/>
        <w:rPr>
          <w:rFonts w:hint="eastAsia"/>
        </w:rPr>
      </w:pPr>
      <w:r>
        <w:rPr>
          <w:rFonts w:hint="eastAsia"/>
        </w:rPr>
        <w:t>以任何方式方法迫使职工参加或者不参加某个工会组织；</w:t>
      </w:r>
    </w:p>
    <w:p w:rsidR="00000000" w:rsidRDefault="00000000">
      <w:pPr>
        <w:pStyle w:val="a0"/>
        <w:tabs>
          <w:tab w:val="num" w:pos="1550"/>
        </w:tabs>
        <w:ind w:left="1550"/>
        <w:rPr>
          <w:rFonts w:hint="eastAsia"/>
        </w:rPr>
      </w:pPr>
      <w:r>
        <w:rPr>
          <w:rFonts w:hint="eastAsia"/>
        </w:rPr>
        <w:t>以任何方式干预工会组织的管理、运作或者活动；</w:t>
      </w:r>
    </w:p>
    <w:p w:rsidR="00000000" w:rsidRDefault="00000000">
      <w:pPr>
        <w:pStyle w:val="a0"/>
        <w:tabs>
          <w:tab w:val="num" w:pos="1550"/>
        </w:tabs>
        <w:spacing w:after="240"/>
        <w:ind w:left="1550"/>
        <w:rPr>
          <w:rFonts w:hint="eastAsia"/>
        </w:rPr>
      </w:pPr>
      <w:r>
        <w:rPr>
          <w:rFonts w:hint="eastAsia"/>
        </w:rPr>
        <w:t>以参加某个工会组织为标准区别对待职工。</w:t>
      </w:r>
    </w:p>
    <w:p w:rsidR="00000000" w:rsidRDefault="00000000">
      <w:pPr>
        <w:pStyle w:val="Heading4"/>
        <w:rPr>
          <w:rFonts w:hint="eastAsia"/>
        </w:rPr>
      </w:pPr>
      <w:r>
        <w:rPr>
          <w:rFonts w:hint="eastAsia"/>
        </w:rPr>
        <w:t>保护工作场所的工会活动</w:t>
      </w:r>
    </w:p>
    <w:p w:rsidR="00000000" w:rsidRDefault="00000000">
      <w:pPr>
        <w:spacing w:after="240"/>
        <w:rPr>
          <w:rFonts w:hint="eastAsia"/>
        </w:rPr>
      </w:pPr>
      <w:r>
        <w:rPr>
          <w:rFonts w:hint="eastAsia"/>
        </w:rPr>
        <w:tab/>
        <w:t xml:space="preserve">195.  </w:t>
      </w:r>
      <w:r>
        <w:rPr>
          <w:rFonts w:hint="eastAsia"/>
        </w:rPr>
        <w:t>根据第</w:t>
      </w:r>
      <w:r>
        <w:rPr>
          <w:rFonts w:hint="eastAsia"/>
        </w:rPr>
        <w:t>1264/82</w:t>
      </w:r>
      <w:r>
        <w:rPr>
          <w:rFonts w:hint="eastAsia"/>
        </w:rPr>
        <w:t>号法令的第</w:t>
      </w:r>
      <w:r>
        <w:rPr>
          <w:rFonts w:hint="eastAsia"/>
        </w:rPr>
        <w:t>16</w:t>
      </w:r>
      <w:r>
        <w:rPr>
          <w:rFonts w:hint="eastAsia"/>
        </w:rPr>
        <w:t>条，职工及其工会组织在工作场所行使其所有工会权利时应受保护。工会有权在工作场所以及由雇主和工会领导所商定的其他地点设置公告栏。雇主或者得到雇主完全授权的代表必须至少每月一次同工会组织的代表会面，以便解决引起职工或其工会关注的问题。企业的工会代表或者该区的劳工中心的代表</w:t>
      </w:r>
      <w:r>
        <w:rPr>
          <w:rFonts w:hint="eastAsia"/>
        </w:rPr>
        <w:t>(</w:t>
      </w:r>
      <w:r>
        <w:rPr>
          <w:rFonts w:hint="eastAsia"/>
        </w:rPr>
        <w:t>如果有关企业的职工尚未成立工会的话</w:t>
      </w:r>
      <w:r>
        <w:rPr>
          <w:rFonts w:hint="eastAsia"/>
        </w:rPr>
        <w:t>)</w:t>
      </w:r>
      <w:r>
        <w:rPr>
          <w:rFonts w:hint="eastAsia"/>
        </w:rPr>
        <w:t>有权参加劳动和社会福利部下属的主管机构所开展的视察，并且提出意见。</w:t>
      </w:r>
    </w:p>
    <w:p w:rsidR="00000000" w:rsidRDefault="00000000">
      <w:pPr>
        <w:pStyle w:val="Heading4"/>
        <w:rPr>
          <w:rFonts w:hint="eastAsia"/>
        </w:rPr>
      </w:pPr>
      <w:r>
        <w:rPr>
          <w:rFonts w:hint="eastAsia"/>
        </w:rPr>
        <w:t>对于工会会员的特别保护</w:t>
      </w:r>
    </w:p>
    <w:p w:rsidR="00000000" w:rsidRDefault="00000000">
      <w:pPr>
        <w:spacing w:after="240"/>
        <w:rPr>
          <w:rFonts w:hint="eastAsia"/>
        </w:rPr>
      </w:pPr>
      <w:r>
        <w:rPr>
          <w:rFonts w:hint="eastAsia"/>
        </w:rPr>
        <w:tab/>
        <w:t xml:space="preserve">196.  </w:t>
      </w:r>
      <w:r>
        <w:rPr>
          <w:rFonts w:hint="eastAsia"/>
        </w:rPr>
        <w:t>为了确保工会会员自由履行其工会职务，已经制定特别措施保护他们免遭歧视性待遇</w:t>
      </w:r>
      <w:r>
        <w:rPr>
          <w:rFonts w:hint="eastAsia"/>
        </w:rPr>
        <w:t>(</w:t>
      </w:r>
      <w:r>
        <w:rPr>
          <w:rFonts w:hint="eastAsia"/>
        </w:rPr>
        <w:t>免遭解雇和调职</w:t>
      </w:r>
      <w:r>
        <w:rPr>
          <w:rFonts w:hint="eastAsia"/>
        </w:rPr>
        <w:t>)</w:t>
      </w:r>
      <w:r>
        <w:rPr>
          <w:rFonts w:hint="eastAsia"/>
        </w:rPr>
        <w:t>，工会会员为履行工会职务可申请特别事假。</w:t>
      </w:r>
    </w:p>
    <w:p w:rsidR="00000000" w:rsidRDefault="00000000">
      <w:pPr>
        <w:pStyle w:val="Heading4"/>
        <w:rPr>
          <w:rFonts w:hint="eastAsia"/>
        </w:rPr>
      </w:pPr>
      <w:r>
        <w:rPr>
          <w:rFonts w:hint="eastAsia"/>
        </w:rPr>
        <w:t>免遭解雇的保护</w:t>
      </w:r>
    </w:p>
    <w:p w:rsidR="00000000" w:rsidRDefault="00000000">
      <w:pPr>
        <w:rPr>
          <w:rFonts w:hint="eastAsia"/>
        </w:rPr>
      </w:pPr>
      <w:r>
        <w:rPr>
          <w:rFonts w:hint="eastAsia"/>
        </w:rPr>
        <w:tab/>
        <w:t xml:space="preserve">197.  </w:t>
      </w:r>
      <w:r>
        <w:rPr>
          <w:rFonts w:hint="eastAsia"/>
        </w:rPr>
        <w:t>雇主不得终止同工会组织领导的雇用关系</w:t>
      </w:r>
      <w:r>
        <w:rPr>
          <w:rFonts w:hint="eastAsia"/>
        </w:rPr>
        <w:t>(</w:t>
      </w:r>
      <w:r>
        <w:rPr>
          <w:rFonts w:hint="eastAsia"/>
        </w:rPr>
        <w:t>《民法》第</w:t>
      </w:r>
      <w:r>
        <w:rPr>
          <w:rFonts w:hint="eastAsia"/>
        </w:rPr>
        <w:t>92</w:t>
      </w:r>
      <w:r>
        <w:rPr>
          <w:rFonts w:hint="eastAsia"/>
        </w:rPr>
        <w:t>节</w:t>
      </w:r>
      <w:r>
        <w:rPr>
          <w:rFonts w:hint="eastAsia"/>
        </w:rPr>
        <w:t>)</w:t>
      </w:r>
      <w:r>
        <w:rPr>
          <w:rFonts w:hint="eastAsia"/>
        </w:rPr>
        <w:t>。这项禁令的有效期为工会领导的任期以及期满之后的一年，但是法律具体规定的特别情况除外</w:t>
      </w:r>
      <w:r>
        <w:rPr>
          <w:rFonts w:hint="eastAsia"/>
        </w:rPr>
        <w:t>(</w:t>
      </w:r>
      <w:r>
        <w:rPr>
          <w:rFonts w:hint="eastAsia"/>
        </w:rPr>
        <w:t>第</w:t>
      </w:r>
      <w:r>
        <w:rPr>
          <w:rFonts w:hint="eastAsia"/>
        </w:rPr>
        <w:t>1264/82</w:t>
      </w:r>
      <w:r>
        <w:rPr>
          <w:rFonts w:hint="eastAsia"/>
        </w:rPr>
        <w:t>号法令第</w:t>
      </w:r>
      <w:r>
        <w:rPr>
          <w:rFonts w:hint="eastAsia"/>
        </w:rPr>
        <w:t>14</w:t>
      </w:r>
      <w:r>
        <w:rPr>
          <w:rFonts w:hint="eastAsia"/>
        </w:rPr>
        <w:t>条第</w:t>
      </w:r>
      <w:r>
        <w:rPr>
          <w:rFonts w:hint="eastAsia"/>
        </w:rPr>
        <w:t>10</w:t>
      </w:r>
      <w:r>
        <w:rPr>
          <w:rFonts w:hint="eastAsia"/>
        </w:rPr>
        <w:t>款</w:t>
      </w:r>
      <w:r>
        <w:rPr>
          <w:rFonts w:hint="eastAsia"/>
        </w:rPr>
        <w:t>)</w:t>
      </w:r>
      <w:r>
        <w:rPr>
          <w:rFonts w:hint="eastAsia"/>
        </w:rPr>
        <w:t>。如遇下列情况可终止同受保护的工会领导的雇用关系：</w:t>
      </w:r>
    </w:p>
    <w:p w:rsidR="00000000" w:rsidRDefault="00000000">
      <w:pPr>
        <w:numPr>
          <w:ilvl w:val="0"/>
          <w:numId w:val="126"/>
        </w:numPr>
        <w:rPr>
          <w:rFonts w:hint="eastAsia"/>
        </w:rPr>
      </w:pPr>
      <w:r>
        <w:rPr>
          <w:rFonts w:hint="eastAsia"/>
        </w:rPr>
        <w:t>在同雇主签订雇用合同时，有关职工为了获得聘用或者取得较高工资，伪造证明或者保险单以欺骗雇主；或者</w:t>
      </w:r>
    </w:p>
    <w:p w:rsidR="00000000" w:rsidRDefault="00000000">
      <w:pPr>
        <w:numPr>
          <w:ilvl w:val="0"/>
          <w:numId w:val="126"/>
        </w:numPr>
        <w:rPr>
          <w:rFonts w:hint="eastAsia"/>
        </w:rPr>
      </w:pPr>
      <w:r>
        <w:rPr>
          <w:rFonts w:hint="eastAsia"/>
        </w:rPr>
        <w:t>有关职工泄漏工业或商业秘密，或者从第三方接受或者向第三方索取非法利益，特别是佣金。</w:t>
      </w:r>
    </w:p>
    <w:p w:rsidR="00000000" w:rsidRDefault="00000000">
      <w:pPr>
        <w:spacing w:after="240"/>
        <w:rPr>
          <w:rFonts w:hint="eastAsia"/>
        </w:rPr>
      </w:pPr>
      <w:r>
        <w:rPr>
          <w:rFonts w:hint="eastAsia"/>
        </w:rPr>
        <w:tab/>
        <w:t xml:space="preserve">198.  </w:t>
      </w:r>
      <w:r>
        <w:rPr>
          <w:rFonts w:hint="eastAsia"/>
        </w:rPr>
        <w:t>在终止雇用关系之前，应由保护工会成员三人委员会投票决定，是否存在第</w:t>
      </w:r>
      <w:r>
        <w:rPr>
          <w:rFonts w:hint="eastAsia"/>
        </w:rPr>
        <w:t>1264/1982</w:t>
      </w:r>
      <w:r>
        <w:rPr>
          <w:rFonts w:hint="eastAsia"/>
        </w:rPr>
        <w:t>号法令第</w:t>
      </w:r>
      <w:r>
        <w:rPr>
          <w:rFonts w:hint="eastAsia"/>
        </w:rPr>
        <w:t>14</w:t>
      </w:r>
      <w:r>
        <w:rPr>
          <w:rFonts w:hint="eastAsia"/>
        </w:rPr>
        <w:t>条第</w:t>
      </w:r>
      <w:r>
        <w:rPr>
          <w:rFonts w:hint="eastAsia"/>
        </w:rPr>
        <w:t>10</w:t>
      </w:r>
      <w:r>
        <w:rPr>
          <w:rFonts w:hint="eastAsia"/>
        </w:rPr>
        <w:t>款所具体规定的特别情况</w:t>
      </w:r>
      <w:r>
        <w:rPr>
          <w:rFonts w:hint="eastAsia"/>
        </w:rPr>
        <w:t>(</w:t>
      </w:r>
      <w:r>
        <w:rPr>
          <w:rFonts w:hint="eastAsia"/>
        </w:rPr>
        <w:t>“有关保护职工免遭失业的国家制度及其他规定的”第</w:t>
      </w:r>
      <w:r>
        <w:rPr>
          <w:rFonts w:hint="eastAsia"/>
        </w:rPr>
        <w:t>1545/85</w:t>
      </w:r>
      <w:r>
        <w:rPr>
          <w:rFonts w:hint="eastAsia"/>
        </w:rPr>
        <w:t>号法令第</w:t>
      </w:r>
      <w:r>
        <w:rPr>
          <w:rFonts w:hint="eastAsia"/>
        </w:rPr>
        <w:t>25</w:t>
      </w:r>
      <w:r>
        <w:rPr>
          <w:rFonts w:hint="eastAsia"/>
        </w:rPr>
        <w:t>条，该条取代了第</w:t>
      </w:r>
      <w:r>
        <w:rPr>
          <w:rFonts w:hint="eastAsia"/>
        </w:rPr>
        <w:t>1264/82</w:t>
      </w:r>
      <w:r>
        <w:rPr>
          <w:rFonts w:hint="eastAsia"/>
        </w:rPr>
        <w:t>号法令第</w:t>
      </w:r>
      <w:r>
        <w:rPr>
          <w:rFonts w:hint="eastAsia"/>
        </w:rPr>
        <w:t>15</w:t>
      </w:r>
      <w:r>
        <w:rPr>
          <w:rFonts w:hint="eastAsia"/>
        </w:rPr>
        <w:t>条</w:t>
      </w:r>
      <w:r>
        <w:rPr>
          <w:rFonts w:hint="eastAsia"/>
        </w:rPr>
        <w:t>)</w:t>
      </w:r>
      <w:r>
        <w:rPr>
          <w:rFonts w:hint="eastAsia"/>
        </w:rPr>
        <w:t>。即使存在上述的特别情况，雇主仍然需要承担《民法》以及有关终止雇用关系的劳工法所规定的义务。</w:t>
      </w:r>
    </w:p>
    <w:p w:rsidR="00000000" w:rsidRDefault="00000000">
      <w:pPr>
        <w:pStyle w:val="Heading4"/>
        <w:rPr>
          <w:rFonts w:hint="eastAsia"/>
        </w:rPr>
      </w:pPr>
      <w:r>
        <w:rPr>
          <w:rFonts w:hint="eastAsia"/>
        </w:rPr>
        <w:t>保护职工免遭调职</w:t>
      </w:r>
    </w:p>
    <w:p w:rsidR="00000000" w:rsidRDefault="00000000">
      <w:pPr>
        <w:spacing w:after="240"/>
        <w:rPr>
          <w:rFonts w:hint="eastAsia"/>
        </w:rPr>
      </w:pPr>
      <w:r>
        <w:rPr>
          <w:rFonts w:hint="eastAsia"/>
        </w:rPr>
        <w:tab/>
        <w:t xml:space="preserve">199.  </w:t>
      </w:r>
      <w:r>
        <w:rPr>
          <w:rFonts w:hint="eastAsia"/>
        </w:rPr>
        <w:t>不经有关工会组织的同意不得调动工会会员的职务。雇主有权向保护工会会员委员会提出上诉，由委员会决定调动职务是否必要。</w:t>
      </w:r>
    </w:p>
    <w:p w:rsidR="00000000" w:rsidRDefault="00000000">
      <w:pPr>
        <w:pStyle w:val="Heading4"/>
        <w:rPr>
          <w:rFonts w:hint="eastAsia"/>
        </w:rPr>
      </w:pPr>
      <w:r>
        <w:rPr>
          <w:rFonts w:hint="eastAsia"/>
        </w:rPr>
        <w:t>为工会活动提供方便和批准事假</w:t>
      </w:r>
    </w:p>
    <w:p w:rsidR="00000000" w:rsidRDefault="00000000">
      <w:pPr>
        <w:spacing w:after="240"/>
        <w:rPr>
          <w:rFonts w:hint="eastAsia"/>
          <w:spacing w:val="8"/>
        </w:rPr>
      </w:pPr>
      <w:r>
        <w:rPr>
          <w:rFonts w:hint="eastAsia"/>
        </w:rPr>
        <w:tab/>
        <w:t xml:space="preserve">200.  </w:t>
      </w:r>
      <w:r>
        <w:rPr>
          <w:rFonts w:hint="eastAsia"/>
          <w:spacing w:val="8"/>
        </w:rPr>
        <w:t>雇主有义务提供方便，以便工会领导、审计委员会以及二级和三级工会组织的代表履行其职务</w:t>
      </w:r>
      <w:r>
        <w:rPr>
          <w:rFonts w:hint="eastAsia"/>
          <w:spacing w:val="8"/>
        </w:rPr>
        <w:t>(</w:t>
      </w:r>
      <w:r>
        <w:rPr>
          <w:rFonts w:hint="eastAsia"/>
          <w:spacing w:val="8"/>
        </w:rPr>
        <w:t>第</w:t>
      </w:r>
      <w:r>
        <w:rPr>
          <w:rFonts w:hint="eastAsia"/>
          <w:spacing w:val="8"/>
        </w:rPr>
        <w:t>1264/82</w:t>
      </w:r>
      <w:r>
        <w:rPr>
          <w:rFonts w:hint="eastAsia"/>
          <w:spacing w:val="8"/>
        </w:rPr>
        <w:t>号法令第</w:t>
      </w:r>
      <w:r>
        <w:rPr>
          <w:rFonts w:hint="eastAsia"/>
          <w:spacing w:val="8"/>
        </w:rPr>
        <w:t>17</w:t>
      </w:r>
      <w:r>
        <w:rPr>
          <w:rFonts w:hint="eastAsia"/>
          <w:spacing w:val="8"/>
        </w:rPr>
        <w:t>条第</w:t>
      </w:r>
      <w:r>
        <w:rPr>
          <w:rFonts w:hint="eastAsia"/>
          <w:spacing w:val="8"/>
        </w:rPr>
        <w:t>2</w:t>
      </w:r>
      <w:r>
        <w:rPr>
          <w:rFonts w:hint="eastAsia"/>
          <w:spacing w:val="8"/>
        </w:rPr>
        <w:t>款</w:t>
      </w:r>
      <w:r>
        <w:rPr>
          <w:rFonts w:hint="eastAsia"/>
          <w:spacing w:val="8"/>
        </w:rPr>
        <w:t>)</w:t>
      </w:r>
      <w:r>
        <w:rPr>
          <w:rFonts w:hint="eastAsia"/>
          <w:spacing w:val="8"/>
        </w:rPr>
        <w:t>。为此目的，雇主必须批准有薪事假和无薪事假。就无薪事假而言，职工的假期应被视为为行使雇用和社会保险关系所产生的权利而开展工作的时间，而不是为争取有关报酬而花费的时间。</w:t>
      </w:r>
    </w:p>
    <w:p w:rsidR="00000000" w:rsidRDefault="00000000">
      <w:pPr>
        <w:pStyle w:val="Heading4"/>
        <w:rPr>
          <w:rFonts w:hint="eastAsia"/>
        </w:rPr>
      </w:pPr>
      <w:r>
        <w:rPr>
          <w:rFonts w:hint="eastAsia"/>
        </w:rPr>
        <w:t>促进自由集体谈判</w:t>
      </w:r>
    </w:p>
    <w:p w:rsidR="00000000" w:rsidRDefault="00000000">
      <w:pPr>
        <w:rPr>
          <w:rFonts w:hint="eastAsia"/>
        </w:rPr>
      </w:pPr>
      <w:r>
        <w:rPr>
          <w:rFonts w:hint="eastAsia"/>
        </w:rPr>
        <w:tab/>
        <w:t xml:space="preserve">201.  </w:t>
      </w:r>
      <w:r>
        <w:rPr>
          <w:rFonts w:hint="eastAsia"/>
        </w:rPr>
        <w:t>希腊《宪法》第</w:t>
      </w:r>
      <w:r>
        <w:rPr>
          <w:rFonts w:hint="eastAsia"/>
        </w:rPr>
        <w:t>22</w:t>
      </w:r>
      <w:r>
        <w:rPr>
          <w:rFonts w:hint="eastAsia"/>
        </w:rPr>
        <w:t>条第</w:t>
      </w:r>
      <w:r>
        <w:rPr>
          <w:rFonts w:hint="eastAsia"/>
        </w:rPr>
        <w:t>2</w:t>
      </w:r>
      <w:r>
        <w:rPr>
          <w:rFonts w:hint="eastAsia"/>
        </w:rPr>
        <w:t>款规定，“一般劳动条件应由法律规定，并由经过自由谈判签订的劳动集体协定加以补充，在没有上述法律和协定的情况下，则通过仲裁加以规定。”</w:t>
      </w:r>
    </w:p>
    <w:p w:rsidR="00000000" w:rsidRDefault="00000000">
      <w:pPr>
        <w:rPr>
          <w:rFonts w:hint="eastAsia"/>
        </w:rPr>
      </w:pPr>
      <w:r>
        <w:rPr>
          <w:rFonts w:hint="eastAsia"/>
        </w:rPr>
        <w:tab/>
        <w:t xml:space="preserve">202.  </w:t>
      </w:r>
      <w:r>
        <w:rPr>
          <w:rFonts w:hint="eastAsia"/>
        </w:rPr>
        <w:t>为此目的并且为了实施《宪法》第</w:t>
      </w:r>
      <w:r>
        <w:rPr>
          <w:rFonts w:hint="eastAsia"/>
        </w:rPr>
        <w:t>22</w:t>
      </w:r>
      <w:r>
        <w:rPr>
          <w:rFonts w:hint="eastAsia"/>
        </w:rPr>
        <w:t>条，希腊议会投票通过了有关“自由集体谈判”的第</w:t>
      </w:r>
      <w:r>
        <w:rPr>
          <w:rFonts w:hint="eastAsia"/>
        </w:rPr>
        <w:t>1876/90</w:t>
      </w:r>
      <w:r>
        <w:rPr>
          <w:rFonts w:hint="eastAsia"/>
        </w:rPr>
        <w:t>号法令，该法令于</w:t>
      </w:r>
      <w:r>
        <w:rPr>
          <w:rFonts w:hint="eastAsia"/>
        </w:rPr>
        <w:t>1990</w:t>
      </w:r>
      <w:r>
        <w:rPr>
          <w:rFonts w:hint="eastAsia"/>
        </w:rPr>
        <w:t>年生效。这项法令赋予职业组织</w:t>
      </w:r>
      <w:r>
        <w:rPr>
          <w:rFonts w:hint="eastAsia"/>
        </w:rPr>
        <w:t>(</w:t>
      </w:r>
      <w:r>
        <w:rPr>
          <w:rFonts w:hint="eastAsia"/>
        </w:rPr>
        <w:t>工人组织和雇主组织</w:t>
      </w:r>
      <w:r>
        <w:rPr>
          <w:rFonts w:hint="eastAsia"/>
        </w:rPr>
        <w:t>)</w:t>
      </w:r>
      <w:r>
        <w:rPr>
          <w:rFonts w:hint="eastAsia"/>
        </w:rPr>
        <w:t>以集体促进和维护其利益的权利，规定这些组织在经过自由集体谈判之后，有权签订劳动集体协议，用以监管职工</w:t>
      </w:r>
      <w:r>
        <w:rPr>
          <w:rFonts w:hint="eastAsia"/>
        </w:rPr>
        <w:t>(</w:t>
      </w:r>
      <w:r>
        <w:rPr>
          <w:rFonts w:hint="eastAsia"/>
        </w:rPr>
        <w:t>包括技术人员和办公室雇员</w:t>
      </w:r>
      <w:r>
        <w:rPr>
          <w:rFonts w:hint="eastAsia"/>
        </w:rPr>
        <w:t>)</w:t>
      </w:r>
      <w:r>
        <w:rPr>
          <w:rFonts w:hint="eastAsia"/>
        </w:rPr>
        <w:t>的工作条件和报酬。</w:t>
      </w:r>
      <w:r>
        <w:rPr>
          <w:rFonts w:hint="eastAsia"/>
        </w:rPr>
        <w:t>(</w:t>
      </w:r>
      <w:r>
        <w:rPr>
          <w:rFonts w:hint="eastAsia"/>
        </w:rPr>
        <w:t>根据第</w:t>
      </w:r>
      <w:r>
        <w:rPr>
          <w:rFonts w:hint="eastAsia"/>
        </w:rPr>
        <w:t>1876/90</w:t>
      </w:r>
      <w:r>
        <w:rPr>
          <w:rFonts w:hint="eastAsia"/>
        </w:rPr>
        <w:t>号法令第</w:t>
      </w:r>
      <w:r>
        <w:rPr>
          <w:rFonts w:hint="eastAsia"/>
        </w:rPr>
        <w:t>7</w:t>
      </w:r>
      <w:r>
        <w:rPr>
          <w:rFonts w:hint="eastAsia"/>
        </w:rPr>
        <w:t>条，集体协议的条款在生效之后立即具有约束的效力</w:t>
      </w:r>
      <w:r>
        <w:rPr>
          <w:rFonts w:hint="eastAsia"/>
        </w:rPr>
        <w:t>)</w:t>
      </w:r>
      <w:r>
        <w:rPr>
          <w:rFonts w:hint="eastAsia"/>
        </w:rPr>
        <w:t>。</w:t>
      </w:r>
    </w:p>
    <w:p w:rsidR="00000000" w:rsidRDefault="00000000">
      <w:pPr>
        <w:rPr>
          <w:rFonts w:hint="eastAsia"/>
        </w:rPr>
      </w:pPr>
      <w:r>
        <w:rPr>
          <w:rFonts w:hint="eastAsia"/>
        </w:rPr>
        <w:tab/>
        <w:t xml:space="preserve">203.  </w:t>
      </w:r>
      <w:r>
        <w:rPr>
          <w:rFonts w:hint="eastAsia"/>
        </w:rPr>
        <w:t>具体来说，全国劳动集体总协定应由三级职工工会组织同最有代表性的或者全国性的雇主组织签订，并应制定适用于全国所有职工的有关劳动条件的最低标准</w:t>
      </w:r>
      <w:r>
        <w:rPr>
          <w:rFonts w:hint="eastAsia"/>
        </w:rPr>
        <w:t>(</w:t>
      </w:r>
      <w:r>
        <w:rPr>
          <w:rFonts w:hint="eastAsia"/>
        </w:rPr>
        <w:t>第</w:t>
      </w:r>
      <w:r>
        <w:rPr>
          <w:rFonts w:hint="eastAsia"/>
        </w:rPr>
        <w:t>1876/96</w:t>
      </w:r>
      <w:r>
        <w:rPr>
          <w:rFonts w:hint="eastAsia"/>
        </w:rPr>
        <w:t>号法令第</w:t>
      </w:r>
      <w:r>
        <w:rPr>
          <w:rFonts w:hint="eastAsia"/>
        </w:rPr>
        <w:t>8</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204.  </w:t>
      </w:r>
      <w:r>
        <w:rPr>
          <w:rFonts w:hint="eastAsia"/>
        </w:rPr>
        <w:t>根据国家立法和惯例，职工从以下两个方面组织工会：</w:t>
      </w:r>
    </w:p>
    <w:p w:rsidR="00000000" w:rsidRDefault="00000000">
      <w:pPr>
        <w:numPr>
          <w:ilvl w:val="0"/>
          <w:numId w:val="127"/>
        </w:numPr>
        <w:rPr>
          <w:rFonts w:hint="eastAsia"/>
        </w:rPr>
      </w:pPr>
      <w:r>
        <w:rPr>
          <w:rFonts w:hint="eastAsia"/>
        </w:rPr>
        <w:t>以企业或者企业所在的经济活动部门为单位组织工会；以及</w:t>
      </w:r>
    </w:p>
    <w:p w:rsidR="00000000" w:rsidRDefault="00000000">
      <w:pPr>
        <w:numPr>
          <w:ilvl w:val="0"/>
          <w:numId w:val="127"/>
        </w:numPr>
        <w:rPr>
          <w:rFonts w:hint="eastAsia"/>
        </w:rPr>
      </w:pPr>
      <w:r>
        <w:rPr>
          <w:rFonts w:hint="eastAsia"/>
        </w:rPr>
        <w:t>以职工所从事的行业为单位组织工会。</w:t>
      </w:r>
    </w:p>
    <w:p w:rsidR="00000000" w:rsidRDefault="00000000">
      <w:pPr>
        <w:rPr>
          <w:rFonts w:hint="eastAsia"/>
        </w:rPr>
      </w:pPr>
      <w:r>
        <w:rPr>
          <w:rFonts w:hint="eastAsia"/>
        </w:rPr>
        <w:tab/>
        <w:t xml:space="preserve">205.  </w:t>
      </w:r>
      <w:r>
        <w:rPr>
          <w:rFonts w:hint="eastAsia"/>
        </w:rPr>
        <w:t>因此，在希腊成立了：</w:t>
      </w:r>
    </w:p>
    <w:p w:rsidR="00000000" w:rsidRDefault="00000000">
      <w:pPr>
        <w:pStyle w:val="a0"/>
        <w:tabs>
          <w:tab w:val="num" w:pos="1550"/>
        </w:tabs>
        <w:ind w:left="1550"/>
        <w:rPr>
          <w:rFonts w:hint="eastAsia"/>
        </w:rPr>
      </w:pPr>
      <w:r>
        <w:rPr>
          <w:rFonts w:hint="eastAsia"/>
        </w:rPr>
        <w:t>以职工所在企业为单位的工会</w:t>
      </w:r>
      <w:r>
        <w:rPr>
          <w:rFonts w:hint="eastAsia"/>
        </w:rPr>
        <w:t>(</w:t>
      </w:r>
      <w:r>
        <w:rPr>
          <w:rFonts w:hint="eastAsia"/>
        </w:rPr>
        <w:t>企业工会</w:t>
      </w:r>
      <w:r>
        <w:rPr>
          <w:rFonts w:hint="eastAsia"/>
        </w:rPr>
        <w:t>)</w:t>
      </w:r>
      <w:r>
        <w:rPr>
          <w:rFonts w:hint="eastAsia"/>
        </w:rPr>
        <w:t>；</w:t>
      </w:r>
    </w:p>
    <w:p w:rsidR="00000000" w:rsidRDefault="00000000">
      <w:pPr>
        <w:pStyle w:val="a0"/>
        <w:tabs>
          <w:tab w:val="num" w:pos="1550"/>
        </w:tabs>
        <w:ind w:left="1550"/>
        <w:rPr>
          <w:rFonts w:hint="eastAsia"/>
        </w:rPr>
      </w:pPr>
      <w:r>
        <w:rPr>
          <w:rFonts w:hint="eastAsia"/>
        </w:rPr>
        <w:t>以职工所在的经济活动部门为单位的工会</w:t>
      </w:r>
      <w:r>
        <w:rPr>
          <w:rFonts w:hint="eastAsia"/>
        </w:rPr>
        <w:t>(</w:t>
      </w:r>
      <w:r>
        <w:rPr>
          <w:rFonts w:hint="eastAsia"/>
        </w:rPr>
        <w:t>部门工会</w:t>
      </w:r>
      <w:r>
        <w:rPr>
          <w:rFonts w:hint="eastAsia"/>
        </w:rPr>
        <w:t>)</w:t>
      </w:r>
      <w:r>
        <w:rPr>
          <w:rFonts w:hint="eastAsia"/>
        </w:rPr>
        <w:t>；以及</w:t>
      </w:r>
    </w:p>
    <w:p w:rsidR="00000000" w:rsidRDefault="00000000">
      <w:pPr>
        <w:pStyle w:val="a0"/>
        <w:tabs>
          <w:tab w:val="num" w:pos="1550"/>
        </w:tabs>
        <w:ind w:left="1550"/>
        <w:rPr>
          <w:rFonts w:hint="eastAsia"/>
        </w:rPr>
      </w:pPr>
      <w:r>
        <w:rPr>
          <w:rFonts w:hint="eastAsia"/>
        </w:rPr>
        <w:t>以职工所从事行业为单位的工会</w:t>
      </w:r>
      <w:r>
        <w:rPr>
          <w:rFonts w:hint="eastAsia"/>
        </w:rPr>
        <w:t>(</w:t>
      </w:r>
      <w:r>
        <w:rPr>
          <w:rFonts w:hint="eastAsia"/>
        </w:rPr>
        <w:t>行业工会</w:t>
      </w:r>
      <w:r>
        <w:rPr>
          <w:rFonts w:hint="eastAsia"/>
        </w:rPr>
        <w:t>)</w:t>
      </w:r>
      <w:r>
        <w:rPr>
          <w:rFonts w:hint="eastAsia"/>
        </w:rPr>
        <w:t>。</w:t>
      </w:r>
    </w:p>
    <w:p w:rsidR="00000000" w:rsidRDefault="00000000">
      <w:pPr>
        <w:spacing w:after="240"/>
        <w:rPr>
          <w:rFonts w:hint="eastAsia"/>
        </w:rPr>
      </w:pPr>
      <w:r>
        <w:rPr>
          <w:rFonts w:hint="eastAsia"/>
        </w:rPr>
        <w:tab/>
        <w:t xml:space="preserve">206.  </w:t>
      </w:r>
      <w:r>
        <w:rPr>
          <w:rFonts w:hint="eastAsia"/>
        </w:rPr>
        <w:t>根据希腊职工大联盟所提供的数据，共有</w:t>
      </w:r>
      <w:r>
        <w:rPr>
          <w:rFonts w:hint="eastAsia"/>
        </w:rPr>
        <w:t>123</w:t>
      </w:r>
      <w:r>
        <w:rPr>
          <w:rFonts w:hint="eastAsia"/>
        </w:rPr>
        <w:t>个二级工会组织</w:t>
      </w:r>
      <w:r>
        <w:rPr>
          <w:rFonts w:hint="eastAsia"/>
        </w:rPr>
        <w:t>(</w:t>
      </w:r>
      <w:r>
        <w:rPr>
          <w:rFonts w:hint="eastAsia"/>
        </w:rPr>
        <w:t>联合会及劳工中心</w:t>
      </w:r>
      <w:r>
        <w:rPr>
          <w:rFonts w:hint="eastAsia"/>
        </w:rPr>
        <w:t>)</w:t>
      </w:r>
      <w:r>
        <w:rPr>
          <w:rFonts w:hint="eastAsia"/>
        </w:rPr>
        <w:t>参加了大联盟第二十九届泛希腊职工代表大会。他们代表了</w:t>
      </w:r>
      <w:r>
        <w:rPr>
          <w:rFonts w:hint="eastAsia"/>
        </w:rPr>
        <w:t>2,282</w:t>
      </w:r>
      <w:r>
        <w:rPr>
          <w:rFonts w:hint="eastAsia"/>
        </w:rPr>
        <w:t>个基层工会组织，共拥有</w:t>
      </w:r>
      <w:r>
        <w:rPr>
          <w:rFonts w:hint="eastAsia"/>
        </w:rPr>
        <w:t>752,818</w:t>
      </w:r>
      <w:r>
        <w:rPr>
          <w:rFonts w:hint="eastAsia"/>
        </w:rPr>
        <w:t>名登记工会会员。</w:t>
      </w:r>
    </w:p>
    <w:p w:rsidR="00000000" w:rsidRDefault="00000000">
      <w:pPr>
        <w:pStyle w:val="Heading4"/>
        <w:rPr>
          <w:rFonts w:hint="eastAsia"/>
        </w:rPr>
      </w:pPr>
      <w:r>
        <w:rPr>
          <w:rFonts w:hint="eastAsia"/>
        </w:rPr>
        <w:t>罢工的权利</w:t>
      </w:r>
    </w:p>
    <w:p w:rsidR="00000000" w:rsidRDefault="00000000">
      <w:pPr>
        <w:rPr>
          <w:rFonts w:hint="eastAsia"/>
        </w:rPr>
      </w:pPr>
      <w:r>
        <w:rPr>
          <w:rFonts w:hint="eastAsia"/>
        </w:rPr>
        <w:tab/>
        <w:t xml:space="preserve">207.  </w:t>
      </w:r>
      <w:r>
        <w:rPr>
          <w:rFonts w:hint="eastAsia"/>
        </w:rPr>
        <w:t>在希腊，职工罢工的权利受到《宪法》、有关的国际公约以及习惯法的有关规定的保障。《宪法》第</w:t>
      </w:r>
      <w:r>
        <w:rPr>
          <w:rFonts w:hint="eastAsia"/>
        </w:rPr>
        <w:t>23</w:t>
      </w:r>
      <w:r>
        <w:rPr>
          <w:rFonts w:hint="eastAsia"/>
        </w:rPr>
        <w:t>条第</w:t>
      </w:r>
      <w:r>
        <w:rPr>
          <w:rFonts w:hint="eastAsia"/>
        </w:rPr>
        <w:t>2</w:t>
      </w:r>
      <w:r>
        <w:rPr>
          <w:rFonts w:hint="eastAsia"/>
        </w:rPr>
        <w:t>款规定，“罢工是合法组建的工会为保护和促进劳动人民的经济利益和普遍的劳工利益而行使的一项权利。”</w:t>
      </w:r>
    </w:p>
    <w:p w:rsidR="00000000" w:rsidRDefault="00000000">
      <w:pPr>
        <w:rPr>
          <w:rFonts w:hint="eastAsia"/>
        </w:rPr>
      </w:pPr>
      <w:r>
        <w:rPr>
          <w:rFonts w:hint="eastAsia"/>
        </w:rPr>
        <w:tab/>
        <w:t xml:space="preserve">208.  </w:t>
      </w:r>
      <w:r>
        <w:rPr>
          <w:rFonts w:hint="eastAsia"/>
        </w:rPr>
        <w:t>罢工的权利也受到希腊所批准的各项国际或区域公约的保护，特别是：</w:t>
      </w:r>
    </w:p>
    <w:p w:rsidR="00000000" w:rsidRDefault="00000000">
      <w:pPr>
        <w:pStyle w:val="a0"/>
        <w:tabs>
          <w:tab w:val="num" w:pos="1550"/>
        </w:tabs>
        <w:ind w:left="1550"/>
        <w:rPr>
          <w:rFonts w:hint="eastAsia"/>
        </w:rPr>
      </w:pPr>
      <w:r>
        <w:rPr>
          <w:rFonts w:hint="eastAsia"/>
        </w:rPr>
        <w:t>第</w:t>
      </w:r>
      <w:r>
        <w:rPr>
          <w:rFonts w:hint="eastAsia"/>
        </w:rPr>
        <w:t>53/74</w:t>
      </w:r>
      <w:r>
        <w:rPr>
          <w:rFonts w:hint="eastAsia"/>
        </w:rPr>
        <w:t>号法令所批准的《</w:t>
      </w:r>
      <w:r>
        <w:rPr>
          <w:rFonts w:hint="eastAsia"/>
        </w:rPr>
        <w:t>1950</w:t>
      </w:r>
      <w:r>
        <w:rPr>
          <w:rFonts w:hint="eastAsia"/>
        </w:rPr>
        <w:t>年欧洲人权公约》第</w:t>
      </w:r>
      <w:r>
        <w:rPr>
          <w:rFonts w:hint="eastAsia"/>
        </w:rPr>
        <w:t>11</w:t>
      </w:r>
      <w:r>
        <w:rPr>
          <w:rFonts w:hint="eastAsia"/>
        </w:rPr>
        <w:t>条；以及</w:t>
      </w:r>
    </w:p>
    <w:p w:rsidR="00000000" w:rsidRDefault="00000000">
      <w:pPr>
        <w:pStyle w:val="a0"/>
        <w:tabs>
          <w:tab w:val="num" w:pos="1550"/>
        </w:tabs>
        <w:ind w:left="1550"/>
        <w:rPr>
          <w:rFonts w:hint="eastAsia"/>
        </w:rPr>
      </w:pPr>
      <w:r>
        <w:rPr>
          <w:rFonts w:hint="eastAsia"/>
        </w:rPr>
        <w:t>有关结社自由和保护组织权利的国际劳工组织第</w:t>
      </w:r>
      <w:r>
        <w:rPr>
          <w:rFonts w:hint="eastAsia"/>
        </w:rPr>
        <w:t>87</w:t>
      </w:r>
      <w:r>
        <w:rPr>
          <w:rFonts w:hint="eastAsia"/>
        </w:rPr>
        <w:t>号公约</w:t>
      </w:r>
      <w:r>
        <w:rPr>
          <w:rFonts w:hint="eastAsia"/>
        </w:rPr>
        <w:t>(1948</w:t>
      </w:r>
      <w:r>
        <w:rPr>
          <w:rFonts w:hint="eastAsia"/>
        </w:rPr>
        <w:t>年</w:t>
      </w:r>
      <w:r>
        <w:rPr>
          <w:rFonts w:hint="eastAsia"/>
        </w:rPr>
        <w:t>)</w:t>
      </w:r>
      <w:r>
        <w:rPr>
          <w:rFonts w:hint="eastAsia"/>
        </w:rPr>
        <w:t>；该公约已经由第</w:t>
      </w:r>
      <w:r>
        <w:rPr>
          <w:rFonts w:hint="eastAsia"/>
        </w:rPr>
        <w:t>4204/1961</w:t>
      </w:r>
      <w:r>
        <w:rPr>
          <w:rFonts w:hint="eastAsia"/>
        </w:rPr>
        <w:t>号法令批准。</w:t>
      </w:r>
    </w:p>
    <w:p w:rsidR="00000000" w:rsidRDefault="00000000">
      <w:pPr>
        <w:rPr>
          <w:rFonts w:hint="eastAsia"/>
        </w:rPr>
      </w:pPr>
      <w:r>
        <w:rPr>
          <w:rFonts w:hint="eastAsia"/>
        </w:rPr>
        <w:tab/>
        <w:t xml:space="preserve">209.  </w:t>
      </w:r>
      <w:r>
        <w:rPr>
          <w:rFonts w:hint="eastAsia"/>
        </w:rPr>
        <w:t>从立法角度来看，经第</w:t>
      </w:r>
      <w:r>
        <w:rPr>
          <w:rFonts w:hint="eastAsia"/>
        </w:rPr>
        <w:t>1915/90</w:t>
      </w:r>
      <w:r>
        <w:rPr>
          <w:rFonts w:hint="eastAsia"/>
        </w:rPr>
        <w:t>号法令和第</w:t>
      </w:r>
      <w:r>
        <w:rPr>
          <w:rFonts w:hint="eastAsia"/>
        </w:rPr>
        <w:t>2224/94</w:t>
      </w:r>
      <w:r>
        <w:rPr>
          <w:rFonts w:hint="eastAsia"/>
        </w:rPr>
        <w:t>号法令修改的第</w:t>
      </w:r>
      <w:r>
        <w:rPr>
          <w:rFonts w:hint="eastAsia"/>
        </w:rPr>
        <w:t>1264/82</w:t>
      </w:r>
      <w:r>
        <w:rPr>
          <w:rFonts w:hint="eastAsia"/>
        </w:rPr>
        <w:t>号法令发扬《宪法》以及希腊批准的各项国际公约的精神，特别保护和保障职工的罢工的权利。</w:t>
      </w:r>
    </w:p>
    <w:p w:rsidR="00000000" w:rsidRDefault="00000000">
      <w:pPr>
        <w:rPr>
          <w:rFonts w:hint="eastAsia"/>
        </w:rPr>
      </w:pPr>
      <w:r>
        <w:rPr>
          <w:rFonts w:hint="eastAsia"/>
        </w:rPr>
        <w:tab/>
        <w:t xml:space="preserve">210.  </w:t>
      </w:r>
      <w:r>
        <w:rPr>
          <w:rFonts w:hint="eastAsia"/>
        </w:rPr>
        <w:t>依据第</w:t>
      </w:r>
      <w:r>
        <w:rPr>
          <w:rFonts w:hint="eastAsia"/>
        </w:rPr>
        <w:t>1264/82</w:t>
      </w:r>
      <w:r>
        <w:rPr>
          <w:rFonts w:hint="eastAsia"/>
        </w:rPr>
        <w:t>号法令第</w:t>
      </w:r>
      <w:r>
        <w:rPr>
          <w:rFonts w:hint="eastAsia"/>
        </w:rPr>
        <w:t>19</w:t>
      </w:r>
      <w:r>
        <w:rPr>
          <w:rFonts w:hint="eastAsia"/>
        </w:rPr>
        <w:t>条，罢工构成职工的一项权利，工会组织为维护和促进职工在经济、劳动、工会以及社会保险等方面的利益而行使这项权利，并且通过罢工表示为实现这些目标而团结一致。</w:t>
      </w:r>
    </w:p>
    <w:p w:rsidR="00000000" w:rsidRDefault="00000000">
      <w:pPr>
        <w:rPr>
          <w:rFonts w:hint="eastAsia"/>
        </w:rPr>
      </w:pPr>
      <w:r>
        <w:rPr>
          <w:rFonts w:hint="eastAsia"/>
        </w:rPr>
        <w:tab/>
        <w:t xml:space="preserve">211.  </w:t>
      </w:r>
      <w:r>
        <w:rPr>
          <w:rFonts w:hint="eastAsia"/>
        </w:rPr>
        <w:t>行使罢工权利是有条件的：在实施罢工前必须提前至少</w:t>
      </w:r>
      <w:r>
        <w:rPr>
          <w:rFonts w:hint="eastAsia"/>
        </w:rPr>
        <w:t>24</w:t>
      </w:r>
      <w:r>
        <w:rPr>
          <w:rFonts w:hint="eastAsia"/>
        </w:rPr>
        <w:t>小时通知雇主或其代表。</w:t>
      </w:r>
    </w:p>
    <w:p w:rsidR="00000000" w:rsidRDefault="00000000">
      <w:pPr>
        <w:rPr>
          <w:rFonts w:hint="eastAsia"/>
        </w:rPr>
      </w:pPr>
      <w:r>
        <w:rPr>
          <w:rFonts w:hint="eastAsia"/>
        </w:rPr>
        <w:tab/>
        <w:t xml:space="preserve">212.  </w:t>
      </w:r>
      <w:r>
        <w:rPr>
          <w:rFonts w:hint="eastAsia"/>
        </w:rPr>
        <w:t>如果职工通过私法同国家、地方政府机构、公共部门、公司以及公用事业企业订立了雇用关系，而这些部门和企业的运作对于整个社会的基本需要又是非常重要的，这些职工在罢工之前必须根据第</w:t>
      </w:r>
      <w:r>
        <w:rPr>
          <w:rFonts w:hint="eastAsia"/>
        </w:rPr>
        <w:t>1264/82</w:t>
      </w:r>
      <w:r>
        <w:rPr>
          <w:rFonts w:hint="eastAsia"/>
        </w:rPr>
        <w:t>号法令第</w:t>
      </w:r>
      <w:r>
        <w:rPr>
          <w:rFonts w:hint="eastAsia"/>
        </w:rPr>
        <w:t>20</w:t>
      </w:r>
      <w:r>
        <w:rPr>
          <w:rFonts w:hint="eastAsia"/>
        </w:rPr>
        <w:t>条第</w:t>
      </w:r>
      <w:r>
        <w:rPr>
          <w:rFonts w:hint="eastAsia"/>
        </w:rPr>
        <w:t>2</w:t>
      </w:r>
      <w:r>
        <w:rPr>
          <w:rFonts w:hint="eastAsia"/>
        </w:rPr>
        <w:t>款以及第</w:t>
      </w:r>
      <w:r>
        <w:rPr>
          <w:rFonts w:hint="eastAsia"/>
        </w:rPr>
        <w:t>2224/94</w:t>
      </w:r>
      <w:r>
        <w:rPr>
          <w:rFonts w:hint="eastAsia"/>
        </w:rPr>
        <w:t>号法令第</w:t>
      </w:r>
      <w:r>
        <w:rPr>
          <w:rFonts w:hint="eastAsia"/>
        </w:rPr>
        <w:t>2</w:t>
      </w:r>
      <w:r>
        <w:rPr>
          <w:rFonts w:hint="eastAsia"/>
        </w:rPr>
        <w:t>条的规定获得授权。</w:t>
      </w:r>
    </w:p>
    <w:p w:rsidR="00000000" w:rsidRDefault="00000000">
      <w:pPr>
        <w:rPr>
          <w:rFonts w:hint="eastAsia"/>
        </w:rPr>
      </w:pPr>
      <w:r>
        <w:rPr>
          <w:rFonts w:hint="eastAsia"/>
        </w:rPr>
        <w:tab/>
        <w:t xml:space="preserve">213.  </w:t>
      </w:r>
      <w:r>
        <w:rPr>
          <w:rFonts w:hint="eastAsia"/>
        </w:rPr>
        <w:t>上述部门和企业的工会组织在行使其罢工权利之前必须就需要解决的问题同其雇主进行公开对话。在其他企业中，号召举行罢工的工会组织可在罢工前或者甚至在罢工期间设法同雇主进行公开对话。而雇主一旦得知工人的要求或者工人准备举行罢工的消息，或者认为罢工可能会使其企业陷于混乱之中，也可设法进行公开对话。</w:t>
      </w:r>
    </w:p>
    <w:p w:rsidR="00000000" w:rsidRDefault="00000000">
      <w:pPr>
        <w:rPr>
          <w:rFonts w:hint="eastAsia"/>
        </w:rPr>
      </w:pPr>
      <w:r>
        <w:rPr>
          <w:rFonts w:hint="eastAsia"/>
        </w:rPr>
        <w:tab/>
        <w:t xml:space="preserve">214.  </w:t>
      </w:r>
      <w:r>
        <w:rPr>
          <w:rFonts w:hint="eastAsia"/>
        </w:rPr>
        <w:t>在那些其运作对于整个社会的基本需求十分重要的公共企业或者公用事业公司中工作的职工必须提前</w:t>
      </w:r>
      <w:r>
        <w:rPr>
          <w:rFonts w:hint="eastAsia"/>
        </w:rPr>
        <w:t>4</w:t>
      </w:r>
      <w:r>
        <w:rPr>
          <w:rFonts w:hint="eastAsia"/>
        </w:rPr>
        <w:t>天以法庭文件的形式将有关要求及其理由通知雇主、主管的部以及劳动和社会保障部</w:t>
      </w:r>
      <w:r>
        <w:rPr>
          <w:rFonts w:hint="eastAsia"/>
        </w:rPr>
        <w:t>(</w:t>
      </w:r>
      <w:r>
        <w:rPr>
          <w:rFonts w:hint="eastAsia"/>
        </w:rPr>
        <w:t>第</w:t>
      </w:r>
      <w:r>
        <w:rPr>
          <w:rFonts w:hint="eastAsia"/>
        </w:rPr>
        <w:t>1264/82</w:t>
      </w:r>
      <w:r>
        <w:rPr>
          <w:rFonts w:hint="eastAsia"/>
        </w:rPr>
        <w:t>号法令第</w:t>
      </w:r>
      <w:r>
        <w:rPr>
          <w:rFonts w:hint="eastAsia"/>
        </w:rPr>
        <w:t>19</w:t>
      </w:r>
      <w:r>
        <w:rPr>
          <w:rFonts w:hint="eastAsia"/>
        </w:rPr>
        <w:t>条第</w:t>
      </w:r>
      <w:r>
        <w:rPr>
          <w:rFonts w:hint="eastAsia"/>
        </w:rPr>
        <w:t>2</w:t>
      </w:r>
      <w:r>
        <w:rPr>
          <w:rFonts w:hint="eastAsia"/>
        </w:rPr>
        <w:t>款</w:t>
      </w:r>
      <w:r>
        <w:rPr>
          <w:rFonts w:hint="eastAsia"/>
        </w:rPr>
        <w:t>)</w:t>
      </w:r>
      <w:r>
        <w:rPr>
          <w:rFonts w:hint="eastAsia"/>
        </w:rPr>
        <w:t>。在罢工中提出的要求必须同法庭文件中的要求相同。</w:t>
      </w:r>
    </w:p>
    <w:p w:rsidR="00000000" w:rsidRDefault="00000000">
      <w:pPr>
        <w:spacing w:after="240"/>
        <w:rPr>
          <w:rFonts w:hint="eastAsia"/>
        </w:rPr>
      </w:pPr>
      <w:r>
        <w:rPr>
          <w:rFonts w:hint="eastAsia"/>
        </w:rPr>
        <w:tab/>
        <w:t xml:space="preserve">215.  </w:t>
      </w:r>
      <w:r>
        <w:rPr>
          <w:rFonts w:hint="eastAsia"/>
        </w:rPr>
        <w:t>号召举行罢工的工会组织必须确保必要的工作人员在罢工期间到场保护企业的设施，并且防止损失和意外事故</w:t>
      </w:r>
      <w:r>
        <w:rPr>
          <w:rFonts w:hint="eastAsia"/>
        </w:rPr>
        <w:t>(</w:t>
      </w:r>
      <w:r>
        <w:rPr>
          <w:rFonts w:hint="eastAsia"/>
        </w:rPr>
        <w:t>已经取代第</w:t>
      </w:r>
      <w:r>
        <w:rPr>
          <w:rFonts w:hint="eastAsia"/>
        </w:rPr>
        <w:t>1264/82</w:t>
      </w:r>
      <w:r>
        <w:rPr>
          <w:rFonts w:hint="eastAsia"/>
        </w:rPr>
        <w:t>号法令第</w:t>
      </w:r>
      <w:r>
        <w:rPr>
          <w:rFonts w:hint="eastAsia"/>
        </w:rPr>
        <w:t>21</w:t>
      </w:r>
      <w:r>
        <w:rPr>
          <w:rFonts w:hint="eastAsia"/>
        </w:rPr>
        <w:t>条的第</w:t>
      </w:r>
      <w:r>
        <w:rPr>
          <w:rFonts w:hint="eastAsia"/>
        </w:rPr>
        <w:t>2224/94</w:t>
      </w:r>
      <w:r>
        <w:rPr>
          <w:rFonts w:hint="eastAsia"/>
        </w:rPr>
        <w:t>号法令的第</w:t>
      </w:r>
      <w:r>
        <w:rPr>
          <w:rFonts w:hint="eastAsia"/>
        </w:rPr>
        <w:t>1</w:t>
      </w:r>
      <w:r>
        <w:rPr>
          <w:rFonts w:hint="eastAsia"/>
        </w:rPr>
        <w:t>条</w:t>
      </w:r>
      <w:r>
        <w:rPr>
          <w:rFonts w:hint="eastAsia"/>
        </w:rPr>
        <w:t>)</w:t>
      </w:r>
      <w:r>
        <w:rPr>
          <w:rFonts w:hint="eastAsia"/>
        </w:rPr>
        <w:t>。特别是那些其运作对于整个社会的基本需求十分重要的机构、部门及公共事业公司，除了维持秩序的人员之外，还必须另外安排人员维持罢工期间整个社会的基本需要</w:t>
      </w:r>
      <w:r>
        <w:rPr>
          <w:rFonts w:hint="eastAsia"/>
        </w:rPr>
        <w:t>(</w:t>
      </w:r>
      <w:r>
        <w:rPr>
          <w:rFonts w:hint="eastAsia"/>
        </w:rPr>
        <w:t>第</w:t>
      </w:r>
      <w:r>
        <w:rPr>
          <w:rFonts w:hint="eastAsia"/>
        </w:rPr>
        <w:t>1264/82</w:t>
      </w:r>
      <w:r>
        <w:rPr>
          <w:rFonts w:hint="eastAsia"/>
        </w:rPr>
        <w:t>号法令第</w:t>
      </w:r>
      <w:r>
        <w:rPr>
          <w:rFonts w:hint="eastAsia"/>
        </w:rPr>
        <w:t>19</w:t>
      </w:r>
      <w:r>
        <w:rPr>
          <w:rFonts w:hint="eastAsia"/>
        </w:rPr>
        <w:t>条第</w:t>
      </w:r>
      <w:r>
        <w:rPr>
          <w:rFonts w:hint="eastAsia"/>
        </w:rPr>
        <w:t>2</w:t>
      </w:r>
      <w:r>
        <w:rPr>
          <w:rFonts w:hint="eastAsia"/>
        </w:rPr>
        <w:t>款，并经第</w:t>
      </w:r>
      <w:r>
        <w:rPr>
          <w:rFonts w:hint="eastAsia"/>
        </w:rPr>
        <w:t>1915/1990</w:t>
      </w:r>
      <w:r>
        <w:rPr>
          <w:rFonts w:hint="eastAsia"/>
        </w:rPr>
        <w:t>号法令第</w:t>
      </w:r>
      <w:r>
        <w:rPr>
          <w:rFonts w:hint="eastAsia"/>
        </w:rPr>
        <w:t>3</w:t>
      </w:r>
      <w:r>
        <w:rPr>
          <w:rFonts w:hint="eastAsia"/>
        </w:rPr>
        <w:t>条第</w:t>
      </w:r>
      <w:r>
        <w:rPr>
          <w:rFonts w:hint="eastAsia"/>
        </w:rPr>
        <w:t>1</w:t>
      </w:r>
      <w:r>
        <w:rPr>
          <w:rFonts w:hint="eastAsia"/>
        </w:rPr>
        <w:t>款和第</w:t>
      </w:r>
      <w:r>
        <w:rPr>
          <w:rFonts w:hint="eastAsia"/>
        </w:rPr>
        <w:t>2</w:t>
      </w:r>
      <w:r>
        <w:rPr>
          <w:rFonts w:hint="eastAsia"/>
        </w:rPr>
        <w:t>款以及第</w:t>
      </w:r>
      <w:r>
        <w:rPr>
          <w:rFonts w:hint="eastAsia"/>
        </w:rPr>
        <w:t>4</w:t>
      </w:r>
      <w:r>
        <w:rPr>
          <w:rFonts w:hint="eastAsia"/>
        </w:rPr>
        <w:t>条第</w:t>
      </w:r>
      <w:r>
        <w:rPr>
          <w:rFonts w:hint="eastAsia"/>
        </w:rPr>
        <w:t>1</w:t>
      </w:r>
      <w:r>
        <w:rPr>
          <w:rFonts w:hint="eastAsia"/>
        </w:rPr>
        <w:t>款补充</w:t>
      </w:r>
      <w:r>
        <w:rPr>
          <w:rFonts w:hint="eastAsia"/>
        </w:rPr>
        <w:t>)</w:t>
      </w:r>
      <w:r>
        <w:rPr>
          <w:rFonts w:hint="eastAsia"/>
        </w:rPr>
        <w:t>。</w:t>
      </w:r>
    </w:p>
    <w:p w:rsidR="00000000" w:rsidRDefault="00000000">
      <w:pPr>
        <w:pStyle w:val="Heading4"/>
        <w:rPr>
          <w:rFonts w:hint="eastAsia"/>
        </w:rPr>
      </w:pPr>
      <w:r>
        <w:rPr>
          <w:rFonts w:hint="eastAsia"/>
        </w:rPr>
        <w:t>警察部队</w:t>
      </w:r>
    </w:p>
    <w:p w:rsidR="00000000" w:rsidRDefault="00000000">
      <w:pPr>
        <w:rPr>
          <w:rFonts w:hint="eastAsia"/>
        </w:rPr>
      </w:pPr>
      <w:r>
        <w:rPr>
          <w:rFonts w:hint="eastAsia"/>
        </w:rPr>
        <w:tab/>
        <w:t xml:space="preserve">216.  </w:t>
      </w:r>
      <w:r>
        <w:rPr>
          <w:rFonts w:hint="eastAsia"/>
        </w:rPr>
        <w:t>国防部的工作人员包括军人和平民。关于平民雇员，在上文中也已提及，《宪法》第</w:t>
      </w:r>
      <w:r>
        <w:rPr>
          <w:rFonts w:hint="eastAsia"/>
        </w:rPr>
        <w:t>23</w:t>
      </w:r>
      <w:r>
        <w:rPr>
          <w:rFonts w:hint="eastAsia"/>
        </w:rPr>
        <w:t>条保障他们组织工会的权利；“有关工会运动民主化以及保护雇员的工会自由的”第</w:t>
      </w:r>
      <w:r>
        <w:rPr>
          <w:rFonts w:hint="eastAsia"/>
        </w:rPr>
        <w:t>1264/82</w:t>
      </w:r>
      <w:r>
        <w:rPr>
          <w:rFonts w:hint="eastAsia"/>
        </w:rPr>
        <w:t>号法令也确定了这项权利。</w:t>
      </w:r>
    </w:p>
    <w:p w:rsidR="00000000" w:rsidRDefault="00000000">
      <w:pPr>
        <w:rPr>
          <w:rFonts w:hint="eastAsia"/>
        </w:rPr>
      </w:pPr>
      <w:r>
        <w:rPr>
          <w:rFonts w:hint="eastAsia"/>
        </w:rPr>
        <w:tab/>
        <w:t xml:space="preserve">217.  </w:t>
      </w:r>
      <w:r>
        <w:rPr>
          <w:rFonts w:hint="eastAsia"/>
        </w:rPr>
        <w:t>至于军人雇员，原则上并不禁止他们成立工会，因为《宪法》第</w:t>
      </w:r>
      <w:r>
        <w:rPr>
          <w:rFonts w:hint="eastAsia"/>
        </w:rPr>
        <w:t>23</w:t>
      </w:r>
      <w:r>
        <w:rPr>
          <w:rFonts w:hint="eastAsia"/>
        </w:rPr>
        <w:t>条第</w:t>
      </w:r>
      <w:r>
        <w:rPr>
          <w:rFonts w:hint="eastAsia"/>
        </w:rPr>
        <w:t>1</w:t>
      </w:r>
      <w:r>
        <w:rPr>
          <w:rFonts w:hint="eastAsia"/>
        </w:rPr>
        <w:t>款规定：“国家依法采取必要措施保障工会自由以及自由履行与此有关的权利，禁止任何违法行为”。但是，应当考虑到，就其工作性质而言，武装部队从广义上来说属于安全机构，其任务是确保国家的领土完整和保卫国家。在这种解释的基础上，应当考虑到，《宪法》第</w:t>
      </w:r>
      <w:r>
        <w:rPr>
          <w:rFonts w:hint="eastAsia"/>
        </w:rPr>
        <w:t>23</w:t>
      </w:r>
      <w:r>
        <w:rPr>
          <w:rFonts w:hint="eastAsia"/>
        </w:rPr>
        <w:t>条第</w:t>
      </w:r>
      <w:r>
        <w:rPr>
          <w:rFonts w:hint="eastAsia"/>
        </w:rPr>
        <w:t>2</w:t>
      </w:r>
      <w:r>
        <w:rPr>
          <w:rFonts w:hint="eastAsia"/>
        </w:rPr>
        <w:t>款中有关禁止司法官员和在安全机构中工作的人员行使其参加工会后获得的罢工权利的规定也适用于武装部队。</w:t>
      </w:r>
    </w:p>
    <w:p w:rsidR="00000000" w:rsidRDefault="00000000">
      <w:pPr>
        <w:spacing w:after="240"/>
        <w:rPr>
          <w:rFonts w:hint="eastAsia"/>
        </w:rPr>
      </w:pPr>
      <w:r>
        <w:rPr>
          <w:rFonts w:hint="eastAsia"/>
        </w:rPr>
        <w:tab/>
        <w:t xml:space="preserve">218.  </w:t>
      </w:r>
      <w:r>
        <w:rPr>
          <w:rFonts w:hint="eastAsia"/>
        </w:rPr>
        <w:t>正如上文所述，武装部队的成员不得通过罢工来行使其工会权利，也不得以任何方式在执行军事任务过程中行使这种权利，因为法律规定必须对这种行为进行干预，并以刑法处置</w:t>
      </w:r>
      <w:r>
        <w:rPr>
          <w:rFonts w:hint="eastAsia"/>
        </w:rPr>
        <w:t>(</w:t>
      </w:r>
      <w:r>
        <w:rPr>
          <w:rFonts w:hint="eastAsia"/>
        </w:rPr>
        <w:t>“有关武装部队军官地位的”第</w:t>
      </w:r>
      <w:r>
        <w:rPr>
          <w:rFonts w:hint="eastAsia"/>
        </w:rPr>
        <w:t>1400/73</w:t>
      </w:r>
      <w:r>
        <w:rPr>
          <w:rFonts w:hint="eastAsia"/>
        </w:rPr>
        <w:t>号法令第</w:t>
      </w:r>
      <w:r>
        <w:rPr>
          <w:rFonts w:hint="eastAsia"/>
        </w:rPr>
        <w:t>63</w:t>
      </w:r>
      <w:r>
        <w:rPr>
          <w:rFonts w:hint="eastAsia"/>
        </w:rPr>
        <w:t>条以及第</w:t>
      </w:r>
      <w:r>
        <w:rPr>
          <w:rFonts w:hint="eastAsia"/>
        </w:rPr>
        <w:t>2287/95</w:t>
      </w:r>
      <w:r>
        <w:rPr>
          <w:rFonts w:hint="eastAsia"/>
        </w:rPr>
        <w:t>号法令第</w:t>
      </w:r>
      <w:r>
        <w:rPr>
          <w:rFonts w:hint="eastAsia"/>
        </w:rPr>
        <w:t>46</w:t>
      </w:r>
      <w:r>
        <w:rPr>
          <w:rFonts w:hint="eastAsia"/>
        </w:rPr>
        <w:t>条和其他有关规定，其中批准了《军事刑法》，并就违反军纪的罪行作出了规定</w:t>
      </w:r>
      <w:r>
        <w:rPr>
          <w:rFonts w:hint="eastAsia"/>
        </w:rPr>
        <w:t>)</w:t>
      </w:r>
      <w:r>
        <w:rPr>
          <w:rFonts w:hint="eastAsia"/>
        </w:rPr>
        <w:t>。</w:t>
      </w:r>
    </w:p>
    <w:p w:rsidR="00000000" w:rsidRDefault="00000000">
      <w:pPr>
        <w:pStyle w:val="Heading4"/>
        <w:rPr>
          <w:rFonts w:hint="eastAsia"/>
        </w:rPr>
      </w:pPr>
      <w:r>
        <w:rPr>
          <w:rFonts w:hint="eastAsia"/>
        </w:rPr>
        <w:t>警察部队</w:t>
      </w:r>
    </w:p>
    <w:p w:rsidR="00000000" w:rsidRDefault="00000000">
      <w:pPr>
        <w:rPr>
          <w:rFonts w:hint="eastAsia"/>
        </w:rPr>
      </w:pPr>
      <w:r>
        <w:rPr>
          <w:rFonts w:hint="eastAsia"/>
        </w:rPr>
        <w:tab/>
        <w:t xml:space="preserve">219.  </w:t>
      </w:r>
      <w:r>
        <w:rPr>
          <w:rFonts w:hint="eastAsia"/>
        </w:rPr>
        <w:t>根据第</w:t>
      </w:r>
      <w:r>
        <w:rPr>
          <w:rFonts w:hint="eastAsia"/>
        </w:rPr>
        <w:t>2265/1994</w:t>
      </w:r>
      <w:r>
        <w:rPr>
          <w:rFonts w:hint="eastAsia"/>
        </w:rPr>
        <w:t>号法令的规定，“有关工会运动民主化以及保护雇员的工会自由”的第</w:t>
      </w:r>
      <w:r>
        <w:rPr>
          <w:rFonts w:hint="eastAsia"/>
        </w:rPr>
        <w:t>1264/82</w:t>
      </w:r>
      <w:r>
        <w:rPr>
          <w:rFonts w:hint="eastAsia"/>
        </w:rPr>
        <w:t>号法令的条款也适用于希腊警察部队。据估计，上述条款适用于</w:t>
      </w:r>
      <w:r>
        <w:rPr>
          <w:rFonts w:hint="eastAsia"/>
        </w:rPr>
        <w:t>54,000</w:t>
      </w:r>
      <w:r>
        <w:rPr>
          <w:rFonts w:hint="eastAsia"/>
        </w:rPr>
        <w:t>名警察。</w:t>
      </w:r>
    </w:p>
    <w:p w:rsidR="00000000" w:rsidRDefault="00000000">
      <w:pPr>
        <w:rPr>
          <w:rFonts w:hint="eastAsia"/>
        </w:rPr>
      </w:pPr>
      <w:r>
        <w:rPr>
          <w:rFonts w:hint="eastAsia"/>
        </w:rPr>
        <w:tab/>
        <w:t xml:space="preserve">220.  </w:t>
      </w:r>
      <w:r>
        <w:rPr>
          <w:rFonts w:hint="eastAsia"/>
        </w:rPr>
        <w:t>根据上述法令第</w:t>
      </w:r>
      <w:r>
        <w:rPr>
          <w:rFonts w:hint="eastAsia"/>
        </w:rPr>
        <w:t>1</w:t>
      </w:r>
      <w:r>
        <w:rPr>
          <w:rFonts w:hint="eastAsia"/>
        </w:rPr>
        <w:t>条的规定，在警察组织工会方面没有任何限制。然而，该法令第</w:t>
      </w:r>
      <w:r>
        <w:rPr>
          <w:rFonts w:hint="eastAsia"/>
        </w:rPr>
        <w:t>1</w:t>
      </w:r>
      <w:r>
        <w:rPr>
          <w:rFonts w:hint="eastAsia"/>
        </w:rPr>
        <w:t>条第</w:t>
      </w:r>
      <w:r>
        <w:rPr>
          <w:rFonts w:hint="eastAsia"/>
        </w:rPr>
        <w:t>3</w:t>
      </w:r>
      <w:r>
        <w:rPr>
          <w:rFonts w:hint="eastAsia"/>
        </w:rPr>
        <w:t>款提到，“警察在行使其工会权利时不得超越希腊警察部队的特点和任务的限制，特别是不得违反警察部队超越政党服务于整个国家和社会的性质”。</w:t>
      </w:r>
    </w:p>
    <w:p w:rsidR="00000000" w:rsidRDefault="00000000">
      <w:pPr>
        <w:rPr>
          <w:rFonts w:hint="eastAsia"/>
        </w:rPr>
      </w:pPr>
      <w:r>
        <w:rPr>
          <w:rFonts w:hint="eastAsia"/>
        </w:rPr>
        <w:tab/>
        <w:t xml:space="preserve">221.  </w:t>
      </w:r>
      <w:r>
        <w:rPr>
          <w:rFonts w:hint="eastAsia"/>
        </w:rPr>
        <w:t>根据第</w:t>
      </w:r>
      <w:r>
        <w:rPr>
          <w:rFonts w:hint="eastAsia"/>
        </w:rPr>
        <w:t>2265/1994</w:t>
      </w:r>
      <w:r>
        <w:rPr>
          <w:rFonts w:hint="eastAsia"/>
        </w:rPr>
        <w:t>号法令</w:t>
      </w:r>
      <w:r>
        <w:rPr>
          <w:rFonts w:hint="eastAsia"/>
        </w:rPr>
        <w:t>(</w:t>
      </w:r>
      <w:r>
        <w:rPr>
          <w:rFonts w:hint="eastAsia"/>
        </w:rPr>
        <w:t>第</w:t>
      </w:r>
      <w:r>
        <w:rPr>
          <w:rFonts w:hint="eastAsia"/>
        </w:rPr>
        <w:t>1</w:t>
      </w:r>
      <w:r>
        <w:rPr>
          <w:rFonts w:hint="eastAsia"/>
        </w:rPr>
        <w:t>条和第</w:t>
      </w:r>
      <w:r>
        <w:rPr>
          <w:rFonts w:hint="eastAsia"/>
        </w:rPr>
        <w:t>4</w:t>
      </w:r>
      <w:r>
        <w:rPr>
          <w:rFonts w:hint="eastAsia"/>
        </w:rPr>
        <w:t>条</w:t>
      </w:r>
      <w:r>
        <w:rPr>
          <w:rFonts w:hint="eastAsia"/>
        </w:rPr>
        <w:t>)</w:t>
      </w:r>
      <w:r>
        <w:rPr>
          <w:rFonts w:hint="eastAsia"/>
        </w:rPr>
        <w:t>，警察有权在全国的所有省份和行政区域组织基层工会，同时也有权组织工会联合会和工会联盟。所有警察均有权参加所在省份或者行政区域的基层工会组织</w:t>
      </w:r>
      <w:r>
        <w:rPr>
          <w:rFonts w:hint="eastAsia"/>
        </w:rPr>
        <w:t>(</w:t>
      </w:r>
      <w:r>
        <w:rPr>
          <w:rFonts w:hint="eastAsia"/>
        </w:rPr>
        <w:t>第</w:t>
      </w:r>
      <w:r>
        <w:rPr>
          <w:rFonts w:hint="eastAsia"/>
        </w:rPr>
        <w:t>1</w:t>
      </w:r>
      <w:r>
        <w:rPr>
          <w:rFonts w:hint="eastAsia"/>
        </w:rPr>
        <w:t>条第</w:t>
      </w:r>
      <w:r>
        <w:rPr>
          <w:rFonts w:hint="eastAsia"/>
        </w:rPr>
        <w:t>5</w:t>
      </w:r>
      <w:r>
        <w:rPr>
          <w:rFonts w:hint="eastAsia"/>
        </w:rPr>
        <w:t>款</w:t>
      </w:r>
      <w:r>
        <w:rPr>
          <w:rFonts w:hint="eastAsia"/>
        </w:rPr>
        <w:t>)</w:t>
      </w:r>
      <w:r>
        <w:rPr>
          <w:rFonts w:hint="eastAsia"/>
        </w:rPr>
        <w:t>。警察的工会组织可以参加国际警察工会组织</w:t>
      </w:r>
      <w:r>
        <w:rPr>
          <w:rFonts w:hint="eastAsia"/>
        </w:rPr>
        <w:t>(</w:t>
      </w:r>
      <w:r>
        <w:rPr>
          <w:rFonts w:hint="eastAsia"/>
        </w:rPr>
        <w:t>第</w:t>
      </w:r>
      <w:r>
        <w:rPr>
          <w:rFonts w:hint="eastAsia"/>
        </w:rPr>
        <w:t>1</w:t>
      </w:r>
      <w:r>
        <w:rPr>
          <w:rFonts w:hint="eastAsia"/>
        </w:rPr>
        <w:t>条第</w:t>
      </w:r>
      <w:r>
        <w:rPr>
          <w:rFonts w:hint="eastAsia"/>
        </w:rPr>
        <w:t>10</w:t>
      </w:r>
      <w:r>
        <w:rPr>
          <w:rFonts w:hint="eastAsia"/>
        </w:rPr>
        <w:t>款</w:t>
      </w:r>
      <w:r>
        <w:rPr>
          <w:rFonts w:hint="eastAsia"/>
        </w:rPr>
        <w:t>)</w:t>
      </w:r>
      <w:r>
        <w:rPr>
          <w:rFonts w:hint="eastAsia"/>
        </w:rPr>
        <w:t>。</w:t>
      </w:r>
    </w:p>
    <w:p w:rsidR="00000000" w:rsidRDefault="00000000">
      <w:pPr>
        <w:rPr>
          <w:rFonts w:hint="eastAsia"/>
        </w:rPr>
      </w:pPr>
      <w:r>
        <w:rPr>
          <w:rFonts w:hint="eastAsia"/>
        </w:rPr>
        <w:tab/>
        <w:t xml:space="preserve">222.  </w:t>
      </w:r>
      <w:r>
        <w:rPr>
          <w:rFonts w:hint="eastAsia"/>
        </w:rPr>
        <w:t>共有</w:t>
      </w:r>
      <w:r>
        <w:rPr>
          <w:rFonts w:hint="eastAsia"/>
        </w:rPr>
        <w:t>64</w:t>
      </w:r>
      <w:r>
        <w:rPr>
          <w:rFonts w:hint="eastAsia"/>
        </w:rPr>
        <w:t>个基层警察工会组织。同时还成立了两个二级工会组织，共有大约</w:t>
      </w:r>
      <w:r>
        <w:rPr>
          <w:rFonts w:hint="eastAsia"/>
        </w:rPr>
        <w:t>34,000</w:t>
      </w:r>
      <w:r>
        <w:rPr>
          <w:rFonts w:hint="eastAsia"/>
        </w:rPr>
        <w:t>名成员。</w:t>
      </w:r>
    </w:p>
    <w:p w:rsidR="00000000" w:rsidRDefault="00000000">
      <w:pPr>
        <w:spacing w:after="240"/>
        <w:rPr>
          <w:rFonts w:hint="eastAsia"/>
        </w:rPr>
      </w:pPr>
      <w:r>
        <w:rPr>
          <w:rFonts w:hint="eastAsia"/>
        </w:rPr>
        <w:tab/>
        <w:t xml:space="preserve">223.  </w:t>
      </w:r>
      <w:r>
        <w:rPr>
          <w:rFonts w:hint="eastAsia"/>
        </w:rPr>
        <w:t>根据第</w:t>
      </w:r>
      <w:r>
        <w:rPr>
          <w:rFonts w:hint="eastAsia"/>
        </w:rPr>
        <w:t>2265/1994</w:t>
      </w:r>
      <w:r>
        <w:rPr>
          <w:rFonts w:hint="eastAsia"/>
        </w:rPr>
        <w:t>号法令</w:t>
      </w:r>
      <w:r>
        <w:rPr>
          <w:rFonts w:hint="eastAsia"/>
        </w:rPr>
        <w:t>(</w:t>
      </w:r>
      <w:r>
        <w:rPr>
          <w:rFonts w:hint="eastAsia"/>
        </w:rPr>
        <w:t>第</w:t>
      </w:r>
      <w:r>
        <w:rPr>
          <w:rFonts w:hint="eastAsia"/>
        </w:rPr>
        <w:t>1</w:t>
      </w:r>
      <w:r>
        <w:rPr>
          <w:rFonts w:hint="eastAsia"/>
        </w:rPr>
        <w:t>条第</w:t>
      </w:r>
      <w:r>
        <w:rPr>
          <w:rFonts w:hint="eastAsia"/>
        </w:rPr>
        <w:t>10</w:t>
      </w:r>
      <w:r>
        <w:rPr>
          <w:rFonts w:hint="eastAsia"/>
        </w:rPr>
        <w:t>款</w:t>
      </w:r>
      <w:r>
        <w:rPr>
          <w:rFonts w:hint="eastAsia"/>
        </w:rPr>
        <w:t>)</w:t>
      </w:r>
      <w:r>
        <w:rPr>
          <w:rFonts w:hint="eastAsia"/>
        </w:rPr>
        <w:t>，警察的工会组织不得参加罢工。据估计，这项规定适用于</w:t>
      </w:r>
      <w:r>
        <w:rPr>
          <w:rFonts w:hint="eastAsia"/>
        </w:rPr>
        <w:t>54,000</w:t>
      </w:r>
      <w:r>
        <w:rPr>
          <w:rFonts w:hint="eastAsia"/>
        </w:rPr>
        <w:t>名警察。</w:t>
      </w:r>
    </w:p>
    <w:p w:rsidR="00000000" w:rsidRDefault="00000000">
      <w:pPr>
        <w:pStyle w:val="Heading4"/>
        <w:rPr>
          <w:rFonts w:hint="eastAsia"/>
        </w:rPr>
      </w:pPr>
      <w:r>
        <w:rPr>
          <w:rFonts w:hint="eastAsia"/>
        </w:rPr>
        <w:t>公共行政机构</w:t>
      </w:r>
    </w:p>
    <w:p w:rsidR="00000000" w:rsidRDefault="00000000">
      <w:pPr>
        <w:rPr>
          <w:rFonts w:hint="eastAsia"/>
        </w:rPr>
      </w:pPr>
      <w:r>
        <w:rPr>
          <w:rFonts w:hint="eastAsia"/>
        </w:rPr>
        <w:tab/>
        <w:t xml:space="preserve">224.  </w:t>
      </w:r>
      <w:r>
        <w:rPr>
          <w:rFonts w:hint="eastAsia"/>
        </w:rPr>
        <w:t>关于公务员的工会权利，请参看</w:t>
      </w:r>
      <w:r>
        <w:rPr>
          <w:rFonts w:hint="eastAsia"/>
        </w:rPr>
        <w:t>1998</w:t>
      </w:r>
      <w:r>
        <w:rPr>
          <w:rFonts w:hint="eastAsia"/>
        </w:rPr>
        <w:t>年和</w:t>
      </w:r>
      <w:r>
        <w:rPr>
          <w:rFonts w:hint="eastAsia"/>
        </w:rPr>
        <w:t>1999</w:t>
      </w:r>
      <w:r>
        <w:rPr>
          <w:rFonts w:hint="eastAsia"/>
        </w:rPr>
        <w:t>年提交的有关执行国际劳工组织关于公务员劳工关系的第</w:t>
      </w:r>
      <w:r>
        <w:rPr>
          <w:rFonts w:hint="eastAsia"/>
        </w:rPr>
        <w:t>151</w:t>
      </w:r>
      <w:r>
        <w:rPr>
          <w:rFonts w:hint="eastAsia"/>
        </w:rPr>
        <w:t>号公约</w:t>
      </w:r>
      <w:r>
        <w:rPr>
          <w:rFonts w:hint="eastAsia"/>
        </w:rPr>
        <w:t>(1978</w:t>
      </w:r>
      <w:r>
        <w:rPr>
          <w:rFonts w:hint="eastAsia"/>
        </w:rPr>
        <w:t>年</w:t>
      </w:r>
      <w:r>
        <w:rPr>
          <w:rFonts w:hint="eastAsia"/>
        </w:rPr>
        <w:t>)</w:t>
      </w:r>
      <w:r>
        <w:rPr>
          <w:rFonts w:hint="eastAsia"/>
        </w:rPr>
        <w:t>的国家报告</w:t>
      </w:r>
      <w:r>
        <w:rPr>
          <w:rFonts w:hint="eastAsia"/>
        </w:rPr>
        <w:t>(</w:t>
      </w:r>
      <w:r>
        <w:rPr>
          <w:rFonts w:hint="eastAsia"/>
        </w:rPr>
        <w:t>第一、二、三以及四章</w:t>
      </w:r>
      <w:r>
        <w:rPr>
          <w:rFonts w:hint="eastAsia"/>
        </w:rPr>
        <w:t>)</w:t>
      </w:r>
      <w:r>
        <w:rPr>
          <w:rFonts w:hint="eastAsia"/>
        </w:rPr>
        <w:t>。正如上次报告所指出，希腊已经通过第</w:t>
      </w:r>
      <w:r>
        <w:rPr>
          <w:rFonts w:hint="eastAsia"/>
        </w:rPr>
        <w:t>2738/1999</w:t>
      </w:r>
      <w:r>
        <w:rPr>
          <w:rFonts w:hint="eastAsia"/>
        </w:rPr>
        <w:t>号法令建立了希腊公务员集体谈判的制度，该法令赋予公务员工会就在政府部门、执法部门以及地方行政机构中工作的公务员的雇用条件和劳动条件同政府进行谈判的权利。</w:t>
      </w:r>
    </w:p>
    <w:p w:rsidR="00000000" w:rsidRDefault="00000000">
      <w:pPr>
        <w:rPr>
          <w:rFonts w:hint="eastAsia"/>
        </w:rPr>
      </w:pPr>
      <w:r>
        <w:rPr>
          <w:rFonts w:hint="eastAsia"/>
        </w:rPr>
        <w:tab/>
        <w:t xml:space="preserve">225.  </w:t>
      </w:r>
      <w:r>
        <w:rPr>
          <w:rFonts w:hint="eastAsia"/>
        </w:rPr>
        <w:t>高级公务员工会同其他</w:t>
      </w:r>
      <w:r>
        <w:rPr>
          <w:rFonts w:hint="eastAsia"/>
        </w:rPr>
        <w:t>20</w:t>
      </w:r>
      <w:r>
        <w:rPr>
          <w:rFonts w:hint="eastAsia"/>
        </w:rPr>
        <w:t>个公务员工会参加了于</w:t>
      </w:r>
      <w:r>
        <w:rPr>
          <w:rFonts w:hint="eastAsia"/>
        </w:rPr>
        <w:t>2000</w:t>
      </w:r>
      <w:r>
        <w:rPr>
          <w:rFonts w:hint="eastAsia"/>
        </w:rPr>
        <w:t>年举行的第一次集体谈判。谈判的结果是：签订了两项特别集体合同和两项特别集体协定。</w:t>
      </w:r>
    </w:p>
    <w:p w:rsidR="00000000" w:rsidRDefault="00000000">
      <w:pPr>
        <w:rPr>
          <w:rFonts w:hint="eastAsia"/>
          <w:spacing w:val="8"/>
        </w:rPr>
      </w:pPr>
      <w:r>
        <w:rPr>
          <w:rFonts w:hint="eastAsia"/>
        </w:rPr>
        <w:tab/>
        <w:t xml:space="preserve">226.  </w:t>
      </w:r>
      <w:r>
        <w:rPr>
          <w:rFonts w:hint="eastAsia"/>
          <w:spacing w:val="12"/>
        </w:rPr>
        <w:t>高级公务员工会同其他</w:t>
      </w:r>
      <w:r>
        <w:rPr>
          <w:rFonts w:hint="eastAsia"/>
          <w:spacing w:val="12"/>
        </w:rPr>
        <w:t>25</w:t>
      </w:r>
      <w:r>
        <w:rPr>
          <w:rFonts w:hint="eastAsia"/>
          <w:spacing w:val="12"/>
        </w:rPr>
        <w:t>个公务员工会参加了</w:t>
      </w:r>
      <w:r>
        <w:rPr>
          <w:rFonts w:hint="eastAsia"/>
          <w:spacing w:val="12"/>
        </w:rPr>
        <w:t>2001</w:t>
      </w:r>
      <w:r>
        <w:rPr>
          <w:rFonts w:hint="eastAsia"/>
          <w:spacing w:val="12"/>
        </w:rPr>
        <w:t>年的谈判，由于总结了上次谈判的经验教训，这次的组织工作有所改进。</w:t>
      </w:r>
      <w:r>
        <w:rPr>
          <w:rFonts w:hint="eastAsia"/>
          <w:spacing w:val="12"/>
        </w:rPr>
        <w:t>2001</w:t>
      </w:r>
      <w:r>
        <w:rPr>
          <w:rFonts w:hint="eastAsia"/>
          <w:spacing w:val="12"/>
        </w:rPr>
        <w:t>年集体谈判的成果是：签订了四项特别集体合同和</w:t>
      </w:r>
      <w:r>
        <w:rPr>
          <w:rFonts w:hint="eastAsia"/>
          <w:spacing w:val="12"/>
        </w:rPr>
        <w:t>15</w:t>
      </w:r>
      <w:r>
        <w:rPr>
          <w:rFonts w:hint="eastAsia"/>
          <w:spacing w:val="12"/>
        </w:rPr>
        <w:t>项特别集体协定。这些成果表明，新的集体谈判制度正在逐步成熟。工会也意识到，通过规定的谈判程序可以有效地推动其要求。</w:t>
      </w:r>
    </w:p>
    <w:p w:rsidR="00000000" w:rsidRDefault="00000000">
      <w:pPr>
        <w:spacing w:after="320"/>
        <w:rPr>
          <w:rFonts w:hint="eastAsia"/>
        </w:rPr>
      </w:pPr>
      <w:r>
        <w:rPr>
          <w:rFonts w:hint="eastAsia"/>
        </w:rPr>
        <w:tab/>
        <w:t xml:space="preserve">227.  </w:t>
      </w:r>
      <w:r>
        <w:rPr>
          <w:rFonts w:hint="eastAsia"/>
        </w:rPr>
        <w:t>最后，值得注意的最近的情况是，内务、公共管理和权力下放部已经尽早提出了</w:t>
      </w:r>
      <w:r>
        <w:rPr>
          <w:rFonts w:hint="eastAsia"/>
        </w:rPr>
        <w:t>2002</w:t>
      </w:r>
      <w:r>
        <w:rPr>
          <w:rFonts w:hint="eastAsia"/>
        </w:rPr>
        <w:t>年集体谈判的程序，以便谈判各方有足够的时间在协商一致的气氛中提出自己的要求。</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rPr>
          <w:rFonts w:hint="eastAsia"/>
        </w:rPr>
      </w:pPr>
      <w:r>
        <w:rPr>
          <w:rFonts w:hint="eastAsia"/>
        </w:rPr>
        <w:tab/>
        <w:t xml:space="preserve">228.  </w:t>
      </w:r>
      <w:r>
        <w:rPr>
          <w:rFonts w:hint="eastAsia"/>
        </w:rPr>
        <w:t>从</w:t>
      </w:r>
      <w:r>
        <w:rPr>
          <w:rFonts w:hint="eastAsia"/>
        </w:rPr>
        <w:t>1955</w:t>
      </w:r>
      <w:r>
        <w:rPr>
          <w:rFonts w:hint="eastAsia"/>
        </w:rPr>
        <w:t>年以来，希腊就一直是国际劳工组织有关最低标准社会保障的第</w:t>
      </w:r>
      <w:r>
        <w:rPr>
          <w:rFonts w:hint="eastAsia"/>
        </w:rPr>
        <w:t>102</w:t>
      </w:r>
      <w:r>
        <w:rPr>
          <w:rFonts w:hint="eastAsia"/>
        </w:rPr>
        <w:t>号公约</w:t>
      </w:r>
      <w:r>
        <w:rPr>
          <w:rFonts w:hint="eastAsia"/>
        </w:rPr>
        <w:t>(1952</w:t>
      </w:r>
      <w:r>
        <w:rPr>
          <w:rFonts w:hint="eastAsia"/>
        </w:rPr>
        <w:t>年</w:t>
      </w:r>
      <w:r>
        <w:rPr>
          <w:rFonts w:hint="eastAsia"/>
        </w:rPr>
        <w:t>)</w:t>
      </w:r>
      <w:r>
        <w:rPr>
          <w:rFonts w:hint="eastAsia"/>
        </w:rPr>
        <w:t>的成员国，并且每隔两年向有关的监督委员会提出报告。</w:t>
      </w:r>
    </w:p>
    <w:p w:rsidR="00000000" w:rsidRDefault="00000000">
      <w:pPr>
        <w:spacing w:after="240"/>
        <w:rPr>
          <w:rFonts w:hint="eastAsia"/>
        </w:rPr>
      </w:pPr>
      <w:r>
        <w:rPr>
          <w:rFonts w:hint="eastAsia"/>
        </w:rPr>
        <w:tab/>
        <w:t xml:space="preserve">229.  </w:t>
      </w:r>
      <w:r>
        <w:rPr>
          <w:rFonts w:hint="eastAsia"/>
        </w:rPr>
        <w:t>希腊的社会保障涉及社会保障的所有部门</w:t>
      </w:r>
      <w:r>
        <w:rPr>
          <w:rFonts w:hint="eastAsia"/>
        </w:rPr>
        <w:t>(</w:t>
      </w:r>
      <w:r>
        <w:rPr>
          <w:rFonts w:hint="eastAsia"/>
        </w:rPr>
        <w:t>疾病和产妇、老龄问题、丧失活动能力、遗属、工伤事故和职业病、失业和家庭问题</w:t>
      </w:r>
      <w:r>
        <w:rPr>
          <w:rFonts w:hint="eastAsia"/>
        </w:rPr>
        <w:t>)</w:t>
      </w:r>
      <w:r>
        <w:rPr>
          <w:rFonts w:hint="eastAsia"/>
        </w:rPr>
        <w:t>。</w:t>
      </w:r>
    </w:p>
    <w:p w:rsidR="00000000" w:rsidRDefault="00000000">
      <w:pPr>
        <w:pStyle w:val="Heading4"/>
        <w:rPr>
          <w:rFonts w:hint="eastAsia"/>
        </w:rPr>
      </w:pPr>
      <w:r>
        <w:rPr>
          <w:rFonts w:hint="eastAsia"/>
        </w:rPr>
        <w:t>产妇津贴</w:t>
      </w:r>
    </w:p>
    <w:p w:rsidR="00000000" w:rsidRDefault="00000000">
      <w:pPr>
        <w:rPr>
          <w:rFonts w:hint="eastAsia"/>
        </w:rPr>
      </w:pPr>
      <w:r>
        <w:rPr>
          <w:rFonts w:hint="eastAsia"/>
        </w:rPr>
        <w:tab/>
        <w:t xml:space="preserve">230.  </w:t>
      </w:r>
      <w:r>
        <w:rPr>
          <w:rFonts w:hint="eastAsia"/>
        </w:rPr>
        <w:t>产妇津贴的发放对象是无法向保险公司索取这种津贴的职业妇女以及没有购买保险的产妇，发放期限为产前六周和产后六周，目的是要确保产妇享有令人满意的生活水平。发放产妇津贴的法律依据如下：第</w:t>
      </w:r>
      <w:r>
        <w:rPr>
          <w:rFonts w:hint="eastAsia"/>
        </w:rPr>
        <w:t>1302/82</w:t>
      </w:r>
      <w:r>
        <w:rPr>
          <w:rFonts w:hint="eastAsia"/>
        </w:rPr>
        <w:t>号法令第</w:t>
      </w:r>
      <w:r>
        <w:rPr>
          <w:rFonts w:hint="eastAsia"/>
        </w:rPr>
        <w:t>4</w:t>
      </w:r>
      <w:r>
        <w:rPr>
          <w:rFonts w:hint="eastAsia"/>
        </w:rPr>
        <w:t>条第</w:t>
      </w:r>
      <w:r>
        <w:rPr>
          <w:rFonts w:hint="eastAsia"/>
        </w:rPr>
        <w:t>5</w:t>
      </w:r>
      <w:r>
        <w:rPr>
          <w:rFonts w:hint="eastAsia"/>
        </w:rPr>
        <w:t>款</w:t>
      </w:r>
      <w:r>
        <w:rPr>
          <w:rFonts w:hint="eastAsia"/>
        </w:rPr>
        <w:t>(</w:t>
      </w:r>
      <w:r>
        <w:rPr>
          <w:rFonts w:hint="eastAsia"/>
        </w:rPr>
        <w:t>该项法令批准了国际劳工组织有关产妇保护的第</w:t>
      </w:r>
      <w:r>
        <w:rPr>
          <w:rFonts w:hint="eastAsia"/>
        </w:rPr>
        <w:t>103</w:t>
      </w:r>
      <w:r>
        <w:rPr>
          <w:rFonts w:hint="eastAsia"/>
        </w:rPr>
        <w:t>号公约</w:t>
      </w:r>
      <w:r>
        <w:rPr>
          <w:rFonts w:hint="eastAsia"/>
        </w:rPr>
        <w:t>(1952</w:t>
      </w:r>
      <w:r>
        <w:rPr>
          <w:rFonts w:hint="eastAsia"/>
        </w:rPr>
        <w:t>年</w:t>
      </w:r>
      <w:r>
        <w:rPr>
          <w:rFonts w:hint="eastAsia"/>
        </w:rPr>
        <w:t>))(</w:t>
      </w:r>
      <w:r>
        <w:rPr>
          <w:rFonts w:hint="eastAsia"/>
        </w:rPr>
        <w:t>《政府公报》第</w:t>
      </w:r>
      <w:r>
        <w:rPr>
          <w:rFonts w:hint="eastAsia"/>
        </w:rPr>
        <w:t>133</w:t>
      </w:r>
      <w:r>
        <w:rPr>
          <w:rFonts w:hint="eastAsia"/>
        </w:rPr>
        <w:t>号，</w:t>
      </w:r>
      <w:r>
        <w:rPr>
          <w:rFonts w:hint="eastAsia"/>
        </w:rPr>
        <w:t>A</w:t>
      </w:r>
      <w:r>
        <w:rPr>
          <w:rFonts w:hint="eastAsia"/>
        </w:rPr>
        <w:t>卷</w:t>
      </w:r>
      <w:r>
        <w:rPr>
          <w:rFonts w:hint="eastAsia"/>
        </w:rPr>
        <w:t>)</w:t>
      </w:r>
      <w:r>
        <w:rPr>
          <w:rFonts w:hint="eastAsia"/>
        </w:rPr>
        <w:t>；第</w:t>
      </w:r>
      <w:r>
        <w:t>Γ2β</w:t>
      </w:r>
      <w:r>
        <w:rPr>
          <w:rFonts w:hint="eastAsia"/>
        </w:rPr>
        <w:t>/10195/12.12.83</w:t>
      </w:r>
      <w:r>
        <w:rPr>
          <w:rFonts w:hint="eastAsia"/>
        </w:rPr>
        <w:t>号部级决定</w:t>
      </w:r>
      <w:r>
        <w:rPr>
          <w:rFonts w:hint="eastAsia"/>
        </w:rPr>
        <w:t>(</w:t>
      </w:r>
      <w:r>
        <w:rPr>
          <w:rFonts w:hint="eastAsia"/>
        </w:rPr>
        <w:t>《政府公报》第</w:t>
      </w:r>
      <w:r>
        <w:rPr>
          <w:rFonts w:hint="eastAsia"/>
        </w:rPr>
        <w:t>769</w:t>
      </w:r>
      <w:r>
        <w:rPr>
          <w:rFonts w:hint="eastAsia"/>
        </w:rPr>
        <w:t>号</w:t>
      </w:r>
      <w:r>
        <w:rPr>
          <w:rFonts w:hint="eastAsia"/>
        </w:rPr>
        <w:t>B</w:t>
      </w:r>
      <w:r>
        <w:rPr>
          <w:rFonts w:hint="eastAsia"/>
        </w:rPr>
        <w:t>卷</w:t>
      </w:r>
      <w:r>
        <w:rPr>
          <w:rFonts w:hint="eastAsia"/>
        </w:rPr>
        <w:t>)</w:t>
      </w:r>
      <w:r>
        <w:rPr>
          <w:rFonts w:hint="eastAsia"/>
        </w:rPr>
        <w:t>；</w:t>
      </w:r>
      <w:r>
        <w:t>Γ2β</w:t>
      </w:r>
      <w:r>
        <w:rPr>
          <w:rFonts w:hint="eastAsia"/>
        </w:rPr>
        <w:t>/</w:t>
      </w:r>
      <w:r>
        <w:t>oik</w:t>
      </w:r>
      <w:r>
        <w:rPr>
          <w:rFonts w:hint="eastAsia"/>
        </w:rPr>
        <w:t>.133/84</w:t>
      </w:r>
      <w:r>
        <w:rPr>
          <w:rFonts w:hint="eastAsia"/>
        </w:rPr>
        <w:t>号部级决定</w:t>
      </w:r>
      <w:r>
        <w:rPr>
          <w:rFonts w:hint="eastAsia"/>
        </w:rPr>
        <w:t>(</w:t>
      </w:r>
      <w:r>
        <w:rPr>
          <w:rFonts w:hint="eastAsia"/>
        </w:rPr>
        <w:t>《政府公报》第</w:t>
      </w:r>
      <w:r>
        <w:rPr>
          <w:rFonts w:hint="eastAsia"/>
        </w:rPr>
        <w:t>40</w:t>
      </w:r>
      <w:r>
        <w:rPr>
          <w:rFonts w:hint="eastAsia"/>
        </w:rPr>
        <w:t>号</w:t>
      </w:r>
      <w:r>
        <w:rPr>
          <w:rFonts w:hint="eastAsia"/>
        </w:rPr>
        <w:t>B</w:t>
      </w:r>
      <w:r>
        <w:rPr>
          <w:rFonts w:hint="eastAsia"/>
        </w:rPr>
        <w:t>卷</w:t>
      </w:r>
      <w:r>
        <w:rPr>
          <w:rFonts w:hint="eastAsia"/>
        </w:rPr>
        <w:t>)</w:t>
      </w:r>
      <w:r>
        <w:rPr>
          <w:rFonts w:hint="eastAsia"/>
        </w:rPr>
        <w:t>；第</w:t>
      </w:r>
      <w:r>
        <w:t>Π2β</w:t>
      </w:r>
      <w:r>
        <w:rPr>
          <w:rFonts w:hint="eastAsia"/>
        </w:rPr>
        <w:t xml:space="preserve">/ </w:t>
      </w:r>
      <w:r>
        <w:t>oik</w:t>
      </w:r>
      <w:r>
        <w:rPr>
          <w:rFonts w:hint="eastAsia"/>
        </w:rPr>
        <w:t>.2331/96</w:t>
      </w:r>
      <w:r>
        <w:rPr>
          <w:rFonts w:hint="eastAsia"/>
        </w:rPr>
        <w:t>号部级决定</w:t>
      </w:r>
      <w:r>
        <w:rPr>
          <w:rFonts w:hint="eastAsia"/>
        </w:rPr>
        <w:t>(</w:t>
      </w:r>
      <w:r>
        <w:rPr>
          <w:rFonts w:hint="eastAsia"/>
        </w:rPr>
        <w:t>《政府公报》第</w:t>
      </w:r>
      <w:r>
        <w:rPr>
          <w:rFonts w:hint="eastAsia"/>
        </w:rPr>
        <w:t>467</w:t>
      </w:r>
      <w:r>
        <w:rPr>
          <w:rFonts w:hint="eastAsia"/>
        </w:rPr>
        <w:t>号</w:t>
      </w:r>
      <w:r>
        <w:rPr>
          <w:rFonts w:hint="eastAsia"/>
        </w:rPr>
        <w:t>B</w:t>
      </w:r>
      <w:r>
        <w:rPr>
          <w:rFonts w:hint="eastAsia"/>
        </w:rPr>
        <w:t>卷</w:t>
      </w:r>
      <w:r>
        <w:rPr>
          <w:rFonts w:hint="eastAsia"/>
        </w:rPr>
        <w:t>)</w:t>
      </w:r>
      <w:r>
        <w:rPr>
          <w:rFonts w:hint="eastAsia"/>
        </w:rPr>
        <w:t>。</w:t>
      </w:r>
    </w:p>
    <w:p w:rsidR="00000000" w:rsidRDefault="00000000">
      <w:pPr>
        <w:spacing w:after="320"/>
        <w:rPr>
          <w:rFonts w:hint="eastAsia"/>
        </w:rPr>
      </w:pPr>
      <w:r>
        <w:rPr>
          <w:rFonts w:hint="eastAsia"/>
        </w:rPr>
        <w:tab/>
        <w:t xml:space="preserve">231.  </w:t>
      </w:r>
      <w:r>
        <w:rPr>
          <w:rFonts w:hint="eastAsia"/>
        </w:rPr>
        <w:t>产妇津贴的金额是由一项部级决定确定的，目前的数额为</w:t>
      </w:r>
      <w:r>
        <w:rPr>
          <w:rFonts w:hint="eastAsia"/>
        </w:rPr>
        <w:t>220.10</w:t>
      </w:r>
      <w:r>
        <w:rPr>
          <w:rFonts w:hint="eastAsia"/>
        </w:rPr>
        <w:t>欧元</w:t>
      </w:r>
      <w:r>
        <w:rPr>
          <w:rFonts w:hint="eastAsia"/>
        </w:rPr>
        <w:t>(</w:t>
      </w:r>
      <w:r>
        <w:rPr>
          <w:rFonts w:hint="eastAsia"/>
        </w:rPr>
        <w:t>产前</w:t>
      </w:r>
      <w:r>
        <w:rPr>
          <w:rFonts w:hint="eastAsia"/>
        </w:rPr>
        <w:t>110.5</w:t>
      </w:r>
      <w:r>
        <w:rPr>
          <w:rFonts w:hint="eastAsia"/>
        </w:rPr>
        <w:t>欧元，产后</w:t>
      </w:r>
      <w:r>
        <w:rPr>
          <w:rFonts w:hint="eastAsia"/>
        </w:rPr>
        <w:t>110.5</w:t>
      </w:r>
      <w:r>
        <w:rPr>
          <w:rFonts w:hint="eastAsia"/>
        </w:rPr>
        <w:t>欧元</w:t>
      </w:r>
      <w:r>
        <w:rPr>
          <w:rFonts w:hint="eastAsia"/>
        </w:rPr>
        <w:t>)</w:t>
      </w:r>
      <w:r>
        <w:rPr>
          <w:rFonts w:hint="eastAsia"/>
        </w:rPr>
        <w:t>。根据卫生和福利部下属的家庭保护司的统计，这个方案受益者的人数如下：</w:t>
      </w:r>
      <w:r>
        <w:rPr>
          <w:rFonts w:hint="eastAsia"/>
        </w:rPr>
        <w:t>2000</w:t>
      </w:r>
      <w:r>
        <w:rPr>
          <w:rFonts w:hint="eastAsia"/>
        </w:rPr>
        <w:t>年</w:t>
      </w:r>
      <w:r>
        <w:rPr>
          <w:rFonts w:hint="eastAsia"/>
        </w:rPr>
        <w:t>797</w:t>
      </w:r>
      <w:r>
        <w:rPr>
          <w:rFonts w:hint="eastAsia"/>
        </w:rPr>
        <w:t>个产妇，</w:t>
      </w:r>
      <w:r>
        <w:rPr>
          <w:rFonts w:hint="eastAsia"/>
        </w:rPr>
        <w:t>2001</w:t>
      </w:r>
      <w:r>
        <w:rPr>
          <w:rFonts w:hint="eastAsia"/>
        </w:rPr>
        <w:t>年</w:t>
      </w:r>
      <w:r>
        <w:rPr>
          <w:rFonts w:hint="eastAsia"/>
        </w:rPr>
        <w:t>712</w:t>
      </w:r>
      <w:r>
        <w:rPr>
          <w:rFonts w:hint="eastAsia"/>
        </w:rPr>
        <w:t>个产妇。</w:t>
      </w:r>
    </w:p>
    <w:p w:rsidR="00000000" w:rsidRDefault="00000000">
      <w:pPr>
        <w:pStyle w:val="Heading4"/>
        <w:rPr>
          <w:rFonts w:hint="eastAsia"/>
        </w:rPr>
      </w:pPr>
      <w:r>
        <w:rPr>
          <w:rFonts w:hint="eastAsia"/>
        </w:rPr>
        <w:t>家庭补贴</w:t>
      </w:r>
    </w:p>
    <w:p w:rsidR="00000000" w:rsidRDefault="00000000">
      <w:pPr>
        <w:pStyle w:val="Heading4"/>
        <w:rPr>
          <w:rFonts w:hint="eastAsia"/>
        </w:rPr>
      </w:pPr>
      <w:r>
        <w:rPr>
          <w:u w:val="none"/>
        </w:rPr>
        <w:t>(a)</w:t>
      </w:r>
      <w:r>
        <w:rPr>
          <w:rFonts w:hint="eastAsia"/>
          <w:u w:val="none"/>
        </w:rPr>
        <w:t xml:space="preserve">  </w:t>
      </w:r>
      <w:r>
        <w:rPr>
          <w:rFonts w:hint="eastAsia"/>
        </w:rPr>
        <w:t>第三个子女补贴；多子女母亲的补贴；产妇终身补贴</w:t>
      </w:r>
    </w:p>
    <w:p w:rsidR="00000000" w:rsidRDefault="00000000">
      <w:pPr>
        <w:rPr>
          <w:rFonts w:hint="eastAsia"/>
        </w:rPr>
      </w:pPr>
      <w:r>
        <w:rPr>
          <w:rFonts w:hint="eastAsia"/>
        </w:rPr>
        <w:tab/>
        <w:t xml:space="preserve">232.  </w:t>
      </w:r>
      <w:r>
        <w:rPr>
          <w:rFonts w:hint="eastAsia"/>
        </w:rPr>
        <w:t>根据第</w:t>
      </w:r>
      <w:r>
        <w:rPr>
          <w:rFonts w:hint="eastAsia"/>
        </w:rPr>
        <w:t>1892/1990</w:t>
      </w:r>
      <w:r>
        <w:rPr>
          <w:rFonts w:hint="eastAsia"/>
        </w:rPr>
        <w:t>号法令第</w:t>
      </w:r>
      <w:r>
        <w:rPr>
          <w:rFonts w:hint="eastAsia"/>
        </w:rPr>
        <w:t>63</w:t>
      </w:r>
      <w:r>
        <w:rPr>
          <w:rFonts w:hint="eastAsia"/>
        </w:rPr>
        <w:t>条</w:t>
      </w:r>
      <w:r>
        <w:rPr>
          <w:rFonts w:hint="eastAsia"/>
        </w:rPr>
        <w:t>(</w:t>
      </w:r>
      <w:r>
        <w:rPr>
          <w:rFonts w:hint="eastAsia"/>
        </w:rPr>
        <w:t>《政府公报》</w:t>
      </w:r>
      <w:r>
        <w:rPr>
          <w:rFonts w:hint="eastAsia"/>
        </w:rPr>
        <w:t>101/90 A</w:t>
      </w:r>
      <w:r>
        <w:rPr>
          <w:rFonts w:hint="eastAsia"/>
        </w:rPr>
        <w:t>卷</w:t>
      </w:r>
      <w:r>
        <w:rPr>
          <w:rFonts w:hint="eastAsia"/>
        </w:rPr>
        <w:t>)</w:t>
      </w:r>
      <w:r>
        <w:rPr>
          <w:rFonts w:hint="eastAsia"/>
        </w:rPr>
        <w:t>以及第</w:t>
      </w:r>
      <w:r>
        <w:rPr>
          <w:rFonts w:hint="eastAsia"/>
        </w:rPr>
        <w:t>2459/97</w:t>
      </w:r>
      <w:r>
        <w:rPr>
          <w:rFonts w:hint="eastAsia"/>
        </w:rPr>
        <w:t>号法令第</w:t>
      </w:r>
      <w:r>
        <w:rPr>
          <w:rFonts w:hint="eastAsia"/>
        </w:rPr>
        <w:t>39</w:t>
      </w:r>
      <w:r>
        <w:rPr>
          <w:rFonts w:hint="eastAsia"/>
        </w:rPr>
        <w:t>条</w:t>
      </w:r>
      <w:r>
        <w:rPr>
          <w:rFonts w:hint="eastAsia"/>
        </w:rPr>
        <w:t>(</w:t>
      </w:r>
      <w:r>
        <w:rPr>
          <w:rFonts w:hint="eastAsia"/>
        </w:rPr>
        <w:t>《政府公报》</w:t>
      </w:r>
      <w:r>
        <w:rPr>
          <w:rFonts w:hint="eastAsia"/>
        </w:rPr>
        <w:t>17 A</w:t>
      </w:r>
      <w:r>
        <w:rPr>
          <w:rFonts w:hint="eastAsia"/>
        </w:rPr>
        <w:t>卷</w:t>
      </w:r>
      <w:r>
        <w:rPr>
          <w:rFonts w:hint="eastAsia"/>
        </w:rPr>
        <w:t>)</w:t>
      </w:r>
      <w:r>
        <w:rPr>
          <w:rFonts w:hint="eastAsia"/>
        </w:rPr>
        <w:t>，本方案已经生效，目前由农村人口社会保障基金执行。</w:t>
      </w:r>
    </w:p>
    <w:p w:rsidR="00000000" w:rsidRDefault="00000000">
      <w:pPr>
        <w:rPr>
          <w:rFonts w:hint="eastAsia"/>
        </w:rPr>
      </w:pPr>
      <w:r>
        <w:rPr>
          <w:rFonts w:hint="eastAsia"/>
        </w:rPr>
        <w:tab/>
        <w:t xml:space="preserve">233.  </w:t>
      </w:r>
      <w:r>
        <w:rPr>
          <w:rFonts w:hint="eastAsia"/>
        </w:rPr>
        <w:t>第三个子女津贴发放给有三个以上子女的母亲，直到有关儿童年满</w:t>
      </w:r>
      <w:r>
        <w:rPr>
          <w:rFonts w:hint="eastAsia"/>
        </w:rPr>
        <w:t>6</w:t>
      </w:r>
      <w:r>
        <w:rPr>
          <w:rFonts w:hint="eastAsia"/>
        </w:rPr>
        <w:t>岁为止。目前有</w:t>
      </w:r>
      <w:r>
        <w:rPr>
          <w:rFonts w:hint="eastAsia"/>
        </w:rPr>
        <w:t>41,000</w:t>
      </w:r>
      <w:r>
        <w:rPr>
          <w:rFonts w:hint="eastAsia"/>
        </w:rPr>
        <w:t>名母亲领取这项每月</w:t>
      </w:r>
      <w:r>
        <w:rPr>
          <w:rFonts w:hint="eastAsia"/>
        </w:rPr>
        <w:t>140.35</w:t>
      </w:r>
      <w:r>
        <w:rPr>
          <w:rFonts w:hint="eastAsia"/>
        </w:rPr>
        <w:t>欧元的补助。根据第</w:t>
      </w:r>
      <w:r>
        <w:rPr>
          <w:rFonts w:hint="eastAsia"/>
        </w:rPr>
        <w:t>1910/44</w:t>
      </w:r>
      <w:r>
        <w:rPr>
          <w:rFonts w:hint="eastAsia"/>
        </w:rPr>
        <w:t>号法令以及第</w:t>
      </w:r>
      <w:r>
        <w:rPr>
          <w:rFonts w:hint="eastAsia"/>
        </w:rPr>
        <w:t>860/1979</w:t>
      </w:r>
      <w:r>
        <w:rPr>
          <w:rFonts w:hint="eastAsia"/>
        </w:rPr>
        <w:t>号法令，多子女母亲津贴发放给这些母亲，直到每个未婚子女年满</w:t>
      </w:r>
      <w:r>
        <w:rPr>
          <w:rFonts w:hint="eastAsia"/>
        </w:rPr>
        <w:t>23</w:t>
      </w:r>
      <w:r>
        <w:rPr>
          <w:rFonts w:hint="eastAsia"/>
        </w:rPr>
        <w:t>岁为止。目前有</w:t>
      </w:r>
      <w:r>
        <w:rPr>
          <w:rFonts w:hint="eastAsia"/>
        </w:rPr>
        <w:t>81,280</w:t>
      </w:r>
      <w:r>
        <w:rPr>
          <w:rFonts w:hint="eastAsia"/>
        </w:rPr>
        <w:t>位母亲领取这项每月</w:t>
      </w:r>
      <w:r>
        <w:rPr>
          <w:rFonts w:hint="eastAsia"/>
        </w:rPr>
        <w:t>35.09</w:t>
      </w:r>
      <w:r>
        <w:rPr>
          <w:rFonts w:hint="eastAsia"/>
        </w:rPr>
        <w:t>欧元的津贴。这项津贴不得少于每月</w:t>
      </w:r>
      <w:r>
        <w:rPr>
          <w:rFonts w:hint="eastAsia"/>
        </w:rPr>
        <w:t>70.17</w:t>
      </w:r>
      <w:r>
        <w:rPr>
          <w:rFonts w:hint="eastAsia"/>
        </w:rPr>
        <w:t>欧元。第</w:t>
      </w:r>
      <w:r>
        <w:rPr>
          <w:rFonts w:hint="eastAsia"/>
        </w:rPr>
        <w:t>2163/1993</w:t>
      </w:r>
      <w:r>
        <w:rPr>
          <w:rFonts w:hint="eastAsia"/>
        </w:rPr>
        <w:t>号法令第</w:t>
      </w:r>
      <w:r>
        <w:rPr>
          <w:rFonts w:hint="eastAsia"/>
        </w:rPr>
        <w:t>2</w:t>
      </w:r>
      <w:r>
        <w:rPr>
          <w:rFonts w:hint="eastAsia"/>
        </w:rPr>
        <w:t>条规定，有四名以上子女的父亲也可领取这项津贴，但有一项条件：这些儿童的母亲不得领取同样的津贴。由于双亲去世而自立门户的孤儿也可领取这项津贴。</w:t>
      </w:r>
    </w:p>
    <w:p w:rsidR="00000000" w:rsidRDefault="00000000">
      <w:pPr>
        <w:rPr>
          <w:rFonts w:hint="eastAsia"/>
        </w:rPr>
      </w:pPr>
      <w:r>
        <w:rPr>
          <w:rFonts w:hint="eastAsia"/>
        </w:rPr>
        <w:tab/>
        <w:t xml:space="preserve">234.  </w:t>
      </w:r>
      <w:r>
        <w:rPr>
          <w:rFonts w:hint="eastAsia"/>
        </w:rPr>
        <w:t>无权继续领取上述津贴的母亲可获终身补助</w:t>
      </w:r>
      <w:r>
        <w:rPr>
          <w:rFonts w:hint="eastAsia"/>
        </w:rPr>
        <w:t>/</w:t>
      </w:r>
      <w:r>
        <w:rPr>
          <w:rFonts w:hint="eastAsia"/>
        </w:rPr>
        <w:t>养老金。这种养老金发放给</w:t>
      </w:r>
      <w:r>
        <w:rPr>
          <w:rFonts w:hint="eastAsia"/>
        </w:rPr>
        <w:t>191,500</w:t>
      </w:r>
      <w:r>
        <w:rPr>
          <w:rFonts w:hint="eastAsia"/>
        </w:rPr>
        <w:t>名母亲，金额为每月</w:t>
      </w:r>
      <w:r>
        <w:rPr>
          <w:rFonts w:hint="eastAsia"/>
        </w:rPr>
        <w:t>80.70</w:t>
      </w:r>
      <w:r>
        <w:rPr>
          <w:rFonts w:hint="eastAsia"/>
        </w:rPr>
        <w:t>欧元。整个方案由国家预算拨款并由农村人口社会保障基金支付。</w:t>
      </w:r>
    </w:p>
    <w:p w:rsidR="00000000" w:rsidRDefault="00000000">
      <w:pPr>
        <w:spacing w:after="240"/>
        <w:rPr>
          <w:rFonts w:hint="eastAsia"/>
        </w:rPr>
      </w:pPr>
      <w:r>
        <w:rPr>
          <w:rFonts w:hint="eastAsia"/>
        </w:rPr>
        <w:tab/>
        <w:t xml:space="preserve">235.  </w:t>
      </w:r>
      <w:r>
        <w:rPr>
          <w:rFonts w:hint="eastAsia"/>
        </w:rPr>
        <w:t>上述几种津贴也发放给欧洲联盟国家的公民。根据第</w:t>
      </w:r>
      <w:r>
        <w:rPr>
          <w:rFonts w:hint="eastAsia"/>
        </w:rPr>
        <w:t>245/1997</w:t>
      </w:r>
      <w:r>
        <w:rPr>
          <w:rFonts w:hint="eastAsia"/>
        </w:rPr>
        <w:t>号法令第</w:t>
      </w:r>
      <w:r>
        <w:rPr>
          <w:rFonts w:hint="eastAsia"/>
        </w:rPr>
        <w:t>39</w:t>
      </w:r>
      <w:r>
        <w:rPr>
          <w:rFonts w:hint="eastAsia"/>
        </w:rPr>
        <w:t>条和第</w:t>
      </w:r>
      <w:r>
        <w:rPr>
          <w:rFonts w:hint="eastAsia"/>
        </w:rPr>
        <w:t>2972/2001</w:t>
      </w:r>
      <w:r>
        <w:rPr>
          <w:rFonts w:hint="eastAsia"/>
        </w:rPr>
        <w:t>号法令第</w:t>
      </w:r>
      <w:r>
        <w:rPr>
          <w:rFonts w:hint="eastAsia"/>
        </w:rPr>
        <w:t>11</w:t>
      </w:r>
      <w:r>
        <w:rPr>
          <w:rFonts w:hint="eastAsia"/>
        </w:rPr>
        <w:t>条，在希腊居住和工作的欧洲联盟国家的公民以及欧洲经济区国家的公民，凡属多子女者也可领取这些津贴。</w:t>
      </w:r>
    </w:p>
    <w:p w:rsidR="00000000" w:rsidRDefault="00000000">
      <w:pPr>
        <w:pStyle w:val="Heading4"/>
        <w:rPr>
          <w:rFonts w:hint="eastAsia"/>
        </w:rPr>
      </w:pPr>
      <w:r>
        <w:rPr>
          <w:u w:val="none"/>
        </w:rPr>
        <w:t>(b)</w:t>
      </w:r>
      <w:r>
        <w:rPr>
          <w:rFonts w:hint="eastAsia"/>
          <w:u w:val="none"/>
        </w:rPr>
        <w:t xml:space="preserve">  </w:t>
      </w:r>
      <w:r>
        <w:rPr>
          <w:rFonts w:hint="eastAsia"/>
        </w:rPr>
        <w:t>无保护儿童津贴</w:t>
      </w:r>
    </w:p>
    <w:p w:rsidR="00000000" w:rsidRDefault="00000000">
      <w:pPr>
        <w:rPr>
          <w:rFonts w:hint="eastAsia"/>
        </w:rPr>
      </w:pPr>
      <w:r>
        <w:rPr>
          <w:rFonts w:hint="eastAsia"/>
        </w:rPr>
        <w:tab/>
        <w:t xml:space="preserve">236.  </w:t>
      </w:r>
      <w:r>
        <w:rPr>
          <w:rFonts w:hint="eastAsia"/>
        </w:rPr>
        <w:t>这项每月</w:t>
      </w:r>
      <w:r>
        <w:rPr>
          <w:rFonts w:hint="eastAsia"/>
        </w:rPr>
        <w:t>44.02</w:t>
      </w:r>
      <w:r>
        <w:rPr>
          <w:rFonts w:hint="eastAsia"/>
        </w:rPr>
        <w:t>欧元的津贴的法律依据是第</w:t>
      </w:r>
      <w:r>
        <w:rPr>
          <w:rFonts w:hint="eastAsia"/>
        </w:rPr>
        <w:t>4051/1960</w:t>
      </w:r>
      <w:r>
        <w:rPr>
          <w:rFonts w:hint="eastAsia"/>
        </w:rPr>
        <w:t>号法令以及第</w:t>
      </w:r>
      <w:r>
        <w:rPr>
          <w:rFonts w:hint="eastAsia"/>
        </w:rPr>
        <w:t>108/83</w:t>
      </w:r>
      <w:r>
        <w:rPr>
          <w:rFonts w:hint="eastAsia"/>
        </w:rPr>
        <w:t>号总统令</w:t>
      </w:r>
      <w:r>
        <w:rPr>
          <w:rFonts w:hint="eastAsia"/>
        </w:rPr>
        <w:t>(</w:t>
      </w:r>
      <w:r>
        <w:rPr>
          <w:rFonts w:hint="eastAsia"/>
        </w:rPr>
        <w:t>《政府公报》</w:t>
      </w:r>
      <w:r>
        <w:rPr>
          <w:rFonts w:hint="eastAsia"/>
        </w:rPr>
        <w:t>49 A</w:t>
      </w:r>
      <w:r>
        <w:rPr>
          <w:rFonts w:hint="eastAsia"/>
        </w:rPr>
        <w:t>卷</w:t>
      </w:r>
      <w:r>
        <w:rPr>
          <w:rFonts w:hint="eastAsia"/>
        </w:rPr>
        <w:t>)</w:t>
      </w:r>
      <w:r>
        <w:rPr>
          <w:rFonts w:hint="eastAsia"/>
        </w:rPr>
        <w:t>，后经第</w:t>
      </w:r>
      <w:r>
        <w:rPr>
          <w:rFonts w:hint="eastAsia"/>
        </w:rPr>
        <w:t>48/97</w:t>
      </w:r>
      <w:r>
        <w:rPr>
          <w:rFonts w:hint="eastAsia"/>
        </w:rPr>
        <w:t>号总统令</w:t>
      </w:r>
      <w:r>
        <w:rPr>
          <w:rFonts w:hint="eastAsia"/>
        </w:rPr>
        <w:t>(</w:t>
      </w:r>
      <w:r>
        <w:rPr>
          <w:rFonts w:hint="eastAsia"/>
        </w:rPr>
        <w:t>《政府公报》</w:t>
      </w:r>
      <w:r>
        <w:rPr>
          <w:rFonts w:hint="eastAsia"/>
        </w:rPr>
        <w:t>148 A</w:t>
      </w:r>
      <w:r>
        <w:rPr>
          <w:rFonts w:hint="eastAsia"/>
        </w:rPr>
        <w:t>卷</w:t>
      </w:r>
      <w:r>
        <w:rPr>
          <w:rFonts w:hint="eastAsia"/>
        </w:rPr>
        <w:t>)</w:t>
      </w:r>
      <w:r>
        <w:rPr>
          <w:rFonts w:hint="eastAsia"/>
        </w:rPr>
        <w:t>的修改。这项津贴发放给所有无保护的儿童，直至其年满</w:t>
      </w:r>
      <w:r>
        <w:rPr>
          <w:rFonts w:hint="eastAsia"/>
        </w:rPr>
        <w:t>16</w:t>
      </w:r>
      <w:r>
        <w:rPr>
          <w:rFonts w:hint="eastAsia"/>
        </w:rPr>
        <w:t>岁，但有一项条件：有关儿童所在家庭的年收入</w:t>
      </w:r>
      <w:r>
        <w:rPr>
          <w:rFonts w:hint="eastAsia"/>
        </w:rPr>
        <w:t>(</w:t>
      </w:r>
      <w:r>
        <w:rPr>
          <w:rFonts w:hint="eastAsia"/>
        </w:rPr>
        <w:t>以三口之家计算</w:t>
      </w:r>
      <w:r>
        <w:rPr>
          <w:rFonts w:hint="eastAsia"/>
        </w:rPr>
        <w:t>)</w:t>
      </w:r>
      <w:r>
        <w:rPr>
          <w:rFonts w:hint="eastAsia"/>
        </w:rPr>
        <w:t>不得超过每月</w:t>
      </w:r>
      <w:r>
        <w:rPr>
          <w:rFonts w:hint="eastAsia"/>
        </w:rPr>
        <w:t>234.78</w:t>
      </w:r>
      <w:r>
        <w:rPr>
          <w:rFonts w:hint="eastAsia"/>
        </w:rPr>
        <w:t>欧元；从第四个儿童开始每个增加</w:t>
      </w:r>
      <w:r>
        <w:rPr>
          <w:rFonts w:hint="eastAsia"/>
        </w:rPr>
        <w:t>20.54</w:t>
      </w:r>
      <w:r>
        <w:rPr>
          <w:rFonts w:hint="eastAsia"/>
        </w:rPr>
        <w:t>欧元。这种津贴发放给</w:t>
      </w:r>
      <w:r>
        <w:rPr>
          <w:rFonts w:hint="eastAsia"/>
        </w:rPr>
        <w:t>27,998</w:t>
      </w:r>
      <w:r>
        <w:rPr>
          <w:rFonts w:hint="eastAsia"/>
        </w:rPr>
        <w:t>名儿童。</w:t>
      </w:r>
    </w:p>
    <w:p w:rsidR="00000000" w:rsidRDefault="00000000">
      <w:pPr>
        <w:spacing w:after="240"/>
        <w:rPr>
          <w:rFonts w:hint="eastAsia"/>
        </w:rPr>
      </w:pPr>
      <w:r>
        <w:rPr>
          <w:rFonts w:hint="eastAsia"/>
        </w:rPr>
        <w:tab/>
        <w:t xml:space="preserve">237.  </w:t>
      </w:r>
      <w:r>
        <w:rPr>
          <w:rFonts w:hint="eastAsia"/>
        </w:rPr>
        <w:t>这项津贴由省福利部门发放，从国家预算拨款。卫生和福利部致力于从现有的国家预算资源中尽可能逐步增加这种津贴数额。</w:t>
      </w:r>
    </w:p>
    <w:p w:rsidR="00000000" w:rsidRDefault="00000000">
      <w:pPr>
        <w:pStyle w:val="Heading4"/>
        <w:rPr>
          <w:rFonts w:hint="eastAsia"/>
        </w:rPr>
      </w:pPr>
      <w:r>
        <w:rPr>
          <w:u w:val="none"/>
        </w:rPr>
        <w:t>(c)</w:t>
      </w:r>
      <w:r>
        <w:rPr>
          <w:rFonts w:hint="eastAsia"/>
          <w:u w:val="none"/>
        </w:rPr>
        <w:t xml:space="preserve">  </w:t>
      </w:r>
      <w:r>
        <w:rPr>
          <w:rFonts w:hint="eastAsia"/>
        </w:rPr>
        <w:t>老人津贴</w:t>
      </w:r>
    </w:p>
    <w:p w:rsidR="00000000" w:rsidRDefault="00000000">
      <w:pPr>
        <w:spacing w:after="240"/>
        <w:rPr>
          <w:rFonts w:hint="eastAsia"/>
        </w:rPr>
      </w:pPr>
      <w:r>
        <w:rPr>
          <w:rFonts w:hint="eastAsia"/>
        </w:rPr>
        <w:tab/>
        <w:t xml:space="preserve">238.  </w:t>
      </w:r>
      <w:r>
        <w:rPr>
          <w:rFonts w:hint="eastAsia"/>
        </w:rPr>
        <w:t>没有投保的</w:t>
      </w:r>
      <w:r>
        <w:rPr>
          <w:rFonts w:hint="eastAsia"/>
        </w:rPr>
        <w:t>65</w:t>
      </w:r>
      <w:r>
        <w:rPr>
          <w:rFonts w:hint="eastAsia"/>
        </w:rPr>
        <w:t>岁以上老人可以获得老人津贴，其金额相当于农村人口社会保障基金所发放的基本养老金，该基金代表卫生和福利部发放这项津贴。每月津贴金额为</w:t>
      </w:r>
      <w:r>
        <w:rPr>
          <w:rFonts w:hint="eastAsia"/>
        </w:rPr>
        <w:t>141.46</w:t>
      </w:r>
      <w:r>
        <w:rPr>
          <w:rFonts w:hint="eastAsia"/>
        </w:rPr>
        <w:t>欧元，有配偶的老人可领取</w:t>
      </w:r>
      <w:r>
        <w:rPr>
          <w:rFonts w:hint="eastAsia"/>
        </w:rPr>
        <w:t>144.38</w:t>
      </w:r>
      <w:r>
        <w:rPr>
          <w:rFonts w:hint="eastAsia"/>
        </w:rPr>
        <w:t>欧元；有</w:t>
      </w:r>
      <w:r>
        <w:rPr>
          <w:rFonts w:hint="eastAsia"/>
        </w:rPr>
        <w:t>18</w:t>
      </w:r>
      <w:r>
        <w:rPr>
          <w:rFonts w:hint="eastAsia"/>
        </w:rPr>
        <w:t>岁以下子女的老人可领取</w:t>
      </w:r>
      <w:r>
        <w:rPr>
          <w:rFonts w:hint="eastAsia"/>
        </w:rPr>
        <w:t>147.31</w:t>
      </w:r>
      <w:r>
        <w:rPr>
          <w:rFonts w:hint="eastAsia"/>
        </w:rPr>
        <w:t>欧元</w:t>
      </w:r>
      <w:r>
        <w:rPr>
          <w:rFonts w:hint="eastAsia"/>
        </w:rPr>
        <w:t>(</w:t>
      </w:r>
      <w:r>
        <w:rPr>
          <w:rFonts w:hint="eastAsia"/>
        </w:rPr>
        <w:t>第</w:t>
      </w:r>
      <w:r>
        <w:rPr>
          <w:rFonts w:hint="eastAsia"/>
        </w:rPr>
        <w:t>128/82</w:t>
      </w:r>
      <w:r>
        <w:rPr>
          <w:rFonts w:hint="eastAsia"/>
        </w:rPr>
        <w:t>号法令</w:t>
      </w:r>
      <w:r>
        <w:rPr>
          <w:rFonts w:hint="eastAsia"/>
        </w:rPr>
        <w:t>(</w:t>
      </w:r>
      <w:r>
        <w:rPr>
          <w:rFonts w:hint="eastAsia"/>
        </w:rPr>
        <w:t>《政府公报》</w:t>
      </w:r>
      <w:r>
        <w:rPr>
          <w:rFonts w:hint="eastAsia"/>
        </w:rPr>
        <w:t>128/82 A</w:t>
      </w:r>
      <w:r>
        <w:rPr>
          <w:rFonts w:hint="eastAsia"/>
        </w:rPr>
        <w:t>卷</w:t>
      </w:r>
      <w:r>
        <w:rPr>
          <w:rFonts w:hint="eastAsia"/>
        </w:rPr>
        <w:t>)</w:t>
      </w:r>
      <w:r>
        <w:rPr>
          <w:rFonts w:hint="eastAsia"/>
        </w:rPr>
        <w:t>和第</w:t>
      </w:r>
      <w:r>
        <w:rPr>
          <w:rFonts w:hint="eastAsia"/>
        </w:rPr>
        <w:t>2556/97</w:t>
      </w:r>
      <w:r>
        <w:rPr>
          <w:rFonts w:hint="eastAsia"/>
        </w:rPr>
        <w:t>号法令第</w:t>
      </w:r>
      <w:r>
        <w:rPr>
          <w:rFonts w:hint="eastAsia"/>
        </w:rPr>
        <w:t>20</w:t>
      </w:r>
      <w:r>
        <w:rPr>
          <w:rFonts w:hint="eastAsia"/>
        </w:rPr>
        <w:t>条第</w:t>
      </w:r>
      <w:r>
        <w:rPr>
          <w:rFonts w:hint="eastAsia"/>
        </w:rPr>
        <w:t>13</w:t>
      </w:r>
      <w:r>
        <w:rPr>
          <w:rFonts w:hint="eastAsia"/>
        </w:rPr>
        <w:t>款</w:t>
      </w:r>
      <w:r>
        <w:rPr>
          <w:rFonts w:hint="eastAsia"/>
        </w:rPr>
        <w:t>(</w:t>
      </w:r>
      <w:r>
        <w:rPr>
          <w:rFonts w:hint="eastAsia"/>
        </w:rPr>
        <w:t>《政府公报》</w:t>
      </w:r>
      <w:r>
        <w:rPr>
          <w:rFonts w:hint="eastAsia"/>
        </w:rPr>
        <w:t>270/97 A</w:t>
      </w:r>
      <w:r>
        <w:rPr>
          <w:rFonts w:hint="eastAsia"/>
        </w:rPr>
        <w:t>卷</w:t>
      </w:r>
      <w:r>
        <w:rPr>
          <w:rFonts w:hint="eastAsia"/>
        </w:rPr>
        <w:t>)</w:t>
      </w:r>
      <w:r>
        <w:rPr>
          <w:rFonts w:hint="eastAsia"/>
        </w:rPr>
        <w:t>。</w:t>
      </w:r>
    </w:p>
    <w:p w:rsidR="00000000" w:rsidRDefault="00000000">
      <w:pPr>
        <w:pStyle w:val="Heading4"/>
        <w:rPr>
          <w:rFonts w:hint="eastAsia"/>
        </w:rPr>
      </w:pPr>
      <w:r>
        <w:rPr>
          <w:rFonts w:hint="eastAsia"/>
        </w:rPr>
        <w:t>住房补助</w:t>
      </w:r>
    </w:p>
    <w:p w:rsidR="00000000" w:rsidRDefault="00000000">
      <w:pPr>
        <w:spacing w:after="240"/>
        <w:rPr>
          <w:rFonts w:hint="eastAsia"/>
        </w:rPr>
      </w:pPr>
      <w:r>
        <w:rPr>
          <w:rFonts w:hint="eastAsia"/>
        </w:rPr>
        <w:tab/>
        <w:t xml:space="preserve">239.  </w:t>
      </w:r>
      <w:r>
        <w:rPr>
          <w:rFonts w:hint="eastAsia"/>
        </w:rPr>
        <w:t>这项补助的发放对象是没有购买保险的</w:t>
      </w:r>
      <w:r>
        <w:rPr>
          <w:rFonts w:hint="eastAsia"/>
        </w:rPr>
        <w:t>65</w:t>
      </w:r>
      <w:r>
        <w:rPr>
          <w:rFonts w:hint="eastAsia"/>
        </w:rPr>
        <w:t>岁以上的贫困单身老人以及那些没有购买保险而又明显没有租房能力的老年夫妇。这项补贴的金额为每月</w:t>
      </w:r>
      <w:r>
        <w:rPr>
          <w:rFonts w:hint="eastAsia"/>
        </w:rPr>
        <w:t>146.73</w:t>
      </w:r>
      <w:r>
        <w:rPr>
          <w:rFonts w:hint="eastAsia"/>
        </w:rPr>
        <w:t>欧元，由省福利厅直接付给房东。</w:t>
      </w:r>
    </w:p>
    <w:p w:rsidR="00000000" w:rsidRDefault="00000000">
      <w:pPr>
        <w:pStyle w:val="Heading4"/>
        <w:rPr>
          <w:rFonts w:hint="eastAsia"/>
        </w:rPr>
      </w:pPr>
      <w:r>
        <w:rPr>
          <w:rFonts w:hint="eastAsia"/>
        </w:rPr>
        <w:t>残疾人士的医疗津贴</w:t>
      </w:r>
    </w:p>
    <w:p w:rsidR="00000000" w:rsidRDefault="00000000">
      <w:pPr>
        <w:rPr>
          <w:rFonts w:hint="eastAsia"/>
        </w:rPr>
      </w:pPr>
      <w:r>
        <w:rPr>
          <w:rFonts w:hint="eastAsia"/>
        </w:rPr>
        <w:tab/>
        <w:t xml:space="preserve">240.  </w:t>
      </w:r>
      <w:r>
        <w:rPr>
          <w:rFonts w:hint="eastAsia"/>
        </w:rPr>
        <w:t>卫生和福利部在考虑到残疾的类型和严重程度的情况下实施有关资助残疾人士的</w:t>
      </w:r>
      <w:r>
        <w:rPr>
          <w:rFonts w:hint="eastAsia"/>
        </w:rPr>
        <w:t>12</w:t>
      </w:r>
      <w:r>
        <w:rPr>
          <w:rFonts w:hint="eastAsia"/>
        </w:rPr>
        <w:t>项方案。卫生和福利部负责制定残疾人士资助方案，由内务、公共管理和权力下放部拨款，由省级主管部门负责实施。</w:t>
      </w:r>
    </w:p>
    <w:p w:rsidR="00000000" w:rsidRDefault="00000000">
      <w:pPr>
        <w:rPr>
          <w:rFonts w:hint="eastAsia"/>
        </w:rPr>
      </w:pPr>
      <w:r>
        <w:rPr>
          <w:rFonts w:hint="eastAsia"/>
        </w:rPr>
        <w:tab/>
        <w:t xml:space="preserve">241.  </w:t>
      </w:r>
      <w:r>
        <w:rPr>
          <w:rFonts w:hint="eastAsia"/>
        </w:rPr>
        <w:t>确定方案受益人的标准是残疾的类型和严重程度、购买保险状况、来自其他方案的补贴以及机构或者医院的护理情况。</w:t>
      </w:r>
    </w:p>
    <w:p w:rsidR="00000000" w:rsidRDefault="00000000">
      <w:pPr>
        <w:rPr>
          <w:rFonts w:hint="eastAsia"/>
        </w:rPr>
      </w:pPr>
      <w:r>
        <w:rPr>
          <w:rFonts w:hint="eastAsia"/>
        </w:rPr>
        <w:tab/>
        <w:t xml:space="preserve">242.  </w:t>
      </w:r>
      <w:r>
        <w:rPr>
          <w:rFonts w:hint="eastAsia"/>
        </w:rPr>
        <w:t>卫生和福利部在执行残疾人士政策时的指导方针是满足残疾人士已经增长的具体需要。在这一方面，并没有根据其收入确定受益人的想法。</w:t>
      </w:r>
    </w:p>
    <w:p w:rsidR="00000000" w:rsidRDefault="00000000">
      <w:pPr>
        <w:spacing w:after="320"/>
        <w:rPr>
          <w:rFonts w:hint="eastAsia"/>
        </w:rPr>
      </w:pPr>
      <w:r>
        <w:rPr>
          <w:rFonts w:hint="eastAsia"/>
        </w:rPr>
        <w:tab/>
        <w:t xml:space="preserve">243.  </w:t>
      </w:r>
      <w:r>
        <w:rPr>
          <w:rFonts w:hint="eastAsia"/>
        </w:rPr>
        <w:t>根据</w:t>
      </w:r>
      <w:r>
        <w:rPr>
          <w:rFonts w:hint="eastAsia"/>
        </w:rPr>
        <w:t>2002</w:t>
      </w:r>
      <w:r>
        <w:rPr>
          <w:rFonts w:hint="eastAsia"/>
        </w:rPr>
        <w:t>年的统计数据，上述方案受益的总数和类别情况如下：</w:t>
      </w:r>
    </w:p>
    <w:p w:rsidR="00000000" w:rsidRDefault="00000000">
      <w:pPr>
        <w:pStyle w:val="Heading3"/>
        <w:rPr>
          <w:rFonts w:hint="eastAsia"/>
        </w:rPr>
      </w:pPr>
      <w:r>
        <w:br w:type="page"/>
      </w:r>
      <w:r>
        <w:rPr>
          <w:rFonts w:hint="eastAsia"/>
        </w:rPr>
        <w:t>表</w:t>
      </w:r>
      <w:r>
        <w:rPr>
          <w:rFonts w:hint="eastAsia"/>
        </w:rPr>
        <w:t xml:space="preserve">  10</w:t>
      </w:r>
    </w:p>
    <w:p w:rsidR="00000000" w:rsidRDefault="00000000">
      <w:pPr>
        <w:pStyle w:val="Heading3"/>
        <w:rPr>
          <w:rFonts w:hint="eastAsia"/>
        </w:rPr>
      </w:pPr>
      <w:r>
        <w:rPr>
          <w:rFonts w:hint="eastAsia"/>
        </w:rPr>
        <w:t>每月向残疾人士发放的方案资助</w:t>
      </w:r>
      <w:r>
        <w:br/>
      </w:r>
      <w:r>
        <w:rPr>
          <w:rFonts w:hint="eastAsia"/>
          <w:u w:val="none"/>
        </w:rPr>
        <w:t>(</w:t>
      </w:r>
      <w:r>
        <w:rPr>
          <w:rFonts w:hint="eastAsia"/>
        </w:rPr>
        <w:t>部级决定</w:t>
      </w:r>
      <w:r>
        <w:rPr>
          <w:rFonts w:hint="eastAsia"/>
        </w:rPr>
        <w:t xml:space="preserve">P3A/F18/1368, </w:t>
      </w:r>
      <w:r>
        <w:rPr>
          <w:rFonts w:hint="eastAsia"/>
        </w:rPr>
        <w:t>《政府公报》</w:t>
      </w:r>
      <w:r>
        <w:rPr>
          <w:rFonts w:hint="eastAsia"/>
        </w:rPr>
        <w:t>26/2002 A</w:t>
      </w:r>
      <w:r>
        <w:rPr>
          <w:rFonts w:hint="eastAsia"/>
        </w:rPr>
        <w:t>卷</w:t>
      </w:r>
      <w:r>
        <w:rPr>
          <w:rFonts w:hint="eastAsia"/>
          <w:u w:val="non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785"/>
        <w:gridCol w:w="2610"/>
        <w:gridCol w:w="2126"/>
      </w:tblGrid>
      <w:tr w:rsidR="00000000">
        <w:tblPrEx>
          <w:tblCellMar>
            <w:top w:w="0" w:type="dxa"/>
            <w:bottom w:w="0" w:type="dxa"/>
          </w:tblCellMar>
        </w:tblPrEx>
        <w:tc>
          <w:tcPr>
            <w:tcW w:w="2835" w:type="dxa"/>
          </w:tcPr>
          <w:p w:rsidR="00000000" w:rsidRDefault="00000000">
            <w:pPr>
              <w:pStyle w:val="aa"/>
              <w:jc w:val="center"/>
              <w:rPr>
                <w:rFonts w:hint="eastAsia"/>
              </w:rPr>
            </w:pPr>
            <w:r>
              <w:rPr>
                <w:rFonts w:hint="eastAsia"/>
              </w:rPr>
              <w:t>残</w:t>
            </w:r>
            <w:r>
              <w:rPr>
                <w:rFonts w:hint="eastAsia"/>
              </w:rPr>
              <w:t xml:space="preserve">  </w:t>
            </w:r>
            <w:r>
              <w:rPr>
                <w:rFonts w:hint="eastAsia"/>
              </w:rPr>
              <w:t>疾</w:t>
            </w:r>
          </w:p>
        </w:tc>
        <w:tc>
          <w:tcPr>
            <w:tcW w:w="1785" w:type="dxa"/>
          </w:tcPr>
          <w:p w:rsidR="00000000" w:rsidRDefault="00000000">
            <w:pPr>
              <w:pStyle w:val="aa"/>
              <w:jc w:val="center"/>
              <w:rPr>
                <w:rFonts w:hint="eastAsia"/>
              </w:rPr>
            </w:pPr>
            <w:r>
              <w:rPr>
                <w:rFonts w:hint="eastAsia"/>
              </w:rPr>
              <w:t>受益人数</w:t>
            </w:r>
          </w:p>
        </w:tc>
        <w:tc>
          <w:tcPr>
            <w:tcW w:w="2610" w:type="dxa"/>
          </w:tcPr>
          <w:p w:rsidR="00000000" w:rsidRDefault="00000000">
            <w:pPr>
              <w:pStyle w:val="aa"/>
              <w:jc w:val="center"/>
              <w:rPr>
                <w:rFonts w:hint="eastAsia"/>
              </w:rPr>
            </w:pPr>
            <w:r>
              <w:rPr>
                <w:rFonts w:hint="eastAsia"/>
              </w:rPr>
              <w:t>补助德拉克马数</w:t>
            </w:r>
          </w:p>
        </w:tc>
        <w:tc>
          <w:tcPr>
            <w:tcW w:w="2126" w:type="dxa"/>
          </w:tcPr>
          <w:p w:rsidR="00000000" w:rsidRDefault="00000000">
            <w:pPr>
              <w:pStyle w:val="aa"/>
              <w:jc w:val="center"/>
              <w:rPr>
                <w:rFonts w:hint="eastAsia"/>
              </w:rPr>
            </w:pPr>
            <w:r>
              <w:rPr>
                <w:rFonts w:hint="eastAsia"/>
              </w:rPr>
              <w:t>补助欧元数</w:t>
            </w:r>
          </w:p>
        </w:tc>
      </w:tr>
      <w:tr w:rsidR="00000000">
        <w:tblPrEx>
          <w:tblCellMar>
            <w:top w:w="0" w:type="dxa"/>
            <w:bottom w:w="0" w:type="dxa"/>
          </w:tblCellMar>
        </w:tblPrEx>
        <w:tc>
          <w:tcPr>
            <w:tcW w:w="2835" w:type="dxa"/>
            <w:tcBorders>
              <w:bottom w:val="nil"/>
            </w:tcBorders>
          </w:tcPr>
          <w:p w:rsidR="00000000" w:rsidRDefault="00000000">
            <w:pPr>
              <w:pStyle w:val="aa"/>
              <w:rPr>
                <w:rFonts w:hint="eastAsia"/>
              </w:rPr>
            </w:pPr>
            <w:r>
              <w:rPr>
                <w:rFonts w:hint="eastAsia"/>
              </w:rPr>
              <w:t>严重精神残疾</w:t>
            </w:r>
          </w:p>
        </w:tc>
        <w:tc>
          <w:tcPr>
            <w:tcW w:w="1785" w:type="dxa"/>
            <w:tcBorders>
              <w:bottom w:val="nil"/>
            </w:tcBorders>
          </w:tcPr>
          <w:p w:rsidR="00000000" w:rsidRDefault="00000000">
            <w:pPr>
              <w:pStyle w:val="aa"/>
              <w:ind w:right="340"/>
              <w:jc w:val="right"/>
              <w:rPr>
                <w:rFonts w:hint="eastAsia"/>
              </w:rPr>
            </w:pPr>
            <w:r>
              <w:t>14 500</w:t>
            </w:r>
          </w:p>
        </w:tc>
        <w:tc>
          <w:tcPr>
            <w:tcW w:w="2610" w:type="dxa"/>
            <w:tcBorders>
              <w:bottom w:val="nil"/>
            </w:tcBorders>
          </w:tcPr>
          <w:p w:rsidR="00000000" w:rsidRDefault="00000000">
            <w:pPr>
              <w:pStyle w:val="aa"/>
              <w:ind w:right="340"/>
              <w:jc w:val="right"/>
            </w:pPr>
            <w:r>
              <w:t>51 497-78 048</w:t>
            </w:r>
          </w:p>
        </w:tc>
        <w:tc>
          <w:tcPr>
            <w:tcW w:w="2126" w:type="dxa"/>
            <w:tcBorders>
              <w:bottom w:val="nil"/>
            </w:tcBorders>
          </w:tcPr>
          <w:p w:rsidR="00000000" w:rsidRDefault="00000000">
            <w:pPr>
              <w:pStyle w:val="aa"/>
              <w:ind w:right="340"/>
              <w:jc w:val="right"/>
            </w:pPr>
            <w:r>
              <w:t>151.13-229.05</w:t>
            </w:r>
          </w:p>
        </w:tc>
      </w:tr>
      <w:tr w:rsidR="00000000">
        <w:tblPrEx>
          <w:tblCellMar>
            <w:top w:w="0" w:type="dxa"/>
            <w:bottom w:w="0" w:type="dxa"/>
          </w:tblCellMar>
        </w:tblPrEx>
        <w:tc>
          <w:tcPr>
            <w:tcW w:w="2835" w:type="dxa"/>
            <w:tcBorders>
              <w:top w:val="nil"/>
              <w:bottom w:val="nil"/>
            </w:tcBorders>
          </w:tcPr>
          <w:p w:rsidR="00000000" w:rsidRDefault="00000000">
            <w:pPr>
              <w:pStyle w:val="aa"/>
            </w:pPr>
            <w:r>
              <w:rPr>
                <w:rFonts w:hint="eastAsia"/>
              </w:rPr>
              <w:t>严重残疾</w:t>
            </w:r>
            <w:r>
              <w:t xml:space="preserve"> </w:t>
            </w:r>
          </w:p>
        </w:tc>
        <w:tc>
          <w:tcPr>
            <w:tcW w:w="1785" w:type="dxa"/>
            <w:tcBorders>
              <w:top w:val="nil"/>
              <w:bottom w:val="nil"/>
            </w:tcBorders>
          </w:tcPr>
          <w:p w:rsidR="00000000" w:rsidRDefault="00000000">
            <w:pPr>
              <w:pStyle w:val="aa"/>
              <w:ind w:right="340"/>
              <w:jc w:val="right"/>
              <w:rPr>
                <w:rFonts w:hint="eastAsia"/>
              </w:rPr>
            </w:pPr>
            <w:r>
              <w:t>87 500</w:t>
            </w:r>
          </w:p>
        </w:tc>
        <w:tc>
          <w:tcPr>
            <w:tcW w:w="2610" w:type="dxa"/>
            <w:tcBorders>
              <w:top w:val="nil"/>
              <w:bottom w:val="nil"/>
            </w:tcBorders>
          </w:tcPr>
          <w:p w:rsidR="00000000" w:rsidRDefault="00000000">
            <w:pPr>
              <w:pStyle w:val="aa"/>
              <w:ind w:right="340"/>
              <w:jc w:val="right"/>
            </w:pPr>
            <w:r>
              <w:t>58 697</w:t>
            </w:r>
          </w:p>
        </w:tc>
        <w:tc>
          <w:tcPr>
            <w:tcW w:w="2126" w:type="dxa"/>
            <w:tcBorders>
              <w:top w:val="nil"/>
              <w:bottom w:val="nil"/>
            </w:tcBorders>
          </w:tcPr>
          <w:p w:rsidR="00000000" w:rsidRDefault="00000000">
            <w:pPr>
              <w:pStyle w:val="aa"/>
              <w:ind w:right="340"/>
              <w:jc w:val="right"/>
            </w:pPr>
            <w:r>
              <w:t>172.26</w:t>
            </w:r>
          </w:p>
        </w:tc>
      </w:tr>
      <w:tr w:rsidR="00000000">
        <w:tblPrEx>
          <w:tblCellMar>
            <w:top w:w="0" w:type="dxa"/>
            <w:bottom w:w="0" w:type="dxa"/>
          </w:tblCellMar>
        </w:tblPrEx>
        <w:tc>
          <w:tcPr>
            <w:tcW w:w="2835" w:type="dxa"/>
            <w:tcBorders>
              <w:top w:val="nil"/>
              <w:bottom w:val="nil"/>
            </w:tcBorders>
          </w:tcPr>
          <w:p w:rsidR="00000000" w:rsidRDefault="00000000">
            <w:pPr>
              <w:pStyle w:val="aa"/>
              <w:rPr>
                <w:rFonts w:hint="eastAsia"/>
              </w:rPr>
            </w:pPr>
            <w:r>
              <w:rPr>
                <w:rFonts w:hint="eastAsia"/>
              </w:rPr>
              <w:t>失</w:t>
            </w:r>
            <w:r>
              <w:rPr>
                <w:rFonts w:hint="eastAsia"/>
              </w:rPr>
              <w:t xml:space="preserve">  </w:t>
            </w:r>
            <w:r>
              <w:rPr>
                <w:rFonts w:hint="eastAsia"/>
              </w:rPr>
              <w:t>明</w:t>
            </w:r>
          </w:p>
        </w:tc>
        <w:tc>
          <w:tcPr>
            <w:tcW w:w="1785" w:type="dxa"/>
            <w:tcBorders>
              <w:top w:val="nil"/>
              <w:bottom w:val="nil"/>
            </w:tcBorders>
          </w:tcPr>
          <w:p w:rsidR="00000000" w:rsidRDefault="00000000">
            <w:pPr>
              <w:pStyle w:val="aa"/>
              <w:ind w:right="340"/>
              <w:jc w:val="right"/>
              <w:rPr>
                <w:rFonts w:hint="eastAsia"/>
              </w:rPr>
            </w:pPr>
            <w:r>
              <w:t>23 705</w:t>
            </w:r>
          </w:p>
        </w:tc>
        <w:tc>
          <w:tcPr>
            <w:tcW w:w="2610" w:type="dxa"/>
            <w:tcBorders>
              <w:top w:val="nil"/>
              <w:bottom w:val="nil"/>
            </w:tcBorders>
          </w:tcPr>
          <w:p w:rsidR="00000000" w:rsidRDefault="00000000">
            <w:pPr>
              <w:pStyle w:val="aa"/>
              <w:ind w:right="340"/>
              <w:jc w:val="right"/>
              <w:rPr>
                <w:rFonts w:hint="eastAsia"/>
              </w:rPr>
            </w:pPr>
            <w:r>
              <w:t>49 998-101 390</w:t>
            </w:r>
          </w:p>
        </w:tc>
        <w:tc>
          <w:tcPr>
            <w:tcW w:w="2126" w:type="dxa"/>
            <w:tcBorders>
              <w:top w:val="nil"/>
              <w:bottom w:val="nil"/>
            </w:tcBorders>
          </w:tcPr>
          <w:p w:rsidR="00000000" w:rsidRDefault="00000000">
            <w:pPr>
              <w:pStyle w:val="aa"/>
              <w:ind w:right="340"/>
              <w:jc w:val="right"/>
            </w:pPr>
            <w:r>
              <w:t>146.73-297.55</w:t>
            </w:r>
          </w:p>
        </w:tc>
      </w:tr>
      <w:tr w:rsidR="00000000">
        <w:tblPrEx>
          <w:tblCellMar>
            <w:top w:w="0" w:type="dxa"/>
            <w:bottom w:w="0" w:type="dxa"/>
          </w:tblCellMar>
        </w:tblPrEx>
        <w:tc>
          <w:tcPr>
            <w:tcW w:w="2835" w:type="dxa"/>
            <w:tcBorders>
              <w:top w:val="nil"/>
              <w:bottom w:val="nil"/>
            </w:tcBorders>
          </w:tcPr>
          <w:p w:rsidR="00000000" w:rsidRDefault="00000000">
            <w:pPr>
              <w:pStyle w:val="aa"/>
              <w:rPr>
                <w:rFonts w:hint="eastAsia"/>
              </w:rPr>
            </w:pPr>
            <w:r>
              <w:rPr>
                <w:rFonts w:hint="eastAsia"/>
              </w:rPr>
              <w:t>失</w:t>
            </w:r>
            <w:r>
              <w:rPr>
                <w:rFonts w:hint="eastAsia"/>
              </w:rPr>
              <w:t xml:space="preserve">  </w:t>
            </w:r>
            <w:r>
              <w:rPr>
                <w:rFonts w:hint="eastAsia"/>
              </w:rPr>
              <w:t>聪</w:t>
            </w:r>
          </w:p>
        </w:tc>
        <w:tc>
          <w:tcPr>
            <w:tcW w:w="1785" w:type="dxa"/>
            <w:tcBorders>
              <w:top w:val="nil"/>
              <w:bottom w:val="nil"/>
            </w:tcBorders>
          </w:tcPr>
          <w:p w:rsidR="00000000" w:rsidRDefault="00000000">
            <w:pPr>
              <w:pStyle w:val="aa"/>
              <w:ind w:right="340"/>
              <w:jc w:val="right"/>
              <w:rPr>
                <w:rFonts w:hint="eastAsia"/>
              </w:rPr>
            </w:pPr>
            <w:r>
              <w:t>4 500</w:t>
            </w:r>
          </w:p>
        </w:tc>
        <w:tc>
          <w:tcPr>
            <w:tcW w:w="2610" w:type="dxa"/>
            <w:tcBorders>
              <w:top w:val="nil"/>
              <w:bottom w:val="nil"/>
            </w:tcBorders>
          </w:tcPr>
          <w:p w:rsidR="00000000" w:rsidRDefault="00000000">
            <w:pPr>
              <w:pStyle w:val="aa"/>
              <w:ind w:right="340"/>
              <w:jc w:val="right"/>
            </w:pPr>
            <w:r>
              <w:t>49 998</w:t>
            </w:r>
          </w:p>
        </w:tc>
        <w:tc>
          <w:tcPr>
            <w:tcW w:w="2126" w:type="dxa"/>
            <w:tcBorders>
              <w:top w:val="nil"/>
              <w:bottom w:val="nil"/>
            </w:tcBorders>
          </w:tcPr>
          <w:p w:rsidR="00000000" w:rsidRDefault="00000000">
            <w:pPr>
              <w:pStyle w:val="aa"/>
              <w:ind w:right="340"/>
              <w:jc w:val="right"/>
            </w:pPr>
            <w:r>
              <w:t>146.73</w:t>
            </w:r>
          </w:p>
        </w:tc>
      </w:tr>
      <w:tr w:rsidR="00000000">
        <w:tblPrEx>
          <w:tblCellMar>
            <w:top w:w="0" w:type="dxa"/>
            <w:bottom w:w="0" w:type="dxa"/>
          </w:tblCellMar>
        </w:tblPrEx>
        <w:tc>
          <w:tcPr>
            <w:tcW w:w="2835" w:type="dxa"/>
            <w:tcBorders>
              <w:top w:val="nil"/>
              <w:bottom w:val="nil"/>
            </w:tcBorders>
          </w:tcPr>
          <w:p w:rsidR="00000000" w:rsidRDefault="00000000">
            <w:pPr>
              <w:pStyle w:val="aa"/>
              <w:rPr>
                <w:rFonts w:hint="eastAsia"/>
              </w:rPr>
            </w:pPr>
            <w:r>
              <w:rPr>
                <w:rFonts w:hint="eastAsia"/>
              </w:rPr>
              <w:t>地中海贫血</w:t>
            </w:r>
          </w:p>
        </w:tc>
        <w:tc>
          <w:tcPr>
            <w:tcW w:w="1785" w:type="dxa"/>
            <w:tcBorders>
              <w:top w:val="nil"/>
              <w:bottom w:val="nil"/>
            </w:tcBorders>
          </w:tcPr>
          <w:p w:rsidR="00000000" w:rsidRDefault="00000000">
            <w:pPr>
              <w:pStyle w:val="aa"/>
              <w:ind w:right="340"/>
              <w:jc w:val="right"/>
              <w:rPr>
                <w:rFonts w:hint="eastAsia"/>
              </w:rPr>
            </w:pPr>
            <w:r>
              <w:t>4 000</w:t>
            </w:r>
          </w:p>
        </w:tc>
        <w:tc>
          <w:tcPr>
            <w:tcW w:w="2610" w:type="dxa"/>
            <w:tcBorders>
              <w:top w:val="nil"/>
              <w:bottom w:val="nil"/>
            </w:tcBorders>
          </w:tcPr>
          <w:p w:rsidR="00000000" w:rsidRDefault="00000000">
            <w:pPr>
              <w:pStyle w:val="aa"/>
              <w:ind w:right="340"/>
              <w:jc w:val="right"/>
            </w:pPr>
            <w:r>
              <w:t>55 648</w:t>
            </w:r>
          </w:p>
        </w:tc>
        <w:tc>
          <w:tcPr>
            <w:tcW w:w="2126" w:type="dxa"/>
            <w:tcBorders>
              <w:top w:val="nil"/>
              <w:bottom w:val="nil"/>
            </w:tcBorders>
          </w:tcPr>
          <w:p w:rsidR="00000000" w:rsidRDefault="00000000">
            <w:pPr>
              <w:pStyle w:val="aa"/>
              <w:ind w:right="340"/>
              <w:jc w:val="right"/>
            </w:pPr>
            <w:r>
              <w:t>163.31</w:t>
            </w:r>
          </w:p>
        </w:tc>
      </w:tr>
      <w:tr w:rsidR="00000000">
        <w:tblPrEx>
          <w:tblCellMar>
            <w:top w:w="0" w:type="dxa"/>
            <w:bottom w:w="0" w:type="dxa"/>
          </w:tblCellMar>
        </w:tblPrEx>
        <w:tc>
          <w:tcPr>
            <w:tcW w:w="2835" w:type="dxa"/>
            <w:tcBorders>
              <w:top w:val="nil"/>
              <w:bottom w:val="nil"/>
            </w:tcBorders>
          </w:tcPr>
          <w:p w:rsidR="00000000" w:rsidRDefault="00000000">
            <w:pPr>
              <w:pStyle w:val="aa"/>
              <w:rPr>
                <w:rFonts w:hint="eastAsia"/>
              </w:rPr>
            </w:pPr>
            <w:r>
              <w:rPr>
                <w:rFonts w:hint="eastAsia"/>
              </w:rPr>
              <w:t>艾滋病</w:t>
            </w:r>
            <w:r>
              <w:rPr>
                <w:rFonts w:hint="eastAsia"/>
              </w:rPr>
              <w:t>/</w:t>
            </w:r>
            <w:r>
              <w:rPr>
                <w:rFonts w:hint="eastAsia"/>
              </w:rPr>
              <w:t>血友病</w:t>
            </w:r>
          </w:p>
        </w:tc>
        <w:tc>
          <w:tcPr>
            <w:tcW w:w="1785" w:type="dxa"/>
            <w:tcBorders>
              <w:top w:val="nil"/>
              <w:bottom w:val="nil"/>
            </w:tcBorders>
          </w:tcPr>
          <w:p w:rsidR="00000000" w:rsidRDefault="00000000">
            <w:pPr>
              <w:pStyle w:val="aa"/>
              <w:ind w:right="340"/>
              <w:jc w:val="right"/>
            </w:pPr>
            <w:r>
              <w:t>2 700</w:t>
            </w:r>
          </w:p>
        </w:tc>
        <w:tc>
          <w:tcPr>
            <w:tcW w:w="2610" w:type="dxa"/>
            <w:tcBorders>
              <w:top w:val="nil"/>
              <w:bottom w:val="nil"/>
            </w:tcBorders>
          </w:tcPr>
          <w:p w:rsidR="00000000" w:rsidRDefault="00000000">
            <w:pPr>
              <w:pStyle w:val="aa"/>
              <w:ind w:right="340"/>
              <w:jc w:val="right"/>
            </w:pPr>
            <w:r>
              <w:t>115 899</w:t>
            </w:r>
          </w:p>
        </w:tc>
        <w:tc>
          <w:tcPr>
            <w:tcW w:w="2126" w:type="dxa"/>
            <w:tcBorders>
              <w:top w:val="nil"/>
              <w:bottom w:val="nil"/>
            </w:tcBorders>
          </w:tcPr>
          <w:p w:rsidR="00000000" w:rsidRDefault="00000000">
            <w:pPr>
              <w:pStyle w:val="aa"/>
              <w:ind w:right="340"/>
              <w:jc w:val="right"/>
            </w:pPr>
            <w:r>
              <w:t>340.13</w:t>
            </w:r>
          </w:p>
        </w:tc>
      </w:tr>
      <w:tr w:rsidR="00000000">
        <w:tblPrEx>
          <w:tblCellMar>
            <w:top w:w="0" w:type="dxa"/>
            <w:bottom w:w="0" w:type="dxa"/>
          </w:tblCellMar>
        </w:tblPrEx>
        <w:tc>
          <w:tcPr>
            <w:tcW w:w="2835" w:type="dxa"/>
            <w:tcBorders>
              <w:top w:val="nil"/>
              <w:bottom w:val="nil"/>
            </w:tcBorders>
          </w:tcPr>
          <w:p w:rsidR="00000000" w:rsidRDefault="00000000">
            <w:pPr>
              <w:pStyle w:val="aa"/>
              <w:rPr>
                <w:rFonts w:hint="eastAsia"/>
              </w:rPr>
            </w:pPr>
            <w:r>
              <w:rPr>
                <w:rFonts w:hint="eastAsia"/>
              </w:rPr>
              <w:t>全身瘫痪</w:t>
            </w:r>
          </w:p>
        </w:tc>
        <w:tc>
          <w:tcPr>
            <w:tcW w:w="1785" w:type="dxa"/>
            <w:tcBorders>
              <w:top w:val="nil"/>
              <w:bottom w:val="nil"/>
            </w:tcBorders>
          </w:tcPr>
          <w:p w:rsidR="00000000" w:rsidRDefault="00000000">
            <w:pPr>
              <w:pStyle w:val="aa"/>
              <w:ind w:right="340"/>
              <w:jc w:val="right"/>
            </w:pPr>
            <w:r>
              <w:t>185</w:t>
            </w:r>
          </w:p>
        </w:tc>
        <w:tc>
          <w:tcPr>
            <w:tcW w:w="2610" w:type="dxa"/>
            <w:tcBorders>
              <w:top w:val="nil"/>
              <w:bottom w:val="nil"/>
            </w:tcBorders>
          </w:tcPr>
          <w:p w:rsidR="00000000" w:rsidRDefault="00000000">
            <w:pPr>
              <w:pStyle w:val="aa"/>
              <w:ind w:right="340"/>
              <w:jc w:val="right"/>
            </w:pPr>
            <w:r>
              <w:t>41 622</w:t>
            </w:r>
          </w:p>
        </w:tc>
        <w:tc>
          <w:tcPr>
            <w:tcW w:w="2126" w:type="dxa"/>
            <w:tcBorders>
              <w:top w:val="nil"/>
              <w:bottom w:val="nil"/>
            </w:tcBorders>
          </w:tcPr>
          <w:p w:rsidR="00000000" w:rsidRDefault="00000000">
            <w:pPr>
              <w:pStyle w:val="aa"/>
              <w:ind w:right="340"/>
              <w:jc w:val="right"/>
            </w:pPr>
            <w:r>
              <w:t>222.15</w:t>
            </w:r>
          </w:p>
        </w:tc>
      </w:tr>
      <w:tr w:rsidR="00000000">
        <w:tblPrEx>
          <w:tblCellMar>
            <w:top w:w="0" w:type="dxa"/>
            <w:bottom w:w="0" w:type="dxa"/>
          </w:tblCellMar>
        </w:tblPrEx>
        <w:tc>
          <w:tcPr>
            <w:tcW w:w="2835" w:type="dxa"/>
            <w:tcBorders>
              <w:top w:val="nil"/>
              <w:bottom w:val="nil"/>
            </w:tcBorders>
          </w:tcPr>
          <w:p w:rsidR="00000000" w:rsidRDefault="00000000">
            <w:pPr>
              <w:pStyle w:val="aa"/>
              <w:rPr>
                <w:rFonts w:hint="eastAsia"/>
              </w:rPr>
            </w:pPr>
            <w:r>
              <w:rPr>
                <w:rFonts w:hint="eastAsia"/>
              </w:rPr>
              <w:t>燃料</w:t>
            </w:r>
            <w:r>
              <w:rPr>
                <w:rFonts w:hint="eastAsia"/>
              </w:rPr>
              <w:t>/</w:t>
            </w:r>
            <w:r>
              <w:rPr>
                <w:rFonts w:hint="eastAsia"/>
              </w:rPr>
              <w:t>交通补助</w:t>
            </w:r>
          </w:p>
        </w:tc>
        <w:tc>
          <w:tcPr>
            <w:tcW w:w="1785" w:type="dxa"/>
            <w:tcBorders>
              <w:top w:val="nil"/>
              <w:bottom w:val="nil"/>
            </w:tcBorders>
          </w:tcPr>
          <w:p w:rsidR="00000000" w:rsidRDefault="00000000">
            <w:pPr>
              <w:pStyle w:val="aa"/>
              <w:ind w:right="340"/>
              <w:jc w:val="right"/>
            </w:pPr>
            <w:r>
              <w:t>4 400</w:t>
            </w:r>
          </w:p>
        </w:tc>
        <w:tc>
          <w:tcPr>
            <w:tcW w:w="2610" w:type="dxa"/>
            <w:tcBorders>
              <w:top w:val="nil"/>
              <w:bottom w:val="nil"/>
            </w:tcBorders>
          </w:tcPr>
          <w:p w:rsidR="00000000" w:rsidRDefault="00000000">
            <w:pPr>
              <w:pStyle w:val="aa"/>
              <w:ind w:right="340"/>
              <w:jc w:val="right"/>
            </w:pPr>
            <w:r>
              <w:t>46 747</w:t>
            </w:r>
          </w:p>
        </w:tc>
        <w:tc>
          <w:tcPr>
            <w:tcW w:w="2126" w:type="dxa"/>
            <w:tcBorders>
              <w:top w:val="nil"/>
              <w:bottom w:val="nil"/>
            </w:tcBorders>
          </w:tcPr>
          <w:p w:rsidR="00000000" w:rsidRDefault="00000000">
            <w:pPr>
              <w:pStyle w:val="aa"/>
              <w:ind w:right="340"/>
              <w:jc w:val="right"/>
            </w:pPr>
            <w:r>
              <w:t>137.19</w:t>
            </w:r>
          </w:p>
        </w:tc>
      </w:tr>
      <w:tr w:rsidR="00000000">
        <w:tblPrEx>
          <w:tblCellMar>
            <w:top w:w="0" w:type="dxa"/>
            <w:bottom w:w="0" w:type="dxa"/>
          </w:tblCellMar>
        </w:tblPrEx>
        <w:tc>
          <w:tcPr>
            <w:tcW w:w="2835" w:type="dxa"/>
            <w:tcBorders>
              <w:top w:val="nil"/>
              <w:bottom w:val="nil"/>
            </w:tcBorders>
          </w:tcPr>
          <w:p w:rsidR="00000000" w:rsidRDefault="00000000">
            <w:pPr>
              <w:pStyle w:val="aa"/>
            </w:pPr>
            <w:r>
              <w:rPr>
                <w:rFonts w:hint="eastAsia"/>
              </w:rPr>
              <w:t>四肢瘫痪</w:t>
            </w:r>
            <w:r>
              <w:rPr>
                <w:rFonts w:hint="eastAsia"/>
              </w:rPr>
              <w:t>/</w:t>
            </w:r>
            <w:r>
              <w:rPr>
                <w:rFonts w:hint="eastAsia"/>
              </w:rPr>
              <w:t>截瘫</w:t>
            </w:r>
            <w:r>
              <w:t xml:space="preserve"> </w:t>
            </w:r>
          </w:p>
        </w:tc>
        <w:tc>
          <w:tcPr>
            <w:tcW w:w="1785" w:type="dxa"/>
            <w:tcBorders>
              <w:top w:val="nil"/>
              <w:bottom w:val="nil"/>
            </w:tcBorders>
          </w:tcPr>
          <w:p w:rsidR="00000000" w:rsidRDefault="00000000">
            <w:pPr>
              <w:pStyle w:val="aa"/>
              <w:ind w:right="340"/>
              <w:jc w:val="right"/>
            </w:pPr>
            <w:r>
              <w:t>3 500</w:t>
            </w:r>
          </w:p>
        </w:tc>
        <w:tc>
          <w:tcPr>
            <w:tcW w:w="2610" w:type="dxa"/>
            <w:tcBorders>
              <w:top w:val="nil"/>
              <w:bottom w:val="nil"/>
            </w:tcBorders>
          </w:tcPr>
          <w:p w:rsidR="00000000" w:rsidRDefault="00000000">
            <w:pPr>
              <w:pStyle w:val="aa"/>
              <w:ind w:right="340"/>
              <w:jc w:val="right"/>
            </w:pPr>
            <w:r>
              <w:t>144 420</w:t>
            </w:r>
          </w:p>
        </w:tc>
        <w:tc>
          <w:tcPr>
            <w:tcW w:w="2126" w:type="dxa"/>
            <w:tcBorders>
              <w:top w:val="nil"/>
              <w:bottom w:val="nil"/>
            </w:tcBorders>
          </w:tcPr>
          <w:p w:rsidR="00000000" w:rsidRDefault="00000000">
            <w:pPr>
              <w:pStyle w:val="aa"/>
              <w:ind w:right="340"/>
              <w:jc w:val="right"/>
            </w:pPr>
            <w:r>
              <w:t>423.83</w:t>
            </w:r>
          </w:p>
        </w:tc>
      </w:tr>
      <w:tr w:rsidR="00000000">
        <w:tblPrEx>
          <w:tblCellMar>
            <w:top w:w="0" w:type="dxa"/>
            <w:bottom w:w="0" w:type="dxa"/>
          </w:tblCellMar>
        </w:tblPrEx>
        <w:tc>
          <w:tcPr>
            <w:tcW w:w="2835" w:type="dxa"/>
            <w:tcBorders>
              <w:top w:val="nil"/>
              <w:bottom w:val="nil"/>
            </w:tcBorders>
          </w:tcPr>
          <w:p w:rsidR="00000000" w:rsidRDefault="00000000">
            <w:pPr>
              <w:pStyle w:val="aa"/>
              <w:rPr>
                <w:rFonts w:hint="eastAsia"/>
              </w:rPr>
            </w:pPr>
            <w:r>
              <w:rPr>
                <w:rFonts w:hint="eastAsia"/>
              </w:rPr>
              <w:t>住房补贴</w:t>
            </w:r>
          </w:p>
        </w:tc>
        <w:tc>
          <w:tcPr>
            <w:tcW w:w="1785" w:type="dxa"/>
            <w:tcBorders>
              <w:top w:val="nil"/>
              <w:bottom w:val="nil"/>
            </w:tcBorders>
          </w:tcPr>
          <w:p w:rsidR="00000000" w:rsidRDefault="00000000">
            <w:pPr>
              <w:pStyle w:val="aa"/>
              <w:ind w:right="340"/>
              <w:jc w:val="right"/>
            </w:pPr>
            <w:r>
              <w:t>860</w:t>
            </w:r>
          </w:p>
        </w:tc>
        <w:tc>
          <w:tcPr>
            <w:tcW w:w="2610" w:type="dxa"/>
            <w:tcBorders>
              <w:top w:val="nil"/>
              <w:bottom w:val="nil"/>
            </w:tcBorders>
          </w:tcPr>
          <w:p w:rsidR="00000000" w:rsidRDefault="00000000">
            <w:pPr>
              <w:pStyle w:val="aa"/>
              <w:ind w:right="340"/>
              <w:jc w:val="right"/>
            </w:pPr>
            <w:r>
              <w:t>49 998</w:t>
            </w:r>
          </w:p>
        </w:tc>
        <w:tc>
          <w:tcPr>
            <w:tcW w:w="2126" w:type="dxa"/>
            <w:tcBorders>
              <w:top w:val="nil"/>
              <w:bottom w:val="nil"/>
            </w:tcBorders>
          </w:tcPr>
          <w:p w:rsidR="00000000" w:rsidRDefault="00000000">
            <w:pPr>
              <w:pStyle w:val="aa"/>
              <w:ind w:right="340"/>
              <w:jc w:val="right"/>
            </w:pPr>
            <w:r>
              <w:t>146.73</w:t>
            </w:r>
          </w:p>
        </w:tc>
      </w:tr>
      <w:tr w:rsidR="00000000">
        <w:tblPrEx>
          <w:tblCellMar>
            <w:top w:w="0" w:type="dxa"/>
            <w:bottom w:w="0" w:type="dxa"/>
          </w:tblCellMar>
        </w:tblPrEx>
        <w:tc>
          <w:tcPr>
            <w:tcW w:w="2835" w:type="dxa"/>
            <w:tcBorders>
              <w:top w:val="nil"/>
            </w:tcBorders>
          </w:tcPr>
          <w:p w:rsidR="00000000" w:rsidRDefault="00000000">
            <w:pPr>
              <w:pStyle w:val="aa"/>
            </w:pPr>
            <w:r>
              <w:t>Hancenics</w:t>
            </w:r>
          </w:p>
        </w:tc>
        <w:tc>
          <w:tcPr>
            <w:tcW w:w="1785" w:type="dxa"/>
            <w:tcBorders>
              <w:top w:val="nil"/>
            </w:tcBorders>
          </w:tcPr>
          <w:p w:rsidR="00000000" w:rsidRDefault="00000000">
            <w:pPr>
              <w:pStyle w:val="aa"/>
              <w:ind w:right="340"/>
              <w:jc w:val="right"/>
            </w:pPr>
            <w:r>
              <w:t>600</w:t>
            </w:r>
          </w:p>
        </w:tc>
        <w:tc>
          <w:tcPr>
            <w:tcW w:w="2610" w:type="dxa"/>
            <w:tcBorders>
              <w:top w:val="nil"/>
            </w:tcBorders>
          </w:tcPr>
          <w:p w:rsidR="00000000" w:rsidRDefault="00000000">
            <w:pPr>
              <w:pStyle w:val="aa"/>
              <w:ind w:right="340"/>
              <w:jc w:val="right"/>
            </w:pPr>
            <w:r>
              <w:t>49 998</w:t>
            </w:r>
          </w:p>
        </w:tc>
        <w:tc>
          <w:tcPr>
            <w:tcW w:w="2126" w:type="dxa"/>
            <w:tcBorders>
              <w:top w:val="nil"/>
            </w:tcBorders>
          </w:tcPr>
          <w:p w:rsidR="00000000" w:rsidRDefault="00000000">
            <w:pPr>
              <w:pStyle w:val="aa"/>
              <w:ind w:right="340"/>
              <w:jc w:val="right"/>
            </w:pPr>
            <w:r>
              <w:t>146.73</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 xml:space="preserve">    </w:t>
            </w:r>
            <w:r>
              <w:rPr>
                <w:rFonts w:hint="eastAsia"/>
              </w:rPr>
              <w:t>总</w:t>
            </w:r>
            <w:r>
              <w:rPr>
                <w:rFonts w:hint="eastAsia"/>
              </w:rPr>
              <w:t xml:space="preserve">  </w:t>
            </w:r>
            <w:r>
              <w:rPr>
                <w:rFonts w:hint="eastAsia"/>
              </w:rPr>
              <w:t>数</w:t>
            </w:r>
          </w:p>
        </w:tc>
        <w:tc>
          <w:tcPr>
            <w:tcW w:w="1785" w:type="dxa"/>
          </w:tcPr>
          <w:p w:rsidR="00000000" w:rsidRDefault="00000000">
            <w:pPr>
              <w:pStyle w:val="aa"/>
              <w:ind w:right="340"/>
              <w:jc w:val="right"/>
            </w:pPr>
            <w:r>
              <w:t>146 450</w:t>
            </w:r>
          </w:p>
        </w:tc>
        <w:tc>
          <w:tcPr>
            <w:tcW w:w="2610" w:type="dxa"/>
          </w:tcPr>
          <w:p w:rsidR="00000000" w:rsidRDefault="00000000">
            <w:pPr>
              <w:pStyle w:val="aa"/>
              <w:ind w:right="340"/>
              <w:jc w:val="right"/>
            </w:pPr>
            <w:r>
              <w:t>109 139-278 000</w:t>
            </w:r>
          </w:p>
        </w:tc>
        <w:tc>
          <w:tcPr>
            <w:tcW w:w="2126" w:type="dxa"/>
          </w:tcPr>
          <w:p w:rsidR="00000000" w:rsidRDefault="00000000">
            <w:pPr>
              <w:pStyle w:val="aa"/>
              <w:ind w:right="340"/>
              <w:jc w:val="right"/>
            </w:pPr>
            <w:r>
              <w:t>320 291 350</w:t>
            </w:r>
          </w:p>
        </w:tc>
      </w:tr>
    </w:tbl>
    <w:p w:rsidR="00000000" w:rsidRDefault="00000000">
      <w:pPr>
        <w:spacing w:line="216" w:lineRule="auto"/>
        <w:rPr>
          <w:color w:val="000000"/>
        </w:rPr>
      </w:pPr>
    </w:p>
    <w:p w:rsidR="00000000" w:rsidRDefault="00000000">
      <w:pPr>
        <w:spacing w:after="320"/>
        <w:ind w:left="510"/>
        <w:rPr>
          <w:rFonts w:eastAsia="KaiTi_GB2312" w:hint="eastAsia"/>
          <w:spacing w:val="0"/>
          <w:u w:val="single"/>
        </w:rPr>
      </w:pPr>
      <w:r>
        <w:rPr>
          <w:rFonts w:eastAsia="KaiTi_GB2312" w:hint="eastAsia"/>
          <w:spacing w:val="0"/>
          <w:u w:val="single"/>
        </w:rPr>
        <w:t>资料来源</w:t>
      </w:r>
      <w:r>
        <w:rPr>
          <w:rFonts w:eastAsia="KaiTi_GB2312" w:hint="eastAsia"/>
          <w:spacing w:val="0"/>
        </w:rPr>
        <w:t>：卫生和福利部</w:t>
      </w:r>
      <w:r>
        <w:rPr>
          <w:rFonts w:eastAsia="KaiTi_GB2312" w:hint="eastAsia"/>
          <w:spacing w:val="0"/>
        </w:rPr>
        <w:t>/</w:t>
      </w:r>
      <w:r>
        <w:rPr>
          <w:rFonts w:eastAsia="KaiTi_GB2312" w:hint="eastAsia"/>
          <w:spacing w:val="0"/>
        </w:rPr>
        <w:t>残疾人士司。</w:t>
      </w:r>
    </w:p>
    <w:p w:rsidR="00000000" w:rsidRDefault="00000000">
      <w:pPr>
        <w:rPr>
          <w:rFonts w:hint="eastAsia"/>
        </w:rPr>
      </w:pPr>
      <w:r>
        <w:tab/>
        <w:t xml:space="preserve">244.  </w:t>
      </w:r>
      <w:r>
        <w:rPr>
          <w:rFonts w:hint="eastAsia"/>
        </w:rPr>
        <w:t>这项每月</w:t>
      </w:r>
      <w:r>
        <w:rPr>
          <w:rFonts w:hint="eastAsia"/>
        </w:rPr>
        <w:t>117.39</w:t>
      </w:r>
      <w:r>
        <w:rPr>
          <w:rFonts w:hint="eastAsia"/>
        </w:rPr>
        <w:t>欧元的医疗补助也发放给那些正在进行血液透析以及已经接受肾移植手术的肾病病人</w:t>
      </w:r>
      <w:r>
        <w:rPr>
          <w:rFonts w:hint="eastAsia"/>
        </w:rPr>
        <w:t>(8,000</w:t>
      </w:r>
      <w:r>
        <w:rPr>
          <w:rFonts w:hint="eastAsia"/>
        </w:rPr>
        <w:t>人</w:t>
      </w:r>
      <w:r>
        <w:rPr>
          <w:rFonts w:hint="eastAsia"/>
        </w:rPr>
        <w:t>)</w:t>
      </w:r>
      <w:r>
        <w:rPr>
          <w:rFonts w:hint="eastAsia"/>
        </w:rPr>
        <w:t>。这项补助由省卫生厅发放。</w:t>
      </w:r>
    </w:p>
    <w:p w:rsidR="00000000" w:rsidRDefault="00000000">
      <w:pPr>
        <w:rPr>
          <w:rFonts w:hint="eastAsia"/>
        </w:rPr>
      </w:pPr>
      <w:r>
        <w:rPr>
          <w:rFonts w:hint="eastAsia"/>
        </w:rPr>
        <w:tab/>
        <w:t xml:space="preserve">245.  </w:t>
      </w:r>
      <w:r>
        <w:rPr>
          <w:rFonts w:hint="eastAsia"/>
        </w:rPr>
        <w:t>希腊的社会保障制度实行强制缴款。根据所提供的福利，社会福利机构分为主要保险、辅助保险以及医疗保险等几个部门。依据法律成立了公共社会保障基金。每项基金有自己的组织机构以及自己的行政部门。有些基金是私人设立的，有些是通过私法建立的</w:t>
      </w:r>
      <w:r>
        <w:rPr>
          <w:rFonts w:hint="eastAsia"/>
        </w:rPr>
        <w:t>(</w:t>
      </w:r>
      <w:r>
        <w:rPr>
          <w:rFonts w:hint="eastAsia"/>
        </w:rPr>
        <w:t>职业共同基金</w:t>
      </w:r>
      <w:r>
        <w:rPr>
          <w:rFonts w:hint="eastAsia"/>
        </w:rPr>
        <w:t>)</w:t>
      </w:r>
      <w:r>
        <w:rPr>
          <w:rFonts w:hint="eastAsia"/>
        </w:rPr>
        <w:t>。希腊的社会保障体制确保投保人士免受任何社会保障风险</w:t>
      </w:r>
      <w:r>
        <w:rPr>
          <w:rFonts w:hint="eastAsia"/>
        </w:rPr>
        <w:t>(</w:t>
      </w:r>
      <w:r>
        <w:rPr>
          <w:rFonts w:hint="eastAsia"/>
        </w:rPr>
        <w:t>老龄、丧失活动能力、死亡、疾病、生育、工伤事故和职业病、失业以及家庭福利</w:t>
      </w:r>
      <w:r>
        <w:rPr>
          <w:rFonts w:hint="eastAsia"/>
        </w:rPr>
        <w:t>)</w:t>
      </w:r>
      <w:r>
        <w:rPr>
          <w:rFonts w:hint="eastAsia"/>
        </w:rPr>
        <w:t>。</w:t>
      </w:r>
    </w:p>
    <w:p w:rsidR="00000000" w:rsidRDefault="00000000">
      <w:pPr>
        <w:rPr>
          <w:rFonts w:hint="eastAsia"/>
        </w:rPr>
      </w:pPr>
      <w:r>
        <w:rPr>
          <w:rFonts w:hint="eastAsia"/>
        </w:rPr>
        <w:tab/>
        <w:t xml:space="preserve">246.  </w:t>
      </w:r>
      <w:r>
        <w:rPr>
          <w:rFonts w:hint="eastAsia"/>
        </w:rPr>
        <w:t>希腊社会保障体制的主要特点是：为白领职工、自营职业者以及其他类型的雇员提供大量的基金</w:t>
      </w:r>
      <w:r>
        <w:rPr>
          <w:rFonts w:hint="eastAsia"/>
        </w:rPr>
        <w:t>(</w:t>
      </w:r>
      <w:r>
        <w:rPr>
          <w:rFonts w:hint="eastAsia"/>
        </w:rPr>
        <w:t>大约</w:t>
      </w:r>
      <w:r>
        <w:rPr>
          <w:rFonts w:hint="eastAsia"/>
        </w:rPr>
        <w:t>170</w:t>
      </w:r>
      <w:r>
        <w:rPr>
          <w:rFonts w:hint="eastAsia"/>
        </w:rPr>
        <w:t>种，分为主要保险、辅助保险和医疗保险等几大类</w:t>
      </w:r>
      <w:r>
        <w:rPr>
          <w:rFonts w:hint="eastAsia"/>
        </w:rPr>
        <w:t>)</w:t>
      </w:r>
      <w:r>
        <w:rPr>
          <w:rFonts w:hint="eastAsia"/>
        </w:rPr>
        <w:t>。根据职业活动划分基金。目前计划在社会保障局门开展的变革将大大减少社会保障基金的数目。</w:t>
      </w:r>
    </w:p>
    <w:p w:rsidR="00000000" w:rsidRDefault="00000000">
      <w:pPr>
        <w:rPr>
          <w:rFonts w:hint="eastAsia"/>
        </w:rPr>
      </w:pPr>
      <w:r>
        <w:rPr>
          <w:rFonts w:hint="eastAsia"/>
        </w:rPr>
        <w:tab/>
        <w:t xml:space="preserve">247.  </w:t>
      </w:r>
      <w:r>
        <w:rPr>
          <w:rFonts w:hint="eastAsia"/>
        </w:rPr>
        <w:t>在私营部门工作的多数雇员附属于社会保障局。社会保障局是希腊最大的保险组织，为希腊一半以上的人口提供保险。社会保障局的服务对象是总部设在希腊的公司或企业在希腊国内外的雇员以及其他类型的临时雇用人员，例如：装卸工、私人护士、报纸销售员，等等。这个社会保障基金的主要目的是要保护投保人士，向他们提供具体资助和现金资助：</w:t>
      </w:r>
    </w:p>
    <w:p w:rsidR="00000000" w:rsidRDefault="00000000">
      <w:pPr>
        <w:pStyle w:val="a0"/>
        <w:tabs>
          <w:tab w:val="num" w:pos="1550"/>
        </w:tabs>
        <w:ind w:left="1550"/>
        <w:rPr>
          <w:rFonts w:hint="eastAsia"/>
        </w:rPr>
      </w:pPr>
      <w:r>
        <w:rPr>
          <w:rFonts w:hint="eastAsia"/>
          <w:u w:val="single"/>
        </w:rPr>
        <w:t>具体资助</w:t>
      </w:r>
      <w:r>
        <w:rPr>
          <w:rFonts w:hint="eastAsia"/>
        </w:rPr>
        <w:t>：医疗护理</w:t>
      </w:r>
      <w:r>
        <w:rPr>
          <w:rFonts w:hint="eastAsia"/>
        </w:rPr>
        <w:t>(</w:t>
      </w:r>
      <w:r>
        <w:rPr>
          <w:rFonts w:hint="eastAsia"/>
        </w:rPr>
        <w:t>医疗检查等</w:t>
      </w:r>
      <w:r>
        <w:rPr>
          <w:rFonts w:hint="eastAsia"/>
        </w:rPr>
        <w:t>)</w:t>
      </w:r>
      <w:r>
        <w:rPr>
          <w:rFonts w:hint="eastAsia"/>
        </w:rPr>
        <w:t>、医药护理</w:t>
      </w:r>
      <w:r>
        <w:rPr>
          <w:rFonts w:hint="eastAsia"/>
        </w:rPr>
        <w:t>(</w:t>
      </w:r>
      <w:r>
        <w:rPr>
          <w:rFonts w:hint="eastAsia"/>
        </w:rPr>
        <w:t>药物</w:t>
      </w:r>
      <w:r>
        <w:rPr>
          <w:rFonts w:hint="eastAsia"/>
        </w:rPr>
        <w:t>)</w:t>
      </w:r>
      <w:r>
        <w:rPr>
          <w:rFonts w:hint="eastAsia"/>
        </w:rPr>
        <w:t>、医院护理</w:t>
      </w:r>
      <w:r>
        <w:rPr>
          <w:rFonts w:hint="eastAsia"/>
        </w:rPr>
        <w:t>(</w:t>
      </w:r>
      <w:r>
        <w:rPr>
          <w:rFonts w:hint="eastAsia"/>
        </w:rPr>
        <w:t>住院费用</w:t>
      </w:r>
      <w:r>
        <w:rPr>
          <w:rFonts w:hint="eastAsia"/>
        </w:rPr>
        <w:t>)</w:t>
      </w:r>
      <w:r>
        <w:rPr>
          <w:rFonts w:hint="eastAsia"/>
        </w:rPr>
        <w:t>、病人交通费</w:t>
      </w:r>
      <w:r>
        <w:rPr>
          <w:rFonts w:hint="eastAsia"/>
        </w:rPr>
        <w:t>(</w:t>
      </w:r>
      <w:r>
        <w:rPr>
          <w:rFonts w:hint="eastAsia"/>
        </w:rPr>
        <w:t>每日车费报销</w:t>
      </w:r>
      <w:r>
        <w:rPr>
          <w:rFonts w:hint="eastAsia"/>
        </w:rPr>
        <w:t>)</w:t>
      </w:r>
      <w:r>
        <w:rPr>
          <w:rFonts w:hint="eastAsia"/>
        </w:rPr>
        <w:t>、牙医护理</w:t>
      </w:r>
      <w:r>
        <w:rPr>
          <w:rFonts w:hint="eastAsia"/>
        </w:rPr>
        <w:t>(</w:t>
      </w:r>
      <w:r>
        <w:rPr>
          <w:rFonts w:hint="eastAsia"/>
        </w:rPr>
        <w:t>包括儿童正牙治疗</w:t>
      </w:r>
      <w:r>
        <w:rPr>
          <w:rFonts w:hint="eastAsia"/>
        </w:rPr>
        <w:t>)</w:t>
      </w:r>
      <w:r>
        <w:rPr>
          <w:rFonts w:hint="eastAsia"/>
        </w:rPr>
        <w:t>、特殊医疗护理</w:t>
      </w:r>
      <w:r>
        <w:rPr>
          <w:rFonts w:hint="eastAsia"/>
        </w:rPr>
        <w:t>(</w:t>
      </w:r>
      <w:r>
        <w:rPr>
          <w:rFonts w:hint="eastAsia"/>
        </w:rPr>
        <w:t>修复术和主要设备的费用</w:t>
      </w:r>
      <w:r>
        <w:rPr>
          <w:rFonts w:hint="eastAsia"/>
        </w:rPr>
        <w:t>)</w:t>
      </w:r>
      <w:r>
        <w:rPr>
          <w:rFonts w:hint="eastAsia"/>
        </w:rPr>
        <w:t>、温泉治疗</w:t>
      </w:r>
      <w:r>
        <w:rPr>
          <w:rFonts w:hint="eastAsia"/>
        </w:rPr>
        <w:t>(</w:t>
      </w:r>
      <w:r>
        <w:rPr>
          <w:rFonts w:hint="eastAsia"/>
        </w:rPr>
        <w:t>温泉浴、交通费、生活费</w:t>
      </w:r>
      <w:r>
        <w:rPr>
          <w:rFonts w:hint="eastAsia"/>
        </w:rPr>
        <w:t>)</w:t>
      </w:r>
      <w:r>
        <w:rPr>
          <w:rFonts w:hint="eastAsia"/>
        </w:rPr>
        <w:t>、治疗旅游</w:t>
      </w:r>
      <w:r>
        <w:rPr>
          <w:rFonts w:hint="eastAsia"/>
        </w:rPr>
        <w:t>(</w:t>
      </w:r>
      <w:r>
        <w:rPr>
          <w:rFonts w:hint="eastAsia"/>
        </w:rPr>
        <w:t>为低收入的退休职工提供特别住房补贴</w:t>
      </w:r>
      <w:r>
        <w:rPr>
          <w:rFonts w:hint="eastAsia"/>
        </w:rPr>
        <w:t>)</w:t>
      </w:r>
      <w:r>
        <w:rPr>
          <w:rFonts w:hint="eastAsia"/>
        </w:rPr>
        <w:t>、预防性药物</w:t>
      </w:r>
      <w:r>
        <w:rPr>
          <w:rFonts w:hint="eastAsia"/>
        </w:rPr>
        <w:t>(</w:t>
      </w:r>
      <w:r>
        <w:rPr>
          <w:rFonts w:hint="eastAsia"/>
        </w:rPr>
        <w:t>细胞学、计划生育、献血、为残疾儿童提供医疗和教育服务、为残疾人士提供社会福利和特别服务、疫苗接种</w:t>
      </w:r>
      <w:r>
        <w:rPr>
          <w:rFonts w:hint="eastAsia"/>
        </w:rPr>
        <w:t>)</w:t>
      </w:r>
      <w:r>
        <w:rPr>
          <w:rFonts w:hint="eastAsia"/>
        </w:rPr>
        <w:t>、产妇补助</w:t>
      </w:r>
      <w:r>
        <w:rPr>
          <w:rFonts w:hint="eastAsia"/>
        </w:rPr>
        <w:t>(</w:t>
      </w:r>
      <w:r>
        <w:rPr>
          <w:rFonts w:hint="eastAsia"/>
        </w:rPr>
        <w:t>发放给投保妇女以及投保男士的妻子</w:t>
      </w:r>
      <w:r>
        <w:rPr>
          <w:rFonts w:hint="eastAsia"/>
        </w:rPr>
        <w:t>)</w:t>
      </w:r>
      <w:r>
        <w:rPr>
          <w:rFonts w:hint="eastAsia"/>
        </w:rPr>
        <w:t>；</w:t>
      </w:r>
    </w:p>
    <w:p w:rsidR="00000000" w:rsidRDefault="00000000">
      <w:pPr>
        <w:pStyle w:val="a0"/>
        <w:tabs>
          <w:tab w:val="num" w:pos="1550"/>
        </w:tabs>
        <w:ind w:left="1550"/>
        <w:rPr>
          <w:rFonts w:hint="eastAsia"/>
        </w:rPr>
      </w:pPr>
      <w:r>
        <w:rPr>
          <w:rFonts w:hint="eastAsia"/>
          <w:u w:val="single"/>
        </w:rPr>
        <w:t>现金资助</w:t>
      </w:r>
      <w:r>
        <w:rPr>
          <w:rFonts w:hint="eastAsia"/>
        </w:rPr>
        <w:t>：怀孕和分娩津贴</w:t>
      </w:r>
      <w:r>
        <w:rPr>
          <w:rFonts w:hint="eastAsia"/>
        </w:rPr>
        <w:t>(</w:t>
      </w:r>
      <w:r>
        <w:rPr>
          <w:rFonts w:hint="eastAsia"/>
        </w:rPr>
        <w:t>发放期限为</w:t>
      </w:r>
      <w:r>
        <w:rPr>
          <w:rFonts w:hint="eastAsia"/>
        </w:rPr>
        <w:t>17</w:t>
      </w:r>
      <w:r>
        <w:rPr>
          <w:rFonts w:hint="eastAsia"/>
        </w:rPr>
        <w:t>周</w:t>
      </w:r>
      <w:r>
        <w:rPr>
          <w:rFonts w:hint="eastAsia"/>
        </w:rPr>
        <w:t>)</w:t>
      </w:r>
      <w:r>
        <w:rPr>
          <w:rFonts w:hint="eastAsia"/>
        </w:rPr>
        <w:t>；疾病和意外事故津贴、丧葬费以及退休金。具体资助如下：</w:t>
      </w:r>
    </w:p>
    <w:p w:rsidR="00000000" w:rsidRDefault="00000000">
      <w:pPr>
        <w:pStyle w:val="a0"/>
        <w:numPr>
          <w:ilvl w:val="0"/>
          <w:numId w:val="128"/>
        </w:numPr>
        <w:ind w:left="2051"/>
        <w:rPr>
          <w:rFonts w:hint="eastAsia"/>
        </w:rPr>
      </w:pPr>
      <w:r>
        <w:rPr>
          <w:rFonts w:hint="eastAsia"/>
        </w:rPr>
        <w:t>养老金</w:t>
      </w:r>
      <w:r>
        <w:rPr>
          <w:rFonts w:hint="eastAsia"/>
        </w:rPr>
        <w:t>(</w:t>
      </w:r>
      <w:r>
        <w:rPr>
          <w:rFonts w:hint="eastAsia"/>
        </w:rPr>
        <w:t>一般条件是：已经投保</w:t>
      </w:r>
      <w:r>
        <w:rPr>
          <w:rFonts w:hint="eastAsia"/>
        </w:rPr>
        <w:t>4,500</w:t>
      </w:r>
      <w:r>
        <w:rPr>
          <w:rFonts w:hint="eastAsia"/>
        </w:rPr>
        <w:t>天，男子年满</w:t>
      </w:r>
      <w:r>
        <w:rPr>
          <w:rFonts w:hint="eastAsia"/>
        </w:rPr>
        <w:t>65</w:t>
      </w:r>
      <w:r>
        <w:rPr>
          <w:rFonts w:hint="eastAsia"/>
        </w:rPr>
        <w:t>岁，妇女年满</w:t>
      </w:r>
      <w:r>
        <w:rPr>
          <w:rFonts w:hint="eastAsia"/>
        </w:rPr>
        <w:t>60</w:t>
      </w:r>
      <w:r>
        <w:rPr>
          <w:rFonts w:hint="eastAsia"/>
        </w:rPr>
        <w:t>岁</w:t>
      </w:r>
      <w:r>
        <w:rPr>
          <w:rFonts w:hint="eastAsia"/>
        </w:rPr>
        <w:t>)</w:t>
      </w:r>
      <w:r>
        <w:rPr>
          <w:rFonts w:hint="eastAsia"/>
        </w:rPr>
        <w:t>：</w:t>
      </w:r>
    </w:p>
    <w:p w:rsidR="00000000" w:rsidRDefault="00000000">
      <w:pPr>
        <w:pStyle w:val="a"/>
        <w:numPr>
          <w:ilvl w:val="0"/>
          <w:numId w:val="129"/>
        </w:numPr>
        <w:ind w:left="2571"/>
        <w:rPr>
          <w:rFonts w:hint="eastAsia"/>
        </w:rPr>
      </w:pPr>
      <w:r>
        <w:rPr>
          <w:rFonts w:hint="eastAsia"/>
        </w:rPr>
        <w:t>向子女未满</w:t>
      </w:r>
      <w:r>
        <w:rPr>
          <w:rFonts w:hint="eastAsia"/>
        </w:rPr>
        <w:t>18</w:t>
      </w:r>
      <w:r>
        <w:rPr>
          <w:rFonts w:hint="eastAsia"/>
        </w:rPr>
        <w:t>岁的母亲发放的全额养老金：必要条件是必须年满</w:t>
      </w:r>
      <w:r>
        <w:rPr>
          <w:rFonts w:hint="eastAsia"/>
        </w:rPr>
        <w:t>55</w:t>
      </w:r>
      <w:r>
        <w:rPr>
          <w:rFonts w:hint="eastAsia"/>
        </w:rPr>
        <w:t>岁，而且已经投保</w:t>
      </w:r>
      <w:r>
        <w:rPr>
          <w:rFonts w:hint="eastAsia"/>
        </w:rPr>
        <w:t>5,500</w:t>
      </w:r>
      <w:r>
        <w:rPr>
          <w:rFonts w:hint="eastAsia"/>
        </w:rPr>
        <w:t>天；</w:t>
      </w:r>
    </w:p>
    <w:p w:rsidR="00000000" w:rsidRDefault="00000000">
      <w:pPr>
        <w:pStyle w:val="a"/>
        <w:numPr>
          <w:ilvl w:val="0"/>
          <w:numId w:val="129"/>
        </w:numPr>
        <w:ind w:left="2571"/>
        <w:rPr>
          <w:rFonts w:hint="eastAsia"/>
        </w:rPr>
      </w:pPr>
      <w:r>
        <w:rPr>
          <w:rFonts w:hint="eastAsia"/>
        </w:rPr>
        <w:t>截瘫</w:t>
      </w:r>
      <w:r>
        <w:rPr>
          <w:rFonts w:hint="eastAsia"/>
        </w:rPr>
        <w:t>/</w:t>
      </w:r>
      <w:r>
        <w:rPr>
          <w:rFonts w:hint="eastAsia"/>
        </w:rPr>
        <w:t>四肢瘫痪津贴</w:t>
      </w:r>
      <w:r>
        <w:rPr>
          <w:rFonts w:hint="eastAsia"/>
        </w:rPr>
        <w:t>(</w:t>
      </w:r>
      <w:r>
        <w:rPr>
          <w:rFonts w:hint="eastAsia"/>
        </w:rPr>
        <w:t>第</w:t>
      </w:r>
      <w:r>
        <w:rPr>
          <w:rFonts w:hint="eastAsia"/>
        </w:rPr>
        <w:t>1140/81</w:t>
      </w:r>
      <w:r>
        <w:rPr>
          <w:rFonts w:hint="eastAsia"/>
        </w:rPr>
        <w:t>号法令</w:t>
      </w:r>
      <w:r>
        <w:rPr>
          <w:rFonts w:hint="eastAsia"/>
        </w:rPr>
        <w:t>)</w:t>
      </w:r>
      <w:r>
        <w:rPr>
          <w:rFonts w:hint="eastAsia"/>
        </w:rPr>
        <w:t>：受益者包括投保人士以及退休职工及其家属，但是有关病人的临床残废率必须达到</w:t>
      </w:r>
      <w:r>
        <w:rPr>
          <w:rFonts w:hint="eastAsia"/>
        </w:rPr>
        <w:t>67%</w:t>
      </w:r>
      <w:r>
        <w:rPr>
          <w:rFonts w:hint="eastAsia"/>
        </w:rPr>
        <w:t>以上。由于截瘫或者四肢瘫痪而申请残疾养老金的病人没有年龄限制，但是必须已经投保</w:t>
      </w:r>
      <w:r>
        <w:rPr>
          <w:rFonts w:hint="eastAsia"/>
        </w:rPr>
        <w:t>4,050</w:t>
      </w:r>
      <w:r>
        <w:rPr>
          <w:rFonts w:hint="eastAsia"/>
        </w:rPr>
        <w:t>天；</w:t>
      </w:r>
    </w:p>
    <w:p w:rsidR="00000000" w:rsidRDefault="00000000">
      <w:pPr>
        <w:pStyle w:val="a6"/>
        <w:ind w:left="2051"/>
        <w:rPr>
          <w:rFonts w:hint="eastAsia"/>
        </w:rPr>
      </w:pPr>
      <w:r>
        <w:t>(b)</w:t>
      </w:r>
      <w:r>
        <w:rPr>
          <w:rFonts w:hint="eastAsia"/>
        </w:rPr>
        <w:tab/>
      </w:r>
      <w:r>
        <w:rPr>
          <w:rFonts w:hint="eastAsia"/>
        </w:rPr>
        <w:t>普通疾病的患者</w:t>
      </w:r>
      <w:r>
        <w:rPr>
          <w:rFonts w:hint="eastAsia"/>
        </w:rPr>
        <w:t>(</w:t>
      </w:r>
      <w:r>
        <w:rPr>
          <w:rFonts w:hint="eastAsia"/>
        </w:rPr>
        <w:t>必须已经投保若干天数</w:t>
      </w:r>
      <w:r>
        <w:rPr>
          <w:rFonts w:hint="eastAsia"/>
        </w:rPr>
        <w:t>)</w:t>
      </w:r>
      <w:r>
        <w:rPr>
          <w:rFonts w:hint="eastAsia"/>
        </w:rPr>
        <w:t>以及工伤和职业病受害者</w:t>
      </w:r>
      <w:r>
        <w:rPr>
          <w:rFonts w:hint="eastAsia"/>
        </w:rPr>
        <w:t>(</w:t>
      </w:r>
      <w:r>
        <w:rPr>
          <w:rFonts w:hint="eastAsia"/>
        </w:rPr>
        <w:t>起码已经工作一天</w:t>
      </w:r>
      <w:r>
        <w:rPr>
          <w:rFonts w:hint="eastAsia"/>
        </w:rPr>
        <w:t>)</w:t>
      </w:r>
      <w:r>
        <w:rPr>
          <w:rFonts w:hint="eastAsia"/>
        </w:rPr>
        <w:t>可领取各种退休金：残疾</w:t>
      </w:r>
      <w:r>
        <w:rPr>
          <w:rFonts w:hint="eastAsia"/>
        </w:rPr>
        <w:t>80%</w:t>
      </w:r>
      <w:r>
        <w:rPr>
          <w:rFonts w:hint="eastAsia"/>
        </w:rPr>
        <w:t>以上者领取全额退休金；残疾</w:t>
      </w:r>
      <w:r>
        <w:rPr>
          <w:rFonts w:hint="eastAsia"/>
        </w:rPr>
        <w:t>67%</w:t>
      </w:r>
      <w:r>
        <w:rPr>
          <w:rFonts w:hint="eastAsia"/>
        </w:rPr>
        <w:t>以上者领取全额退休金的四分之三；残疾</w:t>
      </w:r>
      <w:r>
        <w:rPr>
          <w:rFonts w:hint="eastAsia"/>
        </w:rPr>
        <w:t>50%</w:t>
      </w:r>
      <w:r>
        <w:rPr>
          <w:rFonts w:hint="eastAsia"/>
        </w:rPr>
        <w:t>者领取全额退休金的</w:t>
      </w:r>
      <w:r>
        <w:rPr>
          <w:rFonts w:hint="eastAsia"/>
        </w:rPr>
        <w:t>50%</w:t>
      </w:r>
      <w:r>
        <w:rPr>
          <w:rFonts w:hint="eastAsia"/>
        </w:rPr>
        <w:t>。</w:t>
      </w:r>
    </w:p>
    <w:p w:rsidR="00000000" w:rsidRDefault="00000000">
      <w:pPr>
        <w:rPr>
          <w:rFonts w:hint="eastAsia"/>
        </w:rPr>
      </w:pPr>
      <w:r>
        <w:rPr>
          <w:rFonts w:hint="eastAsia"/>
        </w:rPr>
        <w:tab/>
        <w:t xml:space="preserve">248.  </w:t>
      </w:r>
      <w:r>
        <w:rPr>
          <w:rFonts w:hint="eastAsia"/>
        </w:rPr>
        <w:t>遗属恤金的受益人包括：在世的配偶；死者的未婚子女，但是必须符合下列条件：没有工作或者没有领取退休金；高校学生不得超过</w:t>
      </w:r>
      <w:r>
        <w:rPr>
          <w:rFonts w:hint="eastAsia"/>
        </w:rPr>
        <w:t>18</w:t>
      </w:r>
      <w:r>
        <w:rPr>
          <w:rFonts w:hint="eastAsia"/>
        </w:rPr>
        <w:t>岁；父母均已去世；本来由死者扶养；</w:t>
      </w:r>
      <w:r>
        <w:rPr>
          <w:rFonts w:hint="eastAsia"/>
        </w:rPr>
        <w:t>18</w:t>
      </w:r>
      <w:r>
        <w:rPr>
          <w:rFonts w:hint="eastAsia"/>
        </w:rPr>
        <w:t>岁以前已经残疾的儿童以及不适合就业的儿童；父母双亡由死者的抚养的孙子或者孙女以及由死者供养的父母。领取遗属恤金的条件：必须已经投保一定天数。</w:t>
      </w:r>
    </w:p>
    <w:p w:rsidR="00000000" w:rsidRDefault="00000000">
      <w:pPr>
        <w:rPr>
          <w:rFonts w:hint="eastAsia"/>
        </w:rPr>
      </w:pPr>
      <w:r>
        <w:rPr>
          <w:rFonts w:hint="eastAsia"/>
        </w:rPr>
        <w:tab/>
        <w:t xml:space="preserve">249.  </w:t>
      </w:r>
      <w:r>
        <w:rPr>
          <w:rFonts w:hint="eastAsia"/>
        </w:rPr>
        <w:t>广义的公共部门</w:t>
      </w:r>
      <w:r>
        <w:rPr>
          <w:rFonts w:hint="eastAsia"/>
        </w:rPr>
        <w:t>(</w:t>
      </w:r>
      <w:r>
        <w:rPr>
          <w:rFonts w:hint="eastAsia"/>
        </w:rPr>
        <w:t>电信、电力和其他</w:t>
      </w:r>
      <w:r>
        <w:rPr>
          <w:rFonts w:hint="eastAsia"/>
        </w:rPr>
        <w:t>)</w:t>
      </w:r>
      <w:r>
        <w:rPr>
          <w:rFonts w:hint="eastAsia"/>
        </w:rPr>
        <w:t>的工作人员的社会保障由特别的基金提供。报纸老板和雇员以及银行、电力、铁路和电信等公开挂牌公司的工作人员都有专门的保险基金。希腊的公开挂牌公司在国家的监督下营业。每家公司都为其职工在相关的保险公司投保。</w:t>
      </w:r>
    </w:p>
    <w:p w:rsidR="00000000" w:rsidRDefault="00000000">
      <w:pPr>
        <w:rPr>
          <w:rFonts w:hint="eastAsia"/>
        </w:rPr>
      </w:pPr>
      <w:r>
        <w:rPr>
          <w:rFonts w:hint="eastAsia"/>
        </w:rPr>
        <w:tab/>
        <w:t xml:space="preserve">250.  </w:t>
      </w:r>
      <w:r>
        <w:rPr>
          <w:rFonts w:hint="eastAsia"/>
        </w:rPr>
        <w:t>自营职业者在专门为自由职业者和专业人员设立的保险基金投保。这种保险基金的主要特点是提供职业性保险</w:t>
      </w:r>
      <w:r>
        <w:rPr>
          <w:rFonts w:hint="eastAsia"/>
        </w:rPr>
        <w:t>(</w:t>
      </w:r>
      <w:r>
        <w:rPr>
          <w:rFonts w:hint="eastAsia"/>
        </w:rPr>
        <w:t>商人、专业人员、手工艺人、公用车辆的车主、工程师、医务人员以及司法人员</w:t>
      </w:r>
      <w:r>
        <w:rPr>
          <w:rFonts w:hint="eastAsia"/>
        </w:rPr>
        <w:t>)</w:t>
      </w:r>
      <w:r>
        <w:rPr>
          <w:rFonts w:hint="eastAsia"/>
        </w:rPr>
        <w:t>。</w:t>
      </w:r>
    </w:p>
    <w:p w:rsidR="00000000" w:rsidRDefault="00000000">
      <w:pPr>
        <w:rPr>
          <w:rFonts w:hint="eastAsia"/>
        </w:rPr>
      </w:pPr>
      <w:r>
        <w:rPr>
          <w:rFonts w:hint="eastAsia"/>
        </w:rPr>
        <w:tab/>
        <w:t xml:space="preserve">251.  </w:t>
      </w:r>
      <w:r>
        <w:rPr>
          <w:rFonts w:hint="eastAsia"/>
        </w:rPr>
        <w:t>除了上述保险基金之外，希腊社会保障制度还制定了公务员特别保险计划。国家为公务员和军事人员及其家属提供退休金和医疗保险。海员享有专门的保险。</w:t>
      </w:r>
    </w:p>
    <w:p w:rsidR="00000000" w:rsidRDefault="00000000">
      <w:pPr>
        <w:rPr>
          <w:rFonts w:hint="eastAsia"/>
        </w:rPr>
      </w:pPr>
      <w:r>
        <w:rPr>
          <w:rFonts w:hint="eastAsia"/>
        </w:rPr>
        <w:tab/>
        <w:t xml:space="preserve">252.  </w:t>
      </w:r>
      <w:r>
        <w:rPr>
          <w:rFonts w:hint="eastAsia"/>
        </w:rPr>
        <w:t>一般来说，社会保险基金由雇主和雇员共同供款。自由职业者和专业人员则自行购买保险。为了弥补保险收入之不足，国家向某些保险基金提供补助。</w:t>
      </w:r>
    </w:p>
    <w:p w:rsidR="00000000" w:rsidRDefault="00000000">
      <w:pPr>
        <w:spacing w:after="240"/>
        <w:rPr>
          <w:rFonts w:hint="eastAsia"/>
        </w:rPr>
      </w:pPr>
      <w:r>
        <w:rPr>
          <w:rFonts w:hint="eastAsia"/>
        </w:rPr>
        <w:tab/>
        <w:t xml:space="preserve">253.  </w:t>
      </w:r>
      <w:r>
        <w:rPr>
          <w:rFonts w:hint="eastAsia"/>
        </w:rPr>
        <w:t>绝大多数保险基金由劳动和社会保障局监管，但是海员的保险计划由远洋航运部监管，另外还有一些公务员和军事人员的保险基金由国家经济和财政部以及国防部监管。</w:t>
      </w:r>
    </w:p>
    <w:p w:rsidR="00000000" w:rsidRDefault="00000000">
      <w:pPr>
        <w:pStyle w:val="Heading4"/>
        <w:rPr>
          <w:rFonts w:hint="eastAsia"/>
        </w:rPr>
      </w:pPr>
      <w:r>
        <w:rPr>
          <w:rFonts w:hint="eastAsia"/>
        </w:rPr>
        <w:t>1990</w:t>
      </w:r>
      <w:r>
        <w:rPr>
          <w:rFonts w:hint="eastAsia"/>
        </w:rPr>
        <w:t>年代的情况</w:t>
      </w:r>
    </w:p>
    <w:p w:rsidR="00000000" w:rsidRDefault="00000000">
      <w:pPr>
        <w:rPr>
          <w:rFonts w:hint="eastAsia"/>
        </w:rPr>
      </w:pPr>
      <w:r>
        <w:rPr>
          <w:rFonts w:hint="eastAsia"/>
        </w:rPr>
        <w:tab/>
        <w:t xml:space="preserve">254.  </w:t>
      </w:r>
      <w:r>
        <w:rPr>
          <w:rFonts w:hint="eastAsia"/>
        </w:rPr>
        <w:t>为在</w:t>
      </w:r>
      <w:r>
        <w:rPr>
          <w:rFonts w:hint="eastAsia"/>
        </w:rPr>
        <w:t>1993</w:t>
      </w:r>
      <w:r>
        <w:rPr>
          <w:rFonts w:hint="eastAsia"/>
        </w:rPr>
        <w:t>年</w:t>
      </w:r>
      <w:r>
        <w:rPr>
          <w:rFonts w:hint="eastAsia"/>
        </w:rPr>
        <w:t>1</w:t>
      </w:r>
      <w:r>
        <w:rPr>
          <w:rFonts w:hint="eastAsia"/>
        </w:rPr>
        <w:t>月</w:t>
      </w:r>
      <w:r>
        <w:rPr>
          <w:rFonts w:hint="eastAsia"/>
        </w:rPr>
        <w:t>1</w:t>
      </w:r>
      <w:r>
        <w:rPr>
          <w:rFonts w:hint="eastAsia"/>
        </w:rPr>
        <w:t>日之后踏上工作岗位的职工规定了新的规章制度。已经就退休条件和年龄要求</w:t>
      </w:r>
      <w:r>
        <w:rPr>
          <w:rFonts w:hint="eastAsia"/>
        </w:rPr>
        <w:t>(</w:t>
      </w:r>
      <w:r>
        <w:rPr>
          <w:rFonts w:hint="eastAsia"/>
        </w:rPr>
        <w:t>男女均在</w:t>
      </w:r>
      <w:r>
        <w:rPr>
          <w:rFonts w:hint="eastAsia"/>
        </w:rPr>
        <w:t>65</w:t>
      </w:r>
      <w:r>
        <w:rPr>
          <w:rFonts w:hint="eastAsia"/>
        </w:rPr>
        <w:t>岁退休</w:t>
      </w:r>
      <w:r>
        <w:rPr>
          <w:rFonts w:hint="eastAsia"/>
        </w:rPr>
        <w:t>)</w:t>
      </w:r>
      <w:r>
        <w:rPr>
          <w:rFonts w:hint="eastAsia"/>
        </w:rPr>
        <w:t>以及相对于保险期限的缴款百分比为所有投保人士</w:t>
      </w:r>
      <w:r>
        <w:rPr>
          <w:rFonts w:hint="eastAsia"/>
        </w:rPr>
        <w:t>(</w:t>
      </w:r>
      <w:r>
        <w:rPr>
          <w:rFonts w:hint="eastAsia"/>
        </w:rPr>
        <w:t>农民和海员除外</w:t>
      </w:r>
      <w:r>
        <w:rPr>
          <w:rFonts w:hint="eastAsia"/>
        </w:rPr>
        <w:t>)</w:t>
      </w:r>
      <w:r>
        <w:rPr>
          <w:rFonts w:hint="eastAsia"/>
        </w:rPr>
        <w:t>规定了统一原则。雇员的保险供款</w:t>
      </w:r>
      <w:r>
        <w:rPr>
          <w:rFonts w:hint="eastAsia"/>
        </w:rPr>
        <w:t>(</w:t>
      </w:r>
      <w:r>
        <w:rPr>
          <w:rFonts w:hint="eastAsia"/>
        </w:rPr>
        <w:t>主要保险和医疗保险</w:t>
      </w:r>
      <w:r>
        <w:rPr>
          <w:rFonts w:hint="eastAsia"/>
        </w:rPr>
        <w:t>)</w:t>
      </w:r>
      <w:r>
        <w:rPr>
          <w:rFonts w:hint="eastAsia"/>
        </w:rPr>
        <w:t>分为三个部分：雇员九分之二、雇主九分之四以及国家九分之三</w:t>
      </w:r>
      <w:r>
        <w:rPr>
          <w:rFonts w:hint="eastAsia"/>
        </w:rPr>
        <w:t>)</w:t>
      </w:r>
      <w:r>
        <w:rPr>
          <w:rFonts w:hint="eastAsia"/>
        </w:rPr>
        <w:t>；自营职业者的保险供款分为两个部分：自营职业者九分之六以及国家九分之三。辅助保险的供款分为两个部分。</w:t>
      </w:r>
    </w:p>
    <w:p w:rsidR="00000000" w:rsidRDefault="00000000">
      <w:pPr>
        <w:spacing w:after="240"/>
        <w:rPr>
          <w:rFonts w:hint="eastAsia"/>
        </w:rPr>
      </w:pPr>
      <w:r>
        <w:rPr>
          <w:rFonts w:hint="eastAsia"/>
        </w:rPr>
        <w:tab/>
        <w:t xml:space="preserve">255.  </w:t>
      </w:r>
      <w:r>
        <w:rPr>
          <w:rFonts w:hint="eastAsia"/>
        </w:rPr>
        <w:t>从</w:t>
      </w:r>
      <w:r>
        <w:rPr>
          <w:rFonts w:hint="eastAsia"/>
        </w:rPr>
        <w:t>1997</w:t>
      </w:r>
      <w:r>
        <w:rPr>
          <w:rFonts w:hint="eastAsia"/>
        </w:rPr>
        <w:t>年以来为农民实施了以供款为基础的新的退休计划，由政府提供三分之二的供款。这种新的制度为增加农民的退休金提供了机会。</w:t>
      </w:r>
    </w:p>
    <w:p w:rsidR="00000000" w:rsidRDefault="00000000">
      <w:pPr>
        <w:pStyle w:val="Heading4"/>
        <w:rPr>
          <w:rFonts w:hint="eastAsia"/>
        </w:rPr>
      </w:pPr>
      <w:r>
        <w:rPr>
          <w:rFonts w:hint="eastAsia"/>
        </w:rPr>
        <w:t>从</w:t>
      </w:r>
      <w:r>
        <w:rPr>
          <w:rFonts w:hint="eastAsia"/>
        </w:rPr>
        <w:t>1999</w:t>
      </w:r>
      <w:r>
        <w:rPr>
          <w:rFonts w:hint="eastAsia"/>
        </w:rPr>
        <w:t>年以来的情况</w:t>
      </w:r>
    </w:p>
    <w:p w:rsidR="00000000" w:rsidRDefault="00000000">
      <w:pPr>
        <w:rPr>
          <w:rFonts w:hint="eastAsia"/>
        </w:rPr>
      </w:pPr>
      <w:r>
        <w:rPr>
          <w:rFonts w:hint="eastAsia"/>
        </w:rPr>
        <w:tab/>
        <w:t xml:space="preserve">256.  </w:t>
      </w:r>
      <w:r>
        <w:rPr>
          <w:rFonts w:hint="eastAsia"/>
        </w:rPr>
        <w:t>目前以同等条件向男子或者妇女发放遗属恤金，而在以前男子需要申请遗属恤金的必须符合特别条件。希腊的社会保障机构规定了强制性的预防医疗。</w:t>
      </w:r>
    </w:p>
    <w:p w:rsidR="00000000" w:rsidRDefault="00000000">
      <w:pPr>
        <w:rPr>
          <w:rFonts w:hint="eastAsia"/>
        </w:rPr>
      </w:pPr>
      <w:r>
        <w:rPr>
          <w:rFonts w:hint="eastAsia"/>
        </w:rPr>
        <w:tab/>
        <w:t xml:space="preserve">257.  </w:t>
      </w:r>
      <w:r>
        <w:rPr>
          <w:rFonts w:hint="eastAsia"/>
        </w:rPr>
        <w:t>从</w:t>
      </w:r>
      <w:r>
        <w:rPr>
          <w:rFonts w:hint="eastAsia"/>
        </w:rPr>
        <w:t>1999</w:t>
      </w:r>
      <w:r>
        <w:rPr>
          <w:rFonts w:hint="eastAsia"/>
        </w:rPr>
        <w:t>年</w:t>
      </w:r>
      <w:r>
        <w:rPr>
          <w:rFonts w:hint="eastAsia"/>
        </w:rPr>
        <w:t>1</w:t>
      </w:r>
      <w:r>
        <w:rPr>
          <w:rFonts w:hint="eastAsia"/>
        </w:rPr>
        <w:t>月</w:t>
      </w:r>
      <w:r>
        <w:rPr>
          <w:rFonts w:hint="eastAsia"/>
        </w:rPr>
        <w:t>1</w:t>
      </w:r>
      <w:r>
        <w:rPr>
          <w:rFonts w:hint="eastAsia"/>
        </w:rPr>
        <w:t>日开始，低收入退休职工的自缴药费比例从</w:t>
      </w:r>
      <w:r>
        <w:rPr>
          <w:rFonts w:hint="eastAsia"/>
        </w:rPr>
        <w:t>25%</w:t>
      </w:r>
      <w:r>
        <w:rPr>
          <w:rFonts w:hint="eastAsia"/>
        </w:rPr>
        <w:t>下降到</w:t>
      </w:r>
      <w:r>
        <w:rPr>
          <w:rFonts w:hint="eastAsia"/>
        </w:rPr>
        <w:t>10%</w:t>
      </w:r>
      <w:r>
        <w:rPr>
          <w:rFonts w:hint="eastAsia"/>
        </w:rPr>
        <w:t>。艾滋病人和器官移植病人的药费完全由保险提供。</w:t>
      </w:r>
    </w:p>
    <w:p w:rsidR="00000000" w:rsidRDefault="00000000">
      <w:pPr>
        <w:rPr>
          <w:rFonts w:hint="eastAsia"/>
        </w:rPr>
      </w:pPr>
      <w:r>
        <w:rPr>
          <w:rFonts w:hint="eastAsia"/>
        </w:rPr>
        <w:tab/>
        <w:t xml:space="preserve">258.  </w:t>
      </w:r>
      <w:r>
        <w:rPr>
          <w:rFonts w:hint="eastAsia"/>
        </w:rPr>
        <w:t>从</w:t>
      </w:r>
      <w:r>
        <w:rPr>
          <w:rFonts w:hint="eastAsia"/>
        </w:rPr>
        <w:t>1999</w:t>
      </w:r>
      <w:r>
        <w:rPr>
          <w:rFonts w:hint="eastAsia"/>
        </w:rPr>
        <w:t>年</w:t>
      </w:r>
      <w:r>
        <w:rPr>
          <w:rFonts w:hint="eastAsia"/>
        </w:rPr>
        <w:t>1</w:t>
      </w:r>
      <w:r>
        <w:rPr>
          <w:rFonts w:hint="eastAsia"/>
        </w:rPr>
        <w:t>月</w:t>
      </w:r>
      <w:r>
        <w:rPr>
          <w:rFonts w:hint="eastAsia"/>
        </w:rPr>
        <w:t>1</w:t>
      </w:r>
      <w:r>
        <w:rPr>
          <w:rFonts w:hint="eastAsia"/>
        </w:rPr>
        <w:t>日开始，凡是符合保险要求的</w:t>
      </w:r>
      <w:r>
        <w:rPr>
          <w:rFonts w:hint="eastAsia"/>
        </w:rPr>
        <w:t>18</w:t>
      </w:r>
      <w:r>
        <w:rPr>
          <w:rFonts w:hint="eastAsia"/>
        </w:rPr>
        <w:t>岁至</w:t>
      </w:r>
      <w:r>
        <w:rPr>
          <w:rFonts w:hint="eastAsia"/>
        </w:rPr>
        <w:t>29</w:t>
      </w:r>
      <w:r>
        <w:rPr>
          <w:rFonts w:hint="eastAsia"/>
        </w:rPr>
        <w:t>岁的失业年轻人均可享受免费医疗；从</w:t>
      </w:r>
      <w:r>
        <w:rPr>
          <w:rFonts w:hint="eastAsia"/>
        </w:rPr>
        <w:t>2000</w:t>
      </w:r>
      <w:r>
        <w:rPr>
          <w:rFonts w:hint="eastAsia"/>
        </w:rPr>
        <w:t>年</w:t>
      </w:r>
      <w:r>
        <w:rPr>
          <w:rFonts w:hint="eastAsia"/>
        </w:rPr>
        <w:t>1</w:t>
      </w:r>
      <w:r>
        <w:rPr>
          <w:rFonts w:hint="eastAsia"/>
        </w:rPr>
        <w:t>月</w:t>
      </w:r>
      <w:r>
        <w:rPr>
          <w:rFonts w:hint="eastAsia"/>
        </w:rPr>
        <w:t>1</w:t>
      </w:r>
      <w:r>
        <w:rPr>
          <w:rFonts w:hint="eastAsia"/>
        </w:rPr>
        <w:t>日开始，凡是符合保险要求的</w:t>
      </w:r>
      <w:r>
        <w:rPr>
          <w:rFonts w:hint="eastAsia"/>
        </w:rPr>
        <w:t>29</w:t>
      </w:r>
      <w:r>
        <w:rPr>
          <w:rFonts w:hint="eastAsia"/>
        </w:rPr>
        <w:t>岁至</w:t>
      </w:r>
      <w:r>
        <w:rPr>
          <w:rFonts w:hint="eastAsia"/>
        </w:rPr>
        <w:t>55</w:t>
      </w:r>
      <w:r>
        <w:rPr>
          <w:rFonts w:hint="eastAsia"/>
        </w:rPr>
        <w:t>岁的失业人士也可享受免费医疗。</w:t>
      </w:r>
      <w:r>
        <w:rPr>
          <w:rFonts w:hint="eastAsia"/>
        </w:rPr>
        <w:t>(</w:t>
      </w:r>
      <w:r>
        <w:rPr>
          <w:rFonts w:hint="eastAsia"/>
        </w:rPr>
        <w:t>从</w:t>
      </w:r>
      <w:r>
        <w:rPr>
          <w:rFonts w:hint="eastAsia"/>
        </w:rPr>
        <w:t>1996</w:t>
      </w:r>
      <w:r>
        <w:rPr>
          <w:rFonts w:hint="eastAsia"/>
        </w:rPr>
        <w:t>年</w:t>
      </w:r>
      <w:r>
        <w:rPr>
          <w:rFonts w:hint="eastAsia"/>
        </w:rPr>
        <w:t>9</w:t>
      </w:r>
      <w:r>
        <w:rPr>
          <w:rFonts w:hint="eastAsia"/>
        </w:rPr>
        <w:t>月</w:t>
      </w:r>
      <w:r>
        <w:rPr>
          <w:rFonts w:hint="eastAsia"/>
        </w:rPr>
        <w:t>1</w:t>
      </w:r>
      <w:r>
        <w:rPr>
          <w:rFonts w:hint="eastAsia"/>
        </w:rPr>
        <w:t>日开始，凡是符合保险要求的</w:t>
      </w:r>
      <w:r>
        <w:rPr>
          <w:rFonts w:hint="eastAsia"/>
        </w:rPr>
        <w:t>55</w:t>
      </w:r>
      <w:r>
        <w:rPr>
          <w:rFonts w:hint="eastAsia"/>
        </w:rPr>
        <w:t>岁以上的失业人士已经享有免费医疗。</w:t>
      </w:r>
      <w:r>
        <w:rPr>
          <w:rFonts w:hint="eastAsia"/>
        </w:rPr>
        <w:t>)</w:t>
      </w:r>
    </w:p>
    <w:p w:rsidR="00000000" w:rsidRDefault="00000000">
      <w:pPr>
        <w:spacing w:after="240"/>
        <w:rPr>
          <w:rFonts w:hint="eastAsia"/>
        </w:rPr>
      </w:pPr>
      <w:r>
        <w:rPr>
          <w:rFonts w:hint="eastAsia"/>
        </w:rPr>
        <w:tab/>
        <w:t xml:space="preserve">259.  </w:t>
      </w:r>
      <w:r>
        <w:rPr>
          <w:rFonts w:hint="eastAsia"/>
        </w:rPr>
        <w:t>希腊法律规定，保险是强制性的。凡是在希腊工作的人士，如属合法居留，但未在任何社会保障组织购买保险者，则无论其国籍、种族、性别、肤色、语言以及种族或者政治信仰如何，必须从工作的第一日起在社会保障局购买保险。</w:t>
      </w:r>
    </w:p>
    <w:p w:rsidR="00000000" w:rsidRDefault="00000000">
      <w:pPr>
        <w:pStyle w:val="Heading4"/>
        <w:rPr>
          <w:rFonts w:hint="eastAsia"/>
        </w:rPr>
      </w:pPr>
      <w:r>
        <w:rPr>
          <w:rFonts w:hint="eastAsia"/>
        </w:rPr>
        <w:t>社会保障局门的不歧视规定</w:t>
      </w:r>
    </w:p>
    <w:p w:rsidR="00000000" w:rsidRDefault="00000000">
      <w:pPr>
        <w:rPr>
          <w:rFonts w:hint="eastAsia"/>
        </w:rPr>
      </w:pPr>
      <w:r>
        <w:rPr>
          <w:rFonts w:hint="eastAsia"/>
        </w:rPr>
        <w:tab/>
        <w:t xml:space="preserve">260.  </w:t>
      </w:r>
      <w:r>
        <w:rPr>
          <w:rFonts w:hint="eastAsia"/>
        </w:rPr>
        <w:t>第</w:t>
      </w:r>
      <w:r>
        <w:rPr>
          <w:rFonts w:hint="eastAsia"/>
        </w:rPr>
        <w:t>358/1997</w:t>
      </w:r>
      <w:r>
        <w:rPr>
          <w:rFonts w:hint="eastAsia"/>
        </w:rPr>
        <w:t>号总统令和第</w:t>
      </w:r>
      <w:r>
        <w:rPr>
          <w:rFonts w:hint="eastAsia"/>
        </w:rPr>
        <w:t>359/1997</w:t>
      </w:r>
      <w:r>
        <w:rPr>
          <w:rFonts w:hint="eastAsia"/>
        </w:rPr>
        <w:t>号总统令规定，凡是在希腊合法工作的外国人，均享有同希腊国民同等的社会保障权利。有关移民问题的第</w:t>
      </w:r>
      <w:r>
        <w:rPr>
          <w:rFonts w:hint="eastAsia"/>
        </w:rPr>
        <w:t>2910/2001</w:t>
      </w:r>
      <w:r>
        <w:rPr>
          <w:rFonts w:hint="eastAsia"/>
        </w:rPr>
        <w:t>号法令规定了非欧洲联盟成员国国民的外国人在希腊合法居留和工作的条件和程序。</w:t>
      </w:r>
    </w:p>
    <w:p w:rsidR="00000000" w:rsidRDefault="00000000">
      <w:pPr>
        <w:rPr>
          <w:rFonts w:hint="eastAsia"/>
        </w:rPr>
      </w:pPr>
      <w:r>
        <w:rPr>
          <w:rFonts w:hint="eastAsia"/>
        </w:rPr>
        <w:tab/>
        <w:t xml:space="preserve">261.  </w:t>
      </w:r>
      <w:r>
        <w:rPr>
          <w:rFonts w:hint="eastAsia"/>
        </w:rPr>
        <w:t>在希腊合法居留的外国人受到有关社会保障组织的保护并且享有与希腊国民同等的社会保障权利，而有关社会保护的条款也同样适用于外国人。</w:t>
      </w:r>
    </w:p>
    <w:p w:rsidR="00000000" w:rsidRDefault="00000000">
      <w:pPr>
        <w:rPr>
          <w:rFonts w:hint="eastAsia"/>
        </w:rPr>
      </w:pPr>
      <w:r>
        <w:rPr>
          <w:rFonts w:hint="eastAsia"/>
        </w:rPr>
        <w:tab/>
        <w:t xml:space="preserve">262.  </w:t>
      </w:r>
      <w:r>
        <w:rPr>
          <w:rFonts w:hint="eastAsia"/>
        </w:rPr>
        <w:t>这项一般性规定是有例外情况的：根据规定，公共服务部门一般不得向没有护照或其他合法旅行文件或者入境签证或者居留证的外国人提供服务。这些外国人一般来说无法证明他们在希腊是合法居留的。这项规定并不适用于那些急需在医院、治疗中心或者诊所中治疗的外国人及其家属。</w:t>
      </w:r>
    </w:p>
    <w:p w:rsidR="00000000" w:rsidRDefault="00000000">
      <w:pPr>
        <w:rPr>
          <w:rFonts w:hint="eastAsia"/>
        </w:rPr>
      </w:pPr>
      <w:r>
        <w:rPr>
          <w:rFonts w:hint="eastAsia"/>
        </w:rPr>
        <w:tab/>
        <w:t xml:space="preserve">263.  </w:t>
      </w:r>
      <w:r>
        <w:rPr>
          <w:rFonts w:hint="eastAsia"/>
        </w:rPr>
        <w:t>为了保护在外国工作的希腊侨民，希腊已经签订了一些有关社会保障问题的双边协定</w:t>
      </w:r>
      <w:r>
        <w:rPr>
          <w:rFonts w:hint="eastAsia"/>
        </w:rPr>
        <w:t>(</w:t>
      </w:r>
      <w:r>
        <w:rPr>
          <w:rFonts w:hint="eastAsia"/>
        </w:rPr>
        <w:t>已经同美国、加拿大、阿根廷、巴西、委内瑞拉、乌拉圭、新西兰等国签订了协定</w:t>
      </w:r>
      <w:r>
        <w:rPr>
          <w:rFonts w:hint="eastAsia"/>
        </w:rPr>
        <w:t>)</w:t>
      </w:r>
      <w:r>
        <w:rPr>
          <w:rFonts w:hint="eastAsia"/>
        </w:rPr>
        <w:t>。作为欧盟的成员国，希腊执行欧洲委员会第</w:t>
      </w:r>
      <w:r>
        <w:rPr>
          <w:rFonts w:hint="eastAsia"/>
        </w:rPr>
        <w:t>1408/71</w:t>
      </w:r>
      <w:r>
        <w:rPr>
          <w:rFonts w:hint="eastAsia"/>
        </w:rPr>
        <w:t>号条例和第</w:t>
      </w:r>
      <w:r>
        <w:rPr>
          <w:rFonts w:hint="eastAsia"/>
        </w:rPr>
        <w:t>572/72</w:t>
      </w:r>
      <w:r>
        <w:rPr>
          <w:rFonts w:hint="eastAsia"/>
        </w:rPr>
        <w:t>号条例。</w:t>
      </w:r>
    </w:p>
    <w:p w:rsidR="00000000" w:rsidRDefault="00000000">
      <w:pPr>
        <w:rPr>
          <w:rFonts w:hint="eastAsia"/>
        </w:rPr>
      </w:pPr>
      <w:r>
        <w:rPr>
          <w:rFonts w:hint="eastAsia"/>
        </w:rPr>
        <w:tab/>
        <w:t xml:space="preserve">264.  </w:t>
      </w:r>
      <w:r>
        <w:rPr>
          <w:rFonts w:hint="eastAsia"/>
        </w:rPr>
        <w:t>从</w:t>
      </w:r>
      <w:r>
        <w:rPr>
          <w:rFonts w:hint="eastAsia"/>
        </w:rPr>
        <w:t>1996</w:t>
      </w:r>
      <w:r>
        <w:rPr>
          <w:rFonts w:hint="eastAsia"/>
        </w:rPr>
        <w:t>年开始，为</w:t>
      </w:r>
      <w:r>
        <w:rPr>
          <w:rFonts w:hint="eastAsia"/>
        </w:rPr>
        <w:t>65</w:t>
      </w:r>
      <w:r>
        <w:rPr>
          <w:rFonts w:hint="eastAsia"/>
        </w:rPr>
        <w:t>岁以上的低收入退休职工发放经过家庭经济情况调查的社会团结津贴。从</w:t>
      </w:r>
      <w:r>
        <w:rPr>
          <w:rFonts w:hint="eastAsia"/>
        </w:rPr>
        <w:t>1998</w:t>
      </w:r>
      <w:r>
        <w:rPr>
          <w:rFonts w:hint="eastAsia"/>
        </w:rPr>
        <w:t>年</w:t>
      </w:r>
      <w:r>
        <w:rPr>
          <w:rFonts w:hint="eastAsia"/>
        </w:rPr>
        <w:t>1</w:t>
      </w:r>
      <w:r>
        <w:rPr>
          <w:rFonts w:hint="eastAsia"/>
        </w:rPr>
        <w:t>月</w:t>
      </w:r>
      <w:r>
        <w:rPr>
          <w:rFonts w:hint="eastAsia"/>
        </w:rPr>
        <w:t>1</w:t>
      </w:r>
      <w:r>
        <w:rPr>
          <w:rFonts w:hint="eastAsia"/>
        </w:rPr>
        <w:t>日开始，这项津贴发放给</w:t>
      </w:r>
      <w:r>
        <w:rPr>
          <w:rFonts w:hint="eastAsia"/>
        </w:rPr>
        <w:t>60</w:t>
      </w:r>
      <w:r>
        <w:rPr>
          <w:rFonts w:hint="eastAsia"/>
        </w:rPr>
        <w:t>岁以上的退休职工</w:t>
      </w:r>
      <w:r>
        <w:rPr>
          <w:rFonts w:hint="eastAsia"/>
        </w:rPr>
        <w:t>(</w:t>
      </w:r>
      <w:r>
        <w:rPr>
          <w:rFonts w:hint="eastAsia"/>
        </w:rPr>
        <w:t>他们还可领取养老金和遗属恤金</w:t>
      </w:r>
      <w:r>
        <w:rPr>
          <w:rFonts w:hint="eastAsia"/>
        </w:rPr>
        <w:t>)</w:t>
      </w:r>
      <w:r>
        <w:rPr>
          <w:rFonts w:hint="eastAsia"/>
        </w:rPr>
        <w:t>，同时发放给没有年龄限制的某些人士</w:t>
      </w:r>
      <w:r>
        <w:rPr>
          <w:rFonts w:hint="eastAsia"/>
        </w:rPr>
        <w:t>(</w:t>
      </w:r>
      <w:r>
        <w:rPr>
          <w:rFonts w:hint="eastAsia"/>
        </w:rPr>
        <w:t>例如，丧失活动能力的退休职工和领取遗属恤金的儿童</w:t>
      </w:r>
      <w:r>
        <w:rPr>
          <w:rFonts w:hint="eastAsia"/>
        </w:rPr>
        <w:t>)</w:t>
      </w:r>
      <w:r>
        <w:rPr>
          <w:rFonts w:hint="eastAsia"/>
        </w:rPr>
        <w:t>。这项津贴的数额随着收入调整。这项津贴完全由国家预算拨款。</w:t>
      </w:r>
    </w:p>
    <w:p w:rsidR="00000000" w:rsidRDefault="00000000">
      <w:pPr>
        <w:rPr>
          <w:rFonts w:hint="eastAsia"/>
        </w:rPr>
      </w:pPr>
      <w:r>
        <w:rPr>
          <w:rFonts w:hint="eastAsia"/>
        </w:rPr>
        <w:tab/>
        <w:t xml:space="preserve">265.  </w:t>
      </w:r>
      <w:r>
        <w:rPr>
          <w:rFonts w:hint="eastAsia"/>
        </w:rPr>
        <w:t>在过去几年中，在社会保障领域实施了一项综合方针，通过原则、标准、对象、计划以及干预措施促进变革。在这一方面采取了以下措施：</w:t>
      </w:r>
    </w:p>
    <w:p w:rsidR="00000000" w:rsidRDefault="00000000">
      <w:pPr>
        <w:pStyle w:val="a0"/>
        <w:tabs>
          <w:tab w:val="num" w:pos="1550"/>
        </w:tabs>
        <w:ind w:left="1550"/>
        <w:rPr>
          <w:rFonts w:hint="eastAsia"/>
        </w:rPr>
      </w:pPr>
      <w:r>
        <w:rPr>
          <w:rFonts w:hint="eastAsia"/>
        </w:rPr>
        <w:t>第一项措施涉及解决紧迫问题，例如：让农民也享有主要保险、制止不缴纳社会保险费的行为、减少这个部门的非理性开支、经济移民的保险以及通过发放社会团结津贴帮助有紧迫需要的人士。</w:t>
      </w:r>
    </w:p>
    <w:p w:rsidR="00000000" w:rsidRDefault="00000000">
      <w:pPr>
        <w:pStyle w:val="a0"/>
        <w:tabs>
          <w:tab w:val="num" w:pos="1550"/>
        </w:tabs>
        <w:ind w:left="1550"/>
        <w:rPr>
          <w:rFonts w:hint="eastAsia"/>
        </w:rPr>
      </w:pPr>
      <w:r>
        <w:rPr>
          <w:rFonts w:hint="eastAsia"/>
        </w:rPr>
        <w:t>第二项措施涉及社会保障体系的组织和业务现代化</w:t>
      </w:r>
      <w:r>
        <w:rPr>
          <w:rFonts w:hint="eastAsia"/>
        </w:rPr>
        <w:t>(</w:t>
      </w:r>
      <w:r>
        <w:rPr>
          <w:rFonts w:hint="eastAsia"/>
        </w:rPr>
        <w:t>合并社会保障基金、提高服务质量、在社会保障基金的投资方面加强机构灵活性以便提高效率、设立基础设施以及推动电脑化档案等以电脑为基础的方法、统一有关健康问题的规定以及创造条件建立业务上可靠的体系</w:t>
      </w:r>
      <w:r>
        <w:rPr>
          <w:rFonts w:hint="eastAsia"/>
        </w:rPr>
        <w:t>)</w:t>
      </w:r>
      <w:r>
        <w:rPr>
          <w:rFonts w:hint="eastAsia"/>
        </w:rPr>
        <w:t>。根据第</w:t>
      </w:r>
      <w:r>
        <w:rPr>
          <w:rFonts w:hint="eastAsia"/>
        </w:rPr>
        <w:t>2676/2001</w:t>
      </w:r>
      <w:r>
        <w:rPr>
          <w:rFonts w:hint="eastAsia"/>
        </w:rPr>
        <w:t>号法令的规定，目前由劳动和社会保障局监管的社会保障基金的数目已经从</w:t>
      </w:r>
      <w:r>
        <w:rPr>
          <w:rFonts w:hint="eastAsia"/>
        </w:rPr>
        <w:t>215</w:t>
      </w:r>
      <w:r>
        <w:rPr>
          <w:rFonts w:hint="eastAsia"/>
        </w:rPr>
        <w:t>个减少到</w:t>
      </w:r>
      <w:r>
        <w:rPr>
          <w:rFonts w:hint="eastAsia"/>
        </w:rPr>
        <w:t>150</w:t>
      </w:r>
      <w:r>
        <w:rPr>
          <w:rFonts w:hint="eastAsia"/>
        </w:rPr>
        <w:t>个。</w:t>
      </w:r>
    </w:p>
    <w:p w:rsidR="00000000" w:rsidRDefault="00000000">
      <w:pPr>
        <w:pStyle w:val="a0"/>
        <w:tabs>
          <w:tab w:val="num" w:pos="1550"/>
        </w:tabs>
        <w:ind w:left="1550"/>
        <w:rPr>
          <w:rFonts w:hint="eastAsia"/>
        </w:rPr>
      </w:pPr>
      <w:r>
        <w:rPr>
          <w:rFonts w:hint="eastAsia"/>
        </w:rPr>
        <w:t>第三项措施涉及更加深入地改革社会保障体系及其筹资办法和发放津贴的办法，以便这种体系长期有效。</w:t>
      </w:r>
    </w:p>
    <w:p w:rsidR="00000000" w:rsidRDefault="00000000">
      <w:pPr>
        <w:rPr>
          <w:rFonts w:hint="eastAsia"/>
        </w:rPr>
      </w:pPr>
      <w:r>
        <w:rPr>
          <w:rFonts w:hint="eastAsia"/>
        </w:rPr>
        <w:tab/>
        <w:t>266.  P13</w:t>
      </w:r>
      <w:r>
        <w:rPr>
          <w:rFonts w:hint="eastAsia"/>
        </w:rPr>
        <w:t>的增长是由于薪水临时开支和缴款的增长。国民生产总值的增长是由于普遍的经济增长以及投资的增加，同时也是由于最后消费，特别是进出口的增长。</w:t>
      </w:r>
    </w:p>
    <w:p w:rsidR="00000000" w:rsidRDefault="00000000">
      <w:pPr>
        <w:spacing w:after="160"/>
        <w:rPr>
          <w:rFonts w:hint="eastAsia"/>
        </w:rPr>
      </w:pPr>
      <w:r>
        <w:rPr>
          <w:rFonts w:hint="eastAsia"/>
        </w:rPr>
        <w:tab/>
        <w:t xml:space="preserve">267.  </w:t>
      </w:r>
      <w:r>
        <w:rPr>
          <w:rFonts w:hint="eastAsia"/>
        </w:rPr>
        <w:t>在下表中，</w:t>
      </w:r>
      <w:r>
        <w:rPr>
          <w:rFonts w:hint="eastAsia"/>
        </w:rPr>
        <w:t>1990</w:t>
      </w:r>
      <w:r>
        <w:rPr>
          <w:rFonts w:hint="eastAsia"/>
        </w:rPr>
        <w:t>年至</w:t>
      </w:r>
      <w:r>
        <w:rPr>
          <w:rFonts w:hint="eastAsia"/>
        </w:rPr>
        <w:t>1994</w:t>
      </w:r>
      <w:r>
        <w:rPr>
          <w:rFonts w:hint="eastAsia"/>
        </w:rPr>
        <w:t>年的数据来自国民帐户</w:t>
      </w:r>
      <w:r>
        <w:rPr>
          <w:rFonts w:hint="eastAsia"/>
        </w:rPr>
        <w:t>/</w:t>
      </w:r>
      <w:r>
        <w:rPr>
          <w:rFonts w:hint="eastAsia"/>
        </w:rPr>
        <w:t>欧洲综合帐户体系</w:t>
      </w:r>
      <w:r>
        <w:rPr>
          <w:rFonts w:hint="eastAsia"/>
        </w:rPr>
        <w:t>(ESA) 79</w:t>
      </w:r>
      <w:r>
        <w:rPr>
          <w:rFonts w:hint="eastAsia"/>
        </w:rPr>
        <w:t>的综合体系，而从</w:t>
      </w:r>
      <w:r>
        <w:rPr>
          <w:rFonts w:hint="eastAsia"/>
        </w:rPr>
        <w:t>1995</w:t>
      </w:r>
      <w:r>
        <w:rPr>
          <w:rFonts w:hint="eastAsia"/>
        </w:rPr>
        <w:t>年以来的数据来自经过修改的</w:t>
      </w:r>
      <w:r>
        <w:rPr>
          <w:rFonts w:hint="eastAsia"/>
        </w:rPr>
        <w:t>ESA 95</w:t>
      </w:r>
      <w:r>
        <w:rPr>
          <w:rFonts w:hint="eastAsia"/>
        </w:rPr>
        <w:t>体系。</w:t>
      </w:r>
    </w:p>
    <w:p w:rsidR="00000000" w:rsidRDefault="00000000">
      <w:pPr>
        <w:pStyle w:val="Heading3"/>
        <w:spacing w:after="160"/>
        <w:rPr>
          <w:rFonts w:hint="eastAsia"/>
        </w:rPr>
      </w:pPr>
      <w:r>
        <w:br w:type="page"/>
      </w:r>
      <w:r>
        <w:rPr>
          <w:rFonts w:hint="eastAsia"/>
        </w:rPr>
        <w:t>表</w:t>
      </w:r>
      <w:r>
        <w:rPr>
          <w:rFonts w:hint="eastAsia"/>
        </w:rPr>
        <w:t xml:space="preserve">  11</w:t>
      </w:r>
    </w:p>
    <w:p w:rsidR="00000000" w:rsidRDefault="00000000">
      <w:pPr>
        <w:pStyle w:val="Heading3"/>
        <w:spacing w:after="160"/>
        <w:rPr>
          <w:rFonts w:hint="eastAsia"/>
        </w:rPr>
      </w:pPr>
      <w:r>
        <w:rPr>
          <w:rFonts w:hint="eastAsia"/>
        </w:rPr>
        <w:t>社会保险组织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3401"/>
        <w:gridCol w:w="2393"/>
        <w:gridCol w:w="2286"/>
      </w:tblGrid>
      <w:tr w:rsidR="00000000">
        <w:tblPrEx>
          <w:tblCellMar>
            <w:top w:w="0" w:type="dxa"/>
            <w:bottom w:w="0" w:type="dxa"/>
          </w:tblCellMar>
        </w:tblPrEx>
        <w:tc>
          <w:tcPr>
            <w:tcW w:w="1276" w:type="dxa"/>
            <w:tcBorders>
              <w:bottom w:val="single" w:sz="4" w:space="0" w:color="auto"/>
            </w:tcBorders>
          </w:tcPr>
          <w:p w:rsidR="00000000" w:rsidRDefault="00000000">
            <w:pPr>
              <w:spacing w:before="80" w:line="240" w:lineRule="auto"/>
              <w:rPr>
                <w:sz w:val="21"/>
              </w:rPr>
            </w:pPr>
          </w:p>
        </w:tc>
        <w:tc>
          <w:tcPr>
            <w:tcW w:w="3401" w:type="dxa"/>
            <w:tcBorders>
              <w:bottom w:val="single" w:sz="4" w:space="0" w:color="auto"/>
            </w:tcBorders>
          </w:tcPr>
          <w:p w:rsidR="00000000" w:rsidRDefault="00000000">
            <w:pPr>
              <w:spacing w:before="80" w:line="240" w:lineRule="auto"/>
              <w:jc w:val="center"/>
              <w:rPr>
                <w:rFonts w:hint="eastAsia"/>
                <w:sz w:val="21"/>
              </w:rPr>
            </w:pPr>
            <w:r>
              <w:rPr>
                <w:rFonts w:hint="eastAsia"/>
                <w:sz w:val="21"/>
              </w:rPr>
              <w:t>其他非商业产品</w:t>
            </w:r>
          </w:p>
        </w:tc>
        <w:tc>
          <w:tcPr>
            <w:tcW w:w="2393" w:type="dxa"/>
            <w:tcBorders>
              <w:bottom w:val="single" w:sz="4" w:space="0" w:color="auto"/>
            </w:tcBorders>
          </w:tcPr>
          <w:p w:rsidR="00000000" w:rsidRDefault="00000000">
            <w:pPr>
              <w:spacing w:before="80" w:line="240" w:lineRule="auto"/>
              <w:jc w:val="center"/>
              <w:rPr>
                <w:rFonts w:hint="eastAsia"/>
                <w:sz w:val="21"/>
              </w:rPr>
            </w:pPr>
            <w:r>
              <w:rPr>
                <w:rFonts w:hint="eastAsia"/>
                <w:sz w:val="21"/>
              </w:rPr>
              <w:t>国民生产总值</w:t>
            </w:r>
          </w:p>
        </w:tc>
        <w:tc>
          <w:tcPr>
            <w:tcW w:w="2286" w:type="dxa"/>
            <w:tcBorders>
              <w:bottom w:val="single" w:sz="4" w:space="0" w:color="auto"/>
            </w:tcBorders>
          </w:tcPr>
          <w:p w:rsidR="00000000" w:rsidRDefault="00000000">
            <w:pPr>
              <w:spacing w:before="80" w:line="240" w:lineRule="auto"/>
              <w:jc w:val="center"/>
              <w:rPr>
                <w:sz w:val="21"/>
              </w:rPr>
            </w:pPr>
            <w:r>
              <w:rPr>
                <w:sz w:val="21"/>
              </w:rPr>
              <w:t>(</w:t>
            </w:r>
            <w:r>
              <w:rPr>
                <w:rFonts w:hint="eastAsia"/>
                <w:sz w:val="21"/>
              </w:rPr>
              <w:t>所占百分比</w:t>
            </w:r>
            <w:r>
              <w:rPr>
                <w:sz w:val="21"/>
              </w:rPr>
              <w:t>)</w:t>
            </w:r>
          </w:p>
        </w:tc>
      </w:tr>
      <w:tr w:rsidR="00000000">
        <w:tblPrEx>
          <w:tblCellMar>
            <w:top w:w="0" w:type="dxa"/>
            <w:bottom w:w="0" w:type="dxa"/>
          </w:tblCellMar>
        </w:tblPrEx>
        <w:tc>
          <w:tcPr>
            <w:tcW w:w="1276" w:type="dxa"/>
            <w:tcBorders>
              <w:bottom w:val="nil"/>
            </w:tcBorders>
          </w:tcPr>
          <w:p w:rsidR="00000000" w:rsidRDefault="00000000">
            <w:pPr>
              <w:spacing w:line="240" w:lineRule="auto"/>
              <w:rPr>
                <w:sz w:val="21"/>
              </w:rPr>
            </w:pPr>
            <w:r>
              <w:rPr>
                <w:sz w:val="21"/>
              </w:rPr>
              <w:t>1990</w:t>
            </w:r>
          </w:p>
        </w:tc>
        <w:tc>
          <w:tcPr>
            <w:tcW w:w="3401" w:type="dxa"/>
            <w:tcBorders>
              <w:bottom w:val="nil"/>
            </w:tcBorders>
          </w:tcPr>
          <w:p w:rsidR="00000000" w:rsidRDefault="00000000">
            <w:pPr>
              <w:spacing w:line="240" w:lineRule="auto"/>
              <w:jc w:val="center"/>
              <w:rPr>
                <w:sz w:val="21"/>
              </w:rPr>
            </w:pPr>
            <w:r>
              <w:rPr>
                <w:sz w:val="21"/>
              </w:rPr>
              <w:t>28 755</w:t>
            </w:r>
          </w:p>
        </w:tc>
        <w:tc>
          <w:tcPr>
            <w:tcW w:w="2393" w:type="dxa"/>
            <w:tcBorders>
              <w:bottom w:val="nil"/>
            </w:tcBorders>
          </w:tcPr>
          <w:p w:rsidR="00000000" w:rsidRDefault="00000000">
            <w:pPr>
              <w:spacing w:line="240" w:lineRule="auto"/>
              <w:jc w:val="center"/>
              <w:rPr>
                <w:sz w:val="21"/>
              </w:rPr>
            </w:pPr>
            <w:r>
              <w:rPr>
                <w:sz w:val="21"/>
              </w:rPr>
              <w:t>3 248 124</w:t>
            </w:r>
          </w:p>
        </w:tc>
        <w:tc>
          <w:tcPr>
            <w:tcW w:w="2286" w:type="dxa"/>
            <w:tcBorders>
              <w:bottom w:val="nil"/>
            </w:tcBorders>
          </w:tcPr>
          <w:p w:rsidR="00000000" w:rsidRDefault="00000000">
            <w:pPr>
              <w:spacing w:line="240" w:lineRule="auto"/>
              <w:jc w:val="center"/>
              <w:rPr>
                <w:sz w:val="21"/>
              </w:rPr>
            </w:pPr>
            <w:r>
              <w:rPr>
                <w:sz w:val="21"/>
              </w:rPr>
              <w:t>.97</w:t>
            </w:r>
          </w:p>
        </w:tc>
      </w:tr>
      <w:tr w:rsidR="00000000">
        <w:tblPrEx>
          <w:tblCellMar>
            <w:top w:w="0" w:type="dxa"/>
            <w:bottom w:w="0" w:type="dxa"/>
          </w:tblCellMar>
        </w:tblPrEx>
        <w:tc>
          <w:tcPr>
            <w:tcW w:w="1276" w:type="dxa"/>
            <w:tcBorders>
              <w:top w:val="nil"/>
              <w:bottom w:val="nil"/>
            </w:tcBorders>
          </w:tcPr>
          <w:p w:rsidR="00000000" w:rsidRDefault="00000000">
            <w:pPr>
              <w:spacing w:line="240" w:lineRule="auto"/>
              <w:rPr>
                <w:sz w:val="21"/>
              </w:rPr>
            </w:pPr>
            <w:r>
              <w:rPr>
                <w:sz w:val="21"/>
              </w:rPr>
              <w:t>1991</w:t>
            </w:r>
          </w:p>
        </w:tc>
        <w:tc>
          <w:tcPr>
            <w:tcW w:w="3401" w:type="dxa"/>
            <w:tcBorders>
              <w:top w:val="nil"/>
              <w:bottom w:val="nil"/>
            </w:tcBorders>
          </w:tcPr>
          <w:p w:rsidR="00000000" w:rsidRDefault="00000000">
            <w:pPr>
              <w:spacing w:line="240" w:lineRule="auto"/>
              <w:jc w:val="center"/>
              <w:rPr>
                <w:sz w:val="21"/>
              </w:rPr>
            </w:pPr>
            <w:r>
              <w:rPr>
                <w:sz w:val="21"/>
              </w:rPr>
              <w:t>45 200</w:t>
            </w:r>
          </w:p>
        </w:tc>
        <w:tc>
          <w:tcPr>
            <w:tcW w:w="2393" w:type="dxa"/>
            <w:tcBorders>
              <w:top w:val="nil"/>
              <w:bottom w:val="nil"/>
            </w:tcBorders>
          </w:tcPr>
          <w:p w:rsidR="00000000" w:rsidRDefault="00000000">
            <w:pPr>
              <w:spacing w:line="240" w:lineRule="auto"/>
              <w:jc w:val="center"/>
              <w:rPr>
                <w:sz w:val="21"/>
              </w:rPr>
            </w:pPr>
            <w:r>
              <w:rPr>
                <w:sz w:val="21"/>
              </w:rPr>
              <w:t>6 426 999</w:t>
            </w:r>
          </w:p>
        </w:tc>
        <w:tc>
          <w:tcPr>
            <w:tcW w:w="2286" w:type="dxa"/>
            <w:tcBorders>
              <w:top w:val="nil"/>
              <w:bottom w:val="nil"/>
            </w:tcBorders>
          </w:tcPr>
          <w:p w:rsidR="00000000" w:rsidRDefault="00000000">
            <w:pPr>
              <w:spacing w:line="240" w:lineRule="auto"/>
              <w:jc w:val="center"/>
              <w:rPr>
                <w:sz w:val="21"/>
              </w:rPr>
            </w:pPr>
            <w:r>
              <w:rPr>
                <w:sz w:val="21"/>
              </w:rPr>
              <w:t>.88</w:t>
            </w:r>
          </w:p>
        </w:tc>
      </w:tr>
      <w:tr w:rsidR="00000000">
        <w:tblPrEx>
          <w:tblCellMar>
            <w:top w:w="0" w:type="dxa"/>
            <w:bottom w:w="0" w:type="dxa"/>
          </w:tblCellMar>
        </w:tblPrEx>
        <w:tc>
          <w:tcPr>
            <w:tcW w:w="1276" w:type="dxa"/>
            <w:tcBorders>
              <w:top w:val="nil"/>
              <w:bottom w:val="nil"/>
            </w:tcBorders>
          </w:tcPr>
          <w:p w:rsidR="00000000" w:rsidRDefault="00000000">
            <w:pPr>
              <w:spacing w:line="240" w:lineRule="auto"/>
              <w:rPr>
                <w:sz w:val="21"/>
              </w:rPr>
            </w:pPr>
            <w:r>
              <w:rPr>
                <w:sz w:val="21"/>
              </w:rPr>
              <w:t>1992</w:t>
            </w:r>
          </w:p>
        </w:tc>
        <w:tc>
          <w:tcPr>
            <w:tcW w:w="3401" w:type="dxa"/>
            <w:tcBorders>
              <w:top w:val="nil"/>
              <w:bottom w:val="nil"/>
            </w:tcBorders>
          </w:tcPr>
          <w:p w:rsidR="00000000" w:rsidRDefault="00000000">
            <w:pPr>
              <w:spacing w:line="240" w:lineRule="auto"/>
              <w:jc w:val="center"/>
              <w:rPr>
                <w:sz w:val="21"/>
              </w:rPr>
            </w:pPr>
            <w:r>
              <w:rPr>
                <w:sz w:val="21"/>
              </w:rPr>
              <w:t>58 243</w:t>
            </w:r>
          </w:p>
        </w:tc>
        <w:tc>
          <w:tcPr>
            <w:tcW w:w="2393" w:type="dxa"/>
            <w:tcBorders>
              <w:top w:val="nil"/>
              <w:bottom w:val="nil"/>
            </w:tcBorders>
          </w:tcPr>
          <w:p w:rsidR="00000000" w:rsidRDefault="00000000">
            <w:pPr>
              <w:spacing w:line="240" w:lineRule="auto"/>
              <w:jc w:val="center"/>
              <w:rPr>
                <w:sz w:val="21"/>
              </w:rPr>
            </w:pPr>
            <w:r>
              <w:rPr>
                <w:sz w:val="21"/>
              </w:rPr>
              <w:t>9 015 914</w:t>
            </w:r>
          </w:p>
        </w:tc>
        <w:tc>
          <w:tcPr>
            <w:tcW w:w="2286" w:type="dxa"/>
            <w:tcBorders>
              <w:top w:val="nil"/>
              <w:bottom w:val="nil"/>
            </w:tcBorders>
          </w:tcPr>
          <w:p w:rsidR="00000000" w:rsidRDefault="00000000">
            <w:pPr>
              <w:spacing w:line="240" w:lineRule="auto"/>
              <w:jc w:val="center"/>
              <w:rPr>
                <w:sz w:val="21"/>
              </w:rPr>
            </w:pPr>
            <w:r>
              <w:rPr>
                <w:sz w:val="21"/>
              </w:rPr>
              <w:t>.83</w:t>
            </w:r>
          </w:p>
        </w:tc>
      </w:tr>
      <w:tr w:rsidR="00000000">
        <w:tblPrEx>
          <w:tblCellMar>
            <w:top w:w="0" w:type="dxa"/>
            <w:bottom w:w="0" w:type="dxa"/>
          </w:tblCellMar>
        </w:tblPrEx>
        <w:tc>
          <w:tcPr>
            <w:tcW w:w="1276" w:type="dxa"/>
            <w:tcBorders>
              <w:top w:val="nil"/>
              <w:bottom w:val="nil"/>
            </w:tcBorders>
          </w:tcPr>
          <w:p w:rsidR="00000000" w:rsidRDefault="00000000">
            <w:pPr>
              <w:spacing w:line="240" w:lineRule="auto"/>
              <w:rPr>
                <w:sz w:val="21"/>
              </w:rPr>
            </w:pPr>
            <w:r>
              <w:rPr>
                <w:sz w:val="21"/>
              </w:rPr>
              <w:t>1993</w:t>
            </w:r>
          </w:p>
        </w:tc>
        <w:tc>
          <w:tcPr>
            <w:tcW w:w="3401" w:type="dxa"/>
            <w:tcBorders>
              <w:top w:val="nil"/>
              <w:bottom w:val="nil"/>
            </w:tcBorders>
          </w:tcPr>
          <w:p w:rsidR="00000000" w:rsidRDefault="00000000">
            <w:pPr>
              <w:spacing w:line="240" w:lineRule="auto"/>
              <w:jc w:val="center"/>
              <w:rPr>
                <w:sz w:val="21"/>
              </w:rPr>
            </w:pPr>
            <w:r>
              <w:rPr>
                <w:sz w:val="21"/>
              </w:rPr>
              <w:t>00 881</w:t>
            </w:r>
          </w:p>
        </w:tc>
        <w:tc>
          <w:tcPr>
            <w:tcW w:w="2393" w:type="dxa"/>
            <w:tcBorders>
              <w:top w:val="nil"/>
              <w:bottom w:val="nil"/>
            </w:tcBorders>
          </w:tcPr>
          <w:p w:rsidR="00000000" w:rsidRDefault="00000000">
            <w:pPr>
              <w:spacing w:line="240" w:lineRule="auto"/>
              <w:jc w:val="center"/>
              <w:rPr>
                <w:sz w:val="21"/>
              </w:rPr>
            </w:pPr>
            <w:r>
              <w:rPr>
                <w:sz w:val="21"/>
              </w:rPr>
              <w:t>1 273 517</w:t>
            </w:r>
          </w:p>
        </w:tc>
        <w:tc>
          <w:tcPr>
            <w:tcW w:w="2286" w:type="dxa"/>
            <w:tcBorders>
              <w:top w:val="nil"/>
              <w:bottom w:val="nil"/>
            </w:tcBorders>
          </w:tcPr>
          <w:p w:rsidR="00000000" w:rsidRDefault="00000000">
            <w:pPr>
              <w:spacing w:line="240" w:lineRule="auto"/>
              <w:jc w:val="center"/>
              <w:rPr>
                <w:sz w:val="21"/>
              </w:rPr>
            </w:pPr>
            <w:r>
              <w:rPr>
                <w:sz w:val="21"/>
              </w:rPr>
              <w:t>.94</w:t>
            </w:r>
          </w:p>
        </w:tc>
      </w:tr>
      <w:tr w:rsidR="00000000">
        <w:tblPrEx>
          <w:tblCellMar>
            <w:top w:w="0" w:type="dxa"/>
            <w:bottom w:w="0" w:type="dxa"/>
          </w:tblCellMar>
        </w:tblPrEx>
        <w:tc>
          <w:tcPr>
            <w:tcW w:w="1276" w:type="dxa"/>
            <w:tcBorders>
              <w:top w:val="nil"/>
              <w:bottom w:val="nil"/>
            </w:tcBorders>
          </w:tcPr>
          <w:p w:rsidR="00000000" w:rsidRDefault="00000000">
            <w:pPr>
              <w:spacing w:line="240" w:lineRule="auto"/>
              <w:rPr>
                <w:sz w:val="21"/>
              </w:rPr>
            </w:pPr>
            <w:r>
              <w:rPr>
                <w:sz w:val="21"/>
              </w:rPr>
              <w:t>1994</w:t>
            </w:r>
          </w:p>
        </w:tc>
        <w:tc>
          <w:tcPr>
            <w:tcW w:w="3401" w:type="dxa"/>
            <w:tcBorders>
              <w:top w:val="nil"/>
              <w:bottom w:val="nil"/>
            </w:tcBorders>
          </w:tcPr>
          <w:p w:rsidR="00000000" w:rsidRDefault="00000000">
            <w:pPr>
              <w:spacing w:line="240" w:lineRule="auto"/>
              <w:jc w:val="center"/>
              <w:rPr>
                <w:sz w:val="21"/>
              </w:rPr>
            </w:pPr>
            <w:r>
              <w:rPr>
                <w:sz w:val="21"/>
              </w:rPr>
              <w:t>17 018</w:t>
            </w:r>
          </w:p>
        </w:tc>
        <w:tc>
          <w:tcPr>
            <w:tcW w:w="2393" w:type="dxa"/>
            <w:tcBorders>
              <w:top w:val="nil"/>
              <w:bottom w:val="nil"/>
            </w:tcBorders>
          </w:tcPr>
          <w:p w:rsidR="00000000" w:rsidRDefault="00000000">
            <w:pPr>
              <w:spacing w:line="240" w:lineRule="auto"/>
              <w:jc w:val="center"/>
              <w:rPr>
                <w:sz w:val="21"/>
              </w:rPr>
            </w:pPr>
            <w:r>
              <w:rPr>
                <w:sz w:val="21"/>
              </w:rPr>
              <w:t>4 195 732</w:t>
            </w:r>
          </w:p>
        </w:tc>
        <w:tc>
          <w:tcPr>
            <w:tcW w:w="2286" w:type="dxa"/>
            <w:tcBorders>
              <w:top w:val="nil"/>
              <w:bottom w:val="nil"/>
            </w:tcBorders>
          </w:tcPr>
          <w:p w:rsidR="00000000" w:rsidRDefault="00000000">
            <w:pPr>
              <w:spacing w:line="240" w:lineRule="auto"/>
              <w:jc w:val="center"/>
              <w:rPr>
                <w:sz w:val="21"/>
              </w:rPr>
            </w:pPr>
            <w:r>
              <w:rPr>
                <w:sz w:val="21"/>
              </w:rPr>
              <w:t>.90</w:t>
            </w:r>
          </w:p>
        </w:tc>
      </w:tr>
      <w:tr w:rsidR="00000000">
        <w:tblPrEx>
          <w:tblCellMar>
            <w:top w:w="0" w:type="dxa"/>
            <w:bottom w:w="0" w:type="dxa"/>
          </w:tblCellMar>
        </w:tblPrEx>
        <w:tc>
          <w:tcPr>
            <w:tcW w:w="1276" w:type="dxa"/>
            <w:tcBorders>
              <w:top w:val="nil"/>
              <w:bottom w:val="nil"/>
            </w:tcBorders>
          </w:tcPr>
          <w:p w:rsidR="00000000" w:rsidRDefault="00000000">
            <w:pPr>
              <w:spacing w:line="240" w:lineRule="auto"/>
              <w:rPr>
                <w:sz w:val="21"/>
              </w:rPr>
            </w:pPr>
            <w:r>
              <w:rPr>
                <w:sz w:val="21"/>
              </w:rPr>
              <w:t>1995</w:t>
            </w:r>
          </w:p>
        </w:tc>
        <w:tc>
          <w:tcPr>
            <w:tcW w:w="3401" w:type="dxa"/>
            <w:tcBorders>
              <w:top w:val="nil"/>
              <w:bottom w:val="nil"/>
            </w:tcBorders>
          </w:tcPr>
          <w:p w:rsidR="00000000" w:rsidRDefault="00000000">
            <w:pPr>
              <w:spacing w:line="240" w:lineRule="auto"/>
              <w:jc w:val="center"/>
              <w:rPr>
                <w:sz w:val="21"/>
              </w:rPr>
            </w:pPr>
            <w:r>
              <w:rPr>
                <w:sz w:val="21"/>
              </w:rPr>
              <w:t>48 653</w:t>
            </w:r>
          </w:p>
        </w:tc>
        <w:tc>
          <w:tcPr>
            <w:tcW w:w="2393" w:type="dxa"/>
            <w:tcBorders>
              <w:top w:val="nil"/>
              <w:bottom w:val="nil"/>
            </w:tcBorders>
          </w:tcPr>
          <w:p w:rsidR="00000000" w:rsidRDefault="00000000">
            <w:pPr>
              <w:spacing w:line="240" w:lineRule="auto"/>
              <w:jc w:val="center"/>
              <w:rPr>
                <w:sz w:val="21"/>
              </w:rPr>
            </w:pPr>
            <w:r>
              <w:rPr>
                <w:sz w:val="21"/>
              </w:rPr>
              <w:t>8 096 950</w:t>
            </w:r>
          </w:p>
        </w:tc>
        <w:tc>
          <w:tcPr>
            <w:tcW w:w="2286" w:type="dxa"/>
            <w:tcBorders>
              <w:top w:val="nil"/>
              <w:bottom w:val="nil"/>
            </w:tcBorders>
          </w:tcPr>
          <w:p w:rsidR="00000000" w:rsidRDefault="00000000">
            <w:pPr>
              <w:spacing w:line="240" w:lineRule="auto"/>
              <w:jc w:val="center"/>
              <w:rPr>
                <w:sz w:val="21"/>
              </w:rPr>
            </w:pPr>
            <w:r>
              <w:rPr>
                <w:sz w:val="21"/>
              </w:rPr>
              <w:t>.88</w:t>
            </w:r>
          </w:p>
        </w:tc>
      </w:tr>
      <w:tr w:rsidR="00000000">
        <w:tblPrEx>
          <w:tblCellMar>
            <w:top w:w="0" w:type="dxa"/>
            <w:bottom w:w="0" w:type="dxa"/>
          </w:tblCellMar>
        </w:tblPrEx>
        <w:tc>
          <w:tcPr>
            <w:tcW w:w="1276" w:type="dxa"/>
            <w:tcBorders>
              <w:top w:val="nil"/>
              <w:bottom w:val="nil"/>
            </w:tcBorders>
          </w:tcPr>
          <w:p w:rsidR="00000000" w:rsidRDefault="00000000">
            <w:pPr>
              <w:spacing w:line="240" w:lineRule="auto"/>
              <w:rPr>
                <w:sz w:val="21"/>
              </w:rPr>
            </w:pPr>
            <w:r>
              <w:rPr>
                <w:sz w:val="21"/>
              </w:rPr>
              <w:t>1996</w:t>
            </w:r>
          </w:p>
        </w:tc>
        <w:tc>
          <w:tcPr>
            <w:tcW w:w="3401" w:type="dxa"/>
            <w:tcBorders>
              <w:top w:val="nil"/>
              <w:bottom w:val="nil"/>
            </w:tcBorders>
          </w:tcPr>
          <w:p w:rsidR="00000000" w:rsidRDefault="00000000">
            <w:pPr>
              <w:spacing w:line="240" w:lineRule="auto"/>
              <w:jc w:val="center"/>
              <w:rPr>
                <w:sz w:val="21"/>
              </w:rPr>
            </w:pPr>
            <w:r>
              <w:rPr>
                <w:sz w:val="21"/>
              </w:rPr>
              <w:t>73 241</w:t>
            </w:r>
          </w:p>
        </w:tc>
        <w:tc>
          <w:tcPr>
            <w:tcW w:w="2393" w:type="dxa"/>
            <w:tcBorders>
              <w:top w:val="nil"/>
              <w:bottom w:val="nil"/>
            </w:tcBorders>
          </w:tcPr>
          <w:p w:rsidR="00000000" w:rsidRDefault="00000000">
            <w:pPr>
              <w:spacing w:line="240" w:lineRule="auto"/>
              <w:jc w:val="center"/>
              <w:rPr>
                <w:sz w:val="21"/>
              </w:rPr>
            </w:pPr>
            <w:r>
              <w:rPr>
                <w:sz w:val="21"/>
              </w:rPr>
              <w:t>0 770 299</w:t>
            </w:r>
          </w:p>
        </w:tc>
        <w:tc>
          <w:tcPr>
            <w:tcW w:w="2286" w:type="dxa"/>
            <w:tcBorders>
              <w:top w:val="nil"/>
              <w:bottom w:val="nil"/>
            </w:tcBorders>
          </w:tcPr>
          <w:p w:rsidR="00000000" w:rsidRDefault="00000000">
            <w:pPr>
              <w:spacing w:line="240" w:lineRule="auto"/>
              <w:jc w:val="center"/>
              <w:rPr>
                <w:sz w:val="21"/>
              </w:rPr>
            </w:pPr>
            <w:r>
              <w:rPr>
                <w:sz w:val="21"/>
              </w:rPr>
              <w:t>.89</w:t>
            </w:r>
          </w:p>
        </w:tc>
      </w:tr>
      <w:tr w:rsidR="00000000">
        <w:tblPrEx>
          <w:tblCellMar>
            <w:top w:w="0" w:type="dxa"/>
            <w:bottom w:w="0" w:type="dxa"/>
          </w:tblCellMar>
        </w:tblPrEx>
        <w:tc>
          <w:tcPr>
            <w:tcW w:w="1276" w:type="dxa"/>
            <w:tcBorders>
              <w:top w:val="nil"/>
              <w:bottom w:val="nil"/>
            </w:tcBorders>
          </w:tcPr>
          <w:p w:rsidR="00000000" w:rsidRDefault="00000000">
            <w:pPr>
              <w:spacing w:line="240" w:lineRule="auto"/>
              <w:rPr>
                <w:sz w:val="21"/>
              </w:rPr>
            </w:pPr>
            <w:r>
              <w:rPr>
                <w:sz w:val="21"/>
              </w:rPr>
              <w:t>1997</w:t>
            </w:r>
          </w:p>
        </w:tc>
        <w:tc>
          <w:tcPr>
            <w:tcW w:w="3401" w:type="dxa"/>
            <w:tcBorders>
              <w:top w:val="nil"/>
              <w:bottom w:val="nil"/>
            </w:tcBorders>
          </w:tcPr>
          <w:p w:rsidR="00000000" w:rsidRDefault="00000000">
            <w:pPr>
              <w:spacing w:line="240" w:lineRule="auto"/>
              <w:jc w:val="center"/>
              <w:rPr>
                <w:sz w:val="21"/>
              </w:rPr>
            </w:pPr>
            <w:r>
              <w:rPr>
                <w:sz w:val="21"/>
              </w:rPr>
              <w:t>14 860</w:t>
            </w:r>
          </w:p>
        </w:tc>
        <w:tc>
          <w:tcPr>
            <w:tcW w:w="2393" w:type="dxa"/>
            <w:tcBorders>
              <w:top w:val="nil"/>
              <w:bottom w:val="nil"/>
            </w:tcBorders>
          </w:tcPr>
          <w:p w:rsidR="00000000" w:rsidRDefault="00000000">
            <w:pPr>
              <w:spacing w:line="240" w:lineRule="auto"/>
              <w:jc w:val="center"/>
              <w:rPr>
                <w:sz w:val="21"/>
              </w:rPr>
            </w:pPr>
            <w:r>
              <w:rPr>
                <w:sz w:val="21"/>
              </w:rPr>
              <w:t>4 061 020</w:t>
            </w:r>
          </w:p>
        </w:tc>
        <w:tc>
          <w:tcPr>
            <w:tcW w:w="2286" w:type="dxa"/>
            <w:tcBorders>
              <w:top w:val="nil"/>
              <w:bottom w:val="nil"/>
            </w:tcBorders>
          </w:tcPr>
          <w:p w:rsidR="00000000" w:rsidRDefault="00000000">
            <w:pPr>
              <w:spacing w:line="240" w:lineRule="auto"/>
              <w:jc w:val="center"/>
              <w:rPr>
                <w:sz w:val="21"/>
              </w:rPr>
            </w:pPr>
            <w:r>
              <w:rPr>
                <w:sz w:val="21"/>
              </w:rPr>
              <w:t>.92</w:t>
            </w:r>
          </w:p>
        </w:tc>
      </w:tr>
      <w:tr w:rsidR="00000000">
        <w:tblPrEx>
          <w:tblCellMar>
            <w:top w:w="0" w:type="dxa"/>
            <w:bottom w:w="0" w:type="dxa"/>
          </w:tblCellMar>
        </w:tblPrEx>
        <w:tc>
          <w:tcPr>
            <w:tcW w:w="1276" w:type="dxa"/>
            <w:tcBorders>
              <w:top w:val="nil"/>
              <w:bottom w:val="nil"/>
            </w:tcBorders>
          </w:tcPr>
          <w:p w:rsidR="00000000" w:rsidRDefault="00000000">
            <w:pPr>
              <w:spacing w:line="240" w:lineRule="auto"/>
              <w:rPr>
                <w:sz w:val="21"/>
              </w:rPr>
            </w:pPr>
            <w:r>
              <w:rPr>
                <w:sz w:val="21"/>
              </w:rPr>
              <w:t>1998</w:t>
            </w:r>
          </w:p>
        </w:tc>
        <w:tc>
          <w:tcPr>
            <w:tcW w:w="3401" w:type="dxa"/>
            <w:tcBorders>
              <w:top w:val="nil"/>
              <w:bottom w:val="nil"/>
            </w:tcBorders>
          </w:tcPr>
          <w:p w:rsidR="00000000" w:rsidRDefault="00000000">
            <w:pPr>
              <w:spacing w:line="240" w:lineRule="auto"/>
              <w:jc w:val="center"/>
              <w:rPr>
                <w:sz w:val="21"/>
              </w:rPr>
            </w:pPr>
            <w:r>
              <w:rPr>
                <w:sz w:val="21"/>
              </w:rPr>
              <w:t>41 197</w:t>
            </w:r>
          </w:p>
        </w:tc>
        <w:tc>
          <w:tcPr>
            <w:tcW w:w="2393" w:type="dxa"/>
            <w:tcBorders>
              <w:top w:val="nil"/>
              <w:bottom w:val="nil"/>
            </w:tcBorders>
          </w:tcPr>
          <w:p w:rsidR="00000000" w:rsidRDefault="00000000">
            <w:pPr>
              <w:spacing w:line="240" w:lineRule="auto"/>
              <w:jc w:val="center"/>
              <w:rPr>
                <w:sz w:val="21"/>
              </w:rPr>
            </w:pPr>
            <w:r>
              <w:rPr>
                <w:sz w:val="21"/>
              </w:rPr>
              <w:t>7 018 821</w:t>
            </w:r>
          </w:p>
        </w:tc>
        <w:tc>
          <w:tcPr>
            <w:tcW w:w="2286" w:type="dxa"/>
            <w:tcBorders>
              <w:top w:val="nil"/>
              <w:bottom w:val="nil"/>
            </w:tcBorders>
          </w:tcPr>
          <w:p w:rsidR="00000000" w:rsidRDefault="00000000">
            <w:pPr>
              <w:spacing w:line="240" w:lineRule="auto"/>
              <w:jc w:val="center"/>
              <w:rPr>
                <w:sz w:val="21"/>
              </w:rPr>
            </w:pPr>
            <w:r>
              <w:rPr>
                <w:sz w:val="21"/>
              </w:rPr>
              <w:t>.92</w:t>
            </w:r>
          </w:p>
        </w:tc>
      </w:tr>
      <w:tr w:rsidR="00000000">
        <w:tblPrEx>
          <w:tblCellMar>
            <w:top w:w="0" w:type="dxa"/>
            <w:bottom w:w="0" w:type="dxa"/>
          </w:tblCellMar>
        </w:tblPrEx>
        <w:tc>
          <w:tcPr>
            <w:tcW w:w="1276" w:type="dxa"/>
            <w:tcBorders>
              <w:top w:val="nil"/>
              <w:bottom w:val="nil"/>
            </w:tcBorders>
          </w:tcPr>
          <w:p w:rsidR="00000000" w:rsidRDefault="00000000">
            <w:pPr>
              <w:spacing w:line="240" w:lineRule="auto"/>
              <w:rPr>
                <w:sz w:val="21"/>
              </w:rPr>
            </w:pPr>
            <w:r>
              <w:rPr>
                <w:sz w:val="21"/>
              </w:rPr>
              <w:t>1999*</w:t>
            </w:r>
          </w:p>
        </w:tc>
        <w:tc>
          <w:tcPr>
            <w:tcW w:w="3401" w:type="dxa"/>
            <w:tcBorders>
              <w:top w:val="nil"/>
              <w:bottom w:val="nil"/>
            </w:tcBorders>
          </w:tcPr>
          <w:p w:rsidR="00000000" w:rsidRDefault="00000000">
            <w:pPr>
              <w:spacing w:line="240" w:lineRule="auto"/>
              <w:jc w:val="center"/>
              <w:rPr>
                <w:sz w:val="21"/>
              </w:rPr>
            </w:pPr>
            <w:r>
              <w:rPr>
                <w:sz w:val="21"/>
              </w:rPr>
              <w:t>62 366</w:t>
            </w:r>
          </w:p>
        </w:tc>
        <w:tc>
          <w:tcPr>
            <w:tcW w:w="2393" w:type="dxa"/>
            <w:tcBorders>
              <w:top w:val="nil"/>
              <w:bottom w:val="nil"/>
            </w:tcBorders>
          </w:tcPr>
          <w:p w:rsidR="00000000" w:rsidRDefault="00000000">
            <w:pPr>
              <w:spacing w:line="240" w:lineRule="auto"/>
              <w:jc w:val="center"/>
              <w:rPr>
                <w:sz w:val="21"/>
              </w:rPr>
            </w:pPr>
            <w:r>
              <w:rPr>
                <w:sz w:val="21"/>
              </w:rPr>
              <w:t>9 148 348</w:t>
            </w:r>
          </w:p>
        </w:tc>
        <w:tc>
          <w:tcPr>
            <w:tcW w:w="2286" w:type="dxa"/>
            <w:tcBorders>
              <w:top w:val="nil"/>
              <w:bottom w:val="nil"/>
            </w:tcBorders>
          </w:tcPr>
          <w:p w:rsidR="00000000" w:rsidRDefault="00000000">
            <w:pPr>
              <w:spacing w:line="240" w:lineRule="auto"/>
              <w:jc w:val="center"/>
              <w:rPr>
                <w:sz w:val="21"/>
              </w:rPr>
            </w:pPr>
            <w:r>
              <w:rPr>
                <w:sz w:val="21"/>
              </w:rPr>
              <w:t>.93</w:t>
            </w:r>
          </w:p>
        </w:tc>
      </w:tr>
      <w:tr w:rsidR="00000000">
        <w:tblPrEx>
          <w:tblCellMar>
            <w:top w:w="0" w:type="dxa"/>
            <w:bottom w:w="0" w:type="dxa"/>
          </w:tblCellMar>
        </w:tblPrEx>
        <w:tc>
          <w:tcPr>
            <w:tcW w:w="1276" w:type="dxa"/>
            <w:tcBorders>
              <w:top w:val="nil"/>
            </w:tcBorders>
          </w:tcPr>
          <w:p w:rsidR="00000000" w:rsidRDefault="00000000">
            <w:pPr>
              <w:spacing w:line="240" w:lineRule="auto"/>
              <w:rPr>
                <w:sz w:val="21"/>
              </w:rPr>
            </w:pPr>
            <w:r>
              <w:rPr>
                <w:sz w:val="21"/>
              </w:rPr>
              <w:t>2000**</w:t>
            </w:r>
          </w:p>
        </w:tc>
        <w:tc>
          <w:tcPr>
            <w:tcW w:w="3401" w:type="dxa"/>
            <w:tcBorders>
              <w:top w:val="nil"/>
            </w:tcBorders>
          </w:tcPr>
          <w:p w:rsidR="00000000" w:rsidRDefault="00000000">
            <w:pPr>
              <w:spacing w:line="240" w:lineRule="auto"/>
              <w:jc w:val="center"/>
              <w:rPr>
                <w:sz w:val="21"/>
              </w:rPr>
            </w:pPr>
            <w:r>
              <w:rPr>
                <w:sz w:val="21"/>
              </w:rPr>
              <w:t>86 983</w:t>
            </w:r>
          </w:p>
        </w:tc>
        <w:tc>
          <w:tcPr>
            <w:tcW w:w="2393" w:type="dxa"/>
            <w:tcBorders>
              <w:top w:val="nil"/>
            </w:tcBorders>
          </w:tcPr>
          <w:p w:rsidR="00000000" w:rsidRDefault="00000000">
            <w:pPr>
              <w:spacing w:line="240" w:lineRule="auto"/>
              <w:jc w:val="center"/>
              <w:rPr>
                <w:sz w:val="21"/>
              </w:rPr>
            </w:pPr>
            <w:r>
              <w:rPr>
                <w:sz w:val="21"/>
              </w:rPr>
              <w:t>2 051 014</w:t>
            </w:r>
          </w:p>
        </w:tc>
        <w:tc>
          <w:tcPr>
            <w:tcW w:w="2286" w:type="dxa"/>
            <w:tcBorders>
              <w:top w:val="nil"/>
            </w:tcBorders>
          </w:tcPr>
          <w:p w:rsidR="00000000" w:rsidRDefault="00000000">
            <w:pPr>
              <w:spacing w:line="240" w:lineRule="auto"/>
              <w:jc w:val="center"/>
              <w:rPr>
                <w:sz w:val="21"/>
              </w:rPr>
            </w:pPr>
            <w:r>
              <w:rPr>
                <w:sz w:val="21"/>
              </w:rPr>
              <w:t>.92</w:t>
            </w:r>
          </w:p>
        </w:tc>
      </w:tr>
    </w:tbl>
    <w:p w:rsidR="00000000" w:rsidRDefault="00000000">
      <w:pPr>
        <w:spacing w:line="288" w:lineRule="auto"/>
      </w:pPr>
    </w:p>
    <w:p w:rsidR="00000000" w:rsidRDefault="00000000">
      <w:pPr>
        <w:spacing w:line="288" w:lineRule="auto"/>
        <w:rPr>
          <w:rFonts w:eastAsia="KaiTi_GB2312" w:hint="eastAsia"/>
          <w:spacing w:val="0"/>
          <w:sz w:val="22"/>
        </w:rPr>
      </w:pPr>
      <w:r>
        <w:rPr>
          <w:rFonts w:eastAsia="KaiTi_GB2312" w:hint="eastAsia"/>
          <w:spacing w:val="0"/>
          <w:sz w:val="22"/>
        </w:rPr>
        <w:tab/>
      </w:r>
      <w:r>
        <w:rPr>
          <w:rFonts w:eastAsia="KaiTi_GB2312"/>
          <w:spacing w:val="0"/>
          <w:sz w:val="22"/>
        </w:rPr>
        <w:t xml:space="preserve">*  </w:t>
      </w:r>
      <w:r>
        <w:rPr>
          <w:rFonts w:eastAsia="KaiTi_GB2312" w:hint="eastAsia"/>
          <w:spacing w:val="0"/>
          <w:sz w:val="22"/>
        </w:rPr>
        <w:t xml:space="preserve"> </w:t>
      </w:r>
      <w:r>
        <w:rPr>
          <w:rFonts w:eastAsia="KaiTi_GB2312" w:hint="eastAsia"/>
          <w:spacing w:val="0"/>
          <w:sz w:val="22"/>
        </w:rPr>
        <w:t>开支</w:t>
      </w:r>
      <w:r>
        <w:rPr>
          <w:rFonts w:eastAsia="KaiTi_GB2312" w:hint="eastAsia"/>
          <w:spacing w:val="0"/>
          <w:sz w:val="22"/>
        </w:rPr>
        <w:t>(</w:t>
      </w:r>
      <w:r>
        <w:rPr>
          <w:rFonts w:eastAsia="KaiTi_GB2312" w:hint="eastAsia"/>
          <w:spacing w:val="0"/>
          <w:sz w:val="22"/>
        </w:rPr>
        <w:t>中期开支、薪水、雇主实际供款、雇主假定供款、合并后基金的摊还减去公司、企业和一般设施的开支</w:t>
      </w:r>
      <w:r>
        <w:rPr>
          <w:rFonts w:eastAsia="KaiTi_GB2312" w:hint="eastAsia"/>
          <w:spacing w:val="0"/>
          <w:sz w:val="22"/>
        </w:rPr>
        <w:t>)</w:t>
      </w:r>
      <w:r>
        <w:rPr>
          <w:rFonts w:eastAsia="KaiTi_GB2312" w:hint="eastAsia"/>
          <w:spacing w:val="0"/>
          <w:sz w:val="22"/>
        </w:rPr>
        <w:t>。</w:t>
      </w:r>
    </w:p>
    <w:p w:rsidR="00000000" w:rsidRDefault="00000000">
      <w:pPr>
        <w:spacing w:after="160" w:line="288" w:lineRule="auto"/>
        <w:rPr>
          <w:rFonts w:eastAsia="KaiTi_GB2312" w:hint="eastAsia"/>
          <w:spacing w:val="0"/>
          <w:sz w:val="22"/>
        </w:rPr>
      </w:pPr>
      <w:r>
        <w:rPr>
          <w:rFonts w:eastAsia="KaiTi_GB2312" w:hint="eastAsia"/>
          <w:spacing w:val="0"/>
          <w:sz w:val="22"/>
        </w:rPr>
        <w:tab/>
      </w:r>
      <w:r>
        <w:rPr>
          <w:rFonts w:eastAsia="KaiTi_GB2312"/>
          <w:spacing w:val="0"/>
          <w:sz w:val="22"/>
        </w:rPr>
        <w:t>**</w:t>
      </w:r>
      <w:r>
        <w:rPr>
          <w:rFonts w:eastAsia="KaiTi_GB2312" w:hint="eastAsia"/>
          <w:spacing w:val="0"/>
          <w:sz w:val="22"/>
        </w:rPr>
        <w:t xml:space="preserve">  </w:t>
      </w:r>
      <w:r>
        <w:rPr>
          <w:rFonts w:eastAsia="KaiTi_GB2312" w:hint="eastAsia"/>
          <w:spacing w:val="0"/>
          <w:sz w:val="22"/>
        </w:rPr>
        <w:t>临时数据。</w:t>
      </w:r>
    </w:p>
    <w:p w:rsidR="00000000" w:rsidRDefault="00000000">
      <w:pPr>
        <w:spacing w:before="120"/>
        <w:rPr>
          <w:rFonts w:hint="eastAsia"/>
        </w:rPr>
      </w:pPr>
      <w:r>
        <w:rPr>
          <w:rFonts w:hint="eastAsia"/>
        </w:rPr>
        <w:tab/>
        <w:t xml:space="preserve">268.  </w:t>
      </w:r>
      <w:r>
        <w:rPr>
          <w:rFonts w:hint="eastAsia"/>
        </w:rPr>
        <w:t>希腊的公共社会保障计划不接受私营保险公司的补充。</w:t>
      </w:r>
    </w:p>
    <w:p w:rsidR="00000000" w:rsidRDefault="00000000">
      <w:pPr>
        <w:spacing w:after="320"/>
        <w:rPr>
          <w:rFonts w:hint="eastAsia"/>
        </w:rPr>
      </w:pPr>
      <w:r>
        <w:rPr>
          <w:rFonts w:hint="eastAsia"/>
        </w:rPr>
        <w:tab/>
        <w:t xml:space="preserve">269.  </w:t>
      </w:r>
      <w:r>
        <w:rPr>
          <w:rFonts w:hint="eastAsia"/>
        </w:rPr>
        <w:t>根据希腊的法律，凡是无权从社会保障组织领取退休金的人士可申请需要调查家庭经济情况的退休金，其金额相当于农民的基本退休金。如果申请人的收入低于农民的基本退休金，则可领取这种津贴。如果申请人是夫妇，这种退休金的金额加倍。</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rPr>
          <w:rFonts w:hint="eastAsia"/>
        </w:rPr>
      </w:pPr>
      <w:r>
        <w:rPr>
          <w:rFonts w:hint="eastAsia"/>
        </w:rPr>
        <w:tab/>
        <w:t xml:space="preserve">270.  </w:t>
      </w:r>
      <w:r>
        <w:rPr>
          <w:rFonts w:hint="eastAsia"/>
        </w:rPr>
        <w:t>希腊是下列公约的缔约国：</w:t>
      </w:r>
    </w:p>
    <w:p w:rsidR="00000000" w:rsidRDefault="00000000">
      <w:pPr>
        <w:pStyle w:val="a0"/>
        <w:ind w:left="1530"/>
        <w:rPr>
          <w:rFonts w:hint="eastAsia"/>
        </w:rPr>
      </w:pPr>
      <w:r>
        <w:rPr>
          <w:rFonts w:hint="eastAsia"/>
        </w:rPr>
        <w:t>《公民权利和政治权利国际公约》，经第</w:t>
      </w:r>
      <w:r>
        <w:rPr>
          <w:rFonts w:hint="eastAsia"/>
        </w:rPr>
        <w:t>2462/97</w:t>
      </w:r>
      <w:r>
        <w:rPr>
          <w:rFonts w:hint="eastAsia"/>
        </w:rPr>
        <w:t>号法律批准</w:t>
      </w:r>
      <w:r>
        <w:rPr>
          <w:rFonts w:hint="eastAsia"/>
        </w:rPr>
        <w:t>(</w:t>
      </w:r>
      <w:r>
        <w:rPr>
          <w:rFonts w:hint="eastAsia"/>
        </w:rPr>
        <w:t>第</w:t>
      </w:r>
      <w:r>
        <w:rPr>
          <w:rFonts w:hint="eastAsia"/>
        </w:rPr>
        <w:t>25/97</w:t>
      </w:r>
      <w:r>
        <w:rPr>
          <w:rFonts w:hint="eastAsia"/>
        </w:rPr>
        <w:t>号《政府公报》，</w:t>
      </w:r>
      <w:r>
        <w:rPr>
          <w:rFonts w:hint="eastAsia"/>
        </w:rPr>
        <w:t>A</w:t>
      </w:r>
      <w:r>
        <w:rPr>
          <w:rFonts w:hint="eastAsia"/>
        </w:rPr>
        <w:t>卷</w:t>
      </w:r>
      <w:r>
        <w:rPr>
          <w:rFonts w:hint="eastAsia"/>
        </w:rPr>
        <w:t>)</w:t>
      </w:r>
      <w:r>
        <w:rPr>
          <w:rFonts w:hint="eastAsia"/>
        </w:rPr>
        <w:t>；</w:t>
      </w:r>
    </w:p>
    <w:p w:rsidR="00000000" w:rsidRDefault="00000000">
      <w:pPr>
        <w:pStyle w:val="a0"/>
        <w:ind w:left="1530"/>
        <w:rPr>
          <w:rFonts w:hint="eastAsia"/>
        </w:rPr>
      </w:pPr>
      <w:r>
        <w:rPr>
          <w:rFonts w:hint="eastAsia"/>
        </w:rPr>
        <w:t>《儿童权利公约》，经第</w:t>
      </w:r>
      <w:r>
        <w:rPr>
          <w:rFonts w:hint="eastAsia"/>
        </w:rPr>
        <w:t>2101/92</w:t>
      </w:r>
      <w:r>
        <w:rPr>
          <w:rFonts w:hint="eastAsia"/>
        </w:rPr>
        <w:t>号法律批准</w:t>
      </w:r>
      <w:r>
        <w:rPr>
          <w:rFonts w:hint="eastAsia"/>
        </w:rPr>
        <w:t>(</w:t>
      </w:r>
      <w:r>
        <w:rPr>
          <w:rFonts w:hint="eastAsia"/>
        </w:rPr>
        <w:t>第</w:t>
      </w:r>
      <w:r>
        <w:rPr>
          <w:rFonts w:hint="eastAsia"/>
        </w:rPr>
        <w:t>192/92</w:t>
      </w:r>
      <w:r>
        <w:rPr>
          <w:rFonts w:hint="eastAsia"/>
        </w:rPr>
        <w:t>号《政府公报》，</w:t>
      </w:r>
      <w:r>
        <w:rPr>
          <w:rFonts w:hint="eastAsia"/>
        </w:rPr>
        <w:t>A</w:t>
      </w:r>
      <w:r>
        <w:rPr>
          <w:rFonts w:hint="eastAsia"/>
        </w:rPr>
        <w:t>卷</w:t>
      </w:r>
      <w:r>
        <w:rPr>
          <w:rFonts w:hint="eastAsia"/>
        </w:rPr>
        <w:t>)</w:t>
      </w:r>
      <w:r>
        <w:rPr>
          <w:rFonts w:hint="eastAsia"/>
        </w:rPr>
        <w:t>；</w:t>
      </w:r>
    </w:p>
    <w:p w:rsidR="00000000" w:rsidRDefault="00000000">
      <w:pPr>
        <w:pStyle w:val="a0"/>
        <w:ind w:left="1530"/>
        <w:rPr>
          <w:rFonts w:hint="eastAsia"/>
        </w:rPr>
      </w:pPr>
      <w:r>
        <w:rPr>
          <w:rFonts w:hint="eastAsia"/>
        </w:rPr>
        <w:t>《消除对妇女一切形式歧视公约》，经第</w:t>
      </w:r>
      <w:r>
        <w:rPr>
          <w:rFonts w:hint="eastAsia"/>
        </w:rPr>
        <w:t>1342/83</w:t>
      </w:r>
      <w:r>
        <w:rPr>
          <w:rFonts w:hint="eastAsia"/>
        </w:rPr>
        <w:t>号法律批准</w:t>
      </w:r>
      <w:r>
        <w:rPr>
          <w:rFonts w:hint="eastAsia"/>
        </w:rPr>
        <w:t>(</w:t>
      </w:r>
      <w:r>
        <w:rPr>
          <w:rFonts w:hint="eastAsia"/>
        </w:rPr>
        <w:t>第</w:t>
      </w:r>
      <w:r>
        <w:rPr>
          <w:rFonts w:hint="eastAsia"/>
        </w:rPr>
        <w:t>39/83</w:t>
      </w:r>
      <w:r>
        <w:rPr>
          <w:rFonts w:hint="eastAsia"/>
        </w:rPr>
        <w:t>号《政府公报》，</w:t>
      </w:r>
      <w:r>
        <w:rPr>
          <w:rFonts w:hint="eastAsia"/>
        </w:rPr>
        <w:t>A</w:t>
      </w:r>
      <w:r>
        <w:rPr>
          <w:rFonts w:hint="eastAsia"/>
        </w:rPr>
        <w:t>卷</w:t>
      </w:r>
      <w:r>
        <w:rPr>
          <w:rFonts w:hint="eastAsia"/>
        </w:rPr>
        <w:t>)</w:t>
      </w:r>
      <w:r>
        <w:rPr>
          <w:rFonts w:hint="eastAsia"/>
        </w:rPr>
        <w:t>；</w:t>
      </w:r>
    </w:p>
    <w:p w:rsidR="00000000" w:rsidRDefault="00000000">
      <w:pPr>
        <w:pStyle w:val="a0"/>
        <w:ind w:left="1530"/>
        <w:rPr>
          <w:rFonts w:hint="eastAsia"/>
        </w:rPr>
      </w:pPr>
      <w:r>
        <w:rPr>
          <w:rFonts w:hint="eastAsia"/>
        </w:rPr>
        <w:t>劳工组织关于保护生育的《第</w:t>
      </w:r>
      <w:r>
        <w:rPr>
          <w:rFonts w:hint="eastAsia"/>
        </w:rPr>
        <w:t>103</w:t>
      </w:r>
      <w:r>
        <w:rPr>
          <w:rFonts w:hint="eastAsia"/>
        </w:rPr>
        <w:t>号公约》</w:t>
      </w:r>
      <w:r>
        <w:rPr>
          <w:rFonts w:hint="eastAsia"/>
        </w:rPr>
        <w:t>(1952</w:t>
      </w:r>
      <w:r>
        <w:rPr>
          <w:rFonts w:hint="eastAsia"/>
        </w:rPr>
        <w:t>年</w:t>
      </w:r>
      <w:r>
        <w:rPr>
          <w:rFonts w:hint="eastAsia"/>
        </w:rPr>
        <w:t>)</w:t>
      </w:r>
      <w:r>
        <w:rPr>
          <w:rFonts w:hint="eastAsia"/>
        </w:rPr>
        <w:t>，经第</w:t>
      </w:r>
      <w:r>
        <w:rPr>
          <w:rFonts w:hint="eastAsia"/>
        </w:rPr>
        <w:t>1302/82</w:t>
      </w:r>
      <w:r>
        <w:rPr>
          <w:rFonts w:hint="eastAsia"/>
        </w:rPr>
        <w:t>号法律批准</w:t>
      </w:r>
      <w:r>
        <w:rPr>
          <w:rFonts w:hint="eastAsia"/>
        </w:rPr>
        <w:t>(</w:t>
      </w:r>
      <w:r>
        <w:rPr>
          <w:rFonts w:hint="eastAsia"/>
        </w:rPr>
        <w:t>第</w:t>
      </w:r>
      <w:r>
        <w:rPr>
          <w:rFonts w:hint="eastAsia"/>
        </w:rPr>
        <w:t>133/82</w:t>
      </w:r>
      <w:r>
        <w:rPr>
          <w:rFonts w:hint="eastAsia"/>
        </w:rPr>
        <w:t>号《政府公报》，</w:t>
      </w:r>
      <w:r>
        <w:rPr>
          <w:rFonts w:hint="eastAsia"/>
        </w:rPr>
        <w:t>A</w:t>
      </w:r>
      <w:r>
        <w:rPr>
          <w:rFonts w:hint="eastAsia"/>
        </w:rPr>
        <w:t>卷</w:t>
      </w:r>
      <w:r>
        <w:rPr>
          <w:rFonts w:hint="eastAsia"/>
        </w:rPr>
        <w:t>)</w:t>
      </w:r>
      <w:r>
        <w:rPr>
          <w:rFonts w:hint="eastAsia"/>
        </w:rPr>
        <w:t>；</w:t>
      </w:r>
    </w:p>
    <w:p w:rsidR="00000000" w:rsidRDefault="00000000">
      <w:pPr>
        <w:pStyle w:val="a0"/>
        <w:ind w:left="1530"/>
        <w:rPr>
          <w:rFonts w:hint="eastAsia"/>
        </w:rPr>
      </w:pPr>
      <w:r>
        <w:rPr>
          <w:rFonts w:hint="eastAsia"/>
        </w:rPr>
        <w:t>劳工组织关于最低年龄的《第</w:t>
      </w:r>
      <w:r>
        <w:rPr>
          <w:rFonts w:hint="eastAsia"/>
        </w:rPr>
        <w:t>138</w:t>
      </w:r>
      <w:r>
        <w:rPr>
          <w:rFonts w:hint="eastAsia"/>
        </w:rPr>
        <w:t>号公约》</w:t>
      </w:r>
      <w:r>
        <w:t>(1973</w:t>
      </w:r>
      <w:r>
        <w:rPr>
          <w:rFonts w:hint="eastAsia"/>
        </w:rPr>
        <w:t>年</w:t>
      </w:r>
      <w:r>
        <w:rPr>
          <w:rFonts w:hint="eastAsia"/>
        </w:rPr>
        <w:t>)</w:t>
      </w:r>
      <w:r>
        <w:rPr>
          <w:rFonts w:hint="eastAsia"/>
        </w:rPr>
        <w:t>，经第</w:t>
      </w:r>
      <w:r>
        <w:rPr>
          <w:rFonts w:hint="eastAsia"/>
        </w:rPr>
        <w:t>1182/81</w:t>
      </w:r>
      <w:r>
        <w:rPr>
          <w:rFonts w:hint="eastAsia"/>
        </w:rPr>
        <w:t>号法律批准</w:t>
      </w:r>
      <w:r>
        <w:rPr>
          <w:rFonts w:hint="eastAsia"/>
        </w:rPr>
        <w:t>(</w:t>
      </w:r>
      <w:r>
        <w:rPr>
          <w:rFonts w:hint="eastAsia"/>
        </w:rPr>
        <w:t>第</w:t>
      </w:r>
      <w:r>
        <w:rPr>
          <w:rFonts w:hint="eastAsia"/>
        </w:rPr>
        <w:t>193/81</w:t>
      </w:r>
      <w:r>
        <w:rPr>
          <w:rFonts w:hint="eastAsia"/>
        </w:rPr>
        <w:t>号《政府公报》，</w:t>
      </w:r>
      <w:r>
        <w:rPr>
          <w:rFonts w:hint="eastAsia"/>
        </w:rPr>
        <w:t>A</w:t>
      </w:r>
      <w:r>
        <w:rPr>
          <w:rFonts w:hint="eastAsia"/>
        </w:rPr>
        <w:t>卷</w:t>
      </w:r>
      <w:r>
        <w:rPr>
          <w:rFonts w:hint="eastAsia"/>
        </w:rPr>
        <w:t>)</w:t>
      </w:r>
      <w:r>
        <w:rPr>
          <w:rFonts w:hint="eastAsia"/>
        </w:rPr>
        <w:t>。</w:t>
      </w:r>
    </w:p>
    <w:p w:rsidR="00000000" w:rsidRDefault="00000000">
      <w:pPr>
        <w:rPr>
          <w:rFonts w:hint="eastAsia"/>
        </w:rPr>
      </w:pPr>
      <w:r>
        <w:rPr>
          <w:rFonts w:hint="eastAsia"/>
        </w:rPr>
        <w:tab/>
        <w:t xml:space="preserve">271.  </w:t>
      </w:r>
      <w:r>
        <w:rPr>
          <w:rFonts w:hint="eastAsia"/>
        </w:rPr>
        <w:t>根据《希腊民法》，家庭是一个男人和一个女人通过婚姻的结合</w:t>
      </w:r>
      <w:r>
        <w:rPr>
          <w:rFonts w:hint="eastAsia"/>
        </w:rPr>
        <w:t>(</w:t>
      </w:r>
      <w:r>
        <w:rPr>
          <w:rFonts w:hint="eastAsia"/>
        </w:rPr>
        <w:t>已婚的人</w:t>
      </w:r>
      <w:r>
        <w:rPr>
          <w:rFonts w:hint="eastAsia"/>
        </w:rPr>
        <w:t>)</w:t>
      </w:r>
      <w:r>
        <w:rPr>
          <w:rFonts w:hint="eastAsia"/>
        </w:rPr>
        <w:t>。在希腊，儿童</w:t>
      </w:r>
      <w:r>
        <w:rPr>
          <w:rFonts w:hint="eastAsia"/>
        </w:rPr>
        <w:t>18</w:t>
      </w:r>
      <w:r>
        <w:rPr>
          <w:rFonts w:hint="eastAsia"/>
        </w:rPr>
        <w:t>岁时达到成年。</w:t>
      </w:r>
    </w:p>
    <w:p w:rsidR="00000000" w:rsidRDefault="00000000">
      <w:pPr>
        <w:rPr>
          <w:rFonts w:hint="eastAsia"/>
        </w:rPr>
      </w:pPr>
      <w:r>
        <w:rPr>
          <w:rFonts w:hint="eastAsia"/>
        </w:rPr>
        <w:tab/>
        <w:t xml:space="preserve">272.  </w:t>
      </w:r>
      <w:r>
        <w:rPr>
          <w:rFonts w:hint="eastAsia"/>
        </w:rPr>
        <w:t>在父母认可的情况下允许结婚，即便未达到成年年龄。</w:t>
      </w:r>
    </w:p>
    <w:p w:rsidR="00000000" w:rsidRDefault="00000000">
      <w:pPr>
        <w:rPr>
          <w:rFonts w:hint="eastAsia"/>
        </w:rPr>
      </w:pPr>
      <w:r>
        <w:rPr>
          <w:rFonts w:hint="eastAsia"/>
        </w:rPr>
        <w:tab/>
        <w:t xml:space="preserve">273.  </w:t>
      </w:r>
      <w:r>
        <w:rPr>
          <w:rFonts w:hint="eastAsia"/>
        </w:rPr>
        <w:t>在建立、维持、加强和保护家庭的方案中，首先包括了保护儿童的下列行动和服务。卫生和福利部设立了</w:t>
      </w:r>
      <w:r>
        <w:rPr>
          <w:rFonts w:hint="eastAsia"/>
        </w:rPr>
        <w:t>1,036</w:t>
      </w:r>
      <w:r>
        <w:rPr>
          <w:rFonts w:hint="eastAsia"/>
        </w:rPr>
        <w:t>个由国家预算拨款的国家儿童中心，其中收容了</w:t>
      </w:r>
      <w:r>
        <w:rPr>
          <w:rFonts w:hint="eastAsia"/>
        </w:rPr>
        <w:t>78,000</w:t>
      </w:r>
      <w:r>
        <w:rPr>
          <w:rFonts w:hint="eastAsia"/>
        </w:rPr>
        <w:t>名幼儿</w:t>
      </w:r>
      <w:r>
        <w:rPr>
          <w:rFonts w:hint="eastAsia"/>
        </w:rPr>
        <w:t>(</w:t>
      </w:r>
      <w:r>
        <w:rPr>
          <w:rFonts w:hint="eastAsia"/>
        </w:rPr>
        <w:t>从</w:t>
      </w:r>
      <w:r>
        <w:rPr>
          <w:rFonts w:hint="eastAsia"/>
        </w:rPr>
        <w:t>2</w:t>
      </w:r>
      <w:r>
        <w:rPr>
          <w:rFonts w:hint="eastAsia"/>
        </w:rPr>
        <w:t>岁半到上小学年龄</w:t>
      </w:r>
      <w:r>
        <w:rPr>
          <w:rFonts w:hint="eastAsia"/>
        </w:rPr>
        <w:t>)</w:t>
      </w:r>
      <w:r>
        <w:rPr>
          <w:rFonts w:hint="eastAsia"/>
        </w:rPr>
        <w:t>，还设立了另外</w:t>
      </w:r>
      <w:r>
        <w:rPr>
          <w:rFonts w:hint="eastAsia"/>
        </w:rPr>
        <w:t>132</w:t>
      </w:r>
      <w:r>
        <w:rPr>
          <w:rFonts w:hint="eastAsia"/>
        </w:rPr>
        <w:t>个国家幼儿中心，其中收容了</w:t>
      </w:r>
      <w:r>
        <w:rPr>
          <w:rFonts w:hint="eastAsia"/>
        </w:rPr>
        <w:t>10,000</w:t>
      </w:r>
      <w:r>
        <w:rPr>
          <w:rFonts w:hint="eastAsia"/>
        </w:rPr>
        <w:t>名婴儿</w:t>
      </w:r>
      <w:r>
        <w:rPr>
          <w:rFonts w:hint="eastAsia"/>
        </w:rPr>
        <w:t>(</w:t>
      </w:r>
      <w:r>
        <w:rPr>
          <w:rFonts w:hint="eastAsia"/>
        </w:rPr>
        <w:t>从</w:t>
      </w:r>
      <w:r>
        <w:rPr>
          <w:rFonts w:hint="eastAsia"/>
        </w:rPr>
        <w:t>8</w:t>
      </w:r>
      <w:r>
        <w:rPr>
          <w:rFonts w:hint="eastAsia"/>
        </w:rPr>
        <w:t>个月到上小学年龄</w:t>
      </w:r>
      <w:r>
        <w:rPr>
          <w:rFonts w:hint="eastAsia"/>
        </w:rPr>
        <w:t>)</w:t>
      </w:r>
      <w:r>
        <w:rPr>
          <w:rFonts w:hint="eastAsia"/>
        </w:rPr>
        <w:t>。</w:t>
      </w:r>
    </w:p>
    <w:p w:rsidR="00000000" w:rsidRDefault="00000000">
      <w:pPr>
        <w:rPr>
          <w:rFonts w:hint="eastAsia"/>
        </w:rPr>
      </w:pPr>
      <w:r>
        <w:rPr>
          <w:rFonts w:hint="eastAsia"/>
        </w:rPr>
        <w:tab/>
        <w:t xml:space="preserve">274.  </w:t>
      </w:r>
      <w:r>
        <w:rPr>
          <w:rFonts w:hint="eastAsia"/>
        </w:rPr>
        <w:t>优先照顾工作父母和贫困家庭，重点是由于社会问题需要特别保护的儿童</w:t>
      </w:r>
      <w:r>
        <w:rPr>
          <w:rFonts w:hint="eastAsia"/>
        </w:rPr>
        <w:t>(</w:t>
      </w:r>
      <w:r>
        <w:rPr>
          <w:rFonts w:hint="eastAsia"/>
        </w:rPr>
        <w:t>如失去父亲或母亲或双亲的儿童、未婚妇女的子女、父母离婚或分居的儿童、多子女家庭的儿童、父母为身体残疾或精神残疾人的儿童等</w:t>
      </w:r>
      <w:r>
        <w:rPr>
          <w:rFonts w:hint="eastAsia"/>
        </w:rPr>
        <w:t>)</w:t>
      </w:r>
      <w:r>
        <w:rPr>
          <w:rFonts w:hint="eastAsia"/>
        </w:rPr>
        <w:t>。</w:t>
      </w:r>
    </w:p>
    <w:p w:rsidR="00000000" w:rsidRDefault="00000000">
      <w:pPr>
        <w:rPr>
          <w:rFonts w:hint="eastAsia"/>
        </w:rPr>
      </w:pPr>
      <w:r>
        <w:rPr>
          <w:rFonts w:hint="eastAsia"/>
        </w:rPr>
        <w:tab/>
        <w:t xml:space="preserve">275.  </w:t>
      </w:r>
      <w:r>
        <w:rPr>
          <w:rFonts w:hint="eastAsia"/>
        </w:rPr>
        <w:t>为提高儿童生活水平和改善服务，家长根据家庭收入情况支付一定费用。根据第</w:t>
      </w:r>
      <w:r>
        <w:rPr>
          <w:rFonts w:hint="eastAsia"/>
        </w:rPr>
        <w:t>2880/01</w:t>
      </w:r>
      <w:r>
        <w:rPr>
          <w:rFonts w:hint="eastAsia"/>
        </w:rPr>
        <w:t>号法律第</w:t>
      </w:r>
      <w:r>
        <w:rPr>
          <w:rFonts w:hint="eastAsia"/>
        </w:rPr>
        <w:t>12</w:t>
      </w:r>
      <w:r>
        <w:rPr>
          <w:rFonts w:hint="eastAsia"/>
        </w:rPr>
        <w:t>条</w:t>
      </w:r>
      <w:r>
        <w:rPr>
          <w:rFonts w:hint="eastAsia"/>
        </w:rPr>
        <w:t>(</w:t>
      </w:r>
      <w:r>
        <w:rPr>
          <w:rFonts w:hint="eastAsia"/>
        </w:rPr>
        <w:t>第</w:t>
      </w:r>
      <w:r>
        <w:rPr>
          <w:rFonts w:hint="eastAsia"/>
        </w:rPr>
        <w:t>9/A/2001</w:t>
      </w:r>
      <w:r>
        <w:rPr>
          <w:rFonts w:hint="eastAsia"/>
        </w:rPr>
        <w:t>号《政府公报》</w:t>
      </w:r>
      <w:r>
        <w:rPr>
          <w:rFonts w:hint="eastAsia"/>
        </w:rPr>
        <w:t>)</w:t>
      </w:r>
      <w:r>
        <w:rPr>
          <w:rFonts w:hint="eastAsia"/>
        </w:rPr>
        <w:t>，国家儿童中心和国家幼儿中心都属于市政范围，作为市或社区法律实体运营</w:t>
      </w:r>
      <w:r>
        <w:rPr>
          <w:rFonts w:hint="eastAsia"/>
        </w:rPr>
        <w:t>(</w:t>
      </w:r>
      <w:r>
        <w:rPr>
          <w:rFonts w:hint="eastAsia"/>
        </w:rPr>
        <w:t>第</w:t>
      </w:r>
      <w:r>
        <w:rPr>
          <w:rFonts w:hint="eastAsia"/>
        </w:rPr>
        <w:t>410/95</w:t>
      </w:r>
      <w:r>
        <w:rPr>
          <w:rFonts w:hint="eastAsia"/>
        </w:rPr>
        <w:t>号《总统令》第</w:t>
      </w:r>
      <w:r>
        <w:rPr>
          <w:rFonts w:hint="eastAsia"/>
        </w:rPr>
        <w:t>12</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276.  </w:t>
      </w:r>
      <w:r>
        <w:rPr>
          <w:rFonts w:hint="eastAsia"/>
        </w:rPr>
        <w:t>根据第三欧洲抚养体制，作出了关于在现有国家儿童中心和国家幼儿中心，以至一些新的中心</w:t>
      </w:r>
      <w:r>
        <w:rPr>
          <w:rFonts w:hint="eastAsia"/>
        </w:rPr>
        <w:t>(</w:t>
      </w:r>
      <w:r>
        <w:rPr>
          <w:rFonts w:hint="eastAsia"/>
        </w:rPr>
        <w:t>区域行动方案</w:t>
      </w:r>
      <w:r>
        <w:rPr>
          <w:rFonts w:hint="eastAsia"/>
        </w:rPr>
        <w:t>)</w:t>
      </w:r>
      <w:r>
        <w:rPr>
          <w:rFonts w:hint="eastAsia"/>
        </w:rPr>
        <w:t>中制定新的福利方案和建立新部门的规定，还作出了扩大现有中心的决定</w:t>
      </w:r>
      <w:r>
        <w:rPr>
          <w:rFonts w:hint="eastAsia"/>
        </w:rPr>
        <w:t>(</w:t>
      </w:r>
      <w:r>
        <w:rPr>
          <w:rFonts w:hint="eastAsia"/>
        </w:rPr>
        <w:t>欧洲就业和职业培训方案</w:t>
      </w:r>
      <w:r>
        <w:rPr>
          <w:rFonts w:hint="eastAsia"/>
        </w:rPr>
        <w:t>)</w:t>
      </w:r>
      <w:r>
        <w:rPr>
          <w:rFonts w:hint="eastAsia"/>
        </w:rPr>
        <w:t>。上面提到的中心迄今一直由欧洲社会基金</w:t>
      </w:r>
      <w:r>
        <w:rPr>
          <w:rFonts w:hint="eastAsia"/>
        </w:rPr>
        <w:t>(</w:t>
      </w:r>
      <w:r>
        <w:rPr>
          <w:rFonts w:hint="eastAsia"/>
        </w:rPr>
        <w:t>第二欧洲抚养体制</w:t>
      </w:r>
      <w:r>
        <w:rPr>
          <w:rFonts w:hint="eastAsia"/>
        </w:rPr>
        <w:t>)</w:t>
      </w:r>
      <w:r>
        <w:rPr>
          <w:rFonts w:hint="eastAsia"/>
        </w:rPr>
        <w:t>提供资金。</w:t>
      </w:r>
    </w:p>
    <w:p w:rsidR="00000000" w:rsidRDefault="00000000">
      <w:pPr>
        <w:rPr>
          <w:rFonts w:hint="eastAsia"/>
        </w:rPr>
      </w:pPr>
      <w:r>
        <w:rPr>
          <w:rFonts w:hint="eastAsia"/>
        </w:rPr>
        <w:tab/>
        <w:t xml:space="preserve">277.  </w:t>
      </w:r>
      <w:r>
        <w:rPr>
          <w:rFonts w:hint="eastAsia"/>
        </w:rPr>
        <w:t>各市政当局都建立了创造性娱乐中心，由欧洲社会基金</w:t>
      </w:r>
      <w:r>
        <w:rPr>
          <w:rFonts w:hint="eastAsia"/>
        </w:rPr>
        <w:t>(</w:t>
      </w:r>
      <w:r>
        <w:rPr>
          <w:rFonts w:hint="eastAsia"/>
        </w:rPr>
        <w:t>第三欧洲抚养体制</w:t>
      </w:r>
      <w:r>
        <w:rPr>
          <w:rFonts w:hint="eastAsia"/>
        </w:rPr>
        <w:t>)</w:t>
      </w:r>
      <w:r>
        <w:rPr>
          <w:rFonts w:hint="eastAsia"/>
        </w:rPr>
        <w:t>提供部分资金，每天在一定时间内接待</w:t>
      </w:r>
      <w:r>
        <w:rPr>
          <w:rFonts w:hint="eastAsia"/>
        </w:rPr>
        <w:t>6</w:t>
      </w:r>
      <w:r>
        <w:rPr>
          <w:rFonts w:hint="eastAsia"/>
        </w:rPr>
        <w:t>至</w:t>
      </w:r>
      <w:r>
        <w:rPr>
          <w:rFonts w:hint="eastAsia"/>
        </w:rPr>
        <w:t>12</w:t>
      </w:r>
      <w:r>
        <w:rPr>
          <w:rFonts w:hint="eastAsia"/>
        </w:rPr>
        <w:t>岁儿童。这种中心把儿童安排在各种小组、手工室等地点进行课外活动</w:t>
      </w:r>
      <w:r>
        <w:rPr>
          <w:rFonts w:hint="eastAsia"/>
        </w:rPr>
        <w:t>(</w:t>
      </w:r>
      <w:r>
        <w:rPr>
          <w:rFonts w:hint="eastAsia"/>
        </w:rPr>
        <w:t>卫生和福利部决定</w:t>
      </w:r>
      <w:r>
        <w:rPr>
          <w:rFonts w:hint="eastAsia"/>
        </w:rPr>
        <w:t xml:space="preserve">PIB/GP OIK14951/ 2001, </w:t>
      </w:r>
      <w:r>
        <w:rPr>
          <w:rFonts w:hint="eastAsia"/>
        </w:rPr>
        <w:t>第</w:t>
      </w:r>
      <w:r>
        <w:rPr>
          <w:rFonts w:hint="eastAsia"/>
        </w:rPr>
        <w:t>1397/2001</w:t>
      </w:r>
      <w:r>
        <w:rPr>
          <w:rFonts w:hint="eastAsia"/>
        </w:rPr>
        <w:t>号《政府公报》，</w:t>
      </w:r>
      <w:r>
        <w:rPr>
          <w:rFonts w:hint="eastAsia"/>
        </w:rPr>
        <w:t>A</w:t>
      </w:r>
      <w:r>
        <w:rPr>
          <w:rFonts w:hint="eastAsia"/>
        </w:rPr>
        <w:t>卷</w:t>
      </w:r>
      <w:r>
        <w:rPr>
          <w:rFonts w:hint="eastAsia"/>
        </w:rPr>
        <w:t>)</w:t>
      </w:r>
      <w:r>
        <w:rPr>
          <w:rFonts w:hint="eastAsia"/>
        </w:rPr>
        <w:t>。</w:t>
      </w:r>
    </w:p>
    <w:p w:rsidR="00000000" w:rsidRDefault="00000000">
      <w:pPr>
        <w:rPr>
          <w:rFonts w:hint="eastAsia"/>
        </w:rPr>
      </w:pPr>
      <w:r>
        <w:rPr>
          <w:rFonts w:hint="eastAsia"/>
        </w:rPr>
        <w:tab/>
        <w:t xml:space="preserve">278.  </w:t>
      </w:r>
      <w:r>
        <w:rPr>
          <w:rFonts w:hint="eastAsia"/>
        </w:rPr>
        <w:t>儿童夏令营－一项向国家方案，接纳儿童、残疾人和低收入家庭。共有</w:t>
      </w:r>
      <w:r>
        <w:rPr>
          <w:rFonts w:hint="eastAsia"/>
        </w:rPr>
        <w:t>32</w:t>
      </w:r>
      <w:r>
        <w:rPr>
          <w:rFonts w:hint="eastAsia"/>
        </w:rPr>
        <w:t>个儿童夏令营</w:t>
      </w:r>
      <w:r>
        <w:rPr>
          <w:rFonts w:hint="eastAsia"/>
        </w:rPr>
        <w:t>(</w:t>
      </w:r>
      <w:r>
        <w:rPr>
          <w:rFonts w:hint="eastAsia"/>
        </w:rPr>
        <w:t>其中</w:t>
      </w:r>
      <w:r>
        <w:rPr>
          <w:rFonts w:hint="eastAsia"/>
        </w:rPr>
        <w:t>10</w:t>
      </w:r>
      <w:r>
        <w:rPr>
          <w:rFonts w:hint="eastAsia"/>
        </w:rPr>
        <w:t>个由国家社会福利组织监督下的机构管理，</w:t>
      </w:r>
      <w:r>
        <w:rPr>
          <w:rFonts w:hint="eastAsia"/>
        </w:rPr>
        <w:t>22</w:t>
      </w:r>
      <w:r>
        <w:rPr>
          <w:rFonts w:hint="eastAsia"/>
        </w:rPr>
        <w:t>个由地区政府管理</w:t>
      </w:r>
      <w:r>
        <w:rPr>
          <w:rFonts w:hint="eastAsia"/>
        </w:rPr>
        <w:t>)</w:t>
      </w:r>
      <w:r>
        <w:rPr>
          <w:rFonts w:hint="eastAsia"/>
        </w:rPr>
        <w:t>。</w:t>
      </w:r>
    </w:p>
    <w:p w:rsidR="00000000" w:rsidRDefault="00000000">
      <w:pPr>
        <w:rPr>
          <w:rFonts w:hint="eastAsia"/>
        </w:rPr>
      </w:pPr>
      <w:r>
        <w:rPr>
          <w:rFonts w:hint="eastAsia"/>
        </w:rPr>
        <w:tab/>
        <w:t xml:space="preserve">279.  </w:t>
      </w:r>
      <w:r>
        <w:rPr>
          <w:rFonts w:hint="eastAsia"/>
        </w:rPr>
        <w:t>根据地区政府的决定，私人机构和教会也向夏令营提供设施。另外，国家社会福利组织为保护有社会经济问题的儿童和家庭还采取了一系列社会和福利措施。</w:t>
      </w:r>
    </w:p>
    <w:p w:rsidR="00000000" w:rsidRDefault="00000000">
      <w:pPr>
        <w:rPr>
          <w:rFonts w:hint="eastAsia"/>
        </w:rPr>
      </w:pPr>
      <w:r>
        <w:rPr>
          <w:rFonts w:hint="eastAsia"/>
        </w:rPr>
        <w:tab/>
        <w:t xml:space="preserve">280.  </w:t>
      </w:r>
      <w:r>
        <w:rPr>
          <w:rFonts w:hint="eastAsia"/>
        </w:rPr>
        <w:t>卫生和福利部根据题为“发展国家福利系统”的</w:t>
      </w:r>
      <w:r>
        <w:rPr>
          <w:rFonts w:hint="eastAsia"/>
        </w:rPr>
        <w:t>2646/98</w:t>
      </w:r>
      <w:r>
        <w:rPr>
          <w:rFonts w:hint="eastAsia"/>
        </w:rPr>
        <w:t>号法律准备进行福利改革，目的是根据目前要求和需要建立一个全面而有效的社会保护网。</w:t>
      </w:r>
    </w:p>
    <w:p w:rsidR="00000000" w:rsidRDefault="00000000">
      <w:pPr>
        <w:rPr>
          <w:rFonts w:hint="eastAsia"/>
        </w:rPr>
      </w:pPr>
      <w:r>
        <w:rPr>
          <w:rFonts w:hint="eastAsia"/>
        </w:rPr>
        <w:tab/>
        <w:t xml:space="preserve">281.  </w:t>
      </w:r>
      <w:r>
        <w:rPr>
          <w:rFonts w:hint="eastAsia"/>
        </w:rPr>
        <w:t>卫生和福利部准备逐渐减少照顾失去家庭儿童的日照料中心，以便克服机构照料和抚养的缺陷。为此，目前正在实行一项大规模计划，把对缺乏保护儿童的机构照料办法改为一些替代性社会保护办法，如收养、家庭寄养、促进半自主生活的小住宅试验方案，帮助儿童与其他公民一起平等参与社会和经济生活。</w:t>
      </w:r>
    </w:p>
    <w:p w:rsidR="00000000" w:rsidRDefault="00000000">
      <w:pPr>
        <w:rPr>
          <w:rFonts w:hint="eastAsia"/>
        </w:rPr>
      </w:pPr>
      <w:r>
        <w:rPr>
          <w:rFonts w:hint="eastAsia"/>
        </w:rPr>
        <w:tab/>
        <w:t xml:space="preserve">282.  </w:t>
      </w:r>
      <w:r>
        <w:rPr>
          <w:rFonts w:hint="eastAsia"/>
        </w:rPr>
        <w:t>根据下列立法在分娩前</w:t>
      </w:r>
      <w:r>
        <w:rPr>
          <w:rFonts w:hint="eastAsia"/>
        </w:rPr>
        <w:t>6</w:t>
      </w:r>
      <w:r>
        <w:rPr>
          <w:rFonts w:hint="eastAsia"/>
        </w:rPr>
        <w:t>周和分娩后</w:t>
      </w:r>
      <w:r>
        <w:rPr>
          <w:rFonts w:hint="eastAsia"/>
        </w:rPr>
        <w:t>6</w:t>
      </w:r>
      <w:r>
        <w:rPr>
          <w:rFonts w:hint="eastAsia"/>
        </w:rPr>
        <w:t>周向不能受益于保险基金的工作母亲或没有保险的母亲提供生育补贴，以确保她们享有令人满意的生活水平：第</w:t>
      </w:r>
      <w:r>
        <w:rPr>
          <w:rFonts w:hint="eastAsia"/>
        </w:rPr>
        <w:t>1302/82</w:t>
      </w:r>
      <w:r>
        <w:rPr>
          <w:rFonts w:hint="eastAsia"/>
        </w:rPr>
        <w:t>号法律第</w:t>
      </w:r>
      <w:r>
        <w:rPr>
          <w:rFonts w:hint="eastAsia"/>
        </w:rPr>
        <w:t>4</w:t>
      </w:r>
      <w:r>
        <w:rPr>
          <w:rFonts w:hint="eastAsia"/>
        </w:rPr>
        <w:t>条第</w:t>
      </w:r>
      <w:r>
        <w:rPr>
          <w:rFonts w:hint="eastAsia"/>
        </w:rPr>
        <w:t>5</w:t>
      </w:r>
      <w:r>
        <w:rPr>
          <w:rFonts w:hint="eastAsia"/>
        </w:rPr>
        <w:t>款，根据这项法律批准了劳工组织关于保护生育的《第</w:t>
      </w:r>
      <w:r>
        <w:rPr>
          <w:rFonts w:hint="eastAsia"/>
        </w:rPr>
        <w:t>103 (1952)</w:t>
      </w:r>
      <w:r>
        <w:rPr>
          <w:rFonts w:hint="eastAsia"/>
        </w:rPr>
        <w:t>号公约》</w:t>
      </w:r>
      <w:r>
        <w:rPr>
          <w:rFonts w:hint="eastAsia"/>
        </w:rPr>
        <w:t>(</w:t>
      </w:r>
      <w:r>
        <w:rPr>
          <w:rFonts w:hint="eastAsia"/>
        </w:rPr>
        <w:t>第</w:t>
      </w:r>
      <w:r>
        <w:rPr>
          <w:rFonts w:hint="eastAsia"/>
        </w:rPr>
        <w:t>133</w:t>
      </w:r>
      <w:r>
        <w:rPr>
          <w:rFonts w:hint="eastAsia"/>
        </w:rPr>
        <w:t>号《政府公报》，</w:t>
      </w:r>
      <w:r>
        <w:rPr>
          <w:rFonts w:hint="eastAsia"/>
        </w:rPr>
        <w:t>A</w:t>
      </w:r>
      <w:r>
        <w:rPr>
          <w:rFonts w:hint="eastAsia"/>
        </w:rPr>
        <w:t>卷</w:t>
      </w:r>
      <w:r>
        <w:rPr>
          <w:rFonts w:hint="eastAsia"/>
        </w:rPr>
        <w:t>)</w:t>
      </w:r>
      <w:r>
        <w:rPr>
          <w:rFonts w:hint="eastAsia"/>
        </w:rPr>
        <w:t>；卫生和福利部决定</w:t>
      </w:r>
      <w:r>
        <w:t>Γ2β/10195/12.12.83</w:t>
      </w:r>
      <w:r>
        <w:rPr>
          <w:rFonts w:hint="eastAsia"/>
        </w:rPr>
        <w:t xml:space="preserve"> </w:t>
      </w:r>
      <w:r>
        <w:t>(</w:t>
      </w:r>
      <w:r>
        <w:rPr>
          <w:rFonts w:hint="eastAsia"/>
        </w:rPr>
        <w:t>第</w:t>
      </w:r>
      <w:r>
        <w:rPr>
          <w:rFonts w:hint="eastAsia"/>
        </w:rPr>
        <w:t>769</w:t>
      </w:r>
      <w:r>
        <w:rPr>
          <w:rFonts w:hint="eastAsia"/>
        </w:rPr>
        <w:t>号《政府公报》，</w:t>
      </w:r>
      <w:r>
        <w:rPr>
          <w:rFonts w:hint="eastAsia"/>
        </w:rPr>
        <w:t>B</w:t>
      </w:r>
      <w:r>
        <w:rPr>
          <w:rFonts w:hint="eastAsia"/>
        </w:rPr>
        <w:t>卷</w:t>
      </w:r>
      <w:r>
        <w:rPr>
          <w:rFonts w:hint="eastAsia"/>
        </w:rPr>
        <w:t>)</w:t>
      </w:r>
      <w:r>
        <w:rPr>
          <w:rFonts w:hint="eastAsia"/>
        </w:rPr>
        <w:t>、</w:t>
      </w:r>
      <w:r>
        <w:t>Γ2β/oικ.133/84</w:t>
      </w:r>
      <w:r>
        <w:rPr>
          <w:rFonts w:hint="eastAsia"/>
        </w:rPr>
        <w:t xml:space="preserve"> (</w:t>
      </w:r>
      <w:r>
        <w:rPr>
          <w:rFonts w:hint="eastAsia"/>
        </w:rPr>
        <w:t>第</w:t>
      </w:r>
      <w:r>
        <w:rPr>
          <w:rFonts w:hint="eastAsia"/>
        </w:rPr>
        <w:t>40</w:t>
      </w:r>
      <w:r>
        <w:rPr>
          <w:rFonts w:hint="eastAsia"/>
        </w:rPr>
        <w:t>号《政府公报》，</w:t>
      </w:r>
      <w:r>
        <w:rPr>
          <w:rFonts w:hint="eastAsia"/>
        </w:rPr>
        <w:t>B</w:t>
      </w:r>
      <w:r>
        <w:rPr>
          <w:rFonts w:hint="eastAsia"/>
        </w:rPr>
        <w:t>卷</w:t>
      </w:r>
      <w:r>
        <w:rPr>
          <w:rFonts w:hint="eastAsia"/>
        </w:rPr>
        <w:t>)</w:t>
      </w:r>
      <w:r>
        <w:rPr>
          <w:rFonts w:hint="eastAsia"/>
        </w:rPr>
        <w:t>和</w:t>
      </w:r>
      <w:r>
        <w:t>П2β/oικ.233</w:t>
      </w:r>
      <w:r>
        <w:rPr>
          <w:rFonts w:hint="eastAsia"/>
        </w:rPr>
        <w:t>1</w:t>
      </w:r>
      <w:r>
        <w:t>/</w:t>
      </w:r>
      <w:r>
        <w:rPr>
          <w:rFonts w:hint="eastAsia"/>
        </w:rPr>
        <w:t>96(</w:t>
      </w:r>
      <w:r>
        <w:rPr>
          <w:rFonts w:hint="eastAsia"/>
        </w:rPr>
        <w:t>第</w:t>
      </w:r>
      <w:r>
        <w:rPr>
          <w:rFonts w:hint="eastAsia"/>
        </w:rPr>
        <w:t>467</w:t>
      </w:r>
      <w:r>
        <w:rPr>
          <w:rFonts w:hint="eastAsia"/>
        </w:rPr>
        <w:t>号《政府公报》，</w:t>
      </w:r>
      <w:r>
        <w:rPr>
          <w:rFonts w:hint="eastAsia"/>
        </w:rPr>
        <w:t>B</w:t>
      </w:r>
      <w:r>
        <w:rPr>
          <w:rFonts w:hint="eastAsia"/>
        </w:rPr>
        <w:t>卷</w:t>
      </w:r>
      <w:r>
        <w:rPr>
          <w:rFonts w:hint="eastAsia"/>
        </w:rPr>
        <w:t>)</w:t>
      </w:r>
      <w:r>
        <w:rPr>
          <w:rFonts w:hint="eastAsia"/>
        </w:rPr>
        <w:t>。</w:t>
      </w:r>
    </w:p>
    <w:p w:rsidR="00000000" w:rsidRDefault="00000000">
      <w:pPr>
        <w:rPr>
          <w:rFonts w:hint="eastAsia"/>
        </w:rPr>
      </w:pPr>
      <w:r>
        <w:rPr>
          <w:rFonts w:hint="eastAsia"/>
        </w:rPr>
        <w:tab/>
        <w:t xml:space="preserve">283.  </w:t>
      </w:r>
      <w:r>
        <w:rPr>
          <w:rFonts w:hint="eastAsia"/>
        </w:rPr>
        <w:t>补贴是根据卫生和福利部的决定提供的，目前的数额是</w:t>
      </w:r>
      <w:r>
        <w:rPr>
          <w:rFonts w:hint="eastAsia"/>
        </w:rPr>
        <w:t>220.10</w:t>
      </w:r>
      <w:r>
        <w:rPr>
          <w:rFonts w:hint="eastAsia"/>
        </w:rPr>
        <w:t>欧元</w:t>
      </w:r>
      <w:r>
        <w:rPr>
          <w:rFonts w:hint="eastAsia"/>
        </w:rPr>
        <w:t>(</w:t>
      </w:r>
      <w:r>
        <w:rPr>
          <w:rFonts w:hint="eastAsia"/>
        </w:rPr>
        <w:t>分娩前</w:t>
      </w:r>
      <w:r>
        <w:rPr>
          <w:rFonts w:hint="eastAsia"/>
        </w:rPr>
        <w:t>110.5</w:t>
      </w:r>
      <w:r>
        <w:rPr>
          <w:rFonts w:hint="eastAsia"/>
        </w:rPr>
        <w:t>欧元，分娩后</w:t>
      </w:r>
      <w:r>
        <w:rPr>
          <w:rFonts w:hint="eastAsia"/>
        </w:rPr>
        <w:t>110.5</w:t>
      </w:r>
      <w:r>
        <w:rPr>
          <w:rFonts w:hint="eastAsia"/>
        </w:rPr>
        <w:t>欧元</w:t>
      </w:r>
      <w:r>
        <w:rPr>
          <w:rFonts w:hint="eastAsia"/>
        </w:rPr>
        <w:t>)</w:t>
      </w:r>
      <w:r>
        <w:rPr>
          <w:rFonts w:hint="eastAsia"/>
        </w:rPr>
        <w:t>。根据这一方案，受益者人数如下：</w:t>
      </w:r>
      <w:r>
        <w:rPr>
          <w:rFonts w:hint="eastAsia"/>
        </w:rPr>
        <w:t>2000</w:t>
      </w:r>
      <w:r>
        <w:rPr>
          <w:rFonts w:hint="eastAsia"/>
        </w:rPr>
        <w:t>年</w:t>
      </w:r>
      <w:r>
        <w:rPr>
          <w:rFonts w:hint="eastAsia"/>
        </w:rPr>
        <w:t>797</w:t>
      </w:r>
      <w:r>
        <w:rPr>
          <w:rFonts w:hint="eastAsia"/>
        </w:rPr>
        <w:t>名母亲，</w:t>
      </w:r>
      <w:r>
        <w:rPr>
          <w:rFonts w:hint="eastAsia"/>
        </w:rPr>
        <w:t>2001</w:t>
      </w:r>
      <w:r>
        <w:rPr>
          <w:rFonts w:hint="eastAsia"/>
        </w:rPr>
        <w:t>年</w:t>
      </w:r>
      <w:r>
        <w:rPr>
          <w:rFonts w:hint="eastAsia"/>
        </w:rPr>
        <w:t>712</w:t>
      </w:r>
      <w:r>
        <w:rPr>
          <w:rFonts w:hint="eastAsia"/>
        </w:rPr>
        <w:t>名母亲</w:t>
      </w:r>
      <w:r>
        <w:rPr>
          <w:rFonts w:hint="eastAsia"/>
        </w:rPr>
        <w:t>(</w:t>
      </w:r>
      <w:r>
        <w:rPr>
          <w:rFonts w:hint="eastAsia"/>
        </w:rPr>
        <w:t>资料来源：卫生和福利部</w:t>
      </w:r>
      <w:r>
        <w:rPr>
          <w:rFonts w:hint="eastAsia"/>
        </w:rPr>
        <w:t>/</w:t>
      </w:r>
      <w:r>
        <w:rPr>
          <w:rFonts w:hint="eastAsia"/>
        </w:rPr>
        <w:t>家庭保护司</w:t>
      </w:r>
      <w:r>
        <w:rPr>
          <w:rFonts w:hint="eastAsia"/>
        </w:rPr>
        <w:t>)</w:t>
      </w:r>
      <w:r>
        <w:rPr>
          <w:rFonts w:hint="eastAsia"/>
        </w:rPr>
        <w:t>。</w:t>
      </w:r>
    </w:p>
    <w:p w:rsidR="00000000" w:rsidRDefault="00000000">
      <w:pPr>
        <w:rPr>
          <w:rFonts w:hint="eastAsia"/>
        </w:rPr>
      </w:pPr>
      <w:r>
        <w:rPr>
          <w:rFonts w:hint="eastAsia"/>
        </w:rPr>
        <w:tab/>
        <w:t xml:space="preserve">284.  </w:t>
      </w:r>
      <w:r>
        <w:rPr>
          <w:rFonts w:hint="eastAsia"/>
        </w:rPr>
        <w:t>各种机构照料方案向缺乏保护的儿童提供帮助，包括通过下列办法向缺乏保护的儿童或失去家庭的儿童提供机构保护：</w:t>
      </w:r>
    </w:p>
    <w:p w:rsidR="00000000" w:rsidRDefault="00000000">
      <w:pPr>
        <w:numPr>
          <w:ilvl w:val="0"/>
          <w:numId w:val="130"/>
        </w:numPr>
        <w:rPr>
          <w:rFonts w:hint="eastAsia"/>
          <w:u w:val="single"/>
        </w:rPr>
      </w:pPr>
      <w:r>
        <w:rPr>
          <w:rFonts w:hint="eastAsia"/>
          <w:u w:val="single"/>
        </w:rPr>
        <w:t>儿童照料中心</w:t>
      </w:r>
      <w:r>
        <w:rPr>
          <w:rFonts w:hint="eastAsia"/>
        </w:rPr>
        <w:t>(</w:t>
      </w:r>
      <w:r>
        <w:rPr>
          <w:rFonts w:hint="eastAsia"/>
        </w:rPr>
        <w:t>第</w:t>
      </w:r>
      <w:r>
        <w:rPr>
          <w:rFonts w:hint="eastAsia"/>
        </w:rPr>
        <w:t>2851/22</w:t>
      </w:r>
      <w:r>
        <w:rPr>
          <w:rFonts w:hint="eastAsia"/>
        </w:rPr>
        <w:t>号法律，第</w:t>
      </w:r>
      <w:r>
        <w:rPr>
          <w:rFonts w:hint="eastAsia"/>
        </w:rPr>
        <w:t>114</w:t>
      </w:r>
      <w:r>
        <w:rPr>
          <w:rFonts w:hint="eastAsia"/>
        </w:rPr>
        <w:t>号《政府公报》，</w:t>
      </w:r>
      <w:r>
        <w:rPr>
          <w:rFonts w:hint="eastAsia"/>
        </w:rPr>
        <w:t>A</w:t>
      </w:r>
      <w:r>
        <w:rPr>
          <w:rFonts w:hint="eastAsia"/>
        </w:rPr>
        <w:t>卷；第</w:t>
      </w:r>
      <w:r>
        <w:rPr>
          <w:rFonts w:hint="eastAsia"/>
        </w:rPr>
        <w:t>273/73</w:t>
      </w:r>
      <w:r>
        <w:rPr>
          <w:rFonts w:hint="eastAsia"/>
        </w:rPr>
        <w:t>号总统令，第</w:t>
      </w:r>
      <w:r>
        <w:rPr>
          <w:rFonts w:hint="eastAsia"/>
        </w:rPr>
        <w:t>81</w:t>
      </w:r>
      <w:r>
        <w:rPr>
          <w:rFonts w:hint="eastAsia"/>
        </w:rPr>
        <w:t>号《政府报告》，</w:t>
      </w:r>
      <w:r>
        <w:rPr>
          <w:rFonts w:hint="eastAsia"/>
        </w:rPr>
        <w:t>A</w:t>
      </w:r>
      <w:r>
        <w:rPr>
          <w:rFonts w:hint="eastAsia"/>
        </w:rPr>
        <w:t>卷；第</w:t>
      </w:r>
      <w:r>
        <w:rPr>
          <w:rFonts w:hint="eastAsia"/>
        </w:rPr>
        <w:t>1431/84</w:t>
      </w:r>
      <w:r>
        <w:rPr>
          <w:rFonts w:hint="eastAsia"/>
        </w:rPr>
        <w:t>号法律，第</w:t>
      </w:r>
      <w:r>
        <w:rPr>
          <w:rFonts w:hint="eastAsia"/>
        </w:rPr>
        <w:t>46</w:t>
      </w:r>
      <w:r>
        <w:rPr>
          <w:rFonts w:hint="eastAsia"/>
        </w:rPr>
        <w:t>号《政府报告》，</w:t>
      </w:r>
      <w:r>
        <w:rPr>
          <w:rFonts w:hint="eastAsia"/>
        </w:rPr>
        <w:t>A</w:t>
      </w:r>
      <w:r>
        <w:rPr>
          <w:rFonts w:hint="eastAsia"/>
        </w:rPr>
        <w:t>卷；卫生和福利部决定</w:t>
      </w:r>
      <w:r>
        <w:rPr>
          <w:rFonts w:hint="eastAsia"/>
        </w:rPr>
        <w:t xml:space="preserve">F2B/OIK 8291/84, </w:t>
      </w:r>
      <w:r>
        <w:rPr>
          <w:rFonts w:hint="eastAsia"/>
        </w:rPr>
        <w:t>第</w:t>
      </w:r>
      <w:r>
        <w:rPr>
          <w:rFonts w:hint="eastAsia"/>
        </w:rPr>
        <w:t>860</w:t>
      </w:r>
      <w:r>
        <w:rPr>
          <w:rFonts w:hint="eastAsia"/>
        </w:rPr>
        <w:t>号《政府报告》，</w:t>
      </w:r>
      <w:r>
        <w:rPr>
          <w:rFonts w:hint="eastAsia"/>
        </w:rPr>
        <w:t>B</w:t>
      </w:r>
      <w:r>
        <w:rPr>
          <w:rFonts w:hint="eastAsia"/>
        </w:rPr>
        <w:t>卷</w:t>
      </w:r>
      <w:r>
        <w:rPr>
          <w:rFonts w:hint="eastAsia"/>
        </w:rPr>
        <w:t>)</w:t>
      </w:r>
      <w:r>
        <w:rPr>
          <w:rFonts w:hint="eastAsia"/>
        </w:rPr>
        <w:t>。这类中心接纳</w:t>
      </w:r>
      <w:r>
        <w:rPr>
          <w:rFonts w:hint="eastAsia"/>
        </w:rPr>
        <w:t>6</w:t>
      </w:r>
      <w:r>
        <w:rPr>
          <w:rFonts w:hint="eastAsia"/>
        </w:rPr>
        <w:t>至</w:t>
      </w:r>
      <w:r>
        <w:rPr>
          <w:rFonts w:hint="eastAsia"/>
        </w:rPr>
        <w:t>16</w:t>
      </w:r>
      <w:r>
        <w:rPr>
          <w:rFonts w:hint="eastAsia"/>
        </w:rPr>
        <w:t>岁儿童，可将住留期限延长至初中毕业。这种中心有</w:t>
      </w:r>
      <w:r>
        <w:rPr>
          <w:rFonts w:hint="eastAsia"/>
        </w:rPr>
        <w:t>13</w:t>
      </w:r>
      <w:r>
        <w:rPr>
          <w:rFonts w:hint="eastAsia"/>
        </w:rPr>
        <w:t>个，由国家预算拨款，向</w:t>
      </w:r>
      <w:r>
        <w:rPr>
          <w:rFonts w:hint="eastAsia"/>
        </w:rPr>
        <w:t>600</w:t>
      </w:r>
      <w:r>
        <w:rPr>
          <w:rFonts w:hint="eastAsia"/>
        </w:rPr>
        <w:t>名儿童提供保护；</w:t>
      </w:r>
    </w:p>
    <w:p w:rsidR="00000000" w:rsidRDefault="00000000">
      <w:pPr>
        <w:numPr>
          <w:ilvl w:val="0"/>
          <w:numId w:val="130"/>
        </w:numPr>
        <w:rPr>
          <w:rFonts w:hint="eastAsia"/>
          <w:u w:val="single"/>
        </w:rPr>
      </w:pPr>
      <w:r>
        <w:rPr>
          <w:rFonts w:hint="eastAsia"/>
          <w:u w:val="single"/>
        </w:rPr>
        <w:t>教会机构和各种其他私人机构</w:t>
      </w:r>
      <w:r>
        <w:rPr>
          <w:rFonts w:hint="eastAsia"/>
        </w:rPr>
        <w:t>：在运营的这种机构有</w:t>
      </w:r>
      <w:r>
        <w:rPr>
          <w:rFonts w:hint="eastAsia"/>
        </w:rPr>
        <w:t>47</w:t>
      </w:r>
      <w:r>
        <w:rPr>
          <w:rFonts w:hint="eastAsia"/>
        </w:rPr>
        <w:t>个，向</w:t>
      </w:r>
      <w:r>
        <w:rPr>
          <w:rFonts w:hint="eastAsia"/>
        </w:rPr>
        <w:t>1,500</w:t>
      </w:r>
      <w:r>
        <w:rPr>
          <w:rFonts w:hint="eastAsia"/>
        </w:rPr>
        <w:t>名儿童提供保护。它们作为机构或协会运营</w:t>
      </w:r>
      <w:r>
        <w:rPr>
          <w:rFonts w:hint="eastAsia"/>
        </w:rPr>
        <w:t>(</w:t>
      </w:r>
      <w:r>
        <w:rPr>
          <w:rFonts w:hint="eastAsia"/>
        </w:rPr>
        <w:t>第</w:t>
      </w:r>
      <w:r>
        <w:rPr>
          <w:rFonts w:hint="eastAsia"/>
        </w:rPr>
        <w:t>111/72</w:t>
      </w:r>
      <w:r>
        <w:rPr>
          <w:rFonts w:hint="eastAsia"/>
        </w:rPr>
        <w:t>号法律，第</w:t>
      </w:r>
      <w:r>
        <w:rPr>
          <w:rFonts w:hint="eastAsia"/>
        </w:rPr>
        <w:t>23</w:t>
      </w:r>
      <w:r>
        <w:rPr>
          <w:rFonts w:hint="eastAsia"/>
        </w:rPr>
        <w:t>号《政府报告》，</w:t>
      </w:r>
      <w:r>
        <w:rPr>
          <w:rFonts w:hint="eastAsia"/>
        </w:rPr>
        <w:t>A</w:t>
      </w:r>
      <w:r>
        <w:rPr>
          <w:rFonts w:hint="eastAsia"/>
        </w:rPr>
        <w:t>卷；第</w:t>
      </w:r>
      <w:r>
        <w:rPr>
          <w:rFonts w:hint="eastAsia"/>
        </w:rPr>
        <w:t>2039/39</w:t>
      </w:r>
      <w:r>
        <w:rPr>
          <w:rFonts w:hint="eastAsia"/>
        </w:rPr>
        <w:t>号法律，第</w:t>
      </w:r>
      <w:r>
        <w:rPr>
          <w:rFonts w:hint="eastAsia"/>
        </w:rPr>
        <w:t>455</w:t>
      </w:r>
      <w:r>
        <w:rPr>
          <w:rFonts w:hint="eastAsia"/>
        </w:rPr>
        <w:t>号《政府报告》，</w:t>
      </w:r>
      <w:r>
        <w:rPr>
          <w:rFonts w:hint="eastAsia"/>
        </w:rPr>
        <w:t>A</w:t>
      </w:r>
      <w:r>
        <w:rPr>
          <w:rFonts w:hint="eastAsia"/>
        </w:rPr>
        <w:t>卷</w:t>
      </w:r>
      <w:r>
        <w:rPr>
          <w:rFonts w:hint="eastAsia"/>
        </w:rPr>
        <w:t>)</w:t>
      </w:r>
      <w:r>
        <w:rPr>
          <w:rFonts w:hint="eastAsia"/>
        </w:rPr>
        <w:t>。其中一些得到国家预算的补贴。</w:t>
      </w:r>
    </w:p>
    <w:p w:rsidR="00000000" w:rsidRDefault="00000000">
      <w:pPr>
        <w:numPr>
          <w:ilvl w:val="0"/>
          <w:numId w:val="130"/>
        </w:numPr>
        <w:rPr>
          <w:rFonts w:hint="eastAsia"/>
          <w:spacing w:val="4"/>
          <w:u w:val="single"/>
        </w:rPr>
      </w:pPr>
      <w:r>
        <w:rPr>
          <w:rFonts w:hint="eastAsia"/>
          <w:spacing w:val="4"/>
          <w:u w:val="single"/>
        </w:rPr>
        <w:t>国家社会服务组织儿童村</w:t>
      </w:r>
      <w:r>
        <w:rPr>
          <w:rFonts w:hint="eastAsia"/>
          <w:spacing w:val="4"/>
        </w:rPr>
        <w:t>：儿童村有</w:t>
      </w:r>
      <w:r>
        <w:rPr>
          <w:rFonts w:hint="eastAsia"/>
          <w:spacing w:val="4"/>
        </w:rPr>
        <w:t>7</w:t>
      </w:r>
      <w:r>
        <w:rPr>
          <w:rFonts w:hint="eastAsia"/>
          <w:spacing w:val="4"/>
        </w:rPr>
        <w:t>个，由国家预算拨款，接纳</w:t>
      </w:r>
      <w:r>
        <w:rPr>
          <w:rFonts w:hint="eastAsia"/>
          <w:spacing w:val="4"/>
        </w:rPr>
        <w:t>264</w:t>
      </w:r>
      <w:r>
        <w:rPr>
          <w:rFonts w:hint="eastAsia"/>
          <w:spacing w:val="4"/>
        </w:rPr>
        <w:t>名儿童。还有一些保护被遗弃或受摧残儿童的专门方案，由国家社会服务组织监督下的机构</w:t>
      </w:r>
      <w:r>
        <w:rPr>
          <w:rFonts w:hint="eastAsia"/>
          <w:spacing w:val="4"/>
        </w:rPr>
        <w:t>(</w:t>
      </w:r>
      <w:r>
        <w:rPr>
          <w:rFonts w:hint="eastAsia"/>
          <w:spacing w:val="4"/>
        </w:rPr>
        <w:t>例如</w:t>
      </w:r>
      <w:r>
        <w:rPr>
          <w:rFonts w:hint="eastAsia"/>
          <w:spacing w:val="4"/>
        </w:rPr>
        <w:t>PIKPA)</w:t>
      </w:r>
      <w:r>
        <w:rPr>
          <w:rFonts w:hint="eastAsia"/>
          <w:spacing w:val="4"/>
        </w:rPr>
        <w:t>执行，也是由国家预算拨款。另外，还有一项向家庭中缺乏保护的</w:t>
      </w:r>
      <w:r>
        <w:rPr>
          <w:rFonts w:hint="eastAsia"/>
          <w:spacing w:val="4"/>
        </w:rPr>
        <w:t>16</w:t>
      </w:r>
      <w:r>
        <w:rPr>
          <w:rFonts w:hint="eastAsia"/>
          <w:spacing w:val="4"/>
        </w:rPr>
        <w:t>岁以下儿童提供经济支援的方案。</w:t>
      </w:r>
    </w:p>
    <w:p w:rsidR="00000000" w:rsidRDefault="00000000">
      <w:pPr>
        <w:numPr>
          <w:ilvl w:val="0"/>
          <w:numId w:val="130"/>
        </w:numPr>
        <w:rPr>
          <w:rFonts w:hint="eastAsia"/>
          <w:u w:val="single"/>
        </w:rPr>
      </w:pPr>
      <w:r>
        <w:rPr>
          <w:rFonts w:hint="eastAsia"/>
          <w:u w:val="single"/>
        </w:rPr>
        <w:t>“</w:t>
      </w:r>
      <w:r>
        <w:rPr>
          <w:rFonts w:hint="eastAsia"/>
          <w:u w:val="single"/>
        </w:rPr>
        <w:t>M</w:t>
      </w:r>
      <w:r>
        <w:rPr>
          <w:u w:val="single"/>
        </w:rPr>
        <w:t>itera</w:t>
      </w:r>
      <w:r>
        <w:rPr>
          <w:rFonts w:hint="eastAsia"/>
          <w:u w:val="single"/>
        </w:rPr>
        <w:t>”婴儿中心</w:t>
      </w:r>
      <w:r>
        <w:rPr>
          <w:rFonts w:hint="eastAsia"/>
        </w:rPr>
        <w:t>：这个中心向</w:t>
      </w:r>
      <w:r>
        <w:rPr>
          <w:rFonts w:hint="eastAsia"/>
        </w:rPr>
        <w:t>80</w:t>
      </w:r>
      <w:r>
        <w:rPr>
          <w:rFonts w:hint="eastAsia"/>
        </w:rPr>
        <w:t>名婴儿提供保护。</w:t>
      </w:r>
    </w:p>
    <w:p w:rsidR="00000000" w:rsidRDefault="00000000">
      <w:pPr>
        <w:rPr>
          <w:rFonts w:hint="eastAsia"/>
        </w:rPr>
      </w:pPr>
      <w:r>
        <w:rPr>
          <w:rFonts w:hint="eastAsia"/>
        </w:rPr>
        <w:tab/>
        <w:t xml:space="preserve">285.  </w:t>
      </w:r>
      <w:r>
        <w:rPr>
          <w:rFonts w:hint="eastAsia"/>
        </w:rPr>
        <w:t>根据卫生和福利部委托国家社会服务组织执行的一项方案，流浪儿童在雅典的“</w:t>
      </w:r>
      <w:r>
        <w:rPr>
          <w:rFonts w:hint="eastAsia"/>
        </w:rPr>
        <w:t>A</w:t>
      </w:r>
      <w:r>
        <w:t>gia barbara</w:t>
      </w:r>
      <w:r>
        <w:rPr>
          <w:rFonts w:hint="eastAsia"/>
        </w:rPr>
        <w:t>”和塞萨洛尼基的“</w:t>
      </w:r>
      <w:r>
        <w:rPr>
          <w:rFonts w:hint="eastAsia"/>
        </w:rPr>
        <w:t>P</w:t>
      </w:r>
      <w:r>
        <w:t>hiloxenia</w:t>
      </w:r>
      <w:r>
        <w:rPr>
          <w:rFonts w:hint="eastAsia"/>
        </w:rPr>
        <w:t>”等适当组织中得到短期收容、照料和保护。这些组织由国家预算拨款，利用专门人员向流浪儿童提供住所、衣服、咨询服务和帮助。卫生和福利部准备推行一些新方案，按照这些方案，将改善向被遗弃儿童提供的机构照料和服务质量。</w:t>
      </w:r>
    </w:p>
    <w:p w:rsidR="00000000" w:rsidRDefault="00000000">
      <w:pPr>
        <w:rPr>
          <w:rFonts w:hint="eastAsia"/>
        </w:rPr>
      </w:pPr>
      <w:r>
        <w:rPr>
          <w:rFonts w:hint="eastAsia"/>
        </w:rPr>
        <w:tab/>
        <w:t xml:space="preserve">286.  </w:t>
      </w:r>
      <w:r>
        <w:rPr>
          <w:rFonts w:hint="eastAsia"/>
        </w:rPr>
        <w:t>中央和地方服务机构</w:t>
      </w:r>
      <w:r>
        <w:rPr>
          <w:rFonts w:hint="eastAsia"/>
        </w:rPr>
        <w:t>(</w:t>
      </w:r>
      <w:r>
        <w:rPr>
          <w:rFonts w:hint="eastAsia"/>
        </w:rPr>
        <w:t>如地区服务部</w:t>
      </w:r>
      <w:r>
        <w:rPr>
          <w:rFonts w:hint="eastAsia"/>
        </w:rPr>
        <w:t>)</w:t>
      </w:r>
      <w:r>
        <w:rPr>
          <w:rFonts w:hint="eastAsia"/>
        </w:rPr>
        <w:t>都利用任何可得到的关于被遗弃儿童的信息，将他们列入现有福利服务的范围，使他们得到心理医生、社会工作者和医生的帮助、咨询、住房、食物和衣服。</w:t>
      </w:r>
    </w:p>
    <w:p w:rsidR="00000000" w:rsidRDefault="00000000">
      <w:pPr>
        <w:spacing w:after="160"/>
        <w:rPr>
          <w:rFonts w:hint="eastAsia"/>
        </w:rPr>
      </w:pPr>
      <w:r>
        <w:rPr>
          <w:rFonts w:hint="eastAsia"/>
        </w:rPr>
        <w:tab/>
        <w:t xml:space="preserve">287.  </w:t>
      </w:r>
      <w:r>
        <w:rPr>
          <w:rFonts w:hint="eastAsia"/>
        </w:rPr>
        <w:t>与欧洲联盟的第二和第三欧洲抚养体制以及</w:t>
      </w:r>
      <w:r>
        <w:t>Interreg II</w:t>
      </w:r>
      <w:r>
        <w:rPr>
          <w:rFonts w:hint="eastAsia"/>
        </w:rPr>
        <w:t>和</w:t>
      </w:r>
      <w:r>
        <w:t>III</w:t>
      </w:r>
      <w:r>
        <w:rPr>
          <w:rFonts w:hint="eastAsia"/>
        </w:rPr>
        <w:t>方案合作改善所提供服务。下面是以这些为基础的行动计划的简要介绍：</w:t>
      </w:r>
    </w:p>
    <w:p w:rsidR="00000000" w:rsidRDefault="00000000">
      <w:pPr>
        <w:pStyle w:val="Heading4"/>
        <w:spacing w:after="160"/>
        <w:rPr>
          <w:rFonts w:hint="eastAsia"/>
        </w:rPr>
      </w:pPr>
      <w:r>
        <w:rPr>
          <w:u w:val="none"/>
        </w:rPr>
        <w:t>(a)</w:t>
      </w:r>
      <w:r>
        <w:rPr>
          <w:rFonts w:hint="eastAsia"/>
          <w:u w:val="none"/>
        </w:rPr>
        <w:tab/>
      </w:r>
      <w:r>
        <w:rPr>
          <w:rFonts w:hint="eastAsia"/>
        </w:rPr>
        <w:t>1994</w:t>
      </w:r>
      <w:r>
        <w:rPr>
          <w:rFonts w:hint="eastAsia"/>
        </w:rPr>
        <w:t>至</w:t>
      </w:r>
      <w:r>
        <w:rPr>
          <w:rFonts w:hint="eastAsia"/>
        </w:rPr>
        <w:t>1999</w:t>
      </w:r>
      <w:r>
        <w:rPr>
          <w:rFonts w:hint="eastAsia"/>
        </w:rPr>
        <w:t>年第二欧洲抚养体制“卫生和福利”行动方案</w:t>
      </w:r>
    </w:p>
    <w:p w:rsidR="00000000" w:rsidRDefault="00000000">
      <w:pPr>
        <w:pStyle w:val="Heading4"/>
        <w:spacing w:after="160"/>
        <w:rPr>
          <w:rFonts w:hint="eastAsia"/>
        </w:rPr>
      </w:pPr>
      <w:r>
        <w:rPr>
          <w:rFonts w:hint="eastAsia"/>
          <w:u w:val="none"/>
        </w:rPr>
        <w:tab/>
      </w:r>
      <w:r>
        <w:rPr>
          <w:rFonts w:hint="eastAsia"/>
        </w:rPr>
        <w:t>分项</w:t>
      </w:r>
      <w:r>
        <w:rPr>
          <w:rFonts w:hint="eastAsia"/>
        </w:rPr>
        <w:t>2</w:t>
      </w:r>
      <w:r>
        <w:rPr>
          <w:rFonts w:hint="eastAsia"/>
        </w:rPr>
        <w:t>“福利”</w:t>
      </w:r>
    </w:p>
    <w:p w:rsidR="00000000" w:rsidRDefault="00000000">
      <w:pPr>
        <w:pStyle w:val="a0"/>
        <w:tabs>
          <w:tab w:val="num" w:pos="1530"/>
        </w:tabs>
        <w:ind w:left="1530"/>
        <w:rPr>
          <w:rFonts w:hint="eastAsia"/>
        </w:rPr>
      </w:pPr>
      <w:r>
        <w:rPr>
          <w:rFonts w:hint="eastAsia"/>
        </w:rPr>
        <w:t>24</w:t>
      </w:r>
      <w:r>
        <w:rPr>
          <w:rFonts w:hint="eastAsia"/>
        </w:rPr>
        <w:t>个残疾人社会支援和职业培训中心的基础设施和设备；</w:t>
      </w:r>
    </w:p>
    <w:p w:rsidR="00000000" w:rsidRDefault="00000000">
      <w:pPr>
        <w:pStyle w:val="a0"/>
        <w:tabs>
          <w:tab w:val="num" w:pos="1530"/>
        </w:tabs>
        <w:ind w:left="1530"/>
        <w:rPr>
          <w:rFonts w:hint="eastAsia"/>
        </w:rPr>
      </w:pPr>
      <w:r>
        <w:rPr>
          <w:rFonts w:hint="eastAsia"/>
        </w:rPr>
        <w:t>残疾人服务机构</w:t>
      </w:r>
      <w:r>
        <w:rPr>
          <w:rFonts w:hint="eastAsia"/>
        </w:rPr>
        <w:t>(</w:t>
      </w:r>
      <w:r>
        <w:rPr>
          <w:rFonts w:hint="eastAsia"/>
        </w:rPr>
        <w:t>身体和社会康复中心</w:t>
      </w:r>
      <w:r>
        <w:rPr>
          <w:rFonts w:hint="eastAsia"/>
        </w:rPr>
        <w:t>)</w:t>
      </w:r>
      <w:r>
        <w:rPr>
          <w:rFonts w:hint="eastAsia"/>
        </w:rPr>
        <w:t>和孤寡老人中心的基础设施和设备；</w:t>
      </w:r>
    </w:p>
    <w:p w:rsidR="00000000" w:rsidRDefault="00000000">
      <w:pPr>
        <w:pStyle w:val="a0"/>
        <w:tabs>
          <w:tab w:val="num" w:pos="1530"/>
        </w:tabs>
        <w:spacing w:after="160"/>
        <w:ind w:left="1530"/>
        <w:rPr>
          <w:rFonts w:hint="eastAsia"/>
        </w:rPr>
      </w:pPr>
      <w:r>
        <w:rPr>
          <w:rFonts w:hint="eastAsia"/>
        </w:rPr>
        <w:t>解决社会排斥问题的基础设施</w:t>
      </w:r>
      <w:r>
        <w:rPr>
          <w:rFonts w:hint="eastAsia"/>
        </w:rPr>
        <w:t>(</w:t>
      </w:r>
      <w:r>
        <w:rPr>
          <w:rFonts w:hint="eastAsia"/>
        </w:rPr>
        <w:t>心理和社会支援以及临时收容</w:t>
      </w:r>
      <w:r>
        <w:rPr>
          <w:rFonts w:hint="eastAsia"/>
        </w:rPr>
        <w:t>)</w:t>
      </w:r>
      <w:r>
        <w:rPr>
          <w:rFonts w:hint="eastAsia"/>
        </w:rPr>
        <w:t>。支援遭受社会排斥人员和家庭的国家社会支援中心负责提供这些服务。</w:t>
      </w:r>
    </w:p>
    <w:p w:rsidR="00000000" w:rsidRDefault="00000000">
      <w:pPr>
        <w:pStyle w:val="Heading4"/>
        <w:spacing w:after="160"/>
        <w:rPr>
          <w:rFonts w:hint="eastAsia"/>
        </w:rPr>
      </w:pPr>
      <w:r>
        <w:rPr>
          <w:rFonts w:hint="eastAsia"/>
          <w:u w:val="none"/>
        </w:rPr>
        <w:tab/>
      </w:r>
      <w:r>
        <w:rPr>
          <w:rFonts w:hint="eastAsia"/>
        </w:rPr>
        <w:t>分项</w:t>
      </w:r>
      <w:r>
        <w:rPr>
          <w:rFonts w:hint="eastAsia"/>
        </w:rPr>
        <w:t>3</w:t>
      </w:r>
      <w:r>
        <w:rPr>
          <w:rFonts w:hint="eastAsia"/>
        </w:rPr>
        <w:t>“人力资源”</w:t>
      </w:r>
    </w:p>
    <w:p w:rsidR="00000000" w:rsidRDefault="00000000">
      <w:pPr>
        <w:pStyle w:val="a0"/>
        <w:tabs>
          <w:tab w:val="num" w:pos="1530"/>
        </w:tabs>
        <w:spacing w:after="240"/>
        <w:ind w:left="1530"/>
        <w:rPr>
          <w:rFonts w:hint="eastAsia"/>
        </w:rPr>
      </w:pPr>
      <w:r>
        <w:rPr>
          <w:rFonts w:hint="eastAsia"/>
        </w:rPr>
        <w:t>福利服务人员不间断职业培训方案。</w:t>
      </w:r>
    </w:p>
    <w:p w:rsidR="00000000" w:rsidRDefault="00000000">
      <w:pPr>
        <w:pStyle w:val="Heading4"/>
        <w:rPr>
          <w:rFonts w:hint="eastAsia"/>
          <w:u w:val="none"/>
        </w:rPr>
      </w:pPr>
      <w:r>
        <w:rPr>
          <w:u w:val="none"/>
        </w:rPr>
        <w:t>(b)</w:t>
      </w:r>
      <w:r>
        <w:rPr>
          <w:rFonts w:hint="eastAsia"/>
          <w:u w:val="none"/>
        </w:rPr>
        <w:tab/>
      </w:r>
      <w:r>
        <w:rPr>
          <w:rFonts w:hint="eastAsia"/>
        </w:rPr>
        <w:t>1994</w:t>
      </w:r>
      <w:r>
        <w:rPr>
          <w:rFonts w:hint="eastAsia"/>
        </w:rPr>
        <w:t>至</w:t>
      </w:r>
      <w:r>
        <w:rPr>
          <w:rFonts w:hint="eastAsia"/>
        </w:rPr>
        <w:t>1999</w:t>
      </w:r>
      <w:r>
        <w:rPr>
          <w:rFonts w:hint="eastAsia"/>
        </w:rPr>
        <w:t>年第三欧洲抚养体制“卫生和福利”执行方案</w:t>
      </w:r>
      <w:r>
        <w:rPr>
          <w:rFonts w:hint="eastAsia"/>
          <w:u w:val="none"/>
        </w:rPr>
        <w:t>：</w:t>
      </w:r>
    </w:p>
    <w:p w:rsidR="00000000" w:rsidRDefault="00000000">
      <w:pPr>
        <w:pStyle w:val="Heading4"/>
        <w:rPr>
          <w:rFonts w:hint="eastAsia"/>
        </w:rPr>
      </w:pPr>
      <w:r>
        <w:rPr>
          <w:rFonts w:hint="eastAsia"/>
          <w:u w:val="none"/>
        </w:rPr>
        <w:tab/>
      </w:r>
      <w:r>
        <w:rPr>
          <w:rFonts w:hint="eastAsia"/>
        </w:rPr>
        <w:t>分项</w:t>
      </w:r>
      <w:r>
        <w:rPr>
          <w:rFonts w:hint="eastAsia"/>
        </w:rPr>
        <w:t>3</w:t>
      </w:r>
      <w:r>
        <w:rPr>
          <w:rFonts w:hint="eastAsia"/>
        </w:rPr>
        <w:t>“福利”</w:t>
      </w:r>
    </w:p>
    <w:p w:rsidR="00000000" w:rsidRDefault="00000000">
      <w:pPr>
        <w:pStyle w:val="a0"/>
        <w:tabs>
          <w:tab w:val="num" w:pos="1530"/>
        </w:tabs>
        <w:ind w:left="1530"/>
        <w:rPr>
          <w:rFonts w:hint="eastAsia"/>
        </w:rPr>
      </w:pPr>
      <w:r>
        <w:rPr>
          <w:rFonts w:hint="eastAsia"/>
        </w:rPr>
        <w:t>当地社会服务网向可能被劳动市场排斥的人员提供支援</w:t>
      </w:r>
      <w:r>
        <w:rPr>
          <w:rFonts w:hint="eastAsia"/>
        </w:rPr>
        <w:t>(</w:t>
      </w:r>
      <w:r>
        <w:rPr>
          <w:rFonts w:hint="eastAsia"/>
        </w:rPr>
        <w:t>帮助解决贫困问题和受劳动市场排斥的问题</w:t>
      </w:r>
      <w:r>
        <w:rPr>
          <w:rFonts w:hint="eastAsia"/>
        </w:rPr>
        <w:t>)</w:t>
      </w:r>
      <w:r>
        <w:rPr>
          <w:rFonts w:hint="eastAsia"/>
        </w:rPr>
        <w:t>；</w:t>
      </w:r>
    </w:p>
    <w:p w:rsidR="00000000" w:rsidRDefault="00000000">
      <w:pPr>
        <w:pStyle w:val="a0"/>
        <w:tabs>
          <w:tab w:val="num" w:pos="1530"/>
        </w:tabs>
        <w:spacing w:after="240"/>
        <w:ind w:left="1530"/>
        <w:rPr>
          <w:rFonts w:hint="eastAsia"/>
        </w:rPr>
      </w:pPr>
      <w:r>
        <w:rPr>
          <w:rFonts w:hint="eastAsia"/>
        </w:rPr>
        <w:t>使残疾人逐渐融入社会经济生活并实现自主生活</w:t>
      </w:r>
      <w:r>
        <w:rPr>
          <w:rFonts w:hint="eastAsia"/>
        </w:rPr>
        <w:t>(</w:t>
      </w:r>
      <w:r>
        <w:rPr>
          <w:rFonts w:hint="eastAsia"/>
        </w:rPr>
        <w:t>通过建立招待所、寄宿处、小公寓等使残疾人脱离收容所</w:t>
      </w:r>
      <w:r>
        <w:rPr>
          <w:rFonts w:hint="eastAsia"/>
        </w:rPr>
        <w:t>)</w:t>
      </w:r>
      <w:r>
        <w:rPr>
          <w:rFonts w:hint="eastAsia"/>
        </w:rPr>
        <w:t>；</w:t>
      </w:r>
    </w:p>
    <w:p w:rsidR="00000000" w:rsidRDefault="00000000">
      <w:pPr>
        <w:pStyle w:val="Heading4"/>
        <w:rPr>
          <w:rFonts w:hint="eastAsia"/>
        </w:rPr>
      </w:pPr>
      <w:r>
        <w:rPr>
          <w:rFonts w:hint="eastAsia"/>
          <w:u w:val="none"/>
        </w:rPr>
        <w:tab/>
      </w:r>
      <w:r>
        <w:rPr>
          <w:rFonts w:hint="eastAsia"/>
        </w:rPr>
        <w:t>分项</w:t>
      </w:r>
      <w:r>
        <w:rPr>
          <w:rFonts w:hint="eastAsia"/>
        </w:rPr>
        <w:t>4</w:t>
      </w:r>
      <w:r>
        <w:rPr>
          <w:rFonts w:hint="eastAsia"/>
        </w:rPr>
        <w:t>“福利领域的人力资源开发”</w:t>
      </w:r>
      <w:r>
        <w:rPr>
          <w:rFonts w:hint="eastAsia"/>
          <w:u w:val="none"/>
        </w:rPr>
        <w:t>；</w:t>
      </w:r>
    </w:p>
    <w:p w:rsidR="00000000" w:rsidRDefault="00000000">
      <w:pPr>
        <w:pStyle w:val="Heading4"/>
        <w:spacing w:after="320"/>
      </w:pPr>
      <w:r>
        <w:rPr>
          <w:rFonts w:hint="eastAsia"/>
          <w:u w:val="none"/>
        </w:rPr>
        <w:tab/>
      </w:r>
      <w:r>
        <w:rPr>
          <w:rFonts w:hint="eastAsia"/>
        </w:rPr>
        <w:t>分项</w:t>
      </w:r>
      <w:r>
        <w:rPr>
          <w:rFonts w:hint="eastAsia"/>
        </w:rPr>
        <w:t>5</w:t>
      </w:r>
      <w:r>
        <w:rPr>
          <w:rFonts w:hint="eastAsia"/>
        </w:rPr>
        <w:t>“技术支援”</w:t>
      </w:r>
      <w:r>
        <w:rPr>
          <w:rFonts w:hint="eastAsia"/>
          <w:u w:val="none"/>
        </w:rPr>
        <w:t>。</w:t>
      </w:r>
    </w:p>
    <w:p w:rsidR="00000000" w:rsidRDefault="00000000">
      <w:pPr>
        <w:pStyle w:val="Heading3"/>
        <w:rPr>
          <w:rFonts w:hint="eastAsia"/>
        </w:rPr>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t>288.  2000</w:t>
      </w:r>
      <w:r>
        <w:rPr>
          <w:rFonts w:hint="eastAsia"/>
        </w:rPr>
        <w:t>年</w:t>
      </w:r>
      <w:r>
        <w:rPr>
          <w:rFonts w:hint="eastAsia"/>
        </w:rPr>
        <w:t>12</w:t>
      </w:r>
      <w:r>
        <w:rPr>
          <w:rFonts w:hint="eastAsia"/>
        </w:rPr>
        <w:t>月，希腊向欧洲联盟提交了其</w:t>
      </w:r>
      <w:r>
        <w:rPr>
          <w:rFonts w:hint="eastAsia"/>
        </w:rPr>
        <w:t>2000</w:t>
      </w:r>
      <w:r>
        <w:rPr>
          <w:rFonts w:hint="eastAsia"/>
        </w:rPr>
        <w:t>至</w:t>
      </w:r>
      <w:r>
        <w:rPr>
          <w:rFonts w:hint="eastAsia"/>
        </w:rPr>
        <w:t>2004</w:t>
      </w:r>
      <w:r>
        <w:rPr>
          <w:rFonts w:hint="eastAsia"/>
        </w:rPr>
        <w:t>年稳定和增长方案，这种方案可根据需要定期修订。</w:t>
      </w:r>
      <w:r>
        <w:rPr>
          <w:rFonts w:hint="eastAsia"/>
        </w:rPr>
        <w:t>2000</w:t>
      </w:r>
      <w:r>
        <w:rPr>
          <w:rFonts w:hint="eastAsia"/>
        </w:rPr>
        <w:t>年</w:t>
      </w:r>
      <w:r>
        <w:rPr>
          <w:rFonts w:hint="eastAsia"/>
        </w:rPr>
        <w:t>11</w:t>
      </w:r>
      <w:r>
        <w:rPr>
          <w:rFonts w:hint="eastAsia"/>
        </w:rPr>
        <w:t>月，希腊向欧洲联盟提交了其结构改革进展情况报告。</w:t>
      </w:r>
    </w:p>
    <w:p w:rsidR="00000000" w:rsidRDefault="00000000">
      <w:pPr>
        <w:rPr>
          <w:rFonts w:hint="eastAsia"/>
        </w:rPr>
      </w:pPr>
      <w:r>
        <w:rPr>
          <w:rFonts w:hint="eastAsia"/>
        </w:rPr>
        <w:tab/>
        <w:t xml:space="preserve">289.  </w:t>
      </w:r>
      <w:r>
        <w:rPr>
          <w:rFonts w:hint="eastAsia"/>
        </w:rPr>
        <w:t>上述方案和报告的背景几乎属于同一范围，但后者的特别主题每次都是由欧洲联盟确定。</w:t>
      </w:r>
    </w:p>
    <w:p w:rsidR="00000000" w:rsidRDefault="00000000">
      <w:pPr>
        <w:rPr>
          <w:rFonts w:hint="eastAsia"/>
        </w:rPr>
      </w:pPr>
      <w:r>
        <w:rPr>
          <w:rFonts w:hint="eastAsia"/>
        </w:rPr>
        <w:tab/>
        <w:t xml:space="preserve">290.  </w:t>
      </w:r>
      <w:r>
        <w:rPr>
          <w:rFonts w:hint="eastAsia"/>
        </w:rPr>
        <w:t>在</w:t>
      </w:r>
      <w:r>
        <w:rPr>
          <w:rFonts w:hint="eastAsia"/>
        </w:rPr>
        <w:t>2000</w:t>
      </w:r>
      <w:r>
        <w:rPr>
          <w:rFonts w:hint="eastAsia"/>
        </w:rPr>
        <w:t>至</w:t>
      </w:r>
      <w:r>
        <w:rPr>
          <w:rFonts w:hint="eastAsia"/>
        </w:rPr>
        <w:t>2004</w:t>
      </w:r>
      <w:r>
        <w:rPr>
          <w:rFonts w:hint="eastAsia"/>
        </w:rPr>
        <w:t>年稳定和增长方案中，希腊政府的主要目标是不断提高经济绩效和改善公民的生活水平。实现这些目标的经济政策战略采取了两方面的办法：一方面，保持稳定的宏观经济环境；另一方面，确保市场的适当运作，解决市场失灵问题。</w:t>
      </w:r>
    </w:p>
    <w:p w:rsidR="00000000" w:rsidRDefault="00000000">
      <w:pPr>
        <w:rPr>
          <w:rFonts w:hint="eastAsia"/>
        </w:rPr>
      </w:pPr>
      <w:r>
        <w:rPr>
          <w:rFonts w:hint="eastAsia"/>
        </w:rPr>
        <w:tab/>
        <w:t xml:space="preserve">291.  </w:t>
      </w:r>
      <w:r>
        <w:rPr>
          <w:rFonts w:hint="eastAsia"/>
        </w:rPr>
        <w:t>希腊</w:t>
      </w:r>
      <w:r>
        <w:rPr>
          <w:rFonts w:hint="eastAsia"/>
        </w:rPr>
        <w:t>2000</w:t>
      </w:r>
      <w:r>
        <w:rPr>
          <w:rFonts w:hint="eastAsia"/>
        </w:rPr>
        <w:t>至</w:t>
      </w:r>
      <w:r>
        <w:rPr>
          <w:rFonts w:hint="eastAsia"/>
        </w:rPr>
        <w:t>2004</w:t>
      </w:r>
      <w:r>
        <w:rPr>
          <w:rFonts w:hint="eastAsia"/>
        </w:rPr>
        <w:t>年稳定和增长方案是按照欧洲理事会</w:t>
      </w:r>
      <w:r>
        <w:rPr>
          <w:rFonts w:hint="eastAsia"/>
        </w:rPr>
        <w:t>1998</w:t>
      </w:r>
      <w:r>
        <w:rPr>
          <w:rFonts w:hint="eastAsia"/>
        </w:rPr>
        <w:t>年</w:t>
      </w:r>
      <w:r>
        <w:rPr>
          <w:rFonts w:hint="eastAsia"/>
        </w:rPr>
        <w:t>5</w:t>
      </w:r>
      <w:r>
        <w:rPr>
          <w:rFonts w:hint="eastAsia"/>
        </w:rPr>
        <w:t>月</w:t>
      </w:r>
      <w:r>
        <w:rPr>
          <w:rFonts w:hint="eastAsia"/>
        </w:rPr>
        <w:t>1</w:t>
      </w:r>
      <w:r>
        <w:rPr>
          <w:rFonts w:hint="eastAsia"/>
        </w:rPr>
        <w:t>日宣言所载纲要制定的第一个这种方案，规定了直至</w:t>
      </w:r>
      <w:r>
        <w:rPr>
          <w:rFonts w:hint="eastAsia"/>
        </w:rPr>
        <w:t>2004</w:t>
      </w:r>
      <w:r>
        <w:rPr>
          <w:rFonts w:hint="eastAsia"/>
        </w:rPr>
        <w:t>年的国家政策和目标。方案是结合</w:t>
      </w:r>
      <w:r>
        <w:rPr>
          <w:rFonts w:hint="eastAsia"/>
        </w:rPr>
        <w:t>2001</w:t>
      </w:r>
      <w:r>
        <w:rPr>
          <w:rFonts w:hint="eastAsia"/>
        </w:rPr>
        <w:t>年年度预算提案编写的，</w:t>
      </w:r>
      <w:r>
        <w:rPr>
          <w:rFonts w:hint="eastAsia"/>
        </w:rPr>
        <w:t>2000</w:t>
      </w:r>
      <w:r>
        <w:rPr>
          <w:rFonts w:hint="eastAsia"/>
        </w:rPr>
        <w:t>年</w:t>
      </w:r>
      <w:r>
        <w:rPr>
          <w:rFonts w:hint="eastAsia"/>
        </w:rPr>
        <w:t>11</w:t>
      </w:r>
      <w:r>
        <w:rPr>
          <w:rFonts w:hint="eastAsia"/>
        </w:rPr>
        <w:t>月初提交国民议会审议，与</w:t>
      </w:r>
      <w:r>
        <w:rPr>
          <w:rFonts w:hint="eastAsia"/>
        </w:rPr>
        <w:t>2000</w:t>
      </w:r>
      <w:r>
        <w:rPr>
          <w:rFonts w:hint="eastAsia"/>
        </w:rPr>
        <w:t>年经济政策总指导原则是一致的。</w:t>
      </w:r>
    </w:p>
    <w:p w:rsidR="00000000" w:rsidRDefault="00000000">
      <w:pPr>
        <w:rPr>
          <w:rFonts w:hint="eastAsia"/>
        </w:rPr>
      </w:pPr>
      <w:r>
        <w:br w:type="page"/>
      </w:r>
      <w:r>
        <w:rPr>
          <w:rFonts w:hint="eastAsia"/>
        </w:rPr>
        <w:tab/>
        <w:t xml:space="preserve">292.  </w:t>
      </w:r>
      <w:r>
        <w:rPr>
          <w:rFonts w:hint="eastAsia"/>
        </w:rPr>
        <w:t>希腊政府为争取实现各项目标将一些重要的结构改革列入了</w:t>
      </w:r>
      <w:r>
        <w:rPr>
          <w:rFonts w:hint="eastAsia"/>
        </w:rPr>
        <w:t>2000</w:t>
      </w:r>
      <w:r>
        <w:rPr>
          <w:rFonts w:hint="eastAsia"/>
        </w:rPr>
        <w:t>至</w:t>
      </w:r>
      <w:r>
        <w:rPr>
          <w:rFonts w:hint="eastAsia"/>
        </w:rPr>
        <w:t>2004</w:t>
      </w:r>
      <w:r>
        <w:rPr>
          <w:rFonts w:hint="eastAsia"/>
        </w:rPr>
        <w:t>年稳定和增长方案。政府的主要政策优先事项是：切实实现市场自由化、保证竞争、建立产品和金融市场顺利运作所必要的体制基础和利用新技术。</w:t>
      </w:r>
    </w:p>
    <w:p w:rsidR="00000000" w:rsidRDefault="00000000">
      <w:pPr>
        <w:spacing w:after="240"/>
        <w:rPr>
          <w:rFonts w:hint="eastAsia"/>
        </w:rPr>
      </w:pPr>
      <w:r>
        <w:rPr>
          <w:rFonts w:hint="eastAsia"/>
        </w:rPr>
        <w:tab/>
        <w:t xml:space="preserve">293.  </w:t>
      </w:r>
      <w:r>
        <w:rPr>
          <w:rFonts w:hint="eastAsia"/>
        </w:rPr>
        <w:t>希腊结构改革进展情况报告是“加的夫进程”的一部分，是按照欧洲联盟经济政策委员会建议的结构编写的。报告介绍了在产品和资本市场方面已经和准备进行的改革。如报告所表明，在</w:t>
      </w:r>
      <w:r>
        <w:rPr>
          <w:rFonts w:hint="eastAsia"/>
        </w:rPr>
        <w:t>2000</w:t>
      </w:r>
      <w:r>
        <w:rPr>
          <w:rFonts w:hint="eastAsia"/>
        </w:rPr>
        <w:t>年经济政策总指导原则中提出的建议基本上已被纳入更广阔的经济政策范围。</w:t>
      </w:r>
    </w:p>
    <w:p w:rsidR="00000000" w:rsidRDefault="00000000">
      <w:pPr>
        <w:pStyle w:val="Heading4"/>
        <w:rPr>
          <w:rFonts w:hint="eastAsia"/>
        </w:rPr>
      </w:pPr>
      <w:r>
        <w:rPr>
          <w:rFonts w:hint="eastAsia"/>
        </w:rPr>
        <w:t>充足食物权利</w:t>
      </w:r>
    </w:p>
    <w:p w:rsidR="00000000" w:rsidRDefault="00000000">
      <w:pPr>
        <w:rPr>
          <w:rFonts w:hint="eastAsia"/>
        </w:rPr>
      </w:pPr>
      <w:r>
        <w:rPr>
          <w:rFonts w:hint="eastAsia"/>
        </w:rPr>
        <w:tab/>
        <w:t xml:space="preserve">294.  </w:t>
      </w:r>
      <w:r>
        <w:rPr>
          <w:rFonts w:hint="eastAsia"/>
        </w:rPr>
        <w:t>劳动和社会保险部向欧洲联盟提交的研究报告</w:t>
      </w:r>
      <w:r>
        <w:rPr>
          <w:rFonts w:hint="eastAsia"/>
        </w:rPr>
        <w:t>(www.</w:t>
      </w:r>
      <w:r>
        <w:t>europa.eu.int/comm</w:t>
      </w:r>
      <w:r>
        <w:rPr>
          <w:rFonts w:hint="eastAsia"/>
        </w:rPr>
        <w:t xml:space="preserve">/ </w:t>
      </w:r>
      <w:r>
        <w:t>employment_social/news/2001</w:t>
      </w:r>
      <w:r>
        <w:rPr>
          <w:rFonts w:hint="eastAsia"/>
        </w:rPr>
        <w:t>)</w:t>
      </w:r>
      <w:r>
        <w:rPr>
          <w:rFonts w:hint="eastAsia"/>
        </w:rPr>
        <w:t>介绍了国家反社会排斥行动计划。根据这一报告，不论是根据收入还是根据开支审查的希腊贫困问题已经和饥饿或营养不良没有关系。研究报告特别强调了下述情况：</w:t>
      </w:r>
    </w:p>
    <w:p w:rsidR="00000000" w:rsidRDefault="00000000">
      <w:pPr>
        <w:pStyle w:val="a0"/>
        <w:tabs>
          <w:tab w:val="clear" w:pos="510"/>
        </w:tabs>
        <w:ind w:left="1530"/>
        <w:rPr>
          <w:rFonts w:hint="eastAsia"/>
        </w:rPr>
      </w:pPr>
      <w:r>
        <w:rPr>
          <w:rFonts w:hint="eastAsia"/>
        </w:rPr>
        <w:t>与其他欧洲国家公民相比，希腊人已经克服了某些常见不稳定因素，因为他们居住在自己拥有的房屋中，并且大部分在主要经济部门工作或通过开办中小企业自谋职业；这里没有考虑依靠各种国家支援办法的弱势群体</w:t>
      </w:r>
      <w:r>
        <w:rPr>
          <w:rFonts w:hint="eastAsia"/>
        </w:rPr>
        <w:t>(</w:t>
      </w:r>
      <w:r>
        <w:rPr>
          <w:rFonts w:hint="eastAsia"/>
        </w:rPr>
        <w:t>例如，特别养恤金、房租补贴、家庭补贴等</w:t>
      </w:r>
      <w:r>
        <w:rPr>
          <w:rFonts w:hint="eastAsia"/>
        </w:rPr>
        <w:t>)</w:t>
      </w:r>
      <w:r>
        <w:rPr>
          <w:rFonts w:hint="eastAsia"/>
        </w:rPr>
        <w:t>；</w:t>
      </w:r>
    </w:p>
    <w:p w:rsidR="00000000" w:rsidRDefault="00000000">
      <w:pPr>
        <w:pStyle w:val="a0"/>
        <w:tabs>
          <w:tab w:val="clear" w:pos="510"/>
        </w:tabs>
        <w:ind w:left="1530"/>
        <w:rPr>
          <w:rFonts w:hint="eastAsia"/>
        </w:rPr>
      </w:pPr>
      <w:r>
        <w:rPr>
          <w:rFonts w:hint="eastAsia"/>
        </w:rPr>
        <w:t>老年人的情况是贫穷问题的一个因素，但在逐渐减少；</w:t>
      </w:r>
    </w:p>
    <w:p w:rsidR="00000000" w:rsidRDefault="00000000">
      <w:pPr>
        <w:pStyle w:val="a0"/>
        <w:tabs>
          <w:tab w:val="clear" w:pos="510"/>
        </w:tabs>
        <w:ind w:left="1530"/>
        <w:rPr>
          <w:rFonts w:hint="eastAsia"/>
        </w:rPr>
      </w:pPr>
      <w:r>
        <w:rPr>
          <w:rFonts w:hint="eastAsia"/>
        </w:rPr>
        <w:t>儿童遭受贫困的危险已经减少，因为多子女家庭可得到援助网络</w:t>
      </w:r>
      <w:r>
        <w:rPr>
          <w:rFonts w:hint="eastAsia"/>
        </w:rPr>
        <w:t>(</w:t>
      </w:r>
      <w:r>
        <w:rPr>
          <w:rFonts w:hint="eastAsia"/>
        </w:rPr>
        <w:t>较大的家庭、教会、政府组织</w:t>
      </w:r>
      <w:r>
        <w:rPr>
          <w:rFonts w:hint="eastAsia"/>
        </w:rPr>
        <w:t>)</w:t>
      </w:r>
      <w:r>
        <w:rPr>
          <w:rFonts w:hint="eastAsia"/>
        </w:rPr>
        <w:t>提供的社会支援，因而减少了贫困危险；</w:t>
      </w:r>
    </w:p>
    <w:p w:rsidR="00000000" w:rsidRDefault="00000000">
      <w:pPr>
        <w:pStyle w:val="a0"/>
        <w:tabs>
          <w:tab w:val="clear" w:pos="510"/>
        </w:tabs>
        <w:ind w:left="1530"/>
        <w:rPr>
          <w:rFonts w:hint="eastAsia"/>
        </w:rPr>
      </w:pPr>
      <w:r>
        <w:rPr>
          <w:rFonts w:hint="eastAsia"/>
        </w:rPr>
        <w:t>男女平等问题仍然是造成贫困的一个因素，但男女之间的差别在逐渐缩小。</w:t>
      </w:r>
    </w:p>
    <w:p w:rsidR="00000000" w:rsidRDefault="00000000">
      <w:pPr>
        <w:rPr>
          <w:rFonts w:hint="eastAsia"/>
        </w:rPr>
      </w:pPr>
      <w:r>
        <w:rPr>
          <w:rFonts w:hint="eastAsia"/>
        </w:rPr>
        <w:tab/>
        <w:t xml:space="preserve">295.  </w:t>
      </w:r>
      <w:r>
        <w:rPr>
          <w:rFonts w:hint="eastAsia"/>
        </w:rPr>
        <w:t>这是一个基本上与希腊没有关系的问题，因为希腊是一个发达国家，而且是欧洲联盟成员国，有很高的国民收入，没有可能和特定群体和不同地区有关的慢性营养不良或食物供应无保障的问题。</w:t>
      </w:r>
    </w:p>
    <w:p w:rsidR="00000000" w:rsidRDefault="00000000">
      <w:pPr>
        <w:rPr>
          <w:rFonts w:hint="eastAsia"/>
        </w:rPr>
      </w:pPr>
      <w:r>
        <w:rPr>
          <w:rFonts w:hint="eastAsia"/>
        </w:rPr>
        <w:tab/>
        <w:t xml:space="preserve">296.  </w:t>
      </w:r>
      <w:r>
        <w:rPr>
          <w:rFonts w:hint="eastAsia"/>
        </w:rPr>
        <w:t>在希腊和在其他地中海国家一样，地中海型食谱在决定对营养的态度方面起着主导作用。这种食谱脂肪含量低，加上不断增加食用水果和蔬菜，是贫血性心脏病以及某些类癌症发病率低的主要原因。</w:t>
      </w:r>
    </w:p>
    <w:p w:rsidR="00000000" w:rsidRDefault="00000000">
      <w:pPr>
        <w:rPr>
          <w:rFonts w:hint="eastAsia"/>
        </w:rPr>
      </w:pPr>
      <w:r>
        <w:rPr>
          <w:rFonts w:hint="eastAsia"/>
        </w:rPr>
        <w:tab/>
        <w:t xml:space="preserve">297.  </w:t>
      </w:r>
      <w:r>
        <w:rPr>
          <w:rFonts w:hint="eastAsia"/>
        </w:rPr>
        <w:t>在过去</w:t>
      </w:r>
      <w:r>
        <w:rPr>
          <w:rFonts w:hint="eastAsia"/>
        </w:rPr>
        <w:t>30</w:t>
      </w:r>
      <w:r>
        <w:rPr>
          <w:rFonts w:hint="eastAsia"/>
        </w:rPr>
        <w:t>年中，希腊人对营养的态度发生了很大变化。人们发现，</w:t>
      </w:r>
      <w:r>
        <w:rPr>
          <w:rFonts w:hint="eastAsia"/>
        </w:rPr>
        <w:t xml:space="preserve"> </w:t>
      </w:r>
      <w:r>
        <w:rPr>
          <w:rFonts w:hint="eastAsia"/>
        </w:rPr>
        <w:t>肉类含糖产品的消费有了增加，但蔬菜和谷物的消费减少了。这种态度可能是造成贫血性心脏病、乳腺癌和糖尿病等一些疾病发病率上升的主要原因之一。</w:t>
      </w:r>
    </w:p>
    <w:p w:rsidR="00000000" w:rsidRDefault="00000000">
      <w:pPr>
        <w:rPr>
          <w:rFonts w:hint="eastAsia"/>
          <w:spacing w:val="6"/>
        </w:rPr>
      </w:pPr>
      <w:r>
        <w:rPr>
          <w:rFonts w:hint="eastAsia"/>
        </w:rPr>
        <w:tab/>
        <w:t xml:space="preserve">298.  </w:t>
      </w:r>
      <w:r>
        <w:rPr>
          <w:rFonts w:hint="eastAsia"/>
          <w:spacing w:val="6"/>
        </w:rPr>
        <w:t>另外还发现，成人高胆固醇以及儿童体重、血压和高脂肪的发病率也有上升趋势。另一方面，增加食用蔬菜以及日常食物的卡路里含量似乎对健康有好处。</w:t>
      </w:r>
    </w:p>
    <w:p w:rsidR="00000000" w:rsidRDefault="00000000">
      <w:pPr>
        <w:rPr>
          <w:rFonts w:hint="eastAsia"/>
        </w:rPr>
      </w:pPr>
      <w:r>
        <w:rPr>
          <w:rFonts w:hint="eastAsia"/>
        </w:rPr>
        <w:tab/>
        <w:t xml:space="preserve">299.  </w:t>
      </w:r>
      <w:r>
        <w:rPr>
          <w:rFonts w:hint="eastAsia"/>
        </w:rPr>
        <w:t>根据国家营养中心最近进行的涉及许多欧洲国家的一项研究，希腊在鱼类和海产品、油脂和水果的人均消费方面居第一位，同时，在黄油和其他动物产品的人均消费方面居末位。</w:t>
      </w:r>
    </w:p>
    <w:p w:rsidR="00000000" w:rsidRDefault="00000000">
      <w:pPr>
        <w:rPr>
          <w:rFonts w:hint="eastAsia"/>
        </w:rPr>
      </w:pPr>
      <w:r>
        <w:rPr>
          <w:rFonts w:hint="eastAsia"/>
        </w:rPr>
        <w:tab/>
      </w:r>
      <w:r>
        <w:t>300.</w:t>
      </w:r>
      <w:r>
        <w:rPr>
          <w:rFonts w:hint="eastAsia"/>
        </w:rPr>
        <w:t xml:space="preserve">  </w:t>
      </w:r>
      <w:r>
        <w:rPr>
          <w:rFonts w:hint="eastAsia"/>
        </w:rPr>
        <w:t>关于希腊在国际上为落实充足食物权利所提供援助的作用，应当强调下列几点：</w:t>
      </w:r>
    </w:p>
    <w:p w:rsidR="00000000" w:rsidRDefault="00000000">
      <w:pPr>
        <w:pStyle w:val="a0"/>
        <w:tabs>
          <w:tab w:val="num" w:pos="1530"/>
        </w:tabs>
        <w:ind w:left="1530"/>
        <w:rPr>
          <w:rFonts w:hint="eastAsia"/>
        </w:rPr>
      </w:pPr>
      <w:r>
        <w:rPr>
          <w:rFonts w:hint="eastAsia"/>
        </w:rPr>
        <w:t>作为欧洲联盟成员国，希腊也是</w:t>
      </w:r>
      <w:r>
        <w:rPr>
          <w:rFonts w:hint="eastAsia"/>
        </w:rPr>
        <w:t>1999</w:t>
      </w:r>
      <w:r>
        <w:rPr>
          <w:rFonts w:hint="eastAsia"/>
        </w:rPr>
        <w:t>年《粮食援助公约》的签字国。这使希腊作出必须履行的年度承诺，即向发展中国家提供一定数量的粮食或相应产品；</w:t>
      </w:r>
    </w:p>
    <w:p w:rsidR="00000000" w:rsidRDefault="00000000">
      <w:pPr>
        <w:pStyle w:val="a0"/>
        <w:tabs>
          <w:tab w:val="num" w:pos="1530"/>
        </w:tabs>
        <w:ind w:left="1530"/>
      </w:pPr>
      <w:r>
        <w:rPr>
          <w:rFonts w:hint="eastAsia"/>
        </w:rPr>
        <w:t>这种多边公约义务和在双边基础上进行的粮食援助和粮食保障项目是并行的。</w:t>
      </w:r>
    </w:p>
    <w:p w:rsidR="00000000" w:rsidRDefault="00000000">
      <w:pPr>
        <w:pStyle w:val="a0"/>
        <w:tabs>
          <w:tab w:val="num" w:pos="1530"/>
        </w:tabs>
        <w:ind w:left="1530"/>
        <w:rPr>
          <w:rFonts w:hint="eastAsia"/>
        </w:rPr>
      </w:pPr>
      <w:r>
        <w:rPr>
          <w:rFonts w:hint="eastAsia"/>
        </w:rPr>
        <w:t>双边援助主要包括针对自然或人为灾害以及经济不景气造成的严重粮食危机实行的救济和恢复方案。</w:t>
      </w:r>
    </w:p>
    <w:p w:rsidR="00000000" w:rsidRDefault="00000000">
      <w:pPr>
        <w:rPr>
          <w:rFonts w:hint="eastAsia"/>
        </w:rPr>
      </w:pPr>
      <w:r>
        <w:rPr>
          <w:rFonts w:hint="eastAsia"/>
        </w:rPr>
        <w:tab/>
        <w:t xml:space="preserve">301.  </w:t>
      </w:r>
      <w:r>
        <w:rPr>
          <w:rFonts w:hint="eastAsia"/>
        </w:rPr>
        <w:t>根据收到的请求，粮食援助可包括用于农业生产，从而可逐步减少对进口粮食的依赖的中间产品，也可以包括食物援助。粮食援助和运输都是由国家免费提供的。</w:t>
      </w:r>
    </w:p>
    <w:p w:rsidR="00000000" w:rsidRDefault="00000000">
      <w:pPr>
        <w:spacing w:after="320"/>
        <w:rPr>
          <w:rFonts w:hint="eastAsia"/>
        </w:rPr>
      </w:pPr>
      <w:r>
        <w:rPr>
          <w:rFonts w:hint="eastAsia"/>
        </w:rPr>
        <w:tab/>
        <w:t xml:space="preserve">302.  </w:t>
      </w:r>
      <w:r>
        <w:rPr>
          <w:rFonts w:hint="eastAsia"/>
        </w:rPr>
        <w:t>粮食保障项目包括以下列形式提供的技术援助：生产多样化、加工、销售、机构培训和能力建设。目标群体是男女小土地所有者或基层协会，年轻农民仍然是优先群体。</w:t>
      </w:r>
    </w:p>
    <w:p w:rsidR="00000000" w:rsidRDefault="00000000">
      <w:pPr>
        <w:pStyle w:val="Heading4"/>
        <w:rPr>
          <w:rFonts w:hint="eastAsia"/>
        </w:rPr>
      </w:pPr>
      <w:r>
        <w:rPr>
          <w:rFonts w:hint="eastAsia"/>
        </w:rPr>
        <w:t>适足住房权</w:t>
      </w:r>
    </w:p>
    <w:p w:rsidR="00000000" w:rsidRDefault="00000000">
      <w:pPr>
        <w:rPr>
          <w:rFonts w:hint="eastAsia"/>
        </w:rPr>
      </w:pPr>
      <w:r>
        <w:rPr>
          <w:rFonts w:hint="eastAsia"/>
        </w:rPr>
        <w:tab/>
        <w:t xml:space="preserve">303.  </w:t>
      </w:r>
      <w:r>
        <w:rPr>
          <w:rFonts w:hint="eastAsia"/>
        </w:rPr>
        <w:t>根据上次十年人口普查</w:t>
      </w:r>
      <w:r>
        <w:rPr>
          <w:rFonts w:hint="eastAsia"/>
        </w:rPr>
        <w:t>(2001</w:t>
      </w:r>
      <w:r>
        <w:rPr>
          <w:rFonts w:hint="eastAsia"/>
        </w:rPr>
        <w:t>年</w:t>
      </w:r>
      <w:r>
        <w:rPr>
          <w:rFonts w:hint="eastAsia"/>
        </w:rPr>
        <w:t>)</w:t>
      </w:r>
      <w:r>
        <w:rPr>
          <w:rFonts w:hint="eastAsia"/>
        </w:rPr>
        <w:t>，希腊人口为</w:t>
      </w:r>
      <w:r>
        <w:rPr>
          <w:rFonts w:hint="eastAsia"/>
        </w:rPr>
        <w:t>10,940,000</w:t>
      </w:r>
      <w:r>
        <w:rPr>
          <w:rFonts w:hint="eastAsia"/>
        </w:rPr>
        <w:t>人，比</w:t>
      </w:r>
      <w:r>
        <w:rPr>
          <w:rFonts w:hint="eastAsia"/>
        </w:rPr>
        <w:t>1991</w:t>
      </w:r>
      <w:r>
        <w:rPr>
          <w:rFonts w:hint="eastAsia"/>
        </w:rPr>
        <w:t>年增加了</w:t>
      </w:r>
      <w:r>
        <w:rPr>
          <w:rFonts w:hint="eastAsia"/>
        </w:rPr>
        <w:t>6.6%</w:t>
      </w:r>
      <w:r>
        <w:rPr>
          <w:rFonts w:hint="eastAsia"/>
        </w:rPr>
        <w:t>。住房平均人口约</w:t>
      </w:r>
      <w:r>
        <w:rPr>
          <w:rFonts w:hint="eastAsia"/>
        </w:rPr>
        <w:t>2.9</w:t>
      </w:r>
      <w:r>
        <w:rPr>
          <w:rFonts w:hint="eastAsia"/>
        </w:rPr>
        <w:t>人，住房总数超过</w:t>
      </w:r>
      <w:r>
        <w:rPr>
          <w:rFonts w:hint="eastAsia"/>
        </w:rPr>
        <w:t>3,700,000</w:t>
      </w:r>
      <w:r>
        <w:rPr>
          <w:rFonts w:hint="eastAsia"/>
        </w:rPr>
        <w:t>个，其中三分之二以上居住在城市地区</w:t>
      </w:r>
      <w:r>
        <w:rPr>
          <w:rFonts w:hint="eastAsia"/>
        </w:rPr>
        <w:t>(10,000</w:t>
      </w:r>
      <w:r>
        <w:rPr>
          <w:rFonts w:hint="eastAsia"/>
        </w:rPr>
        <w:t>人和以上的定居点</w:t>
      </w:r>
      <w:r>
        <w:rPr>
          <w:rFonts w:hint="eastAsia"/>
        </w:rPr>
        <w:t>)</w:t>
      </w:r>
      <w:r>
        <w:rPr>
          <w:rFonts w:hint="eastAsia"/>
        </w:rPr>
        <w:t>，最大城市为雅典，有</w:t>
      </w:r>
      <w:r>
        <w:rPr>
          <w:rFonts w:hint="eastAsia"/>
        </w:rPr>
        <w:t>350</w:t>
      </w:r>
      <w:r>
        <w:rPr>
          <w:rFonts w:hint="eastAsia"/>
        </w:rPr>
        <w:t>多万居民，其余居住在乡村社区和“半城市”中心</w:t>
      </w:r>
      <w:r>
        <w:rPr>
          <w:rFonts w:hint="eastAsia"/>
        </w:rPr>
        <w:t>(2,000</w:t>
      </w:r>
      <w:r>
        <w:rPr>
          <w:rFonts w:hint="eastAsia"/>
        </w:rPr>
        <w:t>到</w:t>
      </w:r>
      <w:r>
        <w:rPr>
          <w:rFonts w:hint="eastAsia"/>
        </w:rPr>
        <w:t>10,000</w:t>
      </w:r>
      <w:r>
        <w:rPr>
          <w:rFonts w:hint="eastAsia"/>
        </w:rPr>
        <w:t>人</w:t>
      </w:r>
      <w:r>
        <w:rPr>
          <w:rFonts w:hint="eastAsia"/>
        </w:rPr>
        <w:t>)</w:t>
      </w:r>
      <w:r>
        <w:rPr>
          <w:rFonts w:hint="eastAsia"/>
        </w:rPr>
        <w:t>。</w:t>
      </w:r>
    </w:p>
    <w:p w:rsidR="00000000" w:rsidRDefault="00000000">
      <w:pPr>
        <w:rPr>
          <w:rFonts w:hint="eastAsia"/>
        </w:rPr>
      </w:pPr>
      <w:r>
        <w:rPr>
          <w:rFonts w:hint="eastAsia"/>
        </w:rPr>
        <w:tab/>
        <w:t>304.  1991</w:t>
      </w:r>
      <w:r>
        <w:rPr>
          <w:rFonts w:hint="eastAsia"/>
        </w:rPr>
        <w:t>至</w:t>
      </w:r>
      <w:r>
        <w:rPr>
          <w:rFonts w:hint="eastAsia"/>
        </w:rPr>
        <w:t>2001</w:t>
      </w:r>
      <w:r>
        <w:rPr>
          <w:rFonts w:hint="eastAsia"/>
        </w:rPr>
        <w:t>年人口的增加主要是因为</w:t>
      </w:r>
      <w:r>
        <w:rPr>
          <w:rFonts w:hint="eastAsia"/>
        </w:rPr>
        <w:t>1990</w:t>
      </w:r>
      <w:r>
        <w:rPr>
          <w:rFonts w:hint="eastAsia"/>
        </w:rPr>
        <w:t>年后来自前东欧集团的外国经济移民和返回的希腊人的流入。由于</w:t>
      </w:r>
      <w:r>
        <w:rPr>
          <w:rFonts w:hint="eastAsia"/>
        </w:rPr>
        <w:t>1980</w:t>
      </w:r>
      <w:r>
        <w:rPr>
          <w:rFonts w:hint="eastAsia"/>
        </w:rPr>
        <w:t>年代以来生育率的下降，当地人口增长率几乎是零；这一情况加上城市地区人口增长率有限，使整个</w:t>
      </w:r>
      <w:r>
        <w:rPr>
          <w:rFonts w:hint="eastAsia"/>
        </w:rPr>
        <w:t>1990</w:t>
      </w:r>
      <w:r>
        <w:rPr>
          <w:rFonts w:hint="eastAsia"/>
        </w:rPr>
        <w:t>年代希腊城市地区的住房供求关系相对平衡，而且，使人均居住面积和住房拥有数量稳定增加，尽管收入增长不大。</w:t>
      </w:r>
    </w:p>
    <w:p w:rsidR="00000000" w:rsidRDefault="00000000">
      <w:pPr>
        <w:rPr>
          <w:rFonts w:hint="eastAsia"/>
        </w:rPr>
      </w:pPr>
      <w:r>
        <w:rPr>
          <w:rFonts w:hint="eastAsia"/>
        </w:rPr>
        <w:tab/>
        <w:t>305.  1990</w:t>
      </w:r>
      <w:r>
        <w:rPr>
          <w:rFonts w:hint="eastAsia"/>
        </w:rPr>
        <w:t>年代中期</w:t>
      </w:r>
      <w:r>
        <w:rPr>
          <w:rFonts w:hint="eastAsia"/>
        </w:rPr>
        <w:t>(1994</w:t>
      </w:r>
      <w:r>
        <w:rPr>
          <w:rFonts w:hint="eastAsia"/>
        </w:rPr>
        <w:t>年</w:t>
      </w:r>
      <w:r>
        <w:rPr>
          <w:rFonts w:hint="eastAsia"/>
        </w:rPr>
        <w:t>)</w:t>
      </w:r>
      <w:r>
        <w:rPr>
          <w:rFonts w:hint="eastAsia"/>
        </w:rPr>
        <w:t>，住房条件大致情况如下：</w:t>
      </w:r>
    </w:p>
    <w:p w:rsidR="00000000" w:rsidRDefault="00000000">
      <w:pPr>
        <w:pStyle w:val="a0"/>
        <w:tabs>
          <w:tab w:val="num" w:pos="1530"/>
        </w:tabs>
        <w:ind w:left="1530"/>
        <w:rPr>
          <w:rFonts w:hint="eastAsia"/>
        </w:rPr>
      </w:pPr>
      <w:r>
        <w:rPr>
          <w:rFonts w:hint="eastAsia"/>
        </w:rPr>
        <w:t>全国每户平均有住房</w:t>
      </w:r>
      <w:r>
        <w:rPr>
          <w:rFonts w:hint="eastAsia"/>
        </w:rPr>
        <w:t>3.66</w:t>
      </w:r>
      <w:r>
        <w:rPr>
          <w:rFonts w:hint="eastAsia"/>
        </w:rPr>
        <w:t>间，面积</w:t>
      </w:r>
      <w:r>
        <w:rPr>
          <w:rFonts w:hint="eastAsia"/>
        </w:rPr>
        <w:t>82.7</w:t>
      </w:r>
      <w:r>
        <w:rPr>
          <w:rFonts w:hint="eastAsia"/>
        </w:rPr>
        <w:t>平方米，每户平均</w:t>
      </w:r>
      <w:r>
        <w:rPr>
          <w:rFonts w:hint="eastAsia"/>
        </w:rPr>
        <w:t>2.94</w:t>
      </w:r>
      <w:r>
        <w:rPr>
          <w:rFonts w:hint="eastAsia"/>
        </w:rPr>
        <w:t>人。因此，人均房间拥有率是</w:t>
      </w:r>
      <w:r>
        <w:rPr>
          <w:rFonts w:hint="eastAsia"/>
        </w:rPr>
        <w:t>1.24</w:t>
      </w:r>
      <w:r>
        <w:rPr>
          <w:rFonts w:hint="eastAsia"/>
        </w:rPr>
        <w:t>间，人均居住面积是</w:t>
      </w:r>
      <w:r>
        <w:rPr>
          <w:rFonts w:hint="eastAsia"/>
        </w:rPr>
        <w:t>28.1</w:t>
      </w:r>
      <w:r>
        <w:rPr>
          <w:rFonts w:hint="eastAsia"/>
        </w:rPr>
        <w:t>平方米。</w:t>
      </w:r>
    </w:p>
    <w:p w:rsidR="00000000" w:rsidRDefault="00000000">
      <w:pPr>
        <w:pStyle w:val="a0"/>
        <w:tabs>
          <w:tab w:val="num" w:pos="1530"/>
        </w:tabs>
        <w:ind w:left="1530"/>
        <w:rPr>
          <w:rFonts w:hint="eastAsia"/>
        </w:rPr>
      </w:pPr>
      <w:r>
        <w:rPr>
          <w:rFonts w:hint="eastAsia"/>
        </w:rPr>
        <w:t>在城市地区，平均</w:t>
      </w:r>
      <w:r>
        <w:rPr>
          <w:rFonts w:hint="eastAsia"/>
        </w:rPr>
        <w:t>2.87</w:t>
      </w:r>
      <w:r>
        <w:rPr>
          <w:rFonts w:hint="eastAsia"/>
        </w:rPr>
        <w:t>人的住户人均房间拥有率是</w:t>
      </w:r>
      <w:r>
        <w:rPr>
          <w:rFonts w:hint="eastAsia"/>
        </w:rPr>
        <w:t>1.22</w:t>
      </w:r>
      <w:r>
        <w:rPr>
          <w:rFonts w:hint="eastAsia"/>
        </w:rPr>
        <w:t>间，人均居住面积是</w:t>
      </w:r>
      <w:r>
        <w:rPr>
          <w:rFonts w:hint="eastAsia"/>
        </w:rPr>
        <w:t>28.4</w:t>
      </w:r>
      <w:r>
        <w:rPr>
          <w:rFonts w:hint="eastAsia"/>
        </w:rPr>
        <w:t>平方米；</w:t>
      </w:r>
    </w:p>
    <w:p w:rsidR="00000000" w:rsidRDefault="00000000">
      <w:pPr>
        <w:pStyle w:val="a0"/>
        <w:tabs>
          <w:tab w:val="num" w:pos="1530"/>
        </w:tabs>
        <w:ind w:left="1530"/>
        <w:rPr>
          <w:rFonts w:hint="eastAsia"/>
        </w:rPr>
      </w:pPr>
      <w:r>
        <w:rPr>
          <w:rFonts w:hint="eastAsia"/>
        </w:rPr>
        <w:t>在住房设施方面，战后头几十年中，缺少基本设施</w:t>
      </w:r>
      <w:r>
        <w:rPr>
          <w:rFonts w:hint="eastAsia"/>
        </w:rPr>
        <w:t>(</w:t>
      </w:r>
      <w:r>
        <w:rPr>
          <w:rFonts w:hint="eastAsia"/>
        </w:rPr>
        <w:t>自来水、供电、污水排放</w:t>
      </w:r>
      <w:r>
        <w:rPr>
          <w:rFonts w:hint="eastAsia"/>
        </w:rPr>
        <w:t>)</w:t>
      </w:r>
      <w:r>
        <w:rPr>
          <w:rFonts w:hint="eastAsia"/>
        </w:rPr>
        <w:t>的住房所占比例相当高但目前这种问题已微不足道。关于浴室、室内卫生间和充足供暖等设施，这类问题的发生目前只限于很小一部分</w:t>
      </w:r>
      <w:r>
        <w:rPr>
          <w:rFonts w:hint="eastAsia"/>
        </w:rPr>
        <w:t>(</w:t>
      </w:r>
      <w:r>
        <w:rPr>
          <w:rFonts w:hint="eastAsia"/>
        </w:rPr>
        <w:t>约</w:t>
      </w:r>
      <w:r>
        <w:rPr>
          <w:rFonts w:hint="eastAsia"/>
        </w:rPr>
        <w:t>10%)</w:t>
      </w:r>
      <w:r>
        <w:rPr>
          <w:rFonts w:hint="eastAsia"/>
        </w:rPr>
        <w:t>城市贫民和不太发达的乡村住区；</w:t>
      </w:r>
    </w:p>
    <w:p w:rsidR="00000000" w:rsidRDefault="00000000">
      <w:pPr>
        <w:pStyle w:val="a0"/>
        <w:tabs>
          <w:tab w:val="num" w:pos="1530"/>
        </w:tabs>
        <w:ind w:left="1530"/>
        <w:rPr>
          <w:rFonts w:hint="eastAsia"/>
          <w:spacing w:val="6"/>
        </w:rPr>
      </w:pPr>
      <w:r>
        <w:rPr>
          <w:rFonts w:hint="eastAsia"/>
          <w:spacing w:val="6"/>
        </w:rPr>
        <w:t>关于占有类型，</w:t>
      </w:r>
      <w:r>
        <w:rPr>
          <w:rFonts w:hint="eastAsia"/>
          <w:spacing w:val="6"/>
        </w:rPr>
        <w:t>76%</w:t>
      </w:r>
      <w:r>
        <w:rPr>
          <w:rFonts w:hint="eastAsia"/>
          <w:spacing w:val="6"/>
        </w:rPr>
        <w:t>的住户是房产主，</w:t>
      </w:r>
      <w:r>
        <w:rPr>
          <w:rFonts w:hint="eastAsia"/>
          <w:spacing w:val="6"/>
        </w:rPr>
        <w:t>21%</w:t>
      </w:r>
      <w:r>
        <w:rPr>
          <w:rFonts w:hint="eastAsia"/>
          <w:spacing w:val="6"/>
        </w:rPr>
        <w:t>是私人租户，约</w:t>
      </w:r>
      <w:r>
        <w:rPr>
          <w:rFonts w:hint="eastAsia"/>
          <w:spacing w:val="6"/>
        </w:rPr>
        <w:t>30%</w:t>
      </w:r>
      <w:r>
        <w:rPr>
          <w:rFonts w:hint="eastAsia"/>
          <w:spacing w:val="6"/>
        </w:rPr>
        <w:t>免费住户。希腊没有社会出租房屋。当然，在城市地区，出租房屋所占比例较高</w:t>
      </w:r>
      <w:r>
        <w:rPr>
          <w:rFonts w:hint="eastAsia"/>
          <w:spacing w:val="6"/>
        </w:rPr>
        <w:t>(</w:t>
      </w:r>
      <w:r>
        <w:rPr>
          <w:rFonts w:hint="eastAsia"/>
          <w:spacing w:val="6"/>
        </w:rPr>
        <w:t>雅典</w:t>
      </w:r>
      <w:r>
        <w:rPr>
          <w:rFonts w:hint="eastAsia"/>
          <w:spacing w:val="6"/>
        </w:rPr>
        <w:t>31%)</w:t>
      </w:r>
      <w:r>
        <w:rPr>
          <w:rFonts w:hint="eastAsia"/>
          <w:spacing w:val="6"/>
        </w:rPr>
        <w:t>，但仍相对有限，而且，在过去</w:t>
      </w:r>
      <w:r>
        <w:rPr>
          <w:rFonts w:hint="eastAsia"/>
          <w:spacing w:val="6"/>
        </w:rPr>
        <w:t>20</w:t>
      </w:r>
      <w:r>
        <w:rPr>
          <w:rFonts w:hint="eastAsia"/>
          <w:spacing w:val="6"/>
        </w:rPr>
        <w:t>年中一直在逐渐减少；据估计，出租房屋在雅典所占比例</w:t>
      </w:r>
      <w:r>
        <w:rPr>
          <w:rFonts w:hint="eastAsia"/>
          <w:spacing w:val="6"/>
        </w:rPr>
        <w:t>2001</w:t>
      </w:r>
      <w:r>
        <w:rPr>
          <w:rFonts w:hint="eastAsia"/>
          <w:spacing w:val="6"/>
        </w:rPr>
        <w:t>年已减少到约</w:t>
      </w:r>
      <w:r>
        <w:rPr>
          <w:rFonts w:hint="eastAsia"/>
          <w:spacing w:val="6"/>
        </w:rPr>
        <w:t>27%</w:t>
      </w:r>
      <w:r>
        <w:rPr>
          <w:rFonts w:hint="eastAsia"/>
          <w:spacing w:val="6"/>
        </w:rPr>
        <w:t>；</w:t>
      </w:r>
    </w:p>
    <w:p w:rsidR="00000000" w:rsidRDefault="00000000">
      <w:pPr>
        <w:pStyle w:val="a0"/>
        <w:tabs>
          <w:tab w:val="num" w:pos="1530"/>
        </w:tabs>
        <w:ind w:left="1530"/>
        <w:rPr>
          <w:rFonts w:hint="eastAsia"/>
        </w:rPr>
      </w:pPr>
      <w:r>
        <w:rPr>
          <w:rFonts w:hint="eastAsia"/>
        </w:rPr>
        <w:t>住房供应总量和住户数目之比乍看起来是供应过剩：</w:t>
      </w:r>
      <w:r>
        <w:rPr>
          <w:rFonts w:hint="eastAsia"/>
        </w:rPr>
        <w:t>1991</w:t>
      </w:r>
      <w:r>
        <w:rPr>
          <w:rFonts w:hint="eastAsia"/>
        </w:rPr>
        <w:t>年是</w:t>
      </w:r>
      <w:r>
        <w:rPr>
          <w:rFonts w:hint="eastAsia"/>
        </w:rPr>
        <w:t>1.45,2001</w:t>
      </w:r>
      <w:r>
        <w:rPr>
          <w:rFonts w:hint="eastAsia"/>
        </w:rPr>
        <w:t>年处于同样水平。这种现象的小部分原因是希腊住房市场所特有的城市地区住房供应过剩的趋势；正常市场空缺超过</w:t>
      </w:r>
      <w:r>
        <w:rPr>
          <w:rFonts w:hint="eastAsia"/>
        </w:rPr>
        <w:t>7%</w:t>
      </w:r>
      <w:r>
        <w:rPr>
          <w:rFonts w:hint="eastAsia"/>
        </w:rPr>
        <w:t>相当常见。但是，全国的这种住房供应过剩现象大部分是由于三个因素：</w:t>
      </w:r>
      <w:r>
        <w:rPr>
          <w:rFonts w:hint="eastAsia"/>
        </w:rPr>
        <w:t>(</w:t>
      </w:r>
      <w:r>
        <w:rPr>
          <w:rFonts w:hint="eastAsia"/>
        </w:rPr>
        <w:t>一</w:t>
      </w:r>
      <w:r>
        <w:rPr>
          <w:rFonts w:hint="eastAsia"/>
        </w:rPr>
        <w:t xml:space="preserve">) </w:t>
      </w:r>
      <w:r>
        <w:rPr>
          <w:rFonts w:hint="eastAsia"/>
        </w:rPr>
        <w:t>村庄中，特别是在山区被遗弃的住房；</w:t>
      </w:r>
      <w:r>
        <w:rPr>
          <w:rFonts w:hint="eastAsia"/>
        </w:rPr>
        <w:t>(</w:t>
      </w:r>
      <w:r>
        <w:rPr>
          <w:rFonts w:hint="eastAsia"/>
        </w:rPr>
        <w:t>二</w:t>
      </w:r>
      <w:r>
        <w:rPr>
          <w:rFonts w:hint="eastAsia"/>
        </w:rPr>
        <w:t xml:space="preserve">) </w:t>
      </w:r>
      <w:r>
        <w:rPr>
          <w:rFonts w:hint="eastAsia"/>
        </w:rPr>
        <w:t>广泛建设出租给渡假者和旅游者的住房；</w:t>
      </w:r>
      <w:r>
        <w:rPr>
          <w:rFonts w:hint="eastAsia"/>
        </w:rPr>
        <w:t>(</w:t>
      </w:r>
      <w:r>
        <w:rPr>
          <w:rFonts w:hint="eastAsia"/>
        </w:rPr>
        <w:t>三</w:t>
      </w:r>
      <w:r>
        <w:rPr>
          <w:rFonts w:hint="eastAsia"/>
        </w:rPr>
        <w:t xml:space="preserve">) </w:t>
      </w:r>
      <w:r>
        <w:rPr>
          <w:rFonts w:hint="eastAsia"/>
        </w:rPr>
        <w:t>希腊住户对第二和度假住房的较高需求</w:t>
      </w:r>
      <w:r>
        <w:rPr>
          <w:rFonts w:hint="eastAsia"/>
          <w:spacing w:val="-50"/>
        </w:rPr>
        <w:t>―</w:t>
      </w:r>
      <w:r>
        <w:rPr>
          <w:rFonts w:hint="eastAsia"/>
        </w:rPr>
        <w:t>―全国有</w:t>
      </w:r>
      <w:r>
        <w:rPr>
          <w:rFonts w:hint="eastAsia"/>
        </w:rPr>
        <w:t>10%</w:t>
      </w:r>
      <w:r>
        <w:rPr>
          <w:rFonts w:hint="eastAsia"/>
        </w:rPr>
        <w:t>以上，城市住户</w:t>
      </w:r>
      <w:r>
        <w:rPr>
          <w:rFonts w:hint="eastAsia"/>
        </w:rPr>
        <w:t>14%</w:t>
      </w:r>
      <w:r>
        <w:rPr>
          <w:rFonts w:hint="eastAsia"/>
        </w:rPr>
        <w:t>以上</w:t>
      </w:r>
      <w:r>
        <w:rPr>
          <w:rFonts w:hint="eastAsia"/>
        </w:rPr>
        <w:t>(</w:t>
      </w:r>
      <w:r>
        <w:rPr>
          <w:rFonts w:hint="eastAsia"/>
        </w:rPr>
        <w:t>雅典有</w:t>
      </w:r>
      <w:r>
        <w:rPr>
          <w:rFonts w:hint="eastAsia"/>
        </w:rPr>
        <w:t>17%</w:t>
      </w:r>
      <w:r>
        <w:rPr>
          <w:rFonts w:hint="eastAsia"/>
        </w:rPr>
        <w:t>以上</w:t>
      </w:r>
      <w:r>
        <w:rPr>
          <w:rFonts w:hint="eastAsia"/>
        </w:rPr>
        <w:t>)</w:t>
      </w:r>
      <w:r>
        <w:rPr>
          <w:rFonts w:hint="eastAsia"/>
        </w:rPr>
        <w:t>；</w:t>
      </w:r>
    </w:p>
    <w:p w:rsidR="00000000" w:rsidRDefault="00000000">
      <w:pPr>
        <w:pStyle w:val="a0"/>
        <w:tabs>
          <w:tab w:val="num" w:pos="1530"/>
        </w:tabs>
        <w:ind w:left="1530"/>
        <w:rPr>
          <w:rFonts w:hint="eastAsia"/>
        </w:rPr>
      </w:pPr>
      <w:r>
        <w:rPr>
          <w:rFonts w:hint="eastAsia"/>
        </w:rPr>
        <w:t>在新住房建设方面，在战后头几十年中，希腊的住房建设以及城市化都高速增长，住户储蓄积极性也很高。然而，在</w:t>
      </w:r>
      <w:r>
        <w:rPr>
          <w:rFonts w:hint="eastAsia"/>
        </w:rPr>
        <w:t>1980</w:t>
      </w:r>
      <w:r>
        <w:rPr>
          <w:rFonts w:hint="eastAsia"/>
        </w:rPr>
        <w:t>年代和</w:t>
      </w:r>
      <w:r>
        <w:rPr>
          <w:rFonts w:hint="eastAsia"/>
        </w:rPr>
        <w:t>1990</w:t>
      </w:r>
      <w:r>
        <w:rPr>
          <w:rFonts w:hint="eastAsia"/>
        </w:rPr>
        <w:t>年代，这些高涨趋势显著衰落。</w:t>
      </w:r>
      <w:r>
        <w:rPr>
          <w:rFonts w:hint="eastAsia"/>
        </w:rPr>
        <w:t>1990</w:t>
      </w:r>
      <w:r>
        <w:rPr>
          <w:rFonts w:hint="eastAsia"/>
        </w:rPr>
        <w:t>年代后半阶段，年均住房建设未超过</w:t>
      </w:r>
      <w:r>
        <w:rPr>
          <w:rFonts w:hint="eastAsia"/>
        </w:rPr>
        <w:t>85,000</w:t>
      </w:r>
      <w:r>
        <w:rPr>
          <w:rFonts w:hint="eastAsia"/>
        </w:rPr>
        <w:t>所，而</w:t>
      </w:r>
      <w:r>
        <w:rPr>
          <w:rFonts w:hint="eastAsia"/>
        </w:rPr>
        <w:t>1996</w:t>
      </w:r>
      <w:r>
        <w:rPr>
          <w:rFonts w:hint="eastAsia"/>
        </w:rPr>
        <w:t>年后户储蓄下降到</w:t>
      </w:r>
      <w:r>
        <w:rPr>
          <w:rFonts w:hint="eastAsia"/>
        </w:rPr>
        <w:t>12%</w:t>
      </w:r>
      <w:r>
        <w:rPr>
          <w:rFonts w:hint="eastAsia"/>
        </w:rPr>
        <w:t>以下。考虑到旅游和度假住房所占比例，按希腊标准，这一住房投资水平不算高，造成这种情况的至少部分原因是，</w:t>
      </w:r>
      <w:r>
        <w:rPr>
          <w:rFonts w:hint="eastAsia"/>
        </w:rPr>
        <w:t>1990</w:t>
      </w:r>
      <w:r>
        <w:rPr>
          <w:rFonts w:hint="eastAsia"/>
        </w:rPr>
        <w:t>年代住房租金和价格增长较快。</w:t>
      </w:r>
    </w:p>
    <w:p w:rsidR="00000000" w:rsidRDefault="00000000">
      <w:pPr>
        <w:rPr>
          <w:rFonts w:hint="eastAsia"/>
        </w:rPr>
      </w:pPr>
      <w:r>
        <w:rPr>
          <w:rFonts w:hint="eastAsia"/>
        </w:rPr>
        <w:tab/>
        <w:t xml:space="preserve">306.  </w:t>
      </w:r>
      <w:r>
        <w:rPr>
          <w:rFonts w:hint="eastAsia"/>
        </w:rPr>
        <w:t>希腊</w:t>
      </w:r>
      <w:r>
        <w:rPr>
          <w:rFonts w:hint="eastAsia"/>
        </w:rPr>
        <w:t>1990</w:t>
      </w:r>
      <w:r>
        <w:rPr>
          <w:rFonts w:hint="eastAsia"/>
        </w:rPr>
        <w:t>年代的这些住房总情况表明，至少总的来说，绝大多数希腊人口没有严重的住房问题，住房条件呈稳定改善的上升趋势</w:t>
      </w:r>
      <w:r>
        <w:rPr>
          <w:rFonts w:hint="eastAsia"/>
        </w:rPr>
        <w:t>(</w:t>
      </w:r>
      <w:r>
        <w:rPr>
          <w:rFonts w:hint="eastAsia"/>
        </w:rPr>
        <w:t>约每年</w:t>
      </w:r>
      <w:r>
        <w:rPr>
          <w:rFonts w:hint="eastAsia"/>
        </w:rPr>
        <w:t>1%)</w:t>
      </w:r>
      <w:r>
        <w:rPr>
          <w:rFonts w:hint="eastAsia"/>
        </w:rPr>
        <w:t>，住房拥有率也在增加。在欧洲联盟成员国中，希腊从人均收入方面来说属于较不发达国家，其住房统计反映了这一情况：根据</w:t>
      </w:r>
      <w:r>
        <w:rPr>
          <w:rFonts w:hint="eastAsia"/>
        </w:rPr>
        <w:t>1990</w:t>
      </w:r>
      <w:r>
        <w:rPr>
          <w:rFonts w:hint="eastAsia"/>
        </w:rPr>
        <w:t>年代初的资料，在欧盟国家中，希腊与奥地利和葡萄牙在人均拥有房间数方面都是最少的国家之一。考虑到这一比较情况，从全世界努力争取更好落实适足住房权利的角度来看，可公正地说，希腊在住房方面没有大问题。</w:t>
      </w:r>
    </w:p>
    <w:p w:rsidR="00000000" w:rsidRDefault="00000000">
      <w:pPr>
        <w:spacing w:after="320"/>
        <w:rPr>
          <w:rFonts w:hint="eastAsia"/>
        </w:rPr>
      </w:pPr>
      <w:r>
        <w:rPr>
          <w:rFonts w:hint="eastAsia"/>
        </w:rPr>
        <w:tab/>
        <w:t xml:space="preserve">307.  </w:t>
      </w:r>
      <w:r>
        <w:rPr>
          <w:rFonts w:hint="eastAsia"/>
        </w:rPr>
        <w:t>另一方面，每个社会都根据自己的愿望和经济与社会发展水平确定自己的标准。根据适合希腊社会的这类标准，主管机关承认，还有一些群体，特别是城市和乡村穷人以及外国经济移民，他们之中大部分人居住条件不是令人满意，或在获得适足住房方面面临着很大经济负担。事实上，根据为具体大小住户和需要种类制定的现代欧洲合理住房标准，可以说，四分之一以上的希腊住户尚缺少一间或更多必要房间。从联合国多数欠发达国家的角度来看，这种空间标准可能太高或浪费。然而，这些标准却是希腊社会据以看待由住房权利概念引起的问题的实用标准，而且，这些标准构成了下面更详细讨论的背景。</w:t>
      </w:r>
    </w:p>
    <w:p w:rsidR="00000000" w:rsidRDefault="00000000">
      <w:pPr>
        <w:pStyle w:val="Heading4"/>
        <w:rPr>
          <w:rFonts w:hint="eastAsia"/>
        </w:rPr>
      </w:pPr>
      <w:r>
        <w:rPr>
          <w:rFonts w:hint="eastAsia"/>
        </w:rPr>
        <w:t>无家可归者</w:t>
      </w:r>
    </w:p>
    <w:p w:rsidR="00000000" w:rsidRDefault="00000000">
      <w:pPr>
        <w:rPr>
          <w:rFonts w:hint="eastAsia"/>
        </w:rPr>
      </w:pPr>
      <w:r>
        <w:rPr>
          <w:rFonts w:hint="eastAsia"/>
        </w:rPr>
        <w:tab/>
        <w:t xml:space="preserve">308.  </w:t>
      </w:r>
      <w:r>
        <w:rPr>
          <w:rFonts w:hint="eastAsia"/>
        </w:rPr>
        <w:t>在希腊，对“无家可归”的概念可有两种理解：第一种适合现代城市，无家可归者即“随便睡在”公共场所或各种机构提供的临时住所中的人；第二种是“传统”概念，无家可归者或家庭被定义为住在“不适当”住所的人，这是相对于官方定义的最低标准适当住房而言。</w:t>
      </w:r>
    </w:p>
    <w:p w:rsidR="00000000" w:rsidRDefault="00000000">
      <w:pPr>
        <w:rPr>
          <w:rFonts w:hint="eastAsia"/>
        </w:rPr>
      </w:pPr>
      <w:r>
        <w:rPr>
          <w:rFonts w:hint="eastAsia"/>
        </w:rPr>
        <w:tab/>
        <w:t xml:space="preserve">309.  </w:t>
      </w:r>
      <w:r>
        <w:rPr>
          <w:rFonts w:hint="eastAsia"/>
        </w:rPr>
        <w:t>除国家统计局使用的定义以外，在希腊没有其它官方定义；根据国家统计局的定义，“适当”住所即至少有一个四平方米以上并带有通光和通气开口的房间，而且不是为其它用途</w:t>
      </w:r>
      <w:r>
        <w:rPr>
          <w:rFonts w:hint="eastAsia"/>
        </w:rPr>
        <w:t>(</w:t>
      </w:r>
      <w:r>
        <w:rPr>
          <w:rFonts w:hint="eastAsia"/>
        </w:rPr>
        <w:t>例如工业、农业</w:t>
      </w:r>
      <w:r>
        <w:rPr>
          <w:rFonts w:hint="eastAsia"/>
        </w:rPr>
        <w:t>)</w:t>
      </w:r>
      <w:r>
        <w:rPr>
          <w:rFonts w:hint="eastAsia"/>
        </w:rPr>
        <w:t>建设的结构。按照这一定义，</w:t>
      </w:r>
      <w:r>
        <w:rPr>
          <w:rFonts w:hint="eastAsia"/>
        </w:rPr>
        <w:t>1991</w:t>
      </w:r>
      <w:r>
        <w:rPr>
          <w:rFonts w:hint="eastAsia"/>
        </w:rPr>
        <w:t>年有</w:t>
      </w:r>
      <w:r>
        <w:rPr>
          <w:rFonts w:hint="eastAsia"/>
        </w:rPr>
        <w:t>5,744</w:t>
      </w:r>
      <w:r>
        <w:rPr>
          <w:rFonts w:hint="eastAsia"/>
        </w:rPr>
        <w:t>个住户，即所有住户的不到</w:t>
      </w:r>
      <w:r>
        <w:rPr>
          <w:rFonts w:hint="eastAsia"/>
        </w:rPr>
        <w:t>0.2%</w:t>
      </w:r>
      <w:r>
        <w:rPr>
          <w:rFonts w:hint="eastAsia"/>
        </w:rPr>
        <w:t>居住在“不适当”住所中。其中多数可能是居住在帐篷里的吉普赛家庭。</w:t>
      </w:r>
    </w:p>
    <w:p w:rsidR="00000000" w:rsidRDefault="00000000">
      <w:pPr>
        <w:rPr>
          <w:rFonts w:hint="eastAsia"/>
        </w:rPr>
      </w:pPr>
      <w:r>
        <w:rPr>
          <w:rFonts w:hint="eastAsia"/>
        </w:rPr>
        <w:tab/>
        <w:t xml:space="preserve">310.  </w:t>
      </w:r>
      <w:r>
        <w:rPr>
          <w:rFonts w:hint="eastAsia"/>
        </w:rPr>
        <w:t>在战后头几十年中，众多住户分享同一住所的情况被官方看作明显的无家可归问题。然而，到</w:t>
      </w:r>
      <w:r>
        <w:rPr>
          <w:rFonts w:hint="eastAsia"/>
        </w:rPr>
        <w:t>1991</w:t>
      </w:r>
      <w:r>
        <w:rPr>
          <w:rFonts w:hint="eastAsia"/>
        </w:rPr>
        <w:t>年，只有不到</w:t>
      </w:r>
      <w:r>
        <w:rPr>
          <w:rFonts w:hint="eastAsia"/>
        </w:rPr>
        <w:t>2%</w:t>
      </w:r>
      <w:r>
        <w:rPr>
          <w:rFonts w:hint="eastAsia"/>
        </w:rPr>
        <w:t>的住户与其它住户分享住所，而其中相当部分并没有紧迫需要的问题</w:t>
      </w:r>
      <w:r>
        <w:rPr>
          <w:rFonts w:hint="eastAsia"/>
        </w:rPr>
        <w:t>(</w:t>
      </w:r>
      <w:r>
        <w:rPr>
          <w:rFonts w:hint="eastAsia"/>
        </w:rPr>
        <w:t>例如学生、扩大的家庭</w:t>
      </w:r>
      <w:r>
        <w:rPr>
          <w:rFonts w:hint="eastAsia"/>
        </w:rPr>
        <w:t>)</w:t>
      </w:r>
      <w:r>
        <w:rPr>
          <w:rFonts w:hint="eastAsia"/>
        </w:rPr>
        <w:t>。</w:t>
      </w:r>
    </w:p>
    <w:p w:rsidR="00000000" w:rsidRDefault="00000000">
      <w:pPr>
        <w:rPr>
          <w:rFonts w:hint="eastAsia"/>
        </w:rPr>
      </w:pPr>
      <w:r>
        <w:rPr>
          <w:rFonts w:hint="eastAsia"/>
        </w:rPr>
        <w:tab/>
        <w:t xml:space="preserve">311.  </w:t>
      </w:r>
      <w:r>
        <w:rPr>
          <w:rFonts w:hint="eastAsia"/>
        </w:rPr>
        <w:t>从更广义来说，无家可归情况还可根据下列标准定义：过分拥挤，缺乏必要设施或严重结构问题，通气和采光问题，或房屋潮湿。但是，在希腊没有这种官方定义，因此，这个问题最好作为更广泛的住房条件问题的一部分看待，下面一节中将论述这个问题。</w:t>
      </w:r>
    </w:p>
    <w:p w:rsidR="00000000" w:rsidRDefault="00000000">
      <w:pPr>
        <w:rPr>
          <w:rFonts w:hint="eastAsia"/>
        </w:rPr>
      </w:pPr>
      <w:r>
        <w:rPr>
          <w:rFonts w:hint="eastAsia"/>
        </w:rPr>
        <w:tab/>
        <w:t xml:space="preserve">312.  </w:t>
      </w:r>
      <w:r>
        <w:rPr>
          <w:rFonts w:hint="eastAsia"/>
        </w:rPr>
        <w:t>关于“无家可归”的现代定义，没有关于“随便睡在”公共场所或临时住所的人们的系统官方或其它资料。然而，根据各种印象性估计，这种问题在希腊相当有限：在希腊城市中没有任何突出或集中的无家可归问题，就全国来说，所涉及人数不过几千人，虽然过去十年中外国经济移民和政治难民的流入使问题暂时变得比较严重。在一定程度上，居住在由各种机构管理的临时营地的非法移民或政治难民构成一种特殊无家可归问题。但是，这种人数目相当有限，他们的具体问题远远超出这里讨论的住房问题。</w:t>
      </w:r>
    </w:p>
    <w:p w:rsidR="00000000" w:rsidRDefault="00000000">
      <w:pPr>
        <w:rPr>
          <w:rFonts w:hint="eastAsia"/>
        </w:rPr>
      </w:pPr>
      <w:r>
        <w:rPr>
          <w:rFonts w:hint="eastAsia"/>
        </w:rPr>
        <w:tab/>
        <w:t xml:space="preserve">313.  </w:t>
      </w:r>
      <w:r>
        <w:rPr>
          <w:rFonts w:hint="eastAsia"/>
        </w:rPr>
        <w:t>然而，在过去几年中，这些情况是最明显和紧迫的无家可归问题；希腊的几个积极向无家可归者提供援助的自愿组织将其有限的人力和财力资源几乎全部用于照料非法移民和政治难民，这就足以说明问题。</w:t>
      </w:r>
    </w:p>
    <w:p w:rsidR="00000000" w:rsidRDefault="00000000">
      <w:pPr>
        <w:spacing w:after="320"/>
        <w:rPr>
          <w:rFonts w:hint="eastAsia"/>
        </w:rPr>
      </w:pPr>
      <w:r>
        <w:rPr>
          <w:rFonts w:hint="eastAsia"/>
        </w:rPr>
        <w:tab/>
        <w:t xml:space="preserve">314.  </w:t>
      </w:r>
      <w:r>
        <w:rPr>
          <w:rFonts w:hint="eastAsia"/>
        </w:rPr>
        <w:t>近几年来，在农村的非法农业工人中可能也存在着一个类似问题，虽然“流动性”较强。由于这类农业工人成百上千，无家可归或完全没有适当住所的问题可能相当广泛。另一方面，经济移民在农村的安置，以及更普遍的与希腊社会的融合问题目前正在迅速变化，因此，目前还难以准确说明情况。而且，迄今没有正式登记，也没有关于这种问题严重程度的其它资料来源。</w:t>
      </w:r>
    </w:p>
    <w:p w:rsidR="00000000" w:rsidRDefault="00000000">
      <w:pPr>
        <w:pStyle w:val="Heading4"/>
        <w:rPr>
          <w:rFonts w:hint="eastAsia"/>
        </w:rPr>
      </w:pPr>
      <w:r>
        <w:rPr>
          <w:rFonts w:hint="eastAsia"/>
        </w:rPr>
        <w:t>不适当住房和缺少设施</w:t>
      </w:r>
    </w:p>
    <w:p w:rsidR="00000000" w:rsidRDefault="00000000">
      <w:pPr>
        <w:rPr>
          <w:rFonts w:hint="eastAsia"/>
        </w:rPr>
      </w:pPr>
      <w:r>
        <w:rPr>
          <w:rFonts w:hint="eastAsia"/>
        </w:rPr>
        <w:tab/>
        <w:t xml:space="preserve">315.  </w:t>
      </w:r>
      <w:r>
        <w:rPr>
          <w:rFonts w:hint="eastAsia"/>
        </w:rPr>
        <w:t>根据衡量住房需要的一个简单公式，每个住户的已婚夫妇至少需要一个卧室、每个成人需要一个卧室，两个孩子根据年龄和性别的不同需要一个或两个卧室。另外，一个住户需要一间客厅和起码的基本设施和公用设施。</w:t>
      </w:r>
    </w:p>
    <w:p w:rsidR="00000000" w:rsidRDefault="00000000">
      <w:pPr>
        <w:rPr>
          <w:rFonts w:hint="eastAsia"/>
        </w:rPr>
      </w:pPr>
      <w:r>
        <w:rPr>
          <w:rFonts w:hint="eastAsia"/>
        </w:rPr>
        <w:tab/>
        <w:t xml:space="preserve">316.  </w:t>
      </w:r>
      <w:r>
        <w:rPr>
          <w:rFonts w:hint="eastAsia"/>
        </w:rPr>
        <w:t>根据这一公式，</w:t>
      </w:r>
      <w:r>
        <w:rPr>
          <w:rFonts w:hint="eastAsia"/>
        </w:rPr>
        <w:t>1999</w:t>
      </w:r>
      <w:r>
        <w:rPr>
          <w:rFonts w:hint="eastAsia"/>
        </w:rPr>
        <w:t>年雅典的住户中有</w:t>
      </w:r>
      <w:r>
        <w:rPr>
          <w:rFonts w:hint="eastAsia"/>
        </w:rPr>
        <w:t>27%</w:t>
      </w:r>
      <w:r>
        <w:rPr>
          <w:rFonts w:hint="eastAsia"/>
        </w:rPr>
        <w:t>缺少基本房间。如果只计算卧室，</w:t>
      </w:r>
      <w:r>
        <w:rPr>
          <w:rFonts w:hint="eastAsia"/>
        </w:rPr>
        <w:t>37%</w:t>
      </w:r>
      <w:r>
        <w:rPr>
          <w:rFonts w:hint="eastAsia"/>
        </w:rPr>
        <w:t>没有卧室。如前面指出，用于衡量适足住房空间的标准是一个有争议的问题。尽管如此，这些数字仍然表明，从表面看，相当部分居民有轻微或更严重的居住空间不足问题。考虑到希腊社会的相对均质性，雅典的数据应当认为对其他城市具有或多或多的代表性。在居住空间方面，乡村和“半城市”地区的情况可能稍好，这是因为较年轻的人口向大城市中心的流动，年岁较大者在这些地方比较集中。</w:t>
      </w:r>
    </w:p>
    <w:p w:rsidR="00000000" w:rsidRDefault="00000000">
      <w:pPr>
        <w:rPr>
          <w:rFonts w:hint="eastAsia"/>
        </w:rPr>
      </w:pPr>
      <w:r>
        <w:rPr>
          <w:rFonts w:hint="eastAsia"/>
        </w:rPr>
        <w:tab/>
        <w:t xml:space="preserve">317.  </w:t>
      </w:r>
      <w:r>
        <w:rPr>
          <w:rFonts w:hint="eastAsia"/>
        </w:rPr>
        <w:t>当然，在社会经济地位较低的住户和穷人中间，居住空间不足问题更为突出。按照欧盟标准做法定义的收入低于成人平均收入一半的贫困住户所占比例，</w:t>
      </w:r>
      <w:r>
        <w:rPr>
          <w:rFonts w:hint="eastAsia"/>
        </w:rPr>
        <w:t>1990</w:t>
      </w:r>
      <w:r>
        <w:rPr>
          <w:rFonts w:hint="eastAsia"/>
        </w:rPr>
        <w:t>年代后期约为全国住户总数的</w:t>
      </w:r>
      <w:r>
        <w:rPr>
          <w:rFonts w:hint="eastAsia"/>
        </w:rPr>
        <w:t>21%</w:t>
      </w:r>
      <w:r>
        <w:rPr>
          <w:rFonts w:hint="eastAsia"/>
        </w:rPr>
        <w:t>，在雅典和类似城市中心约为</w:t>
      </w:r>
      <w:r>
        <w:rPr>
          <w:rFonts w:hint="eastAsia"/>
        </w:rPr>
        <w:t>13%</w:t>
      </w:r>
      <w:r>
        <w:rPr>
          <w:rFonts w:hint="eastAsia"/>
        </w:rPr>
        <w:t>至</w:t>
      </w:r>
      <w:r>
        <w:rPr>
          <w:rFonts w:hint="eastAsia"/>
        </w:rPr>
        <w:t>14%</w:t>
      </w:r>
      <w:r>
        <w:rPr>
          <w:rFonts w:hint="eastAsia"/>
        </w:rPr>
        <w:t>。在穷人中，一个基本房间也没有的住户所占比例为</w:t>
      </w:r>
      <w:r>
        <w:rPr>
          <w:rFonts w:hint="eastAsia"/>
        </w:rPr>
        <w:t>60%</w:t>
      </w:r>
      <w:r>
        <w:rPr>
          <w:rFonts w:hint="eastAsia"/>
        </w:rPr>
        <w:t>，在多数为穷人的外国经济移民中，这个比例是</w:t>
      </w:r>
      <w:r>
        <w:rPr>
          <w:rFonts w:hint="eastAsia"/>
        </w:rPr>
        <w:t>70%</w:t>
      </w:r>
      <w:r>
        <w:rPr>
          <w:rFonts w:hint="eastAsia"/>
        </w:rPr>
        <w:t>。</w:t>
      </w:r>
    </w:p>
    <w:p w:rsidR="00000000" w:rsidRDefault="00000000">
      <w:pPr>
        <w:spacing w:after="160"/>
        <w:rPr>
          <w:rFonts w:hint="eastAsia"/>
        </w:rPr>
      </w:pPr>
      <w:r>
        <w:rPr>
          <w:rFonts w:hint="eastAsia"/>
        </w:rPr>
        <w:tab/>
        <w:t xml:space="preserve">318.  </w:t>
      </w:r>
      <w:r>
        <w:rPr>
          <w:rFonts w:hint="eastAsia"/>
        </w:rPr>
        <w:t>在基本设施</w:t>
      </w:r>
      <w:r>
        <w:rPr>
          <w:rFonts w:hint="eastAsia"/>
        </w:rPr>
        <w:t>(</w:t>
      </w:r>
      <w:r>
        <w:rPr>
          <w:rFonts w:hint="eastAsia"/>
        </w:rPr>
        <w:t>与公用设施网的联接、浴室、卫生间、供暖</w:t>
      </w:r>
      <w:r>
        <w:rPr>
          <w:rFonts w:hint="eastAsia"/>
        </w:rPr>
        <w:t>)</w:t>
      </w:r>
      <w:r>
        <w:rPr>
          <w:rFonts w:hint="eastAsia"/>
        </w:rPr>
        <w:t>方面，</w:t>
      </w:r>
      <w:r>
        <w:rPr>
          <w:rFonts w:hint="eastAsia"/>
        </w:rPr>
        <w:t>1999</w:t>
      </w:r>
      <w:r>
        <w:rPr>
          <w:rFonts w:hint="eastAsia"/>
        </w:rPr>
        <w:t>年在雅典的住户中只有</w:t>
      </w:r>
      <w:r>
        <w:rPr>
          <w:rFonts w:hint="eastAsia"/>
        </w:rPr>
        <w:t>4%</w:t>
      </w:r>
      <w:r>
        <w:rPr>
          <w:rFonts w:hint="eastAsia"/>
        </w:rPr>
        <w:t>有一种或更多问题。即便是在这些住户中，问题也往往只是供暖不足。因此，对整个城市和其它城市地区来说，设施问题不是特别突出。但是，在欠发达地区，特别是山区和乡村，这种问题非常可能仍然严重。根据</w:t>
      </w:r>
      <w:r>
        <w:rPr>
          <w:rFonts w:hint="eastAsia"/>
        </w:rPr>
        <w:t>1991</w:t>
      </w:r>
      <w:r>
        <w:rPr>
          <w:rFonts w:hint="eastAsia"/>
        </w:rPr>
        <w:t>年的人口普查，缺少基本设施的住户所占比例如下：</w:t>
      </w:r>
    </w:p>
    <w:p w:rsidR="00000000" w:rsidRDefault="00000000">
      <w:pPr>
        <w:pStyle w:val="Heading3"/>
        <w:spacing w:after="160"/>
      </w:pPr>
      <w:r>
        <w:rPr>
          <w:rFonts w:hint="eastAsia"/>
        </w:rPr>
        <w:t>表</w:t>
      </w:r>
      <w:r>
        <w:rPr>
          <w:rFonts w:hint="eastAsia"/>
        </w:rPr>
        <w:t xml:space="preserve">  11</w:t>
      </w:r>
    </w:p>
    <w:p w:rsidR="00000000" w:rsidRDefault="00000000">
      <w:pPr>
        <w:pStyle w:val="Heading3"/>
        <w:rPr>
          <w:rFonts w:hint="eastAsia"/>
        </w:rPr>
      </w:pPr>
      <w:r>
        <w:rPr>
          <w:rFonts w:hint="eastAsia"/>
        </w:rPr>
        <w:t>缺少基本设施的住户</w:t>
      </w:r>
      <w:r>
        <w:rPr>
          <w:rFonts w:hint="eastAsia"/>
        </w:rPr>
        <w:t>(</w:t>
      </w:r>
      <w:r>
        <w:rPr>
          <w:rFonts w:hint="eastAsia"/>
        </w:rPr>
        <w:t>百分比</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000000">
        <w:tblPrEx>
          <w:tblCellMar>
            <w:top w:w="0" w:type="dxa"/>
            <w:bottom w:w="0" w:type="dxa"/>
          </w:tblCellMar>
        </w:tblPrEx>
        <w:tc>
          <w:tcPr>
            <w:tcW w:w="2392" w:type="dxa"/>
          </w:tcPr>
          <w:p w:rsidR="00000000" w:rsidRDefault="00000000">
            <w:pPr>
              <w:spacing w:before="60" w:after="20" w:line="312" w:lineRule="auto"/>
              <w:jc w:val="center"/>
              <w:rPr>
                <w:rFonts w:hint="eastAsia"/>
                <w:sz w:val="21"/>
              </w:rPr>
            </w:pPr>
          </w:p>
        </w:tc>
        <w:tc>
          <w:tcPr>
            <w:tcW w:w="2393" w:type="dxa"/>
          </w:tcPr>
          <w:p w:rsidR="00000000" w:rsidRDefault="00000000">
            <w:pPr>
              <w:spacing w:before="60" w:after="20" w:line="312" w:lineRule="auto"/>
              <w:jc w:val="center"/>
              <w:rPr>
                <w:rFonts w:hint="eastAsia"/>
                <w:sz w:val="21"/>
              </w:rPr>
            </w:pPr>
            <w:r>
              <w:rPr>
                <w:rFonts w:hint="eastAsia"/>
                <w:sz w:val="21"/>
              </w:rPr>
              <w:t>全</w:t>
            </w:r>
            <w:r>
              <w:rPr>
                <w:rFonts w:hint="eastAsia"/>
                <w:sz w:val="21"/>
              </w:rPr>
              <w:t xml:space="preserve">  </w:t>
            </w:r>
            <w:r>
              <w:rPr>
                <w:rFonts w:hint="eastAsia"/>
                <w:sz w:val="21"/>
              </w:rPr>
              <w:t>国</w:t>
            </w:r>
          </w:p>
        </w:tc>
        <w:tc>
          <w:tcPr>
            <w:tcW w:w="2393" w:type="dxa"/>
          </w:tcPr>
          <w:p w:rsidR="00000000" w:rsidRDefault="00000000">
            <w:pPr>
              <w:spacing w:before="60" w:after="20" w:line="312" w:lineRule="auto"/>
              <w:jc w:val="center"/>
              <w:rPr>
                <w:rFonts w:hint="eastAsia"/>
                <w:sz w:val="21"/>
              </w:rPr>
            </w:pPr>
            <w:r>
              <w:rPr>
                <w:rFonts w:hint="eastAsia"/>
                <w:sz w:val="21"/>
              </w:rPr>
              <w:t>城市地区</w:t>
            </w:r>
          </w:p>
        </w:tc>
        <w:tc>
          <w:tcPr>
            <w:tcW w:w="2393" w:type="dxa"/>
          </w:tcPr>
          <w:p w:rsidR="00000000" w:rsidRDefault="00000000">
            <w:pPr>
              <w:spacing w:before="60" w:after="20" w:line="312" w:lineRule="auto"/>
              <w:jc w:val="center"/>
              <w:rPr>
                <w:rFonts w:hint="eastAsia"/>
                <w:sz w:val="21"/>
              </w:rPr>
            </w:pPr>
            <w:r>
              <w:rPr>
                <w:rFonts w:hint="eastAsia"/>
                <w:sz w:val="21"/>
              </w:rPr>
              <w:t>乡村地区</w:t>
            </w:r>
          </w:p>
        </w:tc>
      </w:tr>
      <w:tr w:rsidR="00000000">
        <w:tblPrEx>
          <w:tblCellMar>
            <w:top w:w="0" w:type="dxa"/>
            <w:bottom w:w="0" w:type="dxa"/>
          </w:tblCellMar>
        </w:tblPrEx>
        <w:tc>
          <w:tcPr>
            <w:tcW w:w="2392" w:type="dxa"/>
          </w:tcPr>
          <w:p w:rsidR="00000000" w:rsidRDefault="00000000">
            <w:pPr>
              <w:spacing w:before="60" w:after="20" w:line="312" w:lineRule="auto"/>
              <w:rPr>
                <w:rFonts w:hint="eastAsia"/>
                <w:sz w:val="21"/>
              </w:rPr>
            </w:pPr>
            <w:r>
              <w:rPr>
                <w:rFonts w:hint="eastAsia"/>
                <w:sz w:val="21"/>
              </w:rPr>
              <w:t>室内卫生间</w:t>
            </w:r>
          </w:p>
        </w:tc>
        <w:tc>
          <w:tcPr>
            <w:tcW w:w="2393" w:type="dxa"/>
          </w:tcPr>
          <w:p w:rsidR="00000000" w:rsidRDefault="00000000">
            <w:pPr>
              <w:spacing w:before="60" w:after="20" w:line="312" w:lineRule="auto"/>
              <w:ind w:right="893"/>
              <w:jc w:val="right"/>
              <w:rPr>
                <w:rFonts w:hint="eastAsia"/>
                <w:sz w:val="21"/>
              </w:rPr>
            </w:pPr>
            <w:r>
              <w:rPr>
                <w:rFonts w:hint="eastAsia"/>
                <w:sz w:val="21"/>
              </w:rPr>
              <w:t>12.5%</w:t>
            </w:r>
          </w:p>
        </w:tc>
        <w:tc>
          <w:tcPr>
            <w:tcW w:w="2393" w:type="dxa"/>
          </w:tcPr>
          <w:p w:rsidR="00000000" w:rsidRDefault="00000000">
            <w:pPr>
              <w:spacing w:before="60" w:after="20" w:line="312" w:lineRule="auto"/>
              <w:jc w:val="center"/>
              <w:rPr>
                <w:rFonts w:hint="eastAsia"/>
                <w:sz w:val="21"/>
              </w:rPr>
            </w:pPr>
            <w:r>
              <w:rPr>
                <w:rFonts w:hint="eastAsia"/>
                <w:sz w:val="21"/>
              </w:rPr>
              <w:t>.4%</w:t>
            </w:r>
          </w:p>
        </w:tc>
        <w:tc>
          <w:tcPr>
            <w:tcW w:w="2393" w:type="dxa"/>
          </w:tcPr>
          <w:p w:rsidR="00000000" w:rsidRDefault="00000000">
            <w:pPr>
              <w:spacing w:before="60" w:after="20" w:line="312" w:lineRule="auto"/>
              <w:ind w:right="849"/>
              <w:jc w:val="right"/>
              <w:rPr>
                <w:rFonts w:hint="eastAsia"/>
                <w:sz w:val="21"/>
              </w:rPr>
            </w:pPr>
            <w:r>
              <w:rPr>
                <w:rFonts w:hint="eastAsia"/>
                <w:sz w:val="21"/>
              </w:rPr>
              <w:t>32.0%</w:t>
            </w:r>
          </w:p>
        </w:tc>
      </w:tr>
      <w:tr w:rsidR="00000000">
        <w:tblPrEx>
          <w:tblCellMar>
            <w:top w:w="0" w:type="dxa"/>
            <w:bottom w:w="0" w:type="dxa"/>
          </w:tblCellMar>
        </w:tblPrEx>
        <w:tc>
          <w:tcPr>
            <w:tcW w:w="2392" w:type="dxa"/>
          </w:tcPr>
          <w:p w:rsidR="00000000" w:rsidRDefault="00000000">
            <w:pPr>
              <w:spacing w:before="60" w:after="20" w:line="312" w:lineRule="auto"/>
              <w:rPr>
                <w:rFonts w:hint="eastAsia"/>
                <w:sz w:val="21"/>
              </w:rPr>
            </w:pPr>
            <w:r>
              <w:rPr>
                <w:rFonts w:hint="eastAsia"/>
                <w:sz w:val="21"/>
              </w:rPr>
              <w:t>自来水</w:t>
            </w:r>
          </w:p>
        </w:tc>
        <w:tc>
          <w:tcPr>
            <w:tcW w:w="2393" w:type="dxa"/>
          </w:tcPr>
          <w:p w:rsidR="00000000" w:rsidRDefault="00000000">
            <w:pPr>
              <w:spacing w:before="60" w:after="20" w:line="312" w:lineRule="auto"/>
              <w:ind w:right="893"/>
              <w:jc w:val="right"/>
              <w:rPr>
                <w:rFonts w:hint="eastAsia"/>
                <w:sz w:val="21"/>
              </w:rPr>
            </w:pPr>
            <w:r>
              <w:rPr>
                <w:rFonts w:hint="eastAsia"/>
                <w:sz w:val="21"/>
              </w:rPr>
              <w:t>3.5%</w:t>
            </w:r>
          </w:p>
        </w:tc>
        <w:tc>
          <w:tcPr>
            <w:tcW w:w="2393" w:type="dxa"/>
          </w:tcPr>
          <w:p w:rsidR="00000000" w:rsidRDefault="00000000">
            <w:pPr>
              <w:spacing w:before="60" w:after="20" w:line="312" w:lineRule="auto"/>
              <w:jc w:val="center"/>
              <w:rPr>
                <w:rFonts w:hint="eastAsia"/>
                <w:sz w:val="21"/>
              </w:rPr>
            </w:pPr>
            <w:r>
              <w:rPr>
                <w:rFonts w:hint="eastAsia"/>
                <w:sz w:val="21"/>
              </w:rPr>
              <w:t>.0%</w:t>
            </w:r>
          </w:p>
        </w:tc>
        <w:tc>
          <w:tcPr>
            <w:tcW w:w="2393" w:type="dxa"/>
          </w:tcPr>
          <w:p w:rsidR="00000000" w:rsidRDefault="00000000">
            <w:pPr>
              <w:spacing w:before="60" w:after="20" w:line="312" w:lineRule="auto"/>
              <w:ind w:right="849"/>
              <w:jc w:val="right"/>
              <w:rPr>
                <w:rFonts w:hint="eastAsia"/>
                <w:sz w:val="21"/>
              </w:rPr>
            </w:pPr>
            <w:r>
              <w:rPr>
                <w:rFonts w:hint="eastAsia"/>
                <w:sz w:val="21"/>
              </w:rPr>
              <w:t>9.3%</w:t>
            </w:r>
          </w:p>
        </w:tc>
      </w:tr>
      <w:tr w:rsidR="00000000">
        <w:tblPrEx>
          <w:tblCellMar>
            <w:top w:w="0" w:type="dxa"/>
            <w:bottom w:w="0" w:type="dxa"/>
          </w:tblCellMar>
        </w:tblPrEx>
        <w:tc>
          <w:tcPr>
            <w:tcW w:w="2392" w:type="dxa"/>
          </w:tcPr>
          <w:p w:rsidR="00000000" w:rsidRDefault="00000000">
            <w:pPr>
              <w:spacing w:before="60" w:after="20" w:line="312" w:lineRule="auto"/>
              <w:rPr>
                <w:rFonts w:hint="eastAsia"/>
                <w:sz w:val="21"/>
              </w:rPr>
            </w:pPr>
            <w:r>
              <w:rPr>
                <w:rFonts w:hint="eastAsia"/>
                <w:sz w:val="21"/>
              </w:rPr>
              <w:t>浴</w:t>
            </w:r>
            <w:r>
              <w:rPr>
                <w:rFonts w:hint="eastAsia"/>
                <w:sz w:val="21"/>
              </w:rPr>
              <w:t xml:space="preserve">  </w:t>
            </w:r>
            <w:r>
              <w:rPr>
                <w:rFonts w:hint="eastAsia"/>
                <w:sz w:val="21"/>
              </w:rPr>
              <w:t>室</w:t>
            </w:r>
          </w:p>
        </w:tc>
        <w:tc>
          <w:tcPr>
            <w:tcW w:w="2393" w:type="dxa"/>
          </w:tcPr>
          <w:p w:rsidR="00000000" w:rsidRDefault="00000000">
            <w:pPr>
              <w:spacing w:before="60" w:after="20" w:line="312" w:lineRule="auto"/>
              <w:ind w:right="893"/>
              <w:jc w:val="right"/>
              <w:rPr>
                <w:rFonts w:hint="eastAsia"/>
                <w:sz w:val="21"/>
              </w:rPr>
            </w:pPr>
            <w:r>
              <w:rPr>
                <w:rFonts w:hint="eastAsia"/>
                <w:sz w:val="21"/>
              </w:rPr>
              <w:t>14.5%</w:t>
            </w:r>
          </w:p>
        </w:tc>
        <w:tc>
          <w:tcPr>
            <w:tcW w:w="2393" w:type="dxa"/>
          </w:tcPr>
          <w:p w:rsidR="00000000" w:rsidRDefault="00000000">
            <w:pPr>
              <w:spacing w:before="60" w:after="20" w:line="312" w:lineRule="auto"/>
              <w:jc w:val="center"/>
              <w:rPr>
                <w:rFonts w:hint="eastAsia"/>
                <w:sz w:val="21"/>
              </w:rPr>
            </w:pPr>
            <w:r>
              <w:rPr>
                <w:rFonts w:hint="eastAsia"/>
                <w:sz w:val="21"/>
              </w:rPr>
              <w:t>.6%</w:t>
            </w:r>
          </w:p>
        </w:tc>
        <w:tc>
          <w:tcPr>
            <w:tcW w:w="2393" w:type="dxa"/>
          </w:tcPr>
          <w:p w:rsidR="00000000" w:rsidRDefault="00000000">
            <w:pPr>
              <w:spacing w:before="60" w:after="20" w:line="312" w:lineRule="auto"/>
              <w:ind w:right="849"/>
              <w:jc w:val="right"/>
              <w:rPr>
                <w:rFonts w:hint="eastAsia"/>
                <w:sz w:val="21"/>
              </w:rPr>
            </w:pPr>
            <w:r>
              <w:rPr>
                <w:rFonts w:hint="eastAsia"/>
                <w:sz w:val="21"/>
              </w:rPr>
              <w:t>35.0%</w:t>
            </w:r>
          </w:p>
        </w:tc>
      </w:tr>
    </w:tbl>
    <w:p w:rsidR="00000000" w:rsidRDefault="00000000">
      <w:pPr>
        <w:rPr>
          <w:rFonts w:hint="eastAsia"/>
        </w:rPr>
      </w:pPr>
    </w:p>
    <w:p w:rsidR="00000000" w:rsidRDefault="00000000">
      <w:pPr>
        <w:spacing w:after="320"/>
        <w:rPr>
          <w:rFonts w:hint="eastAsia"/>
        </w:rPr>
      </w:pPr>
      <w:r>
        <w:rPr>
          <w:rFonts w:hint="eastAsia"/>
        </w:rPr>
        <w:tab/>
        <w:t xml:space="preserve">319.  </w:t>
      </w:r>
      <w:r>
        <w:rPr>
          <w:rFonts w:hint="eastAsia"/>
        </w:rPr>
        <w:t>过去</w:t>
      </w:r>
      <w:r>
        <w:rPr>
          <w:rFonts w:hint="eastAsia"/>
        </w:rPr>
        <w:t>10</w:t>
      </w:r>
      <w:r>
        <w:rPr>
          <w:rFonts w:hint="eastAsia"/>
        </w:rPr>
        <w:t>年中农村地区的住户问题肯定已经缓解，但</w:t>
      </w:r>
      <w:r>
        <w:rPr>
          <w:rFonts w:hint="eastAsia"/>
        </w:rPr>
        <w:t>1991</w:t>
      </w:r>
      <w:r>
        <w:rPr>
          <w:rFonts w:hint="eastAsia"/>
        </w:rPr>
        <w:t>年的较高数字显示，设施严重不足的问题仍然存在，据粗略估计，约</w:t>
      </w:r>
      <w:r>
        <w:rPr>
          <w:rFonts w:hint="eastAsia"/>
        </w:rPr>
        <w:t>15%</w:t>
      </w:r>
      <w:r>
        <w:rPr>
          <w:rFonts w:hint="eastAsia"/>
        </w:rPr>
        <w:t>的住户缺少设施。</w:t>
      </w:r>
    </w:p>
    <w:p w:rsidR="00000000" w:rsidRDefault="00000000">
      <w:pPr>
        <w:pStyle w:val="Heading4"/>
        <w:rPr>
          <w:rFonts w:hint="eastAsia"/>
        </w:rPr>
      </w:pPr>
      <w:r>
        <w:rPr>
          <w:rFonts w:hint="eastAsia"/>
        </w:rPr>
        <w:t>“非法”住区</w:t>
      </w:r>
    </w:p>
    <w:p w:rsidR="00000000" w:rsidRDefault="00000000">
      <w:pPr>
        <w:rPr>
          <w:rFonts w:hint="eastAsia"/>
        </w:rPr>
      </w:pPr>
      <w:r>
        <w:rPr>
          <w:rFonts w:hint="eastAsia"/>
        </w:rPr>
        <w:tab/>
        <w:t xml:space="preserve">320.  </w:t>
      </w:r>
      <w:r>
        <w:rPr>
          <w:rFonts w:hint="eastAsia"/>
        </w:rPr>
        <w:t>过去，即</w:t>
      </w:r>
      <w:r>
        <w:rPr>
          <w:rFonts w:hint="eastAsia"/>
        </w:rPr>
        <w:t>1950</w:t>
      </w:r>
      <w:r>
        <w:rPr>
          <w:rFonts w:hint="eastAsia"/>
        </w:rPr>
        <w:t>年代和</w:t>
      </w:r>
      <w:r>
        <w:rPr>
          <w:rFonts w:hint="eastAsia"/>
        </w:rPr>
        <w:t>1960</w:t>
      </w:r>
      <w:r>
        <w:rPr>
          <w:rFonts w:hint="eastAsia"/>
        </w:rPr>
        <w:t>年代，低收入住房非法住区的形成在希腊城市中相当普遍，但自</w:t>
      </w:r>
      <w:r>
        <w:rPr>
          <w:rFonts w:hint="eastAsia"/>
        </w:rPr>
        <w:t>1970</w:t>
      </w:r>
      <w:r>
        <w:rPr>
          <w:rFonts w:hint="eastAsia"/>
        </w:rPr>
        <w:t>年代中期以来，建设这种主要住宅的活动实际上已经停止。但第二住房的建设活动仍然相当普遍，特别是在较受欢迎的海滨度假区。</w:t>
      </w:r>
    </w:p>
    <w:p w:rsidR="00000000" w:rsidRDefault="00000000">
      <w:pPr>
        <w:rPr>
          <w:rFonts w:hint="eastAsia"/>
        </w:rPr>
      </w:pPr>
      <w:r>
        <w:rPr>
          <w:rFonts w:hint="eastAsia"/>
        </w:rPr>
        <w:tab/>
        <w:t xml:space="preserve">321.  </w:t>
      </w:r>
      <w:r>
        <w:rPr>
          <w:rFonts w:hint="eastAsia"/>
        </w:rPr>
        <w:t>应当指出，在希腊，“非法”建筑是指在所拥有土地上的无法律许可建筑。这种土地大都不在土地较昂贵的城市的正式规划中，而是“非正式”规划和再分配的周围土地。</w:t>
      </w:r>
    </w:p>
    <w:p w:rsidR="00000000" w:rsidRDefault="00000000">
      <w:pPr>
        <w:rPr>
          <w:rFonts w:hint="eastAsia"/>
        </w:rPr>
      </w:pPr>
      <w:r>
        <w:rPr>
          <w:rFonts w:hint="eastAsia"/>
        </w:rPr>
        <w:tab/>
        <w:t xml:space="preserve">322.  </w:t>
      </w:r>
      <w:r>
        <w:rPr>
          <w:rFonts w:hint="eastAsia"/>
        </w:rPr>
        <w:t>虽然主要住宅非法建造在相当一段时间内已基本停止，但遗留下来的一些任意发展的居住区面临着严重的规划和提供基础结构的问题以及占有保障问题和进一步建造或改善的法律障碍。为解决遗留下来的这些问题，</w:t>
      </w:r>
      <w:r>
        <w:rPr>
          <w:rFonts w:hint="eastAsia"/>
        </w:rPr>
        <w:t>1983</w:t>
      </w:r>
      <w:r>
        <w:rPr>
          <w:rFonts w:hint="eastAsia"/>
        </w:rPr>
        <w:t>年以来，在环境、城镇规划和公共工程部的监督下，根据第</w:t>
      </w:r>
      <w:r>
        <w:rPr>
          <w:rFonts w:hint="eastAsia"/>
        </w:rPr>
        <w:t>1337/83</w:t>
      </w:r>
      <w:r>
        <w:rPr>
          <w:rFonts w:hint="eastAsia"/>
        </w:rPr>
        <w:t>号《住房法》，在希腊全国广泛实行了一项城市重新安排方案。实行这项方案的目的是将有关地区纳入正式城市规划，提供基础结构和解决建造新房或改善旧房所涉法律问题。在主要住房区，方案的实行已基本处于最后阶段，但在渡假区仍然相当重要并在积极实行，在这些地方，仍然存在着非法城市发展问题。</w:t>
      </w:r>
    </w:p>
    <w:p w:rsidR="00000000" w:rsidRDefault="00000000">
      <w:pPr>
        <w:spacing w:after="320"/>
      </w:pPr>
      <w:r>
        <w:rPr>
          <w:rFonts w:hint="eastAsia"/>
        </w:rPr>
        <w:tab/>
        <w:t xml:space="preserve">323.  </w:t>
      </w:r>
      <w:r>
        <w:rPr>
          <w:rFonts w:hint="eastAsia"/>
        </w:rPr>
        <w:t>为提供非法建筑的临时“证明”和在晚些时候将其纳入新的正式城市规划制定了法律框架和一些方案，其最终目的是将对居住在非法房屋的居民的不利影响减少到最低程度。因此，由于不可解决的规划问题造成的部分或全部房屋拆毁或征收的实际案例一直保持在最少程度。另外，在规划法律中还规定了特别豁免，目的是为属于非法财产的住房的扩大、改善或进一步发展提供便利，加速“合法化”进程。不用说，从良好规划和建筑环境质量来看，这往往带来不利影响，但考虑到老非法住宅区的特殊社会组成，这也被认为是必要的。总之，从住房和获得财产角度来看，非法住房的“纳入”和“合法化”制度，可合理地认为对过去的非法定居者相当有利。</w:t>
      </w:r>
    </w:p>
    <w:p w:rsidR="00000000" w:rsidRDefault="00000000">
      <w:pPr>
        <w:pStyle w:val="Heading4"/>
        <w:rPr>
          <w:rFonts w:ascii="Time New Roman" w:hAnsi="Time New Roman" w:hint="eastAsia"/>
          <w:u w:val="words"/>
        </w:rPr>
      </w:pPr>
      <w:r>
        <w:rPr>
          <w:rFonts w:ascii="Time New Roman" w:hAnsi="Time New Roman" w:hint="eastAsia"/>
          <w:u w:val="words"/>
        </w:rPr>
        <w:t>强制搬迁和缺少对房客的保护</w:t>
      </w:r>
    </w:p>
    <w:p w:rsidR="00000000" w:rsidRDefault="00000000">
      <w:pPr>
        <w:rPr>
          <w:rFonts w:hint="eastAsia"/>
        </w:rPr>
      </w:pPr>
      <w:r>
        <w:rPr>
          <w:rFonts w:hint="eastAsia"/>
        </w:rPr>
        <w:tab/>
        <w:t xml:space="preserve">324.  </w:t>
      </w:r>
      <w:r>
        <w:rPr>
          <w:rFonts w:hint="eastAsia"/>
        </w:rPr>
        <w:t>如前面指出，希腊的出租业属于私人。出租房产的所有者几乎都是只有少量房产的住户。在这一行业，没有明显的财富集中情况，除少数房产为机构所有以外，没有商业性的出租房产投资。因此，这一行业存在着激烈竞争，房主和房客的关系也具有很大灵活性和非正式性。这种情况有许多好处，但也经济造成争端、黑色经济行为和租约双方的任意行为。</w:t>
      </w:r>
    </w:p>
    <w:p w:rsidR="00000000" w:rsidRDefault="00000000">
      <w:pPr>
        <w:rPr>
          <w:rFonts w:hint="eastAsia"/>
        </w:rPr>
      </w:pPr>
      <w:r>
        <w:rPr>
          <w:rFonts w:hint="eastAsia"/>
        </w:rPr>
        <w:tab/>
        <w:t xml:space="preserve">325.  </w:t>
      </w:r>
      <w:r>
        <w:rPr>
          <w:rFonts w:hint="eastAsia"/>
        </w:rPr>
        <w:t>在</w:t>
      </w:r>
      <w:r>
        <w:rPr>
          <w:rFonts w:hint="eastAsia"/>
        </w:rPr>
        <w:t>1985</w:t>
      </w:r>
      <w:r>
        <w:rPr>
          <w:rFonts w:hint="eastAsia"/>
        </w:rPr>
        <w:t>年后的</w:t>
      </w:r>
      <w:r>
        <w:rPr>
          <w:rFonts w:hint="eastAsia"/>
        </w:rPr>
        <w:t>10</w:t>
      </w:r>
      <w:r>
        <w:rPr>
          <w:rFonts w:hint="eastAsia"/>
        </w:rPr>
        <w:t>年中，出租业在房租和搬迁方面受到相对严格的管制。然而，自</w:t>
      </w:r>
      <w:r>
        <w:rPr>
          <w:rFonts w:hint="eastAsia"/>
        </w:rPr>
        <w:t>1990</w:t>
      </w:r>
      <w:r>
        <w:rPr>
          <w:rFonts w:hint="eastAsia"/>
        </w:rPr>
        <w:t>年代初至</w:t>
      </w:r>
      <w:r>
        <w:rPr>
          <w:rFonts w:hint="eastAsia"/>
        </w:rPr>
        <w:t>1996</w:t>
      </w:r>
      <w:r>
        <w:rPr>
          <w:rFonts w:hint="eastAsia"/>
        </w:rPr>
        <w:t>年期间，这一行业的管制逐渐完全放开。因此，除《希腊民法》所提供的保护和管制以外，房客在房租过度增加方面几乎不受任何法律保护，在强迫搬迁方面所受保护也相当有限。有关租约的现行法律框架只规定，如果房客没有违反有关房产使用以及按时交纳租金和建筑管理费用的义务，至少在三年内不得强迫他们搬迁。房客在至少居住两年之后可在不附加任何义务的情况下搬出。在有违反支付房租义务的情况下，房主可驱逐房客。在至少三年的期限之后，房主可要求房客离开或同意谈判新租约，而对租金数额不加限制。房主普遍避免正式续约和事实上的“无限期”续约。这就允许经常重新谈判租金，也可随时要求搬迁。</w:t>
      </w:r>
    </w:p>
    <w:p w:rsidR="00000000" w:rsidRDefault="00000000">
      <w:pPr>
        <w:rPr>
          <w:rFonts w:hint="eastAsia"/>
        </w:rPr>
      </w:pPr>
      <w:r>
        <w:rPr>
          <w:rFonts w:hint="eastAsia"/>
        </w:rPr>
        <w:tab/>
        <w:t xml:space="preserve">326.  </w:t>
      </w:r>
      <w:r>
        <w:rPr>
          <w:rFonts w:hint="eastAsia"/>
        </w:rPr>
        <w:t>收到法院的简单搬迁通知的房客必须在几个月的合理时间内搬出。如果他们拒绝或拖延搬迁，房主必须提出起诉以求法院发布命令，这也需要几个月。法院在听取双方意见之后决定搬迁时间。房客可上诉，但法院命令必须立即执行。</w:t>
      </w:r>
    </w:p>
    <w:p w:rsidR="00000000" w:rsidRDefault="00000000">
      <w:pPr>
        <w:rPr>
          <w:rFonts w:hint="eastAsia"/>
        </w:rPr>
      </w:pPr>
      <w:r>
        <w:rPr>
          <w:rFonts w:hint="eastAsia"/>
        </w:rPr>
        <w:tab/>
        <w:t xml:space="preserve">327.  </w:t>
      </w:r>
      <w:r>
        <w:rPr>
          <w:rFonts w:hint="eastAsia"/>
        </w:rPr>
        <w:t>按希腊现行制度，把“强制”搬迁或其高发生率看作对基本权利的一种侵犯，肯定有问题，但经验表明，房客确实在很大程度上没有居住保障。例如，根据最近</w:t>
      </w:r>
      <w:r>
        <w:rPr>
          <w:rFonts w:hint="eastAsia"/>
        </w:rPr>
        <w:t>(1999</w:t>
      </w:r>
      <w:r>
        <w:rPr>
          <w:rFonts w:hint="eastAsia"/>
        </w:rPr>
        <w:t>年</w:t>
      </w:r>
      <w:r>
        <w:rPr>
          <w:rFonts w:hint="eastAsia"/>
        </w:rPr>
        <w:t>)</w:t>
      </w:r>
      <w:r>
        <w:rPr>
          <w:rFonts w:hint="eastAsia"/>
        </w:rPr>
        <w:t>在雅典进行的一次调查，按希腊标准，房客的流动性相当高。只有</w:t>
      </w:r>
      <w:r>
        <w:rPr>
          <w:rFonts w:hint="eastAsia"/>
        </w:rPr>
        <w:t>18%</w:t>
      </w:r>
      <w:r>
        <w:rPr>
          <w:rFonts w:hint="eastAsia"/>
        </w:rPr>
        <w:t>的房客在其目前住所中居住了两年以上，十年内房客的平均搬家次数为</w:t>
      </w:r>
      <w:r>
        <w:rPr>
          <w:rFonts w:hint="eastAsia"/>
        </w:rPr>
        <w:t>2.47</w:t>
      </w:r>
      <w:r>
        <w:rPr>
          <w:rFonts w:hint="eastAsia"/>
        </w:rPr>
        <w:t>次，而目前作为住房主人的住户的相应数字是</w:t>
      </w:r>
      <w:r>
        <w:rPr>
          <w:rFonts w:hint="eastAsia"/>
        </w:rPr>
        <w:t>1.38</w:t>
      </w:r>
      <w:r>
        <w:rPr>
          <w:rFonts w:hint="eastAsia"/>
        </w:rPr>
        <w:t>次。但造成这种差异的一个原因是：房客一般比房主住户年轻，因此，他们的流动性一般比较高。</w:t>
      </w:r>
    </w:p>
    <w:p w:rsidR="00000000" w:rsidRDefault="00000000">
      <w:pPr>
        <w:rPr>
          <w:rFonts w:hint="eastAsia"/>
        </w:rPr>
      </w:pPr>
      <w:r>
        <w:rPr>
          <w:rFonts w:hint="eastAsia"/>
        </w:rPr>
        <w:tab/>
        <w:t xml:space="preserve">328.  </w:t>
      </w:r>
      <w:r>
        <w:rPr>
          <w:rFonts w:hint="eastAsia"/>
        </w:rPr>
        <w:t>关于驱赶的压力，或更通俗的说，搬家的压力，雅典的证据表明了一种相当复杂和矛盾的情况。一方面，在过去两年中，只有</w:t>
      </w:r>
      <w:r>
        <w:rPr>
          <w:rFonts w:hint="eastAsia"/>
        </w:rPr>
        <w:t>27%</w:t>
      </w:r>
      <w:r>
        <w:rPr>
          <w:rFonts w:hint="eastAsia"/>
        </w:rPr>
        <w:t>的房客被房主直接要求搬出住所。另一方面，</w:t>
      </w:r>
      <w:r>
        <w:rPr>
          <w:rFonts w:hint="eastAsia"/>
        </w:rPr>
        <w:t>13%</w:t>
      </w:r>
      <w:r>
        <w:rPr>
          <w:rFonts w:hint="eastAsia"/>
        </w:rPr>
        <w:t>的房客则宣布他们准备在短期内</w:t>
      </w:r>
      <w:r>
        <w:rPr>
          <w:rFonts w:hint="eastAsia"/>
        </w:rPr>
        <w:t>(</w:t>
      </w:r>
      <w:r>
        <w:rPr>
          <w:rFonts w:hint="eastAsia"/>
        </w:rPr>
        <w:t>两年</w:t>
      </w:r>
      <w:r>
        <w:rPr>
          <w:rFonts w:hint="eastAsia"/>
        </w:rPr>
        <w:t>)</w:t>
      </w:r>
      <w:r>
        <w:rPr>
          <w:rFonts w:hint="eastAsia"/>
        </w:rPr>
        <w:t>搬家，因为房主“自己需要使用他们居住的房屋”。另外有</w:t>
      </w:r>
      <w:r>
        <w:rPr>
          <w:rFonts w:hint="eastAsia"/>
        </w:rPr>
        <w:t>5%</w:t>
      </w:r>
      <w:r>
        <w:rPr>
          <w:rFonts w:hint="eastAsia"/>
        </w:rPr>
        <w:t>准备离开是因为“房租高或过多要求提高房租”。因此，接近五分之一的房客面临某种搬家压力，虽然这种压力往往是非正式和长期性的。</w:t>
      </w:r>
    </w:p>
    <w:p w:rsidR="00000000" w:rsidRDefault="00000000">
      <w:pPr>
        <w:spacing w:after="240"/>
        <w:rPr>
          <w:rFonts w:hint="eastAsia"/>
        </w:rPr>
      </w:pPr>
      <w:r>
        <w:rPr>
          <w:rFonts w:hint="eastAsia"/>
        </w:rPr>
        <w:tab/>
        <w:t xml:space="preserve">329.  </w:t>
      </w:r>
      <w:r>
        <w:rPr>
          <w:rFonts w:hint="eastAsia"/>
        </w:rPr>
        <w:t>这些情况与关于房客住所实际变动的动机的资料是一致的。因此，在</w:t>
      </w:r>
      <w:r>
        <w:rPr>
          <w:rFonts w:hint="eastAsia"/>
        </w:rPr>
        <w:t>1995-1999</w:t>
      </w:r>
      <w:r>
        <w:rPr>
          <w:rFonts w:hint="eastAsia"/>
        </w:rPr>
        <w:t>年期间改变住所的房客说，搬家的一个根本原因是，房主自己需要住房</w:t>
      </w:r>
      <w:r>
        <w:rPr>
          <w:rFonts w:hint="eastAsia"/>
        </w:rPr>
        <w:t>(14%)</w:t>
      </w:r>
      <w:r>
        <w:rPr>
          <w:rFonts w:hint="eastAsia"/>
        </w:rPr>
        <w:t>，或房租太高，或要求增加的房租过高</w:t>
      </w:r>
      <w:r>
        <w:rPr>
          <w:rFonts w:hint="eastAsia"/>
        </w:rPr>
        <w:t>(7%)</w:t>
      </w:r>
      <w:r>
        <w:rPr>
          <w:rFonts w:hint="eastAsia"/>
        </w:rPr>
        <w:t>。</w:t>
      </w:r>
    </w:p>
    <w:p w:rsidR="00000000" w:rsidRDefault="00000000">
      <w:pPr>
        <w:pStyle w:val="Heading4"/>
        <w:rPr>
          <w:rFonts w:ascii="Time New Roman" w:hAnsi="Time New Roman" w:hint="eastAsia"/>
          <w:u w:val="words"/>
        </w:rPr>
      </w:pPr>
      <w:r>
        <w:rPr>
          <w:rFonts w:ascii="Time New Roman" w:hAnsi="Time New Roman" w:hint="eastAsia"/>
          <w:u w:val="words"/>
        </w:rPr>
        <w:t>社会住房出租</w:t>
      </w:r>
    </w:p>
    <w:p w:rsidR="00000000" w:rsidRDefault="00000000">
      <w:pPr>
        <w:rPr>
          <w:rFonts w:hint="eastAsia"/>
        </w:rPr>
      </w:pPr>
      <w:r>
        <w:rPr>
          <w:rFonts w:hint="eastAsia"/>
        </w:rPr>
        <w:tab/>
        <w:t xml:space="preserve">330.  </w:t>
      </w:r>
      <w:r>
        <w:rPr>
          <w:rFonts w:hint="eastAsia"/>
        </w:rPr>
        <w:t>如前面所提到，在希腊，既无公有或市政所有和管理这种直接意义上的社会住房出租业，也无私有加上政府控制和补贴的这种间接意义上的社会住房出租业。过去曾提出创立这一个行业的相当多政治要求，但绝大多数决策者和住房专家认为，除了公众明显不喜欢这种住房形式以外，鉴于在集体住房管理方面完全没有公共经验，从零开始建立这样一个部门的资本费用和行政费用将非常高昂。</w:t>
      </w:r>
    </w:p>
    <w:p w:rsidR="00000000" w:rsidRDefault="00000000">
      <w:pPr>
        <w:spacing w:after="240"/>
        <w:rPr>
          <w:rFonts w:hint="eastAsia"/>
        </w:rPr>
      </w:pPr>
      <w:r>
        <w:rPr>
          <w:rFonts w:hint="eastAsia"/>
        </w:rPr>
        <w:tab/>
        <w:t xml:space="preserve">331.  </w:t>
      </w:r>
      <w:r>
        <w:rPr>
          <w:rFonts w:hint="eastAsia"/>
        </w:rPr>
        <w:t>另一方面，更以市场为基础的形式，如向房主提供补贴以实现房租、供应和社会分配方面的改善，仍然在议事日程中，但直到目前没有引起多少兴趣。</w:t>
      </w:r>
    </w:p>
    <w:p w:rsidR="00000000" w:rsidRDefault="00000000">
      <w:pPr>
        <w:pStyle w:val="Heading4"/>
        <w:rPr>
          <w:rFonts w:ascii="Time New Roman" w:hAnsi="Time New Roman" w:hint="eastAsia"/>
          <w:u w:val="words"/>
        </w:rPr>
      </w:pPr>
      <w:r>
        <w:rPr>
          <w:rFonts w:ascii="Time New Roman" w:hAnsi="Time New Roman" w:hint="eastAsia"/>
          <w:u w:val="words"/>
        </w:rPr>
        <w:t>住房费用问题</w:t>
      </w:r>
    </w:p>
    <w:p w:rsidR="00000000" w:rsidRDefault="00000000">
      <w:pPr>
        <w:rPr>
          <w:rFonts w:hint="eastAsia"/>
        </w:rPr>
      </w:pPr>
      <w:r>
        <w:rPr>
          <w:rFonts w:hint="eastAsia"/>
        </w:rPr>
        <w:tab/>
        <w:t xml:space="preserve">332.  </w:t>
      </w:r>
      <w:r>
        <w:rPr>
          <w:rFonts w:hint="eastAsia"/>
        </w:rPr>
        <w:t>住房费用是一个复杂问题，需要考虑每个地方住房系统往往特有的各种因素和整个国家的经济发展水平。然而，特别是为便于进行国际比较，住房研究者通常采取一种相当简单的办法，这种办法所依据的是住户平均收入和住宅平均市场价值的关系，或者，对房客来说，房租和收入的平均比率。在象希腊这样不具备详细和可靠的住户收入数据的情况下，就只能使用消费开支数据。关于可承受费用标准，一般认为，住房费用和年收入之比为</w:t>
      </w:r>
      <w:r>
        <w:rPr>
          <w:rFonts w:hint="eastAsia"/>
        </w:rPr>
        <w:t>2.5</w:t>
      </w:r>
      <w:r>
        <w:rPr>
          <w:rFonts w:hint="eastAsia"/>
        </w:rPr>
        <w:t>是相当可接受的，而房租占收入的</w:t>
      </w:r>
      <w:r>
        <w:rPr>
          <w:rFonts w:hint="eastAsia"/>
        </w:rPr>
        <w:t>25%</w:t>
      </w:r>
      <w:r>
        <w:rPr>
          <w:rFonts w:hint="eastAsia"/>
        </w:rPr>
        <w:t>也同样也可以接受。调整为消费数据，相应数字约为</w:t>
      </w:r>
      <w:r>
        <w:rPr>
          <w:rFonts w:hint="eastAsia"/>
        </w:rPr>
        <w:t>2.8</w:t>
      </w:r>
      <w:r>
        <w:rPr>
          <w:rFonts w:hint="eastAsia"/>
        </w:rPr>
        <w:t>和</w:t>
      </w:r>
      <w:r>
        <w:rPr>
          <w:rFonts w:hint="eastAsia"/>
        </w:rPr>
        <w:t>27%</w:t>
      </w:r>
      <w:r>
        <w:rPr>
          <w:rFonts w:hint="eastAsia"/>
        </w:rPr>
        <w:t>。</w:t>
      </w:r>
    </w:p>
    <w:p w:rsidR="00000000" w:rsidRDefault="00000000">
      <w:pPr>
        <w:rPr>
          <w:rFonts w:hint="eastAsia"/>
        </w:rPr>
      </w:pPr>
      <w:r>
        <w:rPr>
          <w:rFonts w:hint="eastAsia"/>
        </w:rPr>
        <w:tab/>
        <w:t xml:space="preserve">333.  </w:t>
      </w:r>
      <w:r>
        <w:rPr>
          <w:rFonts w:hint="eastAsia"/>
        </w:rPr>
        <w:t>在已具备希腊住户可靠经济数据的</w:t>
      </w:r>
      <w:r>
        <w:rPr>
          <w:rFonts w:hint="eastAsia"/>
        </w:rPr>
        <w:t>1990</w:t>
      </w:r>
      <w:r>
        <w:rPr>
          <w:rFonts w:hint="eastAsia"/>
        </w:rPr>
        <w:t>年代中期，住户平均住房费用和年平均消费之比约为</w:t>
      </w:r>
      <w:r>
        <w:rPr>
          <w:rFonts w:hint="eastAsia"/>
        </w:rPr>
        <w:t xml:space="preserve">2.52, </w:t>
      </w:r>
      <w:r>
        <w:rPr>
          <w:rFonts w:hint="eastAsia"/>
        </w:rPr>
        <w:t>因而在“正常”可承受能力预期范围之内。作为费用最高的城市市场代表的雅典，其相应数字是</w:t>
      </w:r>
      <w:r>
        <w:rPr>
          <w:rFonts w:hint="eastAsia"/>
        </w:rPr>
        <w:t xml:space="preserve">2.96, </w:t>
      </w:r>
      <w:r>
        <w:rPr>
          <w:rFonts w:hint="eastAsia"/>
        </w:rPr>
        <w:t>稍微高于“可接受的”水平。</w:t>
      </w:r>
    </w:p>
    <w:p w:rsidR="00000000" w:rsidRDefault="00000000">
      <w:pPr>
        <w:rPr>
          <w:rFonts w:hint="eastAsia"/>
        </w:rPr>
      </w:pPr>
      <w:r>
        <w:rPr>
          <w:rFonts w:hint="eastAsia"/>
        </w:rPr>
        <w:tab/>
        <w:t xml:space="preserve">334.  </w:t>
      </w:r>
      <w:r>
        <w:rPr>
          <w:rFonts w:hint="eastAsia"/>
        </w:rPr>
        <w:t>这些数字没有考虑到平均住房费用在多大程度上反映了适当住房条件。另外，这些数字中也可能隐藏着可承受参数的广泛差异和不均衡。为研究这些方面，可以按下述方法计算的每个住户最低住房空间要求为适足住房费用标准：上面提到的住房空间标准乘以市场条件下总住房面积每平方米平均价值。</w:t>
      </w:r>
      <w:r>
        <w:rPr>
          <w:rFonts w:hint="eastAsia"/>
        </w:rPr>
        <w:t>1994</w:t>
      </w:r>
      <w:r>
        <w:rPr>
          <w:rFonts w:hint="eastAsia"/>
        </w:rPr>
        <w:t>年，全国</w:t>
      </w:r>
      <w:r>
        <w:rPr>
          <w:rFonts w:hint="eastAsia"/>
        </w:rPr>
        <w:t>21.5%</w:t>
      </w:r>
      <w:r>
        <w:rPr>
          <w:rFonts w:hint="eastAsia"/>
        </w:rPr>
        <w:t>住户的这种费用与年消费开支之比高于</w:t>
      </w:r>
      <w:r>
        <w:rPr>
          <w:rFonts w:hint="eastAsia"/>
        </w:rPr>
        <w:t>4.0(</w:t>
      </w:r>
      <w:r>
        <w:rPr>
          <w:rFonts w:hint="eastAsia"/>
        </w:rPr>
        <w:t>即对收入来说高于</w:t>
      </w:r>
      <w:r>
        <w:rPr>
          <w:rFonts w:hint="eastAsia"/>
        </w:rPr>
        <w:t>3.5)</w:t>
      </w:r>
      <w:r>
        <w:rPr>
          <w:rFonts w:hint="eastAsia"/>
        </w:rPr>
        <w:t>。在雅典，其费用与收入之比为这种明显不可接受的比例的相应群体占</w:t>
      </w:r>
      <w:r>
        <w:rPr>
          <w:rFonts w:hint="eastAsia"/>
        </w:rPr>
        <w:t>30%</w:t>
      </w:r>
      <w:r>
        <w:rPr>
          <w:rFonts w:hint="eastAsia"/>
        </w:rPr>
        <w:t>。</w:t>
      </w:r>
    </w:p>
    <w:p w:rsidR="00000000" w:rsidRDefault="00000000">
      <w:pPr>
        <w:rPr>
          <w:rFonts w:hint="eastAsia"/>
        </w:rPr>
      </w:pPr>
      <w:r>
        <w:rPr>
          <w:rFonts w:hint="eastAsia"/>
        </w:rPr>
        <w:tab/>
        <w:t xml:space="preserve">335.  </w:t>
      </w:r>
      <w:r>
        <w:rPr>
          <w:rFonts w:hint="eastAsia"/>
        </w:rPr>
        <w:t>当然，这些数字不一定说明存在着相应的实际可承受能力问题。例如，这些住户中的很大一部分可能已经拥有自己的住房。因此，他们的问题很可能只是一个改善问题，而不是从无到有的购置问题。而且，他们还可能有其他财产可满足其住房需要。事实上，在希腊，父母的援助和遗产作为这种财产的一个重要来源是非常普遍的。最后，人数有限但也相当多的住户可得到国家以工人住房的形式提供的援助</w:t>
      </w:r>
      <w:r>
        <w:rPr>
          <w:rFonts w:hint="eastAsia"/>
        </w:rPr>
        <w:t>(</w:t>
      </w:r>
      <w:r>
        <w:rPr>
          <w:rFonts w:hint="eastAsia"/>
        </w:rPr>
        <w:t>见下面第</w:t>
      </w:r>
      <w:r>
        <w:rPr>
          <w:rFonts w:hint="eastAsia"/>
        </w:rPr>
        <w:t>336</w:t>
      </w:r>
      <w:r>
        <w:rPr>
          <w:rFonts w:hint="eastAsia"/>
        </w:rPr>
        <w:t>段</w:t>
      </w:r>
      <w:r>
        <w:rPr>
          <w:rFonts w:hint="eastAsia"/>
        </w:rPr>
        <w:t>)</w:t>
      </w:r>
      <w:r>
        <w:rPr>
          <w:rFonts w:hint="eastAsia"/>
        </w:rPr>
        <w:t>。因此，可以说，相当部分人口</w:t>
      </w:r>
      <w:r>
        <w:rPr>
          <w:rFonts w:hint="eastAsia"/>
        </w:rPr>
        <w:t>(</w:t>
      </w:r>
      <w:r>
        <w:rPr>
          <w:rFonts w:hint="eastAsia"/>
        </w:rPr>
        <w:t>在较大城市约三分之一</w:t>
      </w:r>
      <w:r>
        <w:rPr>
          <w:rFonts w:hint="eastAsia"/>
        </w:rPr>
        <w:t>)</w:t>
      </w:r>
      <w:r>
        <w:rPr>
          <w:rFonts w:hint="eastAsia"/>
        </w:rPr>
        <w:t>有一个收入和住房费用差距太大的问题，因此，可能存在严重的可承受能力问题。鉴于</w:t>
      </w:r>
      <w:r>
        <w:rPr>
          <w:rFonts w:hint="eastAsia"/>
        </w:rPr>
        <w:t>1990</w:t>
      </w:r>
      <w:r>
        <w:rPr>
          <w:rFonts w:hint="eastAsia"/>
        </w:rPr>
        <w:t>年代市场价格逐步上升，远超过通货膨胀率和收入的增长，目前这种问题很可能更突出。</w:t>
      </w:r>
    </w:p>
    <w:p w:rsidR="00000000" w:rsidRDefault="00000000">
      <w:pPr>
        <w:rPr>
          <w:rFonts w:hint="eastAsia"/>
        </w:rPr>
      </w:pPr>
      <w:r>
        <w:rPr>
          <w:rFonts w:hint="eastAsia"/>
        </w:rPr>
        <w:tab/>
        <w:t xml:space="preserve">336.  </w:t>
      </w:r>
      <w:r>
        <w:rPr>
          <w:rFonts w:hint="eastAsia"/>
        </w:rPr>
        <w:t>关于租户，应当考虑到，在战后的大部分时间中，平均房租收入比一般低于</w:t>
      </w:r>
      <w:r>
        <w:rPr>
          <w:rFonts w:hint="eastAsia"/>
        </w:rPr>
        <w:t>15%</w:t>
      </w:r>
      <w:r>
        <w:rPr>
          <w:rFonts w:hint="eastAsia"/>
        </w:rPr>
        <w:t>。另外，租房住户必须为住房省出大量的钱，因为抵押贷款作用有限。因此，按希腊的标准，房租收入比超过</w:t>
      </w:r>
      <w:r>
        <w:rPr>
          <w:rFonts w:hint="eastAsia"/>
        </w:rPr>
        <w:t>20%</w:t>
      </w:r>
      <w:r>
        <w:rPr>
          <w:rFonts w:hint="eastAsia"/>
        </w:rPr>
        <w:t>就肯定意味着有承受能力问题。房租消费比超过</w:t>
      </w:r>
      <w:r>
        <w:rPr>
          <w:rFonts w:hint="eastAsia"/>
        </w:rPr>
        <w:t>25%</w:t>
      </w:r>
      <w:r>
        <w:rPr>
          <w:rFonts w:hint="eastAsia"/>
        </w:rPr>
        <w:t>时，尤其如此。</w:t>
      </w:r>
    </w:p>
    <w:p w:rsidR="00000000" w:rsidRDefault="00000000">
      <w:pPr>
        <w:spacing w:after="240"/>
        <w:rPr>
          <w:rFonts w:hint="eastAsia"/>
        </w:rPr>
      </w:pPr>
      <w:r>
        <w:rPr>
          <w:rFonts w:hint="eastAsia"/>
        </w:rPr>
        <w:tab/>
        <w:t>337.  1994</w:t>
      </w:r>
      <w:r>
        <w:rPr>
          <w:rFonts w:hint="eastAsia"/>
        </w:rPr>
        <w:t>年，全国房租和消费开支平均比率为</w:t>
      </w:r>
      <w:r>
        <w:rPr>
          <w:rFonts w:hint="eastAsia"/>
        </w:rPr>
        <w:t>19%</w:t>
      </w:r>
      <w:r>
        <w:rPr>
          <w:rFonts w:hint="eastAsia"/>
        </w:rPr>
        <w:t>。然而，</w:t>
      </w:r>
      <w:r>
        <w:rPr>
          <w:rFonts w:hint="eastAsia"/>
        </w:rPr>
        <w:t>23.4%</w:t>
      </w:r>
      <w:r>
        <w:rPr>
          <w:rFonts w:hint="eastAsia"/>
        </w:rPr>
        <w:t>的房客至少将其消费资源总额的</w:t>
      </w:r>
      <w:r>
        <w:rPr>
          <w:rFonts w:hint="eastAsia"/>
        </w:rPr>
        <w:t>25%</w:t>
      </w:r>
      <w:r>
        <w:rPr>
          <w:rFonts w:hint="eastAsia"/>
        </w:rPr>
        <w:t>用于支付房租。雅典房客的相应比率为</w:t>
      </w:r>
      <w:r>
        <w:rPr>
          <w:rFonts w:hint="eastAsia"/>
        </w:rPr>
        <w:t>27.3%</w:t>
      </w:r>
      <w:r>
        <w:rPr>
          <w:rFonts w:hint="eastAsia"/>
        </w:rPr>
        <w:t>，而房租和消费开支平均比率为</w:t>
      </w:r>
      <w:r>
        <w:rPr>
          <w:rFonts w:hint="eastAsia"/>
        </w:rPr>
        <w:t>20.2%</w:t>
      </w:r>
      <w:r>
        <w:rPr>
          <w:rFonts w:hint="eastAsia"/>
        </w:rPr>
        <w:t>。按住房需要而不是目前实际居住情况衡量的在支付能力和租金之间有这种巨大差距的住户所占比例，在所有房客中约为</w:t>
      </w:r>
      <w:r>
        <w:rPr>
          <w:rFonts w:hint="eastAsia"/>
        </w:rPr>
        <w:t>20%</w:t>
      </w:r>
      <w:r>
        <w:rPr>
          <w:rFonts w:hint="eastAsia"/>
        </w:rPr>
        <w:t>，在大城市的房客中约为</w:t>
      </w:r>
      <w:r>
        <w:rPr>
          <w:rFonts w:hint="eastAsia"/>
        </w:rPr>
        <w:t>25%</w:t>
      </w:r>
      <w:r>
        <w:rPr>
          <w:rFonts w:hint="eastAsia"/>
        </w:rPr>
        <w:t>。在这种情况下，和上面提到的也包括自有房产的住户在内的一般数据相比，存在着实际而不是可能的承受能力问题。</w:t>
      </w:r>
    </w:p>
    <w:p w:rsidR="00000000" w:rsidRDefault="00000000">
      <w:pPr>
        <w:pStyle w:val="Heading4"/>
        <w:rPr>
          <w:rFonts w:ascii="Time New Roman" w:hAnsi="Time New Roman" w:hint="eastAsia"/>
        </w:rPr>
      </w:pPr>
      <w:r>
        <w:rPr>
          <w:rFonts w:ascii="Time New Roman" w:hAnsi="Time New Roman" w:hint="eastAsia"/>
        </w:rPr>
        <w:t>参与住房方案</w:t>
      </w:r>
      <w:r>
        <w:rPr>
          <w:rFonts w:ascii="Time New Roman" w:hAnsi="Time New Roman" w:hint="eastAsia"/>
          <w:spacing w:val="-40"/>
        </w:rPr>
        <w:t>――</w:t>
      </w:r>
      <w:r>
        <w:rPr>
          <w:rFonts w:ascii="Time New Roman" w:hAnsi="Time New Roman" w:hint="eastAsia"/>
          <w:spacing w:val="-40"/>
        </w:rPr>
        <w:t xml:space="preserve"> </w:t>
      </w:r>
      <w:r>
        <w:rPr>
          <w:rFonts w:ascii="Time New Roman" w:hAnsi="Time New Roman"/>
          <w:spacing w:val="-40"/>
        </w:rPr>
        <w:t xml:space="preserve">  </w:t>
      </w:r>
      <w:r>
        <w:rPr>
          <w:rFonts w:ascii="Time New Roman" w:hAnsi="Time New Roman" w:hint="eastAsia"/>
        </w:rPr>
        <w:t>等候名单</w:t>
      </w:r>
    </w:p>
    <w:p w:rsidR="00000000" w:rsidRDefault="00000000">
      <w:pPr>
        <w:rPr>
          <w:rFonts w:hint="eastAsia"/>
        </w:rPr>
      </w:pPr>
      <w:r>
        <w:rPr>
          <w:rFonts w:hint="eastAsia"/>
        </w:rPr>
        <w:tab/>
        <w:t xml:space="preserve">338.  </w:t>
      </w:r>
      <w:r>
        <w:rPr>
          <w:rFonts w:hint="eastAsia"/>
        </w:rPr>
        <w:t>希腊的住房政策提供以减少购房费用</w:t>
      </w:r>
      <w:r>
        <w:rPr>
          <w:rFonts w:hint="eastAsia"/>
        </w:rPr>
        <w:t>(</w:t>
      </w:r>
      <w:r>
        <w:rPr>
          <w:rFonts w:hint="eastAsia"/>
        </w:rPr>
        <w:t>限于第一次购房</w:t>
      </w:r>
      <w:r>
        <w:rPr>
          <w:rFonts w:hint="eastAsia"/>
        </w:rPr>
        <w:t>)</w:t>
      </w:r>
      <w:r>
        <w:rPr>
          <w:rFonts w:hint="eastAsia"/>
        </w:rPr>
        <w:t>为目标的援助，办法是通过一系列转移减税、利息免税和普遍利率补贴。然而，这些普遍形式的援助由于本身的性质给中等和高收入住户，而不是给有严重支付问题的住户带来更多好处。因此，承担社会住房援助的主要是工人住房组织</w:t>
      </w:r>
      <w:r>
        <w:rPr>
          <w:rFonts w:hint="eastAsia"/>
        </w:rPr>
        <w:t>(</w:t>
      </w:r>
      <w:r>
        <w:rPr>
          <w:rFonts w:hint="eastAsia"/>
        </w:rPr>
        <w:t>住房组织</w:t>
      </w:r>
      <w:r>
        <w:rPr>
          <w:rFonts w:hint="eastAsia"/>
        </w:rPr>
        <w:t>)</w:t>
      </w:r>
      <w:r>
        <w:rPr>
          <w:rFonts w:hint="eastAsia"/>
        </w:rPr>
        <w:t>推行的面对国家社会保险基金</w:t>
      </w:r>
      <w:r>
        <w:rPr>
          <w:rFonts w:hint="eastAsia"/>
        </w:rPr>
        <w:t>(</w:t>
      </w:r>
      <w:r>
        <w:rPr>
          <w:rFonts w:hint="eastAsia"/>
        </w:rPr>
        <w:t>社保基金</w:t>
      </w:r>
      <w:r>
        <w:rPr>
          <w:rFonts w:hint="eastAsia"/>
        </w:rPr>
        <w:t>)</w:t>
      </w:r>
      <w:r>
        <w:rPr>
          <w:rFonts w:hint="eastAsia"/>
        </w:rPr>
        <w:t>所承保的私营部门雇员的方案。这些方案以低价、高额补贴贷款和房租补贴的方式向住房组织受益者，包括受私营部门雇用和由社保基金承保合法外籍工人提供新的住房。</w:t>
      </w:r>
    </w:p>
    <w:p w:rsidR="00000000" w:rsidRDefault="00000000">
      <w:pPr>
        <w:rPr>
          <w:rFonts w:hint="eastAsia"/>
        </w:rPr>
      </w:pPr>
      <w:r>
        <w:rPr>
          <w:rFonts w:hint="eastAsia"/>
        </w:rPr>
        <w:tab/>
        <w:t xml:space="preserve">339.  </w:t>
      </w:r>
      <w:r>
        <w:rPr>
          <w:rFonts w:hint="eastAsia"/>
        </w:rPr>
        <w:t>社保基金</w:t>
      </w:r>
      <w:r>
        <w:rPr>
          <w:rFonts w:hint="eastAsia"/>
        </w:rPr>
        <w:t>1991</w:t>
      </w:r>
      <w:r>
        <w:rPr>
          <w:rFonts w:hint="eastAsia"/>
        </w:rPr>
        <w:t>年开始实行的中等和低收入者房租补贴方案目前向约</w:t>
      </w:r>
      <w:r>
        <w:rPr>
          <w:rFonts w:hint="eastAsia"/>
        </w:rPr>
        <w:t>30,000</w:t>
      </w:r>
      <w:r>
        <w:rPr>
          <w:rFonts w:hint="eastAsia"/>
        </w:rPr>
        <w:t>多住户，即全国住户及全国住户的约</w:t>
      </w:r>
      <w:r>
        <w:rPr>
          <w:rFonts w:hint="eastAsia"/>
        </w:rPr>
        <w:t>5%</w:t>
      </w:r>
      <w:r>
        <w:rPr>
          <w:rFonts w:hint="eastAsia"/>
        </w:rPr>
        <w:t>，也就是其潜在目标群体的约</w:t>
      </w:r>
      <w:r>
        <w:rPr>
          <w:rFonts w:hint="eastAsia"/>
        </w:rPr>
        <w:t>20%</w:t>
      </w:r>
      <w:r>
        <w:rPr>
          <w:rFonts w:hint="eastAsia"/>
        </w:rPr>
        <w:t>提供援助。</w:t>
      </w:r>
    </w:p>
    <w:p w:rsidR="00000000" w:rsidRDefault="00000000">
      <w:pPr>
        <w:rPr>
          <w:rFonts w:hint="eastAsia"/>
        </w:rPr>
      </w:pPr>
      <w:r>
        <w:rPr>
          <w:rFonts w:hint="eastAsia"/>
        </w:rPr>
        <w:tab/>
        <w:t xml:space="preserve">340.  </w:t>
      </w:r>
      <w:r>
        <w:rPr>
          <w:rFonts w:hint="eastAsia"/>
        </w:rPr>
        <w:t>包括住房组织所建造出售住房在内的社会住房方案只占住房总量的很小一部分。住房组织建造的新住房每年占住房建造总量的</w:t>
      </w:r>
      <w:r>
        <w:rPr>
          <w:rFonts w:hint="eastAsia"/>
        </w:rPr>
        <w:t>1%</w:t>
      </w:r>
      <w:r>
        <w:rPr>
          <w:rFonts w:hint="eastAsia"/>
        </w:rPr>
        <w:t>到</w:t>
      </w:r>
      <w:r>
        <w:rPr>
          <w:rFonts w:hint="eastAsia"/>
        </w:rPr>
        <w:t>2%(1994</w:t>
      </w:r>
      <w:r>
        <w:rPr>
          <w:rFonts w:hint="eastAsia"/>
        </w:rPr>
        <w:t>年至</w:t>
      </w:r>
      <w:r>
        <w:rPr>
          <w:rFonts w:hint="eastAsia"/>
        </w:rPr>
        <w:t>1998</w:t>
      </w:r>
      <w:r>
        <w:rPr>
          <w:rFonts w:hint="eastAsia"/>
        </w:rPr>
        <w:t>年年均</w:t>
      </w:r>
      <w:r>
        <w:rPr>
          <w:rFonts w:hint="eastAsia"/>
        </w:rPr>
        <w:t>1,500</w:t>
      </w:r>
      <w:r>
        <w:rPr>
          <w:rFonts w:hint="eastAsia"/>
        </w:rPr>
        <w:t>所</w:t>
      </w:r>
      <w:r>
        <w:rPr>
          <w:rFonts w:hint="eastAsia"/>
        </w:rPr>
        <w:t>)</w:t>
      </w:r>
      <w:r>
        <w:rPr>
          <w:rFonts w:hint="eastAsia"/>
        </w:rPr>
        <w:t>。如前面指出，这一方案的受益者是国家社会保险承保的无财产的工薪阶层。然而，从数目上来说，更重要的是建造或购买住房和现有住房改善高额补贴贷款方案。</w:t>
      </w:r>
    </w:p>
    <w:p w:rsidR="00000000" w:rsidRDefault="00000000">
      <w:pPr>
        <w:rPr>
          <w:rFonts w:hint="eastAsia"/>
        </w:rPr>
      </w:pPr>
      <w:r>
        <w:rPr>
          <w:rFonts w:hint="eastAsia"/>
        </w:rPr>
        <w:tab/>
        <w:t xml:space="preserve">341.  </w:t>
      </w:r>
      <w:r>
        <w:rPr>
          <w:rFonts w:hint="eastAsia"/>
        </w:rPr>
        <w:t>总之，这些住房组织方案在很大程度上是希腊社会住房政策的最重要工具。自然灾害受害者</w:t>
      </w:r>
      <w:r>
        <w:rPr>
          <w:rFonts w:hint="eastAsia"/>
        </w:rPr>
        <w:t>(</w:t>
      </w:r>
      <w:r>
        <w:rPr>
          <w:rFonts w:hint="eastAsia"/>
        </w:rPr>
        <w:t>主要是在希腊经常发生的地震</w:t>
      </w:r>
      <w:r>
        <w:rPr>
          <w:rFonts w:hint="eastAsia"/>
        </w:rPr>
        <w:t>)</w:t>
      </w:r>
      <w:r>
        <w:rPr>
          <w:rFonts w:hint="eastAsia"/>
        </w:rPr>
        <w:t>或难民</w:t>
      </w:r>
      <w:r>
        <w:rPr>
          <w:rFonts w:hint="eastAsia"/>
        </w:rPr>
        <w:t>(</w:t>
      </w:r>
      <w:r>
        <w:rPr>
          <w:rFonts w:hint="eastAsia"/>
        </w:rPr>
        <w:t>最近从前苏联各国返回的希腊人</w:t>
      </w:r>
      <w:r>
        <w:rPr>
          <w:rFonts w:hint="eastAsia"/>
        </w:rPr>
        <w:t>)</w:t>
      </w:r>
      <w:r>
        <w:rPr>
          <w:rFonts w:hint="eastAsia"/>
        </w:rPr>
        <w:t>紧急住房或资金援助方案在希腊也具有重要社会意义。但是，这类方案通常只涉及少数人的短期困难，国家在这一领域的主要作用是在紧急情况下支持必要的准备机制。</w:t>
      </w:r>
    </w:p>
    <w:p w:rsidR="00000000" w:rsidRDefault="00000000">
      <w:pPr>
        <w:spacing w:after="240"/>
        <w:rPr>
          <w:rFonts w:hint="eastAsia"/>
        </w:rPr>
      </w:pPr>
      <w:r>
        <w:rPr>
          <w:rFonts w:hint="eastAsia"/>
        </w:rPr>
        <w:tab/>
        <w:t xml:space="preserve">342.  </w:t>
      </w:r>
      <w:r>
        <w:rPr>
          <w:rFonts w:hint="eastAsia"/>
        </w:rPr>
        <w:t>住房组织通过新的住宅方案以非常优惠的条件提供有限的住房，但需求很大；除此之外，在参加国家住房方案方面看来没有严重障碍，也没有列入过长的等候名单的问题。必竟参加这些方案要受针对某些社会群体和情况的具体规则的限制，并且要根据现有资源量力而行。因此，真正的问题实际上是对广大低收入人口的有限照顾范围。</w:t>
      </w:r>
    </w:p>
    <w:p w:rsidR="00000000" w:rsidRDefault="00000000">
      <w:pPr>
        <w:pStyle w:val="Heading4"/>
        <w:rPr>
          <w:rFonts w:ascii="Time New Roman" w:hAnsi="Time New Roman" w:hint="eastAsia"/>
          <w:u w:val="words"/>
        </w:rPr>
      </w:pPr>
      <w:r>
        <w:rPr>
          <w:rFonts w:ascii="Time New Roman" w:hAnsi="Time New Roman" w:hint="eastAsia"/>
          <w:u w:val="words"/>
        </w:rPr>
        <w:t>占用群体</w:t>
      </w:r>
    </w:p>
    <w:p w:rsidR="00000000" w:rsidRDefault="00000000">
      <w:pPr>
        <w:rPr>
          <w:rFonts w:hint="eastAsia"/>
        </w:rPr>
      </w:pPr>
      <w:r>
        <w:rPr>
          <w:rFonts w:hint="eastAsia"/>
        </w:rPr>
        <w:tab/>
        <w:t xml:space="preserve">343.  </w:t>
      </w:r>
      <w:r>
        <w:rPr>
          <w:rFonts w:hint="eastAsia"/>
        </w:rPr>
        <w:t>在希腊的住户中主要有两类占用群体：所有者住房户和私有房屋的租用住户。没有社会房屋出租业或半公共机构</w:t>
      </w:r>
      <w:r>
        <w:rPr>
          <w:rFonts w:hint="eastAsia"/>
        </w:rPr>
        <w:t>(</w:t>
      </w:r>
      <w:r>
        <w:rPr>
          <w:rFonts w:hint="eastAsia"/>
        </w:rPr>
        <w:t>协会、合作组织等</w:t>
      </w:r>
      <w:r>
        <w:rPr>
          <w:rFonts w:hint="eastAsia"/>
        </w:rPr>
        <w:t>)</w:t>
      </w:r>
      <w:r>
        <w:rPr>
          <w:rFonts w:hint="eastAsia"/>
        </w:rPr>
        <w:t>提供的出租住房。</w:t>
      </w:r>
    </w:p>
    <w:p w:rsidR="00000000" w:rsidRDefault="00000000">
      <w:pPr>
        <w:rPr>
          <w:rFonts w:hint="eastAsia"/>
        </w:rPr>
      </w:pPr>
      <w:r>
        <w:rPr>
          <w:rFonts w:hint="eastAsia"/>
        </w:rPr>
        <w:tab/>
        <w:t>344.  1994</w:t>
      </w:r>
      <w:r>
        <w:rPr>
          <w:rFonts w:hint="eastAsia"/>
        </w:rPr>
        <w:t>年，所有住户中有</w:t>
      </w:r>
      <w:r>
        <w:rPr>
          <w:rFonts w:hint="eastAsia"/>
        </w:rPr>
        <w:t>76%</w:t>
      </w:r>
      <w:r>
        <w:rPr>
          <w:rFonts w:hint="eastAsia"/>
        </w:rPr>
        <w:t>是所有者住户，其中多数是没有抵押债务的直接所有者。此外，还有</w:t>
      </w:r>
      <w:r>
        <w:rPr>
          <w:rFonts w:hint="eastAsia"/>
        </w:rPr>
        <w:t>3%</w:t>
      </w:r>
      <w:r>
        <w:rPr>
          <w:rFonts w:hint="eastAsia"/>
        </w:rPr>
        <w:t>的住户的住房是免费的，一般是通过家庭援助得到的。所以，只有</w:t>
      </w:r>
      <w:r>
        <w:rPr>
          <w:rFonts w:hint="eastAsia"/>
        </w:rPr>
        <w:t>21%</w:t>
      </w:r>
      <w:r>
        <w:rPr>
          <w:rFonts w:hint="eastAsia"/>
        </w:rPr>
        <w:t>的住户住在租赁的住房中。</w:t>
      </w:r>
      <w:r>
        <w:rPr>
          <w:rFonts w:hint="eastAsia"/>
        </w:rPr>
        <w:t>2001</w:t>
      </w:r>
      <w:r>
        <w:rPr>
          <w:rFonts w:hint="eastAsia"/>
        </w:rPr>
        <w:t>年，这个比例进一步降低到约</w:t>
      </w:r>
      <w:r>
        <w:rPr>
          <w:rFonts w:hint="eastAsia"/>
        </w:rPr>
        <w:t>19%</w:t>
      </w:r>
      <w:r>
        <w:rPr>
          <w:rFonts w:hint="eastAsia"/>
        </w:rPr>
        <w:t>。在较大城市中，租房的比例一直比较高：</w:t>
      </w:r>
      <w:r>
        <w:rPr>
          <w:rFonts w:hint="eastAsia"/>
        </w:rPr>
        <w:t>1994</w:t>
      </w:r>
      <w:r>
        <w:rPr>
          <w:rFonts w:hint="eastAsia"/>
        </w:rPr>
        <w:t>年，在雅典是</w:t>
      </w:r>
      <w:r>
        <w:rPr>
          <w:rFonts w:hint="eastAsia"/>
        </w:rPr>
        <w:t>31%</w:t>
      </w:r>
      <w:r>
        <w:rPr>
          <w:rFonts w:hint="eastAsia"/>
        </w:rPr>
        <w:t>，高于</w:t>
      </w:r>
      <w:r>
        <w:rPr>
          <w:rFonts w:hint="eastAsia"/>
        </w:rPr>
        <w:t>2001</w:t>
      </w:r>
      <w:r>
        <w:rPr>
          <w:rFonts w:hint="eastAsia"/>
        </w:rPr>
        <w:t>年的</w:t>
      </w:r>
      <w:r>
        <w:rPr>
          <w:rFonts w:hint="eastAsia"/>
        </w:rPr>
        <w:t>27%</w:t>
      </w:r>
      <w:r>
        <w:rPr>
          <w:rFonts w:hint="eastAsia"/>
        </w:rPr>
        <w:t>。</w:t>
      </w:r>
    </w:p>
    <w:p w:rsidR="00000000" w:rsidRDefault="00000000">
      <w:pPr>
        <w:rPr>
          <w:rFonts w:hint="eastAsia"/>
        </w:rPr>
      </w:pPr>
      <w:r>
        <w:rPr>
          <w:rFonts w:hint="eastAsia"/>
        </w:rPr>
        <w:tab/>
        <w:t xml:space="preserve">345.  </w:t>
      </w:r>
      <w:r>
        <w:rPr>
          <w:rFonts w:hint="eastAsia"/>
        </w:rPr>
        <w:t>如前面所提到，希腊的住房政策明显有利于所有者住户和争取变成这种住户的努力。在这方面，租户可被看作处于相对不利地位的群体。然而，和多数欧洲国家相比，从历史上来说，租户地位与具体社会阶级从来没有什么联系，而大多数是和住户的存在周期的阶段相联系的。鉴于整个战后时期抵押贷款所起的作用相对有限，没有父母大量支援的很多年轻住户在拥有自己的住房之前要经历一个很长的积攒阶段。</w:t>
      </w:r>
    </w:p>
    <w:p w:rsidR="00000000" w:rsidRDefault="00000000">
      <w:pPr>
        <w:spacing w:after="240"/>
        <w:rPr>
          <w:rFonts w:hint="eastAsia"/>
        </w:rPr>
      </w:pPr>
      <w:r>
        <w:rPr>
          <w:rFonts w:hint="eastAsia"/>
        </w:rPr>
        <w:tab/>
        <w:t xml:space="preserve">346.  </w:t>
      </w:r>
      <w:r>
        <w:rPr>
          <w:rFonts w:hint="eastAsia"/>
        </w:rPr>
        <w:t>然而，在信贷扩大和利率较低的过去十年中，自有住房的住户在中等和高收入家庭中所占比例迅速上升，因而在占用结构中增加了一个社会阶层概念。经济移民几乎都住在租赁的住房中，他们的流入进一步加强了占用格局中的社会不平衡以及租房地位与社会经济问题的联系。因此，未来的争取落实适足住房权利的政策要更多注意租房者的需要和问题。</w:t>
      </w:r>
    </w:p>
    <w:p w:rsidR="00000000" w:rsidRDefault="00000000">
      <w:pPr>
        <w:pStyle w:val="Heading4"/>
        <w:rPr>
          <w:rFonts w:ascii="Time New Roman" w:hAnsi="Time New Roman" w:hint="eastAsia"/>
          <w:u w:val="words"/>
        </w:rPr>
      </w:pPr>
      <w:r>
        <w:rPr>
          <w:rFonts w:ascii="Time New Roman" w:hAnsi="Time New Roman" w:hint="eastAsia"/>
          <w:u w:val="words"/>
        </w:rPr>
        <w:t>希腊法律中的适足住房权利</w:t>
      </w:r>
    </w:p>
    <w:p w:rsidR="00000000" w:rsidRDefault="00000000">
      <w:pPr>
        <w:rPr>
          <w:rFonts w:hint="eastAsia"/>
        </w:rPr>
      </w:pPr>
      <w:r>
        <w:rPr>
          <w:rFonts w:hint="eastAsia"/>
        </w:rPr>
        <w:tab/>
        <w:t xml:space="preserve">347.  </w:t>
      </w:r>
      <w:r>
        <w:rPr>
          <w:rFonts w:hint="eastAsia"/>
        </w:rPr>
        <w:t>《希腊宪法》第</w:t>
      </w:r>
      <w:r>
        <w:rPr>
          <w:rFonts w:hint="eastAsia"/>
        </w:rPr>
        <w:t>21</w:t>
      </w:r>
      <w:r>
        <w:rPr>
          <w:rFonts w:hint="eastAsia"/>
        </w:rPr>
        <w:t>条第</w:t>
      </w:r>
      <w:r>
        <w:rPr>
          <w:rFonts w:hint="eastAsia"/>
        </w:rPr>
        <w:t>4</w:t>
      </w:r>
      <w:r>
        <w:rPr>
          <w:rFonts w:hint="eastAsia"/>
        </w:rPr>
        <w:t>款规定：无住房或住房不足者购置住房是国家特别关注的问题。</w:t>
      </w:r>
    </w:p>
    <w:p w:rsidR="00000000" w:rsidRDefault="00000000">
      <w:pPr>
        <w:rPr>
          <w:rFonts w:hint="eastAsia"/>
        </w:rPr>
      </w:pPr>
      <w:r>
        <w:rPr>
          <w:rFonts w:hint="eastAsia"/>
        </w:rPr>
        <w:tab/>
        <w:t xml:space="preserve">348.  </w:t>
      </w:r>
      <w:r>
        <w:rPr>
          <w:rFonts w:hint="eastAsia"/>
        </w:rPr>
        <w:t>显然，这种笼统说法按严格的法律意义来讲不能说是规定了充分的适足住房权利。另一方面，也可以说，它为需要住房的人提出合法要求提供了一个依据，虽然这种要求在国家有义务提供的“特殊照顾”的形式方面可能引起争议。遗憾的是，没有具体法律或机构从严格的法律角度进一步具体阐明和执行宪法的这条规定。</w:t>
      </w:r>
    </w:p>
    <w:p w:rsidR="00000000" w:rsidRDefault="00000000">
      <w:pPr>
        <w:rPr>
          <w:rFonts w:hint="eastAsia"/>
        </w:rPr>
      </w:pPr>
      <w:r>
        <w:rPr>
          <w:rFonts w:hint="eastAsia"/>
        </w:rPr>
        <w:tab/>
        <w:t xml:space="preserve">349.  </w:t>
      </w:r>
      <w:r>
        <w:rPr>
          <w:rFonts w:hint="eastAsia"/>
        </w:rPr>
        <w:t>而且，这一条在政府对住房问题的关照的性质方面也引起了一些有争议的问题。第一，“购置”一词预先决定了有利于自己拥有住房的政策，因此，可能会对支持其他占用形式产生不利影响。第二，第</w:t>
      </w:r>
      <w:r>
        <w:rPr>
          <w:rFonts w:hint="eastAsia"/>
        </w:rPr>
        <w:t>21</w:t>
      </w:r>
      <w:r>
        <w:rPr>
          <w:rFonts w:hint="eastAsia"/>
        </w:rPr>
        <w:t>条的其余款项涉及政府对家庭、母亲、儿童和年轻人的关照，普遍健康和对残疾人、老年人和穷人的关照。因此，有关住房的这一款属于侧重点在社会福利和最困难者的规定。事实上，从</w:t>
      </w:r>
      <w:r>
        <w:rPr>
          <w:rFonts w:hint="eastAsia"/>
        </w:rPr>
        <w:t>1950</w:t>
      </w:r>
      <w:r>
        <w:rPr>
          <w:rFonts w:hint="eastAsia"/>
        </w:rPr>
        <w:t>年代开始推行直至</w:t>
      </w:r>
      <w:r>
        <w:rPr>
          <w:rFonts w:hint="eastAsia"/>
        </w:rPr>
        <w:t>1980</w:t>
      </w:r>
      <w:r>
        <w:rPr>
          <w:rFonts w:hint="eastAsia"/>
        </w:rPr>
        <w:t>年代初的卫生和社会福利部“大众住房”方案正是本着这一精神实施的：它针对的是非常贫困者、无家可归者、难民和自然灾害受害者。值得注意的是，作为一种法律先例，方案的法律和行政框架明确说明了谁是受益者，因而确立了一项权利，但它也说明了，提供的援助取决于中期计划和财政限制所决定的现有资源。这种原则普遍体现在希腊的住房政策中，住房组织的各项方案就是一例。</w:t>
      </w:r>
    </w:p>
    <w:p w:rsidR="00000000" w:rsidRDefault="00000000">
      <w:pPr>
        <w:spacing w:after="240"/>
        <w:rPr>
          <w:rFonts w:hint="eastAsia"/>
        </w:rPr>
      </w:pPr>
      <w:r>
        <w:rPr>
          <w:rFonts w:hint="eastAsia"/>
        </w:rPr>
        <w:tab/>
        <w:t xml:space="preserve">350.  </w:t>
      </w:r>
      <w:r>
        <w:rPr>
          <w:rFonts w:hint="eastAsia"/>
        </w:rPr>
        <w:t>这样，《希腊宪法》和法律</w:t>
      </w:r>
      <w:r>
        <w:rPr>
          <w:rFonts w:hint="eastAsia"/>
        </w:rPr>
        <w:t>/</w:t>
      </w:r>
      <w:r>
        <w:rPr>
          <w:rFonts w:hint="eastAsia"/>
        </w:rPr>
        <w:t>政治传统就共同构成了一种相当灵活的原则，这种原则一方面要求国家帮助住户获得象样的住房，另一方面则为有特别住房需要的人提供了一种政策依据。这并不构成可行的明确住房权利。因此，即便是对急需住房或无家可归的个别情况来说，希腊的住房制度在这方面存在着明显的体制差距：没有在限定时间内要求获得某种住所的法律渠道或在无力支付房租的情况下免受驱逐的保护</w:t>
      </w:r>
      <w:r>
        <w:rPr>
          <w:rFonts w:hint="eastAsia"/>
        </w:rPr>
        <w:t>(</w:t>
      </w:r>
      <w:r>
        <w:rPr>
          <w:rFonts w:hint="eastAsia"/>
        </w:rPr>
        <w:t>虽然在紧迫需要的情况下，法官往往变通社会政策，作出较宽容的裁决</w:t>
      </w:r>
      <w:r>
        <w:rPr>
          <w:rFonts w:hint="eastAsia"/>
        </w:rPr>
        <w:t>)</w:t>
      </w:r>
      <w:r>
        <w:rPr>
          <w:rFonts w:hint="eastAsia"/>
        </w:rPr>
        <w:t>。</w:t>
      </w:r>
    </w:p>
    <w:p w:rsidR="00000000" w:rsidRDefault="00000000">
      <w:pPr>
        <w:pStyle w:val="Heading4"/>
        <w:rPr>
          <w:rFonts w:ascii="Time New Roman" w:hAnsi="Time New Roman" w:hint="eastAsia"/>
          <w:u w:val="words"/>
        </w:rPr>
      </w:pPr>
      <w:r>
        <w:rPr>
          <w:rFonts w:ascii="Time New Roman" w:hAnsi="Time New Roman" w:hint="eastAsia"/>
          <w:u w:val="words"/>
        </w:rPr>
        <w:t>希腊法律对财产的保护</w:t>
      </w:r>
    </w:p>
    <w:p w:rsidR="00000000" w:rsidRDefault="00000000">
      <w:pPr>
        <w:rPr>
          <w:rFonts w:hint="eastAsia"/>
        </w:rPr>
      </w:pPr>
      <w:r>
        <w:rPr>
          <w:rFonts w:hint="eastAsia"/>
        </w:rPr>
        <w:tab/>
        <w:t xml:space="preserve">351.  </w:t>
      </w:r>
      <w:r>
        <w:rPr>
          <w:rFonts w:hint="eastAsia"/>
        </w:rPr>
        <w:t>《希腊宪法》第</w:t>
      </w:r>
      <w:r>
        <w:rPr>
          <w:rFonts w:hint="eastAsia"/>
        </w:rPr>
        <w:t>17</w:t>
      </w:r>
      <w:r>
        <w:rPr>
          <w:rFonts w:hint="eastAsia"/>
        </w:rPr>
        <w:t>条第</w:t>
      </w:r>
      <w:r>
        <w:rPr>
          <w:rFonts w:hint="eastAsia"/>
        </w:rPr>
        <w:t>1</w:t>
      </w:r>
      <w:r>
        <w:rPr>
          <w:rFonts w:hint="eastAsia"/>
        </w:rPr>
        <w:t>款和第</w:t>
      </w:r>
      <w:r>
        <w:rPr>
          <w:rFonts w:hint="eastAsia"/>
        </w:rPr>
        <w:t>2</w:t>
      </w:r>
      <w:r>
        <w:rPr>
          <w:rFonts w:hint="eastAsia"/>
        </w:rPr>
        <w:t>款规定，财产受国家保护，除为必须有适当证明的公共利益和给予主人充分赔偿之外，任何人不得被剥夺财产。充分赔偿一直按照被征用财产的价值给予赔偿，允许购置同等价值的不动产。关于财产价值的确定，第</w:t>
      </w:r>
      <w:r>
        <w:rPr>
          <w:rFonts w:hint="eastAsia"/>
        </w:rPr>
        <w:t>17</w:t>
      </w:r>
      <w:r>
        <w:rPr>
          <w:rFonts w:hint="eastAsia"/>
        </w:rPr>
        <w:t>条规定由民事法院决定。赔偿通常采取金钱赔偿。</w:t>
      </w:r>
    </w:p>
    <w:p w:rsidR="00000000" w:rsidRDefault="00000000">
      <w:pPr>
        <w:rPr>
          <w:rFonts w:hint="eastAsia"/>
        </w:rPr>
      </w:pPr>
      <w:r>
        <w:rPr>
          <w:rFonts w:hint="eastAsia"/>
        </w:rPr>
        <w:tab/>
        <w:t xml:space="preserve">352.  </w:t>
      </w:r>
      <w:r>
        <w:rPr>
          <w:rFonts w:hint="eastAsia"/>
        </w:rPr>
        <w:t>这一条是保护财产的主要法律规定，在对第</w:t>
      </w:r>
      <w:r>
        <w:rPr>
          <w:rFonts w:hint="eastAsia"/>
        </w:rPr>
        <w:t>2</w:t>
      </w:r>
      <w:r>
        <w:rPr>
          <w:rFonts w:hint="eastAsia"/>
        </w:rPr>
        <w:t>款和第</w:t>
      </w:r>
      <w:r>
        <w:rPr>
          <w:rFonts w:hint="eastAsia"/>
        </w:rPr>
        <w:t>4</w:t>
      </w:r>
      <w:r>
        <w:rPr>
          <w:rFonts w:hint="eastAsia"/>
        </w:rPr>
        <w:t>款进行修订之后，鉴于为共同或公共利益对计划的批准或修订，为保护财产不被长期占用，对财产的强制征收作出了新的规定。</w:t>
      </w:r>
    </w:p>
    <w:p w:rsidR="00000000" w:rsidRDefault="00000000">
      <w:pPr>
        <w:rPr>
          <w:rFonts w:hint="eastAsia"/>
        </w:rPr>
      </w:pPr>
      <w:r>
        <w:rPr>
          <w:rFonts w:hint="eastAsia"/>
        </w:rPr>
        <w:tab/>
        <w:t xml:space="preserve">353.  </w:t>
      </w:r>
      <w:r>
        <w:rPr>
          <w:rFonts w:hint="eastAsia"/>
        </w:rPr>
        <w:t>因此，所实行的第一个重要规定就是，行政当局在采取征收行动时必须明确说明可支付费用</w:t>
      </w:r>
      <w:r>
        <w:rPr>
          <w:rFonts w:hint="eastAsia"/>
        </w:rPr>
        <w:t>/</w:t>
      </w:r>
      <w:r>
        <w:rPr>
          <w:rFonts w:hint="eastAsia"/>
        </w:rPr>
        <w:t>赔偿。</w:t>
      </w:r>
    </w:p>
    <w:p w:rsidR="00000000" w:rsidRDefault="00000000">
      <w:pPr>
        <w:rPr>
          <w:rFonts w:hint="eastAsia"/>
        </w:rPr>
      </w:pPr>
      <w:r>
        <w:rPr>
          <w:rFonts w:hint="eastAsia"/>
        </w:rPr>
        <w:tab/>
        <w:t xml:space="preserve">354.  </w:t>
      </w:r>
      <w:r>
        <w:rPr>
          <w:rFonts w:hint="eastAsia"/>
        </w:rPr>
        <w:t>第二个新规定涉及计算赔偿的关键时间。例如，如果关于临时确定赔偿的讨论进行一年以上，确定财产价值时要考虑到的是讨论最后决定的时间。</w:t>
      </w:r>
    </w:p>
    <w:p w:rsidR="00000000" w:rsidRDefault="00000000">
      <w:pPr>
        <w:rPr>
          <w:rFonts w:hint="eastAsia"/>
        </w:rPr>
      </w:pPr>
      <w:r>
        <w:rPr>
          <w:rFonts w:hint="eastAsia"/>
        </w:rPr>
        <w:tab/>
        <w:t xml:space="preserve">355.  </w:t>
      </w:r>
      <w:r>
        <w:rPr>
          <w:rFonts w:hint="eastAsia"/>
        </w:rPr>
        <w:t>实行的第三个规定是，在征得受益者同意的条件下，可以出让另一项不动产的所有权或出让对另一项不动产的权利</w:t>
      </w:r>
      <w:r>
        <w:rPr>
          <w:rFonts w:hint="eastAsia"/>
        </w:rPr>
        <w:t>(</w:t>
      </w:r>
      <w:r>
        <w:rPr>
          <w:rFonts w:hint="eastAsia"/>
        </w:rPr>
        <w:t>例如，转让建筑物比例</w:t>
      </w:r>
      <w:r>
        <w:rPr>
          <w:rFonts w:hint="eastAsia"/>
        </w:rPr>
        <w:t>)</w:t>
      </w:r>
      <w:r>
        <w:rPr>
          <w:rFonts w:hint="eastAsia"/>
        </w:rPr>
        <w:t>作为实物赔偿。</w:t>
      </w:r>
    </w:p>
    <w:p w:rsidR="00000000" w:rsidRDefault="00000000">
      <w:pPr>
        <w:rPr>
          <w:rFonts w:hint="eastAsia"/>
        </w:rPr>
      </w:pPr>
      <w:r>
        <w:rPr>
          <w:rFonts w:hint="eastAsia"/>
        </w:rPr>
        <w:tab/>
        <w:t xml:space="preserve">356.  </w:t>
      </w:r>
      <w:r>
        <w:rPr>
          <w:rFonts w:hint="eastAsia"/>
        </w:rPr>
        <w:t>经修订的第</w:t>
      </w:r>
      <w:r>
        <w:rPr>
          <w:rFonts w:hint="eastAsia"/>
        </w:rPr>
        <w:t>4</w:t>
      </w:r>
      <w:r>
        <w:rPr>
          <w:rFonts w:hint="eastAsia"/>
        </w:rPr>
        <w:t>款包括主要涉及确定主管法院的新程序，同时也是基本规定。决定赔偿的主管法院是民事法院。而且，法律还规定，只有在涉及对国家经济具有普遍重要意义的工程，而且，只有在根据法院以合理百分比的赔偿为条件作出的裁决的情况下，才能在赔偿之前开始占用有关财产。</w:t>
      </w:r>
    </w:p>
    <w:p w:rsidR="00000000" w:rsidRDefault="00000000">
      <w:pPr>
        <w:rPr>
          <w:rFonts w:hint="eastAsia"/>
        </w:rPr>
      </w:pPr>
      <w:r>
        <w:rPr>
          <w:rFonts w:hint="eastAsia"/>
        </w:rPr>
        <w:tab/>
        <w:t xml:space="preserve">357.  </w:t>
      </w:r>
      <w:r>
        <w:rPr>
          <w:rFonts w:hint="eastAsia"/>
        </w:rPr>
        <w:t>所有上述规定都已经编纂列入取代以前的第</w:t>
      </w:r>
      <w:r>
        <w:rPr>
          <w:rFonts w:hint="eastAsia"/>
        </w:rPr>
        <w:t>797/1971</w:t>
      </w:r>
      <w:r>
        <w:rPr>
          <w:rFonts w:hint="eastAsia"/>
        </w:rPr>
        <w:t>号总统令、题为“强制征用财产法”的第</w:t>
      </w:r>
      <w:r>
        <w:rPr>
          <w:rFonts w:hint="eastAsia"/>
        </w:rPr>
        <w:t>2882/2001</w:t>
      </w:r>
      <w:r>
        <w:rPr>
          <w:rFonts w:hint="eastAsia"/>
        </w:rPr>
        <w:t>号法律。在这项法律中，详细规定了宣布征用的标准程序、赔偿的预期和确定、执行征用的方式以及取消未执行征用的程序。</w:t>
      </w:r>
    </w:p>
    <w:p w:rsidR="00000000" w:rsidRDefault="00000000">
      <w:pPr>
        <w:rPr>
          <w:rFonts w:hint="eastAsia"/>
        </w:rPr>
      </w:pPr>
      <w:r>
        <w:rPr>
          <w:rFonts w:hint="eastAsia"/>
        </w:rPr>
        <w:tab/>
        <w:t xml:space="preserve">358.  </w:t>
      </w:r>
      <w:r>
        <w:rPr>
          <w:rFonts w:hint="eastAsia"/>
        </w:rPr>
        <w:t>在将某些地区纳入正式城市规划的情况下，建设新区社会和技术基础结构所必要的资金和土地是通过所有者提供的土地和资金来保证的。贡献根据土地面积按比例确定。土地和资金的提供是按照经题为“可持续城市发展”的第</w:t>
      </w:r>
      <w:r>
        <w:rPr>
          <w:rFonts w:hint="eastAsia"/>
        </w:rPr>
        <w:t>2508/1997</w:t>
      </w:r>
      <w:r>
        <w:rPr>
          <w:rFonts w:hint="eastAsia"/>
        </w:rPr>
        <w:t>号法律修订的第</w:t>
      </w:r>
      <w:r>
        <w:rPr>
          <w:rFonts w:hint="eastAsia"/>
        </w:rPr>
        <w:t>1337/1983</w:t>
      </w:r>
      <w:r>
        <w:rPr>
          <w:rFonts w:hint="eastAsia"/>
        </w:rPr>
        <w:t>号“住房法”进行的。</w:t>
      </w:r>
    </w:p>
    <w:p w:rsidR="00000000" w:rsidRDefault="00000000">
      <w:pPr>
        <w:rPr>
          <w:rFonts w:hint="eastAsia"/>
        </w:rPr>
      </w:pPr>
      <w:r>
        <w:rPr>
          <w:rFonts w:hint="eastAsia"/>
        </w:rPr>
        <w:tab/>
        <w:t xml:space="preserve">359.  </w:t>
      </w:r>
      <w:r>
        <w:rPr>
          <w:rFonts w:hint="eastAsia"/>
        </w:rPr>
        <w:t>在将某些地区纳入正式城市规划、进行重大运输项目</w:t>
      </w:r>
      <w:r>
        <w:rPr>
          <w:rFonts w:hint="eastAsia"/>
          <w:spacing w:val="-40"/>
        </w:rPr>
        <w:t>――</w:t>
      </w:r>
      <w:r>
        <w:rPr>
          <w:rFonts w:hint="eastAsia"/>
          <w:spacing w:val="-40"/>
        </w:rPr>
        <w:t xml:space="preserve"> </w:t>
      </w:r>
      <w:r>
        <w:rPr>
          <w:rFonts w:hint="eastAsia"/>
        </w:rPr>
        <w:t>如连接西</w:t>
      </w:r>
      <w:r>
        <w:t>Attika</w:t>
      </w:r>
      <w:r>
        <w:rPr>
          <w:rFonts w:hint="eastAsia"/>
        </w:rPr>
        <w:t>与东</w:t>
      </w:r>
      <w:r>
        <w:t>Attika</w:t>
      </w:r>
      <w:r>
        <w:rPr>
          <w:rFonts w:hint="eastAsia"/>
        </w:rPr>
        <w:t>新机场叫作“</w:t>
      </w:r>
      <w:r>
        <w:t>Attiki Odos</w:t>
      </w:r>
      <w:r>
        <w:rPr>
          <w:rFonts w:hint="eastAsia"/>
        </w:rPr>
        <w:t>”的环形公路、</w:t>
      </w:r>
      <w:r>
        <w:t>Attiko</w:t>
      </w:r>
      <w:r>
        <w:rPr>
          <w:rFonts w:hint="eastAsia"/>
        </w:rPr>
        <w:t>地铁的建设等情况以及在建设奥林匹克运动会设施的情况下，特别注意尽量减少对住房和财产权利的不利影响。</w:t>
      </w:r>
    </w:p>
    <w:p w:rsidR="00000000" w:rsidRDefault="00000000">
      <w:pPr>
        <w:spacing w:after="240"/>
        <w:rPr>
          <w:rFonts w:hint="eastAsia"/>
        </w:rPr>
      </w:pPr>
      <w:r>
        <w:rPr>
          <w:rFonts w:hint="eastAsia"/>
        </w:rPr>
        <w:tab/>
        <w:t xml:space="preserve">360.  </w:t>
      </w:r>
      <w:r>
        <w:rPr>
          <w:rFonts w:hint="eastAsia"/>
        </w:rPr>
        <w:t>在必要情况下，执行上面提到的第</w:t>
      </w:r>
      <w:r>
        <w:rPr>
          <w:rFonts w:hint="eastAsia"/>
        </w:rPr>
        <w:t>2882/2001</w:t>
      </w:r>
      <w:r>
        <w:rPr>
          <w:rFonts w:hint="eastAsia"/>
        </w:rPr>
        <w:t>号法律以及关于重新安排住房的特别政策框架。这一特殊政策框架几乎是专门针对希腊吉普赛人的“非正式”住房实行的。将其住房重新安排在适当地点这一工作被纳入下面说明的“吉普赛人社会融合综合行动方案”的范围。</w:t>
      </w:r>
    </w:p>
    <w:p w:rsidR="00000000" w:rsidRDefault="00000000">
      <w:pPr>
        <w:pStyle w:val="Heading4"/>
        <w:rPr>
          <w:rFonts w:ascii="Time New Roman" w:hAnsi="Time New Roman" w:hint="eastAsia"/>
          <w:u w:val="words"/>
        </w:rPr>
      </w:pPr>
      <w:r>
        <w:rPr>
          <w:rFonts w:ascii="Time New Roman" w:hAnsi="Time New Roman" w:hint="eastAsia"/>
          <w:u w:val="words"/>
        </w:rPr>
        <w:t>增加获得更好住房机会的政策</w:t>
      </w:r>
    </w:p>
    <w:p w:rsidR="00000000" w:rsidRDefault="00000000">
      <w:pPr>
        <w:rPr>
          <w:rFonts w:hint="eastAsia"/>
        </w:rPr>
      </w:pPr>
      <w:r>
        <w:rPr>
          <w:rFonts w:hint="eastAsia"/>
        </w:rPr>
        <w:tab/>
        <w:t xml:space="preserve">361.  </w:t>
      </w:r>
      <w:r>
        <w:rPr>
          <w:rFonts w:hint="eastAsia"/>
        </w:rPr>
        <w:t>希腊的住房政策主要是以下述方式执行的：</w:t>
      </w:r>
    </w:p>
    <w:p w:rsidR="00000000" w:rsidRDefault="00000000">
      <w:pPr>
        <w:pStyle w:val="a0"/>
        <w:tabs>
          <w:tab w:val="num" w:pos="1550"/>
        </w:tabs>
        <w:ind w:left="1550"/>
        <w:rPr>
          <w:rFonts w:hint="eastAsia"/>
        </w:rPr>
      </w:pPr>
      <w:r>
        <w:rPr>
          <w:rFonts w:hint="eastAsia"/>
        </w:rPr>
        <w:t>通过征税减免和利率补贴为第一次购置住房提供财政援助；</w:t>
      </w:r>
    </w:p>
    <w:p w:rsidR="00000000" w:rsidRDefault="00000000">
      <w:pPr>
        <w:pStyle w:val="a0"/>
        <w:tabs>
          <w:tab w:val="num" w:pos="1550"/>
        </w:tabs>
        <w:ind w:left="1550"/>
        <w:rPr>
          <w:rFonts w:hint="eastAsia"/>
        </w:rPr>
      </w:pPr>
      <w:r>
        <w:rPr>
          <w:rFonts w:hint="eastAsia"/>
        </w:rPr>
        <w:t>向工人直接提供低价自有新住房，通过工人住房组织向租户提供资金补贴；</w:t>
      </w:r>
    </w:p>
    <w:p w:rsidR="00000000" w:rsidRDefault="00000000">
      <w:pPr>
        <w:pStyle w:val="a0"/>
        <w:tabs>
          <w:tab w:val="num" w:pos="1550"/>
        </w:tabs>
        <w:ind w:left="1550"/>
        <w:rPr>
          <w:rFonts w:hint="eastAsia"/>
        </w:rPr>
      </w:pPr>
      <w:r>
        <w:rPr>
          <w:rFonts w:hint="eastAsia"/>
        </w:rPr>
        <w:t>通过城镇和地区规划机制、建筑管制和有选择的环境升级项目改善新老居住区；</w:t>
      </w:r>
    </w:p>
    <w:p w:rsidR="00000000" w:rsidRDefault="00000000">
      <w:pPr>
        <w:pStyle w:val="a0"/>
        <w:tabs>
          <w:tab w:val="num" w:pos="1550"/>
        </w:tabs>
        <w:ind w:left="1550"/>
        <w:rPr>
          <w:rFonts w:hint="eastAsia"/>
        </w:rPr>
      </w:pPr>
      <w:r>
        <w:rPr>
          <w:rFonts w:hint="eastAsia"/>
        </w:rPr>
        <w:t>向自然灾害</w:t>
      </w:r>
      <w:r>
        <w:rPr>
          <w:rFonts w:hint="eastAsia"/>
        </w:rPr>
        <w:t xml:space="preserve"> (</w:t>
      </w:r>
      <w:r>
        <w:rPr>
          <w:rFonts w:hint="eastAsia"/>
        </w:rPr>
        <w:t>地震</w:t>
      </w:r>
      <w:r>
        <w:rPr>
          <w:rFonts w:hint="eastAsia"/>
        </w:rPr>
        <w:t xml:space="preserve">) </w:t>
      </w:r>
      <w:r>
        <w:rPr>
          <w:rFonts w:hint="eastAsia"/>
        </w:rPr>
        <w:t>受害者和有特别需要者</w:t>
      </w:r>
      <w:r>
        <w:rPr>
          <w:rFonts w:hint="eastAsia"/>
        </w:rPr>
        <w:t>(</w:t>
      </w:r>
      <w:r>
        <w:rPr>
          <w:rFonts w:hint="eastAsia"/>
        </w:rPr>
        <w:t>如返回的希腊人、难民、移民、希腊吉普赛人等</w:t>
      </w:r>
      <w:r>
        <w:rPr>
          <w:rFonts w:hint="eastAsia"/>
        </w:rPr>
        <w:t>)</w:t>
      </w:r>
      <w:r>
        <w:rPr>
          <w:rFonts w:hint="eastAsia"/>
        </w:rPr>
        <w:t>提供公共住房援助。</w:t>
      </w:r>
    </w:p>
    <w:p w:rsidR="00000000" w:rsidRDefault="00000000">
      <w:pPr>
        <w:rPr>
          <w:rFonts w:hint="eastAsia"/>
        </w:rPr>
      </w:pPr>
      <w:r>
        <w:rPr>
          <w:rFonts w:hint="eastAsia"/>
        </w:rPr>
        <w:tab/>
        <w:t xml:space="preserve">362.  </w:t>
      </w:r>
      <w:r>
        <w:rPr>
          <w:rFonts w:hint="eastAsia"/>
        </w:rPr>
        <w:t>住房政策在各种情况下的大目标都是促进改善住房供应和提供自有住房。如前面提到，出租住房虽然在减少，但数量仍然相当大，这种住房为尚未有足够资金购置住房的年轻单身和住户提供了基本生活条件。然而，希腊的住房政策，如前面所述，除鼓励一般住房供应和为保护租户不被不正当驱逐或因违反合同而受害提供法律办法以外，很少有针对他们的资源使用方案或手段，这是因为考虑到，租户的主要愿望是搬入自有住房。更重要的是，租房业都属于私人，希腊没有关于提供社会出租住房的体制规定。这些情况的一个例外是，上面提到的工人住房组织向中低收入的工薪阶层提供租金补贴的方案。</w:t>
      </w:r>
    </w:p>
    <w:p w:rsidR="00000000" w:rsidRDefault="00000000">
      <w:pPr>
        <w:spacing w:after="240"/>
        <w:rPr>
          <w:rFonts w:hint="eastAsia"/>
        </w:rPr>
      </w:pPr>
      <w:r>
        <w:rPr>
          <w:rFonts w:hint="eastAsia"/>
        </w:rPr>
        <w:tab/>
        <w:t xml:space="preserve">363.  </w:t>
      </w:r>
      <w:r>
        <w:rPr>
          <w:rFonts w:hint="eastAsia"/>
        </w:rPr>
        <w:t>到目前为止，本文从住房权利角度已谈到希腊住房政策的一系列较重要方面：保护租户不被驱逐和不受歧视，援助和改善以前的非法住区政策，通过住房组织方案直接援助低收入群体的公共政策。然而，从更广阔的角度来看，希腊住房政策，更广泛而言，旨在增加得到住房的机会和改善居住条件的城市政策的主要内容是：帮助改善居住条件和获得自有住房的信贷和征税补贴，以及与城市土地开发、改善建筑和城市环境有关的一系列建筑法规和规划文书与政策。补充这些综合政策的是少量针对有特殊紧急住房需要的具体社会群体的方案。</w:t>
      </w:r>
    </w:p>
    <w:p w:rsidR="00000000" w:rsidRDefault="00000000">
      <w:pPr>
        <w:pStyle w:val="Heading4"/>
        <w:rPr>
          <w:rFonts w:ascii="Time New Roman" w:hAnsi="Time New Roman" w:hint="eastAsia"/>
          <w:u w:val="words"/>
        </w:rPr>
      </w:pPr>
      <w:r>
        <w:rPr>
          <w:rFonts w:ascii="Time New Roman" w:hAnsi="Time New Roman" w:hint="eastAsia"/>
          <w:u w:val="words"/>
        </w:rPr>
        <w:t>增加得到更好自有住房的机会</w:t>
      </w:r>
    </w:p>
    <w:p w:rsidR="00000000" w:rsidRDefault="00000000">
      <w:pPr>
        <w:spacing w:line="360" w:lineRule="auto"/>
        <w:rPr>
          <w:rFonts w:hint="eastAsia"/>
        </w:rPr>
      </w:pPr>
      <w:r>
        <w:rPr>
          <w:rFonts w:hint="eastAsia"/>
        </w:rPr>
        <w:tab/>
        <w:t xml:space="preserve">364.  </w:t>
      </w:r>
      <w:r>
        <w:rPr>
          <w:rFonts w:hint="eastAsia"/>
        </w:rPr>
        <w:t>增加得到更好自有住房的征税和信贷政策主要是按照有限的选择性标准实行的，但这方面注入了相当大量的资源。希腊租赁住房的住户在城市地区占</w:t>
      </w:r>
      <w:r>
        <w:rPr>
          <w:rFonts w:hint="eastAsia"/>
        </w:rPr>
        <w:t>28%</w:t>
      </w:r>
      <w:r>
        <w:rPr>
          <w:rFonts w:hint="eastAsia"/>
        </w:rPr>
        <w:t>，在非城市地区占</w:t>
      </w:r>
      <w:r>
        <w:rPr>
          <w:rFonts w:hint="eastAsia"/>
        </w:rPr>
        <w:t>5%</w:t>
      </w:r>
      <w:r>
        <w:rPr>
          <w:rFonts w:hint="eastAsia"/>
        </w:rPr>
        <w:t>稍多。因此，自有住房的住户占绝大多数，有</w:t>
      </w:r>
      <w:r>
        <w:rPr>
          <w:rFonts w:hint="eastAsia"/>
        </w:rPr>
        <w:t>3,000,000</w:t>
      </w:r>
      <w:r>
        <w:rPr>
          <w:rFonts w:hint="eastAsia"/>
        </w:rPr>
        <w:t>多户。根据粗略估计，可以得出结论说，从住房政策角度来看，目前接受较大量征税和利率补贴的自有住房住户相对较少。第一，不到</w:t>
      </w:r>
      <w:r>
        <w:rPr>
          <w:rFonts w:hint="eastAsia"/>
        </w:rPr>
        <w:t>10%</w:t>
      </w:r>
      <w:r>
        <w:rPr>
          <w:rFonts w:hint="eastAsia"/>
        </w:rPr>
        <w:t>的自有住房住户在最近的过去接受了住房贷款，因此受益于利率补贴。而且，通过应征税收入利息减免主要使那些有相当个人边际税率者受益</w:t>
      </w:r>
      <w:r>
        <w:rPr>
          <w:rFonts w:hint="eastAsia"/>
        </w:rPr>
        <w:t>(</w:t>
      </w:r>
      <w:r>
        <w:rPr>
          <w:rFonts w:hint="eastAsia"/>
        </w:rPr>
        <w:t>可高达</w:t>
      </w:r>
      <w:r>
        <w:rPr>
          <w:rFonts w:hint="eastAsia"/>
        </w:rPr>
        <w:t>40%)</w:t>
      </w:r>
      <w:r>
        <w:rPr>
          <w:rFonts w:hint="eastAsia"/>
        </w:rPr>
        <w:t>。第二，从每年的情况来看，第一次购置住房而没有其他重要不动产的住户大约不超过</w:t>
      </w:r>
      <w:r>
        <w:rPr>
          <w:rFonts w:hint="eastAsia"/>
        </w:rPr>
        <w:t>25,000</w:t>
      </w:r>
      <w:r>
        <w:rPr>
          <w:rFonts w:hint="eastAsia"/>
        </w:rPr>
        <w:t>个。这些住户可受益于财产转让税的削减，这种税在希腊相当高，为官方定价的</w:t>
      </w:r>
      <w:r>
        <w:rPr>
          <w:rFonts w:hint="eastAsia"/>
        </w:rPr>
        <w:t>11%</w:t>
      </w:r>
      <w:r>
        <w:rPr>
          <w:rFonts w:hint="eastAsia"/>
        </w:rPr>
        <w:t>至</w:t>
      </w:r>
      <w:r>
        <w:rPr>
          <w:rFonts w:hint="eastAsia"/>
        </w:rPr>
        <w:t>13%</w:t>
      </w:r>
      <w:r>
        <w:rPr>
          <w:rFonts w:hint="eastAsia"/>
        </w:rPr>
        <w:t>，即不动产价格的</w:t>
      </w:r>
      <w:r>
        <w:rPr>
          <w:rFonts w:hint="eastAsia"/>
        </w:rPr>
        <w:t>8%</w:t>
      </w:r>
      <w:r>
        <w:rPr>
          <w:rFonts w:hint="eastAsia"/>
        </w:rPr>
        <w:t>。如果加上每年由继承和父母援助形成的</w:t>
      </w:r>
      <w:r>
        <w:rPr>
          <w:rFonts w:hint="eastAsia"/>
        </w:rPr>
        <w:t>10,000</w:t>
      </w:r>
      <w:r>
        <w:rPr>
          <w:rFonts w:hint="eastAsia"/>
        </w:rPr>
        <w:t>次转让，即可达到约</w:t>
      </w:r>
      <w:r>
        <w:rPr>
          <w:rFonts w:hint="eastAsia"/>
        </w:rPr>
        <w:t>30,000-35,000</w:t>
      </w:r>
      <w:r>
        <w:rPr>
          <w:rFonts w:hint="eastAsia"/>
        </w:rPr>
        <w:t>个住户，即每年所有住户的约</w:t>
      </w:r>
      <w:r>
        <w:rPr>
          <w:rFonts w:hint="eastAsia"/>
        </w:rPr>
        <w:t>1%</w:t>
      </w:r>
      <w:r>
        <w:rPr>
          <w:rFonts w:hint="eastAsia"/>
        </w:rPr>
        <w:t>，而这种继承和父母援助也可享受转让税削减。然而，这在任何一年的购置房屋的住户中占三分之一以上，因此，从长远来看，在所有自有住房的住户中占相当大比例。</w:t>
      </w:r>
    </w:p>
    <w:p w:rsidR="00000000" w:rsidRDefault="00000000">
      <w:pPr>
        <w:spacing w:line="360" w:lineRule="auto"/>
        <w:rPr>
          <w:rFonts w:hint="eastAsia"/>
        </w:rPr>
      </w:pPr>
      <w:r>
        <w:rPr>
          <w:rFonts w:hint="eastAsia"/>
        </w:rPr>
        <w:tab/>
        <w:t xml:space="preserve">365.  </w:t>
      </w:r>
      <w:r>
        <w:rPr>
          <w:rFonts w:hint="eastAsia"/>
        </w:rPr>
        <w:t>另外，所有自有住房住户都受益于住宅收入征税减免。这些所得税减免也不同程度的有利于拥有大型、高价值和边际税率较高住所的住户。然而，这被看作鼓励整个住房业增长和改善的鼓励措施的一个重要组成部分，希望这能给各种社会群体间接带来显著利益。</w:t>
      </w:r>
    </w:p>
    <w:p w:rsidR="00000000" w:rsidRDefault="00000000">
      <w:pPr>
        <w:spacing w:after="240" w:line="360" w:lineRule="auto"/>
        <w:rPr>
          <w:rFonts w:hint="eastAsia"/>
        </w:rPr>
      </w:pPr>
      <w:r>
        <w:rPr>
          <w:rFonts w:hint="eastAsia"/>
        </w:rPr>
        <w:tab/>
        <w:t xml:space="preserve">366.  </w:t>
      </w:r>
      <w:r>
        <w:rPr>
          <w:rFonts w:hint="eastAsia"/>
        </w:rPr>
        <w:t>除上面所说以外，这些年来，由于根据总经济政策改善了信贷条件，获得自有住房和更好住房也更加容易。货币稳定政策和与其他欧洲经济体的结合，以及改善银行系统竞争的政策，使国内贷款利率大幅度下降，贷款条件全面改善。</w:t>
      </w:r>
    </w:p>
    <w:p w:rsidR="00000000" w:rsidRDefault="00000000">
      <w:pPr>
        <w:pStyle w:val="Heading4"/>
        <w:rPr>
          <w:rFonts w:ascii="Time New Roman" w:hAnsi="Time New Roman" w:hint="eastAsia"/>
          <w:u w:val="words"/>
        </w:rPr>
      </w:pPr>
      <w:r>
        <w:rPr>
          <w:rFonts w:ascii="Time New Roman" w:hAnsi="Time New Roman" w:hint="eastAsia"/>
          <w:u w:val="words"/>
        </w:rPr>
        <w:t>提高住房、城市环境和提供服务的质量</w:t>
      </w:r>
    </w:p>
    <w:p w:rsidR="00000000" w:rsidRDefault="00000000">
      <w:pPr>
        <w:rPr>
          <w:rFonts w:hint="eastAsia"/>
        </w:rPr>
      </w:pPr>
      <w:r>
        <w:rPr>
          <w:rFonts w:hint="eastAsia"/>
        </w:rPr>
        <w:tab/>
        <w:t>367.  1997</w:t>
      </w:r>
      <w:r>
        <w:rPr>
          <w:rFonts w:hint="eastAsia"/>
        </w:rPr>
        <w:t>年，关于可持续城市发展的新的第</w:t>
      </w:r>
      <w:r>
        <w:rPr>
          <w:rFonts w:hint="eastAsia"/>
        </w:rPr>
        <w:t>2508/97</w:t>
      </w:r>
      <w:r>
        <w:rPr>
          <w:rFonts w:hint="eastAsia"/>
        </w:rPr>
        <w:t>号法律为城市和小住区的均衡和可持续发展提出了改善城市规划的指导原则、条件、形式和程序。除规划程序和体制的普遍改善以外，新立法还第一次提出了一个相对全面的各种城市更新，特别是社会性城市更新项目的组织框架。它还作出了关于城市郊区以及第二和渡假住所区有组织住房建设的新规定。但是，希腊特有的财产所有制格局的一些内在问题使有组织发展或更新既困难又费钱，而且，严格的财政制度造成的公共资金普遍短缺使这些新机制以及本可以为解决社会和住房问题作出贡献的公共、半公共和地方机构的参与至今不能发挥作用。</w:t>
      </w:r>
    </w:p>
    <w:p w:rsidR="00000000" w:rsidRDefault="00000000">
      <w:pPr>
        <w:rPr>
          <w:rFonts w:hint="eastAsia"/>
        </w:rPr>
      </w:pPr>
      <w:r>
        <w:rPr>
          <w:rFonts w:hint="eastAsia"/>
        </w:rPr>
        <w:tab/>
        <w:t xml:space="preserve">368.  </w:t>
      </w:r>
      <w:r>
        <w:rPr>
          <w:rFonts w:hint="eastAsia"/>
        </w:rPr>
        <w:t>环境、城市规划和公共工程部与地方当局密切合作，对希腊全国的城市，特别是大城市的建筑改造工作进行指导，目的是改善城市环境，使城市地区更具活力和发扬文化传统。这一活动是根据</w:t>
      </w:r>
      <w:r>
        <w:rPr>
          <w:rFonts w:hint="eastAsia"/>
        </w:rPr>
        <w:t>1983</w:t>
      </w:r>
      <w:r>
        <w:rPr>
          <w:rFonts w:hint="eastAsia"/>
        </w:rPr>
        <w:t>年开始执行的城市重新安排方案进行的。</w:t>
      </w:r>
    </w:p>
    <w:p w:rsidR="00000000" w:rsidRDefault="00000000">
      <w:pPr>
        <w:rPr>
          <w:rFonts w:hint="eastAsia"/>
        </w:rPr>
      </w:pPr>
      <w:r>
        <w:rPr>
          <w:rFonts w:hint="eastAsia"/>
        </w:rPr>
        <w:tab/>
        <w:t xml:space="preserve">369.  </w:t>
      </w:r>
      <w:r>
        <w:rPr>
          <w:rFonts w:hint="eastAsia"/>
        </w:rPr>
        <w:t>另外，将根据欧洲委员会的城市规划倡议采取一些具体措施，对全国的高速去工业化、高失业率、生活水平下降和环境退化的城市中心的基础结构、设施和环境进行改善。对</w:t>
      </w:r>
      <w:r>
        <w:t>Keratsini-Drapetsona</w:t>
      </w:r>
      <w:r>
        <w:rPr>
          <w:rFonts w:hint="eastAsia"/>
        </w:rPr>
        <w:t>、</w:t>
      </w:r>
      <w:r>
        <w:t>Peristeri</w:t>
      </w:r>
      <w:r>
        <w:rPr>
          <w:rFonts w:hint="eastAsia"/>
        </w:rPr>
        <w:t>、</w:t>
      </w:r>
      <w:r>
        <w:t>Nea Ionia of Volos</w:t>
      </w:r>
      <w:r>
        <w:rPr>
          <w:rFonts w:hint="eastAsia"/>
        </w:rPr>
        <w:t>、</w:t>
      </w:r>
      <w:r>
        <w:t>Ermoupolis of Syros</w:t>
      </w:r>
      <w:r>
        <w:rPr>
          <w:rFonts w:hint="eastAsia"/>
        </w:rPr>
        <w:t>、</w:t>
      </w:r>
      <w:r>
        <w:rPr>
          <w:rFonts w:hint="eastAsia"/>
        </w:rPr>
        <w:t>T</w:t>
      </w:r>
      <w:r>
        <w:t>aras</w:t>
      </w:r>
      <w:r>
        <w:rPr>
          <w:rFonts w:hint="eastAsia"/>
        </w:rPr>
        <w:t>西南部和西</w:t>
      </w:r>
      <w:r>
        <w:rPr>
          <w:rFonts w:hint="eastAsia"/>
        </w:rPr>
        <w:t xml:space="preserve"> </w:t>
      </w:r>
      <w:r>
        <w:t xml:space="preserve">the </w:t>
      </w:r>
      <w:r>
        <w:rPr>
          <w:rFonts w:hint="eastAsia"/>
        </w:rPr>
        <w:t>S</w:t>
      </w:r>
      <w:r>
        <w:t>saloniki</w:t>
      </w:r>
      <w:r>
        <w:rPr>
          <w:rFonts w:hint="eastAsia"/>
        </w:rPr>
        <w:t>的改造包括在希腊行动方案</w:t>
      </w:r>
      <w:r>
        <w:t>URBAN I</w:t>
      </w:r>
      <w:r>
        <w:rPr>
          <w:rFonts w:hint="eastAsia"/>
        </w:rPr>
        <w:t>方案</w:t>
      </w:r>
      <w:r>
        <w:t>(1995-2001</w:t>
      </w:r>
      <w:r>
        <w:rPr>
          <w:rFonts w:hint="eastAsia"/>
        </w:rPr>
        <w:t>年</w:t>
      </w:r>
      <w:r>
        <w:t>)</w:t>
      </w:r>
      <w:r>
        <w:rPr>
          <w:rFonts w:hint="eastAsia"/>
        </w:rPr>
        <w:t>中。在希腊行动方案</w:t>
      </w:r>
      <w:r>
        <w:t>URBAN I</w:t>
      </w:r>
      <w:r>
        <w:rPr>
          <w:rFonts w:hint="eastAsia"/>
        </w:rPr>
        <w:t>I</w:t>
      </w:r>
      <w:r>
        <w:rPr>
          <w:rFonts w:hint="eastAsia"/>
        </w:rPr>
        <w:t>方案</w:t>
      </w:r>
      <w:r>
        <w:t>(</w:t>
      </w:r>
      <w:r>
        <w:rPr>
          <w:rFonts w:hint="eastAsia"/>
        </w:rPr>
        <w:t>2001-2006</w:t>
      </w:r>
      <w:r>
        <w:rPr>
          <w:rFonts w:hint="eastAsia"/>
        </w:rPr>
        <w:t>年</w:t>
      </w:r>
      <w:r>
        <w:rPr>
          <w:rFonts w:hint="eastAsia"/>
        </w:rPr>
        <w:t>)</w:t>
      </w:r>
      <w:r>
        <w:rPr>
          <w:rFonts w:hint="eastAsia"/>
        </w:rPr>
        <w:t>中提出了对</w:t>
      </w:r>
      <w:r>
        <w:t>Perama</w:t>
      </w:r>
      <w:r>
        <w:rPr>
          <w:rFonts w:hint="eastAsia"/>
        </w:rPr>
        <w:t>、</w:t>
      </w:r>
      <w:r>
        <w:t>Komotini</w:t>
      </w:r>
      <w:r>
        <w:rPr>
          <w:rFonts w:hint="eastAsia"/>
        </w:rPr>
        <w:t>以及</w:t>
      </w:r>
      <w:r>
        <w:t>Agios Minas</w:t>
      </w:r>
      <w:r>
        <w:rPr>
          <w:rFonts w:hint="eastAsia"/>
        </w:rPr>
        <w:t>、</w:t>
      </w:r>
      <w:r>
        <w:t xml:space="preserve">Agia Triada </w:t>
      </w:r>
      <w:r>
        <w:rPr>
          <w:rFonts w:hint="eastAsia"/>
        </w:rPr>
        <w:t>和</w:t>
      </w:r>
      <w:r>
        <w:t xml:space="preserve"> Kaminia of Iraklion </w:t>
      </w:r>
      <w:r>
        <w:rPr>
          <w:rFonts w:hint="eastAsia"/>
        </w:rPr>
        <w:t>地区的改造，但这一方案尚未得到批准。</w:t>
      </w:r>
    </w:p>
    <w:p w:rsidR="00000000" w:rsidRDefault="00000000">
      <w:pPr>
        <w:rPr>
          <w:rFonts w:hint="eastAsia"/>
        </w:rPr>
      </w:pPr>
      <w:r>
        <w:rPr>
          <w:rFonts w:hint="eastAsia"/>
        </w:rPr>
        <w:tab/>
        <w:t xml:space="preserve">370.  </w:t>
      </w:r>
      <w:r>
        <w:rPr>
          <w:rFonts w:hint="eastAsia"/>
        </w:rPr>
        <w:t>环境部认识到要求地方当局在执行一项生境议程方面发挥作用的极大重要性，在其行动计划中列入了一项试验方案，目的是为全国一些选定城市制定和执行“执行生境议程的地方城市可持续发展综合项目”。这一方案的基本目标是：</w:t>
      </w:r>
      <w:r>
        <w:t>(a)</w:t>
      </w:r>
      <w:r>
        <w:rPr>
          <w:rFonts w:hint="eastAsia"/>
        </w:rPr>
        <w:t xml:space="preserve"> </w:t>
      </w:r>
      <w:r>
        <w:rPr>
          <w:rFonts w:hint="eastAsia"/>
        </w:rPr>
        <w:t>为解决当代城市和住区的复杂问题了解采取综合战略计划政策的必要性；</w:t>
      </w:r>
      <w:r>
        <w:t>(b)</w:t>
      </w:r>
      <w:r>
        <w:rPr>
          <w:rFonts w:hint="eastAsia"/>
        </w:rPr>
        <w:t xml:space="preserve"> </w:t>
      </w:r>
      <w:r>
        <w:rPr>
          <w:rFonts w:hint="eastAsia"/>
        </w:rPr>
        <w:t>鼓励实行参与和伙伴关系的原则，作为成功进行地方改造的最民主和有效的办法。</w:t>
      </w:r>
    </w:p>
    <w:p w:rsidR="00000000" w:rsidRDefault="00000000">
      <w:pPr>
        <w:rPr>
          <w:rFonts w:hint="eastAsia"/>
        </w:rPr>
      </w:pPr>
      <w:r>
        <w:rPr>
          <w:rFonts w:hint="eastAsia"/>
        </w:rPr>
        <w:tab/>
        <w:t xml:space="preserve">371.  </w:t>
      </w:r>
      <w:r>
        <w:rPr>
          <w:rFonts w:hint="eastAsia"/>
        </w:rPr>
        <w:t>为提高建筑质量和安全水平，对《普通建筑法》作了广泛修订，通过了新的《地震设计法》</w:t>
      </w:r>
      <w:r>
        <w:t>(EAK</w:t>
      </w:r>
      <w:r>
        <w:noBreakHyphen/>
        <w:t>2000)</w:t>
      </w:r>
      <w:r>
        <w:rPr>
          <w:rFonts w:hint="eastAsia"/>
        </w:rPr>
        <w:t>，并根据</w:t>
      </w:r>
      <w:r>
        <w:rPr>
          <w:rFonts w:hint="eastAsia"/>
        </w:rPr>
        <w:t>1999</w:t>
      </w:r>
      <w:r>
        <w:rPr>
          <w:rFonts w:hint="eastAsia"/>
        </w:rPr>
        <w:t>年雅典地震的经验对《加强混凝土结构法》</w:t>
      </w:r>
      <w:r>
        <w:t>(EKOS</w:t>
      </w:r>
      <w:r>
        <w:noBreakHyphen/>
        <w:t>2000)</w:t>
      </w:r>
      <w:r>
        <w:rPr>
          <w:rFonts w:hint="eastAsia"/>
        </w:rPr>
        <w:t>作了修订。另外，还制订了新的合理使用和节省能源管理条例，这一条例将取代现行的建筑物隔热管理条例。新管理条例提倡实行建筑物能源节约和可更新能源制度和措施。</w:t>
      </w:r>
    </w:p>
    <w:p w:rsidR="00000000" w:rsidRDefault="00000000">
      <w:pPr>
        <w:rPr>
          <w:rFonts w:hint="eastAsia"/>
        </w:rPr>
      </w:pPr>
      <w:r>
        <w:rPr>
          <w:rFonts w:hint="eastAsia"/>
        </w:rPr>
        <w:tab/>
        <w:t xml:space="preserve">372.  </w:t>
      </w:r>
      <w:r>
        <w:rPr>
          <w:rFonts w:hint="eastAsia"/>
        </w:rPr>
        <w:t>另外，现行立法通过增加一些新规定也得到改进，这些新规定旨在增加有特殊需要人员的行动便利，规定或鼓励在建筑或公共场所建造辅助部件，以便于这些人进入、居住、工作和娱乐。</w:t>
      </w:r>
      <w:r>
        <w:rPr>
          <w:rFonts w:hint="eastAsia"/>
        </w:rPr>
        <w:t>1999</w:t>
      </w:r>
      <w:r>
        <w:rPr>
          <w:rFonts w:hint="eastAsia"/>
        </w:rPr>
        <w:t>年，环境、城市规划和公共工程部发布了一套特别“规划指示”，其中共包括关于开放公共场所、大型公共和私人建筑和私人住宅设计的十项指示。这些指示构成了一个新的综合规划纲要，包括了有关行人活动区、建筑物通道、电梯、楼梯、标志等的详细具体规定。根据这一新纲要，在第</w:t>
      </w:r>
      <w:r>
        <w:rPr>
          <w:rFonts w:hint="eastAsia"/>
        </w:rPr>
        <w:t>2831/2000</w:t>
      </w:r>
      <w:r>
        <w:rPr>
          <w:rFonts w:hint="eastAsia"/>
        </w:rPr>
        <w:t>号法律</w:t>
      </w:r>
      <w:r>
        <w:rPr>
          <w:rFonts w:hint="eastAsia"/>
        </w:rPr>
        <w:t>(GOC)</w:t>
      </w:r>
      <w:r>
        <w:rPr>
          <w:rFonts w:hint="eastAsia"/>
        </w:rPr>
        <w:t>中作出了一些特别规定，包括有关任何用途的公共和私人建筑</w:t>
      </w:r>
      <w:r>
        <w:rPr>
          <w:rFonts w:hint="eastAsia"/>
        </w:rPr>
        <w:t>(</w:t>
      </w:r>
      <w:r>
        <w:rPr>
          <w:rFonts w:hint="eastAsia"/>
        </w:rPr>
        <w:t>教育建筑、各种保健设施、福利事务处和社会服务设施、办公室、商业建筑等</w:t>
      </w:r>
      <w:r>
        <w:rPr>
          <w:rFonts w:hint="eastAsia"/>
        </w:rPr>
        <w:t>)</w:t>
      </w:r>
      <w:r>
        <w:rPr>
          <w:rFonts w:hint="eastAsia"/>
        </w:rPr>
        <w:t>的横向和纵向通道的具体规定。</w:t>
      </w:r>
    </w:p>
    <w:p w:rsidR="00000000" w:rsidRDefault="00000000">
      <w:pPr>
        <w:rPr>
          <w:rFonts w:hint="eastAsia"/>
        </w:rPr>
      </w:pPr>
      <w:r>
        <w:rPr>
          <w:rFonts w:hint="eastAsia"/>
        </w:rPr>
        <w:tab/>
        <w:t xml:space="preserve">373.  </w:t>
      </w:r>
      <w:r>
        <w:rPr>
          <w:rFonts w:hint="eastAsia"/>
        </w:rPr>
        <w:t>还对下列方面作出了具体规定：进出方便和位置适当的洗浴设施、残疾人车辆的停放地点和所有行人使用的道路</w:t>
      </w:r>
      <w:r>
        <w:rPr>
          <w:rFonts w:hint="eastAsia"/>
        </w:rPr>
        <w:t>(</w:t>
      </w:r>
      <w:r>
        <w:rPr>
          <w:rFonts w:hint="eastAsia"/>
        </w:rPr>
        <w:t>坡道、专用行人小路、盲从引导系统</w:t>
      </w:r>
      <w:r>
        <w:rPr>
          <w:rFonts w:hint="eastAsia"/>
        </w:rPr>
        <w:t>)</w:t>
      </w:r>
      <w:r>
        <w:rPr>
          <w:rFonts w:hint="eastAsia"/>
        </w:rPr>
        <w:t>、街道设施</w:t>
      </w:r>
      <w:r>
        <w:rPr>
          <w:rFonts w:hint="eastAsia"/>
        </w:rPr>
        <w:t>(</w:t>
      </w:r>
      <w:r>
        <w:rPr>
          <w:rFonts w:hint="eastAsia"/>
        </w:rPr>
        <w:t>标志、电话亭、公共汽车站等</w:t>
      </w:r>
      <w:r>
        <w:rPr>
          <w:rFonts w:hint="eastAsia"/>
        </w:rPr>
        <w:t>)</w:t>
      </w:r>
      <w:r>
        <w:rPr>
          <w:rFonts w:hint="eastAsia"/>
        </w:rPr>
        <w:t>的适当设计和布局以及帮助盲人和聋人的视听设备的安装。这些规定适用于新的城市基础结构，也尽可能适用于已经存在的基础结构。为三层以上私人建筑物的横向和纵向通道也作出了类似规定。许多目前正在进行改善建筑物方案的部和公共组织都采用了这一新的规划纲要。</w:t>
      </w:r>
    </w:p>
    <w:p w:rsidR="00000000" w:rsidRDefault="00000000">
      <w:pPr>
        <w:rPr>
          <w:rFonts w:hint="eastAsia"/>
        </w:rPr>
      </w:pPr>
      <w:r>
        <w:rPr>
          <w:rFonts w:hint="eastAsia"/>
        </w:rPr>
        <w:tab/>
        <w:t xml:space="preserve">374.  </w:t>
      </w:r>
      <w:r>
        <w:rPr>
          <w:rFonts w:hint="eastAsia"/>
        </w:rPr>
        <w:t>总之，将不受管制或非法开发地区迅速纳入正式土地规划方案的目的是，对这类地区的土地使用进行适当管理，改善其基础结构。</w:t>
      </w:r>
    </w:p>
    <w:p w:rsidR="00000000" w:rsidRDefault="00000000">
      <w:pPr>
        <w:rPr>
          <w:rFonts w:hint="eastAsia"/>
        </w:rPr>
      </w:pPr>
      <w:r>
        <w:rPr>
          <w:rFonts w:hint="eastAsia"/>
        </w:rPr>
        <w:tab/>
        <w:t xml:space="preserve">375.  </w:t>
      </w:r>
      <w:r>
        <w:rPr>
          <w:rFonts w:hint="eastAsia"/>
        </w:rPr>
        <w:t>雅典将主办</w:t>
      </w:r>
      <w:r>
        <w:rPr>
          <w:rFonts w:hint="eastAsia"/>
        </w:rPr>
        <w:t>2004</w:t>
      </w:r>
      <w:r>
        <w:rPr>
          <w:rFonts w:hint="eastAsia"/>
        </w:rPr>
        <w:t>年的奥林匹克运动会。成功安排这一重要活动是对现代希腊的最大挑战之一。另外，还有同样一个重大挑战将是，适当利用奥林匹克基础设施的准备改善雅典集合城市和周围地区的生活质量。奥林匹克运动会不仅为解决城市安排和功能的结构问题，而且为使其成为国际性大城市中心提供了一个历史机遇。从这一角度来看，必要的奥林匹克项目的计划和实施要实现下列目标：</w:t>
      </w:r>
    </w:p>
    <w:p w:rsidR="00000000" w:rsidRDefault="00000000">
      <w:pPr>
        <w:pStyle w:val="a0"/>
        <w:tabs>
          <w:tab w:val="num" w:pos="1550"/>
        </w:tabs>
        <w:ind w:left="1550"/>
        <w:rPr>
          <w:rFonts w:hint="eastAsia"/>
        </w:rPr>
      </w:pPr>
      <w:r>
        <w:rPr>
          <w:rFonts w:hint="eastAsia"/>
        </w:rPr>
        <w:t>改善现有城市基础设施并增加可提高城市功能和生活质量的基础设施；</w:t>
      </w:r>
    </w:p>
    <w:p w:rsidR="00000000" w:rsidRDefault="00000000">
      <w:pPr>
        <w:pStyle w:val="a0"/>
        <w:tabs>
          <w:tab w:val="num" w:pos="1550"/>
        </w:tabs>
        <w:ind w:left="1550"/>
        <w:rPr>
          <w:rFonts w:hint="eastAsia"/>
        </w:rPr>
      </w:pPr>
      <w:r>
        <w:rPr>
          <w:rFonts w:hint="eastAsia"/>
        </w:rPr>
        <w:t>确保运动会之后城市结构中基础设施不会过多而超过需要，可转移这类基础设施或为其找到新用途；</w:t>
      </w:r>
    </w:p>
    <w:p w:rsidR="00000000" w:rsidRDefault="00000000">
      <w:pPr>
        <w:pStyle w:val="a0"/>
        <w:tabs>
          <w:tab w:val="num" w:pos="1550"/>
        </w:tabs>
        <w:ind w:left="1550"/>
        <w:rPr>
          <w:rFonts w:hint="eastAsia"/>
        </w:rPr>
      </w:pPr>
      <w:r>
        <w:rPr>
          <w:rFonts w:hint="eastAsia"/>
        </w:rPr>
        <w:t>尽量减少新奥林匹克设施对环境的不利影响；</w:t>
      </w:r>
    </w:p>
    <w:p w:rsidR="00000000" w:rsidRDefault="00000000">
      <w:pPr>
        <w:pStyle w:val="a0"/>
        <w:tabs>
          <w:tab w:val="num" w:pos="1550"/>
        </w:tabs>
        <w:ind w:left="1550"/>
        <w:rPr>
          <w:rFonts w:hint="eastAsia"/>
        </w:rPr>
      </w:pPr>
      <w:r>
        <w:rPr>
          <w:rFonts w:hint="eastAsia"/>
        </w:rPr>
        <w:t>改善城市环境；</w:t>
      </w:r>
    </w:p>
    <w:p w:rsidR="00000000" w:rsidRDefault="00000000">
      <w:pPr>
        <w:pStyle w:val="a0"/>
        <w:tabs>
          <w:tab w:val="num" w:pos="1550"/>
        </w:tabs>
        <w:spacing w:after="240"/>
        <w:ind w:left="1550"/>
        <w:rPr>
          <w:rFonts w:hint="eastAsia"/>
        </w:rPr>
      </w:pPr>
      <w:r>
        <w:rPr>
          <w:rFonts w:hint="eastAsia"/>
        </w:rPr>
        <w:t>改善城市形象及其历史和文化面貌。</w:t>
      </w:r>
    </w:p>
    <w:p w:rsidR="00000000" w:rsidRDefault="00000000">
      <w:pPr>
        <w:pStyle w:val="Heading4"/>
        <w:rPr>
          <w:rFonts w:ascii="Time New Roman" w:hAnsi="Time New Roman" w:hint="eastAsia"/>
          <w:u w:val="words"/>
        </w:rPr>
      </w:pPr>
      <w:r>
        <w:rPr>
          <w:rFonts w:ascii="Time New Roman" w:hAnsi="Time New Roman" w:hint="eastAsia"/>
          <w:u w:val="words"/>
        </w:rPr>
        <w:t>鼓励地区平衡发展、行政重组和地区规划</w:t>
      </w:r>
    </w:p>
    <w:p w:rsidR="00000000" w:rsidRDefault="00000000">
      <w:pPr>
        <w:rPr>
          <w:rFonts w:hint="eastAsia"/>
        </w:rPr>
      </w:pPr>
      <w:r>
        <w:rPr>
          <w:rFonts w:hint="eastAsia"/>
        </w:rPr>
        <w:tab/>
        <w:t xml:space="preserve">376.  </w:t>
      </w:r>
      <w:r>
        <w:rPr>
          <w:rFonts w:hint="eastAsia"/>
        </w:rPr>
        <w:t>住区网络组成的特点是：两个占压倒优势的大型集合城市雅典和塞萨洛尼基，为数较少的一些中等城市和一个广泛分布的乡村小住区网。根据</w:t>
      </w:r>
      <w:r>
        <w:rPr>
          <w:rFonts w:hint="eastAsia"/>
        </w:rPr>
        <w:t>1991</w:t>
      </w:r>
      <w:r>
        <w:rPr>
          <w:rFonts w:hint="eastAsia"/>
        </w:rPr>
        <w:t>年的普查，共有</w:t>
      </w:r>
      <w:r>
        <w:rPr>
          <w:rFonts w:hint="eastAsia"/>
        </w:rPr>
        <w:t>12,817</w:t>
      </w:r>
      <w:r>
        <w:rPr>
          <w:rFonts w:hint="eastAsia"/>
        </w:rPr>
        <w:t>个住区，行政上分为</w:t>
      </w:r>
      <w:r>
        <w:rPr>
          <w:rFonts w:hint="eastAsia"/>
        </w:rPr>
        <w:t>5,921</w:t>
      </w:r>
      <w:r>
        <w:rPr>
          <w:rFonts w:hint="eastAsia"/>
        </w:rPr>
        <w:t>个地方基层单位。全国住区网包括</w:t>
      </w:r>
      <w:r>
        <w:rPr>
          <w:rFonts w:hint="eastAsia"/>
        </w:rPr>
        <w:t>128</w:t>
      </w:r>
      <w:r>
        <w:rPr>
          <w:rFonts w:hint="eastAsia"/>
        </w:rPr>
        <w:t>个城市中心，人口占</w:t>
      </w:r>
      <w:r>
        <w:rPr>
          <w:rFonts w:hint="eastAsia"/>
        </w:rPr>
        <w:t>57%</w:t>
      </w:r>
      <w:r>
        <w:rPr>
          <w:rFonts w:hint="eastAsia"/>
        </w:rPr>
        <w:t>；</w:t>
      </w:r>
      <w:r>
        <w:rPr>
          <w:rFonts w:hint="eastAsia"/>
        </w:rPr>
        <w:t>352</w:t>
      </w:r>
      <w:r>
        <w:rPr>
          <w:rFonts w:hint="eastAsia"/>
        </w:rPr>
        <w:t>个半城市和</w:t>
      </w:r>
      <w:r>
        <w:rPr>
          <w:rFonts w:hint="eastAsia"/>
        </w:rPr>
        <w:t>5,441</w:t>
      </w:r>
      <w:r>
        <w:rPr>
          <w:rFonts w:hint="eastAsia"/>
        </w:rPr>
        <w:t>个乡村基层行政单位，人口分别占</w:t>
      </w:r>
      <w:r>
        <w:rPr>
          <w:rFonts w:hint="eastAsia"/>
        </w:rPr>
        <w:t>14.3%</w:t>
      </w:r>
      <w:r>
        <w:rPr>
          <w:rFonts w:hint="eastAsia"/>
        </w:rPr>
        <w:t>和</w:t>
      </w:r>
      <w:r>
        <w:rPr>
          <w:rFonts w:hint="eastAsia"/>
        </w:rPr>
        <w:t>28.7%</w:t>
      </w:r>
      <w:r>
        <w:rPr>
          <w:rFonts w:hint="eastAsia"/>
        </w:rPr>
        <w:t>。应当指出，</w:t>
      </w:r>
      <w:r>
        <w:rPr>
          <w:rFonts w:hint="eastAsia"/>
        </w:rPr>
        <w:t>65%</w:t>
      </w:r>
      <w:r>
        <w:rPr>
          <w:rFonts w:hint="eastAsia"/>
        </w:rPr>
        <w:t>的的乡村基层单位的人口都在</w:t>
      </w:r>
      <w:r>
        <w:rPr>
          <w:rFonts w:hint="eastAsia"/>
        </w:rPr>
        <w:t>500</w:t>
      </w:r>
      <w:r>
        <w:rPr>
          <w:rFonts w:hint="eastAsia"/>
        </w:rPr>
        <w:t>人以下。在地理分布方面，由于希腊的地形特点</w:t>
      </w:r>
      <w:r>
        <w:rPr>
          <w:rFonts w:hint="eastAsia"/>
        </w:rPr>
        <w:t>(</w:t>
      </w:r>
      <w:r>
        <w:rPr>
          <w:rFonts w:hint="eastAsia"/>
        </w:rPr>
        <w:t>岛屿和山区众多</w:t>
      </w:r>
      <w:r>
        <w:rPr>
          <w:rFonts w:hint="eastAsia"/>
        </w:rPr>
        <w:t>)</w:t>
      </w:r>
      <w:r>
        <w:rPr>
          <w:rFonts w:hint="eastAsia"/>
        </w:rPr>
        <w:t>，半城市，特别是乡村基层单位分布相当分散，而且，人口老龄化、增长停滞，甚至在不断减少，经济和生产能力有限。在</w:t>
      </w:r>
      <w:r>
        <w:rPr>
          <w:rFonts w:hint="eastAsia"/>
        </w:rPr>
        <w:t>1996</w:t>
      </w:r>
      <w:r>
        <w:rPr>
          <w:rFonts w:hint="eastAsia"/>
        </w:rPr>
        <w:t>年至</w:t>
      </w:r>
      <w:r>
        <w:rPr>
          <w:rFonts w:hint="eastAsia"/>
        </w:rPr>
        <w:t>2000</w:t>
      </w:r>
      <w:r>
        <w:rPr>
          <w:rFonts w:hint="eastAsia"/>
        </w:rPr>
        <w:t>年期间，采取了一些措施和政策，对住区结构平衡产生了直接和间接积极影响。</w:t>
      </w:r>
    </w:p>
    <w:p w:rsidR="00000000" w:rsidRDefault="00000000">
      <w:pPr>
        <w:rPr>
          <w:rFonts w:hint="eastAsia"/>
        </w:rPr>
      </w:pPr>
      <w:r>
        <w:rPr>
          <w:rFonts w:hint="eastAsia"/>
        </w:rPr>
        <w:tab/>
        <w:t xml:space="preserve">377.  </w:t>
      </w:r>
      <w:r>
        <w:rPr>
          <w:rFonts w:hint="eastAsia"/>
        </w:rPr>
        <w:t>“</w:t>
      </w:r>
      <w:r>
        <w:t>Kapodistrias</w:t>
      </w:r>
      <w:r>
        <w:rPr>
          <w:rFonts w:hint="eastAsia"/>
        </w:rPr>
        <w:t>”国家方案的实施是行政改组的最突出努力，其目的是解决由于地方政府分散造成的各种问题。其主要目标是，按照地区规划、发展以及其他经济和人口标准，把现有地方基层行政单位合并为较大的地理和行政实体。根据这项方案，将在全国建立</w:t>
      </w:r>
      <w:r>
        <w:rPr>
          <w:rFonts w:hint="eastAsia"/>
        </w:rPr>
        <w:t>1,033</w:t>
      </w:r>
      <w:r>
        <w:rPr>
          <w:rFonts w:hint="eastAsia"/>
        </w:rPr>
        <w:t>个新的地方基层行政单位</w:t>
      </w:r>
      <w:r>
        <w:rPr>
          <w:rFonts w:hint="eastAsia"/>
        </w:rPr>
        <w:t>(900</w:t>
      </w:r>
      <w:r>
        <w:rPr>
          <w:rFonts w:hint="eastAsia"/>
        </w:rPr>
        <w:t>个市和</w:t>
      </w:r>
      <w:r>
        <w:rPr>
          <w:rFonts w:hint="eastAsia"/>
        </w:rPr>
        <w:t>133</w:t>
      </w:r>
      <w:r>
        <w:rPr>
          <w:rFonts w:hint="eastAsia"/>
        </w:rPr>
        <w:t>个区</w:t>
      </w:r>
      <w:r>
        <w:rPr>
          <w:rFonts w:hint="eastAsia"/>
        </w:rPr>
        <w:t>)</w:t>
      </w:r>
      <w:r>
        <w:rPr>
          <w:rFonts w:hint="eastAsia"/>
        </w:rPr>
        <w:t>。这一设想已通过第</w:t>
      </w:r>
      <w:r>
        <w:rPr>
          <w:rFonts w:hint="eastAsia"/>
        </w:rPr>
        <w:t>2539/1997</w:t>
      </w:r>
      <w:r>
        <w:rPr>
          <w:rFonts w:hint="eastAsia"/>
        </w:rPr>
        <w:t>号法律颁布，并得到各地方社区的同意，反对意见较少。新的立法规定在</w:t>
      </w:r>
      <w:r>
        <w:rPr>
          <w:rFonts w:hint="eastAsia"/>
        </w:rPr>
        <w:t>1997</w:t>
      </w:r>
      <w:r>
        <w:rPr>
          <w:rFonts w:hint="eastAsia"/>
        </w:rPr>
        <w:t>年至</w:t>
      </w:r>
      <w:r>
        <w:rPr>
          <w:rFonts w:hint="eastAsia"/>
        </w:rPr>
        <w:t>2001</w:t>
      </w:r>
      <w:r>
        <w:rPr>
          <w:rFonts w:hint="eastAsia"/>
        </w:rPr>
        <w:t>年期间实行一项特别资助方案</w:t>
      </w:r>
      <w:r>
        <w:rPr>
          <w:rFonts w:hint="eastAsia"/>
        </w:rPr>
        <w:t xml:space="preserve">(EPTA, </w:t>
      </w:r>
      <w:r>
        <w:rPr>
          <w:rFonts w:hint="eastAsia"/>
        </w:rPr>
        <w:t>见第</w:t>
      </w:r>
      <w:r>
        <w:rPr>
          <w:rFonts w:hint="eastAsia"/>
        </w:rPr>
        <w:t>5</w:t>
      </w:r>
      <w:r>
        <w:rPr>
          <w:rFonts w:hint="eastAsia"/>
        </w:rPr>
        <w:t>章</w:t>
      </w:r>
      <w:r>
        <w:rPr>
          <w:rFonts w:hint="eastAsia"/>
        </w:rPr>
        <w:t>)</w:t>
      </w:r>
      <w:r>
        <w:rPr>
          <w:rFonts w:hint="eastAsia"/>
        </w:rPr>
        <w:t>，为结构结束提供资源。</w:t>
      </w:r>
      <w:r>
        <w:rPr>
          <w:rFonts w:hint="eastAsia"/>
        </w:rPr>
        <w:t>EPTA</w:t>
      </w:r>
      <w:r>
        <w:rPr>
          <w:rFonts w:hint="eastAsia"/>
        </w:rPr>
        <w:t>包括建立和发展新地方政府的行政和运行基础结构</w:t>
      </w:r>
      <w:r>
        <w:rPr>
          <w:rFonts w:hint="eastAsia"/>
        </w:rPr>
        <w:t>(</w:t>
      </w:r>
      <w:r>
        <w:rPr>
          <w:rFonts w:hint="eastAsia"/>
        </w:rPr>
        <w:t>物质和技术基础结构、人力资源、技术援助</w:t>
      </w:r>
      <w:r>
        <w:rPr>
          <w:rFonts w:hint="eastAsia"/>
        </w:rPr>
        <w:t>)</w:t>
      </w:r>
      <w:r>
        <w:rPr>
          <w:rFonts w:hint="eastAsia"/>
        </w:rPr>
        <w:t>以及为必要的技术和社会基础结构提供资金的两项分方案和政策措施。</w:t>
      </w:r>
    </w:p>
    <w:p w:rsidR="00000000" w:rsidRDefault="00000000">
      <w:pPr>
        <w:rPr>
          <w:rFonts w:hint="eastAsia"/>
        </w:rPr>
      </w:pPr>
      <w:r>
        <w:rPr>
          <w:rFonts w:hint="eastAsia"/>
        </w:rPr>
        <w:tab/>
        <w:t xml:space="preserve">378.  </w:t>
      </w:r>
      <w:r>
        <w:rPr>
          <w:rFonts w:hint="eastAsia"/>
        </w:rPr>
        <w:t>第</w:t>
      </w:r>
      <w:r>
        <w:rPr>
          <w:rFonts w:hint="eastAsia"/>
        </w:rPr>
        <w:t>2508/1997</w:t>
      </w:r>
      <w:r>
        <w:rPr>
          <w:rFonts w:hint="eastAsia"/>
        </w:rPr>
        <w:t>号法律规定仍以主要计划作为规划的基本依据，其实施范围现已扩大到城市</w:t>
      </w:r>
      <w:r>
        <w:rPr>
          <w:rFonts w:hint="eastAsia"/>
        </w:rPr>
        <w:t>(</w:t>
      </w:r>
      <w:r>
        <w:rPr>
          <w:rFonts w:hint="eastAsia"/>
        </w:rPr>
        <w:t>已建</w:t>
      </w:r>
      <w:r>
        <w:rPr>
          <w:rFonts w:hint="eastAsia"/>
        </w:rPr>
        <w:t>)</w:t>
      </w:r>
      <w:r>
        <w:rPr>
          <w:rFonts w:hint="eastAsia"/>
        </w:rPr>
        <w:t>和非城市</w:t>
      </w:r>
      <w:r>
        <w:rPr>
          <w:rFonts w:hint="eastAsia"/>
        </w:rPr>
        <w:t>(</w:t>
      </w:r>
      <w:r>
        <w:rPr>
          <w:rFonts w:hint="eastAsia"/>
        </w:rPr>
        <w:t>待建</w:t>
      </w:r>
      <w:r>
        <w:rPr>
          <w:rFonts w:hint="eastAsia"/>
        </w:rPr>
        <w:t>)</w:t>
      </w:r>
      <w:r>
        <w:rPr>
          <w:rFonts w:hint="eastAsia"/>
        </w:rPr>
        <w:t>，对由一些小居住区组成的非城市地方小行政区</w:t>
      </w:r>
      <w:r>
        <w:rPr>
          <w:rFonts w:hint="eastAsia"/>
        </w:rPr>
        <w:t>(</w:t>
      </w:r>
      <w:r>
        <w:rPr>
          <w:rFonts w:hint="eastAsia"/>
        </w:rPr>
        <w:t>特别是在实施“</w:t>
      </w:r>
      <w:r>
        <w:t>Kapodistrias</w:t>
      </w:r>
      <w:r>
        <w:rPr>
          <w:rFonts w:hint="eastAsia"/>
        </w:rPr>
        <w:t>”方案之后，乡村社区一般都如此</w:t>
      </w:r>
      <w:r>
        <w:rPr>
          <w:rFonts w:hint="eastAsia"/>
        </w:rPr>
        <w:t>)</w:t>
      </w:r>
      <w:r>
        <w:rPr>
          <w:rFonts w:hint="eastAsia"/>
        </w:rPr>
        <w:t>，提出了“开放城市”的概念。根据这一概念，地方行政区划内的已建和待建地区都包括在一项统一的地区安排计划中。</w:t>
      </w:r>
    </w:p>
    <w:p w:rsidR="00000000" w:rsidRDefault="00000000">
      <w:pPr>
        <w:rPr>
          <w:rFonts w:hint="eastAsia"/>
        </w:rPr>
      </w:pPr>
      <w:r>
        <w:rPr>
          <w:rFonts w:hint="eastAsia"/>
        </w:rPr>
        <w:tab/>
        <w:t xml:space="preserve">379.  </w:t>
      </w:r>
      <w:r>
        <w:rPr>
          <w:rFonts w:hint="eastAsia"/>
        </w:rPr>
        <w:t>在地区规划立法纲要方面有了显著改进，纲要包括了国土和居住网络可持续与平衡发展的原则。</w:t>
      </w:r>
      <w:r>
        <w:rPr>
          <w:rFonts w:hint="eastAsia"/>
        </w:rPr>
        <w:t>1999</w:t>
      </w:r>
      <w:r>
        <w:rPr>
          <w:rFonts w:hint="eastAsia"/>
        </w:rPr>
        <w:t>年</w:t>
      </w:r>
      <w:r>
        <w:rPr>
          <w:rFonts w:hint="eastAsia"/>
        </w:rPr>
        <w:t>10</w:t>
      </w:r>
      <w:r>
        <w:rPr>
          <w:rFonts w:hint="eastAsia"/>
        </w:rPr>
        <w:t>月，关于“地区规划和可持续发展”的新纲要</w:t>
      </w:r>
      <w:r>
        <w:rPr>
          <w:rFonts w:hint="eastAsia"/>
        </w:rPr>
        <w:t>(</w:t>
      </w:r>
      <w:r>
        <w:rPr>
          <w:rFonts w:hint="eastAsia"/>
        </w:rPr>
        <w:t>第</w:t>
      </w:r>
      <w:r>
        <w:rPr>
          <w:rFonts w:hint="eastAsia"/>
        </w:rPr>
        <w:t>2742</w:t>
      </w:r>
      <w:r>
        <w:rPr>
          <w:rFonts w:hint="eastAsia"/>
        </w:rPr>
        <w:t>号法律</w:t>
      </w:r>
      <w:r>
        <w:rPr>
          <w:rFonts w:hint="eastAsia"/>
        </w:rPr>
        <w:t>)</w:t>
      </w:r>
      <w:r>
        <w:rPr>
          <w:rFonts w:hint="eastAsia"/>
        </w:rPr>
        <w:t>开始生效，根据这一纲要，住区网络发展规划目前已按现代形式与更大的地区规划结合起来。地区规划的核心是总纲要，其中规定了空间安排和调整的基本原则。在有关希腊生产活动的具体地区或部门、基础结构网络和有问题地区以及全国</w:t>
      </w:r>
      <w:r>
        <w:rPr>
          <w:rFonts w:hint="eastAsia"/>
        </w:rPr>
        <w:t>12</w:t>
      </w:r>
      <w:r>
        <w:rPr>
          <w:rFonts w:hint="eastAsia"/>
        </w:rPr>
        <w:t>个地区</w:t>
      </w:r>
      <w:r>
        <w:rPr>
          <w:rFonts w:hint="eastAsia"/>
        </w:rPr>
        <w:t>(Attica</w:t>
      </w:r>
      <w:r>
        <w:rPr>
          <w:rFonts w:hint="eastAsia"/>
        </w:rPr>
        <w:t>除外</w:t>
      </w:r>
      <w:r>
        <w:rPr>
          <w:rFonts w:hint="eastAsia"/>
        </w:rPr>
        <w:t>)</w:t>
      </w:r>
      <w:r>
        <w:rPr>
          <w:rFonts w:hint="eastAsia"/>
        </w:rPr>
        <w:t>的地区规划纲要中，更具体的体现了这些原则。总纲要的研究已经完成，并已提交待通过和批准。</w:t>
      </w:r>
    </w:p>
    <w:p w:rsidR="00000000" w:rsidRDefault="00000000">
      <w:pPr>
        <w:rPr>
          <w:rFonts w:hint="eastAsia"/>
        </w:rPr>
      </w:pPr>
      <w:r>
        <w:rPr>
          <w:rFonts w:hint="eastAsia"/>
        </w:rPr>
        <w:tab/>
        <w:t xml:space="preserve">380.  </w:t>
      </w:r>
      <w:r>
        <w:rPr>
          <w:rFonts w:hint="eastAsia"/>
        </w:rPr>
        <w:t>为促进薄弱住区网络，特别是有问题的乡村、岛屿和山区的安排与调整，已委托有关机构进行研究，从而确定执行作为《欧洲空地发展计划》主轴之一的多中心发展政策的执行。研究的重点将是住区分类、大城市中心作用的确定和根据第</w:t>
      </w:r>
      <w:r>
        <w:rPr>
          <w:rFonts w:hint="eastAsia"/>
        </w:rPr>
        <w:t>2742/1999</w:t>
      </w:r>
      <w:r>
        <w:rPr>
          <w:rFonts w:hint="eastAsia"/>
        </w:rPr>
        <w:t>号法律制定具体的规划纲要。迄今，下列具体纲要已经完成并提交批准：</w:t>
      </w:r>
    </w:p>
    <w:p w:rsidR="00000000" w:rsidRDefault="00000000">
      <w:pPr>
        <w:pStyle w:val="a0"/>
        <w:tabs>
          <w:tab w:val="num" w:pos="1550"/>
        </w:tabs>
        <w:ind w:left="1550"/>
        <w:rPr>
          <w:rFonts w:hint="eastAsia"/>
        </w:rPr>
      </w:pPr>
      <w:r>
        <w:rPr>
          <w:rFonts w:hint="eastAsia"/>
        </w:rPr>
        <w:t>希腊全国的住区结构；</w:t>
      </w:r>
    </w:p>
    <w:p w:rsidR="00000000" w:rsidRDefault="00000000">
      <w:pPr>
        <w:pStyle w:val="a0"/>
        <w:tabs>
          <w:tab w:val="num" w:pos="1550"/>
        </w:tabs>
        <w:ind w:left="1550"/>
        <w:rPr>
          <w:rFonts w:hint="eastAsia"/>
        </w:rPr>
      </w:pPr>
      <w:r>
        <w:rPr>
          <w:rFonts w:hint="eastAsia"/>
        </w:rPr>
        <w:t>乡村地区；</w:t>
      </w:r>
    </w:p>
    <w:p w:rsidR="00000000" w:rsidRDefault="00000000">
      <w:pPr>
        <w:pStyle w:val="a0"/>
        <w:tabs>
          <w:tab w:val="num" w:pos="1550"/>
        </w:tabs>
        <w:ind w:left="1550"/>
        <w:rPr>
          <w:rFonts w:hint="eastAsia"/>
        </w:rPr>
      </w:pPr>
      <w:r>
        <w:rPr>
          <w:rFonts w:hint="eastAsia"/>
        </w:rPr>
        <w:t>岛屿地区</w:t>
      </w:r>
    </w:p>
    <w:p w:rsidR="00000000" w:rsidRDefault="00000000">
      <w:pPr>
        <w:spacing w:after="240"/>
        <w:rPr>
          <w:rFonts w:hint="eastAsia"/>
        </w:rPr>
      </w:pPr>
      <w:r>
        <w:rPr>
          <w:rFonts w:hint="eastAsia"/>
        </w:rPr>
        <w:tab/>
        <w:t xml:space="preserve">381.  </w:t>
      </w:r>
      <w:r>
        <w:rPr>
          <w:rFonts w:hint="eastAsia"/>
        </w:rPr>
        <w:t>对山区的研究已接近完成，目前正在制定全国</w:t>
      </w:r>
      <w:r>
        <w:rPr>
          <w:rFonts w:hint="eastAsia"/>
        </w:rPr>
        <w:t>12</w:t>
      </w:r>
      <w:r>
        <w:rPr>
          <w:rFonts w:hint="eastAsia"/>
        </w:rPr>
        <w:t>个区</w:t>
      </w:r>
      <w:r>
        <w:rPr>
          <w:rFonts w:hint="eastAsia"/>
        </w:rPr>
        <w:t>(Attica</w:t>
      </w:r>
      <w:r>
        <w:rPr>
          <w:rFonts w:hint="eastAsia"/>
        </w:rPr>
        <w:t>除外</w:t>
      </w:r>
      <w:r>
        <w:rPr>
          <w:rFonts w:hint="eastAsia"/>
        </w:rPr>
        <w:t>)</w:t>
      </w:r>
      <w:r>
        <w:rPr>
          <w:rFonts w:hint="eastAsia"/>
        </w:rPr>
        <w:t>的地区规划纲要，其中将确定关键地区空地安排指导原则。</w:t>
      </w:r>
    </w:p>
    <w:p w:rsidR="00000000" w:rsidRDefault="00000000">
      <w:pPr>
        <w:pStyle w:val="Heading4"/>
        <w:rPr>
          <w:rFonts w:ascii="Time New Roman" w:hAnsi="Time New Roman" w:hint="eastAsia"/>
          <w:u w:val="words"/>
        </w:rPr>
      </w:pPr>
      <w:r>
        <w:rPr>
          <w:rFonts w:ascii="Time New Roman" w:hAnsi="Time New Roman" w:hint="eastAsia"/>
          <w:u w:val="words"/>
        </w:rPr>
        <w:t>非政府住房业</w:t>
      </w:r>
    </w:p>
    <w:p w:rsidR="00000000" w:rsidRDefault="00000000">
      <w:pPr>
        <w:rPr>
          <w:rFonts w:hint="eastAsia"/>
        </w:rPr>
      </w:pPr>
      <w:r>
        <w:rPr>
          <w:rFonts w:hint="eastAsia"/>
        </w:rPr>
        <w:tab/>
        <w:t xml:space="preserve">382.  </w:t>
      </w:r>
      <w:r>
        <w:rPr>
          <w:rFonts w:hint="eastAsia"/>
        </w:rPr>
        <w:t>希腊最重要的非政府住房组织代表各自利益的房产主联合会和租户联合会。它们的行动包括向政府施加压力以采取实现下列目的的住房政策措施：</w:t>
      </w:r>
    </w:p>
    <w:p w:rsidR="00000000" w:rsidRDefault="00000000">
      <w:pPr>
        <w:pStyle w:val="a0"/>
        <w:tabs>
          <w:tab w:val="num" w:pos="1550"/>
        </w:tabs>
        <w:ind w:left="1550"/>
        <w:rPr>
          <w:rFonts w:hint="eastAsia"/>
        </w:rPr>
      </w:pPr>
      <w:r>
        <w:rPr>
          <w:rFonts w:hint="eastAsia"/>
        </w:rPr>
        <w:t>加强住房信贷和补贴制度的效果；</w:t>
      </w:r>
    </w:p>
    <w:p w:rsidR="00000000" w:rsidRDefault="00000000">
      <w:pPr>
        <w:pStyle w:val="a0"/>
        <w:tabs>
          <w:tab w:val="num" w:pos="1550"/>
        </w:tabs>
        <w:ind w:left="1550"/>
        <w:rPr>
          <w:rFonts w:hint="eastAsia"/>
        </w:rPr>
      </w:pPr>
      <w:r>
        <w:rPr>
          <w:rFonts w:hint="eastAsia"/>
        </w:rPr>
        <w:t>对租户更有利的征税制度；</w:t>
      </w:r>
    </w:p>
    <w:p w:rsidR="00000000" w:rsidRDefault="00000000">
      <w:pPr>
        <w:pStyle w:val="a0"/>
        <w:tabs>
          <w:tab w:val="num" w:pos="1550"/>
        </w:tabs>
        <w:ind w:left="1550"/>
        <w:rPr>
          <w:rFonts w:hint="eastAsia"/>
        </w:rPr>
      </w:pPr>
      <w:r>
        <w:rPr>
          <w:rFonts w:hint="eastAsia"/>
        </w:rPr>
        <w:t>通过直接和间接社会赠款和补贴加强租户的地位；</w:t>
      </w:r>
    </w:p>
    <w:p w:rsidR="00000000" w:rsidRDefault="00000000">
      <w:pPr>
        <w:pStyle w:val="a0"/>
        <w:tabs>
          <w:tab w:val="num" w:pos="1550"/>
        </w:tabs>
        <w:ind w:left="1550"/>
        <w:rPr>
          <w:rFonts w:hint="eastAsia"/>
        </w:rPr>
      </w:pPr>
      <w:r>
        <w:rPr>
          <w:rFonts w:hint="eastAsia"/>
        </w:rPr>
        <w:t>发展社会住房业。</w:t>
      </w:r>
    </w:p>
    <w:p w:rsidR="00000000" w:rsidRDefault="00000000">
      <w:pPr>
        <w:rPr>
          <w:rFonts w:hint="eastAsia"/>
        </w:rPr>
      </w:pPr>
      <w:r>
        <w:rPr>
          <w:rFonts w:hint="eastAsia"/>
        </w:rPr>
        <w:tab/>
        <w:t xml:space="preserve">383.  </w:t>
      </w:r>
      <w:r>
        <w:rPr>
          <w:rFonts w:hint="eastAsia"/>
        </w:rPr>
        <w:t>地方政府最近参与了解决弱势群体的食物、衣服、住房等问题的方案。</w:t>
      </w:r>
      <w:r>
        <w:rPr>
          <w:rFonts w:hint="eastAsia"/>
        </w:rPr>
        <w:t>1997</w:t>
      </w:r>
      <w:r>
        <w:rPr>
          <w:rFonts w:hint="eastAsia"/>
        </w:rPr>
        <w:t>年以来，雅典市已开始执行一项住房方案，目前受益者是雅典无家可归者的一半，预计将很快满足全市的需要。</w:t>
      </w:r>
    </w:p>
    <w:p w:rsidR="00000000" w:rsidRDefault="00000000">
      <w:pPr>
        <w:spacing w:after="240"/>
        <w:rPr>
          <w:rFonts w:hint="eastAsia"/>
        </w:rPr>
      </w:pPr>
      <w:r>
        <w:rPr>
          <w:rFonts w:hint="eastAsia"/>
        </w:rPr>
        <w:tab/>
        <w:t xml:space="preserve">384.  </w:t>
      </w:r>
      <w:r>
        <w:rPr>
          <w:rFonts w:hint="eastAsia"/>
        </w:rPr>
        <w:t>最近，一些为上述群体提供住房的小组织遇到了问题。这些组织的活动非常有限，特别是在提供住所方面，因为这种活动需要大量资金和正式组织结构，这是国家立法机关不能解决的问题。</w:t>
      </w:r>
    </w:p>
    <w:p w:rsidR="00000000" w:rsidRDefault="00000000">
      <w:pPr>
        <w:pStyle w:val="Heading4"/>
        <w:rPr>
          <w:rFonts w:ascii="Time New Roman" w:hAnsi="Time New Roman" w:hint="eastAsia"/>
          <w:u w:val="words"/>
        </w:rPr>
      </w:pPr>
      <w:r>
        <w:rPr>
          <w:rFonts w:ascii="Time New Roman" w:hAnsi="Time New Roman" w:hint="eastAsia"/>
          <w:u w:val="words"/>
        </w:rPr>
        <w:t>针对有紧急住房问题的群体的住房方案</w:t>
      </w:r>
    </w:p>
    <w:p w:rsidR="00000000" w:rsidRDefault="00000000">
      <w:pPr>
        <w:rPr>
          <w:rFonts w:hint="eastAsia"/>
        </w:rPr>
      </w:pPr>
      <w:r>
        <w:rPr>
          <w:rFonts w:hint="eastAsia"/>
        </w:rPr>
        <w:tab/>
        <w:t xml:space="preserve">385.  </w:t>
      </w:r>
      <w:r>
        <w:rPr>
          <w:rFonts w:hint="eastAsia"/>
        </w:rPr>
        <w:t>满足特别住房需要的公共支援涉及三个主要方案：</w:t>
      </w:r>
    </w:p>
    <w:p w:rsidR="00000000" w:rsidRDefault="00000000">
      <w:pPr>
        <w:pStyle w:val="a0"/>
        <w:tabs>
          <w:tab w:val="num" w:pos="1550"/>
        </w:tabs>
        <w:ind w:left="1550"/>
        <w:rPr>
          <w:rFonts w:hint="eastAsia"/>
        </w:rPr>
      </w:pPr>
      <w:r>
        <w:rPr>
          <w:rFonts w:hint="eastAsia"/>
        </w:rPr>
        <w:t>吉普赛人住房正常化方案；</w:t>
      </w:r>
    </w:p>
    <w:p w:rsidR="00000000" w:rsidRDefault="00000000">
      <w:pPr>
        <w:pStyle w:val="a0"/>
        <w:tabs>
          <w:tab w:val="num" w:pos="1550"/>
        </w:tabs>
        <w:ind w:left="1550"/>
        <w:rPr>
          <w:rFonts w:hint="eastAsia"/>
        </w:rPr>
      </w:pPr>
      <w:r>
        <w:rPr>
          <w:rFonts w:hint="eastAsia"/>
        </w:rPr>
        <w:t>返回希腊人住房正常化方案；</w:t>
      </w:r>
    </w:p>
    <w:p w:rsidR="00000000" w:rsidRDefault="00000000">
      <w:pPr>
        <w:pStyle w:val="a0"/>
        <w:tabs>
          <w:tab w:val="num" w:pos="1550"/>
        </w:tabs>
        <w:spacing w:after="240"/>
        <w:ind w:left="1550"/>
        <w:rPr>
          <w:rFonts w:hint="eastAsia"/>
        </w:rPr>
      </w:pPr>
      <w:r>
        <w:rPr>
          <w:rFonts w:hint="eastAsia"/>
        </w:rPr>
        <w:t>希腊最近地震受害者住所方案。</w:t>
      </w:r>
    </w:p>
    <w:p w:rsidR="00000000" w:rsidRDefault="00000000">
      <w:pPr>
        <w:pStyle w:val="Heading4"/>
        <w:rPr>
          <w:rFonts w:ascii="Time New Roman" w:hAnsi="Time New Roman" w:hint="eastAsia"/>
          <w:u w:val="words"/>
        </w:rPr>
      </w:pPr>
      <w:r>
        <w:rPr>
          <w:rFonts w:ascii="Time New Roman" w:hAnsi="Time New Roman" w:hint="eastAsia"/>
          <w:u w:val="words"/>
        </w:rPr>
        <w:t>吉普赛人住房正常化方案</w:t>
      </w:r>
    </w:p>
    <w:p w:rsidR="00000000" w:rsidRDefault="00000000">
      <w:pPr>
        <w:rPr>
          <w:rFonts w:hint="eastAsia"/>
        </w:rPr>
      </w:pPr>
      <w:r>
        <w:rPr>
          <w:rFonts w:hint="eastAsia"/>
        </w:rPr>
        <w:tab/>
        <w:t>386.  1996</w:t>
      </w:r>
      <w:r>
        <w:rPr>
          <w:rFonts w:hint="eastAsia"/>
        </w:rPr>
        <w:t>年以来，针对希腊吉普赛人在卫生、教育、职业培训、社会保险和住房等方面面临的严重问题，执行了一项政策纲要。在根据这项纲要采取措施的过程中，中央和地方政府提供了大量各种服务。在住房方面，根据纲要采取了旨在改善生活条件、使居民脱离帐篷区和在空旷地点建立临时住所的各种行动。</w:t>
      </w:r>
    </w:p>
    <w:p w:rsidR="00000000" w:rsidRDefault="00000000">
      <w:pPr>
        <w:rPr>
          <w:rFonts w:hint="eastAsia"/>
        </w:rPr>
      </w:pPr>
      <w:r>
        <w:rPr>
          <w:rFonts w:hint="eastAsia"/>
        </w:rPr>
        <w:tab/>
        <w:t xml:space="preserve">387.  </w:t>
      </w:r>
      <w:r>
        <w:rPr>
          <w:rFonts w:hint="eastAsia"/>
        </w:rPr>
        <w:t>国家认识到，为解决吉普赛人所面临的问题，还需要采取很多具体行动，因此，于</w:t>
      </w:r>
      <w:r>
        <w:rPr>
          <w:rFonts w:hint="eastAsia"/>
        </w:rPr>
        <w:t>2001</w:t>
      </w:r>
      <w:r>
        <w:rPr>
          <w:rFonts w:hint="eastAsia"/>
        </w:rPr>
        <w:t>年</w:t>
      </w:r>
      <w:r>
        <w:rPr>
          <w:rFonts w:hint="eastAsia"/>
        </w:rPr>
        <w:t>4</w:t>
      </w:r>
      <w:r>
        <w:rPr>
          <w:rFonts w:hint="eastAsia"/>
        </w:rPr>
        <w:t>月制定了促进吉普赛人与社会融合的综合行动方案</w:t>
      </w:r>
      <w:r>
        <w:rPr>
          <w:rFonts w:hint="eastAsia"/>
        </w:rPr>
        <w:t>(</w:t>
      </w:r>
      <w:r>
        <w:rPr>
          <w:rFonts w:hint="eastAsia"/>
        </w:rPr>
        <w:t>行动方案</w:t>
      </w:r>
      <w:r>
        <w:rPr>
          <w:rFonts w:hint="eastAsia"/>
        </w:rPr>
        <w:t>)</w:t>
      </w:r>
      <w:r>
        <w:rPr>
          <w:rFonts w:hint="eastAsia"/>
        </w:rPr>
        <w:t>。行动方案的目的是执行国家政策，采取预防措施，改变希腊的社会现实，缩小社会差异，加强社会正义和实现吉普赛人与社会的融合。</w:t>
      </w:r>
    </w:p>
    <w:p w:rsidR="00000000" w:rsidRDefault="00000000">
      <w:pPr>
        <w:rPr>
          <w:rFonts w:hint="eastAsia"/>
        </w:rPr>
      </w:pPr>
      <w:r>
        <w:rPr>
          <w:rFonts w:hint="eastAsia"/>
        </w:rPr>
        <w:tab/>
        <w:t xml:space="preserve">388.  </w:t>
      </w:r>
      <w:r>
        <w:rPr>
          <w:rFonts w:hint="eastAsia"/>
        </w:rPr>
        <w:t>行动方案有两个优先方面：第一是住房</w:t>
      </w:r>
      <w:r>
        <w:rPr>
          <w:rFonts w:hint="eastAsia"/>
        </w:rPr>
        <w:t>(</w:t>
      </w:r>
      <w:r>
        <w:rPr>
          <w:rFonts w:hint="eastAsia"/>
        </w:rPr>
        <w:t>新住区、住宅改善、住区改善、城市和物质规划等</w:t>
      </w:r>
      <w:r>
        <w:rPr>
          <w:rFonts w:hint="eastAsia"/>
        </w:rPr>
        <w:t>)</w:t>
      </w:r>
      <w:r>
        <w:rPr>
          <w:rFonts w:hint="eastAsia"/>
        </w:rPr>
        <w:t>，第二是服务</w:t>
      </w:r>
      <w:r>
        <w:rPr>
          <w:rFonts w:hint="eastAsia"/>
        </w:rPr>
        <w:t>(</w:t>
      </w:r>
      <w:r>
        <w:rPr>
          <w:rFonts w:hint="eastAsia"/>
        </w:rPr>
        <w:t>就业、教育、培训、福利、文化和成人教育</w:t>
      </w:r>
      <w:r>
        <w:rPr>
          <w:rFonts w:hint="eastAsia"/>
        </w:rPr>
        <w:t>)</w:t>
      </w:r>
      <w:r>
        <w:rPr>
          <w:rFonts w:hint="eastAsia"/>
        </w:rPr>
        <w:t>。</w:t>
      </w:r>
    </w:p>
    <w:p w:rsidR="00000000" w:rsidRDefault="00000000">
      <w:pPr>
        <w:rPr>
          <w:rFonts w:hint="eastAsia"/>
        </w:rPr>
      </w:pPr>
      <w:r>
        <w:rPr>
          <w:rFonts w:hint="eastAsia"/>
        </w:rPr>
        <w:tab/>
        <w:t xml:space="preserve">389.  </w:t>
      </w:r>
      <w:r>
        <w:rPr>
          <w:rFonts w:hint="eastAsia"/>
        </w:rPr>
        <w:t>行动方案认识到，保证适当住房和居住环境对消除对吉普赛公民的社会排斥具有重大意义。方案的优先事项是，解决住在营地中的吉普赛人的住房和安置问题；在居住地点适当的情况下，改善现有营地，或按照现代科学原则和社会可接受的住房和安置标准建设新住区。</w:t>
      </w:r>
    </w:p>
    <w:p w:rsidR="00000000" w:rsidRDefault="00000000">
      <w:pPr>
        <w:rPr>
          <w:rFonts w:hint="eastAsia"/>
        </w:rPr>
      </w:pPr>
      <w:r>
        <w:rPr>
          <w:rFonts w:hint="eastAsia"/>
        </w:rPr>
        <w:tab/>
        <w:t xml:space="preserve">390.  </w:t>
      </w:r>
      <w:r>
        <w:rPr>
          <w:rFonts w:hint="eastAsia"/>
        </w:rPr>
        <w:t>第一个优先方面的目标是，通过一系列涉及不同住房正常化需要和住区的措施与行动解决吉普赛人的住房问题。第一个优先方面的主要目标如下：</w:t>
      </w:r>
    </w:p>
    <w:p w:rsidR="00000000" w:rsidRDefault="00000000">
      <w:pPr>
        <w:pStyle w:val="a0"/>
        <w:tabs>
          <w:tab w:val="num" w:pos="1550"/>
        </w:tabs>
        <w:spacing w:line="312" w:lineRule="auto"/>
        <w:ind w:left="1550"/>
        <w:rPr>
          <w:rFonts w:hint="eastAsia"/>
        </w:rPr>
      </w:pPr>
      <w:r>
        <w:rPr>
          <w:rFonts w:hint="eastAsia"/>
        </w:rPr>
        <w:t>落实城市和小住区可持续发展的国家政策，从而履行希腊在欧洲委员会和国际上作出的有关承诺；</w:t>
      </w:r>
    </w:p>
    <w:p w:rsidR="00000000" w:rsidRDefault="00000000">
      <w:pPr>
        <w:pStyle w:val="a0"/>
        <w:tabs>
          <w:tab w:val="num" w:pos="1550"/>
        </w:tabs>
        <w:spacing w:line="312" w:lineRule="auto"/>
        <w:ind w:left="1550"/>
        <w:rPr>
          <w:rFonts w:hint="eastAsia"/>
        </w:rPr>
      </w:pPr>
      <w:r>
        <w:rPr>
          <w:rFonts w:hint="eastAsia"/>
        </w:rPr>
        <w:t>消除边缘化中的某些事实考虑；</w:t>
      </w:r>
    </w:p>
    <w:p w:rsidR="00000000" w:rsidRDefault="00000000">
      <w:pPr>
        <w:pStyle w:val="a0"/>
        <w:tabs>
          <w:tab w:val="num" w:pos="1550"/>
        </w:tabs>
        <w:spacing w:line="312" w:lineRule="auto"/>
        <w:ind w:left="1550"/>
        <w:rPr>
          <w:rFonts w:hint="eastAsia"/>
        </w:rPr>
      </w:pPr>
      <w:r>
        <w:rPr>
          <w:rFonts w:hint="eastAsia"/>
        </w:rPr>
        <w:t>提供起码标准的住房和居住卫生条件；</w:t>
      </w:r>
    </w:p>
    <w:p w:rsidR="00000000" w:rsidRDefault="00000000">
      <w:pPr>
        <w:pStyle w:val="a0"/>
        <w:tabs>
          <w:tab w:val="num" w:pos="1550"/>
        </w:tabs>
        <w:spacing w:line="312" w:lineRule="auto"/>
        <w:ind w:left="1550"/>
        <w:rPr>
          <w:rFonts w:hint="eastAsia"/>
        </w:rPr>
      </w:pPr>
      <w:r>
        <w:rPr>
          <w:rFonts w:hint="eastAsia"/>
        </w:rPr>
        <w:t>为改善目标人口和周围社会的生活条件改善人文和自然环境；</w:t>
      </w:r>
    </w:p>
    <w:p w:rsidR="00000000" w:rsidRDefault="00000000">
      <w:pPr>
        <w:pStyle w:val="a0"/>
        <w:tabs>
          <w:tab w:val="num" w:pos="1550"/>
        </w:tabs>
        <w:spacing w:line="312" w:lineRule="auto"/>
        <w:ind w:left="1550"/>
        <w:rPr>
          <w:rFonts w:hint="eastAsia"/>
        </w:rPr>
      </w:pPr>
      <w:r>
        <w:rPr>
          <w:rFonts w:hint="eastAsia"/>
        </w:rPr>
        <w:t>建立新的和现有住区与城市的社会和空间联系，确保满足紧迫的生活需要。</w:t>
      </w:r>
    </w:p>
    <w:p w:rsidR="00000000" w:rsidRDefault="00000000">
      <w:pPr>
        <w:rPr>
          <w:rFonts w:hint="eastAsia"/>
        </w:rPr>
      </w:pPr>
      <w:r>
        <w:rPr>
          <w:rFonts w:hint="eastAsia"/>
        </w:rPr>
        <w:tab/>
        <w:t xml:space="preserve">391.  </w:t>
      </w:r>
      <w:r>
        <w:rPr>
          <w:rFonts w:hint="eastAsia"/>
        </w:rPr>
        <w:t>第一优先方面的目标正在通过下列措施实现：</w:t>
      </w:r>
    </w:p>
    <w:p w:rsidR="00000000" w:rsidRDefault="00000000">
      <w:pPr>
        <w:pStyle w:val="a0"/>
        <w:tabs>
          <w:tab w:val="clear" w:pos="510"/>
        </w:tabs>
        <w:spacing w:line="312" w:lineRule="auto"/>
        <w:ind w:left="1530"/>
        <w:rPr>
          <w:rFonts w:hint="eastAsia"/>
        </w:rPr>
      </w:pPr>
      <w:r>
        <w:rPr>
          <w:rFonts w:hint="eastAsia"/>
        </w:rPr>
        <w:t>措施</w:t>
      </w:r>
      <w:r>
        <w:rPr>
          <w:rFonts w:hint="eastAsia"/>
        </w:rPr>
        <w:t>1</w:t>
      </w:r>
      <w:r>
        <w:rPr>
          <w:rFonts w:hint="eastAsia"/>
        </w:rPr>
        <w:t>：发展新住区；</w:t>
      </w:r>
    </w:p>
    <w:p w:rsidR="00000000" w:rsidRDefault="00000000">
      <w:pPr>
        <w:pStyle w:val="a0"/>
        <w:tabs>
          <w:tab w:val="num" w:pos="2070"/>
        </w:tabs>
        <w:spacing w:line="312" w:lineRule="auto"/>
        <w:ind w:left="2070"/>
        <w:rPr>
          <w:rFonts w:hint="eastAsia"/>
        </w:rPr>
      </w:pPr>
      <w:r>
        <w:rPr>
          <w:rFonts w:hint="eastAsia"/>
        </w:rPr>
        <w:t>分措施</w:t>
      </w:r>
      <w:r>
        <w:rPr>
          <w:rFonts w:hint="eastAsia"/>
        </w:rPr>
        <w:t>1.1</w:t>
      </w:r>
      <w:r>
        <w:rPr>
          <w:rFonts w:hint="eastAsia"/>
        </w:rPr>
        <w:t>：土地购置；</w:t>
      </w:r>
    </w:p>
    <w:p w:rsidR="00000000" w:rsidRDefault="00000000">
      <w:pPr>
        <w:pStyle w:val="a0"/>
        <w:tabs>
          <w:tab w:val="num" w:pos="2070"/>
        </w:tabs>
        <w:spacing w:line="312" w:lineRule="auto"/>
        <w:ind w:left="2070"/>
        <w:rPr>
          <w:rFonts w:hint="eastAsia"/>
        </w:rPr>
      </w:pPr>
      <w:r>
        <w:rPr>
          <w:rFonts w:hint="eastAsia"/>
        </w:rPr>
        <w:t>分措施</w:t>
      </w:r>
      <w:r>
        <w:rPr>
          <w:rFonts w:hint="eastAsia"/>
        </w:rPr>
        <w:t>1.2</w:t>
      </w:r>
      <w:r>
        <w:rPr>
          <w:rFonts w:hint="eastAsia"/>
        </w:rPr>
        <w:t>：城市和空间规划；</w:t>
      </w:r>
    </w:p>
    <w:p w:rsidR="00000000" w:rsidRDefault="00000000">
      <w:pPr>
        <w:pStyle w:val="a0"/>
        <w:tabs>
          <w:tab w:val="num" w:pos="2070"/>
        </w:tabs>
        <w:spacing w:line="312" w:lineRule="auto"/>
        <w:ind w:left="2070"/>
        <w:rPr>
          <w:rFonts w:hint="eastAsia"/>
        </w:rPr>
      </w:pPr>
      <w:r>
        <w:rPr>
          <w:rFonts w:hint="eastAsia"/>
        </w:rPr>
        <w:t>分措施</w:t>
      </w:r>
      <w:r>
        <w:rPr>
          <w:rFonts w:hint="eastAsia"/>
        </w:rPr>
        <w:t>1.3</w:t>
      </w:r>
      <w:r>
        <w:rPr>
          <w:rFonts w:hint="eastAsia"/>
        </w:rPr>
        <w:t>：基础结构网</w:t>
      </w:r>
      <w:r>
        <w:rPr>
          <w:rFonts w:hint="eastAsia"/>
          <w:spacing w:val="-40"/>
        </w:rPr>
        <w:t>――</w:t>
      </w:r>
      <w:r>
        <w:rPr>
          <w:rFonts w:hint="eastAsia"/>
          <w:spacing w:val="-40"/>
        </w:rPr>
        <w:t xml:space="preserve"> </w:t>
      </w:r>
      <w:r>
        <w:rPr>
          <w:rFonts w:hint="eastAsia"/>
        </w:rPr>
        <w:t>风景工程；</w:t>
      </w:r>
    </w:p>
    <w:p w:rsidR="00000000" w:rsidRDefault="00000000">
      <w:pPr>
        <w:pStyle w:val="a0"/>
        <w:tabs>
          <w:tab w:val="num" w:pos="2070"/>
        </w:tabs>
        <w:spacing w:line="312" w:lineRule="auto"/>
        <w:ind w:left="2070"/>
        <w:rPr>
          <w:rFonts w:hint="eastAsia"/>
        </w:rPr>
      </w:pPr>
      <w:r>
        <w:rPr>
          <w:rFonts w:hint="eastAsia"/>
        </w:rPr>
        <w:t>分措施</w:t>
      </w:r>
      <w:r>
        <w:rPr>
          <w:rFonts w:hint="eastAsia"/>
        </w:rPr>
        <w:t>1.4</w:t>
      </w:r>
      <w:r>
        <w:rPr>
          <w:rFonts w:hint="eastAsia"/>
        </w:rPr>
        <w:t>：辅助服务基础结构建设；</w:t>
      </w:r>
    </w:p>
    <w:p w:rsidR="00000000" w:rsidRDefault="00000000">
      <w:pPr>
        <w:pStyle w:val="a0"/>
        <w:tabs>
          <w:tab w:val="num" w:pos="2070"/>
        </w:tabs>
        <w:spacing w:line="312" w:lineRule="auto"/>
        <w:ind w:left="2070"/>
        <w:rPr>
          <w:rFonts w:hint="eastAsia"/>
        </w:rPr>
      </w:pPr>
      <w:r>
        <w:rPr>
          <w:rFonts w:hint="eastAsia"/>
        </w:rPr>
        <w:t>分措施</w:t>
      </w:r>
      <w:r>
        <w:rPr>
          <w:rFonts w:hint="eastAsia"/>
        </w:rPr>
        <w:t>1.5</w:t>
      </w:r>
      <w:r>
        <w:rPr>
          <w:rFonts w:hint="eastAsia"/>
        </w:rPr>
        <w:t>：住宅建设；</w:t>
      </w:r>
    </w:p>
    <w:p w:rsidR="00000000" w:rsidRDefault="00000000">
      <w:pPr>
        <w:pStyle w:val="a0"/>
        <w:tabs>
          <w:tab w:val="clear" w:pos="510"/>
        </w:tabs>
        <w:spacing w:line="312" w:lineRule="auto"/>
        <w:ind w:left="1530"/>
        <w:rPr>
          <w:rFonts w:hint="eastAsia"/>
        </w:rPr>
      </w:pPr>
      <w:r>
        <w:rPr>
          <w:rFonts w:hint="eastAsia"/>
        </w:rPr>
        <w:t>措施</w:t>
      </w:r>
      <w:r>
        <w:rPr>
          <w:rFonts w:hint="eastAsia"/>
        </w:rPr>
        <w:t>2</w:t>
      </w:r>
      <w:r>
        <w:rPr>
          <w:rFonts w:hint="eastAsia"/>
        </w:rPr>
        <w:t>：改善现有住宅；</w:t>
      </w:r>
    </w:p>
    <w:p w:rsidR="00000000" w:rsidRDefault="00000000">
      <w:pPr>
        <w:pStyle w:val="a0"/>
        <w:tabs>
          <w:tab w:val="clear" w:pos="510"/>
        </w:tabs>
        <w:spacing w:line="312" w:lineRule="auto"/>
        <w:ind w:left="1530"/>
        <w:rPr>
          <w:rFonts w:hint="eastAsia"/>
        </w:rPr>
      </w:pPr>
      <w:r>
        <w:rPr>
          <w:rFonts w:hint="eastAsia"/>
        </w:rPr>
        <w:t>措施</w:t>
      </w:r>
      <w:r>
        <w:rPr>
          <w:rFonts w:hint="eastAsia"/>
        </w:rPr>
        <w:t>3</w:t>
      </w:r>
      <w:r>
        <w:rPr>
          <w:rFonts w:hint="eastAsia"/>
        </w:rPr>
        <w:t>：改善现有住区；</w:t>
      </w:r>
    </w:p>
    <w:p w:rsidR="00000000" w:rsidRDefault="00000000">
      <w:pPr>
        <w:pStyle w:val="a0"/>
        <w:tabs>
          <w:tab w:val="clear" w:pos="510"/>
        </w:tabs>
        <w:spacing w:line="312" w:lineRule="auto"/>
        <w:ind w:left="2040"/>
        <w:rPr>
          <w:rFonts w:hint="eastAsia"/>
        </w:rPr>
      </w:pPr>
      <w:r>
        <w:rPr>
          <w:rFonts w:hint="eastAsia"/>
        </w:rPr>
        <w:t>分措施</w:t>
      </w:r>
      <w:r>
        <w:rPr>
          <w:rFonts w:hint="eastAsia"/>
        </w:rPr>
        <w:t>3.1</w:t>
      </w:r>
      <w:r>
        <w:rPr>
          <w:rFonts w:hint="eastAsia"/>
        </w:rPr>
        <w:t>：土地购置</w:t>
      </w:r>
      <w:r>
        <w:rPr>
          <w:rFonts w:hint="eastAsia"/>
        </w:rPr>
        <w:t>/</w:t>
      </w:r>
      <w:r>
        <w:rPr>
          <w:rFonts w:hint="eastAsia"/>
        </w:rPr>
        <w:t>供应；</w:t>
      </w:r>
    </w:p>
    <w:p w:rsidR="00000000" w:rsidRDefault="00000000">
      <w:pPr>
        <w:pStyle w:val="a0"/>
        <w:tabs>
          <w:tab w:val="clear" w:pos="510"/>
        </w:tabs>
        <w:spacing w:line="312" w:lineRule="auto"/>
        <w:ind w:left="2040"/>
        <w:rPr>
          <w:rFonts w:hint="eastAsia"/>
        </w:rPr>
      </w:pPr>
      <w:r>
        <w:rPr>
          <w:rFonts w:hint="eastAsia"/>
        </w:rPr>
        <w:t>分措施</w:t>
      </w:r>
      <w:r>
        <w:rPr>
          <w:rFonts w:hint="eastAsia"/>
        </w:rPr>
        <w:t>3.2</w:t>
      </w:r>
      <w:r>
        <w:rPr>
          <w:rFonts w:hint="eastAsia"/>
        </w:rPr>
        <w:t>：城市和空间规划；</w:t>
      </w:r>
    </w:p>
    <w:p w:rsidR="00000000" w:rsidRDefault="00000000">
      <w:pPr>
        <w:pStyle w:val="a0"/>
        <w:tabs>
          <w:tab w:val="clear" w:pos="510"/>
        </w:tabs>
        <w:spacing w:line="312" w:lineRule="auto"/>
        <w:ind w:left="2040"/>
        <w:rPr>
          <w:rFonts w:hint="eastAsia"/>
        </w:rPr>
      </w:pPr>
      <w:r>
        <w:rPr>
          <w:rFonts w:hint="eastAsia"/>
        </w:rPr>
        <w:t>分措施</w:t>
      </w:r>
      <w:r>
        <w:rPr>
          <w:rFonts w:hint="eastAsia"/>
        </w:rPr>
        <w:t>3.3</w:t>
      </w:r>
      <w:r>
        <w:rPr>
          <w:rFonts w:hint="eastAsia"/>
        </w:rPr>
        <w:t>：基础结构网</w:t>
      </w:r>
      <w:r>
        <w:rPr>
          <w:rFonts w:hint="eastAsia"/>
          <w:spacing w:val="-50"/>
        </w:rPr>
        <w:t>―</w:t>
      </w:r>
      <w:r>
        <w:rPr>
          <w:rFonts w:hint="eastAsia"/>
        </w:rPr>
        <w:t>―风景工程；</w:t>
      </w:r>
    </w:p>
    <w:p w:rsidR="00000000" w:rsidRDefault="00000000">
      <w:pPr>
        <w:pStyle w:val="a0"/>
        <w:tabs>
          <w:tab w:val="clear" w:pos="510"/>
        </w:tabs>
        <w:spacing w:line="312" w:lineRule="auto"/>
        <w:ind w:left="2040"/>
        <w:rPr>
          <w:rFonts w:hint="eastAsia"/>
        </w:rPr>
      </w:pPr>
      <w:r>
        <w:rPr>
          <w:rFonts w:hint="eastAsia"/>
        </w:rPr>
        <w:t>分措施</w:t>
      </w:r>
      <w:r>
        <w:rPr>
          <w:rFonts w:hint="eastAsia"/>
        </w:rPr>
        <w:t>3.4</w:t>
      </w:r>
      <w:r>
        <w:rPr>
          <w:rFonts w:hint="eastAsia"/>
        </w:rPr>
        <w:t>：住房社会辅助服务基础结构建设；</w:t>
      </w:r>
    </w:p>
    <w:p w:rsidR="00000000" w:rsidRDefault="00000000">
      <w:pPr>
        <w:pStyle w:val="a0"/>
        <w:tabs>
          <w:tab w:val="clear" w:pos="510"/>
        </w:tabs>
        <w:spacing w:line="312" w:lineRule="auto"/>
        <w:ind w:left="2040"/>
        <w:rPr>
          <w:rFonts w:hint="eastAsia"/>
        </w:rPr>
      </w:pPr>
      <w:r>
        <w:rPr>
          <w:rFonts w:hint="eastAsia"/>
        </w:rPr>
        <w:t>分措施</w:t>
      </w:r>
      <w:r>
        <w:rPr>
          <w:rFonts w:hint="eastAsia"/>
        </w:rPr>
        <w:t>3.5</w:t>
      </w:r>
      <w:r>
        <w:rPr>
          <w:rFonts w:hint="eastAsia"/>
        </w:rPr>
        <w:t>：补充住宅建设；</w:t>
      </w:r>
    </w:p>
    <w:p w:rsidR="00000000" w:rsidRDefault="00000000">
      <w:pPr>
        <w:pStyle w:val="a0"/>
        <w:tabs>
          <w:tab w:val="clear" w:pos="510"/>
        </w:tabs>
        <w:spacing w:line="312" w:lineRule="auto"/>
        <w:ind w:left="1530"/>
        <w:rPr>
          <w:rFonts w:hint="eastAsia"/>
        </w:rPr>
      </w:pPr>
      <w:r>
        <w:rPr>
          <w:rFonts w:hint="eastAsia"/>
        </w:rPr>
        <w:t>措施</w:t>
      </w:r>
      <w:r>
        <w:rPr>
          <w:rFonts w:hint="eastAsia"/>
        </w:rPr>
        <w:t>4</w:t>
      </w:r>
      <w:r>
        <w:rPr>
          <w:rFonts w:hint="eastAsia"/>
        </w:rPr>
        <w:t>：移动人口临时住房基础结构安排；</w:t>
      </w:r>
    </w:p>
    <w:p w:rsidR="00000000" w:rsidRDefault="00000000">
      <w:pPr>
        <w:pStyle w:val="a0"/>
        <w:tabs>
          <w:tab w:val="clear" w:pos="510"/>
        </w:tabs>
        <w:spacing w:line="312" w:lineRule="auto"/>
        <w:ind w:left="2040"/>
        <w:rPr>
          <w:rFonts w:hint="eastAsia"/>
        </w:rPr>
      </w:pPr>
      <w:r>
        <w:rPr>
          <w:rFonts w:hint="eastAsia"/>
        </w:rPr>
        <w:t>分措施</w:t>
      </w:r>
      <w:r>
        <w:rPr>
          <w:rFonts w:hint="eastAsia"/>
        </w:rPr>
        <w:t>4.1</w:t>
      </w:r>
      <w:r>
        <w:rPr>
          <w:rFonts w:hint="eastAsia"/>
        </w:rPr>
        <w:t>：土地购置</w:t>
      </w:r>
      <w:r>
        <w:rPr>
          <w:rFonts w:hint="eastAsia"/>
        </w:rPr>
        <w:t>/</w:t>
      </w:r>
      <w:r>
        <w:rPr>
          <w:rFonts w:hint="eastAsia"/>
        </w:rPr>
        <w:t>供应；</w:t>
      </w:r>
    </w:p>
    <w:p w:rsidR="00000000" w:rsidRDefault="00000000">
      <w:pPr>
        <w:pStyle w:val="a0"/>
        <w:tabs>
          <w:tab w:val="clear" w:pos="510"/>
        </w:tabs>
        <w:spacing w:line="312" w:lineRule="auto"/>
        <w:ind w:left="2040"/>
        <w:rPr>
          <w:rFonts w:hint="eastAsia"/>
        </w:rPr>
      </w:pPr>
      <w:r>
        <w:rPr>
          <w:rFonts w:hint="eastAsia"/>
        </w:rPr>
        <w:t>分措施</w:t>
      </w:r>
      <w:r>
        <w:rPr>
          <w:rFonts w:hint="eastAsia"/>
        </w:rPr>
        <w:t>4.2</w:t>
      </w:r>
      <w:r>
        <w:rPr>
          <w:rFonts w:hint="eastAsia"/>
        </w:rPr>
        <w:t>：基础结构网</w:t>
      </w:r>
      <w:r>
        <w:rPr>
          <w:rFonts w:hint="eastAsia"/>
          <w:spacing w:val="-50"/>
        </w:rPr>
        <w:t>―</w:t>
      </w:r>
      <w:r>
        <w:rPr>
          <w:rFonts w:hint="eastAsia"/>
        </w:rPr>
        <w:t>―风景工程；</w:t>
      </w:r>
    </w:p>
    <w:p w:rsidR="00000000" w:rsidRDefault="00000000">
      <w:pPr>
        <w:pStyle w:val="a0"/>
        <w:tabs>
          <w:tab w:val="clear" w:pos="510"/>
        </w:tabs>
        <w:spacing w:after="320" w:line="312" w:lineRule="auto"/>
        <w:ind w:left="2040"/>
        <w:rPr>
          <w:rFonts w:hint="eastAsia"/>
        </w:rPr>
      </w:pPr>
      <w:r>
        <w:rPr>
          <w:rFonts w:hint="eastAsia"/>
        </w:rPr>
        <w:t>分措施</w:t>
      </w:r>
      <w:r>
        <w:rPr>
          <w:rFonts w:hint="eastAsia"/>
        </w:rPr>
        <w:t>4.3</w:t>
      </w:r>
      <w:r>
        <w:rPr>
          <w:rFonts w:hint="eastAsia"/>
        </w:rPr>
        <w:t>：社区服务基础结构建设。</w:t>
      </w:r>
    </w:p>
    <w:p w:rsidR="00000000" w:rsidRDefault="00000000">
      <w:pPr>
        <w:pStyle w:val="Heading4"/>
        <w:rPr>
          <w:rFonts w:ascii="Time New Roman" w:hAnsi="Time New Roman" w:hint="eastAsia"/>
          <w:u w:val="words"/>
        </w:rPr>
      </w:pPr>
      <w:r>
        <w:rPr>
          <w:rFonts w:ascii="Time New Roman" w:hAnsi="Time New Roman" w:hint="eastAsia"/>
          <w:u w:val="words"/>
        </w:rPr>
        <w:t>返回希腊人住房正常化方案</w:t>
      </w:r>
    </w:p>
    <w:p w:rsidR="00000000" w:rsidRDefault="00000000">
      <w:pPr>
        <w:rPr>
          <w:rFonts w:hint="eastAsia"/>
        </w:rPr>
      </w:pPr>
      <w:r>
        <w:rPr>
          <w:rFonts w:hint="eastAsia"/>
        </w:rPr>
        <w:tab/>
        <w:t xml:space="preserve">392.  </w:t>
      </w:r>
      <w:r>
        <w:rPr>
          <w:rFonts w:hint="eastAsia"/>
        </w:rPr>
        <w:t>自</w:t>
      </w:r>
      <w:r>
        <w:rPr>
          <w:rFonts w:hint="eastAsia"/>
        </w:rPr>
        <w:t>1980</w:t>
      </w:r>
      <w:r>
        <w:rPr>
          <w:rFonts w:hint="eastAsia"/>
        </w:rPr>
        <w:t>年代后期以来，希腊面临着一个更严重的问题，即来自前苏联各国的希腊返回者大移民潮。在仍在继续的这次移民潮中，约有</w:t>
      </w:r>
      <w:r>
        <w:rPr>
          <w:rFonts w:hint="eastAsia"/>
        </w:rPr>
        <w:t>148,000</w:t>
      </w:r>
      <w:r>
        <w:rPr>
          <w:rFonts w:hint="eastAsia"/>
        </w:rPr>
        <w:t>希腊人返回希腊永久定居。</w:t>
      </w:r>
    </w:p>
    <w:p w:rsidR="00000000" w:rsidRDefault="00000000">
      <w:pPr>
        <w:rPr>
          <w:rFonts w:hint="eastAsia"/>
        </w:rPr>
      </w:pPr>
      <w:r>
        <w:rPr>
          <w:rFonts w:hint="eastAsia"/>
        </w:rPr>
        <w:tab/>
        <w:t xml:space="preserve">393.  </w:t>
      </w:r>
      <w:r>
        <w:rPr>
          <w:rFonts w:hint="eastAsia"/>
        </w:rPr>
        <w:t>为解决这一问题，</w:t>
      </w:r>
      <w:r>
        <w:rPr>
          <w:rFonts w:hint="eastAsia"/>
        </w:rPr>
        <w:t>1990</w:t>
      </w:r>
      <w:r>
        <w:rPr>
          <w:rFonts w:hint="eastAsia"/>
        </w:rPr>
        <w:t>年设立了希腊返回者接待和恢复正常生活基金会</w:t>
      </w:r>
      <w:r>
        <w:rPr>
          <w:rFonts w:hint="eastAsia"/>
        </w:rPr>
        <w:t>(</w:t>
      </w:r>
      <w:r>
        <w:rPr>
          <w:rFonts w:hint="eastAsia"/>
        </w:rPr>
        <w:t>返回者基金会</w:t>
      </w:r>
      <w:r>
        <w:rPr>
          <w:rFonts w:hint="eastAsia"/>
        </w:rPr>
        <w:t>)</w:t>
      </w:r>
      <w:r>
        <w:rPr>
          <w:rFonts w:hint="eastAsia"/>
        </w:rPr>
        <w:t>。返回者基金会的任务是接待、收容和支援返回的希腊人，帮助他们顺利适应和融入希腊社会、劳动市场和经济生活。融合方案分三个阶段：接待、临时收容和眼前福利</w:t>
      </w:r>
      <w:r>
        <w:rPr>
          <w:rFonts w:hint="eastAsia"/>
        </w:rPr>
        <w:t>(</w:t>
      </w:r>
      <w:r>
        <w:rPr>
          <w:rFonts w:hint="eastAsia"/>
        </w:rPr>
        <w:t>第一阶段</w:t>
      </w:r>
      <w:r>
        <w:rPr>
          <w:rFonts w:hint="eastAsia"/>
        </w:rPr>
        <w:t>)</w:t>
      </w:r>
      <w:r>
        <w:rPr>
          <w:rFonts w:hint="eastAsia"/>
        </w:rPr>
        <w:t>，准备和社会融合</w:t>
      </w:r>
      <w:r>
        <w:rPr>
          <w:rFonts w:hint="eastAsia"/>
        </w:rPr>
        <w:t>(</w:t>
      </w:r>
      <w:r>
        <w:rPr>
          <w:rFonts w:hint="eastAsia"/>
        </w:rPr>
        <w:t>第二阶段</w:t>
      </w:r>
      <w:r>
        <w:rPr>
          <w:rFonts w:hint="eastAsia"/>
        </w:rPr>
        <w:t>)</w:t>
      </w:r>
      <w:r>
        <w:rPr>
          <w:rFonts w:hint="eastAsia"/>
        </w:rPr>
        <w:t>和长久定居</w:t>
      </w:r>
      <w:r>
        <w:rPr>
          <w:rFonts w:hint="eastAsia"/>
        </w:rPr>
        <w:t>(</w:t>
      </w:r>
      <w:r>
        <w:rPr>
          <w:rFonts w:hint="eastAsia"/>
        </w:rPr>
        <w:t>第三阶段</w:t>
      </w:r>
      <w:r>
        <w:rPr>
          <w:rFonts w:hint="eastAsia"/>
        </w:rPr>
        <w:t>)</w:t>
      </w:r>
      <w:r>
        <w:rPr>
          <w:rFonts w:hint="eastAsia"/>
        </w:rPr>
        <w:t>。</w:t>
      </w:r>
    </w:p>
    <w:p w:rsidR="00000000" w:rsidRDefault="00000000">
      <w:pPr>
        <w:rPr>
          <w:rFonts w:hint="eastAsia"/>
        </w:rPr>
      </w:pPr>
      <w:r>
        <w:rPr>
          <w:rFonts w:hint="eastAsia"/>
        </w:rPr>
        <w:tab/>
        <w:t xml:space="preserve">394.  </w:t>
      </w:r>
      <w:r>
        <w:rPr>
          <w:rFonts w:hint="eastAsia"/>
        </w:rPr>
        <w:t>在第一个过渡时期之后，</w:t>
      </w:r>
      <w:r>
        <w:rPr>
          <w:rFonts w:hint="eastAsia"/>
        </w:rPr>
        <w:t>2000</w:t>
      </w:r>
      <w:r>
        <w:rPr>
          <w:rFonts w:hint="eastAsia"/>
        </w:rPr>
        <w:t>年</w:t>
      </w:r>
      <w:r>
        <w:rPr>
          <w:rFonts w:hint="eastAsia"/>
        </w:rPr>
        <w:t>2</w:t>
      </w:r>
      <w:r>
        <w:rPr>
          <w:rFonts w:hint="eastAsia"/>
        </w:rPr>
        <w:t>月颁布了名为“从前苏联返回的希腊人恢复正常生活”的第</w:t>
      </w:r>
      <w:r>
        <w:rPr>
          <w:rFonts w:hint="eastAsia"/>
        </w:rPr>
        <w:t>2790/2000</w:t>
      </w:r>
      <w:r>
        <w:rPr>
          <w:rFonts w:hint="eastAsia"/>
        </w:rPr>
        <w:t>号法律。这项法律规定了获得希腊国籍的条件和程序，并为这些人的教育、恢复就业和长久住房问题作出了规定。</w:t>
      </w:r>
    </w:p>
    <w:p w:rsidR="00000000" w:rsidRDefault="00000000">
      <w:pPr>
        <w:rPr>
          <w:rFonts w:hint="eastAsia"/>
        </w:rPr>
      </w:pPr>
      <w:r>
        <w:rPr>
          <w:rFonts w:hint="eastAsia"/>
        </w:rPr>
        <w:tab/>
        <w:t xml:space="preserve">395.  </w:t>
      </w:r>
      <w:r>
        <w:rPr>
          <w:rFonts w:hint="eastAsia"/>
        </w:rPr>
        <w:t>最近，根据按第</w:t>
      </w:r>
      <w:r>
        <w:rPr>
          <w:rFonts w:hint="eastAsia"/>
        </w:rPr>
        <w:t>2790/2000</w:t>
      </w:r>
      <w:r>
        <w:rPr>
          <w:rFonts w:hint="eastAsia"/>
        </w:rPr>
        <w:t>号法律成立的返回者社会融合协调和监督行动特别委员会的决定，为使从前苏联返回的希腊人恢复正常生活，国家制定了综合行动方案，其中一部分涉及他们的住房正常化问题。具体而言，上述法律</w:t>
      </w:r>
      <w:r>
        <w:rPr>
          <w:rFonts w:hint="eastAsia"/>
        </w:rPr>
        <w:t>C</w:t>
      </w:r>
      <w:r>
        <w:rPr>
          <w:rFonts w:hint="eastAsia"/>
        </w:rPr>
        <w:t>章规定了住房正常化政策：免费提供土地、免费发放建设许可、提供贷款和补贴，提供住房设计。</w:t>
      </w:r>
    </w:p>
    <w:p w:rsidR="00000000" w:rsidRDefault="00000000">
      <w:pPr>
        <w:rPr>
          <w:rFonts w:hint="eastAsia"/>
        </w:rPr>
      </w:pPr>
      <w:r>
        <w:rPr>
          <w:rFonts w:hint="eastAsia"/>
        </w:rPr>
        <w:tab/>
        <w:t xml:space="preserve">396.  </w:t>
      </w:r>
      <w:r>
        <w:rPr>
          <w:rFonts w:hint="eastAsia"/>
        </w:rPr>
        <w:t>行动方案草案规定了</w:t>
      </w:r>
      <w:r>
        <w:rPr>
          <w:rFonts w:hint="eastAsia"/>
        </w:rPr>
        <w:t>2002-2008</w:t>
      </w:r>
      <w:r>
        <w:rPr>
          <w:rFonts w:hint="eastAsia"/>
        </w:rPr>
        <w:t>六年的政策质量和数量目标，确定了落实这些目标的战略，其中和住房一起考虑到所有其他参数，以确保为返回者的社会融合提供必要条件。</w:t>
      </w:r>
    </w:p>
    <w:p w:rsidR="00000000" w:rsidRDefault="00000000">
      <w:pPr>
        <w:rPr>
          <w:rFonts w:hint="eastAsia"/>
        </w:rPr>
      </w:pPr>
      <w:r>
        <w:rPr>
          <w:rFonts w:hint="eastAsia"/>
        </w:rPr>
        <w:tab/>
        <w:t xml:space="preserve">397.  </w:t>
      </w:r>
      <w:r>
        <w:rPr>
          <w:rFonts w:hint="eastAsia"/>
        </w:rPr>
        <w:t>行动方案有两个优先方面。第一个优先方面涉及住房，第二个优先方面涉及服务</w:t>
      </w:r>
      <w:r>
        <w:rPr>
          <w:rFonts w:hint="eastAsia"/>
        </w:rPr>
        <w:t>(</w:t>
      </w:r>
      <w:r>
        <w:rPr>
          <w:rFonts w:hint="eastAsia"/>
        </w:rPr>
        <w:t>就业、教育、文化和体育</w:t>
      </w:r>
      <w:r>
        <w:rPr>
          <w:rFonts w:hint="eastAsia"/>
        </w:rPr>
        <w:t>)</w:t>
      </w:r>
      <w:r>
        <w:rPr>
          <w:rFonts w:hint="eastAsia"/>
        </w:rPr>
        <w:t>。</w:t>
      </w:r>
    </w:p>
    <w:p w:rsidR="00000000" w:rsidRDefault="00000000">
      <w:pPr>
        <w:rPr>
          <w:rFonts w:hint="eastAsia"/>
        </w:rPr>
      </w:pPr>
      <w:r>
        <w:rPr>
          <w:rFonts w:hint="eastAsia"/>
        </w:rPr>
        <w:tab/>
        <w:t xml:space="preserve">398.  </w:t>
      </w:r>
      <w:r>
        <w:rPr>
          <w:rFonts w:hint="eastAsia"/>
        </w:rPr>
        <w:t>第一个优先方面的目的是解决返回者的住房问题，包括一系列考虑到不同住房需要和住区的措施与行动。第一个优先方面的主要目标如下：</w:t>
      </w:r>
    </w:p>
    <w:p w:rsidR="00000000" w:rsidRDefault="00000000">
      <w:pPr>
        <w:pStyle w:val="a0"/>
        <w:tabs>
          <w:tab w:val="num" w:pos="1550"/>
        </w:tabs>
        <w:ind w:left="1550"/>
        <w:rPr>
          <w:rFonts w:hint="eastAsia"/>
        </w:rPr>
      </w:pPr>
      <w:r>
        <w:rPr>
          <w:rFonts w:hint="eastAsia"/>
        </w:rPr>
        <w:t>落实城市和小住区可持续发展的国家政策，从而履行希腊在欧洲委员会和国际上所作有关承诺；</w:t>
      </w:r>
    </w:p>
    <w:p w:rsidR="00000000" w:rsidRDefault="00000000">
      <w:pPr>
        <w:pStyle w:val="a0"/>
        <w:tabs>
          <w:tab w:val="num" w:pos="1550"/>
        </w:tabs>
        <w:ind w:left="1550"/>
        <w:rPr>
          <w:rFonts w:hint="eastAsia"/>
        </w:rPr>
      </w:pPr>
      <w:r>
        <w:rPr>
          <w:rFonts w:hint="eastAsia"/>
        </w:rPr>
        <w:t>使目标群体顺利融入目前的社会和城市结构，避免被排斥和边缘化；</w:t>
      </w:r>
    </w:p>
    <w:p w:rsidR="00000000" w:rsidRDefault="00000000">
      <w:pPr>
        <w:pStyle w:val="a0"/>
        <w:tabs>
          <w:tab w:val="num" w:pos="1550"/>
        </w:tabs>
        <w:ind w:left="1550"/>
        <w:rPr>
          <w:rFonts w:hint="eastAsia"/>
        </w:rPr>
      </w:pPr>
      <w:r>
        <w:rPr>
          <w:rFonts w:hint="eastAsia"/>
        </w:rPr>
        <w:t>提供起码标准的住房和生活卫生条件；</w:t>
      </w:r>
    </w:p>
    <w:p w:rsidR="00000000" w:rsidRDefault="00000000">
      <w:pPr>
        <w:pStyle w:val="a0"/>
        <w:tabs>
          <w:tab w:val="num" w:pos="1550"/>
        </w:tabs>
        <w:ind w:left="1550"/>
        <w:rPr>
          <w:rFonts w:hint="eastAsia"/>
        </w:rPr>
      </w:pPr>
      <w:r>
        <w:rPr>
          <w:rFonts w:hint="eastAsia"/>
        </w:rPr>
        <w:t>为改善目标人口和周围社会的生活条件，改善人文和自然环境；</w:t>
      </w:r>
    </w:p>
    <w:p w:rsidR="00000000" w:rsidRDefault="00000000">
      <w:pPr>
        <w:pStyle w:val="a0"/>
        <w:tabs>
          <w:tab w:val="num" w:pos="1550"/>
        </w:tabs>
        <w:ind w:left="1550"/>
        <w:rPr>
          <w:rFonts w:hint="eastAsia"/>
        </w:rPr>
      </w:pPr>
      <w:r>
        <w:rPr>
          <w:rFonts w:hint="eastAsia"/>
        </w:rPr>
        <w:t>确保新的和现有住区与城市的社会和空间联系，保证满足紧迫生活需要。</w:t>
      </w:r>
    </w:p>
    <w:p w:rsidR="00000000" w:rsidRDefault="00000000">
      <w:pPr>
        <w:rPr>
          <w:rFonts w:hint="eastAsia"/>
        </w:rPr>
      </w:pPr>
      <w:r>
        <w:rPr>
          <w:rFonts w:hint="eastAsia"/>
        </w:rPr>
        <w:tab/>
        <w:t xml:space="preserve">399.  </w:t>
      </w:r>
      <w:r>
        <w:rPr>
          <w:rFonts w:hint="eastAsia"/>
        </w:rPr>
        <w:t>计划通过下列措施实现第一个优先方面的目标：</w:t>
      </w:r>
    </w:p>
    <w:p w:rsidR="00000000" w:rsidRDefault="00000000">
      <w:pPr>
        <w:pStyle w:val="a0"/>
        <w:tabs>
          <w:tab w:val="clear" w:pos="510"/>
        </w:tabs>
        <w:ind w:left="1530"/>
        <w:rPr>
          <w:rFonts w:hint="eastAsia"/>
        </w:rPr>
      </w:pPr>
      <w:r>
        <w:rPr>
          <w:rFonts w:hint="eastAsia"/>
        </w:rPr>
        <w:t>措施</w:t>
      </w:r>
      <w:r>
        <w:rPr>
          <w:rFonts w:hint="eastAsia"/>
        </w:rPr>
        <w:t>1</w:t>
      </w:r>
      <w:r>
        <w:rPr>
          <w:rFonts w:hint="eastAsia"/>
        </w:rPr>
        <w:t>：改善现有住区；</w:t>
      </w:r>
    </w:p>
    <w:p w:rsidR="00000000" w:rsidRDefault="00000000">
      <w:pPr>
        <w:pStyle w:val="a0"/>
        <w:tabs>
          <w:tab w:val="num" w:pos="2070"/>
        </w:tabs>
        <w:ind w:left="2070"/>
        <w:rPr>
          <w:rFonts w:hint="eastAsia"/>
        </w:rPr>
      </w:pPr>
      <w:r>
        <w:rPr>
          <w:rFonts w:hint="eastAsia"/>
        </w:rPr>
        <w:t>分措施</w:t>
      </w:r>
      <w:r>
        <w:rPr>
          <w:rFonts w:hint="eastAsia"/>
        </w:rPr>
        <w:t>1.1</w:t>
      </w:r>
      <w:r>
        <w:rPr>
          <w:rFonts w:hint="eastAsia"/>
        </w:rPr>
        <w:t>：对目前情况进行研究，确定需要的工程；</w:t>
      </w:r>
    </w:p>
    <w:p w:rsidR="00000000" w:rsidRDefault="00000000">
      <w:pPr>
        <w:pStyle w:val="a0"/>
        <w:tabs>
          <w:tab w:val="num" w:pos="2070"/>
        </w:tabs>
        <w:ind w:left="2070"/>
        <w:rPr>
          <w:rFonts w:hint="eastAsia"/>
        </w:rPr>
      </w:pPr>
      <w:r>
        <w:rPr>
          <w:rFonts w:hint="eastAsia"/>
        </w:rPr>
        <w:t>分措施</w:t>
      </w:r>
      <w:r>
        <w:rPr>
          <w:rFonts w:hint="eastAsia"/>
        </w:rPr>
        <w:t>1.2</w:t>
      </w:r>
      <w:r>
        <w:rPr>
          <w:rFonts w:hint="eastAsia"/>
        </w:rPr>
        <w:t>：改善现有住宅；</w:t>
      </w:r>
    </w:p>
    <w:p w:rsidR="00000000" w:rsidRDefault="00000000">
      <w:pPr>
        <w:pStyle w:val="a0"/>
        <w:tabs>
          <w:tab w:val="num" w:pos="2070"/>
        </w:tabs>
        <w:ind w:left="2070"/>
        <w:rPr>
          <w:rFonts w:hint="eastAsia"/>
        </w:rPr>
      </w:pPr>
      <w:r>
        <w:rPr>
          <w:rFonts w:hint="eastAsia"/>
        </w:rPr>
        <w:t>分措施</w:t>
      </w:r>
      <w:r>
        <w:rPr>
          <w:rFonts w:hint="eastAsia"/>
        </w:rPr>
        <w:t>1.3</w:t>
      </w:r>
      <w:r>
        <w:rPr>
          <w:rFonts w:hint="eastAsia"/>
        </w:rPr>
        <w:t>：改善</w:t>
      </w:r>
      <w:r>
        <w:rPr>
          <w:rFonts w:hint="eastAsia"/>
        </w:rPr>
        <w:t>/</w:t>
      </w:r>
      <w:r>
        <w:rPr>
          <w:rFonts w:hint="eastAsia"/>
        </w:rPr>
        <w:t>完成现有社区基础结构</w:t>
      </w:r>
      <w:r>
        <w:rPr>
          <w:rFonts w:hint="eastAsia"/>
        </w:rPr>
        <w:t>(</w:t>
      </w:r>
      <w:r>
        <w:rPr>
          <w:rFonts w:hint="eastAsia"/>
        </w:rPr>
        <w:t>污水处理和供水网，道路基础设施</w:t>
      </w:r>
      <w:r>
        <w:rPr>
          <w:rFonts w:hint="eastAsia"/>
        </w:rPr>
        <w:t>)</w:t>
      </w:r>
      <w:r>
        <w:rPr>
          <w:rFonts w:hint="eastAsia"/>
        </w:rPr>
        <w:t>；</w:t>
      </w:r>
    </w:p>
    <w:p w:rsidR="00000000" w:rsidRDefault="00000000">
      <w:pPr>
        <w:pStyle w:val="a0"/>
        <w:tabs>
          <w:tab w:val="num" w:pos="2070"/>
        </w:tabs>
        <w:ind w:left="2070"/>
        <w:rPr>
          <w:rFonts w:hint="eastAsia"/>
        </w:rPr>
      </w:pPr>
      <w:r>
        <w:rPr>
          <w:rFonts w:hint="eastAsia"/>
        </w:rPr>
        <w:t>分措施</w:t>
      </w:r>
      <w:r>
        <w:rPr>
          <w:rFonts w:hint="eastAsia"/>
        </w:rPr>
        <w:t>1.4</w:t>
      </w:r>
      <w:r>
        <w:rPr>
          <w:rFonts w:hint="eastAsia"/>
        </w:rPr>
        <w:t>：城市和空间规划安排；</w:t>
      </w:r>
    </w:p>
    <w:p w:rsidR="00000000" w:rsidRDefault="00000000">
      <w:pPr>
        <w:pStyle w:val="a0"/>
        <w:tabs>
          <w:tab w:val="clear" w:pos="510"/>
        </w:tabs>
        <w:ind w:left="1530"/>
        <w:rPr>
          <w:rFonts w:hint="eastAsia"/>
        </w:rPr>
      </w:pPr>
      <w:r>
        <w:rPr>
          <w:rFonts w:hint="eastAsia"/>
        </w:rPr>
        <w:t>措施</w:t>
      </w:r>
      <w:r>
        <w:rPr>
          <w:rFonts w:hint="eastAsia"/>
        </w:rPr>
        <w:t>2</w:t>
      </w:r>
      <w:r>
        <w:rPr>
          <w:rFonts w:hint="eastAsia"/>
        </w:rPr>
        <w:t>：支援住房供应；</w:t>
      </w:r>
    </w:p>
    <w:p w:rsidR="00000000" w:rsidRDefault="00000000">
      <w:pPr>
        <w:pStyle w:val="a0"/>
        <w:tabs>
          <w:tab w:val="clear" w:pos="510"/>
        </w:tabs>
        <w:ind w:left="2040"/>
        <w:rPr>
          <w:rFonts w:hint="eastAsia"/>
        </w:rPr>
      </w:pPr>
      <w:r>
        <w:rPr>
          <w:rFonts w:hint="eastAsia"/>
        </w:rPr>
        <w:t>措施</w:t>
      </w:r>
      <w:r>
        <w:rPr>
          <w:rFonts w:hint="eastAsia"/>
        </w:rPr>
        <w:t>2.1</w:t>
      </w:r>
      <w:r>
        <w:rPr>
          <w:rFonts w:hint="eastAsia"/>
        </w:rPr>
        <w:t>：城市和物质规划；</w:t>
      </w:r>
    </w:p>
    <w:p w:rsidR="00000000" w:rsidRDefault="00000000">
      <w:pPr>
        <w:pStyle w:val="a0"/>
        <w:tabs>
          <w:tab w:val="clear" w:pos="510"/>
        </w:tabs>
        <w:ind w:left="2040"/>
        <w:rPr>
          <w:rFonts w:hint="eastAsia"/>
        </w:rPr>
      </w:pPr>
      <w:r>
        <w:rPr>
          <w:rFonts w:hint="eastAsia"/>
        </w:rPr>
        <w:t>措施</w:t>
      </w:r>
      <w:r>
        <w:rPr>
          <w:rFonts w:hint="eastAsia"/>
        </w:rPr>
        <w:t>2.2</w:t>
      </w:r>
      <w:r>
        <w:rPr>
          <w:rFonts w:hint="eastAsia"/>
        </w:rPr>
        <w:t>：发展新住区；</w:t>
      </w:r>
    </w:p>
    <w:p w:rsidR="00000000" w:rsidRDefault="00000000">
      <w:pPr>
        <w:pStyle w:val="a0"/>
        <w:tabs>
          <w:tab w:val="clear" w:pos="510"/>
        </w:tabs>
        <w:ind w:left="2040"/>
        <w:rPr>
          <w:rFonts w:hint="eastAsia"/>
        </w:rPr>
      </w:pPr>
      <w:r>
        <w:rPr>
          <w:rFonts w:hint="eastAsia"/>
        </w:rPr>
        <w:t>措施</w:t>
      </w:r>
      <w:r>
        <w:rPr>
          <w:rFonts w:hint="eastAsia"/>
        </w:rPr>
        <w:t>2.3</w:t>
      </w:r>
      <w:r>
        <w:rPr>
          <w:rFonts w:hint="eastAsia"/>
        </w:rPr>
        <w:t>：在现有住区中购买住宅；</w:t>
      </w:r>
    </w:p>
    <w:p w:rsidR="00000000" w:rsidRDefault="00000000">
      <w:pPr>
        <w:pStyle w:val="a0"/>
        <w:tabs>
          <w:tab w:val="clear" w:pos="510"/>
        </w:tabs>
        <w:ind w:left="1530"/>
        <w:rPr>
          <w:rFonts w:hint="eastAsia"/>
        </w:rPr>
      </w:pPr>
      <w:r>
        <w:rPr>
          <w:rFonts w:hint="eastAsia"/>
        </w:rPr>
        <w:t>措施</w:t>
      </w:r>
      <w:r>
        <w:rPr>
          <w:rFonts w:hint="eastAsia"/>
        </w:rPr>
        <w:t>3</w:t>
      </w:r>
      <w:r>
        <w:rPr>
          <w:rFonts w:hint="eastAsia"/>
        </w:rPr>
        <w:t>：支援行动；</w:t>
      </w:r>
    </w:p>
    <w:p w:rsidR="00000000" w:rsidRDefault="00000000">
      <w:pPr>
        <w:pStyle w:val="a0"/>
        <w:tabs>
          <w:tab w:val="clear" w:pos="510"/>
        </w:tabs>
        <w:ind w:left="2040"/>
        <w:rPr>
          <w:rFonts w:hint="eastAsia"/>
        </w:rPr>
      </w:pPr>
      <w:r>
        <w:rPr>
          <w:rFonts w:hint="eastAsia"/>
        </w:rPr>
        <w:t>措施</w:t>
      </w:r>
      <w:r>
        <w:rPr>
          <w:rFonts w:hint="eastAsia"/>
        </w:rPr>
        <w:t>3.1</w:t>
      </w:r>
      <w:r>
        <w:rPr>
          <w:rFonts w:hint="eastAsia"/>
        </w:rPr>
        <w:t>：成立土地银行；</w:t>
      </w:r>
    </w:p>
    <w:p w:rsidR="00000000" w:rsidRDefault="00000000">
      <w:pPr>
        <w:pStyle w:val="a0"/>
        <w:tabs>
          <w:tab w:val="clear" w:pos="510"/>
        </w:tabs>
        <w:spacing w:after="320"/>
        <w:ind w:left="2040"/>
        <w:rPr>
          <w:rFonts w:hint="eastAsia"/>
        </w:rPr>
      </w:pPr>
      <w:r>
        <w:rPr>
          <w:rFonts w:hint="eastAsia"/>
        </w:rPr>
        <w:t>措施</w:t>
      </w:r>
      <w:r>
        <w:rPr>
          <w:rFonts w:hint="eastAsia"/>
        </w:rPr>
        <w:t>3.2</w:t>
      </w:r>
      <w:r>
        <w:rPr>
          <w:rFonts w:hint="eastAsia"/>
        </w:rPr>
        <w:t>：专门知识。</w:t>
      </w:r>
    </w:p>
    <w:p w:rsidR="00000000" w:rsidRDefault="00000000">
      <w:pPr>
        <w:pStyle w:val="Heading4"/>
        <w:rPr>
          <w:rFonts w:ascii="Time New Roman" w:hAnsi="Time New Roman" w:hint="eastAsia"/>
          <w:u w:val="words"/>
        </w:rPr>
      </w:pPr>
      <w:r>
        <w:rPr>
          <w:rFonts w:ascii="Time New Roman" w:hAnsi="Time New Roman" w:hint="eastAsia"/>
          <w:u w:val="words"/>
        </w:rPr>
        <w:t>为</w:t>
      </w:r>
      <w:r>
        <w:rPr>
          <w:rFonts w:ascii="Time New Roman" w:hAnsi="Time New Roman" w:hint="eastAsia"/>
          <w:u w:val="words"/>
        </w:rPr>
        <w:t>1999</w:t>
      </w:r>
      <w:r>
        <w:rPr>
          <w:rFonts w:ascii="Time New Roman" w:hAnsi="Time New Roman" w:hint="eastAsia"/>
          <w:u w:val="words"/>
        </w:rPr>
        <w:t>年雅典地震受害者提供住所的方案</w:t>
      </w:r>
    </w:p>
    <w:p w:rsidR="00000000" w:rsidRDefault="00000000">
      <w:pPr>
        <w:rPr>
          <w:rFonts w:hint="eastAsia"/>
        </w:rPr>
      </w:pPr>
      <w:r>
        <w:rPr>
          <w:rFonts w:hint="eastAsia"/>
        </w:rPr>
        <w:tab/>
        <w:t>400.  1999</w:t>
      </w:r>
      <w:r>
        <w:rPr>
          <w:rFonts w:hint="eastAsia"/>
        </w:rPr>
        <w:t>年</w:t>
      </w:r>
      <w:r>
        <w:rPr>
          <w:rFonts w:hint="eastAsia"/>
        </w:rPr>
        <w:t>9</w:t>
      </w:r>
      <w:r>
        <w:rPr>
          <w:rFonts w:hint="eastAsia"/>
        </w:rPr>
        <w:t>月</w:t>
      </w:r>
      <w:r>
        <w:rPr>
          <w:rFonts w:hint="eastAsia"/>
        </w:rPr>
        <w:t>7</w:t>
      </w:r>
      <w:r>
        <w:rPr>
          <w:rFonts w:hint="eastAsia"/>
        </w:rPr>
        <w:t>日雅典地区发生的地震给接近震中的许多市区造成严重后果，也给</w:t>
      </w:r>
      <w:r>
        <w:t>Attica</w:t>
      </w:r>
      <w:r>
        <w:rPr>
          <w:rFonts w:hint="eastAsia"/>
        </w:rPr>
        <w:t>的一些地区和</w:t>
      </w:r>
      <w:r>
        <w:t>Viotia</w:t>
      </w:r>
      <w:r>
        <w:rPr>
          <w:rFonts w:hint="eastAsia"/>
        </w:rPr>
        <w:t>的边远地区造成严重损害。在被宣布为地震灾区的</w:t>
      </w:r>
      <w:r>
        <w:rPr>
          <w:rFonts w:hint="eastAsia"/>
        </w:rPr>
        <w:t>100</w:t>
      </w:r>
      <w:r>
        <w:rPr>
          <w:rFonts w:hint="eastAsia"/>
        </w:rPr>
        <w:t>个市区和社区中使</w:t>
      </w:r>
      <w:r>
        <w:rPr>
          <w:rFonts w:hint="eastAsia"/>
        </w:rPr>
        <w:t>90,000</w:t>
      </w:r>
      <w:r>
        <w:rPr>
          <w:rFonts w:hint="eastAsia"/>
        </w:rPr>
        <w:t>人无家可归。</w:t>
      </w:r>
    </w:p>
    <w:p w:rsidR="00000000" w:rsidRDefault="00000000">
      <w:pPr>
        <w:rPr>
          <w:rFonts w:hint="eastAsia"/>
        </w:rPr>
      </w:pPr>
      <w:r>
        <w:rPr>
          <w:rFonts w:hint="eastAsia"/>
        </w:rPr>
        <w:tab/>
        <w:t xml:space="preserve">401.  </w:t>
      </w:r>
      <w:r>
        <w:rPr>
          <w:rFonts w:hint="eastAsia"/>
        </w:rPr>
        <w:t>各地的住房广泛受到严重破坏。倒塌的建筑多达</w:t>
      </w:r>
      <w:r>
        <w:rPr>
          <w:rFonts w:hint="eastAsia"/>
        </w:rPr>
        <w:t>32</w:t>
      </w:r>
      <w:r>
        <w:rPr>
          <w:rFonts w:hint="eastAsia"/>
        </w:rPr>
        <w:t>座，其中有不少大工厂的建筑，死亡事件多数发生在那里</w:t>
      </w:r>
      <w:r>
        <w:rPr>
          <w:rFonts w:hint="eastAsia"/>
        </w:rPr>
        <w:t>(143</w:t>
      </w:r>
      <w:r>
        <w:rPr>
          <w:rFonts w:hint="eastAsia"/>
        </w:rPr>
        <w:t>人死亡</w:t>
      </w:r>
      <w:r>
        <w:rPr>
          <w:rFonts w:hint="eastAsia"/>
        </w:rPr>
        <w:t>)</w:t>
      </w:r>
      <w:r>
        <w:rPr>
          <w:rFonts w:hint="eastAsia"/>
        </w:rPr>
        <w:t>。</w:t>
      </w:r>
      <w:r>
        <w:rPr>
          <w:rFonts w:hint="eastAsia"/>
        </w:rPr>
        <w:t>4,682</w:t>
      </w:r>
      <w:r>
        <w:rPr>
          <w:rFonts w:hint="eastAsia"/>
        </w:rPr>
        <w:t>座建筑受到不可修复的严重破坏，被宣布为居住不安全和待命拆毁。另有</w:t>
      </w:r>
      <w:r>
        <w:rPr>
          <w:rFonts w:hint="eastAsia"/>
        </w:rPr>
        <w:t>38,165</w:t>
      </w:r>
      <w:r>
        <w:rPr>
          <w:rFonts w:hint="eastAsia"/>
        </w:rPr>
        <w:t>座建筑遭受但可修复的破坏，被宣布为暂时不安全</w:t>
      </w:r>
      <w:r>
        <w:rPr>
          <w:rFonts w:hint="eastAsia"/>
        </w:rPr>
        <w:t>(</w:t>
      </w:r>
      <w:r>
        <w:rPr>
          <w:rFonts w:hint="eastAsia"/>
        </w:rPr>
        <w:t>在修复之前</w:t>
      </w:r>
      <w:r>
        <w:rPr>
          <w:rFonts w:hint="eastAsia"/>
        </w:rPr>
        <w:t>)</w:t>
      </w:r>
      <w:r>
        <w:rPr>
          <w:rFonts w:hint="eastAsia"/>
        </w:rPr>
        <w:t>。后面提到的大量建筑属于这一地区的生产和社会基础结构。还有大量建筑受到轻微破坏，不影响居住，但显著增加了恢复费用总额。</w:t>
      </w:r>
    </w:p>
    <w:p w:rsidR="00000000" w:rsidRDefault="00000000">
      <w:pPr>
        <w:rPr>
          <w:rFonts w:hint="eastAsia"/>
        </w:rPr>
      </w:pPr>
      <w:r>
        <w:rPr>
          <w:rFonts w:hint="eastAsia"/>
        </w:rPr>
        <w:tab/>
        <w:t xml:space="preserve">402.  </w:t>
      </w:r>
      <w:r>
        <w:rPr>
          <w:rFonts w:hint="eastAsia"/>
        </w:rPr>
        <w:t>从经济角度来看，雅典地震是最严重的灾难。估计恢复总费用为</w:t>
      </w:r>
      <w:r>
        <w:rPr>
          <w:rFonts w:hint="eastAsia"/>
        </w:rPr>
        <w:t>29</w:t>
      </w:r>
      <w:r>
        <w:rPr>
          <w:rFonts w:hint="eastAsia"/>
        </w:rPr>
        <w:t>亿欧元，相当于国民生产总值的</w:t>
      </w:r>
      <w:r>
        <w:rPr>
          <w:rFonts w:hint="eastAsia"/>
        </w:rPr>
        <w:t>2.4%</w:t>
      </w:r>
      <w:r>
        <w:rPr>
          <w:rFonts w:hint="eastAsia"/>
        </w:rPr>
        <w:t>。</w:t>
      </w:r>
    </w:p>
    <w:p w:rsidR="00000000" w:rsidRDefault="00000000">
      <w:pPr>
        <w:rPr>
          <w:rFonts w:hint="eastAsia"/>
        </w:rPr>
      </w:pPr>
      <w:r>
        <w:rPr>
          <w:rFonts w:hint="eastAsia"/>
        </w:rPr>
        <w:tab/>
        <w:t xml:space="preserve">403.  </w:t>
      </w:r>
      <w:r>
        <w:rPr>
          <w:rFonts w:hint="eastAsia"/>
        </w:rPr>
        <w:t>地震之后在住房方面立即采取的最重要措施如下：</w:t>
      </w:r>
    </w:p>
    <w:p w:rsidR="00000000" w:rsidRDefault="00000000">
      <w:pPr>
        <w:pStyle w:val="a0"/>
        <w:tabs>
          <w:tab w:val="num" w:pos="1550"/>
        </w:tabs>
        <w:ind w:left="1550"/>
        <w:rPr>
          <w:rFonts w:hint="eastAsia"/>
        </w:rPr>
      </w:pPr>
      <w:r>
        <w:rPr>
          <w:rFonts w:hint="eastAsia"/>
        </w:rPr>
        <w:t>将无家可归者立即收容到灾民营地，分发必需品，提供食物和卫生设施；</w:t>
      </w:r>
    </w:p>
    <w:p w:rsidR="00000000" w:rsidRDefault="00000000">
      <w:pPr>
        <w:pStyle w:val="a0"/>
        <w:tabs>
          <w:tab w:val="num" w:pos="1550"/>
        </w:tabs>
        <w:ind w:left="1550"/>
        <w:rPr>
          <w:rFonts w:hint="eastAsia"/>
        </w:rPr>
      </w:pPr>
      <w:r>
        <w:rPr>
          <w:rFonts w:hint="eastAsia"/>
        </w:rPr>
        <w:t>向无家可归者提供紧急经济援助；</w:t>
      </w:r>
    </w:p>
    <w:p w:rsidR="00000000" w:rsidRDefault="00000000">
      <w:pPr>
        <w:pStyle w:val="a0"/>
        <w:tabs>
          <w:tab w:val="num" w:pos="1550"/>
        </w:tabs>
        <w:ind w:left="1550"/>
        <w:rPr>
          <w:rFonts w:hint="eastAsia"/>
        </w:rPr>
      </w:pPr>
      <w:r>
        <w:rPr>
          <w:rFonts w:hint="eastAsia"/>
        </w:rPr>
        <w:t>立即对建筑物进行居住安全检查，张贴特别标志，向居民提供指导；</w:t>
      </w:r>
    </w:p>
    <w:p w:rsidR="00000000" w:rsidRDefault="00000000">
      <w:pPr>
        <w:pStyle w:val="a0"/>
        <w:tabs>
          <w:tab w:val="num" w:pos="1550"/>
        </w:tabs>
        <w:ind w:left="1550"/>
        <w:rPr>
          <w:rFonts w:hint="eastAsia"/>
        </w:rPr>
      </w:pPr>
      <w:r>
        <w:rPr>
          <w:rFonts w:hint="eastAsia"/>
        </w:rPr>
        <w:t>暂时封闭严重损坏的建筑物。</w:t>
      </w:r>
    </w:p>
    <w:p w:rsidR="00000000" w:rsidRDefault="00000000">
      <w:pPr>
        <w:rPr>
          <w:rFonts w:hint="eastAsia"/>
        </w:rPr>
      </w:pPr>
      <w:r>
        <w:rPr>
          <w:rFonts w:hint="eastAsia"/>
        </w:rPr>
        <w:tab/>
        <w:t xml:space="preserve">404.  </w:t>
      </w:r>
      <w:r>
        <w:rPr>
          <w:rFonts w:hint="eastAsia"/>
        </w:rPr>
        <w:t>在头几天采取紧急措施之后，实行了一系列中期措施和安排：</w:t>
      </w:r>
    </w:p>
    <w:p w:rsidR="00000000" w:rsidRDefault="00000000">
      <w:pPr>
        <w:pStyle w:val="a0"/>
        <w:tabs>
          <w:tab w:val="num" w:pos="1550"/>
        </w:tabs>
        <w:ind w:left="1550"/>
        <w:rPr>
          <w:rFonts w:hint="eastAsia"/>
        </w:rPr>
      </w:pPr>
      <w:r>
        <w:rPr>
          <w:rFonts w:hint="eastAsia"/>
        </w:rPr>
        <w:t>以下列方式临时收容无家可归者：临时安置在预制的住房或私人出租住房，或主动表示接纳地震受害者的家庭，给予特别房租补贴；</w:t>
      </w:r>
    </w:p>
    <w:p w:rsidR="00000000" w:rsidRDefault="00000000">
      <w:pPr>
        <w:pStyle w:val="a0"/>
        <w:tabs>
          <w:tab w:val="num" w:pos="1550"/>
        </w:tabs>
        <w:ind w:left="1550"/>
        <w:rPr>
          <w:rFonts w:hint="eastAsia"/>
        </w:rPr>
      </w:pPr>
      <w:r>
        <w:rPr>
          <w:rFonts w:hint="eastAsia"/>
        </w:rPr>
        <w:t>对建筑物进行第二次检查和损失评估，将其分为三类：严重损坏</w:t>
      </w:r>
      <w:r>
        <w:rPr>
          <w:rFonts w:hint="eastAsia"/>
        </w:rPr>
        <w:t>/</w:t>
      </w:r>
      <w:r>
        <w:rPr>
          <w:rFonts w:hint="eastAsia"/>
        </w:rPr>
        <w:t>危险；严重但可修复的损坏；轻度损坏或拆毁不可修复的危险建筑。</w:t>
      </w:r>
    </w:p>
    <w:p w:rsidR="00000000" w:rsidRDefault="00000000">
      <w:pPr>
        <w:rPr>
          <w:rFonts w:hint="eastAsia"/>
        </w:rPr>
      </w:pPr>
      <w:r>
        <w:rPr>
          <w:rFonts w:hint="eastAsia"/>
        </w:rPr>
        <w:tab/>
        <w:t xml:space="preserve">405.  </w:t>
      </w:r>
      <w:r>
        <w:rPr>
          <w:rFonts w:hint="eastAsia"/>
        </w:rPr>
        <w:t>为最终修复遭地震破坏的房屋采取了下列措施：</w:t>
      </w:r>
    </w:p>
    <w:p w:rsidR="00000000" w:rsidRDefault="00000000">
      <w:pPr>
        <w:pStyle w:val="a0"/>
        <w:tabs>
          <w:tab w:val="num" w:pos="1550"/>
        </w:tabs>
        <w:ind w:left="1550"/>
        <w:rPr>
          <w:rFonts w:hint="eastAsia"/>
        </w:rPr>
      </w:pPr>
      <w:r>
        <w:rPr>
          <w:rFonts w:hint="eastAsia"/>
        </w:rPr>
        <w:t>为无家可归者修复或重建住房提供特别赠款；</w:t>
      </w:r>
    </w:p>
    <w:p w:rsidR="00000000" w:rsidRDefault="00000000">
      <w:pPr>
        <w:pStyle w:val="a0"/>
        <w:tabs>
          <w:tab w:val="num" w:pos="1550"/>
        </w:tabs>
        <w:ind w:left="1550"/>
        <w:rPr>
          <w:rFonts w:hint="eastAsia"/>
        </w:rPr>
      </w:pPr>
      <w:r>
        <w:rPr>
          <w:rFonts w:hint="eastAsia"/>
        </w:rPr>
        <w:t>根据特别地理和地理技术研究重新规划受影响地区的土地使用；</w:t>
      </w:r>
    </w:p>
    <w:p w:rsidR="00000000" w:rsidRDefault="00000000">
      <w:pPr>
        <w:pStyle w:val="a0"/>
        <w:tabs>
          <w:tab w:val="num" w:pos="1550"/>
        </w:tabs>
        <w:ind w:left="1550"/>
        <w:rPr>
          <w:rFonts w:hint="eastAsia"/>
        </w:rPr>
      </w:pPr>
      <w:r>
        <w:rPr>
          <w:rFonts w:hint="eastAsia"/>
        </w:rPr>
        <w:t>使建筑业现代化，进一步改进</w:t>
      </w:r>
      <w:r>
        <w:rPr>
          <w:rFonts w:hint="eastAsia"/>
        </w:rPr>
        <w:t>1995</w:t>
      </w:r>
      <w:r>
        <w:rPr>
          <w:rFonts w:hint="eastAsia"/>
        </w:rPr>
        <w:t>年的《地震设计法》。</w:t>
      </w:r>
    </w:p>
    <w:p w:rsidR="00000000" w:rsidRDefault="00000000">
      <w:pPr>
        <w:rPr>
          <w:rFonts w:hint="eastAsia"/>
        </w:rPr>
      </w:pPr>
      <w:r>
        <w:rPr>
          <w:rFonts w:hint="eastAsia"/>
        </w:rPr>
        <w:tab/>
        <w:t xml:space="preserve">406.  </w:t>
      </w:r>
      <w:r>
        <w:rPr>
          <w:rFonts w:hint="eastAsia"/>
        </w:rPr>
        <w:t>为进行重建，环境部震后恢复工程司在受影响市区建立了一个由</w:t>
      </w:r>
      <w:r>
        <w:rPr>
          <w:rFonts w:hint="eastAsia"/>
        </w:rPr>
        <w:t>33</w:t>
      </w:r>
      <w:r>
        <w:rPr>
          <w:rFonts w:hint="eastAsia"/>
        </w:rPr>
        <w:t>个震后恢复工程科和震后恢复办事处组成的工作网。这些机构负责对需要财政援助的住户进行登记，批准修复和重建研究，批准修复建筑预算，批准贷款和监督建设工程。</w:t>
      </w:r>
    </w:p>
    <w:p w:rsidR="00000000" w:rsidRDefault="00000000">
      <w:pPr>
        <w:rPr>
          <w:rFonts w:hint="eastAsia"/>
        </w:rPr>
      </w:pPr>
      <w:r>
        <w:rPr>
          <w:rFonts w:hint="eastAsia"/>
        </w:rPr>
        <w:tab/>
        <w:t xml:space="preserve">407.  </w:t>
      </w:r>
      <w:r>
        <w:rPr>
          <w:rFonts w:hint="eastAsia"/>
        </w:rPr>
        <w:t>到</w:t>
      </w:r>
      <w:r>
        <w:rPr>
          <w:rFonts w:hint="eastAsia"/>
        </w:rPr>
        <w:t>2002</w:t>
      </w:r>
      <w:r>
        <w:rPr>
          <w:rFonts w:hint="eastAsia"/>
        </w:rPr>
        <w:t>年</w:t>
      </w:r>
      <w:r>
        <w:rPr>
          <w:rFonts w:hint="eastAsia"/>
        </w:rPr>
        <w:t>4</w:t>
      </w:r>
      <w:r>
        <w:rPr>
          <w:rFonts w:hint="eastAsia"/>
        </w:rPr>
        <w:t>月初，已在下列方面取得进展：</w:t>
      </w:r>
    </w:p>
    <w:p w:rsidR="00000000" w:rsidRDefault="00000000">
      <w:pPr>
        <w:pStyle w:val="a0"/>
        <w:tabs>
          <w:tab w:val="clear" w:pos="510"/>
        </w:tabs>
        <w:ind w:left="1530"/>
        <w:rPr>
          <w:rFonts w:hint="eastAsia"/>
        </w:rPr>
      </w:pPr>
      <w:r>
        <w:rPr>
          <w:rFonts w:hint="eastAsia"/>
        </w:rPr>
        <w:t>建筑修复：批准了</w:t>
      </w:r>
      <w:r>
        <w:rPr>
          <w:rFonts w:hint="eastAsia"/>
        </w:rPr>
        <w:t>11,250</w:t>
      </w:r>
      <w:r>
        <w:rPr>
          <w:rFonts w:hint="eastAsia"/>
        </w:rPr>
        <w:t>项修复研究，另外还有</w:t>
      </w:r>
      <w:r>
        <w:rPr>
          <w:rFonts w:hint="eastAsia"/>
        </w:rPr>
        <w:t>1,533</w:t>
      </w:r>
      <w:r>
        <w:rPr>
          <w:rFonts w:hint="eastAsia"/>
        </w:rPr>
        <w:t>项待批准。一些受影响建筑已被所有者修复，他们没有申请补贴。工人住房组织正在对其以前受益者的住房实行一项修复方案；</w:t>
      </w:r>
    </w:p>
    <w:p w:rsidR="00000000" w:rsidRDefault="00000000">
      <w:pPr>
        <w:pStyle w:val="a0"/>
        <w:tabs>
          <w:tab w:val="num" w:pos="1550"/>
        </w:tabs>
        <w:ind w:left="1550"/>
        <w:rPr>
          <w:rFonts w:hint="eastAsia"/>
        </w:rPr>
      </w:pPr>
      <w:r>
        <w:rPr>
          <w:rFonts w:hint="eastAsia"/>
        </w:rPr>
        <w:t>建筑重建：已批准</w:t>
      </w:r>
      <w:r>
        <w:rPr>
          <w:rFonts w:hint="eastAsia"/>
        </w:rPr>
        <w:t>3,554</w:t>
      </w:r>
      <w:r>
        <w:rPr>
          <w:rFonts w:hint="eastAsia"/>
        </w:rPr>
        <w:t>项重建研究，并有</w:t>
      </w:r>
      <w:r>
        <w:rPr>
          <w:rFonts w:hint="eastAsia"/>
        </w:rPr>
        <w:t>803</w:t>
      </w:r>
      <w:r>
        <w:rPr>
          <w:rFonts w:hint="eastAsia"/>
        </w:rPr>
        <w:t>项待批准。</w:t>
      </w:r>
    </w:p>
    <w:p w:rsidR="00000000" w:rsidRDefault="00000000"/>
    <w:p w:rsidR="00000000" w:rsidRDefault="00000000">
      <w:pPr>
        <w:pStyle w:val="Heading3"/>
        <w:rPr>
          <w:rFonts w:hint="eastAsia"/>
        </w:rPr>
      </w:pPr>
      <w:r>
        <w:rPr>
          <w:rFonts w:hint="eastAsia"/>
        </w:rPr>
        <w:t>第</w:t>
      </w:r>
      <w:r>
        <w:rPr>
          <w:rFonts w:hint="eastAsia"/>
        </w:rPr>
        <w:t xml:space="preserve"> 12 </w:t>
      </w:r>
      <w:r>
        <w:rPr>
          <w:rFonts w:hint="eastAsia"/>
        </w:rPr>
        <w:t>条</w:t>
      </w:r>
    </w:p>
    <w:p w:rsidR="00000000" w:rsidRDefault="00000000">
      <w:pPr>
        <w:pStyle w:val="Heading4"/>
        <w:jc w:val="center"/>
        <w:rPr>
          <w:rFonts w:hint="eastAsia"/>
          <w:u w:val="none"/>
        </w:rPr>
      </w:pPr>
      <w:r>
        <w:rPr>
          <w:rFonts w:hint="eastAsia"/>
        </w:rPr>
        <w:t>希腊人的身体和精神健康状况</w:t>
      </w:r>
      <w:r>
        <w:rPr>
          <w:rFonts w:hint="eastAsia"/>
          <w:spacing w:val="-50"/>
        </w:rPr>
        <w:t>―</w:t>
      </w:r>
      <w:r>
        <w:rPr>
          <w:rFonts w:hint="eastAsia"/>
        </w:rPr>
        <w:t>―流行病状况</w:t>
      </w:r>
      <w:r>
        <w:rPr>
          <w:rFonts w:hint="eastAsia"/>
          <w:u w:val="none"/>
        </w:rPr>
        <w:t xml:space="preserve"> </w:t>
      </w:r>
      <w:r>
        <w:rPr>
          <w:rStyle w:val="FootnoteReference"/>
          <w:u w:val="none"/>
        </w:rPr>
        <w:footnoteReference w:customMarkFollows="1" w:id="2"/>
        <w:t>*</w:t>
      </w:r>
    </w:p>
    <w:p w:rsidR="00000000" w:rsidRDefault="00000000">
      <w:pPr>
        <w:pStyle w:val="Heading4"/>
        <w:rPr>
          <w:rFonts w:hint="eastAsia"/>
        </w:rPr>
      </w:pPr>
      <w:r>
        <w:rPr>
          <w:rFonts w:hint="eastAsia"/>
        </w:rPr>
        <w:t>人口状况</w:t>
      </w:r>
    </w:p>
    <w:p w:rsidR="00000000" w:rsidRDefault="00000000">
      <w:pPr>
        <w:rPr>
          <w:rFonts w:hint="eastAsia"/>
        </w:rPr>
      </w:pPr>
      <w:r>
        <w:rPr>
          <w:rFonts w:hint="eastAsia"/>
        </w:rPr>
        <w:tab/>
        <w:t>408.  1999</w:t>
      </w:r>
      <w:r>
        <w:rPr>
          <w:rFonts w:hint="eastAsia"/>
        </w:rPr>
        <w:t>年，希腊人口为</w:t>
      </w:r>
      <w:r>
        <w:rPr>
          <w:rFonts w:hint="eastAsia"/>
        </w:rPr>
        <w:t>10,521,669</w:t>
      </w:r>
      <w:r>
        <w:rPr>
          <w:rFonts w:hint="eastAsia"/>
        </w:rPr>
        <w:t>人，其中男性</w:t>
      </w:r>
      <w:r>
        <w:rPr>
          <w:rFonts w:hint="eastAsia"/>
        </w:rPr>
        <w:t>49.5%</w:t>
      </w:r>
      <w:r>
        <w:rPr>
          <w:rFonts w:hint="eastAsia"/>
        </w:rPr>
        <w:t>，女性</w:t>
      </w:r>
      <w:r>
        <w:rPr>
          <w:rFonts w:hint="eastAsia"/>
        </w:rPr>
        <w:t>50.5%</w:t>
      </w:r>
      <w:r>
        <w:rPr>
          <w:rFonts w:hint="eastAsia"/>
        </w:rPr>
        <w:t>。从</w:t>
      </w:r>
      <w:r>
        <w:rPr>
          <w:rFonts w:hint="eastAsia"/>
        </w:rPr>
        <w:t>1981</w:t>
      </w:r>
      <w:r>
        <w:rPr>
          <w:rFonts w:hint="eastAsia"/>
        </w:rPr>
        <w:t>年的人口普查到</w:t>
      </w:r>
      <w:r>
        <w:rPr>
          <w:rFonts w:hint="eastAsia"/>
        </w:rPr>
        <w:t>1991</w:t>
      </w:r>
      <w:r>
        <w:rPr>
          <w:rFonts w:hint="eastAsia"/>
        </w:rPr>
        <w:t>年的人口普查期间，希腊人口增加了</w:t>
      </w:r>
      <w:r>
        <w:rPr>
          <w:rFonts w:hint="eastAsia"/>
        </w:rPr>
        <w:t>5.42%</w:t>
      </w:r>
      <w:r>
        <w:rPr>
          <w:rFonts w:hint="eastAsia"/>
        </w:rPr>
        <w:t>，而从</w:t>
      </w:r>
      <w:r>
        <w:rPr>
          <w:rFonts w:hint="eastAsia"/>
        </w:rPr>
        <w:t>1960</w:t>
      </w:r>
      <w:r>
        <w:rPr>
          <w:rFonts w:hint="eastAsia"/>
        </w:rPr>
        <w:t>年至</w:t>
      </w:r>
      <w:r>
        <w:rPr>
          <w:rFonts w:hint="eastAsia"/>
        </w:rPr>
        <w:t>1990</w:t>
      </w:r>
      <w:r>
        <w:rPr>
          <w:rFonts w:hint="eastAsia"/>
        </w:rPr>
        <w:t>年增加了</w:t>
      </w:r>
      <w:r>
        <w:rPr>
          <w:rFonts w:hint="eastAsia"/>
        </w:rPr>
        <w:t>21.1%</w:t>
      </w:r>
      <w:r>
        <w:rPr>
          <w:rFonts w:hint="eastAsia"/>
        </w:rPr>
        <w:t>。尽管人口在增加，但在过去几十年里，总的出生率却呈下降趋势。每对夫妇的子女人数从</w:t>
      </w:r>
      <w:r>
        <w:rPr>
          <w:rFonts w:hint="eastAsia"/>
        </w:rPr>
        <w:t>1970</w:t>
      </w:r>
      <w:r>
        <w:rPr>
          <w:rFonts w:hint="eastAsia"/>
        </w:rPr>
        <w:t>年的</w:t>
      </w:r>
      <w:r>
        <w:rPr>
          <w:rFonts w:hint="eastAsia"/>
        </w:rPr>
        <w:t>2.93</w:t>
      </w:r>
      <w:r>
        <w:rPr>
          <w:rFonts w:hint="eastAsia"/>
        </w:rPr>
        <w:t>人，下降到</w:t>
      </w:r>
      <w:r>
        <w:rPr>
          <w:rFonts w:hint="eastAsia"/>
        </w:rPr>
        <w:t>1997</w:t>
      </w:r>
      <w:r>
        <w:rPr>
          <w:rFonts w:hint="eastAsia"/>
        </w:rPr>
        <w:t>年的</w:t>
      </w:r>
      <w:r>
        <w:rPr>
          <w:rFonts w:hint="eastAsia"/>
        </w:rPr>
        <w:t>1.32</w:t>
      </w:r>
      <w:r>
        <w:rPr>
          <w:rFonts w:hint="eastAsia"/>
        </w:rPr>
        <w:t>人。出生率和死亡率同时下降，造成了希腊人口的老龄化。预计在今后一些年里这种现象还将继续。</w:t>
      </w:r>
      <w:r>
        <w:rPr>
          <w:rFonts w:hint="eastAsia"/>
        </w:rPr>
        <w:t>65</w:t>
      </w:r>
      <w:r>
        <w:rPr>
          <w:rFonts w:hint="eastAsia"/>
        </w:rPr>
        <w:t>岁以上人口的比例从</w:t>
      </w:r>
      <w:r>
        <w:rPr>
          <w:rFonts w:hint="eastAsia"/>
        </w:rPr>
        <w:t>1970</w:t>
      </w:r>
      <w:r>
        <w:rPr>
          <w:rFonts w:hint="eastAsia"/>
        </w:rPr>
        <w:t>年的</w:t>
      </w:r>
      <w:r>
        <w:rPr>
          <w:rFonts w:hint="eastAsia"/>
        </w:rPr>
        <w:t>11.1%</w:t>
      </w:r>
      <w:r>
        <w:rPr>
          <w:rFonts w:hint="eastAsia"/>
        </w:rPr>
        <w:t>上升到</w:t>
      </w:r>
      <w:r>
        <w:rPr>
          <w:rFonts w:hint="eastAsia"/>
        </w:rPr>
        <w:t>1997</w:t>
      </w:r>
      <w:r>
        <w:rPr>
          <w:rFonts w:hint="eastAsia"/>
        </w:rPr>
        <w:t>年的</w:t>
      </w:r>
      <w:r>
        <w:rPr>
          <w:rFonts w:hint="eastAsia"/>
        </w:rPr>
        <w:t>16.8%</w:t>
      </w:r>
      <w:r>
        <w:rPr>
          <w:rFonts w:hint="eastAsia"/>
        </w:rPr>
        <w:t>，预计到</w:t>
      </w:r>
      <w:r>
        <w:rPr>
          <w:rFonts w:hint="eastAsia"/>
        </w:rPr>
        <w:t>2021</w:t>
      </w:r>
      <w:r>
        <w:rPr>
          <w:rFonts w:hint="eastAsia"/>
        </w:rPr>
        <w:t>年将达到</w:t>
      </w:r>
      <w:r>
        <w:rPr>
          <w:rFonts w:hint="eastAsia"/>
        </w:rPr>
        <w:t>19.3%</w:t>
      </w:r>
      <w:r>
        <w:rPr>
          <w:rFonts w:hint="eastAsia"/>
        </w:rPr>
        <w:t>。另一方面，</w:t>
      </w:r>
      <w:r>
        <w:rPr>
          <w:rFonts w:hint="eastAsia"/>
        </w:rPr>
        <w:t>0-14</w:t>
      </w:r>
      <w:r>
        <w:rPr>
          <w:rFonts w:hint="eastAsia"/>
        </w:rPr>
        <w:t>岁儿童的比例则从</w:t>
      </w:r>
      <w:r>
        <w:rPr>
          <w:rFonts w:hint="eastAsia"/>
        </w:rPr>
        <w:t>1970</w:t>
      </w:r>
      <w:r>
        <w:rPr>
          <w:rFonts w:hint="eastAsia"/>
        </w:rPr>
        <w:t>年的</w:t>
      </w:r>
      <w:r>
        <w:rPr>
          <w:rFonts w:hint="eastAsia"/>
        </w:rPr>
        <w:t>24.9%</w:t>
      </w:r>
      <w:r>
        <w:rPr>
          <w:rFonts w:hint="eastAsia"/>
        </w:rPr>
        <w:t>下降到</w:t>
      </w:r>
      <w:r>
        <w:rPr>
          <w:rFonts w:hint="eastAsia"/>
        </w:rPr>
        <w:t>1997</w:t>
      </w:r>
      <w:r>
        <w:rPr>
          <w:rFonts w:hint="eastAsia"/>
        </w:rPr>
        <w:t>年的</w:t>
      </w:r>
      <w:r>
        <w:rPr>
          <w:rFonts w:hint="eastAsia"/>
        </w:rPr>
        <w:t>16.1%</w:t>
      </w:r>
      <w:r>
        <w:rPr>
          <w:rFonts w:hint="eastAsia"/>
        </w:rPr>
        <w:t>。希腊人口的老龄化与欧洲联盟成员国的普遍趋势相同，在欧洲联盟中，希腊在爱尔兰、葡萄牙和西班牙之后居第四位。</w:t>
      </w:r>
    </w:p>
    <w:p w:rsidR="00000000" w:rsidRDefault="00000000">
      <w:pPr>
        <w:rPr>
          <w:rFonts w:hint="eastAsia"/>
        </w:rPr>
      </w:pPr>
      <w:r>
        <w:rPr>
          <w:rFonts w:hint="eastAsia"/>
        </w:rPr>
        <w:tab/>
        <w:t xml:space="preserve">409.  </w:t>
      </w:r>
      <w:r>
        <w:rPr>
          <w:rFonts w:hint="eastAsia"/>
        </w:rPr>
        <w:t>出生时的预期寿命</w:t>
      </w:r>
      <w:r>
        <w:rPr>
          <w:rFonts w:hint="eastAsia"/>
        </w:rPr>
        <w:t>1960-1997</w:t>
      </w:r>
      <w:r>
        <w:rPr>
          <w:rFonts w:hint="eastAsia"/>
        </w:rPr>
        <w:t>年期间，男人从</w:t>
      </w:r>
      <w:r>
        <w:rPr>
          <w:rFonts w:hint="eastAsia"/>
        </w:rPr>
        <w:t>67.5</w:t>
      </w:r>
      <w:r>
        <w:rPr>
          <w:rFonts w:hint="eastAsia"/>
        </w:rPr>
        <w:t>岁增加到</w:t>
      </w:r>
      <w:r>
        <w:rPr>
          <w:rFonts w:hint="eastAsia"/>
        </w:rPr>
        <w:t>75.3</w:t>
      </w:r>
      <w:r>
        <w:rPr>
          <w:rFonts w:hint="eastAsia"/>
        </w:rPr>
        <w:t>岁，妇女从</w:t>
      </w:r>
      <w:r>
        <w:rPr>
          <w:rFonts w:hint="eastAsia"/>
        </w:rPr>
        <w:t>70.7</w:t>
      </w:r>
      <w:r>
        <w:rPr>
          <w:rFonts w:hint="eastAsia"/>
        </w:rPr>
        <w:t>岁增加到</w:t>
      </w:r>
      <w:r>
        <w:rPr>
          <w:rFonts w:hint="eastAsia"/>
        </w:rPr>
        <w:t>80.6</w:t>
      </w:r>
      <w:r>
        <w:rPr>
          <w:rFonts w:hint="eastAsia"/>
        </w:rPr>
        <w:t>岁。这一增加主要是由于在这段时间里婴儿死亡率大幅度下降。</w:t>
      </w:r>
      <w:r>
        <w:rPr>
          <w:rFonts w:hint="eastAsia"/>
        </w:rPr>
        <w:t>65</w:t>
      </w:r>
      <w:r>
        <w:rPr>
          <w:rFonts w:hint="eastAsia"/>
        </w:rPr>
        <w:t>岁以上的人，预期寿命在</w:t>
      </w:r>
      <w:r>
        <w:rPr>
          <w:rFonts w:hint="eastAsia"/>
        </w:rPr>
        <w:t>1960-1997</w:t>
      </w:r>
      <w:r>
        <w:rPr>
          <w:rFonts w:hint="eastAsia"/>
        </w:rPr>
        <w:t>年期间也有增加，男人从</w:t>
      </w:r>
      <w:r>
        <w:rPr>
          <w:rFonts w:hint="eastAsia"/>
        </w:rPr>
        <w:t>13.5</w:t>
      </w:r>
      <w:r>
        <w:rPr>
          <w:rFonts w:hint="eastAsia"/>
        </w:rPr>
        <w:t>年增加到</w:t>
      </w:r>
      <w:r>
        <w:rPr>
          <w:rFonts w:hint="eastAsia"/>
        </w:rPr>
        <w:t>16.2</w:t>
      </w:r>
      <w:r>
        <w:rPr>
          <w:rFonts w:hint="eastAsia"/>
        </w:rPr>
        <w:t>年，妇女从</w:t>
      </w:r>
      <w:r>
        <w:rPr>
          <w:rFonts w:hint="eastAsia"/>
        </w:rPr>
        <w:t>15.1</w:t>
      </w:r>
      <w:r>
        <w:rPr>
          <w:rFonts w:hint="eastAsia"/>
        </w:rPr>
        <w:t>年增加到</w:t>
      </w:r>
      <w:r>
        <w:rPr>
          <w:rFonts w:hint="eastAsia"/>
        </w:rPr>
        <w:t>18.7</w:t>
      </w:r>
      <w:r>
        <w:rPr>
          <w:rFonts w:hint="eastAsia"/>
        </w:rPr>
        <w:t>年，原因是相应的具体年龄的死亡率下降。</w:t>
      </w:r>
    </w:p>
    <w:p w:rsidR="00000000" w:rsidRDefault="00000000">
      <w:pPr>
        <w:rPr>
          <w:rFonts w:hint="eastAsia"/>
        </w:rPr>
      </w:pPr>
      <w:r>
        <w:rPr>
          <w:rFonts w:hint="eastAsia"/>
        </w:rPr>
        <w:tab/>
        <w:t>410.  1997</w:t>
      </w:r>
      <w:r>
        <w:rPr>
          <w:rFonts w:hint="eastAsia"/>
        </w:rPr>
        <w:t>年的婴儿死亡率，是每一千名活产婴儿</w:t>
      </w:r>
      <w:r>
        <w:rPr>
          <w:rFonts w:hint="eastAsia"/>
        </w:rPr>
        <w:t>6.4</w:t>
      </w:r>
      <w:r>
        <w:rPr>
          <w:rFonts w:hint="eastAsia"/>
        </w:rPr>
        <w:t>人死亡。这个指标自</w:t>
      </w:r>
      <w:r>
        <w:rPr>
          <w:rFonts w:hint="eastAsia"/>
        </w:rPr>
        <w:t>1970</w:t>
      </w:r>
      <w:r>
        <w:rPr>
          <w:rFonts w:hint="eastAsia"/>
        </w:rPr>
        <w:t>年以来明显改善，当时是</w:t>
      </w:r>
      <w:r>
        <w:rPr>
          <w:rFonts w:hint="eastAsia"/>
        </w:rPr>
        <w:t>29.6%</w:t>
      </w:r>
      <w:r>
        <w:rPr>
          <w:rFonts w:hint="eastAsia"/>
        </w:rPr>
        <w:t>。产前死亡率从</w:t>
      </w:r>
      <w:r>
        <w:rPr>
          <w:rFonts w:hint="eastAsia"/>
        </w:rPr>
        <w:t>1970</w:t>
      </w:r>
      <w:r>
        <w:rPr>
          <w:rFonts w:hint="eastAsia"/>
        </w:rPr>
        <w:t>年的</w:t>
      </w:r>
      <w:r>
        <w:rPr>
          <w:rFonts w:hint="eastAsia"/>
        </w:rPr>
        <w:t>26.8</w:t>
      </w:r>
      <w:r>
        <w:rPr>
          <w:rFonts w:hint="eastAsia"/>
        </w:rPr>
        <w:t>下降到</w:t>
      </w:r>
      <w:r>
        <w:rPr>
          <w:rFonts w:hint="eastAsia"/>
        </w:rPr>
        <w:t>1997</w:t>
      </w:r>
      <w:r>
        <w:rPr>
          <w:rFonts w:hint="eastAsia"/>
        </w:rPr>
        <w:t>年的</w:t>
      </w:r>
      <w:r>
        <w:rPr>
          <w:rFonts w:hint="eastAsia"/>
        </w:rPr>
        <w:t>9.5</w:t>
      </w:r>
      <w:r>
        <w:rPr>
          <w:rFonts w:hint="eastAsia"/>
        </w:rPr>
        <w:t>。晚期婴儿死亡率也呈下降趋势</w:t>
      </w:r>
      <w:r>
        <w:rPr>
          <w:rFonts w:hint="eastAsia"/>
        </w:rPr>
        <w:t>(</w:t>
      </w:r>
      <w:r>
        <w:rPr>
          <w:rFonts w:hint="eastAsia"/>
        </w:rPr>
        <w:t>从</w:t>
      </w:r>
      <w:r>
        <w:rPr>
          <w:rFonts w:hint="eastAsia"/>
        </w:rPr>
        <w:t>1960</w:t>
      </w:r>
      <w:r>
        <w:rPr>
          <w:rFonts w:hint="eastAsia"/>
        </w:rPr>
        <w:t>年的</w:t>
      </w:r>
      <w:r>
        <w:rPr>
          <w:rFonts w:hint="eastAsia"/>
        </w:rPr>
        <w:t>20.6</w:t>
      </w:r>
      <w:r>
        <w:rPr>
          <w:rFonts w:hint="eastAsia"/>
        </w:rPr>
        <w:t>下降到</w:t>
      </w:r>
      <w:r>
        <w:rPr>
          <w:rFonts w:hint="eastAsia"/>
        </w:rPr>
        <w:t>1997</w:t>
      </w:r>
      <w:r>
        <w:rPr>
          <w:rFonts w:hint="eastAsia"/>
        </w:rPr>
        <w:t>年的</w:t>
      </w:r>
      <w:r>
        <w:rPr>
          <w:rFonts w:hint="eastAsia"/>
        </w:rPr>
        <w:t>1.6)</w:t>
      </w:r>
      <w:r>
        <w:rPr>
          <w:rFonts w:hint="eastAsia"/>
        </w:rPr>
        <w:t>，新生儿死亡率也是如此</w:t>
      </w:r>
      <w:r>
        <w:rPr>
          <w:rFonts w:hint="eastAsia"/>
        </w:rPr>
        <w:t>(</w:t>
      </w:r>
      <w:r>
        <w:rPr>
          <w:rFonts w:hint="eastAsia"/>
        </w:rPr>
        <w:t>从</w:t>
      </w:r>
      <w:r>
        <w:rPr>
          <w:rFonts w:hint="eastAsia"/>
        </w:rPr>
        <w:t>1960</w:t>
      </w:r>
      <w:r>
        <w:rPr>
          <w:rFonts w:hint="eastAsia"/>
        </w:rPr>
        <w:t>年的</w:t>
      </w:r>
      <w:r>
        <w:rPr>
          <w:rFonts w:hint="eastAsia"/>
        </w:rPr>
        <w:t>19</w:t>
      </w:r>
      <w:r>
        <w:rPr>
          <w:rFonts w:hint="eastAsia"/>
        </w:rPr>
        <w:t>下降到</w:t>
      </w:r>
      <w:r>
        <w:rPr>
          <w:rFonts w:hint="eastAsia"/>
        </w:rPr>
        <w:t>1997</w:t>
      </w:r>
      <w:r>
        <w:rPr>
          <w:rFonts w:hint="eastAsia"/>
        </w:rPr>
        <w:t>年</w:t>
      </w:r>
      <w:r>
        <w:rPr>
          <w:rFonts w:hint="eastAsia"/>
        </w:rPr>
        <w:t>4.8)</w:t>
      </w:r>
      <w:r>
        <w:rPr>
          <w:rFonts w:hint="eastAsia"/>
        </w:rPr>
        <w:t>。</w:t>
      </w:r>
    </w:p>
    <w:p w:rsidR="00000000" w:rsidRDefault="00000000">
      <w:pPr>
        <w:rPr>
          <w:rFonts w:hint="eastAsia"/>
        </w:rPr>
      </w:pPr>
      <w:r>
        <w:rPr>
          <w:rFonts w:hint="eastAsia"/>
        </w:rPr>
        <w:tab/>
        <w:t xml:space="preserve">411.  </w:t>
      </w:r>
      <w:r>
        <w:rPr>
          <w:rFonts w:hint="eastAsia"/>
        </w:rPr>
        <w:t>婴儿晚期死亡率下降的主要原因，主要是各种社会和经济因素的影响，这些因素在过去</w:t>
      </w:r>
      <w:r>
        <w:rPr>
          <w:rFonts w:hint="eastAsia"/>
        </w:rPr>
        <w:t>30</w:t>
      </w:r>
      <w:r>
        <w:rPr>
          <w:rFonts w:hint="eastAsia"/>
        </w:rPr>
        <w:t>年里得到很大改善，而新生儿的死亡则主要取决于提供的医疗服务。</w:t>
      </w:r>
    </w:p>
    <w:p w:rsidR="00000000" w:rsidRDefault="00000000">
      <w:pPr>
        <w:rPr>
          <w:rFonts w:hint="eastAsia"/>
        </w:rPr>
      </w:pPr>
      <w:r>
        <w:rPr>
          <w:rFonts w:hint="eastAsia"/>
        </w:rPr>
        <w:tab/>
        <w:t>412.  1995</w:t>
      </w:r>
      <w:r>
        <w:rPr>
          <w:rFonts w:hint="eastAsia"/>
        </w:rPr>
        <w:t>年希腊婴儿死亡的主要原因，是出生前期的并发症</w:t>
      </w:r>
      <w:r>
        <w:rPr>
          <w:rFonts w:hint="eastAsia"/>
        </w:rPr>
        <w:t>(50%)</w:t>
      </w:r>
      <w:r>
        <w:rPr>
          <w:rFonts w:hint="eastAsia"/>
        </w:rPr>
        <w:t>、亲属的异常病变</w:t>
      </w:r>
      <w:r>
        <w:rPr>
          <w:rFonts w:hint="eastAsia"/>
        </w:rPr>
        <w:t>(37%)</w:t>
      </w:r>
      <w:r>
        <w:rPr>
          <w:rFonts w:hint="eastAsia"/>
        </w:rPr>
        <w:t>和事故</w:t>
      </w:r>
      <w:r>
        <w:rPr>
          <w:rFonts w:hint="eastAsia"/>
        </w:rPr>
        <w:t>(3%)</w:t>
      </w:r>
      <w:r>
        <w:rPr>
          <w:rFonts w:hint="eastAsia"/>
        </w:rPr>
        <w:t>。</w:t>
      </w:r>
    </w:p>
    <w:p w:rsidR="00000000" w:rsidRDefault="00000000">
      <w:pPr>
        <w:rPr>
          <w:rFonts w:hint="eastAsia"/>
        </w:rPr>
      </w:pPr>
      <w:r>
        <w:rPr>
          <w:rFonts w:hint="eastAsia"/>
        </w:rPr>
        <w:tab/>
        <w:t xml:space="preserve">413.  </w:t>
      </w:r>
      <w:r>
        <w:rPr>
          <w:rFonts w:hint="eastAsia"/>
        </w:rPr>
        <w:t>各地区之间可发现明显的区别。与人均收入较高的地区相比，人均收入较低的地区婴儿死亡率较高。色雷斯地区的婴儿死亡率最高。无论如何，希腊人口总的死亡率</w:t>
      </w:r>
      <w:r>
        <w:rPr>
          <w:rFonts w:hint="eastAsia"/>
        </w:rPr>
        <w:t>(</w:t>
      </w:r>
      <w:r>
        <w:rPr>
          <w:rFonts w:hint="eastAsia"/>
        </w:rPr>
        <w:t>从</w:t>
      </w:r>
      <w:r>
        <w:rPr>
          <w:rFonts w:hint="eastAsia"/>
        </w:rPr>
        <w:t>1970</w:t>
      </w:r>
      <w:r>
        <w:rPr>
          <w:rFonts w:hint="eastAsia"/>
        </w:rPr>
        <w:t>年到</w:t>
      </w:r>
      <w:r>
        <w:rPr>
          <w:rFonts w:hint="eastAsia"/>
        </w:rPr>
        <w:t>1996</w:t>
      </w:r>
      <w:r>
        <w:rPr>
          <w:rFonts w:hint="eastAsia"/>
        </w:rPr>
        <w:t>年</w:t>
      </w:r>
      <w:r>
        <w:rPr>
          <w:rFonts w:hint="eastAsia"/>
        </w:rPr>
        <w:t>)</w:t>
      </w:r>
      <w:r>
        <w:rPr>
          <w:rFonts w:hint="eastAsia"/>
        </w:rPr>
        <w:t>在时间上呈明显的下降趋势。</w:t>
      </w:r>
    </w:p>
    <w:p w:rsidR="00000000" w:rsidRDefault="00000000">
      <w:pPr>
        <w:rPr>
          <w:rFonts w:hint="eastAsia"/>
        </w:rPr>
      </w:pPr>
      <w:r>
        <w:rPr>
          <w:rFonts w:hint="eastAsia"/>
        </w:rPr>
        <w:tab/>
        <w:t>414.  1990</w:t>
      </w:r>
      <w:r>
        <w:rPr>
          <w:rFonts w:hint="eastAsia"/>
        </w:rPr>
        <w:t>年代希腊人死亡的主要原因是循环系统疾病、恶性肿瘤和呼吸系统疾病。心血管疾病和中风是造成死亡的主要原因，</w:t>
      </w:r>
      <w:r>
        <w:rPr>
          <w:rFonts w:hint="eastAsia"/>
        </w:rPr>
        <w:t>1996</w:t>
      </w:r>
      <w:r>
        <w:rPr>
          <w:rFonts w:hint="eastAsia"/>
        </w:rPr>
        <w:t>年占死亡的</w:t>
      </w:r>
      <w:r>
        <w:rPr>
          <w:rFonts w:hint="eastAsia"/>
        </w:rPr>
        <w:t>51.2%</w:t>
      </w:r>
      <w:r>
        <w:rPr>
          <w:rFonts w:hint="eastAsia"/>
        </w:rPr>
        <w:t>。接下来是癌症</w:t>
      </w:r>
      <w:r>
        <w:rPr>
          <w:rFonts w:hint="eastAsia"/>
        </w:rPr>
        <w:t>22.2%</w:t>
      </w:r>
      <w:r>
        <w:rPr>
          <w:rFonts w:hint="eastAsia"/>
        </w:rPr>
        <w:t>，呼吸系统疾病</w:t>
      </w:r>
      <w:r>
        <w:rPr>
          <w:rFonts w:hint="eastAsia"/>
        </w:rPr>
        <w:t>5.7%</w:t>
      </w:r>
      <w:r>
        <w:rPr>
          <w:rFonts w:hint="eastAsia"/>
        </w:rPr>
        <w:t>，和事故</w:t>
      </w:r>
      <w:r>
        <w:rPr>
          <w:rFonts w:hint="eastAsia"/>
        </w:rPr>
        <w:t>4.5%</w:t>
      </w:r>
      <w:r>
        <w:rPr>
          <w:rFonts w:hint="eastAsia"/>
        </w:rPr>
        <w:t>。这种死亡情况与目前发达国家的致死结构相符，只是除事故外，在希腊上述疾病的相应指数较低。</w:t>
      </w:r>
    </w:p>
    <w:p w:rsidR="00000000" w:rsidRDefault="00000000">
      <w:pPr>
        <w:rPr>
          <w:rFonts w:hint="eastAsia"/>
        </w:rPr>
      </w:pPr>
      <w:r>
        <w:rPr>
          <w:rFonts w:hint="eastAsia"/>
        </w:rPr>
        <w:tab/>
        <w:t xml:space="preserve">415.  </w:t>
      </w:r>
      <w:r>
        <w:rPr>
          <w:rFonts w:hint="eastAsia"/>
        </w:rPr>
        <w:t>其他造成死亡的原因明显下降。在绝对数字上，由于脑血管疾病造成的死亡从</w:t>
      </w:r>
      <w:r>
        <w:rPr>
          <w:rFonts w:hint="eastAsia"/>
        </w:rPr>
        <w:t>1970</w:t>
      </w:r>
      <w:r>
        <w:rPr>
          <w:rFonts w:hint="eastAsia"/>
        </w:rPr>
        <w:t>年代每</w:t>
      </w:r>
      <w:r>
        <w:rPr>
          <w:rFonts w:hint="eastAsia"/>
        </w:rPr>
        <w:t>100,000</w:t>
      </w:r>
      <w:r>
        <w:rPr>
          <w:rFonts w:hint="eastAsia"/>
        </w:rPr>
        <w:t>人</w:t>
      </w:r>
      <w:r>
        <w:rPr>
          <w:rFonts w:hint="eastAsia"/>
        </w:rPr>
        <w:t>120.28</w:t>
      </w:r>
      <w:r>
        <w:rPr>
          <w:rFonts w:hint="eastAsia"/>
        </w:rPr>
        <w:t>死亡下降到</w:t>
      </w:r>
      <w:r>
        <w:rPr>
          <w:rFonts w:hint="eastAsia"/>
        </w:rPr>
        <w:t>1996</w:t>
      </w:r>
      <w:r>
        <w:rPr>
          <w:rFonts w:hint="eastAsia"/>
        </w:rPr>
        <w:t>年的</w:t>
      </w:r>
      <w:r>
        <w:rPr>
          <w:rFonts w:hint="eastAsia"/>
        </w:rPr>
        <w:t>11.37</w:t>
      </w:r>
      <w:r>
        <w:rPr>
          <w:rFonts w:hint="eastAsia"/>
        </w:rPr>
        <w:t>；呼吸系统疾病造成的死亡从</w:t>
      </w:r>
      <w:r>
        <w:rPr>
          <w:rFonts w:hint="eastAsia"/>
        </w:rPr>
        <w:t>1970</w:t>
      </w:r>
      <w:r>
        <w:rPr>
          <w:rFonts w:hint="eastAsia"/>
        </w:rPr>
        <w:t>年的</w:t>
      </w:r>
      <w:r>
        <w:rPr>
          <w:rFonts w:hint="eastAsia"/>
        </w:rPr>
        <w:t>90</w:t>
      </w:r>
      <w:r>
        <w:rPr>
          <w:rFonts w:hint="eastAsia"/>
        </w:rPr>
        <w:t>下降到</w:t>
      </w:r>
      <w:r>
        <w:rPr>
          <w:rFonts w:hint="eastAsia"/>
        </w:rPr>
        <w:t>1996</w:t>
      </w:r>
      <w:r>
        <w:rPr>
          <w:rFonts w:hint="eastAsia"/>
        </w:rPr>
        <w:t>年的</w:t>
      </w:r>
      <w:r>
        <w:rPr>
          <w:rFonts w:hint="eastAsia"/>
        </w:rPr>
        <w:t>36</w:t>
      </w:r>
      <w:r>
        <w:rPr>
          <w:rFonts w:hint="eastAsia"/>
        </w:rPr>
        <w:t>；内分泌和新陈代谢疾病，以及营养和免疫紊乱造成的死亡从</w:t>
      </w:r>
      <w:r>
        <w:rPr>
          <w:rFonts w:hint="eastAsia"/>
        </w:rPr>
        <w:t>1970</w:t>
      </w:r>
      <w:r>
        <w:rPr>
          <w:rFonts w:hint="eastAsia"/>
        </w:rPr>
        <w:t>年的</w:t>
      </w:r>
      <w:r>
        <w:rPr>
          <w:rFonts w:hint="eastAsia"/>
        </w:rPr>
        <w:t>24</w:t>
      </w:r>
      <w:r>
        <w:rPr>
          <w:rFonts w:hint="eastAsia"/>
        </w:rPr>
        <w:t>人下降到</w:t>
      </w:r>
      <w:r>
        <w:rPr>
          <w:rFonts w:hint="eastAsia"/>
        </w:rPr>
        <w:t>1996</w:t>
      </w:r>
      <w:r>
        <w:rPr>
          <w:rFonts w:hint="eastAsia"/>
        </w:rPr>
        <w:t>年的</w:t>
      </w:r>
      <w:r>
        <w:rPr>
          <w:rFonts w:hint="eastAsia"/>
        </w:rPr>
        <w:t>9</w:t>
      </w:r>
      <w:r>
        <w:rPr>
          <w:rFonts w:hint="eastAsia"/>
        </w:rPr>
        <w:t>人；传染和寄生虫疾病造成的死亡从</w:t>
      </w:r>
      <w:r>
        <w:rPr>
          <w:rFonts w:hint="eastAsia"/>
        </w:rPr>
        <w:t>1970</w:t>
      </w:r>
      <w:r>
        <w:rPr>
          <w:rFonts w:hint="eastAsia"/>
        </w:rPr>
        <w:t>年的</w:t>
      </w:r>
      <w:r>
        <w:rPr>
          <w:rFonts w:hint="eastAsia"/>
        </w:rPr>
        <w:t>22</w:t>
      </w:r>
      <w:r>
        <w:rPr>
          <w:rFonts w:hint="eastAsia"/>
        </w:rPr>
        <w:t>人下降到</w:t>
      </w:r>
      <w:r>
        <w:rPr>
          <w:rFonts w:hint="eastAsia"/>
        </w:rPr>
        <w:t>1996</w:t>
      </w:r>
      <w:r>
        <w:rPr>
          <w:rFonts w:hint="eastAsia"/>
        </w:rPr>
        <w:t>年的</w:t>
      </w:r>
      <w:r>
        <w:rPr>
          <w:rFonts w:hint="eastAsia"/>
        </w:rPr>
        <w:t>5</w:t>
      </w:r>
      <w:r>
        <w:rPr>
          <w:rFonts w:hint="eastAsia"/>
        </w:rPr>
        <w:t>人；消化系统疾病造成的死亡从</w:t>
      </w:r>
      <w:r>
        <w:rPr>
          <w:rFonts w:hint="eastAsia"/>
        </w:rPr>
        <w:t>1970</w:t>
      </w:r>
      <w:r>
        <w:rPr>
          <w:rFonts w:hint="eastAsia"/>
        </w:rPr>
        <w:t>年的</w:t>
      </w:r>
      <w:r>
        <w:rPr>
          <w:rFonts w:hint="eastAsia"/>
        </w:rPr>
        <w:t>40</w:t>
      </w:r>
      <w:r>
        <w:rPr>
          <w:rFonts w:hint="eastAsia"/>
        </w:rPr>
        <w:t>人下降</w:t>
      </w:r>
      <w:r>
        <w:rPr>
          <w:rFonts w:hint="eastAsia"/>
        </w:rPr>
        <w:t>1996</w:t>
      </w:r>
      <w:r>
        <w:rPr>
          <w:rFonts w:hint="eastAsia"/>
        </w:rPr>
        <w:t>年的</w:t>
      </w:r>
      <w:r>
        <w:rPr>
          <w:rFonts w:hint="eastAsia"/>
        </w:rPr>
        <w:t>17</w:t>
      </w:r>
      <w:r>
        <w:rPr>
          <w:rFonts w:hint="eastAsia"/>
        </w:rPr>
        <w:t>人；只有事故造成的死亡从</w:t>
      </w:r>
      <w:r>
        <w:rPr>
          <w:rFonts w:hint="eastAsia"/>
        </w:rPr>
        <w:t>1970</w:t>
      </w:r>
      <w:r>
        <w:rPr>
          <w:rFonts w:hint="eastAsia"/>
        </w:rPr>
        <w:t>年的</w:t>
      </w:r>
      <w:r>
        <w:rPr>
          <w:rFonts w:hint="eastAsia"/>
        </w:rPr>
        <w:t>11.63</w:t>
      </w:r>
      <w:r>
        <w:rPr>
          <w:rFonts w:hint="eastAsia"/>
        </w:rPr>
        <w:t>人上升到</w:t>
      </w:r>
      <w:r>
        <w:rPr>
          <w:rFonts w:hint="eastAsia"/>
        </w:rPr>
        <w:t>1996</w:t>
      </w:r>
      <w:r>
        <w:rPr>
          <w:rFonts w:hint="eastAsia"/>
        </w:rPr>
        <w:t>年的</w:t>
      </w:r>
      <w:r>
        <w:rPr>
          <w:rFonts w:hint="eastAsia"/>
        </w:rPr>
        <w:t>2.3</w:t>
      </w:r>
      <w:r>
        <w:rPr>
          <w:rFonts w:hint="eastAsia"/>
        </w:rPr>
        <w:t>，妇女自杀</w:t>
      </w:r>
      <w:r>
        <w:rPr>
          <w:rFonts w:hint="eastAsia"/>
        </w:rPr>
        <w:t>/</w:t>
      </w:r>
      <w:r>
        <w:rPr>
          <w:rFonts w:hint="eastAsia"/>
        </w:rPr>
        <w:t>他杀造成的死亡，情况较为稳定</w:t>
      </w:r>
      <w:r>
        <w:rPr>
          <w:rFonts w:hint="eastAsia"/>
        </w:rPr>
        <w:t>(1970</w:t>
      </w:r>
      <w:r>
        <w:rPr>
          <w:rFonts w:hint="eastAsia"/>
        </w:rPr>
        <w:t>年</w:t>
      </w:r>
      <w:r>
        <w:rPr>
          <w:rFonts w:hint="eastAsia"/>
        </w:rPr>
        <w:t>1.79</w:t>
      </w:r>
      <w:r>
        <w:rPr>
          <w:rFonts w:hint="eastAsia"/>
        </w:rPr>
        <w:t>人，</w:t>
      </w:r>
      <w:r>
        <w:rPr>
          <w:rFonts w:hint="eastAsia"/>
        </w:rPr>
        <w:t>1990</w:t>
      </w:r>
      <w:r>
        <w:rPr>
          <w:rFonts w:hint="eastAsia"/>
        </w:rPr>
        <w:t>年</w:t>
      </w:r>
      <w:r>
        <w:rPr>
          <w:rFonts w:hint="eastAsia"/>
        </w:rPr>
        <w:t>1.32</w:t>
      </w:r>
      <w:r>
        <w:rPr>
          <w:rFonts w:hint="eastAsia"/>
        </w:rPr>
        <w:t>人，</w:t>
      </w:r>
      <w:r>
        <w:rPr>
          <w:rFonts w:hint="eastAsia"/>
        </w:rPr>
        <w:t>1996</w:t>
      </w:r>
      <w:r>
        <w:rPr>
          <w:rFonts w:hint="eastAsia"/>
        </w:rPr>
        <w:t>年</w:t>
      </w:r>
      <w:r>
        <w:rPr>
          <w:rFonts w:hint="eastAsia"/>
        </w:rPr>
        <w:t>0.95</w:t>
      </w:r>
      <w:r>
        <w:rPr>
          <w:rFonts w:hint="eastAsia"/>
        </w:rPr>
        <w:t>人</w:t>
      </w:r>
      <w:r>
        <w:rPr>
          <w:rFonts w:hint="eastAsia"/>
        </w:rPr>
        <w:t>)</w:t>
      </w:r>
      <w:r>
        <w:rPr>
          <w:rFonts w:hint="eastAsia"/>
        </w:rPr>
        <w:t>。</w:t>
      </w:r>
    </w:p>
    <w:p w:rsidR="00000000" w:rsidRDefault="00000000">
      <w:pPr>
        <w:rPr>
          <w:rFonts w:hint="eastAsia"/>
        </w:rPr>
      </w:pPr>
      <w:r>
        <w:rPr>
          <w:rFonts w:hint="eastAsia"/>
        </w:rPr>
        <w:tab/>
        <w:t xml:space="preserve">416.  </w:t>
      </w:r>
      <w:r>
        <w:rPr>
          <w:rFonts w:hint="eastAsia"/>
        </w:rPr>
        <w:t>人口群体的死亡情况，健康情况显示，城市、城乡结合部和农村的人口存在较大的差异。城乡结合部的人口与城市和农村人口相比死亡率较低，尽管在城市和农村人口之间这方面的差异在缩小</w:t>
      </w:r>
      <w:r>
        <w:rPr>
          <w:rFonts w:hint="eastAsia"/>
        </w:rPr>
        <w:t>(1981</w:t>
      </w:r>
      <w:r>
        <w:rPr>
          <w:rFonts w:hint="eastAsia"/>
        </w:rPr>
        <w:t>至</w:t>
      </w:r>
      <w:r>
        <w:rPr>
          <w:rFonts w:hint="eastAsia"/>
        </w:rPr>
        <w:t>1991</w:t>
      </w:r>
      <w:r>
        <w:rPr>
          <w:rFonts w:hint="eastAsia"/>
        </w:rPr>
        <w:t>年期间</w:t>
      </w:r>
      <w:r>
        <w:rPr>
          <w:rFonts w:hint="eastAsia"/>
        </w:rPr>
        <w:t>)</w:t>
      </w:r>
      <w:r>
        <w:rPr>
          <w:rFonts w:hint="eastAsia"/>
        </w:rPr>
        <w:t>。</w:t>
      </w:r>
    </w:p>
    <w:p w:rsidR="00000000" w:rsidRDefault="00000000">
      <w:pPr>
        <w:spacing w:after="240"/>
        <w:rPr>
          <w:rFonts w:hint="eastAsia"/>
        </w:rPr>
      </w:pPr>
      <w:r>
        <w:rPr>
          <w:rFonts w:hint="eastAsia"/>
        </w:rPr>
        <w:tab/>
        <w:t xml:space="preserve">417.  </w:t>
      </w:r>
      <w:r>
        <w:rPr>
          <w:rFonts w:hint="eastAsia"/>
        </w:rPr>
        <w:t>在地区上，死亡率最高的是色雷斯</w:t>
      </w:r>
      <w:r>
        <w:rPr>
          <w:rFonts w:hint="eastAsia"/>
        </w:rPr>
        <w:t>(</w:t>
      </w:r>
      <w:r>
        <w:rPr>
          <w:rFonts w:hint="eastAsia"/>
        </w:rPr>
        <w:t>每年每</w:t>
      </w:r>
      <w:r>
        <w:rPr>
          <w:rFonts w:hint="eastAsia"/>
        </w:rPr>
        <w:t>100,000</w:t>
      </w:r>
      <w:r>
        <w:rPr>
          <w:rFonts w:hint="eastAsia"/>
        </w:rPr>
        <w:t>人</w:t>
      </w:r>
      <w:r>
        <w:rPr>
          <w:rFonts w:hint="eastAsia"/>
        </w:rPr>
        <w:t>894.79</w:t>
      </w:r>
      <w:r>
        <w:rPr>
          <w:rFonts w:hint="eastAsia"/>
        </w:rPr>
        <w:t>人死亡</w:t>
      </w:r>
      <w:r>
        <w:rPr>
          <w:rFonts w:hint="eastAsia"/>
        </w:rPr>
        <w:t>)</w:t>
      </w:r>
      <w:r>
        <w:rPr>
          <w:rFonts w:hint="eastAsia"/>
        </w:rPr>
        <w:t>，</w:t>
      </w:r>
      <w:r>
        <w:rPr>
          <w:rFonts w:hint="eastAsia"/>
          <w:spacing w:val="14"/>
        </w:rPr>
        <w:t>和马斯顿</w:t>
      </w:r>
      <w:r>
        <w:rPr>
          <w:rFonts w:hint="eastAsia"/>
          <w:spacing w:val="14"/>
        </w:rPr>
        <w:t>(798.91</w:t>
      </w:r>
      <w:r>
        <w:rPr>
          <w:rFonts w:hint="eastAsia"/>
          <w:spacing w:val="14"/>
        </w:rPr>
        <w:t>人</w:t>
      </w:r>
      <w:r>
        <w:rPr>
          <w:rFonts w:hint="eastAsia"/>
          <w:spacing w:val="14"/>
        </w:rPr>
        <w:t>)</w:t>
      </w:r>
      <w:r>
        <w:rPr>
          <w:rFonts w:hint="eastAsia"/>
          <w:spacing w:val="14"/>
        </w:rPr>
        <w:t>，死亡率最低的是克里特</w:t>
      </w:r>
      <w:r>
        <w:rPr>
          <w:rFonts w:hint="eastAsia"/>
          <w:spacing w:val="14"/>
        </w:rPr>
        <w:t>(645.12</w:t>
      </w:r>
      <w:r>
        <w:rPr>
          <w:rFonts w:hint="eastAsia"/>
          <w:spacing w:val="14"/>
        </w:rPr>
        <w:t>人</w:t>
      </w:r>
      <w:r>
        <w:rPr>
          <w:rFonts w:hint="eastAsia"/>
          <w:spacing w:val="14"/>
        </w:rPr>
        <w:t>)</w:t>
      </w:r>
      <w:r>
        <w:rPr>
          <w:rFonts w:hint="eastAsia"/>
          <w:spacing w:val="14"/>
        </w:rPr>
        <w:t>。在</w:t>
      </w:r>
      <w:r>
        <w:rPr>
          <w:rFonts w:hint="eastAsia"/>
          <w:spacing w:val="14"/>
        </w:rPr>
        <w:t>1981-1991</w:t>
      </w:r>
      <w:r>
        <w:rPr>
          <w:rFonts w:hint="eastAsia"/>
          <w:spacing w:val="14"/>
        </w:rPr>
        <w:t>年这段时间里，各地区的死亡率都呈现下降趋势。社会经济差异较低的地区，</w:t>
      </w:r>
      <w:r>
        <w:rPr>
          <w:rFonts w:hint="eastAsia"/>
        </w:rPr>
        <w:t>如色雷斯</w:t>
      </w:r>
      <w:r>
        <w:rPr>
          <w:rFonts w:hint="eastAsia"/>
        </w:rPr>
        <w:t>(-4.7%)</w:t>
      </w:r>
      <w:r>
        <w:rPr>
          <w:rFonts w:hint="eastAsia"/>
        </w:rPr>
        <w:t>和马其顿</w:t>
      </w:r>
      <w:r>
        <w:rPr>
          <w:rFonts w:hint="eastAsia"/>
        </w:rPr>
        <w:t>(-7.9%)</w:t>
      </w:r>
      <w:r>
        <w:rPr>
          <w:rFonts w:hint="eastAsia"/>
        </w:rPr>
        <w:t>，下降的程度较低。婴儿死亡率的情况也有类似现象。</w:t>
      </w:r>
    </w:p>
    <w:p w:rsidR="00000000" w:rsidRDefault="00000000">
      <w:pPr>
        <w:pStyle w:val="Heading4"/>
        <w:rPr>
          <w:rFonts w:hint="eastAsia"/>
        </w:rPr>
      </w:pPr>
      <w:r>
        <w:rPr>
          <w:rFonts w:hint="eastAsia"/>
        </w:rPr>
        <w:t>早</w:t>
      </w:r>
      <w:r>
        <w:rPr>
          <w:rFonts w:hint="eastAsia"/>
        </w:rPr>
        <w:t xml:space="preserve">  </w:t>
      </w:r>
      <w:r>
        <w:rPr>
          <w:rFonts w:hint="eastAsia"/>
        </w:rPr>
        <w:t>亡</w:t>
      </w:r>
    </w:p>
    <w:p w:rsidR="00000000" w:rsidRDefault="00000000">
      <w:pPr>
        <w:spacing w:after="320"/>
        <w:rPr>
          <w:rFonts w:hint="eastAsia"/>
        </w:rPr>
      </w:pPr>
      <w:r>
        <w:rPr>
          <w:rFonts w:hint="eastAsia"/>
        </w:rPr>
        <w:tab/>
        <w:t xml:space="preserve">418.  </w:t>
      </w:r>
      <w:r>
        <w:rPr>
          <w:rFonts w:hint="eastAsia"/>
        </w:rPr>
        <w:t>在希腊，</w:t>
      </w:r>
      <w:r>
        <w:rPr>
          <w:rFonts w:hint="eastAsia"/>
        </w:rPr>
        <w:t>1-69</w:t>
      </w:r>
      <w:r>
        <w:rPr>
          <w:rFonts w:hint="eastAsia"/>
        </w:rPr>
        <w:t>岁期间早死的三个主要原因，男女均包括在内，是事故、循环系统疾病和恶性肿瘤。事故，特别是对男人而言，是在生命最后几年里造成早死的主要原因</w:t>
      </w:r>
      <w:r>
        <w:rPr>
          <w:rFonts w:hint="eastAsia"/>
        </w:rPr>
        <w:t>(31%)</w:t>
      </w:r>
      <w:r>
        <w:rPr>
          <w:rFonts w:hint="eastAsia"/>
        </w:rPr>
        <w:t>，主要是交通事故</w:t>
      </w:r>
      <w:r>
        <w:rPr>
          <w:rFonts w:hint="eastAsia"/>
        </w:rPr>
        <w:t>(19%)</w:t>
      </w:r>
      <w:r>
        <w:rPr>
          <w:rFonts w:hint="eastAsia"/>
        </w:rPr>
        <w:t>。其他原因依次是循环系统疾病</w:t>
      </w:r>
      <w:r>
        <w:rPr>
          <w:rFonts w:hint="eastAsia"/>
        </w:rPr>
        <w:t>(21%)</w:t>
      </w:r>
      <w:r>
        <w:rPr>
          <w:rFonts w:hint="eastAsia"/>
        </w:rPr>
        <w:t>、心肌梗死</w:t>
      </w:r>
      <w:r>
        <w:rPr>
          <w:rFonts w:hint="eastAsia"/>
        </w:rPr>
        <w:t>(12%)</w:t>
      </w:r>
      <w:r>
        <w:rPr>
          <w:rFonts w:hint="eastAsia"/>
        </w:rPr>
        <w:t>、脑血管疾病</w:t>
      </w:r>
      <w:r>
        <w:rPr>
          <w:rFonts w:hint="eastAsia"/>
        </w:rPr>
        <w:t>(4%)</w:t>
      </w:r>
      <w:r>
        <w:rPr>
          <w:rFonts w:hint="eastAsia"/>
        </w:rPr>
        <w:t>和恶性肿瘤</w:t>
      </w:r>
      <w:r>
        <w:rPr>
          <w:rFonts w:hint="eastAsia"/>
        </w:rPr>
        <w:t>(20%)</w:t>
      </w:r>
      <w:r>
        <w:rPr>
          <w:rFonts w:hint="eastAsia"/>
        </w:rPr>
        <w:t>，肺癌</w:t>
      </w:r>
      <w:r>
        <w:rPr>
          <w:rFonts w:hint="eastAsia"/>
        </w:rPr>
        <w:t>(7%)</w:t>
      </w:r>
      <w:r>
        <w:rPr>
          <w:rFonts w:hint="eastAsia"/>
        </w:rPr>
        <w:t>。女性，造成总寿命损失的主要原因是恶性肿瘤</w:t>
      </w:r>
      <w:r>
        <w:rPr>
          <w:rFonts w:hint="eastAsia"/>
        </w:rPr>
        <w:t>(28%)</w:t>
      </w:r>
      <w:r>
        <w:rPr>
          <w:rFonts w:hint="eastAsia"/>
        </w:rPr>
        <w:t>，且主要乳腺癌</w:t>
      </w:r>
      <w:r>
        <w:rPr>
          <w:rFonts w:hint="eastAsia"/>
        </w:rPr>
        <w:t>(7%)</w:t>
      </w:r>
      <w:r>
        <w:rPr>
          <w:rFonts w:hint="eastAsia"/>
        </w:rPr>
        <w:t>，其次是事故</w:t>
      </w:r>
      <w:r>
        <w:rPr>
          <w:rFonts w:hint="eastAsia"/>
        </w:rPr>
        <w:t>(17.5%)</w:t>
      </w:r>
      <w:r>
        <w:rPr>
          <w:rFonts w:hint="eastAsia"/>
        </w:rPr>
        <w:t>、交通事故</w:t>
      </w:r>
      <w:r>
        <w:rPr>
          <w:rFonts w:hint="eastAsia"/>
        </w:rPr>
        <w:t>(11%)</w:t>
      </w:r>
      <w:r>
        <w:rPr>
          <w:rFonts w:hint="eastAsia"/>
        </w:rPr>
        <w:t>、循环系统疾病</w:t>
      </w:r>
      <w:r>
        <w:rPr>
          <w:rFonts w:hint="eastAsia"/>
        </w:rPr>
        <w:t>(</w:t>
      </w:r>
      <w:r>
        <w:rPr>
          <w:rFonts w:hint="eastAsia"/>
        </w:rPr>
        <w:t>心肌梗死</w:t>
      </w:r>
      <w:r>
        <w:rPr>
          <w:rFonts w:hint="eastAsia"/>
        </w:rPr>
        <w:t>(5%))</w:t>
      </w:r>
      <w:r>
        <w:rPr>
          <w:rFonts w:hint="eastAsia"/>
        </w:rPr>
        <w:t>和脑血管疾病</w:t>
      </w:r>
      <w:r>
        <w:rPr>
          <w:rFonts w:hint="eastAsia"/>
        </w:rPr>
        <w:t>(4.5%)</w:t>
      </w:r>
      <w:r>
        <w:rPr>
          <w:rFonts w:hint="eastAsia"/>
        </w:rPr>
        <w:t>。男女之间预期寿命</w:t>
      </w:r>
      <w:r>
        <w:rPr>
          <w:rFonts w:hint="eastAsia"/>
        </w:rPr>
        <w:t>(</w:t>
      </w:r>
      <w:r>
        <w:rPr>
          <w:rFonts w:hint="eastAsia"/>
        </w:rPr>
        <w:t>损失寿命</w:t>
      </w:r>
      <w:r>
        <w:rPr>
          <w:rFonts w:hint="eastAsia"/>
        </w:rPr>
        <w:t>)</w:t>
      </w:r>
      <w:r>
        <w:rPr>
          <w:rFonts w:hint="eastAsia"/>
        </w:rPr>
        <w:t>上的差异，妇女较低，因此妇女的预期寿命较高。</w:t>
      </w:r>
    </w:p>
    <w:p w:rsidR="00000000" w:rsidRDefault="00000000">
      <w:pPr>
        <w:pStyle w:val="Heading4"/>
        <w:rPr>
          <w:rFonts w:hint="eastAsia"/>
        </w:rPr>
      </w:pPr>
      <w:r>
        <w:rPr>
          <w:rFonts w:hint="eastAsia"/>
        </w:rPr>
        <w:t>发病率</w:t>
      </w:r>
    </w:p>
    <w:p w:rsidR="00000000" w:rsidRDefault="00000000">
      <w:pPr>
        <w:rPr>
          <w:rFonts w:hint="eastAsia"/>
        </w:rPr>
      </w:pPr>
      <w:r>
        <w:rPr>
          <w:rFonts w:hint="eastAsia"/>
        </w:rPr>
        <w:tab/>
        <w:t xml:space="preserve">419.  </w:t>
      </w:r>
      <w:r>
        <w:rPr>
          <w:rFonts w:hint="eastAsia"/>
        </w:rPr>
        <w:t>希腊没有充分的统计数字的证据，准确地估计发病率指数。唯一可依赖的数字，是在医院接受治疗的病人的记录。这些数字说明了接受医疗的情况，而不是人口的实际需要。</w:t>
      </w:r>
    </w:p>
    <w:p w:rsidR="00000000" w:rsidRDefault="00000000">
      <w:pPr>
        <w:rPr>
          <w:rFonts w:hint="eastAsia"/>
        </w:rPr>
      </w:pPr>
      <w:r>
        <w:rPr>
          <w:rFonts w:hint="eastAsia"/>
        </w:rPr>
        <w:tab/>
        <w:t>420.  1995</w:t>
      </w:r>
      <w:r>
        <w:rPr>
          <w:rFonts w:hint="eastAsia"/>
        </w:rPr>
        <w:t>年希腊人在医院接受治疗的主要病因，是呼吸系统疾病、消化系统疾病、肿瘤、事故和中毒。与</w:t>
      </w:r>
      <w:r>
        <w:rPr>
          <w:rFonts w:hint="eastAsia"/>
        </w:rPr>
        <w:t>1985</w:t>
      </w:r>
      <w:r>
        <w:rPr>
          <w:rFonts w:hint="eastAsia"/>
        </w:rPr>
        <w:t>年医院治疗的病因相比，差别在于循环系统疾病大大增加</w:t>
      </w:r>
      <w:r>
        <w:rPr>
          <w:rFonts w:hint="eastAsia"/>
        </w:rPr>
        <w:t>(</w:t>
      </w:r>
      <w:r>
        <w:rPr>
          <w:rFonts w:hint="eastAsia"/>
        </w:rPr>
        <w:t>从</w:t>
      </w:r>
      <w:r>
        <w:rPr>
          <w:rFonts w:hint="eastAsia"/>
        </w:rPr>
        <w:t>139,507</w:t>
      </w:r>
      <w:r>
        <w:rPr>
          <w:rFonts w:hint="eastAsia"/>
        </w:rPr>
        <w:t>次治疗增加到</w:t>
      </w:r>
      <w:r>
        <w:rPr>
          <w:rFonts w:hint="eastAsia"/>
        </w:rPr>
        <w:t xml:space="preserve">213,725 </w:t>
      </w:r>
      <w:r>
        <w:rPr>
          <w:rFonts w:hint="eastAsia"/>
        </w:rPr>
        <w:t>次</w:t>
      </w:r>
      <w:r>
        <w:rPr>
          <w:rFonts w:hint="eastAsia"/>
        </w:rPr>
        <w:t>)</w:t>
      </w:r>
      <w:r>
        <w:rPr>
          <w:rFonts w:hint="eastAsia"/>
        </w:rPr>
        <w:t>，占据第一位。明显增加的疾病还有肿瘤</w:t>
      </w:r>
      <w:r>
        <w:rPr>
          <w:rFonts w:hint="eastAsia"/>
        </w:rPr>
        <w:t>(</w:t>
      </w:r>
      <w:r>
        <w:rPr>
          <w:rFonts w:hint="eastAsia"/>
        </w:rPr>
        <w:t>从</w:t>
      </w:r>
      <w:r>
        <w:rPr>
          <w:rFonts w:hint="eastAsia"/>
        </w:rPr>
        <w:t>75,958</w:t>
      </w:r>
      <w:r>
        <w:rPr>
          <w:rFonts w:hint="eastAsia"/>
        </w:rPr>
        <w:t>增加到</w:t>
      </w:r>
      <w:r>
        <w:rPr>
          <w:rFonts w:hint="eastAsia"/>
        </w:rPr>
        <w:t>140,505)</w:t>
      </w:r>
      <w:r>
        <w:rPr>
          <w:rFonts w:hint="eastAsia"/>
        </w:rPr>
        <w:t>，神经和感官疾病</w:t>
      </w:r>
      <w:r>
        <w:rPr>
          <w:rFonts w:hint="eastAsia"/>
        </w:rPr>
        <w:t>(</w:t>
      </w:r>
      <w:r>
        <w:rPr>
          <w:rFonts w:hint="eastAsia"/>
        </w:rPr>
        <w:t>从</w:t>
      </w:r>
      <w:r>
        <w:rPr>
          <w:rFonts w:hint="eastAsia"/>
        </w:rPr>
        <w:t>56,083</w:t>
      </w:r>
      <w:r>
        <w:rPr>
          <w:rFonts w:hint="eastAsia"/>
        </w:rPr>
        <w:t>增加到</w:t>
      </w:r>
      <w:r>
        <w:rPr>
          <w:rFonts w:hint="eastAsia"/>
        </w:rPr>
        <w:t>92,217)</w:t>
      </w:r>
      <w:r>
        <w:rPr>
          <w:rFonts w:hint="eastAsia"/>
        </w:rPr>
        <w:t>，和泌尿系统疾病</w:t>
      </w:r>
      <w:r>
        <w:rPr>
          <w:rFonts w:hint="eastAsia"/>
        </w:rPr>
        <w:t>(</w:t>
      </w:r>
      <w:r>
        <w:rPr>
          <w:rFonts w:hint="eastAsia"/>
        </w:rPr>
        <w:t>从</w:t>
      </w:r>
      <w:r>
        <w:rPr>
          <w:rFonts w:hint="eastAsia"/>
        </w:rPr>
        <w:t>96,212</w:t>
      </w:r>
      <w:r>
        <w:rPr>
          <w:rFonts w:hint="eastAsia"/>
        </w:rPr>
        <w:t>增加到</w:t>
      </w:r>
      <w:r>
        <w:rPr>
          <w:rFonts w:hint="eastAsia"/>
        </w:rPr>
        <w:t>125,469)</w:t>
      </w:r>
      <w:r>
        <w:rPr>
          <w:rFonts w:hint="eastAsia"/>
        </w:rPr>
        <w:t>，而血液和造血功能疾病则例外的有所下降</w:t>
      </w:r>
      <w:r>
        <w:rPr>
          <w:rFonts w:hint="eastAsia"/>
        </w:rPr>
        <w:t>(</w:t>
      </w:r>
      <w:r>
        <w:rPr>
          <w:rFonts w:hint="eastAsia"/>
        </w:rPr>
        <w:t>从</w:t>
      </w:r>
      <w:r>
        <w:rPr>
          <w:rFonts w:hint="eastAsia"/>
        </w:rPr>
        <w:t>43,203</w:t>
      </w:r>
      <w:r>
        <w:rPr>
          <w:rFonts w:hint="eastAsia"/>
        </w:rPr>
        <w:t>下降到</w:t>
      </w:r>
      <w:r>
        <w:rPr>
          <w:rFonts w:hint="eastAsia"/>
        </w:rPr>
        <w:t>26,111)</w:t>
      </w:r>
      <w:r>
        <w:rPr>
          <w:rFonts w:hint="eastAsia"/>
        </w:rPr>
        <w:t>。</w:t>
      </w:r>
    </w:p>
    <w:p w:rsidR="00000000" w:rsidRDefault="00000000">
      <w:pPr>
        <w:rPr>
          <w:rFonts w:hint="eastAsia"/>
        </w:rPr>
      </w:pPr>
      <w:r>
        <w:rPr>
          <w:rFonts w:hint="eastAsia"/>
        </w:rPr>
        <w:tab/>
        <w:t xml:space="preserve">421.  </w:t>
      </w:r>
      <w:r>
        <w:rPr>
          <w:rFonts w:hint="eastAsia"/>
        </w:rPr>
        <w:t>预期寿命增加、现代生活方式和人口老龄化，使慢性病、糖尿病和感观疾病的比例增加。在很大程度上，上述疾病不需要医院治疗，正因如此，很难将之记录在案。与欧洲联盟成员国中慢性病的发病率相比，希腊在其他成员国中排名第七位，处于中上位置，每</w:t>
      </w:r>
      <w:r>
        <w:rPr>
          <w:rFonts w:hint="eastAsia"/>
        </w:rPr>
        <w:t>100</w:t>
      </w:r>
      <w:r>
        <w:rPr>
          <w:rFonts w:hint="eastAsia"/>
        </w:rPr>
        <w:t>人中有</w:t>
      </w:r>
      <w:r>
        <w:rPr>
          <w:rFonts w:hint="eastAsia"/>
        </w:rPr>
        <w:t>7</w:t>
      </w:r>
      <w:r>
        <w:rPr>
          <w:rFonts w:hint="eastAsia"/>
        </w:rPr>
        <w:t>人患慢性病。</w:t>
      </w:r>
    </w:p>
    <w:p w:rsidR="00000000" w:rsidRDefault="00000000">
      <w:pPr>
        <w:spacing w:after="240"/>
        <w:rPr>
          <w:rFonts w:hint="eastAsia"/>
        </w:rPr>
      </w:pPr>
      <w:r>
        <w:rPr>
          <w:rFonts w:hint="eastAsia"/>
        </w:rPr>
        <w:tab/>
        <w:t xml:space="preserve">422.  </w:t>
      </w:r>
      <w:r>
        <w:rPr>
          <w:rFonts w:hint="eastAsia"/>
        </w:rPr>
        <w:t>至于现代黑死病</w:t>
      </w:r>
      <w:r>
        <w:rPr>
          <w:rFonts w:hint="eastAsia"/>
          <w:spacing w:val="-50"/>
        </w:rPr>
        <w:t>―</w:t>
      </w:r>
      <w:r>
        <w:rPr>
          <w:rFonts w:hint="eastAsia"/>
        </w:rPr>
        <w:t>―艾滋病，希腊直接确诊的病历为</w:t>
      </w:r>
      <w:r>
        <w:rPr>
          <w:rFonts w:hint="eastAsia"/>
        </w:rPr>
        <w:t>1,964</w:t>
      </w:r>
      <w:r>
        <w:rPr>
          <w:rFonts w:hint="eastAsia"/>
        </w:rPr>
        <w:t>人，其中男性</w:t>
      </w:r>
      <w:r>
        <w:rPr>
          <w:rFonts w:hint="eastAsia"/>
        </w:rPr>
        <w:t>1,707</w:t>
      </w:r>
      <w:r>
        <w:rPr>
          <w:rFonts w:hint="eastAsia"/>
        </w:rPr>
        <w:t>人</w:t>
      </w:r>
      <w:r>
        <w:rPr>
          <w:rFonts w:hint="eastAsia"/>
        </w:rPr>
        <w:t>(86.9%)</w:t>
      </w:r>
      <w:r>
        <w:rPr>
          <w:rFonts w:hint="eastAsia"/>
        </w:rPr>
        <w:t>，女性</w:t>
      </w:r>
      <w:r>
        <w:rPr>
          <w:rFonts w:hint="eastAsia"/>
        </w:rPr>
        <w:t>257</w:t>
      </w:r>
      <w:r>
        <w:rPr>
          <w:rFonts w:hint="eastAsia"/>
        </w:rPr>
        <w:t>人</w:t>
      </w:r>
      <w:r>
        <w:rPr>
          <w:rFonts w:hint="eastAsia"/>
        </w:rPr>
        <w:t>(13%)</w:t>
      </w:r>
      <w:r>
        <w:rPr>
          <w:rFonts w:hint="eastAsia"/>
        </w:rPr>
        <w:t>。在总病历中，儿童</w:t>
      </w:r>
      <w:r>
        <w:rPr>
          <w:rFonts w:hint="eastAsia"/>
        </w:rPr>
        <w:t>31</w:t>
      </w:r>
      <w:r>
        <w:rPr>
          <w:rFonts w:hint="eastAsia"/>
        </w:rPr>
        <w:t>人</w:t>
      </w:r>
      <w:r>
        <w:rPr>
          <w:rFonts w:hint="eastAsia"/>
        </w:rPr>
        <w:t>(1.6%)</w:t>
      </w:r>
      <w:r>
        <w:rPr>
          <w:rFonts w:hint="eastAsia"/>
        </w:rPr>
        <w:t>，其中男童</w:t>
      </w:r>
      <w:r>
        <w:rPr>
          <w:rFonts w:hint="eastAsia"/>
        </w:rPr>
        <w:t>18</w:t>
      </w:r>
      <w:r>
        <w:rPr>
          <w:rFonts w:hint="eastAsia"/>
        </w:rPr>
        <w:t>人</w:t>
      </w:r>
      <w:r>
        <w:rPr>
          <w:rFonts w:hint="eastAsia"/>
        </w:rPr>
        <w:t>(58%)</w:t>
      </w:r>
      <w:r>
        <w:rPr>
          <w:rFonts w:hint="eastAsia"/>
        </w:rPr>
        <w:t>，女童</w:t>
      </w:r>
      <w:r>
        <w:rPr>
          <w:rFonts w:hint="eastAsia"/>
        </w:rPr>
        <w:t>13</w:t>
      </w:r>
      <w:r>
        <w:rPr>
          <w:rFonts w:hint="eastAsia"/>
        </w:rPr>
        <w:t>人</w:t>
      </w:r>
      <w:r>
        <w:rPr>
          <w:rFonts w:hint="eastAsia"/>
        </w:rPr>
        <w:t>(41.9%)</w:t>
      </w:r>
      <w:r>
        <w:rPr>
          <w:rFonts w:hint="eastAsia"/>
        </w:rPr>
        <w:t>。</w:t>
      </w:r>
    </w:p>
    <w:p w:rsidR="00000000" w:rsidRDefault="00000000">
      <w:pPr>
        <w:pStyle w:val="Heading4"/>
        <w:rPr>
          <w:rFonts w:hint="eastAsia"/>
        </w:rPr>
      </w:pPr>
      <w:r>
        <w:rPr>
          <w:rFonts w:hint="eastAsia"/>
        </w:rPr>
        <w:t>精神健康</w:t>
      </w:r>
    </w:p>
    <w:p w:rsidR="00000000" w:rsidRDefault="00000000">
      <w:pPr>
        <w:rPr>
          <w:rFonts w:hint="eastAsia"/>
        </w:rPr>
      </w:pPr>
      <w:r>
        <w:rPr>
          <w:rFonts w:hint="eastAsia"/>
        </w:rPr>
        <w:tab/>
        <w:t xml:space="preserve">423.  </w:t>
      </w:r>
      <w:r>
        <w:rPr>
          <w:rFonts w:hint="eastAsia"/>
        </w:rPr>
        <w:t>在希腊，有关希腊人精神健康的流行病学研究甚少。其中最重要的两个研究项目是国家社会研究中心在</w:t>
      </w:r>
      <w:r>
        <w:rPr>
          <w:rFonts w:hint="eastAsia"/>
        </w:rPr>
        <w:t>1970-1980</w:t>
      </w:r>
      <w:r>
        <w:rPr>
          <w:rFonts w:hint="eastAsia"/>
        </w:rPr>
        <w:t>年期间、和雅典国立大学精神病院在</w:t>
      </w:r>
      <w:r>
        <w:rPr>
          <w:rFonts w:hint="eastAsia"/>
        </w:rPr>
        <w:t>1984</w:t>
      </w:r>
      <w:r>
        <w:rPr>
          <w:rFonts w:hint="eastAsia"/>
        </w:rPr>
        <w:t>年进行的。</w:t>
      </w:r>
    </w:p>
    <w:p w:rsidR="00000000" w:rsidRDefault="00000000">
      <w:pPr>
        <w:rPr>
          <w:rFonts w:hint="eastAsia"/>
        </w:rPr>
      </w:pPr>
      <w:r>
        <w:rPr>
          <w:rFonts w:hint="eastAsia"/>
        </w:rPr>
        <w:tab/>
        <w:t xml:space="preserve">424.  </w:t>
      </w:r>
      <w:r>
        <w:rPr>
          <w:rFonts w:hint="eastAsia"/>
        </w:rPr>
        <w:t>根据第一项研究的结果，在检查的</w:t>
      </w:r>
      <w:r>
        <w:rPr>
          <w:rFonts w:hint="eastAsia"/>
        </w:rPr>
        <w:t>4,083</w:t>
      </w:r>
      <w:r>
        <w:rPr>
          <w:rFonts w:hint="eastAsia"/>
        </w:rPr>
        <w:t>名成人中确定</w:t>
      </w:r>
      <w:r>
        <w:rPr>
          <w:rFonts w:hint="eastAsia"/>
        </w:rPr>
        <w:t>24%</w:t>
      </w:r>
      <w:r>
        <w:rPr>
          <w:rFonts w:hint="eastAsia"/>
        </w:rPr>
        <w:t>接受检查的妇女和</w:t>
      </w:r>
      <w:r>
        <w:rPr>
          <w:rFonts w:hint="eastAsia"/>
        </w:rPr>
        <w:t>11%</w:t>
      </w:r>
      <w:r>
        <w:rPr>
          <w:rFonts w:hint="eastAsia"/>
        </w:rPr>
        <w:t>的男人可被认为患有严重的精神失常。对居住地进行的比较表明，雅典人患精神病的比例较高。</w:t>
      </w:r>
    </w:p>
    <w:p w:rsidR="00000000" w:rsidRDefault="00000000">
      <w:pPr>
        <w:rPr>
          <w:rFonts w:hint="eastAsia"/>
        </w:rPr>
      </w:pPr>
      <w:r>
        <w:rPr>
          <w:rFonts w:hint="eastAsia"/>
        </w:rPr>
        <w:tab/>
        <w:t xml:space="preserve">425.  </w:t>
      </w:r>
      <w:r>
        <w:rPr>
          <w:rFonts w:hint="eastAsia"/>
        </w:rPr>
        <w:t>至于第二项研究的结论，对象有</w:t>
      </w:r>
      <w:r>
        <w:rPr>
          <w:rFonts w:hint="eastAsia"/>
        </w:rPr>
        <w:t>4,292</w:t>
      </w:r>
      <w:r>
        <w:rPr>
          <w:rFonts w:hint="eastAsia"/>
        </w:rPr>
        <w:t>人，该项研究发现，</w:t>
      </w:r>
      <w:r>
        <w:rPr>
          <w:rFonts w:hint="eastAsia"/>
        </w:rPr>
        <w:t>18-64</w:t>
      </w:r>
      <w:r>
        <w:rPr>
          <w:rFonts w:hint="eastAsia"/>
        </w:rPr>
        <w:t>岁之间的男子</w:t>
      </w:r>
      <w:r>
        <w:rPr>
          <w:rFonts w:hint="eastAsia"/>
        </w:rPr>
        <w:t>18.7%</w:t>
      </w:r>
      <w:r>
        <w:rPr>
          <w:rFonts w:hint="eastAsia"/>
        </w:rPr>
        <w:t>患有严重的精神失常，而有同样症状的妇女达</w:t>
      </w:r>
      <w:r>
        <w:rPr>
          <w:rFonts w:hint="eastAsia"/>
        </w:rPr>
        <w:t>34%</w:t>
      </w:r>
      <w:r>
        <w:rPr>
          <w:rFonts w:hint="eastAsia"/>
        </w:rPr>
        <w:t>。</w:t>
      </w:r>
    </w:p>
    <w:p w:rsidR="00000000" w:rsidRDefault="00000000">
      <w:pPr>
        <w:rPr>
          <w:rFonts w:hint="eastAsia"/>
        </w:rPr>
      </w:pPr>
      <w:r>
        <w:rPr>
          <w:rFonts w:hint="eastAsia"/>
        </w:rPr>
        <w:tab/>
        <w:t xml:space="preserve">426.  </w:t>
      </w:r>
      <w:r>
        <w:rPr>
          <w:rFonts w:hint="eastAsia"/>
        </w:rPr>
        <w:t>与第一项研究相比，第二项研究记录的患有精神失常的人比例很高，可归因于在过去五年里发生的重大社会经济变化</w:t>
      </w:r>
      <w:r>
        <w:rPr>
          <w:rFonts w:hint="eastAsia"/>
        </w:rPr>
        <w:t>(</w:t>
      </w:r>
      <w:r>
        <w:rPr>
          <w:rFonts w:hint="eastAsia"/>
        </w:rPr>
        <w:t>如收入减少、失业增加、高通货膨胀</w:t>
      </w:r>
      <w:r>
        <w:rPr>
          <w:rFonts w:hint="eastAsia"/>
        </w:rPr>
        <w:t>)</w:t>
      </w:r>
      <w:r>
        <w:rPr>
          <w:rFonts w:hint="eastAsia"/>
        </w:rPr>
        <w:t>。上述比例并不指临床病案，而是指较高危险的对象群体。至于医院治疗的精神病患者，到一级卫生保健机构就诊的人</w:t>
      </w:r>
      <w:r>
        <w:rPr>
          <w:rFonts w:hint="eastAsia"/>
        </w:rPr>
        <w:t>25%</w:t>
      </w:r>
      <w:r>
        <w:rPr>
          <w:rFonts w:hint="eastAsia"/>
        </w:rPr>
        <w:t>患有精神失常，而且男性多于女性</w:t>
      </w:r>
      <w:r>
        <w:rPr>
          <w:rFonts w:hint="eastAsia"/>
        </w:rPr>
        <w:t>(</w:t>
      </w:r>
      <w:r>
        <w:rPr>
          <w:rFonts w:hint="eastAsia"/>
        </w:rPr>
        <w:t>每</w:t>
      </w:r>
      <w:r>
        <w:rPr>
          <w:rFonts w:hint="eastAsia"/>
        </w:rPr>
        <w:t>100,000</w:t>
      </w:r>
      <w:r>
        <w:rPr>
          <w:rFonts w:hint="eastAsia"/>
        </w:rPr>
        <w:t>居民中男性</w:t>
      </w:r>
      <w:r>
        <w:rPr>
          <w:rFonts w:hint="eastAsia"/>
        </w:rPr>
        <w:t>106</w:t>
      </w:r>
      <w:r>
        <w:rPr>
          <w:rFonts w:hint="eastAsia"/>
        </w:rPr>
        <w:t>人，女性</w:t>
      </w:r>
      <w:r>
        <w:rPr>
          <w:rFonts w:hint="eastAsia"/>
        </w:rPr>
        <w:t>75.7</w:t>
      </w:r>
      <w:r>
        <w:rPr>
          <w:rFonts w:hint="eastAsia"/>
        </w:rPr>
        <w:t>人</w:t>
      </w:r>
      <w:r>
        <w:rPr>
          <w:rFonts w:hint="eastAsia"/>
        </w:rPr>
        <w:t>)</w:t>
      </w:r>
      <w:r>
        <w:rPr>
          <w:rFonts w:hint="eastAsia"/>
        </w:rPr>
        <w:t>。</w:t>
      </w:r>
    </w:p>
    <w:p w:rsidR="00000000" w:rsidRDefault="00000000">
      <w:pPr>
        <w:rPr>
          <w:rFonts w:hint="eastAsia"/>
        </w:rPr>
      </w:pPr>
      <w:r>
        <w:rPr>
          <w:rFonts w:hint="eastAsia"/>
        </w:rPr>
        <w:tab/>
        <w:t xml:space="preserve">427.  </w:t>
      </w:r>
      <w:r>
        <w:rPr>
          <w:rFonts w:hint="eastAsia"/>
        </w:rPr>
        <w:t>接受治疗的人，他们的地理分布表明，以下几个省的精神病发病率最高：</w:t>
      </w:r>
      <w:r>
        <w:rPr>
          <w:rFonts w:hint="eastAsia"/>
        </w:rPr>
        <w:t>G</w:t>
      </w:r>
      <w:r>
        <w:t>revena</w:t>
      </w:r>
      <w:r>
        <w:rPr>
          <w:rFonts w:hint="eastAsia"/>
        </w:rPr>
        <w:t>、</w:t>
      </w:r>
      <w:r>
        <w:t>Rethymno</w:t>
      </w:r>
      <w:r>
        <w:rPr>
          <w:rFonts w:hint="eastAsia"/>
        </w:rPr>
        <w:t>、</w:t>
      </w:r>
      <w:r>
        <w:t>Florina</w:t>
      </w:r>
      <w:r>
        <w:rPr>
          <w:rFonts w:hint="eastAsia"/>
        </w:rPr>
        <w:t>、</w:t>
      </w:r>
      <w:r>
        <w:t>Kastoria</w:t>
      </w:r>
      <w:r>
        <w:rPr>
          <w:rFonts w:hint="eastAsia"/>
        </w:rPr>
        <w:t>和</w:t>
      </w:r>
      <w:r>
        <w:t>Karditsa</w:t>
      </w:r>
      <w:r>
        <w:rPr>
          <w:rFonts w:hint="eastAsia"/>
        </w:rPr>
        <w:t>。需要到医院治疗的病历，主要是神经分裂症、情绪型精神病、酗酒和气质性精神病综合症。</w:t>
      </w:r>
    </w:p>
    <w:p w:rsidR="00000000" w:rsidRDefault="00000000">
      <w:pPr>
        <w:spacing w:after="240"/>
        <w:rPr>
          <w:rFonts w:hint="eastAsia"/>
        </w:rPr>
      </w:pPr>
      <w:r>
        <w:rPr>
          <w:rFonts w:hint="eastAsia"/>
        </w:rPr>
        <w:tab/>
        <w:t xml:space="preserve">428.  </w:t>
      </w:r>
      <w:r>
        <w:rPr>
          <w:rFonts w:hint="eastAsia"/>
        </w:rPr>
        <w:t>大学心理卫生研究所在</w:t>
      </w:r>
      <w:r>
        <w:rPr>
          <w:rFonts w:hint="eastAsia"/>
        </w:rPr>
        <w:t>1998</w:t>
      </w:r>
      <w:r>
        <w:rPr>
          <w:rFonts w:hint="eastAsia"/>
        </w:rPr>
        <w:t>年进行了一项研究，在全希腊</w:t>
      </w:r>
      <w:r>
        <w:rPr>
          <w:rFonts w:hint="eastAsia"/>
        </w:rPr>
        <w:t>12</w:t>
      </w:r>
      <w:r>
        <w:rPr>
          <w:rFonts w:hint="eastAsia"/>
        </w:rPr>
        <w:t>至</w:t>
      </w:r>
      <w:r>
        <w:rPr>
          <w:rFonts w:hint="eastAsia"/>
        </w:rPr>
        <w:t>64</w:t>
      </w:r>
      <w:r>
        <w:rPr>
          <w:rFonts w:hint="eastAsia"/>
        </w:rPr>
        <w:t>岁的人中间调查了</w:t>
      </w:r>
      <w:r>
        <w:rPr>
          <w:rFonts w:hint="eastAsia"/>
        </w:rPr>
        <w:t>3,752</w:t>
      </w:r>
      <w:r>
        <w:rPr>
          <w:rFonts w:hint="eastAsia"/>
        </w:rPr>
        <w:t>人。这项研究采用了一套特别的方法</w:t>
      </w:r>
      <w:r>
        <w:rPr>
          <w:rFonts w:hint="eastAsia"/>
        </w:rPr>
        <w:t>(</w:t>
      </w:r>
      <w:r>
        <w:t>CES-D climacx-over 16)</w:t>
      </w:r>
      <w:r>
        <w:rPr>
          <w:rFonts w:hint="eastAsia"/>
        </w:rPr>
        <w:t>。根据调查结果，</w:t>
      </w:r>
      <w:r>
        <w:rPr>
          <w:rFonts w:hint="eastAsia"/>
        </w:rPr>
        <w:t>12</w:t>
      </w:r>
      <w:r>
        <w:rPr>
          <w:rFonts w:hint="eastAsia"/>
        </w:rPr>
        <w:t>至</w:t>
      </w:r>
      <w:r>
        <w:rPr>
          <w:rFonts w:hint="eastAsia"/>
        </w:rPr>
        <w:t>64</w:t>
      </w:r>
      <w:r>
        <w:rPr>
          <w:rFonts w:hint="eastAsia"/>
        </w:rPr>
        <w:t>岁的人中间属于这一类的人</w:t>
      </w:r>
      <w:r>
        <w:rPr>
          <w:rFonts w:hint="eastAsia"/>
        </w:rPr>
        <w:t>(</w:t>
      </w:r>
      <w:r>
        <w:t>at CES-D climacx-over 16)</w:t>
      </w:r>
      <w:r>
        <w:rPr>
          <w:rFonts w:hint="eastAsia"/>
        </w:rPr>
        <w:t>百分比是</w:t>
      </w:r>
      <w:r>
        <w:rPr>
          <w:rFonts w:hint="eastAsia"/>
        </w:rPr>
        <w:t>16.8%</w:t>
      </w:r>
      <w:r>
        <w:rPr>
          <w:rFonts w:hint="eastAsia"/>
        </w:rPr>
        <w:t>。在这一类中患有抑郁症的妇女，与男性相比超出一倍以上。</w:t>
      </w:r>
    </w:p>
    <w:p w:rsidR="00000000" w:rsidRDefault="00000000">
      <w:pPr>
        <w:pStyle w:val="Heading4"/>
        <w:rPr>
          <w:rFonts w:hint="eastAsia"/>
        </w:rPr>
      </w:pPr>
      <w:r>
        <w:rPr>
          <w:rFonts w:hint="eastAsia"/>
        </w:rPr>
        <w:t>吸</w:t>
      </w:r>
      <w:r>
        <w:rPr>
          <w:rFonts w:hint="eastAsia"/>
        </w:rPr>
        <w:t xml:space="preserve">  </w:t>
      </w:r>
      <w:r>
        <w:rPr>
          <w:rFonts w:hint="eastAsia"/>
        </w:rPr>
        <w:t>烟</w:t>
      </w:r>
    </w:p>
    <w:p w:rsidR="00000000" w:rsidRDefault="00000000">
      <w:pPr>
        <w:rPr>
          <w:rFonts w:hint="eastAsia"/>
        </w:rPr>
      </w:pPr>
      <w:r>
        <w:rPr>
          <w:rFonts w:hint="eastAsia"/>
        </w:rPr>
        <w:tab/>
        <w:t xml:space="preserve">429.  </w:t>
      </w:r>
      <w:r>
        <w:rPr>
          <w:rFonts w:hint="eastAsia"/>
        </w:rPr>
        <w:t>在欧洲，希腊抽烟的人比例最高</w:t>
      </w:r>
      <w:r>
        <w:rPr>
          <w:rFonts w:hint="eastAsia"/>
        </w:rPr>
        <w:t>(1998</w:t>
      </w:r>
      <w:r>
        <w:rPr>
          <w:rFonts w:hint="eastAsia"/>
        </w:rPr>
        <w:t>年有</w:t>
      </w:r>
      <w:r>
        <w:rPr>
          <w:rFonts w:hint="eastAsia"/>
        </w:rPr>
        <w:t>45%</w:t>
      </w:r>
      <w:r>
        <w:rPr>
          <w:rFonts w:hint="eastAsia"/>
        </w:rPr>
        <w:t>的男人和</w:t>
      </w:r>
      <w:r>
        <w:rPr>
          <w:rFonts w:hint="eastAsia"/>
        </w:rPr>
        <w:t>32%</w:t>
      </w:r>
      <w:r>
        <w:rPr>
          <w:rFonts w:hint="eastAsia"/>
        </w:rPr>
        <w:t>的妇女</w:t>
      </w:r>
      <w:r>
        <w:rPr>
          <w:rFonts w:hint="eastAsia"/>
        </w:rPr>
        <w:t>)</w:t>
      </w:r>
      <w:r>
        <w:rPr>
          <w:rFonts w:hint="eastAsia"/>
        </w:rPr>
        <w:t>。对一些特定年龄群体，上述比例还要高出很多。与近些年来进行的流行病学研究相一致，所得出的结论是，在</w:t>
      </w:r>
      <w:r>
        <w:rPr>
          <w:rFonts w:hint="eastAsia"/>
        </w:rPr>
        <w:t>25</w:t>
      </w:r>
      <w:r>
        <w:rPr>
          <w:rFonts w:hint="eastAsia"/>
        </w:rPr>
        <w:t>至</w:t>
      </w:r>
      <w:r>
        <w:rPr>
          <w:rFonts w:hint="eastAsia"/>
        </w:rPr>
        <w:t>35</w:t>
      </w:r>
      <w:r>
        <w:rPr>
          <w:rFonts w:hint="eastAsia"/>
        </w:rPr>
        <w:t>岁期间，</w:t>
      </w:r>
      <w:r>
        <w:rPr>
          <w:rFonts w:hint="eastAsia"/>
        </w:rPr>
        <w:t>10</w:t>
      </w:r>
      <w:r>
        <w:rPr>
          <w:rFonts w:hint="eastAsia"/>
        </w:rPr>
        <w:t>名男人中的</w:t>
      </w:r>
      <w:r>
        <w:rPr>
          <w:rFonts w:hint="eastAsia"/>
        </w:rPr>
        <w:t>6</w:t>
      </w:r>
      <w:r>
        <w:rPr>
          <w:rFonts w:hint="eastAsia"/>
        </w:rPr>
        <w:t>人和</w:t>
      </w:r>
      <w:r>
        <w:rPr>
          <w:rFonts w:hint="eastAsia"/>
        </w:rPr>
        <w:t>10</w:t>
      </w:r>
      <w:r>
        <w:rPr>
          <w:rFonts w:hint="eastAsia"/>
        </w:rPr>
        <w:t>名妇女中的几乎</w:t>
      </w:r>
      <w:r>
        <w:rPr>
          <w:rFonts w:hint="eastAsia"/>
        </w:rPr>
        <w:t>4</w:t>
      </w:r>
      <w:r>
        <w:rPr>
          <w:rFonts w:hint="eastAsia"/>
        </w:rPr>
        <w:t>人有抽烟的习惯。</w:t>
      </w:r>
    </w:p>
    <w:p w:rsidR="00000000" w:rsidRDefault="00000000">
      <w:pPr>
        <w:rPr>
          <w:rFonts w:hint="eastAsia"/>
        </w:rPr>
      </w:pPr>
      <w:r>
        <w:rPr>
          <w:rFonts w:hint="eastAsia"/>
        </w:rPr>
        <w:tab/>
        <w:t>430.  17</w:t>
      </w:r>
      <w:r>
        <w:rPr>
          <w:rFonts w:hint="eastAsia"/>
        </w:rPr>
        <w:t>和</w:t>
      </w:r>
      <w:r>
        <w:rPr>
          <w:rFonts w:hint="eastAsia"/>
        </w:rPr>
        <w:t>18</w:t>
      </w:r>
      <w:r>
        <w:rPr>
          <w:rFonts w:hint="eastAsia"/>
        </w:rPr>
        <w:t>岁的学生中，有三分之一的人长期吸烟。此外，烟草的人均消费量希腊也是最高的。</w:t>
      </w:r>
      <w:r>
        <w:rPr>
          <w:rFonts w:hint="eastAsia"/>
        </w:rPr>
        <w:t>1990</w:t>
      </w:r>
      <w:r>
        <w:rPr>
          <w:rFonts w:hint="eastAsia"/>
        </w:rPr>
        <w:t>年代中期，希腊年人均吸烟</w:t>
      </w:r>
      <w:r>
        <w:rPr>
          <w:rFonts w:hint="eastAsia"/>
        </w:rPr>
        <w:t>2,920</w:t>
      </w:r>
      <w:r>
        <w:rPr>
          <w:rFonts w:hint="eastAsia"/>
        </w:rPr>
        <w:t>支，排在后面的西班牙是</w:t>
      </w:r>
      <w:r>
        <w:rPr>
          <w:rFonts w:hint="eastAsia"/>
        </w:rPr>
        <w:t>2,100</w:t>
      </w:r>
      <w:r>
        <w:rPr>
          <w:rFonts w:hint="eastAsia"/>
        </w:rPr>
        <w:t>支。</w:t>
      </w:r>
    </w:p>
    <w:p w:rsidR="00000000" w:rsidRDefault="00000000">
      <w:pPr>
        <w:rPr>
          <w:rFonts w:hint="eastAsia"/>
        </w:rPr>
      </w:pPr>
      <w:r>
        <w:rPr>
          <w:rFonts w:hint="eastAsia"/>
        </w:rPr>
        <w:tab/>
        <w:t xml:space="preserve">431.  </w:t>
      </w:r>
      <w:r>
        <w:rPr>
          <w:rFonts w:hint="eastAsia"/>
        </w:rPr>
        <w:t>在时间上，特别是在过去</w:t>
      </w:r>
      <w:r>
        <w:rPr>
          <w:rFonts w:hint="eastAsia"/>
        </w:rPr>
        <w:t>30</w:t>
      </w:r>
      <w:r>
        <w:rPr>
          <w:rFonts w:hint="eastAsia"/>
        </w:rPr>
        <w:t>年里，吸烟一直呈上升趋势，只有</w:t>
      </w:r>
      <w:r>
        <w:rPr>
          <w:rFonts w:hint="eastAsia"/>
        </w:rPr>
        <w:t>1979</w:t>
      </w:r>
      <w:r>
        <w:rPr>
          <w:rFonts w:hint="eastAsia"/>
        </w:rPr>
        <w:t>至</w:t>
      </w:r>
      <w:r>
        <w:rPr>
          <w:rFonts w:hint="eastAsia"/>
        </w:rPr>
        <w:t>1981</w:t>
      </w:r>
      <w:r>
        <w:rPr>
          <w:rFonts w:hint="eastAsia"/>
        </w:rPr>
        <w:t>年期间例外，当时由于戒烟运动的成功开展曾一度降为零。</w:t>
      </w:r>
    </w:p>
    <w:p w:rsidR="00000000" w:rsidRDefault="00000000">
      <w:pPr>
        <w:rPr>
          <w:rFonts w:hint="eastAsia"/>
        </w:rPr>
      </w:pPr>
      <w:r>
        <w:rPr>
          <w:rFonts w:hint="eastAsia"/>
        </w:rPr>
        <w:tab/>
        <w:t xml:space="preserve">432.  </w:t>
      </w:r>
      <w:r>
        <w:rPr>
          <w:rFonts w:hint="eastAsia"/>
        </w:rPr>
        <w:t>肺癌是男性最常见的癌症，在女性中占第三位。对于这类癌症，与其他欧洲国家相比，希腊的排名较低。这些年来肺癌的明显增加与吸烟的增长趋势一脉相承。据估计，</w:t>
      </w:r>
      <w:r>
        <w:rPr>
          <w:rFonts w:hint="eastAsia"/>
        </w:rPr>
        <w:t>1990</w:t>
      </w:r>
      <w:r>
        <w:rPr>
          <w:rFonts w:hint="eastAsia"/>
        </w:rPr>
        <w:t>年代，男性平均年龄的死亡有</w:t>
      </w:r>
      <w:r>
        <w:rPr>
          <w:rFonts w:hint="eastAsia"/>
        </w:rPr>
        <w:t>20%</w:t>
      </w:r>
      <w:r>
        <w:rPr>
          <w:rFonts w:hint="eastAsia"/>
        </w:rPr>
        <w:t>、妇女的死亡有</w:t>
      </w:r>
      <w:r>
        <w:rPr>
          <w:rFonts w:hint="eastAsia"/>
        </w:rPr>
        <w:t>3%</w:t>
      </w:r>
      <w:r>
        <w:rPr>
          <w:rFonts w:hint="eastAsia"/>
        </w:rPr>
        <w:t>与吸烟有关。</w:t>
      </w:r>
      <w:r>
        <w:rPr>
          <w:rFonts w:hint="eastAsia"/>
        </w:rPr>
        <w:t>25</w:t>
      </w:r>
      <w:r>
        <w:rPr>
          <w:rFonts w:hint="eastAsia"/>
        </w:rPr>
        <w:t>岁以上的成年人，男女都包括在内，因吸烟导致过早死亡的比例，估计占死亡总人数的</w:t>
      </w:r>
      <w:r>
        <w:rPr>
          <w:rFonts w:hint="eastAsia"/>
        </w:rPr>
        <w:t>18%</w:t>
      </w:r>
      <w:r>
        <w:rPr>
          <w:rFonts w:hint="eastAsia"/>
        </w:rPr>
        <w:t>。在因吸烟导致过早死亡方面，希腊和荷兰并列第二，排在丹麦之后。</w:t>
      </w:r>
    </w:p>
    <w:p w:rsidR="00000000" w:rsidRDefault="00000000">
      <w:pPr>
        <w:rPr>
          <w:rFonts w:hint="eastAsia"/>
        </w:rPr>
      </w:pPr>
      <w:r>
        <w:rPr>
          <w:rFonts w:hint="eastAsia"/>
        </w:rPr>
        <w:tab/>
        <w:t xml:space="preserve">433.  </w:t>
      </w:r>
      <w:r>
        <w:rPr>
          <w:rFonts w:hint="eastAsia"/>
        </w:rPr>
        <w:t>为了解决这个问题，采取了以下措施：</w:t>
      </w:r>
    </w:p>
    <w:p w:rsidR="00000000" w:rsidRDefault="00000000">
      <w:pPr>
        <w:pStyle w:val="a0"/>
        <w:tabs>
          <w:tab w:val="num" w:pos="1550"/>
        </w:tabs>
        <w:ind w:left="1550"/>
        <w:rPr>
          <w:rFonts w:hint="eastAsia"/>
        </w:rPr>
      </w:pPr>
      <w:r>
        <w:rPr>
          <w:rFonts w:hint="eastAsia"/>
        </w:rPr>
        <w:t>公共场所、人多的地方，如机场，飞机航班上、地铁等，以及医院禁止吸烟；</w:t>
      </w:r>
    </w:p>
    <w:p w:rsidR="00000000" w:rsidRDefault="00000000">
      <w:pPr>
        <w:pStyle w:val="a0"/>
        <w:tabs>
          <w:tab w:val="num" w:pos="1550"/>
        </w:tabs>
        <w:ind w:left="1550"/>
        <w:rPr>
          <w:rFonts w:hint="eastAsia"/>
        </w:rPr>
      </w:pPr>
      <w:r>
        <w:rPr>
          <w:rFonts w:hint="eastAsia"/>
        </w:rPr>
        <w:t>在烟草产品上写明吸烟对健康的危害；</w:t>
      </w:r>
    </w:p>
    <w:p w:rsidR="00000000" w:rsidRDefault="00000000">
      <w:pPr>
        <w:pStyle w:val="a0"/>
        <w:tabs>
          <w:tab w:val="num" w:pos="1550"/>
        </w:tabs>
        <w:ind w:left="1550"/>
        <w:rPr>
          <w:rFonts w:hint="eastAsia"/>
        </w:rPr>
      </w:pPr>
      <w:r>
        <w:rPr>
          <w:rFonts w:hint="eastAsia"/>
        </w:rPr>
        <w:t>鼓励戒烟产品的措施；</w:t>
      </w:r>
    </w:p>
    <w:p w:rsidR="00000000" w:rsidRDefault="00000000">
      <w:pPr>
        <w:pStyle w:val="a0"/>
        <w:tabs>
          <w:tab w:val="num" w:pos="1550"/>
        </w:tabs>
        <w:ind w:left="1550"/>
        <w:rPr>
          <w:rFonts w:hint="eastAsia"/>
        </w:rPr>
      </w:pPr>
      <w:r>
        <w:rPr>
          <w:rFonts w:hint="eastAsia"/>
        </w:rPr>
        <w:t>禁止在电视上作香烟广告；</w:t>
      </w:r>
    </w:p>
    <w:p w:rsidR="00000000" w:rsidRDefault="00000000">
      <w:pPr>
        <w:pStyle w:val="a0"/>
        <w:tabs>
          <w:tab w:val="num" w:pos="1550"/>
        </w:tabs>
        <w:ind w:left="1550"/>
        <w:rPr>
          <w:rFonts w:hint="eastAsia"/>
        </w:rPr>
      </w:pPr>
      <w:r>
        <w:rPr>
          <w:rFonts w:hint="eastAsia"/>
        </w:rPr>
        <w:t>规定烟草中焦油含量的最高百分比；和</w:t>
      </w:r>
    </w:p>
    <w:p w:rsidR="00000000" w:rsidRDefault="00000000">
      <w:pPr>
        <w:pStyle w:val="a0"/>
        <w:tabs>
          <w:tab w:val="num" w:pos="1550"/>
        </w:tabs>
        <w:ind w:left="1550"/>
        <w:rPr>
          <w:rFonts w:hint="eastAsia"/>
        </w:rPr>
      </w:pPr>
      <w:r>
        <w:rPr>
          <w:rFonts w:hint="eastAsia"/>
        </w:rPr>
        <w:t>对烟草和酒精产品征税。</w:t>
      </w:r>
    </w:p>
    <w:p w:rsidR="00000000" w:rsidRDefault="00000000">
      <w:pPr>
        <w:spacing w:after="240"/>
        <w:rPr>
          <w:rFonts w:hint="eastAsia"/>
        </w:rPr>
      </w:pPr>
      <w:r>
        <w:rPr>
          <w:rFonts w:hint="eastAsia"/>
        </w:rPr>
        <w:tab/>
        <w:t xml:space="preserve">434.  </w:t>
      </w:r>
      <w:r>
        <w:rPr>
          <w:rFonts w:hint="eastAsia"/>
        </w:rPr>
        <w:t>另外，希腊还积极参加了欧洲联盟主管机构内的谈判，旨在通过一项全面禁止烟草产品广告的指令，同时还积极参加了世界卫生组织有关制定一项烟草管制国际公约的大会</w:t>
      </w:r>
      <w:r>
        <w:rPr>
          <w:rFonts w:hint="eastAsia"/>
        </w:rPr>
        <w:t>(</w:t>
      </w:r>
      <w:r>
        <w:rPr>
          <w:rFonts w:hint="eastAsia"/>
        </w:rPr>
        <w:t>在初级卫生政策中收入健康保护措施、公共和环境卫生、预防和治疗方案，在卫生、经济指数等基础上建立国家烟草产品流行病学监督系统</w:t>
      </w:r>
      <w:r>
        <w:rPr>
          <w:rFonts w:hint="eastAsia"/>
        </w:rPr>
        <w:t>)</w:t>
      </w:r>
      <w:r>
        <w:rPr>
          <w:rFonts w:hint="eastAsia"/>
        </w:rPr>
        <w:t>。</w:t>
      </w:r>
    </w:p>
    <w:p w:rsidR="00000000" w:rsidRDefault="00000000">
      <w:pPr>
        <w:pStyle w:val="Heading4"/>
        <w:rPr>
          <w:rFonts w:hint="eastAsia"/>
        </w:rPr>
      </w:pPr>
      <w:r>
        <w:rPr>
          <w:rFonts w:hint="eastAsia"/>
        </w:rPr>
        <w:t>酒精饮料</w:t>
      </w:r>
    </w:p>
    <w:p w:rsidR="00000000" w:rsidRDefault="00000000">
      <w:pPr>
        <w:rPr>
          <w:rFonts w:hint="eastAsia"/>
        </w:rPr>
      </w:pPr>
      <w:r>
        <w:rPr>
          <w:rFonts w:hint="eastAsia"/>
        </w:rPr>
        <w:tab/>
        <w:t xml:space="preserve">435.  </w:t>
      </w:r>
      <w:r>
        <w:rPr>
          <w:rFonts w:hint="eastAsia"/>
        </w:rPr>
        <w:t>根据国家精神卫生研究所进行的一项流行病学研究，</w:t>
      </w:r>
      <w:r>
        <w:rPr>
          <w:rFonts w:hint="eastAsia"/>
        </w:rPr>
        <w:t>12</w:t>
      </w:r>
      <w:r>
        <w:rPr>
          <w:rFonts w:hint="eastAsia"/>
        </w:rPr>
        <w:t>至</w:t>
      </w:r>
      <w:r>
        <w:rPr>
          <w:rFonts w:hint="eastAsia"/>
        </w:rPr>
        <w:t>64</w:t>
      </w:r>
      <w:r>
        <w:rPr>
          <w:rFonts w:hint="eastAsia"/>
        </w:rPr>
        <w:t>岁之间的男子有三分之一几乎每天都要饮酒。</w:t>
      </w:r>
      <w:r>
        <w:rPr>
          <w:rFonts w:hint="eastAsia"/>
        </w:rPr>
        <w:t>18</w:t>
      </w:r>
      <w:r>
        <w:rPr>
          <w:rFonts w:hint="eastAsia"/>
        </w:rPr>
        <w:t>至</w:t>
      </w:r>
      <w:r>
        <w:rPr>
          <w:rFonts w:hint="eastAsia"/>
        </w:rPr>
        <w:t>24</w:t>
      </w:r>
      <w:r>
        <w:rPr>
          <w:rFonts w:hint="eastAsia"/>
        </w:rPr>
        <w:t>岁之间的男子有一半、</w:t>
      </w:r>
      <w:r>
        <w:rPr>
          <w:rFonts w:hint="eastAsia"/>
        </w:rPr>
        <w:t>35</w:t>
      </w:r>
      <w:r>
        <w:rPr>
          <w:rFonts w:hint="eastAsia"/>
        </w:rPr>
        <w:t>岁以上的男子一半以上经常饮酒。</w:t>
      </w:r>
      <w:r>
        <w:rPr>
          <w:rFonts w:hint="eastAsia"/>
        </w:rPr>
        <w:t>16%</w:t>
      </w:r>
      <w:r>
        <w:rPr>
          <w:rFonts w:hint="eastAsia"/>
        </w:rPr>
        <w:t>的学生每月饮酒大约</w:t>
      </w:r>
      <w:r>
        <w:rPr>
          <w:rFonts w:hint="eastAsia"/>
        </w:rPr>
        <w:t>10</w:t>
      </w:r>
      <w:r>
        <w:rPr>
          <w:rFonts w:hint="eastAsia"/>
        </w:rPr>
        <w:t>次，另有</w:t>
      </w:r>
      <w:r>
        <w:rPr>
          <w:rFonts w:hint="eastAsia"/>
        </w:rPr>
        <w:t>8.6%</w:t>
      </w:r>
      <w:r>
        <w:rPr>
          <w:rFonts w:hint="eastAsia"/>
        </w:rPr>
        <w:t>的女孩子承认这种情况。</w:t>
      </w:r>
    </w:p>
    <w:p w:rsidR="00000000" w:rsidRDefault="00000000">
      <w:pPr>
        <w:rPr>
          <w:rFonts w:hint="eastAsia"/>
        </w:rPr>
      </w:pPr>
      <w:r>
        <w:rPr>
          <w:rFonts w:hint="eastAsia"/>
        </w:rPr>
        <w:tab/>
        <w:t>436.  1975-1980</w:t>
      </w:r>
      <w:r>
        <w:rPr>
          <w:rFonts w:hint="eastAsia"/>
        </w:rPr>
        <w:t>年期间，希腊出现突然的酒精饮料消费增加</w:t>
      </w:r>
      <w:r>
        <w:rPr>
          <w:rFonts w:hint="eastAsia"/>
        </w:rPr>
        <w:t>(</w:t>
      </w:r>
      <w:r>
        <w:rPr>
          <w:rFonts w:hint="eastAsia"/>
        </w:rPr>
        <w:t>从每人</w:t>
      </w:r>
      <w:r>
        <w:rPr>
          <w:rFonts w:hint="eastAsia"/>
        </w:rPr>
        <w:t>5.3</w:t>
      </w:r>
      <w:r>
        <w:rPr>
          <w:rFonts w:hint="eastAsia"/>
        </w:rPr>
        <w:t>升增加到</w:t>
      </w:r>
      <w:r>
        <w:rPr>
          <w:rFonts w:hint="eastAsia"/>
        </w:rPr>
        <w:t>10.2</w:t>
      </w:r>
      <w:r>
        <w:rPr>
          <w:rFonts w:hint="eastAsia"/>
        </w:rPr>
        <w:t>升</w:t>
      </w:r>
      <w:r>
        <w:rPr>
          <w:rFonts w:hint="eastAsia"/>
        </w:rPr>
        <w:t>)</w:t>
      </w:r>
      <w:r>
        <w:rPr>
          <w:rFonts w:hint="eastAsia"/>
        </w:rPr>
        <w:t>。</w:t>
      </w:r>
      <w:r>
        <w:rPr>
          <w:rFonts w:hint="eastAsia"/>
        </w:rPr>
        <w:t>1997</w:t>
      </w:r>
      <w:r>
        <w:rPr>
          <w:rFonts w:hint="eastAsia"/>
        </w:rPr>
        <w:t>年，这方面的消费下降到</w:t>
      </w:r>
      <w:r>
        <w:rPr>
          <w:rFonts w:hint="eastAsia"/>
        </w:rPr>
        <w:t>8.7</w:t>
      </w:r>
      <w:r>
        <w:rPr>
          <w:rFonts w:hint="eastAsia"/>
        </w:rPr>
        <w:t>升。啤酒的消费增加到每人</w:t>
      </w:r>
      <w:r>
        <w:rPr>
          <w:rFonts w:hint="eastAsia"/>
        </w:rPr>
        <w:t>40</w:t>
      </w:r>
      <w:r>
        <w:rPr>
          <w:rFonts w:hint="eastAsia"/>
        </w:rPr>
        <w:t>升，即在</w:t>
      </w:r>
      <w:r>
        <w:rPr>
          <w:rFonts w:hint="eastAsia"/>
        </w:rPr>
        <w:t>1961-1990</w:t>
      </w:r>
      <w:r>
        <w:rPr>
          <w:rFonts w:hint="eastAsia"/>
        </w:rPr>
        <w:t>年期间增加了</w:t>
      </w:r>
      <w:r>
        <w:rPr>
          <w:rFonts w:hint="eastAsia"/>
        </w:rPr>
        <w:t>700%</w:t>
      </w:r>
      <w:r>
        <w:rPr>
          <w:rFonts w:hint="eastAsia"/>
        </w:rPr>
        <w:t>，</w:t>
      </w:r>
      <w:r>
        <w:rPr>
          <w:rFonts w:hint="eastAsia"/>
        </w:rPr>
        <w:t>1990</w:t>
      </w:r>
      <w:r>
        <w:rPr>
          <w:rFonts w:hint="eastAsia"/>
        </w:rPr>
        <w:t>年代仍然保持了同一上升趋势。</w:t>
      </w:r>
    </w:p>
    <w:p w:rsidR="00000000" w:rsidRDefault="00000000">
      <w:pPr>
        <w:rPr>
          <w:rFonts w:hint="eastAsia"/>
        </w:rPr>
      </w:pPr>
      <w:r>
        <w:rPr>
          <w:rFonts w:hint="eastAsia"/>
        </w:rPr>
        <w:tab/>
        <w:t xml:space="preserve">437.  </w:t>
      </w:r>
      <w:r>
        <w:rPr>
          <w:rFonts w:hint="eastAsia"/>
        </w:rPr>
        <w:t>在高度数的酒精饮料方面，希腊的消费量最大。进口高度数酒精饮料的消费呈上升趋势，主要是在年轻人中间，他们与西欧的年轻人想法接近。</w:t>
      </w:r>
    </w:p>
    <w:p w:rsidR="00000000" w:rsidRDefault="00000000">
      <w:pPr>
        <w:spacing w:after="240"/>
        <w:rPr>
          <w:rFonts w:hint="eastAsia"/>
        </w:rPr>
      </w:pPr>
      <w:r>
        <w:rPr>
          <w:rFonts w:hint="eastAsia"/>
        </w:rPr>
        <w:tab/>
        <w:t xml:space="preserve">438.  </w:t>
      </w:r>
      <w:r>
        <w:rPr>
          <w:rFonts w:hint="eastAsia"/>
        </w:rPr>
        <w:t>这种变化很可能会在今后导致与饮酒有关的疾病增加，如肝硬化、某些类型的恶性肿瘤、酗酒、酒精引起的精神病，以及交通事故。</w:t>
      </w:r>
    </w:p>
    <w:p w:rsidR="00000000" w:rsidRDefault="00000000">
      <w:pPr>
        <w:pStyle w:val="Heading4"/>
        <w:rPr>
          <w:rFonts w:hint="eastAsia"/>
        </w:rPr>
      </w:pPr>
      <w:r>
        <w:rPr>
          <w:rFonts w:hint="eastAsia"/>
        </w:rPr>
        <w:t>毒</w:t>
      </w:r>
      <w:r>
        <w:rPr>
          <w:rFonts w:hint="eastAsia"/>
        </w:rPr>
        <w:t xml:space="preserve">  </w:t>
      </w:r>
      <w:r>
        <w:rPr>
          <w:rFonts w:hint="eastAsia"/>
        </w:rPr>
        <w:t>品</w:t>
      </w:r>
    </w:p>
    <w:p w:rsidR="00000000" w:rsidRDefault="00000000">
      <w:pPr>
        <w:rPr>
          <w:rFonts w:hint="eastAsia"/>
        </w:rPr>
      </w:pPr>
      <w:r>
        <w:rPr>
          <w:rFonts w:hint="eastAsia"/>
        </w:rPr>
        <w:tab/>
        <w:t xml:space="preserve">439.  </w:t>
      </w:r>
      <w:r>
        <w:rPr>
          <w:rFonts w:hint="eastAsia"/>
        </w:rPr>
        <w:t>根据禁毒组织</w:t>
      </w:r>
      <w:r>
        <w:rPr>
          <w:rFonts w:hint="eastAsia"/>
        </w:rPr>
        <w:t>(OKANA)</w:t>
      </w:r>
      <w:r>
        <w:rPr>
          <w:rFonts w:hint="eastAsia"/>
        </w:rPr>
        <w:t>掌握的资料，</w:t>
      </w:r>
      <w:r>
        <w:rPr>
          <w:rFonts w:hint="eastAsia"/>
        </w:rPr>
        <w:t>1999</w:t>
      </w:r>
      <w:r>
        <w:rPr>
          <w:rFonts w:hint="eastAsia"/>
        </w:rPr>
        <w:t>年使用非法毒品成瘾的人，实际数字在</w:t>
      </w:r>
      <w:r>
        <w:rPr>
          <w:rFonts w:hint="eastAsia"/>
        </w:rPr>
        <w:t>50,000</w:t>
      </w:r>
      <w:r>
        <w:rPr>
          <w:rFonts w:hint="eastAsia"/>
        </w:rPr>
        <w:t>至</w:t>
      </w:r>
      <w:r>
        <w:rPr>
          <w:rFonts w:hint="eastAsia"/>
        </w:rPr>
        <w:t>70,000</w:t>
      </w:r>
      <w:r>
        <w:rPr>
          <w:rFonts w:hint="eastAsia"/>
        </w:rPr>
        <w:t>人之间，麻醉品和毒品成瘾问题国家研究中心在它的年度报告中讲到，</w:t>
      </w:r>
      <w:r>
        <w:rPr>
          <w:rFonts w:hint="eastAsia"/>
        </w:rPr>
        <w:t>1984</w:t>
      </w:r>
      <w:r>
        <w:rPr>
          <w:rFonts w:hint="eastAsia"/>
        </w:rPr>
        <w:t>年及以后，特别是在过去五年里，使用非法精神药物的问题明显增加。在希腊，最常见的非法麻醉药物是大麻。</w:t>
      </w:r>
      <w:r>
        <w:rPr>
          <w:rFonts w:hint="eastAsia"/>
        </w:rPr>
        <w:t>1993</w:t>
      </w:r>
      <w:r>
        <w:rPr>
          <w:rFonts w:hint="eastAsia"/>
        </w:rPr>
        <w:t>至</w:t>
      </w:r>
      <w:r>
        <w:rPr>
          <w:rFonts w:hint="eastAsia"/>
        </w:rPr>
        <w:t>1998</w:t>
      </w:r>
      <w:r>
        <w:rPr>
          <w:rFonts w:hint="eastAsia"/>
        </w:rPr>
        <w:t>年期间，吸食大麻的学生增加了一倍。尽管如此，希腊、芬兰、瑞典、卢森堡和葡萄牙仍是使用大麻的人比例最低的。</w:t>
      </w:r>
    </w:p>
    <w:p w:rsidR="00000000" w:rsidRDefault="00000000">
      <w:pPr>
        <w:rPr>
          <w:rFonts w:hint="eastAsia"/>
        </w:rPr>
      </w:pPr>
      <w:r>
        <w:rPr>
          <w:rFonts w:hint="eastAsia"/>
        </w:rPr>
        <w:tab/>
        <w:t xml:space="preserve">440.  </w:t>
      </w:r>
      <w:r>
        <w:rPr>
          <w:rFonts w:hint="eastAsia"/>
        </w:rPr>
        <w:t>还发现年轻人中使用合成药物的趋势上升，如摇头丸、致幻剂和安非他明等，当然希腊还赶不上其他欧洲国家。而在可卡因的使用上希腊已接近大多数欧洲国家的情况，海洛因的使用率较低。</w:t>
      </w:r>
    </w:p>
    <w:p w:rsidR="00000000" w:rsidRDefault="00000000">
      <w:pPr>
        <w:rPr>
          <w:rFonts w:hint="eastAsia"/>
        </w:rPr>
      </w:pPr>
      <w:r>
        <w:rPr>
          <w:rFonts w:hint="eastAsia"/>
        </w:rPr>
        <w:tab/>
        <w:t xml:space="preserve">441.  </w:t>
      </w:r>
      <w:r>
        <w:rPr>
          <w:rFonts w:hint="eastAsia"/>
        </w:rPr>
        <w:t>感染乙型肝炎的希腊吸毒者，人数排列第一，德国次之，而感染丙型肝炎的人，希腊排名第</w:t>
      </w:r>
      <w:r>
        <w:rPr>
          <w:rFonts w:hint="eastAsia"/>
        </w:rPr>
        <w:t>10</w:t>
      </w:r>
      <w:r>
        <w:rPr>
          <w:rFonts w:hint="eastAsia"/>
        </w:rPr>
        <w:t>。吸毒者中患有艾滋病的比例也是较低的，一般而言，在希腊毒品造成的死亡人数在下降。在欧洲国家中，毒品造成的死亡呈上升趋势，希腊列居第二位</w:t>
      </w:r>
      <w:r>
        <w:rPr>
          <w:rFonts w:hint="eastAsia"/>
        </w:rPr>
        <w:t>(</w:t>
      </w:r>
      <w:r>
        <w:rPr>
          <w:rFonts w:hint="eastAsia"/>
        </w:rPr>
        <w:t>在总人口中的死亡人数增加，从</w:t>
      </w:r>
      <w:r>
        <w:rPr>
          <w:rFonts w:hint="eastAsia"/>
        </w:rPr>
        <w:t>1985</w:t>
      </w:r>
      <w:r>
        <w:rPr>
          <w:rFonts w:hint="eastAsia"/>
        </w:rPr>
        <w:t>年的</w:t>
      </w:r>
      <w:r>
        <w:rPr>
          <w:rFonts w:hint="eastAsia"/>
        </w:rPr>
        <w:t>10</w:t>
      </w:r>
      <w:r>
        <w:rPr>
          <w:rFonts w:hint="eastAsia"/>
        </w:rPr>
        <w:t>人上升到</w:t>
      </w:r>
      <w:r>
        <w:rPr>
          <w:rFonts w:hint="eastAsia"/>
        </w:rPr>
        <w:t>1990</w:t>
      </w:r>
      <w:r>
        <w:rPr>
          <w:rFonts w:hint="eastAsia"/>
        </w:rPr>
        <w:t>年的</w:t>
      </w:r>
      <w:r>
        <w:rPr>
          <w:rFonts w:hint="eastAsia"/>
        </w:rPr>
        <w:t>66</w:t>
      </w:r>
      <w:r>
        <w:rPr>
          <w:rFonts w:hint="eastAsia"/>
        </w:rPr>
        <w:t>人，</w:t>
      </w:r>
      <w:r>
        <w:rPr>
          <w:rFonts w:hint="eastAsia"/>
        </w:rPr>
        <w:t>1995</w:t>
      </w:r>
      <w:r>
        <w:rPr>
          <w:rFonts w:hint="eastAsia"/>
        </w:rPr>
        <w:t>年达到</w:t>
      </w:r>
      <w:r>
        <w:rPr>
          <w:rFonts w:hint="eastAsia"/>
        </w:rPr>
        <w:t>176</w:t>
      </w:r>
      <w:r>
        <w:rPr>
          <w:rFonts w:hint="eastAsia"/>
        </w:rPr>
        <w:t>人，</w:t>
      </w:r>
      <w:r>
        <w:rPr>
          <w:rFonts w:hint="eastAsia"/>
        </w:rPr>
        <w:t>1998</w:t>
      </w:r>
      <w:r>
        <w:rPr>
          <w:rFonts w:hint="eastAsia"/>
        </w:rPr>
        <w:t>年</w:t>
      </w:r>
      <w:r>
        <w:rPr>
          <w:rFonts w:hint="eastAsia"/>
        </w:rPr>
        <w:t>239</w:t>
      </w:r>
      <w:r>
        <w:rPr>
          <w:rFonts w:hint="eastAsia"/>
        </w:rPr>
        <w:t>人</w:t>
      </w:r>
      <w:r>
        <w:rPr>
          <w:rFonts w:hint="eastAsia"/>
        </w:rPr>
        <w:t>)</w:t>
      </w:r>
      <w:r>
        <w:rPr>
          <w:rFonts w:hint="eastAsia"/>
        </w:rPr>
        <w:t>。据认为上述数字低估了实际问题，因为有些这类死亡并没有记录，而且因使用非法毒品引起肝炎、艾滋病等造成的死亡，也没有作最后计算。</w:t>
      </w:r>
    </w:p>
    <w:p w:rsidR="00000000" w:rsidRDefault="00000000">
      <w:pPr>
        <w:spacing w:after="240"/>
        <w:rPr>
          <w:rFonts w:hint="eastAsia"/>
        </w:rPr>
      </w:pPr>
      <w:r>
        <w:rPr>
          <w:rFonts w:hint="eastAsia"/>
        </w:rPr>
        <w:tab/>
        <w:t xml:space="preserve">442.  </w:t>
      </w:r>
      <w:r>
        <w:rPr>
          <w:rFonts w:hint="eastAsia"/>
        </w:rPr>
        <w:t>在绝对数字上，</w:t>
      </w:r>
      <w:r>
        <w:rPr>
          <w:rFonts w:hint="eastAsia"/>
        </w:rPr>
        <w:t>1998</w:t>
      </w:r>
      <w:r>
        <w:rPr>
          <w:rFonts w:hint="eastAsia"/>
        </w:rPr>
        <w:t>年的</w:t>
      </w:r>
      <w:r>
        <w:rPr>
          <w:rFonts w:hint="eastAsia"/>
        </w:rPr>
        <w:t>239</w:t>
      </w:r>
      <w:r>
        <w:rPr>
          <w:rFonts w:hint="eastAsia"/>
        </w:rPr>
        <w:t>例死亡中，大多数是男性</w:t>
      </w:r>
      <w:r>
        <w:rPr>
          <w:rFonts w:hint="eastAsia"/>
        </w:rPr>
        <w:t>(88.3%)</w:t>
      </w:r>
      <w:r>
        <w:rPr>
          <w:rFonts w:hint="eastAsia"/>
        </w:rPr>
        <w:t>，其中</w:t>
      </w:r>
      <w:r>
        <w:rPr>
          <w:rFonts w:hint="eastAsia"/>
        </w:rPr>
        <w:t>45%</w:t>
      </w:r>
      <w:r>
        <w:rPr>
          <w:rFonts w:hint="eastAsia"/>
        </w:rPr>
        <w:t>在</w:t>
      </w:r>
      <w:r>
        <w:rPr>
          <w:rFonts w:hint="eastAsia"/>
        </w:rPr>
        <w:t>21-30</w:t>
      </w:r>
      <w:r>
        <w:rPr>
          <w:rFonts w:hint="eastAsia"/>
        </w:rPr>
        <w:t>岁之间，</w:t>
      </w:r>
      <w:r>
        <w:rPr>
          <w:rFonts w:hint="eastAsia"/>
        </w:rPr>
        <w:t>42%</w:t>
      </w:r>
      <w:r>
        <w:rPr>
          <w:rFonts w:hint="eastAsia"/>
        </w:rPr>
        <w:t>在</w:t>
      </w:r>
      <w:r>
        <w:rPr>
          <w:rFonts w:hint="eastAsia"/>
        </w:rPr>
        <w:t>30</w:t>
      </w:r>
      <w:r>
        <w:rPr>
          <w:rFonts w:hint="eastAsia"/>
        </w:rPr>
        <w:t>岁以上，还有</w:t>
      </w:r>
      <w:r>
        <w:rPr>
          <w:rFonts w:hint="eastAsia"/>
        </w:rPr>
        <w:t>13%</w:t>
      </w:r>
      <w:r>
        <w:rPr>
          <w:rFonts w:hint="eastAsia"/>
        </w:rPr>
        <w:t>不足</w:t>
      </w:r>
      <w:r>
        <w:rPr>
          <w:rFonts w:hint="eastAsia"/>
        </w:rPr>
        <w:t>21</w:t>
      </w:r>
      <w:r>
        <w:rPr>
          <w:rFonts w:hint="eastAsia"/>
        </w:rPr>
        <w:t>岁。</w:t>
      </w:r>
      <w:r>
        <w:rPr>
          <w:rFonts w:hint="eastAsia"/>
        </w:rPr>
        <w:t>1995</w:t>
      </w:r>
      <w:r>
        <w:rPr>
          <w:rFonts w:hint="eastAsia"/>
        </w:rPr>
        <w:t>年时，不足</w:t>
      </w:r>
      <w:r>
        <w:rPr>
          <w:rFonts w:hint="eastAsia"/>
        </w:rPr>
        <w:t>21</w:t>
      </w:r>
      <w:r>
        <w:rPr>
          <w:rFonts w:hint="eastAsia"/>
        </w:rPr>
        <w:t>岁的人相应的比例</w:t>
      </w:r>
      <w:r>
        <w:rPr>
          <w:rFonts w:hint="eastAsia"/>
        </w:rPr>
        <w:t>4%</w:t>
      </w:r>
      <w:r>
        <w:rPr>
          <w:rFonts w:hint="eastAsia"/>
        </w:rPr>
        <w:t>。</w:t>
      </w:r>
      <w:r>
        <w:rPr>
          <w:rFonts w:hint="eastAsia"/>
        </w:rPr>
        <w:t>1998</w:t>
      </w:r>
      <w:r>
        <w:rPr>
          <w:rFonts w:hint="eastAsia"/>
        </w:rPr>
        <w:t>年使用最多的造成死亡的精神药物是海洛因</w:t>
      </w:r>
      <w:r>
        <w:rPr>
          <w:rFonts w:hint="eastAsia"/>
        </w:rPr>
        <w:t>(99.6%)</w:t>
      </w:r>
      <w:r>
        <w:rPr>
          <w:rFonts w:hint="eastAsia"/>
        </w:rPr>
        <w:t>，而</w:t>
      </w:r>
      <w:r>
        <w:rPr>
          <w:rFonts w:hint="eastAsia"/>
        </w:rPr>
        <w:t>1995</w:t>
      </w:r>
      <w:r>
        <w:rPr>
          <w:rFonts w:hint="eastAsia"/>
        </w:rPr>
        <w:t>年的相应比例是</w:t>
      </w:r>
      <w:r>
        <w:rPr>
          <w:rFonts w:hint="eastAsia"/>
        </w:rPr>
        <w:t>89.2%</w:t>
      </w:r>
      <w:r>
        <w:rPr>
          <w:rFonts w:hint="eastAsia"/>
        </w:rPr>
        <w:t>。</w:t>
      </w:r>
    </w:p>
    <w:p w:rsidR="00000000" w:rsidRDefault="00000000">
      <w:pPr>
        <w:pStyle w:val="Heading3"/>
        <w:rPr>
          <w:rFonts w:hint="eastAsia"/>
        </w:rPr>
      </w:pPr>
      <w:r>
        <w:rPr>
          <w:rFonts w:hint="eastAsia"/>
        </w:rPr>
        <w:t>希腊的国家卫生政策</w:t>
      </w:r>
      <w:r>
        <w:rPr>
          <w:rFonts w:hint="eastAsia"/>
        </w:rPr>
        <w:t>/</w:t>
      </w:r>
      <w:r>
        <w:rPr>
          <w:rFonts w:hint="eastAsia"/>
        </w:rPr>
        <w:t>卫生服务</w:t>
      </w:r>
    </w:p>
    <w:p w:rsidR="00000000" w:rsidRDefault="00000000">
      <w:pPr>
        <w:rPr>
          <w:rFonts w:hint="eastAsia"/>
        </w:rPr>
      </w:pPr>
      <w:r>
        <w:rPr>
          <w:rFonts w:hint="eastAsia"/>
        </w:rPr>
        <w:tab/>
        <w:t xml:space="preserve">443.  </w:t>
      </w:r>
      <w:r>
        <w:rPr>
          <w:rFonts w:hint="eastAsia"/>
        </w:rPr>
        <w:t>希腊的国家卫生政策基于以下原则：</w:t>
      </w:r>
    </w:p>
    <w:p w:rsidR="00000000" w:rsidRDefault="00000000">
      <w:pPr>
        <w:numPr>
          <w:ilvl w:val="0"/>
          <w:numId w:val="143"/>
        </w:numPr>
        <w:rPr>
          <w:rFonts w:hint="eastAsia"/>
        </w:rPr>
      </w:pPr>
      <w:r>
        <w:rPr>
          <w:rFonts w:hint="eastAsia"/>
        </w:rPr>
        <w:t>健康是一种社会资源，不受市场定律的支配；</w:t>
      </w:r>
    </w:p>
    <w:p w:rsidR="00000000" w:rsidRDefault="00000000">
      <w:pPr>
        <w:numPr>
          <w:ilvl w:val="0"/>
          <w:numId w:val="143"/>
        </w:numPr>
        <w:rPr>
          <w:rFonts w:hint="eastAsia"/>
        </w:rPr>
      </w:pPr>
      <w:r>
        <w:rPr>
          <w:rFonts w:hint="eastAsia"/>
        </w:rPr>
        <w:t>所有公民，不论他</w:t>
      </w:r>
      <w:r>
        <w:rPr>
          <w:rFonts w:hint="eastAsia"/>
        </w:rPr>
        <w:t>/</w:t>
      </w:r>
      <w:r>
        <w:rPr>
          <w:rFonts w:hint="eastAsia"/>
        </w:rPr>
        <w:t>她的社会经济状况如何，都有权得到高质量的医疗和社会保健；和</w:t>
      </w:r>
    </w:p>
    <w:p w:rsidR="00000000" w:rsidRDefault="00000000">
      <w:pPr>
        <w:numPr>
          <w:ilvl w:val="0"/>
          <w:numId w:val="143"/>
        </w:numPr>
        <w:rPr>
          <w:rFonts w:hint="eastAsia"/>
        </w:rPr>
      </w:pPr>
      <w:r>
        <w:rPr>
          <w:rFonts w:hint="eastAsia"/>
        </w:rPr>
        <w:t>卫生政策由国家负责，通过统一的、非集中的和民主的国家卫生系统实施。</w:t>
      </w:r>
    </w:p>
    <w:p w:rsidR="00000000" w:rsidRDefault="00000000">
      <w:pPr>
        <w:spacing w:after="240"/>
        <w:rPr>
          <w:rFonts w:hint="eastAsia"/>
        </w:rPr>
      </w:pPr>
      <w:r>
        <w:rPr>
          <w:rFonts w:hint="eastAsia"/>
        </w:rPr>
        <w:tab/>
        <w:t xml:space="preserve">444.  </w:t>
      </w:r>
      <w:r>
        <w:rPr>
          <w:rFonts w:hint="eastAsia"/>
        </w:rPr>
        <w:t>在希腊，国家卫生系统提供一级、二级和三级卫生服务。</w:t>
      </w:r>
    </w:p>
    <w:p w:rsidR="00000000" w:rsidRDefault="00000000">
      <w:pPr>
        <w:pStyle w:val="Heading4"/>
        <w:rPr>
          <w:rFonts w:hint="eastAsia"/>
        </w:rPr>
      </w:pPr>
      <w:r>
        <w:rPr>
          <w:rFonts w:hint="eastAsia"/>
        </w:rPr>
        <w:t>初级卫生保健服务的提供</w:t>
      </w:r>
    </w:p>
    <w:p w:rsidR="00000000" w:rsidRDefault="00000000">
      <w:pPr>
        <w:rPr>
          <w:rFonts w:hint="eastAsia"/>
        </w:rPr>
      </w:pPr>
      <w:r>
        <w:rPr>
          <w:rFonts w:hint="eastAsia"/>
        </w:rPr>
        <w:tab/>
        <w:t xml:space="preserve">445.  </w:t>
      </w:r>
      <w:r>
        <w:rPr>
          <w:rFonts w:hint="eastAsia"/>
        </w:rPr>
        <w:t>有各种公立和私立的建制，提供初级卫生保健。由国家卫生系统提供的初级卫生保健，这里面包括农村地区的各种卫生中心和地区诊所，以及公立医院门诊部。这类服务主要由国家预算提供资金，一小部分由保险基金提供。</w:t>
      </w:r>
    </w:p>
    <w:p w:rsidR="00000000" w:rsidRDefault="00000000">
      <w:pPr>
        <w:rPr>
          <w:rFonts w:hint="eastAsia"/>
        </w:rPr>
      </w:pPr>
      <w:r>
        <w:rPr>
          <w:rFonts w:hint="eastAsia"/>
        </w:rPr>
        <w:tab/>
        <w:t xml:space="preserve">446.  </w:t>
      </w:r>
      <w:r>
        <w:rPr>
          <w:rFonts w:hint="eastAsia"/>
        </w:rPr>
        <w:t>在农村和城乡结合部，有</w:t>
      </w:r>
      <w:r>
        <w:rPr>
          <w:rFonts w:hint="eastAsia"/>
        </w:rPr>
        <w:t>201</w:t>
      </w:r>
      <w:r>
        <w:rPr>
          <w:rFonts w:hint="eastAsia"/>
        </w:rPr>
        <w:t>个地区卫生中心，向所有居民提供免费的初级的医疗保健。由于这些中心的主要对象是一般公民，所以使所有公民受益。在农村建立这些卫生中心的目的，是在这些中心所负责的地区</w:t>
      </w:r>
      <w:r>
        <w:rPr>
          <w:rFonts w:hint="eastAsia"/>
        </w:rPr>
        <w:t>(</w:t>
      </w:r>
      <w:r>
        <w:rPr>
          <w:rFonts w:hint="eastAsia"/>
        </w:rPr>
        <w:t>平均人口</w:t>
      </w:r>
      <w:r>
        <w:rPr>
          <w:rFonts w:hint="eastAsia"/>
        </w:rPr>
        <w:t>14,000-15,000</w:t>
      </w:r>
      <w:r>
        <w:rPr>
          <w:rFonts w:hint="eastAsia"/>
        </w:rPr>
        <w:t>人</w:t>
      </w:r>
      <w:r>
        <w:rPr>
          <w:rFonts w:hint="eastAsia"/>
        </w:rPr>
        <w:t>)</w:t>
      </w:r>
      <w:r>
        <w:rPr>
          <w:rFonts w:hint="eastAsia"/>
        </w:rPr>
        <w:t>，提供预防、治疗和康复服务。它们还作为卫生保健系统的守门人。卫生中心的工作人员有医生</w:t>
      </w:r>
      <w:r>
        <w:rPr>
          <w:rFonts w:hint="eastAsia"/>
        </w:rPr>
        <w:t>(</w:t>
      </w:r>
      <w:r>
        <w:rPr>
          <w:rFonts w:hint="eastAsia"/>
        </w:rPr>
        <w:t>全科医生、病理学医生、儿科医生和牙医</w:t>
      </w:r>
      <w:r>
        <w:rPr>
          <w:rFonts w:hint="eastAsia"/>
        </w:rPr>
        <w:t>)</w:t>
      </w:r>
      <w:r>
        <w:rPr>
          <w:rFonts w:hint="eastAsia"/>
        </w:rPr>
        <w:t>、护士、护理人员和行政管理人员，所有这些人都是全职的国家带薪工作人员。平均每个中心有</w:t>
      </w:r>
      <w:r>
        <w:rPr>
          <w:rFonts w:hint="eastAsia"/>
        </w:rPr>
        <w:t>7</w:t>
      </w:r>
      <w:r>
        <w:rPr>
          <w:rFonts w:hint="eastAsia"/>
        </w:rPr>
        <w:t>张病床，主要用于日间护理。每个卫生中心的医生人数取决于该中心所负责地区的大小。</w:t>
      </w:r>
    </w:p>
    <w:p w:rsidR="00000000" w:rsidRDefault="00000000">
      <w:pPr>
        <w:rPr>
          <w:rFonts w:hint="eastAsia"/>
        </w:rPr>
      </w:pPr>
      <w:r>
        <w:rPr>
          <w:rFonts w:hint="eastAsia"/>
        </w:rPr>
        <w:tab/>
        <w:t xml:space="preserve">447.  </w:t>
      </w:r>
      <w:r>
        <w:rPr>
          <w:rFonts w:hint="eastAsia"/>
        </w:rPr>
        <w:t>卫生中心基本上达到了增加农村地区获得初级卫生保健服务的目的，有一套出色的组织结构，可在这套组织结构上建立有效的初级卫生保健服务。但由于某些个人的、财政的和组织上的问题，它们的实际表现未能达到期望</w:t>
      </w:r>
      <w:r>
        <w:rPr>
          <w:rFonts w:hint="eastAsia"/>
        </w:rPr>
        <w:t>(</w:t>
      </w:r>
      <w:r>
        <w:rPr>
          <w:rFonts w:hint="eastAsia"/>
        </w:rPr>
        <w:t>例如，卫生中心的资金仍通过医院预算提供，在行政管理上仍附属于地区医院</w:t>
      </w:r>
      <w:r>
        <w:rPr>
          <w:rFonts w:hint="eastAsia"/>
        </w:rPr>
        <w:t>)</w:t>
      </w:r>
      <w:r>
        <w:rPr>
          <w:rFonts w:hint="eastAsia"/>
        </w:rPr>
        <w:t>。</w:t>
      </w:r>
    </w:p>
    <w:p w:rsidR="00000000" w:rsidRDefault="00000000">
      <w:pPr>
        <w:rPr>
          <w:rFonts w:hint="eastAsia"/>
        </w:rPr>
      </w:pPr>
      <w:r>
        <w:rPr>
          <w:rFonts w:hint="eastAsia"/>
        </w:rPr>
        <w:tab/>
        <w:t xml:space="preserve">448.  </w:t>
      </w:r>
      <w:r>
        <w:rPr>
          <w:rFonts w:hint="eastAsia"/>
        </w:rPr>
        <w:t>因此，卫生中心必须与医院的门诊部争夺资源，而由于它们缺乏财政上的自主，它们又不能制定自己的优先事项。</w:t>
      </w:r>
    </w:p>
    <w:p w:rsidR="00000000" w:rsidRDefault="00000000">
      <w:pPr>
        <w:rPr>
          <w:rFonts w:hint="eastAsia"/>
        </w:rPr>
      </w:pPr>
      <w:r>
        <w:rPr>
          <w:rFonts w:hint="eastAsia"/>
        </w:rPr>
        <w:tab/>
        <w:t xml:space="preserve">449.  </w:t>
      </w:r>
      <w:r>
        <w:rPr>
          <w:rFonts w:hint="eastAsia"/>
        </w:rPr>
        <w:t>附属于卫生中心的，还有大约</w:t>
      </w:r>
      <w:r>
        <w:rPr>
          <w:rFonts w:hint="eastAsia"/>
        </w:rPr>
        <w:t>1,500</w:t>
      </w:r>
      <w:r>
        <w:rPr>
          <w:rFonts w:hint="eastAsia"/>
        </w:rPr>
        <w:t>个地方诊所，它们与卫生中心相连</w:t>
      </w:r>
      <w:r>
        <w:rPr>
          <w:rFonts w:hint="eastAsia"/>
        </w:rPr>
        <w:t>(</w:t>
      </w:r>
      <w:r>
        <w:rPr>
          <w:rFonts w:hint="eastAsia"/>
        </w:rPr>
        <w:t>地区诊所</w:t>
      </w:r>
      <w:r>
        <w:rPr>
          <w:rFonts w:hint="eastAsia"/>
        </w:rPr>
        <w:t>)</w:t>
      </w:r>
      <w:r>
        <w:rPr>
          <w:rFonts w:hint="eastAsia"/>
        </w:rPr>
        <w:t>，工作人员是国家聘用的农村医生和医学院毕业生</w:t>
      </w:r>
      <w:r>
        <w:rPr>
          <w:rFonts w:hint="eastAsia"/>
        </w:rPr>
        <w:t>(</w:t>
      </w:r>
      <w:r>
        <w:rPr>
          <w:rFonts w:hint="eastAsia"/>
        </w:rPr>
        <w:t>全科医生</w:t>
      </w:r>
      <w:r>
        <w:rPr>
          <w:rFonts w:hint="eastAsia"/>
        </w:rPr>
        <w:t>)</w:t>
      </w:r>
      <w:r>
        <w:rPr>
          <w:rFonts w:hint="eastAsia"/>
        </w:rPr>
        <w:t>，这些毕业生必须在毕业后至少在农村地区工作一年。由于他们缺乏临床经验，引起了人们对他们所提供服务质量的关注，正因如此，他们与卫生中心和地方医院的卫生服务网相联系，并在其中活动。</w:t>
      </w:r>
    </w:p>
    <w:p w:rsidR="00000000" w:rsidRDefault="00000000">
      <w:pPr>
        <w:rPr>
          <w:rFonts w:hint="eastAsia"/>
        </w:rPr>
      </w:pPr>
      <w:r>
        <w:rPr>
          <w:rFonts w:hint="eastAsia"/>
        </w:rPr>
        <w:tab/>
        <w:t xml:space="preserve">450.  </w:t>
      </w:r>
      <w:r>
        <w:rPr>
          <w:rFonts w:hint="eastAsia"/>
        </w:rPr>
        <w:t>医院的门诊部也属国家卫生系统提供的初级卫生保健范畴。这类医院门诊部是为城市人口提供初级卫生保健服务的重要提供人，但也向农村人提供这类服务。它们根据预约门诊，但没有任何机制加以限制。所有人不论有无保险，均有权获得这种服务。</w:t>
      </w:r>
    </w:p>
    <w:p w:rsidR="00000000" w:rsidRDefault="00000000">
      <w:pPr>
        <w:pStyle w:val="a0"/>
        <w:ind w:left="1550"/>
        <w:rPr>
          <w:rFonts w:hint="eastAsia"/>
        </w:rPr>
      </w:pPr>
      <w:r>
        <w:rPr>
          <w:rFonts w:hint="eastAsia"/>
        </w:rPr>
        <w:t>通过社会保险基金提供的初级卫生保健：这类卫生保健包括具体的保险基金</w:t>
      </w:r>
      <w:r>
        <w:rPr>
          <w:rFonts w:hint="eastAsia"/>
        </w:rPr>
        <w:t>(</w:t>
      </w:r>
      <w:r>
        <w:rPr>
          <w:rFonts w:hint="eastAsia"/>
        </w:rPr>
        <w:t>在城市地区主要是</w:t>
      </w:r>
      <w:r>
        <w:rPr>
          <w:rFonts w:hint="eastAsia"/>
        </w:rPr>
        <w:t>IKA)</w:t>
      </w:r>
      <w:r>
        <w:rPr>
          <w:rFonts w:hint="eastAsia"/>
        </w:rPr>
        <w:t>拥有和经营的综合诊所，或根据合同向它们的成员提供初级卫生保健的医生，它们在收费服务的基础上得到保险基金的补偿；</w:t>
      </w:r>
    </w:p>
    <w:p w:rsidR="00000000" w:rsidRDefault="00000000">
      <w:pPr>
        <w:pStyle w:val="a0"/>
        <w:ind w:left="1550"/>
        <w:rPr>
          <w:rFonts w:hint="eastAsia"/>
        </w:rPr>
      </w:pPr>
      <w:r>
        <w:rPr>
          <w:rFonts w:hint="eastAsia"/>
        </w:rPr>
        <w:t>通过地方当局的服务提供的初级卫生保健：这类卫生保健包括少数诊所和福利机构。这些服务机构的资金来自国家预算，由内政、公共管理和权力下放部提供；和</w:t>
      </w:r>
    </w:p>
    <w:p w:rsidR="00000000" w:rsidRDefault="00000000">
      <w:pPr>
        <w:pStyle w:val="a0"/>
        <w:ind w:left="1550"/>
        <w:rPr>
          <w:rFonts w:hint="eastAsia"/>
          <w:spacing w:val="8"/>
        </w:rPr>
      </w:pPr>
      <w:r>
        <w:rPr>
          <w:rFonts w:hint="eastAsia"/>
          <w:spacing w:val="8"/>
        </w:rPr>
        <w:t>私营部门提供的初级卫生保健：这里面包括私人开业的医生，它们与一家或几家保险基金签订合同</w:t>
      </w:r>
      <w:r>
        <w:rPr>
          <w:rFonts w:hint="eastAsia"/>
          <w:spacing w:val="8"/>
        </w:rPr>
        <w:t>(</w:t>
      </w:r>
      <w:r>
        <w:rPr>
          <w:rFonts w:hint="eastAsia"/>
          <w:spacing w:val="8"/>
        </w:rPr>
        <w:t>由相应的保险基金提供资金</w:t>
      </w:r>
      <w:r>
        <w:rPr>
          <w:rFonts w:hint="eastAsia"/>
          <w:spacing w:val="8"/>
        </w:rPr>
        <w:t>)</w:t>
      </w:r>
      <w:r>
        <w:rPr>
          <w:rFonts w:hint="eastAsia"/>
          <w:spacing w:val="8"/>
        </w:rPr>
        <w:t>，以及没有与任何保险基金签订合同的私人开业医生</w:t>
      </w:r>
      <w:r>
        <w:rPr>
          <w:rFonts w:hint="eastAsia"/>
          <w:spacing w:val="8"/>
        </w:rPr>
        <w:t>(</w:t>
      </w:r>
      <w:r>
        <w:rPr>
          <w:rFonts w:hint="eastAsia"/>
          <w:spacing w:val="8"/>
        </w:rPr>
        <w:t>由病人自己掏钱或自愿健康保险出资</w:t>
      </w:r>
      <w:r>
        <w:rPr>
          <w:rFonts w:hint="eastAsia"/>
          <w:spacing w:val="8"/>
        </w:rPr>
        <w:t>)</w:t>
      </w:r>
      <w:r>
        <w:rPr>
          <w:rFonts w:hint="eastAsia"/>
          <w:spacing w:val="8"/>
        </w:rPr>
        <w:t>，和私营医院门诊部</w:t>
      </w:r>
      <w:r>
        <w:rPr>
          <w:rFonts w:hint="eastAsia"/>
          <w:spacing w:val="8"/>
        </w:rPr>
        <w:t>(</w:t>
      </w:r>
      <w:r>
        <w:rPr>
          <w:rFonts w:hint="eastAsia"/>
          <w:spacing w:val="8"/>
        </w:rPr>
        <w:t>主要是自己掏钱或自愿健康保险</w:t>
      </w:r>
      <w:r>
        <w:rPr>
          <w:rFonts w:hint="eastAsia"/>
          <w:spacing w:val="8"/>
        </w:rPr>
        <w:t>)</w:t>
      </w:r>
      <w:r>
        <w:rPr>
          <w:rFonts w:hint="eastAsia"/>
          <w:spacing w:val="8"/>
        </w:rPr>
        <w:t>。</w:t>
      </w:r>
    </w:p>
    <w:p w:rsidR="00000000" w:rsidRDefault="00000000">
      <w:pPr>
        <w:rPr>
          <w:rFonts w:hint="eastAsia"/>
        </w:rPr>
      </w:pPr>
      <w:r>
        <w:rPr>
          <w:rFonts w:hint="eastAsia"/>
        </w:rPr>
        <w:tab/>
        <w:t xml:space="preserve">451.  </w:t>
      </w:r>
      <w:r>
        <w:rPr>
          <w:rFonts w:hint="eastAsia"/>
        </w:rPr>
        <w:t>卫生和福利部计划近期内改革初级卫生系统：</w:t>
      </w:r>
    </w:p>
    <w:p w:rsidR="00000000" w:rsidRDefault="00000000">
      <w:pPr>
        <w:numPr>
          <w:ilvl w:val="0"/>
          <w:numId w:val="145"/>
        </w:numPr>
        <w:rPr>
          <w:rFonts w:hint="eastAsia"/>
        </w:rPr>
      </w:pPr>
      <w:r>
        <w:rPr>
          <w:rFonts w:hint="eastAsia"/>
        </w:rPr>
        <w:t>将其他保险基金的卫生方案和基础结构纳入国家卫生系统，以便统一提供的医疗服务，提高医疗保健的质量；</w:t>
      </w:r>
    </w:p>
    <w:p w:rsidR="00000000" w:rsidRDefault="00000000">
      <w:pPr>
        <w:numPr>
          <w:ilvl w:val="0"/>
          <w:numId w:val="145"/>
        </w:numPr>
        <w:rPr>
          <w:rFonts w:hint="eastAsia"/>
        </w:rPr>
      </w:pPr>
      <w:r>
        <w:rPr>
          <w:rFonts w:hint="eastAsia"/>
        </w:rPr>
        <w:t>建立城市卫生中心，在统一的卫生系统内改善就诊条件；</w:t>
      </w:r>
    </w:p>
    <w:p w:rsidR="00000000" w:rsidRDefault="00000000">
      <w:pPr>
        <w:numPr>
          <w:ilvl w:val="0"/>
          <w:numId w:val="145"/>
        </w:numPr>
        <w:rPr>
          <w:rFonts w:hint="eastAsia"/>
        </w:rPr>
      </w:pPr>
      <w:r>
        <w:rPr>
          <w:rFonts w:hint="eastAsia"/>
        </w:rPr>
        <w:t>建立家庭医生制度；和</w:t>
      </w:r>
    </w:p>
    <w:p w:rsidR="00000000" w:rsidRDefault="00000000">
      <w:pPr>
        <w:numPr>
          <w:ilvl w:val="0"/>
          <w:numId w:val="145"/>
        </w:numPr>
        <w:spacing w:after="240"/>
        <w:rPr>
          <w:rFonts w:hint="eastAsia"/>
        </w:rPr>
      </w:pPr>
      <w:r>
        <w:rPr>
          <w:rFonts w:hint="eastAsia"/>
        </w:rPr>
        <w:t>合理地利用人力和财力资源。</w:t>
      </w:r>
    </w:p>
    <w:p w:rsidR="00000000" w:rsidRDefault="00000000">
      <w:pPr>
        <w:pStyle w:val="Heading4"/>
        <w:rPr>
          <w:rFonts w:hint="eastAsia"/>
        </w:rPr>
      </w:pPr>
      <w:r>
        <w:rPr>
          <w:rFonts w:hint="eastAsia"/>
        </w:rPr>
        <w:t>提供医疗服务</w:t>
      </w:r>
    </w:p>
    <w:p w:rsidR="00000000" w:rsidRDefault="00000000">
      <w:pPr>
        <w:rPr>
          <w:rFonts w:hint="eastAsia"/>
        </w:rPr>
      </w:pPr>
      <w:r>
        <w:rPr>
          <w:rFonts w:hint="eastAsia"/>
        </w:rPr>
        <w:tab/>
        <w:t xml:space="preserve">452.  </w:t>
      </w:r>
      <w:r>
        <w:rPr>
          <w:rFonts w:hint="eastAsia"/>
        </w:rPr>
        <w:t>医院治疗在国家卫生系统中起着主要作用。希腊的卫生保健支出正在不断增加。</w:t>
      </w:r>
    </w:p>
    <w:p w:rsidR="00000000" w:rsidRDefault="00000000">
      <w:pPr>
        <w:rPr>
          <w:rFonts w:hint="eastAsia"/>
        </w:rPr>
      </w:pPr>
      <w:r>
        <w:rPr>
          <w:rFonts w:hint="eastAsia"/>
        </w:rPr>
        <w:tab/>
        <w:t xml:space="preserve">453.  </w:t>
      </w:r>
      <w:r>
        <w:rPr>
          <w:rFonts w:hint="eastAsia"/>
        </w:rPr>
        <w:t>有保险的病人可自由选择所有公立医院，及大多数与每个保险基金有合同关系的私立医院。各保险金签有合同的私立医院数量不同，主要取决于担保的人数和它们在国内的分布情况。有些基金，如</w:t>
      </w:r>
      <w:r>
        <w:rPr>
          <w:rFonts w:hint="eastAsia"/>
        </w:rPr>
        <w:t xml:space="preserve">IKA, </w:t>
      </w:r>
      <w:r>
        <w:rPr>
          <w:rFonts w:hint="eastAsia"/>
        </w:rPr>
        <w:t>在它们自己的医院里提供部分医院治疗，但大多数人依赖公立医院系统的服务。</w:t>
      </w:r>
    </w:p>
    <w:p w:rsidR="00000000" w:rsidRDefault="00000000">
      <w:pPr>
        <w:rPr>
          <w:rFonts w:hint="eastAsia"/>
        </w:rPr>
      </w:pPr>
      <w:r>
        <w:rPr>
          <w:rFonts w:hint="eastAsia"/>
        </w:rPr>
        <w:tab/>
        <w:t xml:space="preserve">454.  </w:t>
      </w:r>
      <w:r>
        <w:rPr>
          <w:rFonts w:hint="eastAsia"/>
        </w:rPr>
        <w:t>没有保险和贫困的病人在紧急情况下可免费进入公立医院治疗。也向移民</w:t>
      </w:r>
      <w:r>
        <w:rPr>
          <w:rFonts w:hint="eastAsia"/>
        </w:rPr>
        <w:t>(</w:t>
      </w:r>
      <w:r>
        <w:rPr>
          <w:rFonts w:hint="eastAsia"/>
        </w:rPr>
        <w:t>在希腊合法或非法定居的</w:t>
      </w:r>
      <w:r>
        <w:rPr>
          <w:rFonts w:hint="eastAsia"/>
        </w:rPr>
        <w:t>)</w:t>
      </w:r>
      <w:r>
        <w:rPr>
          <w:rFonts w:hint="eastAsia"/>
        </w:rPr>
        <w:t>提供这种治疗。</w:t>
      </w:r>
    </w:p>
    <w:p w:rsidR="00000000" w:rsidRDefault="00000000">
      <w:pPr>
        <w:rPr>
          <w:rFonts w:hint="eastAsia"/>
        </w:rPr>
      </w:pPr>
      <w:r>
        <w:rPr>
          <w:rFonts w:hint="eastAsia"/>
        </w:rPr>
        <w:tab/>
        <w:t xml:space="preserve">455.  </w:t>
      </w:r>
      <w:r>
        <w:rPr>
          <w:rFonts w:hint="eastAsia"/>
        </w:rPr>
        <w:t>医院主要有三类：国家卫生系统的公立医院；国防部负责经营的公立医院、</w:t>
      </w:r>
      <w:r>
        <w:rPr>
          <w:rFonts w:hint="eastAsia"/>
        </w:rPr>
        <w:t>IKA</w:t>
      </w:r>
      <w:r>
        <w:rPr>
          <w:rFonts w:hint="eastAsia"/>
        </w:rPr>
        <w:t>网的医院、国民教育部和司法部的医院</w:t>
      </w:r>
      <w:r>
        <w:rPr>
          <w:rFonts w:hint="eastAsia"/>
        </w:rPr>
        <w:t>(</w:t>
      </w:r>
      <w:r>
        <w:rPr>
          <w:rFonts w:hint="eastAsia"/>
        </w:rPr>
        <w:t>如军队医院和囚犯医院等</w:t>
      </w:r>
      <w:r>
        <w:rPr>
          <w:rFonts w:hint="eastAsia"/>
        </w:rPr>
        <w:t>)</w:t>
      </w:r>
      <w:r>
        <w:rPr>
          <w:rFonts w:hint="eastAsia"/>
        </w:rPr>
        <w:t>；和私立医院，其中绝大多数是私人、赢利性机构。</w:t>
      </w:r>
    </w:p>
    <w:p w:rsidR="00000000" w:rsidRDefault="00000000">
      <w:pPr>
        <w:rPr>
          <w:rFonts w:hint="eastAsia"/>
        </w:rPr>
      </w:pPr>
      <w:r>
        <w:rPr>
          <w:rFonts w:hint="eastAsia"/>
        </w:rPr>
        <w:tab/>
        <w:t xml:space="preserve">456.  </w:t>
      </w:r>
      <w:r>
        <w:rPr>
          <w:rFonts w:hint="eastAsia"/>
        </w:rPr>
        <w:t>国家卫生系统拥有医院总数的几乎</w:t>
      </w:r>
      <w:r>
        <w:rPr>
          <w:rFonts w:hint="eastAsia"/>
        </w:rPr>
        <w:t>34%</w:t>
      </w:r>
      <w:r>
        <w:rPr>
          <w:rFonts w:hint="eastAsia"/>
        </w:rPr>
        <w:t>，私立医院占总数的大约</w:t>
      </w:r>
      <w:r>
        <w:rPr>
          <w:rFonts w:hint="eastAsia"/>
        </w:rPr>
        <w:t>60%</w:t>
      </w:r>
      <w:r>
        <w:rPr>
          <w:rFonts w:hint="eastAsia"/>
        </w:rPr>
        <w:t>，剩下的大约</w:t>
      </w:r>
      <w:r>
        <w:rPr>
          <w:rFonts w:hint="eastAsia"/>
        </w:rPr>
        <w:t>6%</w:t>
      </w:r>
      <w:r>
        <w:rPr>
          <w:rFonts w:hint="eastAsia"/>
        </w:rPr>
        <w:t>是不属国家卫生系统的公立医院。但上述比例在医院病床数方面容易产生误导，因为私人所有的医院往往很小。在病床数量上，国家卫生系统的医院占病床总数的几乎三分之二</w:t>
      </w:r>
      <w:r>
        <w:rPr>
          <w:rFonts w:hint="eastAsia"/>
        </w:rPr>
        <w:t>(70%)</w:t>
      </w:r>
      <w:r>
        <w:rPr>
          <w:rFonts w:hint="eastAsia"/>
        </w:rPr>
        <w:t>，而私营部门的病床占总数的不到三分之一</w:t>
      </w:r>
      <w:r>
        <w:rPr>
          <w:rFonts w:hint="eastAsia"/>
        </w:rPr>
        <w:t>(26.3%)</w:t>
      </w:r>
      <w:r>
        <w:rPr>
          <w:rFonts w:hint="eastAsia"/>
        </w:rPr>
        <w:t>，其他公立医院占</w:t>
      </w:r>
      <w:r>
        <w:rPr>
          <w:rFonts w:hint="eastAsia"/>
        </w:rPr>
        <w:t>3.5%</w:t>
      </w:r>
      <w:r>
        <w:rPr>
          <w:rFonts w:hint="eastAsia"/>
        </w:rPr>
        <w:t>。</w:t>
      </w:r>
    </w:p>
    <w:p w:rsidR="00000000" w:rsidRDefault="00000000">
      <w:pPr>
        <w:spacing w:after="240"/>
        <w:rPr>
          <w:rFonts w:hint="eastAsia"/>
        </w:rPr>
      </w:pPr>
      <w:r>
        <w:rPr>
          <w:rFonts w:hint="eastAsia"/>
        </w:rPr>
        <w:tab/>
        <w:t xml:space="preserve">457.  </w:t>
      </w:r>
      <w:r>
        <w:rPr>
          <w:rFonts w:hint="eastAsia"/>
        </w:rPr>
        <w:t>在病床总数上，希腊的病床与人口比例在欧盟各国中较低</w:t>
      </w:r>
      <w:r>
        <w:rPr>
          <w:rFonts w:hint="eastAsia"/>
        </w:rPr>
        <w:t>(</w:t>
      </w:r>
      <w:r>
        <w:rPr>
          <w:rFonts w:hint="eastAsia"/>
        </w:rPr>
        <w:t>每一千名居民</w:t>
      </w:r>
      <w:r>
        <w:rPr>
          <w:rFonts w:hint="eastAsia"/>
        </w:rPr>
        <w:t>8.1</w:t>
      </w:r>
      <w:r>
        <w:rPr>
          <w:rFonts w:hint="eastAsia"/>
        </w:rPr>
        <w:t>张</w:t>
      </w:r>
      <w:r>
        <w:rPr>
          <w:rFonts w:hint="eastAsia"/>
        </w:rPr>
        <w:t>)</w:t>
      </w:r>
      <w:r>
        <w:rPr>
          <w:rFonts w:hint="eastAsia"/>
        </w:rPr>
        <w:t>。</w:t>
      </w:r>
      <w:r>
        <w:rPr>
          <w:rFonts w:hint="eastAsia"/>
        </w:rPr>
        <w:t>1994-1999</w:t>
      </w:r>
      <w:r>
        <w:rPr>
          <w:rFonts w:hint="eastAsia"/>
        </w:rPr>
        <w:t>年期间，每一千名居民有</w:t>
      </w:r>
      <w:r>
        <w:rPr>
          <w:rFonts w:hint="eastAsia"/>
        </w:rPr>
        <w:t>5</w:t>
      </w:r>
      <w:r>
        <w:rPr>
          <w:rFonts w:hint="eastAsia"/>
        </w:rPr>
        <w:t>张病床。每千名居民的病床数，在第三个欧洲共同体支助框架资助的投资完成后将达到令人满意的水平。</w:t>
      </w:r>
    </w:p>
    <w:p w:rsidR="00000000" w:rsidRDefault="00000000">
      <w:pPr>
        <w:pStyle w:val="Heading4"/>
        <w:rPr>
          <w:rFonts w:hint="eastAsia"/>
        </w:rPr>
      </w:pPr>
      <w:r>
        <w:rPr>
          <w:rFonts w:hint="eastAsia"/>
        </w:rPr>
        <w:t>国家卫生系统医院发展的情况和前景</w:t>
      </w:r>
    </w:p>
    <w:p w:rsidR="00000000" w:rsidRDefault="00000000">
      <w:pPr>
        <w:rPr>
          <w:rFonts w:hint="eastAsia"/>
        </w:rPr>
      </w:pPr>
      <w:r>
        <w:rPr>
          <w:rFonts w:hint="eastAsia"/>
        </w:rPr>
        <w:tab/>
        <w:t xml:space="preserve">458.  </w:t>
      </w:r>
      <w:r>
        <w:rPr>
          <w:rFonts w:hint="eastAsia"/>
        </w:rPr>
        <w:t>多年来一直不断对国家卫生系统医院的经营情况和发展进行评价和评估，评估的问题包括利用情况、病床的地区分布和三级发展，病人的跨边界流动，医院管理和质量保证。</w:t>
      </w:r>
    </w:p>
    <w:p w:rsidR="00000000" w:rsidRDefault="00000000">
      <w:pPr>
        <w:rPr>
          <w:rFonts w:hint="eastAsia"/>
        </w:rPr>
      </w:pPr>
      <w:r>
        <w:rPr>
          <w:rFonts w:hint="eastAsia"/>
        </w:rPr>
        <w:tab/>
        <w:t xml:space="preserve">459.  </w:t>
      </w:r>
      <w:r>
        <w:rPr>
          <w:rFonts w:hint="eastAsia"/>
        </w:rPr>
        <w:t>下表显示的是</w:t>
      </w:r>
      <w:r>
        <w:rPr>
          <w:rFonts w:hint="eastAsia"/>
        </w:rPr>
        <w:t>1990-1996</w:t>
      </w:r>
      <w:r>
        <w:rPr>
          <w:rFonts w:hint="eastAsia"/>
        </w:rPr>
        <w:t>年期间病人就诊和服务情况的数据。接诊数显示从</w:t>
      </w:r>
      <w:r>
        <w:rPr>
          <w:rFonts w:hint="eastAsia"/>
        </w:rPr>
        <w:t>1990-1996</w:t>
      </w:r>
      <w:r>
        <w:rPr>
          <w:rFonts w:hint="eastAsia"/>
        </w:rPr>
        <w:t>年不断上升的趋势，反映了在这段时间里病人得到医院服务情况的改善。另一方面，平均住院时间则呈持续下降趋势。这反映了更多的强化治疗，有更多的病人在区医院接受短期治疗后转往大型的地区医院</w:t>
      </w:r>
      <w:r>
        <w:rPr>
          <w:rFonts w:hint="eastAsia"/>
        </w:rPr>
        <w:t>(</w:t>
      </w:r>
      <w:r>
        <w:rPr>
          <w:rFonts w:hint="eastAsia"/>
        </w:rPr>
        <w:t>这种情况可能也在一定程度上造成了接诊数量的增加</w:t>
      </w:r>
      <w:r>
        <w:rPr>
          <w:rFonts w:hint="eastAsia"/>
        </w:rPr>
        <w:t>)</w:t>
      </w:r>
      <w:r>
        <w:rPr>
          <w:rFonts w:hint="eastAsia"/>
        </w:rPr>
        <w:t>，精神病治疗上的改革，和在较低的程度上其他的治疗办法，如一天治疗和当天手术。占用率有一些浮动，但在这段时间里基本上是稳定的。</w:t>
      </w:r>
    </w:p>
    <w:p w:rsidR="00000000" w:rsidRDefault="00000000">
      <w:pPr>
        <w:pStyle w:val="Heading3"/>
        <w:spacing w:after="160"/>
        <w:rPr>
          <w:rFonts w:hint="eastAsia"/>
        </w:rPr>
      </w:pPr>
      <w:r>
        <w:br w:type="page"/>
      </w:r>
      <w:r>
        <w:rPr>
          <w:rFonts w:hint="eastAsia"/>
        </w:rPr>
        <w:t>表</w:t>
      </w:r>
      <w:r>
        <w:rPr>
          <w:rFonts w:hint="eastAsia"/>
        </w:rPr>
        <w:t xml:space="preserve">  12</w:t>
      </w:r>
    </w:p>
    <w:p w:rsidR="00000000" w:rsidRDefault="00000000">
      <w:pPr>
        <w:pStyle w:val="Heading3"/>
        <w:spacing w:after="160"/>
      </w:pPr>
      <w:r>
        <w:rPr>
          <w:rFonts w:hint="eastAsia"/>
        </w:rPr>
        <w:t>医院接诊和治疗情况，</w:t>
      </w:r>
      <w:r>
        <w:rPr>
          <w:rFonts w:hint="eastAsia"/>
        </w:rPr>
        <w:t>1990-1996</w:t>
      </w:r>
      <w:r>
        <w:rPr>
          <w:rFonts w:hint="eastAsia"/>
        </w:rPr>
        <w:t>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1080"/>
        <w:gridCol w:w="1080"/>
        <w:gridCol w:w="1200"/>
        <w:gridCol w:w="1080"/>
        <w:gridCol w:w="1080"/>
        <w:gridCol w:w="1080"/>
        <w:gridCol w:w="1063"/>
      </w:tblGrid>
      <w:tr w:rsidR="00000000">
        <w:tblPrEx>
          <w:tblCellMar>
            <w:top w:w="0" w:type="dxa"/>
            <w:bottom w:w="0" w:type="dxa"/>
          </w:tblCellMar>
        </w:tblPrEx>
        <w:tc>
          <w:tcPr>
            <w:tcW w:w="1908" w:type="dxa"/>
          </w:tcPr>
          <w:p w:rsidR="00000000" w:rsidRDefault="00000000">
            <w:pPr>
              <w:spacing w:before="80" w:line="240" w:lineRule="auto"/>
              <w:rPr>
                <w:rFonts w:hint="eastAsia"/>
                <w:sz w:val="21"/>
              </w:rPr>
            </w:pPr>
            <w:r>
              <w:rPr>
                <w:rFonts w:hint="eastAsia"/>
                <w:sz w:val="21"/>
              </w:rPr>
              <w:t>住院病人</w:t>
            </w:r>
          </w:p>
        </w:tc>
        <w:tc>
          <w:tcPr>
            <w:tcW w:w="1080" w:type="dxa"/>
          </w:tcPr>
          <w:p w:rsidR="00000000" w:rsidRDefault="00000000">
            <w:pPr>
              <w:spacing w:before="80" w:line="240" w:lineRule="auto"/>
              <w:jc w:val="center"/>
              <w:rPr>
                <w:rFonts w:hint="eastAsia"/>
                <w:sz w:val="21"/>
              </w:rPr>
            </w:pPr>
            <w:r>
              <w:rPr>
                <w:rFonts w:hint="eastAsia"/>
                <w:sz w:val="21"/>
              </w:rPr>
              <w:t>1990</w:t>
            </w:r>
          </w:p>
        </w:tc>
        <w:tc>
          <w:tcPr>
            <w:tcW w:w="1080" w:type="dxa"/>
          </w:tcPr>
          <w:p w:rsidR="00000000" w:rsidRDefault="00000000">
            <w:pPr>
              <w:spacing w:before="80" w:line="240" w:lineRule="auto"/>
              <w:jc w:val="center"/>
              <w:rPr>
                <w:rFonts w:hint="eastAsia"/>
                <w:sz w:val="21"/>
              </w:rPr>
            </w:pPr>
            <w:r>
              <w:rPr>
                <w:rFonts w:hint="eastAsia"/>
                <w:sz w:val="21"/>
              </w:rPr>
              <w:t>1991</w:t>
            </w:r>
          </w:p>
        </w:tc>
        <w:tc>
          <w:tcPr>
            <w:tcW w:w="1200" w:type="dxa"/>
          </w:tcPr>
          <w:p w:rsidR="00000000" w:rsidRDefault="00000000">
            <w:pPr>
              <w:spacing w:before="80" w:line="240" w:lineRule="auto"/>
              <w:jc w:val="center"/>
              <w:rPr>
                <w:rFonts w:hint="eastAsia"/>
                <w:sz w:val="21"/>
              </w:rPr>
            </w:pPr>
            <w:r>
              <w:rPr>
                <w:rFonts w:hint="eastAsia"/>
                <w:sz w:val="21"/>
              </w:rPr>
              <w:t>1992</w:t>
            </w:r>
          </w:p>
        </w:tc>
        <w:tc>
          <w:tcPr>
            <w:tcW w:w="1080" w:type="dxa"/>
          </w:tcPr>
          <w:p w:rsidR="00000000" w:rsidRDefault="00000000">
            <w:pPr>
              <w:spacing w:before="80" w:line="240" w:lineRule="auto"/>
              <w:jc w:val="center"/>
              <w:rPr>
                <w:rFonts w:hint="eastAsia"/>
                <w:sz w:val="21"/>
              </w:rPr>
            </w:pPr>
            <w:r>
              <w:rPr>
                <w:rFonts w:hint="eastAsia"/>
                <w:sz w:val="21"/>
              </w:rPr>
              <w:t>1993</w:t>
            </w:r>
          </w:p>
        </w:tc>
        <w:tc>
          <w:tcPr>
            <w:tcW w:w="1080" w:type="dxa"/>
          </w:tcPr>
          <w:p w:rsidR="00000000" w:rsidRDefault="00000000">
            <w:pPr>
              <w:spacing w:before="80" w:line="240" w:lineRule="auto"/>
              <w:jc w:val="center"/>
              <w:rPr>
                <w:rFonts w:hint="eastAsia"/>
                <w:sz w:val="21"/>
              </w:rPr>
            </w:pPr>
            <w:r>
              <w:rPr>
                <w:rFonts w:hint="eastAsia"/>
                <w:sz w:val="21"/>
              </w:rPr>
              <w:t>1994</w:t>
            </w:r>
          </w:p>
        </w:tc>
        <w:tc>
          <w:tcPr>
            <w:tcW w:w="1080" w:type="dxa"/>
          </w:tcPr>
          <w:p w:rsidR="00000000" w:rsidRDefault="00000000">
            <w:pPr>
              <w:spacing w:before="80" w:line="240" w:lineRule="auto"/>
              <w:jc w:val="center"/>
              <w:rPr>
                <w:rFonts w:hint="eastAsia"/>
                <w:sz w:val="21"/>
              </w:rPr>
            </w:pPr>
            <w:r>
              <w:rPr>
                <w:rFonts w:hint="eastAsia"/>
                <w:sz w:val="21"/>
              </w:rPr>
              <w:t>1995</w:t>
            </w:r>
          </w:p>
        </w:tc>
        <w:tc>
          <w:tcPr>
            <w:tcW w:w="1063" w:type="dxa"/>
          </w:tcPr>
          <w:p w:rsidR="00000000" w:rsidRDefault="00000000">
            <w:pPr>
              <w:spacing w:before="80" w:line="240" w:lineRule="auto"/>
              <w:jc w:val="center"/>
              <w:rPr>
                <w:rFonts w:hint="eastAsia"/>
                <w:sz w:val="21"/>
              </w:rPr>
            </w:pPr>
            <w:r>
              <w:rPr>
                <w:rFonts w:hint="eastAsia"/>
                <w:sz w:val="21"/>
              </w:rPr>
              <w:t>1996</w:t>
            </w:r>
          </w:p>
        </w:tc>
      </w:tr>
      <w:tr w:rsidR="00000000">
        <w:tblPrEx>
          <w:tblCellMar>
            <w:top w:w="0" w:type="dxa"/>
            <w:bottom w:w="0" w:type="dxa"/>
          </w:tblCellMar>
        </w:tblPrEx>
        <w:tc>
          <w:tcPr>
            <w:tcW w:w="1908" w:type="dxa"/>
            <w:tcBorders>
              <w:bottom w:val="nil"/>
            </w:tcBorders>
          </w:tcPr>
          <w:p w:rsidR="00000000" w:rsidRDefault="00000000">
            <w:pPr>
              <w:spacing w:before="20" w:after="20" w:line="240" w:lineRule="exact"/>
              <w:rPr>
                <w:rFonts w:hint="eastAsia"/>
                <w:sz w:val="21"/>
              </w:rPr>
            </w:pPr>
            <w:r>
              <w:rPr>
                <w:rFonts w:hint="eastAsia"/>
                <w:sz w:val="21"/>
              </w:rPr>
              <w:t>每年接诊数</w:t>
            </w:r>
          </w:p>
        </w:tc>
        <w:tc>
          <w:tcPr>
            <w:tcW w:w="1080" w:type="dxa"/>
            <w:tcBorders>
              <w:bottom w:val="nil"/>
            </w:tcBorders>
          </w:tcPr>
          <w:p w:rsidR="00000000" w:rsidRDefault="00000000">
            <w:pPr>
              <w:spacing w:before="20" w:after="20" w:line="240" w:lineRule="exact"/>
              <w:jc w:val="center"/>
              <w:rPr>
                <w:rFonts w:hint="eastAsia"/>
                <w:sz w:val="21"/>
              </w:rPr>
            </w:pPr>
            <w:r>
              <w:rPr>
                <w:rFonts w:hint="eastAsia"/>
                <w:sz w:val="21"/>
              </w:rPr>
              <w:t>12.8</w:t>
            </w:r>
          </w:p>
        </w:tc>
        <w:tc>
          <w:tcPr>
            <w:tcW w:w="1080" w:type="dxa"/>
            <w:tcBorders>
              <w:bottom w:val="nil"/>
            </w:tcBorders>
          </w:tcPr>
          <w:p w:rsidR="00000000" w:rsidRDefault="00000000">
            <w:pPr>
              <w:spacing w:before="20" w:after="20" w:line="240" w:lineRule="exact"/>
              <w:jc w:val="center"/>
              <w:rPr>
                <w:rFonts w:hint="eastAsia"/>
                <w:sz w:val="21"/>
              </w:rPr>
            </w:pPr>
            <w:r>
              <w:rPr>
                <w:rFonts w:hint="eastAsia"/>
                <w:sz w:val="21"/>
              </w:rPr>
              <w:t>13.1</w:t>
            </w:r>
          </w:p>
        </w:tc>
        <w:tc>
          <w:tcPr>
            <w:tcW w:w="1200" w:type="dxa"/>
            <w:tcBorders>
              <w:bottom w:val="nil"/>
            </w:tcBorders>
          </w:tcPr>
          <w:p w:rsidR="00000000" w:rsidRDefault="00000000">
            <w:pPr>
              <w:spacing w:before="20" w:after="20" w:line="240" w:lineRule="exact"/>
              <w:jc w:val="center"/>
              <w:rPr>
                <w:rFonts w:hint="eastAsia"/>
                <w:sz w:val="21"/>
              </w:rPr>
            </w:pPr>
            <w:r>
              <w:rPr>
                <w:rFonts w:hint="eastAsia"/>
                <w:sz w:val="21"/>
              </w:rPr>
              <w:t>13.4</w:t>
            </w:r>
          </w:p>
        </w:tc>
        <w:tc>
          <w:tcPr>
            <w:tcW w:w="1080" w:type="dxa"/>
            <w:tcBorders>
              <w:bottom w:val="nil"/>
            </w:tcBorders>
          </w:tcPr>
          <w:p w:rsidR="00000000" w:rsidRDefault="00000000">
            <w:pPr>
              <w:spacing w:before="20" w:after="20" w:line="240" w:lineRule="exact"/>
              <w:jc w:val="center"/>
              <w:rPr>
                <w:rFonts w:hint="eastAsia"/>
                <w:sz w:val="21"/>
              </w:rPr>
            </w:pPr>
            <w:r>
              <w:rPr>
                <w:rFonts w:hint="eastAsia"/>
                <w:sz w:val="21"/>
              </w:rPr>
              <w:t>13.9</w:t>
            </w:r>
          </w:p>
        </w:tc>
        <w:tc>
          <w:tcPr>
            <w:tcW w:w="1080" w:type="dxa"/>
            <w:tcBorders>
              <w:bottom w:val="nil"/>
            </w:tcBorders>
          </w:tcPr>
          <w:p w:rsidR="00000000" w:rsidRDefault="00000000">
            <w:pPr>
              <w:spacing w:before="20" w:after="20" w:line="240" w:lineRule="exact"/>
              <w:jc w:val="center"/>
              <w:rPr>
                <w:rFonts w:hint="eastAsia"/>
                <w:sz w:val="21"/>
              </w:rPr>
            </w:pPr>
            <w:r>
              <w:rPr>
                <w:rFonts w:hint="eastAsia"/>
                <w:sz w:val="21"/>
              </w:rPr>
              <w:t>1-1,2</w:t>
            </w:r>
          </w:p>
        </w:tc>
        <w:tc>
          <w:tcPr>
            <w:tcW w:w="1080" w:type="dxa"/>
            <w:tcBorders>
              <w:bottom w:val="nil"/>
            </w:tcBorders>
          </w:tcPr>
          <w:p w:rsidR="00000000" w:rsidRDefault="00000000">
            <w:pPr>
              <w:spacing w:before="20" w:after="20" w:line="240" w:lineRule="exact"/>
              <w:jc w:val="center"/>
              <w:rPr>
                <w:rFonts w:hint="eastAsia"/>
                <w:sz w:val="21"/>
              </w:rPr>
            </w:pPr>
            <w:r>
              <w:rPr>
                <w:rFonts w:hint="eastAsia"/>
                <w:sz w:val="21"/>
              </w:rPr>
              <w:t>1-1,5</w:t>
            </w:r>
          </w:p>
        </w:tc>
        <w:tc>
          <w:tcPr>
            <w:tcW w:w="1063" w:type="dxa"/>
            <w:tcBorders>
              <w:bottom w:val="nil"/>
            </w:tcBorders>
          </w:tcPr>
          <w:p w:rsidR="00000000" w:rsidRDefault="00000000">
            <w:pPr>
              <w:spacing w:before="20" w:after="20" w:line="240" w:lineRule="exact"/>
              <w:jc w:val="center"/>
              <w:rPr>
                <w:rFonts w:hint="eastAsia"/>
                <w:sz w:val="21"/>
              </w:rPr>
            </w:pPr>
            <w:r>
              <w:rPr>
                <w:rFonts w:hint="eastAsia"/>
                <w:sz w:val="21"/>
              </w:rPr>
              <w:t>14,7</w:t>
            </w:r>
          </w:p>
        </w:tc>
      </w:tr>
      <w:tr w:rsidR="00000000">
        <w:tblPrEx>
          <w:tblCellMar>
            <w:top w:w="0" w:type="dxa"/>
            <w:bottom w:w="0" w:type="dxa"/>
          </w:tblCellMar>
        </w:tblPrEx>
        <w:tc>
          <w:tcPr>
            <w:tcW w:w="1908" w:type="dxa"/>
            <w:tcBorders>
              <w:top w:val="nil"/>
              <w:bottom w:val="nil"/>
            </w:tcBorders>
          </w:tcPr>
          <w:p w:rsidR="00000000" w:rsidRDefault="00000000">
            <w:pPr>
              <w:spacing w:before="20" w:after="20" w:line="240" w:lineRule="exact"/>
              <w:rPr>
                <w:rFonts w:hint="eastAsia"/>
                <w:sz w:val="21"/>
              </w:rPr>
            </w:pPr>
            <w:r>
              <w:rPr>
                <w:rFonts w:hint="eastAsia"/>
                <w:sz w:val="21"/>
              </w:rPr>
              <w:t>平均住院天数</w:t>
            </w:r>
          </w:p>
        </w:tc>
        <w:tc>
          <w:tcPr>
            <w:tcW w:w="1080" w:type="dxa"/>
            <w:tcBorders>
              <w:top w:val="nil"/>
              <w:bottom w:val="nil"/>
            </w:tcBorders>
          </w:tcPr>
          <w:p w:rsidR="00000000" w:rsidRDefault="00000000">
            <w:pPr>
              <w:spacing w:before="20" w:after="20" w:line="240" w:lineRule="exact"/>
              <w:jc w:val="center"/>
              <w:rPr>
                <w:rFonts w:hint="eastAsia"/>
                <w:sz w:val="21"/>
              </w:rPr>
            </w:pPr>
            <w:r>
              <w:rPr>
                <w:rFonts w:hint="eastAsia"/>
                <w:sz w:val="21"/>
              </w:rPr>
              <w:t xml:space="preserve"> 9.9</w:t>
            </w:r>
          </w:p>
        </w:tc>
        <w:tc>
          <w:tcPr>
            <w:tcW w:w="1080" w:type="dxa"/>
            <w:tcBorders>
              <w:top w:val="nil"/>
              <w:bottom w:val="nil"/>
            </w:tcBorders>
          </w:tcPr>
          <w:p w:rsidR="00000000" w:rsidRDefault="00000000">
            <w:pPr>
              <w:spacing w:before="20" w:after="20" w:line="240" w:lineRule="exact"/>
              <w:jc w:val="center"/>
              <w:rPr>
                <w:rFonts w:hint="eastAsia"/>
                <w:sz w:val="21"/>
              </w:rPr>
            </w:pPr>
            <w:r>
              <w:rPr>
                <w:rFonts w:hint="eastAsia"/>
                <w:sz w:val="21"/>
              </w:rPr>
              <w:t xml:space="preserve"> 9.9</w:t>
            </w:r>
          </w:p>
        </w:tc>
        <w:tc>
          <w:tcPr>
            <w:tcW w:w="1200" w:type="dxa"/>
            <w:tcBorders>
              <w:top w:val="nil"/>
              <w:bottom w:val="nil"/>
            </w:tcBorders>
          </w:tcPr>
          <w:p w:rsidR="00000000" w:rsidRDefault="00000000">
            <w:pPr>
              <w:spacing w:before="20" w:after="20" w:line="240" w:lineRule="exact"/>
              <w:jc w:val="center"/>
              <w:rPr>
                <w:rFonts w:hint="eastAsia"/>
                <w:sz w:val="21"/>
              </w:rPr>
            </w:pPr>
            <w:r>
              <w:rPr>
                <w:rFonts w:hint="eastAsia"/>
                <w:sz w:val="21"/>
              </w:rPr>
              <w:t xml:space="preserve"> 9.8</w:t>
            </w:r>
          </w:p>
        </w:tc>
        <w:tc>
          <w:tcPr>
            <w:tcW w:w="1080" w:type="dxa"/>
            <w:tcBorders>
              <w:top w:val="nil"/>
              <w:bottom w:val="nil"/>
            </w:tcBorders>
          </w:tcPr>
          <w:p w:rsidR="00000000" w:rsidRDefault="00000000">
            <w:pPr>
              <w:spacing w:before="20" w:after="20" w:line="240" w:lineRule="exact"/>
              <w:jc w:val="center"/>
              <w:rPr>
                <w:rFonts w:hint="eastAsia"/>
                <w:sz w:val="21"/>
              </w:rPr>
            </w:pPr>
            <w:r>
              <w:rPr>
                <w:rFonts w:hint="eastAsia"/>
                <w:sz w:val="21"/>
              </w:rPr>
              <w:t xml:space="preserve"> 9.4</w:t>
            </w:r>
          </w:p>
        </w:tc>
        <w:tc>
          <w:tcPr>
            <w:tcW w:w="1080" w:type="dxa"/>
            <w:tcBorders>
              <w:top w:val="nil"/>
              <w:bottom w:val="nil"/>
            </w:tcBorders>
          </w:tcPr>
          <w:p w:rsidR="00000000" w:rsidRDefault="00000000">
            <w:pPr>
              <w:spacing w:before="20" w:after="20" w:line="240" w:lineRule="exact"/>
              <w:jc w:val="center"/>
              <w:rPr>
                <w:rFonts w:hint="eastAsia"/>
                <w:sz w:val="21"/>
              </w:rPr>
            </w:pPr>
            <w:r>
              <w:rPr>
                <w:rFonts w:hint="eastAsia"/>
                <w:sz w:val="21"/>
              </w:rPr>
              <w:t xml:space="preserve"> 9.1</w:t>
            </w:r>
          </w:p>
        </w:tc>
        <w:tc>
          <w:tcPr>
            <w:tcW w:w="1080" w:type="dxa"/>
            <w:tcBorders>
              <w:top w:val="nil"/>
              <w:bottom w:val="nil"/>
            </w:tcBorders>
          </w:tcPr>
          <w:p w:rsidR="00000000" w:rsidRDefault="00000000">
            <w:pPr>
              <w:spacing w:before="20" w:after="20" w:line="240" w:lineRule="exact"/>
              <w:jc w:val="center"/>
              <w:rPr>
                <w:rFonts w:hint="eastAsia"/>
                <w:sz w:val="21"/>
              </w:rPr>
            </w:pPr>
            <w:r>
              <w:rPr>
                <w:rFonts w:hint="eastAsia"/>
                <w:sz w:val="21"/>
              </w:rPr>
              <w:t xml:space="preserve"> 8.6</w:t>
            </w:r>
          </w:p>
        </w:tc>
        <w:tc>
          <w:tcPr>
            <w:tcW w:w="1063" w:type="dxa"/>
            <w:tcBorders>
              <w:top w:val="nil"/>
              <w:bottom w:val="nil"/>
            </w:tcBorders>
          </w:tcPr>
          <w:p w:rsidR="00000000" w:rsidRDefault="00000000">
            <w:pPr>
              <w:spacing w:before="20" w:after="20" w:line="240" w:lineRule="exact"/>
              <w:jc w:val="center"/>
              <w:rPr>
                <w:rFonts w:hint="eastAsia"/>
                <w:sz w:val="21"/>
              </w:rPr>
            </w:pPr>
            <w:r>
              <w:rPr>
                <w:rFonts w:hint="eastAsia"/>
                <w:sz w:val="21"/>
              </w:rPr>
              <w:t xml:space="preserve"> 8.4</w:t>
            </w:r>
          </w:p>
        </w:tc>
      </w:tr>
      <w:tr w:rsidR="00000000">
        <w:tblPrEx>
          <w:tblCellMar>
            <w:top w:w="0" w:type="dxa"/>
            <w:bottom w:w="0" w:type="dxa"/>
          </w:tblCellMar>
        </w:tblPrEx>
        <w:tc>
          <w:tcPr>
            <w:tcW w:w="1908" w:type="dxa"/>
            <w:tcBorders>
              <w:top w:val="nil"/>
            </w:tcBorders>
          </w:tcPr>
          <w:p w:rsidR="00000000" w:rsidRDefault="00000000">
            <w:pPr>
              <w:spacing w:before="20" w:after="20" w:line="240" w:lineRule="exact"/>
              <w:rPr>
                <w:rFonts w:hint="eastAsia"/>
                <w:sz w:val="21"/>
              </w:rPr>
            </w:pPr>
            <w:r>
              <w:rPr>
                <w:rFonts w:hint="eastAsia"/>
                <w:sz w:val="21"/>
              </w:rPr>
              <w:t>占用率</w:t>
            </w:r>
            <w:r>
              <w:rPr>
                <w:rFonts w:hint="eastAsia"/>
                <w:sz w:val="21"/>
              </w:rPr>
              <w:t>(%)</w:t>
            </w:r>
          </w:p>
        </w:tc>
        <w:tc>
          <w:tcPr>
            <w:tcW w:w="1080" w:type="dxa"/>
            <w:tcBorders>
              <w:top w:val="nil"/>
            </w:tcBorders>
          </w:tcPr>
          <w:p w:rsidR="00000000" w:rsidRDefault="00000000">
            <w:pPr>
              <w:spacing w:before="20" w:after="20" w:line="240" w:lineRule="exact"/>
              <w:jc w:val="center"/>
              <w:rPr>
                <w:rFonts w:hint="eastAsia"/>
                <w:sz w:val="21"/>
              </w:rPr>
            </w:pPr>
            <w:r>
              <w:rPr>
                <w:rFonts w:hint="eastAsia"/>
                <w:sz w:val="21"/>
              </w:rPr>
              <w:t>68.0</w:t>
            </w:r>
          </w:p>
        </w:tc>
        <w:tc>
          <w:tcPr>
            <w:tcW w:w="1080" w:type="dxa"/>
            <w:tcBorders>
              <w:top w:val="nil"/>
            </w:tcBorders>
          </w:tcPr>
          <w:p w:rsidR="00000000" w:rsidRDefault="00000000">
            <w:pPr>
              <w:spacing w:before="20" w:after="20" w:line="240" w:lineRule="exact"/>
              <w:jc w:val="center"/>
              <w:rPr>
                <w:rFonts w:hint="eastAsia"/>
                <w:sz w:val="21"/>
              </w:rPr>
            </w:pPr>
            <w:r>
              <w:rPr>
                <w:rFonts w:hint="eastAsia"/>
                <w:sz w:val="21"/>
              </w:rPr>
              <w:t>71.0</w:t>
            </w:r>
          </w:p>
        </w:tc>
        <w:tc>
          <w:tcPr>
            <w:tcW w:w="1200" w:type="dxa"/>
            <w:tcBorders>
              <w:top w:val="nil"/>
            </w:tcBorders>
          </w:tcPr>
          <w:p w:rsidR="00000000" w:rsidRDefault="00000000">
            <w:pPr>
              <w:spacing w:before="20" w:after="20" w:line="240" w:lineRule="exact"/>
              <w:jc w:val="center"/>
              <w:rPr>
                <w:rFonts w:hint="eastAsia"/>
                <w:sz w:val="21"/>
              </w:rPr>
            </w:pPr>
            <w:r>
              <w:rPr>
                <w:rFonts w:hint="eastAsia"/>
                <w:sz w:val="21"/>
              </w:rPr>
              <w:t>70.0</w:t>
            </w:r>
          </w:p>
        </w:tc>
        <w:tc>
          <w:tcPr>
            <w:tcW w:w="1080" w:type="dxa"/>
            <w:tcBorders>
              <w:top w:val="nil"/>
            </w:tcBorders>
          </w:tcPr>
          <w:p w:rsidR="00000000" w:rsidRDefault="00000000">
            <w:pPr>
              <w:spacing w:before="20" w:after="20" w:line="240" w:lineRule="exact"/>
              <w:jc w:val="center"/>
              <w:rPr>
                <w:rFonts w:hint="eastAsia"/>
                <w:sz w:val="21"/>
              </w:rPr>
            </w:pPr>
            <w:r>
              <w:rPr>
                <w:rFonts w:hint="eastAsia"/>
                <w:sz w:val="21"/>
              </w:rPr>
              <w:t>71.0</w:t>
            </w:r>
          </w:p>
        </w:tc>
        <w:tc>
          <w:tcPr>
            <w:tcW w:w="1080" w:type="dxa"/>
            <w:tcBorders>
              <w:top w:val="nil"/>
            </w:tcBorders>
          </w:tcPr>
          <w:p w:rsidR="00000000" w:rsidRDefault="00000000">
            <w:pPr>
              <w:spacing w:before="20" w:after="20" w:line="240" w:lineRule="exact"/>
              <w:jc w:val="center"/>
              <w:rPr>
                <w:rFonts w:hint="eastAsia"/>
                <w:sz w:val="21"/>
              </w:rPr>
            </w:pPr>
            <w:r>
              <w:rPr>
                <w:rFonts w:hint="eastAsia"/>
                <w:sz w:val="21"/>
              </w:rPr>
              <w:t>70.0</w:t>
            </w:r>
          </w:p>
        </w:tc>
        <w:tc>
          <w:tcPr>
            <w:tcW w:w="1080" w:type="dxa"/>
            <w:tcBorders>
              <w:top w:val="nil"/>
            </w:tcBorders>
          </w:tcPr>
          <w:p w:rsidR="00000000" w:rsidRDefault="00000000">
            <w:pPr>
              <w:spacing w:before="20" w:after="20" w:line="240" w:lineRule="exact"/>
              <w:jc w:val="center"/>
              <w:rPr>
                <w:rFonts w:hint="eastAsia"/>
                <w:sz w:val="21"/>
              </w:rPr>
            </w:pPr>
            <w:r>
              <w:rPr>
                <w:rFonts w:hint="eastAsia"/>
                <w:sz w:val="21"/>
              </w:rPr>
              <w:t>71.0</w:t>
            </w:r>
          </w:p>
        </w:tc>
        <w:tc>
          <w:tcPr>
            <w:tcW w:w="1063" w:type="dxa"/>
            <w:tcBorders>
              <w:top w:val="nil"/>
            </w:tcBorders>
          </w:tcPr>
          <w:p w:rsidR="00000000" w:rsidRDefault="00000000">
            <w:pPr>
              <w:spacing w:before="20" w:after="20" w:line="240" w:lineRule="exact"/>
              <w:jc w:val="center"/>
              <w:rPr>
                <w:rFonts w:hint="eastAsia"/>
                <w:sz w:val="21"/>
              </w:rPr>
            </w:pPr>
            <w:r>
              <w:rPr>
                <w:rFonts w:hint="eastAsia"/>
                <w:sz w:val="21"/>
              </w:rPr>
              <w:t>69.0</w:t>
            </w:r>
          </w:p>
        </w:tc>
      </w:tr>
    </w:tbl>
    <w:p w:rsidR="00000000" w:rsidRDefault="00000000">
      <w:pPr>
        <w:spacing w:before="240"/>
        <w:rPr>
          <w:rFonts w:eastAsia="KaiTi_GB2312" w:hint="eastAsia"/>
          <w:spacing w:val="0"/>
        </w:rPr>
      </w:pPr>
      <w:r>
        <w:rPr>
          <w:rFonts w:eastAsia="KaiTi_GB2312" w:hint="eastAsia"/>
          <w:spacing w:val="0"/>
          <w:u w:val="single"/>
        </w:rPr>
        <w:t>来</w:t>
      </w:r>
      <w:r>
        <w:rPr>
          <w:rFonts w:eastAsia="KaiTi_GB2312" w:hint="eastAsia"/>
          <w:spacing w:val="0"/>
          <w:u w:val="single"/>
        </w:rPr>
        <w:t xml:space="preserve"> </w:t>
      </w:r>
      <w:r>
        <w:rPr>
          <w:rFonts w:eastAsia="KaiTi_GB2312" w:hint="eastAsia"/>
          <w:spacing w:val="0"/>
          <w:u w:val="single"/>
        </w:rPr>
        <w:t>源</w:t>
      </w:r>
      <w:r>
        <w:rPr>
          <w:rFonts w:eastAsia="KaiTi_GB2312" w:hint="eastAsia"/>
          <w:spacing w:val="0"/>
        </w:rPr>
        <w:t>：世界卫生组织欧洲区域办事处</w:t>
      </w:r>
      <w:r>
        <w:rPr>
          <w:rFonts w:eastAsia="KaiTi_GB2312" w:hint="eastAsia"/>
          <w:spacing w:val="0"/>
        </w:rPr>
        <w:t>(</w:t>
      </w:r>
      <w:r>
        <w:rPr>
          <w:rFonts w:eastAsia="KaiTi_GB2312" w:hint="eastAsia"/>
          <w:spacing w:val="0"/>
        </w:rPr>
        <w:t>人人享有健康数据库</w:t>
      </w:r>
      <w:r>
        <w:rPr>
          <w:rFonts w:eastAsia="KaiTi_GB2312" w:hint="eastAsia"/>
          <w:spacing w:val="0"/>
        </w:rPr>
        <w:t>)</w:t>
      </w:r>
      <w:r>
        <w:rPr>
          <w:rFonts w:eastAsia="KaiTi_GB2312" w:hint="eastAsia"/>
          <w:spacing w:val="0"/>
        </w:rPr>
        <w:t>，和卫生和福利部。</w:t>
      </w:r>
    </w:p>
    <w:p w:rsidR="00000000" w:rsidRDefault="00000000">
      <w:pPr>
        <w:spacing w:line="240" w:lineRule="auto"/>
        <w:rPr>
          <w:rFonts w:eastAsia="KaiTi_GB2312" w:hint="eastAsia"/>
          <w:spacing w:val="0"/>
        </w:rPr>
      </w:pPr>
    </w:p>
    <w:p w:rsidR="00000000" w:rsidRDefault="00000000">
      <w:pPr>
        <w:rPr>
          <w:rFonts w:hint="eastAsia"/>
        </w:rPr>
      </w:pPr>
      <w:r>
        <w:rPr>
          <w:rFonts w:hint="eastAsia"/>
        </w:rPr>
        <w:tab/>
        <w:t xml:space="preserve">460.  </w:t>
      </w:r>
      <w:r>
        <w:rPr>
          <w:rFonts w:hint="eastAsia"/>
        </w:rPr>
        <w:t>二级医院病床的地区分布有些不均衡，雅典和塞萨洛基尼城市地区较好。科里特、伊庇鲁斯和希腊西部的情况也是如此，</w:t>
      </w:r>
      <w:r>
        <w:rPr>
          <w:rFonts w:hint="eastAsia"/>
        </w:rPr>
        <w:t>1990</w:t>
      </w:r>
      <w:r>
        <w:rPr>
          <w:rFonts w:hint="eastAsia"/>
        </w:rPr>
        <w:t>年增加了几家大规模的大学医院。近年来，在离主要大城市较远的地区建设了一些新的医院和对公立医院的翻修，就是为了解决这个问题。</w:t>
      </w:r>
    </w:p>
    <w:p w:rsidR="00000000" w:rsidRDefault="00000000">
      <w:pPr>
        <w:rPr>
          <w:rFonts w:hint="eastAsia"/>
        </w:rPr>
      </w:pPr>
      <w:r>
        <w:rPr>
          <w:rFonts w:hint="eastAsia"/>
        </w:rPr>
        <w:tab/>
        <w:t xml:space="preserve">461.  </w:t>
      </w:r>
      <w:r>
        <w:rPr>
          <w:rFonts w:hint="eastAsia"/>
          <w:spacing w:val="8"/>
        </w:rPr>
        <w:t>在三级医疗保健方面，</w:t>
      </w:r>
      <w:r>
        <w:rPr>
          <w:rFonts w:hint="eastAsia"/>
          <w:spacing w:val="8"/>
        </w:rPr>
        <w:t>17</w:t>
      </w:r>
      <w:r>
        <w:rPr>
          <w:rFonts w:hint="eastAsia"/>
          <w:spacing w:val="8"/>
        </w:rPr>
        <w:t>个地区中有</w:t>
      </w:r>
      <w:r>
        <w:rPr>
          <w:rFonts w:hint="eastAsia"/>
          <w:spacing w:val="8"/>
        </w:rPr>
        <w:t>7</w:t>
      </w:r>
      <w:r>
        <w:rPr>
          <w:rFonts w:hint="eastAsia"/>
          <w:spacing w:val="8"/>
        </w:rPr>
        <w:t>个至少拥有一家全国卫生系统的大型高水平专门医院，其余地区则由邻近的雅典和塞萨洛基尼等地的医院负责。各地区的大学医院已成为各地区提供高级专门医疗保健的中心。这里面包括设在希腊西部</w:t>
      </w:r>
      <w:r>
        <w:rPr>
          <w:rFonts w:hint="eastAsia"/>
          <w:spacing w:val="8"/>
        </w:rPr>
        <w:t>(Patras)</w:t>
      </w:r>
      <w:r>
        <w:rPr>
          <w:rFonts w:hint="eastAsia"/>
          <w:spacing w:val="8"/>
        </w:rPr>
        <w:t>、科里特</w:t>
      </w:r>
      <w:r>
        <w:rPr>
          <w:rFonts w:hint="eastAsia"/>
          <w:spacing w:val="8"/>
        </w:rPr>
        <w:t>(</w:t>
      </w:r>
      <w:r>
        <w:rPr>
          <w:spacing w:val="8"/>
        </w:rPr>
        <w:t>Heraklion)</w:t>
      </w:r>
      <w:r>
        <w:rPr>
          <w:rFonts w:hint="eastAsia"/>
          <w:spacing w:val="8"/>
        </w:rPr>
        <w:t>、伊庇鲁斯</w:t>
      </w:r>
      <w:r>
        <w:rPr>
          <w:spacing w:val="8"/>
        </w:rPr>
        <w:t>(Loannina)</w:t>
      </w:r>
      <w:r>
        <w:rPr>
          <w:rFonts w:hint="eastAsia"/>
          <w:spacing w:val="8"/>
        </w:rPr>
        <w:t>、色雷斯</w:t>
      </w:r>
      <w:r>
        <w:rPr>
          <w:rFonts w:hint="eastAsia"/>
          <w:spacing w:val="8"/>
        </w:rPr>
        <w:t>(</w:t>
      </w:r>
      <w:r>
        <w:rPr>
          <w:spacing w:val="8"/>
        </w:rPr>
        <w:t>Alexandroupolis</w:t>
      </w:r>
      <w:r>
        <w:rPr>
          <w:rFonts w:hint="eastAsia"/>
          <w:spacing w:val="8"/>
        </w:rPr>
        <w:t xml:space="preserve">) </w:t>
      </w:r>
      <w:r>
        <w:rPr>
          <w:rFonts w:hint="eastAsia"/>
          <w:spacing w:val="8"/>
        </w:rPr>
        <w:t>和塞萨利亚</w:t>
      </w:r>
      <w:r>
        <w:rPr>
          <w:rFonts w:hint="eastAsia"/>
          <w:spacing w:val="8"/>
        </w:rPr>
        <w:t xml:space="preserve"> (</w:t>
      </w:r>
      <w:r>
        <w:rPr>
          <w:spacing w:val="8"/>
        </w:rPr>
        <w:t>Larisa)</w:t>
      </w:r>
      <w:r>
        <w:rPr>
          <w:rFonts w:hint="eastAsia"/>
          <w:spacing w:val="8"/>
        </w:rPr>
        <w:t xml:space="preserve"> </w:t>
      </w:r>
      <w:r>
        <w:rPr>
          <w:rFonts w:hint="eastAsia"/>
          <w:spacing w:val="8"/>
        </w:rPr>
        <w:t>的医院。</w:t>
      </w:r>
    </w:p>
    <w:p w:rsidR="00000000" w:rsidRDefault="00000000">
      <w:pPr>
        <w:rPr>
          <w:rFonts w:hint="eastAsia"/>
        </w:rPr>
      </w:pPr>
      <w:r>
        <w:rPr>
          <w:rFonts w:hint="eastAsia"/>
        </w:rPr>
        <w:tab/>
        <w:t xml:space="preserve">462.  </w:t>
      </w:r>
      <w:r>
        <w:rPr>
          <w:rFonts w:hint="eastAsia"/>
        </w:rPr>
        <w:t>在病人跨地区就医方面，各地区之间存在较大差异。科里特、伊庇鲁斯和西部希腊都有一些新增加的专门服务，本身即可大体上满足当地居民的需要，还可吸引一些周围地区的病人。相反，靠近雅典和塞萨洛基尼等主要城市的地区，则有大批病人前往上述城市中心医院就医。这在一定程度上是由于一些地区的普通医院不能随时满足专门需要。此外，缺少转院制度和病人可自由选择几乎任何国家卫生系统医院，也把病人吸引到主要城市医院，那里的医院较为集中，并有较高的水准。</w:t>
      </w:r>
    </w:p>
    <w:p w:rsidR="00000000" w:rsidRDefault="00000000">
      <w:pPr>
        <w:rPr>
          <w:rFonts w:hint="eastAsia"/>
        </w:rPr>
      </w:pPr>
      <w:r>
        <w:rPr>
          <w:rFonts w:hint="eastAsia"/>
        </w:rPr>
        <w:tab/>
        <w:t xml:space="preserve">463.  </w:t>
      </w:r>
      <w:r>
        <w:rPr>
          <w:rFonts w:hint="eastAsia"/>
        </w:rPr>
        <w:t>各医院的生物医学基础设施十分先进，特别是最新一代的技术。国家卫生系统的医院每百万居民占有的核磁共振成像和</w:t>
      </w:r>
      <w:r>
        <w:rPr>
          <w:rFonts w:hint="eastAsia"/>
        </w:rPr>
        <w:t>CT</w:t>
      </w:r>
      <w:r>
        <w:rPr>
          <w:rFonts w:hint="eastAsia"/>
        </w:rPr>
        <w:t>设备数量，接近欧洲联盟国家的相应平均值。</w:t>
      </w:r>
    </w:p>
    <w:p w:rsidR="00000000" w:rsidRDefault="00000000">
      <w:pPr>
        <w:rPr>
          <w:rFonts w:hint="eastAsia"/>
        </w:rPr>
      </w:pPr>
      <w:r>
        <w:rPr>
          <w:rFonts w:hint="eastAsia"/>
        </w:rPr>
        <w:tab/>
        <w:t xml:space="preserve">464.  </w:t>
      </w:r>
      <w:r>
        <w:rPr>
          <w:rFonts w:hint="eastAsia"/>
        </w:rPr>
        <w:t>但区域分布不均，城市地区设备较好。为了解决这个问题，卫生和福利部正在制定一套医疗设备作价和评估系统，该套系统将有助于作到更有效的生物医学技术管理。此外，采用了远距离医学为农村地区特别是设在岛屿上的卫生中心医务人员提供咨询服务和专科指导。目前希腊各岛屿上有</w:t>
      </w:r>
      <w:r>
        <w:rPr>
          <w:rFonts w:hint="eastAsia"/>
        </w:rPr>
        <w:t>14</w:t>
      </w:r>
      <w:r>
        <w:rPr>
          <w:rFonts w:hint="eastAsia"/>
        </w:rPr>
        <w:t>个卫生中心已通过远距离医学网，与雅典地区的一家国家卫生系统医院联系起来，卫生和福利部计划将另外</w:t>
      </w:r>
      <w:r>
        <w:rPr>
          <w:rFonts w:hint="eastAsia"/>
        </w:rPr>
        <w:t>50</w:t>
      </w:r>
      <w:r>
        <w:rPr>
          <w:rFonts w:hint="eastAsia"/>
        </w:rPr>
        <w:t>个岛屿和偏远地区与该系统联接。</w:t>
      </w:r>
    </w:p>
    <w:p w:rsidR="00000000" w:rsidRDefault="00000000">
      <w:r>
        <w:rPr>
          <w:rFonts w:hint="eastAsia"/>
        </w:rPr>
        <w:tab/>
        <w:t xml:space="preserve">465.  </w:t>
      </w:r>
      <w:r>
        <w:rPr>
          <w:rFonts w:hint="eastAsia"/>
          <w:spacing w:val="8"/>
        </w:rPr>
        <w:t>国家卫生系统医院的行政管理由一个</w:t>
      </w:r>
      <w:r>
        <w:rPr>
          <w:rFonts w:hint="eastAsia"/>
          <w:spacing w:val="8"/>
        </w:rPr>
        <w:t>7</w:t>
      </w:r>
      <w:r>
        <w:rPr>
          <w:rFonts w:hint="eastAsia"/>
          <w:spacing w:val="8"/>
        </w:rPr>
        <w:t>人组成的董事会负责，</w:t>
      </w:r>
      <w:r>
        <w:rPr>
          <w:rFonts w:hint="eastAsia"/>
          <w:spacing w:val="8"/>
        </w:rPr>
        <w:t>4</w:t>
      </w:r>
      <w:r>
        <w:rPr>
          <w:rFonts w:hint="eastAsia"/>
          <w:spacing w:val="8"/>
        </w:rPr>
        <w:t>名成员由政府任命</w:t>
      </w:r>
      <w:r>
        <w:rPr>
          <w:rFonts w:hint="eastAsia"/>
          <w:spacing w:val="8"/>
        </w:rPr>
        <w:t>(</w:t>
      </w:r>
      <w:r>
        <w:rPr>
          <w:rFonts w:hint="eastAsia"/>
          <w:spacing w:val="8"/>
        </w:rPr>
        <w:t>卫生和福利部长任命院长和副院长，另两名成员由卫生和福利部长和该区市长任命</w:t>
      </w:r>
      <w:r>
        <w:rPr>
          <w:rFonts w:hint="eastAsia"/>
          <w:spacing w:val="8"/>
        </w:rPr>
        <w:t>)</w:t>
      </w:r>
      <w:r>
        <w:rPr>
          <w:rFonts w:hint="eastAsia"/>
          <w:spacing w:val="8"/>
        </w:rPr>
        <w:t>，</w:t>
      </w:r>
      <w:r>
        <w:rPr>
          <w:rFonts w:hint="eastAsia"/>
          <w:spacing w:val="8"/>
        </w:rPr>
        <w:t>3</w:t>
      </w:r>
      <w:r>
        <w:rPr>
          <w:rFonts w:hint="eastAsia"/>
          <w:spacing w:val="8"/>
        </w:rPr>
        <w:t>名成员由选举产生</w:t>
      </w:r>
      <w:r>
        <w:rPr>
          <w:rFonts w:hint="eastAsia"/>
          <w:spacing w:val="8"/>
        </w:rPr>
        <w:t>(</w:t>
      </w:r>
      <w:r>
        <w:rPr>
          <w:rFonts w:hint="eastAsia"/>
          <w:spacing w:val="8"/>
        </w:rPr>
        <w:t>一位医生和一名护士或医院工作人员中的管理人员，及一位市政当局的代表</w:t>
      </w:r>
      <w:r>
        <w:rPr>
          <w:rFonts w:hint="eastAsia"/>
          <w:spacing w:val="8"/>
        </w:rPr>
        <w:t>)</w:t>
      </w:r>
      <w:r>
        <w:rPr>
          <w:rFonts w:hint="eastAsia"/>
          <w:spacing w:val="8"/>
        </w:rPr>
        <w:t>，任期两年。护理和管理人员有他们各自的管理主任，医疗服务由一个</w:t>
      </w:r>
      <w:r>
        <w:rPr>
          <w:rFonts w:hint="eastAsia"/>
          <w:spacing w:val="8"/>
        </w:rPr>
        <w:t>5</w:t>
      </w:r>
      <w:r>
        <w:rPr>
          <w:rFonts w:hint="eastAsia"/>
          <w:spacing w:val="8"/>
        </w:rPr>
        <w:t>人组成的科学委员会管理。人们普遍认为，医院在管理结构和效能上存在差距，因此提出了一项计划，进行组织和管理上的改革，包括设立行政经理，以便增加制度的灵活性，并尽可能限制僵化的官僚主义，周转不灵和低效。</w:t>
      </w:r>
    </w:p>
    <w:p w:rsidR="00000000" w:rsidRDefault="00000000">
      <w:pPr>
        <w:rPr>
          <w:rFonts w:hint="eastAsia"/>
        </w:rPr>
      </w:pPr>
      <w:r>
        <w:rPr>
          <w:rFonts w:hint="eastAsia"/>
        </w:rPr>
        <w:tab/>
        <w:t xml:space="preserve">466.  </w:t>
      </w:r>
      <w:r>
        <w:rPr>
          <w:rFonts w:hint="eastAsia"/>
        </w:rPr>
        <w:t>第</w:t>
      </w:r>
      <w:r>
        <w:rPr>
          <w:rFonts w:hint="eastAsia"/>
        </w:rPr>
        <w:t>2889</w:t>
      </w:r>
      <w:r>
        <w:t>/2001</w:t>
      </w:r>
      <w:r>
        <w:rPr>
          <w:rFonts w:hint="eastAsia"/>
        </w:rPr>
        <w:t>号法将医院的法律实体改为隶属于区域卫生系统的权力下放的单位，引进了职能和行政改革，在医院中任命管理人员担任院长，以求解决上述问题，提高整个系统的效率。</w:t>
      </w:r>
    </w:p>
    <w:p w:rsidR="00000000" w:rsidRDefault="00000000">
      <w:pPr>
        <w:rPr>
          <w:rFonts w:hint="eastAsia"/>
        </w:rPr>
      </w:pPr>
      <w:r>
        <w:rPr>
          <w:rFonts w:hint="eastAsia"/>
        </w:rPr>
        <w:tab/>
        <w:t xml:space="preserve">467.  </w:t>
      </w:r>
      <w:r>
        <w:rPr>
          <w:rFonts w:hint="eastAsia"/>
        </w:rPr>
        <w:t>根据新的立法和</w:t>
      </w:r>
      <w:r>
        <w:rPr>
          <w:rFonts w:hint="eastAsia"/>
        </w:rPr>
        <w:t>1995</w:t>
      </w:r>
      <w:r>
        <w:rPr>
          <w:rFonts w:hint="eastAsia"/>
        </w:rPr>
        <w:t>至</w:t>
      </w:r>
      <w:r>
        <w:rPr>
          <w:rFonts w:hint="eastAsia"/>
        </w:rPr>
        <w:t>1999</w:t>
      </w:r>
      <w:r>
        <w:rPr>
          <w:rFonts w:hint="eastAsia"/>
        </w:rPr>
        <w:t>年期间的五年计划</w:t>
      </w:r>
      <w:r>
        <w:rPr>
          <w:rFonts w:hint="eastAsia"/>
          <w:spacing w:val="-50"/>
        </w:rPr>
        <w:t>―</w:t>
      </w:r>
      <w:r>
        <w:rPr>
          <w:rFonts w:hint="eastAsia"/>
        </w:rPr>
        <w:t>―该计划是在欧盟的支持方案内进行的</w:t>
      </w:r>
      <w:r>
        <w:rPr>
          <w:rFonts w:hint="eastAsia"/>
          <w:spacing w:val="-50"/>
        </w:rPr>
        <w:t>―</w:t>
      </w:r>
      <w:r>
        <w:rPr>
          <w:rFonts w:hint="eastAsia"/>
        </w:rPr>
        <w:t>―在国家卫生系统内增加了</w:t>
      </w:r>
      <w:r>
        <w:rPr>
          <w:rFonts w:hint="eastAsia"/>
        </w:rPr>
        <w:t>4</w:t>
      </w:r>
      <w:r>
        <w:rPr>
          <w:rFonts w:hint="eastAsia"/>
        </w:rPr>
        <w:t>所新的区域医院和</w:t>
      </w:r>
      <w:r>
        <w:rPr>
          <w:rFonts w:hint="eastAsia"/>
        </w:rPr>
        <w:t>12</w:t>
      </w:r>
      <w:r>
        <w:rPr>
          <w:rFonts w:hint="eastAsia"/>
        </w:rPr>
        <w:t>所新的区级医院，以求改进房舍设施和更新技术设备。与此同时还废掉了一些旧的病床。此外，正在计划医院服务的电脑化、教育工作人员、改进急救服务，和建立国家的诊所审计和质量保证制度。</w:t>
      </w:r>
    </w:p>
    <w:p w:rsidR="00000000" w:rsidRDefault="00000000">
      <w:pPr>
        <w:rPr>
          <w:rFonts w:hint="eastAsia"/>
        </w:rPr>
      </w:pPr>
      <w:r>
        <w:rPr>
          <w:rFonts w:hint="eastAsia"/>
        </w:rPr>
        <w:tab/>
        <w:t xml:space="preserve">468.  </w:t>
      </w:r>
      <w:r>
        <w:rPr>
          <w:rFonts w:hint="eastAsia"/>
        </w:rPr>
        <w:t>已列入日程的其他问题，包括改进转院制度，以便管理跨区域病员流动，医院手续的电脑化，发展员工的管理作用，和建立质量保证制度。计划填补的医院管理人员的职位，这些人将自动成为董事会的主席或成员，这项计划将有助于克服原先管理职位的政治化。与此同时，新的医务主任职位将使各项医疗服务的管理更加有效。最后，一套新的针对医院的财务会计制度将改善现金流动的管理，为监测财务业绩和评估资源分配管理的效益提供经济效益指数。</w:t>
      </w:r>
    </w:p>
    <w:p w:rsidR="00000000" w:rsidRDefault="00000000">
      <w:pPr>
        <w:spacing w:after="320"/>
        <w:rPr>
          <w:rFonts w:hint="eastAsia"/>
        </w:rPr>
      </w:pPr>
      <w:r>
        <w:rPr>
          <w:rFonts w:hint="eastAsia"/>
        </w:rPr>
        <w:tab/>
        <w:t>469.  1999</w:t>
      </w:r>
      <w:r>
        <w:rPr>
          <w:rFonts w:hint="eastAsia"/>
        </w:rPr>
        <w:t>年颁布了两项法，旨在改革医院的精神健康治疗</w:t>
      </w:r>
      <w:r>
        <w:rPr>
          <w:rFonts w:hint="eastAsia"/>
        </w:rPr>
        <w:t>(</w:t>
      </w:r>
      <w:r>
        <w:rPr>
          <w:rFonts w:hint="eastAsia"/>
        </w:rPr>
        <w:t>第</w:t>
      </w:r>
      <w:r>
        <w:rPr>
          <w:rFonts w:hint="eastAsia"/>
        </w:rPr>
        <w:t>2716</w:t>
      </w:r>
      <w:r>
        <w:t>/</w:t>
      </w:r>
      <w:r>
        <w:rPr>
          <w:rFonts w:hint="eastAsia"/>
        </w:rPr>
        <w:t>99</w:t>
      </w:r>
      <w:r>
        <w:rPr>
          <w:rFonts w:hint="eastAsia"/>
        </w:rPr>
        <w:t>号法</w:t>
      </w:r>
      <w:r>
        <w:rPr>
          <w:rFonts w:hint="eastAsia"/>
        </w:rPr>
        <w:t>)</w:t>
      </w:r>
      <w:r>
        <w:rPr>
          <w:rFonts w:hint="eastAsia"/>
        </w:rPr>
        <w:t>，和医院中作组织和器官移植的部门</w:t>
      </w:r>
      <w:r>
        <w:rPr>
          <w:rFonts w:hint="eastAsia"/>
        </w:rPr>
        <w:t>(</w:t>
      </w:r>
      <w:r>
        <w:rPr>
          <w:rFonts w:hint="eastAsia"/>
        </w:rPr>
        <w:t>第</w:t>
      </w:r>
      <w:r>
        <w:rPr>
          <w:rFonts w:hint="eastAsia"/>
        </w:rPr>
        <w:t>2737</w:t>
      </w:r>
      <w:r>
        <w:t>/</w:t>
      </w:r>
      <w:r>
        <w:rPr>
          <w:rFonts w:hint="eastAsia"/>
        </w:rPr>
        <w:t>99</w:t>
      </w:r>
      <w:r>
        <w:rPr>
          <w:rFonts w:hint="eastAsia"/>
        </w:rPr>
        <w:t>号法</w:t>
      </w:r>
      <w:r>
        <w:rPr>
          <w:rFonts w:hint="eastAsia"/>
        </w:rPr>
        <w:t>)</w:t>
      </w:r>
      <w:r>
        <w:rPr>
          <w:rFonts w:hint="eastAsia"/>
        </w:rPr>
        <w:t>。此外，第</w:t>
      </w:r>
      <w:r>
        <w:rPr>
          <w:rFonts w:hint="eastAsia"/>
        </w:rPr>
        <w:t>2889</w:t>
      </w:r>
      <w:r>
        <w:t>/</w:t>
      </w:r>
      <w:r>
        <w:rPr>
          <w:rFonts w:hint="eastAsia"/>
        </w:rPr>
        <w:t>2001</w:t>
      </w:r>
      <w:r>
        <w:rPr>
          <w:rFonts w:hint="eastAsia"/>
        </w:rPr>
        <w:t>号法提出了一些新的制度，如午后医疗服务，扩大国家紧急卫生保健中心，卫生服务和重病特别护理单位的工作人员，提升特别卫生服务特别是特护服务，和一套医生考评制度。</w:t>
      </w:r>
    </w:p>
    <w:p w:rsidR="00000000" w:rsidRDefault="00000000">
      <w:pPr>
        <w:pStyle w:val="Heading3"/>
        <w:spacing w:after="160"/>
        <w:rPr>
          <w:rFonts w:hint="eastAsia"/>
        </w:rPr>
      </w:pPr>
      <w:r>
        <w:rPr>
          <w:rFonts w:hint="eastAsia"/>
        </w:rPr>
        <w:t>精</w:t>
      </w:r>
      <w:r>
        <w:rPr>
          <w:rFonts w:hint="eastAsia"/>
        </w:rPr>
        <w:t xml:space="preserve"> </w:t>
      </w:r>
      <w:r>
        <w:rPr>
          <w:rFonts w:hint="eastAsia"/>
        </w:rPr>
        <w:t>神</w:t>
      </w:r>
      <w:r>
        <w:rPr>
          <w:rFonts w:hint="eastAsia"/>
        </w:rPr>
        <w:t xml:space="preserve"> </w:t>
      </w:r>
      <w:r>
        <w:rPr>
          <w:rFonts w:hint="eastAsia"/>
        </w:rPr>
        <w:t>卫</w:t>
      </w:r>
      <w:r>
        <w:rPr>
          <w:rFonts w:hint="eastAsia"/>
        </w:rPr>
        <w:t xml:space="preserve"> </w:t>
      </w:r>
      <w:r>
        <w:rPr>
          <w:rFonts w:hint="eastAsia"/>
        </w:rPr>
        <w:t>生</w:t>
      </w:r>
    </w:p>
    <w:p w:rsidR="00000000" w:rsidRDefault="00000000">
      <w:pPr>
        <w:pStyle w:val="Heading3"/>
        <w:spacing w:after="160"/>
        <w:rPr>
          <w:rFonts w:hint="eastAsia"/>
        </w:rPr>
      </w:pPr>
      <w:r>
        <w:rPr>
          <w:rFonts w:hint="eastAsia"/>
          <w:u w:val="none"/>
        </w:rPr>
        <w:t xml:space="preserve">A.  </w:t>
      </w:r>
      <w:r>
        <w:rPr>
          <w:rFonts w:hint="eastAsia"/>
        </w:rPr>
        <w:t>政策和立法</w:t>
      </w:r>
    </w:p>
    <w:p w:rsidR="00000000" w:rsidRDefault="00000000">
      <w:pPr>
        <w:pStyle w:val="Heading3"/>
        <w:rPr>
          <w:rFonts w:hint="eastAsia"/>
        </w:rPr>
      </w:pPr>
      <w:r>
        <w:rPr>
          <w:rFonts w:hint="eastAsia"/>
          <w:u w:val="none"/>
        </w:rPr>
        <w:t xml:space="preserve">1.  </w:t>
      </w:r>
      <w:r>
        <w:rPr>
          <w:rFonts w:hint="eastAsia"/>
        </w:rPr>
        <w:t>精神卫生政策</w:t>
      </w:r>
    </w:p>
    <w:p w:rsidR="00000000" w:rsidRDefault="00000000">
      <w:pPr>
        <w:rPr>
          <w:rFonts w:hint="eastAsia"/>
        </w:rPr>
      </w:pPr>
      <w:r>
        <w:rPr>
          <w:rFonts w:hint="eastAsia"/>
        </w:rPr>
        <w:tab/>
        <w:t>470.  1983</w:t>
      </w:r>
      <w:r>
        <w:rPr>
          <w:rFonts w:hint="eastAsia"/>
        </w:rPr>
        <w:t>年制定的精神卫生政策，目标是支持、发展、预防、治疗和康复，该项政策在</w:t>
      </w:r>
      <w:r>
        <w:rPr>
          <w:rFonts w:hint="eastAsia"/>
        </w:rPr>
        <w:t>1997</w:t>
      </w:r>
      <w:r>
        <w:rPr>
          <w:rFonts w:hint="eastAsia"/>
        </w:rPr>
        <w:t>年后被收入一个</w:t>
      </w:r>
      <w:r>
        <w:rPr>
          <w:rFonts w:hint="eastAsia"/>
        </w:rPr>
        <w:t>10</w:t>
      </w:r>
      <w:r>
        <w:rPr>
          <w:rFonts w:hint="eastAsia"/>
        </w:rPr>
        <w:t>年计划</w:t>
      </w:r>
      <w:r>
        <w:rPr>
          <w:rFonts w:hint="eastAsia"/>
        </w:rPr>
        <w:t>(</w:t>
      </w:r>
      <w:r>
        <w:rPr>
          <w:rFonts w:hint="eastAsia"/>
        </w:rPr>
        <w:t>“</w:t>
      </w:r>
      <w:r>
        <w:t>Psychargos</w:t>
      </w:r>
      <w:r>
        <w:rPr>
          <w:rFonts w:hint="eastAsia"/>
        </w:rPr>
        <w:t>”</w:t>
      </w:r>
      <w:r>
        <w:rPr>
          <w:rFonts w:hint="eastAsia"/>
        </w:rPr>
        <w:t>)</w:t>
      </w:r>
      <w:r>
        <w:rPr>
          <w:rFonts w:hint="eastAsia"/>
        </w:rPr>
        <w:t>，每五年修订一次。这项计划的第一部分费用为</w:t>
      </w:r>
      <w:r>
        <w:rPr>
          <w:rFonts w:hint="eastAsia"/>
        </w:rPr>
        <w:t>3500</w:t>
      </w:r>
      <w:r>
        <w:rPr>
          <w:rFonts w:hint="eastAsia"/>
        </w:rPr>
        <w:t>万欧元，在</w:t>
      </w:r>
      <w:r>
        <w:rPr>
          <w:rFonts w:hint="eastAsia"/>
        </w:rPr>
        <w:t>2000</w:t>
      </w:r>
      <w:r>
        <w:rPr>
          <w:rFonts w:hint="eastAsia"/>
        </w:rPr>
        <w:t>至</w:t>
      </w:r>
      <w:r>
        <w:rPr>
          <w:rFonts w:hint="eastAsia"/>
        </w:rPr>
        <w:t>2001</w:t>
      </w:r>
      <w:r>
        <w:rPr>
          <w:rFonts w:hint="eastAsia"/>
        </w:rPr>
        <w:t>年期间实施，建立了</w:t>
      </w:r>
      <w:r>
        <w:rPr>
          <w:rFonts w:hint="eastAsia"/>
        </w:rPr>
        <w:t>55</w:t>
      </w:r>
      <w:r>
        <w:rPr>
          <w:rFonts w:hint="eastAsia"/>
        </w:rPr>
        <w:t>个接待和寄宿收容所，以求将精神病人从机构中摆脱出来。该计划的第二部分已得到批准，将在</w:t>
      </w:r>
      <w:r>
        <w:rPr>
          <w:rFonts w:hint="eastAsia"/>
        </w:rPr>
        <w:t>2002</w:t>
      </w:r>
      <w:r>
        <w:rPr>
          <w:rFonts w:hint="eastAsia"/>
        </w:rPr>
        <w:t>至</w:t>
      </w:r>
      <w:r>
        <w:rPr>
          <w:rFonts w:hint="eastAsia"/>
        </w:rPr>
        <w:t>2006</w:t>
      </w:r>
      <w:r>
        <w:rPr>
          <w:rFonts w:hint="eastAsia"/>
        </w:rPr>
        <w:t>年期间执行，费用</w:t>
      </w:r>
      <w:r>
        <w:rPr>
          <w:rFonts w:hint="eastAsia"/>
        </w:rPr>
        <w:t>2.17</w:t>
      </w:r>
      <w:r>
        <w:rPr>
          <w:rFonts w:hint="eastAsia"/>
        </w:rPr>
        <w:t>亿欧元。</w:t>
      </w:r>
    </w:p>
    <w:p w:rsidR="00000000" w:rsidRDefault="00000000">
      <w:pPr>
        <w:rPr>
          <w:rFonts w:hint="eastAsia"/>
        </w:rPr>
      </w:pPr>
      <w:r>
        <w:rPr>
          <w:rFonts w:hint="eastAsia"/>
        </w:rPr>
        <w:tab/>
        <w:t xml:space="preserve">471.  </w:t>
      </w:r>
      <w:r>
        <w:rPr>
          <w:rFonts w:hint="eastAsia"/>
        </w:rPr>
        <w:t>这项计划的主要特点是：</w:t>
      </w:r>
    </w:p>
    <w:p w:rsidR="00000000" w:rsidRDefault="00000000">
      <w:pPr>
        <w:pStyle w:val="a0"/>
        <w:tabs>
          <w:tab w:val="num" w:pos="1540"/>
        </w:tabs>
        <w:ind w:left="1540"/>
        <w:rPr>
          <w:rFonts w:hint="eastAsia"/>
        </w:rPr>
      </w:pPr>
      <w:r>
        <w:rPr>
          <w:rFonts w:hint="eastAsia"/>
        </w:rPr>
        <w:t>摆脱机构治疗和受人歧视的状况</w:t>
      </w:r>
      <w:r>
        <w:rPr>
          <w:rFonts w:hint="eastAsia"/>
        </w:rPr>
        <w:t>(</w:t>
      </w:r>
      <w:r>
        <w:rPr>
          <w:rFonts w:hint="eastAsia"/>
        </w:rPr>
        <w:t>据估计目前在神经病医院住院的病人，</w:t>
      </w:r>
      <w:r>
        <w:rPr>
          <w:rFonts w:hint="eastAsia"/>
        </w:rPr>
        <w:t>60%</w:t>
      </w:r>
      <w:r>
        <w:rPr>
          <w:rFonts w:hint="eastAsia"/>
        </w:rPr>
        <w:t>可转移到市和社区修建的住宅</w:t>
      </w:r>
      <w:r>
        <w:rPr>
          <w:rFonts w:hint="eastAsia"/>
        </w:rPr>
        <w:t>)</w:t>
      </w:r>
      <w:r>
        <w:rPr>
          <w:rFonts w:hint="eastAsia"/>
        </w:rPr>
        <w:t>；</w:t>
      </w:r>
    </w:p>
    <w:p w:rsidR="00000000" w:rsidRDefault="00000000">
      <w:pPr>
        <w:pStyle w:val="a0"/>
        <w:tabs>
          <w:tab w:val="num" w:pos="1540"/>
        </w:tabs>
        <w:ind w:left="1540"/>
        <w:rPr>
          <w:rFonts w:hint="eastAsia"/>
        </w:rPr>
      </w:pPr>
      <w:r>
        <w:rPr>
          <w:rFonts w:hint="eastAsia"/>
        </w:rPr>
        <w:t>将神经病治疗服务分散到全国各地；</w:t>
      </w:r>
    </w:p>
    <w:p w:rsidR="00000000" w:rsidRDefault="00000000">
      <w:pPr>
        <w:pStyle w:val="a0"/>
        <w:tabs>
          <w:tab w:val="num" w:pos="1540"/>
        </w:tabs>
        <w:ind w:left="1540"/>
        <w:rPr>
          <w:rFonts w:hint="eastAsia"/>
        </w:rPr>
      </w:pPr>
      <w:r>
        <w:rPr>
          <w:rFonts w:hint="eastAsia"/>
        </w:rPr>
        <w:t>建立初级精神卫生机构</w:t>
      </w:r>
      <w:r>
        <w:rPr>
          <w:rFonts w:hint="eastAsia"/>
        </w:rPr>
        <w:t>(</w:t>
      </w:r>
      <w:r>
        <w:rPr>
          <w:rFonts w:hint="eastAsia"/>
        </w:rPr>
        <w:t>精神卫生中心、儿童医疗中心和日间护理医院</w:t>
      </w:r>
      <w:r>
        <w:rPr>
          <w:rFonts w:hint="eastAsia"/>
        </w:rPr>
        <w:t>)</w:t>
      </w:r>
      <w:r>
        <w:rPr>
          <w:rFonts w:hint="eastAsia"/>
        </w:rPr>
        <w:t>，和在医院中建立神经病科、儿童神经病科和老年心理科；</w:t>
      </w:r>
    </w:p>
    <w:p w:rsidR="00000000" w:rsidRDefault="00000000">
      <w:pPr>
        <w:pStyle w:val="a0"/>
        <w:tabs>
          <w:tab w:val="num" w:pos="1540"/>
        </w:tabs>
        <w:ind w:left="1540"/>
        <w:rPr>
          <w:rFonts w:hint="eastAsia"/>
        </w:rPr>
      </w:pPr>
      <w:r>
        <w:rPr>
          <w:rFonts w:hint="eastAsia"/>
        </w:rPr>
        <w:t>建立新的康复机构和病人合作社，以便推动神经病病人在社会、经济和专业上与社会的结合；和</w:t>
      </w:r>
    </w:p>
    <w:p w:rsidR="00000000" w:rsidRDefault="00000000">
      <w:pPr>
        <w:pStyle w:val="a0"/>
        <w:tabs>
          <w:tab w:val="num" w:pos="1540"/>
        </w:tabs>
        <w:ind w:left="1540"/>
        <w:rPr>
          <w:rFonts w:hint="eastAsia"/>
        </w:rPr>
      </w:pPr>
      <w:r>
        <w:rPr>
          <w:rFonts w:hint="eastAsia"/>
        </w:rPr>
        <w:t>加强保护病人权利的工作。</w:t>
      </w:r>
    </w:p>
    <w:p w:rsidR="00000000" w:rsidRDefault="00000000">
      <w:pPr>
        <w:spacing w:after="320"/>
        <w:rPr>
          <w:rFonts w:hint="eastAsia"/>
        </w:rPr>
      </w:pPr>
      <w:r>
        <w:rPr>
          <w:rFonts w:hint="eastAsia"/>
        </w:rPr>
        <w:tab/>
        <w:t xml:space="preserve">472.  </w:t>
      </w:r>
      <w:r>
        <w:rPr>
          <w:rFonts w:hint="eastAsia"/>
        </w:rPr>
        <w:t>下表说明了</w:t>
      </w:r>
      <w:r>
        <w:rPr>
          <w:rFonts w:hint="eastAsia"/>
        </w:rPr>
        <w:t>2000</w:t>
      </w:r>
      <w:r>
        <w:rPr>
          <w:rFonts w:hint="eastAsia"/>
        </w:rPr>
        <w:t>至</w:t>
      </w:r>
      <w:r>
        <w:rPr>
          <w:rFonts w:hint="eastAsia"/>
        </w:rPr>
        <w:t>2006</w:t>
      </w:r>
      <w:r>
        <w:rPr>
          <w:rFonts w:hint="eastAsia"/>
        </w:rPr>
        <w:t>年的计划：</w:t>
      </w:r>
    </w:p>
    <w:p w:rsidR="00000000" w:rsidRDefault="00000000">
      <w:pPr>
        <w:pStyle w:val="Heading3"/>
        <w:rPr>
          <w:rFonts w:hint="eastAsia"/>
        </w:rPr>
      </w:pPr>
      <w:r>
        <w:rPr>
          <w:rFonts w:hint="eastAsia"/>
        </w:rPr>
        <w:t>表</w:t>
      </w:r>
      <w:r>
        <w:rPr>
          <w:rFonts w:hint="eastAsia"/>
        </w:rPr>
        <w:t xml:space="preserve">  13</w:t>
      </w: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569"/>
        <w:gridCol w:w="2393"/>
      </w:tblGrid>
      <w:tr w:rsidR="00000000">
        <w:tblPrEx>
          <w:tblCellMar>
            <w:top w:w="0" w:type="dxa"/>
            <w:bottom w:w="0" w:type="dxa"/>
          </w:tblCellMar>
        </w:tblPrEx>
        <w:tc>
          <w:tcPr>
            <w:tcW w:w="2391" w:type="dxa"/>
          </w:tcPr>
          <w:p w:rsidR="00000000" w:rsidRDefault="00000000">
            <w:pPr>
              <w:pStyle w:val="aa"/>
              <w:spacing w:before="100" w:line="240" w:lineRule="auto"/>
              <w:jc w:val="left"/>
              <w:rPr>
                <w:rFonts w:hint="eastAsia"/>
                <w:sz w:val="22"/>
              </w:rPr>
            </w:pPr>
            <w:r>
              <w:rPr>
                <w:rFonts w:hint="eastAsia"/>
                <w:sz w:val="22"/>
              </w:rPr>
              <w:t>摆脱机构治疗</w:t>
            </w:r>
          </w:p>
        </w:tc>
        <w:tc>
          <w:tcPr>
            <w:tcW w:w="2393" w:type="dxa"/>
          </w:tcPr>
          <w:p w:rsidR="00000000" w:rsidRDefault="00000000">
            <w:pPr>
              <w:pStyle w:val="aa"/>
              <w:spacing w:before="100" w:line="240" w:lineRule="auto"/>
              <w:jc w:val="center"/>
              <w:rPr>
                <w:rFonts w:hint="eastAsia"/>
                <w:sz w:val="22"/>
              </w:rPr>
            </w:pPr>
            <w:r>
              <w:rPr>
                <w:rFonts w:hint="eastAsia"/>
                <w:sz w:val="22"/>
              </w:rPr>
              <w:t>2002</w:t>
            </w:r>
          </w:p>
        </w:tc>
        <w:tc>
          <w:tcPr>
            <w:tcW w:w="2569" w:type="dxa"/>
          </w:tcPr>
          <w:p w:rsidR="00000000" w:rsidRDefault="00000000">
            <w:pPr>
              <w:pStyle w:val="aa"/>
              <w:spacing w:before="100" w:line="240" w:lineRule="auto"/>
              <w:jc w:val="center"/>
              <w:rPr>
                <w:rFonts w:hint="eastAsia"/>
                <w:sz w:val="22"/>
              </w:rPr>
            </w:pPr>
            <w:r>
              <w:rPr>
                <w:rFonts w:hint="eastAsia"/>
                <w:sz w:val="22"/>
              </w:rPr>
              <w:t>2003</w:t>
            </w:r>
          </w:p>
        </w:tc>
        <w:tc>
          <w:tcPr>
            <w:tcW w:w="2393" w:type="dxa"/>
          </w:tcPr>
          <w:p w:rsidR="00000000" w:rsidRDefault="00000000">
            <w:pPr>
              <w:pStyle w:val="aa"/>
              <w:spacing w:before="100" w:line="240" w:lineRule="auto"/>
              <w:jc w:val="center"/>
              <w:rPr>
                <w:sz w:val="22"/>
              </w:rPr>
            </w:pPr>
            <w:r>
              <w:rPr>
                <w:rFonts w:hint="eastAsia"/>
                <w:sz w:val="22"/>
              </w:rPr>
              <w:t>2004</w:t>
            </w:r>
            <w:r>
              <w:rPr>
                <w:sz w:val="22"/>
              </w:rPr>
              <w:t>-2006</w:t>
            </w:r>
          </w:p>
        </w:tc>
      </w:tr>
      <w:tr w:rsidR="00000000">
        <w:tblPrEx>
          <w:tblCellMar>
            <w:top w:w="0" w:type="dxa"/>
            <w:bottom w:w="0" w:type="dxa"/>
          </w:tblCellMar>
        </w:tblPrEx>
        <w:tc>
          <w:tcPr>
            <w:tcW w:w="2391" w:type="dxa"/>
            <w:tcBorders>
              <w:bottom w:val="nil"/>
            </w:tcBorders>
          </w:tcPr>
          <w:p w:rsidR="00000000" w:rsidRDefault="00000000">
            <w:pPr>
              <w:pStyle w:val="aa"/>
              <w:spacing w:before="100" w:line="240" w:lineRule="auto"/>
              <w:rPr>
                <w:rFonts w:hint="eastAsia"/>
                <w:sz w:val="22"/>
              </w:rPr>
            </w:pPr>
            <w:r>
              <w:rPr>
                <w:rFonts w:hint="eastAsia"/>
                <w:sz w:val="22"/>
              </w:rPr>
              <w:t>招待所</w:t>
            </w:r>
          </w:p>
        </w:tc>
        <w:tc>
          <w:tcPr>
            <w:tcW w:w="2393" w:type="dxa"/>
            <w:tcBorders>
              <w:bottom w:val="nil"/>
            </w:tcBorders>
          </w:tcPr>
          <w:p w:rsidR="00000000" w:rsidRDefault="00000000">
            <w:pPr>
              <w:pStyle w:val="aa"/>
              <w:spacing w:before="100" w:line="240" w:lineRule="auto"/>
              <w:ind w:right="1021"/>
              <w:jc w:val="right"/>
              <w:rPr>
                <w:sz w:val="22"/>
              </w:rPr>
            </w:pPr>
            <w:r>
              <w:rPr>
                <w:sz w:val="22"/>
              </w:rPr>
              <w:t>35</w:t>
            </w:r>
          </w:p>
        </w:tc>
        <w:tc>
          <w:tcPr>
            <w:tcW w:w="2569" w:type="dxa"/>
            <w:tcBorders>
              <w:bottom w:val="nil"/>
            </w:tcBorders>
          </w:tcPr>
          <w:p w:rsidR="00000000" w:rsidRDefault="00000000">
            <w:pPr>
              <w:pStyle w:val="aa"/>
              <w:spacing w:before="100" w:line="240" w:lineRule="auto"/>
              <w:ind w:right="1021"/>
              <w:jc w:val="right"/>
              <w:rPr>
                <w:sz w:val="22"/>
              </w:rPr>
            </w:pPr>
            <w:r>
              <w:rPr>
                <w:sz w:val="22"/>
              </w:rPr>
              <w:t>4</w:t>
            </w:r>
          </w:p>
        </w:tc>
        <w:tc>
          <w:tcPr>
            <w:tcW w:w="2393" w:type="dxa"/>
            <w:tcBorders>
              <w:bottom w:val="nil"/>
            </w:tcBorders>
          </w:tcPr>
          <w:p w:rsidR="00000000" w:rsidRDefault="00000000">
            <w:pPr>
              <w:pStyle w:val="aa"/>
              <w:spacing w:before="100" w:line="240" w:lineRule="auto"/>
              <w:ind w:right="1021"/>
              <w:jc w:val="right"/>
              <w:rPr>
                <w:sz w:val="22"/>
              </w:rPr>
            </w:pPr>
            <w:r>
              <w:rPr>
                <w:sz w:val="22"/>
              </w:rPr>
              <w:t>1</w:t>
            </w:r>
          </w:p>
        </w:tc>
      </w:tr>
      <w:tr w:rsidR="00000000">
        <w:tblPrEx>
          <w:tblCellMar>
            <w:top w:w="0" w:type="dxa"/>
            <w:bottom w:w="0" w:type="dxa"/>
          </w:tblCellMar>
        </w:tblPrEx>
        <w:tc>
          <w:tcPr>
            <w:tcW w:w="2391" w:type="dxa"/>
            <w:tcBorders>
              <w:top w:val="nil"/>
              <w:bottom w:val="nil"/>
            </w:tcBorders>
          </w:tcPr>
          <w:p w:rsidR="00000000" w:rsidRDefault="00000000">
            <w:pPr>
              <w:pStyle w:val="aa"/>
              <w:spacing w:before="100" w:line="240" w:lineRule="auto"/>
              <w:rPr>
                <w:rFonts w:hint="eastAsia"/>
                <w:sz w:val="22"/>
              </w:rPr>
            </w:pPr>
            <w:r>
              <w:rPr>
                <w:rFonts w:hint="eastAsia"/>
                <w:sz w:val="22"/>
              </w:rPr>
              <w:t>寄宿之家</w:t>
            </w:r>
          </w:p>
        </w:tc>
        <w:tc>
          <w:tcPr>
            <w:tcW w:w="2393" w:type="dxa"/>
            <w:tcBorders>
              <w:top w:val="nil"/>
              <w:bottom w:val="nil"/>
            </w:tcBorders>
          </w:tcPr>
          <w:p w:rsidR="00000000" w:rsidRDefault="00000000">
            <w:pPr>
              <w:pStyle w:val="aa"/>
              <w:spacing w:before="100" w:line="240" w:lineRule="auto"/>
              <w:ind w:right="1021"/>
              <w:jc w:val="right"/>
              <w:rPr>
                <w:sz w:val="22"/>
              </w:rPr>
            </w:pPr>
            <w:r>
              <w:rPr>
                <w:sz w:val="22"/>
              </w:rPr>
              <w:t>55</w:t>
            </w:r>
          </w:p>
        </w:tc>
        <w:tc>
          <w:tcPr>
            <w:tcW w:w="2569" w:type="dxa"/>
            <w:tcBorders>
              <w:top w:val="nil"/>
              <w:bottom w:val="nil"/>
            </w:tcBorders>
          </w:tcPr>
          <w:p w:rsidR="00000000" w:rsidRDefault="00000000">
            <w:pPr>
              <w:pStyle w:val="aa"/>
              <w:spacing w:before="100" w:line="240" w:lineRule="auto"/>
              <w:ind w:right="1021"/>
              <w:jc w:val="right"/>
              <w:rPr>
                <w:sz w:val="22"/>
              </w:rPr>
            </w:pPr>
            <w:r>
              <w:rPr>
                <w:sz w:val="22"/>
              </w:rPr>
              <w:t>39</w:t>
            </w:r>
          </w:p>
        </w:tc>
        <w:tc>
          <w:tcPr>
            <w:tcW w:w="2393" w:type="dxa"/>
            <w:tcBorders>
              <w:top w:val="nil"/>
              <w:bottom w:val="nil"/>
            </w:tcBorders>
          </w:tcPr>
          <w:p w:rsidR="00000000" w:rsidRDefault="00000000">
            <w:pPr>
              <w:pStyle w:val="aa"/>
              <w:spacing w:before="100" w:line="240" w:lineRule="auto"/>
              <w:ind w:right="1021"/>
              <w:jc w:val="right"/>
              <w:rPr>
                <w:rFonts w:hint="eastAsia"/>
                <w:sz w:val="22"/>
              </w:rPr>
            </w:pPr>
          </w:p>
        </w:tc>
      </w:tr>
      <w:tr w:rsidR="00000000">
        <w:tblPrEx>
          <w:tblCellMar>
            <w:top w:w="0" w:type="dxa"/>
            <w:bottom w:w="0" w:type="dxa"/>
          </w:tblCellMar>
        </w:tblPrEx>
        <w:tc>
          <w:tcPr>
            <w:tcW w:w="2391" w:type="dxa"/>
            <w:tcBorders>
              <w:top w:val="nil"/>
            </w:tcBorders>
          </w:tcPr>
          <w:p w:rsidR="00000000" w:rsidRDefault="00000000">
            <w:pPr>
              <w:pStyle w:val="aa"/>
              <w:spacing w:before="100" w:line="240" w:lineRule="auto"/>
              <w:rPr>
                <w:rFonts w:hint="eastAsia"/>
                <w:sz w:val="22"/>
              </w:rPr>
            </w:pPr>
            <w:r>
              <w:rPr>
                <w:rFonts w:hint="eastAsia"/>
                <w:sz w:val="22"/>
              </w:rPr>
              <w:t>公</w:t>
            </w:r>
            <w:r>
              <w:rPr>
                <w:rFonts w:hint="eastAsia"/>
                <w:sz w:val="22"/>
              </w:rPr>
              <w:t xml:space="preserve"> </w:t>
            </w:r>
            <w:r>
              <w:rPr>
                <w:rFonts w:hint="eastAsia"/>
                <w:sz w:val="22"/>
              </w:rPr>
              <w:t>寓</w:t>
            </w:r>
          </w:p>
        </w:tc>
        <w:tc>
          <w:tcPr>
            <w:tcW w:w="2393" w:type="dxa"/>
            <w:tcBorders>
              <w:top w:val="nil"/>
            </w:tcBorders>
          </w:tcPr>
          <w:p w:rsidR="00000000" w:rsidRDefault="00000000">
            <w:pPr>
              <w:pStyle w:val="aa"/>
              <w:spacing w:before="100" w:line="240" w:lineRule="auto"/>
              <w:ind w:right="1021"/>
              <w:jc w:val="right"/>
              <w:rPr>
                <w:sz w:val="22"/>
              </w:rPr>
            </w:pPr>
            <w:r>
              <w:rPr>
                <w:sz w:val="22"/>
              </w:rPr>
              <w:t>75</w:t>
            </w:r>
          </w:p>
        </w:tc>
        <w:tc>
          <w:tcPr>
            <w:tcW w:w="2569" w:type="dxa"/>
            <w:tcBorders>
              <w:top w:val="nil"/>
            </w:tcBorders>
          </w:tcPr>
          <w:p w:rsidR="00000000" w:rsidRDefault="00000000">
            <w:pPr>
              <w:pStyle w:val="aa"/>
              <w:spacing w:before="100" w:line="240" w:lineRule="auto"/>
              <w:ind w:right="1021"/>
              <w:jc w:val="right"/>
              <w:rPr>
                <w:sz w:val="22"/>
              </w:rPr>
            </w:pPr>
            <w:r>
              <w:rPr>
                <w:sz w:val="22"/>
              </w:rPr>
              <w:t>14</w:t>
            </w:r>
          </w:p>
        </w:tc>
        <w:tc>
          <w:tcPr>
            <w:tcW w:w="2393" w:type="dxa"/>
            <w:tcBorders>
              <w:top w:val="nil"/>
            </w:tcBorders>
          </w:tcPr>
          <w:p w:rsidR="00000000" w:rsidRDefault="00000000">
            <w:pPr>
              <w:pStyle w:val="aa"/>
              <w:spacing w:before="100" w:line="240" w:lineRule="auto"/>
              <w:ind w:right="1021"/>
              <w:jc w:val="right"/>
              <w:rPr>
                <w:rFonts w:hint="eastAsia"/>
                <w:sz w:val="22"/>
              </w:rPr>
            </w:pPr>
          </w:p>
        </w:tc>
      </w:tr>
      <w:tr w:rsidR="00000000">
        <w:tblPrEx>
          <w:tblCellMar>
            <w:top w:w="0" w:type="dxa"/>
            <w:bottom w:w="0" w:type="dxa"/>
          </w:tblCellMar>
        </w:tblPrEx>
        <w:tc>
          <w:tcPr>
            <w:tcW w:w="2391" w:type="dxa"/>
          </w:tcPr>
          <w:p w:rsidR="00000000" w:rsidRDefault="00000000">
            <w:pPr>
              <w:pStyle w:val="aa"/>
              <w:spacing w:before="100" w:line="240" w:lineRule="auto"/>
              <w:rPr>
                <w:rFonts w:hint="eastAsia"/>
                <w:sz w:val="22"/>
              </w:rPr>
            </w:pPr>
            <w:r>
              <w:rPr>
                <w:rFonts w:hint="eastAsia"/>
                <w:sz w:val="22"/>
              </w:rPr>
              <w:t>总</w:t>
            </w:r>
            <w:r>
              <w:rPr>
                <w:rFonts w:hint="eastAsia"/>
                <w:sz w:val="22"/>
              </w:rPr>
              <w:t xml:space="preserve"> </w:t>
            </w:r>
            <w:r>
              <w:rPr>
                <w:rFonts w:hint="eastAsia"/>
                <w:sz w:val="22"/>
              </w:rPr>
              <w:t>计</w:t>
            </w:r>
          </w:p>
        </w:tc>
        <w:tc>
          <w:tcPr>
            <w:tcW w:w="2393" w:type="dxa"/>
          </w:tcPr>
          <w:p w:rsidR="00000000" w:rsidRDefault="00000000">
            <w:pPr>
              <w:pStyle w:val="aa"/>
              <w:spacing w:before="100" w:line="240" w:lineRule="auto"/>
              <w:ind w:right="1021"/>
              <w:jc w:val="right"/>
              <w:rPr>
                <w:sz w:val="22"/>
              </w:rPr>
            </w:pPr>
            <w:r>
              <w:rPr>
                <w:sz w:val="22"/>
              </w:rPr>
              <w:t>165</w:t>
            </w:r>
          </w:p>
        </w:tc>
        <w:tc>
          <w:tcPr>
            <w:tcW w:w="2569" w:type="dxa"/>
          </w:tcPr>
          <w:p w:rsidR="00000000" w:rsidRDefault="00000000">
            <w:pPr>
              <w:pStyle w:val="aa"/>
              <w:spacing w:before="100" w:line="240" w:lineRule="auto"/>
              <w:ind w:right="1021"/>
              <w:jc w:val="right"/>
              <w:rPr>
                <w:sz w:val="22"/>
              </w:rPr>
            </w:pPr>
            <w:r>
              <w:rPr>
                <w:sz w:val="22"/>
              </w:rPr>
              <w:t>57</w:t>
            </w:r>
          </w:p>
        </w:tc>
        <w:tc>
          <w:tcPr>
            <w:tcW w:w="2393" w:type="dxa"/>
          </w:tcPr>
          <w:p w:rsidR="00000000" w:rsidRDefault="00000000">
            <w:pPr>
              <w:pStyle w:val="aa"/>
              <w:spacing w:before="100" w:line="240" w:lineRule="auto"/>
              <w:ind w:right="1021"/>
              <w:jc w:val="right"/>
              <w:rPr>
                <w:sz w:val="22"/>
              </w:rPr>
            </w:pPr>
            <w:r>
              <w:rPr>
                <w:sz w:val="22"/>
              </w:rPr>
              <w:t>1</w:t>
            </w:r>
          </w:p>
        </w:tc>
      </w:tr>
    </w:tbl>
    <w:p w:rsidR="00000000" w:rsidRDefault="00000000">
      <w:pPr>
        <w:spacing w:after="320"/>
        <w:rPr>
          <w:rFonts w:hint="eastAsia"/>
        </w:rPr>
      </w:pPr>
    </w:p>
    <w:p w:rsidR="00000000" w:rsidRDefault="00000000">
      <w:pPr>
        <w:pStyle w:val="Heading3"/>
        <w:spacing w:after="240"/>
        <w:rPr>
          <w:rFonts w:hint="eastAsia"/>
        </w:rPr>
      </w:pPr>
      <w:r>
        <w:rPr>
          <w:rFonts w:hint="eastAsia"/>
        </w:rPr>
        <w:t>表</w:t>
      </w:r>
      <w:r>
        <w:rPr>
          <w:rFonts w:hint="eastAsia"/>
        </w:rPr>
        <w:t xml:space="preserve">  14</w:t>
      </w:r>
    </w:p>
    <w:p w:rsidR="00000000" w:rsidRDefault="00000000">
      <w:pPr>
        <w:pStyle w:val="Heading3"/>
        <w:spacing w:after="160"/>
      </w:pPr>
      <w:r>
        <w:rPr>
          <w:rFonts w:hint="eastAsia"/>
        </w:rPr>
        <w:t>社区精神卫生机构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8"/>
        <w:gridCol w:w="2205"/>
        <w:gridCol w:w="2310"/>
        <w:gridCol w:w="2217"/>
      </w:tblGrid>
      <w:tr w:rsidR="00000000">
        <w:tblPrEx>
          <w:tblCellMar>
            <w:top w:w="0" w:type="dxa"/>
            <w:bottom w:w="0" w:type="dxa"/>
          </w:tblCellMar>
        </w:tblPrEx>
        <w:tc>
          <w:tcPr>
            <w:tcW w:w="2838" w:type="dxa"/>
          </w:tcPr>
          <w:p w:rsidR="00000000" w:rsidRDefault="00000000">
            <w:pPr>
              <w:pStyle w:val="aa"/>
              <w:spacing w:before="60" w:line="288" w:lineRule="auto"/>
              <w:jc w:val="center"/>
            </w:pPr>
          </w:p>
        </w:tc>
        <w:tc>
          <w:tcPr>
            <w:tcW w:w="2205" w:type="dxa"/>
          </w:tcPr>
          <w:p w:rsidR="00000000" w:rsidRDefault="00000000">
            <w:pPr>
              <w:pStyle w:val="aa"/>
              <w:spacing w:before="60" w:line="288" w:lineRule="auto"/>
              <w:jc w:val="center"/>
            </w:pPr>
            <w:r>
              <w:t>2002</w:t>
            </w:r>
          </w:p>
        </w:tc>
        <w:tc>
          <w:tcPr>
            <w:tcW w:w="2310" w:type="dxa"/>
          </w:tcPr>
          <w:p w:rsidR="00000000" w:rsidRDefault="00000000">
            <w:pPr>
              <w:pStyle w:val="aa"/>
              <w:spacing w:before="60" w:line="288" w:lineRule="auto"/>
              <w:jc w:val="center"/>
            </w:pPr>
            <w:r>
              <w:t>2003</w:t>
            </w:r>
          </w:p>
        </w:tc>
        <w:tc>
          <w:tcPr>
            <w:tcW w:w="2217" w:type="dxa"/>
          </w:tcPr>
          <w:p w:rsidR="00000000" w:rsidRDefault="00000000">
            <w:pPr>
              <w:pStyle w:val="aa"/>
              <w:spacing w:before="60" w:line="288" w:lineRule="auto"/>
              <w:jc w:val="center"/>
            </w:pPr>
            <w:r>
              <w:t>2004-2006</w:t>
            </w:r>
          </w:p>
        </w:tc>
      </w:tr>
      <w:tr w:rsidR="00000000">
        <w:tblPrEx>
          <w:tblCellMar>
            <w:top w:w="0" w:type="dxa"/>
            <w:bottom w:w="0" w:type="dxa"/>
          </w:tblCellMar>
        </w:tblPrEx>
        <w:tc>
          <w:tcPr>
            <w:tcW w:w="2838" w:type="dxa"/>
          </w:tcPr>
          <w:p w:rsidR="00000000" w:rsidRDefault="00000000">
            <w:pPr>
              <w:pStyle w:val="aa"/>
              <w:spacing w:before="60" w:line="240" w:lineRule="auto"/>
              <w:ind w:left="57"/>
              <w:rPr>
                <w:rFonts w:hint="eastAsia"/>
              </w:rPr>
            </w:pPr>
            <w:r>
              <w:rPr>
                <w:rFonts w:hint="eastAsia"/>
              </w:rPr>
              <w:t>普通医院神经病科</w:t>
            </w:r>
          </w:p>
        </w:tc>
        <w:tc>
          <w:tcPr>
            <w:tcW w:w="2205" w:type="dxa"/>
          </w:tcPr>
          <w:p w:rsidR="00000000" w:rsidRDefault="00000000">
            <w:pPr>
              <w:pStyle w:val="aa"/>
              <w:spacing w:before="60" w:line="240" w:lineRule="auto"/>
              <w:ind w:right="942"/>
              <w:jc w:val="right"/>
            </w:pPr>
            <w:r>
              <w:t>9</w:t>
            </w:r>
          </w:p>
        </w:tc>
        <w:tc>
          <w:tcPr>
            <w:tcW w:w="2310" w:type="dxa"/>
          </w:tcPr>
          <w:p w:rsidR="00000000" w:rsidRDefault="00000000">
            <w:pPr>
              <w:pStyle w:val="aa"/>
              <w:spacing w:before="60" w:line="240" w:lineRule="auto"/>
              <w:ind w:right="942"/>
              <w:jc w:val="right"/>
            </w:pPr>
            <w:r>
              <w:t>24</w:t>
            </w:r>
          </w:p>
        </w:tc>
        <w:tc>
          <w:tcPr>
            <w:tcW w:w="2217" w:type="dxa"/>
          </w:tcPr>
          <w:p w:rsidR="00000000" w:rsidRDefault="00000000">
            <w:pPr>
              <w:pStyle w:val="aa"/>
              <w:spacing w:before="60" w:line="240" w:lineRule="auto"/>
              <w:ind w:right="954"/>
              <w:jc w:val="right"/>
            </w:pPr>
            <w:r>
              <w:t>8</w:t>
            </w:r>
          </w:p>
        </w:tc>
      </w:tr>
      <w:tr w:rsidR="00000000">
        <w:tblPrEx>
          <w:tblCellMar>
            <w:top w:w="0" w:type="dxa"/>
            <w:bottom w:w="0" w:type="dxa"/>
          </w:tblCellMar>
        </w:tblPrEx>
        <w:tc>
          <w:tcPr>
            <w:tcW w:w="2838" w:type="dxa"/>
          </w:tcPr>
          <w:p w:rsidR="00000000" w:rsidRDefault="00000000">
            <w:pPr>
              <w:pStyle w:val="aa"/>
              <w:spacing w:before="60" w:line="240" w:lineRule="auto"/>
              <w:ind w:left="57"/>
            </w:pPr>
            <w:r>
              <w:rPr>
                <w:rFonts w:hint="eastAsia"/>
              </w:rPr>
              <w:t>普通医院儿童神经病科</w:t>
            </w:r>
          </w:p>
        </w:tc>
        <w:tc>
          <w:tcPr>
            <w:tcW w:w="2205" w:type="dxa"/>
          </w:tcPr>
          <w:p w:rsidR="00000000" w:rsidRDefault="00000000">
            <w:pPr>
              <w:pStyle w:val="aa"/>
              <w:spacing w:before="60" w:line="240" w:lineRule="auto"/>
              <w:ind w:right="942"/>
              <w:jc w:val="right"/>
            </w:pPr>
            <w:r>
              <w:t>1</w:t>
            </w:r>
          </w:p>
        </w:tc>
        <w:tc>
          <w:tcPr>
            <w:tcW w:w="2310" w:type="dxa"/>
          </w:tcPr>
          <w:p w:rsidR="00000000" w:rsidRDefault="00000000">
            <w:pPr>
              <w:pStyle w:val="aa"/>
              <w:spacing w:before="60" w:line="240" w:lineRule="auto"/>
              <w:ind w:right="942"/>
              <w:jc w:val="right"/>
            </w:pPr>
            <w:r>
              <w:t>3</w:t>
            </w:r>
          </w:p>
        </w:tc>
        <w:tc>
          <w:tcPr>
            <w:tcW w:w="2217" w:type="dxa"/>
          </w:tcPr>
          <w:p w:rsidR="00000000" w:rsidRDefault="00000000">
            <w:pPr>
              <w:pStyle w:val="aa"/>
              <w:spacing w:before="60" w:line="240" w:lineRule="auto"/>
              <w:ind w:right="954"/>
              <w:jc w:val="right"/>
            </w:pPr>
            <w:r>
              <w:t>2</w:t>
            </w:r>
          </w:p>
        </w:tc>
      </w:tr>
      <w:tr w:rsidR="00000000">
        <w:tblPrEx>
          <w:tblCellMar>
            <w:top w:w="0" w:type="dxa"/>
            <w:bottom w:w="0" w:type="dxa"/>
          </w:tblCellMar>
        </w:tblPrEx>
        <w:tc>
          <w:tcPr>
            <w:tcW w:w="2838" w:type="dxa"/>
          </w:tcPr>
          <w:p w:rsidR="00000000" w:rsidRDefault="00000000">
            <w:pPr>
              <w:pStyle w:val="aa"/>
              <w:spacing w:before="60" w:line="240" w:lineRule="auto"/>
              <w:ind w:left="57"/>
            </w:pPr>
            <w:r>
              <w:rPr>
                <w:rFonts w:hint="eastAsia"/>
              </w:rPr>
              <w:t>精神卫生中心</w:t>
            </w:r>
          </w:p>
        </w:tc>
        <w:tc>
          <w:tcPr>
            <w:tcW w:w="2205" w:type="dxa"/>
          </w:tcPr>
          <w:p w:rsidR="00000000" w:rsidRDefault="00000000">
            <w:pPr>
              <w:pStyle w:val="aa"/>
              <w:spacing w:before="60" w:line="240" w:lineRule="auto"/>
              <w:ind w:right="942"/>
              <w:jc w:val="right"/>
            </w:pPr>
            <w:r>
              <w:t>16</w:t>
            </w:r>
          </w:p>
        </w:tc>
        <w:tc>
          <w:tcPr>
            <w:tcW w:w="2310" w:type="dxa"/>
          </w:tcPr>
          <w:p w:rsidR="00000000" w:rsidRDefault="00000000">
            <w:pPr>
              <w:pStyle w:val="aa"/>
              <w:spacing w:before="60" w:line="240" w:lineRule="auto"/>
              <w:ind w:right="942"/>
              <w:jc w:val="right"/>
            </w:pPr>
            <w:r>
              <w:t>7</w:t>
            </w:r>
          </w:p>
        </w:tc>
        <w:tc>
          <w:tcPr>
            <w:tcW w:w="2217" w:type="dxa"/>
          </w:tcPr>
          <w:p w:rsidR="00000000" w:rsidRDefault="00000000">
            <w:pPr>
              <w:pStyle w:val="aa"/>
              <w:spacing w:before="60" w:line="240" w:lineRule="auto"/>
              <w:ind w:right="954"/>
              <w:jc w:val="right"/>
            </w:pPr>
            <w:r>
              <w:t>15</w:t>
            </w:r>
          </w:p>
        </w:tc>
      </w:tr>
      <w:tr w:rsidR="00000000">
        <w:tblPrEx>
          <w:tblCellMar>
            <w:top w:w="0" w:type="dxa"/>
            <w:bottom w:w="0" w:type="dxa"/>
          </w:tblCellMar>
        </w:tblPrEx>
        <w:tc>
          <w:tcPr>
            <w:tcW w:w="2838" w:type="dxa"/>
          </w:tcPr>
          <w:p w:rsidR="00000000" w:rsidRDefault="00000000">
            <w:pPr>
              <w:pStyle w:val="aa"/>
              <w:spacing w:before="60" w:line="240" w:lineRule="auto"/>
              <w:ind w:left="57"/>
            </w:pPr>
            <w:r>
              <w:rPr>
                <w:rFonts w:hint="eastAsia"/>
              </w:rPr>
              <w:t>医疗和教育中心</w:t>
            </w:r>
          </w:p>
        </w:tc>
        <w:tc>
          <w:tcPr>
            <w:tcW w:w="2205" w:type="dxa"/>
          </w:tcPr>
          <w:p w:rsidR="00000000" w:rsidRDefault="00000000">
            <w:pPr>
              <w:pStyle w:val="aa"/>
              <w:spacing w:before="60" w:line="240" w:lineRule="auto"/>
              <w:ind w:right="942"/>
              <w:jc w:val="right"/>
            </w:pPr>
            <w:r>
              <w:t>7</w:t>
            </w:r>
          </w:p>
        </w:tc>
        <w:tc>
          <w:tcPr>
            <w:tcW w:w="2310" w:type="dxa"/>
          </w:tcPr>
          <w:p w:rsidR="00000000" w:rsidRDefault="00000000">
            <w:pPr>
              <w:pStyle w:val="aa"/>
              <w:spacing w:before="60" w:line="240" w:lineRule="auto"/>
              <w:ind w:right="942"/>
              <w:jc w:val="right"/>
            </w:pPr>
            <w:r>
              <w:t>10</w:t>
            </w:r>
          </w:p>
        </w:tc>
        <w:tc>
          <w:tcPr>
            <w:tcW w:w="2217" w:type="dxa"/>
          </w:tcPr>
          <w:p w:rsidR="00000000" w:rsidRDefault="00000000">
            <w:pPr>
              <w:pStyle w:val="aa"/>
              <w:spacing w:before="60" w:line="240" w:lineRule="auto"/>
              <w:ind w:right="954"/>
              <w:jc w:val="right"/>
            </w:pPr>
            <w:r>
              <w:t>6</w:t>
            </w:r>
          </w:p>
        </w:tc>
      </w:tr>
      <w:tr w:rsidR="00000000">
        <w:tblPrEx>
          <w:tblCellMar>
            <w:top w:w="0" w:type="dxa"/>
            <w:bottom w:w="0" w:type="dxa"/>
          </w:tblCellMar>
        </w:tblPrEx>
        <w:tc>
          <w:tcPr>
            <w:tcW w:w="2838" w:type="dxa"/>
          </w:tcPr>
          <w:p w:rsidR="00000000" w:rsidRDefault="00000000">
            <w:pPr>
              <w:pStyle w:val="aa"/>
              <w:spacing w:before="60" w:line="240" w:lineRule="auto"/>
              <w:ind w:left="57"/>
            </w:pPr>
            <w:r>
              <w:rPr>
                <w:rFonts w:hint="eastAsia"/>
              </w:rPr>
              <w:t>日间照料中心</w:t>
            </w:r>
          </w:p>
        </w:tc>
        <w:tc>
          <w:tcPr>
            <w:tcW w:w="2205" w:type="dxa"/>
          </w:tcPr>
          <w:p w:rsidR="00000000" w:rsidRDefault="00000000">
            <w:pPr>
              <w:pStyle w:val="aa"/>
              <w:spacing w:before="60" w:line="240" w:lineRule="auto"/>
              <w:ind w:right="942"/>
              <w:jc w:val="right"/>
            </w:pPr>
            <w:r>
              <w:t>2</w:t>
            </w:r>
          </w:p>
        </w:tc>
        <w:tc>
          <w:tcPr>
            <w:tcW w:w="2310" w:type="dxa"/>
          </w:tcPr>
          <w:p w:rsidR="00000000" w:rsidRDefault="00000000">
            <w:pPr>
              <w:pStyle w:val="aa"/>
              <w:spacing w:before="60" w:line="240" w:lineRule="auto"/>
              <w:ind w:right="942"/>
              <w:jc w:val="right"/>
            </w:pPr>
          </w:p>
        </w:tc>
        <w:tc>
          <w:tcPr>
            <w:tcW w:w="2217" w:type="dxa"/>
          </w:tcPr>
          <w:p w:rsidR="00000000" w:rsidRDefault="00000000">
            <w:pPr>
              <w:pStyle w:val="aa"/>
              <w:spacing w:before="60" w:line="240" w:lineRule="auto"/>
              <w:ind w:right="954"/>
              <w:jc w:val="right"/>
            </w:pPr>
            <w:r>
              <w:t>6</w:t>
            </w:r>
          </w:p>
        </w:tc>
      </w:tr>
      <w:tr w:rsidR="00000000">
        <w:tblPrEx>
          <w:tblCellMar>
            <w:top w:w="0" w:type="dxa"/>
            <w:bottom w:w="0" w:type="dxa"/>
          </w:tblCellMar>
        </w:tblPrEx>
        <w:tc>
          <w:tcPr>
            <w:tcW w:w="2838" w:type="dxa"/>
          </w:tcPr>
          <w:p w:rsidR="00000000" w:rsidRDefault="00000000">
            <w:pPr>
              <w:pStyle w:val="aa"/>
              <w:spacing w:before="60" w:line="240" w:lineRule="auto"/>
              <w:ind w:left="57"/>
            </w:pPr>
            <w:r>
              <w:rPr>
                <w:rFonts w:hint="eastAsia"/>
              </w:rPr>
              <w:t>短期治疗招待所</w:t>
            </w:r>
          </w:p>
        </w:tc>
        <w:tc>
          <w:tcPr>
            <w:tcW w:w="2205" w:type="dxa"/>
          </w:tcPr>
          <w:p w:rsidR="00000000" w:rsidRDefault="00000000">
            <w:pPr>
              <w:pStyle w:val="aa"/>
              <w:spacing w:before="60" w:line="240" w:lineRule="auto"/>
              <w:ind w:right="942"/>
              <w:jc w:val="right"/>
            </w:pPr>
            <w:r>
              <w:t>10</w:t>
            </w:r>
          </w:p>
        </w:tc>
        <w:tc>
          <w:tcPr>
            <w:tcW w:w="2310" w:type="dxa"/>
          </w:tcPr>
          <w:p w:rsidR="00000000" w:rsidRDefault="00000000">
            <w:pPr>
              <w:pStyle w:val="aa"/>
              <w:spacing w:before="60" w:line="240" w:lineRule="auto"/>
              <w:ind w:right="942"/>
              <w:jc w:val="right"/>
            </w:pPr>
            <w:r>
              <w:t>13</w:t>
            </w:r>
          </w:p>
        </w:tc>
        <w:tc>
          <w:tcPr>
            <w:tcW w:w="2217" w:type="dxa"/>
          </w:tcPr>
          <w:p w:rsidR="00000000" w:rsidRDefault="00000000">
            <w:pPr>
              <w:pStyle w:val="aa"/>
              <w:spacing w:before="60" w:line="240" w:lineRule="auto"/>
              <w:ind w:right="954"/>
              <w:jc w:val="right"/>
            </w:pPr>
            <w:r>
              <w:t>20</w:t>
            </w:r>
          </w:p>
        </w:tc>
      </w:tr>
      <w:tr w:rsidR="00000000">
        <w:tblPrEx>
          <w:tblCellMar>
            <w:top w:w="0" w:type="dxa"/>
            <w:bottom w:w="0" w:type="dxa"/>
          </w:tblCellMar>
        </w:tblPrEx>
        <w:tc>
          <w:tcPr>
            <w:tcW w:w="2838" w:type="dxa"/>
          </w:tcPr>
          <w:p w:rsidR="00000000" w:rsidRDefault="00000000">
            <w:pPr>
              <w:pStyle w:val="aa"/>
              <w:spacing w:before="60" w:line="240" w:lineRule="auto"/>
              <w:ind w:left="57"/>
            </w:pPr>
            <w:r>
              <w:rPr>
                <w:rFonts w:hint="eastAsia"/>
              </w:rPr>
              <w:t>孤独症患者中心</w:t>
            </w:r>
          </w:p>
        </w:tc>
        <w:tc>
          <w:tcPr>
            <w:tcW w:w="2205" w:type="dxa"/>
          </w:tcPr>
          <w:p w:rsidR="00000000" w:rsidRDefault="00000000">
            <w:pPr>
              <w:pStyle w:val="aa"/>
              <w:spacing w:before="60" w:line="240" w:lineRule="auto"/>
              <w:ind w:right="942"/>
              <w:jc w:val="right"/>
            </w:pPr>
            <w:r>
              <w:t>5</w:t>
            </w:r>
          </w:p>
        </w:tc>
        <w:tc>
          <w:tcPr>
            <w:tcW w:w="2310" w:type="dxa"/>
          </w:tcPr>
          <w:p w:rsidR="00000000" w:rsidRDefault="00000000">
            <w:pPr>
              <w:pStyle w:val="aa"/>
              <w:spacing w:before="60" w:line="240" w:lineRule="auto"/>
              <w:ind w:right="942"/>
              <w:jc w:val="right"/>
            </w:pPr>
          </w:p>
        </w:tc>
        <w:tc>
          <w:tcPr>
            <w:tcW w:w="2217" w:type="dxa"/>
          </w:tcPr>
          <w:p w:rsidR="00000000" w:rsidRDefault="00000000">
            <w:pPr>
              <w:pStyle w:val="aa"/>
              <w:spacing w:before="60" w:line="240" w:lineRule="auto"/>
              <w:ind w:right="954"/>
              <w:jc w:val="right"/>
            </w:pPr>
            <w:r>
              <w:t>11</w:t>
            </w:r>
          </w:p>
        </w:tc>
      </w:tr>
      <w:tr w:rsidR="00000000">
        <w:tblPrEx>
          <w:tblCellMar>
            <w:top w:w="0" w:type="dxa"/>
            <w:bottom w:w="0" w:type="dxa"/>
          </w:tblCellMar>
        </w:tblPrEx>
        <w:tc>
          <w:tcPr>
            <w:tcW w:w="2838" w:type="dxa"/>
          </w:tcPr>
          <w:p w:rsidR="00000000" w:rsidRDefault="00000000">
            <w:pPr>
              <w:pStyle w:val="aa"/>
              <w:spacing w:before="60" w:line="240" w:lineRule="auto"/>
              <w:ind w:left="57"/>
            </w:pPr>
            <w:r>
              <w:rPr>
                <w:rFonts w:hint="eastAsia"/>
              </w:rPr>
              <w:t>吸毒者中心</w:t>
            </w:r>
          </w:p>
        </w:tc>
        <w:tc>
          <w:tcPr>
            <w:tcW w:w="2205" w:type="dxa"/>
          </w:tcPr>
          <w:p w:rsidR="00000000" w:rsidRDefault="00000000">
            <w:pPr>
              <w:pStyle w:val="aa"/>
              <w:spacing w:before="60" w:line="240" w:lineRule="auto"/>
              <w:ind w:right="942"/>
              <w:jc w:val="right"/>
            </w:pPr>
          </w:p>
        </w:tc>
        <w:tc>
          <w:tcPr>
            <w:tcW w:w="2310" w:type="dxa"/>
          </w:tcPr>
          <w:p w:rsidR="00000000" w:rsidRDefault="00000000">
            <w:pPr>
              <w:pStyle w:val="aa"/>
              <w:spacing w:before="60" w:line="240" w:lineRule="auto"/>
              <w:ind w:right="942"/>
              <w:jc w:val="right"/>
            </w:pPr>
            <w:r>
              <w:t>6</w:t>
            </w:r>
          </w:p>
        </w:tc>
        <w:tc>
          <w:tcPr>
            <w:tcW w:w="2217" w:type="dxa"/>
          </w:tcPr>
          <w:p w:rsidR="00000000" w:rsidRDefault="00000000">
            <w:pPr>
              <w:pStyle w:val="aa"/>
              <w:spacing w:before="60" w:line="240" w:lineRule="auto"/>
              <w:ind w:right="954"/>
              <w:jc w:val="right"/>
            </w:pPr>
            <w:r>
              <w:t>14</w:t>
            </w:r>
          </w:p>
        </w:tc>
      </w:tr>
      <w:tr w:rsidR="00000000">
        <w:tblPrEx>
          <w:tblCellMar>
            <w:top w:w="0" w:type="dxa"/>
            <w:bottom w:w="0" w:type="dxa"/>
          </w:tblCellMar>
        </w:tblPrEx>
        <w:tc>
          <w:tcPr>
            <w:tcW w:w="2838" w:type="dxa"/>
          </w:tcPr>
          <w:p w:rsidR="00000000" w:rsidRDefault="00000000">
            <w:pPr>
              <w:pStyle w:val="aa"/>
              <w:spacing w:before="60" w:line="240" w:lineRule="auto"/>
              <w:ind w:left="57"/>
            </w:pPr>
            <w:r>
              <w:rPr>
                <w:rFonts w:hint="eastAsia"/>
              </w:rPr>
              <w:t>酗酒者中心</w:t>
            </w:r>
          </w:p>
        </w:tc>
        <w:tc>
          <w:tcPr>
            <w:tcW w:w="2205" w:type="dxa"/>
          </w:tcPr>
          <w:p w:rsidR="00000000" w:rsidRDefault="00000000">
            <w:pPr>
              <w:pStyle w:val="aa"/>
              <w:spacing w:before="60" w:line="240" w:lineRule="auto"/>
              <w:ind w:right="942"/>
              <w:jc w:val="right"/>
            </w:pPr>
          </w:p>
        </w:tc>
        <w:tc>
          <w:tcPr>
            <w:tcW w:w="2310" w:type="dxa"/>
          </w:tcPr>
          <w:p w:rsidR="00000000" w:rsidRDefault="00000000">
            <w:pPr>
              <w:pStyle w:val="aa"/>
              <w:spacing w:before="60" w:line="240" w:lineRule="auto"/>
              <w:ind w:right="942"/>
              <w:jc w:val="right"/>
            </w:pPr>
            <w:r>
              <w:t>6</w:t>
            </w:r>
          </w:p>
        </w:tc>
        <w:tc>
          <w:tcPr>
            <w:tcW w:w="2217" w:type="dxa"/>
          </w:tcPr>
          <w:p w:rsidR="00000000" w:rsidRDefault="00000000">
            <w:pPr>
              <w:pStyle w:val="aa"/>
              <w:spacing w:before="60" w:line="240" w:lineRule="auto"/>
              <w:ind w:right="954"/>
              <w:jc w:val="right"/>
            </w:pPr>
            <w:r>
              <w:t>1</w:t>
            </w:r>
          </w:p>
        </w:tc>
      </w:tr>
      <w:tr w:rsidR="00000000">
        <w:tblPrEx>
          <w:tblCellMar>
            <w:top w:w="0" w:type="dxa"/>
            <w:bottom w:w="0" w:type="dxa"/>
          </w:tblCellMar>
        </w:tblPrEx>
        <w:tc>
          <w:tcPr>
            <w:tcW w:w="2838" w:type="dxa"/>
          </w:tcPr>
          <w:p w:rsidR="00000000" w:rsidRDefault="00000000">
            <w:pPr>
              <w:pStyle w:val="aa"/>
              <w:spacing w:before="60" w:line="240" w:lineRule="auto"/>
              <w:ind w:left="57"/>
            </w:pPr>
            <w:r>
              <w:rPr>
                <w:rFonts w:hint="eastAsia"/>
              </w:rPr>
              <w:t>痴呆者中心</w:t>
            </w:r>
          </w:p>
        </w:tc>
        <w:tc>
          <w:tcPr>
            <w:tcW w:w="2205" w:type="dxa"/>
          </w:tcPr>
          <w:p w:rsidR="00000000" w:rsidRDefault="00000000">
            <w:pPr>
              <w:pStyle w:val="aa"/>
              <w:spacing w:before="60" w:line="240" w:lineRule="auto"/>
              <w:ind w:right="942"/>
              <w:jc w:val="right"/>
            </w:pPr>
            <w:r>
              <w:t>4</w:t>
            </w:r>
          </w:p>
        </w:tc>
        <w:tc>
          <w:tcPr>
            <w:tcW w:w="2310" w:type="dxa"/>
          </w:tcPr>
          <w:p w:rsidR="00000000" w:rsidRDefault="00000000">
            <w:pPr>
              <w:pStyle w:val="aa"/>
              <w:spacing w:before="60" w:line="240" w:lineRule="auto"/>
              <w:ind w:right="942"/>
              <w:jc w:val="right"/>
            </w:pPr>
          </w:p>
        </w:tc>
        <w:tc>
          <w:tcPr>
            <w:tcW w:w="2217" w:type="dxa"/>
          </w:tcPr>
          <w:p w:rsidR="00000000" w:rsidRDefault="00000000">
            <w:pPr>
              <w:pStyle w:val="aa"/>
              <w:spacing w:before="60" w:line="240" w:lineRule="auto"/>
              <w:ind w:right="954"/>
              <w:jc w:val="right"/>
            </w:pPr>
            <w:r>
              <w:t>1</w:t>
            </w:r>
          </w:p>
        </w:tc>
      </w:tr>
      <w:tr w:rsidR="00000000">
        <w:tblPrEx>
          <w:tblCellMar>
            <w:top w:w="0" w:type="dxa"/>
            <w:bottom w:w="0" w:type="dxa"/>
          </w:tblCellMar>
        </w:tblPrEx>
        <w:tc>
          <w:tcPr>
            <w:tcW w:w="2838" w:type="dxa"/>
          </w:tcPr>
          <w:p w:rsidR="00000000" w:rsidRDefault="00000000">
            <w:pPr>
              <w:pStyle w:val="aa"/>
              <w:spacing w:before="60" w:line="240" w:lineRule="auto"/>
              <w:ind w:left="57"/>
            </w:pPr>
            <w:r>
              <w:rPr>
                <w:rFonts w:hint="eastAsia"/>
              </w:rPr>
              <w:t>流动医疗机构</w:t>
            </w:r>
          </w:p>
        </w:tc>
        <w:tc>
          <w:tcPr>
            <w:tcW w:w="2205" w:type="dxa"/>
          </w:tcPr>
          <w:p w:rsidR="00000000" w:rsidRDefault="00000000">
            <w:pPr>
              <w:pStyle w:val="aa"/>
              <w:spacing w:before="60" w:line="240" w:lineRule="auto"/>
              <w:ind w:right="942"/>
              <w:jc w:val="right"/>
            </w:pPr>
          </w:p>
        </w:tc>
        <w:tc>
          <w:tcPr>
            <w:tcW w:w="2310" w:type="dxa"/>
          </w:tcPr>
          <w:p w:rsidR="00000000" w:rsidRDefault="00000000">
            <w:pPr>
              <w:pStyle w:val="aa"/>
              <w:spacing w:before="60" w:line="240" w:lineRule="auto"/>
              <w:ind w:right="942"/>
              <w:jc w:val="right"/>
            </w:pPr>
            <w:r>
              <w:t>4</w:t>
            </w:r>
          </w:p>
        </w:tc>
        <w:tc>
          <w:tcPr>
            <w:tcW w:w="2217" w:type="dxa"/>
          </w:tcPr>
          <w:p w:rsidR="00000000" w:rsidRDefault="00000000">
            <w:pPr>
              <w:pStyle w:val="aa"/>
              <w:spacing w:before="60" w:line="240" w:lineRule="auto"/>
              <w:ind w:right="954"/>
              <w:jc w:val="right"/>
            </w:pPr>
            <w:r>
              <w:t>17</w:t>
            </w:r>
          </w:p>
        </w:tc>
      </w:tr>
      <w:tr w:rsidR="00000000">
        <w:tblPrEx>
          <w:tblCellMar>
            <w:top w:w="0" w:type="dxa"/>
            <w:bottom w:w="0" w:type="dxa"/>
          </w:tblCellMar>
        </w:tblPrEx>
        <w:tc>
          <w:tcPr>
            <w:tcW w:w="2838" w:type="dxa"/>
          </w:tcPr>
          <w:p w:rsidR="00000000" w:rsidRDefault="00000000">
            <w:pPr>
              <w:pStyle w:val="aa"/>
              <w:spacing w:before="60" w:line="240" w:lineRule="auto"/>
              <w:ind w:left="57"/>
            </w:pPr>
            <w:r>
              <w:tab/>
            </w:r>
            <w:r>
              <w:rPr>
                <w:rFonts w:hint="eastAsia"/>
              </w:rPr>
              <w:t>总</w:t>
            </w:r>
            <w:r>
              <w:t xml:space="preserve">  </w:t>
            </w:r>
            <w:r>
              <w:rPr>
                <w:rFonts w:hint="eastAsia"/>
              </w:rPr>
              <w:t>计</w:t>
            </w:r>
          </w:p>
        </w:tc>
        <w:tc>
          <w:tcPr>
            <w:tcW w:w="2205" w:type="dxa"/>
          </w:tcPr>
          <w:p w:rsidR="00000000" w:rsidRDefault="00000000">
            <w:pPr>
              <w:pStyle w:val="aa"/>
              <w:spacing w:before="60" w:line="240" w:lineRule="auto"/>
              <w:ind w:right="942"/>
              <w:jc w:val="right"/>
            </w:pPr>
            <w:r>
              <w:t>54</w:t>
            </w:r>
          </w:p>
        </w:tc>
        <w:tc>
          <w:tcPr>
            <w:tcW w:w="2310" w:type="dxa"/>
          </w:tcPr>
          <w:p w:rsidR="00000000" w:rsidRDefault="00000000">
            <w:pPr>
              <w:pStyle w:val="aa"/>
              <w:spacing w:before="60" w:line="240" w:lineRule="auto"/>
              <w:ind w:right="942"/>
              <w:jc w:val="right"/>
            </w:pPr>
            <w:r>
              <w:t>73</w:t>
            </w:r>
          </w:p>
        </w:tc>
        <w:tc>
          <w:tcPr>
            <w:tcW w:w="2217" w:type="dxa"/>
          </w:tcPr>
          <w:p w:rsidR="00000000" w:rsidRDefault="00000000">
            <w:pPr>
              <w:pStyle w:val="aa"/>
              <w:spacing w:before="60" w:line="240" w:lineRule="auto"/>
              <w:ind w:right="954"/>
              <w:jc w:val="right"/>
            </w:pPr>
            <w:r>
              <w:t>101</w:t>
            </w:r>
          </w:p>
        </w:tc>
      </w:tr>
    </w:tbl>
    <w:p w:rsidR="00000000" w:rsidRDefault="00000000">
      <w:pPr>
        <w:spacing w:after="320"/>
      </w:pPr>
    </w:p>
    <w:p w:rsidR="00000000" w:rsidRDefault="00000000">
      <w:pPr>
        <w:pStyle w:val="Heading3"/>
        <w:rPr>
          <w:rFonts w:hint="eastAsia"/>
        </w:rPr>
      </w:pPr>
      <w:r>
        <w:rPr>
          <w:rFonts w:hint="eastAsia"/>
          <w:u w:val="none"/>
        </w:rPr>
        <w:t xml:space="preserve">2.  </w:t>
      </w:r>
      <w:r>
        <w:rPr>
          <w:rFonts w:hint="eastAsia"/>
        </w:rPr>
        <w:t>精神卫生的立法</w:t>
      </w:r>
    </w:p>
    <w:p w:rsidR="00000000" w:rsidRDefault="00000000">
      <w:pPr>
        <w:spacing w:after="320"/>
        <w:rPr>
          <w:rFonts w:hint="eastAsia"/>
          <w:spacing w:val="6"/>
        </w:rPr>
      </w:pPr>
      <w:r>
        <w:rPr>
          <w:rFonts w:hint="eastAsia"/>
        </w:rPr>
        <w:tab/>
        <w:t xml:space="preserve">473.  </w:t>
      </w:r>
      <w:r>
        <w:rPr>
          <w:rFonts w:hint="eastAsia"/>
          <w:spacing w:val="6"/>
        </w:rPr>
        <w:t>第</w:t>
      </w:r>
      <w:r>
        <w:rPr>
          <w:rFonts w:hint="eastAsia"/>
          <w:spacing w:val="6"/>
        </w:rPr>
        <w:t>2716</w:t>
      </w:r>
      <w:r>
        <w:rPr>
          <w:spacing w:val="6"/>
        </w:rPr>
        <w:t>/1999</w:t>
      </w:r>
      <w:r>
        <w:rPr>
          <w:rFonts w:hint="eastAsia"/>
          <w:spacing w:val="6"/>
        </w:rPr>
        <w:t>号法讲到发展精神卫生服务和使之现代化，是前面讲到的国家计划作为依据的体制行动。该法的内容包括分散精神卫生服务和社区的神经病治疗，保护患有精神病病人的权利，门诊治疗，摆脱机构治疗，心理</w:t>
      </w:r>
      <w:r>
        <w:rPr>
          <w:rFonts w:hint="eastAsia"/>
          <w:spacing w:val="-50"/>
        </w:rPr>
        <w:t>―</w:t>
      </w:r>
      <w:r>
        <w:rPr>
          <w:rFonts w:hint="eastAsia"/>
          <w:spacing w:val="6"/>
        </w:rPr>
        <w:t>―社会康复和社会融合，加强精神照料工作，以及了解和自愿社区帮助改进精神卫生工作。</w:t>
      </w:r>
    </w:p>
    <w:p w:rsidR="00000000" w:rsidRDefault="00000000">
      <w:pPr>
        <w:pStyle w:val="Heading3"/>
        <w:rPr>
          <w:rFonts w:hint="eastAsia"/>
        </w:rPr>
      </w:pPr>
      <w:r>
        <w:rPr>
          <w:rFonts w:hint="eastAsia"/>
          <w:u w:val="none"/>
        </w:rPr>
        <w:t xml:space="preserve">B.  </w:t>
      </w:r>
      <w:r>
        <w:rPr>
          <w:rFonts w:hint="eastAsia"/>
        </w:rPr>
        <w:t>资金来源</w:t>
      </w:r>
    </w:p>
    <w:p w:rsidR="00000000" w:rsidRDefault="00000000">
      <w:pPr>
        <w:spacing w:after="320"/>
        <w:rPr>
          <w:rFonts w:hint="eastAsia"/>
        </w:rPr>
      </w:pPr>
      <w:r>
        <w:rPr>
          <w:rFonts w:hint="eastAsia"/>
        </w:rPr>
        <w:tab/>
        <w:t xml:space="preserve">474.  </w:t>
      </w:r>
      <w:r>
        <w:rPr>
          <w:rFonts w:hint="eastAsia"/>
        </w:rPr>
        <w:t>准确的精神卫生预算无法得知，因为其中相当大的一部分是算在中心医院开支内的</w:t>
      </w:r>
      <w:r>
        <w:rPr>
          <w:rFonts w:hint="eastAsia"/>
        </w:rPr>
        <w:t>(</w:t>
      </w:r>
      <w:r>
        <w:rPr>
          <w:rFonts w:hint="eastAsia"/>
        </w:rPr>
        <w:t>综合医院的精神病科、精神卫生中心、儿童</w:t>
      </w:r>
      <w:r>
        <w:t>/</w:t>
      </w:r>
      <w:r>
        <w:rPr>
          <w:rFonts w:hint="eastAsia"/>
        </w:rPr>
        <w:t>年青人医疗中心等</w:t>
      </w:r>
      <w:r>
        <w:rPr>
          <w:rFonts w:hint="eastAsia"/>
        </w:rPr>
        <w:t>)</w:t>
      </w:r>
      <w:r>
        <w:rPr>
          <w:rFonts w:hint="eastAsia"/>
        </w:rPr>
        <w:t>，因此很难将相关支出按部门或单位分列。精神卫生的主要资金来源，是国家投资方案、共同出资的欧洲方案、社会保险、病人和他们家庭的个人收入，和私人保险。</w:t>
      </w:r>
    </w:p>
    <w:p w:rsidR="00000000" w:rsidRDefault="00000000">
      <w:pPr>
        <w:pStyle w:val="Heading3"/>
        <w:rPr>
          <w:rFonts w:hint="eastAsia"/>
        </w:rPr>
      </w:pPr>
      <w:r>
        <w:rPr>
          <w:rFonts w:hint="eastAsia"/>
          <w:u w:val="none"/>
        </w:rPr>
        <w:t xml:space="preserve">C.  </w:t>
      </w:r>
      <w:r>
        <w:rPr>
          <w:rFonts w:hint="eastAsia"/>
        </w:rPr>
        <w:t>精神卫生服务</w:t>
      </w:r>
    </w:p>
    <w:p w:rsidR="00000000" w:rsidRDefault="00000000">
      <w:pPr>
        <w:spacing w:after="160"/>
        <w:rPr>
          <w:rFonts w:hint="eastAsia"/>
        </w:rPr>
      </w:pPr>
      <w:r>
        <w:rPr>
          <w:rFonts w:hint="eastAsia"/>
        </w:rPr>
        <w:tab/>
        <w:t xml:space="preserve">475.  </w:t>
      </w:r>
      <w:r>
        <w:rPr>
          <w:rFonts w:hint="eastAsia"/>
        </w:rPr>
        <w:t>对残疾人，特别是患有精神失常的人，有一笔津贴，另外还有特别年金，免税措施，免费治疗等。精神卫生是初级卫生保健的一部分。严重的精神失常可得到治疗，但尚未在全国普及。在社区一级，有一些专门的服务项目，为患有精神失常的人提供帮助，服务通过精神卫生照料中心、接待站、神经病诊所和其他服务等。即便如此，在</w:t>
      </w:r>
      <w:r>
        <w:rPr>
          <w:rFonts w:hint="eastAsia"/>
        </w:rPr>
        <w:t>1981</w:t>
      </w:r>
      <w:r>
        <w:rPr>
          <w:rFonts w:hint="eastAsia"/>
        </w:rPr>
        <w:t>至</w:t>
      </w:r>
      <w:r>
        <w:rPr>
          <w:rFonts w:hint="eastAsia"/>
        </w:rPr>
        <w:t>2001</w:t>
      </w:r>
      <w:r>
        <w:rPr>
          <w:rFonts w:hint="eastAsia"/>
        </w:rPr>
        <w:t>年期间整个情况还是有很大变化。</w:t>
      </w:r>
      <w:r>
        <w:rPr>
          <w:rFonts w:hint="eastAsia"/>
        </w:rPr>
        <w:t>1981</w:t>
      </w:r>
      <w:r>
        <w:rPr>
          <w:rFonts w:hint="eastAsia"/>
        </w:rPr>
        <w:t>年，当时只有一家综合医院有一个神经病科</w:t>
      </w:r>
      <w:r>
        <w:rPr>
          <w:rFonts w:hint="eastAsia"/>
        </w:rPr>
        <w:t>(16</w:t>
      </w:r>
      <w:r>
        <w:rPr>
          <w:rFonts w:hint="eastAsia"/>
        </w:rPr>
        <w:t>张病床</w:t>
      </w:r>
      <w:r>
        <w:rPr>
          <w:rFonts w:hint="eastAsia"/>
        </w:rPr>
        <w:t>)</w:t>
      </w:r>
      <w:r>
        <w:rPr>
          <w:rFonts w:hint="eastAsia"/>
        </w:rPr>
        <w:t>，另有</w:t>
      </w:r>
      <w:r>
        <w:rPr>
          <w:rFonts w:hint="eastAsia"/>
        </w:rPr>
        <w:t>6</w:t>
      </w:r>
      <w:r>
        <w:rPr>
          <w:rFonts w:hint="eastAsia"/>
        </w:rPr>
        <w:t>个精神卫生中心。而到</w:t>
      </w:r>
      <w:r>
        <w:rPr>
          <w:rFonts w:hint="eastAsia"/>
        </w:rPr>
        <w:t>2001</w:t>
      </w:r>
      <w:r>
        <w:rPr>
          <w:rFonts w:hint="eastAsia"/>
        </w:rPr>
        <w:t>年，各综合医院已有</w:t>
      </w:r>
      <w:r>
        <w:rPr>
          <w:rFonts w:hint="eastAsia"/>
        </w:rPr>
        <w:t>20</w:t>
      </w:r>
      <w:r>
        <w:rPr>
          <w:rFonts w:hint="eastAsia"/>
        </w:rPr>
        <w:t>个科</w:t>
      </w:r>
      <w:r>
        <w:rPr>
          <w:rFonts w:hint="eastAsia"/>
        </w:rPr>
        <w:t>(365</w:t>
      </w:r>
      <w:r>
        <w:rPr>
          <w:rFonts w:hint="eastAsia"/>
        </w:rPr>
        <w:t>张病床</w:t>
      </w:r>
      <w:r>
        <w:rPr>
          <w:rFonts w:hint="eastAsia"/>
        </w:rPr>
        <w:t>)</w:t>
      </w:r>
      <w:r>
        <w:rPr>
          <w:rFonts w:hint="eastAsia"/>
        </w:rPr>
        <w:t>，还有</w:t>
      </w:r>
      <w:r>
        <w:rPr>
          <w:rFonts w:hint="eastAsia"/>
        </w:rPr>
        <w:t>28</w:t>
      </w:r>
      <w:r>
        <w:rPr>
          <w:rFonts w:hint="eastAsia"/>
        </w:rPr>
        <w:t>个精神卫生中心。此外，综合医院中还有</w:t>
      </w:r>
      <w:r>
        <w:rPr>
          <w:rFonts w:hint="eastAsia"/>
        </w:rPr>
        <w:t>10</w:t>
      </w:r>
      <w:r>
        <w:rPr>
          <w:rFonts w:hint="eastAsia"/>
        </w:rPr>
        <w:t>个门诊和提供咨询的精神病科。这些措施在很大程度上改变了提供精神卫生服务的方式。每年精神病就诊总数的三分之一是在综合性医院，门诊的精神健康病例，大多数是在门诊精神卫生中心和普通医院的精神病科治疗的。并有</w:t>
      </w:r>
      <w:r>
        <w:rPr>
          <w:rFonts w:hint="eastAsia"/>
        </w:rPr>
        <w:t>15</w:t>
      </w:r>
      <w:r>
        <w:rPr>
          <w:rFonts w:hint="eastAsia"/>
        </w:rPr>
        <w:t>个精神卫生中心正在建设，将在</w:t>
      </w:r>
      <w:r>
        <w:rPr>
          <w:rFonts w:hint="eastAsia"/>
        </w:rPr>
        <w:t>2000</w:t>
      </w:r>
      <w:r>
        <w:t>-</w:t>
      </w:r>
      <w:r>
        <w:rPr>
          <w:rFonts w:hint="eastAsia"/>
        </w:rPr>
        <w:t>2002</w:t>
      </w:r>
      <w:r>
        <w:rPr>
          <w:rFonts w:hint="eastAsia"/>
        </w:rPr>
        <w:t>年期间开展工作。</w:t>
      </w:r>
    </w:p>
    <w:p w:rsidR="00000000" w:rsidRDefault="00000000">
      <w:pPr>
        <w:pStyle w:val="Heading3"/>
        <w:spacing w:after="160"/>
        <w:rPr>
          <w:rFonts w:hint="eastAsia"/>
        </w:rPr>
      </w:pPr>
      <w:r>
        <w:rPr>
          <w:rFonts w:hint="eastAsia"/>
        </w:rPr>
        <w:t>表</w:t>
      </w:r>
      <w:r>
        <w:rPr>
          <w:rFonts w:hint="eastAsia"/>
        </w:rPr>
        <w:t xml:space="preserve">  15</w:t>
      </w:r>
    </w:p>
    <w:p w:rsidR="00000000" w:rsidRDefault="00000000">
      <w:pPr>
        <w:pStyle w:val="Heading3"/>
        <w:spacing w:after="160"/>
        <w:rPr>
          <w:rFonts w:hint="eastAsia"/>
        </w:rPr>
      </w:pPr>
      <w:r>
        <w:rPr>
          <w:rFonts w:hint="eastAsia"/>
        </w:rPr>
        <w:t>精神病病床和精神卫生专业人员的分布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28"/>
        <w:gridCol w:w="2743"/>
      </w:tblGrid>
      <w:tr w:rsidR="00000000">
        <w:tblPrEx>
          <w:tblCellMar>
            <w:top w:w="0" w:type="dxa"/>
            <w:bottom w:w="0" w:type="dxa"/>
          </w:tblCellMar>
        </w:tblPrEx>
        <w:tc>
          <w:tcPr>
            <w:tcW w:w="6828" w:type="dxa"/>
          </w:tcPr>
          <w:p w:rsidR="00000000" w:rsidRDefault="00000000">
            <w:pPr>
              <w:pStyle w:val="aa"/>
              <w:rPr>
                <w:rFonts w:hint="eastAsia"/>
              </w:rPr>
            </w:pPr>
            <w:r>
              <w:rPr>
                <w:rFonts w:hint="eastAsia"/>
              </w:rPr>
              <w:t>精神病病床</w:t>
            </w:r>
            <w:r>
              <w:t>/</w:t>
            </w:r>
            <w:r>
              <w:rPr>
                <w:rFonts w:hint="eastAsia"/>
              </w:rPr>
              <w:t>每</w:t>
            </w:r>
            <w:r>
              <w:rPr>
                <w:rFonts w:hint="eastAsia"/>
              </w:rPr>
              <w:t>1</w:t>
            </w:r>
            <w:r>
              <w:rPr>
                <w:rFonts w:hint="eastAsia"/>
              </w:rPr>
              <w:t>万名居民</w:t>
            </w:r>
            <w:r>
              <w:rPr>
                <w:rFonts w:hint="eastAsia"/>
              </w:rPr>
              <w:t>(</w:t>
            </w:r>
            <w:r>
              <w:rPr>
                <w:rFonts w:hint="eastAsia"/>
              </w:rPr>
              <w:t>总数</w:t>
            </w:r>
            <w:r>
              <w:rPr>
                <w:rFonts w:hint="eastAsia"/>
              </w:rPr>
              <w:t>)</w:t>
            </w:r>
          </w:p>
        </w:tc>
        <w:tc>
          <w:tcPr>
            <w:tcW w:w="2743" w:type="dxa"/>
          </w:tcPr>
          <w:p w:rsidR="00000000" w:rsidRDefault="00000000">
            <w:pPr>
              <w:pStyle w:val="aa"/>
              <w:tabs>
                <w:tab w:val="decimal" w:pos="1332"/>
              </w:tabs>
            </w:pPr>
            <w:r>
              <w:t>8.7</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精神病医院中的精神病病床</w:t>
            </w:r>
            <w:r>
              <w:t>/</w:t>
            </w:r>
            <w:r>
              <w:rPr>
                <w:rFonts w:hint="eastAsia"/>
              </w:rPr>
              <w:t>每</w:t>
            </w:r>
            <w:r>
              <w:rPr>
                <w:rFonts w:hint="eastAsia"/>
              </w:rPr>
              <w:t>1</w:t>
            </w:r>
            <w:r>
              <w:rPr>
                <w:rFonts w:hint="eastAsia"/>
              </w:rPr>
              <w:t>万名居民</w:t>
            </w:r>
          </w:p>
        </w:tc>
        <w:tc>
          <w:tcPr>
            <w:tcW w:w="2743" w:type="dxa"/>
          </w:tcPr>
          <w:p w:rsidR="00000000" w:rsidRDefault="00000000">
            <w:pPr>
              <w:pStyle w:val="aa"/>
              <w:tabs>
                <w:tab w:val="decimal" w:pos="1332"/>
              </w:tabs>
            </w:pPr>
            <w:r>
              <w:t>4.3</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综合医院中的精神病病床</w:t>
            </w:r>
            <w:r>
              <w:t>/</w:t>
            </w:r>
            <w:r>
              <w:rPr>
                <w:rFonts w:hint="eastAsia"/>
              </w:rPr>
              <w:t>每</w:t>
            </w:r>
            <w:r>
              <w:rPr>
                <w:rFonts w:hint="eastAsia"/>
              </w:rPr>
              <w:t>1</w:t>
            </w:r>
            <w:r>
              <w:rPr>
                <w:rFonts w:hint="eastAsia"/>
              </w:rPr>
              <w:t>万名居民</w:t>
            </w:r>
          </w:p>
        </w:tc>
        <w:tc>
          <w:tcPr>
            <w:tcW w:w="2743" w:type="dxa"/>
          </w:tcPr>
          <w:p w:rsidR="00000000" w:rsidRDefault="00000000">
            <w:pPr>
              <w:pStyle w:val="aa"/>
              <w:tabs>
                <w:tab w:val="decimal" w:pos="1332"/>
              </w:tabs>
            </w:pPr>
            <w:r>
              <w:t>0.3</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其他安排的精神病病床</w:t>
            </w:r>
            <w:r>
              <w:t>/</w:t>
            </w:r>
            <w:r>
              <w:rPr>
                <w:rFonts w:hint="eastAsia"/>
              </w:rPr>
              <w:t>每</w:t>
            </w:r>
            <w:r>
              <w:rPr>
                <w:rFonts w:hint="eastAsia"/>
              </w:rPr>
              <w:t>1</w:t>
            </w:r>
            <w:r>
              <w:rPr>
                <w:rFonts w:hint="eastAsia"/>
              </w:rPr>
              <w:t>万名居民</w:t>
            </w:r>
          </w:p>
        </w:tc>
        <w:tc>
          <w:tcPr>
            <w:tcW w:w="2743" w:type="dxa"/>
          </w:tcPr>
          <w:p w:rsidR="00000000" w:rsidRDefault="00000000">
            <w:pPr>
              <w:pStyle w:val="aa"/>
              <w:tabs>
                <w:tab w:val="decimal" w:pos="1332"/>
              </w:tabs>
            </w:pPr>
            <w:r>
              <w:t>4.1</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精神病医师</w:t>
            </w:r>
            <w:r>
              <w:t>/</w:t>
            </w:r>
            <w:r>
              <w:rPr>
                <w:rFonts w:hint="eastAsia"/>
              </w:rPr>
              <w:t>每</w:t>
            </w:r>
            <w:r>
              <w:rPr>
                <w:rFonts w:hint="eastAsia"/>
              </w:rPr>
              <w:t>10</w:t>
            </w:r>
            <w:r>
              <w:rPr>
                <w:rFonts w:hint="eastAsia"/>
              </w:rPr>
              <w:t>万名居民</w:t>
            </w:r>
          </w:p>
        </w:tc>
        <w:tc>
          <w:tcPr>
            <w:tcW w:w="2743" w:type="dxa"/>
          </w:tcPr>
          <w:p w:rsidR="00000000" w:rsidRDefault="00000000">
            <w:pPr>
              <w:pStyle w:val="aa"/>
              <w:tabs>
                <w:tab w:val="decimal" w:pos="1332"/>
              </w:tabs>
            </w:pPr>
            <w:r>
              <w:t>6</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神经科医师</w:t>
            </w:r>
            <w:r>
              <w:t>/</w:t>
            </w:r>
            <w:r>
              <w:rPr>
                <w:rFonts w:hint="eastAsia"/>
              </w:rPr>
              <w:t>每</w:t>
            </w:r>
            <w:r>
              <w:rPr>
                <w:rFonts w:hint="eastAsia"/>
              </w:rPr>
              <w:t>10</w:t>
            </w:r>
            <w:r>
              <w:rPr>
                <w:rFonts w:hint="eastAsia"/>
              </w:rPr>
              <w:t>万名居民</w:t>
            </w:r>
          </w:p>
        </w:tc>
        <w:tc>
          <w:tcPr>
            <w:tcW w:w="2743" w:type="dxa"/>
          </w:tcPr>
          <w:p w:rsidR="00000000" w:rsidRDefault="00000000">
            <w:pPr>
              <w:pStyle w:val="aa"/>
              <w:tabs>
                <w:tab w:val="decimal" w:pos="1332"/>
              </w:tabs>
            </w:pPr>
            <w:r>
              <w:t>5</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精神病医师</w:t>
            </w:r>
            <w:r>
              <w:t>/</w:t>
            </w:r>
            <w:r>
              <w:rPr>
                <w:rFonts w:hint="eastAsia"/>
              </w:rPr>
              <w:t>每</w:t>
            </w:r>
            <w:r>
              <w:rPr>
                <w:rFonts w:hint="eastAsia"/>
              </w:rPr>
              <w:t>10</w:t>
            </w:r>
            <w:r>
              <w:rPr>
                <w:rFonts w:hint="eastAsia"/>
              </w:rPr>
              <w:t>万名居民</w:t>
            </w:r>
          </w:p>
        </w:tc>
        <w:tc>
          <w:tcPr>
            <w:tcW w:w="2743" w:type="dxa"/>
          </w:tcPr>
          <w:p w:rsidR="00000000" w:rsidRDefault="00000000">
            <w:pPr>
              <w:pStyle w:val="aa"/>
              <w:tabs>
                <w:tab w:val="decimal" w:pos="1332"/>
              </w:tabs>
            </w:pPr>
            <w:r>
              <w:t>2</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神经外科医生</w:t>
            </w:r>
            <w:r>
              <w:t>/</w:t>
            </w:r>
            <w:r>
              <w:rPr>
                <w:rFonts w:hint="eastAsia"/>
              </w:rPr>
              <w:t>每</w:t>
            </w:r>
            <w:r>
              <w:rPr>
                <w:rFonts w:hint="eastAsia"/>
              </w:rPr>
              <w:t>10</w:t>
            </w:r>
            <w:r>
              <w:rPr>
                <w:rFonts w:hint="eastAsia"/>
              </w:rPr>
              <w:t>万名居民</w:t>
            </w:r>
          </w:p>
        </w:tc>
        <w:tc>
          <w:tcPr>
            <w:tcW w:w="2743" w:type="dxa"/>
          </w:tcPr>
          <w:p w:rsidR="00000000" w:rsidRDefault="00000000">
            <w:pPr>
              <w:pStyle w:val="aa"/>
              <w:tabs>
                <w:tab w:val="decimal" w:pos="1332"/>
              </w:tabs>
            </w:pPr>
            <w:r>
              <w:t>2</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神经病护理人员</w:t>
            </w:r>
            <w:r>
              <w:t>/</w:t>
            </w:r>
            <w:r>
              <w:rPr>
                <w:rFonts w:hint="eastAsia"/>
              </w:rPr>
              <w:t>每</w:t>
            </w:r>
            <w:r>
              <w:rPr>
                <w:rFonts w:hint="eastAsia"/>
              </w:rPr>
              <w:t>10</w:t>
            </w:r>
            <w:r>
              <w:rPr>
                <w:rFonts w:hint="eastAsia"/>
              </w:rPr>
              <w:t>万名居民</w:t>
            </w:r>
          </w:p>
        </w:tc>
        <w:tc>
          <w:tcPr>
            <w:tcW w:w="2743" w:type="dxa"/>
          </w:tcPr>
          <w:p w:rsidR="00000000" w:rsidRDefault="00000000">
            <w:pPr>
              <w:pStyle w:val="aa"/>
              <w:tabs>
                <w:tab w:val="decimal" w:pos="1332"/>
              </w:tabs>
            </w:pPr>
            <w:r>
              <w:t>3</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神经科医师</w:t>
            </w:r>
            <w:r>
              <w:t>/</w:t>
            </w:r>
            <w:r>
              <w:rPr>
                <w:rFonts w:hint="eastAsia"/>
              </w:rPr>
              <w:t>精神病医师</w:t>
            </w:r>
            <w:r>
              <w:t>/</w:t>
            </w:r>
            <w:r>
              <w:rPr>
                <w:rFonts w:hint="eastAsia"/>
              </w:rPr>
              <w:t>每</w:t>
            </w:r>
            <w:r>
              <w:rPr>
                <w:rFonts w:hint="eastAsia"/>
              </w:rPr>
              <w:t>10</w:t>
            </w:r>
            <w:r>
              <w:rPr>
                <w:rFonts w:hint="eastAsia"/>
              </w:rPr>
              <w:t>万名居民</w:t>
            </w:r>
          </w:p>
        </w:tc>
        <w:tc>
          <w:tcPr>
            <w:tcW w:w="2743" w:type="dxa"/>
          </w:tcPr>
          <w:p w:rsidR="00000000" w:rsidRDefault="00000000">
            <w:pPr>
              <w:pStyle w:val="aa"/>
              <w:tabs>
                <w:tab w:val="decimal" w:pos="1332"/>
              </w:tabs>
            </w:pPr>
            <w:r>
              <w:t>4</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心理医生</w:t>
            </w:r>
            <w:r>
              <w:t>/</w:t>
            </w:r>
            <w:r>
              <w:rPr>
                <w:rFonts w:hint="eastAsia"/>
              </w:rPr>
              <w:t>每</w:t>
            </w:r>
            <w:r>
              <w:rPr>
                <w:rFonts w:hint="eastAsia"/>
              </w:rPr>
              <w:t>10</w:t>
            </w:r>
            <w:r>
              <w:rPr>
                <w:rFonts w:hint="eastAsia"/>
              </w:rPr>
              <w:t>万名居民</w:t>
            </w:r>
          </w:p>
        </w:tc>
        <w:tc>
          <w:tcPr>
            <w:tcW w:w="2743" w:type="dxa"/>
          </w:tcPr>
          <w:p w:rsidR="00000000" w:rsidRDefault="00000000">
            <w:pPr>
              <w:pStyle w:val="aa"/>
              <w:tabs>
                <w:tab w:val="decimal" w:pos="1332"/>
              </w:tabs>
            </w:pPr>
            <w:r>
              <w:t>14</w:t>
            </w:r>
          </w:p>
        </w:tc>
      </w:tr>
      <w:tr w:rsidR="00000000">
        <w:tblPrEx>
          <w:tblCellMar>
            <w:top w:w="0" w:type="dxa"/>
            <w:bottom w:w="0" w:type="dxa"/>
          </w:tblCellMar>
        </w:tblPrEx>
        <w:tc>
          <w:tcPr>
            <w:tcW w:w="6828" w:type="dxa"/>
          </w:tcPr>
          <w:p w:rsidR="00000000" w:rsidRDefault="00000000">
            <w:pPr>
              <w:pStyle w:val="aa"/>
              <w:rPr>
                <w:rFonts w:hint="eastAsia"/>
              </w:rPr>
            </w:pPr>
            <w:r>
              <w:rPr>
                <w:rFonts w:hint="eastAsia"/>
              </w:rPr>
              <w:t>社会工作者</w:t>
            </w:r>
            <w:r>
              <w:t>/</w:t>
            </w:r>
            <w:r>
              <w:rPr>
                <w:rFonts w:hint="eastAsia"/>
              </w:rPr>
              <w:t>每</w:t>
            </w:r>
            <w:r>
              <w:rPr>
                <w:rFonts w:hint="eastAsia"/>
              </w:rPr>
              <w:t>10</w:t>
            </w:r>
            <w:r>
              <w:rPr>
                <w:rFonts w:hint="eastAsia"/>
              </w:rPr>
              <w:t>万名居民</w:t>
            </w:r>
          </w:p>
        </w:tc>
        <w:tc>
          <w:tcPr>
            <w:tcW w:w="2743" w:type="dxa"/>
          </w:tcPr>
          <w:p w:rsidR="00000000" w:rsidRDefault="00000000">
            <w:pPr>
              <w:pStyle w:val="aa"/>
              <w:tabs>
                <w:tab w:val="decimal" w:pos="1332"/>
              </w:tabs>
            </w:pPr>
            <w:r>
              <w:t>56</w:t>
            </w:r>
          </w:p>
        </w:tc>
      </w:tr>
    </w:tbl>
    <w:p w:rsidR="00000000" w:rsidRDefault="00000000">
      <w:pPr>
        <w:spacing w:before="240" w:after="240"/>
        <w:rPr>
          <w:rFonts w:hint="eastAsia"/>
        </w:rPr>
      </w:pPr>
      <w:r>
        <w:rPr>
          <w:rFonts w:hint="eastAsia"/>
        </w:rPr>
        <w:tab/>
        <w:t xml:space="preserve">476.  </w:t>
      </w:r>
      <w:r>
        <w:rPr>
          <w:rFonts w:hint="eastAsia"/>
        </w:rPr>
        <w:t>卫生和福利部和内政、公共管理和权力下放部在任命新的人员</w:t>
      </w:r>
      <w:r>
        <w:rPr>
          <w:rFonts w:hint="eastAsia"/>
          <w:spacing w:val="-50"/>
        </w:rPr>
        <w:t>―</w:t>
      </w:r>
      <w:r>
        <w:rPr>
          <w:rFonts w:hint="eastAsia"/>
        </w:rPr>
        <w:t>―对卫生部门一般而言，特别是对精神卫生部门，在新人的任命上密切合作。</w:t>
      </w:r>
      <w:r>
        <w:rPr>
          <w:rFonts w:hint="eastAsia"/>
        </w:rPr>
        <w:t>2002</w:t>
      </w:r>
      <w:r>
        <w:rPr>
          <w:rFonts w:hint="eastAsia"/>
        </w:rPr>
        <w:t>年，已批准了</w:t>
      </w:r>
      <w:r>
        <w:rPr>
          <w:rFonts w:hint="eastAsia"/>
        </w:rPr>
        <w:t>700</w:t>
      </w:r>
      <w:r>
        <w:rPr>
          <w:rFonts w:hint="eastAsia"/>
        </w:rPr>
        <w:t>名专门从事精神卫生工作的人员。还作出了大量努力，加强在地方上精神卫生部门与州当局的合作。</w:t>
      </w:r>
    </w:p>
    <w:p w:rsidR="00000000" w:rsidRDefault="00000000">
      <w:pPr>
        <w:pStyle w:val="Heading4"/>
        <w:spacing w:after="160"/>
        <w:rPr>
          <w:rFonts w:hint="eastAsia"/>
        </w:rPr>
      </w:pPr>
      <w:r>
        <w:rPr>
          <w:rFonts w:hint="eastAsia"/>
        </w:rPr>
        <w:t>对世界卫生组织初级卫生保健方针的承诺</w:t>
      </w:r>
    </w:p>
    <w:p w:rsidR="00000000" w:rsidRDefault="00000000">
      <w:pPr>
        <w:rPr>
          <w:rFonts w:hint="eastAsia"/>
        </w:rPr>
      </w:pPr>
      <w:r>
        <w:rPr>
          <w:rFonts w:hint="eastAsia"/>
        </w:rPr>
        <w:tab/>
        <w:t xml:space="preserve">477.  </w:t>
      </w:r>
      <w:r>
        <w:rPr>
          <w:rFonts w:hint="eastAsia"/>
        </w:rPr>
        <w:t>对世界卫生组织有关初级卫生保健的原则，希腊的态度主要集中在以下方面：</w:t>
      </w:r>
    </w:p>
    <w:p w:rsidR="00000000" w:rsidRDefault="00000000">
      <w:pPr>
        <w:pStyle w:val="a0"/>
        <w:tabs>
          <w:tab w:val="num" w:pos="1540"/>
        </w:tabs>
        <w:ind w:left="1540"/>
        <w:rPr>
          <w:rFonts w:hint="eastAsia"/>
        </w:rPr>
      </w:pPr>
      <w:r>
        <w:rPr>
          <w:rFonts w:hint="eastAsia"/>
        </w:rPr>
        <w:t>跟踪和预防疾病、死亡和健康威胁，如疟疾、艾滋病、癌症、心血管疾病、精神卫生等；</w:t>
      </w:r>
    </w:p>
    <w:p w:rsidR="00000000" w:rsidRDefault="00000000">
      <w:pPr>
        <w:pStyle w:val="a0"/>
        <w:tabs>
          <w:tab w:val="num" w:pos="1540"/>
        </w:tabs>
        <w:ind w:left="1540"/>
        <w:rPr>
          <w:rFonts w:hint="eastAsia"/>
        </w:rPr>
      </w:pPr>
      <w:r>
        <w:rPr>
          <w:rFonts w:hint="eastAsia"/>
        </w:rPr>
        <w:t>促进一切有关健康生活的必要信息和教育；</w:t>
      </w:r>
    </w:p>
    <w:p w:rsidR="00000000" w:rsidRDefault="00000000">
      <w:pPr>
        <w:pStyle w:val="a0"/>
        <w:tabs>
          <w:tab w:val="num" w:pos="1540"/>
        </w:tabs>
        <w:ind w:left="1540"/>
        <w:rPr>
          <w:rFonts w:hint="eastAsia"/>
        </w:rPr>
      </w:pPr>
      <w:r>
        <w:rPr>
          <w:rFonts w:hint="eastAsia"/>
        </w:rPr>
        <w:t>建立和改善卫生系统</w:t>
      </w:r>
      <w:r>
        <w:t>，</w:t>
      </w:r>
      <w:r>
        <w:rPr>
          <w:rFonts w:hint="eastAsia"/>
        </w:rPr>
        <w:t>保证全体人民均可平等地获得卫生保健；</w:t>
      </w:r>
    </w:p>
    <w:p w:rsidR="00000000" w:rsidRDefault="00000000">
      <w:pPr>
        <w:pStyle w:val="a0"/>
        <w:tabs>
          <w:tab w:val="num" w:pos="1540"/>
        </w:tabs>
        <w:ind w:left="1540"/>
        <w:rPr>
          <w:rFonts w:hint="eastAsia"/>
        </w:rPr>
      </w:pPr>
      <w:r>
        <w:rPr>
          <w:rFonts w:hint="eastAsia"/>
        </w:rPr>
        <w:t>有系统地发展卫生保健部门，健全环境卫生政策。</w:t>
      </w:r>
    </w:p>
    <w:p w:rsidR="00000000" w:rsidRDefault="00000000">
      <w:pPr>
        <w:rPr>
          <w:rFonts w:hint="eastAsia"/>
        </w:rPr>
      </w:pPr>
      <w:r>
        <w:rPr>
          <w:rFonts w:hint="eastAsia"/>
        </w:rPr>
        <w:tab/>
        <w:t xml:space="preserve">478.  </w:t>
      </w:r>
      <w:r>
        <w:rPr>
          <w:rFonts w:hint="eastAsia"/>
        </w:rPr>
        <w:t>履行上述承诺的方法，是在有关卫生教育和公众意识的问题上开展宣传运动，以及培训卫生部门的专业人员，即将进行的初级卫生保健系统的改革，和实施试验卫生计划。</w:t>
      </w:r>
      <w:r>
        <w:rPr>
          <w:rFonts w:hint="eastAsia"/>
        </w:rPr>
        <w:t>1990</w:t>
      </w:r>
      <w:r>
        <w:rPr>
          <w:rFonts w:hint="eastAsia"/>
        </w:rPr>
        <w:t>年代，根据世界卫生组织的一些具体要求成立了：</w:t>
      </w:r>
    </w:p>
    <w:p w:rsidR="00000000" w:rsidRDefault="00000000">
      <w:pPr>
        <w:pStyle w:val="a0"/>
        <w:tabs>
          <w:tab w:val="num" w:pos="1540"/>
        </w:tabs>
        <w:ind w:left="1540"/>
        <w:rPr>
          <w:rFonts w:hint="eastAsia"/>
        </w:rPr>
      </w:pPr>
      <w:r>
        <w:rPr>
          <w:rFonts w:hint="eastAsia"/>
        </w:rPr>
        <w:t>国家卫生城市网；</w:t>
      </w:r>
    </w:p>
    <w:p w:rsidR="00000000" w:rsidRDefault="00000000">
      <w:pPr>
        <w:pStyle w:val="a0"/>
        <w:tabs>
          <w:tab w:val="num" w:pos="1540"/>
        </w:tabs>
        <w:ind w:left="1540"/>
        <w:rPr>
          <w:rFonts w:hint="eastAsia"/>
        </w:rPr>
      </w:pPr>
      <w:r>
        <w:rPr>
          <w:rFonts w:hint="eastAsia"/>
        </w:rPr>
        <w:t>国家卫生信息和教育学校网；和</w:t>
      </w:r>
    </w:p>
    <w:p w:rsidR="00000000" w:rsidRDefault="00000000">
      <w:pPr>
        <w:pStyle w:val="a0"/>
        <w:tabs>
          <w:tab w:val="num" w:pos="1540"/>
        </w:tabs>
        <w:spacing w:after="320"/>
        <w:ind w:left="1540"/>
        <w:rPr>
          <w:rFonts w:hint="eastAsia"/>
        </w:rPr>
      </w:pPr>
      <w:r>
        <w:rPr>
          <w:rFonts w:hint="eastAsia"/>
        </w:rPr>
        <w:t>国家卫生信息和教育医院网。</w:t>
      </w:r>
    </w:p>
    <w:p w:rsidR="00000000" w:rsidRDefault="00000000">
      <w:pPr>
        <w:pStyle w:val="Heading3"/>
        <w:spacing w:after="160"/>
        <w:rPr>
          <w:rFonts w:hint="eastAsia"/>
        </w:rPr>
      </w:pPr>
      <w:r>
        <w:rPr>
          <w:rFonts w:hint="eastAsia"/>
        </w:rPr>
        <w:t>国民生产总值用于卫生和初级卫生保健的</w:t>
      </w:r>
      <w:r>
        <w:br/>
      </w:r>
      <w:r>
        <w:rPr>
          <w:rFonts w:hint="eastAsia"/>
        </w:rPr>
        <w:t>百分比和国家预算在这方面的开支</w:t>
      </w:r>
    </w:p>
    <w:p w:rsidR="00000000" w:rsidRDefault="00000000">
      <w:pPr>
        <w:pStyle w:val="Heading3"/>
        <w:spacing w:after="160"/>
        <w:rPr>
          <w:rFonts w:hint="eastAsia"/>
        </w:rPr>
      </w:pPr>
      <w:r>
        <w:rPr>
          <w:rFonts w:hint="eastAsia"/>
        </w:rPr>
        <w:t>表</w:t>
      </w:r>
      <w:r>
        <w:rPr>
          <w:rFonts w:hint="eastAsia"/>
        </w:rPr>
        <w:t xml:space="preserve">  16</w:t>
      </w:r>
    </w:p>
    <w:p w:rsidR="00000000" w:rsidRDefault="00000000">
      <w:pPr>
        <w:pStyle w:val="Heading3"/>
        <w:spacing w:after="160"/>
      </w:pPr>
      <w:r>
        <w:rPr>
          <w:rFonts w:hint="eastAsia"/>
        </w:rPr>
        <w:t>1996</w:t>
      </w:r>
      <w:r>
        <w:rPr>
          <w:rFonts w:hint="eastAsia"/>
        </w:rPr>
        <w:t>至</w:t>
      </w:r>
      <w:r>
        <w:rPr>
          <w:rFonts w:hint="eastAsia"/>
        </w:rPr>
        <w:t>2000</w:t>
      </w:r>
      <w:r>
        <w:rPr>
          <w:rFonts w:hint="eastAsia"/>
        </w:rPr>
        <w:t>年社会保健支出</w:t>
      </w:r>
      <w:r>
        <w:rPr>
          <w:rFonts w:hint="eastAsia"/>
        </w:rPr>
        <w:t>(</w:t>
      </w:r>
      <w:r>
        <w:rPr>
          <w:rFonts w:hint="eastAsia"/>
        </w:rPr>
        <w:t>欧元</w:t>
      </w:r>
      <w:r>
        <w:rPr>
          <w:rFonts w:hint="eastAsia"/>
        </w:rPr>
        <w:t>)</w:t>
      </w:r>
      <w:r>
        <w:br/>
      </w:r>
      <w:r>
        <w:rPr>
          <w:rFonts w:hint="eastAsia"/>
          <w:u w:val="none"/>
        </w:rPr>
        <w:t>(</w:t>
      </w:r>
      <w:r>
        <w:rPr>
          <w:rFonts w:hint="eastAsia"/>
        </w:rPr>
        <w:t>国家经常预算支出和社会保险机构的支出</w:t>
      </w:r>
      <w:r>
        <w:rPr>
          <w:rFonts w:hint="eastAsia"/>
          <w:u w:val="non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1134"/>
        <w:gridCol w:w="1276"/>
        <w:gridCol w:w="1134"/>
        <w:gridCol w:w="1275"/>
        <w:gridCol w:w="1134"/>
        <w:gridCol w:w="1134"/>
        <w:gridCol w:w="1276"/>
      </w:tblGrid>
      <w:tr w:rsidR="00000000">
        <w:tblPrEx>
          <w:tblCellMar>
            <w:top w:w="0" w:type="dxa"/>
            <w:bottom w:w="0" w:type="dxa"/>
          </w:tblCellMar>
        </w:tblPrEx>
        <w:tc>
          <w:tcPr>
            <w:tcW w:w="851" w:type="dxa"/>
          </w:tcPr>
          <w:p w:rsidR="00000000" w:rsidRDefault="00000000">
            <w:pPr>
              <w:pStyle w:val="aa"/>
              <w:spacing w:before="100" w:line="312" w:lineRule="auto"/>
              <w:jc w:val="center"/>
            </w:pPr>
            <w:r>
              <w:rPr>
                <w:rFonts w:hint="eastAsia"/>
                <w:sz w:val="20"/>
              </w:rPr>
              <w:t>年</w:t>
            </w:r>
          </w:p>
        </w:tc>
        <w:tc>
          <w:tcPr>
            <w:tcW w:w="1134" w:type="dxa"/>
          </w:tcPr>
          <w:p w:rsidR="00000000" w:rsidRDefault="00000000">
            <w:pPr>
              <w:pStyle w:val="aa"/>
              <w:spacing w:before="100" w:line="312" w:lineRule="auto"/>
              <w:jc w:val="center"/>
            </w:pPr>
            <w:r>
              <w:rPr>
                <w:rFonts w:hint="eastAsia"/>
                <w:sz w:val="18"/>
              </w:rPr>
              <w:t>卫生和福利</w:t>
            </w:r>
          </w:p>
        </w:tc>
        <w:tc>
          <w:tcPr>
            <w:tcW w:w="1276" w:type="dxa"/>
          </w:tcPr>
          <w:p w:rsidR="00000000" w:rsidRDefault="00000000">
            <w:pPr>
              <w:pStyle w:val="aa"/>
              <w:spacing w:before="100" w:line="312" w:lineRule="auto"/>
              <w:jc w:val="center"/>
            </w:pPr>
            <w:r>
              <w:rPr>
                <w:rFonts w:hint="eastAsia"/>
                <w:sz w:val="20"/>
              </w:rPr>
              <w:t>年</w:t>
            </w:r>
            <w:r>
              <w:rPr>
                <w:rFonts w:hint="eastAsia"/>
                <w:sz w:val="20"/>
              </w:rPr>
              <w:t xml:space="preserve">  </w:t>
            </w:r>
            <w:r>
              <w:rPr>
                <w:rFonts w:hint="eastAsia"/>
                <w:sz w:val="20"/>
              </w:rPr>
              <w:t>金</w:t>
            </w:r>
          </w:p>
        </w:tc>
        <w:tc>
          <w:tcPr>
            <w:tcW w:w="1134" w:type="dxa"/>
          </w:tcPr>
          <w:p w:rsidR="00000000" w:rsidRDefault="00000000">
            <w:pPr>
              <w:pStyle w:val="aa"/>
              <w:spacing w:before="100" w:line="312" w:lineRule="auto"/>
              <w:jc w:val="center"/>
            </w:pPr>
            <w:r>
              <w:rPr>
                <w:rFonts w:hint="eastAsia"/>
                <w:sz w:val="20"/>
              </w:rPr>
              <w:t>总</w:t>
            </w:r>
            <w:r>
              <w:rPr>
                <w:rFonts w:hint="eastAsia"/>
                <w:sz w:val="20"/>
              </w:rPr>
              <w:t xml:space="preserve">  </w:t>
            </w:r>
            <w:r>
              <w:rPr>
                <w:rFonts w:hint="eastAsia"/>
                <w:sz w:val="20"/>
              </w:rPr>
              <w:t>计</w:t>
            </w:r>
          </w:p>
        </w:tc>
        <w:tc>
          <w:tcPr>
            <w:tcW w:w="1275" w:type="dxa"/>
          </w:tcPr>
          <w:p w:rsidR="00000000" w:rsidRDefault="00000000">
            <w:pPr>
              <w:pStyle w:val="aa"/>
              <w:spacing w:before="100" w:line="312" w:lineRule="auto"/>
              <w:jc w:val="center"/>
            </w:pPr>
            <w:r>
              <w:rPr>
                <w:rFonts w:hint="eastAsia"/>
                <w:sz w:val="18"/>
              </w:rPr>
              <w:t>卫生和福利</w:t>
            </w:r>
          </w:p>
        </w:tc>
        <w:tc>
          <w:tcPr>
            <w:tcW w:w="1134" w:type="dxa"/>
          </w:tcPr>
          <w:p w:rsidR="00000000" w:rsidRDefault="00000000">
            <w:pPr>
              <w:pStyle w:val="aa"/>
              <w:spacing w:before="100" w:line="312" w:lineRule="auto"/>
              <w:jc w:val="center"/>
            </w:pPr>
            <w:r>
              <w:rPr>
                <w:rFonts w:hint="eastAsia"/>
                <w:sz w:val="20"/>
              </w:rPr>
              <w:t>年</w:t>
            </w:r>
            <w:r>
              <w:rPr>
                <w:rFonts w:hint="eastAsia"/>
                <w:sz w:val="20"/>
              </w:rPr>
              <w:t xml:space="preserve">  </w:t>
            </w:r>
            <w:r>
              <w:rPr>
                <w:rFonts w:hint="eastAsia"/>
                <w:sz w:val="20"/>
              </w:rPr>
              <w:t>金</w:t>
            </w:r>
          </w:p>
        </w:tc>
        <w:tc>
          <w:tcPr>
            <w:tcW w:w="1134" w:type="dxa"/>
          </w:tcPr>
          <w:p w:rsidR="00000000" w:rsidRDefault="00000000">
            <w:pPr>
              <w:pStyle w:val="aa"/>
              <w:spacing w:before="100" w:line="312" w:lineRule="auto"/>
              <w:jc w:val="center"/>
            </w:pPr>
            <w:r>
              <w:rPr>
                <w:rFonts w:hint="eastAsia"/>
                <w:sz w:val="20"/>
              </w:rPr>
              <w:t>总</w:t>
            </w:r>
            <w:r>
              <w:rPr>
                <w:rFonts w:hint="eastAsia"/>
                <w:sz w:val="20"/>
              </w:rPr>
              <w:t xml:space="preserve">  </w:t>
            </w:r>
            <w:r>
              <w:rPr>
                <w:rFonts w:hint="eastAsia"/>
                <w:sz w:val="20"/>
              </w:rPr>
              <w:t>计</w:t>
            </w:r>
          </w:p>
        </w:tc>
        <w:tc>
          <w:tcPr>
            <w:tcW w:w="1276" w:type="dxa"/>
          </w:tcPr>
          <w:p w:rsidR="00000000" w:rsidRDefault="00000000">
            <w:pPr>
              <w:pStyle w:val="aa"/>
              <w:spacing w:before="100" w:line="312" w:lineRule="auto"/>
              <w:jc w:val="center"/>
            </w:pPr>
            <w:r>
              <w:rPr>
                <w:rFonts w:hint="eastAsia"/>
                <w:sz w:val="20"/>
              </w:rPr>
              <w:t>总支出</w:t>
            </w:r>
          </w:p>
        </w:tc>
      </w:tr>
      <w:tr w:rsidR="00000000">
        <w:tblPrEx>
          <w:tblCellMar>
            <w:top w:w="0" w:type="dxa"/>
            <w:bottom w:w="0" w:type="dxa"/>
          </w:tblCellMar>
        </w:tblPrEx>
        <w:tc>
          <w:tcPr>
            <w:tcW w:w="851" w:type="dxa"/>
            <w:tcBorders>
              <w:bottom w:val="nil"/>
            </w:tcBorders>
          </w:tcPr>
          <w:p w:rsidR="00000000" w:rsidRDefault="00000000">
            <w:pPr>
              <w:pStyle w:val="aa"/>
              <w:spacing w:before="100" w:line="312" w:lineRule="auto"/>
              <w:jc w:val="center"/>
            </w:pPr>
            <w:r>
              <w:t>1996</w:t>
            </w:r>
          </w:p>
        </w:tc>
        <w:tc>
          <w:tcPr>
            <w:tcW w:w="1134" w:type="dxa"/>
            <w:tcBorders>
              <w:bottom w:val="nil"/>
            </w:tcBorders>
          </w:tcPr>
          <w:p w:rsidR="00000000" w:rsidRDefault="00000000">
            <w:pPr>
              <w:pStyle w:val="aa"/>
              <w:spacing w:before="100" w:line="312" w:lineRule="auto"/>
              <w:jc w:val="center"/>
              <w:rPr>
                <w:sz w:val="20"/>
              </w:rPr>
            </w:pPr>
            <w:r>
              <w:rPr>
                <w:sz w:val="20"/>
              </w:rPr>
              <w:t>4 522 247</w:t>
            </w:r>
          </w:p>
        </w:tc>
        <w:tc>
          <w:tcPr>
            <w:tcW w:w="1276" w:type="dxa"/>
            <w:tcBorders>
              <w:bottom w:val="nil"/>
            </w:tcBorders>
          </w:tcPr>
          <w:p w:rsidR="00000000" w:rsidRDefault="00000000">
            <w:pPr>
              <w:pStyle w:val="aa"/>
              <w:spacing w:before="100" w:line="312" w:lineRule="auto"/>
              <w:jc w:val="center"/>
              <w:rPr>
                <w:sz w:val="20"/>
              </w:rPr>
            </w:pPr>
            <w:r>
              <w:rPr>
                <w:rFonts w:hint="eastAsia"/>
                <w:sz w:val="20"/>
              </w:rPr>
              <w:t xml:space="preserve"> </w:t>
            </w:r>
            <w:r>
              <w:rPr>
                <w:sz w:val="20"/>
              </w:rPr>
              <w:t>7 993 860</w:t>
            </w:r>
          </w:p>
        </w:tc>
        <w:tc>
          <w:tcPr>
            <w:tcW w:w="1134" w:type="dxa"/>
            <w:tcBorders>
              <w:bottom w:val="nil"/>
            </w:tcBorders>
          </w:tcPr>
          <w:p w:rsidR="00000000" w:rsidRDefault="00000000">
            <w:pPr>
              <w:pStyle w:val="aa"/>
              <w:spacing w:before="100" w:line="312" w:lineRule="auto"/>
              <w:jc w:val="center"/>
              <w:rPr>
                <w:sz w:val="20"/>
              </w:rPr>
            </w:pPr>
            <w:r>
              <w:rPr>
                <w:sz w:val="20"/>
              </w:rPr>
              <w:t>12 516 108</w:t>
            </w:r>
          </w:p>
        </w:tc>
        <w:tc>
          <w:tcPr>
            <w:tcW w:w="1275" w:type="dxa"/>
            <w:tcBorders>
              <w:bottom w:val="nil"/>
            </w:tcBorders>
          </w:tcPr>
          <w:p w:rsidR="00000000" w:rsidRDefault="00000000">
            <w:pPr>
              <w:pStyle w:val="aa"/>
              <w:spacing w:before="100" w:line="312" w:lineRule="auto"/>
              <w:jc w:val="center"/>
              <w:rPr>
                <w:sz w:val="20"/>
              </w:rPr>
            </w:pPr>
            <w:r>
              <w:rPr>
                <w:sz w:val="20"/>
              </w:rPr>
              <w:t>2 386 987</w:t>
            </w:r>
          </w:p>
        </w:tc>
        <w:tc>
          <w:tcPr>
            <w:tcW w:w="1134" w:type="dxa"/>
            <w:tcBorders>
              <w:bottom w:val="nil"/>
            </w:tcBorders>
          </w:tcPr>
          <w:p w:rsidR="00000000" w:rsidRDefault="00000000">
            <w:pPr>
              <w:pStyle w:val="aa"/>
              <w:spacing w:before="100" w:line="312" w:lineRule="auto"/>
              <w:jc w:val="center"/>
              <w:rPr>
                <w:sz w:val="20"/>
              </w:rPr>
            </w:pPr>
            <w:r>
              <w:rPr>
                <w:sz w:val="20"/>
              </w:rPr>
              <w:t>2 010 271</w:t>
            </w:r>
          </w:p>
        </w:tc>
        <w:tc>
          <w:tcPr>
            <w:tcW w:w="1134" w:type="dxa"/>
            <w:tcBorders>
              <w:bottom w:val="nil"/>
            </w:tcBorders>
          </w:tcPr>
          <w:p w:rsidR="00000000" w:rsidRDefault="00000000">
            <w:pPr>
              <w:pStyle w:val="aa"/>
              <w:spacing w:before="100" w:line="312" w:lineRule="auto"/>
              <w:jc w:val="center"/>
              <w:rPr>
                <w:sz w:val="20"/>
              </w:rPr>
            </w:pPr>
            <w:r>
              <w:rPr>
                <w:sz w:val="20"/>
              </w:rPr>
              <w:t>4 397 258</w:t>
            </w:r>
          </w:p>
        </w:tc>
        <w:tc>
          <w:tcPr>
            <w:tcW w:w="1276" w:type="dxa"/>
            <w:tcBorders>
              <w:bottom w:val="nil"/>
            </w:tcBorders>
          </w:tcPr>
          <w:p w:rsidR="00000000" w:rsidRDefault="00000000">
            <w:pPr>
              <w:pStyle w:val="aa"/>
              <w:spacing w:before="100" w:line="312" w:lineRule="auto"/>
              <w:jc w:val="center"/>
              <w:rPr>
                <w:sz w:val="20"/>
              </w:rPr>
            </w:pPr>
            <w:r>
              <w:rPr>
                <w:sz w:val="20"/>
              </w:rPr>
              <w:t>16 913 367</w:t>
            </w:r>
          </w:p>
        </w:tc>
      </w:tr>
      <w:tr w:rsidR="00000000">
        <w:tblPrEx>
          <w:tblCellMar>
            <w:top w:w="0" w:type="dxa"/>
            <w:bottom w:w="0" w:type="dxa"/>
          </w:tblCellMar>
        </w:tblPrEx>
        <w:tc>
          <w:tcPr>
            <w:tcW w:w="851" w:type="dxa"/>
            <w:tcBorders>
              <w:top w:val="nil"/>
              <w:bottom w:val="nil"/>
            </w:tcBorders>
          </w:tcPr>
          <w:p w:rsidR="00000000" w:rsidRDefault="00000000">
            <w:pPr>
              <w:pStyle w:val="aa"/>
              <w:spacing w:before="100" w:line="312" w:lineRule="auto"/>
              <w:jc w:val="center"/>
            </w:pPr>
            <w:r>
              <w:t>1997</w:t>
            </w:r>
          </w:p>
        </w:tc>
        <w:tc>
          <w:tcPr>
            <w:tcW w:w="1134" w:type="dxa"/>
            <w:tcBorders>
              <w:top w:val="nil"/>
              <w:bottom w:val="nil"/>
            </w:tcBorders>
          </w:tcPr>
          <w:p w:rsidR="00000000" w:rsidRDefault="00000000">
            <w:pPr>
              <w:pStyle w:val="aa"/>
              <w:spacing w:before="100" w:line="312" w:lineRule="auto"/>
              <w:jc w:val="center"/>
              <w:rPr>
                <w:sz w:val="20"/>
              </w:rPr>
            </w:pPr>
            <w:r>
              <w:rPr>
                <w:sz w:val="20"/>
              </w:rPr>
              <w:t>5 021 305</w:t>
            </w:r>
          </w:p>
        </w:tc>
        <w:tc>
          <w:tcPr>
            <w:tcW w:w="1276" w:type="dxa"/>
            <w:tcBorders>
              <w:top w:val="nil"/>
              <w:bottom w:val="nil"/>
            </w:tcBorders>
          </w:tcPr>
          <w:p w:rsidR="00000000" w:rsidRDefault="00000000">
            <w:pPr>
              <w:pStyle w:val="aa"/>
              <w:spacing w:before="100" w:line="312" w:lineRule="auto"/>
              <w:jc w:val="center"/>
              <w:rPr>
                <w:sz w:val="20"/>
              </w:rPr>
            </w:pPr>
            <w:r>
              <w:rPr>
                <w:rFonts w:hint="eastAsia"/>
                <w:sz w:val="20"/>
              </w:rPr>
              <w:t xml:space="preserve"> </w:t>
            </w:r>
            <w:r>
              <w:rPr>
                <w:sz w:val="20"/>
              </w:rPr>
              <w:t>9 023 536</w:t>
            </w:r>
          </w:p>
        </w:tc>
        <w:tc>
          <w:tcPr>
            <w:tcW w:w="1134" w:type="dxa"/>
            <w:tcBorders>
              <w:top w:val="nil"/>
              <w:bottom w:val="nil"/>
            </w:tcBorders>
          </w:tcPr>
          <w:p w:rsidR="00000000" w:rsidRDefault="00000000">
            <w:pPr>
              <w:pStyle w:val="aa"/>
              <w:spacing w:before="100" w:line="312" w:lineRule="auto"/>
              <w:jc w:val="center"/>
              <w:rPr>
                <w:sz w:val="20"/>
              </w:rPr>
            </w:pPr>
            <w:r>
              <w:rPr>
                <w:sz w:val="20"/>
              </w:rPr>
              <w:t>14 044 842</w:t>
            </w:r>
          </w:p>
        </w:tc>
        <w:tc>
          <w:tcPr>
            <w:tcW w:w="1275" w:type="dxa"/>
            <w:tcBorders>
              <w:top w:val="nil"/>
              <w:bottom w:val="nil"/>
            </w:tcBorders>
          </w:tcPr>
          <w:p w:rsidR="00000000" w:rsidRDefault="00000000">
            <w:pPr>
              <w:pStyle w:val="aa"/>
              <w:spacing w:before="100" w:line="312" w:lineRule="auto"/>
              <w:jc w:val="center"/>
              <w:rPr>
                <w:sz w:val="20"/>
              </w:rPr>
            </w:pPr>
            <w:r>
              <w:rPr>
                <w:sz w:val="20"/>
              </w:rPr>
              <w:t>2 527 883</w:t>
            </w:r>
          </w:p>
        </w:tc>
        <w:tc>
          <w:tcPr>
            <w:tcW w:w="1134" w:type="dxa"/>
            <w:tcBorders>
              <w:top w:val="nil"/>
              <w:bottom w:val="nil"/>
            </w:tcBorders>
          </w:tcPr>
          <w:p w:rsidR="00000000" w:rsidRDefault="00000000">
            <w:pPr>
              <w:pStyle w:val="aa"/>
              <w:spacing w:before="100" w:line="312" w:lineRule="auto"/>
              <w:jc w:val="center"/>
              <w:rPr>
                <w:sz w:val="20"/>
              </w:rPr>
            </w:pPr>
            <w:r>
              <w:rPr>
                <w:rFonts w:hint="eastAsia"/>
                <w:sz w:val="20"/>
              </w:rPr>
              <w:t xml:space="preserve"> </w:t>
            </w:r>
            <w:r>
              <w:rPr>
                <w:sz w:val="20"/>
              </w:rPr>
              <w:t>477 549</w:t>
            </w:r>
          </w:p>
        </w:tc>
        <w:tc>
          <w:tcPr>
            <w:tcW w:w="1134" w:type="dxa"/>
            <w:tcBorders>
              <w:top w:val="nil"/>
              <w:bottom w:val="nil"/>
            </w:tcBorders>
          </w:tcPr>
          <w:p w:rsidR="00000000" w:rsidRDefault="00000000">
            <w:pPr>
              <w:pStyle w:val="aa"/>
              <w:spacing w:before="100" w:line="312" w:lineRule="auto"/>
              <w:jc w:val="center"/>
              <w:rPr>
                <w:sz w:val="20"/>
              </w:rPr>
            </w:pPr>
            <w:r>
              <w:rPr>
                <w:sz w:val="20"/>
              </w:rPr>
              <w:t>4 652 607</w:t>
            </w:r>
          </w:p>
        </w:tc>
        <w:tc>
          <w:tcPr>
            <w:tcW w:w="1276" w:type="dxa"/>
            <w:tcBorders>
              <w:top w:val="nil"/>
              <w:bottom w:val="nil"/>
            </w:tcBorders>
          </w:tcPr>
          <w:p w:rsidR="00000000" w:rsidRDefault="00000000">
            <w:pPr>
              <w:pStyle w:val="aa"/>
              <w:spacing w:before="100" w:line="312" w:lineRule="auto"/>
              <w:jc w:val="center"/>
              <w:rPr>
                <w:sz w:val="20"/>
              </w:rPr>
            </w:pPr>
            <w:r>
              <w:rPr>
                <w:sz w:val="20"/>
              </w:rPr>
              <w:t>18 697 449</w:t>
            </w:r>
          </w:p>
        </w:tc>
      </w:tr>
      <w:tr w:rsidR="00000000">
        <w:tblPrEx>
          <w:tblCellMar>
            <w:top w:w="0" w:type="dxa"/>
            <w:bottom w:w="0" w:type="dxa"/>
          </w:tblCellMar>
        </w:tblPrEx>
        <w:tc>
          <w:tcPr>
            <w:tcW w:w="851" w:type="dxa"/>
            <w:tcBorders>
              <w:top w:val="nil"/>
              <w:bottom w:val="nil"/>
            </w:tcBorders>
          </w:tcPr>
          <w:p w:rsidR="00000000" w:rsidRDefault="00000000">
            <w:pPr>
              <w:pStyle w:val="aa"/>
              <w:spacing w:before="100" w:line="312" w:lineRule="auto"/>
              <w:jc w:val="center"/>
            </w:pPr>
            <w:r>
              <w:t>1998</w:t>
            </w:r>
          </w:p>
        </w:tc>
        <w:tc>
          <w:tcPr>
            <w:tcW w:w="1134" w:type="dxa"/>
            <w:tcBorders>
              <w:top w:val="nil"/>
              <w:bottom w:val="nil"/>
            </w:tcBorders>
          </w:tcPr>
          <w:p w:rsidR="00000000" w:rsidRDefault="00000000">
            <w:pPr>
              <w:pStyle w:val="aa"/>
              <w:spacing w:before="100" w:line="312" w:lineRule="auto"/>
              <w:jc w:val="center"/>
              <w:rPr>
                <w:sz w:val="20"/>
              </w:rPr>
            </w:pPr>
            <w:r>
              <w:rPr>
                <w:sz w:val="20"/>
              </w:rPr>
              <w:t>5 407 553</w:t>
            </w:r>
          </w:p>
        </w:tc>
        <w:tc>
          <w:tcPr>
            <w:tcW w:w="1276" w:type="dxa"/>
            <w:tcBorders>
              <w:top w:val="nil"/>
              <w:bottom w:val="nil"/>
            </w:tcBorders>
          </w:tcPr>
          <w:p w:rsidR="00000000" w:rsidRDefault="00000000">
            <w:pPr>
              <w:pStyle w:val="aa"/>
              <w:spacing w:before="100" w:line="312" w:lineRule="auto"/>
              <w:jc w:val="center"/>
              <w:rPr>
                <w:sz w:val="20"/>
              </w:rPr>
            </w:pPr>
            <w:r>
              <w:rPr>
                <w:rFonts w:hint="eastAsia"/>
                <w:sz w:val="20"/>
              </w:rPr>
              <w:t xml:space="preserve"> </w:t>
            </w:r>
            <w:r>
              <w:rPr>
                <w:sz w:val="20"/>
              </w:rPr>
              <w:t>9 747 351</w:t>
            </w:r>
          </w:p>
        </w:tc>
        <w:tc>
          <w:tcPr>
            <w:tcW w:w="1134" w:type="dxa"/>
            <w:tcBorders>
              <w:top w:val="nil"/>
              <w:bottom w:val="nil"/>
            </w:tcBorders>
          </w:tcPr>
          <w:p w:rsidR="00000000" w:rsidRDefault="00000000">
            <w:pPr>
              <w:pStyle w:val="aa"/>
              <w:spacing w:before="100" w:line="312" w:lineRule="auto"/>
              <w:jc w:val="center"/>
              <w:rPr>
                <w:sz w:val="20"/>
              </w:rPr>
            </w:pPr>
            <w:r>
              <w:rPr>
                <w:sz w:val="20"/>
              </w:rPr>
              <w:t>15 154 905</w:t>
            </w:r>
          </w:p>
        </w:tc>
        <w:tc>
          <w:tcPr>
            <w:tcW w:w="1275" w:type="dxa"/>
            <w:tcBorders>
              <w:top w:val="nil"/>
              <w:bottom w:val="nil"/>
            </w:tcBorders>
          </w:tcPr>
          <w:p w:rsidR="00000000" w:rsidRDefault="00000000">
            <w:pPr>
              <w:pStyle w:val="aa"/>
              <w:spacing w:before="100" w:line="312" w:lineRule="auto"/>
              <w:jc w:val="center"/>
              <w:rPr>
                <w:sz w:val="20"/>
              </w:rPr>
            </w:pPr>
            <w:r>
              <w:rPr>
                <w:sz w:val="20"/>
              </w:rPr>
              <w:t>2 898 117</w:t>
            </w:r>
          </w:p>
        </w:tc>
        <w:tc>
          <w:tcPr>
            <w:tcW w:w="1134" w:type="dxa"/>
            <w:tcBorders>
              <w:top w:val="nil"/>
              <w:bottom w:val="nil"/>
            </w:tcBorders>
          </w:tcPr>
          <w:p w:rsidR="00000000" w:rsidRDefault="00000000">
            <w:pPr>
              <w:pStyle w:val="aa"/>
              <w:spacing w:before="100" w:line="312" w:lineRule="auto"/>
              <w:jc w:val="center"/>
              <w:rPr>
                <w:sz w:val="20"/>
              </w:rPr>
            </w:pPr>
            <w:r>
              <w:rPr>
                <w:sz w:val="20"/>
              </w:rPr>
              <w:t>2 259 721</w:t>
            </w:r>
          </w:p>
        </w:tc>
        <w:tc>
          <w:tcPr>
            <w:tcW w:w="1134" w:type="dxa"/>
            <w:tcBorders>
              <w:top w:val="nil"/>
              <w:bottom w:val="nil"/>
            </w:tcBorders>
          </w:tcPr>
          <w:p w:rsidR="00000000" w:rsidRDefault="00000000">
            <w:pPr>
              <w:pStyle w:val="aa"/>
              <w:spacing w:before="100" w:line="312" w:lineRule="auto"/>
              <w:jc w:val="center"/>
              <w:rPr>
                <w:sz w:val="20"/>
              </w:rPr>
            </w:pPr>
            <w:r>
              <w:rPr>
                <w:sz w:val="20"/>
              </w:rPr>
              <w:t>3 157 898</w:t>
            </w:r>
          </w:p>
        </w:tc>
        <w:tc>
          <w:tcPr>
            <w:tcW w:w="1276" w:type="dxa"/>
            <w:tcBorders>
              <w:top w:val="nil"/>
              <w:bottom w:val="nil"/>
            </w:tcBorders>
          </w:tcPr>
          <w:p w:rsidR="00000000" w:rsidRDefault="00000000">
            <w:pPr>
              <w:pStyle w:val="aa"/>
              <w:spacing w:before="100" w:line="312" w:lineRule="auto"/>
              <w:jc w:val="center"/>
              <w:rPr>
                <w:sz w:val="20"/>
              </w:rPr>
            </w:pPr>
            <w:r>
              <w:rPr>
                <w:sz w:val="20"/>
              </w:rPr>
              <w:t>20 312 804</w:t>
            </w:r>
          </w:p>
        </w:tc>
      </w:tr>
      <w:tr w:rsidR="00000000">
        <w:tblPrEx>
          <w:tblCellMar>
            <w:top w:w="0" w:type="dxa"/>
            <w:bottom w:w="0" w:type="dxa"/>
          </w:tblCellMar>
        </w:tblPrEx>
        <w:tc>
          <w:tcPr>
            <w:tcW w:w="851" w:type="dxa"/>
            <w:tcBorders>
              <w:top w:val="nil"/>
              <w:bottom w:val="nil"/>
            </w:tcBorders>
          </w:tcPr>
          <w:p w:rsidR="00000000" w:rsidRDefault="00000000">
            <w:pPr>
              <w:pStyle w:val="aa"/>
              <w:spacing w:before="100" w:line="312" w:lineRule="auto"/>
              <w:jc w:val="center"/>
            </w:pPr>
            <w:r>
              <w:t>1999</w:t>
            </w:r>
          </w:p>
        </w:tc>
        <w:tc>
          <w:tcPr>
            <w:tcW w:w="1134" w:type="dxa"/>
            <w:tcBorders>
              <w:top w:val="nil"/>
              <w:bottom w:val="nil"/>
            </w:tcBorders>
          </w:tcPr>
          <w:p w:rsidR="00000000" w:rsidRDefault="00000000">
            <w:pPr>
              <w:pStyle w:val="aa"/>
              <w:spacing w:before="100" w:line="312" w:lineRule="auto"/>
              <w:jc w:val="center"/>
              <w:rPr>
                <w:sz w:val="20"/>
              </w:rPr>
            </w:pPr>
            <w:r>
              <w:rPr>
                <w:sz w:val="20"/>
              </w:rPr>
              <w:t>6 040 745</w:t>
            </w:r>
          </w:p>
        </w:tc>
        <w:tc>
          <w:tcPr>
            <w:tcW w:w="1276" w:type="dxa"/>
            <w:tcBorders>
              <w:top w:val="nil"/>
              <w:bottom w:val="nil"/>
            </w:tcBorders>
          </w:tcPr>
          <w:p w:rsidR="00000000" w:rsidRDefault="00000000">
            <w:pPr>
              <w:pStyle w:val="aa"/>
              <w:spacing w:before="100" w:line="312" w:lineRule="auto"/>
              <w:jc w:val="center"/>
              <w:rPr>
                <w:sz w:val="20"/>
              </w:rPr>
            </w:pPr>
            <w:r>
              <w:rPr>
                <w:sz w:val="20"/>
              </w:rPr>
              <w:t>10 558 033</w:t>
            </w:r>
          </w:p>
        </w:tc>
        <w:tc>
          <w:tcPr>
            <w:tcW w:w="1134" w:type="dxa"/>
            <w:tcBorders>
              <w:top w:val="nil"/>
              <w:bottom w:val="nil"/>
            </w:tcBorders>
          </w:tcPr>
          <w:p w:rsidR="00000000" w:rsidRDefault="00000000">
            <w:pPr>
              <w:pStyle w:val="aa"/>
              <w:spacing w:before="100" w:line="312" w:lineRule="auto"/>
              <w:jc w:val="center"/>
              <w:rPr>
                <w:sz w:val="20"/>
              </w:rPr>
            </w:pPr>
            <w:r>
              <w:rPr>
                <w:sz w:val="20"/>
              </w:rPr>
              <w:t>16 592 909</w:t>
            </w:r>
          </w:p>
        </w:tc>
        <w:tc>
          <w:tcPr>
            <w:tcW w:w="1275" w:type="dxa"/>
            <w:tcBorders>
              <w:top w:val="nil"/>
              <w:bottom w:val="nil"/>
            </w:tcBorders>
          </w:tcPr>
          <w:p w:rsidR="00000000" w:rsidRDefault="00000000">
            <w:pPr>
              <w:pStyle w:val="aa"/>
              <w:spacing w:before="100" w:line="312" w:lineRule="auto"/>
              <w:jc w:val="center"/>
              <w:rPr>
                <w:sz w:val="20"/>
              </w:rPr>
            </w:pPr>
            <w:r>
              <w:rPr>
                <w:sz w:val="20"/>
              </w:rPr>
              <w:t>2 815 883</w:t>
            </w:r>
          </w:p>
        </w:tc>
        <w:tc>
          <w:tcPr>
            <w:tcW w:w="1134" w:type="dxa"/>
            <w:tcBorders>
              <w:top w:val="nil"/>
              <w:bottom w:val="nil"/>
            </w:tcBorders>
          </w:tcPr>
          <w:p w:rsidR="00000000" w:rsidRDefault="00000000">
            <w:pPr>
              <w:pStyle w:val="aa"/>
              <w:spacing w:before="100" w:line="312" w:lineRule="auto"/>
              <w:jc w:val="center"/>
              <w:rPr>
                <w:sz w:val="20"/>
              </w:rPr>
            </w:pPr>
            <w:r>
              <w:rPr>
                <w:sz w:val="20"/>
              </w:rPr>
              <w:t>2 538 517</w:t>
            </w:r>
          </w:p>
        </w:tc>
        <w:tc>
          <w:tcPr>
            <w:tcW w:w="1134" w:type="dxa"/>
            <w:tcBorders>
              <w:top w:val="nil"/>
              <w:bottom w:val="nil"/>
            </w:tcBorders>
          </w:tcPr>
          <w:p w:rsidR="00000000" w:rsidRDefault="00000000">
            <w:pPr>
              <w:pStyle w:val="aa"/>
              <w:spacing w:before="100" w:line="312" w:lineRule="auto"/>
              <w:jc w:val="center"/>
              <w:rPr>
                <w:sz w:val="20"/>
              </w:rPr>
            </w:pPr>
            <w:r>
              <w:rPr>
                <w:sz w:val="20"/>
              </w:rPr>
              <w:t>5 354 400</w:t>
            </w:r>
          </w:p>
        </w:tc>
        <w:tc>
          <w:tcPr>
            <w:tcW w:w="1276" w:type="dxa"/>
            <w:tcBorders>
              <w:top w:val="nil"/>
              <w:bottom w:val="nil"/>
            </w:tcBorders>
          </w:tcPr>
          <w:p w:rsidR="00000000" w:rsidRDefault="00000000">
            <w:pPr>
              <w:pStyle w:val="aa"/>
              <w:spacing w:before="100" w:line="312" w:lineRule="auto"/>
              <w:jc w:val="center"/>
              <w:rPr>
                <w:sz w:val="20"/>
              </w:rPr>
            </w:pPr>
            <w:r>
              <w:rPr>
                <w:sz w:val="20"/>
              </w:rPr>
              <w:t>21 953 179</w:t>
            </w:r>
          </w:p>
        </w:tc>
      </w:tr>
      <w:tr w:rsidR="00000000">
        <w:tblPrEx>
          <w:tblCellMar>
            <w:top w:w="0" w:type="dxa"/>
            <w:bottom w:w="0" w:type="dxa"/>
          </w:tblCellMar>
        </w:tblPrEx>
        <w:tc>
          <w:tcPr>
            <w:tcW w:w="851" w:type="dxa"/>
            <w:tcBorders>
              <w:top w:val="nil"/>
            </w:tcBorders>
          </w:tcPr>
          <w:p w:rsidR="00000000" w:rsidRDefault="00000000">
            <w:pPr>
              <w:pStyle w:val="aa"/>
              <w:spacing w:before="100" w:line="312" w:lineRule="auto"/>
              <w:jc w:val="center"/>
            </w:pPr>
            <w:r>
              <w:t>2000</w:t>
            </w:r>
          </w:p>
        </w:tc>
        <w:tc>
          <w:tcPr>
            <w:tcW w:w="1134" w:type="dxa"/>
            <w:tcBorders>
              <w:top w:val="nil"/>
            </w:tcBorders>
          </w:tcPr>
          <w:p w:rsidR="00000000" w:rsidRDefault="00000000">
            <w:pPr>
              <w:pStyle w:val="aa"/>
              <w:spacing w:before="100" w:line="312" w:lineRule="auto"/>
              <w:jc w:val="center"/>
              <w:rPr>
                <w:sz w:val="20"/>
              </w:rPr>
            </w:pPr>
            <w:r>
              <w:rPr>
                <w:sz w:val="20"/>
              </w:rPr>
              <w:t>6 503 818</w:t>
            </w:r>
          </w:p>
        </w:tc>
        <w:tc>
          <w:tcPr>
            <w:tcW w:w="1276" w:type="dxa"/>
            <w:tcBorders>
              <w:top w:val="nil"/>
            </w:tcBorders>
          </w:tcPr>
          <w:p w:rsidR="00000000" w:rsidRDefault="00000000">
            <w:pPr>
              <w:pStyle w:val="aa"/>
              <w:spacing w:before="100" w:line="312" w:lineRule="auto"/>
              <w:jc w:val="center"/>
              <w:rPr>
                <w:sz w:val="20"/>
              </w:rPr>
            </w:pPr>
            <w:r>
              <w:rPr>
                <w:sz w:val="20"/>
              </w:rPr>
              <w:t>11 759 788</w:t>
            </w:r>
          </w:p>
        </w:tc>
        <w:tc>
          <w:tcPr>
            <w:tcW w:w="1134" w:type="dxa"/>
            <w:tcBorders>
              <w:top w:val="nil"/>
            </w:tcBorders>
          </w:tcPr>
          <w:p w:rsidR="00000000" w:rsidRDefault="00000000">
            <w:pPr>
              <w:pStyle w:val="aa"/>
              <w:spacing w:before="100" w:line="312" w:lineRule="auto"/>
              <w:jc w:val="center"/>
              <w:rPr>
                <w:sz w:val="20"/>
              </w:rPr>
            </w:pPr>
            <w:r>
              <w:rPr>
                <w:sz w:val="20"/>
              </w:rPr>
              <w:t>18 263 606</w:t>
            </w:r>
          </w:p>
        </w:tc>
        <w:tc>
          <w:tcPr>
            <w:tcW w:w="1275" w:type="dxa"/>
            <w:tcBorders>
              <w:top w:val="nil"/>
            </w:tcBorders>
          </w:tcPr>
          <w:p w:rsidR="00000000" w:rsidRDefault="00000000">
            <w:pPr>
              <w:pStyle w:val="aa"/>
              <w:spacing w:before="100" w:line="312" w:lineRule="auto"/>
              <w:jc w:val="center"/>
              <w:rPr>
                <w:sz w:val="20"/>
              </w:rPr>
            </w:pPr>
            <w:r>
              <w:rPr>
                <w:sz w:val="20"/>
              </w:rPr>
              <w:t>3 100 986</w:t>
            </w:r>
          </w:p>
        </w:tc>
        <w:tc>
          <w:tcPr>
            <w:tcW w:w="1134" w:type="dxa"/>
            <w:tcBorders>
              <w:top w:val="nil"/>
            </w:tcBorders>
          </w:tcPr>
          <w:p w:rsidR="00000000" w:rsidRDefault="00000000">
            <w:pPr>
              <w:pStyle w:val="aa"/>
              <w:spacing w:before="100" w:line="312" w:lineRule="auto"/>
              <w:jc w:val="center"/>
              <w:rPr>
                <w:sz w:val="20"/>
              </w:rPr>
            </w:pPr>
            <w:r>
              <w:rPr>
                <w:sz w:val="20"/>
              </w:rPr>
              <w:t>2 743 947</w:t>
            </w:r>
          </w:p>
        </w:tc>
        <w:tc>
          <w:tcPr>
            <w:tcW w:w="1134" w:type="dxa"/>
            <w:tcBorders>
              <w:top w:val="nil"/>
            </w:tcBorders>
          </w:tcPr>
          <w:p w:rsidR="00000000" w:rsidRDefault="00000000">
            <w:pPr>
              <w:pStyle w:val="aa"/>
              <w:spacing w:before="100" w:line="312" w:lineRule="auto"/>
              <w:jc w:val="center"/>
              <w:rPr>
                <w:sz w:val="20"/>
              </w:rPr>
            </w:pPr>
            <w:r>
              <w:rPr>
                <w:sz w:val="20"/>
              </w:rPr>
              <w:t>5 844 933</w:t>
            </w:r>
          </w:p>
        </w:tc>
        <w:tc>
          <w:tcPr>
            <w:tcW w:w="1276" w:type="dxa"/>
            <w:tcBorders>
              <w:top w:val="nil"/>
            </w:tcBorders>
          </w:tcPr>
          <w:p w:rsidR="00000000" w:rsidRDefault="00000000">
            <w:pPr>
              <w:pStyle w:val="aa"/>
              <w:spacing w:before="100" w:line="312" w:lineRule="auto"/>
              <w:jc w:val="center"/>
              <w:rPr>
                <w:sz w:val="20"/>
              </w:rPr>
            </w:pPr>
            <w:r>
              <w:rPr>
                <w:sz w:val="20"/>
              </w:rPr>
              <w:t>24 108 593</w:t>
            </w:r>
          </w:p>
        </w:tc>
      </w:tr>
    </w:tbl>
    <w:p w:rsidR="00000000" w:rsidRDefault="00000000">
      <w:pPr>
        <w:spacing w:before="160" w:line="240" w:lineRule="auto"/>
        <w:rPr>
          <w:rFonts w:eastAsia="KaiTi_GB2312" w:hint="eastAsia"/>
          <w:snapToGrid/>
          <w:spacing w:val="0"/>
          <w:sz w:val="22"/>
          <w:u w:val="single"/>
        </w:rPr>
      </w:pPr>
      <w:r>
        <w:rPr>
          <w:rFonts w:eastAsia="KaiTi_GB2312" w:hint="eastAsia"/>
          <w:snapToGrid/>
          <w:spacing w:val="0"/>
          <w:sz w:val="22"/>
        </w:rPr>
        <w:tab/>
      </w:r>
      <w:r>
        <w:rPr>
          <w:rFonts w:eastAsia="KaiTi_GB2312" w:hint="eastAsia"/>
          <w:snapToGrid/>
          <w:spacing w:val="0"/>
          <w:sz w:val="22"/>
          <w:u w:val="single"/>
        </w:rPr>
        <w:t>来</w:t>
      </w:r>
      <w:r>
        <w:rPr>
          <w:rFonts w:eastAsia="KaiTi_GB2312" w:hint="eastAsia"/>
          <w:snapToGrid/>
          <w:spacing w:val="0"/>
          <w:sz w:val="22"/>
          <w:u w:val="single"/>
        </w:rPr>
        <w:t xml:space="preserve">  </w:t>
      </w:r>
      <w:r>
        <w:rPr>
          <w:rFonts w:eastAsia="KaiTi_GB2312" w:hint="eastAsia"/>
          <w:snapToGrid/>
          <w:spacing w:val="0"/>
          <w:sz w:val="22"/>
          <w:u w:val="single"/>
        </w:rPr>
        <w:t>源</w:t>
      </w:r>
      <w:r>
        <w:rPr>
          <w:rFonts w:eastAsia="KaiTi_GB2312" w:hint="eastAsia"/>
          <w:snapToGrid/>
          <w:spacing w:val="0"/>
          <w:sz w:val="22"/>
        </w:rPr>
        <w:t>：</w:t>
      </w:r>
      <w:r>
        <w:rPr>
          <w:rFonts w:eastAsia="KaiTi_GB2312"/>
          <w:snapToGrid/>
          <w:spacing w:val="0"/>
          <w:sz w:val="22"/>
        </w:rPr>
        <w:tab/>
      </w:r>
      <w:r>
        <w:rPr>
          <w:rFonts w:eastAsia="KaiTi_GB2312" w:hint="eastAsia"/>
          <w:snapToGrid/>
          <w:spacing w:val="0"/>
          <w:sz w:val="22"/>
        </w:rPr>
        <w:t>1.</w:t>
      </w:r>
      <w:r>
        <w:rPr>
          <w:rFonts w:eastAsia="KaiTi_GB2312" w:hint="eastAsia"/>
          <w:snapToGrid/>
          <w:spacing w:val="0"/>
          <w:sz w:val="22"/>
        </w:rPr>
        <w:tab/>
      </w:r>
      <w:r>
        <w:rPr>
          <w:rFonts w:eastAsia="KaiTi_GB2312" w:hint="eastAsia"/>
          <w:snapToGrid/>
          <w:spacing w:val="0"/>
          <w:sz w:val="22"/>
        </w:rPr>
        <w:t>社会预算，劳工和社会安全部。</w:t>
      </w:r>
    </w:p>
    <w:p w:rsidR="00000000" w:rsidRDefault="00000000">
      <w:pPr>
        <w:spacing w:line="240" w:lineRule="auto"/>
        <w:rPr>
          <w:rFonts w:eastAsia="KaiTi_GB2312" w:hint="eastAsia"/>
          <w:snapToGrid/>
          <w:spacing w:val="0"/>
          <w:sz w:val="22"/>
        </w:rPr>
      </w:pPr>
      <w:r>
        <w:rPr>
          <w:rFonts w:eastAsia="KaiTi_GB2312" w:hint="eastAsia"/>
          <w:snapToGrid/>
          <w:spacing w:val="0"/>
          <w:sz w:val="22"/>
        </w:rPr>
        <w:tab/>
      </w:r>
      <w:r>
        <w:rPr>
          <w:rFonts w:eastAsia="KaiTi_GB2312" w:hint="eastAsia"/>
          <w:snapToGrid/>
          <w:spacing w:val="0"/>
          <w:sz w:val="22"/>
        </w:rPr>
        <w:tab/>
      </w:r>
      <w:r>
        <w:rPr>
          <w:rFonts w:eastAsia="KaiTi_GB2312" w:hint="eastAsia"/>
          <w:snapToGrid/>
          <w:spacing w:val="0"/>
          <w:sz w:val="22"/>
        </w:rPr>
        <w:tab/>
        <w:t>2.</w:t>
      </w:r>
      <w:r>
        <w:rPr>
          <w:rFonts w:eastAsia="KaiTi_GB2312" w:hint="eastAsia"/>
          <w:snapToGrid/>
          <w:spacing w:val="0"/>
          <w:sz w:val="22"/>
        </w:rPr>
        <w:tab/>
      </w:r>
      <w:r>
        <w:rPr>
          <w:rFonts w:eastAsia="KaiTi_GB2312" w:hint="eastAsia"/>
          <w:snapToGrid/>
          <w:spacing w:val="0"/>
          <w:sz w:val="22"/>
        </w:rPr>
        <w:t>“希腊的卫生”，卫生和福利部。</w:t>
      </w:r>
    </w:p>
    <w:p w:rsidR="00000000" w:rsidRDefault="00000000">
      <w:pPr>
        <w:spacing w:line="240" w:lineRule="auto"/>
        <w:rPr>
          <w:rFonts w:eastAsia="KaiTi_GB2312"/>
          <w:snapToGrid/>
          <w:spacing w:val="0"/>
          <w:sz w:val="22"/>
        </w:rPr>
      </w:pPr>
      <w:r>
        <w:rPr>
          <w:rFonts w:eastAsia="KaiTi_GB2312" w:hint="eastAsia"/>
          <w:snapToGrid/>
          <w:spacing w:val="0"/>
          <w:sz w:val="22"/>
        </w:rPr>
        <w:tab/>
      </w:r>
      <w:r>
        <w:rPr>
          <w:rFonts w:eastAsia="KaiTi_GB2312" w:hint="eastAsia"/>
          <w:snapToGrid/>
          <w:spacing w:val="0"/>
          <w:sz w:val="22"/>
        </w:rPr>
        <w:tab/>
      </w:r>
      <w:r>
        <w:rPr>
          <w:rFonts w:eastAsia="KaiTi_GB2312" w:hint="eastAsia"/>
          <w:snapToGrid/>
          <w:spacing w:val="0"/>
          <w:sz w:val="22"/>
        </w:rPr>
        <w:tab/>
        <w:t>3.</w:t>
      </w:r>
      <w:r>
        <w:rPr>
          <w:rFonts w:eastAsia="KaiTi_GB2312" w:hint="eastAsia"/>
          <w:snapToGrid/>
          <w:spacing w:val="0"/>
          <w:sz w:val="22"/>
        </w:rPr>
        <w:tab/>
      </w:r>
      <w:r>
        <w:rPr>
          <w:rFonts w:eastAsia="KaiTi_GB2312" w:hint="eastAsia"/>
          <w:snapToGrid/>
          <w:spacing w:val="0"/>
          <w:sz w:val="22"/>
        </w:rPr>
        <w:t>国家统计局。</w:t>
      </w:r>
    </w:p>
    <w:p w:rsidR="00000000" w:rsidRDefault="00000000">
      <w:pPr>
        <w:rPr>
          <w:rFonts w:hint="eastAsia"/>
        </w:rPr>
      </w:pPr>
      <w:r>
        <w:rPr>
          <w:rFonts w:hint="eastAsia"/>
        </w:rPr>
        <w:tab/>
        <w:t xml:space="preserve">479.  </w:t>
      </w:r>
      <w:r>
        <w:rPr>
          <w:rFonts w:hint="eastAsia"/>
        </w:rPr>
        <w:t>国家的卫生预算支出分为以下三类：</w:t>
      </w:r>
    </w:p>
    <w:p w:rsidR="00000000" w:rsidRDefault="00000000">
      <w:pPr>
        <w:pStyle w:val="a0"/>
        <w:ind w:left="1550"/>
        <w:rPr>
          <w:rFonts w:hint="eastAsia"/>
        </w:rPr>
      </w:pPr>
      <w:r>
        <w:rPr>
          <w:rFonts w:hint="eastAsia"/>
        </w:rPr>
        <w:t>64%</w:t>
      </w:r>
      <w:r>
        <w:rPr>
          <w:rFonts w:hint="eastAsia"/>
        </w:rPr>
        <w:t>用于公共卫生；</w:t>
      </w:r>
    </w:p>
    <w:p w:rsidR="00000000" w:rsidRDefault="00000000">
      <w:pPr>
        <w:pStyle w:val="a0"/>
        <w:ind w:left="1550"/>
        <w:rPr>
          <w:rFonts w:hint="eastAsia"/>
        </w:rPr>
      </w:pPr>
      <w:r>
        <w:rPr>
          <w:rFonts w:hint="eastAsia"/>
        </w:rPr>
        <w:t>22%</w:t>
      </w:r>
      <w:r>
        <w:rPr>
          <w:rFonts w:hint="eastAsia"/>
        </w:rPr>
        <w:t>用于药物治疗；和</w:t>
      </w:r>
    </w:p>
    <w:p w:rsidR="00000000" w:rsidRDefault="00000000">
      <w:pPr>
        <w:pStyle w:val="a0"/>
        <w:ind w:left="1550"/>
        <w:rPr>
          <w:rFonts w:hint="eastAsia"/>
        </w:rPr>
      </w:pPr>
      <w:r>
        <w:rPr>
          <w:rFonts w:hint="eastAsia"/>
        </w:rPr>
        <w:t>14%</w:t>
      </w:r>
      <w:r>
        <w:rPr>
          <w:rFonts w:hint="eastAsia"/>
        </w:rPr>
        <w:t>涉及初级卫生保健。</w:t>
      </w:r>
    </w:p>
    <w:p w:rsidR="00000000" w:rsidRDefault="00000000">
      <w:pPr>
        <w:rPr>
          <w:rFonts w:hint="eastAsia"/>
        </w:rPr>
      </w:pPr>
      <w:r>
        <w:rPr>
          <w:rFonts w:hint="eastAsia"/>
        </w:rPr>
        <w:t>卫生支出包括：</w:t>
      </w:r>
    </w:p>
    <w:p w:rsidR="00000000" w:rsidRDefault="00000000">
      <w:pPr>
        <w:pStyle w:val="a0"/>
        <w:tabs>
          <w:tab w:val="num" w:pos="1550"/>
        </w:tabs>
        <w:ind w:left="1550"/>
        <w:rPr>
          <w:rFonts w:hint="eastAsia"/>
        </w:rPr>
      </w:pPr>
      <w:r>
        <w:rPr>
          <w:rFonts w:hint="eastAsia"/>
        </w:rPr>
        <w:t>公共卫生服务的消费；</w:t>
      </w:r>
    </w:p>
    <w:p w:rsidR="00000000" w:rsidRDefault="00000000">
      <w:pPr>
        <w:pStyle w:val="a0"/>
        <w:tabs>
          <w:tab w:val="num" w:pos="1550"/>
        </w:tabs>
        <w:ind w:left="1550"/>
        <w:rPr>
          <w:rFonts w:hint="eastAsia"/>
        </w:rPr>
      </w:pPr>
      <w:r>
        <w:rPr>
          <w:rFonts w:hint="eastAsia"/>
        </w:rPr>
        <w:t>家庭对私人卫生服务的消费；</w:t>
      </w:r>
    </w:p>
    <w:p w:rsidR="00000000" w:rsidRDefault="00000000">
      <w:pPr>
        <w:pStyle w:val="a0"/>
        <w:tabs>
          <w:tab w:val="num" w:pos="1550"/>
        </w:tabs>
        <w:ind w:left="1550"/>
        <w:rPr>
          <w:rFonts w:hint="eastAsia"/>
        </w:rPr>
      </w:pPr>
      <w:r>
        <w:rPr>
          <w:rFonts w:hint="eastAsia"/>
        </w:rPr>
        <w:t>保险基金的卫生津贴；和</w:t>
      </w:r>
    </w:p>
    <w:p w:rsidR="00000000" w:rsidRDefault="00000000">
      <w:pPr>
        <w:pStyle w:val="a0"/>
        <w:tabs>
          <w:tab w:val="num" w:pos="1550"/>
        </w:tabs>
        <w:ind w:left="1550"/>
        <w:rPr>
          <w:rFonts w:hint="eastAsia"/>
        </w:rPr>
      </w:pPr>
      <w:r>
        <w:rPr>
          <w:rFonts w:hint="eastAsia"/>
        </w:rPr>
        <w:t>在公共和私人卫生方面的投资。</w:t>
      </w:r>
    </w:p>
    <w:p w:rsidR="00000000" w:rsidRDefault="00000000">
      <w:pPr>
        <w:rPr>
          <w:rFonts w:hint="eastAsia"/>
        </w:rPr>
      </w:pPr>
      <w:r>
        <w:rPr>
          <w:rFonts w:hint="eastAsia"/>
        </w:rPr>
        <w:tab/>
        <w:t xml:space="preserve">480.  </w:t>
      </w:r>
      <w:r>
        <w:rPr>
          <w:rFonts w:hint="eastAsia"/>
        </w:rPr>
        <w:t>在头</w:t>
      </w:r>
      <w:r>
        <w:rPr>
          <w:rFonts w:hint="eastAsia"/>
        </w:rPr>
        <w:t>5</w:t>
      </w:r>
      <w:r>
        <w:rPr>
          <w:rFonts w:hint="eastAsia"/>
        </w:rPr>
        <w:t>年里</w:t>
      </w:r>
      <w:r>
        <w:rPr>
          <w:rFonts w:hint="eastAsia"/>
        </w:rPr>
        <w:t>(1988-1992</w:t>
      </w:r>
      <w:r>
        <w:rPr>
          <w:rFonts w:hint="eastAsia"/>
        </w:rPr>
        <w:t>年</w:t>
      </w:r>
      <w:r>
        <w:rPr>
          <w:rFonts w:hint="eastAsia"/>
        </w:rPr>
        <w:t>)</w:t>
      </w:r>
      <w:r>
        <w:rPr>
          <w:rFonts w:hint="eastAsia"/>
        </w:rPr>
        <w:t>，用于卫生的支出占国民生产总值的百分比在</w:t>
      </w:r>
      <w:r>
        <w:rPr>
          <w:rFonts w:hint="eastAsia"/>
        </w:rPr>
        <w:t>6.24%</w:t>
      </w:r>
      <w:r>
        <w:rPr>
          <w:rFonts w:hint="eastAsia"/>
        </w:rPr>
        <w:t>至</w:t>
      </w:r>
      <w:r>
        <w:rPr>
          <w:rFonts w:hint="eastAsia"/>
        </w:rPr>
        <w:t>7.31%</w:t>
      </w:r>
      <w:r>
        <w:rPr>
          <w:rFonts w:hint="eastAsia"/>
        </w:rPr>
        <w:t>之间浮动，之后的</w:t>
      </w:r>
      <w:r>
        <w:rPr>
          <w:rFonts w:hint="eastAsia"/>
        </w:rPr>
        <w:t>5</w:t>
      </w:r>
      <w:r>
        <w:rPr>
          <w:rFonts w:hint="eastAsia"/>
        </w:rPr>
        <w:t>年</w:t>
      </w:r>
      <w:r>
        <w:rPr>
          <w:rFonts w:hint="eastAsia"/>
        </w:rPr>
        <w:t>(1993-1997</w:t>
      </w:r>
      <w:r>
        <w:rPr>
          <w:rFonts w:hint="eastAsia"/>
        </w:rPr>
        <w:t>年</w:t>
      </w:r>
      <w:r>
        <w:rPr>
          <w:rFonts w:hint="eastAsia"/>
        </w:rPr>
        <w:t>)</w:t>
      </w:r>
      <w:r>
        <w:rPr>
          <w:rFonts w:hint="eastAsia"/>
        </w:rPr>
        <w:t>上升到</w:t>
      </w:r>
      <w:r>
        <w:rPr>
          <w:rFonts w:hint="eastAsia"/>
        </w:rPr>
        <w:t>8.17%</w:t>
      </w:r>
      <w:r>
        <w:rPr>
          <w:rFonts w:hint="eastAsia"/>
        </w:rPr>
        <w:t>至</w:t>
      </w:r>
      <w:r>
        <w:rPr>
          <w:rFonts w:hint="eastAsia"/>
        </w:rPr>
        <w:t>8.99%</w:t>
      </w:r>
      <w:r>
        <w:rPr>
          <w:rFonts w:hint="eastAsia"/>
        </w:rPr>
        <w:t>，增加</w:t>
      </w:r>
      <w:r>
        <w:rPr>
          <w:rFonts w:hint="eastAsia"/>
        </w:rPr>
        <w:t>2%</w:t>
      </w:r>
      <w:r>
        <w:rPr>
          <w:rFonts w:hint="eastAsia"/>
        </w:rPr>
        <w:t>。</w:t>
      </w:r>
    </w:p>
    <w:p w:rsidR="00000000" w:rsidRDefault="00000000">
      <w:pPr>
        <w:rPr>
          <w:rFonts w:hint="eastAsia"/>
        </w:rPr>
      </w:pPr>
      <w:r>
        <w:rPr>
          <w:rFonts w:hint="eastAsia"/>
        </w:rPr>
        <w:tab/>
        <w:t xml:space="preserve">481.  </w:t>
      </w:r>
      <w:r>
        <w:rPr>
          <w:rFonts w:hint="eastAsia"/>
        </w:rPr>
        <w:t>希腊的婴儿死亡率近年来大幅度下降。根据经合组织的数字，从</w:t>
      </w:r>
      <w:r>
        <w:rPr>
          <w:rFonts w:hint="eastAsia"/>
        </w:rPr>
        <w:t>1990</w:t>
      </w:r>
      <w:r>
        <w:rPr>
          <w:rFonts w:hint="eastAsia"/>
        </w:rPr>
        <w:t>年的</w:t>
      </w:r>
      <w:r>
        <w:rPr>
          <w:rFonts w:hint="eastAsia"/>
        </w:rPr>
        <w:t>9.7%</w:t>
      </w:r>
      <w:r>
        <w:rPr>
          <w:rFonts w:hint="eastAsia"/>
        </w:rPr>
        <w:t>逐渐下降到</w:t>
      </w:r>
      <w:r>
        <w:rPr>
          <w:rFonts w:hint="eastAsia"/>
        </w:rPr>
        <w:t>1997</w:t>
      </w:r>
      <w:r>
        <w:rPr>
          <w:rFonts w:hint="eastAsia"/>
        </w:rPr>
        <w:t>年的</w:t>
      </w:r>
      <w:r>
        <w:rPr>
          <w:rFonts w:hint="eastAsia"/>
        </w:rPr>
        <w:t>6.4%</w:t>
      </w:r>
      <w:r>
        <w:rPr>
          <w:rFonts w:hint="eastAsia"/>
        </w:rPr>
        <w:t>。这个数字在不同地区有上有下：色雷斯的婴儿死亡率在希腊是最高的</w:t>
      </w:r>
      <w:r>
        <w:rPr>
          <w:rFonts w:hint="eastAsia"/>
        </w:rPr>
        <w:t>(10.76%)</w:t>
      </w:r>
      <w:r>
        <w:rPr>
          <w:rFonts w:hint="eastAsia"/>
        </w:rPr>
        <w:t>，高于平均数，接下来是塞萨利亚</w:t>
      </w:r>
      <w:r>
        <w:rPr>
          <w:rFonts w:hint="eastAsia"/>
        </w:rPr>
        <w:t>(8.8%)</w:t>
      </w:r>
      <w:r>
        <w:rPr>
          <w:rFonts w:hint="eastAsia"/>
        </w:rPr>
        <w:t>和克里特</w:t>
      </w:r>
      <w:r>
        <w:rPr>
          <w:rFonts w:hint="eastAsia"/>
        </w:rPr>
        <w:t>(8.36%)</w:t>
      </w:r>
      <w:r>
        <w:rPr>
          <w:rFonts w:hint="eastAsia"/>
        </w:rPr>
        <w:t>。</w:t>
      </w:r>
    </w:p>
    <w:p w:rsidR="00000000" w:rsidRDefault="00000000">
      <w:pPr>
        <w:rPr>
          <w:rFonts w:hint="eastAsia"/>
        </w:rPr>
      </w:pPr>
      <w:r>
        <w:rPr>
          <w:rFonts w:hint="eastAsia"/>
        </w:rPr>
        <w:tab/>
        <w:t xml:space="preserve">482.  </w:t>
      </w:r>
      <w:r>
        <w:rPr>
          <w:rFonts w:hint="eastAsia"/>
        </w:rPr>
        <w:t>在马其顿和伯罗奔尼撒，婴儿死亡率分别是</w:t>
      </w:r>
      <w:r>
        <w:rPr>
          <w:rFonts w:hint="eastAsia"/>
        </w:rPr>
        <w:t>7.59%</w:t>
      </w:r>
      <w:r>
        <w:rPr>
          <w:rFonts w:hint="eastAsia"/>
        </w:rPr>
        <w:t>和</w:t>
      </w:r>
      <w:r>
        <w:rPr>
          <w:rFonts w:hint="eastAsia"/>
        </w:rPr>
        <w:t>7.22%</w:t>
      </w:r>
      <w:r>
        <w:rPr>
          <w:rFonts w:hint="eastAsia"/>
        </w:rPr>
        <w:t>，而雅典是</w:t>
      </w:r>
      <w:r>
        <w:rPr>
          <w:rFonts w:hint="eastAsia"/>
        </w:rPr>
        <w:t>6.91%</w:t>
      </w:r>
      <w:r>
        <w:rPr>
          <w:rFonts w:hint="eastAsia"/>
        </w:rPr>
        <w:t>，中希腊和</w:t>
      </w:r>
      <w:r>
        <w:t xml:space="preserve">Evia </w:t>
      </w:r>
      <w:r>
        <w:rPr>
          <w:rFonts w:hint="eastAsia"/>
        </w:rPr>
        <w:t>6.87%</w:t>
      </w:r>
      <w:r>
        <w:rPr>
          <w:rFonts w:hint="eastAsia"/>
        </w:rPr>
        <w:t>，爱琴岛和伊奥尼亚群岛最低，为</w:t>
      </w:r>
      <w:r>
        <w:rPr>
          <w:rFonts w:hint="eastAsia"/>
        </w:rPr>
        <w:t>4.21%</w:t>
      </w:r>
      <w:r>
        <w:rPr>
          <w:rFonts w:hint="eastAsia"/>
        </w:rPr>
        <w:t>和</w:t>
      </w:r>
      <w:r>
        <w:rPr>
          <w:rFonts w:hint="eastAsia"/>
        </w:rPr>
        <w:t>3.8%</w:t>
      </w:r>
      <w:r>
        <w:rPr>
          <w:rFonts w:hint="eastAsia"/>
        </w:rPr>
        <w:t>。这种差异可归因于上述地区的社会经济差异。</w:t>
      </w:r>
    </w:p>
    <w:p w:rsidR="00000000" w:rsidRDefault="00000000">
      <w:pPr>
        <w:rPr>
          <w:rFonts w:hint="eastAsia"/>
        </w:rPr>
      </w:pPr>
      <w:r>
        <w:rPr>
          <w:rFonts w:hint="eastAsia"/>
        </w:rPr>
        <w:tab/>
        <w:t xml:space="preserve">483.  </w:t>
      </w:r>
      <w:r>
        <w:rPr>
          <w:rFonts w:hint="eastAsia"/>
        </w:rPr>
        <w:t>对上述地区的国民生产总值和就业率进行比较，无法得出这两个指数与婴儿死亡率无关的结论。因此，还必须找出其他原因，说明婴儿死亡率百分比的理由。有些地区还有其他参数，如教育水平、得到卫生服务的条件、人口的地域分布等</w:t>
      </w:r>
      <w:r>
        <w:rPr>
          <w:rFonts w:hint="eastAsia"/>
        </w:rPr>
        <w:t>(</w:t>
      </w:r>
      <w:r>
        <w:rPr>
          <w:rFonts w:hint="eastAsia"/>
        </w:rPr>
        <w:t>城市、城乡结合和农村地区</w:t>
      </w:r>
      <w:r>
        <w:rPr>
          <w:rFonts w:hint="eastAsia"/>
        </w:rPr>
        <w:t>)</w:t>
      </w:r>
      <w:r>
        <w:rPr>
          <w:rFonts w:hint="eastAsia"/>
        </w:rPr>
        <w:t>。</w:t>
      </w:r>
    </w:p>
    <w:p w:rsidR="00000000" w:rsidRDefault="00000000">
      <w:pPr>
        <w:rPr>
          <w:rFonts w:hint="eastAsia"/>
        </w:rPr>
      </w:pPr>
      <w:r>
        <w:rPr>
          <w:rFonts w:hint="eastAsia"/>
        </w:rPr>
        <w:tab/>
        <w:t xml:space="preserve">484.  </w:t>
      </w:r>
      <w:r>
        <w:rPr>
          <w:rFonts w:hint="eastAsia"/>
        </w:rPr>
        <w:t>仔细分析婴儿死亡率按人口群体和地理区域的差异，可以得出结论，所有农村地区的婴儿死亡率</w:t>
      </w:r>
      <w:r>
        <w:rPr>
          <w:rFonts w:hint="eastAsia"/>
        </w:rPr>
        <w:t>(8.54%)</w:t>
      </w:r>
      <w:r>
        <w:rPr>
          <w:rFonts w:hint="eastAsia"/>
        </w:rPr>
        <w:t>与城市人口</w:t>
      </w:r>
      <w:r>
        <w:rPr>
          <w:rFonts w:hint="eastAsia"/>
        </w:rPr>
        <w:t>(6.97%)</w:t>
      </w:r>
      <w:r>
        <w:rPr>
          <w:rFonts w:hint="eastAsia"/>
        </w:rPr>
        <w:t>和城乡结合地区的人口</w:t>
      </w:r>
      <w:r>
        <w:rPr>
          <w:rFonts w:hint="eastAsia"/>
        </w:rPr>
        <w:t>(6.75%)</w:t>
      </w:r>
      <w:r>
        <w:rPr>
          <w:rFonts w:hint="eastAsia"/>
        </w:rPr>
        <w:t>相比都是最低的，塞萨利亚和爱琴岛除外。结果，估计希腊的婴儿死亡率为</w:t>
      </w:r>
      <w:r>
        <w:rPr>
          <w:rFonts w:hint="eastAsia"/>
        </w:rPr>
        <w:t>7.3%</w:t>
      </w:r>
      <w:r>
        <w:rPr>
          <w:rFonts w:hint="eastAsia"/>
        </w:rPr>
        <w:t>，出生前死亡率</w:t>
      </w:r>
      <w:r>
        <w:rPr>
          <w:rFonts w:hint="eastAsia"/>
        </w:rPr>
        <w:t>9.6%</w:t>
      </w:r>
      <w:r>
        <w:rPr>
          <w:rFonts w:hint="eastAsia"/>
        </w:rPr>
        <w:t>。</w:t>
      </w:r>
    </w:p>
    <w:p w:rsidR="00000000" w:rsidRDefault="00000000">
      <w:pPr>
        <w:rPr>
          <w:rFonts w:hint="eastAsia"/>
        </w:rPr>
      </w:pPr>
      <w:r>
        <w:rPr>
          <w:rFonts w:hint="eastAsia"/>
        </w:rPr>
        <w:tab/>
        <w:t>485.  1990</w:t>
      </w:r>
      <w:r>
        <w:rPr>
          <w:rFonts w:hint="eastAsia"/>
        </w:rPr>
        <w:t>年代，婴儿死亡率的降低要好于出生前死亡率。这可归因于婴儿死亡率与希腊人社会经济水准的提高有密切关系，而出生前死亡率的降低不仅与社会经济进步有关，而且还涉及到建立更加专门化的出生前保健机构和预防性控制高危怀孕，以及临产产妇和新生婴儿转院制度的改进。</w:t>
      </w:r>
    </w:p>
    <w:p w:rsidR="00000000" w:rsidRDefault="00000000">
      <w:pPr>
        <w:rPr>
          <w:rFonts w:hint="eastAsia"/>
        </w:rPr>
      </w:pPr>
      <w:r>
        <w:rPr>
          <w:rFonts w:hint="eastAsia"/>
        </w:rPr>
        <w:tab/>
        <w:t xml:space="preserve">486.  </w:t>
      </w:r>
      <w:r>
        <w:rPr>
          <w:rFonts w:hint="eastAsia"/>
        </w:rPr>
        <w:t>应当指出，从</w:t>
      </w:r>
      <w:r>
        <w:rPr>
          <w:rFonts w:hint="eastAsia"/>
        </w:rPr>
        <w:t>1981</w:t>
      </w:r>
      <w:r>
        <w:rPr>
          <w:rFonts w:hint="eastAsia"/>
        </w:rPr>
        <w:t>至</w:t>
      </w:r>
      <w:r>
        <w:rPr>
          <w:rFonts w:hint="eastAsia"/>
        </w:rPr>
        <w:t>1992</w:t>
      </w:r>
      <w:r>
        <w:rPr>
          <w:rFonts w:hint="eastAsia"/>
        </w:rPr>
        <w:t>年，婴儿死亡率大幅度下降</w:t>
      </w:r>
      <w:r>
        <w:rPr>
          <w:rFonts w:hint="eastAsia"/>
        </w:rPr>
        <w:t>50%</w:t>
      </w:r>
      <w:r>
        <w:rPr>
          <w:rFonts w:hint="eastAsia"/>
        </w:rPr>
        <w:t>以上。这个下降幅度是在这段时间里所有欧洲国家降幅最高的。</w:t>
      </w:r>
    </w:p>
    <w:p w:rsidR="00000000" w:rsidRDefault="00000000">
      <w:pPr>
        <w:rPr>
          <w:rFonts w:hint="eastAsia"/>
        </w:rPr>
      </w:pPr>
      <w:r>
        <w:rPr>
          <w:rFonts w:hint="eastAsia"/>
        </w:rPr>
        <w:tab/>
        <w:t xml:space="preserve">487.  </w:t>
      </w:r>
      <w:r>
        <w:rPr>
          <w:rFonts w:hint="eastAsia"/>
        </w:rPr>
        <w:t>关于上一次人口普查，希腊人口为</w:t>
      </w:r>
      <w:r>
        <w:rPr>
          <w:rFonts w:hint="eastAsia"/>
        </w:rPr>
        <w:t>10,500,000(</w:t>
      </w:r>
      <w:r>
        <w:rPr>
          <w:rFonts w:hint="eastAsia"/>
        </w:rPr>
        <w:t>城市</w:t>
      </w:r>
      <w:r>
        <w:rPr>
          <w:rFonts w:hint="eastAsia"/>
        </w:rPr>
        <w:t xml:space="preserve">6,000,000, </w:t>
      </w:r>
      <w:r>
        <w:rPr>
          <w:rFonts w:hint="eastAsia"/>
        </w:rPr>
        <w:t>农村</w:t>
      </w:r>
      <w:r>
        <w:rPr>
          <w:rFonts w:hint="eastAsia"/>
        </w:rPr>
        <w:t xml:space="preserve">2,910,466, </w:t>
      </w:r>
      <w:r>
        <w:rPr>
          <w:rFonts w:hint="eastAsia"/>
        </w:rPr>
        <w:t>其余为城乡结合地区人口</w:t>
      </w:r>
      <w:r>
        <w:rPr>
          <w:rFonts w:hint="eastAsia"/>
        </w:rPr>
        <w:t>)</w:t>
      </w:r>
      <w:r>
        <w:rPr>
          <w:rFonts w:hint="eastAsia"/>
        </w:rPr>
        <w:t>。在获得安全用水方面，</w:t>
      </w:r>
      <w:r>
        <w:rPr>
          <w:rFonts w:hint="eastAsia"/>
        </w:rPr>
        <w:t>100%</w:t>
      </w:r>
      <w:r>
        <w:rPr>
          <w:rFonts w:hint="eastAsia"/>
        </w:rPr>
        <w:t>的城市人口和</w:t>
      </w:r>
      <w:r>
        <w:rPr>
          <w:rFonts w:hint="eastAsia"/>
        </w:rPr>
        <w:t>62%</w:t>
      </w:r>
      <w:r>
        <w:rPr>
          <w:rFonts w:hint="eastAsia"/>
        </w:rPr>
        <w:t>的其余人口可得到管道系统供水，其余的也可得到其它类似方式的供水，如引水道等。</w:t>
      </w:r>
    </w:p>
    <w:p w:rsidR="00000000" w:rsidRDefault="00000000">
      <w:pPr>
        <w:pStyle w:val="Heading3"/>
        <w:spacing w:after="160"/>
        <w:rPr>
          <w:rFonts w:hint="eastAsia"/>
          <w:sz w:val="22"/>
        </w:rPr>
      </w:pPr>
      <w:r>
        <w:rPr>
          <w:rFonts w:hint="eastAsia"/>
          <w:sz w:val="22"/>
        </w:rPr>
        <w:t>表</w:t>
      </w:r>
      <w:r>
        <w:rPr>
          <w:rFonts w:hint="eastAsia"/>
          <w:sz w:val="22"/>
        </w:rPr>
        <w:t xml:space="preserve">  17</w:t>
      </w:r>
    </w:p>
    <w:p w:rsidR="00000000" w:rsidRDefault="00000000">
      <w:pPr>
        <w:pStyle w:val="Heading3"/>
        <w:spacing w:after="160"/>
        <w:rPr>
          <w:rFonts w:hint="eastAsia"/>
          <w:sz w:val="22"/>
        </w:rPr>
      </w:pPr>
      <w:r>
        <w:rPr>
          <w:rFonts w:hint="eastAsia"/>
          <w:sz w:val="22"/>
        </w:rPr>
        <w:t>享有适当排泄物处理设施的情况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255"/>
        <w:gridCol w:w="1296"/>
        <w:gridCol w:w="1104"/>
        <w:gridCol w:w="1306"/>
        <w:gridCol w:w="1214"/>
        <w:gridCol w:w="1196"/>
      </w:tblGrid>
      <w:tr w:rsidR="00000000">
        <w:tblPrEx>
          <w:tblCellMar>
            <w:top w:w="0" w:type="dxa"/>
            <w:bottom w:w="0" w:type="dxa"/>
          </w:tblCellMar>
        </w:tblPrEx>
        <w:tc>
          <w:tcPr>
            <w:tcW w:w="1985" w:type="dxa"/>
          </w:tcPr>
          <w:p w:rsidR="00000000" w:rsidRDefault="00000000">
            <w:pPr>
              <w:pStyle w:val="aa"/>
              <w:spacing w:before="200" w:after="60" w:line="240" w:lineRule="auto"/>
              <w:rPr>
                <w:rFonts w:hint="eastAsia"/>
                <w:lang w:val="fr-FR"/>
              </w:rPr>
            </w:pPr>
            <w:r>
              <w:rPr>
                <w:rFonts w:hint="eastAsia"/>
                <w:lang w:val="fr-FR"/>
              </w:rPr>
              <w:t xml:space="preserve">    </w:t>
            </w:r>
            <w:r>
              <w:rPr>
                <w:rFonts w:hint="eastAsia"/>
                <w:lang w:val="fr-FR"/>
              </w:rPr>
              <w:t>厕</w:t>
            </w:r>
            <w:r>
              <w:rPr>
                <w:rFonts w:hint="eastAsia"/>
                <w:lang w:val="fr-FR"/>
              </w:rPr>
              <w:t xml:space="preserve">   </w:t>
            </w:r>
            <w:r>
              <w:rPr>
                <w:rFonts w:hint="eastAsia"/>
                <w:lang w:val="fr-FR"/>
              </w:rPr>
              <w:t>所</w:t>
            </w:r>
          </w:p>
        </w:tc>
        <w:tc>
          <w:tcPr>
            <w:tcW w:w="1255" w:type="dxa"/>
          </w:tcPr>
          <w:p w:rsidR="00000000" w:rsidRDefault="00000000">
            <w:pPr>
              <w:pStyle w:val="aa"/>
              <w:spacing w:before="200" w:after="60" w:line="240" w:lineRule="auto"/>
              <w:rPr>
                <w:rFonts w:hint="eastAsia"/>
                <w:lang w:val="fr-FR"/>
              </w:rPr>
            </w:pPr>
            <w:r>
              <w:rPr>
                <w:rFonts w:hint="eastAsia"/>
                <w:lang w:val="fr-FR"/>
              </w:rPr>
              <w:t>住宅</w:t>
            </w:r>
            <w:r>
              <w:rPr>
                <w:rFonts w:hint="eastAsia"/>
              </w:rPr>
              <w:t>总数</w:t>
            </w:r>
          </w:p>
        </w:tc>
        <w:tc>
          <w:tcPr>
            <w:tcW w:w="1296" w:type="dxa"/>
          </w:tcPr>
          <w:p w:rsidR="00000000" w:rsidRDefault="00000000">
            <w:pPr>
              <w:pStyle w:val="aa"/>
              <w:spacing w:before="60" w:after="60" w:line="240" w:lineRule="auto"/>
              <w:rPr>
                <w:rFonts w:hint="eastAsia"/>
              </w:rPr>
            </w:pPr>
            <w:r>
              <w:rPr>
                <w:rFonts w:hint="eastAsia"/>
                <w:lang w:val="fr-FR"/>
              </w:rPr>
              <w:t xml:space="preserve"> </w:t>
            </w:r>
            <w:r>
              <w:rPr>
                <w:rFonts w:hint="eastAsia"/>
              </w:rPr>
              <w:t>拥有的</w:t>
            </w:r>
            <w:r>
              <w:br/>
            </w:r>
            <w:r>
              <w:rPr>
                <w:rFonts w:hint="eastAsia"/>
              </w:rPr>
              <w:t>正常住宅</w:t>
            </w:r>
          </w:p>
        </w:tc>
        <w:tc>
          <w:tcPr>
            <w:tcW w:w="1104" w:type="dxa"/>
          </w:tcPr>
          <w:p w:rsidR="00000000" w:rsidRDefault="00000000">
            <w:pPr>
              <w:pStyle w:val="aa"/>
              <w:spacing w:before="60" w:after="60" w:line="240" w:lineRule="auto"/>
              <w:rPr>
                <w:rFonts w:hint="eastAsia"/>
              </w:rPr>
            </w:pPr>
            <w:r>
              <w:rPr>
                <w:rFonts w:hint="eastAsia"/>
              </w:rPr>
              <w:t xml:space="preserve"> </w:t>
            </w:r>
            <w:r>
              <w:rPr>
                <w:rFonts w:hint="eastAsia"/>
              </w:rPr>
              <w:t>拥有的</w:t>
            </w:r>
            <w:r>
              <w:br/>
            </w:r>
            <w:r>
              <w:rPr>
                <w:rFonts w:hint="eastAsia"/>
              </w:rPr>
              <w:t>正常住宅</w:t>
            </w:r>
          </w:p>
        </w:tc>
        <w:tc>
          <w:tcPr>
            <w:tcW w:w="1306" w:type="dxa"/>
          </w:tcPr>
          <w:p w:rsidR="00000000" w:rsidRDefault="00000000">
            <w:pPr>
              <w:pStyle w:val="aa"/>
              <w:spacing w:before="200" w:after="60" w:line="240" w:lineRule="auto"/>
              <w:rPr>
                <w:rFonts w:hint="eastAsia"/>
              </w:rPr>
            </w:pPr>
            <w:r>
              <w:rPr>
                <w:rFonts w:hint="eastAsia"/>
              </w:rPr>
              <w:t xml:space="preserve">  </w:t>
            </w:r>
            <w:r>
              <w:rPr>
                <w:rFonts w:hint="eastAsia"/>
              </w:rPr>
              <w:t>总</w:t>
            </w:r>
            <w:r>
              <w:rPr>
                <w:rFonts w:hint="eastAsia"/>
              </w:rPr>
              <w:t xml:space="preserve">  </w:t>
            </w:r>
            <w:r>
              <w:rPr>
                <w:rFonts w:hint="eastAsia"/>
              </w:rPr>
              <w:t>计</w:t>
            </w:r>
          </w:p>
        </w:tc>
        <w:tc>
          <w:tcPr>
            <w:tcW w:w="1214" w:type="dxa"/>
          </w:tcPr>
          <w:p w:rsidR="00000000" w:rsidRDefault="00000000">
            <w:pPr>
              <w:pStyle w:val="aa"/>
              <w:spacing w:before="60" w:after="60" w:line="240" w:lineRule="auto"/>
              <w:rPr>
                <w:rFonts w:hint="eastAsia"/>
              </w:rPr>
            </w:pPr>
            <w:r>
              <w:rPr>
                <w:rFonts w:hint="eastAsia"/>
              </w:rPr>
              <w:t>自己拥有</w:t>
            </w:r>
            <w:r>
              <w:br/>
            </w:r>
            <w:r>
              <w:rPr>
                <w:rFonts w:hint="eastAsia"/>
              </w:rPr>
              <w:t xml:space="preserve"> </w:t>
            </w:r>
            <w:r>
              <w:rPr>
                <w:rFonts w:hint="eastAsia"/>
              </w:rPr>
              <w:t>住宅者</w:t>
            </w:r>
          </w:p>
        </w:tc>
        <w:tc>
          <w:tcPr>
            <w:tcW w:w="1196" w:type="dxa"/>
          </w:tcPr>
          <w:p w:rsidR="00000000" w:rsidRDefault="00000000">
            <w:pPr>
              <w:pStyle w:val="aa"/>
              <w:spacing w:before="60" w:after="60" w:line="240" w:lineRule="auto"/>
              <w:rPr>
                <w:rFonts w:hint="eastAsia"/>
              </w:rPr>
            </w:pPr>
            <w:r>
              <w:rPr>
                <w:rFonts w:hint="eastAsia"/>
              </w:rPr>
              <w:t xml:space="preserve"> </w:t>
            </w:r>
            <w:r>
              <w:rPr>
                <w:rFonts w:hint="eastAsia"/>
              </w:rPr>
              <w:t>无自己</w:t>
            </w:r>
            <w:r>
              <w:br/>
            </w:r>
            <w:r>
              <w:rPr>
                <w:rFonts w:hint="eastAsia"/>
              </w:rPr>
              <w:t>住宅的人</w:t>
            </w:r>
          </w:p>
        </w:tc>
      </w:tr>
      <w:tr w:rsidR="00000000">
        <w:tblPrEx>
          <w:tblCellMar>
            <w:top w:w="0" w:type="dxa"/>
            <w:bottom w:w="0" w:type="dxa"/>
          </w:tblCellMar>
        </w:tblPrEx>
        <w:tc>
          <w:tcPr>
            <w:tcW w:w="1985" w:type="dxa"/>
            <w:tcBorders>
              <w:bottom w:val="nil"/>
            </w:tcBorders>
          </w:tcPr>
          <w:p w:rsidR="00000000" w:rsidRDefault="00000000">
            <w:pPr>
              <w:pStyle w:val="aa"/>
              <w:spacing w:before="40" w:after="40" w:line="240" w:lineRule="auto"/>
              <w:rPr>
                <w:rFonts w:hint="eastAsia"/>
              </w:rPr>
            </w:pPr>
            <w:r>
              <w:rPr>
                <w:rFonts w:hint="eastAsia"/>
              </w:rPr>
              <w:t>有供水装置的住宅</w:t>
            </w:r>
          </w:p>
        </w:tc>
        <w:tc>
          <w:tcPr>
            <w:tcW w:w="1255" w:type="dxa"/>
            <w:tcBorders>
              <w:bottom w:val="nil"/>
            </w:tcBorders>
          </w:tcPr>
          <w:p w:rsidR="00000000" w:rsidRDefault="00000000">
            <w:pPr>
              <w:pStyle w:val="aa"/>
              <w:spacing w:before="40" w:after="40" w:line="240" w:lineRule="auto"/>
              <w:ind w:right="113"/>
              <w:jc w:val="right"/>
            </w:pPr>
            <w:r>
              <w:t>2 773 085</w:t>
            </w:r>
          </w:p>
        </w:tc>
        <w:tc>
          <w:tcPr>
            <w:tcW w:w="1296" w:type="dxa"/>
            <w:tcBorders>
              <w:bottom w:val="nil"/>
            </w:tcBorders>
          </w:tcPr>
          <w:p w:rsidR="00000000" w:rsidRDefault="00000000">
            <w:pPr>
              <w:pStyle w:val="aa"/>
              <w:spacing w:before="40" w:after="40" w:line="240" w:lineRule="auto"/>
              <w:ind w:right="113"/>
              <w:jc w:val="right"/>
            </w:pPr>
            <w:r>
              <w:t>2 042 815</w:t>
            </w:r>
          </w:p>
        </w:tc>
        <w:tc>
          <w:tcPr>
            <w:tcW w:w="1104" w:type="dxa"/>
            <w:tcBorders>
              <w:bottom w:val="nil"/>
            </w:tcBorders>
          </w:tcPr>
          <w:p w:rsidR="00000000" w:rsidRDefault="00000000">
            <w:pPr>
              <w:pStyle w:val="aa"/>
              <w:spacing w:before="40" w:after="40" w:line="240" w:lineRule="auto"/>
              <w:ind w:right="113"/>
              <w:jc w:val="right"/>
            </w:pPr>
            <w:r>
              <w:t>730 270</w:t>
            </w:r>
          </w:p>
        </w:tc>
        <w:tc>
          <w:tcPr>
            <w:tcW w:w="1306" w:type="dxa"/>
            <w:tcBorders>
              <w:bottom w:val="nil"/>
            </w:tcBorders>
          </w:tcPr>
          <w:p w:rsidR="00000000" w:rsidRDefault="00000000">
            <w:pPr>
              <w:pStyle w:val="aa"/>
              <w:spacing w:before="40" w:after="40" w:line="240" w:lineRule="auto"/>
              <w:ind w:right="113"/>
              <w:jc w:val="right"/>
            </w:pPr>
            <w:r>
              <w:t>8 425 396</w:t>
            </w:r>
          </w:p>
        </w:tc>
        <w:tc>
          <w:tcPr>
            <w:tcW w:w="1214" w:type="dxa"/>
            <w:tcBorders>
              <w:bottom w:val="nil"/>
            </w:tcBorders>
          </w:tcPr>
          <w:p w:rsidR="00000000" w:rsidRDefault="00000000">
            <w:pPr>
              <w:pStyle w:val="aa"/>
              <w:spacing w:before="40" w:after="40" w:line="240" w:lineRule="auto"/>
              <w:ind w:right="113"/>
              <w:jc w:val="right"/>
            </w:pPr>
            <w:r>
              <w:t>6 394 806</w:t>
            </w:r>
          </w:p>
        </w:tc>
        <w:tc>
          <w:tcPr>
            <w:tcW w:w="1196" w:type="dxa"/>
            <w:tcBorders>
              <w:bottom w:val="nil"/>
            </w:tcBorders>
          </w:tcPr>
          <w:p w:rsidR="00000000" w:rsidRDefault="00000000">
            <w:pPr>
              <w:pStyle w:val="aa"/>
              <w:spacing w:before="40" w:after="40" w:line="240" w:lineRule="auto"/>
              <w:ind w:right="113"/>
              <w:jc w:val="right"/>
            </w:pPr>
            <w:r>
              <w:t>2 030 590</w:t>
            </w:r>
          </w:p>
        </w:tc>
      </w:tr>
      <w:tr w:rsidR="00000000">
        <w:tblPrEx>
          <w:tblCellMar>
            <w:top w:w="0" w:type="dxa"/>
            <w:bottom w:w="0" w:type="dxa"/>
          </w:tblCellMar>
        </w:tblPrEx>
        <w:tc>
          <w:tcPr>
            <w:tcW w:w="1985" w:type="dxa"/>
            <w:tcBorders>
              <w:top w:val="nil"/>
              <w:bottom w:val="nil"/>
            </w:tcBorders>
          </w:tcPr>
          <w:p w:rsidR="00000000" w:rsidRDefault="00000000">
            <w:pPr>
              <w:pStyle w:val="aa"/>
              <w:spacing w:before="40" w:after="40" w:line="240" w:lineRule="auto"/>
              <w:rPr>
                <w:rFonts w:hint="eastAsia"/>
              </w:rPr>
            </w:pPr>
            <w:r>
              <w:rPr>
                <w:rFonts w:hint="eastAsia"/>
              </w:rPr>
              <w:t>房中没有但附近有供水装置的住宅</w:t>
            </w:r>
          </w:p>
        </w:tc>
        <w:tc>
          <w:tcPr>
            <w:tcW w:w="1255" w:type="dxa"/>
            <w:tcBorders>
              <w:top w:val="nil"/>
              <w:bottom w:val="nil"/>
            </w:tcBorders>
          </w:tcPr>
          <w:p w:rsidR="00000000" w:rsidRDefault="00000000">
            <w:pPr>
              <w:pStyle w:val="aa"/>
              <w:spacing w:before="40" w:after="40" w:line="240" w:lineRule="auto"/>
              <w:ind w:right="113"/>
              <w:jc w:val="right"/>
            </w:pPr>
            <w:r>
              <w:t>193 536</w:t>
            </w:r>
          </w:p>
        </w:tc>
        <w:tc>
          <w:tcPr>
            <w:tcW w:w="1296" w:type="dxa"/>
            <w:tcBorders>
              <w:top w:val="nil"/>
              <w:bottom w:val="nil"/>
            </w:tcBorders>
          </w:tcPr>
          <w:p w:rsidR="00000000" w:rsidRDefault="00000000">
            <w:pPr>
              <w:pStyle w:val="aa"/>
              <w:spacing w:before="40" w:after="40" w:line="240" w:lineRule="auto"/>
              <w:ind w:right="113"/>
              <w:jc w:val="right"/>
            </w:pPr>
            <w:r>
              <w:t>172 340</w:t>
            </w:r>
          </w:p>
        </w:tc>
        <w:tc>
          <w:tcPr>
            <w:tcW w:w="1104" w:type="dxa"/>
            <w:tcBorders>
              <w:top w:val="nil"/>
              <w:bottom w:val="nil"/>
            </w:tcBorders>
          </w:tcPr>
          <w:p w:rsidR="00000000" w:rsidRDefault="00000000">
            <w:pPr>
              <w:pStyle w:val="aa"/>
              <w:spacing w:before="40" w:after="40" w:line="240" w:lineRule="auto"/>
              <w:ind w:right="113"/>
              <w:jc w:val="right"/>
            </w:pPr>
            <w:r>
              <w:t>21 196</w:t>
            </w:r>
          </w:p>
        </w:tc>
        <w:tc>
          <w:tcPr>
            <w:tcW w:w="1306" w:type="dxa"/>
            <w:tcBorders>
              <w:top w:val="nil"/>
              <w:bottom w:val="nil"/>
            </w:tcBorders>
          </w:tcPr>
          <w:p w:rsidR="00000000" w:rsidRDefault="00000000">
            <w:pPr>
              <w:pStyle w:val="aa"/>
              <w:spacing w:before="40" w:after="40" w:line="240" w:lineRule="auto"/>
              <w:ind w:right="113"/>
              <w:jc w:val="right"/>
            </w:pPr>
            <w:r>
              <w:t>547 532</w:t>
            </w:r>
          </w:p>
        </w:tc>
        <w:tc>
          <w:tcPr>
            <w:tcW w:w="1214" w:type="dxa"/>
            <w:tcBorders>
              <w:top w:val="nil"/>
              <w:bottom w:val="nil"/>
            </w:tcBorders>
          </w:tcPr>
          <w:p w:rsidR="00000000" w:rsidRDefault="00000000">
            <w:pPr>
              <w:pStyle w:val="aa"/>
              <w:spacing w:before="40" w:after="40" w:line="240" w:lineRule="auto"/>
              <w:ind w:right="113"/>
              <w:jc w:val="right"/>
            </w:pPr>
            <w:r>
              <w:t>487 488</w:t>
            </w:r>
          </w:p>
        </w:tc>
        <w:tc>
          <w:tcPr>
            <w:tcW w:w="1196" w:type="dxa"/>
            <w:tcBorders>
              <w:top w:val="nil"/>
              <w:bottom w:val="nil"/>
            </w:tcBorders>
          </w:tcPr>
          <w:p w:rsidR="00000000" w:rsidRDefault="00000000">
            <w:pPr>
              <w:pStyle w:val="aa"/>
              <w:spacing w:before="40" w:after="40" w:line="240" w:lineRule="auto"/>
              <w:ind w:right="113"/>
              <w:jc w:val="right"/>
            </w:pPr>
            <w:r>
              <w:t>60 044</w:t>
            </w:r>
          </w:p>
        </w:tc>
      </w:tr>
      <w:tr w:rsidR="00000000">
        <w:tblPrEx>
          <w:tblCellMar>
            <w:top w:w="0" w:type="dxa"/>
            <w:bottom w:w="0" w:type="dxa"/>
          </w:tblCellMar>
        </w:tblPrEx>
        <w:tc>
          <w:tcPr>
            <w:tcW w:w="1985" w:type="dxa"/>
            <w:tcBorders>
              <w:top w:val="nil"/>
              <w:bottom w:val="nil"/>
            </w:tcBorders>
          </w:tcPr>
          <w:p w:rsidR="00000000" w:rsidRDefault="00000000">
            <w:pPr>
              <w:pStyle w:val="aa"/>
              <w:spacing w:before="40" w:after="40" w:line="240" w:lineRule="auto"/>
              <w:rPr>
                <w:spacing w:val="4"/>
              </w:rPr>
            </w:pPr>
            <w:r>
              <w:rPr>
                <w:rFonts w:hint="eastAsia"/>
                <w:spacing w:val="4"/>
              </w:rPr>
              <w:t>房中无供水装置的住宅</w:t>
            </w:r>
          </w:p>
        </w:tc>
        <w:tc>
          <w:tcPr>
            <w:tcW w:w="1255" w:type="dxa"/>
            <w:tcBorders>
              <w:top w:val="nil"/>
              <w:bottom w:val="nil"/>
            </w:tcBorders>
          </w:tcPr>
          <w:p w:rsidR="00000000" w:rsidRDefault="00000000">
            <w:pPr>
              <w:pStyle w:val="aa"/>
              <w:spacing w:before="40" w:after="40" w:line="240" w:lineRule="auto"/>
              <w:ind w:right="113"/>
              <w:jc w:val="right"/>
            </w:pPr>
            <w:r>
              <w:t>22 863</w:t>
            </w:r>
          </w:p>
        </w:tc>
        <w:tc>
          <w:tcPr>
            <w:tcW w:w="1296" w:type="dxa"/>
            <w:tcBorders>
              <w:top w:val="nil"/>
              <w:bottom w:val="nil"/>
            </w:tcBorders>
          </w:tcPr>
          <w:p w:rsidR="00000000" w:rsidRDefault="00000000">
            <w:pPr>
              <w:pStyle w:val="aa"/>
              <w:spacing w:before="40" w:after="40" w:line="240" w:lineRule="auto"/>
              <w:ind w:right="113"/>
              <w:jc w:val="right"/>
            </w:pPr>
            <w:r>
              <w:t>20 008</w:t>
            </w:r>
          </w:p>
        </w:tc>
        <w:tc>
          <w:tcPr>
            <w:tcW w:w="1104" w:type="dxa"/>
            <w:tcBorders>
              <w:top w:val="nil"/>
              <w:bottom w:val="nil"/>
            </w:tcBorders>
          </w:tcPr>
          <w:p w:rsidR="00000000" w:rsidRDefault="00000000">
            <w:pPr>
              <w:pStyle w:val="aa"/>
              <w:spacing w:before="40" w:after="40" w:line="240" w:lineRule="auto"/>
              <w:ind w:right="113"/>
              <w:jc w:val="right"/>
            </w:pPr>
            <w:r>
              <w:t>2 855</w:t>
            </w:r>
          </w:p>
        </w:tc>
        <w:tc>
          <w:tcPr>
            <w:tcW w:w="1306" w:type="dxa"/>
            <w:tcBorders>
              <w:top w:val="nil"/>
              <w:bottom w:val="nil"/>
            </w:tcBorders>
          </w:tcPr>
          <w:p w:rsidR="00000000" w:rsidRDefault="00000000">
            <w:pPr>
              <w:pStyle w:val="aa"/>
              <w:spacing w:before="40" w:after="40" w:line="240" w:lineRule="auto"/>
              <w:ind w:right="113"/>
              <w:jc w:val="right"/>
            </w:pPr>
            <w:r>
              <w:t>59 986</w:t>
            </w:r>
          </w:p>
        </w:tc>
        <w:tc>
          <w:tcPr>
            <w:tcW w:w="1214" w:type="dxa"/>
            <w:tcBorders>
              <w:top w:val="nil"/>
              <w:bottom w:val="nil"/>
            </w:tcBorders>
          </w:tcPr>
          <w:p w:rsidR="00000000" w:rsidRDefault="00000000">
            <w:pPr>
              <w:pStyle w:val="aa"/>
              <w:spacing w:before="40" w:after="40" w:line="240" w:lineRule="auto"/>
              <w:ind w:right="113"/>
              <w:jc w:val="right"/>
            </w:pPr>
            <w:r>
              <w:t>52 603</w:t>
            </w:r>
          </w:p>
        </w:tc>
        <w:tc>
          <w:tcPr>
            <w:tcW w:w="1196" w:type="dxa"/>
            <w:tcBorders>
              <w:top w:val="nil"/>
              <w:bottom w:val="nil"/>
            </w:tcBorders>
          </w:tcPr>
          <w:p w:rsidR="00000000" w:rsidRDefault="00000000">
            <w:pPr>
              <w:pStyle w:val="aa"/>
              <w:spacing w:before="40" w:after="40" w:line="240" w:lineRule="auto"/>
              <w:ind w:right="113"/>
              <w:jc w:val="right"/>
            </w:pPr>
            <w:r>
              <w:t>7 383</w:t>
            </w:r>
          </w:p>
        </w:tc>
      </w:tr>
      <w:tr w:rsidR="00000000">
        <w:tblPrEx>
          <w:tblCellMar>
            <w:top w:w="0" w:type="dxa"/>
            <w:bottom w:w="0" w:type="dxa"/>
          </w:tblCellMar>
        </w:tblPrEx>
        <w:tc>
          <w:tcPr>
            <w:tcW w:w="1985" w:type="dxa"/>
            <w:tcBorders>
              <w:top w:val="nil"/>
            </w:tcBorders>
          </w:tcPr>
          <w:p w:rsidR="00000000" w:rsidRDefault="00000000">
            <w:pPr>
              <w:pStyle w:val="aa"/>
              <w:spacing w:before="40" w:after="40" w:line="240" w:lineRule="auto"/>
              <w:rPr>
                <w:rFonts w:hint="eastAsia"/>
              </w:rPr>
            </w:pPr>
            <w:r>
              <w:rPr>
                <w:rFonts w:hint="eastAsia"/>
              </w:rPr>
              <w:t>房外无供水装置的住宅</w:t>
            </w:r>
          </w:p>
        </w:tc>
        <w:tc>
          <w:tcPr>
            <w:tcW w:w="1255" w:type="dxa"/>
            <w:tcBorders>
              <w:top w:val="nil"/>
            </w:tcBorders>
          </w:tcPr>
          <w:p w:rsidR="00000000" w:rsidRDefault="00000000">
            <w:pPr>
              <w:pStyle w:val="aa"/>
              <w:spacing w:before="40" w:after="40" w:line="240" w:lineRule="auto"/>
              <w:ind w:right="113"/>
              <w:jc w:val="right"/>
            </w:pPr>
            <w:r>
              <w:t>177 688</w:t>
            </w:r>
          </w:p>
        </w:tc>
        <w:tc>
          <w:tcPr>
            <w:tcW w:w="1296" w:type="dxa"/>
            <w:tcBorders>
              <w:top w:val="nil"/>
            </w:tcBorders>
          </w:tcPr>
          <w:p w:rsidR="00000000" w:rsidRDefault="00000000">
            <w:pPr>
              <w:pStyle w:val="aa"/>
              <w:spacing w:before="40" w:after="40" w:line="240" w:lineRule="auto"/>
              <w:ind w:right="113"/>
              <w:jc w:val="right"/>
            </w:pPr>
            <w:r>
              <w:t>162 108</w:t>
            </w:r>
          </w:p>
        </w:tc>
        <w:tc>
          <w:tcPr>
            <w:tcW w:w="1104" w:type="dxa"/>
            <w:tcBorders>
              <w:top w:val="nil"/>
            </w:tcBorders>
          </w:tcPr>
          <w:p w:rsidR="00000000" w:rsidRDefault="00000000">
            <w:pPr>
              <w:pStyle w:val="aa"/>
              <w:spacing w:before="40" w:after="40" w:line="240" w:lineRule="auto"/>
              <w:ind w:right="113"/>
              <w:jc w:val="right"/>
            </w:pPr>
            <w:r>
              <w:t>15 560</w:t>
            </w:r>
          </w:p>
        </w:tc>
        <w:tc>
          <w:tcPr>
            <w:tcW w:w="1306" w:type="dxa"/>
            <w:tcBorders>
              <w:top w:val="nil"/>
            </w:tcBorders>
          </w:tcPr>
          <w:p w:rsidR="00000000" w:rsidRDefault="00000000">
            <w:pPr>
              <w:pStyle w:val="aa"/>
              <w:spacing w:before="40" w:after="40" w:line="240" w:lineRule="auto"/>
              <w:ind w:right="113"/>
              <w:jc w:val="right"/>
            </w:pPr>
            <w:r>
              <w:t>474 312</w:t>
            </w:r>
          </w:p>
        </w:tc>
        <w:tc>
          <w:tcPr>
            <w:tcW w:w="1214" w:type="dxa"/>
            <w:tcBorders>
              <w:top w:val="nil"/>
            </w:tcBorders>
          </w:tcPr>
          <w:p w:rsidR="00000000" w:rsidRDefault="00000000">
            <w:pPr>
              <w:pStyle w:val="aa"/>
              <w:spacing w:before="40" w:after="40" w:line="240" w:lineRule="auto"/>
              <w:ind w:right="113"/>
              <w:jc w:val="right"/>
            </w:pPr>
            <w:r>
              <w:t>431 192</w:t>
            </w:r>
          </w:p>
        </w:tc>
        <w:tc>
          <w:tcPr>
            <w:tcW w:w="1196" w:type="dxa"/>
            <w:tcBorders>
              <w:top w:val="nil"/>
            </w:tcBorders>
          </w:tcPr>
          <w:p w:rsidR="00000000" w:rsidRDefault="00000000">
            <w:pPr>
              <w:pStyle w:val="aa"/>
              <w:spacing w:before="40" w:after="40" w:line="240" w:lineRule="auto"/>
              <w:ind w:right="113"/>
              <w:jc w:val="right"/>
            </w:pPr>
            <w:r>
              <w:t>43 120</w:t>
            </w:r>
          </w:p>
        </w:tc>
      </w:tr>
    </w:tbl>
    <w:p w:rsidR="00000000" w:rsidRDefault="00000000">
      <w:pPr>
        <w:pStyle w:val="aa"/>
        <w:spacing w:before="180"/>
        <w:rPr>
          <w:rFonts w:eastAsia="KaiTi_GB2312" w:hint="eastAsia"/>
          <w:snapToGrid/>
          <w:sz w:val="24"/>
        </w:rPr>
      </w:pPr>
      <w:r>
        <w:rPr>
          <w:rFonts w:hint="eastAsia"/>
          <w:sz w:val="24"/>
        </w:rPr>
        <w:t xml:space="preserve">  </w:t>
      </w:r>
      <w:r>
        <w:rPr>
          <w:rFonts w:eastAsia="KaiTi_GB2312" w:hint="eastAsia"/>
          <w:snapToGrid/>
          <w:sz w:val="24"/>
          <w:u w:val="single"/>
        </w:rPr>
        <w:t>来</w:t>
      </w:r>
      <w:r>
        <w:rPr>
          <w:rFonts w:eastAsia="KaiTi_GB2312" w:hint="eastAsia"/>
          <w:snapToGrid/>
          <w:sz w:val="24"/>
          <w:u w:val="single"/>
        </w:rPr>
        <w:t xml:space="preserve">  </w:t>
      </w:r>
      <w:r>
        <w:rPr>
          <w:rFonts w:eastAsia="KaiTi_GB2312" w:hint="eastAsia"/>
          <w:snapToGrid/>
          <w:sz w:val="24"/>
          <w:u w:val="single"/>
        </w:rPr>
        <w:t>源</w:t>
      </w:r>
      <w:r>
        <w:rPr>
          <w:rFonts w:eastAsia="KaiTi_GB2312"/>
          <w:snapToGrid/>
          <w:sz w:val="24"/>
        </w:rPr>
        <w:t>：</w:t>
      </w:r>
      <w:r>
        <w:rPr>
          <w:rFonts w:eastAsia="KaiTi_GB2312" w:hint="eastAsia"/>
          <w:snapToGrid/>
          <w:sz w:val="24"/>
        </w:rPr>
        <w:t>儿童卫生研究所。</w:t>
      </w:r>
    </w:p>
    <w:p w:rsidR="00000000" w:rsidRDefault="00000000">
      <w:pPr>
        <w:spacing w:line="240" w:lineRule="auto"/>
        <w:rPr>
          <w:rFonts w:hint="eastAsia"/>
        </w:rPr>
      </w:pPr>
    </w:p>
    <w:p w:rsidR="00000000" w:rsidRDefault="00000000">
      <w:pPr>
        <w:spacing w:after="160"/>
        <w:rPr>
          <w:rFonts w:hint="eastAsia"/>
        </w:rPr>
      </w:pPr>
      <w:r>
        <w:rPr>
          <w:rFonts w:hint="eastAsia"/>
        </w:rPr>
        <w:tab/>
        <w:t xml:space="preserve">488.  </w:t>
      </w:r>
      <w:r>
        <w:rPr>
          <w:rFonts w:hint="eastAsia"/>
        </w:rPr>
        <w:t>在希腊，预防医学的应用是作为监测卫生状况发展的手段。根据现有的资料，做过免疫接种儿童的比例如下：</w:t>
      </w:r>
    </w:p>
    <w:p w:rsidR="00000000" w:rsidRDefault="00000000">
      <w:pPr>
        <w:pStyle w:val="Heading3"/>
        <w:spacing w:after="160"/>
        <w:rPr>
          <w:rFonts w:hint="eastAsia"/>
        </w:rPr>
      </w:pPr>
      <w:r>
        <w:rPr>
          <w:rFonts w:hint="eastAsia"/>
        </w:rPr>
        <w:t>表</w:t>
      </w:r>
      <w:r>
        <w:rPr>
          <w:rFonts w:hint="eastAsia"/>
        </w:rPr>
        <w:t xml:space="preserve">  18</w:t>
      </w:r>
    </w:p>
    <w:p w:rsidR="00000000" w:rsidRDefault="00000000">
      <w:pPr>
        <w:pStyle w:val="Heading3"/>
        <w:spacing w:after="160"/>
        <w:rPr>
          <w:rFonts w:hint="eastAsia"/>
        </w:rPr>
      </w:pPr>
      <w:r>
        <w:rPr>
          <w:rFonts w:hint="eastAsia"/>
        </w:rPr>
        <w:t>做过全面免疫接种儿童的百分比</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5"/>
        <w:gridCol w:w="2100"/>
        <w:gridCol w:w="1995"/>
        <w:gridCol w:w="2070"/>
      </w:tblGrid>
      <w:tr w:rsidR="00000000">
        <w:tblPrEx>
          <w:tblCellMar>
            <w:top w:w="0" w:type="dxa"/>
            <w:bottom w:w="0" w:type="dxa"/>
          </w:tblCellMar>
        </w:tblPrEx>
        <w:tc>
          <w:tcPr>
            <w:tcW w:w="2595" w:type="dxa"/>
          </w:tcPr>
          <w:p w:rsidR="00000000" w:rsidRDefault="00000000">
            <w:pPr>
              <w:pStyle w:val="aa"/>
              <w:spacing w:line="240" w:lineRule="auto"/>
              <w:jc w:val="center"/>
            </w:pPr>
          </w:p>
        </w:tc>
        <w:tc>
          <w:tcPr>
            <w:tcW w:w="2100" w:type="dxa"/>
          </w:tcPr>
          <w:p w:rsidR="00000000" w:rsidRDefault="00000000">
            <w:pPr>
              <w:pStyle w:val="aa"/>
              <w:spacing w:line="240" w:lineRule="auto"/>
              <w:jc w:val="center"/>
              <w:rPr>
                <w:rFonts w:hint="eastAsia"/>
              </w:rPr>
            </w:pPr>
            <w:r>
              <w:rPr>
                <w:rFonts w:hint="eastAsia"/>
              </w:rPr>
              <w:t>1</w:t>
            </w:r>
            <w:r>
              <w:rPr>
                <w:rFonts w:hint="eastAsia"/>
              </w:rPr>
              <w:t>岁时</w:t>
            </w:r>
          </w:p>
        </w:tc>
        <w:tc>
          <w:tcPr>
            <w:tcW w:w="1995" w:type="dxa"/>
          </w:tcPr>
          <w:p w:rsidR="00000000" w:rsidRDefault="00000000">
            <w:pPr>
              <w:pStyle w:val="aa"/>
              <w:spacing w:line="240" w:lineRule="auto"/>
              <w:jc w:val="center"/>
              <w:rPr>
                <w:rFonts w:hint="eastAsia"/>
              </w:rPr>
            </w:pPr>
            <w:r>
              <w:rPr>
                <w:rFonts w:hint="eastAsia"/>
              </w:rPr>
              <w:t>6</w:t>
            </w:r>
            <w:r>
              <w:rPr>
                <w:rFonts w:hint="eastAsia"/>
              </w:rPr>
              <w:t>岁</w:t>
            </w:r>
          </w:p>
        </w:tc>
        <w:tc>
          <w:tcPr>
            <w:tcW w:w="2070" w:type="dxa"/>
          </w:tcPr>
          <w:p w:rsidR="00000000" w:rsidRDefault="00000000">
            <w:pPr>
              <w:pStyle w:val="aa"/>
              <w:spacing w:line="240" w:lineRule="auto"/>
              <w:jc w:val="center"/>
              <w:rPr>
                <w:rFonts w:hint="eastAsia"/>
              </w:rPr>
            </w:pPr>
            <w:r>
              <w:rPr>
                <w:rFonts w:hint="eastAsia"/>
              </w:rPr>
              <w:t>15</w:t>
            </w:r>
            <w:r>
              <w:rPr>
                <w:rFonts w:hint="eastAsia"/>
              </w:rPr>
              <w:t>岁</w:t>
            </w:r>
          </w:p>
        </w:tc>
      </w:tr>
      <w:tr w:rsidR="00000000">
        <w:tblPrEx>
          <w:tblCellMar>
            <w:top w:w="0" w:type="dxa"/>
            <w:bottom w:w="0" w:type="dxa"/>
          </w:tblCellMar>
        </w:tblPrEx>
        <w:tc>
          <w:tcPr>
            <w:tcW w:w="2595" w:type="dxa"/>
            <w:tcBorders>
              <w:bottom w:val="nil"/>
            </w:tcBorders>
          </w:tcPr>
          <w:p w:rsidR="00000000" w:rsidRDefault="00000000">
            <w:pPr>
              <w:pStyle w:val="aa"/>
              <w:spacing w:line="240" w:lineRule="auto"/>
              <w:rPr>
                <w:rFonts w:hint="eastAsia"/>
              </w:rPr>
            </w:pPr>
            <w:r>
              <w:rPr>
                <w:rFonts w:hint="eastAsia"/>
              </w:rPr>
              <w:t>白喉</w:t>
            </w:r>
          </w:p>
        </w:tc>
        <w:tc>
          <w:tcPr>
            <w:tcW w:w="2100" w:type="dxa"/>
            <w:tcBorders>
              <w:bottom w:val="nil"/>
            </w:tcBorders>
          </w:tcPr>
          <w:p w:rsidR="00000000" w:rsidRDefault="00000000">
            <w:pPr>
              <w:pStyle w:val="aa"/>
              <w:spacing w:line="240" w:lineRule="auto"/>
              <w:jc w:val="center"/>
              <w:rPr>
                <w:lang w:val="fr-FR"/>
              </w:rPr>
            </w:pPr>
            <w:r>
              <w:rPr>
                <w:lang w:val="fr-FR"/>
              </w:rPr>
              <w:t>84</w:t>
            </w:r>
          </w:p>
        </w:tc>
        <w:tc>
          <w:tcPr>
            <w:tcW w:w="1995" w:type="dxa"/>
            <w:tcBorders>
              <w:bottom w:val="nil"/>
            </w:tcBorders>
          </w:tcPr>
          <w:p w:rsidR="00000000" w:rsidRDefault="00000000">
            <w:pPr>
              <w:pStyle w:val="aa"/>
              <w:spacing w:line="240" w:lineRule="auto"/>
              <w:jc w:val="center"/>
              <w:rPr>
                <w:rFonts w:hint="eastAsia"/>
                <w:lang w:val="fr-FR"/>
              </w:rPr>
            </w:pPr>
            <w:r>
              <w:rPr>
                <w:lang w:val="fr-FR"/>
              </w:rPr>
              <w:t>81</w:t>
            </w:r>
          </w:p>
        </w:tc>
        <w:tc>
          <w:tcPr>
            <w:tcW w:w="2070" w:type="dxa"/>
            <w:tcBorders>
              <w:bottom w:val="nil"/>
            </w:tcBorders>
          </w:tcPr>
          <w:p w:rsidR="00000000" w:rsidRDefault="00000000">
            <w:pPr>
              <w:pStyle w:val="aa"/>
              <w:spacing w:line="240" w:lineRule="auto"/>
              <w:jc w:val="center"/>
              <w:rPr>
                <w:lang w:val="fr-FR"/>
              </w:rPr>
            </w:pPr>
            <w:r>
              <w:rPr>
                <w:lang w:val="fr-FR"/>
              </w:rPr>
              <w:t>76.8</w:t>
            </w:r>
          </w:p>
        </w:tc>
      </w:tr>
      <w:tr w:rsidR="00000000">
        <w:tblPrEx>
          <w:tblCellMar>
            <w:top w:w="0" w:type="dxa"/>
            <w:bottom w:w="0" w:type="dxa"/>
          </w:tblCellMar>
        </w:tblPrEx>
        <w:tc>
          <w:tcPr>
            <w:tcW w:w="2595" w:type="dxa"/>
            <w:tcBorders>
              <w:top w:val="nil"/>
              <w:bottom w:val="nil"/>
            </w:tcBorders>
          </w:tcPr>
          <w:p w:rsidR="00000000" w:rsidRDefault="00000000">
            <w:pPr>
              <w:pStyle w:val="aa"/>
              <w:spacing w:line="240" w:lineRule="auto"/>
              <w:rPr>
                <w:rFonts w:hint="eastAsia"/>
                <w:lang w:val="fr-FR"/>
              </w:rPr>
            </w:pPr>
            <w:r>
              <w:rPr>
                <w:rFonts w:hint="eastAsia"/>
                <w:lang w:val="fr-FR"/>
              </w:rPr>
              <w:t>破伤风</w:t>
            </w:r>
          </w:p>
        </w:tc>
        <w:tc>
          <w:tcPr>
            <w:tcW w:w="2100" w:type="dxa"/>
            <w:tcBorders>
              <w:top w:val="nil"/>
              <w:bottom w:val="nil"/>
            </w:tcBorders>
          </w:tcPr>
          <w:p w:rsidR="00000000" w:rsidRDefault="00000000">
            <w:pPr>
              <w:pStyle w:val="aa"/>
              <w:spacing w:line="240" w:lineRule="auto"/>
              <w:jc w:val="center"/>
              <w:rPr>
                <w:lang w:val="fr-FR"/>
              </w:rPr>
            </w:pPr>
            <w:r>
              <w:rPr>
                <w:lang w:val="fr-FR"/>
              </w:rPr>
              <w:t>84</w:t>
            </w:r>
          </w:p>
        </w:tc>
        <w:tc>
          <w:tcPr>
            <w:tcW w:w="1995" w:type="dxa"/>
            <w:tcBorders>
              <w:top w:val="nil"/>
              <w:bottom w:val="nil"/>
            </w:tcBorders>
          </w:tcPr>
          <w:p w:rsidR="00000000" w:rsidRDefault="00000000">
            <w:pPr>
              <w:pStyle w:val="aa"/>
              <w:spacing w:line="240" w:lineRule="auto"/>
              <w:jc w:val="center"/>
              <w:rPr>
                <w:rFonts w:hint="eastAsia"/>
                <w:lang w:val="fr-FR"/>
              </w:rPr>
            </w:pPr>
            <w:r>
              <w:rPr>
                <w:lang w:val="fr-FR"/>
              </w:rPr>
              <w:t>81</w:t>
            </w:r>
          </w:p>
        </w:tc>
        <w:tc>
          <w:tcPr>
            <w:tcW w:w="2070" w:type="dxa"/>
            <w:tcBorders>
              <w:top w:val="nil"/>
              <w:bottom w:val="nil"/>
            </w:tcBorders>
          </w:tcPr>
          <w:p w:rsidR="00000000" w:rsidRDefault="00000000">
            <w:pPr>
              <w:pStyle w:val="aa"/>
              <w:spacing w:line="240" w:lineRule="auto"/>
              <w:jc w:val="center"/>
              <w:rPr>
                <w:lang w:val="fr-FR"/>
              </w:rPr>
            </w:pPr>
            <w:r>
              <w:rPr>
                <w:lang w:val="fr-FR"/>
              </w:rPr>
              <w:t>76.8</w:t>
            </w:r>
          </w:p>
        </w:tc>
      </w:tr>
      <w:tr w:rsidR="00000000">
        <w:tblPrEx>
          <w:tblCellMar>
            <w:top w:w="0" w:type="dxa"/>
            <w:bottom w:w="0" w:type="dxa"/>
          </w:tblCellMar>
        </w:tblPrEx>
        <w:tc>
          <w:tcPr>
            <w:tcW w:w="2595" w:type="dxa"/>
            <w:tcBorders>
              <w:top w:val="nil"/>
              <w:bottom w:val="nil"/>
            </w:tcBorders>
          </w:tcPr>
          <w:p w:rsidR="00000000" w:rsidRDefault="00000000">
            <w:pPr>
              <w:pStyle w:val="aa"/>
              <w:spacing w:line="240" w:lineRule="auto"/>
              <w:rPr>
                <w:rFonts w:hint="eastAsia"/>
                <w:lang w:val="fr-FR"/>
              </w:rPr>
            </w:pPr>
            <w:r>
              <w:rPr>
                <w:rFonts w:hint="eastAsia"/>
                <w:lang w:val="fr-FR"/>
              </w:rPr>
              <w:t>百日咳</w:t>
            </w:r>
          </w:p>
        </w:tc>
        <w:tc>
          <w:tcPr>
            <w:tcW w:w="2100" w:type="dxa"/>
            <w:tcBorders>
              <w:top w:val="nil"/>
              <w:bottom w:val="nil"/>
            </w:tcBorders>
          </w:tcPr>
          <w:p w:rsidR="00000000" w:rsidRDefault="00000000">
            <w:pPr>
              <w:pStyle w:val="aa"/>
              <w:spacing w:line="240" w:lineRule="auto"/>
              <w:jc w:val="center"/>
              <w:rPr>
                <w:lang w:val="fr-FR"/>
              </w:rPr>
            </w:pPr>
            <w:r>
              <w:rPr>
                <w:lang w:val="fr-FR"/>
              </w:rPr>
              <w:t>82</w:t>
            </w:r>
          </w:p>
        </w:tc>
        <w:tc>
          <w:tcPr>
            <w:tcW w:w="1995" w:type="dxa"/>
            <w:tcBorders>
              <w:top w:val="nil"/>
              <w:bottom w:val="nil"/>
            </w:tcBorders>
          </w:tcPr>
          <w:p w:rsidR="00000000" w:rsidRDefault="00000000">
            <w:pPr>
              <w:pStyle w:val="aa"/>
              <w:spacing w:line="240" w:lineRule="auto"/>
              <w:jc w:val="center"/>
              <w:rPr>
                <w:lang w:val="fr-FR"/>
              </w:rPr>
            </w:pPr>
            <w:r>
              <w:rPr>
                <w:rFonts w:hint="eastAsia"/>
                <w:lang w:val="fr-FR"/>
              </w:rPr>
              <w:t xml:space="preserve"> </w:t>
            </w:r>
            <w:r>
              <w:rPr>
                <w:lang w:val="fr-FR"/>
              </w:rPr>
              <w:t>82.4</w:t>
            </w:r>
          </w:p>
        </w:tc>
        <w:tc>
          <w:tcPr>
            <w:tcW w:w="2070" w:type="dxa"/>
            <w:tcBorders>
              <w:top w:val="nil"/>
              <w:bottom w:val="nil"/>
            </w:tcBorders>
          </w:tcPr>
          <w:p w:rsidR="00000000" w:rsidRDefault="00000000">
            <w:pPr>
              <w:pStyle w:val="aa"/>
              <w:spacing w:line="240" w:lineRule="auto"/>
              <w:jc w:val="center"/>
              <w:rPr>
                <w:lang w:val="fr-FR"/>
              </w:rPr>
            </w:pPr>
            <w:r>
              <w:rPr>
                <w:lang w:val="fr-FR"/>
              </w:rPr>
              <w:t>72.1</w:t>
            </w:r>
          </w:p>
        </w:tc>
      </w:tr>
      <w:tr w:rsidR="00000000">
        <w:tblPrEx>
          <w:tblCellMar>
            <w:top w:w="0" w:type="dxa"/>
            <w:bottom w:w="0" w:type="dxa"/>
          </w:tblCellMar>
        </w:tblPrEx>
        <w:tc>
          <w:tcPr>
            <w:tcW w:w="2595" w:type="dxa"/>
            <w:tcBorders>
              <w:top w:val="nil"/>
              <w:bottom w:val="nil"/>
            </w:tcBorders>
          </w:tcPr>
          <w:p w:rsidR="00000000" w:rsidRDefault="00000000">
            <w:pPr>
              <w:pStyle w:val="aa"/>
              <w:spacing w:line="240" w:lineRule="auto"/>
              <w:rPr>
                <w:rFonts w:hint="eastAsia"/>
                <w:lang w:val="fr-FR"/>
              </w:rPr>
            </w:pPr>
            <w:r>
              <w:rPr>
                <w:rFonts w:hint="eastAsia"/>
                <w:lang w:val="fr-FR"/>
              </w:rPr>
              <w:t>小儿麻痹症</w:t>
            </w:r>
          </w:p>
        </w:tc>
        <w:tc>
          <w:tcPr>
            <w:tcW w:w="2100" w:type="dxa"/>
            <w:tcBorders>
              <w:top w:val="nil"/>
              <w:bottom w:val="nil"/>
            </w:tcBorders>
          </w:tcPr>
          <w:p w:rsidR="00000000" w:rsidRDefault="00000000">
            <w:pPr>
              <w:pStyle w:val="aa"/>
              <w:spacing w:line="240" w:lineRule="auto"/>
              <w:jc w:val="center"/>
              <w:rPr>
                <w:lang w:val="fr-FR"/>
              </w:rPr>
            </w:pPr>
            <w:r>
              <w:rPr>
                <w:lang w:val="fr-FR"/>
              </w:rPr>
              <w:t>81</w:t>
            </w:r>
          </w:p>
        </w:tc>
        <w:tc>
          <w:tcPr>
            <w:tcW w:w="1995" w:type="dxa"/>
            <w:tcBorders>
              <w:top w:val="nil"/>
              <w:bottom w:val="nil"/>
            </w:tcBorders>
          </w:tcPr>
          <w:p w:rsidR="00000000" w:rsidRDefault="00000000">
            <w:pPr>
              <w:pStyle w:val="aa"/>
              <w:spacing w:line="240" w:lineRule="auto"/>
              <w:jc w:val="center"/>
              <w:rPr>
                <w:rFonts w:hint="eastAsia"/>
                <w:lang w:val="fr-FR"/>
              </w:rPr>
            </w:pPr>
            <w:r>
              <w:rPr>
                <w:lang w:val="fr-FR"/>
              </w:rPr>
              <w:t>80</w:t>
            </w:r>
          </w:p>
        </w:tc>
        <w:tc>
          <w:tcPr>
            <w:tcW w:w="2070" w:type="dxa"/>
            <w:tcBorders>
              <w:top w:val="nil"/>
              <w:bottom w:val="nil"/>
            </w:tcBorders>
          </w:tcPr>
          <w:p w:rsidR="00000000" w:rsidRDefault="00000000">
            <w:pPr>
              <w:pStyle w:val="aa"/>
              <w:spacing w:line="240" w:lineRule="auto"/>
              <w:jc w:val="center"/>
              <w:rPr>
                <w:lang w:val="fr-FR"/>
              </w:rPr>
            </w:pPr>
            <w:r>
              <w:rPr>
                <w:lang w:val="fr-FR"/>
              </w:rPr>
              <w:t>72.1</w:t>
            </w:r>
          </w:p>
        </w:tc>
      </w:tr>
      <w:tr w:rsidR="00000000">
        <w:tblPrEx>
          <w:tblCellMar>
            <w:top w:w="0" w:type="dxa"/>
            <w:bottom w:w="0" w:type="dxa"/>
          </w:tblCellMar>
        </w:tblPrEx>
        <w:tc>
          <w:tcPr>
            <w:tcW w:w="2595" w:type="dxa"/>
            <w:tcBorders>
              <w:top w:val="nil"/>
              <w:bottom w:val="nil"/>
            </w:tcBorders>
          </w:tcPr>
          <w:p w:rsidR="00000000" w:rsidRDefault="00000000">
            <w:pPr>
              <w:pStyle w:val="aa"/>
              <w:spacing w:line="240" w:lineRule="auto"/>
              <w:rPr>
                <w:rFonts w:hint="eastAsia"/>
                <w:lang w:val="fr-FR"/>
              </w:rPr>
            </w:pPr>
            <w:r>
              <w:rPr>
                <w:rFonts w:hint="eastAsia"/>
              </w:rPr>
              <w:t>麻疹</w:t>
            </w:r>
          </w:p>
        </w:tc>
        <w:tc>
          <w:tcPr>
            <w:tcW w:w="2100" w:type="dxa"/>
            <w:tcBorders>
              <w:top w:val="nil"/>
              <w:bottom w:val="nil"/>
            </w:tcBorders>
          </w:tcPr>
          <w:p w:rsidR="00000000" w:rsidRDefault="00000000">
            <w:pPr>
              <w:pStyle w:val="aa"/>
              <w:spacing w:line="240" w:lineRule="auto"/>
              <w:jc w:val="center"/>
              <w:rPr>
                <w:lang w:val="fr-FR"/>
              </w:rPr>
            </w:pPr>
            <w:r>
              <w:rPr>
                <w:lang w:val="fr-FR"/>
              </w:rPr>
              <w:t>71</w:t>
            </w:r>
          </w:p>
        </w:tc>
        <w:tc>
          <w:tcPr>
            <w:tcW w:w="1995" w:type="dxa"/>
            <w:tcBorders>
              <w:top w:val="nil"/>
              <w:bottom w:val="nil"/>
            </w:tcBorders>
          </w:tcPr>
          <w:p w:rsidR="00000000" w:rsidRDefault="00000000">
            <w:pPr>
              <w:pStyle w:val="aa"/>
              <w:spacing w:line="240" w:lineRule="auto"/>
              <w:jc w:val="center"/>
              <w:rPr>
                <w:rFonts w:hint="eastAsia"/>
                <w:lang w:val="fr-FR"/>
              </w:rPr>
            </w:pPr>
            <w:r>
              <w:rPr>
                <w:lang w:val="fr-FR"/>
              </w:rPr>
              <w:t>93</w:t>
            </w:r>
          </w:p>
        </w:tc>
        <w:tc>
          <w:tcPr>
            <w:tcW w:w="2070" w:type="dxa"/>
            <w:tcBorders>
              <w:top w:val="nil"/>
              <w:bottom w:val="nil"/>
            </w:tcBorders>
          </w:tcPr>
          <w:p w:rsidR="00000000" w:rsidRDefault="00000000">
            <w:pPr>
              <w:pStyle w:val="aa"/>
              <w:spacing w:line="240" w:lineRule="auto"/>
              <w:jc w:val="center"/>
              <w:rPr>
                <w:lang w:val="fr-FR"/>
              </w:rPr>
            </w:pPr>
            <w:r>
              <w:rPr>
                <w:lang w:val="fr-FR"/>
              </w:rPr>
              <w:t>76.6</w:t>
            </w:r>
          </w:p>
        </w:tc>
      </w:tr>
      <w:tr w:rsidR="00000000">
        <w:tblPrEx>
          <w:tblCellMar>
            <w:top w:w="0" w:type="dxa"/>
            <w:bottom w:w="0" w:type="dxa"/>
          </w:tblCellMar>
        </w:tblPrEx>
        <w:tc>
          <w:tcPr>
            <w:tcW w:w="2595" w:type="dxa"/>
            <w:tcBorders>
              <w:top w:val="nil"/>
              <w:bottom w:val="nil"/>
            </w:tcBorders>
          </w:tcPr>
          <w:p w:rsidR="00000000" w:rsidRDefault="00000000">
            <w:pPr>
              <w:pStyle w:val="aa"/>
              <w:spacing w:line="240" w:lineRule="auto"/>
              <w:rPr>
                <w:rFonts w:hint="eastAsia"/>
                <w:lang w:val="fr-FR"/>
              </w:rPr>
            </w:pPr>
            <w:r>
              <w:rPr>
                <w:rFonts w:hint="eastAsia"/>
              </w:rPr>
              <w:t>乙型肝炎</w:t>
            </w:r>
          </w:p>
        </w:tc>
        <w:tc>
          <w:tcPr>
            <w:tcW w:w="2100" w:type="dxa"/>
            <w:tcBorders>
              <w:top w:val="nil"/>
              <w:bottom w:val="nil"/>
            </w:tcBorders>
          </w:tcPr>
          <w:p w:rsidR="00000000" w:rsidRDefault="00000000">
            <w:pPr>
              <w:pStyle w:val="aa"/>
              <w:spacing w:line="240" w:lineRule="auto"/>
              <w:jc w:val="center"/>
              <w:rPr>
                <w:lang w:val="fr-FR"/>
              </w:rPr>
            </w:pPr>
          </w:p>
        </w:tc>
        <w:tc>
          <w:tcPr>
            <w:tcW w:w="1995" w:type="dxa"/>
            <w:tcBorders>
              <w:top w:val="nil"/>
              <w:bottom w:val="nil"/>
            </w:tcBorders>
          </w:tcPr>
          <w:p w:rsidR="00000000" w:rsidRDefault="00000000">
            <w:pPr>
              <w:pStyle w:val="aa"/>
              <w:spacing w:line="240" w:lineRule="auto"/>
              <w:jc w:val="center"/>
              <w:rPr>
                <w:rFonts w:hint="eastAsia"/>
              </w:rPr>
            </w:pPr>
            <w:r>
              <w:t>58</w:t>
            </w:r>
          </w:p>
        </w:tc>
        <w:tc>
          <w:tcPr>
            <w:tcW w:w="2070" w:type="dxa"/>
            <w:tcBorders>
              <w:top w:val="nil"/>
              <w:bottom w:val="nil"/>
            </w:tcBorders>
          </w:tcPr>
          <w:p w:rsidR="00000000" w:rsidRDefault="00000000">
            <w:pPr>
              <w:pStyle w:val="aa"/>
              <w:spacing w:line="240" w:lineRule="auto"/>
              <w:jc w:val="center"/>
            </w:pPr>
            <w:r>
              <w:t>45.5</w:t>
            </w:r>
          </w:p>
        </w:tc>
      </w:tr>
      <w:tr w:rsidR="00000000">
        <w:tblPrEx>
          <w:tblCellMar>
            <w:top w:w="0" w:type="dxa"/>
            <w:bottom w:w="0" w:type="dxa"/>
          </w:tblCellMar>
        </w:tblPrEx>
        <w:tc>
          <w:tcPr>
            <w:tcW w:w="2595" w:type="dxa"/>
            <w:tcBorders>
              <w:top w:val="nil"/>
            </w:tcBorders>
          </w:tcPr>
          <w:p w:rsidR="00000000" w:rsidRDefault="00000000">
            <w:pPr>
              <w:pStyle w:val="aa"/>
              <w:spacing w:line="240" w:lineRule="auto"/>
            </w:pPr>
            <w:r>
              <w:rPr>
                <w:rFonts w:hint="eastAsia"/>
              </w:rPr>
              <w:t>(</w:t>
            </w:r>
            <w:r>
              <w:rPr>
                <w:rFonts w:hint="eastAsia"/>
              </w:rPr>
              <w:t>卡介苗</w:t>
            </w:r>
            <w:r>
              <w:t>)</w:t>
            </w:r>
          </w:p>
        </w:tc>
        <w:tc>
          <w:tcPr>
            <w:tcW w:w="2100" w:type="dxa"/>
            <w:tcBorders>
              <w:top w:val="nil"/>
            </w:tcBorders>
          </w:tcPr>
          <w:p w:rsidR="00000000" w:rsidRDefault="00000000">
            <w:pPr>
              <w:pStyle w:val="aa"/>
              <w:spacing w:line="240" w:lineRule="auto"/>
              <w:ind w:right="964"/>
              <w:jc w:val="right"/>
            </w:pPr>
          </w:p>
        </w:tc>
        <w:tc>
          <w:tcPr>
            <w:tcW w:w="1995" w:type="dxa"/>
            <w:tcBorders>
              <w:top w:val="nil"/>
            </w:tcBorders>
          </w:tcPr>
          <w:p w:rsidR="00000000" w:rsidRDefault="00000000">
            <w:pPr>
              <w:pStyle w:val="aa"/>
              <w:spacing w:line="240" w:lineRule="auto"/>
              <w:jc w:val="center"/>
              <w:rPr>
                <w:rFonts w:hint="eastAsia"/>
              </w:rPr>
            </w:pPr>
            <w:r>
              <w:t>39</w:t>
            </w:r>
          </w:p>
        </w:tc>
        <w:tc>
          <w:tcPr>
            <w:tcW w:w="2070" w:type="dxa"/>
            <w:tcBorders>
              <w:top w:val="nil"/>
            </w:tcBorders>
          </w:tcPr>
          <w:p w:rsidR="00000000" w:rsidRDefault="00000000">
            <w:pPr>
              <w:pStyle w:val="aa"/>
              <w:spacing w:line="240" w:lineRule="auto"/>
              <w:jc w:val="center"/>
            </w:pPr>
            <w:r>
              <w:t>67.9</w:t>
            </w:r>
          </w:p>
        </w:tc>
      </w:tr>
    </w:tbl>
    <w:p w:rsidR="00000000" w:rsidRDefault="00000000">
      <w:pPr>
        <w:spacing w:before="120"/>
        <w:rPr>
          <w:rFonts w:hint="eastAsia"/>
        </w:rPr>
      </w:pPr>
      <w:r>
        <w:rPr>
          <w:rFonts w:hint="eastAsia"/>
        </w:rPr>
        <w:tab/>
        <w:t xml:space="preserve">489.  </w:t>
      </w:r>
      <w:r>
        <w:rPr>
          <w:rFonts w:hint="eastAsia"/>
        </w:rPr>
        <w:t>在免疫方面，根据儿童卫生研究所的报告，采取了以下措施：</w:t>
      </w:r>
    </w:p>
    <w:p w:rsidR="00000000" w:rsidRDefault="00000000">
      <w:pPr>
        <w:pStyle w:val="a0"/>
        <w:tabs>
          <w:tab w:val="num" w:pos="1550"/>
        </w:tabs>
        <w:ind w:left="1550"/>
        <w:rPr>
          <w:rFonts w:hint="eastAsia"/>
        </w:rPr>
      </w:pPr>
      <w:r>
        <w:rPr>
          <w:rFonts w:hint="eastAsia"/>
        </w:rPr>
        <w:t>题为“希腊国家免疫方案”</w:t>
      </w:r>
      <w:r>
        <w:rPr>
          <w:rFonts w:hint="eastAsia"/>
        </w:rPr>
        <w:t>(1997)</w:t>
      </w:r>
      <w:r>
        <w:rPr>
          <w:rFonts w:hint="eastAsia"/>
        </w:rPr>
        <w:t>的资料，发给所有儿科医生和卫生中心；</w:t>
      </w:r>
    </w:p>
    <w:p w:rsidR="00000000" w:rsidRDefault="00000000">
      <w:pPr>
        <w:pStyle w:val="a0"/>
        <w:tabs>
          <w:tab w:val="num" w:pos="1550"/>
        </w:tabs>
        <w:ind w:left="1550"/>
        <w:rPr>
          <w:rFonts w:hint="eastAsia"/>
        </w:rPr>
      </w:pPr>
      <w:r>
        <w:rPr>
          <w:rFonts w:hint="eastAsia"/>
        </w:rPr>
        <w:t>决定儿童在</w:t>
      </w:r>
      <w:r>
        <w:rPr>
          <w:rFonts w:hint="eastAsia"/>
        </w:rPr>
        <w:t>4-6</w:t>
      </w:r>
      <w:r>
        <w:rPr>
          <w:rFonts w:hint="eastAsia"/>
        </w:rPr>
        <w:t>岁时，而不是</w:t>
      </w:r>
      <w:r>
        <w:rPr>
          <w:rFonts w:hint="eastAsia"/>
        </w:rPr>
        <w:t>11-12</w:t>
      </w:r>
      <w:r>
        <w:rPr>
          <w:rFonts w:hint="eastAsia"/>
        </w:rPr>
        <w:t>岁时做第二次麻疹的免疫接种；</w:t>
      </w:r>
    </w:p>
    <w:p w:rsidR="00000000" w:rsidRDefault="00000000">
      <w:pPr>
        <w:pStyle w:val="a0"/>
        <w:tabs>
          <w:tab w:val="num" w:pos="1550"/>
        </w:tabs>
        <w:ind w:left="1550"/>
        <w:rPr>
          <w:rFonts w:hint="eastAsia"/>
        </w:rPr>
      </w:pPr>
      <w:r>
        <w:rPr>
          <w:rFonts w:hint="eastAsia"/>
        </w:rPr>
        <w:t>国家免疫计划规定对新生儿和</w:t>
      </w:r>
      <w:r>
        <w:rPr>
          <w:rFonts w:hint="eastAsia"/>
        </w:rPr>
        <w:t>11-12</w:t>
      </w:r>
      <w:r>
        <w:rPr>
          <w:rFonts w:hint="eastAsia"/>
        </w:rPr>
        <w:t>岁的儿童做预防乙型肝炎的免疫接种</w:t>
      </w:r>
      <w:r>
        <w:rPr>
          <w:rFonts w:hint="eastAsia"/>
        </w:rPr>
        <w:t>(APY1/OIK 5844</w:t>
      </w:r>
      <w:r>
        <w:rPr>
          <w:rFonts w:hint="eastAsia"/>
        </w:rPr>
        <w:t>号法，</w:t>
      </w:r>
      <w:r>
        <w:rPr>
          <w:rFonts w:hint="eastAsia"/>
        </w:rPr>
        <w:t>1997</w:t>
      </w:r>
      <w:r>
        <w:rPr>
          <w:rFonts w:hint="eastAsia"/>
        </w:rPr>
        <w:t>年</w:t>
      </w:r>
      <w:r>
        <w:rPr>
          <w:rFonts w:hint="eastAsia"/>
        </w:rPr>
        <w:t>11</w:t>
      </w:r>
      <w:r>
        <w:rPr>
          <w:rFonts w:hint="eastAsia"/>
        </w:rPr>
        <w:t>月</w:t>
      </w:r>
      <w:r>
        <w:rPr>
          <w:rFonts w:hint="eastAsia"/>
        </w:rPr>
        <w:t>19</w:t>
      </w:r>
      <w:r>
        <w:rPr>
          <w:rFonts w:hint="eastAsia"/>
        </w:rPr>
        <w:t>日</w:t>
      </w:r>
      <w:r>
        <w:rPr>
          <w:rFonts w:hint="eastAsia"/>
        </w:rPr>
        <w:t>)</w:t>
      </w:r>
      <w:r>
        <w:rPr>
          <w:rFonts w:hint="eastAsia"/>
        </w:rPr>
        <w:t>。</w:t>
      </w:r>
    </w:p>
    <w:p w:rsidR="00000000" w:rsidRDefault="00000000">
      <w:pPr>
        <w:rPr>
          <w:rFonts w:hint="eastAsia"/>
        </w:rPr>
      </w:pPr>
      <w:r>
        <w:rPr>
          <w:rFonts w:hint="eastAsia"/>
        </w:rPr>
        <w:tab/>
        <w:t xml:space="preserve">490.  </w:t>
      </w:r>
      <w:r>
        <w:rPr>
          <w:rFonts w:hint="eastAsia"/>
        </w:rPr>
        <w:t>出生时的预期寿命在</w:t>
      </w:r>
      <w:r>
        <w:rPr>
          <w:rFonts w:hint="eastAsia"/>
        </w:rPr>
        <w:t>1960-1997</w:t>
      </w:r>
      <w:r>
        <w:rPr>
          <w:rFonts w:hint="eastAsia"/>
        </w:rPr>
        <w:t>年期间，男人从</w:t>
      </w:r>
      <w:r>
        <w:rPr>
          <w:rFonts w:hint="eastAsia"/>
        </w:rPr>
        <w:t>67.5</w:t>
      </w:r>
      <w:r>
        <w:rPr>
          <w:rFonts w:hint="eastAsia"/>
        </w:rPr>
        <w:t>岁增加到</w:t>
      </w:r>
      <w:r>
        <w:rPr>
          <w:rFonts w:hint="eastAsia"/>
        </w:rPr>
        <w:t>75.3</w:t>
      </w:r>
      <w:r>
        <w:rPr>
          <w:rFonts w:hint="eastAsia"/>
        </w:rPr>
        <w:t>岁，妇女从</w:t>
      </w:r>
      <w:r>
        <w:rPr>
          <w:rFonts w:hint="eastAsia"/>
        </w:rPr>
        <w:t>70.7</w:t>
      </w:r>
      <w:r>
        <w:rPr>
          <w:rFonts w:hint="eastAsia"/>
        </w:rPr>
        <w:t>岁增加到</w:t>
      </w:r>
      <w:r>
        <w:rPr>
          <w:rFonts w:hint="eastAsia"/>
        </w:rPr>
        <w:t>80.6</w:t>
      </w:r>
      <w:r>
        <w:rPr>
          <w:rFonts w:hint="eastAsia"/>
        </w:rPr>
        <w:t>岁。这一增加主要是由于在这段时间里婴儿死亡率大幅度下降。</w:t>
      </w:r>
      <w:r>
        <w:rPr>
          <w:rFonts w:hint="eastAsia"/>
        </w:rPr>
        <w:t>65</w:t>
      </w:r>
      <w:r>
        <w:rPr>
          <w:rFonts w:hint="eastAsia"/>
        </w:rPr>
        <w:t>岁以上的人，预期寿命在</w:t>
      </w:r>
      <w:r>
        <w:rPr>
          <w:rFonts w:hint="eastAsia"/>
        </w:rPr>
        <w:t>1960-1997</w:t>
      </w:r>
      <w:r>
        <w:rPr>
          <w:rFonts w:hint="eastAsia"/>
        </w:rPr>
        <w:t>年期间也有增加，男人从</w:t>
      </w:r>
      <w:r>
        <w:rPr>
          <w:rFonts w:hint="eastAsia"/>
        </w:rPr>
        <w:t>13.5</w:t>
      </w:r>
      <w:r>
        <w:rPr>
          <w:rFonts w:hint="eastAsia"/>
        </w:rPr>
        <w:t>年增加到</w:t>
      </w:r>
      <w:r>
        <w:rPr>
          <w:rFonts w:hint="eastAsia"/>
        </w:rPr>
        <w:t>16.2</w:t>
      </w:r>
      <w:r>
        <w:rPr>
          <w:rFonts w:hint="eastAsia"/>
        </w:rPr>
        <w:t>年，妇女从</w:t>
      </w:r>
      <w:r>
        <w:rPr>
          <w:rFonts w:hint="eastAsia"/>
        </w:rPr>
        <w:t>15.1</w:t>
      </w:r>
      <w:r>
        <w:rPr>
          <w:rFonts w:hint="eastAsia"/>
        </w:rPr>
        <w:t>年增加到</w:t>
      </w:r>
      <w:r>
        <w:rPr>
          <w:rFonts w:hint="eastAsia"/>
        </w:rPr>
        <w:t>18.7</w:t>
      </w:r>
      <w:r>
        <w:rPr>
          <w:rFonts w:hint="eastAsia"/>
        </w:rPr>
        <w:t>年，原因是相应年龄死亡率的降低。希腊人口的总死亡率</w:t>
      </w:r>
      <w:r>
        <w:rPr>
          <w:rFonts w:hint="eastAsia"/>
        </w:rPr>
        <w:t>(</w:t>
      </w:r>
      <w:r>
        <w:rPr>
          <w:rFonts w:hint="eastAsia"/>
        </w:rPr>
        <w:t>从</w:t>
      </w:r>
      <w:r>
        <w:rPr>
          <w:rFonts w:hint="eastAsia"/>
        </w:rPr>
        <w:t>1970-1996</w:t>
      </w:r>
      <w:r>
        <w:rPr>
          <w:rFonts w:hint="eastAsia"/>
        </w:rPr>
        <w:t>年</w:t>
      </w:r>
      <w:r>
        <w:rPr>
          <w:rFonts w:hint="eastAsia"/>
        </w:rPr>
        <w:t>)</w:t>
      </w:r>
      <w:r>
        <w:rPr>
          <w:rFonts w:hint="eastAsia"/>
        </w:rPr>
        <w:t>，也在时间上表现出明显的下降趋势。</w:t>
      </w:r>
    </w:p>
    <w:p w:rsidR="00000000" w:rsidRDefault="00000000">
      <w:pPr>
        <w:rPr>
          <w:rFonts w:hint="eastAsia"/>
        </w:rPr>
      </w:pPr>
      <w:r>
        <w:rPr>
          <w:rFonts w:hint="eastAsia"/>
        </w:rPr>
        <w:tab/>
        <w:t xml:space="preserve">491.  </w:t>
      </w:r>
      <w:r>
        <w:rPr>
          <w:rFonts w:hint="eastAsia"/>
        </w:rPr>
        <w:t>整个人口均可在短时间内</w:t>
      </w:r>
      <w:r>
        <w:rPr>
          <w:rFonts w:hint="eastAsia"/>
        </w:rPr>
        <w:t>(</w:t>
      </w:r>
      <w:r>
        <w:rPr>
          <w:rFonts w:hint="eastAsia"/>
        </w:rPr>
        <w:t>乘车半小时到</w:t>
      </w:r>
      <w:r>
        <w:rPr>
          <w:rFonts w:hint="eastAsia"/>
        </w:rPr>
        <w:t>1</w:t>
      </w:r>
      <w:r>
        <w:rPr>
          <w:rFonts w:hint="eastAsia"/>
        </w:rPr>
        <w:t>小时</w:t>
      </w:r>
      <w:r>
        <w:rPr>
          <w:rFonts w:hint="eastAsia"/>
        </w:rPr>
        <w:t>)</w:t>
      </w:r>
      <w:r>
        <w:rPr>
          <w:rFonts w:hint="eastAsia"/>
        </w:rPr>
        <w:t>找到经过培训的人员治疗常见病和受伤。不应忘记，国家卫生系统尽管有其问题，但已在全国建立并分布在各地，特别是各卫生中心和公立医院中的初级卫生保健服务。</w:t>
      </w:r>
    </w:p>
    <w:p w:rsidR="00000000" w:rsidRDefault="00000000">
      <w:pPr>
        <w:rPr>
          <w:rFonts w:hint="eastAsia"/>
        </w:rPr>
      </w:pPr>
      <w:r>
        <w:rPr>
          <w:rFonts w:hint="eastAsia"/>
        </w:rPr>
        <w:tab/>
        <w:t xml:space="preserve">492.  </w:t>
      </w:r>
      <w:r>
        <w:rPr>
          <w:rFonts w:hint="eastAsia"/>
        </w:rPr>
        <w:t>此外，国家急救中心正在逐渐完成在全国各地的发展，该中心拥有一大批急救车，并有迅速运输病人的适当设备，同时中心还有自己的直升飞机，可将严重事故的伤员从偏远和交通不便地区空运出来。</w:t>
      </w:r>
      <w:r>
        <w:rPr>
          <w:rFonts w:hint="eastAsia"/>
        </w:rPr>
        <w:t>2000</w:t>
      </w:r>
      <w:r>
        <w:rPr>
          <w:rFonts w:hint="eastAsia"/>
        </w:rPr>
        <w:t>年，有</w:t>
      </w:r>
      <w:r>
        <w:rPr>
          <w:rFonts w:hint="eastAsia"/>
        </w:rPr>
        <w:t>27</w:t>
      </w:r>
      <w:r>
        <w:rPr>
          <w:rFonts w:hint="eastAsia"/>
        </w:rPr>
        <w:t>个早产婴儿、</w:t>
      </w:r>
      <w:r>
        <w:rPr>
          <w:rFonts w:hint="eastAsia"/>
        </w:rPr>
        <w:t>155</w:t>
      </w:r>
      <w:r>
        <w:rPr>
          <w:rFonts w:hint="eastAsia"/>
        </w:rPr>
        <w:t>个新生婴儿、</w:t>
      </w:r>
      <w:r>
        <w:rPr>
          <w:rFonts w:hint="eastAsia"/>
        </w:rPr>
        <w:t>138</w:t>
      </w:r>
      <w:r>
        <w:rPr>
          <w:rFonts w:hint="eastAsia"/>
        </w:rPr>
        <w:t>个</w:t>
      </w:r>
      <w:r>
        <w:rPr>
          <w:rFonts w:hint="eastAsia"/>
        </w:rPr>
        <w:t>3-10</w:t>
      </w:r>
      <w:r>
        <w:rPr>
          <w:rFonts w:hint="eastAsia"/>
        </w:rPr>
        <w:t>岁的儿童，和</w:t>
      </w:r>
      <w:r>
        <w:rPr>
          <w:rFonts w:hint="eastAsia"/>
        </w:rPr>
        <w:t>278</w:t>
      </w:r>
      <w:r>
        <w:rPr>
          <w:rFonts w:hint="eastAsia"/>
        </w:rPr>
        <w:t>个</w:t>
      </w:r>
      <w:r>
        <w:rPr>
          <w:rFonts w:hint="eastAsia"/>
        </w:rPr>
        <w:t>11-20</w:t>
      </w:r>
      <w:r>
        <w:rPr>
          <w:rFonts w:hint="eastAsia"/>
        </w:rPr>
        <w:t>岁的儿童和成年人经空运送往医院。</w:t>
      </w:r>
    </w:p>
    <w:p w:rsidR="00000000" w:rsidRDefault="00000000">
      <w:pPr>
        <w:rPr>
          <w:rFonts w:hint="eastAsia"/>
        </w:rPr>
      </w:pPr>
      <w:r>
        <w:rPr>
          <w:rFonts w:hint="eastAsia"/>
        </w:rPr>
        <w:tab/>
        <w:t xml:space="preserve">493.  </w:t>
      </w:r>
      <w:r>
        <w:rPr>
          <w:rFonts w:hint="eastAsia"/>
        </w:rPr>
        <w:t>怀孕妇女可得到受过培训的人员检查治疗的比例达到</w:t>
      </w:r>
      <w:r>
        <w:rPr>
          <w:rFonts w:hint="eastAsia"/>
        </w:rPr>
        <w:t>99%</w:t>
      </w:r>
      <w:r>
        <w:rPr>
          <w:rFonts w:hint="eastAsia"/>
        </w:rPr>
        <w:t>，分娩过程中可得到受过培训的人员咨询帮助的比例，达到</w:t>
      </w:r>
      <w:r>
        <w:rPr>
          <w:rFonts w:hint="eastAsia"/>
        </w:rPr>
        <w:t>99.8%</w:t>
      </w:r>
      <w:r>
        <w:rPr>
          <w:rFonts w:hint="eastAsia"/>
        </w:rPr>
        <w:t>。</w:t>
      </w:r>
      <w:r>
        <w:rPr>
          <w:rFonts w:hint="eastAsia"/>
        </w:rPr>
        <w:t>1983</w:t>
      </w:r>
      <w:r>
        <w:rPr>
          <w:rFonts w:hint="eastAsia"/>
        </w:rPr>
        <w:t>年，</w:t>
      </w:r>
      <w:r>
        <w:rPr>
          <w:rFonts w:hint="eastAsia"/>
        </w:rPr>
        <w:t>99%</w:t>
      </w:r>
      <w:r>
        <w:rPr>
          <w:rFonts w:hint="eastAsia"/>
        </w:rPr>
        <w:t>的妇女在分娩期间可得到护理，</w:t>
      </w:r>
      <w:r>
        <w:rPr>
          <w:rFonts w:hint="eastAsia"/>
        </w:rPr>
        <w:t>1988</w:t>
      </w:r>
      <w:r>
        <w:rPr>
          <w:rFonts w:hint="eastAsia"/>
        </w:rPr>
        <w:t>年达到</w:t>
      </w:r>
      <w:r>
        <w:rPr>
          <w:rFonts w:hint="eastAsia"/>
        </w:rPr>
        <w:t>99.8%</w:t>
      </w:r>
      <w:r>
        <w:rPr>
          <w:rFonts w:hint="eastAsia"/>
        </w:rPr>
        <w:t>。</w:t>
      </w:r>
      <w:r>
        <w:rPr>
          <w:rFonts w:hint="eastAsia"/>
        </w:rPr>
        <w:t>1990</w:t>
      </w:r>
      <w:r>
        <w:rPr>
          <w:rFonts w:hint="eastAsia"/>
        </w:rPr>
        <w:t>年产妇死亡率为</w:t>
      </w:r>
      <w:r>
        <w:rPr>
          <w:rFonts w:hint="eastAsia"/>
        </w:rPr>
        <w:t>0.98%</w:t>
      </w:r>
      <w:r>
        <w:rPr>
          <w:rFonts w:hint="eastAsia"/>
        </w:rPr>
        <w:t>，</w:t>
      </w:r>
      <w:r>
        <w:rPr>
          <w:rFonts w:hint="eastAsia"/>
        </w:rPr>
        <w:t>1998</w:t>
      </w:r>
      <w:r>
        <w:rPr>
          <w:rFonts w:hint="eastAsia"/>
        </w:rPr>
        <w:t>年降到</w:t>
      </w:r>
      <w:r>
        <w:rPr>
          <w:rFonts w:hint="eastAsia"/>
        </w:rPr>
        <w:t>0.697%</w:t>
      </w:r>
      <w:r>
        <w:rPr>
          <w:rFonts w:hint="eastAsia"/>
        </w:rPr>
        <w:t>。</w:t>
      </w:r>
    </w:p>
    <w:p w:rsidR="00000000" w:rsidRDefault="00000000">
      <w:pPr>
        <w:rPr>
          <w:rFonts w:hint="eastAsia"/>
        </w:rPr>
      </w:pPr>
      <w:r>
        <w:rPr>
          <w:rFonts w:hint="eastAsia"/>
        </w:rPr>
        <w:tab/>
        <w:t>494.  99.8%</w:t>
      </w:r>
      <w:r>
        <w:rPr>
          <w:rFonts w:hint="eastAsia"/>
        </w:rPr>
        <w:t>的分娩是在有组织的接生和产科诊所</w:t>
      </w:r>
      <w:r>
        <w:rPr>
          <w:rFonts w:hint="eastAsia"/>
        </w:rPr>
        <w:t>(</w:t>
      </w:r>
      <w:r>
        <w:rPr>
          <w:rFonts w:hint="eastAsia"/>
        </w:rPr>
        <w:t>公立和私立</w:t>
      </w:r>
      <w:r>
        <w:rPr>
          <w:rFonts w:hint="eastAsia"/>
        </w:rPr>
        <w:t>)</w:t>
      </w:r>
      <w:r>
        <w:rPr>
          <w:rFonts w:hint="eastAsia"/>
        </w:rPr>
        <w:t>进行的，并得到儿科医生的协助，由儿科医生对新生儿做检查已成为普遍做法。所有婴儿均可得到经过培训的人员护理</w:t>
      </w:r>
      <w:r>
        <w:rPr>
          <w:rFonts w:hint="eastAsia"/>
        </w:rPr>
        <w:t>(</w:t>
      </w:r>
      <w:r>
        <w:rPr>
          <w:rFonts w:hint="eastAsia"/>
        </w:rPr>
        <w:t>门诊儿科医生的帮助、医院、卫生中心、妇产中心、社会保险基金</w:t>
      </w:r>
      <w:r>
        <w:rPr>
          <w:rFonts w:hint="eastAsia"/>
        </w:rPr>
        <w:t>(IKA)</w:t>
      </w:r>
      <w:r>
        <w:rPr>
          <w:rFonts w:hint="eastAsia"/>
        </w:rPr>
        <w:t>和福利组织</w:t>
      </w:r>
      <w:r>
        <w:rPr>
          <w:rFonts w:hint="eastAsia"/>
        </w:rPr>
        <w:t>(PIKPA)</w:t>
      </w:r>
      <w:r>
        <w:rPr>
          <w:rFonts w:hint="eastAsia"/>
        </w:rPr>
        <w:t>的医疗单位、私人医生等</w:t>
      </w:r>
      <w:r>
        <w:rPr>
          <w:rFonts w:hint="eastAsia"/>
        </w:rPr>
        <w:t>)</w:t>
      </w:r>
      <w:r>
        <w:rPr>
          <w:rFonts w:hint="eastAsia"/>
        </w:rPr>
        <w:t>。</w:t>
      </w:r>
    </w:p>
    <w:p w:rsidR="00000000" w:rsidRDefault="00000000">
      <w:pPr>
        <w:rPr>
          <w:rFonts w:hint="eastAsia"/>
        </w:rPr>
      </w:pPr>
      <w:r>
        <w:rPr>
          <w:rFonts w:hint="eastAsia"/>
        </w:rPr>
        <w:tab/>
        <w:t xml:space="preserve">495.  </w:t>
      </w:r>
      <w:r>
        <w:rPr>
          <w:rFonts w:hint="eastAsia"/>
        </w:rPr>
        <w:t>在希腊，有些群体的人健康状况较整个人口差。这些群体包括来自前苏联、前南斯拉夫、阿尔巴尼亚、东亚和中亚的难民和移民。一般而言，这些人群的健康情况与原籍国较差的健康情况有关。希腊作出了很多努力，采取了各种办法，改善这些群体的健康情况。</w:t>
      </w:r>
    </w:p>
    <w:p w:rsidR="00000000" w:rsidRDefault="00000000">
      <w:pPr>
        <w:rPr>
          <w:rFonts w:hint="eastAsia"/>
        </w:rPr>
      </w:pPr>
      <w:r>
        <w:rPr>
          <w:rFonts w:hint="eastAsia"/>
        </w:rPr>
        <w:tab/>
        <w:t xml:space="preserve">496.  </w:t>
      </w:r>
      <w:r>
        <w:rPr>
          <w:rFonts w:hint="eastAsia"/>
        </w:rPr>
        <w:t>生活困难的外国人可以免费到希腊的医院看病，无任何条件，急诊可得到免费治疗，不论他们的居住身份如何</w:t>
      </w:r>
      <w:r>
        <w:rPr>
          <w:rFonts w:hint="eastAsia"/>
        </w:rPr>
        <w:t>(</w:t>
      </w:r>
      <w:r>
        <w:rPr>
          <w:rFonts w:hint="eastAsia"/>
        </w:rPr>
        <w:t>合法还是不合法</w:t>
      </w:r>
      <w:r>
        <w:rPr>
          <w:rFonts w:hint="eastAsia"/>
        </w:rPr>
        <w:t>)</w:t>
      </w:r>
      <w:r>
        <w:rPr>
          <w:rFonts w:hint="eastAsia"/>
        </w:rPr>
        <w:t>。在一般情况下，他们得到与希腊公民同样的待遇。</w:t>
      </w:r>
    </w:p>
    <w:p w:rsidR="00000000" w:rsidRDefault="00000000">
      <w:pPr>
        <w:rPr>
          <w:rFonts w:hint="eastAsia"/>
        </w:rPr>
      </w:pPr>
      <w:r>
        <w:rPr>
          <w:rFonts w:hint="eastAsia"/>
        </w:rPr>
        <w:tab/>
        <w:t xml:space="preserve">497.  </w:t>
      </w:r>
      <w:r>
        <w:rPr>
          <w:rFonts w:hint="eastAsia"/>
        </w:rPr>
        <w:t>希腊的卫生专业人员一直在有计划地作出努力。使免疫接种计划</w:t>
      </w:r>
      <w:r>
        <w:rPr>
          <w:rFonts w:hint="eastAsia"/>
        </w:rPr>
        <w:t>(1996-1997)</w:t>
      </w:r>
      <w:r>
        <w:rPr>
          <w:rFonts w:hint="eastAsia"/>
        </w:rPr>
        <w:t>和一项新的执行中的计划，以及在计划生育方案上包括进流动人口。</w:t>
      </w:r>
    </w:p>
    <w:p w:rsidR="00000000" w:rsidRDefault="00000000">
      <w:pPr>
        <w:rPr>
          <w:rFonts w:hint="eastAsia"/>
        </w:rPr>
      </w:pPr>
      <w:r>
        <w:rPr>
          <w:rFonts w:hint="eastAsia"/>
        </w:rPr>
        <w:tab/>
        <w:t xml:space="preserve">498.  </w:t>
      </w:r>
      <w:r>
        <w:rPr>
          <w:rFonts w:hint="eastAsia"/>
        </w:rPr>
        <w:t>卫生专业人员查访难民营，向那里的人告知和使他们了解利用医疗服务的必要，不仅是作为治疗手段，而且主要是为了预防和卫生教育。尽管已经作出了努力，但由于记录方面的困难，仍没有掌握上述群体死亡率的准确数据。</w:t>
      </w:r>
    </w:p>
    <w:p w:rsidR="00000000" w:rsidRDefault="00000000">
      <w:pPr>
        <w:rPr>
          <w:rFonts w:hint="eastAsia"/>
        </w:rPr>
      </w:pPr>
      <w:r>
        <w:rPr>
          <w:rFonts w:hint="eastAsia"/>
        </w:rPr>
        <w:tab/>
        <w:t xml:space="preserve">499.  </w:t>
      </w:r>
      <w:r>
        <w:rPr>
          <w:rFonts w:hint="eastAsia"/>
          <w:spacing w:val="4"/>
        </w:rPr>
        <w:t>希腊还参加了对希腊北部边境地区脆弱移民群体的各种欧洲防治艾滋病和其它传染病和寄生虫病的方案</w:t>
      </w:r>
      <w:r>
        <w:rPr>
          <w:rFonts w:hint="eastAsia"/>
          <w:spacing w:val="4"/>
        </w:rPr>
        <w:t>(</w:t>
      </w:r>
      <w:r>
        <w:rPr>
          <w:rFonts w:hint="eastAsia"/>
          <w:spacing w:val="4"/>
        </w:rPr>
        <w:t>如“欧洲防治艾滋病”、“艾滋病和死亡”、“</w:t>
      </w:r>
      <w:r>
        <w:rPr>
          <w:spacing w:val="4"/>
        </w:rPr>
        <w:t xml:space="preserve">Umbrella - </w:t>
      </w:r>
      <w:r>
        <w:rPr>
          <w:rFonts w:hint="eastAsia"/>
          <w:spacing w:val="4"/>
        </w:rPr>
        <w:t xml:space="preserve">SPI </w:t>
      </w:r>
      <w:r>
        <w:rPr>
          <w:spacing w:val="4"/>
        </w:rPr>
        <w:t>Berlin</w:t>
      </w:r>
      <w:r>
        <w:rPr>
          <w:rFonts w:hint="eastAsia"/>
          <w:spacing w:val="4"/>
        </w:rPr>
        <w:t>”、“</w:t>
      </w:r>
      <w:r>
        <w:rPr>
          <w:spacing w:val="4"/>
        </w:rPr>
        <w:t>Eurobdn</w:t>
      </w:r>
      <w:r>
        <w:rPr>
          <w:rFonts w:hint="eastAsia"/>
          <w:spacing w:val="4"/>
        </w:rPr>
        <w:t>”、“</w:t>
      </w:r>
      <w:r>
        <w:rPr>
          <w:rFonts w:hint="eastAsia"/>
          <w:spacing w:val="4"/>
        </w:rPr>
        <w:t>E</w:t>
      </w:r>
      <w:r>
        <w:rPr>
          <w:spacing w:val="4"/>
        </w:rPr>
        <w:t>urodouble de Neige</w:t>
      </w:r>
      <w:r>
        <w:rPr>
          <w:rFonts w:hint="eastAsia"/>
          <w:spacing w:val="4"/>
        </w:rPr>
        <w:t>”、“学校预防艾滋病的评估方法”、“护照”、“</w:t>
      </w:r>
      <w:r>
        <w:rPr>
          <w:rFonts w:hint="eastAsia"/>
          <w:spacing w:val="4"/>
        </w:rPr>
        <w:t>Y</w:t>
      </w:r>
      <w:r>
        <w:rPr>
          <w:spacing w:val="4"/>
        </w:rPr>
        <w:t>outhstart Istos</w:t>
      </w:r>
      <w:r>
        <w:rPr>
          <w:rFonts w:hint="eastAsia"/>
          <w:spacing w:val="4"/>
        </w:rPr>
        <w:t>”等</w:t>
      </w:r>
      <w:r>
        <w:rPr>
          <w:rFonts w:hint="eastAsia"/>
          <w:spacing w:val="4"/>
        </w:rPr>
        <w:t>)</w:t>
      </w:r>
      <w:r>
        <w:rPr>
          <w:rFonts w:hint="eastAsia"/>
          <w:spacing w:val="4"/>
        </w:rPr>
        <w:t>。</w:t>
      </w:r>
    </w:p>
    <w:p w:rsidR="00000000" w:rsidRDefault="00000000">
      <w:pPr>
        <w:rPr>
          <w:rFonts w:hint="eastAsia"/>
        </w:rPr>
      </w:pPr>
      <w:r>
        <w:rPr>
          <w:rFonts w:hint="eastAsia"/>
        </w:rPr>
        <w:tab/>
        <w:t xml:space="preserve">500.  </w:t>
      </w:r>
      <w:r>
        <w:rPr>
          <w:rFonts w:hint="eastAsia"/>
        </w:rPr>
        <w:t>卫生和福利部除负责医疗外，还向部分人提供经济和社会帮助，这些人或者是希腊当局正式承认的难民，或者是出于人道主义考虑允许在希腊临时定居的人，以便解决他们的紧急需要。该部管理和维持一些难民营，提供食物和医疗。该部还参加了一些欧洲方案</w:t>
      </w:r>
      <w:r>
        <w:rPr>
          <w:rFonts w:hint="eastAsia"/>
        </w:rPr>
        <w:t>(</w:t>
      </w:r>
      <w:r>
        <w:rPr>
          <w:rFonts w:hint="eastAsia"/>
        </w:rPr>
        <w:t>如“</w:t>
      </w:r>
      <w:r>
        <w:t>Compass</w:t>
      </w:r>
      <w:r>
        <w:rPr>
          <w:rFonts w:hint="eastAsia"/>
        </w:rPr>
        <w:t>”、“难民信息和援助电话”等</w:t>
      </w:r>
      <w:r>
        <w:rPr>
          <w:rFonts w:hint="eastAsia"/>
        </w:rPr>
        <w:t>)</w:t>
      </w:r>
      <w:r>
        <w:rPr>
          <w:rFonts w:hint="eastAsia"/>
        </w:rPr>
        <w:t>，目的是帮助他们融入希腊社会，提供儿童日托、住房和职业培训</w:t>
      </w:r>
      <w:r>
        <w:rPr>
          <w:rFonts w:hint="eastAsia"/>
        </w:rPr>
        <w:t>(</w:t>
      </w:r>
      <w:r>
        <w:rPr>
          <w:rFonts w:hint="eastAsia"/>
        </w:rPr>
        <w:t>来源：卫生和福利部，公共卫生司，卫生机构发展司，社会援助司，和控制特别感染中心等</w:t>
      </w:r>
      <w:r>
        <w:rPr>
          <w:rFonts w:hint="eastAsia"/>
        </w:rPr>
        <w:t>)</w:t>
      </w:r>
      <w:r>
        <w:rPr>
          <w:rFonts w:hint="eastAsia"/>
        </w:rPr>
        <w:t>。</w:t>
      </w:r>
    </w:p>
    <w:p w:rsidR="00000000" w:rsidRDefault="00000000">
      <w:pPr>
        <w:rPr>
          <w:rFonts w:hint="eastAsia"/>
        </w:rPr>
      </w:pPr>
      <w:r>
        <w:rPr>
          <w:rFonts w:hint="eastAsia"/>
        </w:rPr>
        <w:tab/>
        <w:t xml:space="preserve">501.  </w:t>
      </w:r>
      <w:r>
        <w:rPr>
          <w:rFonts w:hint="eastAsia"/>
        </w:rPr>
        <w:t>希腊努力解决死产和婴儿死亡问题，采取了以下措施：</w:t>
      </w:r>
    </w:p>
    <w:p w:rsidR="00000000" w:rsidRDefault="00000000">
      <w:pPr>
        <w:pStyle w:val="a0"/>
        <w:tabs>
          <w:tab w:val="num" w:pos="1530"/>
        </w:tabs>
        <w:ind w:left="1530"/>
        <w:rPr>
          <w:rFonts w:hint="eastAsia"/>
        </w:rPr>
      </w:pPr>
      <w:r>
        <w:rPr>
          <w:rFonts w:hint="eastAsia"/>
        </w:rPr>
        <w:t>改善组织工作，提高产前护理服务的质量；</w:t>
      </w:r>
    </w:p>
    <w:p w:rsidR="00000000" w:rsidRDefault="00000000">
      <w:pPr>
        <w:pStyle w:val="a0"/>
        <w:tabs>
          <w:tab w:val="num" w:pos="1530"/>
        </w:tabs>
        <w:ind w:left="1530"/>
        <w:rPr>
          <w:rFonts w:hint="eastAsia"/>
        </w:rPr>
      </w:pPr>
      <w:r>
        <w:rPr>
          <w:rFonts w:hint="eastAsia"/>
        </w:rPr>
        <w:t>为卫生中心配备工作人员，在医院和其他机构建立儿科和助产士的专门医疗项目；</w:t>
      </w:r>
    </w:p>
    <w:p w:rsidR="00000000" w:rsidRDefault="00000000">
      <w:pPr>
        <w:pStyle w:val="a0"/>
        <w:tabs>
          <w:tab w:val="num" w:pos="1530"/>
        </w:tabs>
        <w:ind w:left="1530"/>
        <w:rPr>
          <w:rFonts w:hint="eastAsia"/>
        </w:rPr>
      </w:pPr>
      <w:r>
        <w:rPr>
          <w:rFonts w:hint="eastAsia"/>
        </w:rPr>
        <w:t>执行儿童健康研究所制定的专门计划，支持母乳喂养计划；和</w:t>
      </w:r>
    </w:p>
    <w:p w:rsidR="00000000" w:rsidRDefault="00000000">
      <w:pPr>
        <w:pStyle w:val="a0"/>
        <w:tabs>
          <w:tab w:val="num" w:pos="1530"/>
        </w:tabs>
        <w:ind w:left="1530"/>
        <w:rPr>
          <w:rFonts w:hint="eastAsia"/>
        </w:rPr>
      </w:pPr>
      <w:r>
        <w:rPr>
          <w:rFonts w:hint="eastAsia"/>
        </w:rPr>
        <w:t>散发《儿童健康》的小册子，使父母能够普遍了解有关儿童成长和健康的信息。</w:t>
      </w:r>
    </w:p>
    <w:p w:rsidR="00000000" w:rsidRDefault="00000000">
      <w:pPr>
        <w:rPr>
          <w:rFonts w:hint="eastAsia"/>
        </w:rPr>
      </w:pPr>
      <w:r>
        <w:rPr>
          <w:rFonts w:hint="eastAsia"/>
        </w:rPr>
        <w:tab/>
        <w:t xml:space="preserve">502.  </w:t>
      </w:r>
      <w:r>
        <w:rPr>
          <w:rFonts w:hint="eastAsia"/>
        </w:rPr>
        <w:t>在公共卫生领域，采取了必要的保护措施，促进控制污染，特别是在大城市，在那里光化学污染被认为是问题的主要原因，是由汽车和工业气体造成的。采取的主要措施有：</w:t>
      </w:r>
    </w:p>
    <w:p w:rsidR="00000000" w:rsidRDefault="00000000">
      <w:pPr>
        <w:pStyle w:val="a0"/>
        <w:tabs>
          <w:tab w:val="num" w:pos="1530"/>
        </w:tabs>
        <w:ind w:left="1530"/>
        <w:rPr>
          <w:rFonts w:hint="eastAsia"/>
        </w:rPr>
      </w:pPr>
      <w:r>
        <w:rPr>
          <w:rFonts w:hint="eastAsia"/>
        </w:rPr>
        <w:t>使用无铅汽油；</w:t>
      </w:r>
    </w:p>
    <w:p w:rsidR="00000000" w:rsidRDefault="00000000">
      <w:pPr>
        <w:pStyle w:val="a0"/>
        <w:tabs>
          <w:tab w:val="num" w:pos="1530"/>
        </w:tabs>
        <w:ind w:left="1530"/>
        <w:rPr>
          <w:rFonts w:hint="eastAsia"/>
        </w:rPr>
      </w:pPr>
      <w:r>
        <w:rPr>
          <w:rFonts w:hint="eastAsia"/>
        </w:rPr>
        <w:t>限制车流量；</w:t>
      </w:r>
    </w:p>
    <w:p w:rsidR="00000000" w:rsidRDefault="00000000">
      <w:pPr>
        <w:pStyle w:val="a0"/>
        <w:tabs>
          <w:tab w:val="num" w:pos="1530"/>
        </w:tabs>
        <w:ind w:left="1530"/>
        <w:rPr>
          <w:rFonts w:hint="eastAsia"/>
        </w:rPr>
      </w:pPr>
      <w:r>
        <w:rPr>
          <w:rFonts w:hint="eastAsia"/>
        </w:rPr>
        <w:t>大力控制汽车废气，特别是在雅典；</w:t>
      </w:r>
    </w:p>
    <w:p w:rsidR="00000000" w:rsidRDefault="00000000">
      <w:pPr>
        <w:pStyle w:val="a0"/>
        <w:tabs>
          <w:tab w:val="num" w:pos="1530"/>
        </w:tabs>
        <w:ind w:left="1530"/>
        <w:rPr>
          <w:rFonts w:hint="eastAsia"/>
        </w:rPr>
      </w:pPr>
      <w:r>
        <w:rPr>
          <w:rFonts w:hint="eastAsia"/>
        </w:rPr>
        <w:t>改善公共交通；和</w:t>
      </w:r>
    </w:p>
    <w:p w:rsidR="00000000" w:rsidRDefault="00000000">
      <w:pPr>
        <w:pStyle w:val="a0"/>
        <w:tabs>
          <w:tab w:val="num" w:pos="1530"/>
        </w:tabs>
        <w:ind w:left="1530"/>
        <w:rPr>
          <w:rFonts w:hint="eastAsia"/>
        </w:rPr>
      </w:pPr>
      <w:r>
        <w:rPr>
          <w:rFonts w:hint="eastAsia"/>
        </w:rPr>
        <w:t>在气象情况恶化时，限制使用中央空调。</w:t>
      </w:r>
    </w:p>
    <w:p w:rsidR="00000000" w:rsidRDefault="00000000">
      <w:pPr>
        <w:rPr>
          <w:rFonts w:hint="eastAsia"/>
        </w:rPr>
      </w:pPr>
      <w:r>
        <w:rPr>
          <w:rFonts w:hint="eastAsia"/>
        </w:rPr>
        <w:tab/>
        <w:t xml:space="preserve">503.  </w:t>
      </w:r>
      <w:r>
        <w:rPr>
          <w:rFonts w:hint="eastAsia"/>
        </w:rPr>
        <w:t>这些措施中一部分直接关系到人民的健康</w:t>
      </w:r>
      <w:r>
        <w:rPr>
          <w:rFonts w:hint="eastAsia"/>
        </w:rPr>
        <w:t>(</w:t>
      </w:r>
      <w:r>
        <w:rPr>
          <w:rFonts w:hint="eastAsia"/>
        </w:rPr>
        <w:t>保护弱势群体</w:t>
      </w:r>
      <w:r>
        <w:rPr>
          <w:rFonts w:hint="eastAsia"/>
        </w:rPr>
        <w:t>)</w:t>
      </w:r>
      <w:r>
        <w:rPr>
          <w:rFonts w:hint="eastAsia"/>
        </w:rPr>
        <w:t>。在因臭氧影响大气污染增加的情况，卫生和福利部即根据</w:t>
      </w:r>
      <w:r>
        <w:rPr>
          <w:rFonts w:hint="eastAsia"/>
        </w:rPr>
        <w:t>92/72</w:t>
      </w:r>
      <w:r>
        <w:rPr>
          <w:rFonts w:hint="eastAsia"/>
        </w:rPr>
        <w:t>号欧洲指令，实施有效的保护措施。</w:t>
      </w:r>
    </w:p>
    <w:p w:rsidR="00000000" w:rsidRDefault="00000000">
      <w:pPr>
        <w:rPr>
          <w:rFonts w:hint="eastAsia"/>
        </w:rPr>
      </w:pPr>
      <w:r>
        <w:rPr>
          <w:rFonts w:hint="eastAsia"/>
        </w:rPr>
        <w:tab/>
        <w:t xml:space="preserve">504.  </w:t>
      </w:r>
      <w:r>
        <w:rPr>
          <w:rFonts w:hint="eastAsia"/>
        </w:rPr>
        <w:t>对饮用水采用相应的第</w:t>
      </w:r>
      <w:r>
        <w:rPr>
          <w:rFonts w:hint="eastAsia"/>
        </w:rPr>
        <w:t>80/778</w:t>
      </w:r>
      <w:r>
        <w:rPr>
          <w:rFonts w:hint="eastAsia"/>
        </w:rPr>
        <w:t>号欧洲指令，对水源加以适当控制，并在供水系统的每一个环节均经过有系统的氯化处理。为了保护饮用水的质量，包括瓶装餐桌和矿泉水，已将第</w:t>
      </w:r>
      <w:r>
        <w:rPr>
          <w:rFonts w:hint="eastAsia"/>
        </w:rPr>
        <w:t>98/83</w:t>
      </w:r>
      <w:r>
        <w:rPr>
          <w:rFonts w:hint="eastAsia"/>
        </w:rPr>
        <w:t>号欧洲指令收入本国的立法。</w:t>
      </w:r>
    </w:p>
    <w:p w:rsidR="00000000" w:rsidRDefault="00000000">
      <w:pPr>
        <w:rPr>
          <w:rFonts w:hint="eastAsia"/>
        </w:rPr>
      </w:pPr>
      <w:r>
        <w:rPr>
          <w:rFonts w:hint="eastAsia"/>
        </w:rPr>
        <w:tab/>
        <w:t xml:space="preserve">505.  </w:t>
      </w:r>
      <w:r>
        <w:rPr>
          <w:rFonts w:hint="eastAsia"/>
        </w:rPr>
        <w:t>在游泳</w:t>
      </w:r>
      <w:r>
        <w:rPr>
          <w:rFonts w:hint="eastAsia"/>
        </w:rPr>
        <w:t>(</w:t>
      </w:r>
      <w:r>
        <w:rPr>
          <w:rFonts w:hint="eastAsia"/>
        </w:rPr>
        <w:t>海</w:t>
      </w:r>
      <w:r>
        <w:rPr>
          <w:rFonts w:hint="eastAsia"/>
        </w:rPr>
        <w:t>)</w:t>
      </w:r>
      <w:r>
        <w:rPr>
          <w:rFonts w:hint="eastAsia"/>
        </w:rPr>
        <w:t>水的质量上，希腊排在欧洲最清洁的游泳水国家前三名之列：</w:t>
      </w:r>
      <w:r>
        <w:rPr>
          <w:rFonts w:hint="eastAsia"/>
        </w:rPr>
        <w:t>98%</w:t>
      </w:r>
      <w:r>
        <w:rPr>
          <w:rFonts w:hint="eastAsia"/>
        </w:rPr>
        <w:t>的希腊海域适宜游泳。禁止废水入海，即使在一套生物过程中。</w:t>
      </w:r>
    </w:p>
    <w:p w:rsidR="00000000" w:rsidRDefault="00000000">
      <w:pPr>
        <w:rPr>
          <w:rFonts w:hint="eastAsia"/>
        </w:rPr>
      </w:pPr>
      <w:r>
        <w:rPr>
          <w:rFonts w:hint="eastAsia"/>
        </w:rPr>
        <w:tab/>
        <w:t xml:space="preserve">506.  </w:t>
      </w:r>
      <w:r>
        <w:rPr>
          <w:rFonts w:hint="eastAsia"/>
        </w:rPr>
        <w:t>在游泳期前后，对水的样品要进行认真测试</w:t>
      </w:r>
      <w:r>
        <w:rPr>
          <w:rFonts w:hint="eastAsia"/>
        </w:rPr>
        <w:t>(</w:t>
      </w:r>
      <w:r>
        <w:rPr>
          <w:rFonts w:hint="eastAsia"/>
        </w:rPr>
        <w:t>微生物、物理化学质量控制</w:t>
      </w:r>
      <w:r>
        <w:rPr>
          <w:rFonts w:hint="eastAsia"/>
        </w:rPr>
        <w:t>)</w:t>
      </w:r>
      <w:r>
        <w:rPr>
          <w:rFonts w:hint="eastAsia"/>
        </w:rPr>
        <w:t>，然后发给相应的官方证明，还要通过报纸</w:t>
      </w:r>
      <w:r>
        <w:rPr>
          <w:rFonts w:hint="eastAsia"/>
        </w:rPr>
        <w:t>/</w:t>
      </w:r>
      <w:r>
        <w:rPr>
          <w:rFonts w:hint="eastAsia"/>
        </w:rPr>
        <w:t>电视等开展宣传活动。城市和工业液体废物，特别是近海地区的，在排入海中之前要根据第</w:t>
      </w:r>
      <w:r>
        <w:rPr>
          <w:rFonts w:hint="eastAsia"/>
        </w:rPr>
        <w:t>91/271</w:t>
      </w:r>
      <w:r>
        <w:rPr>
          <w:rFonts w:hint="eastAsia"/>
        </w:rPr>
        <w:t>号欧洲指令经过认真处理。</w:t>
      </w:r>
    </w:p>
    <w:p w:rsidR="00000000" w:rsidRDefault="00000000">
      <w:pPr>
        <w:rPr>
          <w:rFonts w:hint="eastAsia"/>
        </w:rPr>
      </w:pPr>
      <w:r>
        <w:rPr>
          <w:rFonts w:hint="eastAsia"/>
        </w:rPr>
        <w:tab/>
        <w:t xml:space="preserve">507.  </w:t>
      </w:r>
      <w:r>
        <w:rPr>
          <w:rFonts w:hint="eastAsia"/>
        </w:rPr>
        <w:t>卫生和福利部的环境卫生司报告采取的其他措施还有：</w:t>
      </w:r>
    </w:p>
    <w:p w:rsidR="00000000" w:rsidRDefault="00000000">
      <w:pPr>
        <w:pStyle w:val="a0"/>
        <w:tabs>
          <w:tab w:val="num" w:pos="1530"/>
        </w:tabs>
        <w:ind w:left="1530"/>
        <w:rPr>
          <w:rFonts w:hint="eastAsia"/>
        </w:rPr>
      </w:pPr>
      <w:r>
        <w:rPr>
          <w:rFonts w:hint="eastAsia"/>
        </w:rPr>
        <w:t>新的</w:t>
      </w:r>
      <w:r>
        <w:rPr>
          <w:rFonts w:hint="eastAsia"/>
        </w:rPr>
        <w:t>CTS(</w:t>
      </w:r>
      <w:r>
        <w:rPr>
          <w:rFonts w:hint="eastAsia"/>
        </w:rPr>
        <w:t>计算机操作的断层摄影扫描</w:t>
      </w:r>
      <w:r>
        <w:rPr>
          <w:rFonts w:hint="eastAsia"/>
        </w:rPr>
        <w:t>)</w:t>
      </w:r>
      <w:r>
        <w:rPr>
          <w:rFonts w:hint="eastAsia"/>
        </w:rPr>
        <w:t>仪的使用，除医院外必须得到部长决定的许可，根据特定的要求</w:t>
      </w:r>
      <w:r>
        <w:rPr>
          <w:rFonts w:hint="eastAsia"/>
        </w:rPr>
        <w:t>(</w:t>
      </w:r>
      <w:r>
        <w:rPr>
          <w:rFonts w:hint="eastAsia"/>
        </w:rPr>
        <w:t>如可行性研究</w:t>
      </w:r>
      <w:r>
        <w:rPr>
          <w:rFonts w:hint="eastAsia"/>
        </w:rPr>
        <w:t>)</w:t>
      </w:r>
      <w:r>
        <w:rPr>
          <w:rFonts w:hint="eastAsia"/>
        </w:rPr>
        <w:t>，以保护健康免受致电离辐射的威胁；</w:t>
      </w:r>
    </w:p>
    <w:p w:rsidR="00000000" w:rsidRDefault="00000000">
      <w:pPr>
        <w:pStyle w:val="a0"/>
        <w:tabs>
          <w:tab w:val="num" w:pos="1530"/>
        </w:tabs>
        <w:ind w:left="1530"/>
        <w:rPr>
          <w:rFonts w:hint="eastAsia"/>
        </w:rPr>
      </w:pPr>
      <w:r>
        <w:rPr>
          <w:rFonts w:hint="eastAsia"/>
        </w:rPr>
        <w:t>州主管卫生的视察员负责保护公共健康不受音乐噪音的影响，夜间娱乐场所得到有效的管制；</w:t>
      </w:r>
    </w:p>
    <w:p w:rsidR="00000000" w:rsidRDefault="00000000">
      <w:pPr>
        <w:pStyle w:val="a0"/>
        <w:tabs>
          <w:tab w:val="num" w:pos="1530"/>
        </w:tabs>
        <w:ind w:left="1530"/>
        <w:rPr>
          <w:rFonts w:hint="eastAsia"/>
        </w:rPr>
      </w:pPr>
      <w:r>
        <w:rPr>
          <w:rFonts w:hint="eastAsia"/>
        </w:rPr>
        <w:t>对有益健康的住房条件进行认真检查，控制住房环境，采取预防污染的措施。固体垃圾的管理根据欧共体的指令；特别是有传染性的医院垃圾，对医院规定了准则，并由州卫生厅监督。还为医院的行政、护理和技术员工举办了信息讲习会；</w:t>
      </w:r>
    </w:p>
    <w:p w:rsidR="00000000" w:rsidRDefault="00000000">
      <w:pPr>
        <w:pStyle w:val="a0"/>
        <w:tabs>
          <w:tab w:val="num" w:pos="1530"/>
        </w:tabs>
        <w:ind w:left="1530"/>
        <w:rPr>
          <w:rFonts w:hint="eastAsia"/>
        </w:rPr>
      </w:pPr>
      <w:r>
        <w:rPr>
          <w:rFonts w:hint="eastAsia"/>
        </w:rPr>
        <w:t>放射性物质的控制十分谨慎，并与希腊原子能委员会合作，根据现有的防放射性规定管理。在从事各种放射性活动的地方，对放射性物质的内容和使用，以及设备和场地等也有固定的要求；</w:t>
      </w:r>
    </w:p>
    <w:p w:rsidR="00000000" w:rsidRDefault="00000000">
      <w:pPr>
        <w:pStyle w:val="a0"/>
        <w:tabs>
          <w:tab w:val="num" w:pos="1530"/>
        </w:tabs>
        <w:ind w:left="1530"/>
        <w:rPr>
          <w:rFonts w:hint="eastAsia"/>
        </w:rPr>
      </w:pPr>
      <w:r>
        <w:rPr>
          <w:rFonts w:hint="eastAsia"/>
        </w:rPr>
        <w:t>在接触石棉对健康造成危险的情况下，适用第</w:t>
      </w:r>
      <w:r>
        <w:rPr>
          <w:rFonts w:hint="eastAsia"/>
        </w:rPr>
        <w:t>82/217</w:t>
      </w:r>
      <w:r>
        <w:rPr>
          <w:rFonts w:hint="eastAsia"/>
        </w:rPr>
        <w:t>号欧洲指令；和</w:t>
      </w:r>
    </w:p>
    <w:p w:rsidR="00000000" w:rsidRDefault="00000000">
      <w:pPr>
        <w:pStyle w:val="a0"/>
        <w:tabs>
          <w:tab w:val="num" w:pos="1530"/>
        </w:tabs>
        <w:ind w:left="1530"/>
        <w:rPr>
          <w:rFonts w:hint="eastAsia"/>
        </w:rPr>
      </w:pPr>
      <w:r>
        <w:rPr>
          <w:rFonts w:hint="eastAsia"/>
        </w:rPr>
        <w:t>对环境卫生的保护还包括将各项欧洲联盟的指令纳入本国的立法。</w:t>
      </w:r>
    </w:p>
    <w:p w:rsidR="00000000" w:rsidRDefault="00000000">
      <w:pPr>
        <w:rPr>
          <w:rFonts w:hint="eastAsia"/>
        </w:rPr>
      </w:pPr>
      <w:r>
        <w:rPr>
          <w:rFonts w:hint="eastAsia"/>
        </w:rPr>
        <w:tab/>
        <w:t xml:space="preserve">508.  </w:t>
      </w:r>
      <w:r>
        <w:rPr>
          <w:rFonts w:hint="eastAsia"/>
        </w:rPr>
        <w:t>在疟疾方面，在过去十年里</w:t>
      </w:r>
      <w:r>
        <w:rPr>
          <w:rFonts w:hint="eastAsia"/>
        </w:rPr>
        <w:t>(1987-1997)</w:t>
      </w:r>
      <w:r>
        <w:rPr>
          <w:rFonts w:hint="eastAsia"/>
        </w:rPr>
        <w:t>，所有报告病例都外来的，没有本地发病的报告。脑膜炎的情况与其他欧洲国家相似，</w:t>
      </w:r>
      <w:r>
        <w:rPr>
          <w:rFonts w:hint="eastAsia"/>
        </w:rPr>
        <w:t>1990</w:t>
      </w:r>
      <w:r>
        <w:rPr>
          <w:rFonts w:hint="eastAsia"/>
        </w:rPr>
        <w:t>年以来已变得较为常见。这种增加的原因可解释为来自其他国家的移民增加造成这种疾病的扩散，另外报告制度也变得更加敏感。</w:t>
      </w:r>
    </w:p>
    <w:p w:rsidR="00000000" w:rsidRDefault="00000000">
      <w:pPr>
        <w:rPr>
          <w:rFonts w:hint="eastAsia"/>
        </w:rPr>
      </w:pPr>
      <w:r>
        <w:rPr>
          <w:rFonts w:hint="eastAsia"/>
        </w:rPr>
        <w:tab/>
        <w:t xml:space="preserve">509.  </w:t>
      </w:r>
      <w:r>
        <w:rPr>
          <w:rFonts w:hint="eastAsia"/>
        </w:rPr>
        <w:t>至于小儿麻麻痹症、白喉和破伤风，呈逐渐下降趋势</w:t>
      </w:r>
      <w:r>
        <w:rPr>
          <w:rFonts w:hint="eastAsia"/>
        </w:rPr>
        <w:t>(1981-1998</w:t>
      </w:r>
      <w:r>
        <w:rPr>
          <w:rFonts w:hint="eastAsia"/>
        </w:rPr>
        <w:t>年</w:t>
      </w:r>
      <w:r>
        <w:rPr>
          <w:rFonts w:hint="eastAsia"/>
        </w:rPr>
        <w:t>)</w:t>
      </w:r>
      <w:r>
        <w:rPr>
          <w:rFonts w:hint="eastAsia"/>
        </w:rPr>
        <w:t>，主要是由于实行了积极的免疫计划。由于希腊的社会经济发展，</w:t>
      </w:r>
      <w:r>
        <w:rPr>
          <w:rFonts w:hint="eastAsia"/>
        </w:rPr>
        <w:t>1984</w:t>
      </w:r>
      <w:r>
        <w:rPr>
          <w:rFonts w:hint="eastAsia"/>
        </w:rPr>
        <w:t>年以来甲型肝炎的发病大幅度下降。乙型肝炎的情况也是如此，在希腊北部靠近边界的地区发病率较高。</w:t>
      </w:r>
    </w:p>
    <w:p w:rsidR="00000000" w:rsidRDefault="00000000">
      <w:pPr>
        <w:rPr>
          <w:rFonts w:hint="eastAsia"/>
        </w:rPr>
      </w:pPr>
      <w:r>
        <w:rPr>
          <w:rFonts w:hint="eastAsia"/>
        </w:rPr>
        <w:tab/>
        <w:t xml:space="preserve">510.  </w:t>
      </w:r>
      <w:r>
        <w:rPr>
          <w:rFonts w:hint="eastAsia"/>
        </w:rPr>
        <w:t>为了在控制传染病方面加强监督和采取干预行动</w:t>
      </w:r>
      <w:r>
        <w:rPr>
          <w:rFonts w:hint="eastAsia"/>
        </w:rPr>
        <w:t>(</w:t>
      </w:r>
      <w:r>
        <w:rPr>
          <w:rFonts w:hint="eastAsia"/>
        </w:rPr>
        <w:t>如对发病情况的调查</w:t>
      </w:r>
      <w:r>
        <w:rPr>
          <w:rFonts w:hint="eastAsia"/>
        </w:rPr>
        <w:t>)</w:t>
      </w:r>
      <w:r>
        <w:rPr>
          <w:rFonts w:hint="eastAsia"/>
        </w:rPr>
        <w:t>，卫生和福利部在</w:t>
      </w:r>
      <w:r>
        <w:rPr>
          <w:rFonts w:hint="eastAsia"/>
        </w:rPr>
        <w:t>1998</w:t>
      </w:r>
      <w:r>
        <w:rPr>
          <w:rFonts w:hint="eastAsia"/>
        </w:rPr>
        <w:t>年成立了国家监督和干预中心。</w:t>
      </w:r>
    </w:p>
    <w:p w:rsidR="00000000" w:rsidRDefault="00000000">
      <w:pPr>
        <w:rPr>
          <w:rFonts w:hint="eastAsia"/>
        </w:rPr>
      </w:pPr>
      <w:r>
        <w:rPr>
          <w:rFonts w:hint="eastAsia"/>
        </w:rPr>
        <w:tab/>
        <w:t xml:space="preserve">511.  </w:t>
      </w:r>
      <w:r>
        <w:rPr>
          <w:rFonts w:hint="eastAsia"/>
        </w:rPr>
        <w:t>至于现代黑死病艾滋病，希腊确诊的第一次发病人数达到</w:t>
      </w:r>
      <w:r>
        <w:rPr>
          <w:rFonts w:hint="eastAsia"/>
        </w:rPr>
        <w:t>1,964</w:t>
      </w:r>
      <w:r>
        <w:rPr>
          <w:rFonts w:hint="eastAsia"/>
        </w:rPr>
        <w:t>人，其中男性</w:t>
      </w:r>
      <w:r>
        <w:rPr>
          <w:rFonts w:hint="eastAsia"/>
        </w:rPr>
        <w:t>1,707</w:t>
      </w:r>
      <w:r>
        <w:rPr>
          <w:rFonts w:hint="eastAsia"/>
        </w:rPr>
        <w:t>人</w:t>
      </w:r>
      <w:r>
        <w:rPr>
          <w:rFonts w:hint="eastAsia"/>
        </w:rPr>
        <w:t>(86.9%)</w:t>
      </w:r>
      <w:r>
        <w:rPr>
          <w:rFonts w:hint="eastAsia"/>
        </w:rPr>
        <w:t>，女性</w:t>
      </w:r>
      <w:r>
        <w:rPr>
          <w:rFonts w:hint="eastAsia"/>
        </w:rPr>
        <w:t>257</w:t>
      </w:r>
      <w:r>
        <w:rPr>
          <w:rFonts w:hint="eastAsia"/>
        </w:rPr>
        <w:t>人</w:t>
      </w:r>
      <w:r>
        <w:rPr>
          <w:rFonts w:hint="eastAsia"/>
        </w:rPr>
        <w:t>(13%)</w:t>
      </w:r>
      <w:r>
        <w:rPr>
          <w:rFonts w:hint="eastAsia"/>
        </w:rPr>
        <w:t>。在发病总数中，儿童</w:t>
      </w:r>
      <w:r>
        <w:rPr>
          <w:rFonts w:hint="eastAsia"/>
        </w:rPr>
        <w:t>31</w:t>
      </w:r>
      <w:r>
        <w:rPr>
          <w:rFonts w:hint="eastAsia"/>
        </w:rPr>
        <w:t>人</w:t>
      </w:r>
      <w:r>
        <w:rPr>
          <w:rFonts w:hint="eastAsia"/>
        </w:rPr>
        <w:t>(1.6%)</w:t>
      </w:r>
      <w:r>
        <w:rPr>
          <w:rFonts w:hint="eastAsia"/>
        </w:rPr>
        <w:t>。其中男童</w:t>
      </w:r>
      <w:r>
        <w:rPr>
          <w:rFonts w:hint="eastAsia"/>
        </w:rPr>
        <w:t>18</w:t>
      </w:r>
      <w:r>
        <w:rPr>
          <w:rFonts w:hint="eastAsia"/>
        </w:rPr>
        <w:t>人</w:t>
      </w:r>
      <w:r>
        <w:rPr>
          <w:rFonts w:hint="eastAsia"/>
        </w:rPr>
        <w:t>(58%)</w:t>
      </w:r>
      <w:r>
        <w:rPr>
          <w:rFonts w:hint="eastAsia"/>
        </w:rPr>
        <w:t>，女童</w:t>
      </w:r>
      <w:r>
        <w:rPr>
          <w:rFonts w:hint="eastAsia"/>
        </w:rPr>
        <w:t>13</w:t>
      </w:r>
      <w:r>
        <w:rPr>
          <w:rFonts w:hint="eastAsia"/>
        </w:rPr>
        <w:t>人</w:t>
      </w:r>
      <w:r>
        <w:rPr>
          <w:rFonts w:hint="eastAsia"/>
        </w:rPr>
        <w:t>(41.9%)</w:t>
      </w:r>
      <w:r>
        <w:rPr>
          <w:rFonts w:hint="eastAsia"/>
        </w:rPr>
        <w:t>。截至</w:t>
      </w:r>
      <w:r>
        <w:rPr>
          <w:rFonts w:hint="eastAsia"/>
        </w:rPr>
        <w:t>1999</w:t>
      </w:r>
      <w:r>
        <w:rPr>
          <w:rFonts w:hint="eastAsia"/>
        </w:rPr>
        <w:t>年</w:t>
      </w:r>
      <w:r>
        <w:rPr>
          <w:rFonts w:hint="eastAsia"/>
        </w:rPr>
        <w:t>6</w:t>
      </w:r>
      <w:r>
        <w:rPr>
          <w:rFonts w:hint="eastAsia"/>
        </w:rPr>
        <w:t>月底止，已宣布死亡的有</w:t>
      </w:r>
      <w:r>
        <w:rPr>
          <w:rFonts w:hint="eastAsia"/>
        </w:rPr>
        <w:t>1,134</w:t>
      </w:r>
      <w:r>
        <w:rPr>
          <w:rFonts w:hint="eastAsia"/>
        </w:rPr>
        <w:t>人，占病人总数的</w:t>
      </w:r>
      <w:r>
        <w:rPr>
          <w:rFonts w:hint="eastAsia"/>
        </w:rPr>
        <w:t>57.7%</w:t>
      </w:r>
      <w:r>
        <w:rPr>
          <w:rFonts w:hint="eastAsia"/>
        </w:rPr>
        <w:t>。</w:t>
      </w:r>
    </w:p>
    <w:p w:rsidR="00000000" w:rsidRDefault="00000000">
      <w:pPr>
        <w:rPr>
          <w:rFonts w:hint="eastAsia"/>
        </w:rPr>
      </w:pPr>
      <w:r>
        <w:rPr>
          <w:rFonts w:hint="eastAsia"/>
        </w:rPr>
        <w:tab/>
        <w:t xml:space="preserve">512.  </w:t>
      </w:r>
      <w:r>
        <w:rPr>
          <w:rFonts w:hint="eastAsia"/>
        </w:rPr>
        <w:t>根据国际情况对血清阳性反应者与艾滋病毒携带者所作的比较，估计希腊的艾滋病毒携带者已达到</w:t>
      </w:r>
      <w:r>
        <w:rPr>
          <w:rFonts w:hint="eastAsia"/>
        </w:rPr>
        <w:t>15,000</w:t>
      </w:r>
      <w:r>
        <w:rPr>
          <w:rFonts w:hint="eastAsia"/>
        </w:rPr>
        <w:t>人。其中</w:t>
      </w:r>
      <w:r>
        <w:rPr>
          <w:rFonts w:hint="eastAsia"/>
        </w:rPr>
        <w:t>10%</w:t>
      </w:r>
      <w:r>
        <w:rPr>
          <w:rFonts w:hint="eastAsia"/>
        </w:rPr>
        <w:t>是由于异性性传播。这种疾病在希腊的传播低于其他欧洲的情况，但这种传染病似乎在逐渐发展。</w:t>
      </w:r>
    </w:p>
    <w:p w:rsidR="00000000" w:rsidRDefault="00000000">
      <w:pPr>
        <w:rPr>
          <w:rFonts w:hint="eastAsia"/>
        </w:rPr>
      </w:pPr>
      <w:r>
        <w:rPr>
          <w:rFonts w:hint="eastAsia"/>
        </w:rPr>
        <w:tab/>
        <w:t xml:space="preserve">513.  </w:t>
      </w:r>
      <w:r>
        <w:rPr>
          <w:rFonts w:hint="eastAsia"/>
        </w:rPr>
        <w:t>特别传染控制中心采取了以下措施解决这个问题：</w:t>
      </w:r>
    </w:p>
    <w:p w:rsidR="00000000" w:rsidRDefault="00000000">
      <w:pPr>
        <w:pStyle w:val="a0"/>
        <w:tabs>
          <w:tab w:val="num" w:pos="1530"/>
        </w:tabs>
        <w:ind w:left="1530"/>
        <w:rPr>
          <w:rFonts w:hint="eastAsia"/>
        </w:rPr>
      </w:pPr>
      <w:r>
        <w:rPr>
          <w:rFonts w:hint="eastAsia"/>
        </w:rPr>
        <w:t>控制输血；</w:t>
      </w:r>
    </w:p>
    <w:p w:rsidR="00000000" w:rsidRDefault="00000000">
      <w:pPr>
        <w:pStyle w:val="a0"/>
        <w:tabs>
          <w:tab w:val="num" w:pos="1530"/>
        </w:tabs>
        <w:ind w:left="1530"/>
        <w:rPr>
          <w:rFonts w:hint="eastAsia"/>
        </w:rPr>
      </w:pPr>
      <w:r>
        <w:rPr>
          <w:rFonts w:hint="eastAsia"/>
        </w:rPr>
        <w:t>对血清反应阳性者给予免费治疗；</w:t>
      </w:r>
    </w:p>
    <w:p w:rsidR="00000000" w:rsidRDefault="00000000">
      <w:pPr>
        <w:pStyle w:val="a0"/>
        <w:tabs>
          <w:tab w:val="num" w:pos="1530"/>
        </w:tabs>
        <w:ind w:left="1530"/>
        <w:rPr>
          <w:rFonts w:hint="eastAsia"/>
        </w:rPr>
      </w:pPr>
      <w:r>
        <w:rPr>
          <w:rFonts w:hint="eastAsia"/>
        </w:rPr>
        <w:t>对希腊北部靠近边界地区的流动人口进行流行病学监督；</w:t>
      </w:r>
    </w:p>
    <w:p w:rsidR="00000000" w:rsidRDefault="00000000">
      <w:pPr>
        <w:pStyle w:val="a0"/>
        <w:tabs>
          <w:tab w:val="num" w:pos="1530"/>
        </w:tabs>
        <w:ind w:left="1530"/>
        <w:rPr>
          <w:rFonts w:hint="eastAsia"/>
        </w:rPr>
      </w:pPr>
      <w:r>
        <w:rPr>
          <w:rFonts w:hint="eastAsia"/>
        </w:rPr>
        <w:t>建立对弱势群体的流行病情况记录和监督网；</w:t>
      </w:r>
    </w:p>
    <w:p w:rsidR="00000000" w:rsidRDefault="00000000">
      <w:pPr>
        <w:pStyle w:val="a0"/>
        <w:tabs>
          <w:tab w:val="num" w:pos="1530"/>
        </w:tabs>
        <w:ind w:left="1530"/>
        <w:rPr>
          <w:rFonts w:hint="eastAsia"/>
        </w:rPr>
      </w:pPr>
      <w:r>
        <w:rPr>
          <w:rFonts w:hint="eastAsia"/>
        </w:rPr>
        <w:t>在一些特定科室观察抗逆转录病毒治疗的情况</w:t>
      </w:r>
      <w:r>
        <w:rPr>
          <w:rFonts w:hint="eastAsia"/>
        </w:rPr>
        <w:t>(2,500</w:t>
      </w:r>
      <w:r>
        <w:rPr>
          <w:rFonts w:hint="eastAsia"/>
        </w:rPr>
        <w:t>位病人</w:t>
      </w:r>
      <w:r>
        <w:rPr>
          <w:rFonts w:hint="eastAsia"/>
        </w:rPr>
        <w:t>)</w:t>
      </w:r>
      <w:r>
        <w:rPr>
          <w:rFonts w:hint="eastAsia"/>
        </w:rPr>
        <w:t>；</w:t>
      </w:r>
    </w:p>
    <w:p w:rsidR="00000000" w:rsidRDefault="00000000">
      <w:pPr>
        <w:pStyle w:val="a0"/>
        <w:tabs>
          <w:tab w:val="num" w:pos="1530"/>
        </w:tabs>
        <w:ind w:left="1530"/>
        <w:rPr>
          <w:rFonts w:hint="eastAsia"/>
        </w:rPr>
      </w:pPr>
      <w:r>
        <w:rPr>
          <w:rFonts w:hint="eastAsia"/>
        </w:rPr>
        <w:t>社会和心理上的支持；</w:t>
      </w:r>
    </w:p>
    <w:p w:rsidR="00000000" w:rsidRDefault="00000000">
      <w:pPr>
        <w:pStyle w:val="a0"/>
        <w:tabs>
          <w:tab w:val="num" w:pos="1530"/>
        </w:tabs>
        <w:ind w:left="1530"/>
        <w:rPr>
          <w:rFonts w:hint="eastAsia"/>
        </w:rPr>
      </w:pPr>
      <w:r>
        <w:rPr>
          <w:rFonts w:hint="eastAsia"/>
        </w:rPr>
        <w:t>开展公共宣传运动；</w:t>
      </w:r>
    </w:p>
    <w:p w:rsidR="00000000" w:rsidRDefault="00000000">
      <w:pPr>
        <w:pStyle w:val="a0"/>
        <w:tabs>
          <w:tab w:val="num" w:pos="1530"/>
        </w:tabs>
        <w:ind w:left="1530"/>
        <w:rPr>
          <w:rFonts w:hint="eastAsia"/>
        </w:rPr>
      </w:pPr>
      <w:r>
        <w:rPr>
          <w:rFonts w:hint="eastAsia"/>
        </w:rPr>
        <w:t>培训医疗和护理人员；和</w:t>
      </w:r>
    </w:p>
    <w:p w:rsidR="00000000" w:rsidRDefault="00000000">
      <w:pPr>
        <w:pStyle w:val="a0"/>
        <w:tabs>
          <w:tab w:val="num" w:pos="1530"/>
        </w:tabs>
        <w:ind w:left="1530"/>
        <w:rPr>
          <w:rFonts w:hint="eastAsia"/>
        </w:rPr>
      </w:pPr>
      <w:r>
        <w:rPr>
          <w:rFonts w:hint="eastAsia"/>
        </w:rPr>
        <w:t>促进临床和试验研究。</w:t>
      </w:r>
    </w:p>
    <w:p w:rsidR="00000000" w:rsidRDefault="00000000">
      <w:pPr>
        <w:rPr>
          <w:rFonts w:hint="eastAsia"/>
        </w:rPr>
      </w:pPr>
      <w:r>
        <w:rPr>
          <w:rFonts w:hint="eastAsia"/>
        </w:rPr>
        <w:tab/>
        <w:t xml:space="preserve">514.  </w:t>
      </w:r>
      <w:r>
        <w:rPr>
          <w:rFonts w:hint="eastAsia"/>
        </w:rPr>
        <w:t>进一步情况，请见第</w:t>
      </w:r>
      <w:r>
        <w:rPr>
          <w:rFonts w:hint="eastAsia"/>
        </w:rPr>
        <w:t>12</w:t>
      </w:r>
      <w:r>
        <w:rPr>
          <w:rFonts w:hint="eastAsia"/>
        </w:rPr>
        <w:t>条第</w:t>
      </w:r>
      <w:r>
        <w:rPr>
          <w:rFonts w:hint="eastAsia"/>
        </w:rPr>
        <w:t>47</w:t>
      </w:r>
      <w:r>
        <w:rPr>
          <w:rFonts w:hint="eastAsia"/>
        </w:rPr>
        <w:t>和</w:t>
      </w:r>
      <w:r>
        <w:rPr>
          <w:rFonts w:hint="eastAsia"/>
        </w:rPr>
        <w:t>48</w:t>
      </w:r>
      <w:r>
        <w:rPr>
          <w:rFonts w:hint="eastAsia"/>
        </w:rPr>
        <w:t>段，“希腊的健康情况和国家卫生政策”，和第</w:t>
      </w:r>
      <w:r>
        <w:rPr>
          <w:rFonts w:hint="eastAsia"/>
        </w:rPr>
        <w:t>12</w:t>
      </w:r>
      <w:r>
        <w:rPr>
          <w:rFonts w:hint="eastAsia"/>
        </w:rPr>
        <w:t>条</w:t>
      </w:r>
      <w:r>
        <w:t>e-h</w:t>
      </w:r>
      <w:r>
        <w:rPr>
          <w:rFonts w:hint="eastAsia"/>
        </w:rPr>
        <w:t>段，有希腊流行病情况的全面分析，采取的措施和对其效果的评估。</w:t>
      </w:r>
    </w:p>
    <w:p w:rsidR="00000000" w:rsidRDefault="00000000">
      <w:pPr>
        <w:rPr>
          <w:rFonts w:hint="eastAsia"/>
        </w:rPr>
      </w:pPr>
      <w:r>
        <w:rPr>
          <w:rFonts w:hint="eastAsia"/>
        </w:rPr>
        <w:tab/>
        <w:t xml:space="preserve">515.  </w:t>
      </w:r>
      <w:r>
        <w:rPr>
          <w:rFonts w:hint="eastAsia"/>
        </w:rPr>
        <w:t>国家卫生系统向所有有需要的群体提供卫生保健，包括老年人。为穷人提供医疗的费用在</w:t>
      </w:r>
      <w:r>
        <w:rPr>
          <w:rFonts w:hint="eastAsia"/>
        </w:rPr>
        <w:t>1999</w:t>
      </w:r>
      <w:r>
        <w:rPr>
          <w:rFonts w:hint="eastAsia"/>
        </w:rPr>
        <w:t>和</w:t>
      </w:r>
      <w:r>
        <w:rPr>
          <w:rFonts w:hint="eastAsia"/>
        </w:rPr>
        <w:t>2000</w:t>
      </w:r>
      <w:r>
        <w:rPr>
          <w:rFonts w:hint="eastAsia"/>
        </w:rPr>
        <w:t>年分别为</w:t>
      </w:r>
      <w:r>
        <w:rPr>
          <w:rFonts w:hint="eastAsia"/>
        </w:rPr>
        <w:t>7,300</w:t>
      </w:r>
      <w:r>
        <w:rPr>
          <w:rFonts w:hint="eastAsia"/>
        </w:rPr>
        <w:t>万和</w:t>
      </w:r>
      <w:r>
        <w:rPr>
          <w:rFonts w:hint="eastAsia"/>
        </w:rPr>
        <w:t>8,800</w:t>
      </w:r>
      <w:r>
        <w:rPr>
          <w:rFonts w:hint="eastAsia"/>
        </w:rPr>
        <w:t>万欧元。</w:t>
      </w:r>
    </w:p>
    <w:p w:rsidR="00000000" w:rsidRDefault="00000000">
      <w:pPr>
        <w:rPr>
          <w:rFonts w:hint="eastAsia"/>
        </w:rPr>
      </w:pPr>
      <w:r>
        <w:rPr>
          <w:rFonts w:hint="eastAsia"/>
        </w:rPr>
        <w:tab/>
        <w:t xml:space="preserve">516.  </w:t>
      </w:r>
      <w:r>
        <w:rPr>
          <w:rFonts w:hint="eastAsia"/>
        </w:rPr>
        <w:t>老年人开放照料中心也提供对老年人的帮助，这是一个得到普遍接受的成功的机构，帮助老年人活跃生活，开发他们的兴趣。如今各种城市开办的老年人开放照料中心已有</w:t>
      </w:r>
      <w:r>
        <w:rPr>
          <w:rFonts w:hint="eastAsia"/>
        </w:rPr>
        <w:t>360</w:t>
      </w:r>
      <w:r>
        <w:rPr>
          <w:rFonts w:hint="eastAsia"/>
        </w:rPr>
        <w:t>个。</w:t>
      </w:r>
    </w:p>
    <w:p w:rsidR="00000000" w:rsidRDefault="00000000">
      <w:pPr>
        <w:rPr>
          <w:rFonts w:hint="eastAsia"/>
        </w:rPr>
      </w:pPr>
      <w:r>
        <w:rPr>
          <w:rFonts w:hint="eastAsia"/>
        </w:rPr>
        <w:tab/>
        <w:t xml:space="preserve">517.  </w:t>
      </w:r>
      <w:r>
        <w:rPr>
          <w:rFonts w:hint="eastAsia"/>
        </w:rPr>
        <w:t>对老年人的照料机构是由一些非营利性组织建立和开办的。这些机构收容失去家庭或在与家庭的共同生活上有困难的老年人。这些机构的经营得到各州当局的赞助</w:t>
      </w:r>
      <w:r>
        <w:rPr>
          <w:rFonts w:hint="eastAsia"/>
        </w:rPr>
        <w:t>(</w:t>
      </w:r>
      <w:r>
        <w:rPr>
          <w:rFonts w:hint="eastAsia"/>
        </w:rPr>
        <w:t>福利司</w:t>
      </w:r>
      <w:r>
        <w:rPr>
          <w:rFonts w:hint="eastAsia"/>
        </w:rPr>
        <w:t>)</w:t>
      </w:r>
      <w:r>
        <w:rPr>
          <w:rFonts w:hint="eastAsia"/>
        </w:rPr>
        <w:t>。卫生和福利部资助有各种组织、市和教会开办和管理的类似机构，免费为穷人提供治疗。</w:t>
      </w:r>
    </w:p>
    <w:p w:rsidR="00000000" w:rsidRDefault="00000000">
      <w:pPr>
        <w:rPr>
          <w:rFonts w:hint="eastAsia"/>
        </w:rPr>
      </w:pPr>
      <w:r>
        <w:rPr>
          <w:rFonts w:hint="eastAsia"/>
        </w:rPr>
        <w:tab/>
        <w:t xml:space="preserve">518.  </w:t>
      </w:r>
      <w:r>
        <w:rPr>
          <w:rFonts w:hint="eastAsia"/>
        </w:rPr>
        <w:t>医院为患有慢性疾病的老年人提供门诊和住院治疗。</w:t>
      </w:r>
    </w:p>
    <w:p w:rsidR="00000000" w:rsidRDefault="00000000">
      <w:pPr>
        <w:rPr>
          <w:rFonts w:hint="eastAsia"/>
        </w:rPr>
      </w:pPr>
      <w:r>
        <w:rPr>
          <w:rFonts w:hint="eastAsia"/>
        </w:rPr>
        <w:tab/>
        <w:t xml:space="preserve">519.  </w:t>
      </w:r>
      <w:r>
        <w:rPr>
          <w:rFonts w:hint="eastAsia"/>
        </w:rPr>
        <w:t>卫生和福利部从</w:t>
      </w:r>
      <w:r>
        <w:rPr>
          <w:rFonts w:hint="eastAsia"/>
        </w:rPr>
        <w:t>6</w:t>
      </w:r>
      <w:r>
        <w:rPr>
          <w:rFonts w:hint="eastAsia"/>
        </w:rPr>
        <w:t>月到</w:t>
      </w:r>
      <w:r>
        <w:rPr>
          <w:rFonts w:hint="eastAsia"/>
        </w:rPr>
        <w:t>10</w:t>
      </w:r>
      <w:r>
        <w:rPr>
          <w:rFonts w:hint="eastAsia"/>
        </w:rPr>
        <w:t>月举办夏令营和社会旅游，在全国的各地的夏季疗养所接待老年人十天。优先接受</w:t>
      </w:r>
      <w:r>
        <w:t>(a)</w:t>
      </w:r>
      <w:r>
        <w:rPr>
          <w:rFonts w:hint="eastAsia"/>
        </w:rPr>
        <w:t xml:space="preserve"> </w:t>
      </w:r>
      <w:r>
        <w:rPr>
          <w:rFonts w:hint="eastAsia"/>
        </w:rPr>
        <w:t>低收入的人，</w:t>
      </w:r>
      <w:r>
        <w:t>(b)</w:t>
      </w:r>
      <w:r>
        <w:rPr>
          <w:rFonts w:hint="eastAsia"/>
        </w:rPr>
        <w:t xml:space="preserve"> </w:t>
      </w:r>
      <w:r>
        <w:rPr>
          <w:rFonts w:hint="eastAsia"/>
        </w:rPr>
        <w:t>鳏寡孤独者，和</w:t>
      </w:r>
      <w:r>
        <w:t>(c)</w:t>
      </w:r>
      <w:r>
        <w:rPr>
          <w:rFonts w:hint="eastAsia"/>
        </w:rPr>
        <w:t xml:space="preserve"> </w:t>
      </w:r>
      <w:r>
        <w:rPr>
          <w:rFonts w:hint="eastAsia"/>
        </w:rPr>
        <w:t>无力承担夏季休假的人。</w:t>
      </w:r>
    </w:p>
    <w:p w:rsidR="00000000" w:rsidRDefault="00000000">
      <w:pPr>
        <w:rPr>
          <w:rFonts w:hint="eastAsia"/>
        </w:rPr>
      </w:pPr>
      <w:r>
        <w:rPr>
          <w:rFonts w:hint="eastAsia"/>
        </w:rPr>
        <w:tab/>
        <w:t xml:space="preserve">520.  </w:t>
      </w:r>
      <w:r>
        <w:rPr>
          <w:rFonts w:hint="eastAsia"/>
        </w:rPr>
        <w:t>为养老金少又没有住房的单身老年人或夫妇提供住房津贴，供每月支付房租。</w:t>
      </w:r>
    </w:p>
    <w:p w:rsidR="00000000" w:rsidRDefault="00000000">
      <w:pPr>
        <w:rPr>
          <w:rFonts w:hint="eastAsia"/>
        </w:rPr>
      </w:pPr>
      <w:r>
        <w:rPr>
          <w:rFonts w:hint="eastAsia"/>
        </w:rPr>
        <w:tab/>
        <w:t xml:space="preserve">521.  </w:t>
      </w:r>
      <w:r>
        <w:rPr>
          <w:rFonts w:hint="eastAsia"/>
        </w:rPr>
        <w:t>对年龄在</w:t>
      </w:r>
      <w:r>
        <w:rPr>
          <w:rFonts w:hint="eastAsia"/>
        </w:rPr>
        <w:t>65</w:t>
      </w:r>
      <w:r>
        <w:rPr>
          <w:rFonts w:hint="eastAsia"/>
        </w:rPr>
        <w:t>岁和</w:t>
      </w:r>
      <w:r>
        <w:rPr>
          <w:rFonts w:hint="eastAsia"/>
        </w:rPr>
        <w:t>65</w:t>
      </w:r>
      <w:r>
        <w:rPr>
          <w:rFonts w:hint="eastAsia"/>
        </w:rPr>
        <w:t>岁以上没有任何社会保险的个人，对这类人的保护和财政支持，是由</w:t>
      </w:r>
      <w:r>
        <w:rPr>
          <w:rFonts w:hint="eastAsia"/>
        </w:rPr>
        <w:t>OGA(</w:t>
      </w:r>
      <w:r>
        <w:rPr>
          <w:rFonts w:hint="eastAsia"/>
        </w:rPr>
        <w:t>农村人口社会保险基金</w:t>
      </w:r>
      <w:r>
        <w:rPr>
          <w:rFonts w:hint="eastAsia"/>
        </w:rPr>
        <w:t>)</w:t>
      </w:r>
      <w:r>
        <w:rPr>
          <w:rFonts w:hint="eastAsia"/>
        </w:rPr>
        <w:t>发给一笔统一津贴，与参加</w:t>
      </w:r>
      <w:r>
        <w:rPr>
          <w:rFonts w:hint="eastAsia"/>
        </w:rPr>
        <w:t>OGA</w:t>
      </w:r>
      <w:r>
        <w:rPr>
          <w:rFonts w:hint="eastAsia"/>
        </w:rPr>
        <w:t>基金保险的人得到的年金相同，同时他们还可得到国家卫生系统服务机构的免费医疗。</w:t>
      </w:r>
    </w:p>
    <w:p w:rsidR="00000000" w:rsidRDefault="00000000">
      <w:pPr>
        <w:rPr>
          <w:rFonts w:hint="eastAsia"/>
        </w:rPr>
      </w:pPr>
      <w:r>
        <w:rPr>
          <w:rFonts w:hint="eastAsia"/>
        </w:rPr>
        <w:tab/>
        <w:t xml:space="preserve">522.  </w:t>
      </w:r>
      <w:r>
        <w:rPr>
          <w:rFonts w:hint="eastAsia"/>
        </w:rPr>
        <w:t>提出和制定“在家中帮助老年人”计划，表现出主管当局对解决当今老年人的需要作出的积极反应。这项计划的目的，是在家中为老年人</w:t>
      </w:r>
      <w:r>
        <w:rPr>
          <w:rFonts w:hint="eastAsia"/>
          <w:spacing w:val="-50"/>
        </w:rPr>
        <w:t>―</w:t>
      </w:r>
      <w:r>
        <w:rPr>
          <w:rFonts w:hint="eastAsia"/>
        </w:rPr>
        <w:t>―主要是衰弱和孤单的老年人</w:t>
      </w:r>
      <w:r>
        <w:rPr>
          <w:rFonts w:hint="eastAsia"/>
          <w:spacing w:val="-50"/>
        </w:rPr>
        <w:t>―</w:t>
      </w:r>
      <w:r>
        <w:rPr>
          <w:rFonts w:hint="eastAsia"/>
        </w:rPr>
        <w:t>―提供照料，改善他们的生活质量，保持他们的自主和独立性，以及在家庭和社会环境中的活动，减少机构</w:t>
      </w:r>
      <w:r>
        <w:rPr>
          <w:rFonts w:hint="eastAsia"/>
        </w:rPr>
        <w:t>/</w:t>
      </w:r>
      <w:r>
        <w:rPr>
          <w:rFonts w:hint="eastAsia"/>
        </w:rPr>
        <w:t>医院照看。这项计划由卫生和福利部</w:t>
      </w:r>
      <w:r>
        <w:rPr>
          <w:rFonts w:hint="eastAsia"/>
        </w:rPr>
        <w:t>(</w:t>
      </w:r>
      <w:r>
        <w:rPr>
          <w:rFonts w:hint="eastAsia"/>
        </w:rPr>
        <w:t>家庭保护司</w:t>
      </w:r>
      <w:r>
        <w:rPr>
          <w:rFonts w:hint="eastAsia"/>
        </w:rPr>
        <w:t>)</w:t>
      </w:r>
      <w:r>
        <w:rPr>
          <w:rFonts w:hint="eastAsia"/>
        </w:rPr>
        <w:t>监督，并由该部和内政、公共管理和权利下放司提供资金。</w:t>
      </w:r>
    </w:p>
    <w:p w:rsidR="00000000" w:rsidRDefault="00000000">
      <w:pPr>
        <w:rPr>
          <w:rFonts w:hint="eastAsia"/>
        </w:rPr>
      </w:pPr>
      <w:r>
        <w:rPr>
          <w:rFonts w:hint="eastAsia"/>
        </w:rPr>
        <w:tab/>
        <w:t xml:space="preserve">523.  </w:t>
      </w:r>
      <w:r>
        <w:rPr>
          <w:rFonts w:hint="eastAsia"/>
        </w:rPr>
        <w:t>该计划由一个监督委员会协调和评估，计划的实施由老年人开放照料中心</w:t>
      </w:r>
      <w:r>
        <w:rPr>
          <w:rFonts w:hint="eastAsia"/>
        </w:rPr>
        <w:t>(</w:t>
      </w:r>
      <w:r>
        <w:rPr>
          <w:rFonts w:hint="eastAsia"/>
        </w:rPr>
        <w:t>“</w:t>
      </w:r>
      <w:r>
        <w:rPr>
          <w:rFonts w:hint="eastAsia"/>
        </w:rPr>
        <w:t>KAPI</w:t>
      </w:r>
      <w:r>
        <w:rPr>
          <w:rFonts w:hint="eastAsia"/>
        </w:rPr>
        <w:t>”</w:t>
      </w:r>
      <w:r>
        <w:rPr>
          <w:rFonts w:hint="eastAsia"/>
        </w:rPr>
        <w:t>)</w:t>
      </w:r>
      <w:r>
        <w:rPr>
          <w:rFonts w:hint="eastAsia"/>
        </w:rPr>
        <w:t>负责，该中心必须招聘新的专业人员，即至少有一位社会工作者、一位护士和一位家庭帮手定期到家中看望老年人。通过非政府组织、非营利性志愿机构和当地社区的参加和积极参与，志愿工作也可发挥重要作用。</w:t>
      </w:r>
    </w:p>
    <w:p w:rsidR="00000000" w:rsidRDefault="00000000">
      <w:pPr>
        <w:rPr>
          <w:rFonts w:hint="eastAsia"/>
        </w:rPr>
      </w:pPr>
      <w:r>
        <w:rPr>
          <w:rFonts w:hint="eastAsia"/>
        </w:rPr>
        <w:tab/>
        <w:t xml:space="preserve">524.  </w:t>
      </w:r>
      <w:r>
        <w:rPr>
          <w:rFonts w:hint="eastAsia"/>
        </w:rPr>
        <w:t>目前这项方案已在</w:t>
      </w:r>
      <w:r>
        <w:rPr>
          <w:rFonts w:hint="eastAsia"/>
        </w:rPr>
        <w:t>96</w:t>
      </w:r>
      <w:r>
        <w:rPr>
          <w:rFonts w:hint="eastAsia"/>
        </w:rPr>
        <w:t>个市实施。还将在“第三欧洲援助框架”下建立和资助另外</w:t>
      </w:r>
      <w:r>
        <w:rPr>
          <w:rFonts w:hint="eastAsia"/>
        </w:rPr>
        <w:t>190</w:t>
      </w:r>
      <w:r>
        <w:rPr>
          <w:rFonts w:hint="eastAsia"/>
        </w:rPr>
        <w:t>个老年人开放照料中心</w:t>
      </w:r>
      <w:r>
        <w:rPr>
          <w:rFonts w:hint="eastAsia"/>
        </w:rPr>
        <w:t>(</w:t>
      </w:r>
      <w:r>
        <w:rPr>
          <w:rFonts w:hint="eastAsia"/>
        </w:rPr>
        <w:t>“</w:t>
      </w:r>
      <w:r>
        <w:rPr>
          <w:rFonts w:hint="eastAsia"/>
        </w:rPr>
        <w:t>KAPI</w:t>
      </w:r>
      <w:r>
        <w:rPr>
          <w:rFonts w:hint="eastAsia"/>
        </w:rPr>
        <w:t>”</w:t>
      </w:r>
      <w:r>
        <w:rPr>
          <w:rFonts w:hint="eastAsia"/>
        </w:rPr>
        <w:t>)</w:t>
      </w:r>
      <w:r>
        <w:rPr>
          <w:rFonts w:hint="eastAsia"/>
        </w:rPr>
        <w:t>。政府的政策是加强和扩大家庭帮助计划，鼓励更多的市参与，以逐渐使所有单身老年人都能在家中得到适当照料，同时正在准备将这项计划与初级卫生保健服务联系起来。</w:t>
      </w:r>
    </w:p>
    <w:p w:rsidR="00000000" w:rsidRDefault="00000000">
      <w:pPr>
        <w:rPr>
          <w:rFonts w:hint="eastAsia"/>
        </w:rPr>
      </w:pPr>
      <w:r>
        <w:rPr>
          <w:rFonts w:hint="eastAsia"/>
        </w:rPr>
        <w:tab/>
        <w:t xml:space="preserve">525.  </w:t>
      </w:r>
      <w:r>
        <w:rPr>
          <w:rFonts w:hint="eastAsia"/>
        </w:rPr>
        <w:t>“家中电话服务”</w:t>
      </w:r>
      <w:r>
        <w:rPr>
          <w:rFonts w:hint="eastAsia"/>
          <w:spacing w:val="-50"/>
        </w:rPr>
        <w:t>―</w:t>
      </w:r>
      <w:r>
        <w:rPr>
          <w:rFonts w:hint="eastAsia"/>
        </w:rPr>
        <w:t>―卫生和福利部在一些市开展的试验方案，帮助单身老年人在紧急情况下与他们的家庭成员和亲属保持联系。</w:t>
      </w:r>
    </w:p>
    <w:p w:rsidR="00000000" w:rsidRDefault="00000000">
      <w:pPr>
        <w:rPr>
          <w:rFonts w:hint="eastAsia"/>
        </w:rPr>
      </w:pPr>
      <w:r>
        <w:rPr>
          <w:rFonts w:hint="eastAsia"/>
        </w:rPr>
        <w:tab/>
        <w:t xml:space="preserve">526.  </w:t>
      </w:r>
      <w:r>
        <w:rPr>
          <w:rFonts w:hint="eastAsia"/>
        </w:rPr>
        <w:t>老年人白日照看中心，是为行动不便、痴呆等问题的老年人提供日常照料的中心。这项计划的目的是改善老年人的生活质量，和帮助他们的家庭成员集中精力于本职工作。</w:t>
      </w:r>
    </w:p>
    <w:p w:rsidR="00000000" w:rsidRDefault="00000000">
      <w:pPr>
        <w:rPr>
          <w:rFonts w:hint="eastAsia"/>
        </w:rPr>
      </w:pPr>
      <w:r>
        <w:rPr>
          <w:rFonts w:hint="eastAsia"/>
        </w:rPr>
        <w:tab/>
        <w:t xml:space="preserve">527.  </w:t>
      </w:r>
      <w:r>
        <w:rPr>
          <w:rFonts w:hint="eastAsia"/>
        </w:rPr>
        <w:t>这些中心是由州当局批准成立和经营的，整个方案由市和非营利组织监督。该方案将得到欧洲社会基金的资助</w:t>
      </w:r>
      <w:r>
        <w:rPr>
          <w:rFonts w:hint="eastAsia"/>
        </w:rPr>
        <w:t>(</w:t>
      </w:r>
      <w:r>
        <w:rPr>
          <w:rFonts w:hint="eastAsia"/>
        </w:rPr>
        <w:t>第三欧洲支持框架</w:t>
      </w:r>
      <w:r>
        <w:rPr>
          <w:rFonts w:hint="eastAsia"/>
        </w:rPr>
        <w:t>)</w:t>
      </w:r>
      <w:r>
        <w:rPr>
          <w:rFonts w:hint="eastAsia"/>
        </w:rPr>
        <w:t>。</w:t>
      </w:r>
    </w:p>
    <w:p w:rsidR="00000000" w:rsidRDefault="00000000">
      <w:pPr>
        <w:rPr>
          <w:rFonts w:hint="eastAsia"/>
          <w:spacing w:val="8"/>
        </w:rPr>
      </w:pPr>
      <w:r>
        <w:rPr>
          <w:rFonts w:hint="eastAsia"/>
        </w:rPr>
        <w:tab/>
        <w:t xml:space="preserve">528.  </w:t>
      </w:r>
      <w:r>
        <w:rPr>
          <w:rFonts w:hint="eastAsia"/>
          <w:spacing w:val="8"/>
        </w:rPr>
        <w:t>一般而言各市都一些福利项目。此外，一些较大的市还提供预防医疗服务，对患有慢性疾病的老年人提供帮助。这些服务都是免费的，也很方便，尽管由于没有足够的资料还无法对其重要性作出估计。根据现有的资料，雅典市有五个卫生咨询中心，配有</w:t>
      </w:r>
      <w:r>
        <w:rPr>
          <w:rFonts w:hint="eastAsia"/>
          <w:spacing w:val="8"/>
        </w:rPr>
        <w:t>167</w:t>
      </w:r>
      <w:r>
        <w:rPr>
          <w:rFonts w:hint="eastAsia"/>
          <w:spacing w:val="8"/>
        </w:rPr>
        <w:t>名医生，并有</w:t>
      </w:r>
      <w:r>
        <w:rPr>
          <w:rFonts w:hint="eastAsia"/>
          <w:spacing w:val="8"/>
        </w:rPr>
        <w:t>102</w:t>
      </w:r>
      <w:r>
        <w:rPr>
          <w:rFonts w:hint="eastAsia"/>
          <w:spacing w:val="8"/>
        </w:rPr>
        <w:t>名护理人员，还有五个微生物实验室。</w:t>
      </w:r>
    </w:p>
    <w:p w:rsidR="00000000" w:rsidRDefault="00000000">
      <w:pPr>
        <w:rPr>
          <w:rFonts w:hint="eastAsia"/>
        </w:rPr>
      </w:pPr>
      <w:r>
        <w:rPr>
          <w:rFonts w:hint="eastAsia"/>
        </w:rPr>
        <w:tab/>
        <w:t xml:space="preserve">529.  </w:t>
      </w:r>
      <w:r>
        <w:rPr>
          <w:rFonts w:hint="eastAsia"/>
        </w:rPr>
        <w:t>各种保险基金与当地的医疗服务机构合作。它们与各市下辖的农村医生签订合同。卫生中心和区医院的门诊部也为农村人口提供医疗帮助。远程医学服务也逐渐被用来改善初级卫生保健服务，满足偏远地区的治病需要。</w:t>
      </w:r>
    </w:p>
    <w:p w:rsidR="00000000" w:rsidRDefault="00000000">
      <w:pPr>
        <w:spacing w:after="240"/>
        <w:rPr>
          <w:rFonts w:hint="eastAsia"/>
        </w:rPr>
      </w:pPr>
      <w:r>
        <w:rPr>
          <w:rFonts w:hint="eastAsia"/>
        </w:rPr>
        <w:tab/>
        <w:t xml:space="preserve">530.  </w:t>
      </w:r>
      <w:r>
        <w:rPr>
          <w:rFonts w:hint="eastAsia"/>
        </w:rPr>
        <w:t>卫生和福利部根据世界卫生组织和欧洲联盟的方针制定的卫生教育和信息政策如下：</w:t>
      </w:r>
    </w:p>
    <w:p w:rsidR="00000000" w:rsidRDefault="00000000">
      <w:pPr>
        <w:pStyle w:val="Heading4"/>
        <w:spacing w:after="160"/>
        <w:rPr>
          <w:rFonts w:hint="eastAsia"/>
        </w:rPr>
      </w:pPr>
      <w:r>
        <w:rPr>
          <w:u w:val="none"/>
        </w:rPr>
        <w:t>(a)</w:t>
      </w:r>
      <w:r>
        <w:rPr>
          <w:u w:val="none"/>
        </w:rPr>
        <w:tab/>
      </w:r>
      <w:r>
        <w:rPr>
          <w:rFonts w:hint="eastAsia"/>
        </w:rPr>
        <w:t>卫生教育和信息</w:t>
      </w:r>
    </w:p>
    <w:p w:rsidR="00000000" w:rsidRDefault="00000000">
      <w:pPr>
        <w:rPr>
          <w:rFonts w:hint="eastAsia"/>
        </w:rPr>
      </w:pPr>
      <w:r>
        <w:rPr>
          <w:rFonts w:hint="eastAsia"/>
        </w:rPr>
        <w:tab/>
      </w:r>
      <w:r>
        <w:rPr>
          <w:rFonts w:hint="eastAsia"/>
        </w:rPr>
        <w:t>卫生和福利部：</w:t>
      </w:r>
    </w:p>
    <w:p w:rsidR="00000000" w:rsidRDefault="00000000">
      <w:pPr>
        <w:pStyle w:val="a0"/>
        <w:tabs>
          <w:tab w:val="num" w:pos="1530"/>
        </w:tabs>
        <w:ind w:left="1530"/>
        <w:rPr>
          <w:rFonts w:hint="eastAsia"/>
        </w:rPr>
      </w:pPr>
      <w:r>
        <w:rPr>
          <w:rFonts w:hint="eastAsia"/>
        </w:rPr>
        <w:t>向中央和地区的服务机构提供信息</w:t>
      </w:r>
      <w:r>
        <w:rPr>
          <w:rFonts w:hint="eastAsia"/>
        </w:rPr>
        <w:t>(</w:t>
      </w:r>
      <w:r>
        <w:rPr>
          <w:rFonts w:hint="eastAsia"/>
        </w:rPr>
        <w:t>州、医院、卫生中心和其他监督机构</w:t>
      </w:r>
      <w:r>
        <w:rPr>
          <w:rFonts w:hint="eastAsia"/>
        </w:rPr>
        <w:t>)</w:t>
      </w:r>
      <w:r>
        <w:rPr>
          <w:rFonts w:hint="eastAsia"/>
        </w:rPr>
        <w:t>；</w:t>
      </w:r>
    </w:p>
    <w:p w:rsidR="00000000" w:rsidRDefault="00000000">
      <w:pPr>
        <w:pStyle w:val="a0"/>
        <w:tabs>
          <w:tab w:val="num" w:pos="1530"/>
        </w:tabs>
        <w:ind w:left="1530"/>
        <w:rPr>
          <w:rFonts w:hint="eastAsia"/>
        </w:rPr>
      </w:pPr>
      <w:r>
        <w:rPr>
          <w:rFonts w:hint="eastAsia"/>
        </w:rPr>
        <w:t>向这类方案和会议提供资金；</w:t>
      </w:r>
    </w:p>
    <w:p w:rsidR="00000000" w:rsidRDefault="00000000">
      <w:pPr>
        <w:pStyle w:val="a0"/>
        <w:tabs>
          <w:tab w:val="num" w:pos="1530"/>
        </w:tabs>
        <w:ind w:left="1530"/>
        <w:rPr>
          <w:rFonts w:hint="eastAsia"/>
        </w:rPr>
      </w:pPr>
      <w:r>
        <w:rPr>
          <w:rFonts w:hint="eastAsia"/>
        </w:rPr>
        <w:t>制作并向各主管服务部门和机构散发书面和视听材料</w:t>
      </w:r>
      <w:r>
        <w:rPr>
          <w:rFonts w:hint="eastAsia"/>
        </w:rPr>
        <w:t>(</w:t>
      </w:r>
      <w:r>
        <w:rPr>
          <w:rFonts w:hint="eastAsia"/>
        </w:rPr>
        <w:t>书、小册子、传单、粘贴标签、广告、广播和电视资料，涉及的主题包括艾滋病、吸烟、酗酒、口腔卫生、癌症和地中海贫血症的预防、计划生育、献血、感觉障碍问题、精神健康、老年人问题等</w:t>
      </w:r>
      <w:r>
        <w:rPr>
          <w:rFonts w:hint="eastAsia"/>
        </w:rPr>
        <w:t>)</w:t>
      </w:r>
      <w:r>
        <w:rPr>
          <w:rFonts w:hint="eastAsia"/>
        </w:rPr>
        <w:t>；</w:t>
      </w:r>
    </w:p>
    <w:p w:rsidR="00000000" w:rsidRDefault="00000000">
      <w:pPr>
        <w:pStyle w:val="a0"/>
        <w:tabs>
          <w:tab w:val="num" w:pos="1530"/>
        </w:tabs>
        <w:ind w:left="1530"/>
        <w:rPr>
          <w:rFonts w:hint="eastAsia"/>
        </w:rPr>
      </w:pPr>
      <w:r>
        <w:rPr>
          <w:rFonts w:hint="eastAsia"/>
        </w:rPr>
        <w:t>开展以大众为对象的类似宣传方案</w:t>
      </w:r>
      <w:r>
        <w:rPr>
          <w:rFonts w:hint="eastAsia"/>
        </w:rPr>
        <w:t>(</w:t>
      </w:r>
      <w:r>
        <w:rPr>
          <w:rFonts w:hint="eastAsia"/>
        </w:rPr>
        <w:t>在世界卫生组织开展的各种国际日期间与其他机构合作</w:t>
      </w:r>
      <w:r>
        <w:rPr>
          <w:rFonts w:hint="eastAsia"/>
        </w:rPr>
        <w:t>)</w:t>
      </w:r>
      <w:r>
        <w:rPr>
          <w:rFonts w:hint="eastAsia"/>
        </w:rPr>
        <w:t>；</w:t>
      </w:r>
    </w:p>
    <w:p w:rsidR="00000000" w:rsidRDefault="00000000">
      <w:pPr>
        <w:pStyle w:val="a0"/>
        <w:tabs>
          <w:tab w:val="num" w:pos="1530"/>
        </w:tabs>
        <w:ind w:left="1530"/>
        <w:rPr>
          <w:rFonts w:hint="eastAsia"/>
        </w:rPr>
      </w:pPr>
      <w:r>
        <w:rPr>
          <w:rFonts w:hint="eastAsia"/>
        </w:rPr>
        <w:t>对官员卫生教育和信息培训，使他们能够根据世界卫生组织和欧洲联盟的准则，改变公共卫生习惯的主要潮流；</w:t>
      </w:r>
    </w:p>
    <w:p w:rsidR="00000000" w:rsidRDefault="00000000">
      <w:pPr>
        <w:pStyle w:val="a0"/>
        <w:tabs>
          <w:tab w:val="num" w:pos="1530"/>
        </w:tabs>
        <w:ind w:left="1530"/>
        <w:rPr>
          <w:rFonts w:hint="eastAsia"/>
        </w:rPr>
      </w:pPr>
      <w:r>
        <w:rPr>
          <w:rFonts w:hint="eastAsia"/>
        </w:rPr>
        <w:t>(</w:t>
      </w:r>
      <w:r>
        <w:rPr>
          <w:rFonts w:hint="eastAsia"/>
        </w:rPr>
        <w:t>在第三个欧洲支助框架内</w:t>
      </w:r>
      <w:r>
        <w:rPr>
          <w:rFonts w:hint="eastAsia"/>
        </w:rPr>
        <w:t>)</w:t>
      </w:r>
      <w:r>
        <w:rPr>
          <w:rFonts w:hint="eastAsia"/>
        </w:rPr>
        <w:t>有系统地计划资助新的培训方案，培训更多的人员；</w:t>
      </w:r>
    </w:p>
    <w:p w:rsidR="00000000" w:rsidRDefault="00000000">
      <w:pPr>
        <w:pStyle w:val="a0"/>
        <w:tabs>
          <w:tab w:val="num" w:pos="1530"/>
        </w:tabs>
        <w:ind w:left="1530"/>
        <w:rPr>
          <w:rFonts w:hint="eastAsia"/>
        </w:rPr>
      </w:pPr>
      <w:r>
        <w:rPr>
          <w:rFonts w:hint="eastAsia"/>
        </w:rPr>
        <w:t>在公共服务部门有关对残疾人必要的职业安排问题上，组织研讨会，发表具体的书面和视听出版物</w:t>
      </w:r>
      <w:r>
        <w:rPr>
          <w:rFonts w:hint="eastAsia"/>
        </w:rPr>
        <w:t>(</w:t>
      </w:r>
      <w:r>
        <w:rPr>
          <w:rFonts w:hint="eastAsia"/>
        </w:rPr>
        <w:t>这项活动已列入欧洲行动方案</w:t>
      </w:r>
      <w:r>
        <w:rPr>
          <w:rFonts w:hint="eastAsia"/>
          <w:spacing w:val="-50"/>
        </w:rPr>
        <w:t>―</w:t>
      </w:r>
      <w:r>
        <w:rPr>
          <w:rFonts w:hint="eastAsia"/>
        </w:rPr>
        <w:t>―克服劳动力市场上的社会排斥现象</w:t>
      </w:r>
      <w:r>
        <w:rPr>
          <w:rFonts w:hint="eastAsia"/>
        </w:rPr>
        <w:t>)</w:t>
      </w:r>
      <w:r>
        <w:rPr>
          <w:rFonts w:hint="eastAsia"/>
        </w:rPr>
        <w:t>；</w:t>
      </w:r>
    </w:p>
    <w:p w:rsidR="00000000" w:rsidRDefault="00000000">
      <w:pPr>
        <w:pStyle w:val="a0"/>
        <w:tabs>
          <w:tab w:val="num" w:pos="1530"/>
        </w:tabs>
        <w:ind w:left="1530"/>
        <w:rPr>
          <w:rFonts w:hint="eastAsia"/>
        </w:rPr>
      </w:pPr>
      <w:r>
        <w:rPr>
          <w:rFonts w:hint="eastAsia"/>
        </w:rPr>
        <w:t>监督公共和私人组织开展的卫生教育和信息方案。在卫生部，建立了“卫生教育规划委员会”，作为在有关问题上的一个咨询机构。各州也有类似的委员会；</w:t>
      </w:r>
    </w:p>
    <w:p w:rsidR="00000000" w:rsidRDefault="00000000">
      <w:pPr>
        <w:pStyle w:val="a0"/>
        <w:tabs>
          <w:tab w:val="num" w:pos="1530"/>
        </w:tabs>
        <w:ind w:left="1530"/>
        <w:rPr>
          <w:rFonts w:hint="eastAsia"/>
        </w:rPr>
      </w:pPr>
      <w:r>
        <w:rPr>
          <w:rFonts w:hint="eastAsia"/>
        </w:rPr>
        <w:t>安排展览</w:t>
      </w:r>
      <w:r>
        <w:rPr>
          <w:rFonts w:hint="eastAsia"/>
        </w:rPr>
        <w:t>(</w:t>
      </w:r>
      <w:r>
        <w:rPr>
          <w:rFonts w:hint="eastAsia"/>
        </w:rPr>
        <w:t>照片、招贴画、征文、颁奖</w:t>
      </w:r>
      <w:r>
        <w:rPr>
          <w:rFonts w:hint="eastAsia"/>
        </w:rPr>
        <w:t>)</w:t>
      </w:r>
      <w:r>
        <w:rPr>
          <w:rFonts w:hint="eastAsia"/>
        </w:rPr>
        <w:t>，积累开展公共宣传的有用的信息资料；和</w:t>
      </w:r>
    </w:p>
    <w:p w:rsidR="00000000" w:rsidRDefault="00000000">
      <w:pPr>
        <w:pStyle w:val="a0"/>
        <w:tabs>
          <w:tab w:val="num" w:pos="1530"/>
        </w:tabs>
        <w:spacing w:after="240"/>
        <w:ind w:left="1530"/>
        <w:rPr>
          <w:rFonts w:hint="eastAsia"/>
        </w:rPr>
      </w:pPr>
      <w:r>
        <w:rPr>
          <w:rFonts w:hint="eastAsia"/>
        </w:rPr>
        <w:t>参加集会和展览；</w:t>
      </w:r>
    </w:p>
    <w:p w:rsidR="00000000" w:rsidRDefault="00000000">
      <w:pPr>
        <w:pStyle w:val="Heading4"/>
        <w:rPr>
          <w:rFonts w:hint="eastAsia"/>
        </w:rPr>
      </w:pPr>
      <w:r>
        <w:rPr>
          <w:u w:val="none"/>
        </w:rPr>
        <w:t>(b)</w:t>
      </w:r>
      <w:r>
        <w:rPr>
          <w:rFonts w:hint="eastAsia"/>
          <w:u w:val="none"/>
        </w:rPr>
        <w:tab/>
      </w:r>
      <w:r>
        <w:rPr>
          <w:rFonts w:hint="eastAsia"/>
        </w:rPr>
        <w:t>初级卫生保健</w:t>
      </w:r>
    </w:p>
    <w:p w:rsidR="00000000" w:rsidRDefault="00000000">
      <w:pPr>
        <w:spacing w:after="240"/>
        <w:rPr>
          <w:rFonts w:hint="eastAsia"/>
        </w:rPr>
      </w:pPr>
      <w:r>
        <w:rPr>
          <w:rFonts w:hint="eastAsia"/>
        </w:rPr>
        <w:tab/>
      </w:r>
      <w:r>
        <w:rPr>
          <w:rFonts w:hint="eastAsia"/>
        </w:rPr>
        <w:t>卫生和福利部连续开展有关计划生育、孕期心理预防、母乳喂养、糖尿病等问题的教育宣传计划；</w:t>
      </w:r>
    </w:p>
    <w:p w:rsidR="00000000" w:rsidRDefault="00000000">
      <w:pPr>
        <w:pStyle w:val="Heading4"/>
        <w:rPr>
          <w:rFonts w:hint="eastAsia"/>
        </w:rPr>
      </w:pPr>
      <w:r>
        <w:rPr>
          <w:u w:val="none"/>
        </w:rPr>
        <w:t>(c)</w:t>
      </w:r>
      <w:r>
        <w:rPr>
          <w:rFonts w:hint="eastAsia"/>
          <w:u w:val="none"/>
        </w:rPr>
        <w:tab/>
      </w:r>
      <w:r>
        <w:rPr>
          <w:rFonts w:hint="eastAsia"/>
        </w:rPr>
        <w:t>研究和教育</w:t>
      </w:r>
    </w:p>
    <w:p w:rsidR="00000000" w:rsidRDefault="00000000">
      <w:pPr>
        <w:rPr>
          <w:rFonts w:hint="eastAsia"/>
        </w:rPr>
      </w:pPr>
      <w:r>
        <w:rPr>
          <w:rFonts w:hint="eastAsia"/>
        </w:rPr>
        <w:tab/>
      </w:r>
      <w:r>
        <w:rPr>
          <w:rFonts w:hint="eastAsia"/>
        </w:rPr>
        <w:t>在“健康与福利”</w:t>
      </w:r>
      <w:r>
        <w:rPr>
          <w:rFonts w:hint="eastAsia"/>
        </w:rPr>
        <w:t xml:space="preserve"> </w:t>
      </w:r>
      <w:r>
        <w:rPr>
          <w:rFonts w:hint="eastAsia"/>
        </w:rPr>
        <w:t>行动计划</w:t>
      </w:r>
      <w:r>
        <w:rPr>
          <w:rFonts w:hint="eastAsia"/>
        </w:rPr>
        <w:t>(</w:t>
      </w:r>
      <w:r>
        <w:rPr>
          <w:rFonts w:hint="eastAsia"/>
        </w:rPr>
        <w:t>第三欧洲支助框架</w:t>
      </w:r>
      <w:r>
        <w:rPr>
          <w:rFonts w:hint="eastAsia"/>
        </w:rPr>
        <w:t>)</w:t>
      </w:r>
      <w:r>
        <w:rPr>
          <w:rFonts w:hint="eastAsia"/>
        </w:rPr>
        <w:t>方面，卫生和福利部计划在部分医院</w:t>
      </w:r>
      <w:r>
        <w:rPr>
          <w:rFonts w:hint="eastAsia"/>
        </w:rPr>
        <w:t>(</w:t>
      </w:r>
      <w:r>
        <w:rPr>
          <w:rFonts w:hint="eastAsia"/>
        </w:rPr>
        <w:t>在</w:t>
      </w:r>
      <w:r>
        <w:rPr>
          <w:rFonts w:hint="eastAsia"/>
        </w:rPr>
        <w:t>32</w:t>
      </w:r>
      <w:r>
        <w:rPr>
          <w:rFonts w:hint="eastAsia"/>
        </w:rPr>
        <w:t>座开展职业培训的中心医院</w:t>
      </w:r>
      <w:r>
        <w:rPr>
          <w:rFonts w:hint="eastAsia"/>
        </w:rPr>
        <w:t>)</w:t>
      </w:r>
      <w:r>
        <w:rPr>
          <w:rFonts w:hint="eastAsia"/>
        </w:rPr>
        <w:t>开展人员的培训活动，特别是：</w:t>
      </w:r>
    </w:p>
    <w:p w:rsidR="00000000" w:rsidRDefault="00000000">
      <w:pPr>
        <w:pStyle w:val="a0"/>
        <w:tabs>
          <w:tab w:val="clear" w:pos="510"/>
          <w:tab w:val="num" w:pos="1020"/>
        </w:tabs>
        <w:ind w:left="1530"/>
        <w:rPr>
          <w:rFonts w:hint="eastAsia"/>
        </w:rPr>
      </w:pPr>
      <w:r>
        <w:rPr>
          <w:rFonts w:hint="eastAsia"/>
        </w:rPr>
        <w:t>对行政管理人员：卫生服务的管理；</w:t>
      </w:r>
    </w:p>
    <w:p w:rsidR="00000000" w:rsidRDefault="00000000">
      <w:pPr>
        <w:pStyle w:val="a0"/>
        <w:tabs>
          <w:tab w:val="clear" w:pos="510"/>
          <w:tab w:val="num" w:pos="1020"/>
        </w:tabs>
        <w:ind w:left="1530"/>
        <w:rPr>
          <w:rFonts w:hint="eastAsia"/>
        </w:rPr>
      </w:pPr>
      <w:r>
        <w:rPr>
          <w:rFonts w:hint="eastAsia"/>
        </w:rPr>
        <w:t>对医务人员：在必需的特殊领域</w:t>
      </w:r>
      <w:r>
        <w:rPr>
          <w:rFonts w:hint="eastAsia"/>
        </w:rPr>
        <w:t>/</w:t>
      </w:r>
      <w:r>
        <w:rPr>
          <w:rFonts w:hint="eastAsia"/>
        </w:rPr>
        <w:t>急需的医疗专科、高度优先的问题、病人权利等方面的培训；</w:t>
      </w:r>
    </w:p>
    <w:p w:rsidR="00000000" w:rsidRDefault="00000000">
      <w:pPr>
        <w:pStyle w:val="a0"/>
        <w:tabs>
          <w:tab w:val="clear" w:pos="510"/>
          <w:tab w:val="num" w:pos="1020"/>
        </w:tabs>
        <w:ind w:left="1530"/>
        <w:rPr>
          <w:rFonts w:hint="eastAsia"/>
        </w:rPr>
      </w:pPr>
      <w:r>
        <w:rPr>
          <w:rFonts w:hint="eastAsia"/>
        </w:rPr>
        <w:t>对护理人员：有关提高医院服务问题的培训；</w:t>
      </w:r>
    </w:p>
    <w:p w:rsidR="00000000" w:rsidRDefault="00000000">
      <w:pPr>
        <w:pStyle w:val="a0"/>
        <w:tabs>
          <w:tab w:val="clear" w:pos="510"/>
          <w:tab w:val="num" w:pos="1020"/>
        </w:tabs>
        <w:ind w:left="1530"/>
        <w:rPr>
          <w:rFonts w:hint="eastAsia"/>
        </w:rPr>
      </w:pPr>
      <w:r>
        <w:rPr>
          <w:rFonts w:hint="eastAsia"/>
        </w:rPr>
        <w:t>对失业的卫生专业人员：开设跨专科的培训计划；</w:t>
      </w:r>
    </w:p>
    <w:p w:rsidR="00000000" w:rsidRDefault="00000000">
      <w:pPr>
        <w:pStyle w:val="a0"/>
        <w:tabs>
          <w:tab w:val="clear" w:pos="510"/>
          <w:tab w:val="num" w:pos="1020"/>
        </w:tabs>
        <w:ind w:left="1530"/>
        <w:rPr>
          <w:rFonts w:hint="eastAsia"/>
        </w:rPr>
      </w:pPr>
      <w:r>
        <w:rPr>
          <w:rFonts w:hint="eastAsia"/>
        </w:rPr>
        <w:t>对国家急救中心的人员：住院前急救的专门训练；和</w:t>
      </w:r>
    </w:p>
    <w:p w:rsidR="00000000" w:rsidRDefault="00000000">
      <w:pPr>
        <w:pStyle w:val="a0"/>
        <w:tabs>
          <w:tab w:val="clear" w:pos="510"/>
          <w:tab w:val="num" w:pos="1020"/>
        </w:tabs>
        <w:spacing w:after="240"/>
        <w:ind w:left="1530"/>
        <w:rPr>
          <w:rFonts w:hint="eastAsia"/>
        </w:rPr>
      </w:pPr>
      <w:r>
        <w:rPr>
          <w:rFonts w:hint="eastAsia"/>
        </w:rPr>
        <w:t>所有各类人员均须熟悉使用电脑；</w:t>
      </w:r>
    </w:p>
    <w:p w:rsidR="00000000" w:rsidRDefault="00000000">
      <w:pPr>
        <w:pStyle w:val="Heading4"/>
        <w:rPr>
          <w:rFonts w:hint="eastAsia"/>
        </w:rPr>
      </w:pPr>
      <w:r>
        <w:rPr>
          <w:u w:val="none"/>
        </w:rPr>
        <w:t>(d)</w:t>
      </w:r>
      <w:r>
        <w:rPr>
          <w:rFonts w:hint="eastAsia"/>
          <w:u w:val="none"/>
        </w:rPr>
        <w:tab/>
      </w:r>
      <w:r>
        <w:rPr>
          <w:rFonts w:hint="eastAsia"/>
        </w:rPr>
        <w:t>精神卫生</w:t>
      </w:r>
    </w:p>
    <w:p w:rsidR="00000000" w:rsidRDefault="00000000">
      <w:pPr>
        <w:rPr>
          <w:rFonts w:hint="eastAsia"/>
        </w:rPr>
      </w:pPr>
      <w:r>
        <w:rPr>
          <w:rFonts w:hint="eastAsia"/>
        </w:rPr>
        <w:tab/>
      </w:r>
      <w:r>
        <w:rPr>
          <w:rFonts w:hint="eastAsia"/>
        </w:rPr>
        <w:t>卫生和福利部在各医疗单位开展培训计划</w:t>
      </w:r>
      <w:r>
        <w:rPr>
          <w:rFonts w:hint="eastAsia"/>
        </w:rPr>
        <w:t>(</w:t>
      </w:r>
      <w:r>
        <w:rPr>
          <w:rFonts w:hint="eastAsia"/>
        </w:rPr>
        <w:t>如精神卫生中心</w:t>
      </w:r>
      <w:r>
        <w:rPr>
          <w:rFonts w:hint="eastAsia"/>
        </w:rPr>
        <w:t>)</w:t>
      </w:r>
      <w:r>
        <w:rPr>
          <w:rFonts w:hint="eastAsia"/>
        </w:rPr>
        <w:t>。除这些计划外，该部还为教师、儿科医生、护理人员和助产士提高实际诊断和治疗。</w:t>
      </w:r>
    </w:p>
    <w:p w:rsidR="00000000" w:rsidRDefault="00000000">
      <w:pPr>
        <w:rPr>
          <w:rFonts w:hint="eastAsia"/>
        </w:rPr>
      </w:pPr>
      <w:r>
        <w:rPr>
          <w:rFonts w:hint="eastAsia"/>
        </w:rPr>
        <w:tab/>
        <w:t xml:space="preserve">531.  </w:t>
      </w:r>
      <w:r>
        <w:rPr>
          <w:rFonts w:hint="eastAsia"/>
        </w:rPr>
        <w:t>通过欧洲联盟的支持与合作</w:t>
      </w:r>
      <w:r>
        <w:rPr>
          <w:rFonts w:hint="eastAsia"/>
        </w:rPr>
        <w:t>(</w:t>
      </w:r>
      <w:r>
        <w:rPr>
          <w:rFonts w:hint="eastAsia"/>
        </w:rPr>
        <w:t>第二和第三个欧洲支持框架和</w:t>
      </w:r>
      <w:r>
        <w:t>Interreg</w:t>
      </w:r>
      <w:r>
        <w:rPr>
          <w:rFonts w:hint="eastAsia"/>
        </w:rPr>
        <w:t xml:space="preserve"> II</w:t>
      </w:r>
      <w:r>
        <w:rPr>
          <w:rFonts w:hint="eastAsia"/>
        </w:rPr>
        <w:t>和</w:t>
      </w:r>
      <w:r>
        <w:rPr>
          <w:rFonts w:hint="eastAsia"/>
        </w:rPr>
        <w:t>III</w:t>
      </w:r>
      <w:r>
        <w:rPr>
          <w:rFonts w:hint="eastAsia"/>
        </w:rPr>
        <w:t>计划</w:t>
      </w:r>
      <w:r>
        <w:rPr>
          <w:rFonts w:hint="eastAsia"/>
        </w:rPr>
        <w:t>)</w:t>
      </w:r>
      <w:r>
        <w:rPr>
          <w:rFonts w:hint="eastAsia"/>
        </w:rPr>
        <w:t>，提供的服务得到了提高，并推动了对这些服务的改革。世界卫生组织的作用也十分重要，卫生组织提供了解决卫生问题的技术知识和指南。</w:t>
      </w:r>
    </w:p>
    <w:p w:rsidR="00000000" w:rsidRDefault="00000000">
      <w:pPr>
        <w:spacing w:after="240"/>
        <w:rPr>
          <w:rFonts w:hint="eastAsia"/>
        </w:rPr>
      </w:pPr>
      <w:r>
        <w:rPr>
          <w:rFonts w:hint="eastAsia"/>
        </w:rPr>
        <w:tab/>
        <w:t xml:space="preserve">532.  </w:t>
      </w:r>
      <w:r>
        <w:rPr>
          <w:rFonts w:hint="eastAsia"/>
        </w:rPr>
        <w:t>在上述方案的基础上制定的行动计划简要介绍如下，从</w:t>
      </w:r>
      <w:r>
        <w:rPr>
          <w:rFonts w:hint="eastAsia"/>
        </w:rPr>
        <w:t>1994-1999</w:t>
      </w:r>
      <w:r>
        <w:rPr>
          <w:rFonts w:hint="eastAsia"/>
        </w:rPr>
        <w:t>年第二个欧洲支助框架的“卫生与福利”行动方案开始：</w:t>
      </w:r>
    </w:p>
    <w:p w:rsidR="00000000" w:rsidRDefault="00000000">
      <w:pPr>
        <w:pStyle w:val="Heading4"/>
        <w:ind w:left="510"/>
        <w:rPr>
          <w:rFonts w:hint="eastAsia"/>
        </w:rPr>
      </w:pPr>
      <w:r>
        <w:rPr>
          <w:rFonts w:hint="eastAsia"/>
        </w:rPr>
        <w:t>分项目</w:t>
      </w:r>
      <w:r>
        <w:rPr>
          <w:rFonts w:hint="eastAsia"/>
        </w:rPr>
        <w:t>1</w:t>
      </w:r>
      <w:r>
        <w:rPr>
          <w:rFonts w:hint="eastAsia"/>
        </w:rPr>
        <w:t>“卫生”</w:t>
      </w:r>
      <w:r>
        <w:rPr>
          <w:rFonts w:hint="eastAsia"/>
          <w:u w:val="none"/>
        </w:rPr>
        <w:t>：</w:t>
      </w:r>
    </w:p>
    <w:p w:rsidR="00000000" w:rsidRDefault="00000000">
      <w:pPr>
        <w:pStyle w:val="a0"/>
        <w:tabs>
          <w:tab w:val="clear" w:pos="510"/>
          <w:tab w:val="num" w:pos="1020"/>
        </w:tabs>
        <w:ind w:left="1530"/>
        <w:rPr>
          <w:rFonts w:hint="eastAsia"/>
        </w:rPr>
      </w:pPr>
      <w:r>
        <w:rPr>
          <w:rFonts w:hint="eastAsia"/>
        </w:rPr>
        <w:t>医院和其他公共卫生服务机构的基础设施和医疗设备；</w:t>
      </w:r>
    </w:p>
    <w:p w:rsidR="00000000" w:rsidRDefault="00000000">
      <w:pPr>
        <w:pStyle w:val="a0"/>
        <w:tabs>
          <w:tab w:val="clear" w:pos="510"/>
          <w:tab w:val="num" w:pos="1020"/>
        </w:tabs>
        <w:ind w:left="1530"/>
        <w:rPr>
          <w:rFonts w:hint="eastAsia"/>
        </w:rPr>
      </w:pPr>
      <w:r>
        <w:rPr>
          <w:rFonts w:hint="eastAsia"/>
        </w:rPr>
        <w:t>改善公共卫生的研究基础设施；</w:t>
      </w:r>
    </w:p>
    <w:p w:rsidR="00000000" w:rsidRDefault="00000000">
      <w:pPr>
        <w:pStyle w:val="a0"/>
        <w:tabs>
          <w:tab w:val="clear" w:pos="510"/>
          <w:tab w:val="num" w:pos="1020"/>
        </w:tabs>
        <w:spacing w:after="160"/>
        <w:ind w:left="1530"/>
        <w:rPr>
          <w:rFonts w:hint="eastAsia"/>
        </w:rPr>
      </w:pPr>
      <w:r>
        <w:rPr>
          <w:rFonts w:hint="eastAsia"/>
        </w:rPr>
        <w:t>急救医学和国家急救中心的基础设施；</w:t>
      </w:r>
    </w:p>
    <w:p w:rsidR="00000000" w:rsidRDefault="00000000">
      <w:pPr>
        <w:pStyle w:val="Heading4"/>
        <w:spacing w:after="160"/>
        <w:ind w:left="510"/>
        <w:rPr>
          <w:rFonts w:hint="eastAsia"/>
          <w:u w:val="none"/>
        </w:rPr>
      </w:pPr>
      <w:r>
        <w:rPr>
          <w:rFonts w:hint="eastAsia"/>
        </w:rPr>
        <w:t>分项目</w:t>
      </w:r>
      <w:r>
        <w:rPr>
          <w:rFonts w:hint="eastAsia"/>
        </w:rPr>
        <w:t>3</w:t>
      </w:r>
      <w:r>
        <w:rPr>
          <w:rFonts w:hint="eastAsia"/>
        </w:rPr>
        <w:t>“人力资源”</w:t>
      </w:r>
      <w:r>
        <w:rPr>
          <w:rFonts w:hint="eastAsia"/>
          <w:u w:val="none"/>
        </w:rPr>
        <w:t>：</w:t>
      </w:r>
    </w:p>
    <w:p w:rsidR="00000000" w:rsidRDefault="00000000">
      <w:pPr>
        <w:pStyle w:val="a0"/>
        <w:tabs>
          <w:tab w:val="clear" w:pos="510"/>
          <w:tab w:val="num" w:pos="1020"/>
        </w:tabs>
        <w:spacing w:after="160"/>
        <w:ind w:left="1530"/>
        <w:rPr>
          <w:rFonts w:hint="eastAsia"/>
        </w:rPr>
      </w:pPr>
      <w:r>
        <w:rPr>
          <w:rFonts w:hint="eastAsia"/>
        </w:rPr>
        <w:t>国家卫生系统工作人员的终身培训计划；</w:t>
      </w:r>
    </w:p>
    <w:p w:rsidR="00000000" w:rsidRDefault="00000000">
      <w:pPr>
        <w:pStyle w:val="Heading4"/>
        <w:spacing w:after="160"/>
        <w:ind w:left="510"/>
        <w:rPr>
          <w:rFonts w:hint="eastAsia"/>
          <w:u w:val="none"/>
        </w:rPr>
      </w:pPr>
      <w:r>
        <w:rPr>
          <w:rFonts w:hint="eastAsia"/>
        </w:rPr>
        <w:t>分项目</w:t>
      </w:r>
      <w:r>
        <w:rPr>
          <w:rFonts w:hint="eastAsia"/>
        </w:rPr>
        <w:t>4</w:t>
      </w:r>
      <w:r>
        <w:rPr>
          <w:rFonts w:hint="eastAsia"/>
        </w:rPr>
        <w:t>“技术支持”</w:t>
      </w:r>
      <w:r>
        <w:rPr>
          <w:rFonts w:hint="eastAsia"/>
          <w:u w:val="none"/>
        </w:rPr>
        <w:t>：</w:t>
      </w:r>
    </w:p>
    <w:p w:rsidR="00000000" w:rsidRDefault="00000000">
      <w:pPr>
        <w:pStyle w:val="a0"/>
        <w:tabs>
          <w:tab w:val="clear" w:pos="510"/>
          <w:tab w:val="num" w:pos="1020"/>
        </w:tabs>
        <w:ind w:left="1530"/>
        <w:rPr>
          <w:rFonts w:hint="eastAsia"/>
        </w:rPr>
      </w:pPr>
      <w:r>
        <w:rPr>
          <w:rFonts w:hint="eastAsia"/>
        </w:rPr>
        <w:t>开发卫生服务信息系统</w:t>
      </w:r>
      <w:r>
        <w:rPr>
          <w:rFonts w:hint="eastAsia"/>
        </w:rPr>
        <w:t>(</w:t>
      </w:r>
      <w:r>
        <w:rPr>
          <w:rFonts w:hint="eastAsia"/>
        </w:rPr>
        <w:t>医院、医学问题的信息、远程医学</w:t>
      </w:r>
      <w:r>
        <w:rPr>
          <w:rFonts w:hint="eastAsia"/>
        </w:rPr>
        <w:t>)</w:t>
      </w:r>
      <w:r>
        <w:rPr>
          <w:rFonts w:hint="eastAsia"/>
        </w:rPr>
        <w:t>；</w:t>
      </w:r>
    </w:p>
    <w:p w:rsidR="00000000" w:rsidRDefault="00000000">
      <w:pPr>
        <w:pStyle w:val="a0"/>
        <w:tabs>
          <w:tab w:val="clear" w:pos="510"/>
          <w:tab w:val="num" w:pos="1020"/>
        </w:tabs>
        <w:spacing w:after="160"/>
        <w:ind w:left="1530"/>
        <w:rPr>
          <w:rFonts w:hint="eastAsia"/>
        </w:rPr>
      </w:pPr>
      <w:r>
        <w:rPr>
          <w:rFonts w:hint="eastAsia"/>
        </w:rPr>
        <w:t>国家血液中心的基础设施。</w:t>
      </w:r>
    </w:p>
    <w:p w:rsidR="00000000" w:rsidRDefault="00000000">
      <w:pPr>
        <w:spacing w:after="160"/>
        <w:rPr>
          <w:rFonts w:hint="eastAsia"/>
        </w:rPr>
      </w:pPr>
      <w:r>
        <w:rPr>
          <w:rFonts w:hint="eastAsia"/>
        </w:rPr>
        <w:tab/>
        <w:t>533.  1994-1999</w:t>
      </w:r>
      <w:r>
        <w:rPr>
          <w:rFonts w:hint="eastAsia"/>
        </w:rPr>
        <w:t>年第三个欧洲支助框架的“健康与福利”业务方案包括：</w:t>
      </w:r>
    </w:p>
    <w:p w:rsidR="00000000" w:rsidRDefault="00000000">
      <w:pPr>
        <w:pStyle w:val="Heading4"/>
        <w:spacing w:after="160"/>
        <w:ind w:left="510"/>
        <w:rPr>
          <w:rFonts w:hint="eastAsia"/>
          <w:u w:val="none"/>
        </w:rPr>
      </w:pPr>
      <w:r>
        <w:rPr>
          <w:rFonts w:hint="eastAsia"/>
        </w:rPr>
        <w:t>分项目</w:t>
      </w:r>
      <w:r>
        <w:rPr>
          <w:rFonts w:hint="eastAsia"/>
        </w:rPr>
        <w:t>1</w:t>
      </w:r>
      <w:r>
        <w:rPr>
          <w:rFonts w:hint="eastAsia"/>
        </w:rPr>
        <w:t>“健康”</w:t>
      </w:r>
      <w:r>
        <w:rPr>
          <w:rFonts w:hint="eastAsia"/>
          <w:u w:val="none"/>
        </w:rPr>
        <w:t>：</w:t>
      </w:r>
    </w:p>
    <w:p w:rsidR="00000000" w:rsidRDefault="00000000">
      <w:pPr>
        <w:pStyle w:val="a0"/>
        <w:tabs>
          <w:tab w:val="clear" w:pos="510"/>
          <w:tab w:val="num" w:pos="1020"/>
        </w:tabs>
        <w:ind w:left="1530"/>
        <w:rPr>
          <w:rFonts w:hint="eastAsia"/>
        </w:rPr>
      </w:pPr>
      <w:r>
        <w:rPr>
          <w:rFonts w:hint="eastAsia"/>
        </w:rPr>
        <w:t>发展初级卫生保健；</w:t>
      </w:r>
    </w:p>
    <w:p w:rsidR="00000000" w:rsidRDefault="00000000">
      <w:pPr>
        <w:pStyle w:val="a0"/>
        <w:tabs>
          <w:tab w:val="clear" w:pos="510"/>
          <w:tab w:val="num" w:pos="1020"/>
        </w:tabs>
        <w:ind w:left="1530"/>
        <w:rPr>
          <w:rFonts w:hint="eastAsia"/>
        </w:rPr>
      </w:pPr>
      <w:r>
        <w:rPr>
          <w:rFonts w:hint="eastAsia"/>
        </w:rPr>
        <w:t>医院职能的现代化；</w:t>
      </w:r>
    </w:p>
    <w:p w:rsidR="00000000" w:rsidRDefault="00000000">
      <w:pPr>
        <w:pStyle w:val="a0"/>
        <w:tabs>
          <w:tab w:val="clear" w:pos="510"/>
          <w:tab w:val="num" w:pos="1020"/>
        </w:tabs>
        <w:ind w:left="1530"/>
        <w:rPr>
          <w:rFonts w:hint="eastAsia"/>
        </w:rPr>
      </w:pPr>
      <w:r>
        <w:rPr>
          <w:rFonts w:hint="eastAsia"/>
        </w:rPr>
        <w:t>发展和完成入院前的急救服务；和</w:t>
      </w:r>
    </w:p>
    <w:p w:rsidR="00000000" w:rsidRDefault="00000000">
      <w:pPr>
        <w:pStyle w:val="a0"/>
        <w:tabs>
          <w:tab w:val="clear" w:pos="510"/>
          <w:tab w:val="num" w:pos="1020"/>
        </w:tabs>
        <w:spacing w:after="160"/>
        <w:ind w:left="1530"/>
        <w:rPr>
          <w:rFonts w:hint="eastAsia"/>
        </w:rPr>
      </w:pPr>
      <w:r>
        <w:rPr>
          <w:rFonts w:hint="eastAsia"/>
        </w:rPr>
        <w:t>发展公共卫生；</w:t>
      </w:r>
    </w:p>
    <w:p w:rsidR="00000000" w:rsidRDefault="00000000">
      <w:pPr>
        <w:pStyle w:val="Heading4"/>
        <w:ind w:left="510"/>
        <w:rPr>
          <w:rFonts w:hint="eastAsia"/>
          <w:u w:val="none"/>
        </w:rPr>
      </w:pPr>
      <w:r>
        <w:rPr>
          <w:rFonts w:hint="eastAsia"/>
        </w:rPr>
        <w:t>分项目</w:t>
      </w:r>
      <w:r>
        <w:rPr>
          <w:rFonts w:hint="eastAsia"/>
        </w:rPr>
        <w:t>2</w:t>
      </w:r>
      <w:r>
        <w:rPr>
          <w:rFonts w:hint="eastAsia"/>
        </w:rPr>
        <w:t>“精神卫生”</w:t>
      </w:r>
      <w:r>
        <w:rPr>
          <w:rFonts w:hint="eastAsia"/>
          <w:u w:val="none"/>
        </w:rPr>
        <w:t>：</w:t>
      </w:r>
    </w:p>
    <w:p w:rsidR="00000000" w:rsidRDefault="00000000">
      <w:pPr>
        <w:pStyle w:val="a0"/>
        <w:tabs>
          <w:tab w:val="clear" w:pos="510"/>
          <w:tab w:val="num" w:pos="1020"/>
        </w:tabs>
        <w:ind w:left="1530"/>
        <w:rPr>
          <w:rFonts w:hint="eastAsia"/>
        </w:rPr>
      </w:pPr>
      <w:r>
        <w:rPr>
          <w:rFonts w:hint="eastAsia"/>
        </w:rPr>
        <w:t>对患有精神失常的人，摆脱机构收治和实现社会经济的融合；</w:t>
      </w:r>
    </w:p>
    <w:p w:rsidR="00000000" w:rsidRDefault="00000000">
      <w:pPr>
        <w:pStyle w:val="a0"/>
        <w:tabs>
          <w:tab w:val="clear" w:pos="510"/>
          <w:tab w:val="num" w:pos="1020"/>
        </w:tabs>
        <w:ind w:left="1530"/>
        <w:rPr>
          <w:rFonts w:hint="eastAsia"/>
        </w:rPr>
      </w:pPr>
      <w:r>
        <w:rPr>
          <w:rFonts w:hint="eastAsia"/>
        </w:rPr>
        <w:t>发展</w:t>
      </w:r>
      <w:r>
        <w:rPr>
          <w:rFonts w:hint="eastAsia"/>
        </w:rPr>
        <w:t>/</w:t>
      </w:r>
      <w:r>
        <w:rPr>
          <w:rFonts w:hint="eastAsia"/>
        </w:rPr>
        <w:t>完成</w:t>
      </w:r>
      <w:r>
        <w:rPr>
          <w:rFonts w:hint="eastAsia"/>
        </w:rPr>
        <w:t>/</w:t>
      </w:r>
      <w:r>
        <w:rPr>
          <w:rFonts w:hint="eastAsia"/>
        </w:rPr>
        <w:t>扩大社区提供的服务，促进全面实施精神卫生的改革；</w:t>
      </w:r>
    </w:p>
    <w:p w:rsidR="00000000" w:rsidRDefault="00000000">
      <w:pPr>
        <w:pStyle w:val="a0"/>
        <w:tabs>
          <w:tab w:val="clear" w:pos="510"/>
          <w:tab w:val="num" w:pos="1020"/>
        </w:tabs>
        <w:ind w:left="1530"/>
        <w:rPr>
          <w:rFonts w:hint="eastAsia"/>
        </w:rPr>
      </w:pPr>
      <w:r>
        <w:rPr>
          <w:rFonts w:hint="eastAsia"/>
        </w:rPr>
        <w:t>预防精神卫生问题，加强社会纽带，实现社会经济融合；和</w:t>
      </w:r>
    </w:p>
    <w:p w:rsidR="00000000" w:rsidRDefault="00000000">
      <w:pPr>
        <w:pStyle w:val="a0"/>
        <w:tabs>
          <w:tab w:val="clear" w:pos="510"/>
          <w:tab w:val="num" w:pos="1020"/>
        </w:tabs>
        <w:spacing w:after="160"/>
        <w:ind w:left="1530"/>
        <w:rPr>
          <w:rFonts w:hint="eastAsia"/>
        </w:rPr>
      </w:pPr>
      <w:r>
        <w:rPr>
          <w:rFonts w:hint="eastAsia"/>
        </w:rPr>
        <w:t>对精神病患者摆脱机构收治、社会经济融合和无间断帮助，开展人员培训；</w:t>
      </w:r>
    </w:p>
    <w:p w:rsidR="00000000" w:rsidRDefault="00000000">
      <w:pPr>
        <w:pStyle w:val="Heading4"/>
        <w:ind w:left="510"/>
        <w:rPr>
          <w:rFonts w:hint="eastAsia"/>
          <w:u w:val="none"/>
        </w:rPr>
      </w:pPr>
      <w:r>
        <w:rPr>
          <w:rFonts w:hint="eastAsia"/>
        </w:rPr>
        <w:t>分项目</w:t>
      </w:r>
      <w:r>
        <w:rPr>
          <w:rFonts w:hint="eastAsia"/>
        </w:rPr>
        <w:t>4</w:t>
      </w:r>
      <w:r>
        <w:rPr>
          <w:rFonts w:hint="eastAsia"/>
        </w:rPr>
        <w:t>“卫生领域人力资源的开发”</w:t>
      </w:r>
      <w:r>
        <w:rPr>
          <w:rFonts w:hint="eastAsia"/>
          <w:u w:val="none"/>
        </w:rPr>
        <w:t>：</w:t>
      </w:r>
    </w:p>
    <w:p w:rsidR="00000000" w:rsidRDefault="00000000">
      <w:pPr>
        <w:pStyle w:val="Heading4"/>
        <w:ind w:left="930" w:hanging="420"/>
        <w:rPr>
          <w:rFonts w:hint="eastAsia"/>
          <w:u w:val="none"/>
        </w:rPr>
      </w:pPr>
      <w:r>
        <w:rPr>
          <w:rFonts w:hint="eastAsia"/>
        </w:rPr>
        <w:t>分项目</w:t>
      </w:r>
      <w:r>
        <w:rPr>
          <w:rFonts w:hint="eastAsia"/>
        </w:rPr>
        <w:t>5</w:t>
      </w:r>
      <w:r>
        <w:rPr>
          <w:rFonts w:hint="eastAsia"/>
        </w:rPr>
        <w:t>“技术支持”</w:t>
      </w:r>
      <w:r>
        <w:rPr>
          <w:rFonts w:hint="eastAsia"/>
          <w:u w:val="none"/>
        </w:rPr>
        <w:t>(</w:t>
      </w:r>
      <w:r>
        <w:rPr>
          <w:u w:val="none"/>
        </w:rPr>
        <w:t>Interreg</w:t>
      </w:r>
      <w:r>
        <w:rPr>
          <w:rFonts w:hint="eastAsia"/>
          <w:u w:val="none"/>
        </w:rPr>
        <w:t>方案</w:t>
      </w:r>
      <w:r>
        <w:rPr>
          <w:rFonts w:hint="eastAsia"/>
          <w:u w:val="none"/>
        </w:rPr>
        <w:t>II)</w:t>
      </w:r>
    </w:p>
    <w:p w:rsidR="00000000" w:rsidRDefault="00000000">
      <w:pPr>
        <w:ind w:left="840" w:firstLine="315"/>
        <w:rPr>
          <w:rFonts w:hint="eastAsia"/>
        </w:rPr>
      </w:pPr>
      <w:r>
        <w:rPr>
          <w:rFonts w:hint="eastAsia"/>
        </w:rPr>
        <w:tab/>
      </w:r>
      <w:r>
        <w:rPr>
          <w:rFonts w:hint="eastAsia"/>
        </w:rPr>
        <w:t>按照这个计划建立和开设跨边界的公共卫生中心，是在希腊边界地区</w:t>
      </w:r>
      <w:r>
        <w:rPr>
          <w:rFonts w:hint="eastAsia"/>
        </w:rPr>
        <w:t>(</w:t>
      </w:r>
      <w:r>
        <w:rPr>
          <w:rFonts w:hint="eastAsia"/>
        </w:rPr>
        <w:t>希腊－阿尔巴尼亚和希腊－保加利亚边境</w:t>
      </w:r>
      <w:r>
        <w:rPr>
          <w:rFonts w:hint="eastAsia"/>
        </w:rPr>
        <w:t>)</w:t>
      </w:r>
      <w:r>
        <w:rPr>
          <w:rFonts w:hint="eastAsia"/>
        </w:rPr>
        <w:t>采取的一项有系统的、多方面的外围行动，目的是：</w:t>
      </w:r>
    </w:p>
    <w:p w:rsidR="00000000" w:rsidRDefault="00000000">
      <w:pPr>
        <w:pStyle w:val="a0"/>
        <w:tabs>
          <w:tab w:val="clear" w:pos="510"/>
          <w:tab w:val="num" w:pos="2040"/>
        </w:tabs>
        <w:ind w:left="2550"/>
        <w:rPr>
          <w:rFonts w:hint="eastAsia"/>
        </w:rPr>
      </w:pPr>
      <w:r>
        <w:rPr>
          <w:rFonts w:hint="eastAsia"/>
        </w:rPr>
        <w:t>改善边境地区人民的健康状况；和</w:t>
      </w:r>
    </w:p>
    <w:p w:rsidR="00000000" w:rsidRDefault="00000000">
      <w:pPr>
        <w:pStyle w:val="a0"/>
        <w:tabs>
          <w:tab w:val="clear" w:pos="510"/>
          <w:tab w:val="num" w:pos="2040"/>
        </w:tabs>
        <w:ind w:left="2550"/>
        <w:rPr>
          <w:rFonts w:hint="eastAsia"/>
        </w:rPr>
      </w:pPr>
      <w:r>
        <w:rPr>
          <w:rFonts w:hint="eastAsia"/>
        </w:rPr>
        <w:t>预防疾病，开展教育和提供信息</w:t>
      </w:r>
      <w:r>
        <w:rPr>
          <w:rFonts w:hint="eastAsia"/>
        </w:rPr>
        <w:t>(</w:t>
      </w:r>
      <w:r>
        <w:rPr>
          <w:rFonts w:hint="eastAsia"/>
        </w:rPr>
        <w:t>对流动人口的卫生控制</w:t>
      </w:r>
      <w:r>
        <w:rPr>
          <w:rFonts w:hint="eastAsia"/>
        </w:rPr>
        <w:t>)</w:t>
      </w:r>
      <w:r>
        <w:rPr>
          <w:rFonts w:hint="eastAsia"/>
        </w:rPr>
        <w:t>。</w:t>
      </w:r>
    </w:p>
    <w:p w:rsidR="00000000" w:rsidRDefault="00000000">
      <w:pPr>
        <w:spacing w:after="320"/>
        <w:ind w:left="840" w:firstLine="315"/>
      </w:pPr>
      <w:r>
        <w:rPr>
          <w:rFonts w:hint="eastAsia"/>
        </w:rPr>
        <w:tab/>
      </w:r>
      <w:r>
        <w:rPr>
          <w:rFonts w:hint="eastAsia"/>
        </w:rPr>
        <w:t>已在下列地区建立了这类中心：</w:t>
      </w:r>
      <w:r>
        <w:t>Ioannina (Klapaki, Konitsa)</w:t>
      </w:r>
      <w:r>
        <w:t>，</w:t>
      </w:r>
      <w:r>
        <w:t>Florina (Palea Nomarchia, Niki, Kristallopigi)</w:t>
      </w:r>
      <w:r>
        <w:t>，</w:t>
      </w:r>
      <w:r>
        <w:t>Serres</w:t>
      </w:r>
      <w:r>
        <w:rPr>
          <w:rFonts w:hint="eastAsia"/>
        </w:rPr>
        <w:t xml:space="preserve"> </w:t>
      </w:r>
      <w:r>
        <w:t>(Sidirocastro, Provatas, Promachonas)</w:t>
      </w:r>
      <w:r>
        <w:t>，</w:t>
      </w:r>
      <w:r>
        <w:t>Evros</w:t>
      </w:r>
      <w:r>
        <w:rPr>
          <w:rFonts w:hint="eastAsia"/>
        </w:rPr>
        <w:t xml:space="preserve"> </w:t>
      </w:r>
      <w:r>
        <w:t>(Dikea)</w:t>
      </w:r>
      <w:r>
        <w:rPr>
          <w:rFonts w:hint="eastAsia"/>
        </w:rPr>
        <w:t>。</w:t>
      </w:r>
    </w:p>
    <w:p w:rsidR="00000000" w:rsidRDefault="00000000">
      <w:pPr>
        <w:pStyle w:val="Heading3"/>
        <w:rPr>
          <w:rFonts w:hint="eastAsia"/>
        </w:rPr>
      </w:pPr>
      <w:r>
        <w:rPr>
          <w:rFonts w:hint="eastAsia"/>
        </w:rPr>
        <w:t>第</w:t>
      </w:r>
      <w:r>
        <w:rPr>
          <w:rFonts w:hint="eastAsia"/>
        </w:rPr>
        <w:t xml:space="preserve"> 13 </w:t>
      </w:r>
      <w:r>
        <w:rPr>
          <w:rFonts w:hint="eastAsia"/>
        </w:rPr>
        <w:t>条</w:t>
      </w:r>
    </w:p>
    <w:p w:rsidR="00000000" w:rsidRDefault="00000000">
      <w:pPr>
        <w:rPr>
          <w:rFonts w:hint="eastAsia"/>
        </w:rPr>
      </w:pPr>
      <w:r>
        <w:rPr>
          <w:rFonts w:hint="eastAsia"/>
        </w:rPr>
        <w:tab/>
        <w:t xml:space="preserve">534.  </w:t>
      </w:r>
      <w:r>
        <w:rPr>
          <w:rFonts w:hint="eastAsia"/>
        </w:rPr>
        <w:t>教育一向被认为是一件“正事”，教育的范围很广，遍及希腊生活的各个方面。早在几千年前，年轻人和老年人就曾在学校、在自己的家中、在体育场、在艺术和体育性质的文化集会上等等场所接受教育。希腊的先哲们就曾在古代市场上</w:t>
      </w:r>
      <w:r>
        <w:rPr>
          <w:rFonts w:hint="eastAsia"/>
        </w:rPr>
        <w:t>(</w:t>
      </w:r>
      <w:r>
        <w:t>agora</w:t>
      </w:r>
      <w:r>
        <w:rPr>
          <w:rFonts w:hint="eastAsia"/>
        </w:rPr>
        <w:t>)</w:t>
      </w:r>
      <w:r>
        <w:rPr>
          <w:rFonts w:hint="eastAsia"/>
        </w:rPr>
        <w:t>就道德问题展开过公开的辩论，从他们到今天的“青年议会”，教育始终是社会兴趣的中心。如今主要关注的问题，是保证所有人都得到高质量的教育服务。</w:t>
      </w:r>
    </w:p>
    <w:p w:rsidR="00000000" w:rsidRDefault="00000000">
      <w:r>
        <w:rPr>
          <w:rFonts w:hint="eastAsia"/>
        </w:rPr>
        <w:tab/>
        <w:t xml:space="preserve">535.  </w:t>
      </w:r>
      <w:r>
        <w:rPr>
          <w:rFonts w:hint="eastAsia"/>
        </w:rPr>
        <w:t>在希腊，教育是免费的，并确实可使人人受到教育。不仅仅是授课，而且连书本和教材也是国家免费提供的。初级教育分六个年级，中学教育也是如此。义务教育九年，其中六年小学教育，三年中学教育。中学教育的头三年为初中</w:t>
      </w:r>
      <w:r>
        <w:rPr>
          <w:rFonts w:hint="eastAsia"/>
        </w:rPr>
        <w:t>(</w:t>
      </w:r>
      <w:r>
        <w:t>Gymnasio</w:t>
      </w:r>
      <w:r>
        <w:rPr>
          <w:rFonts w:hint="eastAsia"/>
        </w:rPr>
        <w:t>)</w:t>
      </w:r>
      <w:r>
        <w:rPr>
          <w:rFonts w:hint="eastAsia"/>
        </w:rPr>
        <w:t>，之后的三年为高中</w:t>
      </w:r>
      <w:r>
        <w:rPr>
          <w:rFonts w:hint="eastAsia"/>
        </w:rPr>
        <w:t>(</w:t>
      </w:r>
      <w:r>
        <w:t>Lykeio</w:t>
      </w:r>
      <w:r>
        <w:rPr>
          <w:rFonts w:hint="eastAsia"/>
        </w:rPr>
        <w:t>)</w:t>
      </w:r>
      <w:r>
        <w:rPr>
          <w:rFonts w:hint="eastAsia"/>
        </w:rPr>
        <w:t>。父母或监护人或选择将他们孩子送进私立学校。私立学校的课程、教学方法和教材，以及工作人员胜任与否受国家监督。为了保证受到教育，国家作出了一系列规定，满足不同群体的需要。这些规定在下文第</w:t>
      </w:r>
      <w:r>
        <w:rPr>
          <w:rFonts w:hint="eastAsia"/>
        </w:rPr>
        <w:t>567</w:t>
      </w:r>
      <w:r>
        <w:rPr>
          <w:rFonts w:hint="eastAsia"/>
        </w:rPr>
        <w:t>至</w:t>
      </w:r>
      <w:r>
        <w:rPr>
          <w:rFonts w:hint="eastAsia"/>
        </w:rPr>
        <w:t>592</w:t>
      </w:r>
      <w:r>
        <w:rPr>
          <w:rFonts w:hint="eastAsia"/>
        </w:rPr>
        <w:t>段有详细介绍。</w:t>
      </w:r>
    </w:p>
    <w:p w:rsidR="00000000" w:rsidRDefault="00000000">
      <w:pPr>
        <w:rPr>
          <w:rFonts w:hint="eastAsia"/>
        </w:rPr>
      </w:pPr>
      <w:r>
        <w:tab/>
        <w:t xml:space="preserve">536.  </w:t>
      </w:r>
      <w:r>
        <w:rPr>
          <w:rFonts w:hint="eastAsia"/>
        </w:rPr>
        <w:t>中学教育，包括技术和职业教育，也是面向所有人免费提供的。</w:t>
      </w:r>
      <w:r>
        <w:rPr>
          <w:rFonts w:hint="eastAsia"/>
        </w:rPr>
        <w:t>2001</w:t>
      </w:r>
      <w:r>
        <w:rPr>
          <w:rFonts w:hint="eastAsia"/>
        </w:rPr>
        <w:t>至</w:t>
      </w:r>
      <w:r>
        <w:rPr>
          <w:rFonts w:hint="eastAsia"/>
        </w:rPr>
        <w:t>2002</w:t>
      </w:r>
      <w:r>
        <w:rPr>
          <w:rFonts w:hint="eastAsia"/>
        </w:rPr>
        <w:t>年，国家开办的中级教育技术和职业培训班</w:t>
      </w:r>
      <w:r>
        <w:rPr>
          <w:rFonts w:hint="eastAsia"/>
        </w:rPr>
        <w:t>2,068</w:t>
      </w:r>
      <w:r>
        <w:rPr>
          <w:rFonts w:hint="eastAsia"/>
        </w:rPr>
        <w:t>个，每个班的学生</w:t>
      </w:r>
      <w:r>
        <w:rPr>
          <w:rFonts w:hint="eastAsia"/>
        </w:rPr>
        <w:t>2</w:t>
      </w:r>
      <w:r>
        <w:rPr>
          <w:rFonts w:hint="eastAsia"/>
        </w:rPr>
        <w:t>至</w:t>
      </w:r>
      <w:r>
        <w:rPr>
          <w:rFonts w:hint="eastAsia"/>
        </w:rPr>
        <w:t>14</w:t>
      </w:r>
      <w:r>
        <w:rPr>
          <w:rFonts w:hint="eastAsia"/>
        </w:rPr>
        <w:t>人。选择接收国家还是私立教育的权利，适用于小学也适用于中学教育，强化受教育条件的政策也是如此。</w:t>
      </w:r>
    </w:p>
    <w:p w:rsidR="00000000" w:rsidRDefault="00000000">
      <w:pPr>
        <w:rPr>
          <w:rFonts w:hint="eastAsia"/>
        </w:rPr>
      </w:pPr>
      <w:r>
        <w:rPr>
          <w:rFonts w:hint="eastAsia"/>
        </w:rPr>
        <w:tab/>
        <w:t xml:space="preserve">537.  </w:t>
      </w:r>
      <w:r>
        <w:rPr>
          <w:rFonts w:hint="eastAsia"/>
        </w:rPr>
        <w:t>高等教育是公立的，免费提供。高等教育学生的比例占所有学生的</w:t>
      </w:r>
      <w:r>
        <w:rPr>
          <w:rFonts w:hint="eastAsia"/>
        </w:rPr>
        <w:t>18.4%</w:t>
      </w:r>
      <w:r>
        <w:rPr>
          <w:rFonts w:hint="eastAsia"/>
        </w:rPr>
        <w:t>。几所大学分布在全国各地。为了增加入学机会，希腊开放大学提供本科和研究生的远距离教育。其他大学也提供远距离教学课程。</w:t>
      </w:r>
    </w:p>
    <w:p w:rsidR="00000000" w:rsidRDefault="00000000">
      <w:pPr>
        <w:rPr>
          <w:rFonts w:hint="eastAsia"/>
        </w:rPr>
      </w:pPr>
      <w:r>
        <w:rPr>
          <w:rFonts w:hint="eastAsia"/>
        </w:rPr>
        <w:tab/>
        <w:t xml:space="preserve">538.  </w:t>
      </w:r>
      <w:r>
        <w:rPr>
          <w:rFonts w:hint="eastAsia"/>
        </w:rPr>
        <w:t>所谓“第二次入学机会”，</w:t>
      </w:r>
      <w:r>
        <w:rPr>
          <w:rFonts w:hint="eastAsia"/>
        </w:rPr>
        <w:t>(</w:t>
      </w:r>
      <w:r>
        <w:rPr>
          <w:rFonts w:hint="eastAsia"/>
        </w:rPr>
        <w:t>免费</w:t>
      </w:r>
      <w:r>
        <w:rPr>
          <w:rFonts w:hint="eastAsia"/>
        </w:rPr>
        <w:t>)</w:t>
      </w:r>
      <w:r>
        <w:rPr>
          <w:rFonts w:hint="eastAsia"/>
        </w:rPr>
        <w:t>向年龄超过</w:t>
      </w:r>
      <w:r>
        <w:rPr>
          <w:rFonts w:hint="eastAsia"/>
        </w:rPr>
        <w:t>18</w:t>
      </w:r>
      <w:r>
        <w:rPr>
          <w:rFonts w:hint="eastAsia"/>
        </w:rPr>
        <w:t>岁但没有完成义务教育的人提供教育。除这些学校外，成人教育秘书处还免费向成人提供基本技术和重要技能的课程和讲习会。</w:t>
      </w:r>
    </w:p>
    <w:p w:rsidR="00000000" w:rsidRDefault="00000000">
      <w:pPr>
        <w:rPr>
          <w:rFonts w:hint="eastAsia"/>
        </w:rPr>
      </w:pPr>
      <w:r>
        <w:rPr>
          <w:rFonts w:hint="eastAsia"/>
        </w:rPr>
        <w:tab/>
        <w:t xml:space="preserve">539.  </w:t>
      </w:r>
      <w:r>
        <w:rPr>
          <w:rFonts w:hint="eastAsia"/>
        </w:rPr>
        <w:t>受教育不存在困难。但一些与部分人口群体的社会文化特征有关的因素造成了中途退学和</w:t>
      </w:r>
      <w:r>
        <w:rPr>
          <w:rFonts w:hint="eastAsia"/>
        </w:rPr>
        <w:t>/</w:t>
      </w:r>
      <w:r>
        <w:rPr>
          <w:rFonts w:hint="eastAsia"/>
        </w:rPr>
        <w:t>或无兴趣接受高等教育。国家采取了下文第</w:t>
      </w:r>
      <w:r>
        <w:rPr>
          <w:rFonts w:hint="eastAsia"/>
        </w:rPr>
        <w:t>567</w:t>
      </w:r>
      <w:r>
        <w:rPr>
          <w:rFonts w:hint="eastAsia"/>
        </w:rPr>
        <w:t>至</w:t>
      </w:r>
      <w:r>
        <w:rPr>
          <w:rFonts w:hint="eastAsia"/>
        </w:rPr>
        <w:t>592</w:t>
      </w:r>
      <w:r>
        <w:rPr>
          <w:rFonts w:hint="eastAsia"/>
        </w:rPr>
        <w:t>段中讲到的措施和政策，增加这些群体对教育的参与。</w:t>
      </w:r>
    </w:p>
    <w:p w:rsidR="00000000" w:rsidRDefault="00000000">
      <w:pPr>
        <w:rPr>
          <w:rFonts w:hint="eastAsia"/>
        </w:rPr>
      </w:pPr>
      <w:r>
        <w:rPr>
          <w:rFonts w:hint="eastAsia"/>
        </w:rPr>
        <w:tab/>
        <w:t xml:space="preserve">540.  </w:t>
      </w:r>
      <w:r>
        <w:rPr>
          <w:rFonts w:hint="eastAsia"/>
          <w:spacing w:val="6"/>
        </w:rPr>
        <w:t>2001</w:t>
      </w:r>
      <w:r>
        <w:rPr>
          <w:rFonts w:hint="eastAsia"/>
          <w:spacing w:val="6"/>
        </w:rPr>
        <w:t>至</w:t>
      </w:r>
      <w:r>
        <w:rPr>
          <w:rFonts w:hint="eastAsia"/>
          <w:spacing w:val="6"/>
        </w:rPr>
        <w:t>2002</w:t>
      </w:r>
      <w:r>
        <w:rPr>
          <w:rFonts w:hint="eastAsia"/>
          <w:spacing w:val="6"/>
        </w:rPr>
        <w:t>学年，小学教育的辍学率是</w:t>
      </w:r>
      <w:r>
        <w:rPr>
          <w:rFonts w:hint="eastAsia"/>
          <w:spacing w:val="6"/>
        </w:rPr>
        <w:t>0.66%</w:t>
      </w:r>
      <w:r>
        <w:rPr>
          <w:rFonts w:hint="eastAsia"/>
          <w:spacing w:val="6"/>
        </w:rPr>
        <w:t>。收集在中学教育这方面的资料有些困难。但确有数据清楚的表明入学增加和退学减少：希腊各类中等教育学生的人数保持稳定。在过去十年里</w:t>
      </w:r>
      <w:r>
        <w:rPr>
          <w:rFonts w:hint="eastAsia"/>
          <w:spacing w:val="6"/>
        </w:rPr>
        <w:t>(1991/2000)</w:t>
      </w:r>
      <w:r>
        <w:rPr>
          <w:rFonts w:hint="eastAsia"/>
          <w:spacing w:val="6"/>
        </w:rPr>
        <w:t>，初中学生的变化情况如下：</w:t>
      </w:r>
      <w:r>
        <w:rPr>
          <w:rFonts w:hint="eastAsia"/>
          <w:spacing w:val="6"/>
        </w:rPr>
        <w:t>1991-1992</w:t>
      </w:r>
      <w:r>
        <w:rPr>
          <w:rFonts w:hint="eastAsia"/>
          <w:spacing w:val="6"/>
        </w:rPr>
        <w:t>年，学生人数是</w:t>
      </w:r>
      <w:r>
        <w:rPr>
          <w:rFonts w:hint="eastAsia"/>
          <w:spacing w:val="6"/>
        </w:rPr>
        <w:t>438,762</w:t>
      </w:r>
      <w:r>
        <w:rPr>
          <w:rFonts w:hint="eastAsia"/>
          <w:spacing w:val="6"/>
        </w:rPr>
        <w:t>人，而</w:t>
      </w:r>
      <w:r>
        <w:rPr>
          <w:rFonts w:hint="eastAsia"/>
          <w:spacing w:val="6"/>
        </w:rPr>
        <w:t>2000-2001</w:t>
      </w:r>
      <w:r>
        <w:rPr>
          <w:rFonts w:hint="eastAsia"/>
          <w:spacing w:val="6"/>
        </w:rPr>
        <w:t>年，这个数字是</w:t>
      </w:r>
      <w:r>
        <w:rPr>
          <w:rFonts w:hint="eastAsia"/>
          <w:spacing w:val="6"/>
        </w:rPr>
        <w:t>361,112</w:t>
      </w:r>
      <w:r>
        <w:rPr>
          <w:rFonts w:hint="eastAsia"/>
          <w:spacing w:val="6"/>
        </w:rPr>
        <w:t>人。这相当于学生人数在以每年平均</w:t>
      </w:r>
      <w:r>
        <w:rPr>
          <w:rFonts w:hint="eastAsia"/>
          <w:spacing w:val="6"/>
        </w:rPr>
        <w:t>2.1%</w:t>
      </w:r>
      <w:r>
        <w:rPr>
          <w:rFonts w:hint="eastAsia"/>
          <w:spacing w:val="6"/>
        </w:rPr>
        <w:t>的比例减少。同样，</w:t>
      </w:r>
      <w:r>
        <w:rPr>
          <w:rFonts w:hint="eastAsia"/>
          <w:spacing w:val="6"/>
        </w:rPr>
        <w:t>1991-1992</w:t>
      </w:r>
      <w:r>
        <w:rPr>
          <w:rFonts w:hint="eastAsia"/>
          <w:spacing w:val="6"/>
        </w:rPr>
        <w:t>年高中学生的人数是</w:t>
      </w:r>
      <w:r>
        <w:rPr>
          <w:rFonts w:hint="eastAsia"/>
          <w:spacing w:val="6"/>
        </w:rPr>
        <w:t>398,307</w:t>
      </w:r>
      <w:r>
        <w:rPr>
          <w:rFonts w:hint="eastAsia"/>
          <w:spacing w:val="6"/>
        </w:rPr>
        <w:t>人，到</w:t>
      </w:r>
      <w:r>
        <w:rPr>
          <w:rFonts w:hint="eastAsia"/>
          <w:spacing w:val="6"/>
        </w:rPr>
        <w:t>2000-2001</w:t>
      </w:r>
      <w:r>
        <w:rPr>
          <w:rFonts w:hint="eastAsia"/>
          <w:spacing w:val="6"/>
        </w:rPr>
        <w:t>年，学生人数是</w:t>
      </w:r>
      <w:r>
        <w:rPr>
          <w:rFonts w:hint="eastAsia"/>
          <w:spacing w:val="6"/>
        </w:rPr>
        <w:t>381,198</w:t>
      </w:r>
      <w:r>
        <w:rPr>
          <w:rFonts w:hint="eastAsia"/>
          <w:spacing w:val="6"/>
        </w:rPr>
        <w:t>人，也就是说在这段时间里平均每年减少</w:t>
      </w:r>
      <w:r>
        <w:rPr>
          <w:rFonts w:hint="eastAsia"/>
          <w:spacing w:val="6"/>
        </w:rPr>
        <w:t>0.5%</w:t>
      </w:r>
      <w:r>
        <w:rPr>
          <w:rFonts w:hint="eastAsia"/>
          <w:spacing w:val="6"/>
        </w:rPr>
        <w:t>。这表明，在九年义务教育之后，继续他们学业的学生人数明显增加。</w:t>
      </w:r>
    </w:p>
    <w:p w:rsidR="00000000" w:rsidRDefault="00000000">
      <w:pPr>
        <w:rPr>
          <w:rFonts w:hint="eastAsia"/>
        </w:rPr>
      </w:pPr>
      <w:r>
        <w:rPr>
          <w:rFonts w:hint="eastAsia"/>
        </w:rPr>
        <w:tab/>
        <w:t xml:space="preserve">541.  </w:t>
      </w:r>
      <w:r>
        <w:rPr>
          <w:rFonts w:hint="eastAsia"/>
        </w:rPr>
        <w:t>此外，对这十年里年龄分组的观察还可得出结论，入学率在逐渐增加。一年级</w:t>
      </w:r>
      <w:r>
        <w:rPr>
          <w:rFonts w:hint="eastAsia"/>
        </w:rPr>
        <w:t>(</w:t>
      </w:r>
      <w:r>
        <w:rPr>
          <w:rFonts w:hint="eastAsia"/>
        </w:rPr>
        <w:t>初中一年级</w:t>
      </w:r>
      <w:r>
        <w:rPr>
          <w:rFonts w:hint="eastAsia"/>
        </w:rPr>
        <w:t>)</w:t>
      </w:r>
      <w:r>
        <w:rPr>
          <w:rFonts w:hint="eastAsia"/>
        </w:rPr>
        <w:t>的人数在</w:t>
      </w:r>
      <w:r>
        <w:rPr>
          <w:rFonts w:hint="eastAsia"/>
        </w:rPr>
        <w:t>1991-1992</w:t>
      </w:r>
      <w:r>
        <w:rPr>
          <w:rFonts w:hint="eastAsia"/>
        </w:rPr>
        <w:t>年为</w:t>
      </w:r>
      <w:r>
        <w:rPr>
          <w:rFonts w:hint="eastAsia"/>
        </w:rPr>
        <w:t>160,809</w:t>
      </w:r>
      <w:r>
        <w:rPr>
          <w:rFonts w:hint="eastAsia"/>
        </w:rPr>
        <w:t>人；其中</w:t>
      </w:r>
      <w:r>
        <w:rPr>
          <w:rFonts w:hint="eastAsia"/>
        </w:rPr>
        <w:t>123,530</w:t>
      </w:r>
      <w:r>
        <w:rPr>
          <w:rFonts w:hint="eastAsia"/>
        </w:rPr>
        <w:t>名学生上到高中三年级</w:t>
      </w:r>
      <w:r>
        <w:rPr>
          <w:rFonts w:hint="eastAsia"/>
        </w:rPr>
        <w:t>(</w:t>
      </w:r>
      <w:r>
        <w:rPr>
          <w:rFonts w:hint="eastAsia"/>
        </w:rPr>
        <w:t>即全部完成学业</w:t>
      </w:r>
      <w:r>
        <w:rPr>
          <w:rFonts w:hint="eastAsia"/>
        </w:rPr>
        <w:t>)</w:t>
      </w:r>
      <w:r>
        <w:rPr>
          <w:rFonts w:hint="eastAsia"/>
        </w:rPr>
        <w:t>，这表明平均每年学生人数在这段时间里减少</w:t>
      </w:r>
      <w:r>
        <w:rPr>
          <w:rFonts w:hint="eastAsia"/>
        </w:rPr>
        <w:t>4.9%</w:t>
      </w:r>
      <w:r>
        <w:rPr>
          <w:rFonts w:hint="eastAsia"/>
        </w:rPr>
        <w:t>。这个比例对紧接下来的四个学年分别为</w:t>
      </w:r>
      <w:r>
        <w:rPr>
          <w:rFonts w:hint="eastAsia"/>
        </w:rPr>
        <w:t>4.8%</w:t>
      </w:r>
      <w:r>
        <w:rPr>
          <w:rFonts w:hint="eastAsia"/>
        </w:rPr>
        <w:t>、</w:t>
      </w:r>
      <w:r>
        <w:rPr>
          <w:rFonts w:hint="eastAsia"/>
        </w:rPr>
        <w:t>4.5%</w:t>
      </w:r>
      <w:r>
        <w:rPr>
          <w:rFonts w:hint="eastAsia"/>
        </w:rPr>
        <w:t>、</w:t>
      </w:r>
      <w:r>
        <w:rPr>
          <w:rFonts w:hint="eastAsia"/>
        </w:rPr>
        <w:t>9.1%</w:t>
      </w:r>
      <w:r>
        <w:rPr>
          <w:rFonts w:hint="eastAsia"/>
        </w:rPr>
        <w:t>和</w:t>
      </w:r>
      <w:r>
        <w:rPr>
          <w:rFonts w:hint="eastAsia"/>
        </w:rPr>
        <w:t>6.2%</w:t>
      </w:r>
      <w:r>
        <w:rPr>
          <w:rFonts w:hint="eastAsia"/>
        </w:rPr>
        <w:t>。这些数字在欧洲范围内是不同寻常的。根据经合组织的资料</w:t>
      </w:r>
      <w:r>
        <w:rPr>
          <w:rFonts w:hint="eastAsia"/>
        </w:rPr>
        <w:t>(</w:t>
      </w:r>
      <w:r>
        <w:rPr>
          <w:rFonts w:hint="eastAsia"/>
        </w:rPr>
        <w:t>经合组织</w:t>
      </w:r>
      <w:r>
        <w:rPr>
          <w:rFonts w:hint="eastAsia"/>
        </w:rPr>
        <w:t xml:space="preserve">2000, </w:t>
      </w:r>
      <w:r>
        <w:rPr>
          <w:u w:val="single"/>
        </w:rPr>
        <w:t>Education at a Glance</w:t>
      </w:r>
      <w:r>
        <w:t xml:space="preserve">, </w:t>
      </w:r>
      <w:r>
        <w:rPr>
          <w:rFonts w:hint="eastAsia"/>
        </w:rPr>
        <w:t>经合组织指数，第</w:t>
      </w:r>
      <w:r>
        <w:rPr>
          <w:rFonts w:hint="eastAsia"/>
        </w:rPr>
        <w:t>135</w:t>
      </w:r>
      <w:r>
        <w:rPr>
          <w:rFonts w:hint="eastAsia"/>
        </w:rPr>
        <w:t>页</w:t>
      </w:r>
      <w:r>
        <w:rPr>
          <w:rFonts w:hint="eastAsia"/>
        </w:rPr>
        <w:t>)</w:t>
      </w:r>
      <w:r>
        <w:rPr>
          <w:rFonts w:hint="eastAsia"/>
        </w:rPr>
        <w:t>，</w:t>
      </w:r>
      <w:r>
        <w:rPr>
          <w:rFonts w:hint="eastAsia"/>
        </w:rPr>
        <w:t>5</w:t>
      </w:r>
      <w:r>
        <w:rPr>
          <w:rFonts w:hint="eastAsia"/>
        </w:rPr>
        <w:t>至</w:t>
      </w:r>
      <w:r>
        <w:rPr>
          <w:rFonts w:hint="eastAsia"/>
        </w:rPr>
        <w:t>14</w:t>
      </w:r>
      <w:r>
        <w:rPr>
          <w:rFonts w:hint="eastAsia"/>
        </w:rPr>
        <w:t>岁年龄组的学生，招生和入学情况都非常好。希腊的相应比例是</w:t>
      </w:r>
      <w:r>
        <w:rPr>
          <w:rFonts w:hint="eastAsia"/>
        </w:rPr>
        <w:t>97.8%</w:t>
      </w:r>
      <w:r>
        <w:rPr>
          <w:rFonts w:hint="eastAsia"/>
        </w:rPr>
        <w:t>，而经合组织国家的平均比例是</w:t>
      </w:r>
      <w:r>
        <w:rPr>
          <w:rFonts w:hint="eastAsia"/>
        </w:rPr>
        <w:t>97.2%</w:t>
      </w:r>
      <w:r>
        <w:rPr>
          <w:rFonts w:hint="eastAsia"/>
        </w:rPr>
        <w:t>。年龄较大的学生，</w:t>
      </w:r>
      <w:r>
        <w:rPr>
          <w:rFonts w:hint="eastAsia"/>
        </w:rPr>
        <w:t>15</w:t>
      </w:r>
      <w:r>
        <w:rPr>
          <w:rFonts w:hint="eastAsia"/>
        </w:rPr>
        <w:t>至</w:t>
      </w:r>
      <w:r>
        <w:rPr>
          <w:rFonts w:hint="eastAsia"/>
        </w:rPr>
        <w:t>19</w:t>
      </w:r>
      <w:r>
        <w:rPr>
          <w:rFonts w:hint="eastAsia"/>
        </w:rPr>
        <w:t>岁年龄组上中学的学生，情况也类似。他们的入学率是</w:t>
      </w:r>
      <w:r>
        <w:rPr>
          <w:rFonts w:hint="eastAsia"/>
        </w:rPr>
        <w:t>77.6%</w:t>
      </w:r>
      <w:r>
        <w:rPr>
          <w:rFonts w:hint="eastAsia"/>
        </w:rPr>
        <w:t>，而经合组织国家的相应平均数字是</w:t>
      </w:r>
      <w:r>
        <w:rPr>
          <w:rFonts w:hint="eastAsia"/>
        </w:rPr>
        <w:t>76.3%</w:t>
      </w:r>
      <w:r>
        <w:rPr>
          <w:rFonts w:hint="eastAsia"/>
        </w:rPr>
        <w:t>。甚至学前教育的数字也令人鼓舞：</w:t>
      </w:r>
      <w:r>
        <w:rPr>
          <w:rFonts w:hint="eastAsia"/>
        </w:rPr>
        <w:t>5</w:t>
      </w:r>
      <w:r>
        <w:rPr>
          <w:rFonts w:hint="eastAsia"/>
        </w:rPr>
        <w:t>岁儿童的学前入学率达到</w:t>
      </w:r>
      <w:r>
        <w:rPr>
          <w:rFonts w:hint="eastAsia"/>
        </w:rPr>
        <w:t>82%</w:t>
      </w:r>
      <w:r>
        <w:rPr>
          <w:rFonts w:hint="eastAsia"/>
        </w:rPr>
        <w:t>以上</w:t>
      </w:r>
      <w:r>
        <w:rPr>
          <w:rFonts w:hint="eastAsia"/>
        </w:rPr>
        <w:t xml:space="preserve">(OECD 2000, </w:t>
      </w:r>
      <w:r>
        <w:rPr>
          <w:rFonts w:hint="eastAsia"/>
        </w:rPr>
        <w:t>第</w:t>
      </w:r>
      <w:r>
        <w:rPr>
          <w:rFonts w:hint="eastAsia"/>
        </w:rPr>
        <w:t>125</w:t>
      </w:r>
      <w:r>
        <w:rPr>
          <w:rFonts w:hint="eastAsia"/>
        </w:rPr>
        <w:t>页</w:t>
      </w:r>
      <w:r>
        <w:rPr>
          <w:rFonts w:hint="eastAsia"/>
        </w:rPr>
        <w:t>)</w:t>
      </w:r>
      <w:r>
        <w:rPr>
          <w:rFonts w:hint="eastAsia"/>
        </w:rPr>
        <w:t>。</w:t>
      </w:r>
    </w:p>
    <w:p w:rsidR="00000000" w:rsidRDefault="00000000">
      <w:pPr>
        <w:rPr>
          <w:rFonts w:hint="eastAsia"/>
        </w:rPr>
      </w:pPr>
      <w:r>
        <w:rPr>
          <w:rFonts w:hint="eastAsia"/>
        </w:rPr>
        <w:tab/>
        <w:t xml:space="preserve">542.  </w:t>
      </w:r>
      <w:r>
        <w:rPr>
          <w:rFonts w:hint="eastAsia"/>
        </w:rPr>
        <w:t>经合组织的报告表明，希腊人的教育水平普遍提高：</w:t>
      </w:r>
      <w:r>
        <w:rPr>
          <w:rFonts w:hint="eastAsia"/>
        </w:rPr>
        <w:t>25</w:t>
      </w:r>
      <w:r>
        <w:rPr>
          <w:rFonts w:hint="eastAsia"/>
        </w:rPr>
        <w:t>至</w:t>
      </w:r>
      <w:r>
        <w:rPr>
          <w:rFonts w:hint="eastAsia"/>
        </w:rPr>
        <w:t>64</w:t>
      </w:r>
      <w:r>
        <w:rPr>
          <w:rFonts w:hint="eastAsia"/>
        </w:rPr>
        <w:t>岁的希腊人</w:t>
      </w:r>
      <w:r>
        <w:rPr>
          <w:rFonts w:hint="eastAsia"/>
        </w:rPr>
        <w:t>11.3%</w:t>
      </w:r>
      <w:r>
        <w:rPr>
          <w:rFonts w:hint="eastAsia"/>
        </w:rPr>
        <w:t>持有大学文凭，而这个比例在其他国家则要低的多。应当指出，</w:t>
      </w:r>
      <w:r>
        <w:rPr>
          <w:rFonts w:hint="eastAsia"/>
        </w:rPr>
        <w:t>25</w:t>
      </w:r>
      <w:r>
        <w:rPr>
          <w:rFonts w:hint="eastAsia"/>
        </w:rPr>
        <w:t>至</w:t>
      </w:r>
      <w:r>
        <w:rPr>
          <w:rFonts w:hint="eastAsia"/>
        </w:rPr>
        <w:t>34</w:t>
      </w:r>
      <w:r>
        <w:rPr>
          <w:rFonts w:hint="eastAsia"/>
        </w:rPr>
        <w:t>岁的希腊人获得高等教育文凭的人数几乎是</w:t>
      </w:r>
      <w:r>
        <w:rPr>
          <w:rFonts w:hint="eastAsia"/>
        </w:rPr>
        <w:t>55</w:t>
      </w:r>
      <w:r>
        <w:rPr>
          <w:rFonts w:hint="eastAsia"/>
        </w:rPr>
        <w:t>至</w:t>
      </w:r>
      <w:r>
        <w:rPr>
          <w:rFonts w:hint="eastAsia"/>
        </w:rPr>
        <w:t>64</w:t>
      </w:r>
      <w:r>
        <w:rPr>
          <w:rFonts w:hint="eastAsia"/>
        </w:rPr>
        <w:t>岁年龄组相应人数的三倍</w:t>
      </w:r>
      <w:r>
        <w:rPr>
          <w:rFonts w:hint="eastAsia"/>
        </w:rPr>
        <w:t>(</w:t>
      </w:r>
      <w:r>
        <w:rPr>
          <w:rFonts w:hint="eastAsia"/>
        </w:rPr>
        <w:t>分别为</w:t>
      </w:r>
      <w:r>
        <w:rPr>
          <w:rFonts w:hint="eastAsia"/>
        </w:rPr>
        <w:t>22%</w:t>
      </w:r>
      <w:r>
        <w:rPr>
          <w:rFonts w:hint="eastAsia"/>
        </w:rPr>
        <w:t>对</w:t>
      </w:r>
      <w:r>
        <w:rPr>
          <w:rFonts w:hint="eastAsia"/>
        </w:rPr>
        <w:t>8%)(</w:t>
      </w:r>
      <w:r>
        <w:rPr>
          <w:rFonts w:hint="eastAsia"/>
        </w:rPr>
        <w:t>经合组织</w:t>
      </w:r>
      <w:r>
        <w:rPr>
          <w:rFonts w:hint="eastAsia"/>
        </w:rPr>
        <w:t xml:space="preserve">2000, </w:t>
      </w:r>
      <w:r>
        <w:rPr>
          <w:rFonts w:hint="eastAsia"/>
        </w:rPr>
        <w:t>第</w:t>
      </w:r>
      <w:r>
        <w:rPr>
          <w:rFonts w:hint="eastAsia"/>
        </w:rPr>
        <w:t>33</w:t>
      </w:r>
      <w:r>
        <w:rPr>
          <w:rFonts w:hint="eastAsia"/>
        </w:rPr>
        <w:t>、</w:t>
      </w:r>
      <w:r>
        <w:rPr>
          <w:rFonts w:hint="eastAsia"/>
        </w:rPr>
        <w:t>36</w:t>
      </w:r>
      <w:r>
        <w:rPr>
          <w:rFonts w:hint="eastAsia"/>
        </w:rPr>
        <w:t>页</w:t>
      </w:r>
      <w:r>
        <w:rPr>
          <w:rFonts w:hint="eastAsia"/>
        </w:rPr>
        <w:t>)</w:t>
      </w:r>
      <w:r>
        <w:rPr>
          <w:rFonts w:hint="eastAsia"/>
        </w:rPr>
        <w:t>。欧洲联盟所作的研究也表明了类似情况，在</w:t>
      </w:r>
      <w:r>
        <w:rPr>
          <w:rFonts w:hint="eastAsia"/>
        </w:rPr>
        <w:t>1976-1977</w:t>
      </w:r>
      <w:r>
        <w:rPr>
          <w:rFonts w:hint="eastAsia"/>
        </w:rPr>
        <w:t>至</w:t>
      </w:r>
      <w:r>
        <w:rPr>
          <w:rFonts w:hint="eastAsia"/>
        </w:rPr>
        <w:t>1996-1997</w:t>
      </w:r>
      <w:r>
        <w:rPr>
          <w:rFonts w:hint="eastAsia"/>
        </w:rPr>
        <w:t>年期间，希腊持有高等教育文凭的人数翻了一番。希腊人教育水平的提高被认为具有重要意义，因为它与国家快速的经济发展有着积极的联系。在</w:t>
      </w:r>
      <w:r>
        <w:rPr>
          <w:rFonts w:hint="eastAsia"/>
        </w:rPr>
        <w:t>25</w:t>
      </w:r>
      <w:r>
        <w:rPr>
          <w:rFonts w:hint="eastAsia"/>
        </w:rPr>
        <w:t>至</w:t>
      </w:r>
      <w:r>
        <w:rPr>
          <w:rFonts w:hint="eastAsia"/>
        </w:rPr>
        <w:t>59</w:t>
      </w:r>
      <w:r>
        <w:rPr>
          <w:rFonts w:hint="eastAsia"/>
        </w:rPr>
        <w:t>岁年龄组的人中，受过中学以上教育的人较没有受过义务教育以上资格的人</w:t>
      </w:r>
      <w:r>
        <w:rPr>
          <w:rFonts w:hint="eastAsia"/>
        </w:rPr>
        <w:t>(</w:t>
      </w:r>
      <w:r>
        <w:rPr>
          <w:rFonts w:hint="eastAsia"/>
        </w:rPr>
        <w:t>分别为</w:t>
      </w:r>
      <w:r>
        <w:rPr>
          <w:rFonts w:hint="eastAsia"/>
        </w:rPr>
        <w:t>6%</w:t>
      </w:r>
      <w:r>
        <w:rPr>
          <w:rFonts w:hint="eastAsia"/>
        </w:rPr>
        <w:t>对</w:t>
      </w:r>
      <w:r>
        <w:rPr>
          <w:rFonts w:hint="eastAsia"/>
        </w:rPr>
        <w:t>13.5%)(</w:t>
      </w:r>
      <w:r>
        <w:rPr>
          <w:rFonts w:hint="eastAsia"/>
        </w:rPr>
        <w:t>欧洲委员会，</w:t>
      </w:r>
      <w:r>
        <w:rPr>
          <w:rFonts w:hint="eastAsia"/>
        </w:rPr>
        <w:t xml:space="preserve">2000, </w:t>
      </w:r>
      <w:r>
        <w:rPr>
          <w:rFonts w:hint="eastAsia"/>
        </w:rPr>
        <w:t>欧洲教育基本统计资料，第</w:t>
      </w:r>
      <w:r>
        <w:rPr>
          <w:rFonts w:hint="eastAsia"/>
        </w:rPr>
        <w:t>14</w:t>
      </w:r>
      <w:r>
        <w:rPr>
          <w:rFonts w:hint="eastAsia"/>
        </w:rPr>
        <w:t>页</w:t>
      </w:r>
      <w:r>
        <w:rPr>
          <w:rFonts w:hint="eastAsia"/>
        </w:rPr>
        <w:t>)</w:t>
      </w:r>
      <w:r>
        <w:rPr>
          <w:rFonts w:hint="eastAsia"/>
        </w:rPr>
        <w:t>，在工作上有较大的安全系数。</w:t>
      </w:r>
    </w:p>
    <w:p w:rsidR="00000000" w:rsidRDefault="00000000">
      <w:pPr>
        <w:rPr>
          <w:rFonts w:hint="eastAsia"/>
        </w:rPr>
      </w:pPr>
      <w:r>
        <w:rPr>
          <w:rFonts w:hint="eastAsia"/>
        </w:rPr>
        <w:tab/>
        <w:t xml:space="preserve">543.  </w:t>
      </w:r>
      <w:r>
        <w:rPr>
          <w:rFonts w:hint="eastAsia"/>
        </w:rPr>
        <w:t>有关</w:t>
      </w:r>
      <w:r>
        <w:rPr>
          <w:rFonts w:hint="eastAsia"/>
        </w:rPr>
        <w:t>18</w:t>
      </w:r>
      <w:r>
        <w:rPr>
          <w:rFonts w:hint="eastAsia"/>
        </w:rPr>
        <w:t>岁以下和</w:t>
      </w:r>
      <w:r>
        <w:rPr>
          <w:rFonts w:hint="eastAsia"/>
        </w:rPr>
        <w:t>18</w:t>
      </w:r>
      <w:r>
        <w:rPr>
          <w:rFonts w:hint="eastAsia"/>
        </w:rPr>
        <w:t>岁以上的人识字率的更多的资料，可查阅希腊提交的关于执行《儿童权利公约》的文件</w:t>
      </w:r>
      <w:r>
        <w:rPr>
          <w:rFonts w:hint="eastAsia"/>
        </w:rPr>
        <w:t>(</w:t>
      </w:r>
      <w:r>
        <w:rPr>
          <w:rFonts w:hint="eastAsia"/>
        </w:rPr>
        <w:t>为审议初步报告提交的补充和更新资料：</w:t>
      </w:r>
      <w:r>
        <w:rPr>
          <w:rFonts w:hint="eastAsia"/>
        </w:rPr>
        <w:t>CRC/C/28/</w:t>
      </w:r>
      <w:r>
        <w:t>Add.1</w:t>
      </w:r>
      <w:r>
        <w:rPr>
          <w:rFonts w:hint="eastAsia"/>
        </w:rPr>
        <w:t>7(</w:t>
      </w:r>
      <w:r>
        <w:rPr>
          <w:rFonts w:hint="eastAsia"/>
        </w:rPr>
        <w:t>第</w:t>
      </w:r>
      <w:r>
        <w:rPr>
          <w:rFonts w:hint="eastAsia"/>
        </w:rPr>
        <w:t>28</w:t>
      </w:r>
      <w:r>
        <w:rPr>
          <w:rFonts w:hint="eastAsia"/>
        </w:rPr>
        <w:t>页</w:t>
      </w:r>
      <w:r>
        <w:rPr>
          <w:rFonts w:hint="eastAsia"/>
        </w:rPr>
        <w:t>))</w:t>
      </w:r>
      <w:r>
        <w:rPr>
          <w:rFonts w:hint="eastAsia"/>
        </w:rPr>
        <w:t>。有关采取措施和政策，提高识字率、入学率、出勤率等的情况，见下文第</w:t>
      </w:r>
      <w:r>
        <w:rPr>
          <w:rFonts w:hint="eastAsia"/>
        </w:rPr>
        <w:t>567-592</w:t>
      </w:r>
      <w:r>
        <w:rPr>
          <w:rFonts w:hint="eastAsia"/>
        </w:rPr>
        <w:t>段。</w:t>
      </w:r>
    </w:p>
    <w:p w:rsidR="00000000" w:rsidRDefault="00000000">
      <w:pPr>
        <w:rPr>
          <w:rFonts w:hint="eastAsia"/>
        </w:rPr>
      </w:pPr>
      <w:r>
        <w:rPr>
          <w:rFonts w:hint="eastAsia"/>
        </w:rPr>
        <w:tab/>
        <w:t xml:space="preserve">544.  </w:t>
      </w:r>
      <w:r>
        <w:rPr>
          <w:rFonts w:hint="eastAsia"/>
        </w:rPr>
        <w:t>希腊将人均收入的</w:t>
      </w:r>
      <w:r>
        <w:rPr>
          <w:rFonts w:hint="eastAsia"/>
        </w:rPr>
        <w:t>3.5%</w:t>
      </w:r>
      <w:r>
        <w:rPr>
          <w:rFonts w:hint="eastAsia"/>
        </w:rPr>
        <w:t>用于教育。但实际上这个数字还要更大。经合组织计算这个数字的方法，没有考虑进各地区的预算</w:t>
      </w:r>
      <w:r>
        <w:rPr>
          <w:rFonts w:hint="eastAsia"/>
        </w:rPr>
        <w:t>(</w:t>
      </w:r>
      <w:r>
        <w:rPr>
          <w:rFonts w:hint="eastAsia"/>
        </w:rPr>
        <w:t>如用于交通的拨款等</w:t>
      </w:r>
      <w:r>
        <w:rPr>
          <w:rFonts w:hint="eastAsia"/>
        </w:rPr>
        <w:t>)</w:t>
      </w:r>
      <w:r>
        <w:rPr>
          <w:rFonts w:hint="eastAsia"/>
        </w:rPr>
        <w:t>，和国民教育部以外的其他各部的补充预算。</w:t>
      </w:r>
    </w:p>
    <w:p w:rsidR="00000000" w:rsidRDefault="00000000">
      <w:pPr>
        <w:spacing w:after="160"/>
        <w:rPr>
          <w:rFonts w:hint="eastAsia"/>
        </w:rPr>
      </w:pPr>
      <w:r>
        <w:rPr>
          <w:rFonts w:hint="eastAsia"/>
        </w:rPr>
        <w:tab/>
        <w:t xml:space="preserve">545.  </w:t>
      </w:r>
      <w:r>
        <w:rPr>
          <w:rFonts w:hint="eastAsia"/>
          <w:spacing w:val="6"/>
        </w:rPr>
        <w:t>在过去几年里大力强调了提高现有的学校和建设新的学校。由于在大都市地区在很多情况下学校建筑的数量较少，有时两所学校共用同一座建筑，上课时间每个星期上下午调换。这种办法无法有效安排教学工作，正在通过建设新的学校逐渐废除这种做法。主管当局面临的一个困难，是在城市地区没有建校用地。但这是国家要解决的一个优先问题，到目前为止已取得了惊人的成绩。为了保证公立学校的教学只在上午进行，对教室的需求也因建设校舍的活动发生了变化，见下表</w:t>
      </w:r>
      <w:r>
        <w:rPr>
          <w:rFonts w:hint="eastAsia"/>
          <w:spacing w:val="6"/>
        </w:rPr>
        <w:t>19</w:t>
      </w:r>
      <w:r>
        <w:rPr>
          <w:rFonts w:hint="eastAsia"/>
          <w:spacing w:val="6"/>
        </w:rPr>
        <w:t>。</w:t>
      </w:r>
    </w:p>
    <w:p w:rsidR="00000000" w:rsidRDefault="00000000">
      <w:pPr>
        <w:pStyle w:val="Heading3"/>
        <w:spacing w:after="160"/>
        <w:rPr>
          <w:rFonts w:hint="eastAsia"/>
        </w:rPr>
      </w:pPr>
      <w:r>
        <w:rPr>
          <w:rFonts w:hint="eastAsia"/>
        </w:rPr>
        <w:t>表</w:t>
      </w:r>
      <w:r>
        <w:rPr>
          <w:rFonts w:hint="eastAsia"/>
        </w:rPr>
        <w:t xml:space="preserve">  19</w:t>
      </w:r>
    </w:p>
    <w:tbl>
      <w:tblPr>
        <w:tblW w:w="0" w:type="auto"/>
        <w:tblInd w:w="226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60"/>
        <w:gridCol w:w="2460"/>
      </w:tblGrid>
      <w:tr w:rsidR="00000000">
        <w:tblPrEx>
          <w:tblCellMar>
            <w:top w:w="0" w:type="dxa"/>
            <w:bottom w:w="0" w:type="dxa"/>
          </w:tblCellMar>
        </w:tblPrEx>
        <w:tc>
          <w:tcPr>
            <w:tcW w:w="2460" w:type="dxa"/>
            <w:tcBorders>
              <w:top w:val="single" w:sz="4" w:space="0" w:color="auto"/>
              <w:bottom w:val="single" w:sz="4" w:space="0" w:color="auto"/>
              <w:right w:val="single" w:sz="4" w:space="0" w:color="auto"/>
            </w:tcBorders>
          </w:tcPr>
          <w:p w:rsidR="00000000" w:rsidRDefault="00000000">
            <w:pPr>
              <w:pStyle w:val="aa"/>
              <w:spacing w:before="40" w:after="40" w:line="240" w:lineRule="auto"/>
              <w:jc w:val="center"/>
              <w:rPr>
                <w:rFonts w:hint="eastAsia"/>
              </w:rPr>
            </w:pPr>
            <w:r>
              <w:rPr>
                <w:rFonts w:hint="eastAsia"/>
              </w:rPr>
              <w:t>年</w:t>
            </w:r>
          </w:p>
        </w:tc>
        <w:tc>
          <w:tcPr>
            <w:tcW w:w="2460" w:type="dxa"/>
            <w:tcBorders>
              <w:top w:val="single" w:sz="4" w:space="0" w:color="auto"/>
              <w:left w:val="single" w:sz="4" w:space="0" w:color="auto"/>
              <w:bottom w:val="single" w:sz="4" w:space="0" w:color="auto"/>
            </w:tcBorders>
          </w:tcPr>
          <w:p w:rsidR="00000000" w:rsidRDefault="00000000">
            <w:pPr>
              <w:pStyle w:val="aa"/>
              <w:spacing w:before="40" w:after="40" w:line="240" w:lineRule="auto"/>
              <w:jc w:val="center"/>
              <w:rPr>
                <w:rFonts w:hint="eastAsia"/>
              </w:rPr>
            </w:pPr>
            <w:r>
              <w:rPr>
                <w:rFonts w:hint="eastAsia"/>
              </w:rPr>
              <w:t>所需教室</w:t>
            </w:r>
          </w:p>
        </w:tc>
      </w:tr>
      <w:tr w:rsidR="00000000">
        <w:tblPrEx>
          <w:tblCellMar>
            <w:top w:w="0" w:type="dxa"/>
            <w:bottom w:w="0" w:type="dxa"/>
          </w:tblCellMar>
        </w:tblPrEx>
        <w:tc>
          <w:tcPr>
            <w:tcW w:w="2460" w:type="dxa"/>
            <w:tcBorders>
              <w:top w:val="single" w:sz="4" w:space="0" w:color="auto"/>
              <w:right w:val="single" w:sz="4" w:space="0" w:color="auto"/>
            </w:tcBorders>
          </w:tcPr>
          <w:p w:rsidR="00000000" w:rsidRDefault="00000000">
            <w:pPr>
              <w:pStyle w:val="aa"/>
              <w:spacing w:line="240" w:lineRule="auto"/>
              <w:jc w:val="center"/>
              <w:rPr>
                <w:rFonts w:hint="eastAsia"/>
              </w:rPr>
            </w:pPr>
            <w:r>
              <w:rPr>
                <w:rFonts w:hint="eastAsia"/>
              </w:rPr>
              <w:t>1994</w:t>
            </w:r>
          </w:p>
        </w:tc>
        <w:tc>
          <w:tcPr>
            <w:tcW w:w="2460" w:type="dxa"/>
            <w:tcBorders>
              <w:top w:val="single" w:sz="4" w:space="0" w:color="auto"/>
              <w:left w:val="single" w:sz="4" w:space="0" w:color="auto"/>
            </w:tcBorders>
          </w:tcPr>
          <w:p w:rsidR="00000000" w:rsidRDefault="00000000">
            <w:pPr>
              <w:pStyle w:val="aa"/>
              <w:tabs>
                <w:tab w:val="decimal" w:pos="1335"/>
              </w:tabs>
              <w:spacing w:line="240" w:lineRule="auto"/>
              <w:rPr>
                <w:rFonts w:hint="eastAsia"/>
              </w:rPr>
            </w:pPr>
            <w:r>
              <w:rPr>
                <w:rFonts w:hint="eastAsia"/>
              </w:rPr>
              <w:t>8,956</w:t>
            </w:r>
          </w:p>
        </w:tc>
      </w:tr>
      <w:tr w:rsidR="00000000">
        <w:tblPrEx>
          <w:tblCellMar>
            <w:top w:w="0" w:type="dxa"/>
            <w:bottom w:w="0" w:type="dxa"/>
          </w:tblCellMar>
        </w:tblPrEx>
        <w:tc>
          <w:tcPr>
            <w:tcW w:w="2460" w:type="dxa"/>
            <w:tcBorders>
              <w:right w:val="single" w:sz="4" w:space="0" w:color="auto"/>
            </w:tcBorders>
          </w:tcPr>
          <w:p w:rsidR="00000000" w:rsidRDefault="00000000">
            <w:pPr>
              <w:pStyle w:val="aa"/>
              <w:spacing w:line="240" w:lineRule="auto"/>
              <w:jc w:val="center"/>
              <w:rPr>
                <w:rFonts w:hint="eastAsia"/>
              </w:rPr>
            </w:pPr>
            <w:r>
              <w:rPr>
                <w:rFonts w:hint="eastAsia"/>
              </w:rPr>
              <w:t>1998</w:t>
            </w:r>
          </w:p>
        </w:tc>
        <w:tc>
          <w:tcPr>
            <w:tcW w:w="2460" w:type="dxa"/>
            <w:tcBorders>
              <w:left w:val="single" w:sz="4" w:space="0" w:color="auto"/>
            </w:tcBorders>
          </w:tcPr>
          <w:p w:rsidR="00000000" w:rsidRDefault="00000000">
            <w:pPr>
              <w:pStyle w:val="aa"/>
              <w:tabs>
                <w:tab w:val="decimal" w:pos="1335"/>
              </w:tabs>
              <w:spacing w:line="240" w:lineRule="auto"/>
              <w:rPr>
                <w:rFonts w:hint="eastAsia"/>
              </w:rPr>
            </w:pPr>
            <w:r>
              <w:rPr>
                <w:rFonts w:hint="eastAsia"/>
              </w:rPr>
              <w:t>5,697</w:t>
            </w:r>
          </w:p>
        </w:tc>
      </w:tr>
      <w:tr w:rsidR="00000000">
        <w:tblPrEx>
          <w:tblCellMar>
            <w:top w:w="0" w:type="dxa"/>
            <w:bottom w:w="0" w:type="dxa"/>
          </w:tblCellMar>
        </w:tblPrEx>
        <w:tc>
          <w:tcPr>
            <w:tcW w:w="2460" w:type="dxa"/>
            <w:tcBorders>
              <w:right w:val="single" w:sz="4" w:space="0" w:color="auto"/>
            </w:tcBorders>
          </w:tcPr>
          <w:p w:rsidR="00000000" w:rsidRDefault="00000000">
            <w:pPr>
              <w:pStyle w:val="aa"/>
              <w:spacing w:line="240" w:lineRule="auto"/>
              <w:jc w:val="center"/>
              <w:rPr>
                <w:rFonts w:hint="eastAsia"/>
              </w:rPr>
            </w:pPr>
            <w:r>
              <w:rPr>
                <w:rFonts w:hint="eastAsia"/>
              </w:rPr>
              <w:t>2001</w:t>
            </w:r>
          </w:p>
        </w:tc>
        <w:tc>
          <w:tcPr>
            <w:tcW w:w="2460" w:type="dxa"/>
            <w:tcBorders>
              <w:left w:val="single" w:sz="4" w:space="0" w:color="auto"/>
            </w:tcBorders>
          </w:tcPr>
          <w:p w:rsidR="00000000" w:rsidRDefault="00000000">
            <w:pPr>
              <w:pStyle w:val="aa"/>
              <w:tabs>
                <w:tab w:val="decimal" w:pos="1335"/>
              </w:tabs>
              <w:spacing w:line="240" w:lineRule="auto"/>
              <w:rPr>
                <w:rFonts w:hint="eastAsia"/>
              </w:rPr>
            </w:pPr>
            <w:r>
              <w:rPr>
                <w:rFonts w:hint="eastAsia"/>
              </w:rPr>
              <w:t>3,529</w:t>
            </w:r>
          </w:p>
        </w:tc>
      </w:tr>
      <w:tr w:rsidR="00000000">
        <w:tblPrEx>
          <w:tblCellMar>
            <w:top w:w="0" w:type="dxa"/>
            <w:bottom w:w="0" w:type="dxa"/>
          </w:tblCellMar>
        </w:tblPrEx>
        <w:tc>
          <w:tcPr>
            <w:tcW w:w="2460" w:type="dxa"/>
            <w:tcBorders>
              <w:bottom w:val="single" w:sz="4" w:space="0" w:color="auto"/>
              <w:right w:val="single" w:sz="4" w:space="0" w:color="auto"/>
            </w:tcBorders>
          </w:tcPr>
          <w:p w:rsidR="00000000" w:rsidRDefault="00000000">
            <w:pPr>
              <w:pStyle w:val="aa"/>
              <w:spacing w:line="240" w:lineRule="auto"/>
              <w:jc w:val="center"/>
              <w:rPr>
                <w:rFonts w:hint="eastAsia"/>
              </w:rPr>
            </w:pPr>
            <w:r>
              <w:rPr>
                <w:rFonts w:hint="eastAsia"/>
              </w:rPr>
              <w:t>2004</w:t>
            </w:r>
          </w:p>
        </w:tc>
        <w:tc>
          <w:tcPr>
            <w:tcW w:w="2460" w:type="dxa"/>
            <w:tcBorders>
              <w:left w:val="single" w:sz="4" w:space="0" w:color="auto"/>
            </w:tcBorders>
          </w:tcPr>
          <w:p w:rsidR="00000000" w:rsidRDefault="00000000">
            <w:pPr>
              <w:pStyle w:val="aa"/>
              <w:tabs>
                <w:tab w:val="decimal" w:pos="1335"/>
              </w:tabs>
              <w:spacing w:line="240" w:lineRule="auto"/>
              <w:rPr>
                <w:rFonts w:hint="eastAsia"/>
              </w:rPr>
            </w:pPr>
            <w:r>
              <w:rPr>
                <w:rFonts w:hint="eastAsia"/>
              </w:rPr>
              <w:t>0</w:t>
            </w:r>
          </w:p>
        </w:tc>
      </w:tr>
    </w:tbl>
    <w:p w:rsidR="00000000" w:rsidRDefault="00000000">
      <w:pPr>
        <w:rPr>
          <w:rFonts w:hint="eastAsia"/>
        </w:rPr>
      </w:pPr>
    </w:p>
    <w:p w:rsidR="00000000" w:rsidRDefault="00000000">
      <w:pPr>
        <w:spacing w:after="160"/>
        <w:rPr>
          <w:rFonts w:hint="eastAsia"/>
        </w:rPr>
      </w:pPr>
      <w:r>
        <w:rPr>
          <w:rFonts w:hint="eastAsia"/>
        </w:rPr>
        <w:tab/>
      </w:r>
      <w:r>
        <w:rPr>
          <w:rFonts w:hint="eastAsia"/>
        </w:rPr>
        <w:t>总的修建校舍的工作虽然在大力进行，但却没有作出计算。虽然如此，仍有一些有关在</w:t>
      </w:r>
      <w:r>
        <w:rPr>
          <w:rFonts w:hint="eastAsia"/>
        </w:rPr>
        <w:t>15</w:t>
      </w:r>
      <w:r>
        <w:rPr>
          <w:rFonts w:hint="eastAsia"/>
        </w:rPr>
        <w:t>个主要城市学校建筑计划发展情况的数字：</w:t>
      </w:r>
    </w:p>
    <w:p w:rsidR="00000000" w:rsidRDefault="00000000">
      <w:pPr>
        <w:pStyle w:val="Heading3"/>
        <w:spacing w:after="160"/>
        <w:rPr>
          <w:rFonts w:hint="eastAsia"/>
        </w:rPr>
      </w:pPr>
      <w:r>
        <w:rPr>
          <w:rFonts w:hint="eastAsia"/>
        </w:rPr>
        <w:t>表</w:t>
      </w:r>
      <w:r>
        <w:rPr>
          <w:rFonts w:hint="eastAsia"/>
        </w:rPr>
        <w:t xml:space="preserve">  20</w:t>
      </w:r>
    </w:p>
    <w:p w:rsidR="00000000" w:rsidRDefault="00000000">
      <w:pPr>
        <w:pStyle w:val="Heading3"/>
        <w:spacing w:after="160"/>
        <w:rPr>
          <w:rFonts w:hint="eastAsia"/>
        </w:rPr>
      </w:pPr>
      <w:r>
        <w:rPr>
          <w:rFonts w:hint="eastAsia"/>
        </w:rPr>
        <w:t>教室：总数</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95"/>
        <w:gridCol w:w="1595"/>
        <w:gridCol w:w="1595"/>
        <w:gridCol w:w="1595"/>
        <w:gridCol w:w="1595"/>
        <w:gridCol w:w="1596"/>
      </w:tblGrid>
      <w:tr w:rsidR="00000000">
        <w:tblPrEx>
          <w:tblCellMar>
            <w:top w:w="0" w:type="dxa"/>
            <w:bottom w:w="0" w:type="dxa"/>
          </w:tblCellMar>
        </w:tblPrEx>
        <w:tc>
          <w:tcPr>
            <w:tcW w:w="1595" w:type="dxa"/>
            <w:tcBorders>
              <w:top w:val="single" w:sz="4" w:space="0" w:color="auto"/>
              <w:bottom w:val="single" w:sz="4" w:space="0" w:color="auto"/>
              <w:right w:val="single" w:sz="4" w:space="0" w:color="auto"/>
            </w:tcBorders>
          </w:tcPr>
          <w:p w:rsidR="00000000" w:rsidRDefault="00000000">
            <w:pPr>
              <w:pStyle w:val="aa"/>
              <w:spacing w:before="40" w:after="40"/>
              <w:jc w:val="center"/>
              <w:rPr>
                <w:rFonts w:hint="eastAsia"/>
              </w:rPr>
            </w:pPr>
            <w:r>
              <w:rPr>
                <w:rFonts w:hint="eastAsia"/>
              </w:rPr>
              <w:t>年</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after="40"/>
              <w:jc w:val="center"/>
              <w:rPr>
                <w:rFonts w:hint="eastAsia"/>
              </w:rPr>
            </w:pPr>
            <w:r>
              <w:rPr>
                <w:rFonts w:hint="eastAsia"/>
              </w:rPr>
              <w:t>国</w:t>
            </w:r>
            <w:r>
              <w:rPr>
                <w:rFonts w:hint="eastAsia"/>
              </w:rPr>
              <w:t xml:space="preserve">  </w:t>
            </w:r>
            <w:r>
              <w:rPr>
                <w:rFonts w:hint="eastAsia"/>
              </w:rPr>
              <w:t>有</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after="40"/>
              <w:jc w:val="center"/>
              <w:rPr>
                <w:rFonts w:hint="eastAsia"/>
              </w:rPr>
            </w:pPr>
            <w:r>
              <w:rPr>
                <w:rFonts w:hint="eastAsia"/>
              </w:rPr>
              <w:t>租</w:t>
            </w:r>
            <w:r>
              <w:rPr>
                <w:rFonts w:hint="eastAsia"/>
              </w:rPr>
              <w:t xml:space="preserve">  </w:t>
            </w:r>
            <w:r>
              <w:rPr>
                <w:rFonts w:hint="eastAsia"/>
              </w:rPr>
              <w:t>赁</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after="40"/>
              <w:jc w:val="center"/>
              <w:rPr>
                <w:rFonts w:hint="eastAsia"/>
              </w:rPr>
            </w:pPr>
            <w:r>
              <w:rPr>
                <w:rFonts w:hint="eastAsia"/>
              </w:rPr>
              <w:t>班</w:t>
            </w:r>
            <w:r>
              <w:rPr>
                <w:rFonts w:hint="eastAsia"/>
              </w:rPr>
              <w:t xml:space="preserve">  </w:t>
            </w:r>
            <w:r>
              <w:rPr>
                <w:rFonts w:hint="eastAsia"/>
              </w:rPr>
              <w:t>组</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after="40"/>
              <w:jc w:val="center"/>
              <w:rPr>
                <w:rFonts w:hint="eastAsia"/>
              </w:rPr>
            </w:pPr>
            <w:r>
              <w:rPr>
                <w:rFonts w:hint="eastAsia"/>
              </w:rPr>
              <w:t>学</w:t>
            </w:r>
            <w:r>
              <w:rPr>
                <w:rFonts w:hint="eastAsia"/>
              </w:rPr>
              <w:t xml:space="preserve">  </w:t>
            </w:r>
            <w:r>
              <w:rPr>
                <w:rFonts w:hint="eastAsia"/>
              </w:rPr>
              <w:t>生</w:t>
            </w:r>
          </w:p>
        </w:tc>
        <w:tc>
          <w:tcPr>
            <w:tcW w:w="1596" w:type="dxa"/>
            <w:tcBorders>
              <w:top w:val="single" w:sz="4" w:space="0" w:color="auto"/>
              <w:left w:val="single" w:sz="4" w:space="0" w:color="auto"/>
              <w:bottom w:val="single" w:sz="4" w:space="0" w:color="auto"/>
            </w:tcBorders>
          </w:tcPr>
          <w:p w:rsidR="00000000" w:rsidRDefault="00000000">
            <w:pPr>
              <w:pStyle w:val="aa"/>
              <w:spacing w:before="40" w:after="40"/>
              <w:jc w:val="center"/>
              <w:rPr>
                <w:rFonts w:hint="eastAsia"/>
              </w:rPr>
            </w:pPr>
            <w:r>
              <w:rPr>
                <w:rFonts w:hint="eastAsia"/>
              </w:rPr>
              <w:t>每班学生人数</w:t>
            </w:r>
          </w:p>
        </w:tc>
      </w:tr>
      <w:tr w:rsidR="00000000">
        <w:tblPrEx>
          <w:tblCellMar>
            <w:top w:w="0" w:type="dxa"/>
            <w:bottom w:w="0" w:type="dxa"/>
          </w:tblCellMar>
        </w:tblPrEx>
        <w:tc>
          <w:tcPr>
            <w:tcW w:w="1595" w:type="dxa"/>
            <w:tcBorders>
              <w:top w:val="single" w:sz="4" w:space="0" w:color="auto"/>
              <w:right w:val="single" w:sz="4" w:space="0" w:color="auto"/>
            </w:tcBorders>
          </w:tcPr>
          <w:p w:rsidR="00000000" w:rsidRDefault="00000000">
            <w:pPr>
              <w:pStyle w:val="aa"/>
              <w:spacing w:line="240" w:lineRule="auto"/>
              <w:jc w:val="center"/>
              <w:rPr>
                <w:rFonts w:hint="eastAsia"/>
              </w:rPr>
            </w:pPr>
            <w:r>
              <w:rPr>
                <w:rFonts w:hint="eastAsia"/>
              </w:rPr>
              <w:t>1994</w:t>
            </w:r>
          </w:p>
        </w:tc>
        <w:tc>
          <w:tcPr>
            <w:tcW w:w="1595" w:type="dxa"/>
            <w:tcBorders>
              <w:top w:val="single" w:sz="4" w:space="0" w:color="auto"/>
              <w:left w:val="single" w:sz="4" w:space="0" w:color="auto"/>
              <w:right w:val="single" w:sz="4" w:space="0" w:color="auto"/>
            </w:tcBorders>
          </w:tcPr>
          <w:p w:rsidR="00000000" w:rsidRDefault="00000000">
            <w:pPr>
              <w:pStyle w:val="aa"/>
              <w:spacing w:line="240" w:lineRule="auto"/>
              <w:ind w:left="325"/>
              <w:rPr>
                <w:rFonts w:hint="eastAsia"/>
              </w:rPr>
            </w:pPr>
            <w:r>
              <w:rPr>
                <w:rFonts w:hint="eastAsia"/>
              </w:rPr>
              <w:t>4,181</w:t>
            </w:r>
          </w:p>
        </w:tc>
        <w:tc>
          <w:tcPr>
            <w:tcW w:w="1595" w:type="dxa"/>
            <w:tcBorders>
              <w:top w:val="single" w:sz="4" w:space="0" w:color="auto"/>
              <w:left w:val="single" w:sz="4" w:space="0" w:color="auto"/>
              <w:right w:val="single" w:sz="4" w:space="0" w:color="auto"/>
            </w:tcBorders>
          </w:tcPr>
          <w:p w:rsidR="00000000" w:rsidRDefault="00000000">
            <w:pPr>
              <w:pStyle w:val="aa"/>
              <w:tabs>
                <w:tab w:val="decimal" w:pos="770"/>
              </w:tabs>
              <w:spacing w:line="240" w:lineRule="auto"/>
              <w:ind w:left="325"/>
              <w:rPr>
                <w:rFonts w:hint="eastAsia"/>
              </w:rPr>
            </w:pPr>
            <w:r>
              <w:rPr>
                <w:rFonts w:hint="eastAsia"/>
              </w:rPr>
              <w:t>706</w:t>
            </w:r>
          </w:p>
        </w:tc>
        <w:tc>
          <w:tcPr>
            <w:tcW w:w="1595" w:type="dxa"/>
            <w:tcBorders>
              <w:top w:val="single" w:sz="4" w:space="0" w:color="auto"/>
              <w:left w:val="single" w:sz="4" w:space="0" w:color="auto"/>
              <w:right w:val="single" w:sz="4" w:space="0" w:color="auto"/>
            </w:tcBorders>
          </w:tcPr>
          <w:p w:rsidR="00000000" w:rsidRDefault="00000000">
            <w:pPr>
              <w:pStyle w:val="aa"/>
              <w:spacing w:line="240" w:lineRule="auto"/>
              <w:ind w:left="325"/>
              <w:rPr>
                <w:rFonts w:hint="eastAsia"/>
              </w:rPr>
            </w:pPr>
            <w:r>
              <w:rPr>
                <w:rFonts w:hint="eastAsia"/>
              </w:rPr>
              <w:t>7,437</w:t>
            </w:r>
          </w:p>
        </w:tc>
        <w:tc>
          <w:tcPr>
            <w:tcW w:w="1595" w:type="dxa"/>
            <w:tcBorders>
              <w:top w:val="single" w:sz="4" w:space="0" w:color="auto"/>
              <w:left w:val="single" w:sz="4" w:space="0" w:color="auto"/>
              <w:right w:val="single" w:sz="4" w:space="0" w:color="auto"/>
            </w:tcBorders>
          </w:tcPr>
          <w:p w:rsidR="00000000" w:rsidRDefault="00000000">
            <w:pPr>
              <w:pStyle w:val="aa"/>
              <w:spacing w:line="240" w:lineRule="auto"/>
              <w:ind w:left="325"/>
              <w:rPr>
                <w:rFonts w:hint="eastAsia"/>
              </w:rPr>
            </w:pPr>
            <w:r>
              <w:rPr>
                <w:rFonts w:hint="eastAsia"/>
              </w:rPr>
              <w:t>183,158</w:t>
            </w:r>
          </w:p>
        </w:tc>
        <w:tc>
          <w:tcPr>
            <w:tcW w:w="1596" w:type="dxa"/>
            <w:tcBorders>
              <w:top w:val="single" w:sz="4" w:space="0" w:color="auto"/>
              <w:left w:val="single" w:sz="4" w:space="0" w:color="auto"/>
            </w:tcBorders>
          </w:tcPr>
          <w:p w:rsidR="00000000" w:rsidRDefault="00000000">
            <w:pPr>
              <w:pStyle w:val="aa"/>
              <w:spacing w:line="240" w:lineRule="auto"/>
              <w:jc w:val="center"/>
              <w:rPr>
                <w:rFonts w:hint="eastAsia"/>
              </w:rPr>
            </w:pPr>
            <w:r>
              <w:rPr>
                <w:rFonts w:hint="eastAsia"/>
              </w:rPr>
              <w:t>25</w:t>
            </w:r>
          </w:p>
        </w:tc>
      </w:tr>
      <w:tr w:rsidR="00000000">
        <w:tblPrEx>
          <w:tblCellMar>
            <w:top w:w="0" w:type="dxa"/>
            <w:bottom w:w="0" w:type="dxa"/>
          </w:tblCellMar>
        </w:tblPrEx>
        <w:tc>
          <w:tcPr>
            <w:tcW w:w="1595" w:type="dxa"/>
            <w:tcBorders>
              <w:right w:val="single" w:sz="4" w:space="0" w:color="auto"/>
            </w:tcBorders>
          </w:tcPr>
          <w:p w:rsidR="00000000" w:rsidRDefault="00000000">
            <w:pPr>
              <w:pStyle w:val="aa"/>
              <w:spacing w:line="240" w:lineRule="auto"/>
              <w:jc w:val="center"/>
              <w:rPr>
                <w:rFonts w:hint="eastAsia"/>
              </w:rPr>
            </w:pPr>
            <w:r>
              <w:rPr>
                <w:rFonts w:hint="eastAsia"/>
              </w:rPr>
              <w:t>1998</w:t>
            </w:r>
          </w:p>
        </w:tc>
        <w:tc>
          <w:tcPr>
            <w:tcW w:w="1595" w:type="dxa"/>
            <w:tcBorders>
              <w:left w:val="single" w:sz="4" w:space="0" w:color="auto"/>
              <w:right w:val="single" w:sz="4" w:space="0" w:color="auto"/>
            </w:tcBorders>
          </w:tcPr>
          <w:p w:rsidR="00000000" w:rsidRDefault="00000000">
            <w:pPr>
              <w:pStyle w:val="aa"/>
              <w:spacing w:line="240" w:lineRule="auto"/>
              <w:ind w:left="325"/>
              <w:rPr>
                <w:rFonts w:hint="eastAsia"/>
              </w:rPr>
            </w:pPr>
            <w:r>
              <w:rPr>
                <w:rFonts w:hint="eastAsia"/>
              </w:rPr>
              <w:t>4,997</w:t>
            </w:r>
          </w:p>
        </w:tc>
        <w:tc>
          <w:tcPr>
            <w:tcW w:w="1595" w:type="dxa"/>
            <w:tcBorders>
              <w:left w:val="single" w:sz="4" w:space="0" w:color="auto"/>
              <w:right w:val="single" w:sz="4" w:space="0" w:color="auto"/>
            </w:tcBorders>
          </w:tcPr>
          <w:p w:rsidR="00000000" w:rsidRDefault="00000000">
            <w:pPr>
              <w:pStyle w:val="aa"/>
              <w:tabs>
                <w:tab w:val="decimal" w:pos="770"/>
              </w:tabs>
              <w:spacing w:line="240" w:lineRule="auto"/>
              <w:ind w:left="325"/>
              <w:rPr>
                <w:rFonts w:hint="eastAsia"/>
              </w:rPr>
            </w:pPr>
            <w:r>
              <w:rPr>
                <w:rFonts w:hint="eastAsia"/>
              </w:rPr>
              <w:t>721</w:t>
            </w:r>
          </w:p>
        </w:tc>
        <w:tc>
          <w:tcPr>
            <w:tcW w:w="1595" w:type="dxa"/>
            <w:tcBorders>
              <w:left w:val="single" w:sz="4" w:space="0" w:color="auto"/>
              <w:right w:val="single" w:sz="4" w:space="0" w:color="auto"/>
            </w:tcBorders>
          </w:tcPr>
          <w:p w:rsidR="00000000" w:rsidRDefault="00000000">
            <w:pPr>
              <w:pStyle w:val="aa"/>
              <w:spacing w:line="240" w:lineRule="auto"/>
              <w:ind w:left="325"/>
              <w:rPr>
                <w:rFonts w:hint="eastAsia"/>
              </w:rPr>
            </w:pPr>
            <w:r>
              <w:rPr>
                <w:rFonts w:hint="eastAsia"/>
              </w:rPr>
              <w:t>7,274</w:t>
            </w:r>
          </w:p>
        </w:tc>
        <w:tc>
          <w:tcPr>
            <w:tcW w:w="1595" w:type="dxa"/>
            <w:tcBorders>
              <w:left w:val="single" w:sz="4" w:space="0" w:color="auto"/>
              <w:right w:val="single" w:sz="4" w:space="0" w:color="auto"/>
            </w:tcBorders>
          </w:tcPr>
          <w:p w:rsidR="00000000" w:rsidRDefault="00000000">
            <w:pPr>
              <w:pStyle w:val="aa"/>
              <w:spacing w:line="240" w:lineRule="auto"/>
              <w:ind w:left="325"/>
              <w:rPr>
                <w:rFonts w:hint="eastAsia"/>
              </w:rPr>
            </w:pPr>
            <w:r>
              <w:rPr>
                <w:rFonts w:hint="eastAsia"/>
              </w:rPr>
              <w:t>166,707</w:t>
            </w:r>
          </w:p>
        </w:tc>
        <w:tc>
          <w:tcPr>
            <w:tcW w:w="1596" w:type="dxa"/>
            <w:tcBorders>
              <w:left w:val="single" w:sz="4" w:space="0" w:color="auto"/>
            </w:tcBorders>
          </w:tcPr>
          <w:p w:rsidR="00000000" w:rsidRDefault="00000000">
            <w:pPr>
              <w:pStyle w:val="aa"/>
              <w:spacing w:line="240" w:lineRule="auto"/>
              <w:jc w:val="center"/>
              <w:rPr>
                <w:rFonts w:hint="eastAsia"/>
              </w:rPr>
            </w:pPr>
            <w:r>
              <w:rPr>
                <w:rFonts w:hint="eastAsia"/>
              </w:rPr>
              <w:t>23</w:t>
            </w:r>
          </w:p>
        </w:tc>
      </w:tr>
      <w:tr w:rsidR="00000000">
        <w:tblPrEx>
          <w:tblCellMar>
            <w:top w:w="0" w:type="dxa"/>
            <w:bottom w:w="0" w:type="dxa"/>
          </w:tblCellMar>
        </w:tblPrEx>
        <w:tc>
          <w:tcPr>
            <w:tcW w:w="1595" w:type="dxa"/>
            <w:tcBorders>
              <w:right w:val="single" w:sz="4" w:space="0" w:color="auto"/>
            </w:tcBorders>
          </w:tcPr>
          <w:p w:rsidR="00000000" w:rsidRDefault="00000000">
            <w:pPr>
              <w:pStyle w:val="aa"/>
              <w:spacing w:line="240" w:lineRule="auto"/>
              <w:jc w:val="center"/>
              <w:rPr>
                <w:rFonts w:hint="eastAsia"/>
              </w:rPr>
            </w:pPr>
            <w:r>
              <w:rPr>
                <w:rFonts w:hint="eastAsia"/>
              </w:rPr>
              <w:t>2001</w:t>
            </w:r>
          </w:p>
        </w:tc>
        <w:tc>
          <w:tcPr>
            <w:tcW w:w="1595" w:type="dxa"/>
            <w:tcBorders>
              <w:left w:val="single" w:sz="4" w:space="0" w:color="auto"/>
              <w:right w:val="single" w:sz="4" w:space="0" w:color="auto"/>
            </w:tcBorders>
          </w:tcPr>
          <w:p w:rsidR="00000000" w:rsidRDefault="00000000">
            <w:pPr>
              <w:pStyle w:val="aa"/>
              <w:spacing w:line="240" w:lineRule="auto"/>
              <w:ind w:left="325"/>
              <w:rPr>
                <w:rFonts w:hint="eastAsia"/>
              </w:rPr>
            </w:pPr>
            <w:r>
              <w:rPr>
                <w:rFonts w:hint="eastAsia"/>
              </w:rPr>
              <w:t>6,160</w:t>
            </w:r>
          </w:p>
        </w:tc>
        <w:tc>
          <w:tcPr>
            <w:tcW w:w="1595" w:type="dxa"/>
            <w:tcBorders>
              <w:left w:val="single" w:sz="4" w:space="0" w:color="auto"/>
              <w:right w:val="single" w:sz="4" w:space="0" w:color="auto"/>
            </w:tcBorders>
          </w:tcPr>
          <w:p w:rsidR="00000000" w:rsidRDefault="00000000">
            <w:pPr>
              <w:pStyle w:val="aa"/>
              <w:tabs>
                <w:tab w:val="decimal" w:pos="770"/>
              </w:tabs>
              <w:spacing w:line="240" w:lineRule="auto"/>
              <w:ind w:left="325"/>
              <w:rPr>
                <w:rFonts w:hint="eastAsia"/>
              </w:rPr>
            </w:pPr>
            <w:r>
              <w:rPr>
                <w:rFonts w:hint="eastAsia"/>
              </w:rPr>
              <w:t>371</w:t>
            </w:r>
          </w:p>
        </w:tc>
        <w:tc>
          <w:tcPr>
            <w:tcW w:w="1595" w:type="dxa"/>
            <w:tcBorders>
              <w:left w:val="single" w:sz="4" w:space="0" w:color="auto"/>
              <w:right w:val="single" w:sz="4" w:space="0" w:color="auto"/>
            </w:tcBorders>
          </w:tcPr>
          <w:p w:rsidR="00000000" w:rsidRDefault="00000000">
            <w:pPr>
              <w:pStyle w:val="aa"/>
              <w:spacing w:line="240" w:lineRule="auto"/>
              <w:ind w:left="325"/>
              <w:rPr>
                <w:rFonts w:hint="eastAsia"/>
              </w:rPr>
            </w:pPr>
            <w:r>
              <w:rPr>
                <w:rFonts w:hint="eastAsia"/>
              </w:rPr>
              <w:t>6,940</w:t>
            </w:r>
          </w:p>
        </w:tc>
        <w:tc>
          <w:tcPr>
            <w:tcW w:w="1595" w:type="dxa"/>
            <w:tcBorders>
              <w:left w:val="single" w:sz="4" w:space="0" w:color="auto"/>
              <w:right w:val="single" w:sz="4" w:space="0" w:color="auto"/>
            </w:tcBorders>
          </w:tcPr>
          <w:p w:rsidR="00000000" w:rsidRDefault="00000000">
            <w:pPr>
              <w:pStyle w:val="aa"/>
              <w:spacing w:line="240" w:lineRule="auto"/>
              <w:ind w:left="325"/>
              <w:rPr>
                <w:rFonts w:hint="eastAsia"/>
              </w:rPr>
            </w:pPr>
            <w:r>
              <w:rPr>
                <w:rFonts w:hint="eastAsia"/>
              </w:rPr>
              <w:t>151,850</w:t>
            </w:r>
          </w:p>
        </w:tc>
        <w:tc>
          <w:tcPr>
            <w:tcW w:w="1596" w:type="dxa"/>
            <w:tcBorders>
              <w:left w:val="single" w:sz="4" w:space="0" w:color="auto"/>
            </w:tcBorders>
          </w:tcPr>
          <w:p w:rsidR="00000000" w:rsidRDefault="00000000">
            <w:pPr>
              <w:pStyle w:val="aa"/>
              <w:spacing w:line="240" w:lineRule="auto"/>
              <w:jc w:val="center"/>
              <w:rPr>
                <w:rFonts w:hint="eastAsia"/>
              </w:rPr>
            </w:pPr>
            <w:r>
              <w:rPr>
                <w:rFonts w:hint="eastAsia"/>
              </w:rPr>
              <w:t>22</w:t>
            </w:r>
          </w:p>
        </w:tc>
      </w:tr>
      <w:tr w:rsidR="00000000">
        <w:tblPrEx>
          <w:tblCellMar>
            <w:top w:w="0" w:type="dxa"/>
            <w:bottom w:w="0" w:type="dxa"/>
          </w:tblCellMar>
        </w:tblPrEx>
        <w:tc>
          <w:tcPr>
            <w:tcW w:w="1595" w:type="dxa"/>
            <w:tcBorders>
              <w:bottom w:val="single" w:sz="4" w:space="0" w:color="auto"/>
              <w:right w:val="single" w:sz="4" w:space="0" w:color="auto"/>
            </w:tcBorders>
          </w:tcPr>
          <w:p w:rsidR="00000000" w:rsidRDefault="00000000">
            <w:pPr>
              <w:pStyle w:val="aa"/>
              <w:spacing w:line="240" w:lineRule="auto"/>
              <w:jc w:val="center"/>
              <w:rPr>
                <w:rFonts w:hint="eastAsia"/>
              </w:rPr>
            </w:pPr>
            <w:r>
              <w:rPr>
                <w:rFonts w:hint="eastAsia"/>
              </w:rPr>
              <w:t>2004</w:t>
            </w:r>
          </w:p>
        </w:tc>
        <w:tc>
          <w:tcPr>
            <w:tcW w:w="1595" w:type="dxa"/>
            <w:tcBorders>
              <w:left w:val="single" w:sz="4" w:space="0" w:color="auto"/>
              <w:bottom w:val="single" w:sz="4" w:space="0" w:color="auto"/>
              <w:right w:val="single" w:sz="4" w:space="0" w:color="auto"/>
            </w:tcBorders>
          </w:tcPr>
          <w:p w:rsidR="00000000" w:rsidRDefault="00000000">
            <w:pPr>
              <w:pStyle w:val="aa"/>
              <w:spacing w:line="240" w:lineRule="auto"/>
              <w:ind w:left="325"/>
              <w:rPr>
                <w:rFonts w:hint="eastAsia"/>
              </w:rPr>
            </w:pPr>
            <w:r>
              <w:rPr>
                <w:rFonts w:hint="eastAsia"/>
              </w:rPr>
              <w:t>7,206</w:t>
            </w:r>
          </w:p>
        </w:tc>
        <w:tc>
          <w:tcPr>
            <w:tcW w:w="1595" w:type="dxa"/>
            <w:tcBorders>
              <w:left w:val="single" w:sz="4" w:space="0" w:color="auto"/>
              <w:bottom w:val="single" w:sz="4" w:space="0" w:color="auto"/>
              <w:right w:val="single" w:sz="4" w:space="0" w:color="auto"/>
            </w:tcBorders>
          </w:tcPr>
          <w:p w:rsidR="00000000" w:rsidRDefault="00000000">
            <w:pPr>
              <w:pStyle w:val="aa"/>
              <w:tabs>
                <w:tab w:val="decimal" w:pos="770"/>
              </w:tabs>
              <w:spacing w:line="240" w:lineRule="auto"/>
              <w:ind w:left="325"/>
              <w:rPr>
                <w:rFonts w:hint="eastAsia"/>
              </w:rPr>
            </w:pPr>
            <w:r>
              <w:rPr>
                <w:rFonts w:hint="eastAsia"/>
              </w:rPr>
              <w:t>30</w:t>
            </w:r>
          </w:p>
        </w:tc>
        <w:tc>
          <w:tcPr>
            <w:tcW w:w="1595" w:type="dxa"/>
            <w:tcBorders>
              <w:left w:val="single" w:sz="4" w:space="0" w:color="auto"/>
              <w:bottom w:val="single" w:sz="4" w:space="0" w:color="auto"/>
              <w:right w:val="single" w:sz="4" w:space="0" w:color="auto"/>
            </w:tcBorders>
          </w:tcPr>
          <w:p w:rsidR="00000000" w:rsidRDefault="00000000">
            <w:pPr>
              <w:pStyle w:val="aa"/>
              <w:spacing w:line="240" w:lineRule="auto"/>
              <w:ind w:left="325"/>
              <w:rPr>
                <w:rFonts w:hint="eastAsia"/>
              </w:rPr>
            </w:pPr>
            <w:r>
              <w:rPr>
                <w:rFonts w:hint="eastAsia"/>
              </w:rPr>
              <w:t>6,940</w:t>
            </w:r>
          </w:p>
        </w:tc>
        <w:tc>
          <w:tcPr>
            <w:tcW w:w="1595" w:type="dxa"/>
            <w:tcBorders>
              <w:left w:val="single" w:sz="4" w:space="0" w:color="auto"/>
              <w:bottom w:val="single" w:sz="4" w:space="0" w:color="auto"/>
              <w:right w:val="single" w:sz="4" w:space="0" w:color="auto"/>
            </w:tcBorders>
          </w:tcPr>
          <w:p w:rsidR="00000000" w:rsidRDefault="00000000">
            <w:pPr>
              <w:pStyle w:val="aa"/>
              <w:spacing w:line="240" w:lineRule="auto"/>
              <w:ind w:left="325"/>
              <w:rPr>
                <w:rFonts w:hint="eastAsia"/>
              </w:rPr>
            </w:pPr>
            <w:r>
              <w:rPr>
                <w:rFonts w:hint="eastAsia"/>
              </w:rPr>
              <w:t>142,274</w:t>
            </w:r>
          </w:p>
        </w:tc>
        <w:tc>
          <w:tcPr>
            <w:tcW w:w="1596" w:type="dxa"/>
            <w:tcBorders>
              <w:left w:val="single" w:sz="4" w:space="0" w:color="auto"/>
            </w:tcBorders>
          </w:tcPr>
          <w:p w:rsidR="00000000" w:rsidRDefault="00000000">
            <w:pPr>
              <w:pStyle w:val="aa"/>
              <w:spacing w:line="240" w:lineRule="auto"/>
              <w:jc w:val="center"/>
              <w:rPr>
                <w:rFonts w:hint="eastAsia"/>
              </w:rPr>
            </w:pPr>
            <w:r>
              <w:rPr>
                <w:rFonts w:hint="eastAsia"/>
              </w:rPr>
              <w:t>20</w:t>
            </w:r>
          </w:p>
        </w:tc>
      </w:tr>
    </w:tbl>
    <w:p w:rsidR="00000000" w:rsidRDefault="00000000">
      <w:pPr>
        <w:rPr>
          <w:rFonts w:hint="eastAsia"/>
        </w:rPr>
      </w:pPr>
    </w:p>
    <w:p w:rsidR="00000000" w:rsidRDefault="00000000">
      <w:pPr>
        <w:pStyle w:val="Heading3"/>
        <w:spacing w:after="160"/>
        <w:rPr>
          <w:rFonts w:hint="eastAsia"/>
        </w:rPr>
      </w:pPr>
      <w:r>
        <w:rPr>
          <w:rFonts w:hint="eastAsia"/>
        </w:rPr>
        <w:t>表</w:t>
      </w:r>
      <w:r>
        <w:rPr>
          <w:rFonts w:hint="eastAsia"/>
        </w:rPr>
        <w:t xml:space="preserve">  21</w:t>
      </w:r>
    </w:p>
    <w:p w:rsidR="00000000" w:rsidRDefault="00000000">
      <w:pPr>
        <w:pStyle w:val="Heading3"/>
        <w:spacing w:after="160"/>
        <w:rPr>
          <w:rFonts w:hint="eastAsia"/>
        </w:rPr>
      </w:pPr>
      <w:r>
        <w:rPr>
          <w:rFonts w:hint="eastAsia"/>
        </w:rPr>
        <w:t>教室的建设</w:t>
      </w:r>
    </w:p>
    <w:tbl>
      <w:tblPr>
        <w:tblW w:w="0" w:type="auto"/>
        <w:jc w:val="center"/>
        <w:tblInd w:w="106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80"/>
        <w:gridCol w:w="2280"/>
        <w:gridCol w:w="2280"/>
      </w:tblGrid>
      <w:tr w:rsidR="00000000">
        <w:tblPrEx>
          <w:tblCellMar>
            <w:top w:w="0" w:type="dxa"/>
            <w:bottom w:w="0" w:type="dxa"/>
          </w:tblCellMar>
        </w:tblPrEx>
        <w:trPr>
          <w:jc w:val="center"/>
        </w:trPr>
        <w:tc>
          <w:tcPr>
            <w:tcW w:w="2280" w:type="dxa"/>
            <w:tcBorders>
              <w:top w:val="single" w:sz="4" w:space="0" w:color="auto"/>
              <w:bottom w:val="single" w:sz="4" w:space="0" w:color="auto"/>
              <w:right w:val="single" w:sz="4" w:space="0" w:color="auto"/>
            </w:tcBorders>
          </w:tcPr>
          <w:p w:rsidR="00000000" w:rsidRDefault="00000000">
            <w:pPr>
              <w:pStyle w:val="aa"/>
              <w:spacing w:before="40" w:after="40" w:line="240" w:lineRule="auto"/>
              <w:rPr>
                <w:rFonts w:hint="eastAsia"/>
              </w:rPr>
            </w:pPr>
            <w:r>
              <w:rPr>
                <w:rFonts w:hint="eastAsia"/>
              </w:rPr>
              <w:t>年</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after="40" w:line="240" w:lineRule="auto"/>
              <w:jc w:val="center"/>
              <w:rPr>
                <w:rFonts w:hint="eastAsia"/>
              </w:rPr>
            </w:pPr>
            <w:r>
              <w:rPr>
                <w:rFonts w:hint="eastAsia"/>
              </w:rPr>
              <w:t>1998-2001</w:t>
            </w:r>
          </w:p>
        </w:tc>
        <w:tc>
          <w:tcPr>
            <w:tcW w:w="2280" w:type="dxa"/>
            <w:tcBorders>
              <w:top w:val="single" w:sz="4" w:space="0" w:color="auto"/>
              <w:left w:val="single" w:sz="4" w:space="0" w:color="auto"/>
              <w:bottom w:val="single" w:sz="4" w:space="0" w:color="auto"/>
            </w:tcBorders>
          </w:tcPr>
          <w:p w:rsidR="00000000" w:rsidRDefault="00000000">
            <w:pPr>
              <w:pStyle w:val="aa"/>
              <w:spacing w:before="40" w:after="40" w:line="240" w:lineRule="auto"/>
              <w:jc w:val="center"/>
              <w:rPr>
                <w:rFonts w:hint="eastAsia"/>
              </w:rPr>
            </w:pPr>
            <w:r>
              <w:rPr>
                <w:rFonts w:hint="eastAsia"/>
              </w:rPr>
              <w:t>2001-2004</w:t>
            </w:r>
          </w:p>
        </w:tc>
      </w:tr>
      <w:tr w:rsidR="00000000">
        <w:tblPrEx>
          <w:tblCellMar>
            <w:top w:w="0" w:type="dxa"/>
            <w:bottom w:w="0" w:type="dxa"/>
          </w:tblCellMar>
        </w:tblPrEx>
        <w:trPr>
          <w:jc w:val="center"/>
        </w:trPr>
        <w:tc>
          <w:tcPr>
            <w:tcW w:w="2280" w:type="dxa"/>
            <w:tcBorders>
              <w:top w:val="single" w:sz="4" w:space="0" w:color="auto"/>
              <w:right w:val="single" w:sz="4" w:space="0" w:color="auto"/>
            </w:tcBorders>
          </w:tcPr>
          <w:p w:rsidR="00000000" w:rsidRDefault="00000000">
            <w:pPr>
              <w:pStyle w:val="aa"/>
              <w:spacing w:line="240" w:lineRule="auto"/>
              <w:rPr>
                <w:rFonts w:hint="eastAsia"/>
              </w:rPr>
            </w:pPr>
            <w:r>
              <w:rPr>
                <w:rFonts w:hint="eastAsia"/>
              </w:rPr>
              <w:t>小学</w:t>
            </w:r>
          </w:p>
        </w:tc>
        <w:tc>
          <w:tcPr>
            <w:tcW w:w="2280" w:type="dxa"/>
            <w:tcBorders>
              <w:top w:val="single" w:sz="4" w:space="0" w:color="auto"/>
              <w:left w:val="single" w:sz="4" w:space="0" w:color="auto"/>
              <w:right w:val="single" w:sz="4" w:space="0" w:color="auto"/>
            </w:tcBorders>
          </w:tcPr>
          <w:p w:rsidR="00000000" w:rsidRDefault="00000000">
            <w:pPr>
              <w:pStyle w:val="aa"/>
              <w:spacing w:line="240" w:lineRule="auto"/>
              <w:jc w:val="center"/>
              <w:rPr>
                <w:rFonts w:hint="eastAsia"/>
              </w:rPr>
            </w:pPr>
            <w:r>
              <w:rPr>
                <w:rFonts w:hint="eastAsia"/>
              </w:rPr>
              <w:t>585</w:t>
            </w:r>
          </w:p>
        </w:tc>
        <w:tc>
          <w:tcPr>
            <w:tcW w:w="2280" w:type="dxa"/>
            <w:tcBorders>
              <w:top w:val="single" w:sz="4" w:space="0" w:color="auto"/>
              <w:left w:val="single" w:sz="4" w:space="0" w:color="auto"/>
            </w:tcBorders>
          </w:tcPr>
          <w:p w:rsidR="00000000" w:rsidRDefault="00000000">
            <w:pPr>
              <w:pStyle w:val="aa"/>
              <w:spacing w:line="240" w:lineRule="auto"/>
              <w:jc w:val="center"/>
              <w:rPr>
                <w:rFonts w:hint="eastAsia"/>
              </w:rPr>
            </w:pPr>
            <w:r>
              <w:rPr>
                <w:rFonts w:hint="eastAsia"/>
              </w:rPr>
              <w:t>381</w:t>
            </w:r>
          </w:p>
        </w:tc>
      </w:tr>
      <w:tr w:rsidR="00000000">
        <w:tblPrEx>
          <w:tblCellMar>
            <w:top w:w="0" w:type="dxa"/>
            <w:bottom w:w="0" w:type="dxa"/>
          </w:tblCellMar>
        </w:tblPrEx>
        <w:trPr>
          <w:jc w:val="center"/>
        </w:trPr>
        <w:tc>
          <w:tcPr>
            <w:tcW w:w="2280" w:type="dxa"/>
            <w:tcBorders>
              <w:bottom w:val="nil"/>
              <w:right w:val="single" w:sz="4" w:space="0" w:color="auto"/>
            </w:tcBorders>
          </w:tcPr>
          <w:p w:rsidR="00000000" w:rsidRDefault="00000000">
            <w:pPr>
              <w:pStyle w:val="aa"/>
              <w:spacing w:line="240" w:lineRule="auto"/>
              <w:rPr>
                <w:rFonts w:hint="eastAsia"/>
              </w:rPr>
            </w:pPr>
            <w:r>
              <w:rPr>
                <w:rFonts w:hint="eastAsia"/>
              </w:rPr>
              <w:t>中学</w:t>
            </w:r>
          </w:p>
        </w:tc>
        <w:tc>
          <w:tcPr>
            <w:tcW w:w="2280" w:type="dxa"/>
            <w:tcBorders>
              <w:left w:val="single" w:sz="4" w:space="0" w:color="auto"/>
              <w:bottom w:val="nil"/>
              <w:right w:val="single" w:sz="4" w:space="0" w:color="auto"/>
            </w:tcBorders>
          </w:tcPr>
          <w:p w:rsidR="00000000" w:rsidRDefault="00000000">
            <w:pPr>
              <w:pStyle w:val="aa"/>
              <w:spacing w:line="240" w:lineRule="auto"/>
              <w:jc w:val="center"/>
              <w:rPr>
                <w:rFonts w:hint="eastAsia"/>
              </w:rPr>
            </w:pPr>
            <w:r>
              <w:rPr>
                <w:rFonts w:hint="eastAsia"/>
              </w:rPr>
              <w:t>578</w:t>
            </w:r>
          </w:p>
        </w:tc>
        <w:tc>
          <w:tcPr>
            <w:tcW w:w="2280" w:type="dxa"/>
            <w:tcBorders>
              <w:left w:val="single" w:sz="4" w:space="0" w:color="auto"/>
              <w:bottom w:val="nil"/>
            </w:tcBorders>
          </w:tcPr>
          <w:p w:rsidR="00000000" w:rsidRDefault="00000000">
            <w:pPr>
              <w:pStyle w:val="aa"/>
              <w:spacing w:line="240" w:lineRule="auto"/>
              <w:jc w:val="center"/>
              <w:rPr>
                <w:rFonts w:hint="eastAsia"/>
              </w:rPr>
            </w:pPr>
            <w:r>
              <w:rPr>
                <w:rFonts w:hint="eastAsia"/>
              </w:rPr>
              <w:t>665</w:t>
            </w:r>
          </w:p>
        </w:tc>
      </w:tr>
      <w:tr w:rsidR="00000000">
        <w:tblPrEx>
          <w:tblCellMar>
            <w:top w:w="0" w:type="dxa"/>
            <w:bottom w:w="0" w:type="dxa"/>
          </w:tblCellMar>
        </w:tblPrEx>
        <w:trPr>
          <w:jc w:val="center"/>
        </w:trPr>
        <w:tc>
          <w:tcPr>
            <w:tcW w:w="2280" w:type="dxa"/>
            <w:tcBorders>
              <w:top w:val="nil"/>
              <w:bottom w:val="single" w:sz="4" w:space="0" w:color="auto"/>
              <w:right w:val="single" w:sz="4" w:space="0" w:color="auto"/>
            </w:tcBorders>
          </w:tcPr>
          <w:p w:rsidR="00000000" w:rsidRDefault="00000000">
            <w:pPr>
              <w:pStyle w:val="aa"/>
              <w:spacing w:line="240" w:lineRule="auto"/>
              <w:ind w:left="510"/>
              <w:rPr>
                <w:rFonts w:hint="eastAsia"/>
                <w:u w:val="single"/>
              </w:rPr>
            </w:pPr>
            <w:r>
              <w:rPr>
                <w:rFonts w:hint="eastAsia"/>
                <w:u w:val="single"/>
              </w:rPr>
              <w:t>总</w:t>
            </w:r>
            <w:r>
              <w:rPr>
                <w:rFonts w:hint="eastAsia"/>
                <w:u w:val="single"/>
              </w:rPr>
              <w:t xml:space="preserve">  </w:t>
            </w:r>
            <w:r>
              <w:rPr>
                <w:rFonts w:hint="eastAsia"/>
                <w:u w:val="single"/>
              </w:rPr>
              <w:t>计</w:t>
            </w:r>
          </w:p>
        </w:tc>
        <w:tc>
          <w:tcPr>
            <w:tcW w:w="2280" w:type="dxa"/>
            <w:tcBorders>
              <w:top w:val="nil"/>
              <w:left w:val="single" w:sz="4" w:space="0" w:color="auto"/>
              <w:bottom w:val="single" w:sz="4" w:space="0" w:color="auto"/>
              <w:right w:val="single" w:sz="4" w:space="0" w:color="auto"/>
            </w:tcBorders>
          </w:tcPr>
          <w:p w:rsidR="00000000" w:rsidRDefault="00000000">
            <w:pPr>
              <w:pStyle w:val="aa"/>
              <w:spacing w:line="240" w:lineRule="auto"/>
              <w:ind w:right="189"/>
              <w:jc w:val="center"/>
              <w:rPr>
                <w:rFonts w:hint="eastAsia"/>
              </w:rPr>
            </w:pPr>
            <w:r>
              <w:rPr>
                <w:rFonts w:hint="eastAsia"/>
              </w:rPr>
              <w:t>1,163</w:t>
            </w:r>
          </w:p>
        </w:tc>
        <w:tc>
          <w:tcPr>
            <w:tcW w:w="2280" w:type="dxa"/>
            <w:tcBorders>
              <w:top w:val="nil"/>
              <w:left w:val="single" w:sz="4" w:space="0" w:color="auto"/>
              <w:bottom w:val="single" w:sz="4" w:space="0" w:color="auto"/>
            </w:tcBorders>
          </w:tcPr>
          <w:p w:rsidR="00000000" w:rsidRDefault="00000000">
            <w:pPr>
              <w:pStyle w:val="aa"/>
              <w:spacing w:line="240" w:lineRule="auto"/>
              <w:ind w:right="189"/>
              <w:jc w:val="center"/>
              <w:rPr>
                <w:rFonts w:hint="eastAsia"/>
              </w:rPr>
            </w:pPr>
            <w:r>
              <w:rPr>
                <w:rFonts w:hint="eastAsia"/>
              </w:rPr>
              <w:t>1,046</w:t>
            </w:r>
          </w:p>
        </w:tc>
      </w:tr>
    </w:tbl>
    <w:p w:rsidR="00000000" w:rsidRDefault="00000000">
      <w:pPr>
        <w:rPr>
          <w:rFonts w:hint="eastAsia"/>
        </w:rPr>
      </w:pPr>
      <w:r>
        <w:rPr>
          <w:rFonts w:hint="eastAsia"/>
        </w:rPr>
        <w:tab/>
        <w:t xml:space="preserve">546.  </w:t>
      </w:r>
      <w:r>
        <w:rPr>
          <w:rFonts w:hint="eastAsia"/>
        </w:rPr>
        <w:t>学年从九月份的第二个星期开始到六月中旬结束。学生有三个月的暑假，和两个星期的圣诞节和复活节假。除这些假期外，学生不再有其他学校放假，而只有周末、法定假日、国家或当地的假日。</w:t>
      </w:r>
    </w:p>
    <w:p w:rsidR="00000000" w:rsidRDefault="00000000">
      <w:pPr>
        <w:rPr>
          <w:rFonts w:hint="eastAsia"/>
        </w:rPr>
      </w:pPr>
      <w:r>
        <w:rPr>
          <w:rFonts w:hint="eastAsia"/>
        </w:rPr>
        <w:tab/>
        <w:t xml:space="preserve">547.  </w:t>
      </w:r>
      <w:r>
        <w:rPr>
          <w:rFonts w:hint="eastAsia"/>
        </w:rPr>
        <w:t>每年教学的天数和小时，以及每个科目的教学时间，由主管当局确定。小学的教学时间安排按年级如下：一、二年级每星期</w:t>
      </w:r>
      <w:r>
        <w:rPr>
          <w:rFonts w:hint="eastAsia"/>
        </w:rPr>
        <w:t>25</w:t>
      </w:r>
      <w:r>
        <w:rPr>
          <w:rFonts w:hint="eastAsia"/>
        </w:rPr>
        <w:t>小时；三年级</w:t>
      </w:r>
      <w:r>
        <w:rPr>
          <w:rFonts w:hint="eastAsia"/>
        </w:rPr>
        <w:t>28</w:t>
      </w:r>
      <w:r>
        <w:rPr>
          <w:rFonts w:hint="eastAsia"/>
        </w:rPr>
        <w:t>小时；四五六年级每星期</w:t>
      </w:r>
      <w:r>
        <w:rPr>
          <w:rFonts w:hint="eastAsia"/>
        </w:rPr>
        <w:t>30</w:t>
      </w:r>
      <w:r>
        <w:rPr>
          <w:rFonts w:hint="eastAsia"/>
        </w:rPr>
        <w:t>小时。中学的教学时间安排按年级如下：初中一、二和三年级，每星期</w:t>
      </w:r>
      <w:r>
        <w:rPr>
          <w:rFonts w:hint="eastAsia"/>
        </w:rPr>
        <w:t>35</w:t>
      </w:r>
      <w:r>
        <w:rPr>
          <w:rFonts w:hint="eastAsia"/>
        </w:rPr>
        <w:t>小时；高中一年级</w:t>
      </w:r>
      <w:r>
        <w:rPr>
          <w:rFonts w:hint="eastAsia"/>
        </w:rPr>
        <w:t>(</w:t>
      </w:r>
      <w:r>
        <w:rPr>
          <w:rFonts w:hint="eastAsia"/>
        </w:rPr>
        <w:t>中学第四年</w:t>
      </w:r>
      <w:r>
        <w:rPr>
          <w:rFonts w:hint="eastAsia"/>
        </w:rPr>
        <w:t>)</w:t>
      </w:r>
      <w:r>
        <w:rPr>
          <w:rFonts w:hint="eastAsia"/>
        </w:rPr>
        <w:t>，每星期</w:t>
      </w:r>
      <w:r>
        <w:rPr>
          <w:rFonts w:hint="eastAsia"/>
        </w:rPr>
        <w:t>32</w:t>
      </w:r>
      <w:r>
        <w:rPr>
          <w:rFonts w:hint="eastAsia"/>
        </w:rPr>
        <w:t>小时；高中二年级，</w:t>
      </w:r>
      <w:r>
        <w:rPr>
          <w:rFonts w:hint="eastAsia"/>
        </w:rPr>
        <w:t>33</w:t>
      </w:r>
      <w:r>
        <w:rPr>
          <w:rFonts w:hint="eastAsia"/>
        </w:rPr>
        <w:t>小时；高中三年级，每星期</w:t>
      </w:r>
      <w:r>
        <w:rPr>
          <w:rFonts w:hint="eastAsia"/>
        </w:rPr>
        <w:t>30</w:t>
      </w:r>
      <w:r>
        <w:rPr>
          <w:rFonts w:hint="eastAsia"/>
        </w:rPr>
        <w:t>小时。在夜校，高中的学习</w:t>
      </w:r>
      <w:r>
        <w:rPr>
          <w:rFonts w:hint="eastAsia"/>
        </w:rPr>
        <w:t>(</w:t>
      </w:r>
      <w:r>
        <w:rPr>
          <w:rFonts w:hint="eastAsia"/>
        </w:rPr>
        <w:t>中学的最后三年</w:t>
      </w:r>
      <w:r>
        <w:rPr>
          <w:rFonts w:hint="eastAsia"/>
        </w:rPr>
        <w:t>)</w:t>
      </w:r>
      <w:r>
        <w:rPr>
          <w:rFonts w:hint="eastAsia"/>
        </w:rPr>
        <w:t>安排在四年时间里，以适应有工作的年轻人紧张的时间安排。夜校的安排如下：一二年级，每星期</w:t>
      </w:r>
      <w:r>
        <w:rPr>
          <w:rFonts w:hint="eastAsia"/>
        </w:rPr>
        <w:t>22</w:t>
      </w:r>
      <w:r>
        <w:rPr>
          <w:rFonts w:hint="eastAsia"/>
        </w:rPr>
        <w:t>小时；三年级，每星期</w:t>
      </w:r>
      <w:r>
        <w:rPr>
          <w:rFonts w:hint="eastAsia"/>
        </w:rPr>
        <w:t>24</w:t>
      </w:r>
      <w:r>
        <w:rPr>
          <w:rFonts w:hint="eastAsia"/>
        </w:rPr>
        <w:t>小时；四年级，每星期</w:t>
      </w:r>
      <w:r>
        <w:rPr>
          <w:rFonts w:hint="eastAsia"/>
        </w:rPr>
        <w:t>23</w:t>
      </w:r>
      <w:r>
        <w:rPr>
          <w:rFonts w:hint="eastAsia"/>
        </w:rPr>
        <w:t>小时。技术和职业学校所有三个年级的时间安排，都是每星期</w:t>
      </w:r>
      <w:r>
        <w:rPr>
          <w:rFonts w:hint="eastAsia"/>
        </w:rPr>
        <w:t>34</w:t>
      </w:r>
      <w:r>
        <w:rPr>
          <w:rFonts w:hint="eastAsia"/>
        </w:rPr>
        <w:t>个小时的教学。在所有学校中，每堂课的时间都是</w:t>
      </w:r>
      <w:r>
        <w:rPr>
          <w:rFonts w:hint="eastAsia"/>
        </w:rPr>
        <w:t>45</w:t>
      </w:r>
      <w:r>
        <w:rPr>
          <w:rFonts w:hint="eastAsia"/>
        </w:rPr>
        <w:t>分钟。对每周和每天的上课时间安排，学校有自主权。</w:t>
      </w:r>
    </w:p>
    <w:p w:rsidR="00000000" w:rsidRDefault="00000000">
      <w:pPr>
        <w:rPr>
          <w:rFonts w:hint="eastAsia"/>
        </w:rPr>
      </w:pPr>
      <w:r>
        <w:rPr>
          <w:rFonts w:hint="eastAsia"/>
        </w:rPr>
        <w:tab/>
        <w:t xml:space="preserve">548.  </w:t>
      </w:r>
      <w:r>
        <w:rPr>
          <w:rFonts w:hint="eastAsia"/>
        </w:rPr>
        <w:t>教书是一项以女性为主的职业，可能是由于教书需要与孩子有较多的接触，当然也由于这项可以有较多在家的时间。</w:t>
      </w:r>
    </w:p>
    <w:p w:rsidR="00000000" w:rsidRDefault="00000000">
      <w:pPr>
        <w:rPr>
          <w:rFonts w:hint="eastAsia"/>
        </w:rPr>
      </w:pPr>
      <w:r>
        <w:rPr>
          <w:rFonts w:hint="eastAsia"/>
        </w:rPr>
        <w:tab/>
        <w:t xml:space="preserve">549.  </w:t>
      </w:r>
      <w:r>
        <w:rPr>
          <w:rFonts w:hint="eastAsia"/>
        </w:rPr>
        <w:t>小学和中学教师和学生性别分布的资料，载于希腊提交的《儿童权利公约》执行情况的文件</w:t>
      </w:r>
      <w:r>
        <w:rPr>
          <w:rFonts w:hint="eastAsia"/>
        </w:rPr>
        <w:t>(</w:t>
      </w:r>
      <w:r>
        <w:rPr>
          <w:rFonts w:hint="eastAsia"/>
        </w:rPr>
        <w:t>为审议初步报告提交的补充和更新资料</w:t>
      </w:r>
      <w:r>
        <w:rPr>
          <w:rFonts w:hint="eastAsia"/>
        </w:rPr>
        <w:t>CRC/C/28/</w:t>
      </w:r>
      <w:r>
        <w:t>Add.1</w:t>
      </w:r>
      <w:r>
        <w:rPr>
          <w:rFonts w:hint="eastAsia"/>
        </w:rPr>
        <w:t>7(</w:t>
      </w:r>
      <w:r>
        <w:rPr>
          <w:rFonts w:hint="eastAsia"/>
        </w:rPr>
        <w:t>第</w:t>
      </w:r>
      <w:r>
        <w:rPr>
          <w:rFonts w:hint="eastAsia"/>
        </w:rPr>
        <w:t>29</w:t>
      </w:r>
      <w:r>
        <w:rPr>
          <w:rFonts w:hint="eastAsia"/>
        </w:rPr>
        <w:t>至</w:t>
      </w:r>
      <w:r>
        <w:rPr>
          <w:rFonts w:hint="eastAsia"/>
        </w:rPr>
        <w:t>30</w:t>
      </w:r>
      <w:r>
        <w:rPr>
          <w:rFonts w:hint="eastAsia"/>
        </w:rPr>
        <w:t>页</w:t>
      </w:r>
      <w:r>
        <w:rPr>
          <w:rFonts w:hint="eastAsia"/>
        </w:rPr>
        <w:t>))</w:t>
      </w:r>
      <w:r>
        <w:rPr>
          <w:rFonts w:hint="eastAsia"/>
        </w:rPr>
        <w:t>。在各级教育水平上男女的比例，没有完整的资料。</w:t>
      </w:r>
    </w:p>
    <w:p w:rsidR="00000000" w:rsidRDefault="00000000">
      <w:pPr>
        <w:rPr>
          <w:rFonts w:hint="eastAsia"/>
        </w:rPr>
      </w:pPr>
      <w:r>
        <w:rPr>
          <w:rFonts w:hint="eastAsia"/>
        </w:rPr>
        <w:tab/>
        <w:t xml:space="preserve">550.  </w:t>
      </w:r>
      <w:r>
        <w:rPr>
          <w:rFonts w:hint="eastAsia"/>
        </w:rPr>
        <w:t>但国家确实采取了行动，增加妇女在教育和劳动力市场上的参与，国家开展的试验方案包括实施新的教育计划，提供咨询、针对个人的职业培训、加强教师的意识和培训计划，在消除性别上的消极影响方面评估和重新考虑或修改教材，以及促进妇女的平等参与。此外，还在大学中重点安排了本科和研究生的妇女研究计划，促进相关的研究。</w:t>
      </w:r>
    </w:p>
    <w:p w:rsidR="00000000" w:rsidRDefault="00000000">
      <w:pPr>
        <w:spacing w:after="240"/>
        <w:rPr>
          <w:rFonts w:hint="eastAsia"/>
        </w:rPr>
      </w:pPr>
      <w:r>
        <w:rPr>
          <w:rFonts w:hint="eastAsia"/>
        </w:rPr>
        <w:tab/>
        <w:t xml:space="preserve">551.  </w:t>
      </w:r>
      <w:r>
        <w:rPr>
          <w:rFonts w:hint="eastAsia"/>
        </w:rPr>
        <w:t>弱势群体的儿童享有教育权的情况，并非都能以数字来表达。希腊提交的《儿童权利公约》执行情况的文件已收入大量数据</w:t>
      </w:r>
      <w:r>
        <w:rPr>
          <w:rFonts w:hint="eastAsia"/>
        </w:rPr>
        <w:t>(</w:t>
      </w:r>
      <w:r>
        <w:rPr>
          <w:rFonts w:hint="eastAsia"/>
        </w:rPr>
        <w:t>为审议初次报告提交的补充和更新资料</w:t>
      </w:r>
      <w:r>
        <w:rPr>
          <w:rFonts w:hint="eastAsia"/>
        </w:rPr>
        <w:t>CRC/C/28/</w:t>
      </w:r>
      <w:r>
        <w:t>Add.1</w:t>
      </w:r>
      <w:r>
        <w:rPr>
          <w:rFonts w:hint="eastAsia"/>
        </w:rPr>
        <w:t>7(</w:t>
      </w:r>
      <w:r>
        <w:rPr>
          <w:rFonts w:hint="eastAsia"/>
        </w:rPr>
        <w:t>第</w:t>
      </w:r>
      <w:r>
        <w:rPr>
          <w:rFonts w:hint="eastAsia"/>
        </w:rPr>
        <w:t>30</w:t>
      </w:r>
      <w:r>
        <w:rPr>
          <w:rFonts w:hint="eastAsia"/>
        </w:rPr>
        <w:t>至</w:t>
      </w:r>
      <w:r>
        <w:rPr>
          <w:rFonts w:hint="eastAsia"/>
        </w:rPr>
        <w:t>31</w:t>
      </w:r>
      <w:r>
        <w:rPr>
          <w:rFonts w:hint="eastAsia"/>
        </w:rPr>
        <w:t>页</w:t>
      </w:r>
      <w:r>
        <w:rPr>
          <w:rFonts w:hint="eastAsia"/>
        </w:rPr>
        <w:t>))</w:t>
      </w:r>
      <w:r>
        <w:rPr>
          <w:rFonts w:hint="eastAsia"/>
        </w:rPr>
        <w:t>。为了提高入学率和克服辍学现象，国家采取了一系列做法，说明如下：</w:t>
      </w:r>
    </w:p>
    <w:p w:rsidR="00000000" w:rsidRDefault="00000000">
      <w:pPr>
        <w:pStyle w:val="Heading4"/>
        <w:rPr>
          <w:rFonts w:hint="eastAsia"/>
        </w:rPr>
      </w:pPr>
      <w:r>
        <w:rPr>
          <w:rFonts w:hint="eastAsia"/>
        </w:rPr>
        <w:t>全日制学校和加时小学</w:t>
      </w:r>
    </w:p>
    <w:p w:rsidR="00000000" w:rsidRDefault="00000000">
      <w:pPr>
        <w:spacing w:after="320"/>
        <w:rPr>
          <w:rFonts w:hint="eastAsia"/>
        </w:rPr>
      </w:pPr>
      <w:r>
        <w:rPr>
          <w:rFonts w:hint="eastAsia"/>
        </w:rPr>
        <w:tab/>
        <w:t>5</w:t>
      </w:r>
      <w:r>
        <w:t>5</w:t>
      </w:r>
      <w:r>
        <w:rPr>
          <w:rFonts w:hint="eastAsia"/>
        </w:rPr>
        <w:t xml:space="preserve">2.  </w:t>
      </w:r>
      <w:r>
        <w:rPr>
          <w:rFonts w:hint="eastAsia"/>
        </w:rPr>
        <w:t>目前全国共有</w:t>
      </w:r>
      <w:r>
        <w:rPr>
          <w:rFonts w:hint="eastAsia"/>
        </w:rPr>
        <w:t>1,226</w:t>
      </w:r>
      <w:r>
        <w:rPr>
          <w:rFonts w:hint="eastAsia"/>
        </w:rPr>
        <w:t>所全日制幼儿园。孩子们从早晨</w:t>
      </w:r>
      <w:r>
        <w:rPr>
          <w:rFonts w:hint="eastAsia"/>
        </w:rPr>
        <w:t>8</w:t>
      </w:r>
      <w:r>
        <w:rPr>
          <w:rFonts w:hint="eastAsia"/>
        </w:rPr>
        <w:t>点到下午</w:t>
      </w:r>
      <w:r>
        <w:rPr>
          <w:rFonts w:hint="eastAsia"/>
        </w:rPr>
        <w:t>4</w:t>
      </w:r>
      <w:r>
        <w:rPr>
          <w:rFonts w:hint="eastAsia"/>
        </w:rPr>
        <w:t>点参加各种有助于获得技能和知识以及促进他们社会交往的活动。下表说明了在过去三年里全日制幼儿园的发展情况：</w:t>
      </w:r>
    </w:p>
    <w:p w:rsidR="00000000" w:rsidRDefault="00000000">
      <w:pPr>
        <w:pStyle w:val="Heading3"/>
        <w:spacing w:after="160"/>
        <w:rPr>
          <w:rFonts w:hint="eastAsia"/>
        </w:rPr>
      </w:pPr>
      <w:r>
        <w:rPr>
          <w:rFonts w:hint="eastAsia"/>
        </w:rPr>
        <w:t>表</w:t>
      </w:r>
      <w:r>
        <w:rPr>
          <w:rFonts w:hint="eastAsia"/>
        </w:rPr>
        <w:t xml:space="preserve">  22</w:t>
      </w:r>
    </w:p>
    <w:p w:rsidR="00000000" w:rsidRDefault="00000000">
      <w:pPr>
        <w:pStyle w:val="Heading3"/>
        <w:spacing w:after="160"/>
        <w:rPr>
          <w:rFonts w:hint="eastAsia"/>
        </w:rPr>
      </w:pPr>
      <w:r>
        <w:rPr>
          <w:rFonts w:hint="eastAsia"/>
        </w:rPr>
        <w:t>全日制幼儿园</w:t>
      </w:r>
    </w:p>
    <w:tbl>
      <w:tblPr>
        <w:tblW w:w="0" w:type="auto"/>
        <w:tblInd w:w="147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40"/>
        <w:gridCol w:w="2240"/>
        <w:gridCol w:w="2240"/>
      </w:tblGrid>
      <w:tr w:rsidR="00000000">
        <w:tblPrEx>
          <w:tblCellMar>
            <w:top w:w="0" w:type="dxa"/>
            <w:bottom w:w="0" w:type="dxa"/>
          </w:tblCellMar>
        </w:tblPrEx>
        <w:tc>
          <w:tcPr>
            <w:tcW w:w="2240" w:type="dxa"/>
            <w:tcBorders>
              <w:top w:val="single" w:sz="4" w:space="0" w:color="auto"/>
              <w:bottom w:val="single" w:sz="4" w:space="0" w:color="auto"/>
              <w:right w:val="single" w:sz="4" w:space="0" w:color="auto"/>
            </w:tcBorders>
          </w:tcPr>
          <w:p w:rsidR="00000000" w:rsidRDefault="00000000">
            <w:pPr>
              <w:pStyle w:val="aa"/>
              <w:spacing w:before="40" w:after="40"/>
              <w:jc w:val="center"/>
              <w:rPr>
                <w:rFonts w:hint="eastAsia"/>
              </w:rPr>
            </w:pPr>
            <w:r>
              <w:rPr>
                <w:rFonts w:hint="eastAsia"/>
              </w:rPr>
              <w:t>学</w:t>
            </w:r>
            <w:r>
              <w:rPr>
                <w:rFonts w:hint="eastAsia"/>
              </w:rPr>
              <w:t xml:space="preserve">  </w:t>
            </w:r>
            <w:r>
              <w:rPr>
                <w:rFonts w:hint="eastAsia"/>
              </w:rPr>
              <w:t>年</w:t>
            </w:r>
          </w:p>
        </w:tc>
        <w:tc>
          <w:tcPr>
            <w:tcW w:w="224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after="40"/>
              <w:jc w:val="center"/>
              <w:rPr>
                <w:rFonts w:hint="eastAsia"/>
              </w:rPr>
            </w:pPr>
            <w:r>
              <w:rPr>
                <w:rFonts w:hint="eastAsia"/>
              </w:rPr>
              <w:t>幼儿园数</w:t>
            </w:r>
          </w:p>
        </w:tc>
        <w:tc>
          <w:tcPr>
            <w:tcW w:w="2240" w:type="dxa"/>
            <w:tcBorders>
              <w:top w:val="single" w:sz="4" w:space="0" w:color="auto"/>
              <w:left w:val="single" w:sz="4" w:space="0" w:color="auto"/>
              <w:bottom w:val="single" w:sz="4" w:space="0" w:color="auto"/>
            </w:tcBorders>
          </w:tcPr>
          <w:p w:rsidR="00000000" w:rsidRDefault="00000000">
            <w:pPr>
              <w:pStyle w:val="aa"/>
              <w:spacing w:before="40" w:after="40"/>
              <w:jc w:val="center"/>
              <w:rPr>
                <w:rFonts w:hint="eastAsia"/>
              </w:rPr>
            </w:pPr>
            <w:r>
              <w:rPr>
                <w:rFonts w:hint="eastAsia"/>
              </w:rPr>
              <w:t>班</w:t>
            </w:r>
            <w:r>
              <w:rPr>
                <w:rFonts w:hint="eastAsia"/>
              </w:rPr>
              <w:t xml:space="preserve"> </w:t>
            </w:r>
            <w:r>
              <w:rPr>
                <w:rFonts w:hint="eastAsia"/>
              </w:rPr>
              <w:t>级</w:t>
            </w:r>
            <w:r>
              <w:rPr>
                <w:rFonts w:hint="eastAsia"/>
              </w:rPr>
              <w:t xml:space="preserve"> </w:t>
            </w:r>
            <w:r>
              <w:rPr>
                <w:rFonts w:hint="eastAsia"/>
              </w:rPr>
              <w:t>数</w:t>
            </w:r>
          </w:p>
        </w:tc>
      </w:tr>
      <w:tr w:rsidR="00000000">
        <w:tblPrEx>
          <w:tblCellMar>
            <w:top w:w="0" w:type="dxa"/>
            <w:bottom w:w="0" w:type="dxa"/>
          </w:tblCellMar>
        </w:tblPrEx>
        <w:tc>
          <w:tcPr>
            <w:tcW w:w="2240" w:type="dxa"/>
            <w:tcBorders>
              <w:top w:val="single" w:sz="4" w:space="0" w:color="auto"/>
              <w:right w:val="single" w:sz="4" w:space="0" w:color="auto"/>
            </w:tcBorders>
          </w:tcPr>
          <w:p w:rsidR="00000000" w:rsidRDefault="00000000">
            <w:pPr>
              <w:pStyle w:val="aa"/>
              <w:jc w:val="center"/>
              <w:rPr>
                <w:rFonts w:hint="eastAsia"/>
              </w:rPr>
            </w:pPr>
            <w:r>
              <w:rPr>
                <w:rFonts w:hint="eastAsia"/>
              </w:rPr>
              <w:t>1999-2000</w:t>
            </w:r>
          </w:p>
        </w:tc>
        <w:tc>
          <w:tcPr>
            <w:tcW w:w="2240" w:type="dxa"/>
            <w:tcBorders>
              <w:top w:val="single" w:sz="4" w:space="0" w:color="auto"/>
              <w:left w:val="single" w:sz="4" w:space="0" w:color="auto"/>
              <w:right w:val="single" w:sz="4" w:space="0" w:color="auto"/>
            </w:tcBorders>
          </w:tcPr>
          <w:p w:rsidR="00000000" w:rsidRDefault="00000000">
            <w:pPr>
              <w:pStyle w:val="aa"/>
              <w:tabs>
                <w:tab w:val="decimal" w:pos="592"/>
              </w:tabs>
              <w:jc w:val="center"/>
              <w:rPr>
                <w:rFonts w:hint="eastAsia"/>
              </w:rPr>
            </w:pPr>
            <w:r>
              <w:rPr>
                <w:rFonts w:hint="eastAsia"/>
              </w:rPr>
              <w:t>647</w:t>
            </w:r>
          </w:p>
        </w:tc>
        <w:tc>
          <w:tcPr>
            <w:tcW w:w="2240" w:type="dxa"/>
            <w:tcBorders>
              <w:top w:val="single" w:sz="4" w:space="0" w:color="auto"/>
              <w:left w:val="single" w:sz="4" w:space="0" w:color="auto"/>
            </w:tcBorders>
          </w:tcPr>
          <w:p w:rsidR="00000000" w:rsidRDefault="00000000">
            <w:pPr>
              <w:pStyle w:val="aa"/>
              <w:jc w:val="center"/>
              <w:rPr>
                <w:rFonts w:hint="eastAsia"/>
              </w:rPr>
            </w:pPr>
            <w:r>
              <w:rPr>
                <w:rFonts w:hint="eastAsia"/>
              </w:rPr>
              <w:t>692</w:t>
            </w:r>
          </w:p>
        </w:tc>
      </w:tr>
      <w:tr w:rsidR="00000000">
        <w:tblPrEx>
          <w:tblCellMar>
            <w:top w:w="0" w:type="dxa"/>
            <w:bottom w:w="0" w:type="dxa"/>
          </w:tblCellMar>
        </w:tblPrEx>
        <w:tc>
          <w:tcPr>
            <w:tcW w:w="2240" w:type="dxa"/>
            <w:tcBorders>
              <w:right w:val="single" w:sz="4" w:space="0" w:color="auto"/>
            </w:tcBorders>
          </w:tcPr>
          <w:p w:rsidR="00000000" w:rsidRDefault="00000000">
            <w:pPr>
              <w:pStyle w:val="aa"/>
              <w:jc w:val="center"/>
              <w:rPr>
                <w:rFonts w:hint="eastAsia"/>
              </w:rPr>
            </w:pPr>
            <w:r>
              <w:rPr>
                <w:rFonts w:hint="eastAsia"/>
              </w:rPr>
              <w:t>2000-2001</w:t>
            </w:r>
          </w:p>
        </w:tc>
        <w:tc>
          <w:tcPr>
            <w:tcW w:w="2240" w:type="dxa"/>
            <w:tcBorders>
              <w:left w:val="single" w:sz="4" w:space="0" w:color="auto"/>
              <w:right w:val="single" w:sz="4" w:space="0" w:color="auto"/>
            </w:tcBorders>
          </w:tcPr>
          <w:p w:rsidR="00000000" w:rsidRDefault="00000000">
            <w:pPr>
              <w:pStyle w:val="aa"/>
              <w:tabs>
                <w:tab w:val="decimal" w:pos="592"/>
              </w:tabs>
              <w:jc w:val="center"/>
              <w:rPr>
                <w:rFonts w:hint="eastAsia"/>
              </w:rPr>
            </w:pPr>
            <w:r>
              <w:rPr>
                <w:rFonts w:hint="eastAsia"/>
              </w:rPr>
              <w:t>965</w:t>
            </w:r>
          </w:p>
        </w:tc>
        <w:tc>
          <w:tcPr>
            <w:tcW w:w="2240" w:type="dxa"/>
            <w:tcBorders>
              <w:left w:val="single" w:sz="4" w:space="0" w:color="auto"/>
            </w:tcBorders>
          </w:tcPr>
          <w:p w:rsidR="00000000" w:rsidRDefault="00000000">
            <w:pPr>
              <w:pStyle w:val="aa"/>
              <w:jc w:val="center"/>
              <w:rPr>
                <w:rFonts w:hint="eastAsia"/>
              </w:rPr>
            </w:pPr>
            <w:r>
              <w:rPr>
                <w:rFonts w:hint="eastAsia"/>
              </w:rPr>
              <w:t>992</w:t>
            </w:r>
          </w:p>
        </w:tc>
      </w:tr>
      <w:tr w:rsidR="00000000">
        <w:tblPrEx>
          <w:tblCellMar>
            <w:top w:w="0" w:type="dxa"/>
            <w:bottom w:w="0" w:type="dxa"/>
          </w:tblCellMar>
        </w:tblPrEx>
        <w:tc>
          <w:tcPr>
            <w:tcW w:w="2240" w:type="dxa"/>
            <w:tcBorders>
              <w:bottom w:val="single" w:sz="4" w:space="0" w:color="auto"/>
              <w:right w:val="single" w:sz="4" w:space="0" w:color="auto"/>
            </w:tcBorders>
          </w:tcPr>
          <w:p w:rsidR="00000000" w:rsidRDefault="00000000">
            <w:pPr>
              <w:pStyle w:val="aa"/>
              <w:jc w:val="center"/>
              <w:rPr>
                <w:rFonts w:hint="eastAsia"/>
              </w:rPr>
            </w:pPr>
            <w:r>
              <w:rPr>
                <w:rFonts w:hint="eastAsia"/>
              </w:rPr>
              <w:t>2001-2002</w:t>
            </w:r>
          </w:p>
        </w:tc>
        <w:tc>
          <w:tcPr>
            <w:tcW w:w="2240" w:type="dxa"/>
            <w:tcBorders>
              <w:left w:val="single" w:sz="4" w:space="0" w:color="auto"/>
              <w:bottom w:val="single" w:sz="4" w:space="0" w:color="auto"/>
              <w:right w:val="single" w:sz="4" w:space="0" w:color="auto"/>
            </w:tcBorders>
          </w:tcPr>
          <w:p w:rsidR="00000000" w:rsidRDefault="00000000">
            <w:pPr>
              <w:pStyle w:val="aa"/>
              <w:tabs>
                <w:tab w:val="decimal" w:pos="802"/>
              </w:tabs>
              <w:ind w:right="277"/>
              <w:jc w:val="center"/>
              <w:rPr>
                <w:rFonts w:hint="eastAsia"/>
              </w:rPr>
            </w:pPr>
            <w:r>
              <w:rPr>
                <w:rFonts w:hint="eastAsia"/>
              </w:rPr>
              <w:t>1,226</w:t>
            </w:r>
          </w:p>
        </w:tc>
        <w:tc>
          <w:tcPr>
            <w:tcW w:w="2240" w:type="dxa"/>
            <w:tcBorders>
              <w:left w:val="single" w:sz="4" w:space="0" w:color="auto"/>
            </w:tcBorders>
          </w:tcPr>
          <w:p w:rsidR="00000000" w:rsidRDefault="00000000">
            <w:pPr>
              <w:pStyle w:val="aa"/>
              <w:tabs>
                <w:tab w:val="decimal" w:pos="557"/>
              </w:tabs>
              <w:ind w:right="277"/>
              <w:jc w:val="center"/>
              <w:rPr>
                <w:rFonts w:hint="eastAsia"/>
              </w:rPr>
            </w:pPr>
            <w:r>
              <w:rPr>
                <w:rFonts w:hint="eastAsia"/>
              </w:rPr>
              <w:t>1,323</w:t>
            </w:r>
          </w:p>
        </w:tc>
      </w:tr>
    </w:tbl>
    <w:p w:rsidR="00000000" w:rsidRDefault="00000000">
      <w:pPr>
        <w:rPr>
          <w:rFonts w:hint="eastAsia"/>
        </w:rPr>
      </w:pPr>
    </w:p>
    <w:p w:rsidR="00000000" w:rsidRDefault="00000000">
      <w:pPr>
        <w:rPr>
          <w:rFonts w:hint="eastAsia"/>
        </w:rPr>
      </w:pPr>
      <w:r>
        <w:rPr>
          <w:rFonts w:hint="eastAsia"/>
        </w:rPr>
        <w:tab/>
        <w:t xml:space="preserve">553.  </w:t>
      </w:r>
      <w:r>
        <w:rPr>
          <w:rFonts w:hint="eastAsia"/>
        </w:rPr>
        <w:t>全日制小学是一项试验计划，正在国内部分需要进一步发展教育的地区</w:t>
      </w:r>
      <w:r>
        <w:rPr>
          <w:rFonts w:hint="eastAsia"/>
        </w:rPr>
        <w:t>28</w:t>
      </w:r>
      <w:r>
        <w:rPr>
          <w:rFonts w:hint="eastAsia"/>
        </w:rPr>
        <w:t>所学校实施，所有在校学生</w:t>
      </w:r>
      <w:r>
        <w:rPr>
          <w:rFonts w:hint="eastAsia"/>
        </w:rPr>
        <w:t>(6,000</w:t>
      </w:r>
      <w:r>
        <w:rPr>
          <w:rFonts w:hint="eastAsia"/>
        </w:rPr>
        <w:t>名儿童</w:t>
      </w:r>
      <w:r>
        <w:rPr>
          <w:rFonts w:hint="eastAsia"/>
        </w:rPr>
        <w:t>)</w:t>
      </w:r>
      <w:r>
        <w:rPr>
          <w:rFonts w:hint="eastAsia"/>
        </w:rPr>
        <w:t>参加。这项计划的目的是通过以下措施改进教育工作：</w:t>
      </w:r>
    </w:p>
    <w:p w:rsidR="00000000" w:rsidRDefault="00000000">
      <w:pPr>
        <w:pStyle w:val="a0"/>
        <w:ind w:left="1530"/>
        <w:rPr>
          <w:rFonts w:hint="eastAsia"/>
        </w:rPr>
      </w:pPr>
      <w:r>
        <w:rPr>
          <w:rFonts w:hint="eastAsia"/>
        </w:rPr>
        <w:t>创造一个适当的教育氛围；</w:t>
      </w:r>
    </w:p>
    <w:p w:rsidR="00000000" w:rsidRDefault="00000000">
      <w:pPr>
        <w:pStyle w:val="a0"/>
        <w:ind w:left="1530"/>
        <w:rPr>
          <w:rFonts w:hint="eastAsia"/>
        </w:rPr>
      </w:pPr>
      <w:r>
        <w:rPr>
          <w:rFonts w:hint="eastAsia"/>
        </w:rPr>
        <w:t>重新组织学校所在的地点；和</w:t>
      </w:r>
    </w:p>
    <w:p w:rsidR="00000000" w:rsidRDefault="00000000">
      <w:pPr>
        <w:pStyle w:val="a0"/>
        <w:ind w:left="1530"/>
        <w:rPr>
          <w:rFonts w:hint="eastAsia"/>
        </w:rPr>
      </w:pPr>
      <w:r>
        <w:rPr>
          <w:rFonts w:hint="eastAsia"/>
        </w:rPr>
        <w:t>通过增加新课和活动，丰富课程安排和延长时间，以加强学校的教育、文化和社会作用。</w:t>
      </w:r>
    </w:p>
    <w:p w:rsidR="00000000" w:rsidRDefault="00000000">
      <w:pPr>
        <w:rPr>
          <w:rFonts w:hint="eastAsia"/>
        </w:rPr>
      </w:pPr>
      <w:r>
        <w:rPr>
          <w:rFonts w:hint="eastAsia"/>
        </w:rPr>
        <w:tab/>
        <w:t xml:space="preserve">554.  </w:t>
      </w:r>
      <w:r>
        <w:rPr>
          <w:rFonts w:hint="eastAsia"/>
        </w:rPr>
        <w:t>国民教育部计划到</w:t>
      </w:r>
      <w:r>
        <w:rPr>
          <w:rFonts w:hint="eastAsia"/>
        </w:rPr>
        <w:t>2003</w:t>
      </w:r>
      <w:r>
        <w:rPr>
          <w:rFonts w:hint="eastAsia"/>
        </w:rPr>
        <w:t>年新增</w:t>
      </w:r>
      <w:r>
        <w:rPr>
          <w:rFonts w:hint="eastAsia"/>
        </w:rPr>
        <w:t>127</w:t>
      </w:r>
      <w:r>
        <w:rPr>
          <w:rFonts w:hint="eastAsia"/>
        </w:rPr>
        <w:t>所学校，到</w:t>
      </w:r>
      <w:r>
        <w:rPr>
          <w:rFonts w:hint="eastAsia"/>
        </w:rPr>
        <w:t>2006</w:t>
      </w:r>
      <w:r>
        <w:rPr>
          <w:rFonts w:hint="eastAsia"/>
        </w:rPr>
        <w:t>年再增加</w:t>
      </w:r>
      <w:r>
        <w:rPr>
          <w:rFonts w:hint="eastAsia"/>
        </w:rPr>
        <w:t>128</w:t>
      </w:r>
      <w:r>
        <w:rPr>
          <w:rFonts w:hint="eastAsia"/>
        </w:rPr>
        <w:t>所</w:t>
      </w:r>
      <w:r>
        <w:rPr>
          <w:rFonts w:hint="eastAsia"/>
        </w:rPr>
        <w:t>(</w:t>
      </w:r>
      <w:r>
        <w:rPr>
          <w:rFonts w:hint="eastAsia"/>
        </w:rPr>
        <w:t>总共</w:t>
      </w:r>
      <w:r>
        <w:rPr>
          <w:rFonts w:hint="eastAsia"/>
        </w:rPr>
        <w:t>328</w:t>
      </w:r>
      <w:r>
        <w:rPr>
          <w:rFonts w:hint="eastAsia"/>
        </w:rPr>
        <w:t>所</w:t>
      </w:r>
      <w:r>
        <w:rPr>
          <w:rFonts w:hint="eastAsia"/>
        </w:rPr>
        <w:t>)</w:t>
      </w:r>
      <w:r>
        <w:rPr>
          <w:rFonts w:hint="eastAsia"/>
        </w:rPr>
        <w:t>。</w:t>
      </w:r>
    </w:p>
    <w:p w:rsidR="00000000" w:rsidRDefault="00000000">
      <w:pPr>
        <w:spacing w:after="320"/>
        <w:rPr>
          <w:rFonts w:hint="eastAsia"/>
        </w:rPr>
      </w:pPr>
      <w:r>
        <w:rPr>
          <w:rFonts w:hint="eastAsia"/>
        </w:rPr>
        <w:tab/>
        <w:t xml:space="preserve">555.  </w:t>
      </w:r>
      <w:r>
        <w:rPr>
          <w:rFonts w:hint="eastAsia"/>
        </w:rPr>
        <w:t>加时小学既解决教育上的需要，又解决社会方面的需要，因为它的学生是父母都工作的儿童，让学生们参加创造性活动至到下午</w:t>
      </w:r>
      <w:r>
        <w:rPr>
          <w:rFonts w:hint="eastAsia"/>
        </w:rPr>
        <w:t>4</w:t>
      </w:r>
      <w:r>
        <w:rPr>
          <w:rFonts w:hint="eastAsia"/>
        </w:rPr>
        <w:t>时。孩子们可以作他们的家庭作业，也可接触艺术、音乐、戏剧、体育、环境教育等课程领域。</w:t>
      </w:r>
      <w:r>
        <w:rPr>
          <w:rFonts w:hint="eastAsia"/>
        </w:rPr>
        <w:t>2000</w:t>
      </w:r>
      <w:r>
        <w:rPr>
          <w:rFonts w:hint="eastAsia"/>
        </w:rPr>
        <w:t>至</w:t>
      </w:r>
      <w:r>
        <w:rPr>
          <w:rFonts w:hint="eastAsia"/>
        </w:rPr>
        <w:t>2001</w:t>
      </w:r>
      <w:r>
        <w:rPr>
          <w:rFonts w:hint="eastAsia"/>
        </w:rPr>
        <w:t>年期间，有</w:t>
      </w:r>
      <w:r>
        <w:rPr>
          <w:rFonts w:hint="eastAsia"/>
        </w:rPr>
        <w:t>1,841</w:t>
      </w:r>
      <w:r>
        <w:rPr>
          <w:rFonts w:hint="eastAsia"/>
        </w:rPr>
        <w:t>所加时小学，</w:t>
      </w:r>
      <w:r>
        <w:rPr>
          <w:rFonts w:hint="eastAsia"/>
        </w:rPr>
        <w:t>2,521</w:t>
      </w:r>
      <w:r>
        <w:rPr>
          <w:rFonts w:hint="eastAsia"/>
        </w:rPr>
        <w:t>个班组。下表说明了过去三年里加时小学的发展情况：</w:t>
      </w:r>
    </w:p>
    <w:p w:rsidR="00000000" w:rsidRDefault="00000000">
      <w:pPr>
        <w:pStyle w:val="Heading3"/>
        <w:spacing w:after="160"/>
        <w:rPr>
          <w:rFonts w:hint="eastAsia"/>
        </w:rPr>
      </w:pPr>
      <w:r>
        <w:rPr>
          <w:rFonts w:hint="eastAsia"/>
        </w:rPr>
        <w:t>表</w:t>
      </w:r>
      <w:r>
        <w:rPr>
          <w:rFonts w:hint="eastAsia"/>
        </w:rPr>
        <w:t xml:space="preserve"> 23</w:t>
      </w:r>
    </w:p>
    <w:p w:rsidR="00000000" w:rsidRDefault="00000000">
      <w:pPr>
        <w:pStyle w:val="Heading3"/>
        <w:spacing w:after="160"/>
        <w:rPr>
          <w:rFonts w:hint="eastAsia"/>
        </w:rPr>
      </w:pPr>
      <w:r>
        <w:rPr>
          <w:rFonts w:hint="eastAsia"/>
        </w:rPr>
        <w:t>加</w:t>
      </w:r>
      <w:r>
        <w:t xml:space="preserve"> </w:t>
      </w:r>
      <w:r>
        <w:rPr>
          <w:rFonts w:hint="eastAsia"/>
        </w:rPr>
        <w:t>时</w:t>
      </w:r>
      <w:r>
        <w:t xml:space="preserve"> </w:t>
      </w:r>
      <w:r>
        <w:rPr>
          <w:rFonts w:hint="eastAsia"/>
        </w:rPr>
        <w:t>小</w:t>
      </w:r>
      <w:r>
        <w:t xml:space="preserve"> </w:t>
      </w:r>
      <w:r>
        <w:rPr>
          <w:rFonts w:hint="eastAsia"/>
        </w:rPr>
        <w:t>学</w:t>
      </w:r>
    </w:p>
    <w:tbl>
      <w:tblPr>
        <w:tblW w:w="0" w:type="auto"/>
        <w:tblInd w:w="9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50"/>
        <w:gridCol w:w="2450"/>
        <w:gridCol w:w="2450"/>
      </w:tblGrid>
      <w:tr w:rsidR="00000000">
        <w:tblPrEx>
          <w:tblCellMar>
            <w:top w:w="0" w:type="dxa"/>
            <w:bottom w:w="0" w:type="dxa"/>
          </w:tblCellMar>
        </w:tblPrEx>
        <w:tc>
          <w:tcPr>
            <w:tcW w:w="2450" w:type="dxa"/>
            <w:tcBorders>
              <w:top w:val="single" w:sz="4" w:space="0" w:color="auto"/>
              <w:bottom w:val="single" w:sz="4" w:space="0" w:color="auto"/>
              <w:right w:val="single" w:sz="4" w:space="0" w:color="auto"/>
            </w:tcBorders>
          </w:tcPr>
          <w:p w:rsidR="00000000" w:rsidRDefault="00000000">
            <w:pPr>
              <w:pStyle w:val="aa"/>
              <w:spacing w:before="40" w:after="40"/>
              <w:jc w:val="center"/>
              <w:rPr>
                <w:rFonts w:hint="eastAsia"/>
              </w:rPr>
            </w:pPr>
            <w:r>
              <w:rPr>
                <w:rFonts w:hint="eastAsia"/>
              </w:rPr>
              <w:t>学</w:t>
            </w:r>
            <w:r>
              <w:rPr>
                <w:rFonts w:hint="eastAsia"/>
              </w:rPr>
              <w:t xml:space="preserve">  </w:t>
            </w:r>
            <w:r>
              <w:rPr>
                <w:rFonts w:hint="eastAsia"/>
              </w:rPr>
              <w:t>年</w:t>
            </w:r>
          </w:p>
        </w:tc>
        <w:tc>
          <w:tcPr>
            <w:tcW w:w="245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after="40"/>
              <w:jc w:val="center"/>
              <w:rPr>
                <w:rFonts w:hint="eastAsia"/>
              </w:rPr>
            </w:pPr>
            <w:r>
              <w:rPr>
                <w:rFonts w:hint="eastAsia"/>
              </w:rPr>
              <w:t>学校数目</w:t>
            </w:r>
          </w:p>
        </w:tc>
        <w:tc>
          <w:tcPr>
            <w:tcW w:w="2450" w:type="dxa"/>
            <w:tcBorders>
              <w:top w:val="single" w:sz="4" w:space="0" w:color="auto"/>
              <w:left w:val="single" w:sz="4" w:space="0" w:color="auto"/>
              <w:bottom w:val="single" w:sz="4" w:space="0" w:color="auto"/>
            </w:tcBorders>
          </w:tcPr>
          <w:p w:rsidR="00000000" w:rsidRDefault="00000000">
            <w:pPr>
              <w:pStyle w:val="aa"/>
              <w:spacing w:before="40" w:after="40"/>
              <w:jc w:val="center"/>
              <w:rPr>
                <w:rFonts w:hint="eastAsia"/>
              </w:rPr>
            </w:pPr>
            <w:r>
              <w:rPr>
                <w:rFonts w:hint="eastAsia"/>
              </w:rPr>
              <w:t>班组数目</w:t>
            </w:r>
          </w:p>
        </w:tc>
      </w:tr>
      <w:tr w:rsidR="00000000">
        <w:tblPrEx>
          <w:tblCellMar>
            <w:top w:w="0" w:type="dxa"/>
            <w:bottom w:w="0" w:type="dxa"/>
          </w:tblCellMar>
        </w:tblPrEx>
        <w:tc>
          <w:tcPr>
            <w:tcW w:w="2450" w:type="dxa"/>
            <w:tcBorders>
              <w:top w:val="single" w:sz="4" w:space="0" w:color="auto"/>
              <w:right w:val="single" w:sz="4" w:space="0" w:color="auto"/>
            </w:tcBorders>
          </w:tcPr>
          <w:p w:rsidR="00000000" w:rsidRDefault="00000000">
            <w:pPr>
              <w:pStyle w:val="aa"/>
              <w:jc w:val="center"/>
              <w:rPr>
                <w:rFonts w:hint="eastAsia"/>
              </w:rPr>
            </w:pPr>
            <w:r>
              <w:rPr>
                <w:rFonts w:hint="eastAsia"/>
              </w:rPr>
              <w:t>1999-2000</w:t>
            </w:r>
          </w:p>
        </w:tc>
        <w:tc>
          <w:tcPr>
            <w:tcW w:w="2450" w:type="dxa"/>
            <w:tcBorders>
              <w:top w:val="single" w:sz="4" w:space="0" w:color="auto"/>
              <w:left w:val="single" w:sz="4" w:space="0" w:color="auto"/>
              <w:right w:val="single" w:sz="4" w:space="0" w:color="auto"/>
            </w:tcBorders>
          </w:tcPr>
          <w:p w:rsidR="00000000" w:rsidRDefault="00000000">
            <w:pPr>
              <w:pStyle w:val="aa"/>
              <w:tabs>
                <w:tab w:val="decimal" w:pos="1327"/>
              </w:tabs>
              <w:rPr>
                <w:rFonts w:hint="eastAsia"/>
              </w:rPr>
            </w:pPr>
            <w:r>
              <w:rPr>
                <w:rFonts w:hint="eastAsia"/>
              </w:rPr>
              <w:t>969</w:t>
            </w:r>
          </w:p>
        </w:tc>
        <w:tc>
          <w:tcPr>
            <w:tcW w:w="2450" w:type="dxa"/>
            <w:tcBorders>
              <w:top w:val="single" w:sz="4" w:space="0" w:color="auto"/>
              <w:left w:val="single" w:sz="4" w:space="0" w:color="auto"/>
            </w:tcBorders>
          </w:tcPr>
          <w:p w:rsidR="00000000" w:rsidRDefault="00000000">
            <w:pPr>
              <w:pStyle w:val="aa"/>
              <w:tabs>
                <w:tab w:val="decimal" w:pos="1187"/>
              </w:tabs>
              <w:rPr>
                <w:rFonts w:hint="eastAsia"/>
              </w:rPr>
            </w:pPr>
            <w:r>
              <w:rPr>
                <w:rFonts w:hint="eastAsia"/>
              </w:rPr>
              <w:t>1,521</w:t>
            </w:r>
          </w:p>
        </w:tc>
      </w:tr>
      <w:tr w:rsidR="00000000">
        <w:tblPrEx>
          <w:tblCellMar>
            <w:top w:w="0" w:type="dxa"/>
            <w:bottom w:w="0" w:type="dxa"/>
          </w:tblCellMar>
        </w:tblPrEx>
        <w:tc>
          <w:tcPr>
            <w:tcW w:w="2450" w:type="dxa"/>
            <w:tcBorders>
              <w:right w:val="single" w:sz="4" w:space="0" w:color="auto"/>
            </w:tcBorders>
          </w:tcPr>
          <w:p w:rsidR="00000000" w:rsidRDefault="00000000">
            <w:pPr>
              <w:pStyle w:val="aa"/>
              <w:jc w:val="center"/>
              <w:rPr>
                <w:rFonts w:hint="eastAsia"/>
              </w:rPr>
            </w:pPr>
            <w:r>
              <w:rPr>
                <w:rFonts w:hint="eastAsia"/>
              </w:rPr>
              <w:t>2000-2001</w:t>
            </w:r>
          </w:p>
        </w:tc>
        <w:tc>
          <w:tcPr>
            <w:tcW w:w="2450" w:type="dxa"/>
            <w:tcBorders>
              <w:left w:val="single" w:sz="4" w:space="0" w:color="auto"/>
              <w:right w:val="single" w:sz="4" w:space="0" w:color="auto"/>
            </w:tcBorders>
          </w:tcPr>
          <w:p w:rsidR="00000000" w:rsidRDefault="00000000">
            <w:pPr>
              <w:pStyle w:val="aa"/>
              <w:tabs>
                <w:tab w:val="decimal" w:pos="1327"/>
              </w:tabs>
              <w:rPr>
                <w:rFonts w:hint="eastAsia"/>
              </w:rPr>
            </w:pPr>
            <w:r>
              <w:rPr>
                <w:rFonts w:hint="eastAsia"/>
              </w:rPr>
              <w:t>1,417</w:t>
            </w:r>
          </w:p>
        </w:tc>
        <w:tc>
          <w:tcPr>
            <w:tcW w:w="2450" w:type="dxa"/>
            <w:tcBorders>
              <w:left w:val="single" w:sz="4" w:space="0" w:color="auto"/>
            </w:tcBorders>
          </w:tcPr>
          <w:p w:rsidR="00000000" w:rsidRDefault="00000000">
            <w:pPr>
              <w:pStyle w:val="aa"/>
              <w:tabs>
                <w:tab w:val="decimal" w:pos="1187"/>
              </w:tabs>
              <w:rPr>
                <w:rFonts w:hint="eastAsia"/>
              </w:rPr>
            </w:pPr>
            <w:r>
              <w:rPr>
                <w:rFonts w:hint="eastAsia"/>
              </w:rPr>
              <w:t>2,021</w:t>
            </w:r>
          </w:p>
        </w:tc>
      </w:tr>
      <w:tr w:rsidR="00000000">
        <w:tblPrEx>
          <w:tblCellMar>
            <w:top w:w="0" w:type="dxa"/>
            <w:bottom w:w="0" w:type="dxa"/>
          </w:tblCellMar>
        </w:tblPrEx>
        <w:tc>
          <w:tcPr>
            <w:tcW w:w="2450" w:type="dxa"/>
            <w:tcBorders>
              <w:bottom w:val="single" w:sz="4" w:space="0" w:color="auto"/>
              <w:right w:val="single" w:sz="4" w:space="0" w:color="auto"/>
            </w:tcBorders>
          </w:tcPr>
          <w:p w:rsidR="00000000" w:rsidRDefault="00000000">
            <w:pPr>
              <w:pStyle w:val="aa"/>
              <w:jc w:val="center"/>
              <w:rPr>
                <w:rFonts w:hint="eastAsia"/>
              </w:rPr>
            </w:pPr>
            <w:r>
              <w:rPr>
                <w:rFonts w:hint="eastAsia"/>
              </w:rPr>
              <w:t>2001-2002</w:t>
            </w:r>
          </w:p>
        </w:tc>
        <w:tc>
          <w:tcPr>
            <w:tcW w:w="2450" w:type="dxa"/>
            <w:tcBorders>
              <w:left w:val="single" w:sz="4" w:space="0" w:color="auto"/>
              <w:bottom w:val="single" w:sz="4" w:space="0" w:color="auto"/>
              <w:right w:val="single" w:sz="4" w:space="0" w:color="auto"/>
            </w:tcBorders>
          </w:tcPr>
          <w:p w:rsidR="00000000" w:rsidRDefault="00000000">
            <w:pPr>
              <w:pStyle w:val="aa"/>
              <w:tabs>
                <w:tab w:val="decimal" w:pos="1327"/>
              </w:tabs>
              <w:rPr>
                <w:rFonts w:hint="eastAsia"/>
              </w:rPr>
            </w:pPr>
            <w:r>
              <w:rPr>
                <w:rFonts w:hint="eastAsia"/>
              </w:rPr>
              <w:t>1,841</w:t>
            </w:r>
          </w:p>
        </w:tc>
        <w:tc>
          <w:tcPr>
            <w:tcW w:w="2450" w:type="dxa"/>
            <w:tcBorders>
              <w:left w:val="single" w:sz="4" w:space="0" w:color="auto"/>
            </w:tcBorders>
          </w:tcPr>
          <w:p w:rsidR="00000000" w:rsidRDefault="00000000">
            <w:pPr>
              <w:pStyle w:val="aa"/>
              <w:tabs>
                <w:tab w:val="decimal" w:pos="1187"/>
              </w:tabs>
              <w:rPr>
                <w:rFonts w:hint="eastAsia"/>
              </w:rPr>
            </w:pPr>
            <w:r>
              <w:rPr>
                <w:rFonts w:hint="eastAsia"/>
              </w:rPr>
              <w:t>2,521</w:t>
            </w:r>
          </w:p>
        </w:tc>
      </w:tr>
    </w:tbl>
    <w:p w:rsidR="00000000" w:rsidRDefault="00000000">
      <w:pPr>
        <w:rPr>
          <w:rFonts w:hint="eastAsia"/>
        </w:rPr>
      </w:pPr>
    </w:p>
    <w:p w:rsidR="00000000" w:rsidRDefault="00000000">
      <w:pPr>
        <w:pStyle w:val="Heading4"/>
        <w:rPr>
          <w:rFonts w:hint="eastAsia"/>
        </w:rPr>
      </w:pPr>
      <w:r>
        <w:rPr>
          <w:rFonts w:hint="eastAsia"/>
        </w:rPr>
        <w:t>附加课和辅导课</w:t>
      </w:r>
    </w:p>
    <w:p w:rsidR="00000000" w:rsidRDefault="00000000">
      <w:pPr>
        <w:spacing w:after="320"/>
        <w:rPr>
          <w:rFonts w:hint="eastAsia"/>
        </w:rPr>
      </w:pPr>
      <w:r>
        <w:rPr>
          <w:rFonts w:hint="eastAsia"/>
        </w:rPr>
        <w:tab/>
        <w:t xml:space="preserve">556.  </w:t>
      </w:r>
      <w:r>
        <w:rPr>
          <w:rFonts w:hint="eastAsia"/>
        </w:rPr>
        <w:t>附加课是在高中和职业技术学校就地利用额外的时间安排的。附加课的目的是提供讲授、心理和教学方面的支持，从而减少学校的留级。每个学生根据他</w:t>
      </w:r>
      <w:r>
        <w:rPr>
          <w:rFonts w:hint="eastAsia"/>
        </w:rPr>
        <w:t>/</w:t>
      </w:r>
      <w:r>
        <w:rPr>
          <w:rFonts w:hint="eastAsia"/>
        </w:rPr>
        <w:t>她的需要，可每星期上</w:t>
      </w:r>
      <w:r>
        <w:rPr>
          <w:rFonts w:hint="eastAsia"/>
        </w:rPr>
        <w:t>14</w:t>
      </w:r>
      <w:r>
        <w:rPr>
          <w:rFonts w:hint="eastAsia"/>
        </w:rPr>
        <w:t>个小时的附加课。这些附加课安排在星期一到星期六。班级较小</w:t>
      </w:r>
      <w:r>
        <w:rPr>
          <w:rFonts w:hint="eastAsia"/>
        </w:rPr>
        <w:t>(5</w:t>
      </w:r>
      <w:r>
        <w:rPr>
          <w:rFonts w:hint="eastAsia"/>
        </w:rPr>
        <w:t>至</w:t>
      </w:r>
      <w:r>
        <w:rPr>
          <w:rFonts w:hint="eastAsia"/>
        </w:rPr>
        <w:t>10</w:t>
      </w:r>
      <w:r>
        <w:rPr>
          <w:rFonts w:hint="eastAsia"/>
        </w:rPr>
        <w:t>名学生</w:t>
      </w:r>
      <w:r>
        <w:rPr>
          <w:rFonts w:hint="eastAsia"/>
        </w:rPr>
        <w:t>)</w:t>
      </w:r>
      <w:r>
        <w:rPr>
          <w:rFonts w:hint="eastAsia"/>
        </w:rPr>
        <w:t>，以便能够利用其他的教学方法。附加课的工作由教师、学生和家长组成的以学校为单位的委员会监督。附加课的教师至少</w:t>
      </w:r>
      <w:r>
        <w:rPr>
          <w:rFonts w:hint="eastAsia"/>
        </w:rPr>
        <w:t>30%</w:t>
      </w:r>
      <w:r>
        <w:rPr>
          <w:rFonts w:hint="eastAsia"/>
        </w:rPr>
        <w:t>是失业教师。今年</w:t>
      </w:r>
      <w:r>
        <w:rPr>
          <w:rFonts w:hint="eastAsia"/>
        </w:rPr>
        <w:t>(2001-02)</w:t>
      </w:r>
      <w:r>
        <w:rPr>
          <w:rFonts w:hint="eastAsia"/>
        </w:rPr>
        <w:t>有</w:t>
      </w:r>
      <w:r>
        <w:rPr>
          <w:rFonts w:hint="eastAsia"/>
        </w:rPr>
        <w:t>99,748</w:t>
      </w:r>
      <w:r>
        <w:rPr>
          <w:rFonts w:hint="eastAsia"/>
        </w:rPr>
        <w:t>名学生参加了</w:t>
      </w:r>
      <w:r>
        <w:rPr>
          <w:rFonts w:hint="eastAsia"/>
        </w:rPr>
        <w:t>33,012</w:t>
      </w:r>
      <w:r>
        <w:rPr>
          <w:rFonts w:hint="eastAsia"/>
        </w:rPr>
        <w:t>个附加课班。自附加课计划</w:t>
      </w:r>
      <w:r>
        <w:rPr>
          <w:rFonts w:hint="eastAsia"/>
        </w:rPr>
        <w:t>1998</w:t>
      </w:r>
      <w:r>
        <w:rPr>
          <w:rFonts w:hint="eastAsia"/>
        </w:rPr>
        <w:t>年第一次实施以来，已取得了很大成功，参加的学生几乎翻了一番。下图显示了参加学生增加的情况：</w:t>
      </w:r>
    </w:p>
    <w:p w:rsidR="00000000" w:rsidRDefault="00000000">
      <w:pPr>
        <w:pStyle w:val="Heading3"/>
        <w:rPr>
          <w:rFonts w:hint="eastAsia"/>
        </w:rPr>
      </w:pPr>
      <w:r>
        <w:rPr>
          <w:rFonts w:hint="eastAsia"/>
        </w:rPr>
        <w:t>图</w:t>
      </w:r>
      <w:r>
        <w:rPr>
          <w:rFonts w:hint="eastAsia"/>
        </w:rPr>
        <w:t xml:space="preserve">  1</w:t>
      </w:r>
    </w:p>
    <w:p w:rsidR="00000000" w:rsidRDefault="00000000">
      <w:pPr>
        <w:rPr>
          <w:rFonts w:hint="eastAsia"/>
        </w:rPr>
      </w:pPr>
    </w:p>
    <w:p w:rsidR="00000000" w:rsidRDefault="00000000">
      <w:pPr>
        <w:rPr>
          <w:rFonts w:hint="eastAsia"/>
        </w:rPr>
      </w:pPr>
      <w:r>
        <w:rPr>
          <w:noProof/>
          <w:sz w:val="20"/>
          <w:lang w:eastAsia="en-US"/>
        </w:rPr>
        <w:pict>
          <v:group id="_x0000_s2050" style="position:absolute;left:0;text-align:left;margin-left:0;margin-top:-100.65pt;width:414.75pt;height:285.65pt;z-index:1;mso-position-horizontal:center" coordsize="8295,5713" o:allowincell="f">
            <o:lock v:ext="edit" rotation="t" aspectratio="t" position="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width:8295;height:5713" o:preferrelative="f">
              <v:fill o:detectmouseclick="t"/>
              <v:path o:extrusionok="t" o:connecttype="none"/>
              <o:lock v:ext="edit" text="t"/>
            </v:shape>
            <v:rect id="_x0000_s2052" style="position:absolute;left:636;top:1438;width:6869;height:204" fillcolor="#cff" stroked="f"/>
            <v:rect id="_x0000_s2053" style="position:absolute;left:636;top:1642;width:6869;height:138" fillcolor="#cbfdfd" stroked="f"/>
            <v:rect id="_x0000_s2054" style="position:absolute;left:636;top:1780;width:6869;height:112" fillcolor="#c9fcfc" stroked="f"/>
            <v:rect id="_x0000_s2055" style="position:absolute;left:636;top:1892;width:6869;height:126" fillcolor="#c8fafa" stroked="f"/>
            <v:rect id="_x0000_s2056" style="position:absolute;left:636;top:2018;width:6869;height:70" fillcolor="#c7f8f8" stroked="f"/>
            <v:rect id="_x0000_s2057" style="position:absolute;left:636;top:2088;width:6869;height:71" fillcolor="#c5f7f7" stroked="f"/>
            <v:rect id="_x0000_s2058" style="position:absolute;left:636;top:2159;width:6869;height:82" fillcolor="#c4f5f5" stroked="f"/>
            <v:rect id="_x0000_s2059" style="position:absolute;left:636;top:2241;width:6869;height:56" fillcolor="#c3f3f3" stroked="f"/>
            <v:rect id="_x0000_s2060" style="position:absolute;left:636;top:2297;width:6869;height:56" fillcolor="#c1f2f2" stroked="f"/>
            <v:rect id="_x0000_s2061" style="position:absolute;left:636;top:2353;width:6869;height:56" fillcolor="#c0f0f0" stroked="f"/>
            <v:rect id="_x0000_s2062" style="position:absolute;left:636;top:2409;width:6869;height:56" fillcolor="#bfeeee" stroked="f"/>
            <v:rect id="_x0000_s2063" style="position:absolute;left:636;top:2465;width:6869;height:41" fillcolor="#bdeded" stroked="f"/>
            <v:rect id="_x0000_s2064" style="position:absolute;left:636;top:2506;width:6869;height:56" fillcolor="#bcebeb" stroked="f"/>
            <v:rect id="_x0000_s2065" style="position:absolute;left:636;top:2562;width:6869;height:56" fillcolor="#bae9e9" stroked="f"/>
            <v:rect id="_x0000_s2066" style="position:absolute;left:636;top:2618;width:6869;height:43" fillcolor="#b9e7e7" stroked="f"/>
            <v:rect id="_x0000_s2067" style="position:absolute;left:636;top:2661;width:6869;height:56" fillcolor="#b7e5e5" stroked="f"/>
            <v:rect id="_x0000_s2068" style="position:absolute;left:636;top:2717;width:6869;height:42" fillcolor="#b5e3e3" stroked="f"/>
            <v:rect id="_x0000_s2069" style="position:absolute;left:636;top:2759;width:6869;height:41" fillcolor="#b4e1e1" stroked="f"/>
            <v:rect id="_x0000_s2070" style="position:absolute;left:636;top:2800;width:6869;height:29" fillcolor="#b3dfdf" stroked="f"/>
            <v:rect id="_x0000_s2071" style="position:absolute;left:636;top:2829;width:6869;height:41" fillcolor="#b1dede" stroked="f"/>
            <v:rect id="_x0000_s2072" style="position:absolute;left:636;top:2870;width:6869;height:27" fillcolor="#b0dcdc" stroked="f"/>
            <v:rect id="_x0000_s2073" style="position:absolute;left:636;top:2897;width:6869;height:44" fillcolor="#afdada" stroked="f"/>
            <v:rect id="_x0000_s2074" style="position:absolute;left:636;top:2941;width:6869;height:41" fillcolor="#add8d8" stroked="f"/>
            <v:rect id="_x0000_s2075" style="position:absolute;left:636;top:2982;width:6869;height:41" fillcolor="#abd6d6" stroked="f"/>
            <v:rect id="_x0000_s2076" style="position:absolute;left:636;top:3023;width:6869;height:29" fillcolor="#a9d4d4" stroked="f"/>
            <v:rect id="_x0000_s2077" style="position:absolute;left:636;top:3052;width:6869;height:42" fillcolor="#a8d2d2" stroked="f"/>
            <v:rect id="_x0000_s2078" style="position:absolute;left:636;top:3094;width:6869;height:41" fillcolor="#a6d0d0" stroked="f"/>
            <v:rect id="_x0000_s2079" style="position:absolute;left:636;top:3135;width:6869;height:29" fillcolor="#a5cece" stroked="f"/>
            <v:rect id="_x0000_s2080" style="position:absolute;left:636;top:3164;width:6869;height:27" fillcolor="#a3cccc" stroked="f"/>
            <v:rect id="_x0000_s2081" style="position:absolute;left:636;top:3191;width:6869;height:41" fillcolor="#a2caca" stroked="f"/>
            <v:rect id="_x0000_s2082" style="position:absolute;left:636;top:3232;width:6869;height:29" fillcolor="#a0c8c8" stroked="f"/>
            <v:rect id="_x0000_s2083" style="position:absolute;left:636;top:3261;width:6869;height:27" fillcolor="#9fc6c6" stroked="f"/>
            <v:rect id="_x0000_s2084" style="position:absolute;left:636;top:3288;width:6869;height:29" fillcolor="#9dc5c5" stroked="f"/>
            <v:rect id="_x0000_s2085" style="position:absolute;left:636;top:3317;width:6869;height:27" fillcolor="#9cc3c3" stroked="f"/>
            <v:rect id="_x0000_s2086" style="position:absolute;left:636;top:3344;width:6869;height:29" fillcolor="#9bc1c1" stroked="f"/>
            <v:rect id="_x0000_s2087" style="position:absolute;left:636;top:3373;width:6869;height:27" fillcolor="#99c0c0" stroked="f"/>
            <v:rect id="_x0000_s2088" style="position:absolute;left:636;top:3400;width:6869;height:29" fillcolor="#98bebe" stroked="f"/>
            <v:rect id="_x0000_s2089" style="position:absolute;left:636;top:3429;width:6869;height:26" fillcolor="#96bcbc" stroked="f"/>
            <v:rect id="_x0000_s2090" style="position:absolute;left:636;top:3455;width:6869;height:44" fillcolor="#95baba" stroked="f"/>
            <v:rect id="_x0000_s2091" style="position:absolute;left:636;top:3499;width:6869;height:27" fillcolor="#93b8b8" stroked="f"/>
            <v:rect id="_x0000_s2092" style="position:absolute;left:636;top:3526;width:6869;height:29" fillcolor="#92b6b6" stroked="f"/>
            <v:rect id="_x0000_s2093" style="position:absolute;left:636;top:3555;width:6869;height:41" fillcolor="#90b4b4" stroked="f"/>
            <v:rect id="_x0000_s2094" style="position:absolute;left:636;top:3596;width:6869;height:27" fillcolor="#8eb2b2" stroked="f"/>
            <v:rect id="_x0000_s2095" style="position:absolute;left:636;top:3623;width:6869;height:29" fillcolor="#8db0b0" stroked="f"/>
            <v:rect id="_x0000_s2096" style="position:absolute;left:636;top:3652;width:6869;height:41" fillcolor="#8baeae" stroked="f"/>
            <v:rect id="_x0000_s2097" style="position:absolute;left:636;top:3693;width:6869;height:30" fillcolor="#89acac" stroked="f"/>
            <v:rect id="_x0000_s2098" style="position:absolute;left:636;top:3723;width:6869;height:26" fillcolor="#8aa" stroked="f"/>
            <v:rect id="_x0000_s2099" style="position:absolute;left:636;top:3749;width:6869;height:42" fillcolor="#86a8a8" stroked="f"/>
            <v:rect id="_x0000_s2100" style="position:absolute;left:636;top:3791;width:6869;height:29" fillcolor="#84a6a6" stroked="f"/>
            <v:rect id="_x0000_s2101" style="position:absolute;left:636;top:3820;width:6869;height:26" fillcolor="#83a4a4" stroked="f"/>
            <v:rect id="_x0000_s2102" style="position:absolute;left:636;top:3846;width:6869;height:29" fillcolor="#82a2a2" stroked="f"/>
            <v:rect id="_x0000_s2103" style="position:absolute;left:636;top:3875;width:6869;height:27" fillcolor="#80a1a1" stroked="f"/>
            <v:rect id="_x0000_s2104" style="position:absolute;left:636;top:3902;width:6869;height:29" fillcolor="#7f9f9f" stroked="f"/>
            <v:rect id="_x0000_s2105" style="position:absolute;left:636;top:3931;width:6869;height:27" fillcolor="#7e9d9d" stroked="f"/>
            <v:rect id="_x0000_s2106" style="position:absolute;left:636;top:3958;width:6869;height:29" fillcolor="#7c9c9c" stroked="f"/>
            <v:rect id="_x0000_s2107" style="position:absolute;left:636;top:3987;width:6869;height:41" fillcolor="#7b9a9a" stroked="f"/>
            <v:rect id="_x0000_s2108" style="position:absolute;left:636;top:4028;width:6869;height:30" fillcolor="#799898" stroked="f"/>
            <v:rect id="_x0000_s2109" style="position:absolute;left:636;top:4058;width:6869;height:41" fillcolor="#789696" stroked="f"/>
            <v:rect id="_x0000_s2110" style="position:absolute;left:636;top:4099;width:6869;height:41" fillcolor="#769494" stroked="f"/>
            <v:rect id="_x0000_s2111" style="position:absolute;left:636;top:4140;width:6869;height:29" fillcolor="#759292" stroked="f"/>
            <v:rect id="_x0000_s2112" style="position:absolute;left:636;top:4169;width:6869;height:27" fillcolor="#739191" stroked="f"/>
            <v:rect id="_x0000_s2113" style="position:absolute;left:636;top:4196;width:6869;height:41" fillcolor="#728f8f" stroked="f"/>
            <v:rect id="_x0000_s2114" style="position:absolute;left:636;top:4237;width:6869;height:44" fillcolor="#718d8d" stroked="f"/>
            <v:rect id="_x0000_s2115" style="position:absolute;left:636;top:4281;width:6869;height:56" fillcolor="#6f8b8b" stroked="f"/>
            <v:rect id="_x0000_s2116" style="position:absolute;left:636;top:4337;width:6869;height:41" fillcolor="#6d8989" stroked="f"/>
            <v:rect id="_x0000_s2117" style="position:absolute;left:636;top:4378;width:6869;height:41" fillcolor="#6c8787" stroked="f"/>
            <v:rect id="_x0000_s2118" style="position:absolute;left:636;top:4419;width:6869;height:42" fillcolor="#6b8585" stroked="f"/>
            <v:rect id="_x0000_s2119" style="position:absolute;left:636;top:4461;width:6869;height:43" fillcolor="#698484" stroked="f"/>
            <v:rect id="_x0000_s2120" style="position:absolute;left:636;top:4504;width:6869;height:56" fillcolor="#688282" stroked="f"/>
            <v:rect id="_x0000_s2121" style="position:absolute;left:636;top:4560;width:6869;height:42" fillcolor="#678080" stroked="f"/>
            <v:rect id="_x0000_s2122" style="position:absolute;left:636;top:4602;width:6869;height:55" fillcolor="#657f7f" stroked="f"/>
            <v:rect id="_x0000_s2123" style="position:absolute;left:636;top:4657;width:6869;height:71" fillcolor="#647d7d" stroked="f"/>
            <v:rect id="_x0000_s2124" style="position:absolute;left:636;top:4728;width:6869;height:56" fillcolor="#627c7c" stroked="f"/>
            <v:rect id="_x0000_s2125" style="position:absolute;left:636;top:4784;width:6869;height:82" fillcolor="#617a7a" stroked="f"/>
            <v:rect id="_x0000_s2126" style="position:absolute;left:636;top:4866;width:6869;height:97" fillcolor="#607878" stroked="f"/>
            <v:rect id="_x0000_s2127" style="position:absolute;left:636;top:4963;width:6869;height:46" fillcolor="#5e7676" stroked="f"/>
            <v:rect id="_x0000_s2128" style="position:absolute;left:639;top:1440;width:6869;height:3574" filled="f" stroked="f"/>
            <v:line id="_x0000_s2129" style="position:absolute" from="639,4419" to="7508,4420" strokeweight="0"/>
            <v:line id="_x0000_s2130" style="position:absolute" from="639,3822" to="7508,3823" strokeweight="0"/>
            <v:line id="_x0000_s2131" style="position:absolute" from="639,3227" to="7508,3228" strokeweight="0"/>
            <v:line id="_x0000_s2132" style="position:absolute" from="639,2632" to="7508,2633" strokeweight="0"/>
            <v:line id="_x0000_s2133" style="position:absolute" from="639,2035" to="7508,2036" strokeweight="0"/>
            <v:line id="_x0000_s2134" style="position:absolute" from="639,1440" to="7508,1441" strokeweight="0"/>
            <v:rect id="_x0000_s2135" style="position:absolute;left:639;top:1440;width:6869;height:3574" filled="f" strokecolor="gray" strokeweight=".6pt"/>
            <v:rect id="_x0000_s2136" style="position:absolute;left:2822;top:3378;width:27;height:1639" fillcolor="black" stroked="f"/>
            <v:rect id="_x0000_s2137" style="position:absolute;left:1598;top:5014;width:1251;height:3" fillcolor="black" stroked="f"/>
            <v:rect id="_x0000_s2138" style="position:absolute;left:6570;top:2066;width:27;height:2951" fillcolor="black" stroked="f"/>
            <v:rect id="_x0000_s2139" style="position:absolute;left:5346;top:5014;width:1251;height:3" fillcolor="black" stroked="f"/>
            <v:rect id="_x0000_s2140" style="position:absolute;left:1574;top:3353;width:1248;height:1661" fillcolor="#9cf" strokeweight=".6pt"/>
            <v:rect id="_x0000_s2141" style="position:absolute;left:2822;top:3669;width:1251;height:1345" fillcolor="#f90" strokeweight=".6pt"/>
            <v:rect id="_x0000_s2142" style="position:absolute;left:4073;top:2691;width:1249;height:2323" fillcolor="yellow" strokeweight=".6pt"/>
            <v:rect id="_x0000_s2143" style="position:absolute;left:5322;top:2042;width:1248;height:2972" fillcolor="#9c0" strokeweight=".6pt"/>
            <v:line id="_x0000_s2144" style="position:absolute" from="639,1440" to="640,5014" strokeweight="0"/>
            <v:line id="_x0000_s2145" style="position:absolute" from="602,5014" to="639,5015" strokeweight="0"/>
            <v:line id="_x0000_s2146" style="position:absolute" from="602,4419" to="639,4420" strokeweight="0"/>
            <v:line id="_x0000_s2147" style="position:absolute" from="602,3822" to="639,3823" strokeweight="0"/>
            <v:line id="_x0000_s2148" style="position:absolute" from="602,3227" to="639,3228" strokeweight="0"/>
            <v:line id="_x0000_s2149" style="position:absolute" from="602,2632" to="639,2633" strokeweight="0"/>
            <v:line id="_x0000_s2150" style="position:absolute" from="602,2035" to="639,2036" strokeweight="0"/>
            <v:line id="_x0000_s2151" style="position:absolute" from="602,1440" to="639,1441" strokeweight="0"/>
            <v:line id="_x0000_s2152" style="position:absolute" from="639,5014" to="7508,5015" strokeweight="0"/>
            <v:line id="_x0000_s2153" style="position:absolute;flip:y" from="639,5014" to="640,5051" strokeweight="0"/>
            <v:line id="_x0000_s2154" style="position:absolute;flip:y" from="7508,5014" to="7509,5051" strokeweight="0"/>
            <v:rect id="_x0000_s2155" style="position:absolute;left:2878;top:1289;width:39;height:276;mso-wrap-style:none" filled="f" stroked="f">
              <v:textbox style="mso-next-textbox:#_x0000_s2155" inset="0,0,0,0">
                <w:txbxContent>
                  <w:p w:rsidR="00000000" w:rsidRDefault="00000000">
                    <w:r>
                      <w:rPr>
                        <w:rFonts w:ascii="Arial" w:hAnsi="Arial"/>
                        <w:b/>
                        <w:color w:val="000000"/>
                        <w:sz w:val="14"/>
                      </w:rPr>
                      <w:t xml:space="preserve"> </w:t>
                    </w:r>
                  </w:p>
                </w:txbxContent>
              </v:textbox>
            </v:rect>
            <v:rect id="_x0000_s2156" style="position:absolute;left:2917;top:1289;width:109;height:276;mso-wrap-style:none" filled="f" stroked="f">
              <v:textbox style="mso-next-textbox:#_x0000_s2156" inset="0,0,0,0">
                <w:txbxContent>
                  <w:p w:rsidR="00000000" w:rsidRDefault="00000000"/>
                </w:txbxContent>
              </v:textbox>
            </v:rect>
            <v:rect id="_x0000_s2157" style="position:absolute;left:2062;top:1464;width:3353;height:322;mso-wrap-style:none" filled="f" stroked="f">
              <v:textbox style="mso-next-textbox:#_x0000_s2157" inset="0,0,0,0">
                <w:txbxContent>
                  <w:p w:rsidR="00000000" w:rsidRDefault="00000000">
                    <w:pPr>
                      <w:jc w:val="center"/>
                      <w:rPr>
                        <w:rFonts w:hint="eastAsia"/>
                        <w:sz w:val="18"/>
                      </w:rPr>
                    </w:pPr>
                    <w:r>
                      <w:rPr>
                        <w:b/>
                        <w:bCs/>
                        <w:sz w:val="18"/>
                      </w:rPr>
                      <w:t xml:space="preserve">       </w:t>
                    </w:r>
                    <w:r>
                      <w:rPr>
                        <w:rFonts w:hint="eastAsia"/>
                        <w:b/>
                        <w:bCs/>
                        <w:sz w:val="18"/>
                      </w:rPr>
                      <w:t>参加附加课的学生总人数</w:t>
                    </w:r>
                  </w:p>
                </w:txbxContent>
              </v:textbox>
            </v:rect>
            <v:rect id="_x0000_s2158" style="position:absolute;left:2368;top:3118;width:27;height:214" fillcolor="black" stroked="f"/>
            <v:rect id="_x0000_s2159" style="position:absolute;left:2028;top:3305;width:367;height:27" fillcolor="black" stroked="f"/>
            <v:rect id="_x0000_s2160" style="position:absolute;left:2004;top:3094;width:364;height:211" strokeweight="0"/>
            <v:rect id="_x0000_s2161" style="position:absolute;left:2023;top:3128;width:334;height:276;mso-wrap-style:none" filled="f" stroked="f">
              <v:textbox style="mso-next-textbox:#_x0000_s2161" inset="0,0,0,0">
                <w:txbxContent>
                  <w:p w:rsidR="00000000" w:rsidRDefault="00000000">
                    <w:r>
                      <w:rPr>
                        <w:rFonts w:ascii="Arial" w:hAnsi="Arial"/>
                        <w:color w:val="000000"/>
                        <w:sz w:val="12"/>
                      </w:rPr>
                      <w:t>55795</w:t>
                    </w:r>
                  </w:p>
                </w:txbxContent>
              </v:textbox>
            </v:rect>
            <v:rect id="_x0000_s2162" style="position:absolute;left:3617;top:3434;width:26;height:213" fillcolor="black" stroked="f"/>
            <v:rect id="_x0000_s2163" style="position:absolute;left:3277;top:3621;width:366;height:26" fillcolor="black" stroked="f"/>
            <v:rect id="_x0000_s2164" style="position:absolute;left:3252;top:3409;width:365;height:212" strokeweight="0"/>
            <v:rect id="_x0000_s2165" style="position:absolute;left:3272;top:3443;width:334;height:276;mso-wrap-style:none" filled="f" stroked="f">
              <v:textbox style="mso-next-textbox:#_x0000_s2165" inset="0,0,0,0">
                <w:txbxContent>
                  <w:p w:rsidR="00000000" w:rsidRDefault="00000000">
                    <w:r>
                      <w:rPr>
                        <w:rFonts w:ascii="Arial" w:hAnsi="Arial"/>
                        <w:color w:val="000000"/>
                        <w:sz w:val="12"/>
                      </w:rPr>
                      <w:t>45166</w:t>
                    </w:r>
                  </w:p>
                </w:txbxContent>
              </v:textbox>
            </v:rect>
            <v:rect id="_x0000_s2166" style="position:absolute;left:4868;top:2455;width:26;height:214" fillcolor="black" stroked="f"/>
            <v:rect id="_x0000_s2167" style="position:absolute;left:4528;top:2642;width:366;height:27" fillcolor="black" stroked="f"/>
            <v:rect id="_x0000_s2168" style="position:absolute;left:4503;top:2431;width:365;height:211" strokeweight="0"/>
            <v:rect id="_x0000_s2169" style="position:absolute;left:4523;top:2465;width:334;height:276;mso-wrap-style:none" filled="f" stroked="f">
              <v:textbox style="mso-next-textbox:#_x0000_s2169" inset="0,0,0,0">
                <w:txbxContent>
                  <w:p w:rsidR="00000000" w:rsidRDefault="00000000">
                    <w:r>
                      <w:rPr>
                        <w:rFonts w:ascii="Arial" w:hAnsi="Arial"/>
                        <w:color w:val="000000"/>
                        <w:sz w:val="12"/>
                      </w:rPr>
                      <w:t>77983</w:t>
                    </w:r>
                  </w:p>
                </w:txbxContent>
              </v:textbox>
            </v:rect>
            <v:rect id="_x0000_s2170" style="position:absolute;left:6116;top:1807;width:27;height:213" fillcolor="black" stroked="f"/>
            <v:rect id="_x0000_s2171" style="position:absolute;left:5776;top:1994;width:367;height:26" fillcolor="black" stroked="f"/>
            <v:rect id="_x0000_s2172" style="position:absolute;left:5752;top:1782;width:364;height:212" strokeweight="0"/>
            <v:rect id="_x0000_s2173" style="position:absolute;left:5771;top:1816;width:334;height:276;mso-wrap-style:none" filled="f" stroked="f">
              <v:textbox style="mso-next-textbox:#_x0000_s2173" inset="0,0,0,0">
                <w:txbxContent>
                  <w:p w:rsidR="00000000" w:rsidRDefault="00000000">
                    <w:r>
                      <w:rPr>
                        <w:rFonts w:ascii="Arial" w:hAnsi="Arial"/>
                        <w:color w:val="000000"/>
                        <w:sz w:val="12"/>
                      </w:rPr>
                      <w:t>99748</w:t>
                    </w:r>
                  </w:p>
                </w:txbxContent>
              </v:textbox>
            </v:rect>
            <v:rect id="_x0000_s2174" style="position:absolute;left:483;top:4944;width:67;height:138;mso-wrap-style:none" filled="f" stroked="f">
              <v:textbox style="mso-next-textbox:#_x0000_s2174" inset="0,0,0,0">
                <w:txbxContent>
                  <w:p w:rsidR="00000000" w:rsidRDefault="00000000">
                    <w:r>
                      <w:rPr>
                        <w:rFonts w:ascii="Arial" w:hAnsi="Arial"/>
                        <w:color w:val="000000"/>
                        <w:sz w:val="12"/>
                      </w:rPr>
                      <w:t>0</w:t>
                    </w:r>
                  </w:p>
                </w:txbxContent>
              </v:textbox>
            </v:rect>
            <v:rect id="_x0000_s2175" style="position:absolute;left:221;top:4349;width:334;height:276;mso-wrap-style:none" filled="f" stroked="f">
              <v:textbox style="mso-next-textbox:#_x0000_s2175" inset="0,0,0,0">
                <w:txbxContent>
                  <w:p w:rsidR="00000000" w:rsidRDefault="00000000">
                    <w:pPr>
                      <w:rPr>
                        <w:rFonts w:ascii="Arial Narrow" w:hAnsi="Arial Narrow"/>
                        <w:spacing w:val="0"/>
                      </w:rPr>
                    </w:pPr>
                    <w:r>
                      <w:rPr>
                        <w:rFonts w:ascii="Arial Narrow" w:hAnsi="Arial Narrow"/>
                        <w:color w:val="000000"/>
                        <w:spacing w:val="0"/>
                        <w:sz w:val="12"/>
                      </w:rPr>
                      <w:t>20 000</w:t>
                    </w:r>
                  </w:p>
                </w:txbxContent>
              </v:textbox>
            </v:rect>
            <v:rect id="_x0000_s2176" style="position:absolute;left:221;top:3752;width:334;height:276;mso-wrap-style:none" filled="f" stroked="f">
              <v:textbox style="mso-next-textbox:#_x0000_s2176" inset="0,0,0,0">
                <w:txbxContent>
                  <w:p w:rsidR="00000000" w:rsidRDefault="00000000">
                    <w:pPr>
                      <w:rPr>
                        <w:rFonts w:ascii="Arial Narrow" w:hAnsi="Arial Narrow"/>
                        <w:spacing w:val="0"/>
                      </w:rPr>
                    </w:pPr>
                    <w:r>
                      <w:rPr>
                        <w:rFonts w:ascii="Arial Narrow" w:hAnsi="Arial Narrow"/>
                        <w:color w:val="000000"/>
                        <w:spacing w:val="0"/>
                        <w:sz w:val="12"/>
                      </w:rPr>
                      <w:t>40 000</w:t>
                    </w:r>
                  </w:p>
                </w:txbxContent>
              </v:textbox>
            </v:rect>
            <v:rect id="_x0000_s2177" style="position:absolute;left:221;top:3157;width:334;height:276;mso-wrap-style:none" filled="f" stroked="f">
              <v:textbox style="mso-next-textbox:#_x0000_s2177" inset="0,0,0,0">
                <w:txbxContent>
                  <w:p w:rsidR="00000000" w:rsidRDefault="00000000">
                    <w:pPr>
                      <w:rPr>
                        <w:rFonts w:ascii="Arial Narrow" w:hAnsi="Arial Narrow"/>
                        <w:spacing w:val="0"/>
                      </w:rPr>
                    </w:pPr>
                    <w:r>
                      <w:rPr>
                        <w:rFonts w:ascii="Arial Narrow" w:hAnsi="Arial Narrow"/>
                        <w:color w:val="000000"/>
                        <w:spacing w:val="0"/>
                        <w:sz w:val="12"/>
                      </w:rPr>
                      <w:t>60 000</w:t>
                    </w:r>
                  </w:p>
                </w:txbxContent>
              </v:textbox>
            </v:rect>
            <v:rect id="_x0000_s2178" style="position:absolute;left:221;top:2562;width:334;height:276;mso-wrap-style:none" filled="f" stroked="f">
              <v:textbox style="mso-next-textbox:#_x0000_s2178" inset="0,0,0,0">
                <w:txbxContent>
                  <w:p w:rsidR="00000000" w:rsidRDefault="00000000">
                    <w:pPr>
                      <w:rPr>
                        <w:rFonts w:ascii="Arial Narrow" w:hAnsi="Arial Narrow"/>
                        <w:spacing w:val="0"/>
                      </w:rPr>
                    </w:pPr>
                    <w:r>
                      <w:rPr>
                        <w:rFonts w:ascii="Arial Narrow" w:hAnsi="Arial Narrow"/>
                        <w:color w:val="000000"/>
                        <w:spacing w:val="0"/>
                        <w:sz w:val="12"/>
                      </w:rPr>
                      <w:t>80 000</w:t>
                    </w:r>
                  </w:p>
                </w:txbxContent>
              </v:textbox>
            </v:rect>
            <v:rect id="_x0000_s2179" style="position:absolute;left:155;top:1964;width:401;height:276;mso-wrap-style:none" filled="f" stroked="f">
              <v:textbox style="mso-next-textbox:#_x0000_s2179" inset="0,0,0,0">
                <w:txbxContent>
                  <w:p w:rsidR="00000000" w:rsidRDefault="00000000">
                    <w:pPr>
                      <w:rPr>
                        <w:rFonts w:ascii="Arial Narrow" w:hAnsi="Arial Narrow"/>
                        <w:spacing w:val="0"/>
                      </w:rPr>
                    </w:pPr>
                    <w:r>
                      <w:rPr>
                        <w:rFonts w:ascii="Arial Narrow" w:hAnsi="Arial Narrow"/>
                        <w:color w:val="000000"/>
                        <w:spacing w:val="0"/>
                        <w:sz w:val="12"/>
                      </w:rPr>
                      <w:t>100 000</w:t>
                    </w:r>
                  </w:p>
                </w:txbxContent>
              </v:textbox>
            </v:rect>
            <v:rect id="_x0000_s2180" style="position:absolute;left:155;top:1370;width:401;height:276;mso-wrap-style:none" filled="f" stroked="f">
              <v:textbox style="mso-next-textbox:#_x0000_s2180" inset="0,0,0,0">
                <w:txbxContent>
                  <w:p w:rsidR="00000000" w:rsidRDefault="00000000">
                    <w:pPr>
                      <w:rPr>
                        <w:rFonts w:ascii="Arial Narrow" w:hAnsi="Arial Narrow" w:cs="Arial"/>
                        <w:spacing w:val="0"/>
                      </w:rPr>
                    </w:pPr>
                    <w:r>
                      <w:rPr>
                        <w:rFonts w:ascii="Arial Narrow" w:hAnsi="Arial Narrow" w:cs="Arial"/>
                        <w:color w:val="000000"/>
                        <w:spacing w:val="0"/>
                        <w:sz w:val="12"/>
                      </w:rPr>
                      <w:t>120 000</w:t>
                    </w:r>
                  </w:p>
                </w:txbxContent>
              </v:textbox>
            </v:rect>
            <v:rect id="_x0000_s2181" style="position:absolute;left:3641;top:5119;width:1708;height:276;mso-wrap-style:none" filled="f" stroked="f">
              <v:textbox style="mso-next-textbox:#_x0000_s2181" inset="0,0,0,0">
                <w:txbxContent>
                  <w:p w:rsidR="00000000" w:rsidRDefault="00000000">
                    <w:pPr>
                      <w:rPr>
                        <w:sz w:val="16"/>
                      </w:rPr>
                    </w:pPr>
                    <w:r>
                      <w:rPr>
                        <w:rFonts w:ascii="Arial" w:hAnsi="Arial" w:hint="eastAsia"/>
                        <w:color w:val="000000"/>
                        <w:sz w:val="12"/>
                      </w:rPr>
                      <w:t>高中一、二和三年级</w:t>
                    </w:r>
                  </w:p>
                </w:txbxContent>
              </v:textbox>
            </v:rect>
            <v:rect id="_x0000_s2182" style="position:absolute;left:7054;top:5427;width:26;height:209" fillcolor="black" stroked="f"/>
            <v:rect id="_x0000_s2183" style="position:absolute;left:1287;top:5609;width:5793;height:27" fillcolor="black" stroked="f"/>
            <v:rect id="_x0000_s2184" style="position:absolute;left:1263;top:5403;width:5791;height:206" fillcolor="#cff" strokeweight="0"/>
            <v:rect id="_x0000_s2185" style="position:absolute;left:1494;top:5466;width:75;height:75" fillcolor="#9cf" strokeweight=".6pt"/>
            <v:rect id="_x0000_s2186" style="position:absolute;left:1601;top:5437;width:801;height:276;mso-wrap-style:none" filled="f" stroked="f">
              <v:textbox style="mso-next-textbox:#_x0000_s2186" inset="0,0,0,0">
                <w:txbxContent>
                  <w:p w:rsidR="00000000" w:rsidRDefault="00000000">
                    <w:pPr>
                      <w:rPr>
                        <w:rFonts w:hint="eastAsia"/>
                        <w:spacing w:val="0"/>
                      </w:rPr>
                    </w:pPr>
                    <w:r>
                      <w:rPr>
                        <w:rFonts w:hint="eastAsia"/>
                        <w:color w:val="000000"/>
                        <w:spacing w:val="0"/>
                        <w:sz w:val="12"/>
                      </w:rPr>
                      <w:t>1</w:t>
                    </w:r>
                    <w:r>
                      <w:rPr>
                        <w:rFonts w:hint="eastAsia"/>
                        <w:color w:val="000000"/>
                        <w:sz w:val="12"/>
                      </w:rPr>
                      <w:t>998-99</w:t>
                    </w:r>
                    <w:r>
                      <w:rPr>
                        <w:rFonts w:hint="eastAsia"/>
                        <w:color w:val="000000"/>
                        <w:sz w:val="12"/>
                      </w:rPr>
                      <w:t>学</w:t>
                    </w:r>
                    <w:r>
                      <w:rPr>
                        <w:rFonts w:hint="eastAsia"/>
                        <w:color w:val="000000"/>
                        <w:spacing w:val="0"/>
                        <w:sz w:val="12"/>
                      </w:rPr>
                      <w:t>年</w:t>
                    </w:r>
                  </w:p>
                </w:txbxContent>
              </v:textbox>
            </v:rect>
            <v:rect id="_x0000_s2187" style="position:absolute;left:2907;top:5466;width:76;height:75" fillcolor="#c9f" strokeweight=".6pt"/>
            <v:rect id="_x0000_s2188" style="position:absolute;left:3014;top:5437;width:834;height:276;mso-wrap-style:none" filled="f" stroked="f">
              <v:textbox style="mso-next-textbox:#_x0000_s2188" inset="0,0,0,0">
                <w:txbxContent>
                  <w:p w:rsidR="00000000" w:rsidRDefault="00000000">
                    <w:pPr>
                      <w:rPr>
                        <w:rFonts w:hint="eastAsia"/>
                      </w:rPr>
                    </w:pPr>
                    <w:r>
                      <w:rPr>
                        <w:rFonts w:hint="eastAsia"/>
                        <w:color w:val="000000"/>
                        <w:sz w:val="12"/>
                      </w:rPr>
                      <w:t>1999-00</w:t>
                    </w:r>
                    <w:r>
                      <w:rPr>
                        <w:rFonts w:hint="eastAsia"/>
                        <w:color w:val="000000"/>
                        <w:sz w:val="12"/>
                      </w:rPr>
                      <w:t>学年</w:t>
                    </w:r>
                  </w:p>
                </w:txbxContent>
              </v:textbox>
            </v:rect>
            <v:rect id="_x0000_s2189" style="position:absolute;left:4321;top:5466;width:75;height:75" fillcolor="yellow" strokeweight=".6pt"/>
            <v:rect id="_x0000_s2190" style="position:absolute;left:4428;top:5437;width:834;height:276;mso-wrap-style:none" filled="f" stroked="f">
              <v:textbox style="mso-next-textbox:#_x0000_s2190" inset="0,0,0,0">
                <w:txbxContent>
                  <w:p w:rsidR="00000000" w:rsidRDefault="00000000">
                    <w:pPr>
                      <w:rPr>
                        <w:rFonts w:hint="eastAsia"/>
                      </w:rPr>
                    </w:pPr>
                    <w:r>
                      <w:rPr>
                        <w:rFonts w:hint="eastAsia"/>
                        <w:color w:val="000000"/>
                        <w:sz w:val="12"/>
                      </w:rPr>
                      <w:t>2000-01</w:t>
                    </w:r>
                    <w:r>
                      <w:rPr>
                        <w:rFonts w:hint="eastAsia"/>
                        <w:color w:val="000000"/>
                        <w:sz w:val="12"/>
                      </w:rPr>
                      <w:t>学年</w:t>
                    </w:r>
                  </w:p>
                </w:txbxContent>
              </v:textbox>
            </v:rect>
            <v:rect id="_x0000_s2191" style="position:absolute;left:5803;top:5466;width:75;height:75" fillcolor="#9c0" strokeweight=".6pt"/>
            <v:rect id="_x0000_s2192" style="position:absolute;left:5910;top:5437;width:834;height:276;mso-wrap-style:none" filled="f" stroked="f">
              <v:textbox style="mso-next-textbox:#_x0000_s2192" inset="0,0,0,0">
                <w:txbxContent>
                  <w:p w:rsidR="00000000" w:rsidRDefault="00000000">
                    <w:pPr>
                      <w:rPr>
                        <w:rFonts w:hint="eastAsia"/>
                      </w:rPr>
                    </w:pPr>
                    <w:r>
                      <w:rPr>
                        <w:rFonts w:hint="eastAsia"/>
                        <w:color w:val="000000"/>
                        <w:sz w:val="12"/>
                      </w:rPr>
                      <w:t>2001-02</w:t>
                    </w:r>
                    <w:r>
                      <w:rPr>
                        <w:rFonts w:hint="eastAsia"/>
                        <w:color w:val="000000"/>
                        <w:sz w:val="12"/>
                      </w:rPr>
                      <w:t>学年</w:t>
                    </w:r>
                  </w:p>
                </w:txbxContent>
              </v:textbox>
            </v:rect>
            <w10:anchorlock/>
          </v:group>
        </w:pict>
      </w:r>
    </w:p>
    <w:p w:rsidR="00000000" w:rsidRDefault="00000000">
      <w:pPr>
        <w:spacing w:after="240"/>
        <w:rPr>
          <w:rFonts w:hint="eastAsia"/>
        </w:rPr>
      </w:pPr>
    </w:p>
    <w:p w:rsidR="00000000" w:rsidRDefault="00000000">
      <w:pPr>
        <w:spacing w:after="240"/>
        <w:rPr>
          <w:rFonts w:hint="eastAsia"/>
        </w:rPr>
      </w:pPr>
    </w:p>
    <w:p w:rsidR="00000000" w:rsidRDefault="00000000">
      <w:pPr>
        <w:spacing w:after="240"/>
        <w:rPr>
          <w:rFonts w:hint="eastAsia"/>
        </w:rPr>
      </w:pPr>
    </w:p>
    <w:p w:rsidR="00000000" w:rsidRDefault="00000000">
      <w:pPr>
        <w:spacing w:after="240"/>
        <w:rPr>
          <w:rFonts w:hint="eastAsia"/>
        </w:rPr>
      </w:pPr>
    </w:p>
    <w:p w:rsidR="00000000" w:rsidRDefault="00000000">
      <w:pPr>
        <w:spacing w:after="240"/>
        <w:rPr>
          <w:rFonts w:hint="eastAsia"/>
        </w:rPr>
      </w:pPr>
    </w:p>
    <w:p w:rsidR="00000000" w:rsidRDefault="00000000">
      <w:pPr>
        <w:spacing w:after="240"/>
        <w:rPr>
          <w:rFonts w:hint="eastAsia"/>
        </w:rPr>
      </w:pPr>
    </w:p>
    <w:p w:rsidR="00000000" w:rsidRDefault="00000000">
      <w:pPr>
        <w:spacing w:after="240"/>
      </w:pPr>
      <w:r>
        <w:rPr>
          <w:rFonts w:hint="eastAsia"/>
        </w:rPr>
        <w:tab/>
        <w:t xml:space="preserve">557.  </w:t>
      </w:r>
      <w:r>
        <w:rPr>
          <w:rFonts w:hint="eastAsia"/>
        </w:rPr>
        <w:t>辅导课的对象是初中生。辅导课是就地放在课外时间安排的，重点主要是教授语文、数学、科学和外语，以提高学生的成绩。辅导课计划所依据的思想与附加课相同。</w:t>
      </w:r>
    </w:p>
    <w:p w:rsidR="00000000" w:rsidRDefault="00000000">
      <w:pPr>
        <w:pStyle w:val="Heading4"/>
        <w:rPr>
          <w:rFonts w:hint="eastAsia"/>
        </w:rPr>
      </w:pPr>
      <w:r>
        <w:rPr>
          <w:rFonts w:hint="eastAsia"/>
        </w:rPr>
        <w:t>监督出勤</w:t>
      </w:r>
    </w:p>
    <w:p w:rsidR="00000000" w:rsidRDefault="00000000">
      <w:pPr>
        <w:spacing w:after="240"/>
        <w:rPr>
          <w:rFonts w:hint="eastAsia"/>
        </w:rPr>
      </w:pPr>
      <w:r>
        <w:rPr>
          <w:rFonts w:hint="eastAsia"/>
        </w:rPr>
        <w:tab/>
        <w:t xml:space="preserve">558.  </w:t>
      </w:r>
      <w:r>
        <w:rPr>
          <w:rFonts w:hint="eastAsia"/>
        </w:rPr>
        <w:t>监督学校出勤情况有一套程序，通过这套程序较长时间中断学校出勤或缺课的学生，要寻找其下落，必要时依靠警方的协助。</w:t>
      </w:r>
    </w:p>
    <w:p w:rsidR="00000000" w:rsidRDefault="00000000">
      <w:pPr>
        <w:pStyle w:val="Heading4"/>
        <w:rPr>
          <w:rFonts w:hint="eastAsia"/>
        </w:rPr>
      </w:pPr>
      <w:r>
        <w:rPr>
          <w:rFonts w:hint="eastAsia"/>
        </w:rPr>
        <w:t>健康教育</w:t>
      </w:r>
    </w:p>
    <w:p w:rsidR="00000000" w:rsidRDefault="00000000">
      <w:pPr>
        <w:rPr>
          <w:rFonts w:hint="eastAsia"/>
        </w:rPr>
      </w:pPr>
      <w:r>
        <w:rPr>
          <w:rFonts w:hint="eastAsia"/>
        </w:rPr>
        <w:tab/>
        <w:t xml:space="preserve">559.  </w:t>
      </w:r>
      <w:r>
        <w:rPr>
          <w:rFonts w:hint="eastAsia"/>
        </w:rPr>
        <w:t>“健康教育”的目的是提高自尊心和自信心，加强责任感，培养采用积极生活方式的人格。换句话说，也就是从预防的角度保护学生的精神和身体健康。“健康教育”不是作为一种课程提供的，因它不可能作为一种课程取得成功。“健康教育”是以亲手实践的形式开展的。</w:t>
      </w:r>
    </w:p>
    <w:p w:rsidR="00000000" w:rsidRDefault="00000000">
      <w:pPr>
        <w:rPr>
          <w:rFonts w:hint="eastAsia"/>
        </w:rPr>
      </w:pPr>
      <w:r>
        <w:rPr>
          <w:rFonts w:hint="eastAsia"/>
        </w:rPr>
        <w:tab/>
        <w:t xml:space="preserve">560.  </w:t>
      </w:r>
      <w:r>
        <w:rPr>
          <w:rFonts w:hint="eastAsia"/>
        </w:rPr>
        <w:t>为了更好地计划和执行健康教育计划，建立了一个全国健康教育网，其中包括在学校中实施计划的教师，卫生教育官员</w:t>
      </w:r>
      <w:r>
        <w:rPr>
          <w:rFonts w:hint="eastAsia"/>
        </w:rPr>
        <w:t>(</w:t>
      </w:r>
      <w:r>
        <w:rPr>
          <w:rFonts w:hint="eastAsia"/>
        </w:rPr>
        <w:t>在地区一级</w:t>
      </w:r>
      <w:r>
        <w:rPr>
          <w:rFonts w:hint="eastAsia"/>
        </w:rPr>
        <w:t>)</w:t>
      </w:r>
      <w:r>
        <w:rPr>
          <w:rFonts w:hint="eastAsia"/>
        </w:rPr>
        <w:t>，青年咨询站</w:t>
      </w:r>
      <w:r>
        <w:rPr>
          <w:rFonts w:hint="eastAsia"/>
        </w:rPr>
        <w:t>(</w:t>
      </w:r>
      <w:r>
        <w:rPr>
          <w:rFonts w:hint="eastAsia"/>
        </w:rPr>
        <w:t>全国共有</w:t>
      </w:r>
      <w:r>
        <w:rPr>
          <w:rFonts w:hint="eastAsia"/>
        </w:rPr>
        <w:t>16</w:t>
      </w:r>
      <w:r>
        <w:rPr>
          <w:rFonts w:hint="eastAsia"/>
        </w:rPr>
        <w:t>个</w:t>
      </w:r>
      <w:r>
        <w:rPr>
          <w:rFonts w:hint="eastAsia"/>
        </w:rPr>
        <w:t>)</w:t>
      </w:r>
      <w:r>
        <w:rPr>
          <w:rFonts w:hint="eastAsia"/>
        </w:rPr>
        <w:t>，教育研究所</w:t>
      </w:r>
      <w:r>
        <w:rPr>
          <w:rFonts w:hint="eastAsia"/>
        </w:rPr>
        <w:t>(</w:t>
      </w:r>
      <w:r>
        <w:rPr>
          <w:rFonts w:hint="eastAsia"/>
        </w:rPr>
        <w:t>国民教育部的咨询机构</w:t>
      </w:r>
      <w:r>
        <w:rPr>
          <w:rFonts w:hint="eastAsia"/>
        </w:rPr>
        <w:t>)</w:t>
      </w:r>
      <w:r>
        <w:rPr>
          <w:rFonts w:hint="eastAsia"/>
        </w:rPr>
        <w:t>和管理中心</w:t>
      </w:r>
      <w:r>
        <w:rPr>
          <w:rFonts w:hint="eastAsia"/>
        </w:rPr>
        <w:t>(</w:t>
      </w:r>
      <w:r>
        <w:rPr>
          <w:rFonts w:hint="eastAsia"/>
        </w:rPr>
        <w:t>国民教育部</w:t>
      </w:r>
      <w:r>
        <w:rPr>
          <w:rFonts w:hint="eastAsia"/>
        </w:rPr>
        <w:t>)</w:t>
      </w:r>
      <w:r>
        <w:rPr>
          <w:rFonts w:hint="eastAsia"/>
        </w:rPr>
        <w:t>。</w:t>
      </w:r>
    </w:p>
    <w:p w:rsidR="00000000" w:rsidRDefault="00000000">
      <w:pPr>
        <w:spacing w:after="240"/>
        <w:rPr>
          <w:rFonts w:hint="eastAsia"/>
        </w:rPr>
      </w:pPr>
      <w:r>
        <w:rPr>
          <w:rFonts w:hint="eastAsia"/>
        </w:rPr>
        <w:tab/>
        <w:t xml:space="preserve">561.  </w:t>
      </w:r>
      <w:r>
        <w:rPr>
          <w:rFonts w:hint="eastAsia"/>
        </w:rPr>
        <w:t>“健康教育”计划包括一些专题领域，如：预防吸毒</w:t>
      </w:r>
      <w:r>
        <w:rPr>
          <w:rFonts w:hint="eastAsia"/>
        </w:rPr>
        <w:t>/</w:t>
      </w:r>
      <w:r>
        <w:rPr>
          <w:rFonts w:hint="eastAsia"/>
        </w:rPr>
        <w:t>吸烟</w:t>
      </w:r>
      <w:r>
        <w:rPr>
          <w:rFonts w:hint="eastAsia"/>
        </w:rPr>
        <w:t>/</w:t>
      </w:r>
      <w:r>
        <w:rPr>
          <w:rFonts w:hint="eastAsia"/>
        </w:rPr>
        <w:t>酗酒、饮食习惯、人际间的关系、性教育、艾滋病、乙型肝炎、汽车驾驶教育和防止交通事故、防止儿童事故、控制精神压力、接触毒品、过度日晒、家庭和工作条件、环境与健康、自愿献血和器官、暴力问题、仇外情绪、种族主义、社会排斥、心血管疾病、锻炼，和其他与健康生活方式有关的问题。</w:t>
      </w:r>
    </w:p>
    <w:p w:rsidR="00000000" w:rsidRDefault="00000000">
      <w:pPr>
        <w:pStyle w:val="Heading4"/>
        <w:rPr>
          <w:rFonts w:hint="eastAsia"/>
        </w:rPr>
      </w:pPr>
      <w:r>
        <w:rPr>
          <w:rFonts w:hint="eastAsia"/>
        </w:rPr>
        <w:t>咨询和职业指导</w:t>
      </w:r>
    </w:p>
    <w:p w:rsidR="00000000" w:rsidRDefault="00000000">
      <w:pPr>
        <w:spacing w:after="240"/>
        <w:rPr>
          <w:rFonts w:hint="eastAsia"/>
        </w:rPr>
      </w:pPr>
      <w:r>
        <w:rPr>
          <w:rFonts w:hint="eastAsia"/>
        </w:rPr>
        <w:tab/>
        <w:t xml:space="preserve">562.  </w:t>
      </w:r>
      <w:r>
        <w:rPr>
          <w:rFonts w:hint="eastAsia"/>
        </w:rPr>
        <w:t>过去四年里，国民教育部在地区一级建立了</w:t>
      </w:r>
      <w:r>
        <w:rPr>
          <w:rFonts w:hint="eastAsia"/>
        </w:rPr>
        <w:t>68</w:t>
      </w:r>
      <w:r>
        <w:rPr>
          <w:rFonts w:hint="eastAsia"/>
        </w:rPr>
        <w:t>个咨询和职业指导中心，范围涵盖了全国，并在学校一级建立了</w:t>
      </w:r>
      <w:r>
        <w:rPr>
          <w:rFonts w:hint="eastAsia"/>
        </w:rPr>
        <w:t>200</w:t>
      </w:r>
      <w:r>
        <w:rPr>
          <w:rFonts w:hint="eastAsia"/>
        </w:rPr>
        <w:t>个咨询和职业指导办公室。后者在学校现场提供咨询和指导服务。地区中心规划和支持实施在校的职业培训计划。</w:t>
      </w:r>
      <w:r>
        <w:rPr>
          <w:rFonts w:hint="eastAsia"/>
        </w:rPr>
        <w:t>2001-2002</w:t>
      </w:r>
      <w:r>
        <w:rPr>
          <w:rFonts w:hint="eastAsia"/>
        </w:rPr>
        <w:t>学年期间，各学校开办了</w:t>
      </w:r>
      <w:r>
        <w:rPr>
          <w:rFonts w:hint="eastAsia"/>
        </w:rPr>
        <w:t>750</w:t>
      </w:r>
      <w:r>
        <w:rPr>
          <w:rFonts w:hint="eastAsia"/>
        </w:rPr>
        <w:t>个这类方案。</w:t>
      </w:r>
    </w:p>
    <w:p w:rsidR="00000000" w:rsidRDefault="00000000">
      <w:pPr>
        <w:pStyle w:val="Heading4"/>
        <w:rPr>
          <w:rFonts w:hint="eastAsia"/>
        </w:rPr>
      </w:pPr>
      <w:r>
        <w:rPr>
          <w:rFonts w:hint="eastAsia"/>
        </w:rPr>
        <w:t>早期和系统地检查和诊断有学习障碍的学生</w:t>
      </w:r>
    </w:p>
    <w:p w:rsidR="00000000" w:rsidRDefault="00000000">
      <w:pPr>
        <w:rPr>
          <w:rFonts w:hint="eastAsia"/>
        </w:rPr>
      </w:pPr>
      <w:r>
        <w:rPr>
          <w:rFonts w:hint="eastAsia"/>
        </w:rPr>
        <w:tab/>
        <w:t xml:space="preserve">563.  </w:t>
      </w:r>
      <w:r>
        <w:rPr>
          <w:rFonts w:hint="eastAsia"/>
        </w:rPr>
        <w:t>在学校中学习不极格或辍学的学生中，往往主要是一些不能及早诊断出有学习障碍并因之对他们作出适当安排的儿童。早期诊断和采取行动，在孩子的教育上起着重要作用。国民教育部现在特别重视建立机制，便利早期检查和评估，并计划从</w:t>
      </w:r>
      <w:r>
        <w:rPr>
          <w:rFonts w:hint="eastAsia"/>
        </w:rPr>
        <w:t>2002</w:t>
      </w:r>
      <w:r>
        <w:rPr>
          <w:rFonts w:hint="eastAsia"/>
        </w:rPr>
        <w:t>年</w:t>
      </w:r>
      <w:r>
        <w:rPr>
          <w:rFonts w:hint="eastAsia"/>
        </w:rPr>
        <w:t>6</w:t>
      </w:r>
      <w:r>
        <w:rPr>
          <w:rFonts w:hint="eastAsia"/>
        </w:rPr>
        <w:t>月开始连续举行多次教师培训研讨会。</w:t>
      </w:r>
    </w:p>
    <w:p w:rsidR="00000000" w:rsidRDefault="00000000">
      <w:pPr>
        <w:spacing w:after="240"/>
        <w:rPr>
          <w:rFonts w:hint="eastAsia"/>
        </w:rPr>
      </w:pPr>
      <w:r>
        <w:rPr>
          <w:rFonts w:hint="eastAsia"/>
        </w:rPr>
        <w:tab/>
        <w:t xml:space="preserve">564.  </w:t>
      </w:r>
      <w:r>
        <w:rPr>
          <w:rFonts w:hint="eastAsia"/>
        </w:rPr>
        <w:t>此外，还有</w:t>
      </w:r>
      <w:r>
        <w:rPr>
          <w:rFonts w:hint="eastAsia"/>
        </w:rPr>
        <w:t>22</w:t>
      </w:r>
      <w:r>
        <w:rPr>
          <w:rFonts w:hint="eastAsia"/>
        </w:rPr>
        <w:t>个中心负责诊断、评估和支持残疾儿童和他们的家庭，这</w:t>
      </w:r>
      <w:r>
        <w:rPr>
          <w:rFonts w:hint="eastAsia"/>
        </w:rPr>
        <w:t>22</w:t>
      </w:r>
      <w:r>
        <w:rPr>
          <w:rFonts w:hint="eastAsia"/>
        </w:rPr>
        <w:t>个中心分布在全国各地，中心还负责帮助教师发现并以适当方法为残疾儿童授课。</w:t>
      </w:r>
    </w:p>
    <w:p w:rsidR="00000000" w:rsidRDefault="00000000">
      <w:pPr>
        <w:pStyle w:val="Heading4"/>
        <w:rPr>
          <w:rFonts w:hint="eastAsia"/>
        </w:rPr>
      </w:pPr>
      <w:r>
        <w:rPr>
          <w:rFonts w:hint="eastAsia"/>
        </w:rPr>
        <w:t>环境教育</w:t>
      </w:r>
    </w:p>
    <w:p w:rsidR="00000000" w:rsidRDefault="00000000">
      <w:pPr>
        <w:rPr>
          <w:rFonts w:hint="eastAsia"/>
        </w:rPr>
      </w:pPr>
      <w:r>
        <w:rPr>
          <w:rFonts w:hint="eastAsia"/>
        </w:rPr>
        <w:tab/>
        <w:t xml:space="preserve">565.  </w:t>
      </w:r>
      <w:r>
        <w:rPr>
          <w:rFonts w:hint="eastAsia"/>
        </w:rPr>
        <w:t>环境教育的目的是创造条件，使学生能够为保护生态平衡和高质量的生活水准养成积极的态度和参与行为。</w:t>
      </w:r>
    </w:p>
    <w:p w:rsidR="00000000" w:rsidRDefault="00000000">
      <w:pPr>
        <w:rPr>
          <w:rFonts w:hint="eastAsia"/>
        </w:rPr>
      </w:pPr>
      <w:r>
        <w:rPr>
          <w:rFonts w:hint="eastAsia"/>
        </w:rPr>
        <w:tab/>
        <w:t xml:space="preserve">566.  </w:t>
      </w:r>
      <w:r>
        <w:rPr>
          <w:rFonts w:hint="eastAsia"/>
        </w:rPr>
        <w:t>在地区一级工作的环境教育官员计划和支持落实学校中的环境教育计划。</w:t>
      </w:r>
      <w:r>
        <w:rPr>
          <w:rFonts w:hint="eastAsia"/>
        </w:rPr>
        <w:t>2001-2002</w:t>
      </w:r>
      <w:r>
        <w:rPr>
          <w:rFonts w:hint="eastAsia"/>
        </w:rPr>
        <w:t>学年共有</w:t>
      </w:r>
      <w:r>
        <w:rPr>
          <w:rFonts w:hint="eastAsia"/>
        </w:rPr>
        <w:t>800</w:t>
      </w:r>
      <w:r>
        <w:rPr>
          <w:rFonts w:hint="eastAsia"/>
        </w:rPr>
        <w:t>个这类计划。除此之外，学生们还在</w:t>
      </w:r>
      <w:r>
        <w:rPr>
          <w:rFonts w:hint="eastAsia"/>
        </w:rPr>
        <w:t>18</w:t>
      </w:r>
      <w:r>
        <w:rPr>
          <w:rFonts w:hint="eastAsia"/>
        </w:rPr>
        <w:t>个环境教育中心参加</w:t>
      </w:r>
      <w:r>
        <w:rPr>
          <w:rFonts w:hint="eastAsia"/>
        </w:rPr>
        <w:t>1</w:t>
      </w:r>
      <w:r>
        <w:rPr>
          <w:rFonts w:hint="eastAsia"/>
        </w:rPr>
        <w:t>至</w:t>
      </w:r>
      <w:r>
        <w:rPr>
          <w:rFonts w:hint="eastAsia"/>
        </w:rPr>
        <w:t>4</w:t>
      </w:r>
      <w:r>
        <w:rPr>
          <w:rFonts w:hint="eastAsia"/>
        </w:rPr>
        <w:t>天的讨论会，这</w:t>
      </w:r>
      <w:r>
        <w:rPr>
          <w:rFonts w:hint="eastAsia"/>
        </w:rPr>
        <w:t>18</w:t>
      </w:r>
      <w:r>
        <w:rPr>
          <w:rFonts w:hint="eastAsia"/>
        </w:rPr>
        <w:t>个中心分布在希腊的不同地区。到</w:t>
      </w:r>
      <w:r>
        <w:rPr>
          <w:rFonts w:hint="eastAsia"/>
        </w:rPr>
        <w:t>2006</w:t>
      </w:r>
      <w:r>
        <w:rPr>
          <w:rFonts w:hint="eastAsia"/>
        </w:rPr>
        <w:t>年，国民教育部计划再建设</w:t>
      </w:r>
      <w:r>
        <w:rPr>
          <w:rFonts w:hint="eastAsia"/>
        </w:rPr>
        <w:t>16</w:t>
      </w:r>
      <w:r>
        <w:rPr>
          <w:rFonts w:hint="eastAsia"/>
        </w:rPr>
        <w:t>个环境教育中心，以满足全国范围的需要。</w:t>
      </w:r>
    </w:p>
    <w:p w:rsidR="00000000" w:rsidRDefault="00000000">
      <w:pPr>
        <w:spacing w:after="240"/>
        <w:rPr>
          <w:rFonts w:hint="eastAsia"/>
        </w:rPr>
      </w:pPr>
      <w:r>
        <w:rPr>
          <w:rFonts w:hint="eastAsia"/>
        </w:rPr>
        <w:tab/>
        <w:t xml:space="preserve">567.  </w:t>
      </w:r>
      <w:r>
        <w:rPr>
          <w:rFonts w:hint="eastAsia"/>
        </w:rPr>
        <w:t>国家采取了实质性行动，确保所有儿童都能平等地获得教育。相关的政策和教育措施不尽相同，因此按对象群体说明如下：</w:t>
      </w:r>
    </w:p>
    <w:p w:rsidR="00000000" w:rsidRDefault="00000000">
      <w:pPr>
        <w:pStyle w:val="Heading4"/>
        <w:rPr>
          <w:rFonts w:hint="eastAsia"/>
        </w:rPr>
      </w:pPr>
      <w:r>
        <w:rPr>
          <w:rFonts w:hint="eastAsia"/>
        </w:rPr>
        <w:t>归国或外国学生</w:t>
      </w:r>
      <w:r>
        <w:rPr>
          <w:rFonts w:hint="eastAsia"/>
        </w:rPr>
        <w:t>(</w:t>
      </w:r>
      <w:r>
        <w:rPr>
          <w:rFonts w:hint="eastAsia"/>
        </w:rPr>
        <w:t>移民</w:t>
      </w:r>
      <w:r>
        <w:rPr>
          <w:rFonts w:hint="eastAsia"/>
        </w:rPr>
        <w:t>/</w:t>
      </w:r>
      <w:r>
        <w:rPr>
          <w:rFonts w:hint="eastAsia"/>
        </w:rPr>
        <w:t>难民</w:t>
      </w:r>
      <w:r>
        <w:rPr>
          <w:rFonts w:hint="eastAsia"/>
        </w:rPr>
        <w:t>)</w:t>
      </w:r>
    </w:p>
    <w:p w:rsidR="00000000" w:rsidRDefault="00000000">
      <w:pPr>
        <w:rPr>
          <w:rFonts w:hint="eastAsia"/>
        </w:rPr>
      </w:pPr>
      <w:r>
        <w:rPr>
          <w:rFonts w:hint="eastAsia"/>
        </w:rPr>
        <w:tab/>
        <w:t xml:space="preserve">568.  </w:t>
      </w:r>
      <w:r>
        <w:rPr>
          <w:rFonts w:hint="eastAsia"/>
        </w:rPr>
        <w:t>外国和归国学生享有免费教育的权利，与本国学生完全一样。所有住在希腊的儿童都有权受到教育，无论他</w:t>
      </w:r>
      <w:r>
        <w:rPr>
          <w:rFonts w:hint="eastAsia"/>
        </w:rPr>
        <w:t>/</w:t>
      </w:r>
      <w:r>
        <w:rPr>
          <w:rFonts w:hint="eastAsia"/>
        </w:rPr>
        <w:t>她的父母或监护人在希腊的法律地位如何。由于特殊的移徙条件等原因，已在管理上作出调整，帮助在注册时不具备应有的官方证件的外国学生注册。如果在学年结束时仍未提出这些文件，则发给该学生一份就学证明，而不是毕业文凭。这份证书可使该名儿童升入下一年级。</w:t>
      </w:r>
    </w:p>
    <w:p w:rsidR="00000000" w:rsidRDefault="00000000">
      <w:pPr>
        <w:rPr>
          <w:rFonts w:hint="eastAsia"/>
        </w:rPr>
      </w:pPr>
      <w:r>
        <w:rPr>
          <w:rFonts w:hint="eastAsia"/>
        </w:rPr>
        <w:tab/>
        <w:t xml:space="preserve">569.  </w:t>
      </w:r>
      <w:r>
        <w:rPr>
          <w:rFonts w:hint="eastAsia"/>
        </w:rPr>
        <w:t>为了解决外国和归国学生的具体教育需要，法律确定了一套授课办法，允许有一定的灵活性。这套办法包括：</w:t>
      </w:r>
    </w:p>
    <w:p w:rsidR="00000000" w:rsidRDefault="00000000">
      <w:pPr>
        <w:pStyle w:val="a0"/>
        <w:ind w:left="1530"/>
        <w:rPr>
          <w:rFonts w:hint="eastAsia"/>
        </w:rPr>
      </w:pPr>
      <w:r>
        <w:rPr>
          <w:rFonts w:hint="eastAsia"/>
        </w:rPr>
        <w:t>引导班</w:t>
      </w:r>
      <w:r>
        <w:rPr>
          <w:rFonts w:hint="eastAsia"/>
        </w:rPr>
        <w:t>(</w:t>
      </w:r>
      <w:r>
        <w:rPr>
          <w:rFonts w:hint="eastAsia"/>
        </w:rPr>
        <w:t>外国学生班，在正常学校时间上课，重点是作为第二种语言讲授希腊语，逐渐引入学校课程</w:t>
      </w:r>
      <w:r>
        <w:rPr>
          <w:rFonts w:hint="eastAsia"/>
        </w:rPr>
        <w:t>)</w:t>
      </w:r>
      <w:r>
        <w:rPr>
          <w:rFonts w:hint="eastAsia"/>
        </w:rPr>
        <w:t>；</w:t>
      </w:r>
    </w:p>
    <w:p w:rsidR="00000000" w:rsidRDefault="00000000">
      <w:pPr>
        <w:pStyle w:val="a0"/>
        <w:ind w:left="1530"/>
        <w:rPr>
          <w:rFonts w:hint="eastAsia"/>
        </w:rPr>
      </w:pPr>
      <w:r>
        <w:rPr>
          <w:rFonts w:hint="eastAsia"/>
        </w:rPr>
        <w:t>辅导班</w:t>
      </w:r>
      <w:r>
        <w:rPr>
          <w:rFonts w:hint="eastAsia"/>
        </w:rPr>
        <w:t>(</w:t>
      </w:r>
      <w:r>
        <w:rPr>
          <w:rFonts w:hint="eastAsia"/>
        </w:rPr>
        <w:t>外国学生班，在校内学校上课之前或之后进行，在学生课程加深的领域提供帮助</w:t>
      </w:r>
      <w:r>
        <w:rPr>
          <w:rFonts w:hint="eastAsia"/>
        </w:rPr>
        <w:t>)</w:t>
      </w:r>
      <w:r>
        <w:rPr>
          <w:rFonts w:hint="eastAsia"/>
        </w:rPr>
        <w:t>；</w:t>
      </w:r>
    </w:p>
    <w:p w:rsidR="00000000" w:rsidRDefault="00000000">
      <w:pPr>
        <w:pStyle w:val="a0"/>
        <w:ind w:left="1530"/>
        <w:rPr>
          <w:rFonts w:hint="eastAsia"/>
        </w:rPr>
      </w:pPr>
      <w:r>
        <w:rPr>
          <w:rFonts w:hint="eastAsia"/>
        </w:rPr>
        <w:t>配合授课，在课堂上安排另一位双语教师；</w:t>
      </w:r>
    </w:p>
    <w:p w:rsidR="00000000" w:rsidRDefault="00000000">
      <w:pPr>
        <w:pStyle w:val="a0"/>
        <w:ind w:left="1530"/>
        <w:rPr>
          <w:rFonts w:hint="eastAsia"/>
        </w:rPr>
      </w:pPr>
      <w:r>
        <w:rPr>
          <w:rFonts w:hint="eastAsia"/>
        </w:rPr>
        <w:t>采用专门教材</w:t>
      </w:r>
      <w:r>
        <w:rPr>
          <w:rFonts w:hint="eastAsia"/>
        </w:rPr>
        <w:t>(</w:t>
      </w:r>
      <w:r>
        <w:rPr>
          <w:rFonts w:hint="eastAsia"/>
        </w:rPr>
        <w:t>包括双语</w:t>
      </w:r>
      <w:r>
        <w:rPr>
          <w:rFonts w:hint="eastAsia"/>
        </w:rPr>
        <w:t>)</w:t>
      </w:r>
      <w:r>
        <w:rPr>
          <w:rFonts w:hint="eastAsia"/>
        </w:rPr>
        <w:t>；</w:t>
      </w:r>
    </w:p>
    <w:p w:rsidR="00000000" w:rsidRDefault="00000000">
      <w:pPr>
        <w:pStyle w:val="a0"/>
        <w:ind w:left="1530"/>
        <w:rPr>
          <w:rFonts w:hint="eastAsia"/>
        </w:rPr>
      </w:pPr>
      <w:r>
        <w:rPr>
          <w:rFonts w:hint="eastAsia"/>
        </w:rPr>
        <w:t>专门的评估办法；和</w:t>
      </w:r>
    </w:p>
    <w:p w:rsidR="00000000" w:rsidRDefault="00000000">
      <w:pPr>
        <w:pStyle w:val="a0"/>
        <w:ind w:left="1530"/>
        <w:rPr>
          <w:rFonts w:hint="eastAsia"/>
        </w:rPr>
      </w:pPr>
      <w:r>
        <w:rPr>
          <w:rFonts w:hint="eastAsia"/>
        </w:rPr>
        <w:t>对学生和学生家庭的心理支持计划。</w:t>
      </w:r>
    </w:p>
    <w:p w:rsidR="00000000" w:rsidRDefault="00000000">
      <w:pPr>
        <w:rPr>
          <w:rFonts w:hint="eastAsia"/>
        </w:rPr>
      </w:pPr>
      <w:r>
        <w:rPr>
          <w:rFonts w:hint="eastAsia"/>
        </w:rPr>
        <w:tab/>
        <w:t xml:space="preserve">570.  </w:t>
      </w:r>
      <w:r>
        <w:rPr>
          <w:rFonts w:hint="eastAsia"/>
        </w:rPr>
        <w:t>教师集体决定，如何根据当地的条件和学生的需要，结合和实施上述教育措施。</w:t>
      </w:r>
    </w:p>
    <w:p w:rsidR="00000000" w:rsidRDefault="00000000">
      <w:pPr>
        <w:rPr>
          <w:rFonts w:hint="eastAsia"/>
        </w:rPr>
      </w:pPr>
      <w:r>
        <w:rPr>
          <w:rFonts w:hint="eastAsia"/>
        </w:rPr>
        <w:tab/>
        <w:t xml:space="preserve">571.  </w:t>
      </w:r>
      <w:r>
        <w:rPr>
          <w:rFonts w:hint="eastAsia"/>
        </w:rPr>
        <w:t>这些措施适用于所有招收外国学生较多的公立学校，除这些措施外，目前</w:t>
      </w:r>
      <w:r>
        <w:rPr>
          <w:rFonts w:hint="eastAsia"/>
        </w:rPr>
        <w:t>(2002</w:t>
      </w:r>
      <w:r>
        <w:rPr>
          <w:rFonts w:hint="eastAsia"/>
        </w:rPr>
        <w:t>年</w:t>
      </w:r>
      <w:r>
        <w:rPr>
          <w:rFonts w:hint="eastAsia"/>
        </w:rPr>
        <w:t>)</w:t>
      </w:r>
      <w:r>
        <w:rPr>
          <w:rFonts w:hint="eastAsia"/>
        </w:rPr>
        <w:t>全国各地还分布着</w:t>
      </w:r>
      <w:r>
        <w:rPr>
          <w:rFonts w:hint="eastAsia"/>
        </w:rPr>
        <w:t>26</w:t>
      </w:r>
      <w:r>
        <w:rPr>
          <w:rFonts w:hint="eastAsia"/>
        </w:rPr>
        <w:t>所多种文化教育的学校，这些学校的学生采用的教学计划内容更加丰富，侧重他们的文化背景和以他们的母语授课。</w:t>
      </w:r>
    </w:p>
    <w:p w:rsidR="00000000" w:rsidRDefault="00000000">
      <w:pPr>
        <w:rPr>
          <w:rFonts w:hint="eastAsia"/>
        </w:rPr>
      </w:pPr>
      <w:r>
        <w:rPr>
          <w:rFonts w:hint="eastAsia"/>
        </w:rPr>
        <w:tab/>
        <w:t xml:space="preserve">572.  </w:t>
      </w:r>
      <w:r>
        <w:rPr>
          <w:rFonts w:hint="eastAsia"/>
        </w:rPr>
        <w:t>多种文化教育已列入学校课程。已经并仍在继续对小学和中学教育的课本作出修订，加强谅解和尊重差异，提高对其他人民的信仰、宗教、生活方式和思想等方面的兴趣。</w:t>
      </w:r>
    </w:p>
    <w:p w:rsidR="00000000" w:rsidRDefault="00000000">
      <w:pPr>
        <w:rPr>
          <w:rFonts w:hint="eastAsia"/>
        </w:rPr>
      </w:pPr>
      <w:r>
        <w:tab/>
      </w:r>
      <w:r>
        <w:rPr>
          <w:rFonts w:hint="eastAsia"/>
        </w:rPr>
        <w:t xml:space="preserve">573.  </w:t>
      </w:r>
      <w:r>
        <w:rPr>
          <w:rFonts w:hint="eastAsia"/>
        </w:rPr>
        <w:t>此外，成人教育秘书长也开办一些班和课程，向外国成年人教授希腊文，作为第二种语言，或用于特定的工作环境。</w:t>
      </w:r>
    </w:p>
    <w:p w:rsidR="00000000" w:rsidRDefault="00000000">
      <w:pPr>
        <w:spacing w:after="240"/>
        <w:rPr>
          <w:rFonts w:hint="eastAsia"/>
        </w:rPr>
      </w:pPr>
      <w:r>
        <w:rPr>
          <w:rFonts w:hint="eastAsia"/>
        </w:rPr>
        <w:tab/>
        <w:t>574.  2000</w:t>
      </w:r>
      <w:r>
        <w:rPr>
          <w:rFonts w:hint="eastAsia"/>
        </w:rPr>
        <w:t>年成立的希腊犹太人教育和文化间教育学院与国民教育部合作，计划、实施、评估和监督有关的教育活动。</w:t>
      </w:r>
    </w:p>
    <w:p w:rsidR="00000000" w:rsidRDefault="00000000">
      <w:pPr>
        <w:pStyle w:val="Heading4"/>
        <w:rPr>
          <w:rFonts w:hint="eastAsia"/>
        </w:rPr>
      </w:pPr>
      <w:r>
        <w:rPr>
          <w:rFonts w:hint="eastAsia"/>
        </w:rPr>
        <w:t>罗姆人</w:t>
      </w:r>
    </w:p>
    <w:p w:rsidR="00000000" w:rsidRDefault="00000000">
      <w:pPr>
        <w:rPr>
          <w:rFonts w:hint="eastAsia"/>
        </w:rPr>
      </w:pPr>
      <w:r>
        <w:rPr>
          <w:rFonts w:hint="eastAsia"/>
        </w:rPr>
        <w:tab/>
        <w:t xml:space="preserve">575.  </w:t>
      </w:r>
      <w:r>
        <w:rPr>
          <w:rFonts w:hint="eastAsia"/>
        </w:rPr>
        <w:t>国家面临的一个重要挑战，是解决罗姆人辍学率高的问题。为了成功地解决这个问题，正在采取一系列政策和措施：</w:t>
      </w:r>
    </w:p>
    <w:p w:rsidR="00000000" w:rsidRDefault="00000000">
      <w:pPr>
        <w:pStyle w:val="a0"/>
        <w:tabs>
          <w:tab w:val="num" w:pos="1530"/>
        </w:tabs>
        <w:ind w:left="1530"/>
        <w:rPr>
          <w:rFonts w:hint="eastAsia"/>
        </w:rPr>
      </w:pPr>
      <w:r>
        <w:rPr>
          <w:rFonts w:hint="eastAsia"/>
        </w:rPr>
        <w:t>“学生转学卡”，该卡的建立是为了解决跟随家庭不断迁徙的学生的需要。该卡可使主管当局在一年里的任何时间为学生入学注册，并跟踪他</w:t>
      </w:r>
      <w:r>
        <w:rPr>
          <w:rFonts w:hint="eastAsia"/>
        </w:rPr>
        <w:t>/</w:t>
      </w:r>
      <w:r>
        <w:rPr>
          <w:rFonts w:hint="eastAsia"/>
        </w:rPr>
        <w:t>她的档案和记录；更重要的是，该卡可鼓励学生在他</w:t>
      </w:r>
      <w:r>
        <w:rPr>
          <w:rFonts w:hint="eastAsia"/>
        </w:rPr>
        <w:t>/</w:t>
      </w:r>
      <w:r>
        <w:rPr>
          <w:rFonts w:hint="eastAsia"/>
        </w:rPr>
        <w:t>她的新的定居地继续上学；</w:t>
      </w:r>
    </w:p>
    <w:p w:rsidR="00000000" w:rsidRDefault="00000000">
      <w:pPr>
        <w:pStyle w:val="a0"/>
        <w:tabs>
          <w:tab w:val="num" w:pos="1530"/>
        </w:tabs>
        <w:ind w:left="1530"/>
        <w:rPr>
          <w:rFonts w:hint="eastAsia"/>
        </w:rPr>
      </w:pPr>
      <w:r>
        <w:rPr>
          <w:rFonts w:hint="eastAsia"/>
        </w:rPr>
        <w:t>引导班</w:t>
      </w:r>
      <w:r>
        <w:rPr>
          <w:rFonts w:hint="eastAsia"/>
        </w:rPr>
        <w:t>(</w:t>
      </w:r>
      <w:r>
        <w:rPr>
          <w:rFonts w:hint="eastAsia"/>
        </w:rPr>
        <w:t>在学校上课时间开设的课程，在这种班级的罗姆人学生如果能够正常上课，为他们全天或半天授课</w:t>
      </w:r>
      <w:r>
        <w:rPr>
          <w:rFonts w:hint="eastAsia"/>
        </w:rPr>
        <w:t>)</w:t>
      </w:r>
      <w:r>
        <w:rPr>
          <w:rFonts w:hint="eastAsia"/>
        </w:rPr>
        <w:t>。在这里，教育的目标与外国学生的情况相似，是使这些学生融入主流教育。</w:t>
      </w:r>
      <w:r>
        <w:rPr>
          <w:rFonts w:hint="eastAsia"/>
        </w:rPr>
        <w:t>2001-2002</w:t>
      </w:r>
      <w:r>
        <w:rPr>
          <w:rFonts w:hint="eastAsia"/>
        </w:rPr>
        <w:t>年期间，小学教育阶段共有</w:t>
      </w:r>
      <w:r>
        <w:rPr>
          <w:rFonts w:hint="eastAsia"/>
        </w:rPr>
        <w:t>110</w:t>
      </w:r>
      <w:r>
        <w:rPr>
          <w:rFonts w:hint="eastAsia"/>
        </w:rPr>
        <w:t>个这种班级，</w:t>
      </w:r>
      <w:r>
        <w:rPr>
          <w:rFonts w:hint="eastAsia"/>
        </w:rPr>
        <w:t>1,972</w:t>
      </w:r>
      <w:r>
        <w:rPr>
          <w:rFonts w:hint="eastAsia"/>
        </w:rPr>
        <w:t>人上课。</w:t>
      </w:r>
      <w:r>
        <w:rPr>
          <w:rFonts w:hint="eastAsia"/>
        </w:rPr>
        <w:t>2001-2002</w:t>
      </w:r>
      <w:r>
        <w:rPr>
          <w:rFonts w:hint="eastAsia"/>
        </w:rPr>
        <w:t>年进入小学教育的罗姆人学生总数为</w:t>
      </w:r>
      <w:r>
        <w:rPr>
          <w:rFonts w:hint="eastAsia"/>
        </w:rPr>
        <w:t>6,304</w:t>
      </w:r>
      <w:r>
        <w:rPr>
          <w:rFonts w:hint="eastAsia"/>
        </w:rPr>
        <w:t>人，而</w:t>
      </w:r>
      <w:r>
        <w:rPr>
          <w:rFonts w:hint="eastAsia"/>
        </w:rPr>
        <w:t>1997</w:t>
      </w:r>
      <w:r>
        <w:rPr>
          <w:rFonts w:hint="eastAsia"/>
        </w:rPr>
        <w:t>年时是</w:t>
      </w:r>
      <w:r>
        <w:rPr>
          <w:rFonts w:hint="eastAsia"/>
        </w:rPr>
        <w:t>5,060</w:t>
      </w:r>
      <w:r>
        <w:rPr>
          <w:rFonts w:hint="eastAsia"/>
        </w:rPr>
        <w:t>人；</w:t>
      </w:r>
    </w:p>
    <w:p w:rsidR="00000000" w:rsidRDefault="00000000">
      <w:pPr>
        <w:pStyle w:val="a0"/>
        <w:tabs>
          <w:tab w:val="num" w:pos="1530"/>
        </w:tabs>
        <w:ind w:left="1530"/>
        <w:rPr>
          <w:rFonts w:hint="eastAsia"/>
        </w:rPr>
      </w:pPr>
      <w:r>
        <w:rPr>
          <w:rFonts w:hint="eastAsia"/>
        </w:rPr>
        <w:t>社会心理支持方案和强化学生的文化特征</w:t>
      </w:r>
      <w:r>
        <w:rPr>
          <w:rFonts w:hint="eastAsia"/>
        </w:rPr>
        <w:t>(</w:t>
      </w:r>
      <w:r>
        <w:rPr>
          <w:rFonts w:hint="eastAsia"/>
        </w:rPr>
        <w:t>这套办法强调音乐和舞蹈、个人卫生计划、健康教育计划、家庭咨询等</w:t>
      </w:r>
      <w:r>
        <w:rPr>
          <w:rFonts w:hint="eastAsia"/>
        </w:rPr>
        <w:t>)</w:t>
      </w:r>
      <w:r>
        <w:rPr>
          <w:rFonts w:hint="eastAsia"/>
        </w:rPr>
        <w:t>；</w:t>
      </w:r>
    </w:p>
    <w:p w:rsidR="00000000" w:rsidRDefault="00000000">
      <w:pPr>
        <w:pStyle w:val="a0"/>
        <w:tabs>
          <w:tab w:val="num" w:pos="1530"/>
        </w:tabs>
        <w:ind w:left="1530"/>
        <w:rPr>
          <w:rFonts w:hint="eastAsia"/>
        </w:rPr>
      </w:pPr>
      <w:r>
        <w:rPr>
          <w:rFonts w:hint="eastAsia"/>
        </w:rPr>
        <w:t>专门教材</w:t>
      </w:r>
      <w:r>
        <w:rPr>
          <w:rFonts w:hint="eastAsia"/>
        </w:rPr>
        <w:t>(</w:t>
      </w:r>
      <w:r>
        <w:rPr>
          <w:rFonts w:hint="eastAsia"/>
        </w:rPr>
        <w:t>在语言、阅读、书写、数学、新技术、地理、历史、自然、环境等方面</w:t>
      </w:r>
      <w:r>
        <w:rPr>
          <w:rFonts w:hint="eastAsia"/>
        </w:rPr>
        <w:t>)</w:t>
      </w:r>
      <w:r>
        <w:rPr>
          <w:rFonts w:hint="eastAsia"/>
        </w:rPr>
        <w:t>；和</w:t>
      </w:r>
    </w:p>
    <w:p w:rsidR="00000000" w:rsidRDefault="00000000">
      <w:pPr>
        <w:pStyle w:val="a0"/>
        <w:tabs>
          <w:tab w:val="num" w:pos="1530"/>
        </w:tabs>
        <w:ind w:left="1530"/>
        <w:rPr>
          <w:rFonts w:hint="eastAsia"/>
        </w:rPr>
      </w:pPr>
      <w:r>
        <w:rPr>
          <w:rFonts w:hint="eastAsia"/>
        </w:rPr>
        <w:t>对地方当局的咨询</w:t>
      </w:r>
      <w:r>
        <w:rPr>
          <w:rFonts w:hint="eastAsia"/>
        </w:rPr>
        <w:t>(</w:t>
      </w:r>
      <w:r>
        <w:rPr>
          <w:rFonts w:hint="eastAsia"/>
        </w:rPr>
        <w:t>关于如何帮助罗姆人社会、如何帮助他们融合等</w:t>
      </w:r>
      <w:r>
        <w:rPr>
          <w:rFonts w:hint="eastAsia"/>
        </w:rPr>
        <w:t>)</w:t>
      </w:r>
      <w:r>
        <w:rPr>
          <w:rFonts w:hint="eastAsia"/>
        </w:rPr>
        <w:t>。</w:t>
      </w:r>
    </w:p>
    <w:p w:rsidR="00000000" w:rsidRDefault="00000000">
      <w:pPr>
        <w:spacing w:after="240"/>
        <w:rPr>
          <w:rFonts w:hint="eastAsia"/>
        </w:rPr>
      </w:pPr>
      <w:r>
        <w:rPr>
          <w:rFonts w:hint="eastAsia"/>
        </w:rPr>
        <w:tab/>
      </w:r>
      <w:r>
        <w:rPr>
          <w:rFonts w:hint="eastAsia"/>
        </w:rPr>
        <w:t>由于执行了上述政策，</w:t>
      </w:r>
      <w:r>
        <w:rPr>
          <w:rFonts w:hint="eastAsia"/>
        </w:rPr>
        <w:t>1996-2000</w:t>
      </w:r>
      <w:r>
        <w:rPr>
          <w:rFonts w:hint="eastAsia"/>
        </w:rPr>
        <w:t>年期间罗姆学生的入学人数增加了</w:t>
      </w:r>
      <w:r>
        <w:rPr>
          <w:rFonts w:hint="eastAsia"/>
        </w:rPr>
        <w:t>40%</w:t>
      </w:r>
      <w:r>
        <w:rPr>
          <w:rFonts w:hint="eastAsia"/>
        </w:rPr>
        <w:t>！</w:t>
      </w:r>
    </w:p>
    <w:p w:rsidR="00000000" w:rsidRDefault="00000000">
      <w:pPr>
        <w:pStyle w:val="Heading4"/>
        <w:rPr>
          <w:rFonts w:hint="eastAsia"/>
        </w:rPr>
      </w:pPr>
      <w:r>
        <w:rPr>
          <w:rFonts w:hint="eastAsia"/>
        </w:rPr>
        <w:t>色雷斯的穆斯林少数群体</w:t>
      </w:r>
    </w:p>
    <w:p w:rsidR="00000000" w:rsidRDefault="00000000">
      <w:pPr>
        <w:rPr>
          <w:rFonts w:hint="eastAsia"/>
        </w:rPr>
      </w:pPr>
      <w:r>
        <w:rPr>
          <w:rFonts w:hint="eastAsia"/>
        </w:rPr>
        <w:tab/>
        <w:t xml:space="preserve">576.  </w:t>
      </w:r>
      <w:r>
        <w:rPr>
          <w:rFonts w:hint="eastAsia"/>
        </w:rPr>
        <w:t>色雷斯的大多数希腊穆斯林进入为少数群体开设的学校，这些学校的管理根据《洛桑条约》和有关的双边议定书的规定。在过去几年里，希腊采取了一系列措施和规定，支持和提高色雷斯的穆斯林少数群体的教育，如：</w:t>
      </w:r>
    </w:p>
    <w:p w:rsidR="00000000" w:rsidRDefault="00000000">
      <w:pPr>
        <w:pStyle w:val="a0"/>
        <w:tabs>
          <w:tab w:val="num" w:pos="1530"/>
        </w:tabs>
        <w:ind w:left="1530"/>
        <w:rPr>
          <w:rFonts w:hint="eastAsia"/>
        </w:rPr>
      </w:pPr>
      <w:r>
        <w:rPr>
          <w:rFonts w:hint="eastAsia"/>
        </w:rPr>
        <w:t>增加少数民族学校教师和辅助员工的人数；</w:t>
      </w:r>
    </w:p>
    <w:p w:rsidR="00000000" w:rsidRDefault="00000000">
      <w:pPr>
        <w:pStyle w:val="a0"/>
        <w:tabs>
          <w:tab w:val="num" w:pos="1530"/>
        </w:tabs>
        <w:ind w:left="1530"/>
        <w:rPr>
          <w:rFonts w:hint="eastAsia"/>
        </w:rPr>
      </w:pPr>
      <w:r>
        <w:rPr>
          <w:rFonts w:hint="eastAsia"/>
        </w:rPr>
        <w:t>仍在进行的对少数民族学校教师的培训：</w:t>
      </w:r>
      <w:r>
        <w:rPr>
          <w:rFonts w:hint="eastAsia"/>
        </w:rPr>
        <w:t>2001-2002</w:t>
      </w:r>
      <w:r>
        <w:rPr>
          <w:rFonts w:hint="eastAsia"/>
        </w:rPr>
        <w:t>学年，在</w:t>
      </w:r>
      <w:r>
        <w:rPr>
          <w:rFonts w:hint="eastAsia"/>
        </w:rPr>
        <w:t>231</w:t>
      </w:r>
      <w:r>
        <w:rPr>
          <w:rFonts w:hint="eastAsia"/>
        </w:rPr>
        <w:t>所少数民族学校中有</w:t>
      </w:r>
      <w:r>
        <w:rPr>
          <w:rFonts w:hint="eastAsia"/>
        </w:rPr>
        <w:t>397</w:t>
      </w:r>
      <w:r>
        <w:rPr>
          <w:rFonts w:hint="eastAsia"/>
        </w:rPr>
        <w:t>名基督教和</w:t>
      </w:r>
      <w:r>
        <w:rPr>
          <w:rFonts w:hint="eastAsia"/>
        </w:rPr>
        <w:t>412</w:t>
      </w:r>
      <w:r>
        <w:rPr>
          <w:rFonts w:hint="eastAsia"/>
        </w:rPr>
        <w:t>名穆斯林教师为</w:t>
      </w:r>
      <w:r>
        <w:rPr>
          <w:rFonts w:hint="eastAsia"/>
        </w:rPr>
        <w:t>6,873</w:t>
      </w:r>
      <w:r>
        <w:rPr>
          <w:rFonts w:hint="eastAsia"/>
        </w:rPr>
        <w:t>名穆斯林学生授课；</w:t>
      </w:r>
    </w:p>
    <w:p w:rsidR="00000000" w:rsidRDefault="00000000">
      <w:pPr>
        <w:pStyle w:val="a0"/>
        <w:tabs>
          <w:tab w:val="num" w:pos="1530"/>
        </w:tabs>
        <w:ind w:left="1530"/>
        <w:rPr>
          <w:rFonts w:hint="eastAsia"/>
        </w:rPr>
      </w:pPr>
      <w:r>
        <w:rPr>
          <w:rFonts w:hint="eastAsia"/>
        </w:rPr>
        <w:t>为穆斯林宗教学校升级并予立案</w:t>
      </w:r>
      <w:r>
        <w:rPr>
          <w:rFonts w:hint="eastAsia"/>
        </w:rPr>
        <w:t>(1998</w:t>
      </w:r>
      <w:r>
        <w:rPr>
          <w:rFonts w:hint="eastAsia"/>
        </w:rPr>
        <w:t>年前，那些学校提供五年教育，因此不能与普通中学对等</w:t>
      </w:r>
      <w:r>
        <w:rPr>
          <w:rFonts w:hint="eastAsia"/>
        </w:rPr>
        <w:t>)</w:t>
      </w:r>
      <w:r>
        <w:rPr>
          <w:rFonts w:hint="eastAsia"/>
        </w:rPr>
        <w:t>。现在学生学习六年后毕业，有权参加国家考试，进入大学；</w:t>
      </w:r>
    </w:p>
    <w:p w:rsidR="00000000" w:rsidRDefault="00000000">
      <w:pPr>
        <w:pStyle w:val="a0"/>
        <w:tabs>
          <w:tab w:val="num" w:pos="1530"/>
        </w:tabs>
        <w:ind w:left="1530"/>
        <w:rPr>
          <w:rFonts w:hint="eastAsia"/>
        </w:rPr>
      </w:pPr>
      <w:r>
        <w:rPr>
          <w:rFonts w:hint="eastAsia"/>
        </w:rPr>
        <w:t>实施一项宠大的建设计划</w:t>
      </w:r>
      <w:r>
        <w:rPr>
          <w:rFonts w:hint="eastAsia"/>
        </w:rPr>
        <w:t>(20</w:t>
      </w:r>
      <w:r>
        <w:rPr>
          <w:rFonts w:hint="eastAsia"/>
        </w:rPr>
        <w:t>亿德拉克马</w:t>
      </w:r>
      <w:r>
        <w:rPr>
          <w:rFonts w:hint="eastAsia"/>
        </w:rPr>
        <w:t>)</w:t>
      </w:r>
      <w:r>
        <w:rPr>
          <w:rFonts w:hint="eastAsia"/>
        </w:rPr>
        <w:t>，其中包括建设新的学校和翻修</w:t>
      </w:r>
      <w:r>
        <w:rPr>
          <w:rFonts w:hint="eastAsia"/>
        </w:rPr>
        <w:t>/</w:t>
      </w:r>
      <w:r>
        <w:rPr>
          <w:rFonts w:hint="eastAsia"/>
        </w:rPr>
        <w:t>改善现有校舍；</w:t>
      </w:r>
    </w:p>
    <w:p w:rsidR="00000000" w:rsidRDefault="00000000">
      <w:pPr>
        <w:pStyle w:val="a0"/>
        <w:tabs>
          <w:tab w:val="num" w:pos="1530"/>
        </w:tabs>
        <w:ind w:left="1530"/>
        <w:rPr>
          <w:rFonts w:hint="eastAsia"/>
        </w:rPr>
      </w:pPr>
      <w:r>
        <w:rPr>
          <w:rFonts w:hint="eastAsia"/>
        </w:rPr>
        <w:t>为所有少数民族学校配备电脑和其他多媒体设备；</w:t>
      </w:r>
    </w:p>
    <w:p w:rsidR="00000000" w:rsidRDefault="00000000">
      <w:pPr>
        <w:pStyle w:val="a0"/>
        <w:tabs>
          <w:tab w:val="num" w:pos="1530"/>
        </w:tabs>
        <w:ind w:left="1530"/>
        <w:rPr>
          <w:rFonts w:hint="eastAsia"/>
        </w:rPr>
      </w:pPr>
      <w:r>
        <w:rPr>
          <w:rFonts w:hint="eastAsia"/>
        </w:rPr>
        <w:t>采取积极歧视政策，为穆斯林少数群体确定</w:t>
      </w:r>
      <w:r>
        <w:rPr>
          <w:rFonts w:hint="eastAsia"/>
        </w:rPr>
        <w:t>0.5%</w:t>
      </w:r>
      <w:r>
        <w:rPr>
          <w:rFonts w:hint="eastAsia"/>
        </w:rPr>
        <w:t>有保证的进入高等教育的比例；</w:t>
      </w:r>
    </w:p>
    <w:p w:rsidR="00000000" w:rsidRDefault="00000000">
      <w:pPr>
        <w:pStyle w:val="a0"/>
        <w:tabs>
          <w:tab w:val="num" w:pos="1530"/>
        </w:tabs>
        <w:ind w:left="1530"/>
        <w:rPr>
          <w:rFonts w:hint="eastAsia"/>
        </w:rPr>
      </w:pPr>
      <w:r>
        <w:rPr>
          <w:rFonts w:hint="eastAsia"/>
        </w:rPr>
        <w:t>使用新编土耳其语课本</w:t>
      </w:r>
      <w:r>
        <w:rPr>
          <w:rFonts w:hint="eastAsia"/>
        </w:rPr>
        <w:t>(</w:t>
      </w:r>
      <w:r>
        <w:rPr>
          <w:rFonts w:hint="eastAsia"/>
        </w:rPr>
        <w:t>从</w:t>
      </w:r>
      <w:r>
        <w:rPr>
          <w:rFonts w:hint="eastAsia"/>
        </w:rPr>
        <w:t>2000</w:t>
      </w:r>
      <w:r>
        <w:rPr>
          <w:rFonts w:hint="eastAsia"/>
        </w:rPr>
        <w:t>年</w:t>
      </w:r>
      <w:r>
        <w:rPr>
          <w:rFonts w:hint="eastAsia"/>
        </w:rPr>
        <w:t>3</w:t>
      </w:r>
      <w:r>
        <w:rPr>
          <w:rFonts w:hint="eastAsia"/>
        </w:rPr>
        <w:t>月起</w:t>
      </w:r>
      <w:r>
        <w:rPr>
          <w:rFonts w:hint="eastAsia"/>
        </w:rPr>
        <w:t>)</w:t>
      </w:r>
      <w:r>
        <w:rPr>
          <w:rFonts w:hint="eastAsia"/>
        </w:rPr>
        <w:t>；</w:t>
      </w:r>
    </w:p>
    <w:p w:rsidR="00000000" w:rsidRDefault="00000000">
      <w:pPr>
        <w:pStyle w:val="a0"/>
        <w:tabs>
          <w:tab w:val="num" w:pos="1530"/>
        </w:tabs>
        <w:ind w:left="1530"/>
        <w:rPr>
          <w:rFonts w:hint="eastAsia"/>
        </w:rPr>
      </w:pPr>
      <w:r>
        <w:rPr>
          <w:rFonts w:hint="eastAsia"/>
        </w:rPr>
        <w:t>学校课程</w:t>
      </w:r>
      <w:r>
        <w:rPr>
          <w:rFonts w:hint="eastAsia"/>
        </w:rPr>
        <w:t>(</w:t>
      </w:r>
      <w:r>
        <w:rPr>
          <w:rFonts w:hint="eastAsia"/>
        </w:rPr>
        <w:t>语文、地理、环境、历史、社会和政治学</w:t>
      </w:r>
      <w:r>
        <w:rPr>
          <w:rFonts w:hint="eastAsia"/>
        </w:rPr>
        <w:t>)</w:t>
      </w:r>
      <w:r>
        <w:rPr>
          <w:rFonts w:hint="eastAsia"/>
        </w:rPr>
        <w:t>使用新的专用课本</w:t>
      </w:r>
      <w:r>
        <w:rPr>
          <w:rFonts w:hint="eastAsia"/>
        </w:rPr>
        <w:t>(</w:t>
      </w:r>
      <w:r>
        <w:rPr>
          <w:rFonts w:hint="eastAsia"/>
        </w:rPr>
        <w:t>适合于学生的特点</w:t>
      </w:r>
      <w:r>
        <w:rPr>
          <w:rFonts w:hint="eastAsia"/>
        </w:rPr>
        <w:t>)</w:t>
      </w:r>
      <w:r>
        <w:rPr>
          <w:rFonts w:hint="eastAsia"/>
        </w:rPr>
        <w:t>；</w:t>
      </w:r>
    </w:p>
    <w:p w:rsidR="00000000" w:rsidRDefault="00000000">
      <w:pPr>
        <w:pStyle w:val="a0"/>
        <w:tabs>
          <w:tab w:val="num" w:pos="1530"/>
        </w:tabs>
        <w:ind w:left="1530"/>
        <w:rPr>
          <w:rFonts w:hint="eastAsia"/>
        </w:rPr>
      </w:pPr>
      <w:r>
        <w:rPr>
          <w:rFonts w:hint="eastAsia"/>
        </w:rPr>
        <w:t>为中学的穆斯林学生开设辅导班，在他们最需要的课程领域为学生提供帮助</w:t>
      </w:r>
      <w:r>
        <w:rPr>
          <w:rFonts w:hint="eastAsia"/>
        </w:rPr>
        <w:t>(</w:t>
      </w:r>
      <w:r>
        <w:rPr>
          <w:rFonts w:hint="eastAsia"/>
        </w:rPr>
        <w:t>如数学、历史等</w:t>
      </w:r>
      <w:r>
        <w:rPr>
          <w:rFonts w:hint="eastAsia"/>
        </w:rPr>
        <w:t>)</w:t>
      </w:r>
      <w:r>
        <w:rPr>
          <w:rFonts w:hint="eastAsia"/>
        </w:rPr>
        <w:t>；</w:t>
      </w:r>
    </w:p>
    <w:p w:rsidR="00000000" w:rsidRDefault="00000000">
      <w:pPr>
        <w:pStyle w:val="a0"/>
        <w:tabs>
          <w:tab w:val="num" w:pos="1530"/>
        </w:tabs>
        <w:ind w:left="1530"/>
        <w:rPr>
          <w:rFonts w:hint="eastAsia"/>
        </w:rPr>
      </w:pPr>
      <w:r>
        <w:rPr>
          <w:rFonts w:hint="eastAsia"/>
        </w:rPr>
        <w:t>小学程度的辅导班，这种辅导班使用两种语文授课：希腊语和部分术语用希腊语授课，其余的使用土耳其语授课；</w:t>
      </w:r>
    </w:p>
    <w:p w:rsidR="00000000" w:rsidRDefault="00000000">
      <w:pPr>
        <w:pStyle w:val="a0"/>
        <w:tabs>
          <w:tab w:val="num" w:pos="1530"/>
        </w:tabs>
        <w:ind w:left="1530"/>
        <w:rPr>
          <w:rFonts w:hint="eastAsia"/>
        </w:rPr>
      </w:pPr>
      <w:r>
        <w:rPr>
          <w:rFonts w:hint="eastAsia"/>
        </w:rPr>
        <w:t>2001</w:t>
      </w:r>
      <w:r>
        <w:rPr>
          <w:rFonts w:hint="eastAsia"/>
        </w:rPr>
        <w:t>至</w:t>
      </w:r>
      <w:r>
        <w:rPr>
          <w:rFonts w:hint="eastAsia"/>
        </w:rPr>
        <w:t>2002</w:t>
      </w:r>
      <w:r>
        <w:rPr>
          <w:rFonts w:hint="eastAsia"/>
        </w:rPr>
        <w:t>年，</w:t>
      </w:r>
      <w:r>
        <w:rPr>
          <w:rFonts w:hint="eastAsia"/>
        </w:rPr>
        <w:t xml:space="preserve"> </w:t>
      </w:r>
      <w:r>
        <w:rPr>
          <w:rFonts w:hint="eastAsia"/>
        </w:rPr>
        <w:t>制订了三个新的穆斯林教育的幼儿园计划；</w:t>
      </w:r>
    </w:p>
    <w:p w:rsidR="00000000" w:rsidRDefault="00000000">
      <w:pPr>
        <w:pStyle w:val="a0"/>
        <w:tabs>
          <w:tab w:val="num" w:pos="1530"/>
        </w:tabs>
        <w:ind w:left="1530"/>
        <w:rPr>
          <w:rFonts w:hint="eastAsia"/>
        </w:rPr>
      </w:pPr>
      <w:r>
        <w:rPr>
          <w:rFonts w:hint="eastAsia"/>
        </w:rPr>
        <w:t>科莫蒂尼的穆斯林宗教学校建有学生宿舍，免费为学生提供食宿。同样，</w:t>
      </w:r>
      <w:r>
        <w:t>Ehinos</w:t>
      </w:r>
      <w:r>
        <w:rPr>
          <w:rFonts w:hint="eastAsia"/>
        </w:rPr>
        <w:t>的少数民族学校也向学生和其他在公立学校上学的穆斯林学生免费供餐；</w:t>
      </w:r>
    </w:p>
    <w:p w:rsidR="00000000" w:rsidRDefault="00000000">
      <w:pPr>
        <w:pStyle w:val="a0"/>
        <w:tabs>
          <w:tab w:val="num" w:pos="1530"/>
        </w:tabs>
        <w:ind w:left="1530"/>
        <w:rPr>
          <w:rFonts w:hint="eastAsia"/>
        </w:rPr>
      </w:pPr>
      <w:r>
        <w:rPr>
          <w:rFonts w:hint="eastAsia"/>
        </w:rPr>
        <w:t>穆斯林学生可免费参加夏令营，而基督教学生则要付费；</w:t>
      </w:r>
    </w:p>
    <w:p w:rsidR="00000000" w:rsidRDefault="00000000">
      <w:pPr>
        <w:pStyle w:val="a0"/>
        <w:tabs>
          <w:tab w:val="num" w:pos="1530"/>
        </w:tabs>
        <w:ind w:left="1530"/>
        <w:rPr>
          <w:rFonts w:hint="eastAsia"/>
        </w:rPr>
      </w:pPr>
      <w:r>
        <w:rPr>
          <w:rFonts w:hint="eastAsia"/>
        </w:rPr>
        <w:t>对学生和他们家庭的心理社会支持计划</w:t>
      </w:r>
      <w:r>
        <w:rPr>
          <w:rFonts w:hint="eastAsia"/>
        </w:rPr>
        <w:t>(</w:t>
      </w:r>
      <w:r>
        <w:rPr>
          <w:rFonts w:hint="eastAsia"/>
        </w:rPr>
        <w:t>加强文化特征、家庭咨询等</w:t>
      </w:r>
      <w:r>
        <w:rPr>
          <w:rFonts w:hint="eastAsia"/>
        </w:rPr>
        <w:t>)</w:t>
      </w:r>
      <w:r>
        <w:rPr>
          <w:rFonts w:hint="eastAsia"/>
        </w:rPr>
        <w:t>；</w:t>
      </w:r>
    </w:p>
    <w:p w:rsidR="00000000" w:rsidRDefault="00000000">
      <w:pPr>
        <w:pStyle w:val="a0"/>
        <w:tabs>
          <w:tab w:val="num" w:pos="1530"/>
        </w:tabs>
        <w:ind w:left="1530"/>
        <w:rPr>
          <w:rFonts w:hint="eastAsia"/>
        </w:rPr>
      </w:pPr>
      <w:r>
        <w:rPr>
          <w:rFonts w:hint="eastAsia"/>
        </w:rPr>
        <w:t>对在穆斯林少数民族学校工作的教师给予经济上的鼓励；和</w:t>
      </w:r>
    </w:p>
    <w:p w:rsidR="00000000" w:rsidRDefault="00000000">
      <w:pPr>
        <w:pStyle w:val="a0"/>
        <w:tabs>
          <w:tab w:val="num" w:pos="1530"/>
        </w:tabs>
        <w:ind w:left="1530"/>
        <w:rPr>
          <w:rFonts w:hint="eastAsia"/>
        </w:rPr>
      </w:pPr>
      <w:r>
        <w:rPr>
          <w:rFonts w:hint="eastAsia"/>
        </w:rPr>
        <w:t>在如何满足穆斯林少数民族学生的教学需要方面对教师进行培训。目前国家正在考虑将培训少数民族学校穆斯林教师的塞萨洛尼基特殊教育学院升级</w:t>
      </w:r>
      <w:r>
        <w:rPr>
          <w:rFonts w:hint="eastAsia"/>
        </w:rPr>
        <w:t>(</w:t>
      </w:r>
      <w:r>
        <w:rPr>
          <w:rFonts w:hint="eastAsia"/>
        </w:rPr>
        <w:t>学习时间将从三年增加到四年，学院也将成为大学的一部分</w:t>
      </w:r>
      <w:r>
        <w:rPr>
          <w:rFonts w:hint="eastAsia"/>
        </w:rPr>
        <w:t>)</w:t>
      </w:r>
      <w:r>
        <w:rPr>
          <w:rFonts w:hint="eastAsia"/>
        </w:rPr>
        <w:t>。</w:t>
      </w:r>
    </w:p>
    <w:p w:rsidR="00000000" w:rsidRDefault="00000000">
      <w:pPr>
        <w:spacing w:after="240"/>
        <w:rPr>
          <w:rFonts w:hint="eastAsia"/>
        </w:rPr>
      </w:pPr>
      <w:r>
        <w:rPr>
          <w:rFonts w:hint="eastAsia"/>
        </w:rPr>
        <w:tab/>
        <w:t xml:space="preserve">577.  </w:t>
      </w:r>
      <w:r>
        <w:rPr>
          <w:rFonts w:hint="eastAsia"/>
        </w:rPr>
        <w:t>实施上述政策的结果，是进入公立中学的穆斯林学生人数增加，</w:t>
      </w:r>
      <w:r>
        <w:rPr>
          <w:rFonts w:hint="eastAsia"/>
        </w:rPr>
        <w:t>1996-2000</w:t>
      </w:r>
      <w:r>
        <w:rPr>
          <w:rFonts w:hint="eastAsia"/>
        </w:rPr>
        <w:t>年期间增加了</w:t>
      </w:r>
      <w:r>
        <w:rPr>
          <w:rFonts w:hint="eastAsia"/>
        </w:rPr>
        <w:t>89%</w:t>
      </w:r>
      <w:r>
        <w:rPr>
          <w:rFonts w:hint="eastAsia"/>
        </w:rPr>
        <w:t>。</w:t>
      </w:r>
      <w:r>
        <w:rPr>
          <w:rFonts w:hint="eastAsia"/>
        </w:rPr>
        <w:t>1996-1997</w:t>
      </w:r>
      <w:r>
        <w:rPr>
          <w:rFonts w:hint="eastAsia"/>
        </w:rPr>
        <w:t>年期间，学生人数为</w:t>
      </w:r>
      <w:r>
        <w:rPr>
          <w:rFonts w:hint="eastAsia"/>
        </w:rPr>
        <w:t>1,397</w:t>
      </w:r>
      <w:r>
        <w:rPr>
          <w:rFonts w:hint="eastAsia"/>
        </w:rPr>
        <w:t>人，而到</w:t>
      </w:r>
      <w:r>
        <w:rPr>
          <w:rFonts w:hint="eastAsia"/>
        </w:rPr>
        <w:t>2000</w:t>
      </w:r>
      <w:r>
        <w:rPr>
          <w:rFonts w:hint="eastAsia"/>
        </w:rPr>
        <w:t>年则上升到</w:t>
      </w:r>
      <w:r>
        <w:rPr>
          <w:rFonts w:hint="eastAsia"/>
        </w:rPr>
        <w:t>2,511</w:t>
      </w:r>
      <w:r>
        <w:rPr>
          <w:rFonts w:hint="eastAsia"/>
        </w:rPr>
        <w:t>人。</w:t>
      </w:r>
    </w:p>
    <w:p w:rsidR="00000000" w:rsidRDefault="00000000">
      <w:pPr>
        <w:pStyle w:val="Heading4"/>
        <w:rPr>
          <w:rFonts w:hint="eastAsia"/>
        </w:rPr>
      </w:pPr>
      <w:r>
        <w:rPr>
          <w:rFonts w:hint="eastAsia"/>
        </w:rPr>
        <w:t>残疾儿童</w:t>
      </w:r>
    </w:p>
    <w:p w:rsidR="00000000" w:rsidRDefault="00000000">
      <w:pPr>
        <w:rPr>
          <w:rFonts w:hint="eastAsia"/>
        </w:rPr>
      </w:pPr>
      <w:r>
        <w:rPr>
          <w:rFonts w:hint="eastAsia"/>
        </w:rPr>
        <w:tab/>
        <w:t xml:space="preserve">578.  </w:t>
      </w:r>
      <w:r>
        <w:rPr>
          <w:rFonts w:hint="eastAsia"/>
        </w:rPr>
        <w:t>根据最近的立法</w:t>
      </w:r>
      <w:r>
        <w:rPr>
          <w:rFonts w:hint="eastAsia"/>
        </w:rPr>
        <w:t>(P.D. N</w:t>
      </w:r>
      <w:r>
        <w:t>o</w:t>
      </w:r>
      <w:r>
        <w:rPr>
          <w:rFonts w:hint="eastAsia"/>
        </w:rPr>
        <w:t>. 2817/2000)</w:t>
      </w:r>
      <w:r>
        <w:rPr>
          <w:rFonts w:hint="eastAsia"/>
        </w:rPr>
        <w:t>，大多数残疾儿童均应进入主流教育。教育应在限制最少的环境下进行。由于教育的需要是多方面的，即使患有同样残疾的学生也是如此，因此对残疾儿童的教育需要灵活性，当然也需要每个学生个性化的教育计划。</w:t>
      </w:r>
    </w:p>
    <w:p w:rsidR="00000000" w:rsidRDefault="00000000">
      <w:pPr>
        <w:rPr>
          <w:rFonts w:hint="eastAsia"/>
        </w:rPr>
      </w:pPr>
      <w:r>
        <w:rPr>
          <w:rFonts w:hint="eastAsia"/>
        </w:rPr>
        <w:tab/>
        <w:t xml:space="preserve">579.  </w:t>
      </w:r>
      <w:r>
        <w:rPr>
          <w:rFonts w:hint="eastAsia"/>
        </w:rPr>
        <w:t>为执行这项立法，国民教育部在各级教育上都制定了综合计划。这些计划包括以下类型：</w:t>
      </w:r>
      <w:r>
        <w:t>(a)</w:t>
      </w:r>
      <w:r>
        <w:rPr>
          <w:rFonts w:hint="eastAsia"/>
        </w:rPr>
        <w:t xml:space="preserve"> </w:t>
      </w:r>
      <w:r>
        <w:rPr>
          <w:rFonts w:hint="eastAsia"/>
        </w:rPr>
        <w:t>完全进入正规课堂计划，由专家提供支持，和</w:t>
      </w:r>
      <w:r>
        <w:t>(b)</w:t>
      </w:r>
      <w:r>
        <w:rPr>
          <w:rFonts w:hint="eastAsia"/>
        </w:rPr>
        <w:t xml:space="preserve"> </w:t>
      </w:r>
      <w:r>
        <w:rPr>
          <w:rFonts w:hint="eastAsia"/>
        </w:rPr>
        <w:t>普通学校中的综合资源班，配备一名特殊教育方面的教师。</w:t>
      </w:r>
    </w:p>
    <w:p w:rsidR="00000000" w:rsidRDefault="00000000">
      <w:pPr>
        <w:rPr>
          <w:rFonts w:hint="eastAsia"/>
        </w:rPr>
      </w:pPr>
      <w:r>
        <w:rPr>
          <w:rFonts w:hint="eastAsia"/>
        </w:rPr>
        <w:tab/>
        <w:t xml:space="preserve">580.  </w:t>
      </w:r>
      <w:r>
        <w:rPr>
          <w:rFonts w:hint="eastAsia"/>
        </w:rPr>
        <w:t>但有些学生是无法融合的，根据他们的年龄和失残程度，他们可作以下选择：专门的幼儿园，专门的小学，专门的初高中技术学校，或在家上课。</w:t>
      </w:r>
    </w:p>
    <w:p w:rsidR="00000000" w:rsidRDefault="00000000">
      <w:pPr>
        <w:rPr>
          <w:rFonts w:hint="eastAsia"/>
        </w:rPr>
      </w:pPr>
      <w:r>
        <w:rPr>
          <w:rFonts w:hint="eastAsia"/>
        </w:rPr>
        <w:tab/>
        <w:t>581.  2001-2002</w:t>
      </w:r>
      <w:r>
        <w:rPr>
          <w:rFonts w:hint="eastAsia"/>
        </w:rPr>
        <w:t>学年，希腊特殊教育的情况如下：</w:t>
      </w:r>
    </w:p>
    <w:p w:rsidR="00000000" w:rsidRDefault="00000000">
      <w:pPr>
        <w:pStyle w:val="a0"/>
        <w:tabs>
          <w:tab w:val="num" w:pos="1530"/>
        </w:tabs>
        <w:ind w:left="1530"/>
        <w:rPr>
          <w:rFonts w:hint="eastAsia"/>
        </w:rPr>
      </w:pPr>
      <w:r>
        <w:rPr>
          <w:rFonts w:hint="eastAsia"/>
        </w:rPr>
        <w:t>96</w:t>
      </w:r>
      <w:r>
        <w:rPr>
          <w:rFonts w:hint="eastAsia"/>
        </w:rPr>
        <w:t>所特殊幼儿园；</w:t>
      </w:r>
    </w:p>
    <w:p w:rsidR="00000000" w:rsidRDefault="00000000">
      <w:pPr>
        <w:pStyle w:val="a0"/>
        <w:tabs>
          <w:tab w:val="num" w:pos="1530"/>
        </w:tabs>
        <w:ind w:left="1530"/>
        <w:rPr>
          <w:rFonts w:hint="eastAsia"/>
        </w:rPr>
      </w:pPr>
      <w:r>
        <w:rPr>
          <w:rFonts w:hint="eastAsia"/>
        </w:rPr>
        <w:t>146</w:t>
      </w:r>
      <w:r>
        <w:rPr>
          <w:rFonts w:hint="eastAsia"/>
        </w:rPr>
        <w:t>所特殊小学；</w:t>
      </w:r>
    </w:p>
    <w:p w:rsidR="00000000" w:rsidRDefault="00000000">
      <w:pPr>
        <w:pStyle w:val="a0"/>
        <w:tabs>
          <w:tab w:val="num" w:pos="1530"/>
        </w:tabs>
        <w:ind w:left="1530"/>
        <w:rPr>
          <w:rFonts w:hint="eastAsia"/>
        </w:rPr>
      </w:pPr>
      <w:r>
        <w:rPr>
          <w:rFonts w:hint="eastAsia"/>
        </w:rPr>
        <w:t>13</w:t>
      </w:r>
      <w:r>
        <w:rPr>
          <w:rFonts w:hint="eastAsia"/>
        </w:rPr>
        <w:t>所特殊初中、高中和技术职业学校；</w:t>
      </w:r>
    </w:p>
    <w:p w:rsidR="00000000" w:rsidRDefault="00000000">
      <w:pPr>
        <w:pStyle w:val="a0"/>
        <w:tabs>
          <w:tab w:val="num" w:pos="1530"/>
        </w:tabs>
        <w:ind w:left="1530"/>
        <w:rPr>
          <w:rFonts w:hint="eastAsia"/>
        </w:rPr>
      </w:pPr>
      <w:r>
        <w:rPr>
          <w:rFonts w:hint="eastAsia"/>
        </w:rPr>
        <w:t>10</w:t>
      </w:r>
      <w:r>
        <w:rPr>
          <w:rFonts w:hint="eastAsia"/>
        </w:rPr>
        <w:t>所用于技术和职业培训的特别实验室；</w:t>
      </w:r>
    </w:p>
    <w:p w:rsidR="00000000" w:rsidRDefault="00000000">
      <w:pPr>
        <w:pStyle w:val="a0"/>
        <w:tabs>
          <w:tab w:val="num" w:pos="1530"/>
        </w:tabs>
        <w:ind w:left="1530"/>
        <w:rPr>
          <w:rFonts w:hint="eastAsia"/>
        </w:rPr>
      </w:pPr>
      <w:r>
        <w:rPr>
          <w:rFonts w:hint="eastAsia"/>
        </w:rPr>
        <w:t>723</w:t>
      </w:r>
      <w:r>
        <w:rPr>
          <w:rFonts w:hint="eastAsia"/>
        </w:rPr>
        <w:t>个特别班</w:t>
      </w:r>
      <w:r>
        <w:rPr>
          <w:rFonts w:hint="eastAsia"/>
        </w:rPr>
        <w:t>(</w:t>
      </w:r>
      <w:r>
        <w:rPr>
          <w:rFonts w:hint="eastAsia"/>
        </w:rPr>
        <w:t>在普通学校中</w:t>
      </w:r>
      <w:r>
        <w:rPr>
          <w:rFonts w:hint="eastAsia"/>
        </w:rPr>
        <w:t>)</w:t>
      </w:r>
      <w:r>
        <w:rPr>
          <w:rFonts w:hint="eastAsia"/>
        </w:rPr>
        <w:t>；</w:t>
      </w:r>
    </w:p>
    <w:p w:rsidR="00000000" w:rsidRDefault="00000000">
      <w:pPr>
        <w:pStyle w:val="a0"/>
        <w:tabs>
          <w:tab w:val="num" w:pos="1530"/>
        </w:tabs>
        <w:ind w:left="1530"/>
        <w:rPr>
          <w:rFonts w:hint="eastAsia"/>
        </w:rPr>
      </w:pPr>
      <w:r>
        <w:rPr>
          <w:rFonts w:hint="eastAsia"/>
        </w:rPr>
        <w:t>在普通学校中执行的</w:t>
      </w:r>
      <w:r>
        <w:rPr>
          <w:rFonts w:hint="eastAsia"/>
        </w:rPr>
        <w:t>155</w:t>
      </w:r>
      <w:r>
        <w:rPr>
          <w:rFonts w:hint="eastAsia"/>
        </w:rPr>
        <w:t>个因人施教方案，其中包括开办融合班和</w:t>
      </w:r>
      <w:r>
        <w:rPr>
          <w:rFonts w:hint="eastAsia"/>
        </w:rPr>
        <w:t>/</w:t>
      </w:r>
      <w:r>
        <w:rPr>
          <w:rFonts w:hint="eastAsia"/>
        </w:rPr>
        <w:t>或合作教育办法</w:t>
      </w:r>
      <w:r>
        <w:rPr>
          <w:rFonts w:hint="eastAsia"/>
        </w:rPr>
        <w:t>(</w:t>
      </w:r>
      <w:r>
        <w:rPr>
          <w:rFonts w:hint="eastAsia"/>
        </w:rPr>
        <w:t>在普通班级中增加一名教师协助</w:t>
      </w:r>
      <w:r>
        <w:rPr>
          <w:rFonts w:hint="eastAsia"/>
        </w:rPr>
        <w:t>)</w:t>
      </w:r>
      <w:r>
        <w:rPr>
          <w:rFonts w:hint="eastAsia"/>
        </w:rPr>
        <w:t>；和</w:t>
      </w:r>
    </w:p>
    <w:p w:rsidR="00000000" w:rsidRDefault="00000000">
      <w:pPr>
        <w:pStyle w:val="a0"/>
        <w:tabs>
          <w:tab w:val="num" w:pos="1530"/>
        </w:tabs>
        <w:ind w:left="1530"/>
        <w:rPr>
          <w:rFonts w:hint="eastAsia"/>
        </w:rPr>
      </w:pPr>
      <w:r>
        <w:rPr>
          <w:rFonts w:hint="eastAsia"/>
        </w:rPr>
        <w:t>50</w:t>
      </w:r>
      <w:r>
        <w:rPr>
          <w:rFonts w:hint="eastAsia"/>
        </w:rPr>
        <w:t>个家庭教育方案，对象是由于健康原因无法离家的学生。</w:t>
      </w:r>
    </w:p>
    <w:p w:rsidR="00000000" w:rsidRDefault="00000000">
      <w:pPr>
        <w:spacing w:after="240"/>
        <w:rPr>
          <w:rFonts w:hint="eastAsia"/>
        </w:rPr>
      </w:pPr>
      <w:r>
        <w:rPr>
          <w:rFonts w:hint="eastAsia"/>
        </w:rPr>
        <w:tab/>
        <w:t xml:space="preserve">582.  </w:t>
      </w:r>
      <w:r>
        <w:rPr>
          <w:rFonts w:hint="eastAsia"/>
        </w:rPr>
        <w:t>诊断、评估和支持残疾儿童和他们的家庭中心</w:t>
      </w:r>
      <w:r>
        <w:rPr>
          <w:rFonts w:hint="eastAsia"/>
        </w:rPr>
        <w:t>(</w:t>
      </w:r>
      <w:r>
        <w:rPr>
          <w:rFonts w:hint="eastAsia"/>
        </w:rPr>
        <w:t>上文第</w:t>
      </w:r>
      <w:r>
        <w:rPr>
          <w:rFonts w:hint="eastAsia"/>
        </w:rPr>
        <w:t>563</w:t>
      </w:r>
      <w:r>
        <w:rPr>
          <w:rFonts w:hint="eastAsia"/>
        </w:rPr>
        <w:t>至</w:t>
      </w:r>
      <w:r>
        <w:rPr>
          <w:rFonts w:hint="eastAsia"/>
        </w:rPr>
        <w:t>564</w:t>
      </w:r>
      <w:r>
        <w:rPr>
          <w:rFonts w:hint="eastAsia"/>
        </w:rPr>
        <w:t>段在“早期和系统地检查和诊断有学习障碍的学生”中讲到</w:t>
      </w:r>
      <w:r>
        <w:rPr>
          <w:rFonts w:hint="eastAsia"/>
        </w:rPr>
        <w:t>)</w:t>
      </w:r>
      <w:r>
        <w:rPr>
          <w:rFonts w:hint="eastAsia"/>
        </w:rPr>
        <w:t>，负责协调和支持残疾儿童的教育问题。这里面包括诊断、为教师提供专门教材、教师培训</w:t>
      </w:r>
      <w:r>
        <w:rPr>
          <w:rFonts w:hint="eastAsia"/>
        </w:rPr>
        <w:t>/</w:t>
      </w:r>
      <w:r>
        <w:rPr>
          <w:rFonts w:hint="eastAsia"/>
        </w:rPr>
        <w:t>支持、监督和评估学生的进步、向家长提供咨询等。全国各地共有</w:t>
      </w:r>
      <w:r>
        <w:rPr>
          <w:rFonts w:hint="eastAsia"/>
        </w:rPr>
        <w:t>22</w:t>
      </w:r>
      <w:r>
        <w:rPr>
          <w:rFonts w:hint="eastAsia"/>
        </w:rPr>
        <w:t>个这种中心。中心的工作人员有幼儿园、小学和中学教师，心理学家、社会工作者、语言临床医学家、理疗师、精神病医生等。国民教育部计划在</w:t>
      </w:r>
      <w:r>
        <w:rPr>
          <w:rFonts w:hint="eastAsia"/>
        </w:rPr>
        <w:t>2004</w:t>
      </w:r>
      <w:r>
        <w:rPr>
          <w:rFonts w:hint="eastAsia"/>
        </w:rPr>
        <w:t>年前再建立</w:t>
      </w:r>
      <w:r>
        <w:rPr>
          <w:rFonts w:hint="eastAsia"/>
        </w:rPr>
        <w:t>36</w:t>
      </w:r>
      <w:r>
        <w:rPr>
          <w:rFonts w:hint="eastAsia"/>
        </w:rPr>
        <w:t>个这样的中心，从地理上覆盖全国。</w:t>
      </w:r>
    </w:p>
    <w:p w:rsidR="00000000" w:rsidRDefault="00000000">
      <w:pPr>
        <w:pStyle w:val="Heading4"/>
        <w:rPr>
          <w:rFonts w:hint="eastAsia"/>
        </w:rPr>
      </w:pPr>
      <w:r>
        <w:rPr>
          <w:rFonts w:hint="eastAsia"/>
        </w:rPr>
        <w:t>农村儿童和低收入家庭儿童</w:t>
      </w:r>
    </w:p>
    <w:p w:rsidR="00000000" w:rsidRDefault="00000000">
      <w:pPr>
        <w:rPr>
          <w:rFonts w:hint="eastAsia"/>
        </w:rPr>
      </w:pPr>
      <w:r>
        <w:rPr>
          <w:rFonts w:hint="eastAsia"/>
        </w:rPr>
        <w:tab/>
        <w:t xml:space="preserve">583.  </w:t>
      </w:r>
      <w:r>
        <w:rPr>
          <w:rFonts w:hint="eastAsia"/>
        </w:rPr>
        <w:t>前面讲到，学校分布在全国各地，以保证所有人都能受到教育。但由于部分偏远地区年轻人很少，学校可能不会象应该的那样在孩子的住家附近。在这种情况下，国家为学生上学和回家提供交通。采取的形式，可能是用公交车送学生上学，或由国家支付出租车，也可能是把钱付给家长，由他们自己送孩子上学，如果他们选择那样做的话。作为提供交通的安排，小学生到学校的距离必须至少</w:t>
      </w:r>
      <w:r>
        <w:rPr>
          <w:rFonts w:hint="eastAsia"/>
        </w:rPr>
        <w:t>1,200</w:t>
      </w:r>
      <w:r>
        <w:rPr>
          <w:rFonts w:hint="eastAsia"/>
        </w:rPr>
        <w:t>米，初中学生的住地距离必须至少</w:t>
      </w:r>
      <w:r>
        <w:rPr>
          <w:rFonts w:hint="eastAsia"/>
        </w:rPr>
        <w:t>2,500</w:t>
      </w:r>
      <w:r>
        <w:rPr>
          <w:rFonts w:hint="eastAsia"/>
        </w:rPr>
        <w:t>米，高中学生的距离必须至少</w:t>
      </w:r>
      <w:r>
        <w:rPr>
          <w:rFonts w:hint="eastAsia"/>
        </w:rPr>
        <w:t>4,000</w:t>
      </w:r>
      <w:r>
        <w:rPr>
          <w:rFonts w:hint="eastAsia"/>
        </w:rPr>
        <w:t>米。</w:t>
      </w:r>
    </w:p>
    <w:p w:rsidR="00000000" w:rsidRDefault="00000000">
      <w:pPr>
        <w:rPr>
          <w:rFonts w:hint="eastAsia"/>
        </w:rPr>
      </w:pPr>
      <w:r>
        <w:rPr>
          <w:rFonts w:hint="eastAsia"/>
        </w:rPr>
        <w:tab/>
        <w:t xml:space="preserve">584.  </w:t>
      </w:r>
      <w:r>
        <w:rPr>
          <w:rFonts w:hint="eastAsia"/>
        </w:rPr>
        <w:t>住在偏远地区离学校较远的学生，以及低收入家庭的学生可在周日期间免费住国家开办的宿舍。国家拥有</w:t>
      </w:r>
      <w:r>
        <w:rPr>
          <w:rFonts w:hint="eastAsia"/>
        </w:rPr>
        <w:t>32</w:t>
      </w:r>
      <w:r>
        <w:rPr>
          <w:rFonts w:hint="eastAsia"/>
        </w:rPr>
        <w:t>所小学和中学学生的宿舍，设在全国的不同地区。住宿学生的选择根据社会经济标准。</w:t>
      </w:r>
      <w:r>
        <w:rPr>
          <w:rFonts w:hint="eastAsia"/>
        </w:rPr>
        <w:t>2001-2002</w:t>
      </w:r>
      <w:r>
        <w:rPr>
          <w:rFonts w:hint="eastAsia"/>
        </w:rPr>
        <w:t>学年期间，住宿的学生有</w:t>
      </w:r>
      <w:r>
        <w:rPr>
          <w:rFonts w:hint="eastAsia"/>
        </w:rPr>
        <w:t>1,246</w:t>
      </w:r>
      <w:r>
        <w:rPr>
          <w:rFonts w:hint="eastAsia"/>
        </w:rPr>
        <w:t>人，而且不收饭费。</w:t>
      </w:r>
    </w:p>
    <w:p w:rsidR="00000000" w:rsidRDefault="00000000">
      <w:pPr>
        <w:rPr>
          <w:rFonts w:hint="eastAsia"/>
        </w:rPr>
      </w:pPr>
      <w:r>
        <w:rPr>
          <w:rFonts w:hint="eastAsia"/>
        </w:rPr>
        <w:tab/>
        <w:t xml:space="preserve">585.  </w:t>
      </w:r>
      <w:r>
        <w:rPr>
          <w:rFonts w:hint="eastAsia"/>
        </w:rPr>
        <w:t>同样情况，还有</w:t>
      </w:r>
      <w:r>
        <w:rPr>
          <w:rFonts w:hint="eastAsia"/>
        </w:rPr>
        <w:t>16</w:t>
      </w:r>
      <w:r>
        <w:rPr>
          <w:rFonts w:hint="eastAsia"/>
        </w:rPr>
        <w:t>所大学学生的宿舍，选择的标准也一样，</w:t>
      </w:r>
      <w:r>
        <w:rPr>
          <w:rFonts w:hint="eastAsia"/>
        </w:rPr>
        <w:t>2001-2002</w:t>
      </w:r>
      <w:r>
        <w:rPr>
          <w:rFonts w:hint="eastAsia"/>
        </w:rPr>
        <w:t>年，这些宿舍为</w:t>
      </w:r>
      <w:r>
        <w:rPr>
          <w:rFonts w:hint="eastAsia"/>
        </w:rPr>
        <w:t>7,940</w:t>
      </w:r>
      <w:r>
        <w:rPr>
          <w:rFonts w:hint="eastAsia"/>
        </w:rPr>
        <w:t>名学生提供了免费食宿。除住宿生，还根据社会经济标准，为各级教育水平的另外</w:t>
      </w:r>
      <w:r>
        <w:rPr>
          <w:rFonts w:hint="eastAsia"/>
        </w:rPr>
        <w:t>4,772</w:t>
      </w:r>
      <w:r>
        <w:rPr>
          <w:rFonts w:hint="eastAsia"/>
        </w:rPr>
        <w:t>名学生提供免费用餐。此外，还有其他一些大学宿舍是在大学预算内经营的，因此不掌握有关资料。</w:t>
      </w:r>
    </w:p>
    <w:p w:rsidR="00000000" w:rsidRDefault="00000000">
      <w:pPr>
        <w:rPr>
          <w:rFonts w:hint="eastAsia"/>
        </w:rPr>
      </w:pPr>
      <w:r>
        <w:rPr>
          <w:rFonts w:hint="eastAsia"/>
        </w:rPr>
        <w:tab/>
        <w:t xml:space="preserve">586.  </w:t>
      </w:r>
      <w:r>
        <w:rPr>
          <w:rFonts w:hint="eastAsia"/>
        </w:rPr>
        <w:t>当兄弟姐妹被不同城市的高等教育机构录取时，会将他们转到与本人家庭住址较近的同一所机构。这项政策的目的是节省家庭开支。国家奖学金协会每年都为本科生和研究生提供奖学金。对申请人的选择是根据他们的学业成绩</w:t>
      </w:r>
      <w:r>
        <w:rPr>
          <w:rFonts w:hint="eastAsia"/>
        </w:rPr>
        <w:t>(</w:t>
      </w:r>
      <w:r>
        <w:rPr>
          <w:rFonts w:hint="eastAsia"/>
        </w:rPr>
        <w:t>参加考试或考虑他们的成绩</w:t>
      </w:r>
      <w:r>
        <w:rPr>
          <w:rFonts w:hint="eastAsia"/>
        </w:rPr>
        <w:t>)</w:t>
      </w:r>
      <w:r>
        <w:rPr>
          <w:rFonts w:hint="eastAsia"/>
        </w:rPr>
        <w:t>。</w:t>
      </w:r>
    </w:p>
    <w:p w:rsidR="00000000" w:rsidRDefault="00000000">
      <w:pPr>
        <w:rPr>
          <w:rFonts w:hint="eastAsia"/>
        </w:rPr>
      </w:pPr>
      <w:r>
        <w:rPr>
          <w:rFonts w:hint="eastAsia"/>
        </w:rPr>
        <w:tab/>
        <w:t xml:space="preserve">587.  </w:t>
      </w:r>
      <w:r>
        <w:rPr>
          <w:rFonts w:hint="eastAsia"/>
        </w:rPr>
        <w:t>希腊远距离教育计划和教育技术的迅速发展，已使教育实际上普及到国家的所有地区。</w:t>
      </w:r>
    </w:p>
    <w:p w:rsidR="00000000" w:rsidRDefault="00000000">
      <w:pPr>
        <w:rPr>
          <w:rFonts w:hint="eastAsia"/>
        </w:rPr>
      </w:pPr>
      <w:r>
        <w:rPr>
          <w:rFonts w:hint="eastAsia"/>
        </w:rPr>
        <w:tab/>
        <w:t xml:space="preserve">588.  </w:t>
      </w:r>
      <w:r>
        <w:rPr>
          <w:rFonts w:hint="eastAsia"/>
        </w:rPr>
        <w:t>在多种文化教育的学校，对在校生中比例较大的群体</w:t>
      </w:r>
      <w:r>
        <w:rPr>
          <w:rFonts w:hint="eastAsia"/>
        </w:rPr>
        <w:t>(</w:t>
      </w:r>
      <w:r>
        <w:rPr>
          <w:rFonts w:hint="eastAsia"/>
        </w:rPr>
        <w:t>在数量上</w:t>
      </w:r>
      <w:r>
        <w:rPr>
          <w:rFonts w:hint="eastAsia"/>
        </w:rPr>
        <w:t>)</w:t>
      </w:r>
      <w:r>
        <w:rPr>
          <w:rFonts w:hint="eastAsia"/>
        </w:rPr>
        <w:t>开设母语教育。在普通学校，前面介绍过的合作教育计划，包括双语教师使用母语教学。此外，还有为外国学生开设的私立学校，那些学校主要使用外语教学，所用的语言由学校的性质决定。</w:t>
      </w:r>
    </w:p>
    <w:p w:rsidR="00000000" w:rsidRDefault="00000000">
      <w:pPr>
        <w:rPr>
          <w:rFonts w:hint="eastAsia"/>
        </w:rPr>
      </w:pPr>
      <w:r>
        <w:rPr>
          <w:rFonts w:hint="eastAsia"/>
        </w:rPr>
        <w:tab/>
        <w:t xml:space="preserve">589.  </w:t>
      </w:r>
      <w:r>
        <w:rPr>
          <w:rFonts w:hint="eastAsia"/>
        </w:rPr>
        <w:t>各级教师的工作条件一般而言均符合教科文组织有关教师地位的建议。教师均经过大学培训。取得公共教育机构中的职位，教师必须参加考试，随后择优录取。教师还要接受引导培训，以及不断的在职培训。教师为获得研究生学位，可享受离职假。近年来教师的工资有所增加。</w:t>
      </w:r>
      <w:r>
        <w:rPr>
          <w:rFonts w:hint="eastAsia"/>
        </w:rPr>
        <w:t>1999-2000</w:t>
      </w:r>
      <w:r>
        <w:rPr>
          <w:rFonts w:hint="eastAsia"/>
        </w:rPr>
        <w:t>年教师对学生的比例，小学公立学校是</w:t>
      </w:r>
      <w:r>
        <w:rPr>
          <w:rFonts w:hint="eastAsia"/>
        </w:rPr>
        <w:t xml:space="preserve">1:18, </w:t>
      </w:r>
      <w:r>
        <w:rPr>
          <w:rFonts w:hint="eastAsia"/>
        </w:rPr>
        <w:t>私立学校</w:t>
      </w:r>
      <w:r>
        <w:rPr>
          <w:rFonts w:hint="eastAsia"/>
        </w:rPr>
        <w:t>1:22</w:t>
      </w:r>
      <w:r>
        <w:rPr>
          <w:rFonts w:hint="eastAsia"/>
        </w:rPr>
        <w:t>。中学</w:t>
      </w:r>
      <w:r>
        <w:rPr>
          <w:rFonts w:hint="eastAsia"/>
        </w:rPr>
        <w:t>(</w:t>
      </w:r>
      <w:r>
        <w:rPr>
          <w:rFonts w:hint="eastAsia"/>
        </w:rPr>
        <w:t>公立学校</w:t>
      </w:r>
      <w:r>
        <w:rPr>
          <w:rFonts w:hint="eastAsia"/>
        </w:rPr>
        <w:t>)</w:t>
      </w:r>
      <w:r>
        <w:rPr>
          <w:rFonts w:hint="eastAsia"/>
        </w:rPr>
        <w:t>的比例是</w:t>
      </w:r>
      <w:r>
        <w:rPr>
          <w:rFonts w:hint="eastAsia"/>
        </w:rPr>
        <w:t>1:12</w:t>
      </w:r>
      <w:r>
        <w:rPr>
          <w:rFonts w:hint="eastAsia"/>
        </w:rPr>
        <w:t>。</w:t>
      </w:r>
    </w:p>
    <w:p w:rsidR="00000000" w:rsidRDefault="00000000">
      <w:pPr>
        <w:rPr>
          <w:rFonts w:hint="eastAsia"/>
        </w:rPr>
      </w:pPr>
      <w:r>
        <w:rPr>
          <w:rFonts w:hint="eastAsia"/>
        </w:rPr>
        <w:tab/>
        <w:t xml:space="preserve">590.  </w:t>
      </w:r>
      <w:r>
        <w:rPr>
          <w:rFonts w:hint="eastAsia"/>
        </w:rPr>
        <w:t>学校</w:t>
      </w:r>
      <w:r>
        <w:rPr>
          <w:rFonts w:hint="eastAsia"/>
          <w:spacing w:val="-50"/>
        </w:rPr>
        <w:t>―</w:t>
      </w:r>
      <w:r>
        <w:rPr>
          <w:rFonts w:hint="eastAsia"/>
        </w:rPr>
        <w:t>―公立和私立</w:t>
      </w:r>
      <w:r>
        <w:rPr>
          <w:rFonts w:hint="eastAsia"/>
        </w:rPr>
        <w:t>(</w:t>
      </w:r>
      <w:r>
        <w:rPr>
          <w:rFonts w:hint="eastAsia"/>
        </w:rPr>
        <w:t>包括幼儿园、小学、中学、技术和职业学校、夜校</w:t>
      </w:r>
      <w:r>
        <w:rPr>
          <w:rFonts w:hint="eastAsia"/>
        </w:rPr>
        <w:t>)</w:t>
      </w:r>
      <w:r>
        <w:rPr>
          <w:rFonts w:hint="eastAsia"/>
          <w:spacing w:val="-50"/>
        </w:rPr>
        <w:t>―</w:t>
      </w:r>
      <w:r>
        <w:rPr>
          <w:rFonts w:hint="eastAsia"/>
        </w:rPr>
        <w:t>―的总数是</w:t>
      </w:r>
      <w:r>
        <w:rPr>
          <w:rFonts w:hint="eastAsia"/>
        </w:rPr>
        <w:t>15,811</w:t>
      </w:r>
      <w:r>
        <w:rPr>
          <w:rFonts w:hint="eastAsia"/>
        </w:rPr>
        <w:t>所，其中</w:t>
      </w:r>
      <w:r>
        <w:rPr>
          <w:rFonts w:hint="eastAsia"/>
        </w:rPr>
        <w:t>715</w:t>
      </w:r>
      <w:r>
        <w:rPr>
          <w:rFonts w:hint="eastAsia"/>
        </w:rPr>
        <w:t>所是私立学校</w:t>
      </w:r>
      <w:r>
        <w:rPr>
          <w:rFonts w:hint="eastAsia"/>
        </w:rPr>
        <w:t>(2000-2001</w:t>
      </w:r>
      <w:r>
        <w:rPr>
          <w:rFonts w:hint="eastAsia"/>
        </w:rPr>
        <w:t>年数字</w:t>
      </w:r>
      <w:r>
        <w:rPr>
          <w:rFonts w:hint="eastAsia"/>
        </w:rPr>
        <w:t>)</w:t>
      </w:r>
      <w:r>
        <w:rPr>
          <w:rFonts w:hint="eastAsia"/>
        </w:rPr>
        <w:t>。这表明，私立学校占所有学校总数的</w:t>
      </w:r>
      <w:r>
        <w:rPr>
          <w:rFonts w:hint="eastAsia"/>
        </w:rPr>
        <w:t>4.52%</w:t>
      </w:r>
      <w:r>
        <w:rPr>
          <w:rFonts w:hint="eastAsia"/>
        </w:rPr>
        <w:t>。在成立或进入私立学校方面，不存在任何问题或困难。希腊提交的《儿童权利公约》执行情况的文件</w:t>
      </w:r>
      <w:r>
        <w:rPr>
          <w:rFonts w:hint="eastAsia"/>
        </w:rPr>
        <w:t>(</w:t>
      </w:r>
      <w:r>
        <w:rPr>
          <w:rFonts w:hint="eastAsia"/>
        </w:rPr>
        <w:t>为审议初次报告</w:t>
      </w:r>
      <w:r>
        <w:rPr>
          <w:rFonts w:hint="eastAsia"/>
        </w:rPr>
        <w:t>CRC/C/28/</w:t>
      </w:r>
      <w:r>
        <w:t>Add.1</w:t>
      </w:r>
      <w:r>
        <w:rPr>
          <w:rFonts w:hint="eastAsia"/>
        </w:rPr>
        <w:t>7(</w:t>
      </w:r>
      <w:r>
        <w:rPr>
          <w:rFonts w:hint="eastAsia"/>
        </w:rPr>
        <w:t>第</w:t>
      </w:r>
      <w:r>
        <w:rPr>
          <w:rFonts w:hint="eastAsia"/>
        </w:rPr>
        <w:t>29</w:t>
      </w:r>
      <w:r>
        <w:rPr>
          <w:rFonts w:hint="eastAsia"/>
        </w:rPr>
        <w:t>至</w:t>
      </w:r>
      <w:r>
        <w:rPr>
          <w:rFonts w:hint="eastAsia"/>
        </w:rPr>
        <w:t>30</w:t>
      </w:r>
      <w:r>
        <w:rPr>
          <w:rFonts w:hint="eastAsia"/>
        </w:rPr>
        <w:t>段</w:t>
      </w:r>
      <w:r>
        <w:rPr>
          <w:rFonts w:hint="eastAsia"/>
        </w:rPr>
        <w:t>)</w:t>
      </w:r>
      <w:r>
        <w:rPr>
          <w:rFonts w:hint="eastAsia"/>
        </w:rPr>
        <w:t>提交的补充和最新资料</w:t>
      </w:r>
      <w:r>
        <w:rPr>
          <w:rFonts w:hint="eastAsia"/>
        </w:rPr>
        <w:t>)</w:t>
      </w:r>
      <w:r>
        <w:rPr>
          <w:rFonts w:hint="eastAsia"/>
        </w:rPr>
        <w:t>，载有私立学校数量和入学学生人数的更多的资料。</w:t>
      </w:r>
    </w:p>
    <w:p w:rsidR="00000000" w:rsidRDefault="00000000">
      <w:pPr>
        <w:rPr>
          <w:rFonts w:hint="eastAsia"/>
        </w:rPr>
      </w:pPr>
      <w:r>
        <w:rPr>
          <w:rFonts w:hint="eastAsia"/>
        </w:rPr>
        <w:tab/>
        <w:t xml:space="preserve">591.  </w:t>
      </w:r>
      <w:r>
        <w:rPr>
          <w:rFonts w:hint="eastAsia"/>
        </w:rPr>
        <w:t>没有任何变化对</w:t>
      </w:r>
      <w:r>
        <w:rPr>
          <w:rFonts w:hint="eastAsia"/>
        </w:rPr>
        <w:t>13</w:t>
      </w:r>
      <w:r>
        <w:rPr>
          <w:rFonts w:hint="eastAsia"/>
        </w:rPr>
        <w:t>条所载的权利产生不利影响。过去几年里作出的一切变动均使情况得到改善。</w:t>
      </w:r>
    </w:p>
    <w:p w:rsidR="00000000" w:rsidRDefault="00000000">
      <w:pPr>
        <w:spacing w:after="320"/>
        <w:rPr>
          <w:rFonts w:hint="eastAsia"/>
        </w:rPr>
      </w:pPr>
      <w:r>
        <w:rPr>
          <w:rFonts w:hint="eastAsia"/>
        </w:rPr>
        <w:tab/>
        <w:t xml:space="preserve">592.  </w:t>
      </w:r>
      <w:r>
        <w:rPr>
          <w:rFonts w:hint="eastAsia"/>
        </w:rPr>
        <w:t>希腊从欧洲联盟得到较多的财政支持；第二个和目前仍在实施的第三个“欧洲共同体支助框架”，都对执行教育政策起到了重要的推动作用。</w:t>
      </w:r>
    </w:p>
    <w:p w:rsidR="00000000" w:rsidRDefault="00000000">
      <w:pPr>
        <w:pStyle w:val="Heading3"/>
        <w:rPr>
          <w:rFonts w:hint="eastAsia"/>
        </w:rPr>
      </w:pPr>
      <w:r>
        <w:rPr>
          <w:rFonts w:hint="eastAsia"/>
        </w:rPr>
        <w:t>第</w:t>
      </w:r>
      <w:r>
        <w:rPr>
          <w:rFonts w:hint="eastAsia"/>
        </w:rPr>
        <w:t xml:space="preserve"> 14 </w:t>
      </w:r>
      <w:r>
        <w:rPr>
          <w:rFonts w:hint="eastAsia"/>
        </w:rPr>
        <w:t>条</w:t>
      </w:r>
    </w:p>
    <w:p w:rsidR="00000000" w:rsidRDefault="00000000">
      <w:pPr>
        <w:spacing w:after="320"/>
        <w:rPr>
          <w:rFonts w:hint="eastAsia"/>
        </w:rPr>
      </w:pPr>
      <w:r>
        <w:rPr>
          <w:rFonts w:hint="eastAsia"/>
        </w:rPr>
        <w:tab/>
        <w:t xml:space="preserve">593.  </w:t>
      </w:r>
      <w:r>
        <w:rPr>
          <w:rFonts w:hint="eastAsia"/>
        </w:rPr>
        <w:t>本条与希腊不相关。但应当指出，根据第</w:t>
      </w:r>
      <w:r>
        <w:rPr>
          <w:rFonts w:hint="eastAsia"/>
        </w:rPr>
        <w:t>2909/2001</w:t>
      </w:r>
      <w:r>
        <w:rPr>
          <w:rFonts w:hint="eastAsia"/>
        </w:rPr>
        <w:t>号法令</w:t>
      </w:r>
      <w:r>
        <w:rPr>
          <w:rFonts w:hint="eastAsia"/>
        </w:rPr>
        <w:t>(</w:t>
      </w:r>
      <w:r>
        <w:rPr>
          <w:rFonts w:hint="eastAsia"/>
        </w:rPr>
        <w:t>第</w:t>
      </w:r>
      <w:r>
        <w:rPr>
          <w:rFonts w:hint="eastAsia"/>
        </w:rPr>
        <w:t>4</w:t>
      </w:r>
      <w:r>
        <w:rPr>
          <w:rFonts w:hint="eastAsia"/>
        </w:rPr>
        <w:t>条</w:t>
      </w:r>
      <w:r>
        <w:rPr>
          <w:rFonts w:hint="eastAsia"/>
        </w:rPr>
        <w:t>)</w:t>
      </w:r>
      <w:r>
        <w:rPr>
          <w:rFonts w:hint="eastAsia"/>
        </w:rPr>
        <w:t>，成立了一个儿童权利国家观察所</w:t>
      </w:r>
      <w:r>
        <w:rPr>
          <w:rFonts w:hint="eastAsia"/>
        </w:rPr>
        <w:t>(NORC)</w:t>
      </w:r>
      <w:r>
        <w:rPr>
          <w:rFonts w:hint="eastAsia"/>
        </w:rPr>
        <w:t>，作为青年事务秘书长</w:t>
      </w:r>
      <w:r>
        <w:rPr>
          <w:rFonts w:hint="eastAsia"/>
        </w:rPr>
        <w:t>/</w:t>
      </w:r>
      <w:r>
        <w:rPr>
          <w:rFonts w:hint="eastAsia"/>
        </w:rPr>
        <w:t>国民教育部和宗教事务局下属的一个公共机构。</w:t>
      </w:r>
      <w:r>
        <w:rPr>
          <w:rFonts w:hint="eastAsia"/>
        </w:rPr>
        <w:t>NORC</w:t>
      </w:r>
      <w:r>
        <w:rPr>
          <w:rFonts w:hint="eastAsia"/>
        </w:rPr>
        <w:t>是在</w:t>
      </w:r>
      <w:r>
        <w:rPr>
          <w:rFonts w:hint="eastAsia"/>
        </w:rPr>
        <w:t>2002</w:t>
      </w:r>
      <w:r>
        <w:rPr>
          <w:rFonts w:hint="eastAsia"/>
        </w:rPr>
        <w:t>年</w:t>
      </w:r>
      <w:r>
        <w:rPr>
          <w:rFonts w:hint="eastAsia"/>
        </w:rPr>
        <w:t>3</w:t>
      </w:r>
      <w:r>
        <w:rPr>
          <w:rFonts w:hint="eastAsia"/>
        </w:rPr>
        <w:t>月成立的，任务是帮助国家克服社会排斥现象，促进所有儿童的平等机会和高质量的生活。</w:t>
      </w:r>
      <w:r>
        <w:rPr>
          <w:rFonts w:hint="eastAsia"/>
        </w:rPr>
        <w:t>NORC</w:t>
      </w:r>
      <w:r>
        <w:rPr>
          <w:rFonts w:hint="eastAsia"/>
        </w:rPr>
        <w:t>的目的是监测和执行《儿童权利国际公约》。将通过以下措施完成这项工作：</w:t>
      </w:r>
      <w:r>
        <w:t>(a)</w:t>
      </w:r>
      <w:r>
        <w:rPr>
          <w:rFonts w:hint="eastAsia"/>
        </w:rPr>
        <w:t xml:space="preserve"> </w:t>
      </w:r>
      <w:r>
        <w:rPr>
          <w:rFonts w:hint="eastAsia"/>
        </w:rPr>
        <w:t>建立一个文献中心；</w:t>
      </w:r>
      <w:r>
        <w:t>(b)</w:t>
      </w:r>
      <w:r>
        <w:rPr>
          <w:rFonts w:hint="eastAsia"/>
        </w:rPr>
        <w:t xml:space="preserve"> </w:t>
      </w:r>
      <w:r>
        <w:rPr>
          <w:rFonts w:hint="eastAsia"/>
        </w:rPr>
        <w:t>与国际组织和非政府组织合作；</w:t>
      </w:r>
      <w:r>
        <w:t>(c)</w:t>
      </w:r>
      <w:r>
        <w:rPr>
          <w:rFonts w:hint="eastAsia"/>
        </w:rPr>
        <w:t xml:space="preserve"> </w:t>
      </w:r>
      <w:r>
        <w:rPr>
          <w:rFonts w:hint="eastAsia"/>
        </w:rPr>
        <w:t>开展公共宣传；</w:t>
      </w:r>
      <w:r>
        <w:t>(d)</w:t>
      </w:r>
      <w:r>
        <w:rPr>
          <w:rFonts w:hint="eastAsia"/>
        </w:rPr>
        <w:t xml:space="preserve"> </w:t>
      </w:r>
      <w:r>
        <w:rPr>
          <w:rFonts w:hint="eastAsia"/>
        </w:rPr>
        <w:t>介入教育课程编制；</w:t>
      </w:r>
      <w:r>
        <w:t>(e)</w:t>
      </w:r>
      <w:r>
        <w:rPr>
          <w:rFonts w:hint="eastAsia"/>
        </w:rPr>
        <w:t xml:space="preserve"> </w:t>
      </w:r>
      <w:r>
        <w:rPr>
          <w:rFonts w:hint="eastAsia"/>
        </w:rPr>
        <w:t>出版一本公务员指南；和</w:t>
      </w:r>
      <w:r>
        <w:t>(f)</w:t>
      </w:r>
      <w:r>
        <w:rPr>
          <w:rFonts w:hint="eastAsia"/>
        </w:rPr>
        <w:t xml:space="preserve"> </w:t>
      </w:r>
      <w:r>
        <w:rPr>
          <w:rFonts w:hint="eastAsia"/>
        </w:rPr>
        <w:t>编写一份有关《公约》执行情况的年度报告和相应的行动计划。</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spacing w:after="320"/>
        <w:rPr>
          <w:rFonts w:hint="eastAsia"/>
        </w:rPr>
      </w:pPr>
      <w:r>
        <w:rPr>
          <w:rFonts w:hint="eastAsia"/>
        </w:rPr>
        <w:tab/>
        <w:t xml:space="preserve">594.  </w:t>
      </w:r>
      <w:r>
        <w:rPr>
          <w:rFonts w:hint="eastAsia"/>
        </w:rPr>
        <w:t>希腊通过了一系列立法和其它措施，以实现人人参加其认为与自己有关的文化生活以及表现其自身文化的权利。具体而言，这些措施包括：</w:t>
      </w:r>
    </w:p>
    <w:p w:rsidR="00000000" w:rsidRDefault="00000000">
      <w:pPr>
        <w:pStyle w:val="Heading4"/>
        <w:rPr>
          <w:rFonts w:hint="eastAsia"/>
        </w:rPr>
      </w:pPr>
      <w:r>
        <w:rPr>
          <w:rFonts w:hint="eastAsia"/>
        </w:rPr>
        <w:t>提供资金</w:t>
      </w:r>
    </w:p>
    <w:p w:rsidR="00000000" w:rsidRDefault="00000000">
      <w:pPr>
        <w:rPr>
          <w:rFonts w:hint="eastAsia"/>
        </w:rPr>
      </w:pPr>
      <w:r>
        <w:rPr>
          <w:rFonts w:hint="eastAsia"/>
        </w:rPr>
        <w:tab/>
        <w:t>595.  1998</w:t>
      </w:r>
      <w:r>
        <w:rPr>
          <w:rFonts w:hint="eastAsia"/>
        </w:rPr>
        <w:t>年至</w:t>
      </w:r>
      <w:r>
        <w:rPr>
          <w:rFonts w:hint="eastAsia"/>
        </w:rPr>
        <w:t>2001</w:t>
      </w:r>
      <w:r>
        <w:rPr>
          <w:rFonts w:hint="eastAsia"/>
        </w:rPr>
        <w:t>年期间，为发展文化事业和公民参加文化生活提供的资金，包括向私营部门提供的援助，涉及文化部的下列活动：</w:t>
      </w:r>
    </w:p>
    <w:p w:rsidR="00000000" w:rsidRDefault="00000000">
      <w:pPr>
        <w:numPr>
          <w:ilvl w:val="0"/>
          <w:numId w:val="154"/>
        </w:numPr>
        <w:rPr>
          <w:rFonts w:hint="eastAsia"/>
        </w:rPr>
      </w:pPr>
      <w:r>
        <w:rPr>
          <w:rFonts w:hint="eastAsia"/>
        </w:rPr>
        <w:t>在希腊和在国外发展、支持和介绍现代文化和艺术创作活动；</w:t>
      </w:r>
    </w:p>
    <w:p w:rsidR="00000000" w:rsidRDefault="00000000">
      <w:pPr>
        <w:numPr>
          <w:ilvl w:val="0"/>
          <w:numId w:val="154"/>
        </w:numPr>
        <w:rPr>
          <w:rFonts w:hint="eastAsia"/>
        </w:rPr>
      </w:pPr>
      <w:r>
        <w:rPr>
          <w:rFonts w:hint="eastAsia"/>
        </w:rPr>
        <w:t>保护和支持文化和艺术专业人员、创作者和艺术家；</w:t>
      </w:r>
    </w:p>
    <w:p w:rsidR="00000000" w:rsidRDefault="00000000">
      <w:pPr>
        <w:numPr>
          <w:ilvl w:val="0"/>
          <w:numId w:val="154"/>
        </w:numPr>
        <w:rPr>
          <w:rFonts w:hint="eastAsia"/>
        </w:rPr>
      </w:pPr>
      <w:r>
        <w:rPr>
          <w:rFonts w:hint="eastAsia"/>
        </w:rPr>
        <w:t>鼓励与其它文化之间进行合作和对话；</w:t>
      </w:r>
    </w:p>
    <w:p w:rsidR="00000000" w:rsidRDefault="00000000">
      <w:pPr>
        <w:numPr>
          <w:ilvl w:val="0"/>
          <w:numId w:val="154"/>
        </w:numPr>
        <w:rPr>
          <w:rFonts w:hint="eastAsia"/>
        </w:rPr>
      </w:pPr>
      <w:r>
        <w:rPr>
          <w:rFonts w:hint="eastAsia"/>
        </w:rPr>
        <w:t>支持所有公民积极参加本国的文化生活；以及</w:t>
      </w:r>
    </w:p>
    <w:p w:rsidR="00000000" w:rsidRDefault="00000000">
      <w:pPr>
        <w:numPr>
          <w:ilvl w:val="0"/>
          <w:numId w:val="154"/>
        </w:numPr>
        <w:rPr>
          <w:rFonts w:hint="eastAsia"/>
        </w:rPr>
      </w:pPr>
      <w:r>
        <w:rPr>
          <w:rFonts w:hint="eastAsia"/>
        </w:rPr>
        <w:t>保护、保存、维护、宣传和管理希腊的有形和无形遗产，这些遗产确定了希腊人的文化特性，丰富着希腊文化的“永恒性”，并作为历史文献反映希腊公民的文化多样性。</w:t>
      </w:r>
    </w:p>
    <w:p w:rsidR="00000000" w:rsidRDefault="00000000">
      <w:pPr>
        <w:spacing w:after="320"/>
        <w:rPr>
          <w:rFonts w:hint="eastAsia"/>
        </w:rPr>
      </w:pPr>
      <w:r>
        <w:rPr>
          <w:rFonts w:hint="eastAsia"/>
        </w:rPr>
        <w:tab/>
        <w:t xml:space="preserve">596.  </w:t>
      </w:r>
      <w:r>
        <w:rPr>
          <w:rFonts w:hint="eastAsia"/>
        </w:rPr>
        <w:t>以下各表</w:t>
      </w:r>
      <w:r>
        <w:rPr>
          <w:rFonts w:hint="eastAsia"/>
        </w:rPr>
        <w:t>(24</w:t>
      </w:r>
      <w:r>
        <w:rPr>
          <w:rFonts w:hint="eastAsia"/>
        </w:rPr>
        <w:t>至</w:t>
      </w:r>
      <w:r>
        <w:rPr>
          <w:rFonts w:hint="eastAsia"/>
        </w:rPr>
        <w:t>27)</w:t>
      </w:r>
      <w:r>
        <w:rPr>
          <w:rFonts w:hint="eastAsia"/>
        </w:rPr>
        <w:t>开列了文化部用于发展和支持上述各领域的活动的开支，这些开支来自</w:t>
      </w:r>
      <w:r>
        <w:rPr>
          <w:rFonts w:hint="eastAsia"/>
        </w:rPr>
        <w:t>1998</w:t>
      </w:r>
      <w:r>
        <w:rPr>
          <w:rFonts w:hint="eastAsia"/>
        </w:rPr>
        <w:t>年、</w:t>
      </w:r>
      <w:r>
        <w:rPr>
          <w:rFonts w:hint="eastAsia"/>
        </w:rPr>
        <w:t>1999</w:t>
      </w:r>
      <w:r>
        <w:rPr>
          <w:rFonts w:hint="eastAsia"/>
        </w:rPr>
        <w:t>年、</w:t>
      </w:r>
      <w:r>
        <w:rPr>
          <w:rFonts w:hint="eastAsia"/>
        </w:rPr>
        <w:t>2000</w:t>
      </w:r>
      <w:r>
        <w:rPr>
          <w:rFonts w:hint="eastAsia"/>
        </w:rPr>
        <w:t>年和</w:t>
      </w:r>
      <w:r>
        <w:rPr>
          <w:rFonts w:hint="eastAsia"/>
        </w:rPr>
        <w:t>2001</w:t>
      </w:r>
      <w:r>
        <w:rPr>
          <w:rFonts w:hint="eastAsia"/>
        </w:rPr>
        <w:t>年各年的年度经常预算、同年公共投资方案中的有关信贷、文化部的彩票收入、欧洲联盟，以及考古资源和征用基金。</w:t>
      </w:r>
    </w:p>
    <w:p w:rsidR="00000000" w:rsidRDefault="00000000">
      <w:pPr>
        <w:pStyle w:val="Heading3"/>
        <w:rPr>
          <w:rFonts w:hint="eastAsia"/>
        </w:rPr>
      </w:pPr>
      <w:r>
        <w:rPr>
          <w:rFonts w:hint="eastAsia"/>
        </w:rPr>
        <w:t>表</w:t>
      </w:r>
      <w:r>
        <w:rPr>
          <w:rFonts w:hint="eastAsia"/>
        </w:rPr>
        <w:t xml:space="preserve"> 24</w:t>
      </w:r>
    </w:p>
    <w:p w:rsidR="00000000" w:rsidRDefault="00000000">
      <w:pPr>
        <w:pStyle w:val="Heading3"/>
        <w:spacing w:after="160"/>
        <w:rPr>
          <w:rFonts w:hint="eastAsia"/>
          <w:u w:val="none"/>
        </w:rPr>
      </w:pPr>
      <w:r>
        <w:rPr>
          <w:rFonts w:hint="eastAsia"/>
        </w:rPr>
        <w:t>文化领域政府总支出</w:t>
      </w:r>
      <w:r>
        <w:br/>
      </w:r>
      <w:r>
        <w:rPr>
          <w:rFonts w:hint="eastAsia"/>
          <w:u w:val="none"/>
        </w:rPr>
        <w:t>1998</w:t>
      </w:r>
      <w:r>
        <w:rPr>
          <w:rFonts w:hint="eastAsia"/>
          <w:u w:val="none"/>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8"/>
        <w:gridCol w:w="1051"/>
        <w:gridCol w:w="1260"/>
        <w:gridCol w:w="946"/>
        <w:gridCol w:w="1154"/>
        <w:gridCol w:w="1156"/>
        <w:gridCol w:w="1051"/>
        <w:gridCol w:w="955"/>
      </w:tblGrid>
      <w:tr w:rsidR="00000000">
        <w:tblPrEx>
          <w:tblCellMar>
            <w:top w:w="0" w:type="dxa"/>
            <w:bottom w:w="0" w:type="dxa"/>
          </w:tblCellMar>
        </w:tblPrEx>
        <w:tc>
          <w:tcPr>
            <w:tcW w:w="1044" w:type="pct"/>
          </w:tcPr>
          <w:p w:rsidR="00000000" w:rsidRDefault="00000000">
            <w:pPr>
              <w:spacing w:before="180" w:after="20" w:line="240" w:lineRule="auto"/>
              <w:jc w:val="center"/>
              <w:rPr>
                <w:rFonts w:ascii="Time New Roman" w:eastAsia="SimHei" w:hAnsi="Time New Roman" w:hint="eastAsia"/>
                <w:sz w:val="20"/>
              </w:rPr>
            </w:pPr>
            <w:r>
              <w:rPr>
                <w:rFonts w:ascii="Time New Roman" w:eastAsia="SimHei" w:hAnsi="Time New Roman" w:hint="eastAsia"/>
                <w:sz w:val="20"/>
              </w:rPr>
              <w:t>按活动领域</w:t>
            </w:r>
          </w:p>
        </w:tc>
        <w:tc>
          <w:tcPr>
            <w:tcW w:w="549" w:type="pct"/>
          </w:tcPr>
          <w:p w:rsidR="00000000" w:rsidRDefault="00000000">
            <w:pPr>
              <w:spacing w:before="60" w:after="20" w:line="240" w:lineRule="auto"/>
              <w:ind w:right="-108"/>
              <w:jc w:val="center"/>
              <w:rPr>
                <w:rFonts w:ascii="Time New Roman" w:eastAsia="SimHei" w:hAnsi="Time New Roman" w:hint="eastAsia"/>
                <w:sz w:val="20"/>
              </w:rPr>
            </w:pPr>
            <w:r>
              <w:rPr>
                <w:rFonts w:ascii="Time New Roman" w:eastAsia="SimHei" w:hAnsi="Time New Roman" w:hint="eastAsia"/>
                <w:sz w:val="20"/>
              </w:rPr>
              <w:t>经</w:t>
            </w:r>
            <w:r>
              <w:rPr>
                <w:rFonts w:ascii="Time New Roman" w:eastAsia="SimHei" w:hAnsi="Time New Roman" w:hint="eastAsia"/>
                <w:sz w:val="20"/>
              </w:rPr>
              <w:t xml:space="preserve"> </w:t>
            </w:r>
            <w:r>
              <w:rPr>
                <w:rFonts w:ascii="Time New Roman" w:eastAsia="SimHei" w:hAnsi="Time New Roman" w:hint="eastAsia"/>
                <w:sz w:val="20"/>
              </w:rPr>
              <w:t>常</w:t>
            </w:r>
            <w:r>
              <w:rPr>
                <w:rFonts w:ascii="Time New Roman" w:eastAsia="SimHei" w:hAnsi="Time New Roman"/>
                <w:sz w:val="20"/>
              </w:rPr>
              <w:br/>
            </w:r>
            <w:r>
              <w:rPr>
                <w:rFonts w:ascii="Time New Roman" w:eastAsia="SimHei" w:hAnsi="Time New Roman" w:hint="eastAsia"/>
                <w:sz w:val="20"/>
              </w:rPr>
              <w:t>公共预算</w:t>
            </w:r>
          </w:p>
        </w:tc>
        <w:tc>
          <w:tcPr>
            <w:tcW w:w="658" w:type="pct"/>
          </w:tcPr>
          <w:p w:rsidR="00000000" w:rsidRDefault="00000000">
            <w:pPr>
              <w:spacing w:before="60" w:after="20" w:line="240" w:lineRule="auto"/>
              <w:ind w:right="-108"/>
              <w:jc w:val="center"/>
              <w:rPr>
                <w:rFonts w:ascii="Time New Roman" w:eastAsia="SimHei" w:hAnsi="Time New Roman" w:hint="eastAsia"/>
                <w:sz w:val="20"/>
              </w:rPr>
            </w:pPr>
            <w:r>
              <w:rPr>
                <w:rFonts w:ascii="Time New Roman" w:eastAsia="SimHei" w:hAnsi="Time New Roman" w:hint="eastAsia"/>
                <w:sz w:val="20"/>
              </w:rPr>
              <w:t>公</w:t>
            </w:r>
            <w:r>
              <w:rPr>
                <w:rFonts w:ascii="Time New Roman" w:eastAsia="SimHei" w:hAnsi="Time New Roman" w:hint="eastAsia"/>
                <w:sz w:val="20"/>
              </w:rPr>
              <w:t xml:space="preserve"> </w:t>
            </w:r>
            <w:r>
              <w:rPr>
                <w:rFonts w:ascii="Time New Roman" w:eastAsia="SimHei" w:hAnsi="Time New Roman" w:hint="eastAsia"/>
                <w:sz w:val="20"/>
              </w:rPr>
              <w:t>共</w:t>
            </w:r>
            <w:r>
              <w:rPr>
                <w:rFonts w:ascii="Time New Roman" w:eastAsia="SimHei" w:hAnsi="Time New Roman"/>
                <w:sz w:val="20"/>
              </w:rPr>
              <w:br/>
            </w:r>
            <w:r>
              <w:rPr>
                <w:rFonts w:ascii="Time New Roman" w:eastAsia="SimHei" w:hAnsi="Time New Roman" w:hint="eastAsia"/>
                <w:sz w:val="20"/>
              </w:rPr>
              <w:t>投资预算</w:t>
            </w:r>
          </w:p>
        </w:tc>
        <w:tc>
          <w:tcPr>
            <w:tcW w:w="494" w:type="pct"/>
          </w:tcPr>
          <w:p w:rsidR="00000000" w:rsidRDefault="00000000">
            <w:pPr>
              <w:spacing w:before="60" w:after="20" w:line="240" w:lineRule="auto"/>
              <w:ind w:right="170"/>
              <w:jc w:val="center"/>
              <w:rPr>
                <w:rFonts w:ascii="Time New Roman" w:eastAsia="SimHei" w:hAnsi="Time New Roman" w:hint="eastAsia"/>
                <w:sz w:val="20"/>
              </w:rPr>
            </w:pPr>
            <w:r>
              <w:rPr>
                <w:rFonts w:ascii="Time New Roman" w:eastAsia="SimHei" w:hAnsi="Time New Roman" w:hint="eastAsia"/>
                <w:sz w:val="20"/>
              </w:rPr>
              <w:t>公</w:t>
            </w:r>
            <w:r>
              <w:rPr>
                <w:rFonts w:ascii="Time New Roman" w:eastAsia="SimHei" w:hAnsi="Time New Roman" w:hint="eastAsia"/>
                <w:sz w:val="20"/>
              </w:rPr>
              <w:t xml:space="preserve"> </w:t>
            </w:r>
            <w:r>
              <w:rPr>
                <w:rFonts w:ascii="Time New Roman" w:eastAsia="SimHei" w:hAnsi="Time New Roman" w:hint="eastAsia"/>
                <w:sz w:val="20"/>
              </w:rPr>
              <w:t>共</w:t>
            </w:r>
            <w:r>
              <w:rPr>
                <w:rFonts w:ascii="Time New Roman" w:eastAsia="SimHei" w:hAnsi="Time New Roman"/>
                <w:sz w:val="20"/>
              </w:rPr>
              <w:br/>
            </w:r>
            <w:r>
              <w:rPr>
                <w:rFonts w:ascii="Time New Roman" w:eastAsia="SimHei" w:hAnsi="Time New Roman" w:hint="eastAsia"/>
                <w:sz w:val="20"/>
              </w:rPr>
              <w:t>彩</w:t>
            </w:r>
            <w:r>
              <w:rPr>
                <w:rFonts w:ascii="Time New Roman" w:eastAsia="SimHei" w:hAnsi="Time New Roman" w:hint="eastAsia"/>
                <w:sz w:val="20"/>
              </w:rPr>
              <w:t xml:space="preserve"> </w:t>
            </w:r>
            <w:r>
              <w:rPr>
                <w:rFonts w:ascii="Time New Roman" w:eastAsia="SimHei" w:hAnsi="Time New Roman" w:hint="eastAsia"/>
                <w:sz w:val="20"/>
              </w:rPr>
              <w:t>票</w:t>
            </w:r>
          </w:p>
        </w:tc>
        <w:tc>
          <w:tcPr>
            <w:tcW w:w="603" w:type="pct"/>
          </w:tcPr>
          <w:p w:rsidR="00000000" w:rsidRDefault="00000000">
            <w:pPr>
              <w:spacing w:before="60" w:after="20" w:line="240" w:lineRule="auto"/>
              <w:jc w:val="center"/>
              <w:rPr>
                <w:rFonts w:ascii="Time New Roman" w:eastAsia="SimHei" w:hAnsi="Time New Roman" w:hint="eastAsia"/>
                <w:sz w:val="20"/>
              </w:rPr>
            </w:pPr>
            <w:r>
              <w:rPr>
                <w:rFonts w:ascii="Time New Roman" w:eastAsia="SimHei" w:hAnsi="Time New Roman" w:hint="eastAsia"/>
                <w:sz w:val="20"/>
              </w:rPr>
              <w:t>欧洲联盟</w:t>
            </w:r>
            <w:r>
              <w:rPr>
                <w:rFonts w:ascii="Time New Roman" w:eastAsia="SimHei" w:hAnsi="Time New Roman"/>
                <w:sz w:val="20"/>
              </w:rPr>
              <w:br/>
            </w:r>
            <w:r>
              <w:rPr>
                <w:rFonts w:ascii="Time New Roman" w:eastAsia="SimHei" w:hAnsi="Time New Roman" w:hint="eastAsia"/>
                <w:sz w:val="20"/>
              </w:rPr>
              <w:t>基金</w:t>
            </w:r>
          </w:p>
        </w:tc>
        <w:tc>
          <w:tcPr>
            <w:tcW w:w="604" w:type="pct"/>
          </w:tcPr>
          <w:p w:rsidR="00000000" w:rsidRDefault="00000000">
            <w:pPr>
              <w:spacing w:before="60" w:after="20" w:line="240" w:lineRule="auto"/>
              <w:jc w:val="center"/>
              <w:rPr>
                <w:rFonts w:ascii="Time New Roman" w:eastAsia="SimHei" w:hAnsi="Time New Roman" w:hint="eastAsia"/>
                <w:sz w:val="20"/>
              </w:rPr>
            </w:pPr>
            <w:r>
              <w:rPr>
                <w:rFonts w:ascii="Time New Roman" w:eastAsia="SimHei" w:hAnsi="Time New Roman" w:hint="eastAsia"/>
                <w:sz w:val="20"/>
              </w:rPr>
              <w:t>考古资源基金</w:t>
            </w:r>
          </w:p>
        </w:tc>
        <w:tc>
          <w:tcPr>
            <w:tcW w:w="549" w:type="pct"/>
          </w:tcPr>
          <w:p w:rsidR="00000000" w:rsidRDefault="00000000">
            <w:pPr>
              <w:spacing w:before="180" w:after="20" w:line="240" w:lineRule="auto"/>
              <w:ind w:right="170"/>
              <w:jc w:val="center"/>
              <w:rPr>
                <w:rFonts w:ascii="Time New Roman" w:eastAsia="SimHei" w:hAnsi="Time New Roman" w:hint="eastAsia"/>
                <w:sz w:val="20"/>
              </w:rPr>
            </w:pPr>
            <w:r>
              <w:rPr>
                <w:rFonts w:ascii="Time New Roman" w:eastAsia="SimHei" w:hAnsi="Time New Roman" w:hint="eastAsia"/>
                <w:sz w:val="20"/>
              </w:rPr>
              <w:t>共</w:t>
            </w:r>
            <w:r>
              <w:rPr>
                <w:rFonts w:ascii="Time New Roman" w:eastAsia="SimHei" w:hAnsi="Time New Roman" w:hint="eastAsia"/>
                <w:sz w:val="20"/>
              </w:rPr>
              <w:t xml:space="preserve"> </w:t>
            </w:r>
            <w:r>
              <w:rPr>
                <w:rFonts w:ascii="Time New Roman" w:eastAsia="SimHei" w:hAnsi="Time New Roman" w:hint="eastAsia"/>
                <w:sz w:val="20"/>
              </w:rPr>
              <w:t>计</w:t>
            </w:r>
          </w:p>
        </w:tc>
        <w:tc>
          <w:tcPr>
            <w:tcW w:w="499" w:type="pct"/>
          </w:tcPr>
          <w:p w:rsidR="00000000" w:rsidRDefault="00000000">
            <w:pPr>
              <w:spacing w:before="180" w:after="20" w:line="240" w:lineRule="auto"/>
              <w:jc w:val="center"/>
              <w:rPr>
                <w:rFonts w:ascii="Time New Roman" w:eastAsia="SimHei" w:hAnsi="Time New Roman" w:hint="eastAsia"/>
                <w:sz w:val="20"/>
              </w:rPr>
            </w:pPr>
            <w:r>
              <w:rPr>
                <w:rFonts w:ascii="Time New Roman" w:eastAsia="SimHei" w:hAnsi="Time New Roman" w:hint="eastAsia"/>
                <w:sz w:val="20"/>
              </w:rPr>
              <w:t>百分比</w:t>
            </w:r>
          </w:p>
        </w:tc>
      </w:tr>
      <w:tr w:rsidR="00000000">
        <w:tblPrEx>
          <w:tblCellMar>
            <w:top w:w="0" w:type="dxa"/>
            <w:bottom w:w="0" w:type="dxa"/>
          </w:tblCellMar>
        </w:tblPrEx>
        <w:tc>
          <w:tcPr>
            <w:tcW w:w="1044" w:type="pct"/>
          </w:tcPr>
          <w:p w:rsidR="00000000" w:rsidRDefault="00000000">
            <w:pPr>
              <w:spacing w:before="40" w:after="20" w:line="288" w:lineRule="auto"/>
              <w:rPr>
                <w:rFonts w:hint="eastAsia"/>
                <w:sz w:val="20"/>
              </w:rPr>
            </w:pPr>
            <w:r>
              <w:rPr>
                <w:rFonts w:hint="eastAsia"/>
                <w:sz w:val="20"/>
              </w:rPr>
              <w:t>一、当代文化</w:t>
            </w:r>
          </w:p>
        </w:tc>
        <w:tc>
          <w:tcPr>
            <w:tcW w:w="549" w:type="pct"/>
            <w:vAlign w:val="center"/>
          </w:tcPr>
          <w:p w:rsidR="00000000" w:rsidRDefault="00000000">
            <w:pPr>
              <w:spacing w:before="40" w:after="20" w:line="288" w:lineRule="auto"/>
              <w:ind w:right="170"/>
              <w:jc w:val="right"/>
              <w:rPr>
                <w:sz w:val="18"/>
              </w:rPr>
            </w:pPr>
            <w:r>
              <w:rPr>
                <w:sz w:val="18"/>
              </w:rPr>
              <w:t>32,497</w:t>
            </w:r>
          </w:p>
        </w:tc>
        <w:tc>
          <w:tcPr>
            <w:tcW w:w="658" w:type="pct"/>
            <w:vAlign w:val="center"/>
          </w:tcPr>
          <w:p w:rsidR="00000000" w:rsidRDefault="00000000">
            <w:pPr>
              <w:spacing w:before="40" w:after="20" w:line="288" w:lineRule="auto"/>
              <w:ind w:right="227"/>
              <w:jc w:val="right"/>
              <w:rPr>
                <w:sz w:val="18"/>
              </w:rPr>
            </w:pPr>
            <w:r>
              <w:rPr>
                <w:sz w:val="18"/>
              </w:rPr>
              <w:t>15,423</w:t>
            </w:r>
          </w:p>
        </w:tc>
        <w:tc>
          <w:tcPr>
            <w:tcW w:w="494" w:type="pct"/>
            <w:vAlign w:val="center"/>
          </w:tcPr>
          <w:p w:rsidR="00000000" w:rsidRDefault="00000000">
            <w:pPr>
              <w:spacing w:before="40" w:after="20" w:line="288" w:lineRule="auto"/>
              <w:ind w:right="103"/>
              <w:jc w:val="right"/>
              <w:rPr>
                <w:sz w:val="18"/>
              </w:rPr>
            </w:pPr>
            <w:r>
              <w:rPr>
                <w:sz w:val="18"/>
              </w:rPr>
              <w:t>25,607</w:t>
            </w: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rPr>
                <w:sz w:val="18"/>
              </w:rPr>
            </w:pPr>
          </w:p>
        </w:tc>
        <w:tc>
          <w:tcPr>
            <w:tcW w:w="549" w:type="pct"/>
            <w:vAlign w:val="center"/>
          </w:tcPr>
          <w:p w:rsidR="00000000" w:rsidRDefault="00000000">
            <w:pPr>
              <w:spacing w:before="40" w:after="20" w:line="288" w:lineRule="auto"/>
              <w:ind w:right="170"/>
              <w:jc w:val="right"/>
              <w:rPr>
                <w:bCs/>
                <w:sz w:val="18"/>
              </w:rPr>
            </w:pPr>
            <w:r>
              <w:rPr>
                <w:bCs/>
                <w:sz w:val="18"/>
              </w:rPr>
              <w:t>73,527</w:t>
            </w:r>
          </w:p>
        </w:tc>
        <w:tc>
          <w:tcPr>
            <w:tcW w:w="499" w:type="pct"/>
            <w:vAlign w:val="center"/>
          </w:tcPr>
          <w:p w:rsidR="00000000" w:rsidRDefault="00000000">
            <w:pPr>
              <w:spacing w:before="40" w:after="20" w:line="288" w:lineRule="auto"/>
              <w:jc w:val="center"/>
              <w:rPr>
                <w:sz w:val="18"/>
              </w:rPr>
            </w:pPr>
            <w:r>
              <w:rPr>
                <w:sz w:val="18"/>
              </w:rPr>
              <w:t>28.24</w:t>
            </w:r>
          </w:p>
        </w:tc>
      </w:tr>
      <w:tr w:rsidR="00000000">
        <w:tblPrEx>
          <w:tblCellMar>
            <w:top w:w="0" w:type="dxa"/>
            <w:bottom w:w="0" w:type="dxa"/>
          </w:tblCellMar>
        </w:tblPrEx>
        <w:tc>
          <w:tcPr>
            <w:tcW w:w="1044" w:type="pct"/>
          </w:tcPr>
          <w:p w:rsidR="00000000" w:rsidRDefault="00000000">
            <w:pPr>
              <w:spacing w:before="40" w:after="20" w:line="288" w:lineRule="auto"/>
              <w:ind w:left="510" w:hanging="150"/>
              <w:rPr>
                <w:rFonts w:hint="eastAsia"/>
                <w:sz w:val="20"/>
              </w:rPr>
            </w:pPr>
            <w:r>
              <w:rPr>
                <w:rFonts w:hint="eastAsia"/>
                <w:sz w:val="20"/>
              </w:rPr>
              <w:t>美术</w:t>
            </w:r>
          </w:p>
        </w:tc>
        <w:tc>
          <w:tcPr>
            <w:tcW w:w="549" w:type="pct"/>
            <w:vAlign w:val="center"/>
          </w:tcPr>
          <w:p w:rsidR="00000000" w:rsidRDefault="00000000">
            <w:pPr>
              <w:spacing w:before="40" w:after="20" w:line="288" w:lineRule="auto"/>
              <w:ind w:right="170"/>
              <w:jc w:val="right"/>
              <w:rPr>
                <w:sz w:val="18"/>
              </w:rPr>
            </w:pPr>
            <w:r>
              <w:rPr>
                <w:sz w:val="18"/>
              </w:rPr>
              <w:t>98</w:t>
            </w:r>
          </w:p>
        </w:tc>
        <w:tc>
          <w:tcPr>
            <w:tcW w:w="658" w:type="pct"/>
            <w:vAlign w:val="center"/>
          </w:tcPr>
          <w:p w:rsidR="00000000" w:rsidRDefault="00000000">
            <w:pPr>
              <w:spacing w:before="40" w:after="20" w:line="288" w:lineRule="auto"/>
              <w:ind w:right="227"/>
              <w:jc w:val="right"/>
              <w:rPr>
                <w:sz w:val="18"/>
              </w:rPr>
            </w:pPr>
            <w:r>
              <w:rPr>
                <w:sz w:val="18"/>
              </w:rPr>
              <w:t>176</w:t>
            </w:r>
          </w:p>
        </w:tc>
        <w:tc>
          <w:tcPr>
            <w:tcW w:w="494" w:type="pct"/>
            <w:vAlign w:val="center"/>
          </w:tcPr>
          <w:p w:rsidR="00000000" w:rsidRDefault="00000000">
            <w:pPr>
              <w:spacing w:before="40" w:after="20" w:line="288" w:lineRule="auto"/>
              <w:ind w:right="103"/>
              <w:jc w:val="right"/>
              <w:rPr>
                <w:sz w:val="18"/>
              </w:rPr>
            </w:pPr>
            <w:r>
              <w:rPr>
                <w:sz w:val="18"/>
              </w:rPr>
              <w:t>2,130</w:t>
            </w: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rPr>
                <w:sz w:val="18"/>
              </w:rPr>
            </w:pPr>
          </w:p>
        </w:tc>
        <w:tc>
          <w:tcPr>
            <w:tcW w:w="549" w:type="pct"/>
            <w:vAlign w:val="center"/>
          </w:tcPr>
          <w:p w:rsidR="00000000" w:rsidRDefault="00000000">
            <w:pPr>
              <w:spacing w:before="40" w:after="20" w:line="288" w:lineRule="auto"/>
              <w:ind w:right="170"/>
              <w:jc w:val="right"/>
              <w:rPr>
                <w:bCs/>
                <w:sz w:val="18"/>
              </w:rPr>
            </w:pPr>
            <w:r>
              <w:rPr>
                <w:bCs/>
                <w:sz w:val="18"/>
              </w:rPr>
              <w:t>2,404</w:t>
            </w:r>
          </w:p>
        </w:tc>
        <w:tc>
          <w:tcPr>
            <w:tcW w:w="499" w:type="pct"/>
            <w:vAlign w:val="center"/>
          </w:tcPr>
          <w:p w:rsidR="00000000" w:rsidRDefault="00000000">
            <w:pPr>
              <w:spacing w:before="40" w:after="20" w:line="288" w:lineRule="auto"/>
              <w:jc w:val="center"/>
              <w:rPr>
                <w:sz w:val="18"/>
              </w:rPr>
            </w:pPr>
          </w:p>
        </w:tc>
      </w:tr>
      <w:tr w:rsidR="00000000">
        <w:tblPrEx>
          <w:tblCellMar>
            <w:top w:w="0" w:type="dxa"/>
            <w:bottom w:w="0" w:type="dxa"/>
          </w:tblCellMar>
        </w:tblPrEx>
        <w:tc>
          <w:tcPr>
            <w:tcW w:w="1044" w:type="pct"/>
          </w:tcPr>
          <w:p w:rsidR="00000000" w:rsidRDefault="00000000">
            <w:pPr>
              <w:spacing w:before="40" w:after="20" w:line="288" w:lineRule="auto"/>
              <w:ind w:left="510" w:hanging="150"/>
              <w:rPr>
                <w:rFonts w:hint="eastAsia"/>
                <w:sz w:val="20"/>
              </w:rPr>
            </w:pPr>
            <w:r>
              <w:rPr>
                <w:rFonts w:hint="eastAsia"/>
                <w:sz w:val="20"/>
              </w:rPr>
              <w:t>戏剧和舞蹈</w:t>
            </w:r>
          </w:p>
        </w:tc>
        <w:tc>
          <w:tcPr>
            <w:tcW w:w="549" w:type="pct"/>
            <w:vAlign w:val="center"/>
          </w:tcPr>
          <w:p w:rsidR="00000000" w:rsidRDefault="00000000">
            <w:pPr>
              <w:spacing w:before="40" w:after="20" w:line="288" w:lineRule="auto"/>
              <w:ind w:right="170"/>
              <w:jc w:val="right"/>
              <w:rPr>
                <w:sz w:val="18"/>
              </w:rPr>
            </w:pPr>
            <w:r>
              <w:rPr>
                <w:sz w:val="18"/>
              </w:rPr>
              <w:t>6,202</w:t>
            </w:r>
          </w:p>
        </w:tc>
        <w:tc>
          <w:tcPr>
            <w:tcW w:w="658" w:type="pct"/>
            <w:vAlign w:val="center"/>
          </w:tcPr>
          <w:p w:rsidR="00000000" w:rsidRDefault="00000000">
            <w:pPr>
              <w:spacing w:before="40" w:after="20" w:line="288" w:lineRule="auto"/>
              <w:ind w:right="227"/>
              <w:jc w:val="right"/>
              <w:rPr>
                <w:sz w:val="18"/>
              </w:rPr>
            </w:pPr>
            <w:r>
              <w:rPr>
                <w:sz w:val="18"/>
              </w:rPr>
              <w:t>3,537</w:t>
            </w:r>
          </w:p>
        </w:tc>
        <w:tc>
          <w:tcPr>
            <w:tcW w:w="494" w:type="pct"/>
            <w:vAlign w:val="center"/>
          </w:tcPr>
          <w:p w:rsidR="00000000" w:rsidRDefault="00000000">
            <w:pPr>
              <w:spacing w:before="40" w:after="20" w:line="288" w:lineRule="auto"/>
              <w:ind w:right="103"/>
              <w:jc w:val="right"/>
              <w:rPr>
                <w:sz w:val="18"/>
              </w:rPr>
            </w:pPr>
            <w:r>
              <w:rPr>
                <w:sz w:val="18"/>
              </w:rPr>
              <w:t>9,286</w:t>
            </w: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rPr>
                <w:sz w:val="18"/>
              </w:rPr>
            </w:pPr>
          </w:p>
        </w:tc>
        <w:tc>
          <w:tcPr>
            <w:tcW w:w="549" w:type="pct"/>
            <w:vAlign w:val="center"/>
          </w:tcPr>
          <w:p w:rsidR="00000000" w:rsidRDefault="00000000">
            <w:pPr>
              <w:spacing w:before="40" w:after="20" w:line="288" w:lineRule="auto"/>
              <w:ind w:right="170"/>
              <w:jc w:val="right"/>
              <w:rPr>
                <w:bCs/>
                <w:sz w:val="18"/>
              </w:rPr>
            </w:pPr>
            <w:r>
              <w:rPr>
                <w:bCs/>
                <w:sz w:val="18"/>
              </w:rPr>
              <w:t>19,025</w:t>
            </w:r>
          </w:p>
        </w:tc>
        <w:tc>
          <w:tcPr>
            <w:tcW w:w="499" w:type="pct"/>
            <w:vAlign w:val="center"/>
          </w:tcPr>
          <w:p w:rsidR="00000000" w:rsidRDefault="00000000">
            <w:pPr>
              <w:spacing w:before="40" w:after="20" w:line="288" w:lineRule="auto"/>
              <w:jc w:val="center"/>
              <w:rPr>
                <w:sz w:val="18"/>
              </w:rPr>
            </w:pPr>
          </w:p>
        </w:tc>
      </w:tr>
      <w:tr w:rsidR="00000000">
        <w:tblPrEx>
          <w:tblCellMar>
            <w:top w:w="0" w:type="dxa"/>
            <w:bottom w:w="0" w:type="dxa"/>
          </w:tblCellMar>
        </w:tblPrEx>
        <w:tc>
          <w:tcPr>
            <w:tcW w:w="1044" w:type="pct"/>
          </w:tcPr>
          <w:p w:rsidR="00000000" w:rsidRDefault="00000000">
            <w:pPr>
              <w:spacing w:before="40" w:after="20" w:line="288" w:lineRule="auto"/>
              <w:ind w:left="510" w:hanging="150"/>
              <w:rPr>
                <w:rFonts w:hint="eastAsia"/>
                <w:sz w:val="20"/>
              </w:rPr>
            </w:pPr>
            <w:r>
              <w:rPr>
                <w:rFonts w:hint="eastAsia"/>
                <w:sz w:val="20"/>
              </w:rPr>
              <w:t>音乐</w:t>
            </w:r>
          </w:p>
        </w:tc>
        <w:tc>
          <w:tcPr>
            <w:tcW w:w="549" w:type="pct"/>
            <w:vAlign w:val="center"/>
          </w:tcPr>
          <w:p w:rsidR="00000000" w:rsidRDefault="00000000">
            <w:pPr>
              <w:spacing w:before="40" w:after="20" w:line="288" w:lineRule="auto"/>
              <w:ind w:right="170"/>
              <w:jc w:val="right"/>
              <w:rPr>
                <w:sz w:val="18"/>
              </w:rPr>
            </w:pPr>
            <w:r>
              <w:rPr>
                <w:sz w:val="18"/>
              </w:rPr>
              <w:t>16,436</w:t>
            </w:r>
          </w:p>
        </w:tc>
        <w:tc>
          <w:tcPr>
            <w:tcW w:w="658" w:type="pct"/>
            <w:vAlign w:val="center"/>
          </w:tcPr>
          <w:p w:rsidR="00000000" w:rsidRDefault="00000000">
            <w:pPr>
              <w:spacing w:before="40" w:after="20" w:line="288" w:lineRule="auto"/>
              <w:ind w:right="227"/>
              <w:jc w:val="right"/>
              <w:rPr>
                <w:sz w:val="18"/>
              </w:rPr>
            </w:pPr>
            <w:r>
              <w:rPr>
                <w:sz w:val="18"/>
              </w:rPr>
              <w:t>1,203</w:t>
            </w:r>
          </w:p>
        </w:tc>
        <w:tc>
          <w:tcPr>
            <w:tcW w:w="494" w:type="pct"/>
            <w:vAlign w:val="center"/>
          </w:tcPr>
          <w:p w:rsidR="00000000" w:rsidRDefault="00000000">
            <w:pPr>
              <w:spacing w:before="40" w:after="20" w:line="288" w:lineRule="auto"/>
              <w:ind w:right="103"/>
              <w:jc w:val="right"/>
              <w:rPr>
                <w:sz w:val="18"/>
              </w:rPr>
            </w:pPr>
            <w:r>
              <w:rPr>
                <w:sz w:val="18"/>
              </w:rPr>
              <w:t>1,030</w:t>
            </w: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rPr>
                <w:sz w:val="18"/>
              </w:rPr>
            </w:pPr>
          </w:p>
        </w:tc>
        <w:tc>
          <w:tcPr>
            <w:tcW w:w="549" w:type="pct"/>
            <w:vAlign w:val="center"/>
          </w:tcPr>
          <w:p w:rsidR="00000000" w:rsidRDefault="00000000">
            <w:pPr>
              <w:spacing w:before="40" w:after="20" w:line="288" w:lineRule="auto"/>
              <w:ind w:right="170"/>
              <w:jc w:val="right"/>
              <w:rPr>
                <w:bCs/>
                <w:sz w:val="18"/>
              </w:rPr>
            </w:pPr>
            <w:r>
              <w:rPr>
                <w:bCs/>
                <w:sz w:val="18"/>
              </w:rPr>
              <w:t>18,669</w:t>
            </w:r>
          </w:p>
        </w:tc>
        <w:tc>
          <w:tcPr>
            <w:tcW w:w="499" w:type="pct"/>
            <w:vAlign w:val="center"/>
          </w:tcPr>
          <w:p w:rsidR="00000000" w:rsidRDefault="00000000">
            <w:pPr>
              <w:spacing w:before="40" w:after="20" w:line="288" w:lineRule="auto"/>
              <w:jc w:val="center"/>
              <w:rPr>
                <w:sz w:val="18"/>
              </w:rPr>
            </w:pPr>
          </w:p>
        </w:tc>
      </w:tr>
      <w:tr w:rsidR="00000000">
        <w:tblPrEx>
          <w:tblCellMar>
            <w:top w:w="0" w:type="dxa"/>
            <w:bottom w:w="0" w:type="dxa"/>
          </w:tblCellMar>
        </w:tblPrEx>
        <w:tc>
          <w:tcPr>
            <w:tcW w:w="1044" w:type="pct"/>
          </w:tcPr>
          <w:p w:rsidR="00000000" w:rsidRDefault="00000000">
            <w:pPr>
              <w:spacing w:before="40" w:after="20" w:line="288" w:lineRule="auto"/>
              <w:ind w:left="510" w:hanging="150"/>
              <w:rPr>
                <w:rFonts w:hint="eastAsia"/>
                <w:sz w:val="20"/>
              </w:rPr>
            </w:pPr>
            <w:r>
              <w:rPr>
                <w:rFonts w:hint="eastAsia"/>
                <w:sz w:val="20"/>
              </w:rPr>
              <w:t>文学和图书</w:t>
            </w:r>
          </w:p>
        </w:tc>
        <w:tc>
          <w:tcPr>
            <w:tcW w:w="549" w:type="pct"/>
            <w:vAlign w:val="center"/>
          </w:tcPr>
          <w:p w:rsidR="00000000" w:rsidRDefault="00000000">
            <w:pPr>
              <w:spacing w:before="40" w:after="20" w:line="288" w:lineRule="auto"/>
              <w:ind w:right="170"/>
              <w:jc w:val="right"/>
              <w:rPr>
                <w:sz w:val="18"/>
                <w:lang w:val="fr-FR"/>
              </w:rPr>
            </w:pPr>
            <w:r>
              <w:rPr>
                <w:sz w:val="18"/>
                <w:lang w:val="fr-FR"/>
              </w:rPr>
              <w:t>67</w:t>
            </w:r>
          </w:p>
        </w:tc>
        <w:tc>
          <w:tcPr>
            <w:tcW w:w="658" w:type="pct"/>
            <w:vAlign w:val="center"/>
          </w:tcPr>
          <w:p w:rsidR="00000000" w:rsidRDefault="00000000">
            <w:pPr>
              <w:spacing w:before="40" w:after="20" w:line="288" w:lineRule="auto"/>
              <w:ind w:right="227"/>
              <w:jc w:val="right"/>
              <w:rPr>
                <w:sz w:val="18"/>
                <w:lang w:val="fr-FR"/>
              </w:rPr>
            </w:pPr>
            <w:r>
              <w:rPr>
                <w:sz w:val="18"/>
                <w:lang w:val="fr-FR"/>
              </w:rPr>
              <w:t>675</w:t>
            </w:r>
          </w:p>
        </w:tc>
        <w:tc>
          <w:tcPr>
            <w:tcW w:w="494" w:type="pct"/>
            <w:vAlign w:val="center"/>
          </w:tcPr>
          <w:p w:rsidR="00000000" w:rsidRDefault="00000000">
            <w:pPr>
              <w:spacing w:before="40" w:after="20" w:line="288" w:lineRule="auto"/>
              <w:ind w:right="103"/>
              <w:jc w:val="right"/>
              <w:rPr>
                <w:sz w:val="18"/>
                <w:lang w:val="fr-FR"/>
              </w:rPr>
            </w:pPr>
            <w:r>
              <w:rPr>
                <w:sz w:val="18"/>
                <w:lang w:val="fr-FR"/>
              </w:rPr>
              <w:t>2,352</w:t>
            </w:r>
          </w:p>
        </w:tc>
        <w:tc>
          <w:tcPr>
            <w:tcW w:w="603" w:type="pct"/>
            <w:vAlign w:val="center"/>
          </w:tcPr>
          <w:p w:rsidR="00000000" w:rsidRDefault="00000000">
            <w:pPr>
              <w:spacing w:before="40" w:after="20" w:line="288" w:lineRule="auto"/>
              <w:rPr>
                <w:sz w:val="18"/>
                <w:lang w:val="fr-FR"/>
              </w:rPr>
            </w:pPr>
          </w:p>
        </w:tc>
        <w:tc>
          <w:tcPr>
            <w:tcW w:w="604" w:type="pct"/>
            <w:vAlign w:val="center"/>
          </w:tcPr>
          <w:p w:rsidR="00000000" w:rsidRDefault="00000000">
            <w:pPr>
              <w:spacing w:before="40" w:after="20" w:line="288" w:lineRule="auto"/>
              <w:rPr>
                <w:sz w:val="18"/>
                <w:lang w:val="fr-FR"/>
              </w:rPr>
            </w:pPr>
          </w:p>
        </w:tc>
        <w:tc>
          <w:tcPr>
            <w:tcW w:w="549" w:type="pct"/>
            <w:vAlign w:val="center"/>
          </w:tcPr>
          <w:p w:rsidR="00000000" w:rsidRDefault="00000000">
            <w:pPr>
              <w:spacing w:before="40" w:after="20" w:line="288" w:lineRule="auto"/>
              <w:ind w:right="170"/>
              <w:jc w:val="right"/>
              <w:rPr>
                <w:bCs/>
                <w:sz w:val="18"/>
                <w:lang w:val="fr-FR"/>
              </w:rPr>
            </w:pPr>
            <w:r>
              <w:rPr>
                <w:bCs/>
                <w:sz w:val="18"/>
                <w:lang w:val="fr-FR"/>
              </w:rPr>
              <w:t>3,094</w:t>
            </w:r>
          </w:p>
        </w:tc>
        <w:tc>
          <w:tcPr>
            <w:tcW w:w="499" w:type="pct"/>
            <w:vAlign w:val="center"/>
          </w:tcPr>
          <w:p w:rsidR="00000000" w:rsidRDefault="00000000">
            <w:pPr>
              <w:spacing w:before="40" w:after="20" w:line="288" w:lineRule="auto"/>
              <w:jc w:val="center"/>
              <w:rPr>
                <w:sz w:val="18"/>
                <w:lang w:val="fr-FR"/>
              </w:rPr>
            </w:pPr>
          </w:p>
        </w:tc>
      </w:tr>
      <w:tr w:rsidR="00000000">
        <w:tblPrEx>
          <w:tblCellMar>
            <w:top w:w="0" w:type="dxa"/>
            <w:bottom w:w="0" w:type="dxa"/>
          </w:tblCellMar>
        </w:tblPrEx>
        <w:tc>
          <w:tcPr>
            <w:tcW w:w="1044" w:type="pct"/>
          </w:tcPr>
          <w:p w:rsidR="00000000" w:rsidRDefault="00000000">
            <w:pPr>
              <w:spacing w:before="40" w:after="20" w:line="288" w:lineRule="auto"/>
              <w:ind w:left="510" w:hanging="150"/>
              <w:rPr>
                <w:rFonts w:hint="eastAsia"/>
                <w:sz w:val="20"/>
              </w:rPr>
            </w:pPr>
            <w:r>
              <w:rPr>
                <w:rFonts w:hint="eastAsia"/>
                <w:sz w:val="20"/>
              </w:rPr>
              <w:t>民间艺术</w:t>
            </w:r>
          </w:p>
        </w:tc>
        <w:tc>
          <w:tcPr>
            <w:tcW w:w="549" w:type="pct"/>
            <w:vAlign w:val="center"/>
          </w:tcPr>
          <w:p w:rsidR="00000000" w:rsidRDefault="00000000">
            <w:pPr>
              <w:spacing w:before="40" w:after="20" w:line="288" w:lineRule="auto"/>
              <w:ind w:right="170"/>
              <w:jc w:val="right"/>
              <w:rPr>
                <w:sz w:val="18"/>
                <w:lang w:val="fr-FR"/>
              </w:rPr>
            </w:pPr>
            <w:r>
              <w:rPr>
                <w:sz w:val="18"/>
                <w:lang w:val="fr-FR"/>
              </w:rPr>
              <w:t>672</w:t>
            </w:r>
          </w:p>
        </w:tc>
        <w:tc>
          <w:tcPr>
            <w:tcW w:w="658" w:type="pct"/>
            <w:vAlign w:val="center"/>
          </w:tcPr>
          <w:p w:rsidR="00000000" w:rsidRDefault="00000000">
            <w:pPr>
              <w:spacing w:before="40" w:after="20" w:line="288" w:lineRule="auto"/>
              <w:ind w:right="227"/>
              <w:jc w:val="right"/>
              <w:rPr>
                <w:sz w:val="18"/>
                <w:lang w:val="fr-FR"/>
              </w:rPr>
            </w:pPr>
            <w:r>
              <w:rPr>
                <w:sz w:val="18"/>
                <w:lang w:val="fr-FR"/>
              </w:rPr>
              <w:t>733</w:t>
            </w:r>
          </w:p>
        </w:tc>
        <w:tc>
          <w:tcPr>
            <w:tcW w:w="494" w:type="pct"/>
            <w:vAlign w:val="center"/>
          </w:tcPr>
          <w:p w:rsidR="00000000" w:rsidRDefault="00000000">
            <w:pPr>
              <w:spacing w:before="40" w:after="20" w:line="288" w:lineRule="auto"/>
              <w:ind w:right="103"/>
              <w:jc w:val="right"/>
              <w:rPr>
                <w:sz w:val="18"/>
                <w:lang w:val="fr-FR"/>
              </w:rPr>
            </w:pPr>
            <w:r>
              <w:rPr>
                <w:sz w:val="18"/>
                <w:lang w:val="fr-FR"/>
              </w:rPr>
              <w:t>1,665</w:t>
            </w:r>
          </w:p>
        </w:tc>
        <w:tc>
          <w:tcPr>
            <w:tcW w:w="603" w:type="pct"/>
            <w:vAlign w:val="center"/>
          </w:tcPr>
          <w:p w:rsidR="00000000" w:rsidRDefault="00000000">
            <w:pPr>
              <w:spacing w:before="40" w:after="20" w:line="288" w:lineRule="auto"/>
              <w:ind w:left="-222"/>
              <w:rPr>
                <w:sz w:val="18"/>
                <w:lang w:val="fr-FR"/>
              </w:rPr>
            </w:pPr>
          </w:p>
        </w:tc>
        <w:tc>
          <w:tcPr>
            <w:tcW w:w="604" w:type="pct"/>
            <w:vAlign w:val="center"/>
          </w:tcPr>
          <w:p w:rsidR="00000000" w:rsidRDefault="00000000">
            <w:pPr>
              <w:spacing w:before="40" w:after="20" w:line="288" w:lineRule="auto"/>
              <w:rPr>
                <w:sz w:val="18"/>
                <w:lang w:val="fr-FR"/>
              </w:rPr>
            </w:pPr>
          </w:p>
        </w:tc>
        <w:tc>
          <w:tcPr>
            <w:tcW w:w="549" w:type="pct"/>
            <w:vAlign w:val="center"/>
          </w:tcPr>
          <w:p w:rsidR="00000000" w:rsidRDefault="00000000">
            <w:pPr>
              <w:spacing w:before="40" w:after="20" w:line="288" w:lineRule="auto"/>
              <w:ind w:right="170"/>
              <w:jc w:val="right"/>
              <w:rPr>
                <w:bCs/>
                <w:sz w:val="18"/>
                <w:lang w:val="fr-FR"/>
              </w:rPr>
            </w:pPr>
            <w:r>
              <w:rPr>
                <w:bCs/>
                <w:sz w:val="18"/>
                <w:lang w:val="fr-FR"/>
              </w:rPr>
              <w:t>3,070</w:t>
            </w:r>
          </w:p>
        </w:tc>
        <w:tc>
          <w:tcPr>
            <w:tcW w:w="499" w:type="pct"/>
            <w:vAlign w:val="center"/>
          </w:tcPr>
          <w:p w:rsidR="00000000" w:rsidRDefault="00000000">
            <w:pPr>
              <w:spacing w:before="40" w:after="20" w:line="288" w:lineRule="auto"/>
              <w:jc w:val="center"/>
              <w:rPr>
                <w:sz w:val="18"/>
                <w:lang w:val="fr-FR"/>
              </w:rPr>
            </w:pPr>
          </w:p>
        </w:tc>
      </w:tr>
      <w:tr w:rsidR="00000000">
        <w:tblPrEx>
          <w:tblCellMar>
            <w:top w:w="0" w:type="dxa"/>
            <w:bottom w:w="0" w:type="dxa"/>
          </w:tblCellMar>
        </w:tblPrEx>
        <w:tc>
          <w:tcPr>
            <w:tcW w:w="1044" w:type="pct"/>
          </w:tcPr>
          <w:p w:rsidR="00000000" w:rsidRDefault="00000000">
            <w:pPr>
              <w:spacing w:before="40" w:after="20" w:line="288" w:lineRule="auto"/>
              <w:ind w:left="510" w:hanging="150"/>
              <w:rPr>
                <w:rFonts w:hint="eastAsia"/>
                <w:sz w:val="20"/>
              </w:rPr>
            </w:pPr>
            <w:r>
              <w:rPr>
                <w:rFonts w:hint="eastAsia"/>
                <w:sz w:val="20"/>
              </w:rPr>
              <w:t>节日等</w:t>
            </w:r>
          </w:p>
        </w:tc>
        <w:tc>
          <w:tcPr>
            <w:tcW w:w="549" w:type="pct"/>
            <w:vAlign w:val="center"/>
          </w:tcPr>
          <w:p w:rsidR="00000000" w:rsidRDefault="00000000">
            <w:pPr>
              <w:spacing w:before="40" w:after="20" w:line="288" w:lineRule="auto"/>
              <w:ind w:right="170"/>
              <w:jc w:val="right"/>
              <w:rPr>
                <w:sz w:val="18"/>
              </w:rPr>
            </w:pPr>
            <w:r>
              <w:rPr>
                <w:sz w:val="18"/>
              </w:rPr>
              <w:t>922</w:t>
            </w:r>
          </w:p>
        </w:tc>
        <w:tc>
          <w:tcPr>
            <w:tcW w:w="658" w:type="pct"/>
            <w:vAlign w:val="center"/>
          </w:tcPr>
          <w:p w:rsidR="00000000" w:rsidRDefault="00000000">
            <w:pPr>
              <w:spacing w:before="40" w:after="20" w:line="288" w:lineRule="auto"/>
              <w:ind w:right="227"/>
              <w:jc w:val="right"/>
              <w:rPr>
                <w:sz w:val="18"/>
              </w:rPr>
            </w:pPr>
            <w:r>
              <w:rPr>
                <w:sz w:val="18"/>
              </w:rPr>
              <w:t>58</w:t>
            </w:r>
          </w:p>
        </w:tc>
        <w:tc>
          <w:tcPr>
            <w:tcW w:w="494" w:type="pct"/>
            <w:vAlign w:val="center"/>
          </w:tcPr>
          <w:p w:rsidR="00000000" w:rsidRDefault="00000000">
            <w:pPr>
              <w:spacing w:before="40" w:after="20" w:line="288" w:lineRule="auto"/>
              <w:ind w:right="103"/>
              <w:jc w:val="right"/>
              <w:rPr>
                <w:sz w:val="18"/>
              </w:rPr>
            </w:pPr>
            <w:r>
              <w:rPr>
                <w:sz w:val="18"/>
              </w:rPr>
              <w:t>1,275</w:t>
            </w: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rPr>
                <w:sz w:val="18"/>
              </w:rPr>
            </w:pPr>
          </w:p>
        </w:tc>
        <w:tc>
          <w:tcPr>
            <w:tcW w:w="549" w:type="pct"/>
            <w:vAlign w:val="center"/>
          </w:tcPr>
          <w:p w:rsidR="00000000" w:rsidRDefault="00000000">
            <w:pPr>
              <w:spacing w:before="40" w:after="20" w:line="288" w:lineRule="auto"/>
              <w:ind w:right="170"/>
              <w:jc w:val="right"/>
              <w:rPr>
                <w:bCs/>
                <w:sz w:val="18"/>
              </w:rPr>
            </w:pPr>
            <w:r>
              <w:rPr>
                <w:bCs/>
                <w:sz w:val="18"/>
              </w:rPr>
              <w:t>2,255</w:t>
            </w:r>
          </w:p>
        </w:tc>
        <w:tc>
          <w:tcPr>
            <w:tcW w:w="499" w:type="pct"/>
            <w:vAlign w:val="center"/>
          </w:tcPr>
          <w:p w:rsidR="00000000" w:rsidRDefault="00000000">
            <w:pPr>
              <w:spacing w:before="40" w:after="20" w:line="288" w:lineRule="auto"/>
              <w:jc w:val="center"/>
              <w:rPr>
                <w:sz w:val="18"/>
              </w:rPr>
            </w:pPr>
          </w:p>
        </w:tc>
      </w:tr>
      <w:tr w:rsidR="00000000">
        <w:tblPrEx>
          <w:tblCellMar>
            <w:top w:w="0" w:type="dxa"/>
            <w:bottom w:w="0" w:type="dxa"/>
          </w:tblCellMar>
        </w:tblPrEx>
        <w:tc>
          <w:tcPr>
            <w:tcW w:w="1044" w:type="pct"/>
          </w:tcPr>
          <w:p w:rsidR="00000000" w:rsidRDefault="00000000">
            <w:pPr>
              <w:spacing w:before="40" w:after="20" w:line="288" w:lineRule="auto"/>
              <w:ind w:left="510" w:hanging="150"/>
              <w:rPr>
                <w:rFonts w:hint="eastAsia"/>
                <w:sz w:val="20"/>
              </w:rPr>
            </w:pPr>
            <w:r>
              <w:rPr>
                <w:rFonts w:hint="eastAsia"/>
                <w:sz w:val="20"/>
              </w:rPr>
              <w:t>电影</w:t>
            </w:r>
          </w:p>
        </w:tc>
        <w:tc>
          <w:tcPr>
            <w:tcW w:w="549" w:type="pct"/>
            <w:vAlign w:val="center"/>
          </w:tcPr>
          <w:p w:rsidR="00000000" w:rsidRDefault="00000000">
            <w:pPr>
              <w:spacing w:before="40" w:after="20" w:line="288" w:lineRule="auto"/>
              <w:ind w:right="170"/>
              <w:jc w:val="right"/>
              <w:rPr>
                <w:sz w:val="18"/>
              </w:rPr>
            </w:pPr>
            <w:r>
              <w:rPr>
                <w:sz w:val="18"/>
              </w:rPr>
              <w:t>7,107</w:t>
            </w:r>
          </w:p>
        </w:tc>
        <w:tc>
          <w:tcPr>
            <w:tcW w:w="658" w:type="pct"/>
            <w:vAlign w:val="center"/>
          </w:tcPr>
          <w:p w:rsidR="00000000" w:rsidRDefault="00000000">
            <w:pPr>
              <w:spacing w:before="40" w:after="20" w:line="288" w:lineRule="auto"/>
              <w:ind w:right="227"/>
              <w:jc w:val="right"/>
              <w:rPr>
                <w:sz w:val="18"/>
              </w:rPr>
            </w:pPr>
          </w:p>
        </w:tc>
        <w:tc>
          <w:tcPr>
            <w:tcW w:w="494" w:type="pct"/>
            <w:vAlign w:val="center"/>
          </w:tcPr>
          <w:p w:rsidR="00000000" w:rsidRDefault="00000000">
            <w:pPr>
              <w:spacing w:before="40" w:after="20" w:line="288" w:lineRule="auto"/>
              <w:ind w:right="103"/>
              <w:jc w:val="right"/>
              <w:rPr>
                <w:sz w:val="18"/>
              </w:rPr>
            </w:pPr>
            <w:r>
              <w:rPr>
                <w:sz w:val="18"/>
              </w:rPr>
              <w:t>4,418</w:t>
            </w: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rPr>
                <w:sz w:val="18"/>
              </w:rPr>
            </w:pPr>
          </w:p>
        </w:tc>
        <w:tc>
          <w:tcPr>
            <w:tcW w:w="549" w:type="pct"/>
            <w:vAlign w:val="center"/>
          </w:tcPr>
          <w:p w:rsidR="00000000" w:rsidRDefault="00000000">
            <w:pPr>
              <w:spacing w:before="40" w:after="20" w:line="288" w:lineRule="auto"/>
              <w:ind w:right="170"/>
              <w:jc w:val="right"/>
              <w:rPr>
                <w:bCs/>
                <w:sz w:val="18"/>
              </w:rPr>
            </w:pPr>
            <w:r>
              <w:rPr>
                <w:bCs/>
                <w:sz w:val="18"/>
              </w:rPr>
              <w:t>11,525</w:t>
            </w:r>
          </w:p>
        </w:tc>
        <w:tc>
          <w:tcPr>
            <w:tcW w:w="499" w:type="pct"/>
            <w:vAlign w:val="center"/>
          </w:tcPr>
          <w:p w:rsidR="00000000" w:rsidRDefault="00000000">
            <w:pPr>
              <w:spacing w:before="40" w:after="20" w:line="288" w:lineRule="auto"/>
              <w:jc w:val="center"/>
              <w:rPr>
                <w:sz w:val="18"/>
              </w:rPr>
            </w:pPr>
          </w:p>
        </w:tc>
      </w:tr>
      <w:tr w:rsidR="00000000">
        <w:tblPrEx>
          <w:tblCellMar>
            <w:top w:w="0" w:type="dxa"/>
            <w:bottom w:w="0" w:type="dxa"/>
          </w:tblCellMar>
        </w:tblPrEx>
        <w:tc>
          <w:tcPr>
            <w:tcW w:w="1044" w:type="pct"/>
          </w:tcPr>
          <w:p w:rsidR="00000000" w:rsidRDefault="00000000">
            <w:pPr>
              <w:spacing w:before="40" w:after="20" w:line="288" w:lineRule="auto"/>
              <w:ind w:left="510" w:hanging="150"/>
              <w:rPr>
                <w:rFonts w:hint="eastAsia"/>
                <w:sz w:val="20"/>
              </w:rPr>
            </w:pPr>
            <w:r>
              <w:rPr>
                <w:rFonts w:hint="eastAsia"/>
                <w:sz w:val="20"/>
              </w:rPr>
              <w:t>其他</w:t>
            </w:r>
          </w:p>
        </w:tc>
        <w:tc>
          <w:tcPr>
            <w:tcW w:w="549" w:type="pct"/>
            <w:vAlign w:val="center"/>
          </w:tcPr>
          <w:p w:rsidR="00000000" w:rsidRDefault="00000000">
            <w:pPr>
              <w:spacing w:before="40" w:after="20" w:line="288" w:lineRule="auto"/>
              <w:ind w:right="170"/>
              <w:jc w:val="right"/>
              <w:rPr>
                <w:sz w:val="18"/>
              </w:rPr>
            </w:pPr>
            <w:r>
              <w:rPr>
                <w:sz w:val="18"/>
              </w:rPr>
              <w:t>993</w:t>
            </w:r>
          </w:p>
        </w:tc>
        <w:tc>
          <w:tcPr>
            <w:tcW w:w="658" w:type="pct"/>
            <w:vAlign w:val="center"/>
          </w:tcPr>
          <w:p w:rsidR="00000000" w:rsidRDefault="00000000">
            <w:pPr>
              <w:spacing w:before="40" w:after="20" w:line="288" w:lineRule="auto"/>
              <w:ind w:right="227"/>
              <w:jc w:val="right"/>
              <w:rPr>
                <w:sz w:val="18"/>
              </w:rPr>
            </w:pPr>
            <w:r>
              <w:rPr>
                <w:sz w:val="18"/>
              </w:rPr>
              <w:t>9,041</w:t>
            </w:r>
          </w:p>
        </w:tc>
        <w:tc>
          <w:tcPr>
            <w:tcW w:w="494" w:type="pct"/>
            <w:vAlign w:val="center"/>
          </w:tcPr>
          <w:p w:rsidR="00000000" w:rsidRDefault="00000000">
            <w:pPr>
              <w:spacing w:before="40" w:after="20" w:line="288" w:lineRule="auto"/>
              <w:ind w:right="103"/>
              <w:jc w:val="right"/>
              <w:rPr>
                <w:sz w:val="18"/>
              </w:rPr>
            </w:pPr>
            <w:r>
              <w:rPr>
                <w:sz w:val="18"/>
              </w:rPr>
              <w:t>3,451</w:t>
            </w: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rPr>
                <w:sz w:val="18"/>
              </w:rPr>
            </w:pPr>
          </w:p>
        </w:tc>
        <w:tc>
          <w:tcPr>
            <w:tcW w:w="549" w:type="pct"/>
            <w:vAlign w:val="center"/>
          </w:tcPr>
          <w:p w:rsidR="00000000" w:rsidRDefault="00000000">
            <w:pPr>
              <w:spacing w:before="40" w:after="20" w:line="288" w:lineRule="auto"/>
              <w:ind w:right="170"/>
              <w:jc w:val="right"/>
              <w:rPr>
                <w:bCs/>
                <w:sz w:val="18"/>
              </w:rPr>
            </w:pPr>
            <w:r>
              <w:rPr>
                <w:bCs/>
                <w:sz w:val="18"/>
              </w:rPr>
              <w:t>13,485</w:t>
            </w:r>
          </w:p>
        </w:tc>
        <w:tc>
          <w:tcPr>
            <w:tcW w:w="499" w:type="pct"/>
            <w:vAlign w:val="center"/>
          </w:tcPr>
          <w:p w:rsidR="00000000" w:rsidRDefault="00000000">
            <w:pPr>
              <w:spacing w:before="40" w:after="20" w:line="288" w:lineRule="auto"/>
              <w:jc w:val="center"/>
              <w:rPr>
                <w:sz w:val="18"/>
              </w:rPr>
            </w:pPr>
          </w:p>
        </w:tc>
      </w:tr>
      <w:tr w:rsidR="00000000">
        <w:tblPrEx>
          <w:tblCellMar>
            <w:top w:w="0" w:type="dxa"/>
            <w:bottom w:w="0" w:type="dxa"/>
          </w:tblCellMar>
        </w:tblPrEx>
        <w:tc>
          <w:tcPr>
            <w:tcW w:w="1044" w:type="pct"/>
          </w:tcPr>
          <w:p w:rsidR="00000000" w:rsidRDefault="00000000">
            <w:pPr>
              <w:spacing w:before="40" w:after="20" w:line="240" w:lineRule="auto"/>
              <w:ind w:left="317" w:hanging="317"/>
              <w:rPr>
                <w:rFonts w:hint="eastAsia"/>
                <w:sz w:val="20"/>
              </w:rPr>
            </w:pPr>
            <w:r>
              <w:rPr>
                <w:rFonts w:hint="eastAsia"/>
                <w:sz w:val="20"/>
              </w:rPr>
              <w:t>二、支付服务费</w:t>
            </w:r>
            <w:r>
              <w:rPr>
                <w:sz w:val="20"/>
              </w:rPr>
              <w:br/>
            </w:r>
            <w:r>
              <w:rPr>
                <w:rFonts w:hint="eastAsia"/>
                <w:spacing w:val="0"/>
                <w:sz w:val="20"/>
              </w:rPr>
              <w:t>(</w:t>
            </w:r>
            <w:r>
              <w:rPr>
                <w:rFonts w:hint="eastAsia"/>
                <w:spacing w:val="0"/>
                <w:sz w:val="20"/>
              </w:rPr>
              <w:t>工资和薪水等</w:t>
            </w:r>
            <w:r>
              <w:rPr>
                <w:rFonts w:hint="eastAsia"/>
                <w:spacing w:val="0"/>
                <w:sz w:val="20"/>
              </w:rPr>
              <w:t>)</w:t>
            </w:r>
          </w:p>
        </w:tc>
        <w:tc>
          <w:tcPr>
            <w:tcW w:w="549" w:type="pct"/>
            <w:vAlign w:val="center"/>
          </w:tcPr>
          <w:p w:rsidR="00000000" w:rsidRDefault="00000000">
            <w:pPr>
              <w:spacing w:before="40" w:after="20" w:line="240" w:lineRule="auto"/>
              <w:ind w:right="170"/>
              <w:jc w:val="right"/>
              <w:rPr>
                <w:sz w:val="18"/>
              </w:rPr>
            </w:pPr>
            <w:r>
              <w:rPr>
                <w:sz w:val="18"/>
              </w:rPr>
              <w:t>86,573</w:t>
            </w:r>
          </w:p>
        </w:tc>
        <w:tc>
          <w:tcPr>
            <w:tcW w:w="658" w:type="pct"/>
            <w:vAlign w:val="center"/>
          </w:tcPr>
          <w:p w:rsidR="00000000" w:rsidRDefault="00000000">
            <w:pPr>
              <w:spacing w:before="40" w:after="20" w:line="288" w:lineRule="auto"/>
              <w:ind w:right="227"/>
              <w:jc w:val="right"/>
              <w:rPr>
                <w:sz w:val="18"/>
              </w:rPr>
            </w:pPr>
          </w:p>
        </w:tc>
        <w:tc>
          <w:tcPr>
            <w:tcW w:w="494" w:type="pct"/>
            <w:vAlign w:val="center"/>
          </w:tcPr>
          <w:p w:rsidR="00000000" w:rsidRDefault="00000000">
            <w:pPr>
              <w:spacing w:before="40" w:after="20" w:line="288" w:lineRule="auto"/>
              <w:ind w:right="103"/>
              <w:jc w:val="right"/>
              <w:rPr>
                <w:sz w:val="18"/>
              </w:rPr>
            </w:pP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jc w:val="center"/>
              <w:rPr>
                <w:sz w:val="18"/>
              </w:rPr>
            </w:pPr>
          </w:p>
        </w:tc>
        <w:tc>
          <w:tcPr>
            <w:tcW w:w="549" w:type="pct"/>
            <w:vAlign w:val="center"/>
          </w:tcPr>
          <w:p w:rsidR="00000000" w:rsidRDefault="00000000">
            <w:pPr>
              <w:spacing w:before="40" w:after="20" w:line="240" w:lineRule="auto"/>
              <w:ind w:right="170"/>
              <w:jc w:val="right"/>
              <w:rPr>
                <w:bCs/>
                <w:sz w:val="18"/>
              </w:rPr>
            </w:pPr>
            <w:r>
              <w:rPr>
                <w:bCs/>
                <w:sz w:val="18"/>
              </w:rPr>
              <w:t>86,573</w:t>
            </w:r>
          </w:p>
        </w:tc>
        <w:tc>
          <w:tcPr>
            <w:tcW w:w="499" w:type="pct"/>
            <w:vAlign w:val="center"/>
          </w:tcPr>
          <w:p w:rsidR="00000000" w:rsidRDefault="00000000">
            <w:pPr>
              <w:spacing w:before="40" w:after="20" w:line="240" w:lineRule="auto"/>
              <w:jc w:val="center"/>
              <w:rPr>
                <w:sz w:val="18"/>
              </w:rPr>
            </w:pPr>
            <w:r>
              <w:rPr>
                <w:sz w:val="18"/>
              </w:rPr>
              <w:t>33.25</w:t>
            </w:r>
          </w:p>
        </w:tc>
      </w:tr>
      <w:tr w:rsidR="00000000">
        <w:tblPrEx>
          <w:tblCellMar>
            <w:top w:w="0" w:type="dxa"/>
            <w:bottom w:w="0" w:type="dxa"/>
          </w:tblCellMar>
        </w:tblPrEx>
        <w:tc>
          <w:tcPr>
            <w:tcW w:w="1044" w:type="pct"/>
          </w:tcPr>
          <w:p w:rsidR="00000000" w:rsidRDefault="00000000">
            <w:pPr>
              <w:spacing w:before="40" w:after="20" w:line="288" w:lineRule="auto"/>
              <w:ind w:left="150" w:hanging="150"/>
              <w:jc w:val="left"/>
              <w:rPr>
                <w:rFonts w:hint="eastAsia"/>
                <w:sz w:val="20"/>
              </w:rPr>
            </w:pPr>
            <w:r>
              <w:rPr>
                <w:rFonts w:hint="eastAsia"/>
                <w:sz w:val="20"/>
              </w:rPr>
              <w:t>三、文化遗产</w:t>
            </w:r>
          </w:p>
        </w:tc>
        <w:tc>
          <w:tcPr>
            <w:tcW w:w="549" w:type="pct"/>
            <w:vAlign w:val="center"/>
          </w:tcPr>
          <w:p w:rsidR="00000000" w:rsidRDefault="00000000">
            <w:pPr>
              <w:spacing w:before="40" w:after="20" w:line="288" w:lineRule="auto"/>
              <w:ind w:right="170"/>
              <w:jc w:val="right"/>
              <w:rPr>
                <w:sz w:val="18"/>
              </w:rPr>
            </w:pPr>
          </w:p>
        </w:tc>
        <w:tc>
          <w:tcPr>
            <w:tcW w:w="658" w:type="pct"/>
            <w:vAlign w:val="center"/>
          </w:tcPr>
          <w:p w:rsidR="00000000" w:rsidRDefault="00000000">
            <w:pPr>
              <w:spacing w:before="40" w:after="20" w:line="288" w:lineRule="auto"/>
              <w:ind w:right="227"/>
              <w:jc w:val="right"/>
              <w:rPr>
                <w:sz w:val="18"/>
              </w:rPr>
            </w:pPr>
            <w:r>
              <w:rPr>
                <w:sz w:val="18"/>
              </w:rPr>
              <w:t>9,275</w:t>
            </w:r>
          </w:p>
        </w:tc>
        <w:tc>
          <w:tcPr>
            <w:tcW w:w="494" w:type="pct"/>
            <w:vAlign w:val="center"/>
          </w:tcPr>
          <w:p w:rsidR="00000000" w:rsidRDefault="00000000">
            <w:pPr>
              <w:spacing w:before="40" w:after="20" w:line="288" w:lineRule="auto"/>
              <w:ind w:right="103"/>
              <w:jc w:val="right"/>
              <w:rPr>
                <w:sz w:val="18"/>
              </w:rPr>
            </w:pPr>
            <w:r>
              <w:rPr>
                <w:sz w:val="18"/>
              </w:rPr>
              <w:t>22,350</w:t>
            </w:r>
          </w:p>
        </w:tc>
        <w:tc>
          <w:tcPr>
            <w:tcW w:w="603" w:type="pct"/>
            <w:vAlign w:val="center"/>
          </w:tcPr>
          <w:p w:rsidR="00000000" w:rsidRDefault="00000000">
            <w:pPr>
              <w:spacing w:before="40" w:after="20" w:line="288" w:lineRule="auto"/>
              <w:jc w:val="center"/>
              <w:rPr>
                <w:sz w:val="18"/>
              </w:rPr>
            </w:pPr>
            <w:r>
              <w:rPr>
                <w:sz w:val="18"/>
              </w:rPr>
              <w:t>61,325</w:t>
            </w:r>
          </w:p>
        </w:tc>
        <w:tc>
          <w:tcPr>
            <w:tcW w:w="604" w:type="pct"/>
            <w:vAlign w:val="center"/>
          </w:tcPr>
          <w:p w:rsidR="00000000" w:rsidRDefault="00000000">
            <w:pPr>
              <w:spacing w:before="40" w:after="20" w:line="288" w:lineRule="auto"/>
              <w:jc w:val="center"/>
              <w:rPr>
                <w:sz w:val="18"/>
              </w:rPr>
            </w:pPr>
            <w:r>
              <w:rPr>
                <w:sz w:val="18"/>
              </w:rPr>
              <w:t>7,330</w:t>
            </w:r>
          </w:p>
        </w:tc>
        <w:tc>
          <w:tcPr>
            <w:tcW w:w="549" w:type="pct"/>
            <w:vAlign w:val="center"/>
          </w:tcPr>
          <w:p w:rsidR="00000000" w:rsidRDefault="00000000">
            <w:pPr>
              <w:spacing w:before="40" w:after="20" w:line="288" w:lineRule="auto"/>
              <w:ind w:right="170"/>
              <w:jc w:val="right"/>
              <w:rPr>
                <w:bCs/>
                <w:sz w:val="18"/>
              </w:rPr>
            </w:pPr>
            <w:r>
              <w:rPr>
                <w:bCs/>
                <w:sz w:val="18"/>
              </w:rPr>
              <w:t>100,280</w:t>
            </w:r>
          </w:p>
        </w:tc>
        <w:tc>
          <w:tcPr>
            <w:tcW w:w="499" w:type="pct"/>
            <w:vAlign w:val="center"/>
          </w:tcPr>
          <w:p w:rsidR="00000000" w:rsidRDefault="00000000">
            <w:pPr>
              <w:spacing w:before="40" w:after="20" w:line="288" w:lineRule="auto"/>
              <w:jc w:val="center"/>
              <w:rPr>
                <w:sz w:val="18"/>
              </w:rPr>
            </w:pPr>
            <w:r>
              <w:rPr>
                <w:sz w:val="18"/>
              </w:rPr>
              <w:t>38.51</w:t>
            </w:r>
          </w:p>
        </w:tc>
      </w:tr>
      <w:tr w:rsidR="00000000">
        <w:tblPrEx>
          <w:tblCellMar>
            <w:top w:w="0" w:type="dxa"/>
            <w:bottom w:w="0" w:type="dxa"/>
          </w:tblCellMar>
        </w:tblPrEx>
        <w:tc>
          <w:tcPr>
            <w:tcW w:w="1044" w:type="pct"/>
          </w:tcPr>
          <w:p w:rsidR="00000000" w:rsidRDefault="00000000">
            <w:pPr>
              <w:spacing w:before="40" w:after="20" w:line="288" w:lineRule="auto"/>
              <w:ind w:left="660" w:hanging="300"/>
              <w:jc w:val="left"/>
              <w:rPr>
                <w:rFonts w:hint="eastAsia"/>
                <w:sz w:val="20"/>
              </w:rPr>
            </w:pPr>
            <w:r>
              <w:rPr>
                <w:rFonts w:hint="eastAsia"/>
                <w:sz w:val="20"/>
              </w:rPr>
              <w:t>开掘</w:t>
            </w:r>
          </w:p>
        </w:tc>
        <w:tc>
          <w:tcPr>
            <w:tcW w:w="549" w:type="pct"/>
            <w:vAlign w:val="center"/>
          </w:tcPr>
          <w:p w:rsidR="00000000" w:rsidRDefault="00000000">
            <w:pPr>
              <w:spacing w:before="40" w:after="20" w:line="288" w:lineRule="auto"/>
              <w:ind w:right="170"/>
              <w:jc w:val="right"/>
              <w:rPr>
                <w:sz w:val="18"/>
              </w:rPr>
            </w:pPr>
          </w:p>
        </w:tc>
        <w:tc>
          <w:tcPr>
            <w:tcW w:w="658" w:type="pct"/>
            <w:vAlign w:val="center"/>
          </w:tcPr>
          <w:p w:rsidR="00000000" w:rsidRDefault="00000000">
            <w:pPr>
              <w:spacing w:before="40" w:after="20" w:line="288" w:lineRule="auto"/>
              <w:ind w:right="227"/>
              <w:jc w:val="right"/>
              <w:rPr>
                <w:sz w:val="18"/>
              </w:rPr>
            </w:pPr>
            <w:r>
              <w:rPr>
                <w:sz w:val="18"/>
              </w:rPr>
              <w:t>724</w:t>
            </w:r>
          </w:p>
        </w:tc>
        <w:tc>
          <w:tcPr>
            <w:tcW w:w="494" w:type="pct"/>
            <w:vAlign w:val="center"/>
          </w:tcPr>
          <w:p w:rsidR="00000000" w:rsidRDefault="00000000">
            <w:pPr>
              <w:spacing w:before="40" w:after="20" w:line="288" w:lineRule="auto"/>
              <w:ind w:right="103"/>
              <w:jc w:val="right"/>
              <w:rPr>
                <w:sz w:val="18"/>
              </w:rPr>
            </w:pP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rPr>
                <w:sz w:val="18"/>
              </w:rPr>
            </w:pPr>
          </w:p>
        </w:tc>
        <w:tc>
          <w:tcPr>
            <w:tcW w:w="549" w:type="pct"/>
            <w:vAlign w:val="center"/>
          </w:tcPr>
          <w:p w:rsidR="00000000" w:rsidRDefault="00000000">
            <w:pPr>
              <w:spacing w:before="40" w:after="20" w:line="288" w:lineRule="auto"/>
              <w:ind w:right="170"/>
              <w:jc w:val="right"/>
              <w:rPr>
                <w:bCs/>
                <w:sz w:val="18"/>
              </w:rPr>
            </w:pPr>
            <w:r>
              <w:rPr>
                <w:bCs/>
                <w:sz w:val="18"/>
              </w:rPr>
              <w:t>724</w:t>
            </w:r>
          </w:p>
        </w:tc>
        <w:tc>
          <w:tcPr>
            <w:tcW w:w="499" w:type="pct"/>
            <w:vAlign w:val="center"/>
          </w:tcPr>
          <w:p w:rsidR="00000000" w:rsidRDefault="00000000">
            <w:pPr>
              <w:spacing w:before="40" w:after="20" w:line="288" w:lineRule="auto"/>
              <w:jc w:val="center"/>
              <w:rPr>
                <w:sz w:val="18"/>
              </w:rPr>
            </w:pPr>
          </w:p>
        </w:tc>
      </w:tr>
      <w:tr w:rsidR="00000000">
        <w:tblPrEx>
          <w:tblCellMar>
            <w:top w:w="0" w:type="dxa"/>
            <w:bottom w:w="0" w:type="dxa"/>
          </w:tblCellMar>
        </w:tblPrEx>
        <w:tc>
          <w:tcPr>
            <w:tcW w:w="1044" w:type="pct"/>
          </w:tcPr>
          <w:p w:rsidR="00000000" w:rsidRDefault="00000000">
            <w:pPr>
              <w:spacing w:before="40" w:after="20" w:line="288" w:lineRule="auto"/>
              <w:ind w:left="660" w:hanging="300"/>
              <w:jc w:val="left"/>
              <w:rPr>
                <w:rFonts w:hint="eastAsia"/>
                <w:sz w:val="20"/>
              </w:rPr>
            </w:pPr>
            <w:r>
              <w:rPr>
                <w:rFonts w:hint="eastAsia"/>
                <w:sz w:val="20"/>
              </w:rPr>
              <w:t>博物馆</w:t>
            </w:r>
          </w:p>
        </w:tc>
        <w:tc>
          <w:tcPr>
            <w:tcW w:w="549" w:type="pct"/>
            <w:vAlign w:val="center"/>
          </w:tcPr>
          <w:p w:rsidR="00000000" w:rsidRDefault="00000000">
            <w:pPr>
              <w:spacing w:before="40" w:after="20" w:line="288" w:lineRule="auto"/>
              <w:ind w:right="170"/>
              <w:jc w:val="right"/>
              <w:rPr>
                <w:sz w:val="18"/>
              </w:rPr>
            </w:pPr>
          </w:p>
        </w:tc>
        <w:tc>
          <w:tcPr>
            <w:tcW w:w="658" w:type="pct"/>
            <w:vAlign w:val="center"/>
          </w:tcPr>
          <w:p w:rsidR="00000000" w:rsidRDefault="00000000">
            <w:pPr>
              <w:spacing w:before="40" w:after="20" w:line="288" w:lineRule="auto"/>
              <w:ind w:right="227"/>
              <w:jc w:val="right"/>
              <w:rPr>
                <w:sz w:val="18"/>
              </w:rPr>
            </w:pPr>
            <w:r>
              <w:rPr>
                <w:sz w:val="18"/>
              </w:rPr>
              <w:t>3,864</w:t>
            </w:r>
          </w:p>
        </w:tc>
        <w:tc>
          <w:tcPr>
            <w:tcW w:w="494" w:type="pct"/>
            <w:vAlign w:val="center"/>
          </w:tcPr>
          <w:p w:rsidR="00000000" w:rsidRDefault="00000000">
            <w:pPr>
              <w:spacing w:before="40" w:after="20" w:line="288" w:lineRule="auto"/>
              <w:ind w:right="103"/>
              <w:jc w:val="right"/>
              <w:rPr>
                <w:sz w:val="18"/>
              </w:rPr>
            </w:pP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rPr>
                <w:sz w:val="18"/>
              </w:rPr>
            </w:pPr>
          </w:p>
        </w:tc>
        <w:tc>
          <w:tcPr>
            <w:tcW w:w="549" w:type="pct"/>
            <w:vAlign w:val="center"/>
          </w:tcPr>
          <w:p w:rsidR="00000000" w:rsidRDefault="00000000">
            <w:pPr>
              <w:spacing w:before="40" w:after="20" w:line="288" w:lineRule="auto"/>
              <w:ind w:right="170"/>
              <w:jc w:val="right"/>
              <w:rPr>
                <w:bCs/>
                <w:sz w:val="18"/>
              </w:rPr>
            </w:pPr>
            <w:r>
              <w:rPr>
                <w:bCs/>
                <w:sz w:val="18"/>
              </w:rPr>
              <w:t>3,864</w:t>
            </w:r>
          </w:p>
        </w:tc>
        <w:tc>
          <w:tcPr>
            <w:tcW w:w="499" w:type="pct"/>
            <w:vAlign w:val="center"/>
          </w:tcPr>
          <w:p w:rsidR="00000000" w:rsidRDefault="00000000">
            <w:pPr>
              <w:spacing w:before="40" w:after="20" w:line="288" w:lineRule="auto"/>
              <w:jc w:val="center"/>
              <w:rPr>
                <w:sz w:val="18"/>
              </w:rPr>
            </w:pPr>
          </w:p>
        </w:tc>
      </w:tr>
      <w:tr w:rsidR="00000000">
        <w:tblPrEx>
          <w:tblCellMar>
            <w:top w:w="0" w:type="dxa"/>
            <w:bottom w:w="0" w:type="dxa"/>
          </w:tblCellMar>
        </w:tblPrEx>
        <w:tc>
          <w:tcPr>
            <w:tcW w:w="1044" w:type="pct"/>
          </w:tcPr>
          <w:p w:rsidR="00000000" w:rsidRDefault="00000000">
            <w:pPr>
              <w:spacing w:before="40" w:after="20" w:line="288" w:lineRule="auto"/>
              <w:ind w:left="660" w:hanging="300"/>
              <w:jc w:val="left"/>
              <w:rPr>
                <w:rFonts w:hint="eastAsia"/>
                <w:sz w:val="20"/>
              </w:rPr>
            </w:pPr>
            <w:r>
              <w:rPr>
                <w:rFonts w:hint="eastAsia"/>
                <w:sz w:val="20"/>
              </w:rPr>
              <w:t>遗迹</w:t>
            </w:r>
          </w:p>
        </w:tc>
        <w:tc>
          <w:tcPr>
            <w:tcW w:w="549" w:type="pct"/>
            <w:vAlign w:val="center"/>
          </w:tcPr>
          <w:p w:rsidR="00000000" w:rsidRDefault="00000000">
            <w:pPr>
              <w:spacing w:before="40" w:after="20" w:line="288" w:lineRule="auto"/>
              <w:ind w:right="170"/>
              <w:jc w:val="right"/>
              <w:rPr>
                <w:sz w:val="18"/>
              </w:rPr>
            </w:pPr>
          </w:p>
        </w:tc>
        <w:tc>
          <w:tcPr>
            <w:tcW w:w="658" w:type="pct"/>
            <w:vAlign w:val="center"/>
          </w:tcPr>
          <w:p w:rsidR="00000000" w:rsidRDefault="00000000">
            <w:pPr>
              <w:spacing w:before="40" w:after="20" w:line="288" w:lineRule="auto"/>
              <w:ind w:right="227"/>
              <w:jc w:val="right"/>
              <w:rPr>
                <w:sz w:val="18"/>
              </w:rPr>
            </w:pPr>
            <w:r>
              <w:rPr>
                <w:sz w:val="18"/>
              </w:rPr>
              <w:t>877</w:t>
            </w:r>
          </w:p>
        </w:tc>
        <w:tc>
          <w:tcPr>
            <w:tcW w:w="494" w:type="pct"/>
            <w:vAlign w:val="center"/>
          </w:tcPr>
          <w:p w:rsidR="00000000" w:rsidRDefault="00000000">
            <w:pPr>
              <w:spacing w:before="40" w:after="20" w:line="288" w:lineRule="auto"/>
              <w:ind w:right="103"/>
              <w:jc w:val="right"/>
              <w:rPr>
                <w:sz w:val="18"/>
              </w:rPr>
            </w:pPr>
          </w:p>
        </w:tc>
        <w:tc>
          <w:tcPr>
            <w:tcW w:w="603" w:type="pct"/>
            <w:vAlign w:val="center"/>
          </w:tcPr>
          <w:p w:rsidR="00000000" w:rsidRDefault="00000000">
            <w:pPr>
              <w:spacing w:before="40" w:after="20" w:line="288" w:lineRule="auto"/>
              <w:rPr>
                <w:sz w:val="18"/>
              </w:rPr>
            </w:pPr>
          </w:p>
        </w:tc>
        <w:tc>
          <w:tcPr>
            <w:tcW w:w="604" w:type="pct"/>
            <w:vAlign w:val="center"/>
          </w:tcPr>
          <w:p w:rsidR="00000000" w:rsidRDefault="00000000">
            <w:pPr>
              <w:spacing w:before="40" w:after="20" w:line="288" w:lineRule="auto"/>
              <w:rPr>
                <w:sz w:val="18"/>
              </w:rPr>
            </w:pPr>
          </w:p>
        </w:tc>
        <w:tc>
          <w:tcPr>
            <w:tcW w:w="549" w:type="pct"/>
            <w:vAlign w:val="center"/>
          </w:tcPr>
          <w:p w:rsidR="00000000" w:rsidRDefault="00000000">
            <w:pPr>
              <w:spacing w:before="40" w:after="20" w:line="288" w:lineRule="auto"/>
              <w:ind w:right="170"/>
              <w:jc w:val="right"/>
              <w:rPr>
                <w:bCs/>
                <w:sz w:val="18"/>
              </w:rPr>
            </w:pPr>
            <w:r>
              <w:rPr>
                <w:bCs/>
                <w:sz w:val="18"/>
              </w:rPr>
              <w:t>877</w:t>
            </w:r>
          </w:p>
        </w:tc>
        <w:tc>
          <w:tcPr>
            <w:tcW w:w="499" w:type="pct"/>
            <w:vAlign w:val="center"/>
          </w:tcPr>
          <w:p w:rsidR="00000000" w:rsidRDefault="00000000">
            <w:pPr>
              <w:spacing w:before="40" w:after="20" w:line="288" w:lineRule="auto"/>
              <w:jc w:val="center"/>
              <w:rPr>
                <w:sz w:val="18"/>
              </w:rPr>
            </w:pPr>
          </w:p>
        </w:tc>
      </w:tr>
      <w:tr w:rsidR="00000000">
        <w:tblPrEx>
          <w:tblCellMar>
            <w:top w:w="0" w:type="dxa"/>
            <w:bottom w:w="0" w:type="dxa"/>
          </w:tblCellMar>
        </w:tblPrEx>
        <w:tc>
          <w:tcPr>
            <w:tcW w:w="1044" w:type="pct"/>
          </w:tcPr>
          <w:p w:rsidR="00000000" w:rsidRDefault="00000000">
            <w:pPr>
              <w:spacing w:before="40" w:after="20" w:line="288" w:lineRule="auto"/>
              <w:ind w:left="660" w:hanging="300"/>
              <w:jc w:val="left"/>
              <w:rPr>
                <w:rFonts w:hint="eastAsia"/>
                <w:sz w:val="20"/>
              </w:rPr>
            </w:pPr>
            <w:r>
              <w:rPr>
                <w:rFonts w:hint="eastAsia"/>
                <w:sz w:val="20"/>
              </w:rPr>
              <w:t>其他考古项目</w:t>
            </w:r>
          </w:p>
        </w:tc>
        <w:tc>
          <w:tcPr>
            <w:tcW w:w="549" w:type="pct"/>
            <w:vAlign w:val="center"/>
          </w:tcPr>
          <w:p w:rsidR="00000000" w:rsidRDefault="00000000">
            <w:pPr>
              <w:spacing w:before="40" w:after="20" w:line="288" w:lineRule="auto"/>
              <w:ind w:right="170"/>
              <w:jc w:val="right"/>
              <w:rPr>
                <w:bCs/>
                <w:sz w:val="18"/>
              </w:rPr>
            </w:pPr>
          </w:p>
        </w:tc>
        <w:tc>
          <w:tcPr>
            <w:tcW w:w="658" w:type="pct"/>
            <w:vAlign w:val="center"/>
          </w:tcPr>
          <w:p w:rsidR="00000000" w:rsidRDefault="00000000">
            <w:pPr>
              <w:spacing w:before="40" w:after="20" w:line="288" w:lineRule="auto"/>
              <w:ind w:right="227"/>
              <w:jc w:val="right"/>
              <w:rPr>
                <w:sz w:val="18"/>
              </w:rPr>
            </w:pPr>
            <w:r>
              <w:rPr>
                <w:sz w:val="18"/>
              </w:rPr>
              <w:t>3,810</w:t>
            </w:r>
          </w:p>
        </w:tc>
        <w:tc>
          <w:tcPr>
            <w:tcW w:w="494" w:type="pct"/>
            <w:vAlign w:val="center"/>
          </w:tcPr>
          <w:p w:rsidR="00000000" w:rsidRDefault="00000000">
            <w:pPr>
              <w:spacing w:before="40" w:after="20" w:line="288" w:lineRule="auto"/>
              <w:ind w:right="103"/>
              <w:jc w:val="right"/>
              <w:rPr>
                <w:bCs/>
                <w:sz w:val="18"/>
              </w:rPr>
            </w:pPr>
          </w:p>
        </w:tc>
        <w:tc>
          <w:tcPr>
            <w:tcW w:w="603" w:type="pct"/>
            <w:vAlign w:val="center"/>
          </w:tcPr>
          <w:p w:rsidR="00000000" w:rsidRDefault="00000000">
            <w:pPr>
              <w:spacing w:before="40" w:after="20" w:line="288" w:lineRule="auto"/>
              <w:rPr>
                <w:bCs/>
                <w:sz w:val="18"/>
              </w:rPr>
            </w:pPr>
          </w:p>
        </w:tc>
        <w:tc>
          <w:tcPr>
            <w:tcW w:w="604" w:type="pct"/>
            <w:vAlign w:val="center"/>
          </w:tcPr>
          <w:p w:rsidR="00000000" w:rsidRDefault="00000000">
            <w:pPr>
              <w:spacing w:before="40" w:after="20" w:line="288" w:lineRule="auto"/>
              <w:jc w:val="center"/>
              <w:rPr>
                <w:bCs/>
                <w:sz w:val="18"/>
              </w:rPr>
            </w:pPr>
          </w:p>
        </w:tc>
        <w:tc>
          <w:tcPr>
            <w:tcW w:w="549" w:type="pct"/>
            <w:vAlign w:val="center"/>
          </w:tcPr>
          <w:p w:rsidR="00000000" w:rsidRDefault="00000000">
            <w:pPr>
              <w:spacing w:before="40" w:after="20" w:line="288" w:lineRule="auto"/>
              <w:ind w:right="170"/>
              <w:jc w:val="right"/>
              <w:rPr>
                <w:bCs/>
                <w:sz w:val="18"/>
              </w:rPr>
            </w:pPr>
            <w:r>
              <w:rPr>
                <w:bCs/>
                <w:sz w:val="18"/>
              </w:rPr>
              <w:t>3,810</w:t>
            </w:r>
          </w:p>
        </w:tc>
        <w:tc>
          <w:tcPr>
            <w:tcW w:w="499" w:type="pct"/>
            <w:vAlign w:val="center"/>
          </w:tcPr>
          <w:p w:rsidR="00000000" w:rsidRDefault="00000000">
            <w:pPr>
              <w:spacing w:before="40" w:after="20" w:line="288" w:lineRule="auto"/>
              <w:jc w:val="center"/>
              <w:rPr>
                <w:bCs/>
                <w:sz w:val="18"/>
              </w:rPr>
            </w:pPr>
          </w:p>
        </w:tc>
      </w:tr>
      <w:tr w:rsidR="00000000">
        <w:tblPrEx>
          <w:tblCellMar>
            <w:top w:w="0" w:type="dxa"/>
            <w:bottom w:w="0" w:type="dxa"/>
          </w:tblCellMar>
        </w:tblPrEx>
        <w:tc>
          <w:tcPr>
            <w:tcW w:w="1044" w:type="pct"/>
          </w:tcPr>
          <w:p w:rsidR="00000000" w:rsidRDefault="00000000">
            <w:pPr>
              <w:spacing w:before="40" w:after="20" w:line="288" w:lineRule="auto"/>
              <w:ind w:left="660" w:hanging="300"/>
              <w:jc w:val="left"/>
              <w:rPr>
                <w:rFonts w:hint="eastAsia"/>
                <w:sz w:val="20"/>
              </w:rPr>
            </w:pPr>
            <w:r>
              <w:rPr>
                <w:rFonts w:hint="eastAsia"/>
                <w:sz w:val="20"/>
              </w:rPr>
              <w:t>总</w:t>
            </w:r>
            <w:r>
              <w:rPr>
                <w:rFonts w:hint="eastAsia"/>
                <w:sz w:val="20"/>
              </w:rPr>
              <w:t xml:space="preserve">  </w:t>
            </w:r>
            <w:r>
              <w:rPr>
                <w:rFonts w:hint="eastAsia"/>
                <w:sz w:val="20"/>
              </w:rPr>
              <w:t>计</w:t>
            </w:r>
          </w:p>
        </w:tc>
        <w:tc>
          <w:tcPr>
            <w:tcW w:w="549" w:type="pct"/>
            <w:vAlign w:val="center"/>
          </w:tcPr>
          <w:p w:rsidR="00000000" w:rsidRDefault="00000000">
            <w:pPr>
              <w:spacing w:before="40" w:after="20" w:line="288" w:lineRule="auto"/>
              <w:ind w:right="170"/>
              <w:jc w:val="right"/>
              <w:rPr>
                <w:bCs/>
                <w:sz w:val="18"/>
              </w:rPr>
            </w:pPr>
            <w:r>
              <w:rPr>
                <w:bCs/>
                <w:sz w:val="18"/>
              </w:rPr>
              <w:t>119,070</w:t>
            </w:r>
          </w:p>
        </w:tc>
        <w:tc>
          <w:tcPr>
            <w:tcW w:w="658" w:type="pct"/>
            <w:vAlign w:val="center"/>
          </w:tcPr>
          <w:p w:rsidR="00000000" w:rsidRDefault="00000000">
            <w:pPr>
              <w:spacing w:before="40" w:after="20" w:line="288" w:lineRule="auto"/>
              <w:ind w:right="227"/>
              <w:jc w:val="right"/>
              <w:rPr>
                <w:bCs/>
                <w:sz w:val="18"/>
              </w:rPr>
            </w:pPr>
            <w:r>
              <w:rPr>
                <w:bCs/>
                <w:sz w:val="18"/>
              </w:rPr>
              <w:t>24,698</w:t>
            </w:r>
          </w:p>
        </w:tc>
        <w:tc>
          <w:tcPr>
            <w:tcW w:w="494" w:type="pct"/>
            <w:vAlign w:val="center"/>
          </w:tcPr>
          <w:p w:rsidR="00000000" w:rsidRDefault="00000000">
            <w:pPr>
              <w:spacing w:before="40" w:after="20" w:line="288" w:lineRule="auto"/>
              <w:ind w:right="103"/>
              <w:jc w:val="right"/>
              <w:rPr>
                <w:bCs/>
                <w:sz w:val="18"/>
              </w:rPr>
            </w:pPr>
            <w:r>
              <w:rPr>
                <w:bCs/>
                <w:sz w:val="18"/>
              </w:rPr>
              <w:t>47,957</w:t>
            </w:r>
          </w:p>
        </w:tc>
        <w:tc>
          <w:tcPr>
            <w:tcW w:w="603" w:type="pct"/>
            <w:vAlign w:val="center"/>
          </w:tcPr>
          <w:p w:rsidR="00000000" w:rsidRDefault="00000000">
            <w:pPr>
              <w:spacing w:before="40" w:after="20" w:line="288" w:lineRule="auto"/>
              <w:jc w:val="center"/>
              <w:rPr>
                <w:bCs/>
                <w:sz w:val="18"/>
              </w:rPr>
            </w:pPr>
            <w:r>
              <w:rPr>
                <w:bCs/>
                <w:sz w:val="18"/>
              </w:rPr>
              <w:t>61,325</w:t>
            </w:r>
          </w:p>
        </w:tc>
        <w:tc>
          <w:tcPr>
            <w:tcW w:w="604" w:type="pct"/>
            <w:vAlign w:val="center"/>
          </w:tcPr>
          <w:p w:rsidR="00000000" w:rsidRDefault="00000000">
            <w:pPr>
              <w:spacing w:before="40" w:after="20" w:line="288" w:lineRule="auto"/>
              <w:jc w:val="center"/>
              <w:rPr>
                <w:bCs/>
                <w:sz w:val="18"/>
              </w:rPr>
            </w:pPr>
            <w:r>
              <w:rPr>
                <w:bCs/>
                <w:sz w:val="18"/>
              </w:rPr>
              <w:t>7,330</w:t>
            </w:r>
          </w:p>
        </w:tc>
        <w:tc>
          <w:tcPr>
            <w:tcW w:w="549" w:type="pct"/>
          </w:tcPr>
          <w:p w:rsidR="00000000" w:rsidRDefault="00000000">
            <w:pPr>
              <w:spacing w:before="40" w:after="20" w:line="288" w:lineRule="auto"/>
              <w:ind w:right="170"/>
              <w:jc w:val="right"/>
              <w:rPr>
                <w:rFonts w:hint="eastAsia"/>
                <w:sz w:val="20"/>
              </w:rPr>
            </w:pPr>
            <w:r>
              <w:rPr>
                <w:bCs/>
                <w:sz w:val="18"/>
              </w:rPr>
              <w:t>260,380</w:t>
            </w:r>
          </w:p>
        </w:tc>
        <w:tc>
          <w:tcPr>
            <w:tcW w:w="499" w:type="pct"/>
            <w:vAlign w:val="center"/>
          </w:tcPr>
          <w:p w:rsidR="00000000" w:rsidRDefault="00000000">
            <w:pPr>
              <w:spacing w:before="40" w:after="20" w:line="288" w:lineRule="auto"/>
              <w:jc w:val="center"/>
              <w:rPr>
                <w:bCs/>
                <w:sz w:val="18"/>
              </w:rPr>
            </w:pPr>
            <w:r>
              <w:rPr>
                <w:bCs/>
                <w:sz w:val="18"/>
              </w:rPr>
              <w:t>100</w:t>
            </w:r>
          </w:p>
        </w:tc>
      </w:tr>
    </w:tbl>
    <w:p w:rsidR="00000000" w:rsidRDefault="00000000">
      <w:pPr>
        <w:rPr>
          <w:rFonts w:hint="eastAsia"/>
        </w:rPr>
      </w:pPr>
    </w:p>
    <w:p w:rsidR="00000000" w:rsidRDefault="00000000">
      <w:pPr>
        <w:pStyle w:val="Heading3"/>
      </w:pPr>
      <w:r>
        <w:rPr>
          <w:rFonts w:hint="eastAsia"/>
        </w:rPr>
        <w:t>表</w:t>
      </w:r>
      <w:r>
        <w:rPr>
          <w:rFonts w:hint="eastAsia"/>
        </w:rPr>
        <w:t xml:space="preserve"> 25</w:t>
      </w:r>
    </w:p>
    <w:p w:rsidR="00000000" w:rsidRDefault="00000000">
      <w:pPr>
        <w:pStyle w:val="Heading3"/>
        <w:rPr>
          <w:rFonts w:hint="eastAsia"/>
          <w:u w:val="none"/>
        </w:rPr>
      </w:pPr>
      <w:r>
        <w:rPr>
          <w:rFonts w:hint="eastAsia"/>
        </w:rPr>
        <w:t>文化领域政府总支出</w:t>
      </w:r>
      <w:r>
        <w:br/>
      </w:r>
      <w:r>
        <w:rPr>
          <w:rFonts w:hint="eastAsia"/>
          <w:u w:val="none"/>
        </w:rPr>
        <w:t>1999</w:t>
      </w:r>
      <w:r>
        <w:rPr>
          <w:rFonts w:hint="eastAsia"/>
          <w:u w:val="none"/>
        </w:rPr>
        <w:t>年</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4"/>
        <w:gridCol w:w="1124"/>
        <w:gridCol w:w="1049"/>
        <w:gridCol w:w="1080"/>
        <w:gridCol w:w="1200"/>
        <w:gridCol w:w="1200"/>
        <w:gridCol w:w="1082"/>
        <w:gridCol w:w="942"/>
      </w:tblGrid>
      <w:tr w:rsidR="00000000">
        <w:tblPrEx>
          <w:tblCellMar>
            <w:top w:w="0" w:type="dxa"/>
            <w:bottom w:w="0" w:type="dxa"/>
          </w:tblCellMar>
        </w:tblPrEx>
        <w:tc>
          <w:tcPr>
            <w:tcW w:w="1894" w:type="dxa"/>
          </w:tcPr>
          <w:p w:rsidR="00000000" w:rsidRDefault="00000000">
            <w:pPr>
              <w:spacing w:before="180" w:after="20" w:line="240" w:lineRule="auto"/>
              <w:jc w:val="center"/>
              <w:rPr>
                <w:rFonts w:ascii="Time New Roman" w:eastAsia="SimHei" w:hAnsi="Time New Roman" w:hint="eastAsia"/>
                <w:sz w:val="20"/>
              </w:rPr>
            </w:pPr>
            <w:r>
              <w:rPr>
                <w:rFonts w:ascii="Time New Roman" w:eastAsia="SimHei" w:hAnsi="Time New Roman" w:hint="eastAsia"/>
                <w:sz w:val="20"/>
              </w:rPr>
              <w:t>按活动领域</w:t>
            </w:r>
          </w:p>
        </w:tc>
        <w:tc>
          <w:tcPr>
            <w:tcW w:w="1124" w:type="dxa"/>
          </w:tcPr>
          <w:p w:rsidR="00000000" w:rsidRDefault="00000000">
            <w:pPr>
              <w:spacing w:before="60" w:after="20" w:line="240" w:lineRule="auto"/>
              <w:ind w:right="-108"/>
              <w:jc w:val="center"/>
              <w:rPr>
                <w:rFonts w:ascii="Time New Roman" w:eastAsia="SimHei" w:hAnsi="Time New Roman" w:hint="eastAsia"/>
                <w:sz w:val="20"/>
              </w:rPr>
            </w:pPr>
            <w:r>
              <w:rPr>
                <w:rFonts w:ascii="Time New Roman" w:eastAsia="SimHei" w:hAnsi="Time New Roman" w:hint="eastAsia"/>
                <w:sz w:val="20"/>
              </w:rPr>
              <w:t>经常公共</w:t>
            </w:r>
            <w:r>
              <w:rPr>
                <w:rFonts w:ascii="Time New Roman" w:eastAsia="SimHei" w:hAnsi="Time New Roman"/>
                <w:sz w:val="20"/>
              </w:rPr>
              <w:br/>
            </w:r>
            <w:r>
              <w:rPr>
                <w:rFonts w:ascii="Time New Roman" w:eastAsia="SimHei" w:hAnsi="Time New Roman" w:hint="eastAsia"/>
                <w:sz w:val="20"/>
              </w:rPr>
              <w:t>预</w:t>
            </w:r>
            <w:r>
              <w:rPr>
                <w:rFonts w:ascii="Time New Roman" w:eastAsia="SimHei" w:hAnsi="Time New Roman" w:hint="eastAsia"/>
                <w:sz w:val="20"/>
              </w:rPr>
              <w:t xml:space="preserve"> </w:t>
            </w:r>
            <w:r>
              <w:rPr>
                <w:rFonts w:ascii="Time New Roman" w:eastAsia="SimHei" w:hAnsi="Time New Roman" w:hint="eastAsia"/>
                <w:sz w:val="20"/>
              </w:rPr>
              <w:t>算</w:t>
            </w:r>
          </w:p>
        </w:tc>
        <w:tc>
          <w:tcPr>
            <w:tcW w:w="1049" w:type="dxa"/>
          </w:tcPr>
          <w:p w:rsidR="00000000" w:rsidRDefault="00000000">
            <w:pPr>
              <w:spacing w:before="60" w:after="20" w:line="240" w:lineRule="auto"/>
              <w:ind w:right="-108"/>
              <w:jc w:val="center"/>
              <w:rPr>
                <w:rFonts w:ascii="Time New Roman" w:eastAsia="SimHei" w:hAnsi="Time New Roman" w:hint="eastAsia"/>
                <w:sz w:val="20"/>
              </w:rPr>
            </w:pPr>
            <w:r>
              <w:rPr>
                <w:rFonts w:ascii="Time New Roman" w:eastAsia="SimHei" w:hAnsi="Time New Roman" w:hint="eastAsia"/>
                <w:sz w:val="20"/>
              </w:rPr>
              <w:t>公</w:t>
            </w:r>
            <w:r>
              <w:rPr>
                <w:rFonts w:ascii="Time New Roman" w:eastAsia="SimHei" w:hAnsi="Time New Roman" w:hint="eastAsia"/>
                <w:sz w:val="20"/>
              </w:rPr>
              <w:t xml:space="preserve"> </w:t>
            </w:r>
            <w:r>
              <w:rPr>
                <w:rFonts w:ascii="Time New Roman" w:eastAsia="SimHei" w:hAnsi="Time New Roman" w:hint="eastAsia"/>
                <w:sz w:val="20"/>
              </w:rPr>
              <w:t>共</w:t>
            </w:r>
            <w:r>
              <w:rPr>
                <w:rFonts w:ascii="Time New Roman" w:eastAsia="SimHei" w:hAnsi="Time New Roman"/>
                <w:sz w:val="20"/>
              </w:rPr>
              <w:br/>
            </w:r>
            <w:r>
              <w:rPr>
                <w:rFonts w:ascii="Time New Roman" w:eastAsia="SimHei" w:hAnsi="Time New Roman" w:hint="eastAsia"/>
                <w:sz w:val="20"/>
              </w:rPr>
              <w:t>投资预算</w:t>
            </w:r>
          </w:p>
        </w:tc>
        <w:tc>
          <w:tcPr>
            <w:tcW w:w="1080" w:type="dxa"/>
          </w:tcPr>
          <w:p w:rsidR="00000000" w:rsidRDefault="00000000">
            <w:pPr>
              <w:spacing w:before="60" w:after="20" w:line="240" w:lineRule="auto"/>
              <w:ind w:right="170"/>
              <w:jc w:val="right"/>
              <w:rPr>
                <w:rFonts w:ascii="Time New Roman" w:eastAsia="SimHei" w:hAnsi="Time New Roman" w:hint="eastAsia"/>
                <w:sz w:val="20"/>
              </w:rPr>
            </w:pPr>
            <w:r>
              <w:rPr>
                <w:rFonts w:ascii="Time New Roman" w:eastAsia="SimHei" w:hAnsi="Time New Roman" w:hint="eastAsia"/>
                <w:sz w:val="20"/>
              </w:rPr>
              <w:t>公共</w:t>
            </w:r>
            <w:r>
              <w:rPr>
                <w:rFonts w:ascii="Time New Roman" w:eastAsia="SimHei" w:hAnsi="Time New Roman"/>
                <w:sz w:val="20"/>
              </w:rPr>
              <w:br/>
            </w:r>
            <w:r>
              <w:rPr>
                <w:rFonts w:ascii="Time New Roman" w:eastAsia="SimHei" w:hAnsi="Time New Roman" w:hint="eastAsia"/>
                <w:sz w:val="20"/>
              </w:rPr>
              <w:t>彩票</w:t>
            </w:r>
          </w:p>
        </w:tc>
        <w:tc>
          <w:tcPr>
            <w:tcW w:w="1200" w:type="dxa"/>
          </w:tcPr>
          <w:p w:rsidR="00000000" w:rsidRDefault="00000000">
            <w:pPr>
              <w:spacing w:before="60" w:after="20" w:line="240" w:lineRule="auto"/>
              <w:jc w:val="center"/>
              <w:rPr>
                <w:rFonts w:ascii="Time New Roman" w:eastAsia="SimHei" w:hAnsi="Time New Roman" w:hint="eastAsia"/>
                <w:sz w:val="20"/>
              </w:rPr>
            </w:pPr>
            <w:r>
              <w:rPr>
                <w:rFonts w:ascii="Time New Roman" w:eastAsia="SimHei" w:hAnsi="Time New Roman" w:hint="eastAsia"/>
                <w:sz w:val="20"/>
              </w:rPr>
              <w:t>欧洲联盟基</w:t>
            </w:r>
            <w:r>
              <w:rPr>
                <w:rFonts w:ascii="Time New Roman" w:eastAsia="SimHei" w:hAnsi="Time New Roman" w:hint="eastAsia"/>
                <w:sz w:val="20"/>
              </w:rPr>
              <w:t xml:space="preserve"> </w:t>
            </w:r>
            <w:r>
              <w:rPr>
                <w:rFonts w:ascii="Time New Roman" w:eastAsia="SimHei" w:hAnsi="Time New Roman" w:hint="eastAsia"/>
                <w:sz w:val="20"/>
              </w:rPr>
              <w:t>金</w:t>
            </w:r>
          </w:p>
        </w:tc>
        <w:tc>
          <w:tcPr>
            <w:tcW w:w="1200" w:type="dxa"/>
          </w:tcPr>
          <w:p w:rsidR="00000000" w:rsidRDefault="00000000">
            <w:pPr>
              <w:spacing w:before="60" w:after="20" w:line="240" w:lineRule="auto"/>
              <w:jc w:val="center"/>
              <w:rPr>
                <w:rFonts w:ascii="Time New Roman" w:eastAsia="SimHei" w:hAnsi="Time New Roman" w:hint="eastAsia"/>
                <w:sz w:val="20"/>
              </w:rPr>
            </w:pPr>
            <w:r>
              <w:rPr>
                <w:rFonts w:ascii="Time New Roman" w:eastAsia="SimHei" w:hAnsi="Time New Roman" w:hint="eastAsia"/>
                <w:sz w:val="20"/>
              </w:rPr>
              <w:t>考古资源基</w:t>
            </w:r>
            <w:r>
              <w:rPr>
                <w:rFonts w:ascii="Time New Roman" w:eastAsia="SimHei" w:hAnsi="Time New Roman" w:hint="eastAsia"/>
                <w:sz w:val="20"/>
              </w:rPr>
              <w:t xml:space="preserve"> </w:t>
            </w:r>
            <w:r>
              <w:rPr>
                <w:rFonts w:ascii="Time New Roman" w:eastAsia="SimHei" w:hAnsi="Time New Roman" w:hint="eastAsia"/>
                <w:sz w:val="20"/>
              </w:rPr>
              <w:t>金</w:t>
            </w:r>
          </w:p>
        </w:tc>
        <w:tc>
          <w:tcPr>
            <w:tcW w:w="1082" w:type="dxa"/>
          </w:tcPr>
          <w:p w:rsidR="00000000" w:rsidRDefault="00000000">
            <w:pPr>
              <w:spacing w:before="180" w:after="20" w:line="240" w:lineRule="auto"/>
              <w:ind w:right="170"/>
              <w:jc w:val="right"/>
              <w:rPr>
                <w:rFonts w:ascii="Time New Roman" w:eastAsia="SimHei" w:hAnsi="Time New Roman" w:hint="eastAsia"/>
                <w:sz w:val="20"/>
              </w:rPr>
            </w:pPr>
            <w:r>
              <w:rPr>
                <w:rFonts w:ascii="Time New Roman" w:eastAsia="SimHei" w:hAnsi="Time New Roman" w:hint="eastAsia"/>
                <w:sz w:val="20"/>
              </w:rPr>
              <w:t>共</w:t>
            </w:r>
            <w:r>
              <w:rPr>
                <w:rFonts w:ascii="Time New Roman" w:eastAsia="SimHei" w:hAnsi="Time New Roman" w:hint="eastAsia"/>
                <w:sz w:val="20"/>
              </w:rPr>
              <w:t xml:space="preserve"> </w:t>
            </w:r>
            <w:r>
              <w:rPr>
                <w:rFonts w:ascii="Time New Roman" w:eastAsia="SimHei" w:hAnsi="Time New Roman" w:hint="eastAsia"/>
                <w:sz w:val="20"/>
              </w:rPr>
              <w:t>计</w:t>
            </w:r>
          </w:p>
        </w:tc>
        <w:tc>
          <w:tcPr>
            <w:tcW w:w="942" w:type="dxa"/>
          </w:tcPr>
          <w:p w:rsidR="00000000" w:rsidRDefault="00000000">
            <w:pPr>
              <w:spacing w:before="180" w:after="20" w:line="240" w:lineRule="auto"/>
              <w:jc w:val="center"/>
              <w:rPr>
                <w:rFonts w:ascii="Time New Roman" w:eastAsia="SimHei" w:hAnsi="Time New Roman" w:hint="eastAsia"/>
                <w:sz w:val="20"/>
              </w:rPr>
            </w:pPr>
            <w:r>
              <w:rPr>
                <w:rFonts w:ascii="Time New Roman" w:eastAsia="SimHei" w:hAnsi="Time New Roman" w:hint="eastAsia"/>
                <w:sz w:val="20"/>
              </w:rPr>
              <w:t>百分比</w:t>
            </w:r>
          </w:p>
        </w:tc>
      </w:tr>
      <w:tr w:rsidR="00000000">
        <w:tblPrEx>
          <w:tblCellMar>
            <w:top w:w="0" w:type="dxa"/>
            <w:bottom w:w="0" w:type="dxa"/>
          </w:tblCellMar>
        </w:tblPrEx>
        <w:tc>
          <w:tcPr>
            <w:tcW w:w="1894" w:type="dxa"/>
          </w:tcPr>
          <w:p w:rsidR="00000000" w:rsidRDefault="00000000">
            <w:pPr>
              <w:spacing w:before="80" w:after="40" w:line="240" w:lineRule="auto"/>
              <w:ind w:right="170"/>
              <w:rPr>
                <w:rFonts w:hint="eastAsia"/>
                <w:sz w:val="20"/>
              </w:rPr>
            </w:pPr>
            <w:r>
              <w:rPr>
                <w:rFonts w:hint="eastAsia"/>
                <w:sz w:val="20"/>
              </w:rPr>
              <w:t>一、当代文化</w:t>
            </w:r>
          </w:p>
        </w:tc>
        <w:tc>
          <w:tcPr>
            <w:tcW w:w="1124" w:type="dxa"/>
          </w:tcPr>
          <w:p w:rsidR="00000000" w:rsidRDefault="00000000">
            <w:pPr>
              <w:spacing w:before="80" w:after="40" w:line="240" w:lineRule="auto"/>
              <w:ind w:right="170"/>
              <w:jc w:val="right"/>
              <w:rPr>
                <w:sz w:val="18"/>
              </w:rPr>
            </w:pPr>
            <w:r>
              <w:rPr>
                <w:sz w:val="18"/>
              </w:rPr>
              <w:t>43,030</w:t>
            </w:r>
          </w:p>
        </w:tc>
        <w:tc>
          <w:tcPr>
            <w:tcW w:w="1049" w:type="dxa"/>
          </w:tcPr>
          <w:p w:rsidR="00000000" w:rsidRDefault="00000000">
            <w:pPr>
              <w:spacing w:before="80" w:after="40" w:line="240" w:lineRule="auto"/>
              <w:ind w:right="170"/>
              <w:jc w:val="right"/>
              <w:rPr>
                <w:sz w:val="18"/>
              </w:rPr>
            </w:pPr>
            <w:r>
              <w:rPr>
                <w:sz w:val="18"/>
              </w:rPr>
              <w:t>13,030</w:t>
            </w:r>
          </w:p>
        </w:tc>
        <w:tc>
          <w:tcPr>
            <w:tcW w:w="1080" w:type="dxa"/>
          </w:tcPr>
          <w:p w:rsidR="00000000" w:rsidRDefault="00000000">
            <w:pPr>
              <w:spacing w:before="80" w:after="40" w:line="240" w:lineRule="auto"/>
              <w:ind w:right="170"/>
              <w:jc w:val="right"/>
              <w:rPr>
                <w:sz w:val="18"/>
              </w:rPr>
            </w:pPr>
            <w:r>
              <w:rPr>
                <w:sz w:val="18"/>
              </w:rPr>
              <w:t>30,303</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bCs/>
                <w:sz w:val="18"/>
              </w:rPr>
            </w:pPr>
            <w:r>
              <w:rPr>
                <w:bCs/>
                <w:sz w:val="18"/>
              </w:rPr>
              <w:t>86,363</w:t>
            </w:r>
          </w:p>
        </w:tc>
        <w:tc>
          <w:tcPr>
            <w:tcW w:w="942" w:type="dxa"/>
          </w:tcPr>
          <w:p w:rsidR="00000000" w:rsidRDefault="00000000">
            <w:pPr>
              <w:spacing w:before="80" w:after="40" w:line="240" w:lineRule="auto"/>
              <w:ind w:right="170"/>
              <w:jc w:val="right"/>
              <w:rPr>
                <w:sz w:val="18"/>
              </w:rPr>
            </w:pPr>
            <w:r>
              <w:rPr>
                <w:sz w:val="18"/>
              </w:rPr>
              <w:t>21.7</w:t>
            </w:r>
          </w:p>
        </w:tc>
      </w:tr>
      <w:tr w:rsidR="00000000">
        <w:tblPrEx>
          <w:tblCellMar>
            <w:top w:w="0" w:type="dxa"/>
            <w:bottom w:w="0" w:type="dxa"/>
          </w:tblCellMar>
        </w:tblPrEx>
        <w:tc>
          <w:tcPr>
            <w:tcW w:w="1894" w:type="dxa"/>
          </w:tcPr>
          <w:p w:rsidR="00000000" w:rsidRDefault="00000000">
            <w:pPr>
              <w:spacing w:before="80" w:after="40" w:line="240" w:lineRule="auto"/>
              <w:ind w:left="510" w:right="170" w:hanging="150"/>
              <w:rPr>
                <w:rFonts w:hint="eastAsia"/>
                <w:sz w:val="20"/>
              </w:rPr>
            </w:pPr>
            <w:r>
              <w:rPr>
                <w:rFonts w:hint="eastAsia"/>
                <w:sz w:val="20"/>
              </w:rPr>
              <w:t>美术</w:t>
            </w:r>
          </w:p>
        </w:tc>
        <w:tc>
          <w:tcPr>
            <w:tcW w:w="1124" w:type="dxa"/>
          </w:tcPr>
          <w:p w:rsidR="00000000" w:rsidRDefault="00000000">
            <w:pPr>
              <w:spacing w:before="80" w:after="40" w:line="240" w:lineRule="auto"/>
              <w:ind w:right="170"/>
              <w:jc w:val="right"/>
              <w:rPr>
                <w:sz w:val="18"/>
              </w:rPr>
            </w:pPr>
            <w:r>
              <w:rPr>
                <w:sz w:val="18"/>
              </w:rPr>
              <w:t>1,606</w:t>
            </w:r>
          </w:p>
        </w:tc>
        <w:tc>
          <w:tcPr>
            <w:tcW w:w="1049" w:type="dxa"/>
          </w:tcPr>
          <w:p w:rsidR="00000000" w:rsidRDefault="00000000">
            <w:pPr>
              <w:spacing w:before="80" w:after="40" w:line="240" w:lineRule="auto"/>
              <w:ind w:right="170"/>
              <w:jc w:val="right"/>
              <w:rPr>
                <w:sz w:val="18"/>
              </w:rPr>
            </w:pPr>
            <w:r>
              <w:rPr>
                <w:sz w:val="18"/>
              </w:rPr>
              <w:t>651</w:t>
            </w:r>
          </w:p>
        </w:tc>
        <w:tc>
          <w:tcPr>
            <w:tcW w:w="1080" w:type="dxa"/>
          </w:tcPr>
          <w:p w:rsidR="00000000" w:rsidRDefault="00000000">
            <w:pPr>
              <w:spacing w:before="80" w:after="40" w:line="240" w:lineRule="auto"/>
              <w:ind w:right="170"/>
              <w:jc w:val="right"/>
              <w:rPr>
                <w:sz w:val="18"/>
              </w:rPr>
            </w:pPr>
            <w:r>
              <w:rPr>
                <w:sz w:val="18"/>
              </w:rPr>
              <w:t>1,333</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bCs/>
                <w:sz w:val="18"/>
              </w:rPr>
            </w:pPr>
            <w:r>
              <w:rPr>
                <w:bCs/>
                <w:sz w:val="18"/>
              </w:rPr>
              <w:t>3,590</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4" w:type="dxa"/>
          </w:tcPr>
          <w:p w:rsidR="00000000" w:rsidRDefault="00000000">
            <w:pPr>
              <w:spacing w:before="80" w:after="40" w:line="240" w:lineRule="auto"/>
              <w:ind w:left="510" w:right="170" w:hanging="150"/>
              <w:rPr>
                <w:rFonts w:hint="eastAsia"/>
                <w:sz w:val="20"/>
              </w:rPr>
            </w:pPr>
            <w:r>
              <w:rPr>
                <w:rFonts w:hint="eastAsia"/>
                <w:sz w:val="20"/>
              </w:rPr>
              <w:t>戏剧和舞蹈</w:t>
            </w:r>
          </w:p>
        </w:tc>
        <w:tc>
          <w:tcPr>
            <w:tcW w:w="1124" w:type="dxa"/>
          </w:tcPr>
          <w:p w:rsidR="00000000" w:rsidRDefault="00000000">
            <w:pPr>
              <w:spacing w:before="80" w:after="40" w:line="240" w:lineRule="auto"/>
              <w:ind w:right="170"/>
              <w:jc w:val="right"/>
              <w:rPr>
                <w:sz w:val="18"/>
              </w:rPr>
            </w:pPr>
            <w:r>
              <w:rPr>
                <w:sz w:val="18"/>
              </w:rPr>
              <w:t>6,667</w:t>
            </w:r>
          </w:p>
        </w:tc>
        <w:tc>
          <w:tcPr>
            <w:tcW w:w="1049" w:type="dxa"/>
          </w:tcPr>
          <w:p w:rsidR="00000000" w:rsidRDefault="00000000">
            <w:pPr>
              <w:spacing w:before="80" w:after="40" w:line="240" w:lineRule="auto"/>
              <w:ind w:right="170"/>
              <w:jc w:val="right"/>
              <w:rPr>
                <w:sz w:val="18"/>
              </w:rPr>
            </w:pPr>
            <w:r>
              <w:rPr>
                <w:sz w:val="18"/>
              </w:rPr>
              <w:t>2,480</w:t>
            </w:r>
          </w:p>
        </w:tc>
        <w:tc>
          <w:tcPr>
            <w:tcW w:w="1080" w:type="dxa"/>
          </w:tcPr>
          <w:p w:rsidR="00000000" w:rsidRDefault="00000000">
            <w:pPr>
              <w:spacing w:before="80" w:after="40" w:line="240" w:lineRule="auto"/>
              <w:ind w:right="170"/>
              <w:jc w:val="right"/>
              <w:rPr>
                <w:sz w:val="18"/>
              </w:rPr>
            </w:pPr>
            <w:r>
              <w:rPr>
                <w:sz w:val="18"/>
              </w:rPr>
              <w:t>6,060</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bCs/>
                <w:sz w:val="18"/>
              </w:rPr>
            </w:pPr>
            <w:r>
              <w:rPr>
                <w:bCs/>
                <w:sz w:val="18"/>
              </w:rPr>
              <w:t>15,207</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4" w:type="dxa"/>
          </w:tcPr>
          <w:p w:rsidR="00000000" w:rsidRDefault="00000000">
            <w:pPr>
              <w:spacing w:before="80" w:after="40" w:line="240" w:lineRule="auto"/>
              <w:ind w:left="510" w:right="170" w:hanging="150"/>
              <w:rPr>
                <w:rFonts w:hint="eastAsia"/>
                <w:sz w:val="20"/>
              </w:rPr>
            </w:pPr>
            <w:r>
              <w:rPr>
                <w:rFonts w:hint="eastAsia"/>
                <w:sz w:val="20"/>
              </w:rPr>
              <w:t>音乐</w:t>
            </w:r>
          </w:p>
        </w:tc>
        <w:tc>
          <w:tcPr>
            <w:tcW w:w="1124" w:type="dxa"/>
          </w:tcPr>
          <w:p w:rsidR="00000000" w:rsidRDefault="00000000">
            <w:pPr>
              <w:spacing w:before="80" w:after="40" w:line="240" w:lineRule="auto"/>
              <w:ind w:right="170"/>
              <w:jc w:val="right"/>
              <w:rPr>
                <w:sz w:val="18"/>
              </w:rPr>
            </w:pPr>
            <w:r>
              <w:rPr>
                <w:sz w:val="18"/>
              </w:rPr>
              <w:t>22,728</w:t>
            </w:r>
          </w:p>
        </w:tc>
        <w:tc>
          <w:tcPr>
            <w:tcW w:w="1049" w:type="dxa"/>
          </w:tcPr>
          <w:p w:rsidR="00000000" w:rsidRDefault="00000000">
            <w:pPr>
              <w:spacing w:before="80" w:after="40" w:line="240" w:lineRule="auto"/>
              <w:ind w:right="170"/>
              <w:jc w:val="right"/>
              <w:rPr>
                <w:sz w:val="18"/>
              </w:rPr>
            </w:pPr>
            <w:r>
              <w:rPr>
                <w:sz w:val="18"/>
              </w:rPr>
              <w:t>2,060</w:t>
            </w:r>
          </w:p>
        </w:tc>
        <w:tc>
          <w:tcPr>
            <w:tcW w:w="1080" w:type="dxa"/>
          </w:tcPr>
          <w:p w:rsidR="00000000" w:rsidRDefault="00000000">
            <w:pPr>
              <w:spacing w:before="80" w:after="40" w:line="240" w:lineRule="auto"/>
              <w:ind w:right="170"/>
              <w:jc w:val="right"/>
              <w:rPr>
                <w:sz w:val="18"/>
              </w:rPr>
            </w:pPr>
            <w:r>
              <w:rPr>
                <w:sz w:val="18"/>
              </w:rPr>
              <w:t>3,030</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bCs/>
                <w:sz w:val="18"/>
              </w:rPr>
            </w:pPr>
            <w:r>
              <w:rPr>
                <w:bCs/>
                <w:sz w:val="18"/>
              </w:rPr>
              <w:t>27,818</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4" w:type="dxa"/>
          </w:tcPr>
          <w:p w:rsidR="00000000" w:rsidRDefault="00000000">
            <w:pPr>
              <w:spacing w:before="80" w:after="40" w:line="240" w:lineRule="auto"/>
              <w:ind w:left="510" w:right="170" w:hanging="150"/>
              <w:rPr>
                <w:rFonts w:hint="eastAsia"/>
                <w:sz w:val="20"/>
              </w:rPr>
            </w:pPr>
            <w:r>
              <w:rPr>
                <w:rFonts w:hint="eastAsia"/>
                <w:sz w:val="20"/>
              </w:rPr>
              <w:t>文学和图书</w:t>
            </w:r>
          </w:p>
        </w:tc>
        <w:tc>
          <w:tcPr>
            <w:tcW w:w="1124" w:type="dxa"/>
          </w:tcPr>
          <w:p w:rsidR="00000000" w:rsidRDefault="00000000">
            <w:pPr>
              <w:spacing w:before="80" w:after="40" w:line="240" w:lineRule="auto"/>
              <w:ind w:right="170"/>
              <w:jc w:val="right"/>
              <w:rPr>
                <w:sz w:val="18"/>
                <w:lang w:val="fr-FR"/>
              </w:rPr>
            </w:pPr>
            <w:r>
              <w:rPr>
                <w:sz w:val="18"/>
                <w:lang w:val="fr-FR"/>
              </w:rPr>
              <w:t>151</w:t>
            </w:r>
          </w:p>
        </w:tc>
        <w:tc>
          <w:tcPr>
            <w:tcW w:w="1049" w:type="dxa"/>
          </w:tcPr>
          <w:p w:rsidR="00000000" w:rsidRDefault="00000000">
            <w:pPr>
              <w:spacing w:before="80" w:after="40" w:line="240" w:lineRule="auto"/>
              <w:ind w:right="170"/>
              <w:jc w:val="right"/>
              <w:rPr>
                <w:sz w:val="18"/>
                <w:lang w:val="fr-FR"/>
              </w:rPr>
            </w:pPr>
            <w:r>
              <w:rPr>
                <w:sz w:val="18"/>
                <w:lang w:val="fr-FR"/>
              </w:rPr>
              <w:t>364</w:t>
            </w:r>
          </w:p>
        </w:tc>
        <w:tc>
          <w:tcPr>
            <w:tcW w:w="1080" w:type="dxa"/>
          </w:tcPr>
          <w:p w:rsidR="00000000" w:rsidRDefault="00000000">
            <w:pPr>
              <w:spacing w:before="80" w:after="40" w:line="240" w:lineRule="auto"/>
              <w:ind w:right="170"/>
              <w:jc w:val="right"/>
              <w:rPr>
                <w:sz w:val="18"/>
                <w:lang w:val="fr-FR"/>
              </w:rPr>
            </w:pPr>
            <w:r>
              <w:rPr>
                <w:sz w:val="18"/>
                <w:lang w:val="fr-FR"/>
              </w:rPr>
              <w:t>1,970</w:t>
            </w:r>
          </w:p>
        </w:tc>
        <w:tc>
          <w:tcPr>
            <w:tcW w:w="1200" w:type="dxa"/>
          </w:tcPr>
          <w:p w:rsidR="00000000" w:rsidRDefault="00000000">
            <w:pPr>
              <w:spacing w:before="80" w:after="40" w:line="240" w:lineRule="auto"/>
              <w:ind w:right="170"/>
              <w:jc w:val="right"/>
              <w:rPr>
                <w:sz w:val="18"/>
                <w:lang w:val="fr-FR"/>
              </w:rPr>
            </w:pPr>
          </w:p>
        </w:tc>
        <w:tc>
          <w:tcPr>
            <w:tcW w:w="1200" w:type="dxa"/>
          </w:tcPr>
          <w:p w:rsidR="00000000" w:rsidRDefault="00000000">
            <w:pPr>
              <w:spacing w:before="80" w:after="40" w:line="240" w:lineRule="auto"/>
              <w:ind w:right="170"/>
              <w:jc w:val="right"/>
              <w:rPr>
                <w:sz w:val="18"/>
                <w:lang w:val="fr-FR"/>
              </w:rPr>
            </w:pPr>
          </w:p>
        </w:tc>
        <w:tc>
          <w:tcPr>
            <w:tcW w:w="1082" w:type="dxa"/>
          </w:tcPr>
          <w:p w:rsidR="00000000" w:rsidRDefault="00000000">
            <w:pPr>
              <w:spacing w:before="80" w:after="40" w:line="240" w:lineRule="auto"/>
              <w:ind w:right="170"/>
              <w:jc w:val="right"/>
              <w:rPr>
                <w:bCs/>
                <w:sz w:val="18"/>
                <w:lang w:val="fr-FR"/>
              </w:rPr>
            </w:pPr>
            <w:r>
              <w:rPr>
                <w:bCs/>
                <w:sz w:val="18"/>
                <w:lang w:val="fr-FR"/>
              </w:rPr>
              <w:t>2,485</w:t>
            </w:r>
          </w:p>
        </w:tc>
        <w:tc>
          <w:tcPr>
            <w:tcW w:w="942" w:type="dxa"/>
          </w:tcPr>
          <w:p w:rsidR="00000000" w:rsidRDefault="00000000">
            <w:pPr>
              <w:spacing w:before="80" w:after="40" w:line="240" w:lineRule="auto"/>
              <w:ind w:right="170"/>
              <w:jc w:val="right"/>
              <w:rPr>
                <w:sz w:val="18"/>
                <w:lang w:val="fr-FR"/>
              </w:rPr>
            </w:pPr>
          </w:p>
        </w:tc>
      </w:tr>
      <w:tr w:rsidR="00000000">
        <w:tblPrEx>
          <w:tblCellMar>
            <w:top w:w="0" w:type="dxa"/>
            <w:bottom w:w="0" w:type="dxa"/>
          </w:tblCellMar>
        </w:tblPrEx>
        <w:tc>
          <w:tcPr>
            <w:tcW w:w="1894" w:type="dxa"/>
          </w:tcPr>
          <w:p w:rsidR="00000000" w:rsidRDefault="00000000">
            <w:pPr>
              <w:spacing w:before="80" w:after="40" w:line="240" w:lineRule="auto"/>
              <w:ind w:left="510" w:right="170" w:hanging="150"/>
              <w:rPr>
                <w:rFonts w:hint="eastAsia"/>
                <w:sz w:val="20"/>
              </w:rPr>
            </w:pPr>
            <w:r>
              <w:rPr>
                <w:rFonts w:hint="eastAsia"/>
                <w:sz w:val="20"/>
              </w:rPr>
              <w:t>民间艺术</w:t>
            </w:r>
          </w:p>
        </w:tc>
        <w:tc>
          <w:tcPr>
            <w:tcW w:w="1124" w:type="dxa"/>
          </w:tcPr>
          <w:p w:rsidR="00000000" w:rsidRDefault="00000000">
            <w:pPr>
              <w:spacing w:before="80" w:after="40" w:line="240" w:lineRule="auto"/>
              <w:ind w:right="170"/>
              <w:jc w:val="right"/>
              <w:rPr>
                <w:sz w:val="18"/>
                <w:lang w:val="fr-FR"/>
              </w:rPr>
            </w:pPr>
            <w:r>
              <w:rPr>
                <w:sz w:val="18"/>
                <w:lang w:val="fr-FR"/>
              </w:rPr>
              <w:t>606</w:t>
            </w:r>
          </w:p>
        </w:tc>
        <w:tc>
          <w:tcPr>
            <w:tcW w:w="1049" w:type="dxa"/>
          </w:tcPr>
          <w:p w:rsidR="00000000" w:rsidRDefault="00000000">
            <w:pPr>
              <w:spacing w:before="80" w:after="40" w:line="240" w:lineRule="auto"/>
              <w:ind w:right="170"/>
              <w:jc w:val="right"/>
              <w:rPr>
                <w:sz w:val="18"/>
                <w:lang w:val="fr-FR"/>
              </w:rPr>
            </w:pPr>
            <w:r>
              <w:rPr>
                <w:sz w:val="18"/>
                <w:lang w:val="fr-FR"/>
              </w:rPr>
              <w:t>952</w:t>
            </w:r>
          </w:p>
        </w:tc>
        <w:tc>
          <w:tcPr>
            <w:tcW w:w="1080" w:type="dxa"/>
          </w:tcPr>
          <w:p w:rsidR="00000000" w:rsidRDefault="00000000">
            <w:pPr>
              <w:spacing w:before="80" w:after="40" w:line="240" w:lineRule="auto"/>
              <w:ind w:right="170"/>
              <w:jc w:val="right"/>
              <w:rPr>
                <w:sz w:val="18"/>
                <w:lang w:val="fr-FR"/>
              </w:rPr>
            </w:pPr>
            <w:r>
              <w:rPr>
                <w:sz w:val="18"/>
                <w:lang w:val="fr-FR"/>
              </w:rPr>
              <w:t>1,425</w:t>
            </w:r>
          </w:p>
        </w:tc>
        <w:tc>
          <w:tcPr>
            <w:tcW w:w="1200" w:type="dxa"/>
          </w:tcPr>
          <w:p w:rsidR="00000000" w:rsidRDefault="00000000">
            <w:pPr>
              <w:spacing w:before="80" w:after="40" w:line="240" w:lineRule="auto"/>
              <w:ind w:right="170"/>
              <w:jc w:val="right"/>
              <w:rPr>
                <w:sz w:val="18"/>
                <w:lang w:val="fr-FR"/>
              </w:rPr>
            </w:pPr>
          </w:p>
        </w:tc>
        <w:tc>
          <w:tcPr>
            <w:tcW w:w="1200" w:type="dxa"/>
          </w:tcPr>
          <w:p w:rsidR="00000000" w:rsidRDefault="00000000">
            <w:pPr>
              <w:spacing w:before="80" w:after="40" w:line="240" w:lineRule="auto"/>
              <w:ind w:right="170"/>
              <w:jc w:val="right"/>
              <w:rPr>
                <w:sz w:val="18"/>
                <w:lang w:val="fr-FR"/>
              </w:rPr>
            </w:pPr>
          </w:p>
        </w:tc>
        <w:tc>
          <w:tcPr>
            <w:tcW w:w="1082" w:type="dxa"/>
          </w:tcPr>
          <w:p w:rsidR="00000000" w:rsidRDefault="00000000">
            <w:pPr>
              <w:spacing w:before="80" w:after="40" w:line="240" w:lineRule="auto"/>
              <w:ind w:right="170"/>
              <w:jc w:val="right"/>
              <w:rPr>
                <w:bCs/>
                <w:sz w:val="18"/>
                <w:lang w:val="fr-FR"/>
              </w:rPr>
            </w:pPr>
            <w:r>
              <w:rPr>
                <w:bCs/>
                <w:sz w:val="18"/>
                <w:lang w:val="fr-FR"/>
              </w:rPr>
              <w:t>2,983</w:t>
            </w:r>
          </w:p>
        </w:tc>
        <w:tc>
          <w:tcPr>
            <w:tcW w:w="942" w:type="dxa"/>
          </w:tcPr>
          <w:p w:rsidR="00000000" w:rsidRDefault="00000000">
            <w:pPr>
              <w:spacing w:before="80" w:after="40" w:line="240" w:lineRule="auto"/>
              <w:ind w:right="170"/>
              <w:jc w:val="right"/>
              <w:rPr>
                <w:sz w:val="18"/>
                <w:lang w:val="fr-FR"/>
              </w:rPr>
            </w:pPr>
          </w:p>
        </w:tc>
      </w:tr>
      <w:tr w:rsidR="00000000">
        <w:tblPrEx>
          <w:tblCellMar>
            <w:top w:w="0" w:type="dxa"/>
            <w:bottom w:w="0" w:type="dxa"/>
          </w:tblCellMar>
        </w:tblPrEx>
        <w:tc>
          <w:tcPr>
            <w:tcW w:w="1894" w:type="dxa"/>
          </w:tcPr>
          <w:p w:rsidR="00000000" w:rsidRDefault="00000000">
            <w:pPr>
              <w:spacing w:before="80" w:after="40" w:line="240" w:lineRule="auto"/>
              <w:ind w:left="510" w:right="170" w:hanging="150"/>
              <w:rPr>
                <w:rFonts w:hint="eastAsia"/>
                <w:sz w:val="20"/>
              </w:rPr>
            </w:pPr>
            <w:r>
              <w:rPr>
                <w:rFonts w:hint="eastAsia"/>
                <w:sz w:val="20"/>
              </w:rPr>
              <w:t>节日等</w:t>
            </w:r>
          </w:p>
        </w:tc>
        <w:tc>
          <w:tcPr>
            <w:tcW w:w="1124" w:type="dxa"/>
          </w:tcPr>
          <w:p w:rsidR="00000000" w:rsidRDefault="00000000">
            <w:pPr>
              <w:spacing w:before="80" w:after="40" w:line="240" w:lineRule="auto"/>
              <w:ind w:right="170"/>
              <w:jc w:val="right"/>
              <w:rPr>
                <w:sz w:val="18"/>
              </w:rPr>
            </w:pPr>
            <w:r>
              <w:rPr>
                <w:sz w:val="18"/>
              </w:rPr>
              <w:t>666</w:t>
            </w:r>
          </w:p>
        </w:tc>
        <w:tc>
          <w:tcPr>
            <w:tcW w:w="1049" w:type="dxa"/>
          </w:tcPr>
          <w:p w:rsidR="00000000" w:rsidRDefault="00000000">
            <w:pPr>
              <w:spacing w:before="80" w:after="40" w:line="240" w:lineRule="auto"/>
              <w:ind w:right="170"/>
              <w:jc w:val="right"/>
              <w:rPr>
                <w:sz w:val="18"/>
              </w:rPr>
            </w:pPr>
            <w:r>
              <w:rPr>
                <w:sz w:val="18"/>
              </w:rPr>
              <w:t>6,242</w:t>
            </w:r>
          </w:p>
        </w:tc>
        <w:tc>
          <w:tcPr>
            <w:tcW w:w="1080" w:type="dxa"/>
          </w:tcPr>
          <w:p w:rsidR="00000000" w:rsidRDefault="00000000">
            <w:pPr>
              <w:spacing w:before="80" w:after="40" w:line="240" w:lineRule="auto"/>
              <w:ind w:right="170"/>
              <w:jc w:val="right"/>
              <w:rPr>
                <w:sz w:val="18"/>
              </w:rPr>
            </w:pPr>
            <w:r>
              <w:rPr>
                <w:sz w:val="18"/>
              </w:rPr>
              <w:t>1,637</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bCs/>
                <w:sz w:val="18"/>
              </w:rPr>
            </w:pPr>
            <w:r>
              <w:rPr>
                <w:bCs/>
                <w:sz w:val="18"/>
              </w:rPr>
              <w:t>8,545</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4" w:type="dxa"/>
          </w:tcPr>
          <w:p w:rsidR="00000000" w:rsidRDefault="00000000">
            <w:pPr>
              <w:spacing w:before="80" w:after="40" w:line="240" w:lineRule="auto"/>
              <w:ind w:left="510" w:right="170" w:hanging="150"/>
              <w:rPr>
                <w:rFonts w:hint="eastAsia"/>
                <w:sz w:val="20"/>
              </w:rPr>
            </w:pPr>
            <w:r>
              <w:rPr>
                <w:rFonts w:hint="eastAsia"/>
                <w:sz w:val="20"/>
              </w:rPr>
              <w:t>电影</w:t>
            </w:r>
          </w:p>
        </w:tc>
        <w:tc>
          <w:tcPr>
            <w:tcW w:w="1124" w:type="dxa"/>
          </w:tcPr>
          <w:p w:rsidR="00000000" w:rsidRDefault="00000000">
            <w:pPr>
              <w:spacing w:before="80" w:after="40" w:line="240" w:lineRule="auto"/>
              <w:ind w:right="170"/>
              <w:jc w:val="right"/>
              <w:rPr>
                <w:sz w:val="18"/>
              </w:rPr>
            </w:pPr>
            <w:r>
              <w:rPr>
                <w:sz w:val="18"/>
              </w:rPr>
              <w:t>7,576</w:t>
            </w:r>
          </w:p>
        </w:tc>
        <w:tc>
          <w:tcPr>
            <w:tcW w:w="1049" w:type="dxa"/>
          </w:tcPr>
          <w:p w:rsidR="00000000" w:rsidRDefault="00000000">
            <w:pPr>
              <w:spacing w:before="80" w:after="40" w:line="240" w:lineRule="auto"/>
              <w:ind w:right="170"/>
              <w:jc w:val="right"/>
              <w:rPr>
                <w:sz w:val="18"/>
              </w:rPr>
            </w:pPr>
            <w:r>
              <w:rPr>
                <w:sz w:val="18"/>
              </w:rPr>
              <w:t>36</w:t>
            </w:r>
          </w:p>
        </w:tc>
        <w:tc>
          <w:tcPr>
            <w:tcW w:w="1080" w:type="dxa"/>
          </w:tcPr>
          <w:p w:rsidR="00000000" w:rsidRDefault="00000000">
            <w:pPr>
              <w:spacing w:before="80" w:after="40" w:line="240" w:lineRule="auto"/>
              <w:ind w:right="170"/>
              <w:jc w:val="right"/>
              <w:rPr>
                <w:sz w:val="18"/>
              </w:rPr>
            </w:pPr>
            <w:r>
              <w:rPr>
                <w:sz w:val="18"/>
              </w:rPr>
              <w:t>788</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bCs/>
                <w:sz w:val="18"/>
              </w:rPr>
            </w:pPr>
            <w:r>
              <w:rPr>
                <w:bCs/>
                <w:sz w:val="18"/>
              </w:rPr>
              <w:t>8,400</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4" w:type="dxa"/>
          </w:tcPr>
          <w:p w:rsidR="00000000" w:rsidRDefault="00000000">
            <w:pPr>
              <w:spacing w:before="80" w:after="40" w:line="240" w:lineRule="auto"/>
              <w:ind w:left="510" w:right="170" w:hanging="150"/>
              <w:rPr>
                <w:rFonts w:hint="eastAsia"/>
                <w:sz w:val="20"/>
              </w:rPr>
            </w:pPr>
            <w:r>
              <w:rPr>
                <w:rFonts w:hint="eastAsia"/>
                <w:sz w:val="20"/>
              </w:rPr>
              <w:t>其他</w:t>
            </w:r>
          </w:p>
        </w:tc>
        <w:tc>
          <w:tcPr>
            <w:tcW w:w="1124" w:type="dxa"/>
          </w:tcPr>
          <w:p w:rsidR="00000000" w:rsidRDefault="00000000">
            <w:pPr>
              <w:spacing w:before="80" w:after="40" w:line="240" w:lineRule="auto"/>
              <w:ind w:right="170"/>
              <w:jc w:val="right"/>
              <w:rPr>
                <w:sz w:val="18"/>
              </w:rPr>
            </w:pPr>
            <w:r>
              <w:rPr>
                <w:sz w:val="18"/>
              </w:rPr>
              <w:t>3,030</w:t>
            </w:r>
          </w:p>
        </w:tc>
        <w:tc>
          <w:tcPr>
            <w:tcW w:w="1049" w:type="dxa"/>
          </w:tcPr>
          <w:p w:rsidR="00000000" w:rsidRDefault="00000000">
            <w:pPr>
              <w:spacing w:before="80" w:after="40" w:line="240" w:lineRule="auto"/>
              <w:ind w:right="170"/>
              <w:jc w:val="right"/>
              <w:rPr>
                <w:sz w:val="18"/>
              </w:rPr>
            </w:pPr>
            <w:r>
              <w:rPr>
                <w:sz w:val="18"/>
              </w:rPr>
              <w:t>245</w:t>
            </w:r>
          </w:p>
        </w:tc>
        <w:tc>
          <w:tcPr>
            <w:tcW w:w="1080" w:type="dxa"/>
          </w:tcPr>
          <w:p w:rsidR="00000000" w:rsidRDefault="00000000">
            <w:pPr>
              <w:spacing w:before="80" w:after="40" w:line="240" w:lineRule="auto"/>
              <w:ind w:right="170"/>
              <w:jc w:val="right"/>
              <w:rPr>
                <w:sz w:val="18"/>
              </w:rPr>
            </w:pPr>
            <w:r>
              <w:rPr>
                <w:sz w:val="18"/>
              </w:rPr>
              <w:t>14,060</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bCs/>
                <w:sz w:val="18"/>
              </w:rPr>
            </w:pPr>
            <w:r>
              <w:rPr>
                <w:bCs/>
                <w:sz w:val="18"/>
              </w:rPr>
              <w:t>17,335</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4" w:type="dxa"/>
          </w:tcPr>
          <w:p w:rsidR="00000000" w:rsidRDefault="00000000">
            <w:pPr>
              <w:spacing w:before="80" w:after="40" w:line="240" w:lineRule="auto"/>
              <w:ind w:left="318" w:right="170" w:hanging="318"/>
              <w:rPr>
                <w:rFonts w:hint="eastAsia"/>
                <w:spacing w:val="0"/>
                <w:sz w:val="20"/>
              </w:rPr>
            </w:pPr>
            <w:r>
              <w:rPr>
                <w:rFonts w:hint="eastAsia"/>
                <w:spacing w:val="0"/>
                <w:sz w:val="20"/>
              </w:rPr>
              <w:t>二、支付服务费</w:t>
            </w:r>
            <w:r>
              <w:rPr>
                <w:spacing w:val="0"/>
                <w:sz w:val="20"/>
              </w:rPr>
              <w:br/>
            </w:r>
            <w:r>
              <w:rPr>
                <w:rFonts w:hint="eastAsia"/>
                <w:spacing w:val="-14"/>
                <w:sz w:val="20"/>
              </w:rPr>
              <w:t>(</w:t>
            </w:r>
            <w:r>
              <w:rPr>
                <w:rFonts w:hint="eastAsia"/>
                <w:spacing w:val="-14"/>
                <w:sz w:val="20"/>
              </w:rPr>
              <w:t>工资和薪水等</w:t>
            </w:r>
            <w:r>
              <w:rPr>
                <w:rFonts w:hint="eastAsia"/>
                <w:spacing w:val="-14"/>
                <w:sz w:val="20"/>
              </w:rPr>
              <w:t>)</w:t>
            </w:r>
          </w:p>
        </w:tc>
        <w:tc>
          <w:tcPr>
            <w:tcW w:w="1124" w:type="dxa"/>
          </w:tcPr>
          <w:p w:rsidR="00000000" w:rsidRDefault="00000000">
            <w:pPr>
              <w:spacing w:before="80" w:after="40" w:line="240" w:lineRule="auto"/>
              <w:ind w:right="170"/>
              <w:jc w:val="right"/>
              <w:rPr>
                <w:sz w:val="18"/>
              </w:rPr>
            </w:pPr>
            <w:r>
              <w:rPr>
                <w:sz w:val="18"/>
              </w:rPr>
              <w:t>93,334</w:t>
            </w:r>
          </w:p>
        </w:tc>
        <w:tc>
          <w:tcPr>
            <w:tcW w:w="1049"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bCs/>
                <w:sz w:val="18"/>
              </w:rPr>
            </w:pPr>
            <w:r>
              <w:rPr>
                <w:bCs/>
                <w:sz w:val="18"/>
              </w:rPr>
              <w:t>93,334</w:t>
            </w:r>
          </w:p>
        </w:tc>
        <w:tc>
          <w:tcPr>
            <w:tcW w:w="942" w:type="dxa"/>
          </w:tcPr>
          <w:p w:rsidR="00000000" w:rsidRDefault="00000000">
            <w:pPr>
              <w:spacing w:before="80" w:after="40" w:line="240" w:lineRule="auto"/>
              <w:ind w:right="170"/>
              <w:jc w:val="right"/>
              <w:rPr>
                <w:sz w:val="18"/>
              </w:rPr>
            </w:pPr>
            <w:r>
              <w:rPr>
                <w:sz w:val="18"/>
              </w:rPr>
              <w:t>23.5</w:t>
            </w:r>
          </w:p>
        </w:tc>
      </w:tr>
      <w:tr w:rsidR="00000000">
        <w:tblPrEx>
          <w:tblCellMar>
            <w:top w:w="0" w:type="dxa"/>
            <w:bottom w:w="0" w:type="dxa"/>
          </w:tblCellMar>
        </w:tblPrEx>
        <w:tc>
          <w:tcPr>
            <w:tcW w:w="1894" w:type="dxa"/>
          </w:tcPr>
          <w:p w:rsidR="00000000" w:rsidRDefault="00000000">
            <w:pPr>
              <w:spacing w:before="80" w:after="40" w:line="240" w:lineRule="auto"/>
              <w:ind w:left="150" w:right="170" w:hanging="150"/>
              <w:rPr>
                <w:rFonts w:hint="eastAsia"/>
                <w:sz w:val="20"/>
              </w:rPr>
            </w:pPr>
            <w:r>
              <w:rPr>
                <w:rFonts w:hint="eastAsia"/>
                <w:sz w:val="20"/>
              </w:rPr>
              <w:t>三、文化遗产</w:t>
            </w:r>
          </w:p>
        </w:tc>
        <w:tc>
          <w:tcPr>
            <w:tcW w:w="1124" w:type="dxa"/>
          </w:tcPr>
          <w:p w:rsidR="00000000" w:rsidRDefault="00000000">
            <w:pPr>
              <w:spacing w:before="80" w:after="40" w:line="240" w:lineRule="auto"/>
              <w:ind w:right="170"/>
              <w:jc w:val="right"/>
              <w:rPr>
                <w:sz w:val="18"/>
              </w:rPr>
            </w:pPr>
          </w:p>
        </w:tc>
        <w:tc>
          <w:tcPr>
            <w:tcW w:w="1049" w:type="dxa"/>
          </w:tcPr>
          <w:p w:rsidR="00000000" w:rsidRDefault="00000000">
            <w:pPr>
              <w:spacing w:before="80" w:after="40" w:line="240" w:lineRule="auto"/>
              <w:ind w:right="170"/>
              <w:jc w:val="right"/>
              <w:rPr>
                <w:sz w:val="18"/>
              </w:rPr>
            </w:pPr>
            <w:r>
              <w:rPr>
                <w:sz w:val="18"/>
              </w:rPr>
              <w:t>18,182</w:t>
            </w:r>
          </w:p>
        </w:tc>
        <w:tc>
          <w:tcPr>
            <w:tcW w:w="1080" w:type="dxa"/>
          </w:tcPr>
          <w:p w:rsidR="00000000" w:rsidRDefault="00000000">
            <w:pPr>
              <w:spacing w:before="80" w:after="40" w:line="240" w:lineRule="auto"/>
              <w:ind w:right="170"/>
              <w:jc w:val="right"/>
              <w:rPr>
                <w:sz w:val="18"/>
              </w:rPr>
            </w:pPr>
            <w:r>
              <w:rPr>
                <w:sz w:val="18"/>
              </w:rPr>
              <w:t>12,121</w:t>
            </w:r>
          </w:p>
        </w:tc>
        <w:tc>
          <w:tcPr>
            <w:tcW w:w="1200" w:type="dxa"/>
          </w:tcPr>
          <w:p w:rsidR="00000000" w:rsidRDefault="00000000">
            <w:pPr>
              <w:spacing w:before="80" w:after="40" w:line="240" w:lineRule="auto"/>
              <w:ind w:right="170"/>
              <w:jc w:val="right"/>
              <w:rPr>
                <w:sz w:val="18"/>
              </w:rPr>
            </w:pPr>
            <w:r>
              <w:rPr>
                <w:sz w:val="18"/>
              </w:rPr>
              <w:t>157,576</w:t>
            </w:r>
          </w:p>
        </w:tc>
        <w:tc>
          <w:tcPr>
            <w:tcW w:w="1200" w:type="dxa"/>
          </w:tcPr>
          <w:p w:rsidR="00000000" w:rsidRDefault="00000000">
            <w:pPr>
              <w:spacing w:before="80" w:after="40" w:line="240" w:lineRule="auto"/>
              <w:ind w:right="170"/>
              <w:jc w:val="right"/>
              <w:rPr>
                <w:sz w:val="18"/>
              </w:rPr>
            </w:pPr>
            <w:r>
              <w:rPr>
                <w:sz w:val="18"/>
              </w:rPr>
              <w:t>30,303</w:t>
            </w:r>
          </w:p>
        </w:tc>
        <w:tc>
          <w:tcPr>
            <w:tcW w:w="1082" w:type="dxa"/>
          </w:tcPr>
          <w:p w:rsidR="00000000" w:rsidRDefault="00000000">
            <w:pPr>
              <w:spacing w:before="80" w:after="40" w:line="240" w:lineRule="auto"/>
              <w:ind w:right="170"/>
              <w:jc w:val="right"/>
              <w:rPr>
                <w:bCs/>
                <w:sz w:val="18"/>
              </w:rPr>
            </w:pPr>
            <w:r>
              <w:rPr>
                <w:bCs/>
                <w:sz w:val="18"/>
              </w:rPr>
              <w:t>218,182</w:t>
            </w:r>
          </w:p>
        </w:tc>
        <w:tc>
          <w:tcPr>
            <w:tcW w:w="942" w:type="dxa"/>
          </w:tcPr>
          <w:p w:rsidR="00000000" w:rsidRDefault="00000000">
            <w:pPr>
              <w:spacing w:before="80" w:after="40" w:line="240" w:lineRule="auto"/>
              <w:ind w:right="170"/>
              <w:jc w:val="right"/>
              <w:rPr>
                <w:sz w:val="18"/>
              </w:rPr>
            </w:pPr>
            <w:r>
              <w:rPr>
                <w:sz w:val="18"/>
              </w:rPr>
              <w:t>54.8</w:t>
            </w:r>
          </w:p>
        </w:tc>
      </w:tr>
      <w:tr w:rsidR="00000000">
        <w:tblPrEx>
          <w:tblCellMar>
            <w:top w:w="0" w:type="dxa"/>
            <w:bottom w:w="0" w:type="dxa"/>
          </w:tblCellMar>
        </w:tblPrEx>
        <w:tc>
          <w:tcPr>
            <w:tcW w:w="1894" w:type="dxa"/>
          </w:tcPr>
          <w:p w:rsidR="00000000" w:rsidRDefault="00000000">
            <w:pPr>
              <w:spacing w:before="80" w:after="40" w:line="240" w:lineRule="auto"/>
              <w:ind w:left="660" w:right="170" w:hanging="300"/>
              <w:rPr>
                <w:rFonts w:hint="eastAsia"/>
                <w:sz w:val="20"/>
              </w:rPr>
            </w:pPr>
            <w:r>
              <w:rPr>
                <w:rFonts w:hint="eastAsia"/>
                <w:sz w:val="20"/>
              </w:rPr>
              <w:t>开掘</w:t>
            </w:r>
          </w:p>
        </w:tc>
        <w:tc>
          <w:tcPr>
            <w:tcW w:w="1124" w:type="dxa"/>
          </w:tcPr>
          <w:p w:rsidR="00000000" w:rsidRDefault="00000000">
            <w:pPr>
              <w:spacing w:before="80" w:after="40" w:line="240" w:lineRule="auto"/>
              <w:ind w:right="170"/>
              <w:jc w:val="right"/>
              <w:rPr>
                <w:sz w:val="18"/>
              </w:rPr>
            </w:pPr>
          </w:p>
        </w:tc>
        <w:tc>
          <w:tcPr>
            <w:tcW w:w="1049" w:type="dxa"/>
          </w:tcPr>
          <w:p w:rsidR="00000000" w:rsidRDefault="00000000">
            <w:pPr>
              <w:spacing w:before="80" w:after="40" w:line="240" w:lineRule="auto"/>
              <w:ind w:right="170"/>
              <w:jc w:val="right"/>
              <w:rPr>
                <w:sz w:val="18"/>
              </w:rPr>
            </w:pPr>
            <w:r>
              <w:rPr>
                <w:sz w:val="18"/>
              </w:rPr>
              <w:t>2,122</w:t>
            </w:r>
          </w:p>
        </w:tc>
        <w:tc>
          <w:tcPr>
            <w:tcW w:w="108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rFonts w:hint="eastAsia"/>
                <w:bCs/>
                <w:sz w:val="18"/>
              </w:rPr>
            </w:pP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4" w:type="dxa"/>
          </w:tcPr>
          <w:p w:rsidR="00000000" w:rsidRDefault="00000000">
            <w:pPr>
              <w:spacing w:before="80" w:after="40" w:line="240" w:lineRule="auto"/>
              <w:ind w:left="660" w:right="170" w:hanging="300"/>
              <w:rPr>
                <w:rFonts w:hint="eastAsia"/>
                <w:sz w:val="20"/>
              </w:rPr>
            </w:pPr>
            <w:r>
              <w:rPr>
                <w:rFonts w:hint="eastAsia"/>
                <w:sz w:val="20"/>
              </w:rPr>
              <w:t>博物馆</w:t>
            </w:r>
          </w:p>
        </w:tc>
        <w:tc>
          <w:tcPr>
            <w:tcW w:w="1124" w:type="dxa"/>
          </w:tcPr>
          <w:p w:rsidR="00000000" w:rsidRDefault="00000000">
            <w:pPr>
              <w:spacing w:before="80" w:after="40" w:line="240" w:lineRule="auto"/>
              <w:ind w:right="170"/>
              <w:jc w:val="right"/>
              <w:rPr>
                <w:sz w:val="18"/>
              </w:rPr>
            </w:pPr>
          </w:p>
        </w:tc>
        <w:tc>
          <w:tcPr>
            <w:tcW w:w="1049" w:type="dxa"/>
          </w:tcPr>
          <w:p w:rsidR="00000000" w:rsidRDefault="00000000">
            <w:pPr>
              <w:spacing w:before="80" w:after="40" w:line="240" w:lineRule="auto"/>
              <w:ind w:right="170"/>
              <w:jc w:val="right"/>
              <w:rPr>
                <w:sz w:val="18"/>
              </w:rPr>
            </w:pPr>
            <w:r>
              <w:rPr>
                <w:sz w:val="18"/>
              </w:rPr>
              <w:t>3,636</w:t>
            </w:r>
          </w:p>
        </w:tc>
        <w:tc>
          <w:tcPr>
            <w:tcW w:w="108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rFonts w:hint="eastAsia"/>
                <w:bCs/>
                <w:sz w:val="18"/>
              </w:rPr>
            </w:pP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4" w:type="dxa"/>
          </w:tcPr>
          <w:p w:rsidR="00000000" w:rsidRDefault="00000000">
            <w:pPr>
              <w:spacing w:before="80" w:after="40" w:line="240" w:lineRule="auto"/>
              <w:ind w:left="660" w:right="170" w:hanging="300"/>
              <w:rPr>
                <w:rFonts w:hint="eastAsia"/>
                <w:sz w:val="20"/>
              </w:rPr>
            </w:pPr>
            <w:r>
              <w:rPr>
                <w:rFonts w:hint="eastAsia"/>
                <w:sz w:val="20"/>
              </w:rPr>
              <w:t>遗迹</w:t>
            </w:r>
          </w:p>
        </w:tc>
        <w:tc>
          <w:tcPr>
            <w:tcW w:w="1124" w:type="dxa"/>
          </w:tcPr>
          <w:p w:rsidR="00000000" w:rsidRDefault="00000000">
            <w:pPr>
              <w:spacing w:before="80" w:after="40" w:line="240" w:lineRule="auto"/>
              <w:ind w:right="170"/>
              <w:jc w:val="right"/>
              <w:rPr>
                <w:sz w:val="18"/>
              </w:rPr>
            </w:pPr>
          </w:p>
        </w:tc>
        <w:tc>
          <w:tcPr>
            <w:tcW w:w="1049" w:type="dxa"/>
          </w:tcPr>
          <w:p w:rsidR="00000000" w:rsidRDefault="00000000">
            <w:pPr>
              <w:spacing w:before="80" w:after="40" w:line="240" w:lineRule="auto"/>
              <w:ind w:right="170"/>
              <w:jc w:val="right"/>
              <w:rPr>
                <w:sz w:val="18"/>
              </w:rPr>
            </w:pPr>
            <w:r>
              <w:rPr>
                <w:sz w:val="18"/>
              </w:rPr>
              <w:t>2,000</w:t>
            </w:r>
          </w:p>
        </w:tc>
        <w:tc>
          <w:tcPr>
            <w:tcW w:w="108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2" w:type="dxa"/>
          </w:tcPr>
          <w:p w:rsidR="00000000" w:rsidRDefault="00000000">
            <w:pPr>
              <w:spacing w:before="80" w:after="40" w:line="240" w:lineRule="auto"/>
              <w:ind w:right="170"/>
              <w:jc w:val="right"/>
              <w:rPr>
                <w:rFonts w:hint="eastAsia"/>
                <w:bCs/>
                <w:sz w:val="18"/>
              </w:rPr>
            </w:pP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4" w:type="dxa"/>
          </w:tcPr>
          <w:p w:rsidR="00000000" w:rsidRDefault="00000000">
            <w:pPr>
              <w:spacing w:before="80" w:after="40" w:line="240" w:lineRule="auto"/>
              <w:ind w:left="660" w:right="170" w:hanging="300"/>
              <w:rPr>
                <w:rFonts w:hint="eastAsia"/>
                <w:spacing w:val="-8"/>
                <w:sz w:val="20"/>
              </w:rPr>
            </w:pPr>
            <w:r>
              <w:rPr>
                <w:rFonts w:hint="eastAsia"/>
                <w:spacing w:val="-8"/>
                <w:sz w:val="20"/>
              </w:rPr>
              <w:t>其他考古项目</w:t>
            </w:r>
          </w:p>
        </w:tc>
        <w:tc>
          <w:tcPr>
            <w:tcW w:w="1124" w:type="dxa"/>
          </w:tcPr>
          <w:p w:rsidR="00000000" w:rsidRDefault="00000000">
            <w:pPr>
              <w:spacing w:before="80" w:after="40" w:line="240" w:lineRule="auto"/>
              <w:ind w:right="170"/>
              <w:jc w:val="right"/>
              <w:rPr>
                <w:bCs/>
                <w:sz w:val="18"/>
              </w:rPr>
            </w:pPr>
          </w:p>
        </w:tc>
        <w:tc>
          <w:tcPr>
            <w:tcW w:w="1049" w:type="dxa"/>
          </w:tcPr>
          <w:p w:rsidR="00000000" w:rsidRDefault="00000000">
            <w:pPr>
              <w:spacing w:before="80" w:after="40" w:line="240" w:lineRule="auto"/>
              <w:ind w:right="170"/>
              <w:jc w:val="right"/>
              <w:rPr>
                <w:sz w:val="18"/>
              </w:rPr>
            </w:pPr>
            <w:r>
              <w:rPr>
                <w:sz w:val="18"/>
              </w:rPr>
              <w:t>2,303</w:t>
            </w:r>
          </w:p>
        </w:tc>
        <w:tc>
          <w:tcPr>
            <w:tcW w:w="1080" w:type="dxa"/>
          </w:tcPr>
          <w:p w:rsidR="00000000" w:rsidRDefault="00000000">
            <w:pPr>
              <w:spacing w:before="80" w:after="40" w:line="240" w:lineRule="auto"/>
              <w:ind w:right="170"/>
              <w:jc w:val="right"/>
              <w:rPr>
                <w:bCs/>
                <w:sz w:val="18"/>
              </w:rPr>
            </w:pPr>
          </w:p>
        </w:tc>
        <w:tc>
          <w:tcPr>
            <w:tcW w:w="1200" w:type="dxa"/>
          </w:tcPr>
          <w:p w:rsidR="00000000" w:rsidRDefault="00000000">
            <w:pPr>
              <w:spacing w:before="80" w:after="40" w:line="240" w:lineRule="auto"/>
              <w:ind w:right="170"/>
              <w:jc w:val="right"/>
              <w:rPr>
                <w:bCs/>
                <w:sz w:val="18"/>
              </w:rPr>
            </w:pPr>
          </w:p>
        </w:tc>
        <w:tc>
          <w:tcPr>
            <w:tcW w:w="1200" w:type="dxa"/>
          </w:tcPr>
          <w:p w:rsidR="00000000" w:rsidRDefault="00000000">
            <w:pPr>
              <w:spacing w:before="80" w:after="40" w:line="240" w:lineRule="auto"/>
              <w:ind w:right="170"/>
              <w:jc w:val="right"/>
              <w:rPr>
                <w:bCs/>
                <w:sz w:val="18"/>
              </w:rPr>
            </w:pPr>
          </w:p>
        </w:tc>
        <w:tc>
          <w:tcPr>
            <w:tcW w:w="1082" w:type="dxa"/>
          </w:tcPr>
          <w:p w:rsidR="00000000" w:rsidRDefault="00000000">
            <w:pPr>
              <w:spacing w:before="80" w:after="40" w:line="240" w:lineRule="auto"/>
              <w:ind w:right="170"/>
              <w:jc w:val="right"/>
              <w:rPr>
                <w:bCs/>
                <w:sz w:val="18"/>
              </w:rPr>
            </w:pPr>
          </w:p>
        </w:tc>
        <w:tc>
          <w:tcPr>
            <w:tcW w:w="942" w:type="dxa"/>
          </w:tcPr>
          <w:p w:rsidR="00000000" w:rsidRDefault="00000000">
            <w:pPr>
              <w:spacing w:before="80" w:after="40" w:line="240" w:lineRule="auto"/>
              <w:ind w:right="170"/>
              <w:jc w:val="right"/>
              <w:rPr>
                <w:bCs/>
                <w:sz w:val="18"/>
              </w:rPr>
            </w:pPr>
          </w:p>
        </w:tc>
      </w:tr>
      <w:tr w:rsidR="00000000">
        <w:tblPrEx>
          <w:tblCellMar>
            <w:top w:w="0" w:type="dxa"/>
            <w:bottom w:w="0" w:type="dxa"/>
          </w:tblCellMar>
        </w:tblPrEx>
        <w:tc>
          <w:tcPr>
            <w:tcW w:w="1894" w:type="dxa"/>
          </w:tcPr>
          <w:p w:rsidR="00000000" w:rsidRDefault="00000000">
            <w:pPr>
              <w:spacing w:before="80" w:after="40" w:line="240" w:lineRule="auto"/>
              <w:ind w:left="660" w:right="170" w:hanging="300"/>
              <w:jc w:val="center"/>
              <w:rPr>
                <w:rFonts w:hint="eastAsia"/>
                <w:sz w:val="20"/>
              </w:rPr>
            </w:pPr>
            <w:r>
              <w:rPr>
                <w:rFonts w:hint="eastAsia"/>
                <w:sz w:val="20"/>
              </w:rPr>
              <w:t>总</w:t>
            </w:r>
            <w:r>
              <w:rPr>
                <w:rFonts w:hint="eastAsia"/>
                <w:sz w:val="20"/>
              </w:rPr>
              <w:t xml:space="preserve">  </w:t>
            </w:r>
            <w:r>
              <w:rPr>
                <w:rFonts w:hint="eastAsia"/>
                <w:sz w:val="20"/>
              </w:rPr>
              <w:t>计</w:t>
            </w:r>
          </w:p>
        </w:tc>
        <w:tc>
          <w:tcPr>
            <w:tcW w:w="1124" w:type="dxa"/>
          </w:tcPr>
          <w:p w:rsidR="00000000" w:rsidRDefault="00000000">
            <w:pPr>
              <w:spacing w:before="80" w:after="40" w:line="240" w:lineRule="auto"/>
              <w:ind w:right="170"/>
              <w:jc w:val="right"/>
              <w:rPr>
                <w:bCs/>
                <w:sz w:val="18"/>
              </w:rPr>
            </w:pPr>
            <w:r>
              <w:rPr>
                <w:bCs/>
                <w:sz w:val="18"/>
              </w:rPr>
              <w:t>136,364</w:t>
            </w:r>
          </w:p>
        </w:tc>
        <w:tc>
          <w:tcPr>
            <w:tcW w:w="1049" w:type="dxa"/>
          </w:tcPr>
          <w:p w:rsidR="00000000" w:rsidRDefault="00000000">
            <w:pPr>
              <w:spacing w:before="80" w:after="40" w:line="240" w:lineRule="auto"/>
              <w:ind w:right="170"/>
              <w:jc w:val="right"/>
              <w:rPr>
                <w:bCs/>
                <w:sz w:val="18"/>
              </w:rPr>
            </w:pPr>
            <w:r>
              <w:rPr>
                <w:bCs/>
                <w:sz w:val="18"/>
              </w:rPr>
              <w:t>31,212</w:t>
            </w:r>
          </w:p>
        </w:tc>
        <w:tc>
          <w:tcPr>
            <w:tcW w:w="1080" w:type="dxa"/>
          </w:tcPr>
          <w:p w:rsidR="00000000" w:rsidRDefault="00000000">
            <w:pPr>
              <w:spacing w:before="80" w:after="40" w:line="240" w:lineRule="auto"/>
              <w:ind w:right="170"/>
              <w:jc w:val="right"/>
              <w:rPr>
                <w:bCs/>
                <w:sz w:val="18"/>
              </w:rPr>
            </w:pPr>
            <w:r>
              <w:rPr>
                <w:bCs/>
                <w:sz w:val="18"/>
              </w:rPr>
              <w:t>42,424</w:t>
            </w:r>
          </w:p>
        </w:tc>
        <w:tc>
          <w:tcPr>
            <w:tcW w:w="1200" w:type="dxa"/>
          </w:tcPr>
          <w:p w:rsidR="00000000" w:rsidRDefault="00000000">
            <w:pPr>
              <w:spacing w:before="80" w:after="40" w:line="240" w:lineRule="auto"/>
              <w:ind w:right="170"/>
              <w:jc w:val="right"/>
              <w:rPr>
                <w:bCs/>
                <w:sz w:val="18"/>
              </w:rPr>
            </w:pPr>
            <w:r>
              <w:rPr>
                <w:bCs/>
                <w:sz w:val="18"/>
              </w:rPr>
              <w:t>157,576</w:t>
            </w:r>
          </w:p>
        </w:tc>
        <w:tc>
          <w:tcPr>
            <w:tcW w:w="1200" w:type="dxa"/>
          </w:tcPr>
          <w:p w:rsidR="00000000" w:rsidRDefault="00000000">
            <w:pPr>
              <w:spacing w:before="80" w:after="40" w:line="240" w:lineRule="auto"/>
              <w:ind w:right="170"/>
              <w:jc w:val="right"/>
              <w:rPr>
                <w:bCs/>
                <w:sz w:val="18"/>
              </w:rPr>
            </w:pPr>
            <w:r>
              <w:rPr>
                <w:bCs/>
                <w:sz w:val="18"/>
              </w:rPr>
              <w:t>30,303</w:t>
            </w:r>
          </w:p>
        </w:tc>
        <w:tc>
          <w:tcPr>
            <w:tcW w:w="1082" w:type="dxa"/>
          </w:tcPr>
          <w:p w:rsidR="00000000" w:rsidRDefault="00000000">
            <w:pPr>
              <w:spacing w:before="80" w:after="40" w:line="240" w:lineRule="auto"/>
              <w:ind w:right="170"/>
              <w:jc w:val="right"/>
              <w:rPr>
                <w:bCs/>
                <w:sz w:val="18"/>
              </w:rPr>
            </w:pPr>
            <w:r>
              <w:rPr>
                <w:bCs/>
                <w:sz w:val="18"/>
              </w:rPr>
              <w:t>397,879</w:t>
            </w:r>
          </w:p>
        </w:tc>
        <w:tc>
          <w:tcPr>
            <w:tcW w:w="942" w:type="dxa"/>
          </w:tcPr>
          <w:p w:rsidR="00000000" w:rsidRDefault="00000000">
            <w:pPr>
              <w:spacing w:before="80" w:after="40" w:line="240" w:lineRule="auto"/>
              <w:ind w:right="170"/>
              <w:jc w:val="right"/>
              <w:rPr>
                <w:bCs/>
                <w:sz w:val="18"/>
              </w:rPr>
            </w:pPr>
            <w:r>
              <w:rPr>
                <w:bCs/>
                <w:sz w:val="18"/>
              </w:rPr>
              <w:t>100</w:t>
            </w:r>
          </w:p>
        </w:tc>
      </w:tr>
    </w:tbl>
    <w:p w:rsidR="00000000" w:rsidRDefault="00000000">
      <w:pPr>
        <w:rPr>
          <w:rFonts w:hint="eastAsia"/>
        </w:rPr>
      </w:pPr>
    </w:p>
    <w:p w:rsidR="00000000" w:rsidRDefault="00000000">
      <w:pPr>
        <w:pStyle w:val="Heading3"/>
        <w:spacing w:after="160"/>
      </w:pPr>
      <w:r>
        <w:br w:type="page"/>
      </w:r>
      <w:r>
        <w:rPr>
          <w:rFonts w:hint="eastAsia"/>
        </w:rPr>
        <w:t>表</w:t>
      </w:r>
      <w:r>
        <w:rPr>
          <w:rFonts w:hint="eastAsia"/>
        </w:rPr>
        <w:t xml:space="preserve"> 26</w:t>
      </w:r>
    </w:p>
    <w:p w:rsidR="00000000" w:rsidRDefault="00000000">
      <w:pPr>
        <w:pStyle w:val="Heading3"/>
        <w:rPr>
          <w:rFonts w:hint="eastAsia"/>
          <w:u w:val="none"/>
        </w:rPr>
      </w:pPr>
      <w:r>
        <w:rPr>
          <w:rFonts w:hint="eastAsia"/>
        </w:rPr>
        <w:t>文化领域政府总支出</w:t>
      </w:r>
      <w:r>
        <w:br/>
      </w:r>
      <w:r>
        <w:rPr>
          <w:rFonts w:hint="eastAsia"/>
          <w:u w:val="none"/>
        </w:rPr>
        <w:t>2000</w:t>
      </w:r>
      <w:r>
        <w:rPr>
          <w:rFonts w:hint="eastAsia"/>
          <w:u w:val="none"/>
        </w:rPr>
        <w:t>年</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6"/>
        <w:gridCol w:w="1092"/>
        <w:gridCol w:w="1080"/>
        <w:gridCol w:w="1080"/>
        <w:gridCol w:w="1200"/>
        <w:gridCol w:w="1200"/>
        <w:gridCol w:w="1081"/>
        <w:gridCol w:w="942"/>
      </w:tblGrid>
      <w:tr w:rsidR="00000000">
        <w:tblPrEx>
          <w:tblCellMar>
            <w:top w:w="0" w:type="dxa"/>
            <w:bottom w:w="0" w:type="dxa"/>
          </w:tblCellMar>
        </w:tblPrEx>
        <w:tc>
          <w:tcPr>
            <w:tcW w:w="1896" w:type="dxa"/>
          </w:tcPr>
          <w:p w:rsidR="00000000" w:rsidRDefault="00000000">
            <w:pPr>
              <w:spacing w:before="180" w:after="20" w:line="240" w:lineRule="auto"/>
              <w:jc w:val="center"/>
              <w:rPr>
                <w:rFonts w:ascii="Time New Roman" w:eastAsia="SimHei" w:hAnsi="Time New Roman" w:hint="eastAsia"/>
                <w:sz w:val="20"/>
              </w:rPr>
            </w:pPr>
            <w:r>
              <w:rPr>
                <w:rFonts w:ascii="Time New Roman" w:eastAsia="SimHei" w:hAnsi="Time New Roman" w:hint="eastAsia"/>
                <w:sz w:val="20"/>
              </w:rPr>
              <w:t>按活动领域</w:t>
            </w:r>
          </w:p>
        </w:tc>
        <w:tc>
          <w:tcPr>
            <w:tcW w:w="1092" w:type="dxa"/>
          </w:tcPr>
          <w:p w:rsidR="00000000" w:rsidRDefault="00000000">
            <w:pPr>
              <w:spacing w:before="60" w:after="20" w:line="240" w:lineRule="auto"/>
              <w:ind w:right="-108"/>
              <w:jc w:val="center"/>
              <w:rPr>
                <w:rFonts w:ascii="Time New Roman" w:eastAsia="SimHei" w:hAnsi="Time New Roman" w:hint="eastAsia"/>
                <w:sz w:val="20"/>
              </w:rPr>
            </w:pPr>
            <w:r>
              <w:rPr>
                <w:rFonts w:ascii="Time New Roman" w:eastAsia="SimHei" w:hAnsi="Time New Roman" w:hint="eastAsia"/>
                <w:sz w:val="20"/>
              </w:rPr>
              <w:t>经常公共</w:t>
            </w:r>
            <w:r>
              <w:rPr>
                <w:rFonts w:ascii="Time New Roman" w:eastAsia="SimHei" w:hAnsi="Time New Roman"/>
                <w:sz w:val="20"/>
              </w:rPr>
              <w:br/>
            </w:r>
            <w:r>
              <w:rPr>
                <w:rFonts w:ascii="Time New Roman" w:eastAsia="SimHei" w:hAnsi="Time New Roman" w:hint="eastAsia"/>
                <w:sz w:val="20"/>
              </w:rPr>
              <w:t>预</w:t>
            </w:r>
            <w:r>
              <w:rPr>
                <w:rFonts w:ascii="Time New Roman" w:eastAsia="SimHei" w:hAnsi="Time New Roman" w:hint="eastAsia"/>
                <w:sz w:val="20"/>
              </w:rPr>
              <w:t xml:space="preserve"> </w:t>
            </w:r>
            <w:r>
              <w:rPr>
                <w:rFonts w:ascii="Time New Roman" w:eastAsia="SimHei" w:hAnsi="Time New Roman" w:hint="eastAsia"/>
                <w:sz w:val="20"/>
              </w:rPr>
              <w:t>算</w:t>
            </w:r>
          </w:p>
        </w:tc>
        <w:tc>
          <w:tcPr>
            <w:tcW w:w="1080" w:type="dxa"/>
          </w:tcPr>
          <w:p w:rsidR="00000000" w:rsidRDefault="00000000">
            <w:pPr>
              <w:spacing w:before="60" w:after="20" w:line="240" w:lineRule="auto"/>
              <w:ind w:right="-108"/>
              <w:jc w:val="center"/>
              <w:rPr>
                <w:rFonts w:ascii="Time New Roman" w:eastAsia="SimHei" w:hAnsi="Time New Roman" w:hint="eastAsia"/>
                <w:sz w:val="20"/>
              </w:rPr>
            </w:pPr>
            <w:r>
              <w:rPr>
                <w:rFonts w:ascii="Time New Roman" w:eastAsia="SimHei" w:hAnsi="Time New Roman" w:hint="eastAsia"/>
                <w:sz w:val="20"/>
              </w:rPr>
              <w:t>公</w:t>
            </w:r>
            <w:r>
              <w:rPr>
                <w:rFonts w:ascii="Time New Roman" w:eastAsia="SimHei" w:hAnsi="Time New Roman" w:hint="eastAsia"/>
                <w:sz w:val="20"/>
              </w:rPr>
              <w:t xml:space="preserve"> </w:t>
            </w:r>
            <w:r>
              <w:rPr>
                <w:rFonts w:ascii="Time New Roman" w:eastAsia="SimHei" w:hAnsi="Time New Roman" w:hint="eastAsia"/>
                <w:sz w:val="20"/>
              </w:rPr>
              <w:t>共</w:t>
            </w:r>
            <w:r>
              <w:rPr>
                <w:rFonts w:ascii="Time New Roman" w:eastAsia="SimHei" w:hAnsi="Time New Roman"/>
                <w:sz w:val="20"/>
              </w:rPr>
              <w:br/>
            </w:r>
            <w:r>
              <w:rPr>
                <w:rFonts w:ascii="Time New Roman" w:eastAsia="SimHei" w:hAnsi="Time New Roman" w:hint="eastAsia"/>
                <w:sz w:val="20"/>
              </w:rPr>
              <w:t>投资预算</w:t>
            </w:r>
          </w:p>
        </w:tc>
        <w:tc>
          <w:tcPr>
            <w:tcW w:w="1080" w:type="dxa"/>
          </w:tcPr>
          <w:p w:rsidR="00000000" w:rsidRDefault="00000000">
            <w:pPr>
              <w:spacing w:before="60" w:after="20" w:line="240" w:lineRule="auto"/>
              <w:ind w:right="170"/>
              <w:jc w:val="right"/>
              <w:rPr>
                <w:rFonts w:ascii="Time New Roman" w:eastAsia="SimHei" w:hAnsi="Time New Roman" w:hint="eastAsia"/>
                <w:sz w:val="20"/>
              </w:rPr>
            </w:pPr>
            <w:r>
              <w:rPr>
                <w:rFonts w:ascii="Time New Roman" w:eastAsia="SimHei" w:hAnsi="Time New Roman" w:hint="eastAsia"/>
                <w:sz w:val="20"/>
              </w:rPr>
              <w:t>公共</w:t>
            </w:r>
            <w:r>
              <w:rPr>
                <w:rFonts w:ascii="Time New Roman" w:eastAsia="SimHei" w:hAnsi="Time New Roman"/>
                <w:sz w:val="20"/>
              </w:rPr>
              <w:br/>
            </w:r>
            <w:r>
              <w:rPr>
                <w:rFonts w:ascii="Time New Roman" w:eastAsia="SimHei" w:hAnsi="Time New Roman" w:hint="eastAsia"/>
                <w:sz w:val="20"/>
              </w:rPr>
              <w:t>彩票</w:t>
            </w:r>
          </w:p>
        </w:tc>
        <w:tc>
          <w:tcPr>
            <w:tcW w:w="1200" w:type="dxa"/>
          </w:tcPr>
          <w:p w:rsidR="00000000" w:rsidRDefault="00000000">
            <w:pPr>
              <w:spacing w:before="60" w:after="20" w:line="240" w:lineRule="auto"/>
              <w:jc w:val="center"/>
              <w:rPr>
                <w:rFonts w:ascii="Time New Roman" w:eastAsia="SimHei" w:hAnsi="Time New Roman" w:hint="eastAsia"/>
                <w:sz w:val="20"/>
              </w:rPr>
            </w:pPr>
            <w:r>
              <w:rPr>
                <w:rFonts w:ascii="Time New Roman" w:eastAsia="SimHei" w:hAnsi="Time New Roman" w:hint="eastAsia"/>
                <w:sz w:val="20"/>
              </w:rPr>
              <w:t>欧洲联盟基</w:t>
            </w:r>
            <w:r>
              <w:rPr>
                <w:rFonts w:ascii="Time New Roman" w:eastAsia="SimHei" w:hAnsi="Time New Roman" w:hint="eastAsia"/>
                <w:sz w:val="20"/>
              </w:rPr>
              <w:t xml:space="preserve"> </w:t>
            </w:r>
            <w:r>
              <w:rPr>
                <w:rFonts w:ascii="Time New Roman" w:eastAsia="SimHei" w:hAnsi="Time New Roman" w:hint="eastAsia"/>
                <w:sz w:val="20"/>
              </w:rPr>
              <w:t>金</w:t>
            </w:r>
          </w:p>
        </w:tc>
        <w:tc>
          <w:tcPr>
            <w:tcW w:w="1200" w:type="dxa"/>
          </w:tcPr>
          <w:p w:rsidR="00000000" w:rsidRDefault="00000000">
            <w:pPr>
              <w:spacing w:before="60" w:after="20" w:line="240" w:lineRule="auto"/>
              <w:jc w:val="center"/>
              <w:rPr>
                <w:rFonts w:ascii="Time New Roman" w:eastAsia="SimHei" w:hAnsi="Time New Roman" w:hint="eastAsia"/>
                <w:sz w:val="20"/>
              </w:rPr>
            </w:pPr>
            <w:r>
              <w:rPr>
                <w:rFonts w:ascii="Time New Roman" w:eastAsia="SimHei" w:hAnsi="Time New Roman" w:hint="eastAsia"/>
                <w:sz w:val="20"/>
              </w:rPr>
              <w:t>考古资源基</w:t>
            </w:r>
            <w:r>
              <w:rPr>
                <w:rFonts w:ascii="Time New Roman" w:eastAsia="SimHei" w:hAnsi="Time New Roman" w:hint="eastAsia"/>
                <w:sz w:val="20"/>
              </w:rPr>
              <w:t xml:space="preserve"> </w:t>
            </w:r>
            <w:r>
              <w:rPr>
                <w:rFonts w:ascii="Time New Roman" w:eastAsia="SimHei" w:hAnsi="Time New Roman" w:hint="eastAsia"/>
                <w:sz w:val="20"/>
              </w:rPr>
              <w:t>金</w:t>
            </w:r>
          </w:p>
        </w:tc>
        <w:tc>
          <w:tcPr>
            <w:tcW w:w="1081" w:type="dxa"/>
          </w:tcPr>
          <w:p w:rsidR="00000000" w:rsidRDefault="00000000">
            <w:pPr>
              <w:spacing w:before="180" w:after="20" w:line="240" w:lineRule="auto"/>
              <w:ind w:right="170"/>
              <w:jc w:val="right"/>
              <w:rPr>
                <w:rFonts w:ascii="Time New Roman" w:eastAsia="SimHei" w:hAnsi="Time New Roman" w:hint="eastAsia"/>
                <w:sz w:val="20"/>
              </w:rPr>
            </w:pPr>
            <w:r>
              <w:rPr>
                <w:rFonts w:ascii="Time New Roman" w:eastAsia="SimHei" w:hAnsi="Time New Roman" w:hint="eastAsia"/>
                <w:sz w:val="20"/>
              </w:rPr>
              <w:t>共</w:t>
            </w:r>
            <w:r>
              <w:rPr>
                <w:rFonts w:ascii="Time New Roman" w:eastAsia="SimHei" w:hAnsi="Time New Roman" w:hint="eastAsia"/>
                <w:sz w:val="20"/>
              </w:rPr>
              <w:t xml:space="preserve"> </w:t>
            </w:r>
            <w:r>
              <w:rPr>
                <w:rFonts w:ascii="Time New Roman" w:eastAsia="SimHei" w:hAnsi="Time New Roman" w:hint="eastAsia"/>
                <w:sz w:val="20"/>
              </w:rPr>
              <w:t>计</w:t>
            </w:r>
          </w:p>
        </w:tc>
        <w:tc>
          <w:tcPr>
            <w:tcW w:w="942" w:type="dxa"/>
          </w:tcPr>
          <w:p w:rsidR="00000000" w:rsidRDefault="00000000">
            <w:pPr>
              <w:spacing w:before="180" w:after="20" w:line="240" w:lineRule="auto"/>
              <w:jc w:val="center"/>
              <w:rPr>
                <w:rFonts w:ascii="Time New Roman" w:eastAsia="SimHei" w:hAnsi="Time New Roman" w:hint="eastAsia"/>
                <w:sz w:val="20"/>
              </w:rPr>
            </w:pPr>
            <w:r>
              <w:rPr>
                <w:rFonts w:ascii="Time New Roman" w:eastAsia="SimHei" w:hAnsi="Time New Roman" w:hint="eastAsia"/>
                <w:sz w:val="20"/>
              </w:rPr>
              <w:t>百分比</w:t>
            </w:r>
          </w:p>
        </w:tc>
      </w:tr>
      <w:tr w:rsidR="00000000">
        <w:tblPrEx>
          <w:tblCellMar>
            <w:top w:w="0" w:type="dxa"/>
            <w:bottom w:w="0" w:type="dxa"/>
          </w:tblCellMar>
        </w:tblPrEx>
        <w:tc>
          <w:tcPr>
            <w:tcW w:w="1896" w:type="dxa"/>
          </w:tcPr>
          <w:p w:rsidR="00000000" w:rsidRDefault="00000000">
            <w:pPr>
              <w:spacing w:before="40" w:after="20" w:line="288" w:lineRule="auto"/>
              <w:ind w:right="170"/>
              <w:jc w:val="right"/>
              <w:rPr>
                <w:rFonts w:hint="eastAsia"/>
                <w:sz w:val="20"/>
              </w:rPr>
            </w:pPr>
            <w:r>
              <w:rPr>
                <w:rFonts w:hint="eastAsia"/>
                <w:sz w:val="20"/>
              </w:rPr>
              <w:t>一、当代文化</w:t>
            </w:r>
          </w:p>
        </w:tc>
        <w:tc>
          <w:tcPr>
            <w:tcW w:w="1092" w:type="dxa"/>
            <w:vAlign w:val="center"/>
          </w:tcPr>
          <w:p w:rsidR="00000000" w:rsidRDefault="00000000">
            <w:pPr>
              <w:spacing w:before="40" w:after="20" w:line="288" w:lineRule="auto"/>
              <w:ind w:right="170"/>
              <w:jc w:val="right"/>
              <w:rPr>
                <w:sz w:val="18"/>
              </w:rPr>
            </w:pPr>
            <w:r>
              <w:rPr>
                <w:sz w:val="18"/>
              </w:rPr>
              <w:t>56,795</w:t>
            </w:r>
          </w:p>
        </w:tc>
        <w:tc>
          <w:tcPr>
            <w:tcW w:w="1080" w:type="dxa"/>
            <w:vAlign w:val="center"/>
          </w:tcPr>
          <w:p w:rsidR="00000000" w:rsidRDefault="00000000">
            <w:pPr>
              <w:spacing w:before="40" w:after="20" w:line="288" w:lineRule="auto"/>
              <w:ind w:right="170"/>
              <w:jc w:val="right"/>
              <w:rPr>
                <w:sz w:val="18"/>
              </w:rPr>
            </w:pPr>
            <w:r>
              <w:rPr>
                <w:sz w:val="18"/>
              </w:rPr>
              <w:t>18,474</w:t>
            </w:r>
          </w:p>
        </w:tc>
        <w:tc>
          <w:tcPr>
            <w:tcW w:w="1080" w:type="dxa"/>
            <w:vAlign w:val="center"/>
          </w:tcPr>
          <w:p w:rsidR="00000000" w:rsidRDefault="00000000">
            <w:pPr>
              <w:spacing w:before="40" w:after="20" w:line="288" w:lineRule="auto"/>
              <w:ind w:right="170"/>
              <w:jc w:val="right"/>
              <w:rPr>
                <w:sz w:val="18"/>
              </w:rPr>
            </w:pPr>
            <w:r>
              <w:rPr>
                <w:sz w:val="18"/>
              </w:rPr>
              <w:t>31,342</w:t>
            </w: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bCs/>
                <w:sz w:val="18"/>
              </w:rPr>
            </w:pPr>
            <w:r>
              <w:rPr>
                <w:bCs/>
                <w:sz w:val="18"/>
              </w:rPr>
              <w:t>96,611</w:t>
            </w:r>
          </w:p>
        </w:tc>
        <w:tc>
          <w:tcPr>
            <w:tcW w:w="942" w:type="dxa"/>
            <w:vAlign w:val="center"/>
          </w:tcPr>
          <w:p w:rsidR="00000000" w:rsidRDefault="00000000">
            <w:pPr>
              <w:spacing w:before="40" w:after="20" w:line="288" w:lineRule="auto"/>
              <w:ind w:right="170"/>
              <w:jc w:val="right"/>
              <w:rPr>
                <w:sz w:val="18"/>
              </w:rPr>
            </w:pPr>
            <w:r>
              <w:rPr>
                <w:sz w:val="18"/>
              </w:rPr>
              <w:t>29.09</w:t>
            </w:r>
          </w:p>
        </w:tc>
      </w:tr>
      <w:tr w:rsidR="00000000">
        <w:tblPrEx>
          <w:tblCellMar>
            <w:top w:w="0" w:type="dxa"/>
            <w:bottom w:w="0" w:type="dxa"/>
          </w:tblCellMar>
        </w:tblPrEx>
        <w:tc>
          <w:tcPr>
            <w:tcW w:w="1896" w:type="dxa"/>
          </w:tcPr>
          <w:p w:rsidR="00000000" w:rsidRDefault="00000000">
            <w:pPr>
              <w:spacing w:before="40" w:after="20" w:line="288" w:lineRule="auto"/>
              <w:ind w:left="510" w:right="170" w:hanging="150"/>
              <w:rPr>
                <w:rFonts w:hint="eastAsia"/>
                <w:sz w:val="20"/>
              </w:rPr>
            </w:pPr>
            <w:r>
              <w:rPr>
                <w:rFonts w:hint="eastAsia"/>
                <w:sz w:val="20"/>
              </w:rPr>
              <w:t>美术</w:t>
            </w:r>
          </w:p>
        </w:tc>
        <w:tc>
          <w:tcPr>
            <w:tcW w:w="1092" w:type="dxa"/>
            <w:vAlign w:val="center"/>
          </w:tcPr>
          <w:p w:rsidR="00000000" w:rsidRDefault="00000000">
            <w:pPr>
              <w:spacing w:before="40" w:after="20" w:line="288" w:lineRule="auto"/>
              <w:ind w:right="170"/>
              <w:jc w:val="right"/>
              <w:rPr>
                <w:sz w:val="18"/>
              </w:rPr>
            </w:pPr>
            <w:r>
              <w:rPr>
                <w:sz w:val="18"/>
              </w:rPr>
              <w:t>1,658</w:t>
            </w:r>
          </w:p>
        </w:tc>
        <w:tc>
          <w:tcPr>
            <w:tcW w:w="1080" w:type="dxa"/>
            <w:vAlign w:val="center"/>
          </w:tcPr>
          <w:p w:rsidR="00000000" w:rsidRDefault="00000000">
            <w:pPr>
              <w:spacing w:before="40" w:after="20" w:line="288" w:lineRule="auto"/>
              <w:ind w:right="170"/>
              <w:jc w:val="right"/>
              <w:rPr>
                <w:rFonts w:hint="eastAsia"/>
                <w:sz w:val="18"/>
              </w:rPr>
            </w:pPr>
          </w:p>
        </w:tc>
        <w:tc>
          <w:tcPr>
            <w:tcW w:w="1080" w:type="dxa"/>
            <w:vAlign w:val="center"/>
          </w:tcPr>
          <w:p w:rsidR="00000000" w:rsidRDefault="00000000">
            <w:pPr>
              <w:spacing w:before="40" w:after="20" w:line="288" w:lineRule="auto"/>
              <w:ind w:right="170"/>
              <w:jc w:val="right"/>
              <w:rPr>
                <w:sz w:val="18"/>
              </w:rPr>
            </w:pPr>
            <w:r>
              <w:rPr>
                <w:sz w:val="18"/>
              </w:rPr>
              <w:t>1,741</w:t>
            </w: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bCs/>
                <w:sz w:val="18"/>
              </w:rPr>
            </w:pPr>
            <w:r>
              <w:rPr>
                <w:bCs/>
                <w:sz w:val="18"/>
              </w:rPr>
              <w:t>3,399</w:t>
            </w:r>
          </w:p>
        </w:tc>
        <w:tc>
          <w:tcPr>
            <w:tcW w:w="942" w:type="dxa"/>
            <w:vAlign w:val="center"/>
          </w:tcPr>
          <w:p w:rsidR="00000000" w:rsidRDefault="00000000">
            <w:pPr>
              <w:spacing w:before="40" w:after="20" w:line="288" w:lineRule="auto"/>
              <w:ind w:right="170"/>
              <w:jc w:val="right"/>
              <w:rPr>
                <w:sz w:val="18"/>
              </w:rPr>
            </w:pPr>
          </w:p>
        </w:tc>
      </w:tr>
      <w:tr w:rsidR="00000000">
        <w:tblPrEx>
          <w:tblCellMar>
            <w:top w:w="0" w:type="dxa"/>
            <w:bottom w:w="0" w:type="dxa"/>
          </w:tblCellMar>
        </w:tblPrEx>
        <w:tc>
          <w:tcPr>
            <w:tcW w:w="1896" w:type="dxa"/>
          </w:tcPr>
          <w:p w:rsidR="00000000" w:rsidRDefault="00000000">
            <w:pPr>
              <w:spacing w:before="40" w:after="20" w:line="288" w:lineRule="auto"/>
              <w:ind w:left="510" w:right="170" w:hanging="150"/>
              <w:rPr>
                <w:rFonts w:hint="eastAsia"/>
                <w:sz w:val="20"/>
              </w:rPr>
            </w:pPr>
            <w:r>
              <w:rPr>
                <w:rFonts w:hint="eastAsia"/>
                <w:sz w:val="20"/>
              </w:rPr>
              <w:t>戏剧和舞蹈</w:t>
            </w:r>
          </w:p>
        </w:tc>
        <w:tc>
          <w:tcPr>
            <w:tcW w:w="1092" w:type="dxa"/>
            <w:vAlign w:val="center"/>
          </w:tcPr>
          <w:p w:rsidR="00000000" w:rsidRDefault="00000000">
            <w:pPr>
              <w:spacing w:before="40" w:after="20" w:line="288" w:lineRule="auto"/>
              <w:ind w:right="170"/>
              <w:jc w:val="right"/>
              <w:rPr>
                <w:sz w:val="18"/>
              </w:rPr>
            </w:pPr>
            <w:r>
              <w:rPr>
                <w:sz w:val="18"/>
              </w:rPr>
              <w:t>13,364</w:t>
            </w:r>
          </w:p>
        </w:tc>
        <w:tc>
          <w:tcPr>
            <w:tcW w:w="1080" w:type="dxa"/>
            <w:vAlign w:val="center"/>
          </w:tcPr>
          <w:p w:rsidR="00000000" w:rsidRDefault="00000000">
            <w:pPr>
              <w:spacing w:before="40" w:after="20" w:line="288" w:lineRule="auto"/>
              <w:ind w:right="170"/>
              <w:jc w:val="right"/>
              <w:rPr>
                <w:sz w:val="18"/>
              </w:rPr>
            </w:pPr>
            <w:r>
              <w:rPr>
                <w:sz w:val="18"/>
              </w:rPr>
              <w:t>895</w:t>
            </w:r>
          </w:p>
        </w:tc>
        <w:tc>
          <w:tcPr>
            <w:tcW w:w="1080" w:type="dxa"/>
            <w:vAlign w:val="center"/>
          </w:tcPr>
          <w:p w:rsidR="00000000" w:rsidRDefault="00000000">
            <w:pPr>
              <w:spacing w:before="40" w:after="20" w:line="288" w:lineRule="auto"/>
              <w:ind w:right="170"/>
              <w:jc w:val="right"/>
              <w:rPr>
                <w:sz w:val="18"/>
              </w:rPr>
            </w:pPr>
            <w:r>
              <w:rPr>
                <w:sz w:val="18"/>
              </w:rPr>
              <w:t>7,574</w:t>
            </w: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bCs/>
                <w:sz w:val="18"/>
              </w:rPr>
            </w:pPr>
            <w:r>
              <w:rPr>
                <w:bCs/>
                <w:sz w:val="18"/>
              </w:rPr>
              <w:t>21,833</w:t>
            </w:r>
          </w:p>
        </w:tc>
        <w:tc>
          <w:tcPr>
            <w:tcW w:w="942" w:type="dxa"/>
            <w:vAlign w:val="center"/>
          </w:tcPr>
          <w:p w:rsidR="00000000" w:rsidRDefault="00000000">
            <w:pPr>
              <w:spacing w:before="40" w:after="20" w:line="288" w:lineRule="auto"/>
              <w:ind w:right="170"/>
              <w:jc w:val="right"/>
              <w:rPr>
                <w:sz w:val="18"/>
              </w:rPr>
            </w:pPr>
          </w:p>
        </w:tc>
      </w:tr>
      <w:tr w:rsidR="00000000">
        <w:tblPrEx>
          <w:tblCellMar>
            <w:top w:w="0" w:type="dxa"/>
            <w:bottom w:w="0" w:type="dxa"/>
          </w:tblCellMar>
        </w:tblPrEx>
        <w:tc>
          <w:tcPr>
            <w:tcW w:w="1896" w:type="dxa"/>
          </w:tcPr>
          <w:p w:rsidR="00000000" w:rsidRDefault="00000000">
            <w:pPr>
              <w:spacing w:before="40" w:after="20" w:line="288" w:lineRule="auto"/>
              <w:ind w:left="510" w:right="170" w:hanging="150"/>
              <w:rPr>
                <w:rFonts w:hint="eastAsia"/>
                <w:sz w:val="20"/>
              </w:rPr>
            </w:pPr>
            <w:r>
              <w:rPr>
                <w:rFonts w:hint="eastAsia"/>
                <w:sz w:val="20"/>
              </w:rPr>
              <w:t>音乐</w:t>
            </w:r>
          </w:p>
        </w:tc>
        <w:tc>
          <w:tcPr>
            <w:tcW w:w="1092" w:type="dxa"/>
            <w:vAlign w:val="center"/>
          </w:tcPr>
          <w:p w:rsidR="00000000" w:rsidRDefault="00000000">
            <w:pPr>
              <w:spacing w:before="40" w:after="20" w:line="288" w:lineRule="auto"/>
              <w:ind w:right="170"/>
              <w:jc w:val="right"/>
              <w:rPr>
                <w:sz w:val="18"/>
              </w:rPr>
            </w:pPr>
            <w:r>
              <w:rPr>
                <w:sz w:val="18"/>
              </w:rPr>
              <w:t>27,654</w:t>
            </w:r>
          </w:p>
        </w:tc>
        <w:tc>
          <w:tcPr>
            <w:tcW w:w="1080" w:type="dxa"/>
            <w:vAlign w:val="center"/>
          </w:tcPr>
          <w:p w:rsidR="00000000" w:rsidRDefault="00000000">
            <w:pPr>
              <w:spacing w:before="40" w:after="20" w:line="288" w:lineRule="auto"/>
              <w:ind w:right="170"/>
              <w:jc w:val="right"/>
              <w:rPr>
                <w:sz w:val="18"/>
              </w:rPr>
            </w:pPr>
            <w:r>
              <w:rPr>
                <w:sz w:val="18"/>
              </w:rPr>
              <w:t>1,555</w:t>
            </w:r>
          </w:p>
        </w:tc>
        <w:tc>
          <w:tcPr>
            <w:tcW w:w="1080" w:type="dxa"/>
            <w:vAlign w:val="center"/>
          </w:tcPr>
          <w:p w:rsidR="00000000" w:rsidRDefault="00000000">
            <w:pPr>
              <w:spacing w:before="40" w:after="20" w:line="288" w:lineRule="auto"/>
              <w:ind w:right="170"/>
              <w:jc w:val="right"/>
              <w:rPr>
                <w:sz w:val="18"/>
              </w:rPr>
            </w:pPr>
            <w:r>
              <w:rPr>
                <w:sz w:val="18"/>
              </w:rPr>
              <w:t>7,467</w:t>
            </w: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bCs/>
                <w:sz w:val="18"/>
              </w:rPr>
            </w:pPr>
            <w:r>
              <w:rPr>
                <w:bCs/>
                <w:sz w:val="18"/>
              </w:rPr>
              <w:t>36,676</w:t>
            </w:r>
          </w:p>
        </w:tc>
        <w:tc>
          <w:tcPr>
            <w:tcW w:w="942" w:type="dxa"/>
            <w:vAlign w:val="center"/>
          </w:tcPr>
          <w:p w:rsidR="00000000" w:rsidRDefault="00000000">
            <w:pPr>
              <w:spacing w:before="40" w:after="20" w:line="288" w:lineRule="auto"/>
              <w:ind w:right="170"/>
              <w:jc w:val="right"/>
              <w:rPr>
                <w:sz w:val="18"/>
              </w:rPr>
            </w:pPr>
          </w:p>
        </w:tc>
      </w:tr>
      <w:tr w:rsidR="00000000">
        <w:tblPrEx>
          <w:tblCellMar>
            <w:top w:w="0" w:type="dxa"/>
            <w:bottom w:w="0" w:type="dxa"/>
          </w:tblCellMar>
        </w:tblPrEx>
        <w:tc>
          <w:tcPr>
            <w:tcW w:w="1896" w:type="dxa"/>
          </w:tcPr>
          <w:p w:rsidR="00000000" w:rsidRDefault="00000000">
            <w:pPr>
              <w:spacing w:before="40" w:after="20" w:line="288" w:lineRule="auto"/>
              <w:ind w:left="510" w:right="170" w:hanging="150"/>
              <w:rPr>
                <w:rFonts w:hint="eastAsia"/>
                <w:sz w:val="20"/>
              </w:rPr>
            </w:pPr>
            <w:r>
              <w:rPr>
                <w:rFonts w:hint="eastAsia"/>
                <w:sz w:val="20"/>
              </w:rPr>
              <w:t>文学和图书</w:t>
            </w:r>
          </w:p>
        </w:tc>
        <w:tc>
          <w:tcPr>
            <w:tcW w:w="1092" w:type="dxa"/>
            <w:vAlign w:val="center"/>
          </w:tcPr>
          <w:p w:rsidR="00000000" w:rsidRDefault="00000000">
            <w:pPr>
              <w:spacing w:before="40" w:after="20" w:line="288" w:lineRule="auto"/>
              <w:ind w:right="170"/>
              <w:jc w:val="right"/>
              <w:rPr>
                <w:sz w:val="18"/>
                <w:lang w:val="fr-FR"/>
              </w:rPr>
            </w:pPr>
            <w:r>
              <w:rPr>
                <w:sz w:val="18"/>
                <w:lang w:val="fr-FR"/>
              </w:rPr>
              <w:t>382</w:t>
            </w:r>
          </w:p>
        </w:tc>
        <w:tc>
          <w:tcPr>
            <w:tcW w:w="1080" w:type="dxa"/>
            <w:vAlign w:val="center"/>
          </w:tcPr>
          <w:p w:rsidR="00000000" w:rsidRDefault="00000000">
            <w:pPr>
              <w:spacing w:before="40" w:after="20" w:line="288" w:lineRule="auto"/>
              <w:ind w:right="170"/>
              <w:jc w:val="right"/>
              <w:rPr>
                <w:sz w:val="18"/>
                <w:lang w:val="fr-FR"/>
              </w:rPr>
            </w:pPr>
            <w:r>
              <w:rPr>
                <w:sz w:val="18"/>
                <w:lang w:val="fr-FR"/>
              </w:rPr>
              <w:t>733</w:t>
            </w:r>
          </w:p>
        </w:tc>
        <w:tc>
          <w:tcPr>
            <w:tcW w:w="1080" w:type="dxa"/>
            <w:vAlign w:val="center"/>
          </w:tcPr>
          <w:p w:rsidR="00000000" w:rsidRDefault="00000000">
            <w:pPr>
              <w:spacing w:before="40" w:after="20" w:line="288" w:lineRule="auto"/>
              <w:ind w:right="170"/>
              <w:jc w:val="right"/>
              <w:rPr>
                <w:sz w:val="18"/>
                <w:lang w:val="fr-FR"/>
              </w:rPr>
            </w:pPr>
            <w:r>
              <w:rPr>
                <w:sz w:val="18"/>
                <w:lang w:val="fr-FR"/>
              </w:rPr>
              <w:t>2,898</w:t>
            </w:r>
          </w:p>
        </w:tc>
        <w:tc>
          <w:tcPr>
            <w:tcW w:w="1200" w:type="dxa"/>
            <w:vAlign w:val="center"/>
          </w:tcPr>
          <w:p w:rsidR="00000000" w:rsidRDefault="00000000">
            <w:pPr>
              <w:spacing w:before="40" w:after="20" w:line="288" w:lineRule="auto"/>
              <w:ind w:right="170"/>
              <w:jc w:val="right"/>
              <w:rPr>
                <w:sz w:val="18"/>
                <w:lang w:val="fr-FR"/>
              </w:rPr>
            </w:pPr>
          </w:p>
        </w:tc>
        <w:tc>
          <w:tcPr>
            <w:tcW w:w="1200" w:type="dxa"/>
            <w:vAlign w:val="center"/>
          </w:tcPr>
          <w:p w:rsidR="00000000" w:rsidRDefault="00000000">
            <w:pPr>
              <w:spacing w:before="40" w:after="20" w:line="288" w:lineRule="auto"/>
              <w:ind w:right="170"/>
              <w:jc w:val="right"/>
              <w:rPr>
                <w:sz w:val="18"/>
                <w:lang w:val="fr-FR"/>
              </w:rPr>
            </w:pPr>
          </w:p>
        </w:tc>
        <w:tc>
          <w:tcPr>
            <w:tcW w:w="1081" w:type="dxa"/>
            <w:vAlign w:val="center"/>
          </w:tcPr>
          <w:p w:rsidR="00000000" w:rsidRDefault="00000000">
            <w:pPr>
              <w:spacing w:before="40" w:after="20" w:line="288" w:lineRule="auto"/>
              <w:ind w:right="170"/>
              <w:jc w:val="right"/>
              <w:rPr>
                <w:bCs/>
                <w:sz w:val="18"/>
                <w:lang w:val="fr-FR"/>
              </w:rPr>
            </w:pPr>
            <w:r>
              <w:rPr>
                <w:bCs/>
                <w:sz w:val="18"/>
                <w:lang w:val="fr-FR"/>
              </w:rPr>
              <w:t>4,013</w:t>
            </w:r>
          </w:p>
        </w:tc>
        <w:tc>
          <w:tcPr>
            <w:tcW w:w="942" w:type="dxa"/>
            <w:vAlign w:val="center"/>
          </w:tcPr>
          <w:p w:rsidR="00000000" w:rsidRDefault="00000000">
            <w:pPr>
              <w:spacing w:before="40" w:after="20" w:line="288" w:lineRule="auto"/>
              <w:ind w:right="170"/>
              <w:jc w:val="right"/>
              <w:rPr>
                <w:sz w:val="18"/>
                <w:lang w:val="fr-FR"/>
              </w:rPr>
            </w:pPr>
          </w:p>
        </w:tc>
      </w:tr>
      <w:tr w:rsidR="00000000">
        <w:tblPrEx>
          <w:tblCellMar>
            <w:top w:w="0" w:type="dxa"/>
            <w:bottom w:w="0" w:type="dxa"/>
          </w:tblCellMar>
        </w:tblPrEx>
        <w:tc>
          <w:tcPr>
            <w:tcW w:w="1896" w:type="dxa"/>
          </w:tcPr>
          <w:p w:rsidR="00000000" w:rsidRDefault="00000000">
            <w:pPr>
              <w:spacing w:before="40" w:after="20" w:line="288" w:lineRule="auto"/>
              <w:ind w:left="510" w:right="170" w:hanging="150"/>
              <w:rPr>
                <w:rFonts w:hint="eastAsia"/>
                <w:sz w:val="20"/>
              </w:rPr>
            </w:pPr>
            <w:r>
              <w:rPr>
                <w:rFonts w:hint="eastAsia"/>
                <w:sz w:val="20"/>
              </w:rPr>
              <w:t>民间艺术</w:t>
            </w:r>
          </w:p>
        </w:tc>
        <w:tc>
          <w:tcPr>
            <w:tcW w:w="1092" w:type="dxa"/>
            <w:vAlign w:val="center"/>
          </w:tcPr>
          <w:p w:rsidR="00000000" w:rsidRDefault="00000000">
            <w:pPr>
              <w:spacing w:before="40" w:after="20" w:line="288" w:lineRule="auto"/>
              <w:ind w:right="170"/>
              <w:jc w:val="right"/>
              <w:rPr>
                <w:sz w:val="18"/>
                <w:lang w:val="fr-FR"/>
              </w:rPr>
            </w:pPr>
            <w:r>
              <w:rPr>
                <w:sz w:val="18"/>
                <w:lang w:val="fr-FR"/>
              </w:rPr>
              <w:t>38</w:t>
            </w:r>
          </w:p>
        </w:tc>
        <w:tc>
          <w:tcPr>
            <w:tcW w:w="1080" w:type="dxa"/>
            <w:vAlign w:val="center"/>
          </w:tcPr>
          <w:p w:rsidR="00000000" w:rsidRDefault="00000000">
            <w:pPr>
              <w:spacing w:before="40" w:after="20" w:line="288" w:lineRule="auto"/>
              <w:ind w:right="170"/>
              <w:jc w:val="right"/>
              <w:rPr>
                <w:sz w:val="18"/>
                <w:lang w:val="fr-FR"/>
              </w:rPr>
            </w:pPr>
            <w:r>
              <w:rPr>
                <w:sz w:val="18"/>
                <w:lang w:val="fr-FR"/>
              </w:rPr>
              <w:t>110</w:t>
            </w:r>
          </w:p>
        </w:tc>
        <w:tc>
          <w:tcPr>
            <w:tcW w:w="1080" w:type="dxa"/>
            <w:vAlign w:val="center"/>
          </w:tcPr>
          <w:p w:rsidR="00000000" w:rsidRDefault="00000000">
            <w:pPr>
              <w:spacing w:before="40" w:after="20" w:line="288" w:lineRule="auto"/>
              <w:ind w:right="170"/>
              <w:jc w:val="right"/>
              <w:rPr>
                <w:sz w:val="18"/>
                <w:lang w:val="fr-FR"/>
              </w:rPr>
            </w:pPr>
            <w:r>
              <w:rPr>
                <w:sz w:val="18"/>
                <w:lang w:val="fr-FR"/>
              </w:rPr>
              <w:t>1,754</w:t>
            </w:r>
          </w:p>
        </w:tc>
        <w:tc>
          <w:tcPr>
            <w:tcW w:w="1200" w:type="dxa"/>
            <w:vAlign w:val="center"/>
          </w:tcPr>
          <w:p w:rsidR="00000000" w:rsidRDefault="00000000">
            <w:pPr>
              <w:spacing w:before="40" w:after="20" w:line="288" w:lineRule="auto"/>
              <w:ind w:right="170"/>
              <w:jc w:val="right"/>
              <w:rPr>
                <w:sz w:val="18"/>
                <w:lang w:val="fr-FR"/>
              </w:rPr>
            </w:pPr>
          </w:p>
        </w:tc>
        <w:tc>
          <w:tcPr>
            <w:tcW w:w="1200" w:type="dxa"/>
            <w:vAlign w:val="center"/>
          </w:tcPr>
          <w:p w:rsidR="00000000" w:rsidRDefault="00000000">
            <w:pPr>
              <w:spacing w:before="40" w:after="20" w:line="288" w:lineRule="auto"/>
              <w:ind w:right="170"/>
              <w:jc w:val="right"/>
              <w:rPr>
                <w:sz w:val="18"/>
                <w:lang w:val="fr-FR"/>
              </w:rPr>
            </w:pPr>
          </w:p>
        </w:tc>
        <w:tc>
          <w:tcPr>
            <w:tcW w:w="1081" w:type="dxa"/>
            <w:vAlign w:val="center"/>
          </w:tcPr>
          <w:p w:rsidR="00000000" w:rsidRDefault="00000000">
            <w:pPr>
              <w:spacing w:before="40" w:after="20" w:line="288" w:lineRule="auto"/>
              <w:ind w:right="170"/>
              <w:jc w:val="right"/>
              <w:rPr>
                <w:bCs/>
                <w:sz w:val="18"/>
                <w:lang w:val="fr-FR"/>
              </w:rPr>
            </w:pPr>
            <w:r>
              <w:rPr>
                <w:bCs/>
                <w:sz w:val="18"/>
                <w:lang w:val="fr-FR"/>
              </w:rPr>
              <w:t>1,902</w:t>
            </w:r>
          </w:p>
        </w:tc>
        <w:tc>
          <w:tcPr>
            <w:tcW w:w="942" w:type="dxa"/>
            <w:vAlign w:val="center"/>
          </w:tcPr>
          <w:p w:rsidR="00000000" w:rsidRDefault="00000000">
            <w:pPr>
              <w:spacing w:before="40" w:after="20" w:line="288" w:lineRule="auto"/>
              <w:ind w:right="170"/>
              <w:jc w:val="right"/>
              <w:rPr>
                <w:sz w:val="18"/>
                <w:lang w:val="fr-FR"/>
              </w:rPr>
            </w:pPr>
          </w:p>
        </w:tc>
      </w:tr>
      <w:tr w:rsidR="00000000">
        <w:tblPrEx>
          <w:tblCellMar>
            <w:top w:w="0" w:type="dxa"/>
            <w:bottom w:w="0" w:type="dxa"/>
          </w:tblCellMar>
        </w:tblPrEx>
        <w:tc>
          <w:tcPr>
            <w:tcW w:w="1896" w:type="dxa"/>
          </w:tcPr>
          <w:p w:rsidR="00000000" w:rsidRDefault="00000000">
            <w:pPr>
              <w:spacing w:before="40" w:after="20" w:line="288" w:lineRule="auto"/>
              <w:ind w:left="510" w:right="170" w:hanging="150"/>
              <w:rPr>
                <w:rFonts w:hint="eastAsia"/>
                <w:sz w:val="20"/>
              </w:rPr>
            </w:pPr>
            <w:r>
              <w:rPr>
                <w:rFonts w:hint="eastAsia"/>
                <w:sz w:val="20"/>
              </w:rPr>
              <w:t>节日等</w:t>
            </w:r>
          </w:p>
        </w:tc>
        <w:tc>
          <w:tcPr>
            <w:tcW w:w="1092" w:type="dxa"/>
            <w:vAlign w:val="center"/>
          </w:tcPr>
          <w:p w:rsidR="00000000" w:rsidRDefault="00000000">
            <w:pPr>
              <w:spacing w:before="40" w:after="20" w:line="288" w:lineRule="auto"/>
              <w:ind w:right="170"/>
              <w:jc w:val="right"/>
              <w:rPr>
                <w:sz w:val="18"/>
              </w:rPr>
            </w:pPr>
            <w:r>
              <w:rPr>
                <w:sz w:val="18"/>
              </w:rPr>
              <w:t>1,640</w:t>
            </w:r>
          </w:p>
        </w:tc>
        <w:tc>
          <w:tcPr>
            <w:tcW w:w="1080" w:type="dxa"/>
            <w:vAlign w:val="center"/>
          </w:tcPr>
          <w:p w:rsidR="00000000" w:rsidRDefault="00000000">
            <w:pPr>
              <w:spacing w:before="40" w:after="20" w:line="288" w:lineRule="auto"/>
              <w:ind w:right="170"/>
              <w:jc w:val="right"/>
              <w:rPr>
                <w:rFonts w:hint="eastAsia"/>
                <w:sz w:val="18"/>
              </w:rPr>
            </w:pPr>
          </w:p>
        </w:tc>
        <w:tc>
          <w:tcPr>
            <w:tcW w:w="1080" w:type="dxa"/>
            <w:vAlign w:val="center"/>
          </w:tcPr>
          <w:p w:rsidR="00000000" w:rsidRDefault="00000000">
            <w:pPr>
              <w:spacing w:before="40" w:after="20" w:line="288" w:lineRule="auto"/>
              <w:ind w:right="170"/>
              <w:jc w:val="right"/>
              <w:rPr>
                <w:rFonts w:hint="eastAsia"/>
                <w:sz w:val="18"/>
              </w:rPr>
            </w:pP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bCs/>
                <w:sz w:val="18"/>
              </w:rPr>
            </w:pPr>
            <w:r>
              <w:rPr>
                <w:bCs/>
                <w:sz w:val="18"/>
              </w:rPr>
              <w:t>1,640</w:t>
            </w:r>
          </w:p>
        </w:tc>
        <w:tc>
          <w:tcPr>
            <w:tcW w:w="942" w:type="dxa"/>
            <w:vAlign w:val="center"/>
          </w:tcPr>
          <w:p w:rsidR="00000000" w:rsidRDefault="00000000">
            <w:pPr>
              <w:spacing w:before="40" w:after="20" w:line="288" w:lineRule="auto"/>
              <w:ind w:right="170"/>
              <w:jc w:val="right"/>
              <w:rPr>
                <w:sz w:val="18"/>
              </w:rPr>
            </w:pPr>
          </w:p>
        </w:tc>
      </w:tr>
      <w:tr w:rsidR="00000000">
        <w:tblPrEx>
          <w:tblCellMar>
            <w:top w:w="0" w:type="dxa"/>
            <w:bottom w:w="0" w:type="dxa"/>
          </w:tblCellMar>
        </w:tblPrEx>
        <w:tc>
          <w:tcPr>
            <w:tcW w:w="1896" w:type="dxa"/>
          </w:tcPr>
          <w:p w:rsidR="00000000" w:rsidRDefault="00000000">
            <w:pPr>
              <w:spacing w:before="40" w:after="20" w:line="288" w:lineRule="auto"/>
              <w:ind w:left="510" w:right="170" w:hanging="150"/>
              <w:rPr>
                <w:rFonts w:hint="eastAsia"/>
                <w:sz w:val="20"/>
              </w:rPr>
            </w:pPr>
            <w:r>
              <w:rPr>
                <w:rFonts w:hint="eastAsia"/>
                <w:sz w:val="20"/>
              </w:rPr>
              <w:t>电影</w:t>
            </w:r>
          </w:p>
        </w:tc>
        <w:tc>
          <w:tcPr>
            <w:tcW w:w="1092" w:type="dxa"/>
            <w:vAlign w:val="center"/>
          </w:tcPr>
          <w:p w:rsidR="00000000" w:rsidRDefault="00000000">
            <w:pPr>
              <w:spacing w:before="40" w:after="20" w:line="288" w:lineRule="auto"/>
              <w:ind w:right="170"/>
              <w:jc w:val="right"/>
              <w:rPr>
                <w:sz w:val="18"/>
              </w:rPr>
            </w:pPr>
            <w:r>
              <w:rPr>
                <w:sz w:val="18"/>
              </w:rPr>
              <w:t>7,366</w:t>
            </w:r>
          </w:p>
        </w:tc>
        <w:tc>
          <w:tcPr>
            <w:tcW w:w="1080" w:type="dxa"/>
            <w:vAlign w:val="center"/>
          </w:tcPr>
          <w:p w:rsidR="00000000" w:rsidRDefault="00000000">
            <w:pPr>
              <w:spacing w:before="40" w:after="20" w:line="288" w:lineRule="auto"/>
              <w:ind w:right="170"/>
              <w:jc w:val="right"/>
              <w:rPr>
                <w:sz w:val="18"/>
              </w:rPr>
            </w:pPr>
          </w:p>
        </w:tc>
        <w:tc>
          <w:tcPr>
            <w:tcW w:w="1080" w:type="dxa"/>
            <w:vAlign w:val="center"/>
          </w:tcPr>
          <w:p w:rsidR="00000000" w:rsidRDefault="00000000">
            <w:pPr>
              <w:spacing w:before="40" w:after="20" w:line="288" w:lineRule="auto"/>
              <w:ind w:right="170"/>
              <w:jc w:val="right"/>
              <w:rPr>
                <w:sz w:val="18"/>
              </w:rPr>
            </w:pPr>
            <w:r>
              <w:rPr>
                <w:sz w:val="18"/>
              </w:rPr>
              <w:t>5,205</w:t>
            </w: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bCs/>
                <w:sz w:val="18"/>
              </w:rPr>
            </w:pPr>
            <w:r>
              <w:rPr>
                <w:bCs/>
                <w:sz w:val="18"/>
              </w:rPr>
              <w:t>12,571</w:t>
            </w:r>
          </w:p>
        </w:tc>
        <w:tc>
          <w:tcPr>
            <w:tcW w:w="942" w:type="dxa"/>
            <w:vAlign w:val="center"/>
          </w:tcPr>
          <w:p w:rsidR="00000000" w:rsidRDefault="00000000">
            <w:pPr>
              <w:spacing w:before="40" w:after="20" w:line="288" w:lineRule="auto"/>
              <w:ind w:right="170"/>
              <w:jc w:val="right"/>
              <w:rPr>
                <w:sz w:val="18"/>
              </w:rPr>
            </w:pPr>
          </w:p>
        </w:tc>
      </w:tr>
      <w:tr w:rsidR="00000000">
        <w:tblPrEx>
          <w:tblCellMar>
            <w:top w:w="0" w:type="dxa"/>
            <w:bottom w:w="0" w:type="dxa"/>
          </w:tblCellMar>
        </w:tblPrEx>
        <w:tc>
          <w:tcPr>
            <w:tcW w:w="1896" w:type="dxa"/>
          </w:tcPr>
          <w:p w:rsidR="00000000" w:rsidRDefault="00000000">
            <w:pPr>
              <w:spacing w:before="40" w:after="20" w:line="288" w:lineRule="auto"/>
              <w:ind w:left="510" w:right="170" w:hanging="150"/>
              <w:rPr>
                <w:rFonts w:hint="eastAsia"/>
                <w:sz w:val="20"/>
              </w:rPr>
            </w:pPr>
            <w:r>
              <w:rPr>
                <w:rFonts w:hint="eastAsia"/>
                <w:sz w:val="20"/>
              </w:rPr>
              <w:t>其他</w:t>
            </w:r>
          </w:p>
        </w:tc>
        <w:tc>
          <w:tcPr>
            <w:tcW w:w="1092" w:type="dxa"/>
            <w:vAlign w:val="center"/>
          </w:tcPr>
          <w:p w:rsidR="00000000" w:rsidRDefault="00000000">
            <w:pPr>
              <w:spacing w:before="40" w:after="20" w:line="288" w:lineRule="auto"/>
              <w:ind w:right="170"/>
              <w:jc w:val="right"/>
              <w:rPr>
                <w:sz w:val="18"/>
              </w:rPr>
            </w:pPr>
            <w:r>
              <w:rPr>
                <w:sz w:val="18"/>
              </w:rPr>
              <w:t>4,693</w:t>
            </w:r>
          </w:p>
        </w:tc>
        <w:tc>
          <w:tcPr>
            <w:tcW w:w="1080" w:type="dxa"/>
            <w:vAlign w:val="center"/>
          </w:tcPr>
          <w:p w:rsidR="00000000" w:rsidRDefault="00000000">
            <w:pPr>
              <w:spacing w:before="40" w:after="20" w:line="288" w:lineRule="auto"/>
              <w:ind w:right="170"/>
              <w:jc w:val="right"/>
              <w:rPr>
                <w:sz w:val="18"/>
              </w:rPr>
            </w:pPr>
            <w:r>
              <w:rPr>
                <w:sz w:val="18"/>
              </w:rPr>
              <w:t>5,181</w:t>
            </w:r>
          </w:p>
        </w:tc>
        <w:tc>
          <w:tcPr>
            <w:tcW w:w="1080" w:type="dxa"/>
            <w:vAlign w:val="center"/>
          </w:tcPr>
          <w:p w:rsidR="00000000" w:rsidRDefault="00000000">
            <w:pPr>
              <w:spacing w:before="40" w:after="20" w:line="288" w:lineRule="auto"/>
              <w:ind w:right="170"/>
              <w:jc w:val="right"/>
              <w:rPr>
                <w:sz w:val="18"/>
              </w:rPr>
            </w:pPr>
            <w:r>
              <w:rPr>
                <w:sz w:val="18"/>
              </w:rPr>
              <w:t>4,703</w:t>
            </w: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bCs/>
                <w:sz w:val="18"/>
              </w:rPr>
            </w:pPr>
            <w:r>
              <w:rPr>
                <w:bCs/>
                <w:sz w:val="18"/>
              </w:rPr>
              <w:t>14,577</w:t>
            </w:r>
          </w:p>
        </w:tc>
        <w:tc>
          <w:tcPr>
            <w:tcW w:w="942" w:type="dxa"/>
            <w:vAlign w:val="center"/>
          </w:tcPr>
          <w:p w:rsidR="00000000" w:rsidRDefault="00000000">
            <w:pPr>
              <w:spacing w:before="40" w:after="20" w:line="288" w:lineRule="auto"/>
              <w:ind w:right="170"/>
              <w:jc w:val="right"/>
              <w:rPr>
                <w:sz w:val="18"/>
              </w:rPr>
            </w:pPr>
          </w:p>
        </w:tc>
      </w:tr>
      <w:tr w:rsidR="00000000">
        <w:tblPrEx>
          <w:tblCellMar>
            <w:top w:w="0" w:type="dxa"/>
            <w:bottom w:w="0" w:type="dxa"/>
          </w:tblCellMar>
        </w:tblPrEx>
        <w:tc>
          <w:tcPr>
            <w:tcW w:w="1896" w:type="dxa"/>
          </w:tcPr>
          <w:p w:rsidR="00000000" w:rsidRDefault="00000000">
            <w:pPr>
              <w:spacing w:before="40" w:after="20" w:line="240" w:lineRule="auto"/>
              <w:ind w:left="210" w:hanging="210"/>
              <w:rPr>
                <w:rFonts w:hint="eastAsia"/>
                <w:spacing w:val="0"/>
                <w:sz w:val="20"/>
              </w:rPr>
            </w:pPr>
            <w:r>
              <w:rPr>
                <w:rFonts w:hint="eastAsia"/>
                <w:spacing w:val="0"/>
                <w:sz w:val="20"/>
              </w:rPr>
              <w:t>二、支付服务费</w:t>
            </w:r>
            <w:r>
              <w:rPr>
                <w:spacing w:val="0"/>
                <w:sz w:val="20"/>
              </w:rPr>
              <w:br/>
            </w:r>
            <w:r>
              <w:rPr>
                <w:rFonts w:hint="eastAsia"/>
                <w:spacing w:val="0"/>
                <w:sz w:val="20"/>
              </w:rPr>
              <w:t>(</w:t>
            </w:r>
            <w:r>
              <w:rPr>
                <w:rFonts w:hint="eastAsia"/>
                <w:spacing w:val="0"/>
                <w:sz w:val="20"/>
              </w:rPr>
              <w:t>工资和薪水等</w:t>
            </w:r>
            <w:r>
              <w:rPr>
                <w:rFonts w:hint="eastAsia"/>
                <w:spacing w:val="0"/>
                <w:sz w:val="20"/>
              </w:rPr>
              <w:t>)</w:t>
            </w:r>
          </w:p>
        </w:tc>
        <w:tc>
          <w:tcPr>
            <w:tcW w:w="1092" w:type="dxa"/>
            <w:vAlign w:val="center"/>
          </w:tcPr>
          <w:p w:rsidR="00000000" w:rsidRDefault="00000000">
            <w:pPr>
              <w:spacing w:before="40" w:after="20" w:line="240" w:lineRule="auto"/>
              <w:ind w:right="170"/>
              <w:jc w:val="right"/>
              <w:rPr>
                <w:sz w:val="18"/>
              </w:rPr>
            </w:pPr>
            <w:r>
              <w:rPr>
                <w:sz w:val="18"/>
              </w:rPr>
              <w:t>91,178</w:t>
            </w:r>
          </w:p>
        </w:tc>
        <w:tc>
          <w:tcPr>
            <w:tcW w:w="1080" w:type="dxa"/>
            <w:vAlign w:val="center"/>
          </w:tcPr>
          <w:p w:rsidR="00000000" w:rsidRDefault="00000000">
            <w:pPr>
              <w:spacing w:before="40" w:after="20" w:line="288" w:lineRule="auto"/>
              <w:ind w:right="170"/>
              <w:jc w:val="right"/>
              <w:rPr>
                <w:sz w:val="18"/>
              </w:rPr>
            </w:pPr>
          </w:p>
        </w:tc>
        <w:tc>
          <w:tcPr>
            <w:tcW w:w="108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40" w:lineRule="auto"/>
              <w:ind w:right="170"/>
              <w:jc w:val="right"/>
              <w:rPr>
                <w:bCs/>
                <w:sz w:val="18"/>
              </w:rPr>
            </w:pPr>
            <w:r>
              <w:rPr>
                <w:bCs/>
                <w:sz w:val="18"/>
              </w:rPr>
              <w:t>91,178</w:t>
            </w:r>
          </w:p>
        </w:tc>
        <w:tc>
          <w:tcPr>
            <w:tcW w:w="942" w:type="dxa"/>
            <w:vAlign w:val="center"/>
          </w:tcPr>
          <w:p w:rsidR="00000000" w:rsidRDefault="00000000">
            <w:pPr>
              <w:spacing w:before="40" w:after="20" w:line="240" w:lineRule="auto"/>
              <w:ind w:right="170"/>
              <w:jc w:val="right"/>
              <w:rPr>
                <w:sz w:val="18"/>
              </w:rPr>
            </w:pPr>
            <w:r>
              <w:rPr>
                <w:sz w:val="18"/>
              </w:rPr>
              <w:t>27.45</w:t>
            </w:r>
          </w:p>
        </w:tc>
      </w:tr>
      <w:tr w:rsidR="00000000">
        <w:tblPrEx>
          <w:tblCellMar>
            <w:top w:w="0" w:type="dxa"/>
            <w:bottom w:w="0" w:type="dxa"/>
          </w:tblCellMar>
        </w:tblPrEx>
        <w:tc>
          <w:tcPr>
            <w:tcW w:w="1896" w:type="dxa"/>
          </w:tcPr>
          <w:p w:rsidR="00000000" w:rsidRDefault="00000000">
            <w:pPr>
              <w:spacing w:before="40" w:after="20" w:line="288" w:lineRule="auto"/>
              <w:ind w:left="150" w:right="170" w:hanging="150"/>
              <w:rPr>
                <w:rFonts w:hint="eastAsia"/>
                <w:sz w:val="20"/>
              </w:rPr>
            </w:pPr>
            <w:r>
              <w:rPr>
                <w:rFonts w:hint="eastAsia"/>
                <w:sz w:val="20"/>
              </w:rPr>
              <w:t>三、文化遗产</w:t>
            </w:r>
          </w:p>
        </w:tc>
        <w:tc>
          <w:tcPr>
            <w:tcW w:w="1092" w:type="dxa"/>
            <w:vAlign w:val="center"/>
          </w:tcPr>
          <w:p w:rsidR="00000000" w:rsidRDefault="00000000">
            <w:pPr>
              <w:spacing w:before="40" w:after="20" w:line="288" w:lineRule="auto"/>
              <w:ind w:right="170"/>
              <w:jc w:val="right"/>
              <w:rPr>
                <w:sz w:val="18"/>
              </w:rPr>
            </w:pPr>
          </w:p>
        </w:tc>
        <w:tc>
          <w:tcPr>
            <w:tcW w:w="1080" w:type="dxa"/>
            <w:vAlign w:val="center"/>
          </w:tcPr>
          <w:p w:rsidR="00000000" w:rsidRDefault="00000000">
            <w:pPr>
              <w:spacing w:before="40" w:after="20" w:line="288" w:lineRule="auto"/>
              <w:ind w:right="170"/>
              <w:jc w:val="right"/>
              <w:rPr>
                <w:sz w:val="18"/>
              </w:rPr>
            </w:pPr>
            <w:r>
              <w:rPr>
                <w:sz w:val="18"/>
              </w:rPr>
              <w:t>17,363</w:t>
            </w:r>
          </w:p>
        </w:tc>
        <w:tc>
          <w:tcPr>
            <w:tcW w:w="1080" w:type="dxa"/>
            <w:vAlign w:val="center"/>
          </w:tcPr>
          <w:p w:rsidR="00000000" w:rsidRDefault="00000000">
            <w:pPr>
              <w:spacing w:before="40" w:after="20" w:line="288" w:lineRule="auto"/>
              <w:ind w:right="170"/>
              <w:jc w:val="right"/>
              <w:rPr>
                <w:sz w:val="18"/>
              </w:rPr>
            </w:pPr>
            <w:r>
              <w:rPr>
                <w:sz w:val="18"/>
              </w:rPr>
              <w:t>37,346</w:t>
            </w:r>
          </w:p>
        </w:tc>
        <w:tc>
          <w:tcPr>
            <w:tcW w:w="1200" w:type="dxa"/>
            <w:vAlign w:val="center"/>
          </w:tcPr>
          <w:p w:rsidR="00000000" w:rsidRDefault="00000000">
            <w:pPr>
              <w:spacing w:before="40" w:after="20" w:line="288" w:lineRule="auto"/>
              <w:ind w:right="170"/>
              <w:jc w:val="right"/>
              <w:rPr>
                <w:sz w:val="18"/>
              </w:rPr>
            </w:pPr>
            <w:r>
              <w:rPr>
                <w:sz w:val="18"/>
              </w:rPr>
              <w:t>83,407</w:t>
            </w:r>
          </w:p>
        </w:tc>
        <w:tc>
          <w:tcPr>
            <w:tcW w:w="1200" w:type="dxa"/>
            <w:vAlign w:val="center"/>
          </w:tcPr>
          <w:p w:rsidR="00000000" w:rsidRDefault="00000000">
            <w:pPr>
              <w:spacing w:before="40" w:after="20" w:line="288" w:lineRule="auto"/>
              <w:ind w:right="170"/>
              <w:jc w:val="right"/>
              <w:rPr>
                <w:sz w:val="18"/>
              </w:rPr>
            </w:pPr>
            <w:r>
              <w:rPr>
                <w:sz w:val="18"/>
              </w:rPr>
              <w:t>5,312</w:t>
            </w:r>
          </w:p>
        </w:tc>
        <w:tc>
          <w:tcPr>
            <w:tcW w:w="1081" w:type="dxa"/>
            <w:vAlign w:val="center"/>
          </w:tcPr>
          <w:p w:rsidR="00000000" w:rsidRDefault="00000000">
            <w:pPr>
              <w:spacing w:before="40" w:after="20" w:line="288" w:lineRule="auto"/>
              <w:ind w:right="170"/>
              <w:jc w:val="right"/>
              <w:rPr>
                <w:bCs/>
                <w:sz w:val="18"/>
              </w:rPr>
            </w:pPr>
            <w:r>
              <w:rPr>
                <w:bCs/>
                <w:sz w:val="18"/>
              </w:rPr>
              <w:t>143,428</w:t>
            </w:r>
          </w:p>
        </w:tc>
        <w:tc>
          <w:tcPr>
            <w:tcW w:w="942" w:type="dxa"/>
            <w:vAlign w:val="center"/>
          </w:tcPr>
          <w:p w:rsidR="00000000" w:rsidRDefault="00000000">
            <w:pPr>
              <w:spacing w:before="40" w:after="20" w:line="288" w:lineRule="auto"/>
              <w:ind w:right="170"/>
              <w:jc w:val="right"/>
              <w:rPr>
                <w:sz w:val="18"/>
              </w:rPr>
            </w:pPr>
            <w:r>
              <w:rPr>
                <w:sz w:val="18"/>
              </w:rPr>
              <w:t>43.18</w:t>
            </w:r>
          </w:p>
        </w:tc>
      </w:tr>
      <w:tr w:rsidR="00000000">
        <w:tblPrEx>
          <w:tblCellMar>
            <w:top w:w="0" w:type="dxa"/>
            <w:bottom w:w="0" w:type="dxa"/>
          </w:tblCellMar>
        </w:tblPrEx>
        <w:tc>
          <w:tcPr>
            <w:tcW w:w="1896" w:type="dxa"/>
          </w:tcPr>
          <w:p w:rsidR="00000000" w:rsidRDefault="00000000">
            <w:pPr>
              <w:spacing w:before="40" w:after="20" w:line="288" w:lineRule="auto"/>
              <w:ind w:left="660" w:right="170" w:hanging="300"/>
              <w:rPr>
                <w:rFonts w:hint="eastAsia"/>
                <w:sz w:val="20"/>
              </w:rPr>
            </w:pPr>
            <w:r>
              <w:rPr>
                <w:rFonts w:hint="eastAsia"/>
                <w:sz w:val="20"/>
              </w:rPr>
              <w:t>开掘</w:t>
            </w:r>
          </w:p>
        </w:tc>
        <w:tc>
          <w:tcPr>
            <w:tcW w:w="1092" w:type="dxa"/>
            <w:vAlign w:val="center"/>
          </w:tcPr>
          <w:p w:rsidR="00000000" w:rsidRDefault="00000000">
            <w:pPr>
              <w:spacing w:before="40" w:after="20" w:line="288" w:lineRule="auto"/>
              <w:ind w:right="170"/>
              <w:jc w:val="right"/>
              <w:rPr>
                <w:sz w:val="18"/>
              </w:rPr>
            </w:pPr>
          </w:p>
        </w:tc>
        <w:tc>
          <w:tcPr>
            <w:tcW w:w="1080" w:type="dxa"/>
            <w:vAlign w:val="center"/>
          </w:tcPr>
          <w:p w:rsidR="00000000" w:rsidRDefault="00000000">
            <w:pPr>
              <w:spacing w:before="40" w:after="20" w:line="288" w:lineRule="auto"/>
              <w:ind w:right="170"/>
              <w:jc w:val="right"/>
              <w:rPr>
                <w:sz w:val="18"/>
              </w:rPr>
            </w:pPr>
            <w:r>
              <w:rPr>
                <w:sz w:val="18"/>
              </w:rPr>
              <w:t>2,726</w:t>
            </w:r>
          </w:p>
        </w:tc>
        <w:tc>
          <w:tcPr>
            <w:tcW w:w="108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rFonts w:hint="eastAsia"/>
                <w:bCs/>
                <w:sz w:val="18"/>
              </w:rPr>
            </w:pPr>
          </w:p>
        </w:tc>
        <w:tc>
          <w:tcPr>
            <w:tcW w:w="942" w:type="dxa"/>
            <w:vAlign w:val="center"/>
          </w:tcPr>
          <w:p w:rsidR="00000000" w:rsidRDefault="00000000">
            <w:pPr>
              <w:spacing w:before="40" w:after="20" w:line="288" w:lineRule="auto"/>
              <w:ind w:right="170"/>
              <w:jc w:val="right"/>
              <w:rPr>
                <w:sz w:val="18"/>
              </w:rPr>
            </w:pPr>
          </w:p>
        </w:tc>
      </w:tr>
      <w:tr w:rsidR="00000000">
        <w:tblPrEx>
          <w:tblCellMar>
            <w:top w:w="0" w:type="dxa"/>
            <w:bottom w:w="0" w:type="dxa"/>
          </w:tblCellMar>
        </w:tblPrEx>
        <w:tc>
          <w:tcPr>
            <w:tcW w:w="1896" w:type="dxa"/>
          </w:tcPr>
          <w:p w:rsidR="00000000" w:rsidRDefault="00000000">
            <w:pPr>
              <w:spacing w:before="40" w:after="20" w:line="288" w:lineRule="auto"/>
              <w:ind w:left="660" w:right="170" w:hanging="300"/>
              <w:rPr>
                <w:rFonts w:hint="eastAsia"/>
                <w:sz w:val="20"/>
              </w:rPr>
            </w:pPr>
            <w:r>
              <w:rPr>
                <w:rFonts w:hint="eastAsia"/>
                <w:sz w:val="20"/>
              </w:rPr>
              <w:t>博物馆</w:t>
            </w:r>
          </w:p>
        </w:tc>
        <w:tc>
          <w:tcPr>
            <w:tcW w:w="1092" w:type="dxa"/>
            <w:vAlign w:val="center"/>
          </w:tcPr>
          <w:p w:rsidR="00000000" w:rsidRDefault="00000000">
            <w:pPr>
              <w:spacing w:before="40" w:after="20" w:line="288" w:lineRule="auto"/>
              <w:ind w:right="170"/>
              <w:jc w:val="right"/>
              <w:rPr>
                <w:sz w:val="18"/>
              </w:rPr>
            </w:pPr>
          </w:p>
        </w:tc>
        <w:tc>
          <w:tcPr>
            <w:tcW w:w="1080" w:type="dxa"/>
            <w:vAlign w:val="center"/>
          </w:tcPr>
          <w:p w:rsidR="00000000" w:rsidRDefault="00000000">
            <w:pPr>
              <w:spacing w:before="40" w:after="20" w:line="288" w:lineRule="auto"/>
              <w:ind w:right="170"/>
              <w:jc w:val="right"/>
              <w:rPr>
                <w:sz w:val="18"/>
              </w:rPr>
            </w:pPr>
            <w:r>
              <w:rPr>
                <w:sz w:val="18"/>
              </w:rPr>
              <w:t>2,840</w:t>
            </w:r>
          </w:p>
        </w:tc>
        <w:tc>
          <w:tcPr>
            <w:tcW w:w="108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rFonts w:hint="eastAsia"/>
                <w:bCs/>
                <w:sz w:val="18"/>
              </w:rPr>
            </w:pPr>
          </w:p>
        </w:tc>
        <w:tc>
          <w:tcPr>
            <w:tcW w:w="942" w:type="dxa"/>
            <w:vAlign w:val="center"/>
          </w:tcPr>
          <w:p w:rsidR="00000000" w:rsidRDefault="00000000">
            <w:pPr>
              <w:spacing w:before="40" w:after="20" w:line="288" w:lineRule="auto"/>
              <w:ind w:right="170"/>
              <w:jc w:val="right"/>
              <w:rPr>
                <w:sz w:val="18"/>
              </w:rPr>
            </w:pPr>
          </w:p>
        </w:tc>
      </w:tr>
      <w:tr w:rsidR="00000000">
        <w:tblPrEx>
          <w:tblCellMar>
            <w:top w:w="0" w:type="dxa"/>
            <w:bottom w:w="0" w:type="dxa"/>
          </w:tblCellMar>
        </w:tblPrEx>
        <w:tc>
          <w:tcPr>
            <w:tcW w:w="1896" w:type="dxa"/>
          </w:tcPr>
          <w:p w:rsidR="00000000" w:rsidRDefault="00000000">
            <w:pPr>
              <w:spacing w:before="40" w:after="20" w:line="288" w:lineRule="auto"/>
              <w:ind w:left="660" w:right="170" w:hanging="300"/>
              <w:rPr>
                <w:rFonts w:hint="eastAsia"/>
                <w:sz w:val="20"/>
              </w:rPr>
            </w:pPr>
            <w:r>
              <w:rPr>
                <w:rFonts w:hint="eastAsia"/>
                <w:sz w:val="20"/>
              </w:rPr>
              <w:t>遗迹</w:t>
            </w:r>
          </w:p>
        </w:tc>
        <w:tc>
          <w:tcPr>
            <w:tcW w:w="1092" w:type="dxa"/>
            <w:vAlign w:val="center"/>
          </w:tcPr>
          <w:p w:rsidR="00000000" w:rsidRDefault="00000000">
            <w:pPr>
              <w:spacing w:before="40" w:after="20" w:line="288" w:lineRule="auto"/>
              <w:ind w:right="170"/>
              <w:jc w:val="right"/>
              <w:rPr>
                <w:sz w:val="18"/>
              </w:rPr>
            </w:pPr>
          </w:p>
        </w:tc>
        <w:tc>
          <w:tcPr>
            <w:tcW w:w="1080" w:type="dxa"/>
            <w:vAlign w:val="center"/>
          </w:tcPr>
          <w:p w:rsidR="00000000" w:rsidRDefault="00000000">
            <w:pPr>
              <w:spacing w:before="40" w:after="20" w:line="288" w:lineRule="auto"/>
              <w:ind w:right="170"/>
              <w:jc w:val="right"/>
              <w:rPr>
                <w:sz w:val="18"/>
              </w:rPr>
            </w:pPr>
            <w:r>
              <w:rPr>
                <w:sz w:val="18"/>
              </w:rPr>
              <w:t>2,617</w:t>
            </w:r>
          </w:p>
        </w:tc>
        <w:tc>
          <w:tcPr>
            <w:tcW w:w="108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rFonts w:hint="eastAsia"/>
                <w:bCs/>
                <w:sz w:val="18"/>
              </w:rPr>
            </w:pPr>
          </w:p>
        </w:tc>
        <w:tc>
          <w:tcPr>
            <w:tcW w:w="942" w:type="dxa"/>
            <w:vAlign w:val="center"/>
          </w:tcPr>
          <w:p w:rsidR="00000000" w:rsidRDefault="00000000">
            <w:pPr>
              <w:spacing w:before="40" w:after="20" w:line="288" w:lineRule="auto"/>
              <w:ind w:right="170"/>
              <w:jc w:val="right"/>
              <w:rPr>
                <w:sz w:val="18"/>
              </w:rPr>
            </w:pPr>
          </w:p>
        </w:tc>
      </w:tr>
      <w:tr w:rsidR="00000000">
        <w:tblPrEx>
          <w:tblCellMar>
            <w:top w:w="0" w:type="dxa"/>
            <w:bottom w:w="0" w:type="dxa"/>
          </w:tblCellMar>
        </w:tblPrEx>
        <w:tc>
          <w:tcPr>
            <w:tcW w:w="1896" w:type="dxa"/>
          </w:tcPr>
          <w:p w:rsidR="00000000" w:rsidRDefault="00000000">
            <w:pPr>
              <w:spacing w:before="40" w:after="20" w:line="288" w:lineRule="auto"/>
              <w:ind w:left="660" w:right="170" w:hanging="300"/>
              <w:rPr>
                <w:rFonts w:hint="eastAsia"/>
                <w:spacing w:val="-8"/>
                <w:sz w:val="20"/>
              </w:rPr>
            </w:pPr>
            <w:r>
              <w:rPr>
                <w:rFonts w:hint="eastAsia"/>
                <w:spacing w:val="-8"/>
                <w:sz w:val="20"/>
              </w:rPr>
              <w:t>其他考古项目</w:t>
            </w:r>
          </w:p>
        </w:tc>
        <w:tc>
          <w:tcPr>
            <w:tcW w:w="1092" w:type="dxa"/>
            <w:vAlign w:val="center"/>
          </w:tcPr>
          <w:p w:rsidR="00000000" w:rsidRDefault="00000000">
            <w:pPr>
              <w:spacing w:before="40" w:after="20" w:line="288" w:lineRule="auto"/>
              <w:ind w:right="170"/>
              <w:jc w:val="right"/>
              <w:rPr>
                <w:sz w:val="18"/>
              </w:rPr>
            </w:pPr>
          </w:p>
        </w:tc>
        <w:tc>
          <w:tcPr>
            <w:tcW w:w="1080" w:type="dxa"/>
            <w:vAlign w:val="center"/>
          </w:tcPr>
          <w:p w:rsidR="00000000" w:rsidRDefault="00000000">
            <w:pPr>
              <w:spacing w:before="40" w:after="20" w:line="288" w:lineRule="auto"/>
              <w:ind w:right="170"/>
              <w:jc w:val="right"/>
              <w:rPr>
                <w:sz w:val="18"/>
              </w:rPr>
            </w:pPr>
            <w:r>
              <w:rPr>
                <w:sz w:val="18"/>
              </w:rPr>
              <w:t>9,180</w:t>
            </w:r>
          </w:p>
        </w:tc>
        <w:tc>
          <w:tcPr>
            <w:tcW w:w="108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bCs/>
                <w:sz w:val="18"/>
              </w:rPr>
            </w:pPr>
          </w:p>
        </w:tc>
        <w:tc>
          <w:tcPr>
            <w:tcW w:w="942" w:type="dxa"/>
            <w:vAlign w:val="center"/>
          </w:tcPr>
          <w:p w:rsidR="00000000" w:rsidRDefault="00000000">
            <w:pPr>
              <w:spacing w:before="40" w:after="20" w:line="288" w:lineRule="auto"/>
              <w:ind w:right="170"/>
              <w:jc w:val="right"/>
              <w:rPr>
                <w:sz w:val="18"/>
              </w:rPr>
            </w:pPr>
          </w:p>
        </w:tc>
      </w:tr>
      <w:tr w:rsidR="00000000">
        <w:tblPrEx>
          <w:tblCellMar>
            <w:top w:w="0" w:type="dxa"/>
            <w:bottom w:w="0" w:type="dxa"/>
          </w:tblCellMar>
        </w:tblPrEx>
        <w:tc>
          <w:tcPr>
            <w:tcW w:w="1896" w:type="dxa"/>
          </w:tcPr>
          <w:p w:rsidR="00000000" w:rsidRDefault="00000000">
            <w:pPr>
              <w:spacing w:before="40" w:after="20" w:line="288" w:lineRule="auto"/>
              <w:ind w:left="315" w:right="170"/>
              <w:rPr>
                <w:rFonts w:hint="eastAsia"/>
                <w:spacing w:val="0"/>
                <w:sz w:val="20"/>
              </w:rPr>
            </w:pPr>
            <w:r>
              <w:rPr>
                <w:rFonts w:hint="eastAsia"/>
                <w:spacing w:val="0"/>
                <w:sz w:val="20"/>
              </w:rPr>
              <w:t>当代纪念碑及阿克罗波利斯</w:t>
            </w:r>
          </w:p>
        </w:tc>
        <w:tc>
          <w:tcPr>
            <w:tcW w:w="1092" w:type="dxa"/>
            <w:vAlign w:val="center"/>
          </w:tcPr>
          <w:p w:rsidR="00000000" w:rsidRDefault="00000000">
            <w:pPr>
              <w:spacing w:before="40" w:after="20" w:line="288" w:lineRule="auto"/>
              <w:ind w:right="170"/>
              <w:jc w:val="right"/>
              <w:rPr>
                <w:sz w:val="18"/>
              </w:rPr>
            </w:pPr>
          </w:p>
        </w:tc>
        <w:tc>
          <w:tcPr>
            <w:tcW w:w="1080" w:type="dxa"/>
            <w:vAlign w:val="center"/>
          </w:tcPr>
          <w:p w:rsidR="00000000" w:rsidRDefault="00000000">
            <w:pPr>
              <w:spacing w:before="40" w:after="20" w:line="288" w:lineRule="auto"/>
              <w:ind w:right="170"/>
              <w:jc w:val="right"/>
              <w:rPr>
                <w:sz w:val="18"/>
              </w:rPr>
            </w:pPr>
          </w:p>
        </w:tc>
        <w:tc>
          <w:tcPr>
            <w:tcW w:w="1080" w:type="dxa"/>
            <w:vAlign w:val="center"/>
          </w:tcPr>
          <w:p w:rsidR="00000000" w:rsidRDefault="00000000">
            <w:pPr>
              <w:spacing w:before="40" w:after="20" w:line="288" w:lineRule="auto"/>
              <w:ind w:right="170"/>
              <w:jc w:val="right"/>
              <w:rPr>
                <w:sz w:val="18"/>
              </w:rPr>
            </w:pPr>
          </w:p>
        </w:tc>
        <w:tc>
          <w:tcPr>
            <w:tcW w:w="1200" w:type="dxa"/>
            <w:vAlign w:val="center"/>
          </w:tcPr>
          <w:p w:rsidR="00000000" w:rsidRDefault="00000000">
            <w:pPr>
              <w:spacing w:before="40" w:after="20" w:line="288" w:lineRule="auto"/>
              <w:ind w:right="170"/>
              <w:jc w:val="right"/>
              <w:rPr>
                <w:sz w:val="18"/>
              </w:rPr>
            </w:pPr>
            <w:r>
              <w:rPr>
                <w:sz w:val="18"/>
              </w:rPr>
              <w:t>909</w:t>
            </w:r>
          </w:p>
        </w:tc>
        <w:tc>
          <w:tcPr>
            <w:tcW w:w="1200" w:type="dxa"/>
            <w:vAlign w:val="center"/>
          </w:tcPr>
          <w:p w:rsidR="00000000" w:rsidRDefault="00000000">
            <w:pPr>
              <w:spacing w:before="40" w:after="20" w:line="288" w:lineRule="auto"/>
              <w:ind w:right="170"/>
              <w:jc w:val="right"/>
              <w:rPr>
                <w:sz w:val="18"/>
              </w:rPr>
            </w:pPr>
          </w:p>
        </w:tc>
        <w:tc>
          <w:tcPr>
            <w:tcW w:w="1081" w:type="dxa"/>
            <w:vAlign w:val="center"/>
          </w:tcPr>
          <w:p w:rsidR="00000000" w:rsidRDefault="00000000">
            <w:pPr>
              <w:spacing w:before="40" w:after="20" w:line="288" w:lineRule="auto"/>
              <w:ind w:right="170"/>
              <w:jc w:val="right"/>
              <w:rPr>
                <w:bCs/>
                <w:sz w:val="18"/>
              </w:rPr>
            </w:pPr>
            <w:r>
              <w:rPr>
                <w:bCs/>
                <w:sz w:val="18"/>
              </w:rPr>
              <w:t>909</w:t>
            </w:r>
          </w:p>
        </w:tc>
        <w:tc>
          <w:tcPr>
            <w:tcW w:w="942" w:type="dxa"/>
            <w:vAlign w:val="center"/>
          </w:tcPr>
          <w:p w:rsidR="00000000" w:rsidRDefault="00000000">
            <w:pPr>
              <w:spacing w:before="40" w:after="20" w:line="288" w:lineRule="auto"/>
              <w:ind w:right="170"/>
              <w:jc w:val="right"/>
              <w:rPr>
                <w:sz w:val="18"/>
              </w:rPr>
            </w:pPr>
            <w:r>
              <w:rPr>
                <w:sz w:val="18"/>
              </w:rPr>
              <w:t>0.2</w:t>
            </w:r>
          </w:p>
        </w:tc>
      </w:tr>
      <w:tr w:rsidR="00000000">
        <w:tblPrEx>
          <w:tblCellMar>
            <w:top w:w="0" w:type="dxa"/>
            <w:bottom w:w="0" w:type="dxa"/>
          </w:tblCellMar>
        </w:tblPrEx>
        <w:tc>
          <w:tcPr>
            <w:tcW w:w="1896" w:type="dxa"/>
          </w:tcPr>
          <w:p w:rsidR="00000000" w:rsidRDefault="00000000">
            <w:pPr>
              <w:spacing w:before="40" w:after="20" w:line="288" w:lineRule="auto"/>
              <w:ind w:left="660" w:right="170" w:hanging="300"/>
              <w:jc w:val="center"/>
              <w:rPr>
                <w:rFonts w:hint="eastAsia"/>
                <w:sz w:val="20"/>
              </w:rPr>
            </w:pPr>
            <w:r>
              <w:rPr>
                <w:rFonts w:hint="eastAsia"/>
                <w:sz w:val="20"/>
              </w:rPr>
              <w:t>总</w:t>
            </w:r>
            <w:r>
              <w:rPr>
                <w:rFonts w:hint="eastAsia"/>
                <w:sz w:val="20"/>
              </w:rPr>
              <w:t xml:space="preserve">  </w:t>
            </w:r>
            <w:r>
              <w:rPr>
                <w:rFonts w:hint="eastAsia"/>
                <w:sz w:val="20"/>
              </w:rPr>
              <w:t>计</w:t>
            </w:r>
          </w:p>
        </w:tc>
        <w:tc>
          <w:tcPr>
            <w:tcW w:w="1092" w:type="dxa"/>
            <w:vAlign w:val="center"/>
          </w:tcPr>
          <w:p w:rsidR="00000000" w:rsidRDefault="00000000">
            <w:pPr>
              <w:spacing w:before="40" w:after="20" w:line="288" w:lineRule="auto"/>
              <w:ind w:right="170"/>
              <w:jc w:val="right"/>
              <w:rPr>
                <w:bCs/>
                <w:sz w:val="18"/>
              </w:rPr>
            </w:pPr>
            <w:r>
              <w:rPr>
                <w:bCs/>
                <w:sz w:val="18"/>
              </w:rPr>
              <w:t>147,973</w:t>
            </w:r>
          </w:p>
        </w:tc>
        <w:tc>
          <w:tcPr>
            <w:tcW w:w="1080" w:type="dxa"/>
            <w:vAlign w:val="center"/>
          </w:tcPr>
          <w:p w:rsidR="00000000" w:rsidRDefault="00000000">
            <w:pPr>
              <w:spacing w:before="40" w:after="20" w:line="288" w:lineRule="auto"/>
              <w:ind w:right="170"/>
              <w:jc w:val="right"/>
              <w:rPr>
                <w:bCs/>
                <w:sz w:val="18"/>
              </w:rPr>
            </w:pPr>
            <w:r>
              <w:rPr>
                <w:bCs/>
                <w:sz w:val="18"/>
              </w:rPr>
              <w:t>35,837</w:t>
            </w:r>
          </w:p>
        </w:tc>
        <w:tc>
          <w:tcPr>
            <w:tcW w:w="1080" w:type="dxa"/>
            <w:vAlign w:val="center"/>
          </w:tcPr>
          <w:p w:rsidR="00000000" w:rsidRDefault="00000000">
            <w:pPr>
              <w:spacing w:before="40" w:after="20" w:line="288" w:lineRule="auto"/>
              <w:ind w:right="170"/>
              <w:jc w:val="right"/>
              <w:rPr>
                <w:bCs/>
                <w:sz w:val="18"/>
              </w:rPr>
            </w:pPr>
            <w:r>
              <w:rPr>
                <w:bCs/>
                <w:sz w:val="18"/>
              </w:rPr>
              <w:t>68,688</w:t>
            </w:r>
          </w:p>
        </w:tc>
        <w:tc>
          <w:tcPr>
            <w:tcW w:w="1200" w:type="dxa"/>
            <w:vAlign w:val="center"/>
          </w:tcPr>
          <w:p w:rsidR="00000000" w:rsidRDefault="00000000">
            <w:pPr>
              <w:spacing w:before="40" w:after="20" w:line="288" w:lineRule="auto"/>
              <w:ind w:right="170"/>
              <w:jc w:val="right"/>
              <w:rPr>
                <w:bCs/>
                <w:sz w:val="18"/>
              </w:rPr>
            </w:pPr>
            <w:r>
              <w:rPr>
                <w:bCs/>
                <w:sz w:val="18"/>
              </w:rPr>
              <w:t>84,316</w:t>
            </w:r>
          </w:p>
        </w:tc>
        <w:tc>
          <w:tcPr>
            <w:tcW w:w="1200" w:type="dxa"/>
            <w:vAlign w:val="center"/>
          </w:tcPr>
          <w:p w:rsidR="00000000" w:rsidRDefault="00000000">
            <w:pPr>
              <w:spacing w:before="40" w:after="20" w:line="288" w:lineRule="auto"/>
              <w:ind w:right="170"/>
              <w:jc w:val="right"/>
              <w:rPr>
                <w:bCs/>
                <w:sz w:val="18"/>
              </w:rPr>
            </w:pPr>
            <w:r>
              <w:rPr>
                <w:bCs/>
                <w:sz w:val="18"/>
              </w:rPr>
              <w:t>5,312</w:t>
            </w:r>
          </w:p>
        </w:tc>
        <w:tc>
          <w:tcPr>
            <w:tcW w:w="1081" w:type="dxa"/>
            <w:vAlign w:val="center"/>
          </w:tcPr>
          <w:p w:rsidR="00000000" w:rsidRDefault="00000000">
            <w:pPr>
              <w:spacing w:before="40" w:after="20" w:line="288" w:lineRule="auto"/>
              <w:ind w:right="170"/>
              <w:jc w:val="right"/>
              <w:rPr>
                <w:bCs/>
                <w:sz w:val="18"/>
              </w:rPr>
            </w:pPr>
            <w:r>
              <w:rPr>
                <w:bCs/>
                <w:sz w:val="18"/>
              </w:rPr>
              <w:t>342,126</w:t>
            </w:r>
          </w:p>
        </w:tc>
        <w:tc>
          <w:tcPr>
            <w:tcW w:w="942" w:type="dxa"/>
            <w:vAlign w:val="center"/>
          </w:tcPr>
          <w:p w:rsidR="00000000" w:rsidRDefault="00000000">
            <w:pPr>
              <w:spacing w:before="40" w:after="20" w:line="288" w:lineRule="auto"/>
              <w:ind w:right="170"/>
              <w:jc w:val="right"/>
              <w:rPr>
                <w:bCs/>
                <w:sz w:val="18"/>
              </w:rPr>
            </w:pPr>
            <w:r>
              <w:rPr>
                <w:bCs/>
                <w:sz w:val="18"/>
              </w:rPr>
              <w:t>100</w:t>
            </w:r>
          </w:p>
        </w:tc>
      </w:tr>
    </w:tbl>
    <w:p w:rsidR="00000000" w:rsidRDefault="00000000">
      <w:pPr>
        <w:spacing w:line="360" w:lineRule="auto"/>
        <w:jc w:val="center"/>
        <w:rPr>
          <w:rFonts w:hint="eastAsia"/>
          <w:b/>
        </w:rPr>
      </w:pPr>
    </w:p>
    <w:p w:rsidR="00000000" w:rsidRDefault="00000000">
      <w:pPr>
        <w:pStyle w:val="Heading3"/>
        <w:spacing w:after="160"/>
      </w:pPr>
      <w:r>
        <w:br w:type="page"/>
      </w:r>
      <w:r>
        <w:rPr>
          <w:rFonts w:hint="eastAsia"/>
        </w:rPr>
        <w:t>表</w:t>
      </w:r>
      <w:r>
        <w:rPr>
          <w:rFonts w:hint="eastAsia"/>
        </w:rPr>
        <w:t xml:space="preserve"> 27</w:t>
      </w:r>
    </w:p>
    <w:p w:rsidR="00000000" w:rsidRDefault="00000000">
      <w:pPr>
        <w:spacing w:line="360" w:lineRule="auto"/>
        <w:jc w:val="center"/>
        <w:rPr>
          <w:rFonts w:hint="eastAsia"/>
          <w:b/>
        </w:rPr>
      </w:pPr>
      <w:r>
        <w:rPr>
          <w:rFonts w:hint="eastAsia"/>
        </w:rPr>
        <w:t>文化领域政府总支出</w:t>
      </w:r>
    </w:p>
    <w:p w:rsidR="00000000" w:rsidRDefault="00000000">
      <w:pPr>
        <w:pStyle w:val="Heading3"/>
        <w:rPr>
          <w:rFonts w:hint="eastAsia"/>
          <w:u w:val="none"/>
        </w:rPr>
      </w:pPr>
      <w:r>
        <w:rPr>
          <w:rFonts w:hint="eastAsia"/>
          <w:u w:val="none"/>
        </w:rPr>
        <w:t>2001</w:t>
      </w:r>
      <w:r>
        <w:rPr>
          <w:rFonts w:hint="eastAsia"/>
          <w:u w:val="none"/>
        </w:rPr>
        <w:t>年</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6"/>
        <w:gridCol w:w="1092"/>
        <w:gridCol w:w="1080"/>
        <w:gridCol w:w="1080"/>
        <w:gridCol w:w="1200"/>
        <w:gridCol w:w="1200"/>
        <w:gridCol w:w="1081"/>
        <w:gridCol w:w="942"/>
      </w:tblGrid>
      <w:tr w:rsidR="00000000">
        <w:tblPrEx>
          <w:tblCellMar>
            <w:top w:w="0" w:type="dxa"/>
            <w:bottom w:w="0" w:type="dxa"/>
          </w:tblCellMar>
        </w:tblPrEx>
        <w:tc>
          <w:tcPr>
            <w:tcW w:w="1896" w:type="dxa"/>
          </w:tcPr>
          <w:p w:rsidR="00000000" w:rsidRDefault="00000000">
            <w:pPr>
              <w:spacing w:before="180" w:after="20" w:line="240" w:lineRule="auto"/>
              <w:jc w:val="center"/>
              <w:rPr>
                <w:rFonts w:ascii="Time New Roman" w:eastAsia="SimHei" w:hAnsi="Time New Roman" w:hint="eastAsia"/>
                <w:sz w:val="20"/>
              </w:rPr>
            </w:pPr>
            <w:r>
              <w:rPr>
                <w:rFonts w:ascii="Time New Roman" w:eastAsia="SimHei" w:hAnsi="Time New Roman" w:hint="eastAsia"/>
                <w:sz w:val="20"/>
              </w:rPr>
              <w:t>按活动领域</w:t>
            </w:r>
          </w:p>
        </w:tc>
        <w:tc>
          <w:tcPr>
            <w:tcW w:w="1092" w:type="dxa"/>
          </w:tcPr>
          <w:p w:rsidR="00000000" w:rsidRDefault="00000000">
            <w:pPr>
              <w:spacing w:before="60" w:after="20" w:line="240" w:lineRule="auto"/>
              <w:ind w:right="-108"/>
              <w:jc w:val="center"/>
              <w:rPr>
                <w:rFonts w:ascii="Time New Roman" w:eastAsia="SimHei" w:hAnsi="Time New Roman" w:hint="eastAsia"/>
                <w:sz w:val="20"/>
              </w:rPr>
            </w:pPr>
            <w:r>
              <w:rPr>
                <w:rFonts w:ascii="Time New Roman" w:eastAsia="SimHei" w:hAnsi="Time New Roman" w:hint="eastAsia"/>
                <w:sz w:val="20"/>
              </w:rPr>
              <w:t>经常公共</w:t>
            </w:r>
            <w:r>
              <w:rPr>
                <w:rFonts w:ascii="Time New Roman" w:eastAsia="SimHei" w:hAnsi="Time New Roman"/>
                <w:sz w:val="20"/>
              </w:rPr>
              <w:br/>
            </w:r>
            <w:r>
              <w:rPr>
                <w:rFonts w:ascii="Time New Roman" w:eastAsia="SimHei" w:hAnsi="Time New Roman" w:hint="eastAsia"/>
                <w:sz w:val="20"/>
              </w:rPr>
              <w:t>预</w:t>
            </w:r>
            <w:r>
              <w:rPr>
                <w:rFonts w:ascii="Time New Roman" w:eastAsia="SimHei" w:hAnsi="Time New Roman" w:hint="eastAsia"/>
                <w:sz w:val="20"/>
              </w:rPr>
              <w:t xml:space="preserve"> </w:t>
            </w:r>
            <w:r>
              <w:rPr>
                <w:rFonts w:ascii="Time New Roman" w:eastAsia="SimHei" w:hAnsi="Time New Roman" w:hint="eastAsia"/>
                <w:sz w:val="20"/>
              </w:rPr>
              <w:t>算</w:t>
            </w:r>
          </w:p>
        </w:tc>
        <w:tc>
          <w:tcPr>
            <w:tcW w:w="1080" w:type="dxa"/>
          </w:tcPr>
          <w:p w:rsidR="00000000" w:rsidRDefault="00000000">
            <w:pPr>
              <w:spacing w:before="60" w:after="20" w:line="240" w:lineRule="auto"/>
              <w:ind w:right="-108"/>
              <w:jc w:val="center"/>
              <w:rPr>
                <w:rFonts w:ascii="Time New Roman" w:eastAsia="SimHei" w:hAnsi="Time New Roman" w:hint="eastAsia"/>
                <w:sz w:val="20"/>
              </w:rPr>
            </w:pPr>
            <w:r>
              <w:rPr>
                <w:rFonts w:ascii="Time New Roman" w:eastAsia="SimHei" w:hAnsi="Time New Roman" w:hint="eastAsia"/>
                <w:sz w:val="20"/>
              </w:rPr>
              <w:t>公</w:t>
            </w:r>
            <w:r>
              <w:rPr>
                <w:rFonts w:ascii="Time New Roman" w:eastAsia="SimHei" w:hAnsi="Time New Roman" w:hint="eastAsia"/>
                <w:sz w:val="20"/>
              </w:rPr>
              <w:t xml:space="preserve"> </w:t>
            </w:r>
            <w:r>
              <w:rPr>
                <w:rFonts w:ascii="Time New Roman" w:eastAsia="SimHei" w:hAnsi="Time New Roman" w:hint="eastAsia"/>
                <w:sz w:val="20"/>
              </w:rPr>
              <w:t>共</w:t>
            </w:r>
            <w:r>
              <w:rPr>
                <w:rFonts w:ascii="Time New Roman" w:eastAsia="SimHei" w:hAnsi="Time New Roman"/>
                <w:sz w:val="20"/>
              </w:rPr>
              <w:br/>
            </w:r>
            <w:r>
              <w:rPr>
                <w:rFonts w:ascii="Time New Roman" w:eastAsia="SimHei" w:hAnsi="Time New Roman" w:hint="eastAsia"/>
                <w:sz w:val="20"/>
              </w:rPr>
              <w:t>投资预算</w:t>
            </w:r>
          </w:p>
        </w:tc>
        <w:tc>
          <w:tcPr>
            <w:tcW w:w="1080" w:type="dxa"/>
          </w:tcPr>
          <w:p w:rsidR="00000000" w:rsidRDefault="00000000">
            <w:pPr>
              <w:spacing w:before="60" w:after="20" w:line="240" w:lineRule="auto"/>
              <w:ind w:right="170"/>
              <w:jc w:val="right"/>
              <w:rPr>
                <w:rFonts w:ascii="Time New Roman" w:eastAsia="SimHei" w:hAnsi="Time New Roman" w:hint="eastAsia"/>
                <w:sz w:val="20"/>
              </w:rPr>
            </w:pPr>
            <w:r>
              <w:rPr>
                <w:rFonts w:ascii="Time New Roman" w:eastAsia="SimHei" w:hAnsi="Time New Roman" w:hint="eastAsia"/>
                <w:sz w:val="20"/>
              </w:rPr>
              <w:t>公共</w:t>
            </w:r>
            <w:r>
              <w:rPr>
                <w:rFonts w:ascii="Time New Roman" w:eastAsia="SimHei" w:hAnsi="Time New Roman"/>
                <w:sz w:val="20"/>
              </w:rPr>
              <w:br/>
            </w:r>
            <w:r>
              <w:rPr>
                <w:rFonts w:ascii="Time New Roman" w:eastAsia="SimHei" w:hAnsi="Time New Roman" w:hint="eastAsia"/>
                <w:sz w:val="20"/>
              </w:rPr>
              <w:t>彩票</w:t>
            </w:r>
          </w:p>
        </w:tc>
        <w:tc>
          <w:tcPr>
            <w:tcW w:w="1200" w:type="dxa"/>
          </w:tcPr>
          <w:p w:rsidR="00000000" w:rsidRDefault="00000000">
            <w:pPr>
              <w:spacing w:before="60" w:after="20" w:line="240" w:lineRule="auto"/>
              <w:jc w:val="center"/>
              <w:rPr>
                <w:rFonts w:ascii="Time New Roman" w:eastAsia="SimHei" w:hAnsi="Time New Roman" w:hint="eastAsia"/>
                <w:sz w:val="20"/>
              </w:rPr>
            </w:pPr>
            <w:r>
              <w:rPr>
                <w:rFonts w:ascii="Time New Roman" w:eastAsia="SimHei" w:hAnsi="Time New Roman" w:hint="eastAsia"/>
                <w:sz w:val="20"/>
              </w:rPr>
              <w:t>欧洲联盟基</w:t>
            </w:r>
            <w:r>
              <w:rPr>
                <w:rFonts w:ascii="Time New Roman" w:eastAsia="SimHei" w:hAnsi="Time New Roman" w:hint="eastAsia"/>
                <w:sz w:val="20"/>
              </w:rPr>
              <w:t xml:space="preserve"> </w:t>
            </w:r>
            <w:r>
              <w:rPr>
                <w:rFonts w:ascii="Time New Roman" w:eastAsia="SimHei" w:hAnsi="Time New Roman" w:hint="eastAsia"/>
                <w:sz w:val="20"/>
              </w:rPr>
              <w:t>金</w:t>
            </w:r>
          </w:p>
        </w:tc>
        <w:tc>
          <w:tcPr>
            <w:tcW w:w="1200" w:type="dxa"/>
          </w:tcPr>
          <w:p w:rsidR="00000000" w:rsidRDefault="00000000">
            <w:pPr>
              <w:spacing w:before="60" w:after="20" w:line="240" w:lineRule="auto"/>
              <w:jc w:val="center"/>
              <w:rPr>
                <w:rFonts w:ascii="Time New Roman" w:eastAsia="SimHei" w:hAnsi="Time New Roman" w:hint="eastAsia"/>
                <w:sz w:val="20"/>
              </w:rPr>
            </w:pPr>
            <w:r>
              <w:rPr>
                <w:rFonts w:ascii="Time New Roman" w:eastAsia="SimHei" w:hAnsi="Time New Roman" w:hint="eastAsia"/>
                <w:sz w:val="20"/>
              </w:rPr>
              <w:t>考古资源基</w:t>
            </w:r>
            <w:r>
              <w:rPr>
                <w:rFonts w:ascii="Time New Roman" w:eastAsia="SimHei" w:hAnsi="Time New Roman" w:hint="eastAsia"/>
                <w:sz w:val="20"/>
              </w:rPr>
              <w:t xml:space="preserve"> </w:t>
            </w:r>
            <w:r>
              <w:rPr>
                <w:rFonts w:ascii="Time New Roman" w:eastAsia="SimHei" w:hAnsi="Time New Roman" w:hint="eastAsia"/>
                <w:sz w:val="20"/>
              </w:rPr>
              <w:t>金</w:t>
            </w:r>
          </w:p>
        </w:tc>
        <w:tc>
          <w:tcPr>
            <w:tcW w:w="1081" w:type="dxa"/>
          </w:tcPr>
          <w:p w:rsidR="00000000" w:rsidRDefault="00000000">
            <w:pPr>
              <w:spacing w:before="180" w:after="20" w:line="240" w:lineRule="auto"/>
              <w:ind w:right="170"/>
              <w:jc w:val="right"/>
              <w:rPr>
                <w:rFonts w:ascii="Time New Roman" w:eastAsia="SimHei" w:hAnsi="Time New Roman" w:hint="eastAsia"/>
                <w:sz w:val="20"/>
              </w:rPr>
            </w:pPr>
            <w:r>
              <w:rPr>
                <w:rFonts w:ascii="Time New Roman" w:eastAsia="SimHei" w:hAnsi="Time New Roman" w:hint="eastAsia"/>
                <w:sz w:val="20"/>
              </w:rPr>
              <w:t>共</w:t>
            </w:r>
            <w:r>
              <w:rPr>
                <w:rFonts w:ascii="Time New Roman" w:eastAsia="SimHei" w:hAnsi="Time New Roman" w:hint="eastAsia"/>
                <w:sz w:val="20"/>
              </w:rPr>
              <w:t xml:space="preserve"> </w:t>
            </w:r>
            <w:r>
              <w:rPr>
                <w:rFonts w:ascii="Time New Roman" w:eastAsia="SimHei" w:hAnsi="Time New Roman" w:hint="eastAsia"/>
                <w:sz w:val="20"/>
              </w:rPr>
              <w:t>计</w:t>
            </w:r>
          </w:p>
        </w:tc>
        <w:tc>
          <w:tcPr>
            <w:tcW w:w="942" w:type="dxa"/>
          </w:tcPr>
          <w:p w:rsidR="00000000" w:rsidRDefault="00000000">
            <w:pPr>
              <w:spacing w:before="180" w:after="20" w:line="240" w:lineRule="auto"/>
              <w:jc w:val="center"/>
              <w:rPr>
                <w:rFonts w:ascii="Time New Roman" w:eastAsia="SimHei" w:hAnsi="Time New Roman" w:hint="eastAsia"/>
                <w:sz w:val="20"/>
              </w:rPr>
            </w:pPr>
            <w:r>
              <w:rPr>
                <w:rFonts w:ascii="Time New Roman" w:eastAsia="SimHei" w:hAnsi="Time New Roman" w:hint="eastAsia"/>
                <w:sz w:val="20"/>
              </w:rPr>
              <w:t>百分比</w:t>
            </w:r>
          </w:p>
        </w:tc>
      </w:tr>
      <w:tr w:rsidR="00000000">
        <w:tblPrEx>
          <w:tblCellMar>
            <w:top w:w="0" w:type="dxa"/>
            <w:bottom w:w="0" w:type="dxa"/>
          </w:tblCellMar>
        </w:tblPrEx>
        <w:tc>
          <w:tcPr>
            <w:tcW w:w="1896" w:type="dxa"/>
          </w:tcPr>
          <w:p w:rsidR="00000000" w:rsidRDefault="00000000">
            <w:pPr>
              <w:spacing w:before="80" w:after="40" w:line="240" w:lineRule="auto"/>
              <w:ind w:right="170"/>
              <w:rPr>
                <w:rFonts w:hint="eastAsia"/>
                <w:sz w:val="20"/>
              </w:rPr>
            </w:pPr>
            <w:r>
              <w:rPr>
                <w:rFonts w:hint="eastAsia"/>
                <w:sz w:val="20"/>
              </w:rPr>
              <w:t>一、当代文化</w:t>
            </w:r>
          </w:p>
        </w:tc>
        <w:tc>
          <w:tcPr>
            <w:tcW w:w="1092" w:type="dxa"/>
          </w:tcPr>
          <w:p w:rsidR="00000000" w:rsidRDefault="00000000">
            <w:pPr>
              <w:spacing w:before="80" w:after="40" w:line="240" w:lineRule="auto"/>
              <w:ind w:right="170"/>
              <w:jc w:val="right"/>
              <w:rPr>
                <w:sz w:val="18"/>
              </w:rPr>
            </w:pPr>
            <w:r>
              <w:rPr>
                <w:sz w:val="18"/>
              </w:rPr>
              <w:t>66,898</w:t>
            </w:r>
          </w:p>
        </w:tc>
        <w:tc>
          <w:tcPr>
            <w:tcW w:w="1080" w:type="dxa"/>
          </w:tcPr>
          <w:p w:rsidR="00000000" w:rsidRDefault="00000000">
            <w:pPr>
              <w:spacing w:before="80" w:after="40" w:line="240" w:lineRule="auto"/>
              <w:ind w:right="170"/>
              <w:jc w:val="right"/>
              <w:rPr>
                <w:sz w:val="18"/>
              </w:rPr>
            </w:pPr>
            <w:r>
              <w:rPr>
                <w:sz w:val="18"/>
              </w:rPr>
              <w:t>3,355</w:t>
            </w:r>
          </w:p>
        </w:tc>
        <w:tc>
          <w:tcPr>
            <w:tcW w:w="1080" w:type="dxa"/>
          </w:tcPr>
          <w:p w:rsidR="00000000" w:rsidRDefault="00000000">
            <w:pPr>
              <w:spacing w:before="80" w:after="40" w:line="240" w:lineRule="auto"/>
              <w:ind w:right="170"/>
              <w:jc w:val="right"/>
              <w:rPr>
                <w:sz w:val="18"/>
              </w:rPr>
            </w:pPr>
            <w:r>
              <w:rPr>
                <w:sz w:val="18"/>
              </w:rPr>
              <w:t>48,886</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r>
              <w:rPr>
                <w:bCs/>
                <w:sz w:val="18"/>
              </w:rPr>
              <w:t>119,139</w:t>
            </w:r>
          </w:p>
        </w:tc>
        <w:tc>
          <w:tcPr>
            <w:tcW w:w="942" w:type="dxa"/>
          </w:tcPr>
          <w:p w:rsidR="00000000" w:rsidRDefault="00000000">
            <w:pPr>
              <w:spacing w:before="80" w:after="40" w:line="240" w:lineRule="auto"/>
              <w:ind w:right="170"/>
              <w:jc w:val="right"/>
              <w:rPr>
                <w:sz w:val="18"/>
              </w:rPr>
            </w:pPr>
            <w:r>
              <w:rPr>
                <w:sz w:val="18"/>
              </w:rPr>
              <w:t>28.93</w:t>
            </w:r>
          </w:p>
        </w:tc>
      </w:tr>
      <w:tr w:rsidR="00000000">
        <w:tblPrEx>
          <w:tblCellMar>
            <w:top w:w="0" w:type="dxa"/>
            <w:bottom w:w="0" w:type="dxa"/>
          </w:tblCellMar>
        </w:tblPrEx>
        <w:tc>
          <w:tcPr>
            <w:tcW w:w="1896" w:type="dxa"/>
          </w:tcPr>
          <w:p w:rsidR="00000000" w:rsidRDefault="00000000">
            <w:pPr>
              <w:spacing w:before="80" w:after="40" w:line="240" w:lineRule="auto"/>
              <w:ind w:left="510" w:right="170" w:hanging="150"/>
              <w:rPr>
                <w:rFonts w:hint="eastAsia"/>
                <w:sz w:val="20"/>
              </w:rPr>
            </w:pPr>
            <w:r>
              <w:rPr>
                <w:rFonts w:hint="eastAsia"/>
                <w:sz w:val="20"/>
              </w:rPr>
              <w:t>美术</w:t>
            </w:r>
          </w:p>
        </w:tc>
        <w:tc>
          <w:tcPr>
            <w:tcW w:w="1092" w:type="dxa"/>
          </w:tcPr>
          <w:p w:rsidR="00000000" w:rsidRDefault="00000000">
            <w:pPr>
              <w:spacing w:before="80" w:after="40" w:line="240" w:lineRule="auto"/>
              <w:ind w:right="170"/>
              <w:jc w:val="right"/>
              <w:rPr>
                <w:sz w:val="18"/>
              </w:rPr>
            </w:pPr>
            <w:r>
              <w:rPr>
                <w:sz w:val="18"/>
              </w:rPr>
              <w:t>2,824</w:t>
            </w:r>
          </w:p>
        </w:tc>
        <w:tc>
          <w:tcPr>
            <w:tcW w:w="1080"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r>
              <w:rPr>
                <w:sz w:val="18"/>
              </w:rPr>
              <w:t>2,550</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r>
              <w:rPr>
                <w:bCs/>
                <w:sz w:val="18"/>
              </w:rPr>
              <w:t>5,374</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left="510" w:right="170" w:hanging="150"/>
              <w:rPr>
                <w:rFonts w:hint="eastAsia"/>
                <w:sz w:val="20"/>
              </w:rPr>
            </w:pPr>
            <w:r>
              <w:rPr>
                <w:rFonts w:hint="eastAsia"/>
                <w:sz w:val="20"/>
              </w:rPr>
              <w:t>戏剧和舞蹈</w:t>
            </w:r>
          </w:p>
        </w:tc>
        <w:tc>
          <w:tcPr>
            <w:tcW w:w="1092" w:type="dxa"/>
          </w:tcPr>
          <w:p w:rsidR="00000000" w:rsidRDefault="00000000">
            <w:pPr>
              <w:spacing w:before="80" w:after="40" w:line="240" w:lineRule="auto"/>
              <w:ind w:right="170"/>
              <w:jc w:val="right"/>
              <w:rPr>
                <w:sz w:val="18"/>
              </w:rPr>
            </w:pPr>
            <w:r>
              <w:rPr>
                <w:sz w:val="18"/>
              </w:rPr>
              <w:t>17,077</w:t>
            </w:r>
          </w:p>
        </w:tc>
        <w:tc>
          <w:tcPr>
            <w:tcW w:w="1080" w:type="dxa"/>
          </w:tcPr>
          <w:p w:rsidR="00000000" w:rsidRDefault="00000000">
            <w:pPr>
              <w:spacing w:before="80" w:after="40" w:line="240" w:lineRule="auto"/>
              <w:ind w:right="170"/>
              <w:jc w:val="right"/>
              <w:rPr>
                <w:sz w:val="18"/>
              </w:rPr>
            </w:pPr>
            <w:r>
              <w:rPr>
                <w:sz w:val="18"/>
              </w:rPr>
              <w:t>117</w:t>
            </w:r>
          </w:p>
        </w:tc>
        <w:tc>
          <w:tcPr>
            <w:tcW w:w="1080" w:type="dxa"/>
          </w:tcPr>
          <w:p w:rsidR="00000000" w:rsidRDefault="00000000">
            <w:pPr>
              <w:spacing w:before="80" w:after="40" w:line="240" w:lineRule="auto"/>
              <w:ind w:right="170"/>
              <w:jc w:val="right"/>
              <w:rPr>
                <w:sz w:val="18"/>
              </w:rPr>
            </w:pPr>
            <w:r>
              <w:rPr>
                <w:sz w:val="18"/>
              </w:rPr>
              <w:t>4,395</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r>
              <w:rPr>
                <w:bCs/>
                <w:sz w:val="18"/>
              </w:rPr>
              <w:t>21,589</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left="510" w:right="170" w:hanging="150"/>
              <w:rPr>
                <w:rFonts w:hint="eastAsia"/>
                <w:sz w:val="20"/>
              </w:rPr>
            </w:pPr>
            <w:r>
              <w:rPr>
                <w:rFonts w:hint="eastAsia"/>
                <w:sz w:val="20"/>
              </w:rPr>
              <w:t>音乐</w:t>
            </w:r>
          </w:p>
        </w:tc>
        <w:tc>
          <w:tcPr>
            <w:tcW w:w="1092" w:type="dxa"/>
          </w:tcPr>
          <w:p w:rsidR="00000000" w:rsidRDefault="00000000">
            <w:pPr>
              <w:spacing w:before="80" w:after="40" w:line="240" w:lineRule="auto"/>
              <w:ind w:right="170"/>
              <w:jc w:val="right"/>
              <w:rPr>
                <w:sz w:val="18"/>
              </w:rPr>
            </w:pPr>
            <w:r>
              <w:rPr>
                <w:sz w:val="18"/>
              </w:rPr>
              <w:t>31,859</w:t>
            </w:r>
          </w:p>
        </w:tc>
        <w:tc>
          <w:tcPr>
            <w:tcW w:w="1080" w:type="dxa"/>
          </w:tcPr>
          <w:p w:rsidR="00000000" w:rsidRDefault="00000000">
            <w:pPr>
              <w:spacing w:before="80" w:after="40" w:line="240" w:lineRule="auto"/>
              <w:ind w:right="170"/>
              <w:jc w:val="right"/>
              <w:rPr>
                <w:sz w:val="18"/>
              </w:rPr>
            </w:pPr>
            <w:r>
              <w:rPr>
                <w:sz w:val="18"/>
              </w:rPr>
              <w:t>294</w:t>
            </w:r>
          </w:p>
        </w:tc>
        <w:tc>
          <w:tcPr>
            <w:tcW w:w="1080" w:type="dxa"/>
          </w:tcPr>
          <w:p w:rsidR="00000000" w:rsidRDefault="00000000">
            <w:pPr>
              <w:spacing w:before="80" w:after="40" w:line="240" w:lineRule="auto"/>
              <w:ind w:right="170"/>
              <w:jc w:val="right"/>
              <w:rPr>
                <w:sz w:val="18"/>
              </w:rPr>
            </w:pPr>
            <w:r>
              <w:rPr>
                <w:sz w:val="18"/>
              </w:rPr>
              <w:t>2,891</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r>
              <w:rPr>
                <w:bCs/>
                <w:sz w:val="18"/>
              </w:rPr>
              <w:t>35,044</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left="510" w:right="170" w:hanging="150"/>
              <w:rPr>
                <w:rFonts w:hint="eastAsia"/>
                <w:sz w:val="20"/>
              </w:rPr>
            </w:pPr>
            <w:r>
              <w:rPr>
                <w:rFonts w:hint="eastAsia"/>
                <w:sz w:val="20"/>
              </w:rPr>
              <w:t>文学和图书</w:t>
            </w:r>
          </w:p>
        </w:tc>
        <w:tc>
          <w:tcPr>
            <w:tcW w:w="1092" w:type="dxa"/>
          </w:tcPr>
          <w:p w:rsidR="00000000" w:rsidRDefault="00000000">
            <w:pPr>
              <w:spacing w:before="80" w:after="40" w:line="240" w:lineRule="auto"/>
              <w:ind w:right="170"/>
              <w:jc w:val="right"/>
              <w:rPr>
                <w:sz w:val="18"/>
                <w:lang w:val="fr-FR"/>
              </w:rPr>
            </w:pPr>
            <w:r>
              <w:rPr>
                <w:sz w:val="18"/>
                <w:lang w:val="fr-FR"/>
              </w:rPr>
              <w:t>3,776</w:t>
            </w:r>
          </w:p>
        </w:tc>
        <w:tc>
          <w:tcPr>
            <w:tcW w:w="1080" w:type="dxa"/>
          </w:tcPr>
          <w:p w:rsidR="00000000" w:rsidRDefault="00000000">
            <w:pPr>
              <w:spacing w:before="80" w:after="40" w:line="240" w:lineRule="auto"/>
              <w:ind w:right="170"/>
              <w:jc w:val="right"/>
              <w:rPr>
                <w:sz w:val="18"/>
                <w:lang w:val="fr-FR"/>
              </w:rPr>
            </w:pPr>
          </w:p>
        </w:tc>
        <w:tc>
          <w:tcPr>
            <w:tcW w:w="1080" w:type="dxa"/>
          </w:tcPr>
          <w:p w:rsidR="00000000" w:rsidRDefault="00000000">
            <w:pPr>
              <w:spacing w:before="80" w:after="40" w:line="240" w:lineRule="auto"/>
              <w:ind w:right="170"/>
              <w:jc w:val="right"/>
              <w:rPr>
                <w:sz w:val="18"/>
                <w:lang w:val="fr-FR"/>
              </w:rPr>
            </w:pPr>
            <w:r>
              <w:rPr>
                <w:sz w:val="18"/>
                <w:lang w:val="fr-FR"/>
              </w:rPr>
              <w:t>2,618</w:t>
            </w:r>
          </w:p>
        </w:tc>
        <w:tc>
          <w:tcPr>
            <w:tcW w:w="1200" w:type="dxa"/>
          </w:tcPr>
          <w:p w:rsidR="00000000" w:rsidRDefault="00000000">
            <w:pPr>
              <w:spacing w:before="80" w:after="40" w:line="240" w:lineRule="auto"/>
              <w:ind w:right="170"/>
              <w:jc w:val="right"/>
              <w:rPr>
                <w:sz w:val="18"/>
                <w:lang w:val="fr-FR"/>
              </w:rPr>
            </w:pPr>
          </w:p>
        </w:tc>
        <w:tc>
          <w:tcPr>
            <w:tcW w:w="1200" w:type="dxa"/>
          </w:tcPr>
          <w:p w:rsidR="00000000" w:rsidRDefault="00000000">
            <w:pPr>
              <w:spacing w:before="80" w:after="40" w:line="240" w:lineRule="auto"/>
              <w:ind w:right="170"/>
              <w:jc w:val="right"/>
              <w:rPr>
                <w:sz w:val="18"/>
                <w:lang w:val="fr-FR"/>
              </w:rPr>
            </w:pPr>
          </w:p>
        </w:tc>
        <w:tc>
          <w:tcPr>
            <w:tcW w:w="1081" w:type="dxa"/>
          </w:tcPr>
          <w:p w:rsidR="00000000" w:rsidRDefault="00000000">
            <w:pPr>
              <w:spacing w:before="80" w:after="40" w:line="240" w:lineRule="auto"/>
              <w:ind w:right="113"/>
              <w:jc w:val="right"/>
              <w:rPr>
                <w:bCs/>
                <w:sz w:val="18"/>
                <w:lang w:val="fr-FR"/>
              </w:rPr>
            </w:pPr>
            <w:r>
              <w:rPr>
                <w:bCs/>
                <w:sz w:val="18"/>
                <w:lang w:val="fr-FR"/>
              </w:rPr>
              <w:t>6,394</w:t>
            </w:r>
          </w:p>
        </w:tc>
        <w:tc>
          <w:tcPr>
            <w:tcW w:w="942" w:type="dxa"/>
          </w:tcPr>
          <w:p w:rsidR="00000000" w:rsidRDefault="00000000">
            <w:pPr>
              <w:spacing w:before="80" w:after="40" w:line="240" w:lineRule="auto"/>
              <w:ind w:right="170"/>
              <w:jc w:val="right"/>
              <w:rPr>
                <w:sz w:val="18"/>
                <w:lang w:val="fr-FR"/>
              </w:rPr>
            </w:pPr>
          </w:p>
        </w:tc>
      </w:tr>
      <w:tr w:rsidR="00000000">
        <w:tblPrEx>
          <w:tblCellMar>
            <w:top w:w="0" w:type="dxa"/>
            <w:bottom w:w="0" w:type="dxa"/>
          </w:tblCellMar>
        </w:tblPrEx>
        <w:tc>
          <w:tcPr>
            <w:tcW w:w="1896" w:type="dxa"/>
          </w:tcPr>
          <w:p w:rsidR="00000000" w:rsidRDefault="00000000">
            <w:pPr>
              <w:spacing w:before="80" w:after="40" w:line="240" w:lineRule="auto"/>
              <w:ind w:left="510" w:right="170" w:hanging="150"/>
              <w:rPr>
                <w:rFonts w:hint="eastAsia"/>
                <w:sz w:val="20"/>
              </w:rPr>
            </w:pPr>
            <w:r>
              <w:rPr>
                <w:rFonts w:hint="eastAsia"/>
                <w:sz w:val="20"/>
              </w:rPr>
              <w:t>民间艺术</w:t>
            </w:r>
          </w:p>
        </w:tc>
        <w:tc>
          <w:tcPr>
            <w:tcW w:w="1092" w:type="dxa"/>
          </w:tcPr>
          <w:p w:rsidR="00000000" w:rsidRDefault="00000000">
            <w:pPr>
              <w:spacing w:before="80" w:after="40" w:line="240" w:lineRule="auto"/>
              <w:ind w:right="170"/>
              <w:jc w:val="right"/>
              <w:rPr>
                <w:sz w:val="18"/>
                <w:lang w:val="fr-FR"/>
              </w:rPr>
            </w:pPr>
            <w:r>
              <w:rPr>
                <w:sz w:val="18"/>
                <w:lang w:val="fr-FR"/>
              </w:rPr>
              <w:t>874</w:t>
            </w:r>
          </w:p>
        </w:tc>
        <w:tc>
          <w:tcPr>
            <w:tcW w:w="1080" w:type="dxa"/>
          </w:tcPr>
          <w:p w:rsidR="00000000" w:rsidRDefault="00000000">
            <w:pPr>
              <w:spacing w:before="80" w:after="40" w:line="240" w:lineRule="auto"/>
              <w:ind w:right="170"/>
              <w:jc w:val="right"/>
              <w:rPr>
                <w:sz w:val="18"/>
                <w:lang w:val="fr-FR"/>
              </w:rPr>
            </w:pPr>
            <w:r>
              <w:rPr>
                <w:sz w:val="18"/>
                <w:lang w:val="fr-FR"/>
              </w:rPr>
              <w:t>294</w:t>
            </w:r>
          </w:p>
        </w:tc>
        <w:tc>
          <w:tcPr>
            <w:tcW w:w="1080" w:type="dxa"/>
          </w:tcPr>
          <w:p w:rsidR="00000000" w:rsidRDefault="00000000">
            <w:pPr>
              <w:spacing w:before="80" w:after="40" w:line="240" w:lineRule="auto"/>
              <w:ind w:right="170"/>
              <w:jc w:val="right"/>
              <w:rPr>
                <w:sz w:val="18"/>
                <w:lang w:val="fr-FR"/>
              </w:rPr>
            </w:pPr>
            <w:r>
              <w:rPr>
                <w:sz w:val="18"/>
                <w:lang w:val="fr-FR"/>
              </w:rPr>
              <w:t>1,506</w:t>
            </w:r>
          </w:p>
        </w:tc>
        <w:tc>
          <w:tcPr>
            <w:tcW w:w="1200" w:type="dxa"/>
          </w:tcPr>
          <w:p w:rsidR="00000000" w:rsidRDefault="00000000">
            <w:pPr>
              <w:spacing w:before="80" w:after="40" w:line="240" w:lineRule="auto"/>
              <w:ind w:right="170"/>
              <w:jc w:val="right"/>
              <w:rPr>
                <w:sz w:val="18"/>
                <w:lang w:val="fr-FR"/>
              </w:rPr>
            </w:pPr>
          </w:p>
        </w:tc>
        <w:tc>
          <w:tcPr>
            <w:tcW w:w="1200" w:type="dxa"/>
          </w:tcPr>
          <w:p w:rsidR="00000000" w:rsidRDefault="00000000">
            <w:pPr>
              <w:spacing w:before="80" w:after="40" w:line="240" w:lineRule="auto"/>
              <w:ind w:right="170"/>
              <w:jc w:val="right"/>
              <w:rPr>
                <w:sz w:val="18"/>
                <w:lang w:val="fr-FR"/>
              </w:rPr>
            </w:pPr>
          </w:p>
        </w:tc>
        <w:tc>
          <w:tcPr>
            <w:tcW w:w="1081" w:type="dxa"/>
          </w:tcPr>
          <w:p w:rsidR="00000000" w:rsidRDefault="00000000">
            <w:pPr>
              <w:spacing w:before="80" w:after="40" w:line="240" w:lineRule="auto"/>
              <w:ind w:right="113"/>
              <w:jc w:val="right"/>
              <w:rPr>
                <w:bCs/>
                <w:sz w:val="18"/>
                <w:lang w:val="fr-FR"/>
              </w:rPr>
            </w:pPr>
            <w:r>
              <w:rPr>
                <w:bCs/>
                <w:sz w:val="18"/>
                <w:lang w:val="fr-FR"/>
              </w:rPr>
              <w:t>2,674</w:t>
            </w:r>
          </w:p>
        </w:tc>
        <w:tc>
          <w:tcPr>
            <w:tcW w:w="942" w:type="dxa"/>
          </w:tcPr>
          <w:p w:rsidR="00000000" w:rsidRDefault="00000000">
            <w:pPr>
              <w:spacing w:before="80" w:after="40" w:line="240" w:lineRule="auto"/>
              <w:ind w:right="170"/>
              <w:jc w:val="right"/>
              <w:rPr>
                <w:sz w:val="18"/>
                <w:lang w:val="fr-FR"/>
              </w:rPr>
            </w:pPr>
          </w:p>
        </w:tc>
      </w:tr>
      <w:tr w:rsidR="00000000">
        <w:tblPrEx>
          <w:tblCellMar>
            <w:top w:w="0" w:type="dxa"/>
            <w:bottom w:w="0" w:type="dxa"/>
          </w:tblCellMar>
        </w:tblPrEx>
        <w:tc>
          <w:tcPr>
            <w:tcW w:w="1896" w:type="dxa"/>
          </w:tcPr>
          <w:p w:rsidR="00000000" w:rsidRDefault="00000000">
            <w:pPr>
              <w:spacing w:before="80" w:after="40" w:line="240" w:lineRule="auto"/>
              <w:ind w:left="510" w:right="170" w:hanging="150"/>
              <w:rPr>
                <w:rFonts w:hint="eastAsia"/>
                <w:sz w:val="20"/>
              </w:rPr>
            </w:pPr>
            <w:r>
              <w:rPr>
                <w:rFonts w:hint="eastAsia"/>
                <w:sz w:val="20"/>
              </w:rPr>
              <w:t>节日等</w:t>
            </w:r>
          </w:p>
        </w:tc>
        <w:tc>
          <w:tcPr>
            <w:tcW w:w="1092" w:type="dxa"/>
          </w:tcPr>
          <w:p w:rsidR="00000000" w:rsidRDefault="00000000">
            <w:pPr>
              <w:spacing w:before="80" w:after="40" w:line="240" w:lineRule="auto"/>
              <w:ind w:right="170"/>
              <w:jc w:val="right"/>
              <w:rPr>
                <w:sz w:val="18"/>
              </w:rPr>
            </w:pPr>
            <w:r>
              <w:rPr>
                <w:sz w:val="18"/>
              </w:rPr>
              <w:t>2,385</w:t>
            </w:r>
          </w:p>
        </w:tc>
        <w:tc>
          <w:tcPr>
            <w:tcW w:w="1080"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r>
              <w:rPr>
                <w:sz w:val="18"/>
              </w:rPr>
              <w:t>7,589</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r>
              <w:rPr>
                <w:bCs/>
                <w:sz w:val="18"/>
              </w:rPr>
              <w:t>11,392</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left="510" w:right="170" w:hanging="150"/>
              <w:rPr>
                <w:rFonts w:hint="eastAsia"/>
                <w:sz w:val="20"/>
              </w:rPr>
            </w:pPr>
            <w:r>
              <w:rPr>
                <w:rFonts w:hint="eastAsia"/>
                <w:sz w:val="20"/>
              </w:rPr>
              <w:t>电影</w:t>
            </w:r>
          </w:p>
        </w:tc>
        <w:tc>
          <w:tcPr>
            <w:tcW w:w="1092" w:type="dxa"/>
          </w:tcPr>
          <w:p w:rsidR="00000000" w:rsidRDefault="00000000">
            <w:pPr>
              <w:spacing w:before="80" w:after="40" w:line="240" w:lineRule="auto"/>
              <w:ind w:right="170"/>
              <w:jc w:val="right"/>
              <w:rPr>
                <w:sz w:val="18"/>
              </w:rPr>
            </w:pPr>
            <w:r>
              <w:rPr>
                <w:sz w:val="18"/>
              </w:rPr>
              <w:t>3,803</w:t>
            </w:r>
          </w:p>
        </w:tc>
        <w:tc>
          <w:tcPr>
            <w:tcW w:w="1080"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r>
              <w:rPr>
                <w:sz w:val="18"/>
              </w:rPr>
              <w:t>7,589</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r>
              <w:rPr>
                <w:bCs/>
                <w:sz w:val="18"/>
              </w:rPr>
              <w:t>11,392</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left="510" w:right="170" w:hanging="150"/>
              <w:rPr>
                <w:rFonts w:hint="eastAsia"/>
                <w:sz w:val="20"/>
              </w:rPr>
            </w:pPr>
            <w:r>
              <w:rPr>
                <w:rFonts w:hint="eastAsia"/>
                <w:sz w:val="20"/>
              </w:rPr>
              <w:t>其他</w:t>
            </w:r>
          </w:p>
        </w:tc>
        <w:tc>
          <w:tcPr>
            <w:tcW w:w="1092" w:type="dxa"/>
          </w:tcPr>
          <w:p w:rsidR="00000000" w:rsidRDefault="00000000">
            <w:pPr>
              <w:spacing w:before="80" w:after="40" w:line="240" w:lineRule="auto"/>
              <w:ind w:right="170"/>
              <w:jc w:val="right"/>
              <w:rPr>
                <w:sz w:val="18"/>
              </w:rPr>
            </w:pPr>
            <w:r>
              <w:rPr>
                <w:sz w:val="18"/>
              </w:rPr>
              <w:t>4,300</w:t>
            </w:r>
          </w:p>
        </w:tc>
        <w:tc>
          <w:tcPr>
            <w:tcW w:w="1080" w:type="dxa"/>
          </w:tcPr>
          <w:p w:rsidR="00000000" w:rsidRDefault="00000000">
            <w:pPr>
              <w:spacing w:before="80" w:after="40" w:line="240" w:lineRule="auto"/>
              <w:ind w:right="170"/>
              <w:jc w:val="right"/>
              <w:rPr>
                <w:sz w:val="18"/>
              </w:rPr>
            </w:pPr>
            <w:r>
              <w:rPr>
                <w:sz w:val="18"/>
              </w:rPr>
              <w:t>2,650</w:t>
            </w:r>
          </w:p>
        </w:tc>
        <w:tc>
          <w:tcPr>
            <w:tcW w:w="1080" w:type="dxa"/>
          </w:tcPr>
          <w:p w:rsidR="00000000" w:rsidRDefault="00000000">
            <w:pPr>
              <w:spacing w:before="80" w:after="40" w:line="240" w:lineRule="auto"/>
              <w:ind w:right="170"/>
              <w:jc w:val="right"/>
              <w:rPr>
                <w:sz w:val="18"/>
              </w:rPr>
            </w:pPr>
            <w:r>
              <w:rPr>
                <w:sz w:val="18"/>
              </w:rPr>
              <w:t>23,514</w:t>
            </w: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r>
              <w:rPr>
                <w:bCs/>
                <w:sz w:val="18"/>
              </w:rPr>
              <w:t>30,464</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right="170"/>
              <w:jc w:val="right"/>
              <w:rPr>
                <w:rFonts w:hint="eastAsia"/>
                <w:spacing w:val="0"/>
                <w:sz w:val="20"/>
              </w:rPr>
            </w:pPr>
            <w:r>
              <w:rPr>
                <w:rFonts w:hint="eastAsia"/>
                <w:spacing w:val="0"/>
                <w:sz w:val="20"/>
              </w:rPr>
              <w:t>二、支付服务费</w:t>
            </w:r>
            <w:r>
              <w:rPr>
                <w:rFonts w:hint="eastAsia"/>
                <w:spacing w:val="0"/>
                <w:sz w:val="20"/>
              </w:rPr>
              <w:t>(</w:t>
            </w:r>
            <w:r>
              <w:rPr>
                <w:rFonts w:hint="eastAsia"/>
                <w:spacing w:val="0"/>
                <w:sz w:val="20"/>
              </w:rPr>
              <w:t>工资和薪水等</w:t>
            </w:r>
            <w:r>
              <w:rPr>
                <w:rFonts w:hint="eastAsia"/>
                <w:spacing w:val="0"/>
                <w:sz w:val="20"/>
              </w:rPr>
              <w:t>)</w:t>
            </w:r>
          </w:p>
        </w:tc>
        <w:tc>
          <w:tcPr>
            <w:tcW w:w="1092" w:type="dxa"/>
          </w:tcPr>
          <w:p w:rsidR="00000000" w:rsidRDefault="00000000">
            <w:pPr>
              <w:spacing w:before="80" w:after="40" w:line="240" w:lineRule="auto"/>
              <w:ind w:right="170"/>
              <w:jc w:val="right"/>
              <w:rPr>
                <w:sz w:val="18"/>
              </w:rPr>
            </w:pPr>
            <w:r>
              <w:rPr>
                <w:sz w:val="18"/>
              </w:rPr>
              <w:t>94,700</w:t>
            </w:r>
          </w:p>
        </w:tc>
        <w:tc>
          <w:tcPr>
            <w:tcW w:w="1080"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r>
              <w:rPr>
                <w:bCs/>
                <w:sz w:val="18"/>
              </w:rPr>
              <w:t>94,700</w:t>
            </w:r>
          </w:p>
        </w:tc>
        <w:tc>
          <w:tcPr>
            <w:tcW w:w="942" w:type="dxa"/>
          </w:tcPr>
          <w:p w:rsidR="00000000" w:rsidRDefault="00000000">
            <w:pPr>
              <w:spacing w:before="80" w:after="40" w:line="240" w:lineRule="auto"/>
              <w:ind w:right="170"/>
              <w:jc w:val="right"/>
              <w:rPr>
                <w:sz w:val="18"/>
              </w:rPr>
            </w:pPr>
            <w:r>
              <w:rPr>
                <w:sz w:val="18"/>
              </w:rPr>
              <w:t>22.99</w:t>
            </w:r>
          </w:p>
        </w:tc>
      </w:tr>
      <w:tr w:rsidR="00000000">
        <w:tblPrEx>
          <w:tblCellMar>
            <w:top w:w="0" w:type="dxa"/>
            <w:bottom w:w="0" w:type="dxa"/>
          </w:tblCellMar>
        </w:tblPrEx>
        <w:tc>
          <w:tcPr>
            <w:tcW w:w="1896" w:type="dxa"/>
          </w:tcPr>
          <w:p w:rsidR="00000000" w:rsidRDefault="00000000">
            <w:pPr>
              <w:spacing w:before="80" w:after="40" w:line="240" w:lineRule="auto"/>
              <w:ind w:left="150" w:right="170" w:hanging="150"/>
              <w:rPr>
                <w:rFonts w:hint="eastAsia"/>
                <w:sz w:val="20"/>
              </w:rPr>
            </w:pPr>
            <w:r>
              <w:rPr>
                <w:rFonts w:hint="eastAsia"/>
                <w:sz w:val="20"/>
              </w:rPr>
              <w:t>三、文化遗产</w:t>
            </w:r>
          </w:p>
        </w:tc>
        <w:tc>
          <w:tcPr>
            <w:tcW w:w="1092"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r>
              <w:rPr>
                <w:sz w:val="18"/>
              </w:rPr>
              <w:t>30,375</w:t>
            </w:r>
          </w:p>
        </w:tc>
        <w:tc>
          <w:tcPr>
            <w:tcW w:w="1080" w:type="dxa"/>
          </w:tcPr>
          <w:p w:rsidR="00000000" w:rsidRDefault="00000000">
            <w:pPr>
              <w:spacing w:before="80" w:after="40" w:line="240" w:lineRule="auto"/>
              <w:ind w:right="170"/>
              <w:jc w:val="right"/>
              <w:rPr>
                <w:sz w:val="18"/>
              </w:rPr>
            </w:pPr>
            <w:r>
              <w:rPr>
                <w:sz w:val="18"/>
              </w:rPr>
              <w:t>36,683</w:t>
            </w:r>
          </w:p>
        </w:tc>
        <w:tc>
          <w:tcPr>
            <w:tcW w:w="1200" w:type="dxa"/>
          </w:tcPr>
          <w:p w:rsidR="00000000" w:rsidRDefault="00000000">
            <w:pPr>
              <w:spacing w:before="80" w:after="40" w:line="240" w:lineRule="auto"/>
              <w:ind w:right="170"/>
              <w:jc w:val="right"/>
              <w:rPr>
                <w:sz w:val="18"/>
              </w:rPr>
            </w:pPr>
            <w:r>
              <w:rPr>
                <w:sz w:val="18"/>
              </w:rPr>
              <w:t>119,500</w:t>
            </w:r>
          </w:p>
        </w:tc>
        <w:tc>
          <w:tcPr>
            <w:tcW w:w="1200" w:type="dxa"/>
          </w:tcPr>
          <w:p w:rsidR="00000000" w:rsidRDefault="00000000">
            <w:pPr>
              <w:spacing w:before="80" w:after="40" w:line="240" w:lineRule="auto"/>
              <w:ind w:right="170"/>
              <w:jc w:val="right"/>
              <w:rPr>
                <w:sz w:val="18"/>
              </w:rPr>
            </w:pPr>
            <w:r>
              <w:rPr>
                <w:sz w:val="18"/>
              </w:rPr>
              <w:t>11,460</w:t>
            </w:r>
          </w:p>
        </w:tc>
        <w:tc>
          <w:tcPr>
            <w:tcW w:w="1081" w:type="dxa"/>
          </w:tcPr>
          <w:p w:rsidR="00000000" w:rsidRDefault="00000000">
            <w:pPr>
              <w:spacing w:before="80" w:after="40" w:line="240" w:lineRule="auto"/>
              <w:ind w:right="113"/>
              <w:jc w:val="right"/>
              <w:rPr>
                <w:bCs/>
                <w:sz w:val="18"/>
              </w:rPr>
            </w:pPr>
            <w:r>
              <w:rPr>
                <w:bCs/>
                <w:sz w:val="18"/>
              </w:rPr>
              <w:t>198,018</w:t>
            </w:r>
          </w:p>
        </w:tc>
        <w:tc>
          <w:tcPr>
            <w:tcW w:w="942" w:type="dxa"/>
          </w:tcPr>
          <w:p w:rsidR="00000000" w:rsidRDefault="00000000">
            <w:pPr>
              <w:spacing w:before="80" w:after="40" w:line="240" w:lineRule="auto"/>
              <w:ind w:right="170"/>
              <w:jc w:val="right"/>
              <w:rPr>
                <w:sz w:val="18"/>
              </w:rPr>
            </w:pPr>
            <w:r>
              <w:rPr>
                <w:sz w:val="18"/>
              </w:rPr>
              <w:t>48.08</w:t>
            </w:r>
          </w:p>
        </w:tc>
      </w:tr>
      <w:tr w:rsidR="00000000">
        <w:tblPrEx>
          <w:tblCellMar>
            <w:top w:w="0" w:type="dxa"/>
            <w:bottom w:w="0" w:type="dxa"/>
          </w:tblCellMar>
        </w:tblPrEx>
        <w:tc>
          <w:tcPr>
            <w:tcW w:w="1896" w:type="dxa"/>
          </w:tcPr>
          <w:p w:rsidR="00000000" w:rsidRDefault="00000000">
            <w:pPr>
              <w:spacing w:before="80" w:after="40" w:line="240" w:lineRule="auto"/>
              <w:ind w:left="660" w:right="170" w:hanging="300"/>
              <w:rPr>
                <w:rFonts w:hint="eastAsia"/>
                <w:sz w:val="20"/>
              </w:rPr>
            </w:pPr>
            <w:r>
              <w:rPr>
                <w:rFonts w:hint="eastAsia"/>
                <w:sz w:val="20"/>
              </w:rPr>
              <w:t>开掘</w:t>
            </w:r>
          </w:p>
        </w:tc>
        <w:tc>
          <w:tcPr>
            <w:tcW w:w="1092"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r>
              <w:rPr>
                <w:sz w:val="18"/>
              </w:rPr>
              <w:t>2,093</w:t>
            </w:r>
          </w:p>
        </w:tc>
        <w:tc>
          <w:tcPr>
            <w:tcW w:w="108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left="660" w:right="170" w:hanging="300"/>
              <w:rPr>
                <w:rFonts w:hint="eastAsia"/>
                <w:sz w:val="20"/>
              </w:rPr>
            </w:pPr>
            <w:r>
              <w:rPr>
                <w:rFonts w:hint="eastAsia"/>
                <w:sz w:val="20"/>
              </w:rPr>
              <w:t>博物馆</w:t>
            </w:r>
          </w:p>
        </w:tc>
        <w:tc>
          <w:tcPr>
            <w:tcW w:w="1092"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r>
              <w:rPr>
                <w:sz w:val="18"/>
              </w:rPr>
              <w:t>3,105</w:t>
            </w:r>
          </w:p>
        </w:tc>
        <w:tc>
          <w:tcPr>
            <w:tcW w:w="108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left="660" w:right="170" w:hanging="300"/>
              <w:rPr>
                <w:rFonts w:hint="eastAsia"/>
                <w:sz w:val="20"/>
              </w:rPr>
            </w:pPr>
            <w:r>
              <w:rPr>
                <w:rFonts w:hint="eastAsia"/>
                <w:sz w:val="20"/>
              </w:rPr>
              <w:t>遗迹</w:t>
            </w:r>
          </w:p>
        </w:tc>
        <w:tc>
          <w:tcPr>
            <w:tcW w:w="1092"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r>
              <w:rPr>
                <w:sz w:val="18"/>
              </w:rPr>
              <w:t>3,320</w:t>
            </w:r>
          </w:p>
        </w:tc>
        <w:tc>
          <w:tcPr>
            <w:tcW w:w="108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r>
              <w:rPr>
                <w:sz w:val="18"/>
              </w:rPr>
              <w:t>111,019</w:t>
            </w: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left="660" w:right="170" w:hanging="300"/>
              <w:rPr>
                <w:rFonts w:hint="eastAsia"/>
                <w:spacing w:val="-8"/>
                <w:sz w:val="20"/>
              </w:rPr>
            </w:pPr>
            <w:r>
              <w:rPr>
                <w:rFonts w:hint="eastAsia"/>
                <w:spacing w:val="-8"/>
                <w:sz w:val="20"/>
              </w:rPr>
              <w:t>其他考古项目</w:t>
            </w:r>
          </w:p>
        </w:tc>
        <w:tc>
          <w:tcPr>
            <w:tcW w:w="1092"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r>
              <w:rPr>
                <w:sz w:val="18"/>
              </w:rPr>
              <w:t>21,027</w:t>
            </w:r>
          </w:p>
        </w:tc>
        <w:tc>
          <w:tcPr>
            <w:tcW w:w="108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p>
        </w:tc>
        <w:tc>
          <w:tcPr>
            <w:tcW w:w="1081" w:type="dxa"/>
          </w:tcPr>
          <w:p w:rsidR="00000000" w:rsidRDefault="00000000">
            <w:pPr>
              <w:spacing w:before="80" w:after="40" w:line="240" w:lineRule="auto"/>
              <w:ind w:right="113"/>
              <w:jc w:val="right"/>
              <w:rPr>
                <w:bCs/>
                <w:sz w:val="18"/>
              </w:rPr>
            </w:pP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left="315"/>
              <w:rPr>
                <w:rFonts w:hint="eastAsia"/>
                <w:spacing w:val="0"/>
                <w:sz w:val="20"/>
              </w:rPr>
            </w:pPr>
            <w:r>
              <w:rPr>
                <w:rFonts w:hint="eastAsia"/>
                <w:spacing w:val="0"/>
                <w:sz w:val="20"/>
              </w:rPr>
              <w:t>当代纪念碑及阿克罗波利斯</w:t>
            </w:r>
          </w:p>
        </w:tc>
        <w:tc>
          <w:tcPr>
            <w:tcW w:w="1092"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p>
        </w:tc>
        <w:tc>
          <w:tcPr>
            <w:tcW w:w="1080" w:type="dxa"/>
          </w:tcPr>
          <w:p w:rsidR="00000000" w:rsidRDefault="00000000">
            <w:pPr>
              <w:spacing w:before="80" w:after="40" w:line="240" w:lineRule="auto"/>
              <w:ind w:right="170"/>
              <w:jc w:val="right"/>
              <w:rPr>
                <w:sz w:val="18"/>
              </w:rPr>
            </w:pPr>
          </w:p>
        </w:tc>
        <w:tc>
          <w:tcPr>
            <w:tcW w:w="1200" w:type="dxa"/>
          </w:tcPr>
          <w:p w:rsidR="00000000" w:rsidRDefault="00000000">
            <w:pPr>
              <w:spacing w:before="80" w:after="40" w:line="240" w:lineRule="auto"/>
              <w:ind w:right="170"/>
              <w:jc w:val="right"/>
              <w:rPr>
                <w:sz w:val="18"/>
              </w:rPr>
            </w:pPr>
            <w:r>
              <w:rPr>
                <w:sz w:val="18"/>
              </w:rPr>
              <w:t>8,481</w:t>
            </w:r>
          </w:p>
        </w:tc>
        <w:tc>
          <w:tcPr>
            <w:tcW w:w="1200" w:type="dxa"/>
          </w:tcPr>
          <w:p w:rsidR="00000000" w:rsidRDefault="00000000">
            <w:pPr>
              <w:spacing w:before="80" w:after="40" w:line="240" w:lineRule="auto"/>
              <w:ind w:right="170"/>
              <w:jc w:val="right"/>
              <w:rPr>
                <w:rFonts w:hint="eastAsia"/>
                <w:sz w:val="18"/>
              </w:rPr>
            </w:pPr>
          </w:p>
        </w:tc>
        <w:tc>
          <w:tcPr>
            <w:tcW w:w="1081" w:type="dxa"/>
          </w:tcPr>
          <w:p w:rsidR="00000000" w:rsidRDefault="00000000">
            <w:pPr>
              <w:spacing w:before="80" w:after="40" w:line="240" w:lineRule="auto"/>
              <w:ind w:right="113"/>
              <w:jc w:val="right"/>
              <w:rPr>
                <w:bCs/>
                <w:sz w:val="18"/>
              </w:rPr>
            </w:pPr>
            <w:r>
              <w:rPr>
                <w:bCs/>
                <w:sz w:val="18"/>
              </w:rPr>
              <w:t>8,481</w:t>
            </w:r>
          </w:p>
        </w:tc>
        <w:tc>
          <w:tcPr>
            <w:tcW w:w="942" w:type="dxa"/>
          </w:tcPr>
          <w:p w:rsidR="00000000" w:rsidRDefault="00000000">
            <w:pPr>
              <w:spacing w:before="80" w:after="40" w:line="240" w:lineRule="auto"/>
              <w:ind w:right="170"/>
              <w:jc w:val="right"/>
              <w:rPr>
                <w:sz w:val="18"/>
              </w:rPr>
            </w:pPr>
          </w:p>
        </w:tc>
      </w:tr>
      <w:tr w:rsidR="00000000">
        <w:tblPrEx>
          <w:tblCellMar>
            <w:top w:w="0" w:type="dxa"/>
            <w:bottom w:w="0" w:type="dxa"/>
          </w:tblCellMar>
        </w:tblPrEx>
        <w:tc>
          <w:tcPr>
            <w:tcW w:w="1896" w:type="dxa"/>
          </w:tcPr>
          <w:p w:rsidR="00000000" w:rsidRDefault="00000000">
            <w:pPr>
              <w:spacing w:before="80" w:after="40" w:line="240" w:lineRule="auto"/>
              <w:ind w:left="660" w:right="170" w:hanging="300"/>
              <w:rPr>
                <w:rFonts w:hint="eastAsia"/>
                <w:sz w:val="20"/>
              </w:rPr>
            </w:pPr>
            <w:r>
              <w:rPr>
                <w:rFonts w:hint="eastAsia"/>
                <w:sz w:val="20"/>
              </w:rPr>
              <w:t>总</w:t>
            </w:r>
            <w:r>
              <w:rPr>
                <w:rFonts w:hint="eastAsia"/>
                <w:sz w:val="20"/>
              </w:rPr>
              <w:t xml:space="preserve">  </w:t>
            </w:r>
            <w:r>
              <w:rPr>
                <w:rFonts w:hint="eastAsia"/>
                <w:sz w:val="20"/>
              </w:rPr>
              <w:t>计</w:t>
            </w:r>
          </w:p>
        </w:tc>
        <w:tc>
          <w:tcPr>
            <w:tcW w:w="1092" w:type="dxa"/>
          </w:tcPr>
          <w:p w:rsidR="00000000" w:rsidRDefault="00000000">
            <w:pPr>
              <w:spacing w:before="80" w:after="40" w:line="240" w:lineRule="auto"/>
              <w:ind w:right="170"/>
              <w:jc w:val="right"/>
              <w:rPr>
                <w:bCs/>
                <w:sz w:val="18"/>
              </w:rPr>
            </w:pPr>
            <w:r>
              <w:rPr>
                <w:bCs/>
                <w:sz w:val="18"/>
              </w:rPr>
              <w:t>161,598</w:t>
            </w:r>
          </w:p>
        </w:tc>
        <w:tc>
          <w:tcPr>
            <w:tcW w:w="1080" w:type="dxa"/>
          </w:tcPr>
          <w:p w:rsidR="00000000" w:rsidRDefault="00000000">
            <w:pPr>
              <w:spacing w:before="80" w:after="40" w:line="240" w:lineRule="auto"/>
              <w:ind w:right="170"/>
              <w:jc w:val="right"/>
              <w:rPr>
                <w:bCs/>
                <w:sz w:val="18"/>
              </w:rPr>
            </w:pPr>
            <w:r>
              <w:rPr>
                <w:bCs/>
                <w:sz w:val="18"/>
              </w:rPr>
              <w:t>33,730</w:t>
            </w:r>
          </w:p>
        </w:tc>
        <w:tc>
          <w:tcPr>
            <w:tcW w:w="1080" w:type="dxa"/>
          </w:tcPr>
          <w:p w:rsidR="00000000" w:rsidRDefault="00000000">
            <w:pPr>
              <w:spacing w:before="80" w:after="40" w:line="240" w:lineRule="auto"/>
              <w:ind w:right="170"/>
              <w:jc w:val="right"/>
              <w:rPr>
                <w:bCs/>
                <w:sz w:val="18"/>
              </w:rPr>
            </w:pPr>
            <w:r>
              <w:rPr>
                <w:bCs/>
                <w:sz w:val="18"/>
              </w:rPr>
              <w:t>85,569</w:t>
            </w:r>
          </w:p>
        </w:tc>
        <w:tc>
          <w:tcPr>
            <w:tcW w:w="1200" w:type="dxa"/>
          </w:tcPr>
          <w:p w:rsidR="00000000" w:rsidRDefault="00000000">
            <w:pPr>
              <w:spacing w:before="80" w:after="40" w:line="240" w:lineRule="auto"/>
              <w:ind w:right="170"/>
              <w:jc w:val="right"/>
              <w:rPr>
                <w:bCs/>
                <w:sz w:val="18"/>
              </w:rPr>
            </w:pPr>
            <w:r>
              <w:rPr>
                <w:bCs/>
                <w:sz w:val="18"/>
              </w:rPr>
              <w:t>119,500</w:t>
            </w:r>
          </w:p>
        </w:tc>
        <w:tc>
          <w:tcPr>
            <w:tcW w:w="1200" w:type="dxa"/>
          </w:tcPr>
          <w:p w:rsidR="00000000" w:rsidRDefault="00000000">
            <w:pPr>
              <w:spacing w:before="80" w:after="40" w:line="240" w:lineRule="auto"/>
              <w:ind w:right="170"/>
              <w:jc w:val="right"/>
              <w:rPr>
                <w:bCs/>
                <w:sz w:val="18"/>
              </w:rPr>
            </w:pPr>
            <w:r>
              <w:rPr>
                <w:bCs/>
                <w:sz w:val="18"/>
              </w:rPr>
              <w:t>11,460</w:t>
            </w:r>
          </w:p>
        </w:tc>
        <w:tc>
          <w:tcPr>
            <w:tcW w:w="1081" w:type="dxa"/>
          </w:tcPr>
          <w:p w:rsidR="00000000" w:rsidRDefault="00000000">
            <w:pPr>
              <w:spacing w:before="80" w:after="40" w:line="240" w:lineRule="auto"/>
              <w:ind w:right="113"/>
              <w:jc w:val="right"/>
              <w:rPr>
                <w:bCs/>
                <w:sz w:val="18"/>
              </w:rPr>
            </w:pPr>
            <w:r>
              <w:rPr>
                <w:bCs/>
                <w:sz w:val="18"/>
              </w:rPr>
              <w:t>411,857</w:t>
            </w:r>
          </w:p>
        </w:tc>
        <w:tc>
          <w:tcPr>
            <w:tcW w:w="942" w:type="dxa"/>
          </w:tcPr>
          <w:p w:rsidR="00000000" w:rsidRDefault="00000000">
            <w:pPr>
              <w:spacing w:before="80" w:after="40" w:line="240" w:lineRule="auto"/>
              <w:ind w:right="170"/>
              <w:jc w:val="right"/>
              <w:rPr>
                <w:bCs/>
                <w:sz w:val="18"/>
              </w:rPr>
            </w:pPr>
            <w:r>
              <w:rPr>
                <w:bCs/>
                <w:sz w:val="18"/>
              </w:rPr>
              <w:t>100</w:t>
            </w:r>
          </w:p>
        </w:tc>
      </w:tr>
    </w:tbl>
    <w:p w:rsidR="00000000" w:rsidRDefault="00000000"/>
    <w:p w:rsidR="00000000" w:rsidRDefault="00000000">
      <w:pPr>
        <w:jc w:val="center"/>
        <w:rPr>
          <w:rFonts w:hint="eastAsia"/>
        </w:rPr>
      </w:pPr>
      <w:r>
        <w:br w:type="page"/>
      </w:r>
      <w:r>
        <w:rPr>
          <w:rFonts w:hint="eastAsia"/>
        </w:rPr>
        <w:t>图</w:t>
      </w:r>
      <w:r>
        <w:rPr>
          <w:rFonts w:hint="eastAsia"/>
        </w:rPr>
        <w:t xml:space="preserve">  2</w:t>
      </w:r>
    </w:p>
    <w:tbl>
      <w:tblPr>
        <w:tblW w:w="0" w:type="auto"/>
        <w:tblLook w:val="0000" w:firstRow="0" w:lastRow="0" w:firstColumn="0" w:lastColumn="0" w:noHBand="0" w:noVBand="0"/>
      </w:tblPr>
      <w:tblGrid>
        <w:gridCol w:w="9571"/>
      </w:tblGrid>
      <w:tr w:rsidR="00000000">
        <w:tblPrEx>
          <w:tblCellMar>
            <w:top w:w="0" w:type="dxa"/>
            <w:bottom w:w="0" w:type="dxa"/>
          </w:tblCellMar>
        </w:tblPrEx>
        <w:tc>
          <w:tcPr>
            <w:tcW w:w="9571" w:type="dxa"/>
          </w:tcPr>
          <w:p w:rsidR="00000000" w:rsidRDefault="00000000">
            <w:pPr>
              <w:pStyle w:val="Heading3"/>
              <w:spacing w:after="0" w:line="288" w:lineRule="auto"/>
              <w:rPr>
                <w:rFonts w:hint="eastAsia"/>
              </w:rPr>
            </w:pPr>
            <w:r>
              <w:rPr>
                <w:rFonts w:hint="eastAsia"/>
              </w:rPr>
              <w:t>文化领域政府总支出</w:t>
            </w:r>
          </w:p>
        </w:tc>
      </w:tr>
      <w:tr w:rsidR="00000000">
        <w:tblPrEx>
          <w:tblCellMar>
            <w:top w:w="0" w:type="dxa"/>
            <w:bottom w:w="0" w:type="dxa"/>
          </w:tblCellMar>
        </w:tblPrEx>
        <w:tc>
          <w:tcPr>
            <w:tcW w:w="9571" w:type="dxa"/>
          </w:tcPr>
          <w:p w:rsidR="00000000" w:rsidRDefault="00000000">
            <w:pPr>
              <w:pStyle w:val="Heading3"/>
              <w:spacing w:after="0" w:line="288" w:lineRule="auto"/>
              <w:rPr>
                <w:rFonts w:hint="eastAsia"/>
                <w:u w:val="none"/>
              </w:rPr>
            </w:pPr>
            <w:r>
              <w:rPr>
                <w:rFonts w:hint="eastAsia"/>
                <w:u w:val="none"/>
              </w:rPr>
              <w:t>1998</w:t>
            </w:r>
            <w:r>
              <w:rPr>
                <w:rFonts w:hint="eastAsia"/>
                <w:u w:val="none"/>
              </w:rPr>
              <w:t>年</w:t>
            </w:r>
            <w:r>
              <w:rPr>
                <w:rFonts w:hint="eastAsia"/>
                <w:u w:val="none"/>
              </w:rPr>
              <w:t>-2001</w:t>
            </w:r>
            <w:r>
              <w:rPr>
                <w:rFonts w:hint="eastAsia"/>
                <w:u w:val="none"/>
              </w:rPr>
              <w:t>年</w:t>
            </w:r>
          </w:p>
        </w:tc>
      </w:tr>
    </w:tbl>
    <w:p w:rsidR="00000000" w:rsidRDefault="00000000">
      <w:pPr>
        <w:jc w:val="center"/>
        <w:rPr>
          <w:rFonts w:hint="eastAsia"/>
          <w:b/>
          <w:bCs/>
        </w:rPr>
      </w:pPr>
      <w:r>
        <w:rPr>
          <w:b/>
          <w:bCs/>
          <w:noProof/>
          <w:sz w:val="20"/>
          <w:lang w:eastAsia="en-US"/>
        </w:rPr>
        <w:pict>
          <v:group id="_x0000_s2193" style="position:absolute;left:0;text-align:left;margin-left:52.5pt;margin-top:169.45pt;width:354pt;height:154pt;z-index:2;mso-position-horizontal-relative:text;mso-position-vertical-relative:page" coordorigin="2571,5089" coordsize="7080,2355">
            <o:lock v:ext="edit" aspectratio="t"/>
            <v:shape id="_x0000_s2194" style="position:absolute;left:3531;top:6394;width:5040;height:60" coordsize="5040,60" path="m,60l105,,5040,,4935,60,,60xe" fillcolor="gray" stroked="f">
              <v:path arrowok="t"/>
              <o:lock v:ext="edit" aspectratio="t"/>
            </v:shape>
            <v:shape id="_x0000_s2195" style="position:absolute;left:3531;top:5164;width:105;height:1290" coordsize="105,1290" path="m,1290l,60,105,r,1230l,1290xe" fillcolor="silver" stroked="f">
              <v:path arrowok="t"/>
              <o:lock v:ext="edit" aspectratio="t"/>
            </v:shape>
            <v:rect id="_x0000_s2196" style="position:absolute;left:3636;top:5164;width:4935;height:1230" fillcolor="silver" stroked="f">
              <o:lock v:ext="edit" aspectratio="t"/>
            </v:rect>
            <v:shape id="_x0000_s2197" style="position:absolute;left:3531;top:6394;width:5040;height:60" coordsize="336,4" path="m,4l7,,336,e" filled="f">
              <v:path arrowok="t"/>
              <o:lock v:ext="edit" aspectratio="t"/>
            </v:shape>
            <v:shape id="_x0000_s2198" style="position:absolute;left:3531;top:5974;width:5040;height:75" coordsize="336,5" path="m,5l7,,336,e" filled="f">
              <v:path arrowok="t"/>
              <o:lock v:ext="edit" aspectratio="t"/>
            </v:shape>
            <v:shape id="_x0000_s2199" style="position:absolute;left:3531;top:5569;width:5040;height:75" coordsize="336,5" path="m,5l7,,336,e" filled="f">
              <v:path arrowok="t"/>
              <o:lock v:ext="edit" aspectratio="t"/>
            </v:shape>
            <v:shape id="_x0000_s2200" style="position:absolute;left:3531;top:5164;width:5040;height:60" coordsize="336,4" path="m,4l7,,336,e" filled="f">
              <v:path arrowok="t"/>
              <o:lock v:ext="edit" aspectratio="t"/>
            </v:shape>
            <v:shape id="_x0000_s2201" style="position:absolute;left:3531;top:6394;width:5040;height:60" coordsize="5040,60" path="m5040,l4935,60,,60,105,,5040,xe" filled="f">
              <v:path arrowok="t"/>
              <o:lock v:ext="edit" aspectratio="t"/>
            </v:shape>
            <v:shape id="_x0000_s2202" style="position:absolute;left:3531;top:5164;width:105;height:1290" coordsize="105,1290" path="m,1290l,60,105,r,1230l,1290xe" filled="f" strokecolor="gray">
              <v:path arrowok="t"/>
              <o:lock v:ext="edit" aspectratio="t"/>
            </v:shape>
            <v:rect id="_x0000_s2203" style="position:absolute;left:3636;top:5164;width:4935;height:1230" filled="f" strokecolor="gray">
              <o:lock v:ext="edit" aspectratio="t"/>
            </v:rect>
            <v:shape id="_x0000_s2204" style="position:absolute;left:4056;top:6049;width:15;height:375" coordsize="15,375" path="m15,360l,375,,15,15,r,360xe" fillcolor="#7a7acc" stroked="f">
              <v:path arrowok="t"/>
              <o:lock v:ext="edit" aspectratio="t"/>
            </v:shape>
            <v:shape id="_x0000_s2205" style="position:absolute;left:4011;top:6064;width:45;height:375" coordsize="45,375" path="m45,360l,375,,15,45,r,360xe" fillcolor="#8282d9" stroked="f">
              <v:path arrowok="t"/>
              <o:lock v:ext="edit" aspectratio="t"/>
            </v:shape>
            <v:shape id="_x0000_s2206" style="position:absolute;left:3951;top:6079;width:60;height:375" coordsize="60,375" path="m60,360l,375,,30,60,r,360xe" fillcolor="#8a8ae5" stroked="f">
              <v:path arrowok="t"/>
              <o:lock v:ext="edit" aspectratio="t"/>
            </v:shape>
            <v:rect id="_x0000_s2207" style="position:absolute;left:3876;top:6109;width:75;height:345" fillcolor="#9191f2" stroked="f">
              <o:lock v:ext="edit" aspectratio="t"/>
            </v:rect>
            <v:rect id="_x0000_s2208" style="position:absolute;left:3816;top:6109;width:60;height:345" fillcolor="#99f" stroked="f">
              <o:lock v:ext="edit" aspectratio="t"/>
            </v:rect>
            <v:shape id="_x0000_s2209" style="position:absolute;left:3786;top:6094;width:30;height:360" coordsize="30,360" path="m30,360l,345,,,30,15r,345xe" fillcolor="#99f" stroked="f">
              <v:path arrowok="t"/>
              <o:lock v:ext="edit" aspectratio="t"/>
            </v:shape>
            <v:shape id="_x0000_s2210" style="position:absolute;left:3786;top:6034;width:285;height:75" coordsize="285,75" path="m180,r60,l285,15,270,30,225,45,165,75r-75,l30,75,,60,,30,45,15,105,r75,xe" fillcolor="#7373bf" stroked="f">
              <v:path arrowok="t"/>
              <o:lock v:ext="edit" aspectratio="t"/>
            </v:shape>
            <v:shape id="_x0000_s2211" style="position:absolute;left:3786;top:6409;width:285;height:45" coordsize="285,45" path="m285,l270,15,225,30,165,45r-75,l30,45,,30e" filled="f">
              <v:path arrowok="t"/>
              <o:lock v:ext="edit" aspectratio="t"/>
            </v:shape>
            <v:shape id="_x0000_s2212" style="position:absolute;left:3786;top:6034;width:285;height:75" coordsize="285,75" path="m180,r60,l285,15,270,30,225,45,165,75r-75,l30,75,,60,,30,45,15,105,r75,xe" filled="f">
              <v:path arrowok="t"/>
              <o:lock v:ext="edit" aspectratio="t"/>
            </v:shape>
            <v:line id="_x0000_s2213" style="position:absolute;flip:y" from="4071,6049" to="4072,6409">
              <o:lock v:ext="edit" aspectratio="t"/>
            </v:line>
            <v:line id="_x0000_s2214" style="position:absolute;flip:y" from="3786,6094" to="3787,6439">
              <o:lock v:ext="edit" aspectratio="t"/>
            </v:line>
            <v:shape id="_x0000_s2215" style="position:absolute;left:4341;top:5989;width:1;height:435" coordsize="0,435" path="m,420r,15l,30,,,,420xe" fillcolor="#7a2952" stroked="f">
              <v:path arrowok="t"/>
              <o:lock v:ext="edit" aspectratio="t"/>
            </v:shape>
            <v:shape id="_x0000_s2216" style="position:absolute;left:4296;top:6019;width:45;height:420" coordsize="45,420" path="m45,405l,420,,15,45,r,405xe" fillcolor="#822b57" stroked="f">
              <v:path arrowok="t"/>
              <o:lock v:ext="edit" aspectratio="t"/>
            </v:shape>
            <v:shape id="_x0000_s2217" style="position:absolute;left:4236;top:6034;width:60;height:420" coordsize="60,420" path="m60,405l,420,,15,60,r,405xe" fillcolor="#8a2e5c" stroked="f">
              <v:path arrowok="t"/>
              <o:lock v:ext="edit" aspectratio="t"/>
            </v:shape>
            <v:rect id="_x0000_s2218" style="position:absolute;left:4146;top:6049;width:90;height:405" fillcolor="#913061" stroked="f">
              <o:lock v:ext="edit" aspectratio="t"/>
            </v:rect>
            <v:rect id="_x0000_s2219" style="position:absolute;left:4086;top:6049;width:60;height:405" fillcolor="#936" stroked="f">
              <o:lock v:ext="edit" aspectratio="t"/>
            </v:rect>
            <v:shape id="_x0000_s2220" style="position:absolute;left:4056;top:6034;width:30;height:420" coordsize="30,420" path="m30,420l,405,,,30,15r,405xe" fillcolor="#936" stroked="f">
              <v:path arrowok="t"/>
              <o:lock v:ext="edit" aspectratio="t"/>
            </v:shape>
            <v:shape id="_x0000_s2221" style="position:absolute;left:4056;top:5974;width:285;height:75" coordsize="285,75" path="m195,r60,l285,15r,30l240,60,180,75r-90,l30,75,,60,,45,45,30,120,r75,xe" fillcolor="#73264d" stroked="f">
              <v:path arrowok="t"/>
              <o:lock v:ext="edit" aspectratio="t"/>
            </v:shape>
            <v:shape id="_x0000_s2222" style="position:absolute;left:4056;top:6409;width:285;height:45" coordsize="285,45" path="m285,r,15l240,30,180,45r-90,l30,45,,30e" filled="f">
              <v:path arrowok="t"/>
              <o:lock v:ext="edit" aspectratio="t"/>
            </v:shape>
            <v:shape id="_x0000_s2223" style="position:absolute;left:4056;top:5974;width:285;height:75" coordsize="285,75" path="m195,r60,l285,15r,30l240,60,180,75r-90,l30,75,,60,,45,45,30,120,r75,xe" filled="f">
              <v:path arrowok="t"/>
              <o:lock v:ext="edit" aspectratio="t"/>
            </v:shape>
            <v:line id="_x0000_s2224" style="position:absolute;flip:y" from="4341,5989" to="4342,6409">
              <o:lock v:ext="edit" aspectratio="t"/>
            </v:line>
            <v:line id="_x0000_s2225" style="position:absolute;flip:y" from="4056,6034" to="4057,6439">
              <o:lock v:ext="edit" aspectratio="t"/>
            </v:line>
            <v:shape id="_x0000_s2226" style="position:absolute;left:4611;top:6109;width:1;height:315" coordsize="0,315" path="m,300r,15l,15,,,,300xe" fillcolor="#cccca3" stroked="f">
              <v:path arrowok="t"/>
              <o:lock v:ext="edit" aspectratio="t"/>
            </v:shape>
            <v:shape id="_x0000_s2227" style="position:absolute;left:4566;top:6124;width:45;height:315" coordsize="45,315" path="m45,300l,315,,15,45,r,300xe" fillcolor="#d9d9ad" stroked="f">
              <v:path arrowok="t"/>
              <o:lock v:ext="edit" aspectratio="t"/>
            </v:shape>
            <v:shape id="_x0000_s2228" style="position:absolute;left:4506;top:6139;width:60;height:315" coordsize="60,315" path="m60,300l,315,,15,60,r,300xe" fillcolor="#e5e5b8" stroked="f">
              <v:path arrowok="t"/>
              <o:lock v:ext="edit" aspectratio="t"/>
            </v:shape>
            <v:rect id="_x0000_s2229" style="position:absolute;left:4431;top:6154;width:75;height:300" fillcolor="#f2f2c2" stroked="f">
              <o:lock v:ext="edit" aspectratio="t"/>
            </v:rect>
            <v:rect id="_x0000_s2230" style="position:absolute;left:4371;top:6154;width:60;height:300" fillcolor="#ffc" stroked="f">
              <o:lock v:ext="edit" aspectratio="t"/>
            </v:rect>
            <v:shape id="_x0000_s2231" style="position:absolute;left:4341;top:6139;width:30;height:315" coordsize="30,315" path="m30,315l,300,,,30,15r,300xe" fillcolor="#ffc" stroked="f">
              <v:path arrowok="t"/>
              <o:lock v:ext="edit" aspectratio="t"/>
            </v:shape>
            <v:shape id="_x0000_s2232" style="position:absolute;left:4341;top:6094;width:270;height:60" coordsize="270,60" path="m180,r60,l270,15r,15l225,45,165,60r-75,l30,60,,45,,30,45,15,105,r75,xe" fillcolor="#bfbf99" stroked="f">
              <v:path arrowok="t"/>
              <o:lock v:ext="edit" aspectratio="t"/>
            </v:shape>
            <v:shape id="_x0000_s2233" style="position:absolute;left:4341;top:6409;width:270;height:45" coordsize="270,45" path="m270,r,15l225,30,165,45r-75,l30,45,,30e" filled="f">
              <v:path arrowok="t"/>
              <o:lock v:ext="edit" aspectratio="t"/>
            </v:shape>
            <v:shape id="_x0000_s2234" style="position:absolute;left:4341;top:6094;width:270;height:60" coordsize="270,60" path="m180,r60,l270,15r,15l225,45,165,60r-75,l30,60,,45,,30,45,15,105,r75,xe" filled="f">
              <v:path arrowok="t"/>
              <o:lock v:ext="edit" aspectratio="t"/>
            </v:shape>
            <v:line id="_x0000_s2235" style="position:absolute;flip:y" from="4611,6109" to="4612,6409">
              <o:lock v:ext="edit" aspectratio="t"/>
            </v:line>
            <v:line id="_x0000_s2236" style="position:absolute;flip:y" from="4341,6139" to="4342,6439">
              <o:lock v:ext="edit" aspectratio="t"/>
            </v:line>
            <v:shape id="_x0000_s2237" style="position:absolute;left:5301;top:6019;width:1;height:405" coordsize="0,405" path="m,390r,15l,30,,,,390xe" fillcolor="#7a7acc" stroked="f">
              <v:path arrowok="t"/>
              <o:lock v:ext="edit" aspectratio="t"/>
            </v:shape>
            <v:shape id="_x0000_s2238" style="position:absolute;left:5256;top:6049;width:45;height:390" coordsize="45,390" path="m45,375l,390,,15,45,r,375xe" fillcolor="#8282d9" stroked="f">
              <v:path arrowok="t"/>
              <o:lock v:ext="edit" aspectratio="t"/>
            </v:shape>
            <v:shape id="_x0000_s2239" style="position:absolute;left:5196;top:6064;width:60;height:390" coordsize="60,390" path="m60,375l,390,,15,60,r,375xe" fillcolor="#8a8ae5" stroked="f">
              <v:path arrowok="t"/>
              <o:lock v:ext="edit" aspectratio="t"/>
            </v:shape>
            <v:rect id="_x0000_s2240" style="position:absolute;left:5106;top:6079;width:90;height:375" fillcolor="#9191f2" stroked="f">
              <o:lock v:ext="edit" aspectratio="t"/>
            </v:rect>
            <v:rect id="_x0000_s2241" style="position:absolute;left:5046;top:6079;width:60;height:375" fillcolor="#99f" stroked="f">
              <o:lock v:ext="edit" aspectratio="t"/>
            </v:rect>
            <v:shape id="_x0000_s2242" style="position:absolute;left:5016;top:6064;width:30;height:390" coordsize="30,390" path="m30,390l,375,,,30,15r,375xe" fillcolor="#99f" stroked="f">
              <v:path arrowok="t"/>
              <o:lock v:ext="edit" aspectratio="t"/>
            </v:shape>
            <v:shape id="_x0000_s2243" style="position:absolute;left:5016;top:6004;width:285;height:75" coordsize="285,75" path="m195,r60,l285,15r,30l240,60,180,75r-90,l30,75,,60,,45,45,30,120,r75,xe" fillcolor="#7373bf" stroked="f">
              <v:path arrowok="t"/>
              <o:lock v:ext="edit" aspectratio="t"/>
            </v:shape>
            <v:shape id="_x0000_s2244" style="position:absolute;left:5016;top:6409;width:285;height:45" coordsize="285,45" path="m285,r,15l240,30,180,45r-90,l30,45,,30e" filled="f">
              <v:path arrowok="t"/>
              <o:lock v:ext="edit" aspectratio="t"/>
            </v:shape>
            <v:shape id="_x0000_s2245" style="position:absolute;left:5016;top:6004;width:285;height:75" coordsize="285,75" path="m195,r60,l285,15r,30l240,60,180,75r-90,l30,75,,60,,45,45,30,120,r75,xe" filled="f">
              <v:path arrowok="t"/>
              <o:lock v:ext="edit" aspectratio="t"/>
            </v:shape>
            <v:line id="_x0000_s2246" style="position:absolute;flip:y" from="5301,6019" to="5302,6409">
              <o:lock v:ext="edit" aspectratio="t"/>
            </v:line>
            <v:line id="_x0000_s2247" style="position:absolute;flip:y" from="5016,6064" to="5017,6439">
              <o:lock v:ext="edit" aspectratio="t"/>
            </v:line>
            <v:shape id="_x0000_s2248" style="position:absolute;left:5571;top:5509;width:1;height:915" coordsize="0,915" path="m,900r,15l,15,,,,900xe" fillcolor="#7a2952" stroked="f">
              <v:path arrowok="t"/>
              <o:lock v:ext="edit" aspectratio="t"/>
            </v:shape>
            <v:shape id="_x0000_s2249" style="position:absolute;left:5526;top:5524;width:45;height:915" coordsize="45,915" path="m45,900l,915,,15,45,r,900xe" fillcolor="#822b57" stroked="f">
              <v:path arrowok="t"/>
              <o:lock v:ext="edit" aspectratio="t"/>
            </v:shape>
            <v:shape id="_x0000_s2250" style="position:absolute;left:5466;top:5539;width:60;height:915" coordsize="60,915" path="m60,900l,915,,30,60,r,900xe" fillcolor="#8a2e5c" stroked="f">
              <v:path arrowok="t"/>
              <o:lock v:ext="edit" aspectratio="t"/>
            </v:shape>
            <v:rect id="_x0000_s2251" style="position:absolute;left:5391;top:5569;width:75;height:885" fillcolor="#913061" stroked="f">
              <o:lock v:ext="edit" aspectratio="t"/>
            </v:rect>
            <v:rect id="_x0000_s2252" style="position:absolute;left:5331;top:5569;width:60;height:885" fillcolor="#936" stroked="f">
              <o:lock v:ext="edit" aspectratio="t"/>
            </v:rect>
            <v:shape id="_x0000_s2253" style="position:absolute;left:5301;top:5554;width:30;height:900" coordsize="30,900" path="m30,900l,885,,,30,15r,885xe" fillcolor="#936" stroked="f">
              <v:path arrowok="t"/>
              <o:lock v:ext="edit" aspectratio="t"/>
            </v:shape>
            <v:shape id="_x0000_s2254" style="position:absolute;left:5301;top:5494;width:270;height:75" coordsize="270,75" path="m180,r60,l270,15r,15l225,45,165,75r-75,l30,75,,60,,30,45,15,105,r75,xe" fillcolor="#73264d" stroked="f">
              <v:path arrowok="t"/>
              <o:lock v:ext="edit" aspectratio="t"/>
            </v:shape>
            <v:shape id="_x0000_s2255" style="position:absolute;left:5301;top:6409;width:270;height:45" coordsize="270,45" path="m270,r,15l225,30,165,45r-75,l30,45,,30e" filled="f">
              <v:path arrowok="t"/>
              <o:lock v:ext="edit" aspectratio="t"/>
            </v:shape>
            <v:shape id="_x0000_s2256" style="position:absolute;left:5301;top:5494;width:270;height:75" coordsize="270,75" path="m180,r60,l270,15r,15l225,45,165,75r-75,l30,75,,60,,30,45,15,105,r75,xe" filled="f">
              <v:path arrowok="t"/>
              <o:lock v:ext="edit" aspectratio="t"/>
            </v:shape>
            <v:line id="_x0000_s2257" style="position:absolute;flip:y" from="5571,5509" to="5572,6409">
              <o:lock v:ext="edit" aspectratio="t"/>
            </v:line>
            <v:line id="_x0000_s2258" style="position:absolute;flip:y" from="5301,5554" to="5302,6439">
              <o:lock v:ext="edit" aspectratio="t"/>
            </v:line>
            <v:shape id="_x0000_s2259" style="position:absolute;left:5841;top:6049;width:1;height:375" coordsize="0,375" path="m,360r,15l,15,,,,360xe" fillcolor="#cccca3" stroked="f">
              <v:path arrowok="t"/>
              <o:lock v:ext="edit" aspectratio="t"/>
            </v:shape>
            <v:shape id="_x0000_s2260" style="position:absolute;left:5796;top:6064;width:45;height:375" coordsize="45,375" path="m45,360l,375,,15,45,r,360xe" fillcolor="#d9d9ad" stroked="f">
              <v:path arrowok="t"/>
              <o:lock v:ext="edit" aspectratio="t"/>
            </v:shape>
            <v:shape id="_x0000_s2261" style="position:absolute;left:5736;top:6079;width:60;height:375" coordsize="60,375" path="m60,360l,375,,30,60,r,360xe" fillcolor="#e5e5b8" stroked="f">
              <v:path arrowok="t"/>
              <o:lock v:ext="edit" aspectratio="t"/>
            </v:shape>
            <v:rect id="_x0000_s2262" style="position:absolute;left:5661;top:6109;width:75;height:345" fillcolor="#f2f2c2" stroked="f">
              <o:lock v:ext="edit" aspectratio="t"/>
            </v:rect>
            <v:rect id="_x0000_s2263" style="position:absolute;left:5601;top:6109;width:60;height:345" fillcolor="#ffc" stroked="f">
              <o:lock v:ext="edit" aspectratio="t"/>
            </v:rect>
            <v:shape id="_x0000_s2264" style="position:absolute;left:5571;top:6094;width:30;height:360" coordsize="30,360" path="m30,360l,345,,,30,15r,345xe" fillcolor="#ffc" stroked="f">
              <v:path arrowok="t"/>
              <o:lock v:ext="edit" aspectratio="t"/>
            </v:shape>
            <v:shape id="_x0000_s2265" style="position:absolute;left:5571;top:6034;width:270;height:75" coordsize="270,75" path="m180,r60,l270,15r,15l225,45,165,75r-75,l30,75,,60,,30,45,15,105,r75,xe" fillcolor="#bfbf99" stroked="f">
              <v:path arrowok="t"/>
              <o:lock v:ext="edit" aspectratio="t"/>
            </v:shape>
            <v:shape id="_x0000_s2266" style="position:absolute;left:5571;top:6409;width:270;height:45" coordsize="270,45" path="m270,r,15l225,30,165,45r-75,l30,45,,30e" filled="f">
              <v:path arrowok="t"/>
              <o:lock v:ext="edit" aspectratio="t"/>
            </v:shape>
            <v:shape id="_x0000_s2267" style="position:absolute;left:5571;top:6034;width:270;height:75" coordsize="270,75" path="m180,r60,l270,15r,15l225,45,165,75r-75,l30,75,,60,,30,45,15,105,r75,xe" filled="f">
              <v:path arrowok="t"/>
              <o:lock v:ext="edit" aspectratio="t"/>
            </v:shape>
            <v:line id="_x0000_s2268" style="position:absolute;flip:y" from="5841,6049" to="5842,6409">
              <o:lock v:ext="edit" aspectratio="t"/>
            </v:line>
            <v:line id="_x0000_s2269" style="position:absolute;flip:y" from="5571,6094" to="5572,6439">
              <o:lock v:ext="edit" aspectratio="t"/>
            </v:line>
            <v:shape id="_x0000_s2270" style="position:absolute;left:6531;top:6034;width:1;height:390" coordsize="0,390" path="m,375r,15l,15,,,,375xe" fillcolor="#7a7acc" stroked="f">
              <v:path arrowok="t"/>
              <o:lock v:ext="edit" aspectratio="t"/>
            </v:shape>
            <v:shape id="_x0000_s2271" style="position:absolute;left:6486;top:6049;width:45;height:390" coordsize="45,390" path="m45,375l,390,,15,45,r,375xe" fillcolor="#8282d9" stroked="f">
              <v:path arrowok="t"/>
              <o:lock v:ext="edit" aspectratio="t"/>
            </v:shape>
            <v:shape id="_x0000_s2272" style="position:absolute;left:6426;top:6064;width:60;height:390" coordsize="60,390" path="m60,375l,390,,15,60,r,375xe" fillcolor="#8a8ae5" stroked="f">
              <v:path arrowok="t"/>
              <o:lock v:ext="edit" aspectratio="t"/>
            </v:shape>
            <v:rect id="_x0000_s2273" style="position:absolute;left:6351;top:6079;width:75;height:375" fillcolor="#9191f2" stroked="f">
              <o:lock v:ext="edit" aspectratio="t"/>
            </v:rect>
            <v:rect id="_x0000_s2274" style="position:absolute;left:6291;top:6079;width:60;height:375" fillcolor="#99f" stroked="f">
              <o:lock v:ext="edit" aspectratio="t"/>
            </v:rect>
            <v:shape id="_x0000_s2275" style="position:absolute;left:6261;top:6064;width:30;height:390" coordsize="30,390" path="m30,390l,375,,,30,15r,375xe" fillcolor="#99f" stroked="f">
              <v:path arrowok="t"/>
              <o:lock v:ext="edit" aspectratio="t"/>
            </v:shape>
            <v:shape id="_x0000_s2276" style="position:absolute;left:6261;top:6019;width:270;height:60" coordsize="270,60" path="m180,r60,l270,15r,15l225,45,165,60r-75,l30,60,,45,,30,45,15,105,r75,xe" fillcolor="#7373bf" stroked="f">
              <v:path arrowok="t"/>
              <o:lock v:ext="edit" aspectratio="t"/>
            </v:shape>
            <v:shape id="_x0000_s2277" style="position:absolute;left:6261;top:6409;width:270;height:45" coordsize="270,45" path="m270,r,15l225,30,165,45r-75,l30,45,,30e" filled="f">
              <v:path arrowok="t"/>
              <o:lock v:ext="edit" aspectratio="t"/>
            </v:shape>
            <v:shape id="_x0000_s2278" style="position:absolute;left:6261;top:6019;width:270;height:60" coordsize="270,60" path="m180,r60,l270,15r,15l225,45,165,60r-75,l30,60,,45,,30,45,15,105,r75,xe" filled="f">
              <v:path arrowok="t"/>
              <o:lock v:ext="edit" aspectratio="t"/>
            </v:shape>
            <v:line id="_x0000_s2279" style="position:absolute;flip:y" from="6531,6034" to="6532,6409">
              <o:lock v:ext="edit" aspectratio="t"/>
            </v:line>
            <v:line id="_x0000_s2280" style="position:absolute;flip:y" from="6261,6064" to="6262,6439">
              <o:lock v:ext="edit" aspectratio="t"/>
            </v:line>
            <v:shape id="_x0000_s2281" style="position:absolute;left:6801;top:5809;width:1;height:615" coordsize="0,615" path="m,600r,15l,30,,,,600xe" fillcolor="#7a2952" stroked="f">
              <v:path arrowok="t"/>
              <o:lock v:ext="edit" aspectratio="t"/>
            </v:shape>
            <v:shape id="_x0000_s2282" style="position:absolute;left:6756;top:5839;width:45;height:600" coordsize="45,600" path="m45,585l,600,,15,45,r,585xe" fillcolor="#822b57" stroked="f">
              <v:path arrowok="t"/>
              <o:lock v:ext="edit" aspectratio="t"/>
            </v:shape>
            <v:shape id="_x0000_s2283" style="position:absolute;left:6696;top:5854;width:60;height:600" coordsize="60,600" path="m60,585l,600,,15,60,r,585xe" fillcolor="#8a2e5c" stroked="f">
              <v:path arrowok="t"/>
              <o:lock v:ext="edit" aspectratio="t"/>
            </v:shape>
            <v:rect id="_x0000_s2284" style="position:absolute;left:6621;top:5869;width:75;height:585" fillcolor="#913061" stroked="f">
              <o:lock v:ext="edit" aspectratio="t"/>
            </v:rect>
            <v:rect id="_x0000_s2285" style="position:absolute;left:6561;top:5869;width:60;height:585" fillcolor="#936" stroked="f">
              <o:lock v:ext="edit" aspectratio="t"/>
            </v:rect>
            <v:shape id="_x0000_s2286" style="position:absolute;left:6531;top:5854;width:30;height:600" coordsize="30,600" path="m30,600l,585,,,30,15r,585xe" fillcolor="#936" stroked="f">
              <v:path arrowok="t"/>
              <o:lock v:ext="edit" aspectratio="t"/>
            </v:shape>
            <v:shape id="_x0000_s2287" style="position:absolute;left:6531;top:5794;width:270;height:75" coordsize="270,75" path="m180,r60,l270,15r,30l225,60,165,75r-75,l30,75,,60,,45,45,30,105,r75,xe" fillcolor="#73264d" stroked="f">
              <v:path arrowok="t"/>
              <o:lock v:ext="edit" aspectratio="t"/>
            </v:shape>
            <v:shape id="_x0000_s2288" style="position:absolute;left:6531;top:6409;width:270;height:45" coordsize="270,45" path="m270,r,15l225,30,165,45r-75,l30,45,,30e" filled="f">
              <v:path arrowok="t"/>
              <o:lock v:ext="edit" aspectratio="t"/>
            </v:shape>
            <v:shape id="_x0000_s2289" style="position:absolute;left:6531;top:5794;width:270;height:75" coordsize="270,75" path="m180,r60,l270,15r,30l225,60,165,75r-75,l30,75,,60,,45,45,30,105,r75,xe" filled="f">
              <v:path arrowok="t"/>
              <o:lock v:ext="edit" aspectratio="t"/>
            </v:shape>
            <v:line id="_x0000_s2290" style="position:absolute;flip:y" from="6801,5809" to="6802,6409">
              <o:lock v:ext="edit" aspectratio="t"/>
            </v:line>
            <v:line id="_x0000_s2291" style="position:absolute;flip:y" from="6531,5854" to="6532,6439">
              <o:lock v:ext="edit" aspectratio="t"/>
            </v:line>
            <v:shape id="_x0000_s2292" style="position:absolute;left:7086;top:6004;width:1;height:420" coordsize="0,420" path="m,405r,15l,30,,,,405xe" fillcolor="#cccca3" stroked="f">
              <v:path arrowok="t"/>
              <o:lock v:ext="edit" aspectratio="t"/>
            </v:shape>
            <v:shape id="_x0000_s2293" style="position:absolute;left:7041;top:6034;width:45;height:405" coordsize="45,405" path="m45,390l,405,,15,45,r,390xe" fillcolor="#d9d9ad" stroked="f">
              <v:path arrowok="t"/>
              <o:lock v:ext="edit" aspectratio="t"/>
            </v:shape>
            <v:shape id="_x0000_s2294" style="position:absolute;left:6966;top:6049;width:75;height:405" coordsize="75,405" path="m75,390l,405,,15,75,r,390xe" fillcolor="#e5e5b8" stroked="f">
              <v:path arrowok="t"/>
              <o:lock v:ext="edit" aspectratio="t"/>
            </v:shape>
            <v:rect id="_x0000_s2295" style="position:absolute;left:6891;top:6064;width:75;height:390" fillcolor="#f2f2c2" stroked="f">
              <o:lock v:ext="edit" aspectratio="t"/>
            </v:rect>
            <v:rect id="_x0000_s2296" style="position:absolute;left:6831;top:6064;width:60;height:390" fillcolor="#ffc" stroked="f">
              <o:lock v:ext="edit" aspectratio="t"/>
            </v:rect>
            <v:shape id="_x0000_s2297" style="position:absolute;left:6801;top:6049;width:30;height:405" coordsize="30,405" path="m30,405l,390,,,30,15r,390xe" fillcolor="#ffc" stroked="f">
              <v:path arrowok="t"/>
              <o:lock v:ext="edit" aspectratio="t"/>
            </v:shape>
            <v:shape id="_x0000_s2298" style="position:absolute;left:6801;top:5989;width:285;height:75" coordsize="285,75" path="m195,r60,l285,15r,30l240,60,165,75r-75,l30,75,,60,,45,45,30,105,r90,xe" fillcolor="#bfbf99" stroked="f">
              <v:path arrowok="t"/>
              <o:lock v:ext="edit" aspectratio="t"/>
            </v:shape>
            <v:shape id="_x0000_s2299" style="position:absolute;left:6801;top:6409;width:285;height:45" coordsize="285,45" path="m285,r,15l240,30,165,45r-75,l30,45,,30e" filled="f">
              <v:path arrowok="t"/>
              <o:lock v:ext="edit" aspectratio="t"/>
            </v:shape>
            <v:shape id="_x0000_s2300" style="position:absolute;left:6801;top:5989;width:285;height:75" coordsize="285,75" path="m195,r60,l285,15r,30l240,60,165,75r-75,l30,75,,60,,45,45,30,105,r90,xe" filled="f">
              <v:path arrowok="t"/>
              <o:lock v:ext="edit" aspectratio="t"/>
            </v:shape>
            <v:line id="_x0000_s2301" style="position:absolute;flip:y" from="7086,6004" to="7087,6409">
              <o:lock v:ext="edit" aspectratio="t"/>
            </v:line>
            <v:line id="_x0000_s2302" style="position:absolute;flip:y" from="6801,6049" to="6802,6439">
              <o:lock v:ext="edit" aspectratio="t"/>
            </v:line>
            <v:shape id="_x0000_s2303" style="position:absolute;left:7761;top:6019;width:1;height:405" coordsize="0,405" path="m,390r,15l,15,,,,390xe" fillcolor="#7a7acc" stroked="f">
              <v:path arrowok="t"/>
              <o:lock v:ext="edit" aspectratio="t"/>
            </v:shape>
            <v:shape id="_x0000_s2304" style="position:absolute;left:7716;top:6034;width:45;height:405" coordsize="45,405" path="m45,390l,405,,15,45,r,390xe" fillcolor="#8282d9" stroked="f">
              <v:path arrowok="t"/>
              <o:lock v:ext="edit" aspectratio="t"/>
            </v:shape>
            <v:shape id="_x0000_s2305" style="position:absolute;left:7656;top:6049;width:60;height:405" coordsize="60,405" path="m60,390l,405,,30,60,r,390xe" fillcolor="#8a8ae5" stroked="f">
              <v:path arrowok="t"/>
              <o:lock v:ext="edit" aspectratio="t"/>
            </v:shape>
            <v:rect id="_x0000_s2306" style="position:absolute;left:7581;top:6079;width:75;height:375" fillcolor="#9191f2" stroked="f">
              <o:lock v:ext="edit" aspectratio="t"/>
            </v:rect>
            <v:rect id="_x0000_s2307" style="position:absolute;left:7521;top:6079;width:60;height:375" fillcolor="#99f" stroked="f">
              <o:lock v:ext="edit" aspectratio="t"/>
            </v:rect>
            <v:shape id="_x0000_s2308" style="position:absolute;left:7491;top:6064;width:30;height:390" coordsize="30,390" path="m30,390l,375,,,30,15r,375xe" fillcolor="#99f" stroked="f">
              <v:path arrowok="t"/>
              <o:lock v:ext="edit" aspectratio="t"/>
            </v:shape>
            <v:shape id="_x0000_s2309" style="position:absolute;left:7491;top:6004;width:270;height:75" coordsize="270,75" path="m180,r60,l270,15r,15l225,45,165,75r-75,l30,75,,60,,30,45,15,105,r75,xe" fillcolor="#7373bf" stroked="f">
              <v:path arrowok="t"/>
              <o:lock v:ext="edit" aspectratio="t"/>
            </v:shape>
            <v:shape id="_x0000_s2310" style="position:absolute;left:7491;top:6409;width:270;height:45" coordsize="270,45" path="m270,r,15l225,30,165,45r-75,l30,45,,30e" filled="f">
              <v:path arrowok="t"/>
              <o:lock v:ext="edit" aspectratio="t"/>
            </v:shape>
            <v:shape id="_x0000_s2311" style="position:absolute;left:7491;top:6004;width:270;height:75" coordsize="270,75" path="m180,r60,l270,15r,15l225,45,165,75r-75,l30,75,,60,,30,45,15,105,r75,xe" filled="f">
              <v:path arrowok="t"/>
              <o:lock v:ext="edit" aspectratio="t"/>
            </v:shape>
            <v:line id="_x0000_s2312" style="position:absolute;flip:y" from="7761,6019" to="7762,6409">
              <o:lock v:ext="edit" aspectratio="t"/>
            </v:line>
            <v:line id="_x0000_s2313" style="position:absolute;flip:y" from="7491,6064" to="7492,6439">
              <o:lock v:ext="edit" aspectratio="t"/>
            </v:line>
            <v:shape id="_x0000_s2314" style="position:absolute;left:8046;top:5584;width:1;height:840" coordsize="0,840" path="m,825r,15l,30,,,,825xe" fillcolor="#7a2952" stroked="f">
              <v:path arrowok="t"/>
              <o:lock v:ext="edit" aspectratio="t"/>
            </v:shape>
            <v:shape id="_x0000_s2315" style="position:absolute;left:8001;top:5614;width:45;height:825" coordsize="45,825" path="m45,810l,825,,15,45,r,810xe" fillcolor="#822b57" stroked="f">
              <v:path arrowok="t"/>
              <o:lock v:ext="edit" aspectratio="t"/>
            </v:shape>
            <v:shape id="_x0000_s2316" style="position:absolute;left:7926;top:5629;width:75;height:825" coordsize="75,825" path="m75,810l,825,,15,75,r,810xe" fillcolor="#8a2e5c" stroked="f">
              <v:path arrowok="t"/>
              <o:lock v:ext="edit" aspectratio="t"/>
            </v:shape>
            <v:rect id="_x0000_s2317" style="position:absolute;left:7851;top:5644;width:75;height:810" fillcolor="#913061" stroked="f">
              <o:lock v:ext="edit" aspectratio="t"/>
            </v:rect>
            <v:rect id="_x0000_s2318" style="position:absolute;left:7791;top:5644;width:60;height:810" fillcolor="#936" stroked="f">
              <o:lock v:ext="edit" aspectratio="t"/>
            </v:rect>
            <v:shape id="_x0000_s2319" style="position:absolute;left:7761;top:5629;width:30;height:825" coordsize="30,825" path="m30,825l,810,,,30,15r,810xe" fillcolor="#936" stroked="f">
              <v:path arrowok="t"/>
              <o:lock v:ext="edit" aspectratio="t"/>
            </v:shape>
            <v:shape id="_x0000_s2320" style="position:absolute;left:7761;top:5569;width:285;height:75" coordsize="285,75" path="m195,r60,l285,15r,30l240,60,165,75r-75,l30,75,,60,,45,45,30,105,r90,xe" fillcolor="#73264d" stroked="f">
              <v:path arrowok="t"/>
              <o:lock v:ext="edit" aspectratio="t"/>
            </v:shape>
            <v:shape id="_x0000_s2321" style="position:absolute;left:7761;top:6409;width:285;height:45" coordsize="285,45" path="m285,r,15l240,30,165,45r-75,l30,45,,30e" filled="f">
              <v:path arrowok="t"/>
              <o:lock v:ext="edit" aspectratio="t"/>
            </v:shape>
            <v:shape id="_x0000_s2322" style="position:absolute;left:7761;top:5569;width:285;height:75" coordsize="285,75" path="m195,r60,l285,15r,30l240,60,165,75r-75,l30,75,,60,,45,45,30,105,r90,xe" filled="f">
              <v:path arrowok="t"/>
              <o:lock v:ext="edit" aspectratio="t"/>
            </v:shape>
            <v:line id="_x0000_s2323" style="position:absolute;flip:y" from="8046,5584" to="8047,6409">
              <o:lock v:ext="edit" aspectratio="t"/>
            </v:line>
            <v:line id="_x0000_s2324" style="position:absolute;flip:y" from="7761,5629" to="7762,6439">
              <o:lock v:ext="edit" aspectratio="t"/>
            </v:line>
            <v:shape id="_x0000_s2325" style="position:absolute;left:8316;top:5914;width:1;height:510" coordsize="0,510" path="m,495r,15l,15,,,,495xe" fillcolor="#cccca3" stroked="f">
              <v:path arrowok="t"/>
              <o:lock v:ext="edit" aspectratio="t"/>
            </v:shape>
            <v:shape id="_x0000_s2326" style="position:absolute;left:8271;top:5929;width:45;height:510" coordsize="45,510" path="m45,495l,510,,15,45,r,495xe" fillcolor="#d9d9ad" stroked="f">
              <v:path arrowok="t"/>
              <o:lock v:ext="edit" aspectratio="t"/>
            </v:shape>
            <v:shape id="_x0000_s2327" style="position:absolute;left:8211;top:5944;width:60;height:510" coordsize="60,510" path="m60,495l,510,,30,60,r,495xe" fillcolor="#e5e5b8" stroked="f">
              <v:path arrowok="t"/>
              <o:lock v:ext="edit" aspectratio="t"/>
            </v:shape>
            <v:rect id="_x0000_s2328" style="position:absolute;left:8136;top:5974;width:75;height:480" fillcolor="#f2f2c2" stroked="f">
              <o:lock v:ext="edit" aspectratio="t"/>
            </v:rect>
            <v:rect id="_x0000_s2329" style="position:absolute;left:8076;top:5974;width:60;height:480" fillcolor="#ffc" stroked="f">
              <o:lock v:ext="edit" aspectratio="t"/>
            </v:rect>
            <v:shape id="_x0000_s2330" style="position:absolute;left:8031;top:5959;width:45;height:495" coordsize="45,495" path="m45,495l,480,,,45,15r,480xe" fillcolor="#ffc" stroked="f">
              <v:path arrowok="t"/>
              <o:lock v:ext="edit" aspectratio="t"/>
            </v:shape>
            <v:shape id="_x0000_s2331" style="position:absolute;left:8031;top:5899;width:285;height:75" coordsize="285,75" path="m195,r60,l285,15r,15l240,45,180,75r-75,l45,75,,60,15,30,60,15,120,r75,xe" fillcolor="#bfbf99" stroked="f">
              <v:path arrowok="t"/>
              <o:lock v:ext="edit" aspectratio="t"/>
            </v:shape>
            <v:shape id="_x0000_s2332" style="position:absolute;left:8031;top:6409;width:285;height:45" coordsize="285,45" path="m285,r,15l240,30,180,45r-75,l45,45,,30e" filled="f">
              <v:path arrowok="t"/>
              <o:lock v:ext="edit" aspectratio="t"/>
            </v:shape>
            <v:shape id="_x0000_s2333" style="position:absolute;left:8031;top:5899;width:285;height:75" coordsize="285,75" path="m195,r60,l285,15r,15l240,45,180,75r-75,l45,75,,60,15,30,60,15,120,r75,xe" filled="f">
              <v:path arrowok="t"/>
              <o:lock v:ext="edit" aspectratio="t"/>
            </v:shape>
            <v:line id="_x0000_s2334" style="position:absolute;flip:y" from="8316,5914" to="8317,6409">
              <o:lock v:ext="edit" aspectratio="t"/>
            </v:line>
            <v:line id="_x0000_s2335" style="position:absolute;flip:y" from="8031,5959" to="8032,6439">
              <o:lock v:ext="edit" aspectratio="t"/>
            </v:line>
            <v:line id="_x0000_s2336" style="position:absolute;flip:y" from="3531,5224" to="3532,6454">
              <o:lock v:ext="edit" aspectratio="t"/>
            </v:line>
            <v:line id="_x0000_s2337" style="position:absolute;flip:x" from="3486,6454" to="3531,6455">
              <o:lock v:ext="edit" aspectratio="t"/>
            </v:line>
            <v:line id="_x0000_s2338" style="position:absolute;flip:x" from="3486,6049" to="3531,6050">
              <o:lock v:ext="edit" aspectratio="t"/>
            </v:line>
            <v:line id="_x0000_s2339" style="position:absolute;flip:x" from="3486,5644" to="3531,5645">
              <o:lock v:ext="edit" aspectratio="t"/>
            </v:line>
            <v:line id="_x0000_s2340" style="position:absolute;flip:x" from="3486,5224" to="3531,5225">
              <o:lock v:ext="edit" aspectratio="t"/>
            </v:line>
            <v:rect id="_x0000_s2341" style="position:absolute;left:3306;top:6319;width:255;height:345;mso-wrap-style:none" filled="f" stroked="f">
              <o:lock v:ext="edit" aspectratio="t"/>
              <v:textbox style="mso-next-textbox:#_x0000_s2341" inset="0,0,0,0">
                <w:txbxContent>
                  <w:p w:rsidR="00000000" w:rsidRDefault="00000000">
                    <w:pPr>
                      <w:rPr>
                        <w:sz w:val="22"/>
                      </w:rPr>
                    </w:pPr>
                    <w:r>
                      <w:rPr>
                        <w:b/>
                        <w:bCs/>
                        <w:color w:val="000000"/>
                        <w:sz w:val="22"/>
                      </w:rPr>
                      <w:t>0</w:t>
                    </w:r>
                  </w:p>
                </w:txbxContent>
              </v:textbox>
            </v:rect>
            <v:rect id="_x0000_s2342" style="position:absolute;left:2571;top:5914;width:990;height:345;mso-wrap-style:none" filled="f" stroked="f">
              <o:lock v:ext="edit" aspectratio="t"/>
              <v:textbox style="mso-next-textbox:#_x0000_s2342" inset="0,0,0,0">
                <w:txbxContent>
                  <w:p w:rsidR="00000000" w:rsidRDefault="00000000">
                    <w:pPr>
                      <w:rPr>
                        <w:sz w:val="22"/>
                      </w:rPr>
                    </w:pPr>
                    <w:r>
                      <w:rPr>
                        <w:b/>
                        <w:bCs/>
                        <w:color w:val="000000"/>
                        <w:sz w:val="22"/>
                      </w:rPr>
                      <w:t>100 000</w:t>
                    </w:r>
                  </w:p>
                </w:txbxContent>
              </v:textbox>
            </v:rect>
            <v:rect id="_x0000_s2343" style="position:absolute;left:2571;top:5509;width:990;height:345;mso-wrap-style:none" filled="f" stroked="f">
              <o:lock v:ext="edit" aspectratio="t"/>
              <v:textbox style="mso-next-textbox:#_x0000_s2343" inset="0,0,0,0">
                <w:txbxContent>
                  <w:p w:rsidR="00000000" w:rsidRDefault="00000000">
                    <w:pPr>
                      <w:rPr>
                        <w:sz w:val="22"/>
                      </w:rPr>
                    </w:pPr>
                    <w:r>
                      <w:rPr>
                        <w:b/>
                        <w:bCs/>
                        <w:color w:val="000000"/>
                        <w:sz w:val="22"/>
                      </w:rPr>
                      <w:t>200 000</w:t>
                    </w:r>
                  </w:p>
                </w:txbxContent>
              </v:textbox>
            </v:rect>
            <v:rect id="_x0000_s2344" style="position:absolute;left:2571;top:5089;width:990;height:345;mso-wrap-style:none" filled="f" stroked="f">
              <o:lock v:ext="edit" aspectratio="t"/>
              <v:textbox style="mso-next-textbox:#_x0000_s2344" inset="0,0,0,0">
                <w:txbxContent>
                  <w:p w:rsidR="00000000" w:rsidRDefault="00000000">
                    <w:pPr>
                      <w:rPr>
                        <w:b/>
                        <w:bCs/>
                        <w:sz w:val="22"/>
                      </w:rPr>
                    </w:pPr>
                    <w:r>
                      <w:rPr>
                        <w:b/>
                        <w:bCs/>
                        <w:color w:val="000000"/>
                        <w:sz w:val="22"/>
                      </w:rPr>
                      <w:t>300 000</w:t>
                    </w:r>
                  </w:p>
                </w:txbxContent>
              </v:textbox>
            </v:rect>
            <v:line id="_x0000_s2345" style="position:absolute" from="3531,6454" to="8466,6455">
              <o:lock v:ext="edit" aspectratio="t"/>
            </v:line>
            <v:line id="_x0000_s2346" style="position:absolute" from="3531,6454" to="3532,6499">
              <o:lock v:ext="edit" aspectratio="t"/>
            </v:line>
            <v:line id="_x0000_s2347" style="position:absolute" from="4776,6454" to="4777,6499">
              <o:lock v:ext="edit" aspectratio="t"/>
            </v:line>
            <v:line id="_x0000_s2348" style="position:absolute" from="6006,6454" to="6007,6499">
              <o:lock v:ext="edit" aspectratio="t"/>
            </v:line>
            <v:line id="_x0000_s2349" style="position:absolute" from="7236,6454" to="7237,6499">
              <o:lock v:ext="edit" aspectratio="t"/>
            </v:line>
            <v:line id="_x0000_s2350" style="position:absolute" from="8466,6454" to="8467,6499">
              <o:lock v:ext="edit" aspectratio="t"/>
            </v:line>
            <v:rect id="_x0000_s2351" style="position:absolute;left:3876;top:6574;width:660;height:345;mso-wrap-style:none" filled="f" stroked="f">
              <o:lock v:ext="edit" aspectratio="t"/>
              <v:textbox style="mso-next-textbox:#_x0000_s2351" inset="0,0,0,0">
                <w:txbxContent>
                  <w:p w:rsidR="00000000" w:rsidRDefault="00000000">
                    <w:pPr>
                      <w:rPr>
                        <w:sz w:val="22"/>
                      </w:rPr>
                    </w:pPr>
                    <w:r>
                      <w:rPr>
                        <w:b/>
                        <w:bCs/>
                        <w:color w:val="000000"/>
                        <w:sz w:val="22"/>
                      </w:rPr>
                      <w:t>1998</w:t>
                    </w:r>
                  </w:p>
                </w:txbxContent>
              </v:textbox>
            </v:rect>
            <v:rect id="_x0000_s2352" style="position:absolute;left:5121;top:6574;width:660;height:345;mso-wrap-style:none" filled="f" stroked="f">
              <o:lock v:ext="edit" aspectratio="t"/>
              <v:textbox style="mso-next-textbox:#_x0000_s2352" inset="0,0,0,0">
                <w:txbxContent>
                  <w:p w:rsidR="00000000" w:rsidRDefault="00000000">
                    <w:pPr>
                      <w:rPr>
                        <w:sz w:val="22"/>
                      </w:rPr>
                    </w:pPr>
                    <w:r>
                      <w:rPr>
                        <w:b/>
                        <w:bCs/>
                        <w:color w:val="000000"/>
                        <w:sz w:val="22"/>
                      </w:rPr>
                      <w:t>1999</w:t>
                    </w:r>
                  </w:p>
                </w:txbxContent>
              </v:textbox>
            </v:rect>
            <v:rect id="_x0000_s2353" style="position:absolute;left:6351;top:6574;width:660;height:345;mso-wrap-style:none" filled="f" stroked="f">
              <o:lock v:ext="edit" aspectratio="t"/>
              <v:textbox style="mso-next-textbox:#_x0000_s2353" inset="0,0,0,0">
                <w:txbxContent>
                  <w:p w:rsidR="00000000" w:rsidRDefault="00000000">
                    <w:pPr>
                      <w:rPr>
                        <w:sz w:val="22"/>
                      </w:rPr>
                    </w:pPr>
                    <w:r>
                      <w:rPr>
                        <w:b/>
                        <w:bCs/>
                        <w:color w:val="000000"/>
                        <w:sz w:val="22"/>
                      </w:rPr>
                      <w:t>2000</w:t>
                    </w:r>
                  </w:p>
                </w:txbxContent>
              </v:textbox>
            </v:rect>
            <v:rect id="_x0000_s2354" style="position:absolute;left:7581;top:6574;width:660;height:345;mso-wrap-style:none" filled="f" stroked="f">
              <o:lock v:ext="edit" aspectratio="t"/>
              <v:textbox style="mso-next-textbox:#_x0000_s2354" inset="0,0,0,0">
                <w:txbxContent>
                  <w:p w:rsidR="00000000" w:rsidRDefault="00000000">
                    <w:pPr>
                      <w:rPr>
                        <w:sz w:val="22"/>
                      </w:rPr>
                    </w:pPr>
                    <w:r>
                      <w:rPr>
                        <w:b/>
                        <w:bCs/>
                        <w:color w:val="000000"/>
                        <w:sz w:val="22"/>
                      </w:rPr>
                      <w:t>2001</w:t>
                    </w:r>
                  </w:p>
                </w:txbxContent>
              </v:textbox>
            </v:rect>
            <v:rect id="_x0000_s2355" style="position:absolute;left:2571;top:7114;width:7080;height:330" filled="f">
              <o:lock v:ext="edit" aspectratio="t"/>
            </v:rect>
            <v:rect id="_x0000_s2356" style="position:absolute;left:2841;top:7219;width:105;height:105" fillcolor="#99f">
              <o:lock v:ext="edit" aspectratio="t"/>
            </v:rect>
            <v:rect id="_x0000_s2357" style="position:absolute;left:2991;top:7159;width:2025;height:270;mso-wrap-style:none" filled="f" stroked="f">
              <o:lock v:ext="edit" aspectratio="t"/>
              <v:textbox style="mso-next-textbox:#_x0000_s2357" inset="0,0,0,0">
                <w:txbxContent>
                  <w:p w:rsidR="00000000" w:rsidRDefault="00000000">
                    <w:pPr>
                      <w:spacing w:before="40" w:line="240" w:lineRule="auto"/>
                      <w:ind w:left="113"/>
                      <w:rPr>
                        <w:rFonts w:hint="eastAsia"/>
                        <w:sz w:val="18"/>
                      </w:rPr>
                    </w:pPr>
                    <w:r>
                      <w:rPr>
                        <w:rFonts w:hint="eastAsia"/>
                        <w:b/>
                        <w:bCs/>
                        <w:color w:val="000000"/>
                        <w:sz w:val="18"/>
                        <w:szCs w:val="16"/>
                      </w:rPr>
                      <w:t>支付服务费</w:t>
                    </w:r>
                  </w:p>
                </w:txbxContent>
              </v:textbox>
            </v:rect>
            <v:rect id="_x0000_s2358" style="position:absolute;left:5376;top:7219;width:105;height:105" fillcolor="#936">
              <o:lock v:ext="edit" aspectratio="t"/>
            </v:rect>
            <v:rect id="_x0000_s2359" style="position:absolute;left:5526;top:7159;width:1515;height:270;mso-wrap-style:none" filled="f" stroked="f">
              <o:lock v:ext="edit" aspectratio="t"/>
              <v:textbox style="mso-next-textbox:#_x0000_s2359" inset="0,0,0,0">
                <w:txbxContent>
                  <w:p w:rsidR="00000000" w:rsidRDefault="00000000">
                    <w:pPr>
                      <w:spacing w:before="60"/>
                      <w:ind w:left="113"/>
                      <w:jc w:val="left"/>
                      <w:rPr>
                        <w:sz w:val="18"/>
                      </w:rPr>
                    </w:pPr>
                    <w:r>
                      <w:rPr>
                        <w:rFonts w:hint="eastAsia"/>
                        <w:b/>
                        <w:bCs/>
                        <w:color w:val="000000"/>
                        <w:sz w:val="18"/>
                        <w:szCs w:val="16"/>
                      </w:rPr>
                      <w:t>文化遗产</w:t>
                    </w:r>
                    <w:r>
                      <w:rPr>
                        <w:b/>
                        <w:bCs/>
                        <w:color w:val="000000"/>
                        <w:sz w:val="18"/>
                        <w:szCs w:val="16"/>
                      </w:rPr>
                      <w:t>Heritage</w:t>
                    </w:r>
                  </w:p>
                </w:txbxContent>
              </v:textbox>
            </v:rect>
            <v:rect id="_x0000_s2360" style="position:absolute;left:7416;top:7219;width:105;height:105" fillcolor="#ffc">
              <o:lock v:ext="edit" aspectratio="t"/>
            </v:rect>
            <v:rect id="_x0000_s2361" style="position:absolute;left:7566;top:7159;width:1965;height:270;mso-wrap-style:none" filled="f" stroked="f">
              <o:lock v:ext="edit" aspectratio="t"/>
              <v:textbox style="mso-next-textbox:#_x0000_s2361" inset="0,0,0,0">
                <w:txbxContent>
                  <w:p w:rsidR="00000000" w:rsidRDefault="00000000">
                    <w:pPr>
                      <w:spacing w:before="60"/>
                      <w:ind w:left="113"/>
                      <w:rPr>
                        <w:sz w:val="18"/>
                      </w:rPr>
                    </w:pPr>
                    <w:r>
                      <w:rPr>
                        <w:rFonts w:hint="eastAsia"/>
                        <w:b/>
                        <w:bCs/>
                        <w:color w:val="000000"/>
                        <w:sz w:val="18"/>
                        <w:szCs w:val="16"/>
                      </w:rPr>
                      <w:t>当代文化</w:t>
                    </w:r>
                  </w:p>
                </w:txbxContent>
              </v:textbox>
            </v:rect>
            <w10:wrap type="square" anchory="page"/>
            <w10:anchorlock/>
          </v:group>
        </w:pict>
      </w:r>
    </w:p>
    <w:p w:rsidR="00000000" w:rsidRDefault="00000000">
      <w:pPr>
        <w:jc w:val="center"/>
        <w:rPr>
          <w:rFonts w:hint="eastAsia"/>
          <w:b/>
          <w:bCs/>
        </w:rPr>
      </w:pPr>
    </w:p>
    <w:p w:rsidR="00000000" w:rsidRDefault="00000000">
      <w:pPr>
        <w:jc w:val="center"/>
        <w:rPr>
          <w:rFonts w:hint="eastAsia"/>
          <w:b/>
          <w:bCs/>
        </w:rPr>
      </w:pPr>
    </w:p>
    <w:p w:rsidR="00000000" w:rsidRDefault="00000000">
      <w:pPr>
        <w:pStyle w:val="Heading3"/>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pStyle w:val="Heading4"/>
        <w:rPr>
          <w:rFonts w:hint="eastAsia"/>
        </w:rPr>
      </w:pPr>
      <w:r>
        <w:rPr>
          <w:rFonts w:hint="eastAsia"/>
        </w:rPr>
        <w:t>体制基础结构</w:t>
      </w:r>
    </w:p>
    <w:p w:rsidR="00000000" w:rsidRDefault="00000000">
      <w:pPr>
        <w:rPr>
          <w:rFonts w:hint="eastAsia"/>
        </w:rPr>
      </w:pPr>
      <w:r>
        <w:rPr>
          <w:rFonts w:hint="eastAsia"/>
        </w:rPr>
        <w:tab/>
        <w:t xml:space="preserve">597.  </w:t>
      </w:r>
      <w:r>
        <w:rPr>
          <w:rFonts w:hint="eastAsia"/>
        </w:rPr>
        <w:t>国家图书中心是由文化部于</w:t>
      </w:r>
      <w:r>
        <w:rPr>
          <w:rFonts w:hint="eastAsia"/>
        </w:rPr>
        <w:t>1994</w:t>
      </w:r>
      <w:r>
        <w:rPr>
          <w:rFonts w:hint="eastAsia"/>
        </w:rPr>
        <w:t>年设立的，至今仍作为公益性法人实体开展活动，通过系统地更新关于图书生产因素的科技信息，表达现代化图书观念，始终着眼于读者、读者的需要以及增加读者的数量。国家图书中心由文化部提供补贴，其政策是能动地、多方面地反映图书作为承载思想和对话的载体，发挥满足公民的认知教育和交流需要的文化核心的作用。</w:t>
      </w:r>
    </w:p>
    <w:p w:rsidR="00000000" w:rsidRDefault="00000000">
      <w:pPr>
        <w:rPr>
          <w:rFonts w:hint="eastAsia"/>
        </w:rPr>
      </w:pPr>
      <w:r>
        <w:rPr>
          <w:rFonts w:hint="eastAsia"/>
        </w:rPr>
        <w:tab/>
        <w:t xml:space="preserve">598.  </w:t>
      </w:r>
      <w:r>
        <w:rPr>
          <w:rFonts w:hint="eastAsia"/>
        </w:rPr>
        <w:t>石器中心是文化部于</w:t>
      </w:r>
      <w:r>
        <w:rPr>
          <w:rFonts w:hint="eastAsia"/>
        </w:rPr>
        <w:t>1997</w:t>
      </w:r>
      <w:r>
        <w:rPr>
          <w:rFonts w:hint="eastAsia"/>
        </w:rPr>
        <w:t>年设立的，其宗旨是调查历史遗迹受损的原因，发现保存和保护遗迹结构材料的方法。该中心的调查结果送往各种国际保存中心，以及国际性科学杂志和出版物，如英国的《国际保存研究所学报》。石器中心与法国、英国、德国、瑞典、西班牙、保加利亚、意大利、美国及其他国家的对等中心开展合作，交流和传播所发现的专门知识和技术，利用新技术和业内工作人员的最新知识，以及公众和项目融资机构的意识来完善遗迹保存方法。</w:t>
      </w:r>
    </w:p>
    <w:p w:rsidR="00000000" w:rsidRDefault="00000000">
      <w:pPr>
        <w:rPr>
          <w:rFonts w:hint="eastAsia"/>
        </w:rPr>
      </w:pPr>
      <w:r>
        <w:rPr>
          <w:rFonts w:hint="eastAsia"/>
        </w:rPr>
        <w:tab/>
        <w:t xml:space="preserve">599.  </w:t>
      </w:r>
      <w:r>
        <w:t>Methoni</w:t>
      </w:r>
      <w:r>
        <w:rPr>
          <w:rFonts w:hint="eastAsia"/>
        </w:rPr>
        <w:t>海洋考古中心及考古公园，是一个开展继续教育与交流活动的研究中心，旨在培训专家和促进希腊水下考古活动及展示海洋古物。</w:t>
      </w:r>
    </w:p>
    <w:p w:rsidR="00000000" w:rsidRDefault="00000000">
      <w:pPr>
        <w:spacing w:after="320"/>
        <w:rPr>
          <w:rFonts w:hint="eastAsia"/>
        </w:rPr>
      </w:pPr>
      <w:r>
        <w:rPr>
          <w:rFonts w:hint="eastAsia"/>
        </w:rPr>
        <w:tab/>
        <w:t xml:space="preserve">600.  </w:t>
      </w:r>
      <w:r>
        <w:rPr>
          <w:rFonts w:hint="eastAsia"/>
        </w:rPr>
        <w:t>德尔斐欧洲中心，是于</w:t>
      </w:r>
      <w:r>
        <w:rPr>
          <w:rFonts w:hint="eastAsia"/>
        </w:rPr>
        <w:t>1977</w:t>
      </w:r>
      <w:r>
        <w:rPr>
          <w:rFonts w:hint="eastAsia"/>
        </w:rPr>
        <w:t>年在欧洲理事会的主持下设立的，旨在促进希腊和欧洲文化。</w:t>
      </w:r>
    </w:p>
    <w:p w:rsidR="00000000" w:rsidRDefault="00000000">
      <w:pPr>
        <w:pStyle w:val="Heading4"/>
        <w:rPr>
          <w:rFonts w:hint="eastAsia"/>
        </w:rPr>
      </w:pPr>
      <w:r>
        <w:rPr>
          <w:rFonts w:hint="eastAsia"/>
        </w:rPr>
        <w:t>博</w:t>
      </w:r>
      <w:r>
        <w:rPr>
          <w:rFonts w:hint="eastAsia"/>
        </w:rPr>
        <w:t xml:space="preserve"> </w:t>
      </w:r>
      <w:r>
        <w:rPr>
          <w:rFonts w:hint="eastAsia"/>
        </w:rPr>
        <w:t>物</w:t>
      </w:r>
      <w:r>
        <w:rPr>
          <w:rFonts w:hint="eastAsia"/>
        </w:rPr>
        <w:t xml:space="preserve"> </w:t>
      </w:r>
      <w:r>
        <w:rPr>
          <w:rFonts w:hint="eastAsia"/>
        </w:rPr>
        <w:t>馆</w:t>
      </w:r>
    </w:p>
    <w:p w:rsidR="00000000" w:rsidRDefault="00000000">
      <w:pPr>
        <w:rPr>
          <w:rFonts w:hint="eastAsia"/>
        </w:rPr>
      </w:pPr>
      <w:r>
        <w:rPr>
          <w:rFonts w:hint="eastAsia"/>
        </w:rPr>
        <w:tab/>
        <w:t xml:space="preserve">601.  </w:t>
      </w:r>
      <w:r>
        <w:rPr>
          <w:rFonts w:hint="eastAsia"/>
        </w:rPr>
        <w:t>在过去五年中，文化部在</w:t>
      </w:r>
      <w:r>
        <w:t>Thira</w:t>
      </w:r>
      <w:r>
        <w:rPr>
          <w:rFonts w:hint="eastAsia"/>
          <w:lang w:val="fr-CH"/>
        </w:rPr>
        <w:t>、</w:t>
      </w:r>
      <w:r>
        <w:t>Astypalea</w:t>
      </w:r>
      <w:r>
        <w:rPr>
          <w:rFonts w:hint="eastAsia"/>
          <w:lang w:val="fr-CH"/>
        </w:rPr>
        <w:t>、</w:t>
      </w:r>
      <w:r>
        <w:t>Lefkada</w:t>
      </w:r>
      <w:r>
        <w:rPr>
          <w:rFonts w:hint="eastAsia"/>
          <w:lang w:val="fr-CH"/>
        </w:rPr>
        <w:t>和</w:t>
      </w:r>
      <w:r>
        <w:t>Megara</w:t>
      </w:r>
      <w:r>
        <w:rPr>
          <w:rFonts w:hint="eastAsia"/>
        </w:rPr>
        <w:t>等地新建造了</w:t>
      </w:r>
      <w:r>
        <w:rPr>
          <w:rFonts w:hint="eastAsia"/>
        </w:rPr>
        <w:t>13</w:t>
      </w:r>
      <w:r>
        <w:rPr>
          <w:rFonts w:hint="eastAsia"/>
        </w:rPr>
        <w:t>个考古博物馆。自</w:t>
      </w:r>
      <w:r>
        <w:rPr>
          <w:rFonts w:hint="eastAsia"/>
        </w:rPr>
        <w:t>2000</w:t>
      </w:r>
      <w:r>
        <w:rPr>
          <w:rFonts w:hint="eastAsia"/>
        </w:rPr>
        <w:t>年</w:t>
      </w:r>
      <w:r>
        <w:rPr>
          <w:rFonts w:hint="eastAsia"/>
        </w:rPr>
        <w:t>4</w:t>
      </w:r>
      <w:r>
        <w:rPr>
          <w:rFonts w:hint="eastAsia"/>
        </w:rPr>
        <w:t>月起，开始在建造中采用</w:t>
      </w:r>
      <w:r>
        <w:rPr>
          <w:rFonts w:hint="eastAsia"/>
        </w:rPr>
        <w:t>ELOT EN ISO 9001</w:t>
      </w:r>
      <w:r>
        <w:rPr>
          <w:rFonts w:hint="eastAsia"/>
        </w:rPr>
        <w:t>质量体系。</w:t>
      </w:r>
    </w:p>
    <w:p w:rsidR="00000000" w:rsidRDefault="00000000">
      <w:pPr>
        <w:rPr>
          <w:rFonts w:hint="eastAsia"/>
          <w:lang w:val="fr-CH"/>
        </w:rPr>
      </w:pPr>
      <w:r>
        <w:rPr>
          <w:rFonts w:hint="eastAsia"/>
        </w:rPr>
        <w:tab/>
        <w:t>602.  1995</w:t>
      </w:r>
      <w:r>
        <w:rPr>
          <w:rFonts w:hint="eastAsia"/>
        </w:rPr>
        <w:t>至</w:t>
      </w:r>
      <w:r>
        <w:rPr>
          <w:rFonts w:hint="eastAsia"/>
        </w:rPr>
        <w:t>2000</w:t>
      </w:r>
      <w:r>
        <w:rPr>
          <w:rFonts w:hint="eastAsia"/>
        </w:rPr>
        <w:t>年期间，组织了</w:t>
      </w:r>
      <w:r>
        <w:rPr>
          <w:rFonts w:hint="eastAsia"/>
        </w:rPr>
        <w:t>20</w:t>
      </w:r>
      <w:r>
        <w:rPr>
          <w:rFonts w:hint="eastAsia"/>
        </w:rPr>
        <w:t>次博物馆和考古收藏的复展</w:t>
      </w:r>
      <w:r>
        <w:rPr>
          <w:rFonts w:hint="eastAsia"/>
        </w:rPr>
        <w:t>(</w:t>
      </w:r>
      <w:r>
        <w:rPr>
          <w:rFonts w:hint="eastAsia"/>
        </w:rPr>
        <w:t>比雷埃夫斯博物馆、</w:t>
      </w:r>
      <w:r>
        <w:rPr>
          <w:lang w:val="fr-CH"/>
        </w:rPr>
        <w:t>Potamia</w:t>
      </w:r>
      <w:r>
        <w:rPr>
          <w:rFonts w:hint="eastAsia"/>
          <w:lang w:val="fr-CH"/>
        </w:rPr>
        <w:t>、</w:t>
      </w:r>
      <w:r>
        <w:rPr>
          <w:lang w:val="fr-CH"/>
        </w:rPr>
        <w:t>Kymi</w:t>
      </w:r>
      <w:r>
        <w:rPr>
          <w:rFonts w:hint="eastAsia"/>
          <w:lang w:val="fr-CH"/>
        </w:rPr>
        <w:t>、</w:t>
      </w:r>
      <w:r>
        <w:rPr>
          <w:lang w:val="fr-CH"/>
        </w:rPr>
        <w:t>EAM</w:t>
      </w:r>
      <w:r>
        <w:rPr>
          <w:rFonts w:hint="eastAsia"/>
          <w:lang w:val="fr-CH"/>
        </w:rPr>
        <w:t>考古收藏品等</w:t>
      </w:r>
      <w:r>
        <w:rPr>
          <w:rFonts w:hint="eastAsia"/>
          <w:lang w:val="fr-CH"/>
        </w:rPr>
        <w:t>)</w:t>
      </w:r>
      <w:r>
        <w:rPr>
          <w:rFonts w:hint="eastAsia"/>
          <w:lang w:val="fr-CH"/>
        </w:rPr>
        <w:t>，并在国内博物馆中举办了</w:t>
      </w:r>
      <w:r>
        <w:rPr>
          <w:rFonts w:hint="eastAsia"/>
          <w:lang w:val="fr-CH"/>
        </w:rPr>
        <w:t>11</w:t>
      </w:r>
      <w:r>
        <w:rPr>
          <w:rFonts w:hint="eastAsia"/>
          <w:lang w:val="fr-CH"/>
        </w:rPr>
        <w:t>次考古展览，在国外举办了</w:t>
      </w:r>
      <w:r>
        <w:rPr>
          <w:rFonts w:hint="eastAsia"/>
          <w:lang w:val="fr-CH"/>
        </w:rPr>
        <w:t>6</w:t>
      </w:r>
      <w:r>
        <w:rPr>
          <w:rFonts w:hint="eastAsia"/>
          <w:lang w:val="fr-CH"/>
        </w:rPr>
        <w:t>次，还参加了</w:t>
      </w:r>
      <w:r>
        <w:rPr>
          <w:rFonts w:hint="eastAsia"/>
          <w:lang w:val="fr-CH"/>
        </w:rPr>
        <w:t>30</w:t>
      </w:r>
      <w:r>
        <w:rPr>
          <w:rFonts w:hint="eastAsia"/>
          <w:lang w:val="fr-CH"/>
        </w:rPr>
        <w:t>次国外展览。</w:t>
      </w:r>
    </w:p>
    <w:p w:rsidR="00000000" w:rsidRDefault="00000000">
      <w:pPr>
        <w:rPr>
          <w:rFonts w:hint="eastAsia"/>
          <w:lang w:val="fr-CH"/>
        </w:rPr>
      </w:pPr>
      <w:r>
        <w:rPr>
          <w:rFonts w:hint="eastAsia"/>
          <w:lang w:val="fr-CH"/>
        </w:rPr>
        <w:tab/>
        <w:t xml:space="preserve">603.  </w:t>
      </w:r>
      <w:r>
        <w:rPr>
          <w:rFonts w:hint="eastAsia"/>
          <w:lang w:val="fr-CH"/>
        </w:rPr>
        <w:t>考古场址统一规划机构：根据第</w:t>
      </w:r>
      <w:r>
        <w:rPr>
          <w:rFonts w:hint="eastAsia"/>
          <w:lang w:val="fr-CH"/>
        </w:rPr>
        <w:t>414/93</w:t>
      </w:r>
      <w:r>
        <w:rPr>
          <w:rFonts w:hint="eastAsia"/>
          <w:lang w:val="fr-CH"/>
        </w:rPr>
        <w:t>号总统令，文化部成立了雅典考古场址统一规划项目办公室，负责协调和监督以下考古场址的总体展示项目：奥林</w:t>
      </w:r>
      <w:r>
        <w:rPr>
          <w:rFonts w:hint="eastAsia"/>
        </w:rPr>
        <w:t>匹亚、南北阿克罗波利斯、</w:t>
      </w:r>
      <w:r>
        <w:rPr>
          <w:lang w:val="fr-CH"/>
        </w:rPr>
        <w:t>Philopappou</w:t>
      </w:r>
      <w:r>
        <w:rPr>
          <w:rFonts w:hint="eastAsia"/>
          <w:lang w:val="fr-CH"/>
        </w:rPr>
        <w:t>、罗马市场和</w:t>
      </w:r>
      <w:r>
        <w:rPr>
          <w:lang w:val="fr-CH"/>
        </w:rPr>
        <w:t>Andrianos Alexandria</w:t>
      </w:r>
      <w:r>
        <w:rPr>
          <w:rFonts w:hint="eastAsia"/>
          <w:lang w:val="fr-CH"/>
        </w:rPr>
        <w:t>图书馆、古市场和</w:t>
      </w:r>
      <w:r>
        <w:rPr>
          <w:lang w:val="fr-CH"/>
        </w:rPr>
        <w:t>Keramikos</w:t>
      </w:r>
      <w:r>
        <w:rPr>
          <w:rFonts w:hint="eastAsia"/>
          <w:lang w:val="fr-CH"/>
        </w:rPr>
        <w:t>。</w:t>
      </w:r>
    </w:p>
    <w:p w:rsidR="00000000" w:rsidRDefault="00000000">
      <w:pPr>
        <w:rPr>
          <w:rFonts w:hint="eastAsia"/>
          <w:lang w:val="fr-CH"/>
        </w:rPr>
      </w:pPr>
      <w:r>
        <w:rPr>
          <w:rFonts w:hint="eastAsia"/>
          <w:lang w:val="fr-CH"/>
        </w:rPr>
        <w:tab/>
        <w:t xml:space="preserve">604.  </w:t>
      </w:r>
      <w:r>
        <w:rPr>
          <w:rFonts w:hint="eastAsia"/>
          <w:lang w:val="fr-CH"/>
        </w:rPr>
        <w:t>该项目的宗旨是通过建立贯穿雅典历史中心的历史和跨文化通道，展现各遗迹并将其加以统一规划，在各遗迹之间修建人行道，改造和保护考古场址，以方便游客参观，使这些场址与城市日常生活融入一体，以及改造雅典市容。</w:t>
      </w:r>
    </w:p>
    <w:p w:rsidR="00000000" w:rsidRDefault="00000000">
      <w:pPr>
        <w:rPr>
          <w:rFonts w:hint="eastAsia"/>
        </w:rPr>
      </w:pPr>
      <w:r>
        <w:rPr>
          <w:rFonts w:hint="eastAsia"/>
          <w:lang w:val="fr-CH"/>
        </w:rPr>
        <w:tab/>
        <w:t xml:space="preserve">605.  </w:t>
      </w:r>
      <w:r>
        <w:rPr>
          <w:rFonts w:hint="eastAsia"/>
          <w:lang w:val="fr-CH"/>
        </w:rPr>
        <w:t>成立了</w:t>
      </w:r>
      <w:r>
        <w:rPr>
          <w:lang w:val="fr-CH"/>
        </w:rPr>
        <w:t>Melina Merkouri</w:t>
      </w:r>
      <w:r>
        <w:rPr>
          <w:rFonts w:hint="eastAsia"/>
          <w:lang w:val="fr-CH"/>
        </w:rPr>
        <w:t>基金会，以促成阿克罗波利斯博物馆的建立和帕台农神庙</w:t>
      </w:r>
      <w:r>
        <w:rPr>
          <w:rFonts w:hint="eastAsia"/>
        </w:rPr>
        <w:t>大理石的收回。该基金会以此目的组织了大量活动。</w:t>
      </w:r>
    </w:p>
    <w:p w:rsidR="00000000" w:rsidRDefault="00000000">
      <w:pPr>
        <w:rPr>
          <w:rFonts w:hint="eastAsia"/>
        </w:rPr>
      </w:pPr>
      <w:r>
        <w:rPr>
          <w:rFonts w:hint="eastAsia"/>
        </w:rPr>
        <w:tab/>
        <w:t xml:space="preserve">606.  </w:t>
      </w:r>
      <w:r>
        <w:rPr>
          <w:rFonts w:hint="eastAsia"/>
        </w:rPr>
        <w:t>通过“文化领土”项目，文化部建立了一套被称为文化领土网络的核心机构，旨在建立中心与周围的通信和与对话网，促进开展地区性文化和艺术创作活动，以及建立地区遗迹，建筑和房舍的基础设施：</w:t>
      </w:r>
    </w:p>
    <w:p w:rsidR="00000000" w:rsidRDefault="00000000">
      <w:pPr>
        <w:pStyle w:val="a0"/>
        <w:tabs>
          <w:tab w:val="num" w:pos="1530"/>
        </w:tabs>
        <w:ind w:left="1530"/>
        <w:rPr>
          <w:rFonts w:hint="eastAsia"/>
        </w:rPr>
      </w:pPr>
      <w:r>
        <w:rPr>
          <w:rFonts w:hint="eastAsia"/>
        </w:rPr>
        <w:t>戏剧网：主体为国家戏院、希腊国际戏剧研究中心、古希腊“</w:t>
      </w:r>
      <w:r>
        <w:rPr>
          <w:lang w:val="fr-CH"/>
        </w:rPr>
        <w:t>Desmi</w:t>
      </w:r>
      <w:r>
        <w:rPr>
          <w:rFonts w:hint="eastAsia"/>
          <w:lang w:val="fr-CH"/>
        </w:rPr>
        <w:t>”剧研究与实践中心、</w:t>
      </w:r>
      <w:r>
        <w:rPr>
          <w:lang w:val="fr-CH"/>
        </w:rPr>
        <w:t>Interbalkan</w:t>
      </w:r>
      <w:r>
        <w:rPr>
          <w:rFonts w:hint="eastAsia"/>
          <w:lang w:val="fr-CH"/>
        </w:rPr>
        <w:t>学生戏剧节、大学戏剧学系、戏剧学院、北部希腊国家戏院、国家</w:t>
      </w:r>
      <w:r>
        <w:rPr>
          <w:rFonts w:hint="eastAsia"/>
        </w:rPr>
        <w:t>歌剧院、市区剧院、接收补贴的戏剧公司、戏剧博物馆、希腊儿童戏剧中心、国家戏院研究所希腊中心、</w:t>
      </w:r>
      <w:r>
        <w:rPr>
          <w:rFonts w:hint="eastAsia"/>
          <w:lang w:val="fr-CH"/>
        </w:rPr>
        <w:t>萨洛尼卡歌剧院等</w:t>
      </w:r>
      <w:r>
        <w:rPr>
          <w:lang w:val="fr-CH"/>
        </w:rPr>
        <w:t> </w:t>
      </w:r>
      <w:r>
        <w:rPr>
          <w:rFonts w:hint="eastAsia"/>
          <w:lang w:val="fr-CH"/>
        </w:rPr>
        <w:t>；</w:t>
      </w:r>
    </w:p>
    <w:p w:rsidR="00000000" w:rsidRDefault="00000000">
      <w:pPr>
        <w:pStyle w:val="a0"/>
        <w:tabs>
          <w:tab w:val="num" w:pos="1530"/>
        </w:tabs>
        <w:ind w:left="1530"/>
        <w:rPr>
          <w:rFonts w:hint="eastAsia"/>
        </w:rPr>
      </w:pPr>
      <w:r>
        <w:rPr>
          <w:rFonts w:hint="eastAsia"/>
        </w:rPr>
        <w:t>音乐网：主要组成单位有雅典国家管弦乐队、萨洛尼卡</w:t>
      </w:r>
      <w:r>
        <w:rPr>
          <w:rFonts w:hint="eastAsia"/>
          <w:lang w:val="fr-CH"/>
        </w:rPr>
        <w:t>国家管弦乐队、希腊音乐宫组织、</w:t>
      </w:r>
      <w:r>
        <w:rPr>
          <w:rFonts w:hint="eastAsia"/>
        </w:rPr>
        <w:t>萨洛尼卡</w:t>
      </w:r>
      <w:r>
        <w:rPr>
          <w:rFonts w:hint="eastAsia"/>
          <w:lang w:val="fr-CH"/>
        </w:rPr>
        <w:t>音乐宫组织、国家希腊音乐管弦乐队、</w:t>
      </w:r>
      <w:r>
        <w:t>Colours</w:t>
      </w:r>
      <w:r>
        <w:rPr>
          <w:rFonts w:hint="eastAsia"/>
          <w:lang w:val="fr-CH"/>
        </w:rPr>
        <w:t>管弦乐队、</w:t>
      </w:r>
      <w:r>
        <w:rPr>
          <w:rFonts w:hint="eastAsia"/>
        </w:rPr>
        <w:t>“</w:t>
      </w:r>
      <w:r>
        <w:t>Kamerata”</w:t>
      </w:r>
      <w:r>
        <w:rPr>
          <w:rFonts w:hint="eastAsia"/>
          <w:lang w:val="fr-CH"/>
        </w:rPr>
        <w:t>管弦乐队、</w:t>
      </w:r>
      <w:r>
        <w:t>Kefallonia</w:t>
      </w:r>
      <w:r>
        <w:rPr>
          <w:rFonts w:hint="eastAsia"/>
          <w:lang w:val="fr-CH"/>
        </w:rPr>
        <w:t>合唱中心、</w:t>
      </w:r>
      <w:r>
        <w:t>Volos</w:t>
      </w:r>
      <w:r>
        <w:rPr>
          <w:rFonts w:hint="eastAsia"/>
        </w:rPr>
        <w:t>音乐戏剧中心、</w:t>
      </w:r>
      <w:r>
        <w:t>Patra</w:t>
      </w:r>
      <w:r>
        <w:rPr>
          <w:rFonts w:hint="eastAsia"/>
        </w:rPr>
        <w:t>独唱家、</w:t>
      </w:r>
      <w:r>
        <w:t>Athenaeum</w:t>
      </w:r>
      <w:r>
        <w:rPr>
          <w:rFonts w:hint="eastAsia"/>
        </w:rPr>
        <w:t>、希腊作曲家协会、萨洛尼卡歌剧院、</w:t>
      </w:r>
      <w:r>
        <w:t>Lamia</w:t>
      </w:r>
      <w:r>
        <w:rPr>
          <w:rFonts w:hint="eastAsia"/>
        </w:rPr>
        <w:t>地中海音乐中心、音乐声学研究所等；</w:t>
      </w:r>
    </w:p>
    <w:p w:rsidR="00000000" w:rsidRDefault="00000000">
      <w:pPr>
        <w:pStyle w:val="a0"/>
        <w:tabs>
          <w:tab w:val="num" w:pos="1530"/>
        </w:tabs>
        <w:ind w:left="1530"/>
        <w:rPr>
          <w:rFonts w:hint="eastAsia"/>
        </w:rPr>
      </w:pPr>
      <w:r>
        <w:rPr>
          <w:rFonts w:hint="eastAsia"/>
        </w:rPr>
        <w:t>艺术网：主要组成单位有国家美术馆、雅典国家现化艺术博物馆、萨洛尼卡</w:t>
      </w:r>
      <w:r>
        <w:rPr>
          <w:rFonts w:hint="eastAsia"/>
          <w:lang w:val="fr-CH"/>
        </w:rPr>
        <w:t>国家现代艺术博物馆、市造型艺术讲习班、造型艺术会、马其顿现代艺术博物馆、</w:t>
      </w:r>
      <w:r>
        <w:rPr>
          <w:lang w:val="fr-CH"/>
        </w:rPr>
        <w:t>Didymoticho</w:t>
      </w:r>
      <w:r>
        <w:rPr>
          <w:rFonts w:hint="eastAsia"/>
          <w:lang w:val="fr-CH"/>
        </w:rPr>
        <w:t>艺术家国际会议中心、</w:t>
      </w:r>
      <w:r>
        <w:t>Larissa</w:t>
      </w:r>
      <w:r>
        <w:rPr>
          <w:rFonts w:hint="eastAsia"/>
        </w:rPr>
        <w:t>现代艺术中心、</w:t>
      </w:r>
      <w:r>
        <w:t>Kefallonia</w:t>
      </w:r>
      <w:r>
        <w:rPr>
          <w:rFonts w:hint="eastAsia"/>
        </w:rPr>
        <w:t>合唱中心、</w:t>
      </w:r>
      <w:r>
        <w:t>Rethymno</w:t>
      </w:r>
      <w:r>
        <w:rPr>
          <w:rFonts w:hint="eastAsia"/>
        </w:rPr>
        <w:t>现代艺术创作中心等；</w:t>
      </w:r>
    </w:p>
    <w:p w:rsidR="00000000" w:rsidRDefault="00000000">
      <w:pPr>
        <w:pStyle w:val="a0"/>
        <w:tabs>
          <w:tab w:val="num" w:pos="1530"/>
        </w:tabs>
        <w:ind w:left="1530"/>
        <w:rPr>
          <w:rFonts w:hint="eastAsia"/>
        </w:rPr>
      </w:pPr>
      <w:r>
        <w:rPr>
          <w:rFonts w:hint="eastAsia"/>
        </w:rPr>
        <w:t>舞蹈网：主要组成单位有国家管弦艺术学院、</w:t>
      </w:r>
      <w:r>
        <w:rPr>
          <w:lang w:val="fr-CH"/>
        </w:rPr>
        <w:t>Kalamata</w:t>
      </w:r>
      <w:r>
        <w:rPr>
          <w:rFonts w:hint="eastAsia"/>
          <w:lang w:val="fr-CH"/>
        </w:rPr>
        <w:t>国际舞蹈中心、国际</w:t>
      </w:r>
      <w:r>
        <w:rPr>
          <w:rFonts w:hint="eastAsia"/>
        </w:rPr>
        <w:t>芭蕾舞剧院、北部希腊国家戏院舞蹈戏院、接收补贴的舞蹈团体、国际舞蹈理事会希腊分会等；</w:t>
      </w:r>
    </w:p>
    <w:p w:rsidR="00000000" w:rsidRDefault="00000000">
      <w:pPr>
        <w:pStyle w:val="a0"/>
        <w:tabs>
          <w:tab w:val="num" w:pos="1530"/>
        </w:tabs>
        <w:ind w:left="1530"/>
        <w:rPr>
          <w:rFonts w:hint="eastAsia"/>
        </w:rPr>
      </w:pPr>
      <w:r>
        <w:rPr>
          <w:rFonts w:hint="eastAsia"/>
        </w:rPr>
        <w:t>电影网：主要组成单位有希腊电影中心、萨洛尼卡电影节、萨洛尼卡</w:t>
      </w:r>
      <w:r>
        <w:rPr>
          <w:rFonts w:hint="eastAsia"/>
          <w:lang w:val="fr-CH"/>
        </w:rPr>
        <w:t>电影博物馆、舞台短电影节、希腊电影馆、市电影院网、电影院俱乐部联合会等</w:t>
      </w:r>
      <w:r>
        <w:rPr>
          <w:lang w:val="fr-CH"/>
        </w:rPr>
        <w:t> </w:t>
      </w:r>
      <w:r>
        <w:rPr>
          <w:rFonts w:hint="eastAsia"/>
          <w:lang w:val="fr-CH"/>
        </w:rPr>
        <w:t>；</w:t>
      </w:r>
    </w:p>
    <w:p w:rsidR="00000000" w:rsidRDefault="00000000">
      <w:pPr>
        <w:pStyle w:val="a0"/>
        <w:tabs>
          <w:tab w:val="num" w:pos="1530"/>
        </w:tabs>
        <w:ind w:left="1530"/>
        <w:jc w:val="left"/>
        <w:rPr>
          <w:rFonts w:hint="eastAsia"/>
        </w:rPr>
      </w:pPr>
      <w:r>
        <w:rPr>
          <w:rFonts w:hint="eastAsia"/>
        </w:rPr>
        <w:t>摄影网：主要组成单位有萨洛尼卡摄影博物馆、</w:t>
      </w:r>
      <w:r>
        <w:t>Skopelos</w:t>
      </w:r>
      <w:r>
        <w:rPr>
          <w:rFonts w:hint="eastAsia"/>
        </w:rPr>
        <w:t>摄影中心、雅典摄影中心、希腊摄影中心、萨洛尼卡摄影中心、</w:t>
      </w:r>
      <w:r>
        <w:t>Mytilene</w:t>
      </w:r>
      <w:r>
        <w:rPr>
          <w:rFonts w:hint="eastAsia"/>
        </w:rPr>
        <w:t>摄影协会、摄影界、“</w:t>
      </w:r>
      <w:r>
        <w:rPr>
          <w:rFonts w:hint="eastAsia"/>
        </w:rPr>
        <w:t>ELIA</w:t>
      </w:r>
      <w:r>
        <w:rPr>
          <w:rFonts w:hint="eastAsia"/>
        </w:rPr>
        <w:t>”、</w:t>
      </w:r>
      <w:r>
        <w:t>Benakis</w:t>
      </w:r>
      <w:r>
        <w:rPr>
          <w:rFonts w:hint="eastAsia"/>
        </w:rPr>
        <w:t>博物馆</w:t>
      </w:r>
      <w:r>
        <w:rPr>
          <w:rFonts w:hint="eastAsia"/>
        </w:rPr>
        <w:t>(</w:t>
      </w:r>
      <w:r>
        <w:rPr>
          <w:rFonts w:hint="eastAsia"/>
        </w:rPr>
        <w:t>摄影部</w:t>
      </w:r>
      <w:r>
        <w:rPr>
          <w:rFonts w:hint="eastAsia"/>
        </w:rPr>
        <w:t>)</w:t>
      </w:r>
      <w:r>
        <w:rPr>
          <w:rFonts w:hint="eastAsia"/>
        </w:rPr>
        <w:t>等；</w:t>
      </w:r>
    </w:p>
    <w:p w:rsidR="00000000" w:rsidRDefault="00000000">
      <w:pPr>
        <w:pStyle w:val="a0"/>
        <w:tabs>
          <w:tab w:val="num" w:pos="1530"/>
        </w:tabs>
        <w:ind w:left="1530"/>
        <w:rPr>
          <w:rFonts w:hint="eastAsia"/>
        </w:rPr>
      </w:pPr>
      <w:r>
        <w:rPr>
          <w:rFonts w:hint="eastAsia"/>
        </w:rPr>
        <w:t>民间文学艺术网：主要组成单位有希腊民间艺术博物馆、希腊民间音乐乐器博物馆、</w:t>
      </w:r>
      <w:r>
        <w:t>Thrace-Alexandroupolis</w:t>
      </w:r>
      <w:r>
        <w:rPr>
          <w:rFonts w:hint="eastAsia"/>
          <w:lang w:val="fr-CH"/>
        </w:rPr>
        <w:t>音乐传统研究中心、</w:t>
      </w:r>
      <w:r>
        <w:t>Ioanniana</w:t>
      </w:r>
      <w:r>
        <w:rPr>
          <w:rFonts w:hint="eastAsia"/>
          <w:lang w:val="fr-CH"/>
        </w:rPr>
        <w:t>的</w:t>
      </w:r>
      <w:r>
        <w:t>Hepinrus-Balkans</w:t>
      </w:r>
      <w:r>
        <w:rPr>
          <w:rFonts w:hint="eastAsia"/>
        </w:rPr>
        <w:t>音乐传统研究中心、</w:t>
      </w:r>
      <w:r>
        <w:rPr>
          <w:lang w:val="fr-CH"/>
        </w:rPr>
        <w:t>Komotini</w:t>
      </w:r>
      <w:r>
        <w:rPr>
          <w:rFonts w:hint="eastAsia"/>
          <w:lang w:val="fr-CH"/>
        </w:rPr>
        <w:t>民间活动中心、</w:t>
      </w:r>
      <w:r>
        <w:rPr>
          <w:rFonts w:hint="eastAsia"/>
        </w:rPr>
        <w:t>色雷斯民间文学艺术博物馆、接受指导的民间文学艺术博物馆等；</w:t>
      </w:r>
    </w:p>
    <w:p w:rsidR="00000000" w:rsidRDefault="00000000">
      <w:pPr>
        <w:pStyle w:val="a0"/>
        <w:tabs>
          <w:tab w:val="num" w:pos="1530"/>
        </w:tabs>
        <w:ind w:left="1530"/>
        <w:rPr>
          <w:rFonts w:hint="eastAsia"/>
        </w:rPr>
      </w:pPr>
      <w:r>
        <w:rPr>
          <w:rFonts w:hint="eastAsia"/>
        </w:rPr>
        <w:t>图书网：主要组成单位有国家图书中心、</w:t>
      </w:r>
      <w:r>
        <w:rPr>
          <w:lang w:val="fr-CH"/>
        </w:rPr>
        <w:t>Kozani</w:t>
      </w:r>
      <w:r>
        <w:rPr>
          <w:rFonts w:hint="eastAsia"/>
          <w:lang w:val="fr-CH"/>
        </w:rPr>
        <w:t>图书和阅读学院、萨洛尼卡文学档案馆、希腊语言中心、“</w:t>
      </w:r>
      <w:r>
        <w:rPr>
          <w:rFonts w:hint="eastAsia"/>
          <w:lang w:val="fr-CH"/>
        </w:rPr>
        <w:t>ELIA</w:t>
      </w:r>
      <w:r>
        <w:rPr>
          <w:rFonts w:hint="eastAsia"/>
          <w:lang w:val="fr-CH"/>
        </w:rPr>
        <w:t>”等</w:t>
      </w:r>
      <w:r>
        <w:rPr>
          <w:lang w:val="fr-CH"/>
        </w:rPr>
        <w:t> </w:t>
      </w:r>
      <w:r>
        <w:rPr>
          <w:rFonts w:hint="eastAsia"/>
          <w:lang w:val="fr-CH"/>
        </w:rPr>
        <w:t>；</w:t>
      </w:r>
    </w:p>
    <w:p w:rsidR="00000000" w:rsidRDefault="00000000">
      <w:pPr>
        <w:pStyle w:val="a0"/>
        <w:tabs>
          <w:tab w:val="num" w:pos="1530"/>
        </w:tabs>
        <w:ind w:left="1530"/>
        <w:jc w:val="left"/>
        <w:rPr>
          <w:rFonts w:hint="eastAsia"/>
        </w:rPr>
      </w:pPr>
      <w:r>
        <w:rPr>
          <w:rFonts w:hint="eastAsia"/>
        </w:rPr>
        <w:t>文化组织和管理网：主要组成单位有德尔斐欧洲文化中心、</w:t>
      </w:r>
      <w:r>
        <w:rPr>
          <w:lang w:val="fr-CH"/>
        </w:rPr>
        <w:t>Veria</w:t>
      </w:r>
      <w:r>
        <w:rPr>
          <w:rFonts w:hint="eastAsia"/>
          <w:lang w:val="fr-CH"/>
        </w:rPr>
        <w:t>跨文化倡议与交流中心、地中海和巴尔干艺术技艺节、</w:t>
      </w:r>
      <w:r>
        <w:rPr>
          <w:lang w:val="fr-CH"/>
        </w:rPr>
        <w:t>Tripoli</w:t>
      </w:r>
      <w:r>
        <w:rPr>
          <w:rFonts w:hint="eastAsia"/>
          <w:lang w:val="fr-CH"/>
        </w:rPr>
        <w:t>艺术活动中心、</w:t>
      </w:r>
      <w:r>
        <w:rPr>
          <w:lang w:val="fr-CH"/>
        </w:rPr>
        <w:t>Chania</w:t>
      </w:r>
      <w:r>
        <w:rPr>
          <w:rFonts w:hint="eastAsia"/>
          <w:lang w:val="fr-CH"/>
        </w:rPr>
        <w:t>地中海建筑中心、希腊节日</w:t>
      </w:r>
      <w:r>
        <w:rPr>
          <w:rFonts w:hint="eastAsia"/>
          <w:lang w:val="fr-CH"/>
        </w:rPr>
        <w:t>S.A.</w:t>
      </w:r>
      <w:r>
        <w:rPr>
          <w:rFonts w:hint="eastAsia"/>
          <w:lang w:val="fr-CH"/>
        </w:rPr>
        <w:t>等</w:t>
      </w:r>
      <w:r>
        <w:rPr>
          <w:lang w:val="fr-CH"/>
        </w:rPr>
        <w:t> </w:t>
      </w:r>
      <w:r>
        <w:rPr>
          <w:rFonts w:hint="eastAsia"/>
          <w:lang w:val="fr-CH"/>
        </w:rPr>
        <w:t>；</w:t>
      </w:r>
    </w:p>
    <w:p w:rsidR="00000000" w:rsidRDefault="00000000">
      <w:pPr>
        <w:pStyle w:val="a0"/>
        <w:tabs>
          <w:tab w:val="num" w:pos="1530"/>
        </w:tabs>
        <w:ind w:left="1530"/>
        <w:rPr>
          <w:rFonts w:hint="eastAsia"/>
        </w:rPr>
      </w:pPr>
      <w:r>
        <w:rPr>
          <w:rFonts w:hint="eastAsia"/>
        </w:rPr>
        <w:t>建筑网：除文化部主管司局外，还有</w:t>
      </w:r>
      <w:r>
        <w:rPr>
          <w:lang w:val="fr-CH"/>
        </w:rPr>
        <w:t>Chania</w:t>
      </w:r>
      <w:r>
        <w:rPr>
          <w:rFonts w:hint="eastAsia"/>
        </w:rPr>
        <w:t>地中海建筑中心和建筑师协会，希腊建筑研究所也属于该网络的成员。但其目标是调动和吸收全希腊的机构，并与其它国家的国际性和国家机构合作。</w:t>
      </w:r>
    </w:p>
    <w:p w:rsidR="00000000" w:rsidRDefault="00000000">
      <w:pPr>
        <w:rPr>
          <w:rFonts w:hint="eastAsia"/>
        </w:rPr>
      </w:pPr>
      <w:r>
        <w:rPr>
          <w:rFonts w:hint="eastAsia"/>
        </w:rPr>
        <w:t>文化部的所有部门和机构、由该部提供补贴或与该部签约的所有受其监督的组织、各地政府的一级和二级文化机构、文化学会以及所有文化志愿者、业余创作和民间文化机构，均属于“文化领土”的成员。</w:t>
      </w:r>
    </w:p>
    <w:p w:rsidR="00000000" w:rsidRDefault="00000000">
      <w:pPr>
        <w:rPr>
          <w:rFonts w:hint="eastAsia"/>
        </w:rPr>
      </w:pPr>
      <w:r>
        <w:rPr>
          <w:rFonts w:hint="eastAsia"/>
        </w:rPr>
        <w:tab/>
        <w:t xml:space="preserve">607.  </w:t>
      </w:r>
      <w:r>
        <w:rPr>
          <w:rFonts w:hint="eastAsia"/>
        </w:rPr>
        <w:t>为了提高希腊公民的文化特征，文化部支持各机构和基金会开展活动，促进希腊国内外使用希腊语和推介希腊文化遗产。该部尤其：</w:t>
      </w:r>
    </w:p>
    <w:p w:rsidR="00000000" w:rsidRDefault="00000000">
      <w:pPr>
        <w:pStyle w:val="a0"/>
        <w:tabs>
          <w:tab w:val="num" w:pos="1530"/>
        </w:tabs>
        <w:ind w:left="1530"/>
        <w:rPr>
          <w:rFonts w:hint="eastAsia"/>
        </w:rPr>
      </w:pPr>
      <w:r>
        <w:rPr>
          <w:rFonts w:hint="eastAsia"/>
        </w:rPr>
        <w:t>在希腊国内外举办展览会，展示希腊历代无形和有形文化遗产；</w:t>
      </w:r>
    </w:p>
    <w:p w:rsidR="00000000" w:rsidRDefault="00000000">
      <w:pPr>
        <w:pStyle w:val="a0"/>
        <w:tabs>
          <w:tab w:val="num" w:pos="1530"/>
        </w:tabs>
        <w:ind w:left="1530"/>
        <w:rPr>
          <w:rFonts w:hint="eastAsia"/>
        </w:rPr>
      </w:pPr>
      <w:r>
        <w:rPr>
          <w:rFonts w:hint="eastAsia"/>
        </w:rPr>
        <w:t>为所有专业文化团体和艺术家协会提供支持，鼓励艺术创作、支持社会中的所有群体创造性地表现形式，以旨在实现公民的融合，加强其文化特征的联系性；并</w:t>
      </w:r>
    </w:p>
    <w:p w:rsidR="00000000" w:rsidRDefault="00000000">
      <w:pPr>
        <w:pStyle w:val="a0"/>
        <w:tabs>
          <w:tab w:val="num" w:pos="1530"/>
        </w:tabs>
        <w:ind w:left="1530"/>
        <w:rPr>
          <w:rFonts w:hint="eastAsia"/>
        </w:rPr>
      </w:pPr>
      <w:r>
        <w:rPr>
          <w:rFonts w:hint="eastAsia"/>
        </w:rPr>
        <w:t>每年为开设现代希腊研究本科或研究生课程的外国学府或大学院系提供补助，经常性地资助在不同大学设立新的学府，并与国家教育和宗教事务部及巴尔干问题研究所合作，为外国学生学习希腊语提供奖学金，巴尔干问题研究所在</w:t>
      </w:r>
      <w:r>
        <w:rPr>
          <w:rFonts w:hint="eastAsia"/>
          <w:lang w:val="fr-CH"/>
        </w:rPr>
        <w:t>萨洛尼卡为学者举办为期</w:t>
      </w:r>
      <w:r>
        <w:rPr>
          <w:rFonts w:hint="eastAsia"/>
          <w:lang w:val="fr-CH"/>
        </w:rPr>
        <w:t>15</w:t>
      </w:r>
      <w:r>
        <w:rPr>
          <w:rFonts w:hint="eastAsia"/>
          <w:lang w:val="fr-CH"/>
        </w:rPr>
        <w:t>天的暑期研讨会。</w:t>
      </w:r>
    </w:p>
    <w:p w:rsidR="00000000" w:rsidRDefault="00000000">
      <w:pPr>
        <w:rPr>
          <w:rFonts w:hint="eastAsia"/>
        </w:rPr>
      </w:pPr>
      <w:r>
        <w:rPr>
          <w:rFonts w:hint="eastAsia"/>
        </w:rPr>
        <w:tab/>
        <w:t xml:space="preserve">608.  </w:t>
      </w:r>
      <w:r>
        <w:rPr>
          <w:rFonts w:hint="eastAsia"/>
        </w:rPr>
        <w:t>该部还采取了为希腊侨民提供支持的政策，该项政策包括：</w:t>
      </w:r>
    </w:p>
    <w:p w:rsidR="00000000" w:rsidRDefault="00000000">
      <w:pPr>
        <w:pStyle w:val="a0"/>
        <w:tabs>
          <w:tab w:val="num" w:pos="1530"/>
        </w:tabs>
        <w:ind w:left="1530"/>
        <w:rPr>
          <w:rFonts w:hint="eastAsia"/>
        </w:rPr>
      </w:pPr>
      <w:r>
        <w:rPr>
          <w:rFonts w:hint="eastAsia"/>
        </w:rPr>
        <w:t>支持希腊侨民，尤其是年轻的一代的文化特性和与本国的文化联系；</w:t>
      </w:r>
    </w:p>
    <w:p w:rsidR="00000000" w:rsidRDefault="00000000">
      <w:pPr>
        <w:pStyle w:val="a0"/>
        <w:tabs>
          <w:tab w:val="num" w:pos="1530"/>
        </w:tabs>
        <w:ind w:left="1530"/>
        <w:rPr>
          <w:rFonts w:hint="eastAsia"/>
        </w:rPr>
      </w:pPr>
      <w:r>
        <w:rPr>
          <w:rFonts w:hint="eastAsia"/>
        </w:rPr>
        <w:t>支持希腊人在其居住和工作所在社会表达自己的文化、经济和政治观点；</w:t>
      </w:r>
    </w:p>
    <w:p w:rsidR="00000000" w:rsidRDefault="00000000">
      <w:pPr>
        <w:pStyle w:val="a0"/>
        <w:tabs>
          <w:tab w:val="num" w:pos="1530"/>
        </w:tabs>
        <w:ind w:left="1530"/>
        <w:rPr>
          <w:rFonts w:hint="eastAsia"/>
        </w:rPr>
      </w:pPr>
      <w:r>
        <w:rPr>
          <w:rFonts w:hint="eastAsia"/>
        </w:rPr>
        <w:t>推介侨居国外的希腊艺术家和知识分子的新作品，并在本国其它国家实体中宣传其作品；以及</w:t>
      </w:r>
    </w:p>
    <w:p w:rsidR="00000000" w:rsidRDefault="00000000">
      <w:pPr>
        <w:pStyle w:val="a0"/>
        <w:tabs>
          <w:tab w:val="num" w:pos="1530"/>
        </w:tabs>
        <w:spacing w:after="320"/>
        <w:ind w:left="1530"/>
        <w:rPr>
          <w:rFonts w:hint="eastAsia"/>
        </w:rPr>
      </w:pPr>
      <w:r>
        <w:rPr>
          <w:rFonts w:hint="eastAsia"/>
        </w:rPr>
        <w:t>通过开展高质量的文化活动凝聚希腊各界侨民，并支持其相互之间开展合作。</w:t>
      </w:r>
    </w:p>
    <w:p w:rsidR="00000000" w:rsidRDefault="00000000">
      <w:pPr>
        <w:pStyle w:val="Heading4"/>
        <w:rPr>
          <w:rFonts w:hint="eastAsia"/>
        </w:rPr>
      </w:pPr>
      <w:r>
        <w:rPr>
          <w:rFonts w:hint="eastAsia"/>
        </w:rPr>
        <w:t>为实现支持希腊侨民文化核心这一目标而执行的项目</w:t>
      </w:r>
    </w:p>
    <w:p w:rsidR="00000000" w:rsidRDefault="00000000">
      <w:pPr>
        <w:spacing w:after="320"/>
        <w:rPr>
          <w:rFonts w:hint="eastAsia"/>
        </w:rPr>
      </w:pPr>
      <w:r>
        <w:rPr>
          <w:rFonts w:hint="eastAsia"/>
        </w:rPr>
        <w:tab/>
        <w:t xml:space="preserve">609.  </w:t>
      </w:r>
      <w:r>
        <w:rPr>
          <w:rFonts w:hint="eastAsia"/>
        </w:rPr>
        <w:t>希腊侨民总秘书处</w:t>
      </w:r>
      <w:r>
        <w:rPr>
          <w:rFonts w:hint="eastAsia"/>
        </w:rPr>
        <w:t>(</w:t>
      </w:r>
      <w:r>
        <w:rPr>
          <w:rFonts w:hint="eastAsia"/>
        </w:rPr>
        <w:t>希侨总</w:t>
      </w:r>
      <w:r>
        <w:rPr>
          <w:rFonts w:hint="eastAsia"/>
        </w:rPr>
        <w:t>)</w:t>
      </w:r>
      <w:r>
        <w:rPr>
          <w:rFonts w:hint="eastAsia"/>
        </w:rPr>
        <w:t>支持侨居国外的希腊艺术家和希腊艺术团体从事创作工作，派遣舞蹈教员及其他专业人员帮助侨民表现其作品，并在希腊进行舞蹈教员的培训。它还支持希腊国外的组织开展文化活动和项目，如希腊儿童合唱团、画展、传统舞蹈节、以历史和文化为主题的专题讨论会、组建戏剧团体等。</w:t>
      </w:r>
    </w:p>
    <w:p w:rsidR="00000000" w:rsidRDefault="00000000">
      <w:pPr>
        <w:pStyle w:val="Heading4"/>
        <w:rPr>
          <w:rFonts w:hint="eastAsia"/>
        </w:rPr>
      </w:pPr>
      <w:r>
        <w:rPr>
          <w:rFonts w:hint="eastAsia"/>
        </w:rPr>
        <w:t>文</w:t>
      </w:r>
      <w:r>
        <w:rPr>
          <w:rFonts w:hint="eastAsia"/>
        </w:rPr>
        <w:t xml:space="preserve"> </w:t>
      </w:r>
      <w:r>
        <w:rPr>
          <w:rFonts w:hint="eastAsia"/>
        </w:rPr>
        <w:t>化</w:t>
      </w:r>
      <w:r>
        <w:rPr>
          <w:rFonts w:hint="eastAsia"/>
        </w:rPr>
        <w:t xml:space="preserve"> </w:t>
      </w:r>
      <w:r>
        <w:rPr>
          <w:rFonts w:hint="eastAsia"/>
        </w:rPr>
        <w:t>月</w:t>
      </w:r>
    </w:p>
    <w:p w:rsidR="00000000" w:rsidRDefault="00000000">
      <w:pPr>
        <w:rPr>
          <w:rFonts w:hint="eastAsia"/>
        </w:rPr>
      </w:pPr>
      <w:r>
        <w:rPr>
          <w:rFonts w:hint="eastAsia"/>
        </w:rPr>
        <w:tab/>
        <w:t xml:space="preserve">610.  </w:t>
      </w:r>
      <w:r>
        <w:rPr>
          <w:rFonts w:hint="eastAsia"/>
          <w:spacing w:val="4"/>
        </w:rPr>
        <w:t>1997</w:t>
      </w:r>
      <w:r>
        <w:rPr>
          <w:rFonts w:hint="eastAsia"/>
          <w:spacing w:val="4"/>
        </w:rPr>
        <w:t>年，希侨总首次确立了“文化月”活动，与希腊主管部门和机构、东道国的希腊人联合会和驻地使领馆合作开展。第一个文化月活动是于</w:t>
      </w:r>
      <w:r>
        <w:rPr>
          <w:rFonts w:hint="eastAsia"/>
          <w:spacing w:val="4"/>
        </w:rPr>
        <w:t>1997</w:t>
      </w:r>
      <w:r>
        <w:rPr>
          <w:rFonts w:hint="eastAsia"/>
          <w:spacing w:val="4"/>
        </w:rPr>
        <w:t>年</w:t>
      </w:r>
      <w:r>
        <w:rPr>
          <w:rFonts w:hint="eastAsia"/>
          <w:spacing w:val="4"/>
        </w:rPr>
        <w:t>4</w:t>
      </w:r>
      <w:r>
        <w:rPr>
          <w:rFonts w:hint="eastAsia"/>
          <w:spacing w:val="4"/>
        </w:rPr>
        <w:t>月在俄罗斯南部、黑海和高加索七个城市</w:t>
      </w:r>
      <w:r>
        <w:rPr>
          <w:rFonts w:hint="eastAsia"/>
          <w:spacing w:val="4"/>
        </w:rPr>
        <w:t>(</w:t>
      </w:r>
      <w:r>
        <w:rPr>
          <w:spacing w:val="4"/>
        </w:rPr>
        <w:t>Novorosisk</w:t>
      </w:r>
      <w:r>
        <w:rPr>
          <w:rFonts w:hint="eastAsia"/>
          <w:spacing w:val="4"/>
        </w:rPr>
        <w:t>、</w:t>
      </w:r>
      <w:r>
        <w:rPr>
          <w:spacing w:val="4"/>
        </w:rPr>
        <w:t>Anapa</w:t>
      </w:r>
      <w:r>
        <w:rPr>
          <w:rFonts w:hint="eastAsia"/>
          <w:spacing w:val="4"/>
        </w:rPr>
        <w:t>、</w:t>
      </w:r>
      <w:r>
        <w:rPr>
          <w:spacing w:val="4"/>
        </w:rPr>
        <w:t>Crasnodar</w:t>
      </w:r>
      <w:r>
        <w:rPr>
          <w:rFonts w:hint="eastAsia"/>
          <w:spacing w:val="4"/>
        </w:rPr>
        <w:t>、</w:t>
      </w:r>
      <w:r>
        <w:rPr>
          <w:spacing w:val="4"/>
        </w:rPr>
        <w:t>Sochi</w:t>
      </w:r>
      <w:r>
        <w:rPr>
          <w:rFonts w:hint="eastAsia"/>
          <w:spacing w:val="4"/>
        </w:rPr>
        <w:t>、</w:t>
      </w:r>
      <w:r>
        <w:rPr>
          <w:spacing w:val="4"/>
        </w:rPr>
        <w:t>Stavroupoli</w:t>
      </w:r>
      <w:r>
        <w:rPr>
          <w:rFonts w:hint="eastAsia"/>
          <w:spacing w:val="4"/>
        </w:rPr>
        <w:t>、</w:t>
      </w:r>
      <w:r>
        <w:rPr>
          <w:spacing w:val="4"/>
        </w:rPr>
        <w:t>Eseduki</w:t>
      </w:r>
      <w:r>
        <w:rPr>
          <w:rFonts w:hint="eastAsia"/>
          <w:spacing w:val="4"/>
        </w:rPr>
        <w:t>、</w:t>
      </w:r>
      <w:r>
        <w:rPr>
          <w:spacing w:val="4"/>
        </w:rPr>
        <w:t>Vladikavcaz</w:t>
      </w:r>
      <w:r>
        <w:rPr>
          <w:rFonts w:hint="eastAsia"/>
          <w:spacing w:val="4"/>
        </w:rPr>
        <w:t>)</w:t>
      </w:r>
      <w:r>
        <w:rPr>
          <w:rFonts w:hint="eastAsia"/>
          <w:spacing w:val="4"/>
        </w:rPr>
        <w:t>举办的。</w:t>
      </w:r>
      <w:r>
        <w:rPr>
          <w:rFonts w:hint="eastAsia"/>
          <w:spacing w:val="4"/>
        </w:rPr>
        <w:t>1998</w:t>
      </w:r>
      <w:r>
        <w:rPr>
          <w:rFonts w:hint="eastAsia"/>
          <w:spacing w:val="4"/>
        </w:rPr>
        <w:t>年和</w:t>
      </w:r>
      <w:r>
        <w:rPr>
          <w:rFonts w:hint="eastAsia"/>
          <w:spacing w:val="4"/>
        </w:rPr>
        <w:t>1999</w:t>
      </w:r>
      <w:r>
        <w:rPr>
          <w:rFonts w:hint="eastAsia"/>
          <w:spacing w:val="4"/>
        </w:rPr>
        <w:t>年，在格鲁吉亚、乌克兰、俄罗斯南部、南非和澳大利亚举办了希腊文化月活动。文化月活动的目标是：</w:t>
      </w:r>
    </w:p>
    <w:p w:rsidR="00000000" w:rsidRDefault="00000000">
      <w:pPr>
        <w:pStyle w:val="a0"/>
        <w:tabs>
          <w:tab w:val="num" w:pos="1530"/>
        </w:tabs>
        <w:ind w:left="1530"/>
        <w:rPr>
          <w:rFonts w:hint="eastAsia"/>
          <w:spacing w:val="6"/>
        </w:rPr>
      </w:pPr>
      <w:r>
        <w:rPr>
          <w:rFonts w:hint="eastAsia"/>
          <w:spacing w:val="6"/>
        </w:rPr>
        <w:t>能动的多文化的现状：这些活动力求为尽可能多的希腊侨民搭起沟通的桥梁，让那些甚至与希腊领事馆或驻外组织没有密切联系的侨民走到一起来。通过文化交流及其他活动，争取展现不同文化的共同特征，支持人们建立同胞情谊，从而有利于他们的共同福祉与和睦共处；</w:t>
      </w:r>
    </w:p>
    <w:p w:rsidR="00000000" w:rsidRDefault="00000000">
      <w:pPr>
        <w:pStyle w:val="a0"/>
        <w:tabs>
          <w:tab w:val="num" w:pos="1530"/>
        </w:tabs>
        <w:ind w:left="1530"/>
        <w:rPr>
          <w:rFonts w:hint="eastAsia"/>
        </w:rPr>
      </w:pPr>
      <w:r>
        <w:rPr>
          <w:rFonts w:hint="eastAsia"/>
        </w:rPr>
        <w:t>充满希望的未来：这些活动吸引年轻一代希腊人的注意力，支持其与祖国之间的联系，从而使保存和推广希腊语言文化以及实现希腊在世界上的新的生机勃勃的发展有更加牢靠的基础；</w:t>
      </w:r>
    </w:p>
    <w:p w:rsidR="00000000" w:rsidRDefault="00000000">
      <w:pPr>
        <w:pStyle w:val="a0"/>
        <w:tabs>
          <w:tab w:val="num" w:pos="1530"/>
        </w:tabs>
        <w:ind w:left="1530"/>
        <w:rPr>
          <w:rFonts w:hint="eastAsia"/>
        </w:rPr>
      </w:pPr>
      <w:r>
        <w:rPr>
          <w:rFonts w:hint="eastAsia"/>
        </w:rPr>
        <w:t>亲希腊的力量：为了推广永恒的价值，这些活动旨在支持和发展希腊侨居所在的所有东道国以及世界上所有地区的亲希腊的力量。</w:t>
      </w:r>
    </w:p>
    <w:p w:rsidR="00000000" w:rsidRDefault="00000000">
      <w:pPr>
        <w:spacing w:after="320"/>
        <w:rPr>
          <w:rFonts w:hint="eastAsia"/>
        </w:rPr>
      </w:pPr>
      <w:r>
        <w:rPr>
          <w:rFonts w:hint="eastAsia"/>
        </w:rPr>
        <w:tab/>
        <w:t xml:space="preserve">611.  </w:t>
      </w:r>
      <w:r>
        <w:rPr>
          <w:rFonts w:hint="eastAsia"/>
        </w:rPr>
        <w:t>希腊还通过修订的</w:t>
      </w:r>
      <w:r>
        <w:rPr>
          <w:rFonts w:hint="eastAsia"/>
        </w:rPr>
        <w:t>2000</w:t>
      </w:r>
      <w:r>
        <w:rPr>
          <w:rFonts w:hint="eastAsia"/>
        </w:rPr>
        <w:t>年《宪法》，规定所有希腊公民享有同等的</w:t>
      </w:r>
      <w:r>
        <w:rPr>
          <w:rFonts w:hint="eastAsia"/>
        </w:rPr>
        <w:t>(</w:t>
      </w:r>
      <w:r>
        <w:rPr>
          <w:rFonts w:hint="eastAsia"/>
        </w:rPr>
        <w:t>社会、经济和文化</w:t>
      </w:r>
      <w:r>
        <w:rPr>
          <w:rFonts w:hint="eastAsia"/>
        </w:rPr>
        <w:t>)</w:t>
      </w:r>
      <w:r>
        <w:rPr>
          <w:rFonts w:hint="eastAsia"/>
        </w:rPr>
        <w:t>权利并履行同等的义务。然而，希腊通过特别措施和行动，争取提高民间社会的意识，帮助各社会少数群体融入希腊社会，展现其文化，认识到其文化遗产，表现其创造技能。这些措施和行动包括：</w:t>
      </w:r>
    </w:p>
    <w:p w:rsidR="00000000" w:rsidRDefault="00000000">
      <w:pPr>
        <w:pStyle w:val="Heading4"/>
        <w:rPr>
          <w:rFonts w:hint="eastAsia"/>
          <w:spacing w:val="0"/>
        </w:rPr>
      </w:pPr>
      <w:r>
        <w:rPr>
          <w:rFonts w:hint="eastAsia"/>
          <w:spacing w:val="0"/>
        </w:rPr>
        <w:t>关于保护希腊罗姆人的问题</w:t>
      </w:r>
      <w:r>
        <w:rPr>
          <w:rFonts w:hint="eastAsia"/>
          <w:spacing w:val="0"/>
        </w:rPr>
        <w:t>(</w:t>
      </w:r>
      <w:r>
        <w:rPr>
          <w:rFonts w:hint="eastAsia"/>
          <w:spacing w:val="0"/>
        </w:rPr>
        <w:t>第</w:t>
      </w:r>
      <w:r>
        <w:rPr>
          <w:rFonts w:hint="eastAsia"/>
          <w:spacing w:val="0"/>
        </w:rPr>
        <w:t>Y20</w:t>
      </w:r>
      <w:r>
        <w:rPr>
          <w:rFonts w:hint="eastAsia"/>
          <w:spacing w:val="0"/>
        </w:rPr>
        <w:t>号总理决定，第</w:t>
      </w:r>
      <w:r>
        <w:rPr>
          <w:rFonts w:hint="eastAsia"/>
          <w:spacing w:val="0"/>
        </w:rPr>
        <w:t>24</w:t>
      </w:r>
      <w:r>
        <w:rPr>
          <w:rFonts w:hint="eastAsia"/>
          <w:spacing w:val="0"/>
        </w:rPr>
        <w:t>号官方公报</w:t>
      </w:r>
      <w:r>
        <w:rPr>
          <w:rFonts w:hint="eastAsia"/>
          <w:spacing w:val="0"/>
        </w:rPr>
        <w:t>/2000</w:t>
      </w:r>
      <w:r>
        <w:rPr>
          <w:rFonts w:hint="eastAsia"/>
          <w:spacing w:val="0"/>
        </w:rPr>
        <w:t>年</w:t>
      </w:r>
      <w:r>
        <w:rPr>
          <w:rFonts w:hint="eastAsia"/>
          <w:spacing w:val="0"/>
        </w:rPr>
        <w:t>1</w:t>
      </w:r>
      <w:r>
        <w:rPr>
          <w:rFonts w:hint="eastAsia"/>
          <w:spacing w:val="0"/>
        </w:rPr>
        <w:t>月</w:t>
      </w:r>
      <w:r>
        <w:rPr>
          <w:rFonts w:hint="eastAsia"/>
          <w:spacing w:val="0"/>
        </w:rPr>
        <w:t>18</w:t>
      </w:r>
      <w:r>
        <w:rPr>
          <w:rFonts w:hint="eastAsia"/>
          <w:spacing w:val="0"/>
        </w:rPr>
        <w:t>日</w:t>
      </w:r>
      <w:r>
        <w:rPr>
          <w:rFonts w:hint="eastAsia"/>
          <w:spacing w:val="0"/>
        </w:rPr>
        <w:t>)</w:t>
      </w:r>
    </w:p>
    <w:p w:rsidR="00000000" w:rsidRDefault="00000000">
      <w:pPr>
        <w:rPr>
          <w:rFonts w:hint="eastAsia"/>
        </w:rPr>
      </w:pPr>
      <w:r>
        <w:rPr>
          <w:rFonts w:hint="eastAsia"/>
        </w:rPr>
        <w:tab/>
        <w:t xml:space="preserve">612.  </w:t>
      </w:r>
      <w:r>
        <w:rPr>
          <w:rFonts w:hint="eastAsia"/>
        </w:rPr>
        <w:t>希腊罗姆人协会希腊联合会以其地方组织和协会一再表示，希腊罗姆人首先是希腊公民，不同于那些不拥有其居住国国籍的欧洲罗姆人</w:t>
      </w:r>
      <w:r>
        <w:rPr>
          <w:rFonts w:hint="eastAsia"/>
        </w:rPr>
        <w:t>(</w:t>
      </w:r>
      <w:r>
        <w:rPr>
          <w:rFonts w:hint="eastAsia"/>
        </w:rPr>
        <w:t>参见因特网相关网站和希腊罗姆人代表的公开声明</w:t>
      </w:r>
      <w:r>
        <w:rPr>
          <w:rFonts w:hint="eastAsia"/>
        </w:rPr>
        <w:t>)</w:t>
      </w:r>
      <w:r>
        <w:rPr>
          <w:rFonts w:hint="eastAsia"/>
        </w:rPr>
        <w:t>。这一区别显然是源于上述群体与欧洲各国的其他群体所发展的不同的历史关系，而且主要源于它们在十五世纪至二十世纪几乎在整个欧洲所受到的空前的迫害。在希腊，尽管并非一帆风顺，但由于上述群体中的许多人逐渐掌握了音乐、手工艺和贸易方面的技能，因此这种关系发展平稳，而且常常使该群体能与其他群体开展合作和建立兄弟友谊。</w:t>
      </w:r>
    </w:p>
    <w:p w:rsidR="00000000" w:rsidRDefault="00000000">
      <w:pPr>
        <w:rPr>
          <w:rFonts w:hint="eastAsia"/>
        </w:rPr>
      </w:pPr>
      <w:r>
        <w:rPr>
          <w:rFonts w:hint="eastAsia"/>
        </w:rPr>
        <w:tab/>
        <w:t xml:space="preserve">613.  </w:t>
      </w:r>
      <w:r>
        <w:rPr>
          <w:rFonts w:hint="eastAsia"/>
        </w:rPr>
        <w:t>为了制定一项使希腊罗姆人全面融入现代希腊社会的国家行动计划，认为有必要正式成立一个包括文化部参加的特别部际委员会。民间文化总局参加了中央监督委员会的工作，该委员会是为协调希腊罗姆人国家项目的行动而成立的。《第三社区支持框架》的基础设施融资中已包括全面实现希腊罗姆人融入社会的行动项目，项目的执行机构是地方政府、罗姆人网络、希腊罗姆人协会希腊联合会、大学等。这一方案的主要特点是，采取整体的协调行动，争取全面实现希腊罗姆人融入社会、增进与范围更广泛的群体之间的相互了解、展示其文化和表现其创造才能。文化部的建议中包括了与地方政府合作采取全国性行动，这些行动可分为三类：教育讲习班、职业培训讲习班和研究项目。</w:t>
      </w:r>
    </w:p>
    <w:p w:rsidR="00000000" w:rsidRDefault="00000000">
      <w:pPr>
        <w:rPr>
          <w:rFonts w:hint="eastAsia"/>
        </w:rPr>
      </w:pPr>
      <w:r>
        <w:rPr>
          <w:rFonts w:hint="eastAsia"/>
        </w:rPr>
        <w:tab/>
        <w:t xml:space="preserve">614.  </w:t>
      </w:r>
      <w:r>
        <w:rPr>
          <w:rFonts w:hint="eastAsia"/>
        </w:rPr>
        <w:t>为了保护和展现地方文化和文化多样性，文化部自</w:t>
      </w:r>
      <w:r>
        <w:rPr>
          <w:rFonts w:hint="eastAsia"/>
        </w:rPr>
        <w:t>1999</w:t>
      </w:r>
      <w:r>
        <w:rPr>
          <w:rFonts w:hint="eastAsia"/>
        </w:rPr>
        <w:t>年以来一直执行和协调为希腊罗姆人社会群体而制定的研究和教育项目。这些项目旨在研究和展现罗姆人丰富的文化遗产，并让罗姆人了解和接触更广泛的社会。总结起来，</w:t>
      </w:r>
      <w:r>
        <w:rPr>
          <w:rFonts w:hint="eastAsia"/>
        </w:rPr>
        <w:t>1999</w:t>
      </w:r>
      <w:r>
        <w:rPr>
          <w:rFonts w:hint="eastAsia"/>
        </w:rPr>
        <w:t>年至</w:t>
      </w:r>
      <w:r>
        <w:rPr>
          <w:rFonts w:hint="eastAsia"/>
        </w:rPr>
        <w:t>2001</w:t>
      </w:r>
      <w:r>
        <w:rPr>
          <w:rFonts w:hint="eastAsia"/>
        </w:rPr>
        <w:t>年开展了下列活动：</w:t>
      </w:r>
    </w:p>
    <w:p w:rsidR="00000000" w:rsidRDefault="00000000">
      <w:pPr>
        <w:pStyle w:val="a0"/>
        <w:tabs>
          <w:tab w:val="num" w:pos="1530"/>
        </w:tabs>
        <w:ind w:left="1530"/>
        <w:rPr>
          <w:rFonts w:hint="eastAsia"/>
        </w:rPr>
      </w:pPr>
      <w:r>
        <w:rPr>
          <w:rFonts w:hint="eastAsia"/>
        </w:rPr>
        <w:t>与希腊民间艺术博物馆合作，在</w:t>
      </w:r>
      <w:r>
        <w:rPr>
          <w:lang w:val="fr-CH"/>
        </w:rPr>
        <w:t>Attica</w:t>
      </w:r>
      <w:r>
        <w:rPr>
          <w:rFonts w:hint="eastAsia"/>
          <w:lang w:val="fr-CH"/>
        </w:rPr>
        <w:t>的</w:t>
      </w:r>
      <w:r>
        <w:rPr>
          <w:lang w:val="fr-CH"/>
        </w:rPr>
        <w:t>Ilion</w:t>
      </w:r>
      <w:r>
        <w:rPr>
          <w:rFonts w:hint="eastAsia"/>
          <w:lang w:val="fr-CH"/>
        </w:rPr>
        <w:t>举办了在校学生课余创作讲习班；</w:t>
      </w:r>
    </w:p>
    <w:p w:rsidR="00000000" w:rsidRDefault="00000000">
      <w:pPr>
        <w:pStyle w:val="a0"/>
        <w:tabs>
          <w:tab w:val="num" w:pos="1530"/>
        </w:tabs>
        <w:ind w:left="1530"/>
        <w:rPr>
          <w:rFonts w:hint="eastAsia"/>
        </w:rPr>
      </w:pPr>
      <w:r>
        <w:rPr>
          <w:rFonts w:hint="eastAsia"/>
        </w:rPr>
        <w:t>与希腊民间音乐乐器博物馆</w:t>
      </w:r>
      <w:r>
        <w:rPr>
          <w:rFonts w:hint="eastAsia"/>
          <w:spacing w:val="-50"/>
        </w:rPr>
        <w:t>―</w:t>
      </w:r>
      <w:r>
        <w:rPr>
          <w:rFonts w:hint="eastAsia"/>
        </w:rPr>
        <w:t>―“</w:t>
      </w:r>
      <w:r>
        <w:t>Fivos Anogianakis”</w:t>
      </w:r>
      <w:r>
        <w:rPr>
          <w:rFonts w:hint="eastAsia"/>
        </w:rPr>
        <w:t>合作，在</w:t>
      </w:r>
      <w:r>
        <w:t>Attica</w:t>
      </w:r>
      <w:r>
        <w:rPr>
          <w:rFonts w:hint="eastAsia"/>
        </w:rPr>
        <w:t>的</w:t>
      </w:r>
      <w:r>
        <w:t>Ilion</w:t>
      </w:r>
      <w:r>
        <w:rPr>
          <w:rFonts w:hint="eastAsia"/>
        </w:rPr>
        <w:t>举办了儿童和青少年音乐讲习班；</w:t>
      </w:r>
    </w:p>
    <w:p w:rsidR="00000000" w:rsidRDefault="00000000">
      <w:pPr>
        <w:pStyle w:val="a0"/>
        <w:tabs>
          <w:tab w:val="num" w:pos="1530"/>
        </w:tabs>
        <w:ind w:left="1530"/>
        <w:rPr>
          <w:rFonts w:hint="eastAsia"/>
        </w:rPr>
      </w:pPr>
      <w:r>
        <w:rPr>
          <w:rFonts w:hint="eastAsia"/>
        </w:rPr>
        <w:t>与文化部美术总局合作，在</w:t>
      </w:r>
      <w:r>
        <w:rPr>
          <w:lang w:val="fr-CH"/>
        </w:rPr>
        <w:t>Attica</w:t>
      </w:r>
      <w:r>
        <w:rPr>
          <w:rFonts w:hint="eastAsia"/>
        </w:rPr>
        <w:t>的</w:t>
      </w:r>
      <w:r>
        <w:rPr>
          <w:lang w:val="fr-CH"/>
        </w:rPr>
        <w:t>Aghia Varvara</w:t>
      </w:r>
      <w:r>
        <w:rPr>
          <w:rFonts w:hint="eastAsia"/>
        </w:rPr>
        <w:t>举办了青年摄影讲习班。这些讲习班</w:t>
      </w:r>
      <w:r>
        <w:rPr>
          <w:rFonts w:hint="eastAsia"/>
        </w:rPr>
        <w:t>(</w:t>
      </w:r>
      <w:r>
        <w:rPr>
          <w:rFonts w:hint="eastAsia"/>
        </w:rPr>
        <w:t>为期六个月</w:t>
      </w:r>
      <w:r>
        <w:rPr>
          <w:rFonts w:hint="eastAsia"/>
        </w:rPr>
        <w:t>)</w:t>
      </w:r>
      <w:r>
        <w:rPr>
          <w:rFonts w:hint="eastAsia"/>
        </w:rPr>
        <w:t>的宗旨是培养和训练罗姆人学会一门有用的手艺。从参加讲习班的</w:t>
      </w:r>
      <w:r>
        <w:rPr>
          <w:rFonts w:hint="eastAsia"/>
        </w:rPr>
        <w:t>(</w:t>
      </w:r>
      <w:r>
        <w:rPr>
          <w:rFonts w:hint="eastAsia"/>
        </w:rPr>
        <w:t>男、女</w:t>
      </w:r>
      <w:r>
        <w:rPr>
          <w:rFonts w:hint="eastAsia"/>
        </w:rPr>
        <w:t>)</w:t>
      </w:r>
      <w:r>
        <w:rPr>
          <w:rFonts w:hint="eastAsia"/>
        </w:rPr>
        <w:t>青年越来越多以及文化部每年举办参加讲习班的学员的作品展览来看，可以证明这一活动是成功的。文化部还为最佳作品颁发非正式奖品；</w:t>
      </w:r>
    </w:p>
    <w:p w:rsidR="00000000" w:rsidRDefault="00000000">
      <w:pPr>
        <w:pStyle w:val="a0"/>
        <w:tabs>
          <w:tab w:val="num" w:pos="1530"/>
        </w:tabs>
        <w:ind w:left="1530"/>
        <w:rPr>
          <w:rFonts w:hint="eastAsia"/>
        </w:rPr>
      </w:pPr>
      <w:r>
        <w:rPr>
          <w:rFonts w:hint="eastAsia"/>
        </w:rPr>
        <w:t>与一位该专业的科学家合作开展研究项目，重点对罗姆人的艺术传统和民间文化艺术的形成进行研究；以及</w:t>
      </w:r>
    </w:p>
    <w:p w:rsidR="00000000" w:rsidRDefault="00000000">
      <w:pPr>
        <w:pStyle w:val="a0"/>
        <w:tabs>
          <w:tab w:val="num" w:pos="1530"/>
        </w:tabs>
        <w:ind w:left="1530"/>
        <w:rPr>
          <w:rFonts w:hint="eastAsia"/>
        </w:rPr>
      </w:pPr>
      <w:r>
        <w:rPr>
          <w:rFonts w:hint="eastAsia"/>
        </w:rPr>
        <w:t>与雅典技术教育学院摄影系合作开展题为“罗姆人</w:t>
      </w:r>
      <w:r>
        <w:rPr>
          <w:rFonts w:hint="eastAsia"/>
          <w:spacing w:val="-50"/>
        </w:rPr>
        <w:t>―</w:t>
      </w:r>
      <w:r>
        <w:rPr>
          <w:rFonts w:hint="eastAsia"/>
        </w:rPr>
        <w:t>―</w:t>
      </w:r>
      <w:r>
        <w:rPr>
          <w:rFonts w:hint="eastAsia"/>
        </w:rPr>
        <w:t>1840</w:t>
      </w:r>
      <w:r>
        <w:rPr>
          <w:rFonts w:hint="eastAsia"/>
        </w:rPr>
        <w:t>年至今的图片纪录”的研究项目。</w:t>
      </w:r>
    </w:p>
    <w:p w:rsidR="00000000" w:rsidRDefault="00000000">
      <w:pPr>
        <w:rPr>
          <w:rFonts w:hint="eastAsia"/>
        </w:rPr>
      </w:pPr>
      <w:r>
        <w:rPr>
          <w:rFonts w:hint="eastAsia"/>
        </w:rPr>
        <w:tab/>
        <w:t xml:space="preserve">615.  </w:t>
      </w:r>
      <w:r>
        <w:rPr>
          <w:rFonts w:hint="eastAsia"/>
        </w:rPr>
        <w:t>另外，文化部还计划开展下列活动：</w:t>
      </w:r>
    </w:p>
    <w:p w:rsidR="00000000" w:rsidRDefault="00000000">
      <w:pPr>
        <w:pStyle w:val="a0"/>
        <w:tabs>
          <w:tab w:val="num" w:pos="1530"/>
        </w:tabs>
        <w:ind w:left="1530"/>
        <w:rPr>
          <w:rFonts w:hint="eastAsia"/>
        </w:rPr>
      </w:pPr>
      <w:r>
        <w:rPr>
          <w:rFonts w:hint="eastAsia"/>
        </w:rPr>
        <w:t>将为罗姆人开展的上述项目推广到</w:t>
      </w:r>
      <w:r>
        <w:rPr>
          <w:lang w:val="fr-CH"/>
        </w:rPr>
        <w:t>Attica</w:t>
      </w:r>
      <w:r>
        <w:rPr>
          <w:rFonts w:hint="eastAsia"/>
          <w:lang w:val="fr-CH"/>
        </w:rPr>
        <w:t>以外的其它地区</w:t>
      </w:r>
      <w:r>
        <w:rPr>
          <w:lang w:val="fr-CH"/>
        </w:rPr>
        <w:t> </w:t>
      </w:r>
      <w:r>
        <w:rPr>
          <w:rFonts w:hint="eastAsia"/>
          <w:lang w:val="fr-CH"/>
        </w:rPr>
        <w:t>；</w:t>
      </w:r>
    </w:p>
    <w:p w:rsidR="00000000" w:rsidRDefault="00000000">
      <w:pPr>
        <w:pStyle w:val="a0"/>
        <w:tabs>
          <w:tab w:val="num" w:pos="1530"/>
        </w:tabs>
        <w:ind w:left="1530"/>
        <w:rPr>
          <w:rFonts w:hint="eastAsia"/>
        </w:rPr>
      </w:pPr>
      <w:r>
        <w:rPr>
          <w:rFonts w:hint="eastAsia"/>
        </w:rPr>
        <w:t>开展新活动，丰富现有项目的内容，例如在</w:t>
      </w:r>
      <w:r>
        <w:rPr>
          <w:lang w:val="fr-CH"/>
        </w:rPr>
        <w:t>Attica</w:t>
      </w:r>
      <w:r>
        <w:rPr>
          <w:rFonts w:hint="eastAsia"/>
          <w:lang w:val="fr-CH"/>
        </w:rPr>
        <w:t>的</w:t>
      </w:r>
      <w:r>
        <w:rPr>
          <w:lang w:val="fr-CH"/>
        </w:rPr>
        <w:t>Aspropyrgos</w:t>
      </w:r>
      <w:r>
        <w:rPr>
          <w:rFonts w:hint="eastAsia"/>
          <w:lang w:val="fr-CH"/>
        </w:rPr>
        <w:t>建立音乐图书馆</w:t>
      </w:r>
      <w:r>
        <w:rPr>
          <w:lang w:val="fr-CH"/>
        </w:rPr>
        <w:t> </w:t>
      </w:r>
      <w:r>
        <w:rPr>
          <w:rFonts w:hint="eastAsia"/>
          <w:lang w:val="fr-CH"/>
        </w:rPr>
        <w:t>；以及</w:t>
      </w:r>
    </w:p>
    <w:p w:rsidR="00000000" w:rsidRDefault="00000000">
      <w:pPr>
        <w:pStyle w:val="a0"/>
        <w:tabs>
          <w:tab w:val="num" w:pos="1530"/>
        </w:tabs>
        <w:spacing w:after="320"/>
        <w:ind w:left="1530"/>
        <w:rPr>
          <w:rFonts w:hint="eastAsia"/>
        </w:rPr>
      </w:pPr>
      <w:r>
        <w:rPr>
          <w:rFonts w:hint="eastAsia"/>
          <w:lang w:val="fr-CH"/>
        </w:rPr>
        <w:t>制定罗姆人文化教育方案等。</w:t>
      </w:r>
    </w:p>
    <w:p w:rsidR="00000000" w:rsidRDefault="00000000">
      <w:pPr>
        <w:pStyle w:val="Heading4"/>
        <w:rPr>
          <w:rFonts w:hint="eastAsia"/>
        </w:rPr>
      </w:pPr>
      <w:r>
        <w:rPr>
          <w:rFonts w:hint="eastAsia"/>
        </w:rPr>
        <w:t>为生活在雅典、</w:t>
      </w:r>
      <w:r>
        <w:rPr>
          <w:lang w:val="fr-CH"/>
        </w:rPr>
        <w:t>Keramikos</w:t>
      </w:r>
      <w:r>
        <w:rPr>
          <w:rFonts w:hint="eastAsia"/>
          <w:lang w:val="fr-CH"/>
        </w:rPr>
        <w:t>和</w:t>
      </w:r>
      <w:r>
        <w:rPr>
          <w:lang w:val="fr-CH"/>
        </w:rPr>
        <w:t>Gazi</w:t>
      </w:r>
      <w:r>
        <w:rPr>
          <w:rFonts w:hint="eastAsia"/>
          <w:lang w:val="fr-CH"/>
        </w:rPr>
        <w:t>等历史中心落后地区穆斯林家庭的子女</w:t>
      </w:r>
      <w:r>
        <w:rPr>
          <w:rFonts w:hint="eastAsia"/>
        </w:rPr>
        <w:t>循环举办跨文化教育活动</w:t>
      </w:r>
      <w:r>
        <w:rPr>
          <w:rFonts w:hint="eastAsia"/>
        </w:rPr>
        <w:t>(1994</w:t>
      </w:r>
      <w:r>
        <w:rPr>
          <w:rFonts w:hint="eastAsia"/>
        </w:rPr>
        <w:t>年至</w:t>
      </w:r>
      <w:r>
        <w:rPr>
          <w:rFonts w:hint="eastAsia"/>
        </w:rPr>
        <w:t>1998</w:t>
      </w:r>
      <w:r>
        <w:rPr>
          <w:rFonts w:hint="eastAsia"/>
        </w:rPr>
        <w:t>年</w:t>
      </w:r>
      <w:r>
        <w:rPr>
          <w:rFonts w:hint="eastAsia"/>
        </w:rPr>
        <w:t>)</w:t>
      </w:r>
    </w:p>
    <w:p w:rsidR="00000000" w:rsidRDefault="00000000">
      <w:pPr>
        <w:spacing w:after="320"/>
        <w:rPr>
          <w:rFonts w:hint="eastAsia"/>
        </w:rPr>
      </w:pPr>
      <w:r>
        <w:rPr>
          <w:rFonts w:hint="eastAsia"/>
        </w:rPr>
        <w:tab/>
        <w:t xml:space="preserve">616.  </w:t>
      </w:r>
      <w:r>
        <w:rPr>
          <w:rFonts w:hint="eastAsia"/>
        </w:rPr>
        <w:t>每年有六十至八十名</w:t>
      </w:r>
      <w:r>
        <w:rPr>
          <w:rFonts w:hint="eastAsia"/>
        </w:rPr>
        <w:t>6-13</w:t>
      </w:r>
      <w:r>
        <w:rPr>
          <w:rFonts w:hint="eastAsia"/>
        </w:rPr>
        <w:t>岁的儿童按年龄和母语情况分组参加。这些活动均在历史中心附近和周围的博物馆、考古场址和遗址举行。安排了具有跨文化特点的主要内容，如皮影戏剧场、音乐、舞蹈、服装、装饰、宗教、时间的感受和组织、写作、陶瓷。通过开展这些活动，儿童们参加舞台游戏、创作讲习班和体验游戏。这一方案意在通过培养团队精神、提高读写技能、加强对其自身的认识和接受自身文化上的特殊性，帮助这些儿童更好地融入社会。这一方案取决了很大的成功，因此成为下一阶段的跨文化方面教育方案的示范项目。需要指出的是，文化部为这些教育方案印发了希腊文和英文材料。</w:t>
      </w:r>
    </w:p>
    <w:p w:rsidR="00000000" w:rsidRDefault="00000000">
      <w:pPr>
        <w:pStyle w:val="Heading4"/>
        <w:rPr>
          <w:rFonts w:hint="eastAsia"/>
        </w:rPr>
      </w:pPr>
      <w:r>
        <w:rPr>
          <w:rFonts w:hint="eastAsia"/>
        </w:rPr>
        <w:t>为</w:t>
      </w:r>
      <w:r>
        <w:rPr>
          <w:rFonts w:hint="eastAsia"/>
        </w:rPr>
        <w:t>(</w:t>
      </w:r>
      <w:r>
        <w:rPr>
          <w:rFonts w:hint="eastAsia"/>
        </w:rPr>
        <w:t>在视、听和行动方面</w:t>
      </w:r>
      <w:r>
        <w:rPr>
          <w:rFonts w:hint="eastAsia"/>
        </w:rPr>
        <w:t>)</w:t>
      </w:r>
      <w:r>
        <w:rPr>
          <w:rFonts w:hint="eastAsia"/>
        </w:rPr>
        <w:t>有特殊需要的年轻人组织特殊教育计划</w:t>
      </w:r>
    </w:p>
    <w:p w:rsidR="00000000" w:rsidRDefault="00000000">
      <w:pPr>
        <w:rPr>
          <w:rFonts w:hint="eastAsia"/>
          <w:lang w:val="fr-CH"/>
        </w:rPr>
      </w:pPr>
      <w:r>
        <w:rPr>
          <w:rFonts w:hint="eastAsia"/>
        </w:rPr>
        <w:tab/>
        <w:t xml:space="preserve">617.  </w:t>
      </w:r>
      <w:r>
        <w:rPr>
          <w:rFonts w:hint="eastAsia"/>
        </w:rPr>
        <w:t>文化部教育计划司按公众的特别需要调整现有计划或制度新的计划。制定了特别教育计划来开展考古</w:t>
      </w:r>
      <w:r>
        <w:rPr>
          <w:rFonts w:hint="eastAsia"/>
          <w:spacing w:val="-50"/>
        </w:rPr>
        <w:t>―</w:t>
      </w:r>
      <w:r>
        <w:rPr>
          <w:rFonts w:hint="eastAsia"/>
        </w:rPr>
        <w:t>―教育展览</w:t>
      </w:r>
      <w:r>
        <w:rPr>
          <w:rFonts w:hint="eastAsia"/>
        </w:rPr>
        <w:t>(</w:t>
      </w:r>
      <w:r>
        <w:rPr>
          <w:rFonts w:hint="eastAsia"/>
        </w:rPr>
        <w:t>“文字的发展历程”、“荷马史诗《伊利亚特》：从神话到现实”、“致酒神狄俄尼索斯”和“从</w:t>
      </w:r>
      <w:r>
        <w:rPr>
          <w:lang w:val="fr-CH"/>
        </w:rPr>
        <w:t>Mesogaia</w:t>
      </w:r>
      <w:r>
        <w:rPr>
          <w:rFonts w:hint="eastAsia"/>
          <w:lang w:val="fr-CH"/>
        </w:rPr>
        <w:t>港到地中海港”</w:t>
      </w:r>
      <w:r>
        <w:rPr>
          <w:rFonts w:hint="eastAsia"/>
          <w:lang w:val="fr-CH"/>
        </w:rPr>
        <w:t>)</w:t>
      </w:r>
      <w:r>
        <w:rPr>
          <w:rFonts w:hint="eastAsia"/>
          <w:lang w:val="fr-CH"/>
        </w:rPr>
        <w:t>。</w:t>
      </w:r>
    </w:p>
    <w:p w:rsidR="00000000" w:rsidRDefault="00000000">
      <w:pPr>
        <w:rPr>
          <w:rFonts w:hint="eastAsia"/>
          <w:lang w:val="fr-CH"/>
        </w:rPr>
      </w:pPr>
      <w:r>
        <w:rPr>
          <w:rFonts w:hint="eastAsia"/>
          <w:lang w:val="fr-CH"/>
        </w:rPr>
        <w:tab/>
        <w:t xml:space="preserve">618.  </w:t>
      </w:r>
      <w:r>
        <w:rPr>
          <w:rFonts w:hint="eastAsia"/>
          <w:lang w:val="fr-CH"/>
        </w:rPr>
        <w:t>文化部在保护作为人民文化特性组成部分的文化遗产和文化多样性这一框架下，负责在中央一级保护和展现全希腊所有历史时期的遗迹</w:t>
      </w:r>
      <w:r>
        <w:rPr>
          <w:rFonts w:hint="eastAsia"/>
          <w:lang w:val="fr-CH"/>
        </w:rPr>
        <w:t>(</w:t>
      </w:r>
      <w:r>
        <w:rPr>
          <w:rFonts w:hint="eastAsia"/>
          <w:lang w:val="fr-CH"/>
        </w:rPr>
        <w:t>史前</w:t>
      </w:r>
      <w:r>
        <w:rPr>
          <w:rFonts w:hint="eastAsia"/>
          <w:spacing w:val="-50"/>
          <w:lang w:val="fr-CH"/>
        </w:rPr>
        <w:t>―</w:t>
      </w:r>
      <w:r>
        <w:rPr>
          <w:rFonts w:hint="eastAsia"/>
          <w:lang w:val="fr-CH"/>
        </w:rPr>
        <w:t>―古典古物总局、拜占庭和后拜占庭遗址总局</w:t>
      </w:r>
      <w:r>
        <w:rPr>
          <w:rFonts w:hint="eastAsia"/>
          <w:lang w:val="fr-CH"/>
        </w:rPr>
        <w:t>)</w:t>
      </w:r>
      <w:r>
        <w:rPr>
          <w:rFonts w:hint="eastAsia"/>
          <w:lang w:val="fr-CH"/>
        </w:rPr>
        <w:t>，以及从</w:t>
      </w:r>
      <w:r>
        <w:rPr>
          <w:rFonts w:hint="eastAsia"/>
          <w:lang w:val="fr-CH"/>
        </w:rPr>
        <w:t>1830</w:t>
      </w:r>
      <w:r>
        <w:rPr>
          <w:rFonts w:hint="eastAsia"/>
          <w:lang w:val="fr-CH"/>
        </w:rPr>
        <w:t>年至今的近代遗迹，在地区一级也有相应的修复和现代遗迹总局</w:t>
      </w:r>
      <w:r>
        <w:rPr>
          <w:rFonts w:hint="eastAsia"/>
          <w:lang w:val="fr-CH"/>
        </w:rPr>
        <w:t>(</w:t>
      </w:r>
      <w:r>
        <w:rPr>
          <w:rFonts w:hint="eastAsia"/>
          <w:lang w:val="fr-CH"/>
        </w:rPr>
        <w:t>与上述历史时期相对应的当地组织</w:t>
      </w:r>
      <w:r>
        <w:rPr>
          <w:rFonts w:hint="eastAsia"/>
          <w:lang w:val="fr-CH"/>
        </w:rPr>
        <w:t>)</w:t>
      </w:r>
      <w:r>
        <w:rPr>
          <w:rFonts w:hint="eastAsia"/>
          <w:lang w:val="fr-CH"/>
        </w:rPr>
        <w:t>。各种地方组织也与当地政府开展合作。</w:t>
      </w:r>
    </w:p>
    <w:p w:rsidR="00000000" w:rsidRDefault="00000000">
      <w:pPr>
        <w:rPr>
          <w:rFonts w:hint="eastAsia"/>
          <w:lang w:val="fr-CH"/>
        </w:rPr>
      </w:pPr>
      <w:r>
        <w:rPr>
          <w:rFonts w:hint="eastAsia"/>
          <w:lang w:val="fr-CH"/>
        </w:rPr>
        <w:tab/>
        <w:t xml:space="preserve">619.  </w:t>
      </w:r>
      <w:r>
        <w:rPr>
          <w:rFonts w:hint="eastAsia"/>
          <w:lang w:val="fr-CH"/>
        </w:rPr>
        <w:t>需要指出的是，一些市同文化部订立了为期十年的政策合同，执行“国家文化城市网”项目，该项目后改为“文化领土”的形式。通过利用这些合同及其他机构提供的资金，这些市得以研究、规划和开展对各个时期的遗迹进行修复和其它方面的工作，已将这些遗迹融入到城市的文化构造中，保证公众参观这些遗迹更加容易，并确保尽可能以最佳方式对这些遗迹进行文化利用和开发，以促进文化旅游事业的发展。</w:t>
      </w:r>
    </w:p>
    <w:p w:rsidR="00000000" w:rsidRDefault="00000000">
      <w:pPr>
        <w:rPr>
          <w:rFonts w:hint="eastAsia"/>
          <w:lang w:val="fr-CH"/>
        </w:rPr>
      </w:pPr>
      <w:r>
        <w:rPr>
          <w:rFonts w:hint="eastAsia"/>
          <w:lang w:val="fr-CH"/>
        </w:rPr>
        <w:tab/>
        <w:t xml:space="preserve">620.  </w:t>
      </w:r>
      <w:r>
        <w:rPr>
          <w:rFonts w:hint="eastAsia"/>
          <w:lang w:val="fr-CH"/>
        </w:rPr>
        <w:t>此外，文化部最近颁布了</w:t>
      </w:r>
      <w:r>
        <w:rPr>
          <w:rFonts w:hint="eastAsia"/>
          <w:lang w:val="fr-CH"/>
        </w:rPr>
        <w:t>2002</w:t>
      </w:r>
      <w:r>
        <w:rPr>
          <w:rFonts w:hint="eastAsia"/>
          <w:lang w:val="fr-CH"/>
        </w:rPr>
        <w:t>年</w:t>
      </w:r>
      <w:r>
        <w:rPr>
          <w:rFonts w:hint="eastAsia"/>
          <w:lang w:val="fr-CH"/>
        </w:rPr>
        <w:t>7</w:t>
      </w:r>
      <w:r>
        <w:rPr>
          <w:rFonts w:hint="eastAsia"/>
          <w:lang w:val="fr-CH"/>
        </w:rPr>
        <w:t>月</w:t>
      </w:r>
      <w:r>
        <w:rPr>
          <w:rFonts w:hint="eastAsia"/>
          <w:lang w:val="fr-CH"/>
        </w:rPr>
        <w:t>28</w:t>
      </w:r>
      <w:r>
        <w:rPr>
          <w:rFonts w:hint="eastAsia"/>
          <w:lang w:val="fr-CH"/>
        </w:rPr>
        <w:t>日第</w:t>
      </w:r>
      <w:r>
        <w:rPr>
          <w:rFonts w:hint="eastAsia"/>
          <w:lang w:val="fr-CH"/>
        </w:rPr>
        <w:t>3028</w:t>
      </w:r>
      <w:r>
        <w:rPr>
          <w:rFonts w:hint="eastAsia"/>
          <w:lang w:val="fr-CH"/>
        </w:rPr>
        <w:t>号法</w:t>
      </w:r>
      <w:r>
        <w:rPr>
          <w:rFonts w:hint="eastAsia"/>
          <w:lang w:val="fr-CH"/>
        </w:rPr>
        <w:t>(</w:t>
      </w:r>
      <w:r>
        <w:rPr>
          <w:rFonts w:hint="eastAsia"/>
          <w:lang w:val="fr-CH"/>
        </w:rPr>
        <w:t>第</w:t>
      </w:r>
      <w:r>
        <w:rPr>
          <w:rFonts w:hint="eastAsia"/>
          <w:lang w:val="fr-CH"/>
        </w:rPr>
        <w:t>153</w:t>
      </w:r>
      <w:r>
        <w:rPr>
          <w:rFonts w:hint="eastAsia"/>
          <w:lang w:val="fr-CH"/>
        </w:rPr>
        <w:t>号《官方公报》</w:t>
      </w:r>
      <w:r>
        <w:rPr>
          <w:rFonts w:hint="eastAsia"/>
          <w:lang w:val="fr-CH"/>
        </w:rPr>
        <w:t>)</w:t>
      </w:r>
      <w:r>
        <w:rPr>
          <w:rFonts w:hint="eastAsia"/>
          <w:lang w:val="fr-CH"/>
        </w:rPr>
        <w:t>，保护希腊的古物和所有文化遗产，该法体现了国际法中有关处理文化财产问题的原则和规则，以及有关公民对文化遗产的意识、方便使用和公众在这一方面的沟通等现代观念。</w:t>
      </w:r>
    </w:p>
    <w:p w:rsidR="00000000" w:rsidRDefault="00000000">
      <w:pPr>
        <w:rPr>
          <w:rFonts w:hint="eastAsia"/>
          <w:lang w:val="fr-CH"/>
        </w:rPr>
      </w:pPr>
      <w:r>
        <w:rPr>
          <w:rFonts w:hint="eastAsia"/>
          <w:lang w:val="fr-CH"/>
        </w:rPr>
        <w:tab/>
        <w:t xml:space="preserve">621.  </w:t>
      </w:r>
      <w:r>
        <w:rPr>
          <w:rFonts w:hint="eastAsia"/>
          <w:lang w:val="fr-CH"/>
        </w:rPr>
        <w:t>对从古至今在希腊领土上留下过足迹的所有人民的各种形式的创作均予以保护。</w:t>
      </w:r>
    </w:p>
    <w:p w:rsidR="00000000" w:rsidRDefault="00000000">
      <w:pPr>
        <w:rPr>
          <w:rFonts w:hint="eastAsia"/>
          <w:lang w:val="fr-CH"/>
        </w:rPr>
      </w:pPr>
      <w:r>
        <w:rPr>
          <w:rFonts w:hint="eastAsia"/>
          <w:lang w:val="fr-CH"/>
        </w:rPr>
        <w:tab/>
        <w:t xml:space="preserve">622.  </w:t>
      </w:r>
      <w:r>
        <w:rPr>
          <w:rFonts w:hint="eastAsia"/>
          <w:lang w:val="fr-CH"/>
        </w:rPr>
        <w:t>同时，还确保公民享有使用文化资产的同等权利，并为其与构成其文化遗产的各项内容之间联系提供便利。这种体制框架为尊重文化遗产和为从整体上使文化遗产得到保护、展现和发扬光大奠定了基础，这也证明了希腊文明的永恒特征。</w:t>
      </w:r>
    </w:p>
    <w:p w:rsidR="00000000" w:rsidRDefault="00000000">
      <w:pPr>
        <w:spacing w:after="320"/>
        <w:rPr>
          <w:rFonts w:hint="eastAsia"/>
          <w:lang w:val="fr-CH"/>
        </w:rPr>
      </w:pPr>
      <w:r>
        <w:rPr>
          <w:rFonts w:hint="eastAsia"/>
          <w:lang w:val="fr-CH"/>
        </w:rPr>
        <w:tab/>
        <w:t xml:space="preserve">623.  </w:t>
      </w:r>
      <w:r>
        <w:rPr>
          <w:rFonts w:hint="eastAsia"/>
          <w:lang w:val="fr-CH"/>
        </w:rPr>
        <w:t>总的说来，文化部关于遗迹的政策和具体行动均反应在其年度行动计划中，其中包括上述旨在让公民了解其文化遗产的教育方案。</w:t>
      </w:r>
    </w:p>
    <w:p w:rsidR="00000000" w:rsidRDefault="00000000">
      <w:pPr>
        <w:pStyle w:val="Heading4"/>
        <w:rPr>
          <w:rFonts w:hint="eastAsia"/>
          <w:lang w:val="fr-CH"/>
        </w:rPr>
      </w:pPr>
      <w:r>
        <w:rPr>
          <w:rFonts w:hint="eastAsia"/>
          <w:lang w:val="fr-CH"/>
        </w:rPr>
        <w:t>OIKOS II</w:t>
      </w:r>
      <w:r>
        <w:rPr>
          <w:rFonts w:hint="eastAsia"/>
          <w:lang w:val="fr-CH"/>
        </w:rPr>
        <w:t>项目</w:t>
      </w:r>
      <w:r>
        <w:rPr>
          <w:rFonts w:hint="eastAsia"/>
          <w:spacing w:val="-50"/>
          <w:lang w:val="fr-CH"/>
        </w:rPr>
        <w:t>―</w:t>
      </w:r>
      <w:r>
        <w:rPr>
          <w:rFonts w:hint="eastAsia"/>
          <w:lang w:val="fr-CH"/>
        </w:rPr>
        <w:t>―文化和少数民族社区</w:t>
      </w:r>
    </w:p>
    <w:p w:rsidR="00000000" w:rsidRDefault="00000000">
      <w:pPr>
        <w:rPr>
          <w:rFonts w:hint="eastAsia"/>
        </w:rPr>
      </w:pPr>
      <w:r>
        <w:rPr>
          <w:rFonts w:hint="eastAsia"/>
          <w:lang w:val="fr-CH"/>
        </w:rPr>
        <w:tab/>
        <w:t xml:space="preserve">624.  </w:t>
      </w:r>
      <w:r>
        <w:rPr>
          <w:rFonts w:hint="eastAsia"/>
          <w:lang w:val="fr-CH"/>
        </w:rPr>
        <w:t>这一项目是在</w:t>
      </w:r>
      <w:r>
        <w:rPr>
          <w:rFonts w:hint="eastAsia"/>
          <w:lang w:val="fr-CH"/>
        </w:rPr>
        <w:t>1998</w:t>
      </w:r>
      <w:r>
        <w:rPr>
          <w:rFonts w:hint="eastAsia"/>
          <w:lang w:val="fr-CH"/>
        </w:rPr>
        <w:t>年欧洲文化方案</w:t>
      </w:r>
      <w:r>
        <w:rPr>
          <w:rFonts w:hint="eastAsia"/>
          <w:lang w:val="fr-CH"/>
        </w:rPr>
        <w:t>RAPHAEL</w:t>
      </w:r>
      <w:r>
        <w:rPr>
          <w:rFonts w:hint="eastAsia"/>
          <w:lang w:val="fr-CH"/>
        </w:rPr>
        <w:t>的框架中执行和完成的。希腊通过文化部拜占庭和后拜占庭遗迹总局、希腊希伯莱博物馆和</w:t>
      </w:r>
      <w:r>
        <w:rPr>
          <w:lang w:val="fr-CH"/>
        </w:rPr>
        <w:t>Prisma</w:t>
      </w:r>
      <w:r>
        <w:rPr>
          <w:rFonts w:hint="eastAsia"/>
          <w:lang w:val="fr-CH"/>
        </w:rPr>
        <w:t>研究公司，作为合作伙伴参与执行了这一方案。</w:t>
      </w:r>
      <w:r>
        <w:rPr>
          <w:lang w:val="fr-CH"/>
        </w:rPr>
        <w:t>Cetubal</w:t>
      </w:r>
      <w:r>
        <w:rPr>
          <w:rFonts w:hint="eastAsia"/>
        </w:rPr>
        <w:t>市博物馆</w:t>
      </w:r>
      <w:r>
        <w:rPr>
          <w:rFonts w:hint="eastAsia"/>
        </w:rPr>
        <w:t>(</w:t>
      </w:r>
      <w:r>
        <w:rPr>
          <w:rFonts w:hint="eastAsia"/>
        </w:rPr>
        <w:t>葡萄牙</w:t>
      </w:r>
      <w:r>
        <w:rPr>
          <w:rFonts w:hint="eastAsia"/>
        </w:rPr>
        <w:t>)</w:t>
      </w:r>
      <w:r>
        <w:rPr>
          <w:rFonts w:hint="eastAsia"/>
        </w:rPr>
        <w:t>和牛津郡博物馆</w:t>
      </w:r>
      <w:r>
        <w:rPr>
          <w:rFonts w:hint="eastAsia"/>
        </w:rPr>
        <w:t>(</w:t>
      </w:r>
      <w:r>
        <w:rPr>
          <w:rFonts w:hint="eastAsia"/>
        </w:rPr>
        <w:t>英国</w:t>
      </w:r>
      <w:r>
        <w:rPr>
          <w:rFonts w:hint="eastAsia"/>
        </w:rPr>
        <w:t>)</w:t>
      </w:r>
      <w:r>
        <w:rPr>
          <w:rFonts w:hint="eastAsia"/>
        </w:rPr>
        <w:t>也参加了该项目。这一项目的重点是关于十六世纪至二十世纪少数群体在日常生活、食品、服饰和家庭用具等领域的文化贡献。该项目的目标是：</w:t>
      </w:r>
    </w:p>
    <w:p w:rsidR="00000000" w:rsidRDefault="00000000">
      <w:pPr>
        <w:pStyle w:val="a0"/>
        <w:tabs>
          <w:tab w:val="num" w:pos="1530"/>
        </w:tabs>
        <w:ind w:left="1530"/>
        <w:rPr>
          <w:rFonts w:hint="eastAsia"/>
        </w:rPr>
      </w:pPr>
      <w:r>
        <w:rPr>
          <w:rFonts w:hint="eastAsia"/>
        </w:rPr>
        <w:t>帮助加强公众对传统和文化遗产的理解和认识；</w:t>
      </w:r>
    </w:p>
    <w:p w:rsidR="00000000" w:rsidRDefault="00000000">
      <w:pPr>
        <w:pStyle w:val="a0"/>
        <w:tabs>
          <w:tab w:val="num" w:pos="1530"/>
        </w:tabs>
        <w:ind w:left="1530"/>
        <w:rPr>
          <w:rFonts w:hint="eastAsia"/>
        </w:rPr>
      </w:pPr>
      <w:r>
        <w:rPr>
          <w:rFonts w:hint="eastAsia"/>
        </w:rPr>
        <w:t>尽量减少社会排斥现象；以及</w:t>
      </w:r>
    </w:p>
    <w:p w:rsidR="00000000" w:rsidRDefault="00000000">
      <w:pPr>
        <w:pStyle w:val="a0"/>
        <w:tabs>
          <w:tab w:val="num" w:pos="1530"/>
        </w:tabs>
        <w:ind w:left="1530"/>
        <w:rPr>
          <w:rFonts w:hint="eastAsia"/>
        </w:rPr>
      </w:pPr>
      <w:r>
        <w:rPr>
          <w:rFonts w:hint="eastAsia"/>
        </w:rPr>
        <w:t>通过利用参与合作机构的博物馆收藏品和现代知识，让少数群体与所在国社会建立良好的关系。</w:t>
      </w:r>
    </w:p>
    <w:p w:rsidR="00000000" w:rsidRDefault="00000000">
      <w:pPr>
        <w:spacing w:after="320"/>
        <w:rPr>
          <w:rFonts w:hint="eastAsia"/>
          <w:lang w:val="fr-CH"/>
        </w:rPr>
      </w:pPr>
      <w:r>
        <w:rPr>
          <w:rFonts w:hint="eastAsia"/>
        </w:rPr>
        <w:tab/>
        <w:t xml:space="preserve">625.  </w:t>
      </w:r>
      <w:r>
        <w:rPr>
          <w:rFonts w:hint="eastAsia"/>
        </w:rPr>
        <w:t>预计最终将制作一个使用三种语言的</w:t>
      </w:r>
      <w:r>
        <w:rPr>
          <w:rFonts w:hint="eastAsia"/>
        </w:rPr>
        <w:t xml:space="preserve">CD-ROM, </w:t>
      </w:r>
      <w:r>
        <w:rPr>
          <w:rFonts w:hint="eastAsia"/>
        </w:rPr>
        <w:t>将研究成果收入其中，并将在因特网上制作网页，以及举办该三个地区的相关图片展览。</w:t>
      </w:r>
      <w:r>
        <w:rPr>
          <w:rFonts w:hint="eastAsia"/>
          <w:lang w:val="fr-CH"/>
        </w:rPr>
        <w:t>CD/ROM</w:t>
      </w:r>
      <w:r>
        <w:rPr>
          <w:rFonts w:hint="eastAsia"/>
        </w:rPr>
        <w:t>的制作将于</w:t>
      </w:r>
      <w:r>
        <w:rPr>
          <w:rFonts w:hint="eastAsia"/>
        </w:rPr>
        <w:t>2002</w:t>
      </w:r>
      <w:r>
        <w:rPr>
          <w:rFonts w:hint="eastAsia"/>
        </w:rPr>
        <w:t>年年底完成，届时将可在网上查询。该</w:t>
      </w:r>
      <w:r>
        <w:rPr>
          <w:rFonts w:hint="eastAsia"/>
        </w:rPr>
        <w:t>CD-ROM</w:t>
      </w:r>
      <w:r>
        <w:rPr>
          <w:rFonts w:hint="eastAsia"/>
        </w:rPr>
        <w:t>将最多涉及十个不同的群体，其所要传达的主要信息，套用</w:t>
      </w:r>
      <w:r>
        <w:rPr>
          <w:rFonts w:hint="eastAsia"/>
          <w:lang w:val="fr-CH"/>
        </w:rPr>
        <w:t>纳尔逊·曼德拉的话，即“文化疗法”，这一说法也被用在博物馆自身的宣传当中，并被用于教育目的。</w:t>
      </w:r>
    </w:p>
    <w:p w:rsidR="00000000" w:rsidRDefault="00000000">
      <w:pPr>
        <w:pStyle w:val="Heading4"/>
        <w:rPr>
          <w:rFonts w:hint="eastAsia"/>
          <w:lang w:val="fr-CH"/>
        </w:rPr>
      </w:pPr>
      <w:r>
        <w:rPr>
          <w:rFonts w:hint="eastAsia"/>
          <w:lang w:val="fr-CH"/>
        </w:rPr>
        <w:t>文化部为保护难民展开的活动</w:t>
      </w:r>
    </w:p>
    <w:p w:rsidR="00000000" w:rsidRDefault="00000000">
      <w:pPr>
        <w:rPr>
          <w:rFonts w:hint="eastAsia"/>
          <w:lang w:val="fr-CH"/>
        </w:rPr>
      </w:pPr>
      <w:r>
        <w:rPr>
          <w:rFonts w:hint="eastAsia"/>
          <w:lang w:val="fr-CH"/>
        </w:rPr>
        <w:tab/>
        <w:t xml:space="preserve">626.  </w:t>
      </w:r>
      <w:r>
        <w:rPr>
          <w:rFonts w:hint="eastAsia"/>
          <w:lang w:val="fr-CH"/>
        </w:rPr>
        <w:t>文化部参加难民问题高级理事会的工作。</w:t>
      </w:r>
      <w:r>
        <w:rPr>
          <w:rFonts w:hint="eastAsia"/>
          <w:lang w:val="fr-CH"/>
        </w:rPr>
        <w:t>2001</w:t>
      </w:r>
      <w:r>
        <w:rPr>
          <w:rFonts w:hint="eastAsia"/>
          <w:lang w:val="fr-CH"/>
        </w:rPr>
        <w:t>年，该部经与雅典市合作，负责举办联合国难民事务高级专员办事处定为每年</w:t>
      </w:r>
      <w:r>
        <w:rPr>
          <w:rFonts w:hint="eastAsia"/>
          <w:lang w:val="fr-CH"/>
        </w:rPr>
        <w:t>6</w:t>
      </w:r>
      <w:r>
        <w:rPr>
          <w:rFonts w:hint="eastAsia"/>
          <w:lang w:val="fr-CH"/>
        </w:rPr>
        <w:t>月</w:t>
      </w:r>
      <w:r>
        <w:rPr>
          <w:rFonts w:hint="eastAsia"/>
          <w:lang w:val="fr-CH"/>
        </w:rPr>
        <w:t>20</w:t>
      </w:r>
      <w:r>
        <w:rPr>
          <w:rFonts w:hint="eastAsia"/>
          <w:lang w:val="fr-CH"/>
        </w:rPr>
        <w:t>日的国际难民日的庆祝活动。该部与希腊民间艺术博物馆、</w:t>
      </w:r>
      <w:r>
        <w:rPr>
          <w:lang w:val="fr-CH"/>
        </w:rPr>
        <w:t>Syntagma</w:t>
      </w:r>
      <w:r>
        <w:rPr>
          <w:rFonts w:hint="eastAsia"/>
          <w:lang w:val="fr-CH"/>
        </w:rPr>
        <w:t>博物馆和希腊儿童艺术博物馆合作，在博物馆中组织执行了教育方案。</w:t>
      </w:r>
    </w:p>
    <w:p w:rsidR="00000000" w:rsidRDefault="00000000">
      <w:pPr>
        <w:spacing w:after="320"/>
        <w:rPr>
          <w:rFonts w:hint="eastAsia"/>
          <w:lang w:val="fr-CH"/>
        </w:rPr>
      </w:pPr>
      <w:r>
        <w:rPr>
          <w:rFonts w:hint="eastAsia"/>
          <w:lang w:val="fr-CH"/>
        </w:rPr>
        <w:tab/>
        <w:t xml:space="preserve">627.  </w:t>
      </w:r>
      <w:r>
        <w:rPr>
          <w:rFonts w:hint="eastAsia"/>
          <w:lang w:val="fr-CH"/>
        </w:rPr>
        <w:t>文化部还与希腊民间艺术博物馆合作在</w:t>
      </w:r>
      <w:r>
        <w:rPr>
          <w:rFonts w:hint="eastAsia"/>
          <w:lang w:val="fr-CH"/>
        </w:rPr>
        <w:t>S</w:t>
      </w:r>
      <w:r>
        <w:rPr>
          <w:lang w:val="fr-CH"/>
        </w:rPr>
        <w:t>yntagma</w:t>
      </w:r>
      <w:r>
        <w:rPr>
          <w:rFonts w:hint="eastAsia"/>
          <w:lang w:val="fr-CH"/>
        </w:rPr>
        <w:t>广场组织了两次活动</w:t>
      </w:r>
      <w:r>
        <w:rPr>
          <w:lang w:val="fr-CH"/>
        </w:rPr>
        <w:t> </w:t>
      </w:r>
      <w:r>
        <w:rPr>
          <w:rFonts w:hint="eastAsia"/>
          <w:lang w:val="fr-CH"/>
        </w:rPr>
        <w:t>：一次塑像讲习班和一次皮影戏表演。</w:t>
      </w:r>
    </w:p>
    <w:p w:rsidR="00000000" w:rsidRDefault="00000000">
      <w:pPr>
        <w:pStyle w:val="Heading4"/>
        <w:rPr>
          <w:rFonts w:hint="eastAsia"/>
          <w:lang w:val="fr-CH"/>
        </w:rPr>
      </w:pPr>
      <w:r>
        <w:rPr>
          <w:rFonts w:hint="eastAsia"/>
        </w:rPr>
        <w:t>让儿童了解文化和艺术</w:t>
      </w:r>
      <w:r>
        <w:rPr>
          <w:rFonts w:hint="eastAsia"/>
          <w:spacing w:val="-50"/>
        </w:rPr>
        <w:t>―</w:t>
      </w:r>
      <w:r>
        <w:rPr>
          <w:rFonts w:hint="eastAsia"/>
        </w:rPr>
        <w:t>―“</w:t>
      </w:r>
      <w:r>
        <w:rPr>
          <w:lang w:val="fr-CH"/>
        </w:rPr>
        <w:t>Melina</w:t>
      </w:r>
      <w:r>
        <w:rPr>
          <w:rFonts w:hint="eastAsia"/>
          <w:lang w:val="fr-CH"/>
        </w:rPr>
        <w:t>”项目</w:t>
      </w:r>
      <w:r>
        <w:rPr>
          <w:rFonts w:hint="eastAsia"/>
          <w:lang w:val="fr-CH"/>
        </w:rPr>
        <w:t>(</w:t>
      </w:r>
      <w:r>
        <w:rPr>
          <w:rFonts w:hint="eastAsia"/>
          <w:lang w:val="fr-CH"/>
        </w:rPr>
        <w:t>剧院、音乐、舞蹈、电影、艺术表现形式和音像表现形式</w:t>
      </w:r>
      <w:r>
        <w:rPr>
          <w:rFonts w:hint="eastAsia"/>
          <w:lang w:val="fr-CH"/>
        </w:rPr>
        <w:t>)</w:t>
      </w:r>
    </w:p>
    <w:p w:rsidR="00000000" w:rsidRDefault="00000000">
      <w:pPr>
        <w:rPr>
          <w:rFonts w:hint="eastAsia"/>
        </w:rPr>
      </w:pPr>
      <w:r>
        <w:rPr>
          <w:rFonts w:hint="eastAsia"/>
          <w:lang w:val="fr-CH"/>
        </w:rPr>
        <w:tab/>
        <w:t xml:space="preserve">628.  </w:t>
      </w:r>
      <w:r>
        <w:rPr>
          <w:rFonts w:hint="eastAsia"/>
          <w:lang w:val="fr-CH"/>
        </w:rPr>
        <w:t>该项目的研究与规划始于</w:t>
      </w:r>
      <w:r>
        <w:rPr>
          <w:rFonts w:hint="eastAsia"/>
          <w:lang w:val="fr-CH"/>
        </w:rPr>
        <w:t>1994</w:t>
      </w:r>
      <w:r>
        <w:rPr>
          <w:rFonts w:hint="eastAsia"/>
          <w:lang w:val="fr-CH"/>
        </w:rPr>
        <w:t>年</w:t>
      </w:r>
      <w:r>
        <w:rPr>
          <w:rFonts w:hint="eastAsia"/>
          <w:lang w:val="fr-CH"/>
        </w:rPr>
        <w:t>1</w:t>
      </w:r>
      <w:r>
        <w:rPr>
          <w:rFonts w:hint="eastAsia"/>
          <w:lang w:val="fr-CH"/>
        </w:rPr>
        <w:t>月，当时希腊正担任欧洲联盟的轮值主席。该项目由于深受国家教育和宗教事务部以及文化部的政治领导的</w:t>
      </w:r>
      <w:r>
        <w:rPr>
          <w:rFonts w:hint="eastAsia"/>
        </w:rPr>
        <w:t>喜爱和支持，并有跨学科中央项目协调委员会的支持，因此一直延续至今。该项目的试验阶段是从</w:t>
      </w:r>
      <w:r>
        <w:rPr>
          <w:rFonts w:hint="eastAsia"/>
        </w:rPr>
        <w:t>1995</w:t>
      </w:r>
      <w:r>
        <w:rPr>
          <w:rFonts w:hint="eastAsia"/>
        </w:rPr>
        <w:t>年</w:t>
      </w:r>
      <w:r>
        <w:rPr>
          <w:rFonts w:hint="eastAsia"/>
        </w:rPr>
        <w:t>9</w:t>
      </w:r>
      <w:r>
        <w:rPr>
          <w:rFonts w:hint="eastAsia"/>
        </w:rPr>
        <w:t>月在全国</w:t>
      </w:r>
      <w:r>
        <w:rPr>
          <w:rFonts w:hint="eastAsia"/>
        </w:rPr>
        <w:t>46</w:t>
      </w:r>
      <w:r>
        <w:rPr>
          <w:rFonts w:hint="eastAsia"/>
        </w:rPr>
        <w:t>所小学的一年级开始的。今天，全国已有</w:t>
      </w:r>
      <w:r>
        <w:rPr>
          <w:rFonts w:hint="eastAsia"/>
        </w:rPr>
        <w:t>90</w:t>
      </w:r>
      <w:r>
        <w:rPr>
          <w:rFonts w:hint="eastAsia"/>
        </w:rPr>
        <w:t>个小学、塞浦路斯</w:t>
      </w:r>
      <w:r>
        <w:rPr>
          <w:rFonts w:hint="eastAsia"/>
        </w:rPr>
        <w:t>2</w:t>
      </w:r>
      <w:r>
        <w:rPr>
          <w:rFonts w:hint="eastAsia"/>
        </w:rPr>
        <w:t>所小学参与了该项目。该项目作出了十年计划安排，其中包括：为教育者举办培训研讨会、编写制作教材、有选择地参观具有文化相关性的场所，以及艺术家团体参观学校。</w:t>
      </w:r>
    </w:p>
    <w:p w:rsidR="00000000" w:rsidRDefault="00000000">
      <w:pPr>
        <w:spacing w:after="320"/>
        <w:rPr>
          <w:rFonts w:hint="eastAsia"/>
        </w:rPr>
      </w:pPr>
      <w:r>
        <w:rPr>
          <w:rFonts w:hint="eastAsia"/>
        </w:rPr>
        <w:tab/>
        <w:t xml:space="preserve">629.  </w:t>
      </w:r>
      <w:r>
        <w:rPr>
          <w:rFonts w:hint="eastAsia"/>
        </w:rPr>
        <w:t>该项目使用原创性方法将艺术引入学校，并让学生从小学教育的开始即接触文化。除以学生为对象外，它还旨在让教育者对艺术和文化建立积极的态度，并认识到艺术和文化的重要教育意义。</w:t>
      </w:r>
    </w:p>
    <w:p w:rsidR="00000000" w:rsidRDefault="00000000">
      <w:pPr>
        <w:pStyle w:val="Heading4"/>
        <w:rPr>
          <w:rFonts w:hint="eastAsia"/>
        </w:rPr>
      </w:pPr>
      <w:r>
        <w:rPr>
          <w:rFonts w:hint="eastAsia"/>
        </w:rPr>
        <w:t>关怀和保护有特别需要的人和残疾人</w:t>
      </w:r>
    </w:p>
    <w:p w:rsidR="00000000" w:rsidRDefault="00000000">
      <w:pPr>
        <w:spacing w:after="320"/>
        <w:rPr>
          <w:rFonts w:hint="eastAsia"/>
        </w:rPr>
      </w:pPr>
      <w:r>
        <w:rPr>
          <w:rFonts w:hint="eastAsia"/>
        </w:rPr>
        <w:tab/>
        <w:t xml:space="preserve">630.  </w:t>
      </w:r>
      <w:r>
        <w:rPr>
          <w:rFonts w:hint="eastAsia"/>
        </w:rPr>
        <w:t>文化部制定了详细的方针和项目计划，确保有特殊需要的人和残疾人也有机会使用文化场所和博物馆。</w:t>
      </w:r>
    </w:p>
    <w:p w:rsidR="00000000" w:rsidRDefault="00000000">
      <w:pPr>
        <w:pStyle w:val="Heading4"/>
        <w:rPr>
          <w:rFonts w:hint="eastAsia"/>
        </w:rPr>
      </w:pPr>
      <w:r>
        <w:rPr>
          <w:rFonts w:hint="eastAsia"/>
        </w:rPr>
        <w:t>国家图书中心</w:t>
      </w:r>
      <w:r>
        <w:rPr>
          <w:rFonts w:hint="eastAsia"/>
        </w:rPr>
        <w:t>(</w:t>
      </w:r>
      <w:r>
        <w:rPr>
          <w:rFonts w:hint="eastAsia"/>
        </w:rPr>
        <w:t>国图中心</w:t>
      </w:r>
      <w:r>
        <w:rPr>
          <w:rFonts w:hint="eastAsia"/>
        </w:rPr>
        <w:t>)</w:t>
      </w:r>
      <w:r>
        <w:rPr>
          <w:rFonts w:hint="eastAsia"/>
        </w:rPr>
        <w:t>向社会敏感群体和少数群体的图书宣传的活动</w:t>
      </w:r>
    </w:p>
    <w:p w:rsidR="00000000" w:rsidRDefault="00000000">
      <w:pPr>
        <w:rPr>
          <w:rFonts w:hint="eastAsia"/>
        </w:rPr>
      </w:pPr>
      <w:r>
        <w:rPr>
          <w:rFonts w:hint="eastAsia"/>
        </w:rPr>
        <w:tab/>
        <w:t xml:space="preserve">631.  </w:t>
      </w:r>
      <w:r>
        <w:rPr>
          <w:rFonts w:hint="eastAsia"/>
        </w:rPr>
        <w:t>在</w:t>
      </w:r>
      <w:r>
        <w:rPr>
          <w:rFonts w:hint="eastAsia"/>
        </w:rPr>
        <w:t>K</w:t>
      </w:r>
      <w:r>
        <w:t>assavetia</w:t>
      </w:r>
      <w:r>
        <w:rPr>
          <w:rFonts w:hint="eastAsia"/>
        </w:rPr>
        <w:t>青少年监狱创办图书馆的项目：从</w:t>
      </w:r>
      <w:r>
        <w:rPr>
          <w:rFonts w:hint="eastAsia"/>
        </w:rPr>
        <w:t>1994</w:t>
      </w:r>
      <w:r>
        <w:rPr>
          <w:rFonts w:hint="eastAsia"/>
        </w:rPr>
        <w:t>年至</w:t>
      </w:r>
      <w:r>
        <w:rPr>
          <w:rFonts w:hint="eastAsia"/>
        </w:rPr>
        <w:t>1998</w:t>
      </w:r>
      <w:r>
        <w:rPr>
          <w:rFonts w:hint="eastAsia"/>
        </w:rPr>
        <w:t>年，国图中心在</w:t>
      </w:r>
      <w:r>
        <w:rPr>
          <w:rFonts w:hint="eastAsia"/>
        </w:rPr>
        <w:t>V</w:t>
      </w:r>
      <w:r>
        <w:t>olos</w:t>
      </w:r>
      <w:r>
        <w:rPr>
          <w:rFonts w:hint="eastAsia"/>
        </w:rPr>
        <w:t>的</w:t>
      </w:r>
      <w:r>
        <w:rPr>
          <w:rFonts w:hint="eastAsia"/>
        </w:rPr>
        <w:t>K</w:t>
      </w:r>
      <w:r>
        <w:t>assavetia</w:t>
      </w:r>
      <w:r>
        <w:rPr>
          <w:rFonts w:hint="eastAsia"/>
        </w:rPr>
        <w:t>青少年监狱执行了一项开展文化活动的项目，该项目的基础是，在监狱专门确定的场所建造一个图书馆，并配备一名图书管理员。该项目中还包括绘画和计算机课，向青年囚犯讲授他们感兴趣的法律知识，希腊语课</w:t>
      </w:r>
      <w:r>
        <w:rPr>
          <w:rFonts w:hint="eastAsia"/>
        </w:rPr>
        <w:t>(</w:t>
      </w:r>
      <w:r>
        <w:rPr>
          <w:rFonts w:hint="eastAsia"/>
        </w:rPr>
        <w:t>大多数青年囚犯都是移民的子女</w:t>
      </w:r>
      <w:r>
        <w:rPr>
          <w:rFonts w:hint="eastAsia"/>
        </w:rPr>
        <w:t>)</w:t>
      </w:r>
      <w:r>
        <w:rPr>
          <w:rFonts w:hint="eastAsia"/>
        </w:rPr>
        <w:t>，组织活动等。该项目由司法部负责，现仍在继续执行。</w:t>
      </w:r>
    </w:p>
    <w:p w:rsidR="00000000" w:rsidRDefault="00000000">
      <w:pPr>
        <w:rPr>
          <w:rFonts w:hint="eastAsia"/>
        </w:rPr>
      </w:pPr>
      <w:r>
        <w:rPr>
          <w:rFonts w:hint="eastAsia"/>
        </w:rPr>
        <w:tab/>
        <w:t>632.  1997</w:t>
      </w:r>
      <w:r>
        <w:rPr>
          <w:rFonts w:hint="eastAsia"/>
        </w:rPr>
        <w:t>年至</w:t>
      </w:r>
      <w:r>
        <w:rPr>
          <w:rFonts w:hint="eastAsia"/>
        </w:rPr>
        <w:t>2006</w:t>
      </w:r>
      <w:r>
        <w:rPr>
          <w:rFonts w:hint="eastAsia"/>
        </w:rPr>
        <w:t>年在</w:t>
      </w:r>
      <w:r>
        <w:rPr>
          <w:rFonts w:hint="eastAsia"/>
        </w:rPr>
        <w:t>E</w:t>
      </w:r>
      <w:r>
        <w:t>vros</w:t>
      </w:r>
      <w:r>
        <w:rPr>
          <w:rFonts w:hint="eastAsia"/>
        </w:rPr>
        <w:t>省鼓励阅读和进行图书馆现代化建设的政策合同：</w:t>
      </w:r>
      <w:r>
        <w:rPr>
          <w:rFonts w:hint="eastAsia"/>
        </w:rPr>
        <w:t>1996</w:t>
      </w:r>
      <w:r>
        <w:rPr>
          <w:rFonts w:hint="eastAsia"/>
        </w:rPr>
        <w:t>年至</w:t>
      </w:r>
      <w:r>
        <w:rPr>
          <w:rFonts w:hint="eastAsia"/>
        </w:rPr>
        <w:t>1998</w:t>
      </w:r>
      <w:r>
        <w:rPr>
          <w:rFonts w:hint="eastAsia"/>
        </w:rPr>
        <w:t>年间，国图中心执行了“在</w:t>
      </w:r>
      <w:r>
        <w:rPr>
          <w:rFonts w:hint="eastAsia"/>
        </w:rPr>
        <w:t>E</w:t>
      </w:r>
      <w:r>
        <w:t>vros</w:t>
      </w:r>
      <w:r>
        <w:rPr>
          <w:rFonts w:hint="eastAsia"/>
        </w:rPr>
        <w:t>省鼓励阅读和进行图书馆建设”的试办项目。该项目在全省包括少数民族地区在内的</w:t>
      </w:r>
      <w:r>
        <w:rPr>
          <w:rFonts w:hint="eastAsia"/>
        </w:rPr>
        <w:t>14</w:t>
      </w:r>
      <w:r>
        <w:rPr>
          <w:rFonts w:hint="eastAsia"/>
        </w:rPr>
        <w:t>个受欢迎的图书馆中执行，其目的在于说明图书馆在培养人们对图书和阅读的兴趣中的作用，以及作为信息管理和提高公共意识的手段的作用。该项目包括一系列活动，如阅读行为研究、图书馆状况研究、支持图书馆基础建设的措施、图书馆员研讨会，以及鼓励阅读的活动，如教育方案、成立阅读小组、大众传播方案、各类活动和运动</w:t>
      </w:r>
      <w:r>
        <w:rPr>
          <w:rFonts w:hint="eastAsia"/>
        </w:rPr>
        <w:t>(</w:t>
      </w:r>
      <w:r>
        <w:rPr>
          <w:rFonts w:hint="eastAsia"/>
        </w:rPr>
        <w:t>“图书让我展翅飞翔”等</w:t>
      </w:r>
      <w:r>
        <w:rPr>
          <w:rFonts w:hint="eastAsia"/>
        </w:rPr>
        <w:t>)</w:t>
      </w:r>
      <w:r>
        <w:rPr>
          <w:rFonts w:hint="eastAsia"/>
        </w:rPr>
        <w:t>。</w:t>
      </w:r>
    </w:p>
    <w:p w:rsidR="00000000" w:rsidRDefault="00000000">
      <w:pPr>
        <w:rPr>
          <w:rFonts w:hint="eastAsia"/>
        </w:rPr>
      </w:pPr>
      <w:r>
        <w:rPr>
          <w:rFonts w:hint="eastAsia"/>
        </w:rPr>
        <w:tab/>
        <w:t>633.  1997</w:t>
      </w:r>
      <w:r>
        <w:rPr>
          <w:rFonts w:hint="eastAsia"/>
        </w:rPr>
        <w:t>年，文化部与</w:t>
      </w:r>
      <w:r>
        <w:rPr>
          <w:rFonts w:hint="eastAsia"/>
        </w:rPr>
        <w:t>E</w:t>
      </w:r>
      <w:r>
        <w:t>vros</w:t>
      </w:r>
      <w:r>
        <w:rPr>
          <w:rFonts w:hint="eastAsia"/>
        </w:rPr>
        <w:t>省政府签订了一个十年期的政策合作，</w:t>
      </w:r>
      <w:r>
        <w:rPr>
          <w:rFonts w:hint="eastAsia"/>
        </w:rPr>
        <w:t xml:space="preserve"> E</w:t>
      </w:r>
      <w:r>
        <w:t>vros</w:t>
      </w:r>
      <w:r>
        <w:rPr>
          <w:rFonts w:hint="eastAsia"/>
        </w:rPr>
        <w:t>省政府保证在</w:t>
      </w:r>
      <w:r>
        <w:rPr>
          <w:rFonts w:hint="eastAsia"/>
        </w:rPr>
        <w:t>2006</w:t>
      </w:r>
      <w:r>
        <w:rPr>
          <w:rFonts w:hint="eastAsia"/>
        </w:rPr>
        <w:t>年前一直为该项目提供资金。</w:t>
      </w:r>
      <w:r>
        <w:rPr>
          <w:rFonts w:hint="eastAsia"/>
        </w:rPr>
        <w:t>1996</w:t>
      </w:r>
      <w:r>
        <w:rPr>
          <w:rFonts w:hint="eastAsia"/>
        </w:rPr>
        <w:t>年至</w:t>
      </w:r>
      <w:r>
        <w:rPr>
          <w:rFonts w:hint="eastAsia"/>
        </w:rPr>
        <w:t>1998</w:t>
      </w:r>
      <w:r>
        <w:rPr>
          <w:rFonts w:hint="eastAsia"/>
        </w:rPr>
        <w:t>年的试办阶段完成后，该项目现正由</w:t>
      </w:r>
      <w:r>
        <w:rPr>
          <w:rFonts w:hint="eastAsia"/>
        </w:rPr>
        <w:t>E</w:t>
      </w:r>
      <w:r>
        <w:t>vros</w:t>
      </w:r>
      <w:r>
        <w:rPr>
          <w:rFonts w:hint="eastAsia"/>
        </w:rPr>
        <w:t>省的地方政府执行，国图中心仅起咨询</w:t>
      </w:r>
      <w:r>
        <w:rPr>
          <w:rFonts w:hint="eastAsia"/>
          <w:spacing w:val="-50"/>
        </w:rPr>
        <w:t>―</w:t>
      </w:r>
      <w:r>
        <w:rPr>
          <w:rFonts w:hint="eastAsia"/>
        </w:rPr>
        <w:t>―监督作用。</w:t>
      </w:r>
    </w:p>
    <w:p w:rsidR="00000000" w:rsidRDefault="00000000">
      <w:pPr>
        <w:rPr>
          <w:rFonts w:hint="eastAsia"/>
        </w:rPr>
      </w:pPr>
      <w:r>
        <w:rPr>
          <w:rFonts w:hint="eastAsia"/>
        </w:rPr>
        <w:tab/>
        <w:t xml:space="preserve">634.  </w:t>
      </w:r>
      <w:r>
        <w:rPr>
          <w:rFonts w:hint="eastAsia"/>
        </w:rPr>
        <w:t>阅读拉力赛：国图中心是与国家教育部和文化部联合执行该项目的。在</w:t>
      </w:r>
      <w:r>
        <w:rPr>
          <w:rFonts w:hint="eastAsia"/>
        </w:rPr>
        <w:t>1997</w:t>
      </w:r>
      <w:r>
        <w:rPr>
          <w:rFonts w:hint="eastAsia"/>
        </w:rPr>
        <w:t>至</w:t>
      </w:r>
      <w:r>
        <w:rPr>
          <w:rFonts w:hint="eastAsia"/>
        </w:rPr>
        <w:t>1998</w:t>
      </w:r>
      <w:r>
        <w:rPr>
          <w:rFonts w:hint="eastAsia"/>
        </w:rPr>
        <w:t>学年期间在</w:t>
      </w:r>
      <w:r>
        <w:rPr>
          <w:rFonts w:hint="eastAsia"/>
        </w:rPr>
        <w:t>E</w:t>
      </w:r>
      <w:r>
        <w:t>vros</w:t>
      </w:r>
      <w:r>
        <w:rPr>
          <w:rFonts w:hint="eastAsia"/>
        </w:rPr>
        <w:t>省开始执行试办项目，目前正在全国</w:t>
      </w:r>
      <w:r>
        <w:rPr>
          <w:rFonts w:hint="eastAsia"/>
        </w:rPr>
        <w:t>1,000</w:t>
      </w:r>
      <w:r>
        <w:rPr>
          <w:rFonts w:hint="eastAsia"/>
        </w:rPr>
        <w:t>多所学校顺利进行，其中包括少数群体的许多学校和部。该项目是为了鼓励小学学生</w:t>
      </w:r>
      <w:r>
        <w:rPr>
          <w:rFonts w:hint="eastAsia"/>
        </w:rPr>
        <w:t>(</w:t>
      </w:r>
      <w:r>
        <w:rPr>
          <w:rFonts w:hint="eastAsia"/>
        </w:rPr>
        <w:t>四至六年级</w:t>
      </w:r>
      <w:r>
        <w:rPr>
          <w:rFonts w:hint="eastAsia"/>
        </w:rPr>
        <w:t>)</w:t>
      </w:r>
      <w:r>
        <w:rPr>
          <w:rFonts w:hint="eastAsia"/>
        </w:rPr>
        <w:t>进行阅读，旨在加强学生与图书和阅读的联系。</w:t>
      </w:r>
    </w:p>
    <w:p w:rsidR="00000000" w:rsidRDefault="00000000">
      <w:pPr>
        <w:rPr>
          <w:rFonts w:hint="eastAsia"/>
        </w:rPr>
      </w:pPr>
      <w:r>
        <w:rPr>
          <w:rFonts w:hint="eastAsia"/>
        </w:rPr>
        <w:tab/>
        <w:t xml:space="preserve">635.  </w:t>
      </w:r>
      <w:r>
        <w:rPr>
          <w:rFonts w:hint="eastAsia"/>
        </w:rPr>
        <w:t>在执行该项目当中，为参与项目的教师和学校顾问安排了中央和地方性研讨会，以更新他们的知识。参加的教师人数很多，因为这种讲习班形式的研讨会令他们很感兴趣。为了使阅读拉力赛获得成功，一批专家编写了附助教材，发挥了关键作用。</w:t>
      </w:r>
    </w:p>
    <w:p w:rsidR="00000000" w:rsidRDefault="00000000">
      <w:pPr>
        <w:rPr>
          <w:rFonts w:hint="eastAsia"/>
        </w:rPr>
      </w:pPr>
      <w:r>
        <w:rPr>
          <w:rFonts w:hint="eastAsia"/>
        </w:rPr>
        <w:tab/>
        <w:t xml:space="preserve">636.  </w:t>
      </w:r>
      <w:r>
        <w:rPr>
          <w:rFonts w:hint="eastAsia"/>
        </w:rPr>
        <w:t>发给参加项目的学校的材料如下：</w:t>
      </w:r>
    </w:p>
    <w:p w:rsidR="00000000" w:rsidRDefault="00000000">
      <w:pPr>
        <w:pStyle w:val="a0"/>
        <w:tabs>
          <w:tab w:val="num" w:pos="1550"/>
        </w:tabs>
        <w:ind w:left="1550"/>
        <w:rPr>
          <w:rFonts w:hint="eastAsia"/>
        </w:rPr>
      </w:pPr>
      <w:r>
        <w:rPr>
          <w:rFonts w:hint="eastAsia"/>
        </w:rPr>
        <w:t>一份关于项目执行说明的介绍性小册子；</w:t>
      </w:r>
    </w:p>
    <w:p w:rsidR="00000000" w:rsidRDefault="00000000">
      <w:pPr>
        <w:pStyle w:val="a0"/>
        <w:tabs>
          <w:tab w:val="num" w:pos="1550"/>
        </w:tabs>
        <w:ind w:left="1550"/>
        <w:rPr>
          <w:rFonts w:hint="eastAsia"/>
        </w:rPr>
      </w:pPr>
      <w:r>
        <w:rPr>
          <w:rFonts w:hint="eastAsia"/>
        </w:rPr>
        <w:t>为学生编写的文学指南，其中包括向所有阅读水平的学生推荐的</w:t>
      </w:r>
      <w:r>
        <w:rPr>
          <w:rFonts w:hint="eastAsia"/>
        </w:rPr>
        <w:t>100</w:t>
      </w:r>
      <w:r>
        <w:rPr>
          <w:rFonts w:hint="eastAsia"/>
        </w:rPr>
        <w:t>本文学书籍；</w:t>
      </w:r>
    </w:p>
    <w:p w:rsidR="00000000" w:rsidRDefault="00000000">
      <w:pPr>
        <w:pStyle w:val="a0"/>
        <w:tabs>
          <w:tab w:val="num" w:pos="1550"/>
        </w:tabs>
        <w:ind w:left="1550"/>
        <w:rPr>
          <w:rFonts w:hint="eastAsia"/>
        </w:rPr>
      </w:pPr>
      <w:r>
        <w:rPr>
          <w:rFonts w:hint="eastAsia"/>
        </w:rPr>
        <w:t>教师用书；</w:t>
      </w:r>
    </w:p>
    <w:p w:rsidR="00000000" w:rsidRDefault="00000000">
      <w:pPr>
        <w:pStyle w:val="a0"/>
        <w:tabs>
          <w:tab w:val="num" w:pos="1550"/>
        </w:tabs>
        <w:ind w:left="1550"/>
        <w:rPr>
          <w:rFonts w:hint="eastAsia"/>
        </w:rPr>
      </w:pPr>
      <w:r>
        <w:rPr>
          <w:rFonts w:hint="eastAsia"/>
        </w:rPr>
        <w:t>关于学生阅读的每一本书的简介；</w:t>
      </w:r>
    </w:p>
    <w:p w:rsidR="00000000" w:rsidRDefault="00000000">
      <w:pPr>
        <w:pStyle w:val="a0"/>
        <w:tabs>
          <w:tab w:val="num" w:pos="1550"/>
        </w:tabs>
        <w:ind w:left="1550"/>
        <w:rPr>
          <w:rFonts w:hint="eastAsia"/>
        </w:rPr>
      </w:pPr>
      <w:r>
        <w:rPr>
          <w:rFonts w:hint="eastAsia"/>
        </w:rPr>
        <w:t>向参加项目的学生颁发的奖状；</w:t>
      </w:r>
    </w:p>
    <w:p w:rsidR="00000000" w:rsidRDefault="00000000">
      <w:pPr>
        <w:pStyle w:val="a0"/>
        <w:tabs>
          <w:tab w:val="num" w:pos="1550"/>
        </w:tabs>
        <w:ind w:left="1550"/>
        <w:rPr>
          <w:rFonts w:hint="eastAsia"/>
        </w:rPr>
      </w:pPr>
      <w:r>
        <w:rPr>
          <w:rFonts w:hint="eastAsia"/>
        </w:rPr>
        <w:t>为集体参加的学生颁发的奖状；以及</w:t>
      </w:r>
    </w:p>
    <w:p w:rsidR="00000000" w:rsidRDefault="00000000">
      <w:pPr>
        <w:pStyle w:val="a0"/>
        <w:tabs>
          <w:tab w:val="num" w:pos="1550"/>
        </w:tabs>
        <w:ind w:left="1550"/>
        <w:rPr>
          <w:rFonts w:hint="eastAsia"/>
        </w:rPr>
      </w:pPr>
      <w:r>
        <w:rPr>
          <w:rFonts w:hint="eastAsia"/>
        </w:rPr>
        <w:t>关于阅读拉力赛的宣传海报。</w:t>
      </w:r>
    </w:p>
    <w:p w:rsidR="00000000" w:rsidRDefault="00000000">
      <w:pPr>
        <w:spacing w:after="320"/>
        <w:rPr>
          <w:rFonts w:hint="eastAsia"/>
        </w:rPr>
      </w:pPr>
      <w:r>
        <w:rPr>
          <w:rFonts w:hint="eastAsia"/>
        </w:rPr>
        <w:tab/>
        <w:t xml:space="preserve">637.  </w:t>
      </w:r>
      <w:r>
        <w:rPr>
          <w:rFonts w:hint="eastAsia"/>
        </w:rPr>
        <w:t>该竞赛项目在整个学年中进行，成绩突出的学生在特别举办的游戏形式的活动</w:t>
      </w:r>
      <w:r>
        <w:rPr>
          <w:rFonts w:hint="eastAsia"/>
        </w:rPr>
        <w:t>(</w:t>
      </w:r>
      <w:r>
        <w:rPr>
          <w:rFonts w:hint="eastAsia"/>
        </w:rPr>
        <w:t>有作者本人在场等</w:t>
      </w:r>
      <w:r>
        <w:rPr>
          <w:rFonts w:hint="eastAsia"/>
        </w:rPr>
        <w:t>)</w:t>
      </w:r>
      <w:r>
        <w:rPr>
          <w:rFonts w:hint="eastAsia"/>
        </w:rPr>
        <w:t>中，被誉为优秀读者。国家图书中心的目标是，将该项目向全国所有学校推广。</w:t>
      </w:r>
    </w:p>
    <w:p w:rsidR="00000000" w:rsidRDefault="00000000">
      <w:pPr>
        <w:pStyle w:val="Heading4"/>
        <w:rPr>
          <w:rFonts w:hint="eastAsia"/>
        </w:rPr>
      </w:pPr>
      <w:r>
        <w:rPr>
          <w:rFonts w:hint="eastAsia"/>
        </w:rPr>
        <w:t>大众媒体和传播媒体在推动人们参与文化生活方面所起的作用</w:t>
      </w:r>
    </w:p>
    <w:p w:rsidR="00000000" w:rsidRDefault="00000000">
      <w:pPr>
        <w:rPr>
          <w:rFonts w:hint="eastAsia"/>
        </w:rPr>
      </w:pPr>
      <w:r>
        <w:rPr>
          <w:rFonts w:hint="eastAsia"/>
        </w:rPr>
        <w:tab/>
        <w:t xml:space="preserve">638.  </w:t>
      </w:r>
      <w:r>
        <w:rPr>
          <w:rFonts w:hint="eastAsia"/>
        </w:rPr>
        <w:t>由新闻和大众媒体部提出的一系列立法和行政措施正在实施之中，以支持大众传播媒体在推动人们参与社会和文化生活方面的作用。尤其是以下立法和行政措施：</w:t>
      </w:r>
    </w:p>
    <w:p w:rsidR="00000000" w:rsidRDefault="00000000">
      <w:pPr>
        <w:numPr>
          <w:ilvl w:val="0"/>
          <w:numId w:val="790"/>
        </w:numPr>
        <w:rPr>
          <w:rFonts w:hint="eastAsia"/>
          <w:spacing w:val="6"/>
        </w:rPr>
      </w:pPr>
      <w:r>
        <w:rPr>
          <w:rFonts w:hint="eastAsia"/>
          <w:spacing w:val="6"/>
        </w:rPr>
        <w:t>第</w:t>
      </w:r>
      <w:r>
        <w:rPr>
          <w:rFonts w:hint="eastAsia"/>
          <w:spacing w:val="6"/>
        </w:rPr>
        <w:t>1866/1989</w:t>
      </w:r>
      <w:r>
        <w:rPr>
          <w:rFonts w:hint="eastAsia"/>
          <w:spacing w:val="6"/>
        </w:rPr>
        <w:t>号法第</w:t>
      </w:r>
      <w:r>
        <w:rPr>
          <w:rFonts w:hint="eastAsia"/>
          <w:spacing w:val="6"/>
        </w:rPr>
        <w:t>7</w:t>
      </w:r>
      <w:r>
        <w:rPr>
          <w:rFonts w:hint="eastAsia"/>
          <w:spacing w:val="6"/>
        </w:rPr>
        <w:t>条第</w:t>
      </w:r>
      <w:r>
        <w:rPr>
          <w:rFonts w:hint="eastAsia"/>
          <w:spacing w:val="6"/>
        </w:rPr>
        <w:t>3</w:t>
      </w:r>
      <w:r>
        <w:rPr>
          <w:rFonts w:hint="eastAsia"/>
          <w:spacing w:val="6"/>
        </w:rPr>
        <w:t>款和第</w:t>
      </w:r>
      <w:r>
        <w:rPr>
          <w:rFonts w:hint="eastAsia"/>
          <w:spacing w:val="6"/>
        </w:rPr>
        <w:t>2121/1995</w:t>
      </w:r>
      <w:r>
        <w:rPr>
          <w:rFonts w:hint="eastAsia"/>
          <w:spacing w:val="6"/>
        </w:rPr>
        <w:t>号总统令规定，为希腊盲人设立国家信息和培训方案，将私营电视台年总收入的</w:t>
      </w:r>
      <w:r>
        <w:rPr>
          <w:rFonts w:hint="eastAsia"/>
          <w:spacing w:val="6"/>
        </w:rPr>
        <w:t>0.3%</w:t>
      </w:r>
      <w:r>
        <w:rPr>
          <w:rFonts w:hint="eastAsia"/>
          <w:spacing w:val="6"/>
        </w:rPr>
        <w:t>用于资助为上述方案建立必要的基础设施，并对该方案的手段、程序和执行机构作出了规定。根据第</w:t>
      </w:r>
      <w:r>
        <w:rPr>
          <w:rFonts w:hint="eastAsia"/>
          <w:spacing w:val="6"/>
        </w:rPr>
        <w:t>2644/1998</w:t>
      </w:r>
      <w:r>
        <w:rPr>
          <w:rFonts w:hint="eastAsia"/>
          <w:spacing w:val="6"/>
        </w:rPr>
        <w:t>号法第</w:t>
      </w:r>
      <w:r>
        <w:rPr>
          <w:rFonts w:hint="eastAsia"/>
          <w:spacing w:val="6"/>
        </w:rPr>
        <w:t>9</w:t>
      </w:r>
      <w:r>
        <w:rPr>
          <w:rFonts w:hint="eastAsia"/>
          <w:spacing w:val="6"/>
        </w:rPr>
        <w:t>条第</w:t>
      </w:r>
      <w:r>
        <w:rPr>
          <w:rFonts w:hint="eastAsia"/>
          <w:spacing w:val="6"/>
        </w:rPr>
        <w:t>10</w:t>
      </w:r>
      <w:r>
        <w:rPr>
          <w:rFonts w:hint="eastAsia"/>
          <w:spacing w:val="6"/>
        </w:rPr>
        <w:t>款的规定，付费广播和电视服务许可证的持有者也可参加该方案并作相应捐款；</w:t>
      </w:r>
    </w:p>
    <w:p w:rsidR="00000000" w:rsidRDefault="00000000">
      <w:pPr>
        <w:numPr>
          <w:ilvl w:val="0"/>
          <w:numId w:val="790"/>
        </w:numPr>
        <w:rPr>
          <w:rFonts w:hint="eastAsia"/>
        </w:rPr>
      </w:pPr>
      <w:r>
        <w:rPr>
          <w:rFonts w:hint="eastAsia"/>
        </w:rPr>
        <w:t>根据有关设立马其顿新闻社相关的第</w:t>
      </w:r>
      <w:r>
        <w:rPr>
          <w:rFonts w:hint="eastAsia"/>
        </w:rPr>
        <w:t>149/1994</w:t>
      </w:r>
      <w:r>
        <w:rPr>
          <w:rFonts w:hint="eastAsia"/>
        </w:rPr>
        <w:t>号总统令</w:t>
      </w:r>
      <w:r>
        <w:rPr>
          <w:rFonts w:hint="eastAsia"/>
        </w:rPr>
        <w:t>(</w:t>
      </w:r>
      <w:r>
        <w:rPr>
          <w:rFonts w:hint="eastAsia"/>
        </w:rPr>
        <w:t>特别是第</w:t>
      </w:r>
      <w:r>
        <w:rPr>
          <w:rFonts w:hint="eastAsia"/>
        </w:rPr>
        <w:t>3</w:t>
      </w:r>
      <w:r>
        <w:rPr>
          <w:rFonts w:hint="eastAsia"/>
        </w:rPr>
        <w:t>条第</w:t>
      </w:r>
      <w:r>
        <w:rPr>
          <w:rFonts w:hint="eastAsia"/>
        </w:rPr>
        <w:t>1</w:t>
      </w:r>
      <w:r>
        <w:rPr>
          <w:rFonts w:hint="eastAsia"/>
        </w:rPr>
        <w:t>款</w:t>
      </w:r>
      <w:r>
        <w:t>(b)</w:t>
      </w:r>
      <w:r>
        <w:rPr>
          <w:rFonts w:hint="eastAsia"/>
        </w:rPr>
        <w:t>项</w:t>
      </w:r>
      <w:r>
        <w:rPr>
          <w:rFonts w:hint="eastAsia"/>
        </w:rPr>
        <w:t>)</w:t>
      </w:r>
      <w:r>
        <w:rPr>
          <w:rFonts w:hint="eastAsia"/>
        </w:rPr>
        <w:t>，该公司的宗旨还包括向居住在希腊或海外的外国人提供最新消息，以及播送希腊</w:t>
      </w:r>
      <w:r>
        <w:rPr>
          <w:rFonts w:hint="eastAsia"/>
        </w:rPr>
        <w:t>(</w:t>
      </w:r>
      <w:r>
        <w:rPr>
          <w:rFonts w:hint="eastAsia"/>
        </w:rPr>
        <w:t>主要是马其顿和色雷斯</w:t>
      </w:r>
      <w:r>
        <w:rPr>
          <w:rFonts w:hint="eastAsia"/>
        </w:rPr>
        <w:t>)</w:t>
      </w:r>
      <w:r>
        <w:rPr>
          <w:rFonts w:hint="eastAsia"/>
        </w:rPr>
        <w:t>发生的主要政治、经济、文化和体育活动的消息；</w:t>
      </w:r>
    </w:p>
    <w:p w:rsidR="00000000" w:rsidRDefault="00000000">
      <w:pPr>
        <w:numPr>
          <w:ilvl w:val="0"/>
          <w:numId w:val="790"/>
        </w:numPr>
        <w:rPr>
          <w:rFonts w:hint="eastAsia"/>
        </w:rPr>
      </w:pPr>
      <w:r>
        <w:rPr>
          <w:rFonts w:hint="eastAsia"/>
        </w:rPr>
        <w:t>根据有关设立雅典新闻社的第</w:t>
      </w:r>
      <w:r>
        <w:rPr>
          <w:rFonts w:hint="eastAsia"/>
        </w:rPr>
        <w:t>150/1994</w:t>
      </w:r>
      <w:r>
        <w:rPr>
          <w:rFonts w:hint="eastAsia"/>
        </w:rPr>
        <w:t>号总统令</w:t>
      </w:r>
      <w:r>
        <w:rPr>
          <w:rFonts w:hint="eastAsia"/>
        </w:rPr>
        <w:t>(</w:t>
      </w:r>
      <w:r>
        <w:rPr>
          <w:rFonts w:hint="eastAsia"/>
        </w:rPr>
        <w:t>特别是第</w:t>
      </w:r>
      <w:r>
        <w:rPr>
          <w:rFonts w:hint="eastAsia"/>
        </w:rPr>
        <w:t>3</w:t>
      </w:r>
      <w:r>
        <w:rPr>
          <w:rFonts w:hint="eastAsia"/>
        </w:rPr>
        <w:t>条第</w:t>
      </w:r>
      <w:r>
        <w:rPr>
          <w:rFonts w:hint="eastAsia"/>
        </w:rPr>
        <w:t>1</w:t>
      </w:r>
      <w:r>
        <w:rPr>
          <w:rFonts w:hint="eastAsia"/>
        </w:rPr>
        <w:t>款</w:t>
      </w:r>
      <w:r>
        <w:t>(b)</w:t>
      </w:r>
      <w:r>
        <w:rPr>
          <w:rFonts w:hint="eastAsia"/>
        </w:rPr>
        <w:t>项</w:t>
      </w:r>
      <w:r>
        <w:rPr>
          <w:rFonts w:hint="eastAsia"/>
        </w:rPr>
        <w:t>)</w:t>
      </w:r>
      <w:r>
        <w:rPr>
          <w:rFonts w:hint="eastAsia"/>
        </w:rPr>
        <w:t>，该公司的宗旨象马其顿新闻社一样，也包括向外国人提供最新消息和播送有关在希腊发生的各种事件的消息；</w:t>
      </w:r>
    </w:p>
    <w:p w:rsidR="00000000" w:rsidRDefault="00000000">
      <w:pPr>
        <w:numPr>
          <w:ilvl w:val="0"/>
          <w:numId w:val="790"/>
        </w:numPr>
        <w:rPr>
          <w:rFonts w:hint="eastAsia"/>
        </w:rPr>
      </w:pPr>
      <w:r>
        <w:rPr>
          <w:rFonts w:hint="eastAsia"/>
        </w:rPr>
        <w:t>第</w:t>
      </w:r>
      <w:r>
        <w:rPr>
          <w:rFonts w:hint="eastAsia"/>
        </w:rPr>
        <w:t>2328/95</w:t>
      </w:r>
      <w:r>
        <w:rPr>
          <w:rFonts w:hint="eastAsia"/>
        </w:rPr>
        <w:t>号法</w:t>
      </w:r>
      <w:r>
        <w:rPr>
          <w:rFonts w:hint="eastAsia"/>
        </w:rPr>
        <w:t>(</w:t>
      </w:r>
      <w:r>
        <w:rPr>
          <w:rFonts w:hint="eastAsia"/>
        </w:rPr>
        <w:t>特别是第</w:t>
      </w:r>
      <w:r>
        <w:rPr>
          <w:rFonts w:hint="eastAsia"/>
        </w:rPr>
        <w:t>3</w:t>
      </w:r>
      <w:r>
        <w:rPr>
          <w:rFonts w:hint="eastAsia"/>
        </w:rPr>
        <w:t>、第</w:t>
      </w:r>
      <w:r>
        <w:rPr>
          <w:rFonts w:hint="eastAsia"/>
        </w:rPr>
        <w:t>4</w:t>
      </w:r>
      <w:r>
        <w:rPr>
          <w:rFonts w:hint="eastAsia"/>
        </w:rPr>
        <w:t>和第</w:t>
      </w:r>
      <w:r>
        <w:rPr>
          <w:rFonts w:hint="eastAsia"/>
        </w:rPr>
        <w:t>8</w:t>
      </w:r>
      <w:r>
        <w:rPr>
          <w:rFonts w:hint="eastAsia"/>
        </w:rPr>
        <w:t>条</w:t>
      </w:r>
      <w:r>
        <w:rPr>
          <w:rFonts w:hint="eastAsia"/>
        </w:rPr>
        <w:t>)</w:t>
      </w:r>
      <w:r>
        <w:rPr>
          <w:rFonts w:hint="eastAsia"/>
        </w:rPr>
        <w:t>专门规定了电视广告应遵守的准则，要求电视广告应确保尊重人的尊严，并规定电视和广播节目必须存档，而且必须按需提交录制品，以便行使反应权或司法保护的权利。该项法律还规定将观众转变为消费者，从而给予立法为消费者规定的所有权利，规定对聋人给予特别关照，每日或每两周一次播送新闻、娱乐或教育节目，最后还规定，必须免费播送规定时间长度的关于卫生、福利和关怀有特殊需求的人们等社会内容的信息。第</w:t>
      </w:r>
      <w:r>
        <w:rPr>
          <w:rFonts w:hint="eastAsia"/>
        </w:rPr>
        <w:t>24/I/1997</w:t>
      </w:r>
      <w:r>
        <w:rPr>
          <w:rFonts w:hint="eastAsia"/>
        </w:rPr>
        <w:t>号</w:t>
      </w:r>
      <w:r>
        <w:rPr>
          <w:rFonts w:hint="eastAsia"/>
        </w:rPr>
        <w:t>KYA</w:t>
      </w:r>
      <w:r>
        <w:rPr>
          <w:rFonts w:hint="eastAsia"/>
        </w:rPr>
        <w:t>就是为免费播送社会内容信息而专门颁布的。根据第</w:t>
      </w:r>
      <w:r>
        <w:rPr>
          <w:rFonts w:hint="eastAsia"/>
        </w:rPr>
        <w:t>2644/1998</w:t>
      </w:r>
      <w:r>
        <w:rPr>
          <w:rFonts w:hint="eastAsia"/>
        </w:rPr>
        <w:t>号法第</w:t>
      </w:r>
      <w:r>
        <w:rPr>
          <w:rFonts w:hint="eastAsia"/>
        </w:rPr>
        <w:t>9</w:t>
      </w:r>
      <w:r>
        <w:rPr>
          <w:rFonts w:hint="eastAsia"/>
        </w:rPr>
        <w:t>条第</w:t>
      </w:r>
      <w:r>
        <w:rPr>
          <w:rFonts w:hint="eastAsia"/>
        </w:rPr>
        <w:t>1</w:t>
      </w:r>
      <w:r>
        <w:rPr>
          <w:rFonts w:hint="eastAsia"/>
        </w:rPr>
        <w:t>款，付费广播和电视服务许可证持有者同样有此义务。关于付费服务的第</w:t>
      </w:r>
      <w:r>
        <w:rPr>
          <w:rFonts w:hint="eastAsia"/>
        </w:rPr>
        <w:t>2644/1998</w:t>
      </w:r>
      <w:r>
        <w:rPr>
          <w:rFonts w:hint="eastAsia"/>
        </w:rPr>
        <w:t>号法在第</w:t>
      </w:r>
      <w:r>
        <w:rPr>
          <w:rFonts w:hint="eastAsia"/>
        </w:rPr>
        <w:t>9</w:t>
      </w:r>
      <w:r>
        <w:rPr>
          <w:rFonts w:hint="eastAsia"/>
        </w:rPr>
        <w:t>条第</w:t>
      </w:r>
      <w:r>
        <w:rPr>
          <w:rFonts w:hint="eastAsia"/>
        </w:rPr>
        <w:t>12</w:t>
      </w:r>
      <w:r>
        <w:rPr>
          <w:rFonts w:hint="eastAsia"/>
        </w:rPr>
        <w:t>款中作出了与第</w:t>
      </w:r>
      <w:r>
        <w:rPr>
          <w:rFonts w:hint="eastAsia"/>
        </w:rPr>
        <w:t>2328/95</w:t>
      </w:r>
      <w:r>
        <w:rPr>
          <w:rFonts w:hint="eastAsia"/>
        </w:rPr>
        <w:t>号法律关于聋人问题相应的规定；</w:t>
      </w:r>
    </w:p>
    <w:p w:rsidR="00000000" w:rsidRDefault="00000000">
      <w:pPr>
        <w:numPr>
          <w:ilvl w:val="0"/>
          <w:numId w:val="790"/>
        </w:numPr>
        <w:rPr>
          <w:rFonts w:hint="eastAsia"/>
        </w:rPr>
      </w:pPr>
      <w:r>
        <w:rPr>
          <w:rFonts w:hint="eastAsia"/>
        </w:rPr>
        <w:t>第</w:t>
      </w:r>
      <w:r>
        <w:rPr>
          <w:rFonts w:hint="eastAsia"/>
        </w:rPr>
        <w:t>100/2000</w:t>
      </w:r>
      <w:r>
        <w:rPr>
          <w:rFonts w:hint="eastAsia"/>
        </w:rPr>
        <w:t>号总统令使广播</w:t>
      </w:r>
      <w:r>
        <w:rPr>
          <w:rFonts w:hint="eastAsia"/>
          <w:spacing w:val="-50"/>
        </w:rPr>
        <w:t>―</w:t>
      </w:r>
      <w:r>
        <w:rPr>
          <w:rFonts w:hint="eastAsia"/>
        </w:rPr>
        <w:t>―电视方面的立法与欧洲议会和理事会第</w:t>
      </w:r>
      <w:r>
        <w:rPr>
          <w:rFonts w:hint="eastAsia"/>
        </w:rPr>
        <w:t>97/36/EC</w:t>
      </w:r>
      <w:r>
        <w:rPr>
          <w:rFonts w:hint="eastAsia"/>
        </w:rPr>
        <w:t>号指令的各项规定</w:t>
      </w:r>
      <w:r>
        <w:rPr>
          <w:rFonts w:hint="eastAsia"/>
        </w:rPr>
        <w:t>(</w:t>
      </w:r>
      <w:r>
        <w:rPr>
          <w:rFonts w:hint="eastAsia"/>
        </w:rPr>
        <w:t>特别是第</w:t>
      </w:r>
      <w:r>
        <w:rPr>
          <w:rFonts w:hint="eastAsia"/>
        </w:rPr>
        <w:t>4</w:t>
      </w:r>
      <w:r>
        <w:rPr>
          <w:rFonts w:hint="eastAsia"/>
        </w:rPr>
        <w:t>、</w:t>
      </w:r>
      <w:r>
        <w:rPr>
          <w:rFonts w:hint="eastAsia"/>
        </w:rPr>
        <w:t>5</w:t>
      </w:r>
      <w:r>
        <w:rPr>
          <w:rFonts w:hint="eastAsia"/>
        </w:rPr>
        <w:t>、</w:t>
      </w:r>
      <w:r>
        <w:rPr>
          <w:rFonts w:hint="eastAsia"/>
        </w:rPr>
        <w:t>8</w:t>
      </w:r>
      <w:r>
        <w:rPr>
          <w:rFonts w:hint="eastAsia"/>
        </w:rPr>
        <w:t>和</w:t>
      </w:r>
      <w:r>
        <w:rPr>
          <w:rFonts w:hint="eastAsia"/>
        </w:rPr>
        <w:t>9</w:t>
      </w:r>
      <w:r>
        <w:rPr>
          <w:rFonts w:hint="eastAsia"/>
        </w:rPr>
        <w:t>条</w:t>
      </w:r>
      <w:r>
        <w:rPr>
          <w:rFonts w:hint="eastAsia"/>
        </w:rPr>
        <w:t>)</w:t>
      </w:r>
      <w:r>
        <w:rPr>
          <w:rFonts w:hint="eastAsia"/>
        </w:rPr>
        <w:t>统一起来，其中规定可以通过特别程序，禁止播送带有助长人们因种族、宗教、公民身份或性别的不同而加以仇恨情绪内容的节目。另外，电视广告不得践踏对人的尊严的尊重、不得因种族、性别、宗教或公民身份而引起歧视，也不得冒犯宗教或政治信仰。各电视台不得播送助长公民因不同种族、宗教、公民身份或性别而加以仇恨情绪的节目。最后，每一个人无论其公民身份如何，如果其人格、荣誉或自尊心、个人和家庭生活或职业、社会、科学、艺术、政治或相关活动受到侵犯，其本人、配偶及四亲等以内者，均有权要求电视台在规定期限内并根据特别程序进行补偿；</w:t>
      </w:r>
    </w:p>
    <w:p w:rsidR="00000000" w:rsidRDefault="00000000">
      <w:pPr>
        <w:numPr>
          <w:ilvl w:val="0"/>
          <w:numId w:val="790"/>
        </w:numPr>
        <w:rPr>
          <w:rFonts w:hint="eastAsia"/>
        </w:rPr>
      </w:pPr>
      <w:r>
        <w:rPr>
          <w:rFonts w:hint="eastAsia"/>
        </w:rPr>
        <w:t>关于对电视节目进行分类和作出标记的第</w:t>
      </w:r>
      <w:r>
        <w:rPr>
          <w:rFonts w:hint="eastAsia"/>
        </w:rPr>
        <w:t>6138/E/2000</w:t>
      </w:r>
      <w:r>
        <w:rPr>
          <w:rFonts w:hint="eastAsia"/>
        </w:rPr>
        <w:t>号部长决定的主要宗旨是，保护未成年人不观看那些内容上会对其人格、心理和道德的顺利发展产生负面影响的电视节目；</w:t>
      </w:r>
    </w:p>
    <w:p w:rsidR="00000000" w:rsidRDefault="00000000">
      <w:pPr>
        <w:numPr>
          <w:ilvl w:val="0"/>
          <w:numId w:val="790"/>
        </w:numPr>
        <w:rPr>
          <w:rFonts w:hint="eastAsia"/>
        </w:rPr>
      </w:pPr>
      <w:r>
        <w:rPr>
          <w:rFonts w:hint="eastAsia"/>
        </w:rPr>
        <w:t>广播和电视局</w:t>
      </w:r>
      <w:r>
        <w:rPr>
          <w:rFonts w:hint="eastAsia"/>
        </w:rPr>
        <w:t>(</w:t>
      </w:r>
      <w:r>
        <w:rPr>
          <w:rFonts w:hint="eastAsia"/>
        </w:rPr>
        <w:t>广电局</w:t>
      </w:r>
      <w:r>
        <w:rPr>
          <w:rFonts w:hint="eastAsia"/>
        </w:rPr>
        <w:t>)</w:t>
      </w:r>
      <w:r>
        <w:rPr>
          <w:rFonts w:hint="eastAsia"/>
        </w:rPr>
        <w:t>关于“广播和电视新闻工作道德准则”的第</w:t>
      </w:r>
      <w:r>
        <w:rPr>
          <w:rFonts w:hint="eastAsia"/>
        </w:rPr>
        <w:t>1/1991</w:t>
      </w:r>
      <w:r>
        <w:rPr>
          <w:rFonts w:hint="eastAsia"/>
        </w:rPr>
        <w:t>号条例以及关于“广播和电视节目”的第</w:t>
      </w:r>
      <w:r>
        <w:rPr>
          <w:rFonts w:hint="eastAsia"/>
        </w:rPr>
        <w:t>2/1991</w:t>
      </w:r>
      <w:r>
        <w:rPr>
          <w:rFonts w:hint="eastAsia"/>
        </w:rPr>
        <w:t>号条例中规定必须对人格、个人和家庭生活、职业活动进行保护，以及必须维护人们的荣誉和自尊心。个人生活应受到尊重，对于个人信息，只得在用于公益目的的情况下，方可进行审查或予以播送。</w:t>
      </w:r>
    </w:p>
    <w:p w:rsidR="00000000" w:rsidRDefault="00000000">
      <w:pPr>
        <w:rPr>
          <w:rFonts w:hint="eastAsia"/>
        </w:rPr>
      </w:pPr>
      <w:r>
        <w:rPr>
          <w:rFonts w:hint="eastAsia"/>
        </w:rPr>
        <w:tab/>
        <w:t xml:space="preserve">639.  </w:t>
      </w:r>
      <w:r>
        <w:rPr>
          <w:rFonts w:hint="eastAsia"/>
        </w:rPr>
        <w:t>行政做法：除自由的一般原则外，对人权和人格的尊重对希腊的大众媒体也有着制约作用。尤其表现在以下各个方面：</w:t>
      </w:r>
    </w:p>
    <w:p w:rsidR="00000000" w:rsidRDefault="00000000">
      <w:pPr>
        <w:numPr>
          <w:ilvl w:val="0"/>
          <w:numId w:val="791"/>
        </w:numPr>
        <w:rPr>
          <w:rFonts w:hint="eastAsia"/>
        </w:rPr>
      </w:pPr>
      <w:r>
        <w:rPr>
          <w:rFonts w:hint="eastAsia"/>
        </w:rPr>
        <w:t>ERA1</w:t>
      </w:r>
      <w:r>
        <w:rPr>
          <w:rFonts w:hint="eastAsia"/>
        </w:rPr>
        <w:t>台播送以下节目：</w:t>
      </w:r>
    </w:p>
    <w:p w:rsidR="00000000" w:rsidRDefault="00000000">
      <w:pPr>
        <w:pStyle w:val="a0"/>
        <w:tabs>
          <w:tab w:val="num" w:pos="2070"/>
        </w:tabs>
        <w:ind w:left="2070"/>
        <w:rPr>
          <w:rFonts w:hint="eastAsia"/>
          <w:spacing w:val="4"/>
        </w:rPr>
      </w:pPr>
      <w:r>
        <w:rPr>
          <w:rFonts w:hint="eastAsia"/>
          <w:spacing w:val="4"/>
        </w:rPr>
        <w:t>每周播送一小时题为“我行使我的权利”的节目，涉及对行使个人权利</w:t>
      </w:r>
      <w:r>
        <w:rPr>
          <w:rFonts w:hint="eastAsia"/>
          <w:spacing w:val="4"/>
        </w:rPr>
        <w:t>(</w:t>
      </w:r>
      <w:r>
        <w:rPr>
          <w:rFonts w:hint="eastAsia"/>
          <w:spacing w:val="4"/>
        </w:rPr>
        <w:t>包括社会和文化权利</w:t>
      </w:r>
      <w:r>
        <w:rPr>
          <w:rFonts w:hint="eastAsia"/>
          <w:spacing w:val="4"/>
        </w:rPr>
        <w:t>)</w:t>
      </w:r>
      <w:r>
        <w:rPr>
          <w:rFonts w:hint="eastAsia"/>
          <w:spacing w:val="4"/>
        </w:rPr>
        <w:t>方面的介绍、分析和行使程序；以及</w:t>
      </w:r>
    </w:p>
    <w:p w:rsidR="00000000" w:rsidRDefault="00000000">
      <w:pPr>
        <w:pStyle w:val="a0"/>
        <w:tabs>
          <w:tab w:val="num" w:pos="2070"/>
        </w:tabs>
        <w:ind w:left="2070"/>
        <w:rPr>
          <w:rFonts w:hint="eastAsia"/>
        </w:rPr>
      </w:pPr>
      <w:r>
        <w:rPr>
          <w:rFonts w:hint="eastAsia"/>
        </w:rPr>
        <w:t>每周播送一次题为“本周记事本”的节目，该节目内容丰富，对象是希腊的阿尔巴尼亚移民由居住在希腊的阿尔巴尼亚侨民论坛主席编辑并播出。</w:t>
      </w:r>
    </w:p>
    <w:p w:rsidR="00000000" w:rsidRDefault="00000000">
      <w:pPr>
        <w:pStyle w:val="a6"/>
        <w:rPr>
          <w:rFonts w:hint="eastAsia"/>
        </w:rPr>
      </w:pPr>
      <w:r>
        <w:t>(b)</w:t>
      </w:r>
      <w:r>
        <w:tab/>
      </w:r>
      <w:r>
        <w:rPr>
          <w:rFonts w:hint="eastAsia"/>
          <w:spacing w:val="0"/>
        </w:rPr>
        <w:t>东马其顿和色雷斯</w:t>
      </w:r>
      <w:r>
        <w:rPr>
          <w:spacing w:val="0"/>
        </w:rPr>
        <w:t xml:space="preserve">ERA, </w:t>
      </w:r>
      <w:r>
        <w:rPr>
          <w:rFonts w:hint="eastAsia"/>
          <w:spacing w:val="0"/>
        </w:rPr>
        <w:t>尤其是</w:t>
      </w:r>
      <w:r>
        <w:rPr>
          <w:spacing w:val="0"/>
        </w:rPr>
        <w:t>Komotini</w:t>
      </w:r>
      <w:r>
        <w:rPr>
          <w:rFonts w:hint="eastAsia"/>
          <w:spacing w:val="0"/>
        </w:rPr>
        <w:t>地区广播电台，播送以下节目：</w:t>
      </w:r>
    </w:p>
    <w:p w:rsidR="00000000" w:rsidRDefault="00000000">
      <w:pPr>
        <w:pStyle w:val="a0"/>
        <w:tabs>
          <w:tab w:val="num" w:pos="2070"/>
        </w:tabs>
        <w:ind w:left="2070"/>
        <w:rPr>
          <w:rFonts w:hint="eastAsia"/>
        </w:rPr>
      </w:pPr>
      <w:r>
        <w:rPr>
          <w:rFonts w:hint="eastAsia"/>
        </w:rPr>
        <w:t>每周以土耳其语播送一小时信息报道节目，题为“</w:t>
      </w:r>
      <w:r>
        <w:t>Helicon</w:t>
      </w:r>
      <w:r>
        <w:rPr>
          <w:rFonts w:hint="eastAsia"/>
        </w:rPr>
        <w:t>”，由一名少数民族记者编辑并播出；</w:t>
      </w:r>
    </w:p>
    <w:p w:rsidR="00000000" w:rsidRDefault="00000000">
      <w:pPr>
        <w:pStyle w:val="a0"/>
        <w:tabs>
          <w:tab w:val="num" w:pos="2070"/>
        </w:tabs>
        <w:ind w:left="2070"/>
        <w:rPr>
          <w:rFonts w:hint="eastAsia"/>
        </w:rPr>
      </w:pPr>
      <w:r>
        <w:rPr>
          <w:rFonts w:hint="eastAsia"/>
        </w:rPr>
        <w:t>每周以土耳其语播送半小时新闻节目，由一名少数民族记者编辑；以及</w:t>
      </w:r>
    </w:p>
    <w:p w:rsidR="00000000" w:rsidRDefault="00000000">
      <w:pPr>
        <w:pStyle w:val="a0"/>
        <w:tabs>
          <w:tab w:val="num" w:pos="2070"/>
        </w:tabs>
        <w:ind w:left="2070"/>
        <w:rPr>
          <w:rFonts w:hint="eastAsia"/>
        </w:rPr>
      </w:pPr>
      <w:r>
        <w:rPr>
          <w:rFonts w:hint="eastAsia"/>
        </w:rPr>
        <w:t>每周音乐和文化信息报道节目，题为“我们这些其他人”，由一名基督教记者和一名穆斯林记者编辑。</w:t>
      </w:r>
    </w:p>
    <w:p w:rsidR="00000000" w:rsidRDefault="00000000">
      <w:pPr>
        <w:pStyle w:val="a6"/>
        <w:rPr>
          <w:rFonts w:hint="eastAsia"/>
        </w:rPr>
      </w:pPr>
      <w:r>
        <w:t>(c)</w:t>
      </w:r>
      <w:r>
        <w:rPr>
          <w:rFonts w:hint="eastAsia"/>
        </w:rPr>
        <w:t xml:space="preserve">  </w:t>
      </w:r>
      <w:r>
        <w:t>ERA 5,</w:t>
      </w:r>
      <w:r>
        <w:rPr>
          <w:rFonts w:hint="eastAsia"/>
        </w:rPr>
        <w:t xml:space="preserve"> </w:t>
      </w:r>
      <w:r>
        <w:rPr>
          <w:rFonts w:hint="eastAsia"/>
        </w:rPr>
        <w:t>尤其是其“希腊之声”节目还播送以下节目：</w:t>
      </w:r>
    </w:p>
    <w:p w:rsidR="00000000" w:rsidRDefault="00000000">
      <w:pPr>
        <w:pStyle w:val="a0"/>
        <w:tabs>
          <w:tab w:val="num" w:pos="2070"/>
        </w:tabs>
        <w:ind w:left="2070"/>
        <w:rPr>
          <w:rFonts w:hint="eastAsia"/>
        </w:rPr>
      </w:pPr>
      <w:r>
        <w:rPr>
          <w:rFonts w:hint="eastAsia"/>
        </w:rPr>
        <w:t>每周以</w:t>
      </w:r>
      <w:r>
        <w:rPr>
          <w:rFonts w:hint="eastAsia"/>
        </w:rPr>
        <w:t>12</w:t>
      </w:r>
      <w:r>
        <w:rPr>
          <w:rFonts w:hint="eastAsia"/>
        </w:rPr>
        <w:t>种外语播送新闻、报道和评论，使希腊国内外听众及时了解情况。该节目涉及财政部、公共管理与权力下放部、劳动与社会保障部、卫生与福利部、文化部、以及社会保障基金会、劳动人员就业组织、地方行政管理部门及其他机构的与政治难民和经济移民有关的方案和活动。该节目每天为外国听众提供关于反种族主义非政府组织的活动的最新信息，并与希腊的移民社区进行合作，同时与外国听众保持公开的交流；以及</w:t>
      </w:r>
    </w:p>
    <w:p w:rsidR="00000000" w:rsidRDefault="00000000">
      <w:pPr>
        <w:pStyle w:val="a0"/>
        <w:tabs>
          <w:tab w:val="num" w:pos="2070"/>
        </w:tabs>
        <w:ind w:left="2070"/>
        <w:rPr>
          <w:rFonts w:hint="eastAsia"/>
        </w:rPr>
      </w:pPr>
      <w:r>
        <w:rPr>
          <w:rFonts w:hint="eastAsia"/>
        </w:rPr>
        <w:t>周末播送音乐节目，并有文化评论和报道，特别介绍侨居希腊的移民群体的民族音乐。</w:t>
      </w:r>
    </w:p>
    <w:p w:rsidR="00000000" w:rsidRDefault="00000000">
      <w:pPr>
        <w:rPr>
          <w:rFonts w:hint="eastAsia"/>
        </w:rPr>
      </w:pPr>
      <w:r>
        <w:rPr>
          <w:rFonts w:hint="eastAsia"/>
        </w:rPr>
        <w:tab/>
        <w:t xml:space="preserve">640.  </w:t>
      </w:r>
      <w:r>
        <w:rPr>
          <w:rFonts w:hint="eastAsia"/>
        </w:rPr>
        <w:t>到</w:t>
      </w:r>
      <w:r>
        <w:rPr>
          <w:rFonts w:hint="eastAsia"/>
        </w:rPr>
        <w:t>2001</w:t>
      </w:r>
      <w:r>
        <w:rPr>
          <w:rFonts w:hint="eastAsia"/>
        </w:rPr>
        <w:t>年为止，“希腊盲人国家信息和教育方案”从电台和电视台</w:t>
      </w:r>
      <w:r>
        <w:rPr>
          <w:rFonts w:hint="eastAsia"/>
        </w:rPr>
        <w:t>1995</w:t>
      </w:r>
      <w:r>
        <w:rPr>
          <w:rFonts w:hint="eastAsia"/>
        </w:rPr>
        <w:t>年至</w:t>
      </w:r>
      <w:r>
        <w:rPr>
          <w:rFonts w:hint="eastAsia"/>
        </w:rPr>
        <w:t>1999</w:t>
      </w:r>
      <w:r>
        <w:rPr>
          <w:rFonts w:hint="eastAsia"/>
        </w:rPr>
        <w:t>年的债务中获得</w:t>
      </w:r>
      <w:r>
        <w:rPr>
          <w:rFonts w:hint="eastAsia"/>
        </w:rPr>
        <w:t>1,275,000,000</w:t>
      </w:r>
      <w:r>
        <w:rPr>
          <w:rFonts w:hint="eastAsia"/>
        </w:rPr>
        <w:t>德拉克马。其中，</w:t>
      </w:r>
      <w:r>
        <w:rPr>
          <w:rFonts w:hint="eastAsia"/>
        </w:rPr>
        <w:t>4.95</w:t>
      </w:r>
      <w:r>
        <w:rPr>
          <w:rFonts w:hint="eastAsia"/>
        </w:rPr>
        <w:t>亿德拉克马的款项已拨给盲人培训和恢复就业中心以及希腊盲人协会，另外</w:t>
      </w:r>
      <w:r>
        <w:rPr>
          <w:rFonts w:hint="eastAsia"/>
        </w:rPr>
        <w:t>7.8</w:t>
      </w:r>
      <w:r>
        <w:rPr>
          <w:rFonts w:hint="eastAsia"/>
        </w:rPr>
        <w:t>亿德拉克马将通过分期付款的办法于</w:t>
      </w:r>
      <w:r>
        <w:rPr>
          <w:rFonts w:hint="eastAsia"/>
        </w:rPr>
        <w:t>2002</w:t>
      </w:r>
      <w:r>
        <w:rPr>
          <w:rFonts w:hint="eastAsia"/>
        </w:rPr>
        <w:t>年第一季度付清。</w:t>
      </w:r>
    </w:p>
    <w:p w:rsidR="00000000" w:rsidRDefault="00000000">
      <w:pPr>
        <w:rPr>
          <w:rFonts w:hint="eastAsia"/>
        </w:rPr>
      </w:pPr>
      <w:r>
        <w:rPr>
          <w:rFonts w:hint="eastAsia"/>
        </w:rPr>
        <w:tab/>
        <w:t xml:space="preserve">641.  </w:t>
      </w:r>
      <w:r>
        <w:rPr>
          <w:rFonts w:hint="eastAsia"/>
        </w:rPr>
        <w:t>文化部这一方面，由于认识到大众传播媒体对鼓励公民参与本国文化生活的特殊作用，经与</w:t>
      </w:r>
      <w:r>
        <w:t>Patra</w:t>
      </w:r>
      <w:r>
        <w:rPr>
          <w:rFonts w:hint="eastAsia"/>
        </w:rPr>
        <w:t>大学不断合作，建立了一个叫“尤利西斯”的希腊文和英文的国际文化最新信息链接</w:t>
      </w:r>
      <w:r>
        <w:rPr>
          <w:rFonts w:hint="eastAsia"/>
        </w:rPr>
        <w:t>(</w:t>
      </w:r>
      <w:r>
        <w:t>www.culture.gr)</w:t>
      </w:r>
      <w:r>
        <w:rPr>
          <w:rFonts w:hint="eastAsia"/>
        </w:rPr>
        <w:t>，并对其加以更新。每天访问该链接的点击数为</w:t>
      </w:r>
      <w:r>
        <w:rPr>
          <w:rFonts w:hint="eastAsia"/>
        </w:rPr>
        <w:t>10,000</w:t>
      </w:r>
      <w:r>
        <w:rPr>
          <w:rFonts w:hint="eastAsia"/>
        </w:rPr>
        <w:t>至</w:t>
      </w:r>
      <w:r>
        <w:rPr>
          <w:rFonts w:hint="eastAsia"/>
        </w:rPr>
        <w:t>15,000</w:t>
      </w:r>
      <w:r>
        <w:rPr>
          <w:rFonts w:hint="eastAsia"/>
        </w:rPr>
        <w:t>次，其中</w:t>
      </w:r>
      <w:r>
        <w:rPr>
          <w:rFonts w:hint="eastAsia"/>
        </w:rPr>
        <w:t>80%</w:t>
      </w:r>
      <w:r>
        <w:rPr>
          <w:rFonts w:hint="eastAsia"/>
        </w:rPr>
        <w:t>来自国外。通过这一链接，文化部为向公民进行大众传播提供了保障和便利，使其能参与到文化生活中去。该链接中包括以下方面的详细信息和数据：</w:t>
      </w:r>
    </w:p>
    <w:p w:rsidR="00000000" w:rsidRDefault="00000000">
      <w:pPr>
        <w:pStyle w:val="a0"/>
        <w:tabs>
          <w:tab w:val="num" w:pos="1530"/>
        </w:tabs>
        <w:ind w:left="1530"/>
        <w:rPr>
          <w:rFonts w:hint="eastAsia"/>
        </w:rPr>
      </w:pPr>
      <w:r>
        <w:rPr>
          <w:rFonts w:hint="eastAsia"/>
        </w:rPr>
        <w:t>文化部的性质和工作：介绍政治领导人、文化部的机构、其工作与活动</w:t>
      </w:r>
      <w:r>
        <w:rPr>
          <w:rFonts w:hint="eastAsia"/>
        </w:rPr>
        <w:t>(</w:t>
      </w:r>
      <w:r>
        <w:rPr>
          <w:rFonts w:hint="eastAsia"/>
        </w:rPr>
        <w:t>项目</w:t>
      </w:r>
      <w:r>
        <w:rPr>
          <w:rFonts w:hint="eastAsia"/>
        </w:rPr>
        <w:t>)</w:t>
      </w:r>
      <w:r>
        <w:rPr>
          <w:rFonts w:hint="eastAsia"/>
        </w:rPr>
        <w:t>、关于文化遗产和文化发展的立法；</w:t>
      </w:r>
    </w:p>
    <w:p w:rsidR="00000000" w:rsidRDefault="00000000">
      <w:pPr>
        <w:pStyle w:val="a0"/>
        <w:tabs>
          <w:tab w:val="num" w:pos="1530"/>
        </w:tabs>
        <w:ind w:left="1530"/>
        <w:rPr>
          <w:rFonts w:hint="eastAsia"/>
        </w:rPr>
      </w:pPr>
      <w:r>
        <w:rPr>
          <w:rFonts w:hint="eastAsia"/>
        </w:rPr>
        <w:t>希腊的博物馆、遗迹和考古场址：通过图文宣传和介绍希腊文化宝库中的大部分作品。介绍文化部管理的博物馆的考古活动、介绍在博物馆、遗迹和考古场址执行的教育方案。介绍本国不同博物馆现在和过去所举办的考古展览；</w:t>
      </w:r>
    </w:p>
    <w:p w:rsidR="00000000" w:rsidRDefault="00000000">
      <w:pPr>
        <w:pStyle w:val="a0"/>
        <w:tabs>
          <w:tab w:val="num" w:pos="1530"/>
        </w:tabs>
        <w:ind w:left="1530"/>
        <w:rPr>
          <w:rFonts w:hint="eastAsia"/>
        </w:rPr>
      </w:pPr>
      <w:r>
        <w:rPr>
          <w:rFonts w:hint="eastAsia"/>
        </w:rPr>
        <w:t>现代和最近的文化创作：促进本国现代和最近的文化生活。介绍各单位和组织在不同部门的政策、活动及有关类型主题的大事；</w:t>
      </w:r>
    </w:p>
    <w:p w:rsidR="00000000" w:rsidRDefault="00000000">
      <w:pPr>
        <w:pStyle w:val="a0"/>
        <w:tabs>
          <w:tab w:val="num" w:pos="1530"/>
        </w:tabs>
        <w:ind w:left="1530"/>
        <w:rPr>
          <w:rFonts w:hint="eastAsia"/>
        </w:rPr>
      </w:pPr>
      <w:r>
        <w:rPr>
          <w:rFonts w:hint="eastAsia"/>
        </w:rPr>
        <w:t>文化组织：介绍与文化部有直接联系</w:t>
      </w:r>
      <w:r>
        <w:rPr>
          <w:rFonts w:hint="eastAsia"/>
        </w:rPr>
        <w:t>(</w:t>
      </w:r>
      <w:r>
        <w:rPr>
          <w:rFonts w:hint="eastAsia"/>
        </w:rPr>
        <w:t>通过政策合同接受补贴、监督或管理</w:t>
      </w:r>
      <w:r>
        <w:rPr>
          <w:rFonts w:hint="eastAsia"/>
        </w:rPr>
        <w:t>)</w:t>
      </w:r>
      <w:r>
        <w:rPr>
          <w:rFonts w:hint="eastAsia"/>
        </w:rPr>
        <w:t>的科学</w:t>
      </w:r>
      <w:r>
        <w:rPr>
          <w:rFonts w:hint="eastAsia"/>
          <w:spacing w:val="-40"/>
        </w:rPr>
        <w:t>――</w:t>
      </w:r>
      <w:r>
        <w:rPr>
          <w:rFonts w:hint="eastAsia"/>
          <w:spacing w:val="-40"/>
        </w:rPr>
        <w:t xml:space="preserve">  </w:t>
      </w:r>
      <w:r>
        <w:rPr>
          <w:rFonts w:hint="eastAsia"/>
        </w:rPr>
        <w:t>文化基金会、研究所、机构和组织；</w:t>
      </w:r>
    </w:p>
    <w:p w:rsidR="00000000" w:rsidRDefault="00000000">
      <w:pPr>
        <w:pStyle w:val="a0"/>
        <w:tabs>
          <w:tab w:val="num" w:pos="1530"/>
        </w:tabs>
        <w:ind w:left="1530"/>
        <w:rPr>
          <w:rFonts w:hint="eastAsia"/>
        </w:rPr>
      </w:pPr>
      <w:r>
        <w:rPr>
          <w:rFonts w:hint="eastAsia"/>
        </w:rPr>
        <w:t>文化活动：介绍和促进与文化部有关希腊的各项文化活动。通过多项</w:t>
      </w:r>
      <w:r>
        <w:rPr>
          <w:rFonts w:hint="eastAsia"/>
        </w:rPr>
        <w:t>(</w:t>
      </w:r>
      <w:r>
        <w:rPr>
          <w:rFonts w:hint="eastAsia"/>
        </w:rPr>
        <w:t>主题</w:t>
      </w:r>
      <w:r>
        <w:rPr>
          <w:rFonts w:hint="eastAsia"/>
        </w:rPr>
        <w:t>)</w:t>
      </w:r>
      <w:r>
        <w:rPr>
          <w:rFonts w:hint="eastAsia"/>
        </w:rPr>
        <w:t>检索，游览活动网页；</w:t>
      </w:r>
    </w:p>
    <w:p w:rsidR="00000000" w:rsidRDefault="00000000">
      <w:pPr>
        <w:pStyle w:val="a0"/>
        <w:tabs>
          <w:tab w:val="num" w:pos="1530"/>
        </w:tabs>
        <w:ind w:left="1530"/>
        <w:rPr>
          <w:rFonts w:hint="eastAsia"/>
        </w:rPr>
      </w:pPr>
      <w:r>
        <w:rPr>
          <w:rFonts w:hint="eastAsia"/>
        </w:rPr>
        <w:t>精选文化活动：介绍和宣传本国具有里程碑意义的重大文化活动</w:t>
      </w:r>
      <w:r>
        <w:rPr>
          <w:rFonts w:hint="eastAsia"/>
        </w:rPr>
        <w:t>(</w:t>
      </w:r>
      <w:r>
        <w:rPr>
          <w:rFonts w:hint="eastAsia"/>
        </w:rPr>
        <w:t>文化活动、展览、方案等</w:t>
      </w:r>
      <w:r>
        <w:rPr>
          <w:rFonts w:hint="eastAsia"/>
        </w:rPr>
        <w:t>)</w:t>
      </w:r>
      <w:r>
        <w:rPr>
          <w:rFonts w:hint="eastAsia"/>
        </w:rPr>
        <w:t>；</w:t>
      </w:r>
    </w:p>
    <w:p w:rsidR="00000000" w:rsidRDefault="00000000">
      <w:pPr>
        <w:pStyle w:val="a0"/>
        <w:tabs>
          <w:tab w:val="num" w:pos="1530"/>
        </w:tabs>
        <w:ind w:left="1530"/>
        <w:rPr>
          <w:rFonts w:hint="eastAsia"/>
        </w:rPr>
      </w:pPr>
      <w:r>
        <w:rPr>
          <w:rFonts w:hint="eastAsia"/>
        </w:rPr>
        <w:t>盛赞：介绍和宣传重大文化主题活动</w:t>
      </w:r>
      <w:r>
        <w:rPr>
          <w:rFonts w:hint="eastAsia"/>
        </w:rPr>
        <w:t>(</w:t>
      </w:r>
      <w:r>
        <w:rPr>
          <w:rFonts w:hint="eastAsia"/>
        </w:rPr>
        <w:t>奥林匹克运动会、巴台民神庙大理石雕像等</w:t>
      </w:r>
      <w:r>
        <w:rPr>
          <w:rFonts w:hint="eastAsia"/>
        </w:rPr>
        <w:t>)</w:t>
      </w:r>
      <w:r>
        <w:rPr>
          <w:rFonts w:hint="eastAsia"/>
        </w:rPr>
        <w:t>；</w:t>
      </w:r>
    </w:p>
    <w:p w:rsidR="00000000" w:rsidRDefault="00000000">
      <w:pPr>
        <w:pStyle w:val="a0"/>
        <w:tabs>
          <w:tab w:val="num" w:pos="1530"/>
        </w:tabs>
        <w:ind w:left="1530"/>
        <w:rPr>
          <w:rFonts w:hint="eastAsia"/>
        </w:rPr>
      </w:pPr>
      <w:r>
        <w:rPr>
          <w:rFonts w:hint="eastAsia"/>
        </w:rPr>
        <w:t>通知、新闻稿和宣言：向本链接的访问者介绍新闻稿、通知</w:t>
      </w:r>
      <w:r>
        <w:rPr>
          <w:rFonts w:hint="eastAsia"/>
        </w:rPr>
        <w:t>(</w:t>
      </w:r>
      <w:r>
        <w:rPr>
          <w:rFonts w:hint="eastAsia"/>
        </w:rPr>
        <w:t>有关文化部所公布的立场</w:t>
      </w:r>
      <w:r>
        <w:rPr>
          <w:rFonts w:hint="eastAsia"/>
        </w:rPr>
        <w:t>)</w:t>
      </w:r>
      <w:r>
        <w:rPr>
          <w:rFonts w:hint="eastAsia"/>
        </w:rPr>
        <w:t>和通告；</w:t>
      </w:r>
    </w:p>
    <w:p w:rsidR="00000000" w:rsidRDefault="00000000">
      <w:pPr>
        <w:pStyle w:val="a0"/>
        <w:tabs>
          <w:tab w:val="num" w:pos="1530"/>
        </w:tabs>
        <w:ind w:left="1530"/>
        <w:rPr>
          <w:rFonts w:hint="eastAsia"/>
        </w:rPr>
      </w:pPr>
      <w:r>
        <w:rPr>
          <w:rFonts w:hint="eastAsia"/>
        </w:rPr>
        <w:t>因特网指南：介绍因特网上的其他文化链接</w:t>
      </w:r>
      <w:r>
        <w:rPr>
          <w:rFonts w:hint="eastAsia"/>
        </w:rPr>
        <w:t>(</w:t>
      </w:r>
      <w:r>
        <w:rPr>
          <w:rFonts w:hint="eastAsia"/>
        </w:rPr>
        <w:t>希腊的和国外的</w:t>
      </w:r>
      <w:r>
        <w:rPr>
          <w:rFonts w:hint="eastAsia"/>
        </w:rPr>
        <w:t>)</w:t>
      </w:r>
      <w:r>
        <w:rPr>
          <w:rFonts w:hint="eastAsia"/>
        </w:rPr>
        <w:t>以及世界上其他国家的文化部、国际文化组织等的链接。</w:t>
      </w:r>
    </w:p>
    <w:p w:rsidR="00000000" w:rsidRDefault="00000000">
      <w:pPr>
        <w:rPr>
          <w:rFonts w:hint="eastAsia"/>
        </w:rPr>
      </w:pPr>
      <w:r>
        <w:rPr>
          <w:rFonts w:hint="eastAsia"/>
        </w:rPr>
        <w:tab/>
        <w:t xml:space="preserve">642.  </w:t>
      </w:r>
      <w:r>
        <w:rPr>
          <w:rFonts w:hint="eastAsia"/>
        </w:rPr>
        <w:t>文化部还为以下各链接提供支持：“</w:t>
      </w:r>
      <w:r>
        <w:t>Alexandros</w:t>
      </w:r>
      <w:r>
        <w:rPr>
          <w:rFonts w:hint="eastAsia"/>
        </w:rPr>
        <w:t>”链接</w:t>
      </w:r>
      <w:r>
        <w:rPr>
          <w:rFonts w:hint="eastAsia"/>
        </w:rPr>
        <w:t>(</w:t>
      </w:r>
      <w:r>
        <w:rPr>
          <w:rFonts w:hint="eastAsia"/>
        </w:rPr>
        <w:t>提供关于马其顿的文化活动的信息</w:t>
      </w:r>
      <w:r>
        <w:rPr>
          <w:rFonts w:hint="eastAsia"/>
        </w:rPr>
        <w:t>)</w:t>
      </w:r>
      <w:r>
        <w:rPr>
          <w:rFonts w:hint="eastAsia"/>
        </w:rPr>
        <w:t>、国家图书中心</w:t>
      </w:r>
      <w:r>
        <w:rPr>
          <w:rFonts w:hint="eastAsia"/>
        </w:rPr>
        <w:t>(</w:t>
      </w:r>
      <w:r>
        <w:rPr>
          <w:rFonts w:hint="eastAsia"/>
        </w:rPr>
        <w:t>国图中心</w:t>
      </w:r>
      <w:r>
        <w:rPr>
          <w:rFonts w:hint="eastAsia"/>
        </w:rPr>
        <w:t>)</w:t>
      </w:r>
      <w:r>
        <w:rPr>
          <w:rFonts w:hint="eastAsia"/>
        </w:rPr>
        <w:t>链接和希腊电影中心链接。</w:t>
      </w:r>
    </w:p>
    <w:p w:rsidR="00000000" w:rsidRDefault="00000000">
      <w:pPr>
        <w:rPr>
          <w:rFonts w:hint="eastAsia"/>
        </w:rPr>
      </w:pPr>
      <w:r>
        <w:rPr>
          <w:rFonts w:hint="eastAsia"/>
        </w:rPr>
        <w:tab/>
        <w:t xml:space="preserve">643.  </w:t>
      </w:r>
      <w:r>
        <w:rPr>
          <w:rFonts w:hint="eastAsia"/>
        </w:rPr>
        <w:t>“尤利西斯”这一文化部的链接，是希腊通向世界的因特网文化门户，</w:t>
      </w:r>
      <w:r>
        <w:rPr>
          <w:rFonts w:hint="eastAsia"/>
        </w:rPr>
        <w:t>1995</w:t>
      </w:r>
      <w:r>
        <w:rPr>
          <w:rFonts w:hint="eastAsia"/>
        </w:rPr>
        <w:t>年底开通。文化部</w:t>
      </w:r>
      <w:r>
        <w:rPr>
          <w:rFonts w:hint="eastAsia"/>
        </w:rPr>
        <w:t>(</w:t>
      </w:r>
      <w:r>
        <w:rPr>
          <w:rFonts w:hint="eastAsia"/>
        </w:rPr>
        <w:t>负责管理希腊几乎所有的文化遗产</w:t>
      </w:r>
      <w:r>
        <w:rPr>
          <w:rFonts w:hint="eastAsia"/>
        </w:rPr>
        <w:t>)</w:t>
      </w:r>
      <w:r>
        <w:rPr>
          <w:rFonts w:hint="eastAsia"/>
        </w:rPr>
        <w:t>让全世界的因特网用户能直接得到关于希腊文化的文献资料。</w:t>
      </w:r>
    </w:p>
    <w:p w:rsidR="00000000" w:rsidRDefault="00000000">
      <w:pPr>
        <w:rPr>
          <w:rFonts w:hint="eastAsia"/>
        </w:rPr>
      </w:pPr>
      <w:r>
        <w:rPr>
          <w:rFonts w:hint="eastAsia"/>
        </w:rPr>
        <w:tab/>
        <w:t xml:space="preserve">644.  </w:t>
      </w:r>
      <w:r>
        <w:rPr>
          <w:rFonts w:hint="eastAsia"/>
        </w:rPr>
        <w:t>现正在更新该链接，并考虑采用新的形式。更新该链接是必要的，也是文化部的工作重点，因为通过信息社会，希腊文化可以成为吸引因特网大量用户的一大内容。由于技术的发展，现已可以直接、有效地介绍和宣传希腊文化，并使其对全世界产生更大的影响。</w:t>
      </w:r>
    </w:p>
    <w:p w:rsidR="00000000" w:rsidRDefault="00000000">
      <w:pPr>
        <w:spacing w:after="240"/>
        <w:rPr>
          <w:rFonts w:hint="eastAsia"/>
        </w:rPr>
      </w:pPr>
      <w:r>
        <w:rPr>
          <w:rFonts w:hint="eastAsia"/>
        </w:rPr>
        <w:tab/>
        <w:t xml:space="preserve">645.  </w:t>
      </w:r>
      <w:r>
        <w:rPr>
          <w:rFonts w:hint="eastAsia"/>
        </w:rPr>
        <w:t>文化部通过其新闻办公室向所有大众媒体发布特别信息，并在其园形剧院中定期采访部领导，从而让公众和大众媒体了解其关于文化问题的政策和战略、有关文化遗产领域中的项目的进展或问题、以及关于文化部重大项目的一般信息，如“文化领土”、雅典考古场址的统一规划、阿克罗波利斯遗迹的保护、“</w:t>
      </w:r>
      <w:r>
        <w:t>Melina</w:t>
      </w:r>
      <w:r>
        <w:rPr>
          <w:rFonts w:hint="eastAsia"/>
        </w:rPr>
        <w:t>”项目和国外的现代希腊研究中心。</w:t>
      </w:r>
    </w:p>
    <w:p w:rsidR="00000000" w:rsidRDefault="00000000">
      <w:pPr>
        <w:pStyle w:val="Heading4"/>
        <w:rPr>
          <w:rFonts w:hint="eastAsia"/>
        </w:rPr>
      </w:pPr>
      <w:r>
        <w:rPr>
          <w:rFonts w:hint="eastAsia"/>
        </w:rPr>
        <w:t>保存和介绍人类的文化遗产</w:t>
      </w:r>
    </w:p>
    <w:p w:rsidR="00000000" w:rsidRDefault="00000000">
      <w:pPr>
        <w:rPr>
          <w:rFonts w:hint="eastAsia"/>
        </w:rPr>
      </w:pPr>
      <w:r>
        <w:rPr>
          <w:rFonts w:hint="eastAsia"/>
        </w:rPr>
        <w:tab/>
        <w:t xml:space="preserve">646.  </w:t>
      </w:r>
      <w:r>
        <w:rPr>
          <w:rFonts w:hint="eastAsia"/>
        </w:rPr>
        <w:t>文化部出于其对保护人类文化遗产的关心，争取让希腊古迹被教科文组织宣布为世界性遗迹，并使其列为教科文组织的世界遗产。遗迹档案总局自希腊建国以来即对这些遗产进行文字记录。这些档案可用现代标准并使用新技术和媒体来运作：德尔斐</w:t>
      </w:r>
      <w:r>
        <w:rPr>
          <w:rFonts w:hint="eastAsia"/>
        </w:rPr>
        <w:t>(</w:t>
      </w:r>
      <w:r>
        <w:rPr>
          <w:rFonts w:hint="eastAsia"/>
        </w:rPr>
        <w:t>考古场址</w:t>
      </w:r>
      <w:r>
        <w:rPr>
          <w:rFonts w:hint="eastAsia"/>
        </w:rPr>
        <w:t>)</w:t>
      </w:r>
      <w:r>
        <w:rPr>
          <w:rFonts w:hint="eastAsia"/>
        </w:rPr>
        <w:t>、</w:t>
      </w:r>
      <w:r>
        <w:t>Epidavros (</w:t>
      </w:r>
      <w:r>
        <w:rPr>
          <w:rFonts w:hint="eastAsia"/>
        </w:rPr>
        <w:t>考古场址</w:t>
      </w:r>
      <w:r>
        <w:rPr>
          <w:rFonts w:hint="eastAsia"/>
        </w:rPr>
        <w:t>)</w:t>
      </w:r>
      <w:r>
        <w:rPr>
          <w:rFonts w:hint="eastAsia"/>
        </w:rPr>
        <w:t>、</w:t>
      </w:r>
      <w:r>
        <w:t>Aghion Oros</w:t>
      </w:r>
      <w:r>
        <w:rPr>
          <w:rFonts w:hint="eastAsia"/>
        </w:rPr>
        <w:t>、雅典的阿克罗波利斯、</w:t>
      </w:r>
      <w:r>
        <w:t>Meteora</w:t>
      </w:r>
      <w:r>
        <w:rPr>
          <w:rFonts w:hint="eastAsia"/>
        </w:rPr>
        <w:t>、奥林匹亚、</w:t>
      </w:r>
      <w:r>
        <w:t>Mystras</w:t>
      </w:r>
      <w:r>
        <w:rPr>
          <w:rFonts w:hint="eastAsia"/>
        </w:rPr>
        <w:t>、</w:t>
      </w:r>
      <w:r>
        <w:t>Delos</w:t>
      </w:r>
      <w:r>
        <w:rPr>
          <w:rFonts w:hint="eastAsia"/>
        </w:rPr>
        <w:t>、</w:t>
      </w:r>
      <w:r>
        <w:t>Daphni</w:t>
      </w:r>
      <w:r>
        <w:rPr>
          <w:rFonts w:hint="eastAsia"/>
        </w:rPr>
        <w:t>庙、</w:t>
      </w:r>
      <w:r>
        <w:t>Osios Loukas</w:t>
      </w:r>
      <w:r>
        <w:rPr>
          <w:rFonts w:hint="eastAsia"/>
        </w:rPr>
        <w:t>庙、</w:t>
      </w:r>
      <w:r>
        <w:t>New Chios</w:t>
      </w:r>
      <w:r>
        <w:rPr>
          <w:rFonts w:hint="eastAsia"/>
        </w:rPr>
        <w:t>庙、</w:t>
      </w:r>
      <w:r>
        <w:t>Vasses</w:t>
      </w:r>
      <w:r>
        <w:rPr>
          <w:rFonts w:hint="eastAsia"/>
        </w:rPr>
        <w:t>、</w:t>
      </w:r>
      <w:r>
        <w:t>Epikourios Apollo</w:t>
      </w:r>
      <w:r>
        <w:rPr>
          <w:rFonts w:hint="eastAsia"/>
        </w:rPr>
        <w:t>神殿、萨洛尼卡、</w:t>
      </w:r>
      <w:r>
        <w:t>Paleochristian</w:t>
      </w:r>
      <w:r>
        <w:rPr>
          <w:rFonts w:hint="eastAsia"/>
        </w:rPr>
        <w:t>和拜占庭遗迹、</w:t>
      </w:r>
      <w:r>
        <w:t>Podos</w:t>
      </w:r>
      <w:r>
        <w:rPr>
          <w:rFonts w:hint="eastAsia"/>
        </w:rPr>
        <w:t>的中世纪城市、</w:t>
      </w:r>
      <w:r>
        <w:t>Samos</w:t>
      </w:r>
      <w:r>
        <w:rPr>
          <w:rFonts w:hint="eastAsia"/>
        </w:rPr>
        <w:t>的</w:t>
      </w:r>
      <w:r>
        <w:t>Pythagorio</w:t>
      </w:r>
      <w:r>
        <w:rPr>
          <w:rFonts w:hint="eastAsia"/>
        </w:rPr>
        <w:t>和</w:t>
      </w:r>
      <w:r>
        <w:t>Ireo</w:t>
      </w:r>
      <w:r>
        <w:rPr>
          <w:rFonts w:hint="eastAsia"/>
        </w:rPr>
        <w:t>、</w:t>
      </w:r>
      <w:r>
        <w:t>Chora</w:t>
      </w:r>
      <w:r>
        <w:rPr>
          <w:rFonts w:hint="eastAsia"/>
        </w:rPr>
        <w:t>、</w:t>
      </w:r>
      <w:r>
        <w:t>Vergina</w:t>
      </w:r>
      <w:r>
        <w:rPr>
          <w:rFonts w:hint="eastAsia"/>
        </w:rPr>
        <w:t>的考古场址和圣约翰庙、</w:t>
      </w:r>
      <w:r>
        <w:t>Patmos</w:t>
      </w:r>
      <w:r>
        <w:rPr>
          <w:rFonts w:hint="eastAsia"/>
        </w:rPr>
        <w:t>和约翰的</w:t>
      </w:r>
      <w:r>
        <w:t>Apocalypse</w:t>
      </w:r>
      <w:r>
        <w:rPr>
          <w:rFonts w:hint="eastAsia"/>
        </w:rPr>
        <w:t>窑。</w:t>
      </w:r>
    </w:p>
    <w:p w:rsidR="00000000" w:rsidRDefault="00000000">
      <w:pPr>
        <w:rPr>
          <w:rFonts w:hint="eastAsia"/>
        </w:rPr>
      </w:pPr>
      <w:r>
        <w:rPr>
          <w:rFonts w:hint="eastAsia"/>
        </w:rPr>
        <w:tab/>
        <w:t xml:space="preserve">647.  </w:t>
      </w:r>
      <w:r>
        <w:rPr>
          <w:rFonts w:hint="eastAsia"/>
        </w:rPr>
        <w:t>为上述遗迹成立了跨学科委员会，负责保护、保存和介绍这些遗迹。这些委员会的资金来自信贷管理基金。考古和征用基金也通过出版物和博物馆门票的收入为维护和介绍希腊文化遗产中的所有遗迹的工作提供资金。</w:t>
      </w:r>
    </w:p>
    <w:p w:rsidR="00000000" w:rsidRDefault="00000000">
      <w:pPr>
        <w:rPr>
          <w:rFonts w:hint="eastAsia"/>
        </w:rPr>
      </w:pPr>
      <w:r>
        <w:rPr>
          <w:rFonts w:hint="eastAsia"/>
        </w:rPr>
        <w:tab/>
        <w:t xml:space="preserve">648.  </w:t>
      </w:r>
      <w:r>
        <w:rPr>
          <w:rFonts w:hint="eastAsia"/>
        </w:rPr>
        <w:t>此外，从</w:t>
      </w:r>
      <w:r>
        <w:rPr>
          <w:rFonts w:hint="eastAsia"/>
        </w:rPr>
        <w:t>1997</w:t>
      </w:r>
      <w:r>
        <w:rPr>
          <w:rFonts w:hint="eastAsia"/>
        </w:rPr>
        <w:t>年至今，每年均对关于保护、管理和介绍上述作为世界遗产的遗迹，以及整个希腊的国家文化遗产的立法及其他措施进行评价。文化部年度方案中的各项活动，也由主管机构对其执行情况进行评价。关于文化遗产领域的上述工作，</w:t>
      </w:r>
      <w:r>
        <w:rPr>
          <w:rFonts w:hint="eastAsia"/>
        </w:rPr>
        <w:t>1997</w:t>
      </w:r>
      <w:r>
        <w:rPr>
          <w:rFonts w:hint="eastAsia"/>
        </w:rPr>
        <w:t>年、</w:t>
      </w:r>
      <w:r>
        <w:rPr>
          <w:rFonts w:hint="eastAsia"/>
        </w:rPr>
        <w:t>1998</w:t>
      </w:r>
      <w:r>
        <w:rPr>
          <w:rFonts w:hint="eastAsia"/>
        </w:rPr>
        <w:t>年和</w:t>
      </w:r>
      <w:r>
        <w:rPr>
          <w:rFonts w:hint="eastAsia"/>
        </w:rPr>
        <w:t>1999</w:t>
      </w:r>
      <w:r>
        <w:rPr>
          <w:rFonts w:hint="eastAsia"/>
        </w:rPr>
        <w:t>年的评价报告已由考古资源基金出资印成三本精美的出版物，详细介绍了以下方面的情况：</w:t>
      </w:r>
    </w:p>
    <w:p w:rsidR="00000000" w:rsidRDefault="00000000">
      <w:pPr>
        <w:numPr>
          <w:ilvl w:val="0"/>
          <w:numId w:val="795"/>
        </w:numPr>
        <w:rPr>
          <w:rFonts w:hint="eastAsia"/>
        </w:rPr>
      </w:pPr>
      <w:r>
        <w:rPr>
          <w:rFonts w:hint="eastAsia"/>
        </w:rPr>
        <w:t>每个领域的年度目标、行动、工程，和每个总局分别制定的重点工作所取得的成果，并记录了中央和地区各级文化遗产机构的活动情况；</w:t>
      </w:r>
    </w:p>
    <w:p w:rsidR="00000000" w:rsidRDefault="00000000">
      <w:pPr>
        <w:numPr>
          <w:ilvl w:val="0"/>
          <w:numId w:val="795"/>
        </w:numPr>
        <w:rPr>
          <w:rFonts w:hint="eastAsia"/>
        </w:rPr>
      </w:pPr>
      <w:r>
        <w:rPr>
          <w:rFonts w:hint="eastAsia"/>
        </w:rPr>
        <w:t>文化部跨学科的独立委员会在维护和修复特别重要的历史遗迹和遗址方面，所做工作的成果，特别是被教科文组织列为世界遗产历史遗迹和遗址；</w:t>
      </w:r>
    </w:p>
    <w:p w:rsidR="00000000" w:rsidRDefault="00000000">
      <w:pPr>
        <w:numPr>
          <w:ilvl w:val="0"/>
          <w:numId w:val="795"/>
        </w:numPr>
        <w:rPr>
          <w:rFonts w:hint="eastAsia"/>
        </w:rPr>
      </w:pPr>
      <w:r>
        <w:rPr>
          <w:rFonts w:hint="eastAsia"/>
        </w:rPr>
        <w:t>石器中心的调查和研究成果，石器中心是由文化部于</w:t>
      </w:r>
      <w:r>
        <w:rPr>
          <w:rFonts w:hint="eastAsia"/>
        </w:rPr>
        <w:t>1997</w:t>
      </w:r>
      <w:r>
        <w:rPr>
          <w:rFonts w:hint="eastAsia"/>
        </w:rPr>
        <w:t>年为历史遗迹和遗址而成立的，目的是为了了解遗迹受损的原因，发现保存和保护遗迹结构材料的方法。这些成果均通报并转送国际保护中心以及国际性科学杂志和刊物，如英格兰的《国际保存研究所学报》。石器中心同法国、联合王国、德国、瑞典、西班牙、保加利亚、意大利、美利坚合众国及其他国家的对等中心开展合作，即交换和传播其所发现和使用的诀窍和技术，又通过采用新技术来完善遗迹保存手段，让该行业中的专业人员及时了解最新知识，并提高公众和融资机构对这些问题的认识；</w:t>
      </w:r>
    </w:p>
    <w:p w:rsidR="00000000" w:rsidRDefault="00000000">
      <w:pPr>
        <w:numPr>
          <w:ilvl w:val="0"/>
          <w:numId w:val="795"/>
        </w:numPr>
        <w:rPr>
          <w:rFonts w:hint="eastAsia"/>
        </w:rPr>
      </w:pPr>
      <w:r>
        <w:rPr>
          <w:rFonts w:hint="eastAsia"/>
        </w:rPr>
        <w:t>由教科文组织主持开展业务的</w:t>
      </w:r>
      <w:r>
        <w:t>萨洛尼卡</w:t>
      </w:r>
      <w:r>
        <w:rPr>
          <w:rFonts w:hint="eastAsia"/>
        </w:rPr>
        <w:t>欧洲拜占庭和后拜占庭文化中心与有拜占庭文化遗迹的国家，如意大利、巴尔干各国、高加索各国、约旦和叙利亚，开展合作的成果。</w:t>
      </w:r>
    </w:p>
    <w:p w:rsidR="00000000" w:rsidRDefault="00000000">
      <w:pPr>
        <w:rPr>
          <w:rFonts w:hint="eastAsia"/>
        </w:rPr>
      </w:pPr>
      <w:r>
        <w:rPr>
          <w:rFonts w:hint="eastAsia"/>
        </w:rPr>
        <w:tab/>
        <w:t xml:space="preserve">649.  </w:t>
      </w:r>
      <w:r>
        <w:rPr>
          <w:rFonts w:hint="eastAsia"/>
        </w:rPr>
        <w:t>这些评价由文化部各总局安排进行，对各总局和管理者的行为和活动进行仔细审查、评估吸收所提供信贷的能力和百分比，而且最重要的是，审查这些工作对社会和社会利益的影响。</w:t>
      </w:r>
    </w:p>
    <w:p w:rsidR="00000000" w:rsidRDefault="00000000">
      <w:pPr>
        <w:rPr>
          <w:rFonts w:hint="eastAsia"/>
        </w:rPr>
      </w:pPr>
      <w:r>
        <w:rPr>
          <w:rFonts w:hint="eastAsia"/>
        </w:rPr>
        <w:tab/>
        <w:t xml:space="preserve">650.  </w:t>
      </w:r>
      <w:r>
        <w:rPr>
          <w:rFonts w:hint="eastAsia"/>
        </w:rPr>
        <w:t>随后针对未来采取的措施或改进现有措施以及为明年采取新行动作出决定等问题展开了富有成效的对话。</w:t>
      </w:r>
    </w:p>
    <w:p w:rsidR="00000000" w:rsidRDefault="00000000">
      <w:pPr>
        <w:rPr>
          <w:rFonts w:hint="eastAsia"/>
        </w:rPr>
      </w:pPr>
      <w:r>
        <w:rPr>
          <w:rFonts w:hint="eastAsia"/>
        </w:rPr>
        <w:tab/>
        <w:t xml:space="preserve">651.  </w:t>
      </w:r>
      <w:r>
        <w:rPr>
          <w:rFonts w:hint="eastAsia"/>
        </w:rPr>
        <w:t>在地区一级，每年举行两次会议，参加的有文化部部长及各级官员、地区政府官员</w:t>
      </w:r>
      <w:r>
        <w:rPr>
          <w:rFonts w:hint="eastAsia"/>
        </w:rPr>
        <w:t>(</w:t>
      </w:r>
      <w:r>
        <w:rPr>
          <w:rFonts w:hint="eastAsia"/>
        </w:rPr>
        <w:t>地区管理者、长官、市长、社区主席</w:t>
      </w:r>
      <w:r>
        <w:rPr>
          <w:rFonts w:hint="eastAsia"/>
        </w:rPr>
        <w:t>)</w:t>
      </w:r>
      <w:r>
        <w:rPr>
          <w:rFonts w:hint="eastAsia"/>
        </w:rPr>
        <w:t>以及各省文化机构的主任，审查本地区为发展现代文化所采取的措施和行动，尤其是涉及那些与文化部签订的政策协议并作为国家文化城市网络</w:t>
      </w:r>
      <w:r>
        <w:rPr>
          <w:rFonts w:hint="eastAsia"/>
        </w:rPr>
        <w:t>(</w:t>
      </w:r>
      <w:r>
        <w:rPr>
          <w:rFonts w:hint="eastAsia"/>
        </w:rPr>
        <w:t>文化城市网</w:t>
      </w:r>
      <w:r>
        <w:rPr>
          <w:rFonts w:hint="eastAsia"/>
        </w:rPr>
        <w:t>)</w:t>
      </w:r>
      <w:r>
        <w:rPr>
          <w:rFonts w:hint="eastAsia"/>
        </w:rPr>
        <w:t>及现在的“文化领土”成员的各机构的情况。</w:t>
      </w:r>
    </w:p>
    <w:p w:rsidR="00000000" w:rsidRDefault="00000000">
      <w:pPr>
        <w:spacing w:after="240"/>
        <w:rPr>
          <w:rFonts w:hint="eastAsia"/>
        </w:rPr>
      </w:pPr>
      <w:r>
        <w:rPr>
          <w:rFonts w:hint="eastAsia"/>
        </w:rPr>
        <w:tab/>
        <w:t xml:space="preserve">652.  </w:t>
      </w:r>
      <w:r>
        <w:rPr>
          <w:rFonts w:hint="eastAsia"/>
        </w:rPr>
        <w:t>市级地区剧院、艺术讲习班、电影网络、文化领域的专业人员以及地方和地区专业协会的主席，均有权评判和评价国家和文化部为介绍和保护多样的文化遗产、保护民间艺术和传统、促进现代艺术创作以及全体公民创造性地参加国家文化生活所采取的措施。</w:t>
      </w:r>
    </w:p>
    <w:p w:rsidR="00000000" w:rsidRDefault="00000000">
      <w:pPr>
        <w:pStyle w:val="Heading4"/>
        <w:rPr>
          <w:rFonts w:hint="eastAsia"/>
        </w:rPr>
      </w:pPr>
      <w:r>
        <w:rPr>
          <w:rFonts w:hint="eastAsia"/>
        </w:rPr>
        <w:t>保护艺术创作和表演自由的立法</w:t>
      </w:r>
    </w:p>
    <w:p w:rsidR="00000000" w:rsidRDefault="00000000">
      <w:pPr>
        <w:rPr>
          <w:rFonts w:hint="eastAsia"/>
        </w:rPr>
      </w:pPr>
      <w:r>
        <w:rPr>
          <w:rFonts w:hint="eastAsia"/>
        </w:rPr>
        <w:tab/>
        <w:t xml:space="preserve">653.  </w:t>
      </w:r>
      <w:r>
        <w:rPr>
          <w:rFonts w:hint="eastAsia"/>
        </w:rPr>
        <w:t>为了保护艺术创作和表演自由，即推广这些活动的成果的自由，文化部：</w:t>
      </w:r>
    </w:p>
    <w:p w:rsidR="00000000" w:rsidRDefault="00000000">
      <w:pPr>
        <w:numPr>
          <w:ilvl w:val="0"/>
          <w:numId w:val="796"/>
        </w:numPr>
        <w:rPr>
          <w:rFonts w:hint="eastAsia"/>
        </w:rPr>
      </w:pPr>
      <w:r>
        <w:rPr>
          <w:rFonts w:hint="eastAsia"/>
        </w:rPr>
        <w:t>根据第</w:t>
      </w:r>
      <w:r>
        <w:rPr>
          <w:rFonts w:hint="eastAsia"/>
        </w:rPr>
        <w:t>2557/97</w:t>
      </w:r>
      <w:r>
        <w:rPr>
          <w:rFonts w:hint="eastAsia"/>
        </w:rPr>
        <w:t>号法采取了各种措施和行动，促进文化事业的发展，言论自由，艺术、知识、电影、戏剧和音乐创作，并保护作品以及创作者的知识产权及相关权利。文化部每年为创作者和艺术家颁奖，管理这一领域的战略和政策问题以及艺术家教育的问题，并管理促进和开发希腊国内外创作者的艺术和文化创作。</w:t>
      </w:r>
    </w:p>
    <w:p w:rsidR="00000000" w:rsidRDefault="00000000">
      <w:pPr>
        <w:numPr>
          <w:ilvl w:val="0"/>
          <w:numId w:val="796"/>
        </w:numPr>
        <w:rPr>
          <w:rFonts w:hint="eastAsia"/>
        </w:rPr>
      </w:pPr>
      <w:r>
        <w:rPr>
          <w:rFonts w:hint="eastAsia"/>
        </w:rPr>
        <w:t>为希腊造型艺术会提供精神上和财政上的支持，该会成立于</w:t>
      </w:r>
      <w:r>
        <w:rPr>
          <w:rFonts w:hint="eastAsia"/>
        </w:rPr>
        <w:t>1944</w:t>
      </w:r>
      <w:r>
        <w:rPr>
          <w:rFonts w:hint="eastAsia"/>
        </w:rPr>
        <w:t>年，是一个艺术家集体机构，也是教科文组织国家造型艺术协会的国家委员会</w:t>
      </w:r>
      <w:r>
        <w:rPr>
          <w:rFonts w:hint="eastAsia"/>
        </w:rPr>
        <w:t>(</w:t>
      </w:r>
      <w:r>
        <w:rPr>
          <w:rFonts w:hint="eastAsia"/>
        </w:rPr>
        <w:t>第</w:t>
      </w:r>
      <w:r>
        <w:rPr>
          <w:rFonts w:hint="eastAsia"/>
        </w:rPr>
        <w:t>1218/1981</w:t>
      </w:r>
      <w:r>
        <w:rPr>
          <w:rFonts w:hint="eastAsia"/>
        </w:rPr>
        <w:t>号法</w:t>
      </w:r>
      <w:r>
        <w:rPr>
          <w:rFonts w:hint="eastAsia"/>
        </w:rPr>
        <w:t>)</w:t>
      </w:r>
      <w:r>
        <w:rPr>
          <w:rFonts w:hint="eastAsia"/>
        </w:rPr>
        <w:t>。该会现约有</w:t>
      </w:r>
      <w:r>
        <w:rPr>
          <w:rFonts w:hint="eastAsia"/>
        </w:rPr>
        <w:t>3,300</w:t>
      </w:r>
      <w:r>
        <w:rPr>
          <w:rFonts w:hint="eastAsia"/>
        </w:rPr>
        <w:t>名会员</w:t>
      </w:r>
      <w:r>
        <w:rPr>
          <w:rFonts w:hint="eastAsia"/>
        </w:rPr>
        <w:t>(2,250</w:t>
      </w:r>
      <w:r>
        <w:rPr>
          <w:rFonts w:hint="eastAsia"/>
        </w:rPr>
        <w:t>名画家、</w:t>
      </w:r>
      <w:r>
        <w:rPr>
          <w:rFonts w:hint="eastAsia"/>
        </w:rPr>
        <w:t>400</w:t>
      </w:r>
      <w:r>
        <w:rPr>
          <w:rFonts w:hint="eastAsia"/>
        </w:rPr>
        <w:t>名雕塑家、</w:t>
      </w:r>
      <w:r>
        <w:rPr>
          <w:rFonts w:hint="eastAsia"/>
        </w:rPr>
        <w:t>150</w:t>
      </w:r>
      <w:r>
        <w:rPr>
          <w:rFonts w:hint="eastAsia"/>
        </w:rPr>
        <w:t>名雕刻家、以及肖像画家、舞台设计家、镶嵌艺术家、书画刻印艺术家、装饰家、陶瓷艺术家等</w:t>
      </w:r>
      <w:r>
        <w:rPr>
          <w:rFonts w:hint="eastAsia"/>
        </w:rPr>
        <w:t>500</w:t>
      </w:r>
      <w:r>
        <w:rPr>
          <w:rFonts w:hint="eastAsia"/>
        </w:rPr>
        <w:t>名不同专业的艺术家</w:t>
      </w:r>
      <w:r>
        <w:rPr>
          <w:rFonts w:hint="eastAsia"/>
        </w:rPr>
        <w:t>)</w:t>
      </w:r>
      <w:r>
        <w:rPr>
          <w:rFonts w:hint="eastAsia"/>
        </w:rPr>
        <w:t>。该会的目标是：</w:t>
      </w:r>
    </w:p>
    <w:p w:rsidR="00000000" w:rsidRDefault="00000000">
      <w:pPr>
        <w:pStyle w:val="a0"/>
        <w:tabs>
          <w:tab w:val="num" w:pos="2070"/>
        </w:tabs>
        <w:ind w:left="2070"/>
        <w:rPr>
          <w:rFonts w:hint="eastAsia"/>
        </w:rPr>
      </w:pPr>
      <w:r>
        <w:rPr>
          <w:rFonts w:hint="eastAsia"/>
        </w:rPr>
        <w:t>促进希腊国内外的艺术创作；</w:t>
      </w:r>
    </w:p>
    <w:p w:rsidR="00000000" w:rsidRDefault="00000000">
      <w:pPr>
        <w:pStyle w:val="a0"/>
        <w:tabs>
          <w:tab w:val="num" w:pos="2070"/>
        </w:tabs>
        <w:ind w:left="2070"/>
        <w:rPr>
          <w:rFonts w:hint="eastAsia"/>
        </w:rPr>
      </w:pPr>
      <w:r>
        <w:rPr>
          <w:rFonts w:hint="eastAsia"/>
        </w:rPr>
        <w:t>保护艺术家的利益；</w:t>
      </w:r>
    </w:p>
    <w:p w:rsidR="00000000" w:rsidRDefault="00000000">
      <w:pPr>
        <w:pStyle w:val="a0"/>
        <w:tabs>
          <w:tab w:val="num" w:pos="2070"/>
        </w:tabs>
        <w:ind w:left="2070"/>
        <w:rPr>
          <w:rFonts w:hint="eastAsia"/>
        </w:rPr>
      </w:pPr>
      <w:r>
        <w:rPr>
          <w:rFonts w:hint="eastAsia"/>
        </w:rPr>
        <w:t>组织艺术活动；</w:t>
      </w:r>
    </w:p>
    <w:p w:rsidR="00000000" w:rsidRDefault="00000000">
      <w:pPr>
        <w:pStyle w:val="a0"/>
        <w:tabs>
          <w:tab w:val="num" w:pos="2070"/>
        </w:tabs>
        <w:ind w:left="2070"/>
        <w:rPr>
          <w:rFonts w:hint="eastAsia"/>
        </w:rPr>
      </w:pPr>
      <w:r>
        <w:rPr>
          <w:rFonts w:hint="eastAsia"/>
        </w:rPr>
        <w:t>与希腊国内外的艺术组织和协会合作；以及</w:t>
      </w:r>
    </w:p>
    <w:p w:rsidR="00000000" w:rsidRDefault="00000000">
      <w:pPr>
        <w:pStyle w:val="a0"/>
        <w:tabs>
          <w:tab w:val="num" w:pos="2070"/>
        </w:tabs>
        <w:ind w:left="2070"/>
        <w:rPr>
          <w:rFonts w:hint="eastAsia"/>
        </w:rPr>
      </w:pPr>
      <w:r>
        <w:rPr>
          <w:rFonts w:hint="eastAsia"/>
        </w:rPr>
        <w:t>组织艺术教育和文化宣传。</w:t>
      </w:r>
    </w:p>
    <w:p w:rsidR="00000000" w:rsidRDefault="00000000">
      <w:pPr>
        <w:rPr>
          <w:rFonts w:hint="eastAsia"/>
        </w:rPr>
      </w:pPr>
      <w:r>
        <w:rPr>
          <w:rFonts w:hint="eastAsia"/>
        </w:rPr>
        <w:tab/>
        <w:t xml:space="preserve">654.  </w:t>
      </w:r>
      <w:r>
        <w:rPr>
          <w:rFonts w:hint="eastAsia"/>
        </w:rPr>
        <w:t>在</w:t>
      </w:r>
      <w:r>
        <w:rPr>
          <w:rFonts w:hint="eastAsia"/>
        </w:rPr>
        <w:t>1995</w:t>
      </w:r>
      <w:r>
        <w:rPr>
          <w:rFonts w:hint="eastAsia"/>
        </w:rPr>
        <w:t>至</w:t>
      </w:r>
      <w:r>
        <w:rPr>
          <w:rFonts w:hint="eastAsia"/>
        </w:rPr>
        <w:t>2000</w:t>
      </w:r>
      <w:r>
        <w:rPr>
          <w:rFonts w:hint="eastAsia"/>
        </w:rPr>
        <w:t>年期间，为促进其会员的利益，该会着手：</w:t>
      </w:r>
    </w:p>
    <w:p w:rsidR="00000000" w:rsidRDefault="00000000">
      <w:pPr>
        <w:pStyle w:val="a0"/>
        <w:tabs>
          <w:tab w:val="num" w:pos="1550"/>
        </w:tabs>
        <w:ind w:left="1550"/>
        <w:rPr>
          <w:rFonts w:hint="eastAsia"/>
        </w:rPr>
      </w:pPr>
      <w:r>
        <w:rPr>
          <w:rFonts w:hint="eastAsia"/>
        </w:rPr>
        <w:t>公开发布表示兴趣的通知；</w:t>
      </w:r>
    </w:p>
    <w:p w:rsidR="00000000" w:rsidRDefault="00000000">
      <w:pPr>
        <w:pStyle w:val="a0"/>
        <w:tabs>
          <w:tab w:val="num" w:pos="1550"/>
        </w:tabs>
        <w:ind w:left="1550"/>
        <w:rPr>
          <w:rFonts w:hint="eastAsia"/>
        </w:rPr>
      </w:pPr>
      <w:r>
        <w:rPr>
          <w:rFonts w:hint="eastAsia"/>
        </w:rPr>
        <w:t>与各市合作举办展览；</w:t>
      </w:r>
    </w:p>
    <w:p w:rsidR="00000000" w:rsidRDefault="00000000">
      <w:pPr>
        <w:pStyle w:val="a0"/>
        <w:tabs>
          <w:tab w:val="num" w:pos="1550"/>
        </w:tabs>
        <w:ind w:left="1550"/>
        <w:rPr>
          <w:rFonts w:hint="eastAsia"/>
        </w:rPr>
      </w:pPr>
      <w:r>
        <w:rPr>
          <w:rFonts w:hint="eastAsia"/>
        </w:rPr>
        <w:t>参加每两年举办一次的国际性活动并与外国机构合作；</w:t>
      </w:r>
    </w:p>
    <w:p w:rsidR="00000000" w:rsidRDefault="00000000">
      <w:pPr>
        <w:pStyle w:val="a0"/>
        <w:tabs>
          <w:tab w:val="num" w:pos="1550"/>
        </w:tabs>
        <w:ind w:left="1550"/>
        <w:rPr>
          <w:rFonts w:hint="eastAsia"/>
        </w:rPr>
      </w:pPr>
      <w:r>
        <w:rPr>
          <w:rFonts w:hint="eastAsia"/>
        </w:rPr>
        <w:t>举办艺术家交流专题讨论会；</w:t>
      </w:r>
    </w:p>
    <w:p w:rsidR="00000000" w:rsidRDefault="00000000">
      <w:pPr>
        <w:pStyle w:val="a0"/>
        <w:tabs>
          <w:tab w:val="num" w:pos="1550"/>
        </w:tabs>
        <w:ind w:left="1550"/>
        <w:rPr>
          <w:rFonts w:hint="eastAsia"/>
        </w:rPr>
      </w:pPr>
      <w:r>
        <w:rPr>
          <w:rFonts w:hint="eastAsia"/>
        </w:rPr>
        <w:t>通过该会报纸发布信息；</w:t>
      </w:r>
    </w:p>
    <w:p w:rsidR="00000000" w:rsidRDefault="00000000">
      <w:pPr>
        <w:pStyle w:val="a0"/>
        <w:tabs>
          <w:tab w:val="num" w:pos="1550"/>
        </w:tabs>
        <w:ind w:left="1550"/>
        <w:rPr>
          <w:rFonts w:hint="eastAsia"/>
        </w:rPr>
      </w:pPr>
      <w:r>
        <w:rPr>
          <w:rFonts w:hint="eastAsia"/>
        </w:rPr>
        <w:t>举办为期一天的会议，召开大会；</w:t>
      </w:r>
    </w:p>
    <w:p w:rsidR="00000000" w:rsidRDefault="00000000">
      <w:pPr>
        <w:pStyle w:val="a0"/>
        <w:tabs>
          <w:tab w:val="num" w:pos="1550"/>
        </w:tabs>
        <w:ind w:left="1550"/>
        <w:rPr>
          <w:rFonts w:hint="eastAsia"/>
        </w:rPr>
      </w:pPr>
      <w:r>
        <w:rPr>
          <w:rFonts w:hint="eastAsia"/>
        </w:rPr>
        <w:t>公布活动；以及</w:t>
      </w:r>
    </w:p>
    <w:p w:rsidR="00000000" w:rsidRDefault="00000000">
      <w:pPr>
        <w:pStyle w:val="a0"/>
        <w:tabs>
          <w:tab w:val="num" w:pos="1550"/>
        </w:tabs>
        <w:ind w:left="1550"/>
        <w:rPr>
          <w:rFonts w:hint="eastAsia"/>
        </w:rPr>
      </w:pPr>
      <w:r>
        <w:rPr>
          <w:rFonts w:hint="eastAsia"/>
        </w:rPr>
        <w:t>建立造型艺术作品及其应用的集体管理组织。</w:t>
      </w:r>
    </w:p>
    <w:p w:rsidR="00000000" w:rsidRDefault="00000000">
      <w:pPr>
        <w:spacing w:after="240"/>
        <w:rPr>
          <w:rFonts w:hint="eastAsia"/>
        </w:rPr>
      </w:pPr>
      <w:r>
        <w:rPr>
          <w:rFonts w:hint="eastAsia"/>
        </w:rPr>
        <w:tab/>
        <w:t xml:space="preserve">655.  </w:t>
      </w:r>
      <w:r>
        <w:rPr>
          <w:rFonts w:hint="eastAsia"/>
        </w:rPr>
        <w:t>文化部为国际戏剧协会</w:t>
      </w:r>
      <w:r>
        <w:rPr>
          <w:rFonts w:hint="eastAsia"/>
        </w:rPr>
        <w:t>/</w:t>
      </w:r>
      <w:r>
        <w:rPr>
          <w:rFonts w:hint="eastAsia"/>
        </w:rPr>
        <w:t>教科文组织国际戏剧协会国家委员会提供精神上和财政上的支持，该协会的宗旨是保护戏剧表现和戏剧创作的自由，以及在希腊推广戏剧。文化部还为教科文组织国际舞蹈学会提供精神上和财政上的支持，该学会旨在促进艺术表现的自由，以及推广舞蹈。最后，文化部还为作家协会、剧作家协会和诗人协会提供支持，这些协会均旨在保护创作者的相关权利。</w:t>
      </w:r>
    </w:p>
    <w:p w:rsidR="00000000" w:rsidRDefault="00000000">
      <w:pPr>
        <w:pStyle w:val="Heading4"/>
        <w:rPr>
          <w:rFonts w:hint="eastAsia"/>
        </w:rPr>
      </w:pPr>
      <w:r>
        <w:rPr>
          <w:rFonts w:hint="eastAsia"/>
        </w:rPr>
        <w:t>文化和艺术领域的专业教育</w:t>
      </w:r>
    </w:p>
    <w:p w:rsidR="00000000" w:rsidRDefault="00000000">
      <w:pPr>
        <w:rPr>
          <w:rFonts w:hint="eastAsia"/>
        </w:rPr>
      </w:pPr>
      <w:r>
        <w:rPr>
          <w:rFonts w:hint="eastAsia"/>
        </w:rPr>
        <w:tab/>
        <w:t xml:space="preserve">656.  </w:t>
      </w:r>
      <w:r>
        <w:rPr>
          <w:rFonts w:hint="eastAsia"/>
        </w:rPr>
        <w:t>为了开展文化和艺术领域的</w:t>
      </w:r>
      <w:r>
        <w:rPr>
          <w:rFonts w:hint="eastAsia"/>
          <w:snapToGrid/>
        </w:rPr>
        <w:t>专</w:t>
      </w:r>
      <w:r>
        <w:rPr>
          <w:rFonts w:hint="eastAsia"/>
        </w:rPr>
        <w:t>业培训，第</w:t>
      </w:r>
      <w:r>
        <w:rPr>
          <w:rFonts w:hint="eastAsia"/>
        </w:rPr>
        <w:t>787/1991</w:t>
      </w:r>
      <w:r>
        <w:rPr>
          <w:rFonts w:hint="eastAsia"/>
        </w:rPr>
        <w:t>号总统令对希腊关于艺术培训的立法作了调整，以符合欧洲共同体的立法规定。根据这些规定，凡设立和开办艺术培训学校</w:t>
      </w:r>
      <w:r>
        <w:rPr>
          <w:rFonts w:hint="eastAsia"/>
        </w:rPr>
        <w:t>(</w:t>
      </w:r>
      <w:r>
        <w:rPr>
          <w:rFonts w:hint="eastAsia"/>
        </w:rPr>
        <w:t>音乐、戏剧和舞蹈学校</w:t>
      </w:r>
      <w:r>
        <w:rPr>
          <w:rFonts w:hint="eastAsia"/>
        </w:rPr>
        <w:t>)</w:t>
      </w:r>
      <w:r>
        <w:rPr>
          <w:rFonts w:hint="eastAsia"/>
        </w:rPr>
        <w:t>者，须领取许可证，从事这些职业者也要分别领取许可证。</w:t>
      </w:r>
    </w:p>
    <w:p w:rsidR="00000000" w:rsidRDefault="00000000">
      <w:pPr>
        <w:rPr>
          <w:rFonts w:hint="eastAsia"/>
        </w:rPr>
      </w:pPr>
      <w:r>
        <w:rPr>
          <w:rFonts w:hint="eastAsia"/>
        </w:rPr>
        <w:tab/>
        <w:t xml:space="preserve">657.  </w:t>
      </w:r>
      <w:r>
        <w:rPr>
          <w:rFonts w:hint="eastAsia"/>
        </w:rPr>
        <w:t>今天，由国家、市以及主要由私立的音乐机构</w:t>
      </w:r>
      <w:r>
        <w:rPr>
          <w:rFonts w:hint="eastAsia"/>
        </w:rPr>
        <w:t>(</w:t>
      </w:r>
      <w:r>
        <w:rPr>
          <w:rFonts w:hint="eastAsia"/>
        </w:rPr>
        <w:t>音乐学院和音乐学校</w:t>
      </w:r>
      <w:r>
        <w:rPr>
          <w:rFonts w:hint="eastAsia"/>
        </w:rPr>
        <w:t>)</w:t>
      </w:r>
      <w:r>
        <w:rPr>
          <w:rFonts w:hint="eastAsia"/>
        </w:rPr>
        <w:t>提供的音乐培训均由文化部负责。这些机构共有约</w:t>
      </w:r>
      <w:r>
        <w:rPr>
          <w:rFonts w:hint="eastAsia"/>
        </w:rPr>
        <w:t>600</w:t>
      </w:r>
      <w:r>
        <w:rPr>
          <w:rFonts w:hint="eastAsia"/>
        </w:rPr>
        <w:t>所，学生总人数几乎达</w:t>
      </w:r>
      <w:r>
        <w:rPr>
          <w:rFonts w:hint="eastAsia"/>
        </w:rPr>
        <w:t>80,000</w:t>
      </w:r>
      <w:r>
        <w:rPr>
          <w:rFonts w:hint="eastAsia"/>
        </w:rPr>
        <w:t>人。</w:t>
      </w:r>
    </w:p>
    <w:p w:rsidR="00000000" w:rsidRDefault="00000000">
      <w:pPr>
        <w:rPr>
          <w:rFonts w:hint="eastAsia"/>
        </w:rPr>
      </w:pPr>
      <w:r>
        <w:rPr>
          <w:rFonts w:hint="eastAsia"/>
        </w:rPr>
        <w:tab/>
        <w:t xml:space="preserve">658.  </w:t>
      </w:r>
      <w:r>
        <w:rPr>
          <w:rFonts w:hint="eastAsia"/>
        </w:rPr>
        <w:t>所有音乐教育机构均受文化部的监督和控制，既提供乐器领域的专业教育，又提供理论研究领域的专业教育。</w:t>
      </w:r>
    </w:p>
    <w:p w:rsidR="00000000" w:rsidRDefault="00000000">
      <w:pPr>
        <w:spacing w:after="240"/>
        <w:rPr>
          <w:rFonts w:hint="eastAsia"/>
        </w:rPr>
      </w:pPr>
      <w:r>
        <w:rPr>
          <w:rFonts w:hint="eastAsia"/>
        </w:rPr>
        <w:tab/>
        <w:t xml:space="preserve">659.  </w:t>
      </w:r>
      <w:r>
        <w:rPr>
          <w:rFonts w:hint="eastAsia"/>
        </w:rPr>
        <w:t>教育部新的第</w:t>
      </w:r>
      <w:r>
        <w:rPr>
          <w:rFonts w:hint="eastAsia"/>
        </w:rPr>
        <w:t>2557/97</w:t>
      </w:r>
      <w:r>
        <w:rPr>
          <w:rFonts w:hint="eastAsia"/>
        </w:rPr>
        <w:t>号法试图对教育制度进行深层区分：音乐教育被分为基础教育和高等教育。基础音乐教育的目的是，提供基础音乐知识，为升入高等音乐教育作准备；高等音乐教育的目的是，传播更广泛的音乐知识，而且可能转入职业音乐生涯。</w:t>
      </w:r>
    </w:p>
    <w:p w:rsidR="00000000" w:rsidRDefault="00000000">
      <w:pPr>
        <w:pStyle w:val="Heading4"/>
        <w:rPr>
          <w:rFonts w:hint="eastAsia"/>
        </w:rPr>
      </w:pPr>
      <w:r>
        <w:rPr>
          <w:rFonts w:hint="eastAsia"/>
        </w:rPr>
        <w:t>戏剧教育</w:t>
      </w:r>
    </w:p>
    <w:p w:rsidR="00000000" w:rsidRDefault="00000000">
      <w:pPr>
        <w:spacing w:after="240"/>
        <w:rPr>
          <w:rFonts w:hint="eastAsia"/>
        </w:rPr>
      </w:pPr>
      <w:r>
        <w:rPr>
          <w:rFonts w:hint="eastAsia"/>
        </w:rPr>
        <w:tab/>
        <w:t xml:space="preserve">660.  </w:t>
      </w:r>
      <w:r>
        <w:rPr>
          <w:rFonts w:hint="eastAsia"/>
        </w:rPr>
        <w:t>第</w:t>
      </w:r>
      <w:r>
        <w:rPr>
          <w:rFonts w:hint="eastAsia"/>
        </w:rPr>
        <w:t>1158/81</w:t>
      </w:r>
      <w:r>
        <w:rPr>
          <w:rFonts w:hint="eastAsia"/>
        </w:rPr>
        <w:t>号法对高等戏剧学院作出了规定，这些学院可设表演、古希腊戏剧和诗歌、导演、戏剧学等系。</w:t>
      </w:r>
    </w:p>
    <w:p w:rsidR="00000000" w:rsidRDefault="00000000">
      <w:pPr>
        <w:pStyle w:val="Heading4"/>
        <w:rPr>
          <w:rFonts w:hint="eastAsia"/>
        </w:rPr>
      </w:pPr>
      <w:r>
        <w:rPr>
          <w:rFonts w:hint="eastAsia"/>
        </w:rPr>
        <w:t>保护、发展和传播文化的其他措施</w:t>
      </w:r>
    </w:p>
    <w:p w:rsidR="00000000" w:rsidRDefault="00000000">
      <w:pPr>
        <w:rPr>
          <w:rFonts w:hint="eastAsia"/>
        </w:rPr>
      </w:pPr>
      <w:r>
        <w:rPr>
          <w:rFonts w:hint="eastAsia"/>
        </w:rPr>
        <w:tab/>
        <w:t xml:space="preserve">661.  </w:t>
      </w:r>
      <w:r>
        <w:rPr>
          <w:rFonts w:hint="eastAsia"/>
        </w:rPr>
        <w:t>为了进一步维护、发展和传播文化，文化部支持由各文化中心和科学协会开展的活动在希腊产生的知识和艺术运动，这些中心和协会与地方当局合作，组织印发文化作品，举办展览会等。同时，文化部还用该部经常预算中的信用款项以及彩票收入，为具有极高科学意义的大会提供补贴。</w:t>
      </w:r>
    </w:p>
    <w:p w:rsidR="00000000" w:rsidRDefault="00000000">
      <w:pPr>
        <w:rPr>
          <w:rFonts w:hint="eastAsia"/>
        </w:rPr>
      </w:pPr>
      <w:r>
        <w:rPr>
          <w:rFonts w:hint="eastAsia"/>
        </w:rPr>
        <w:tab/>
        <w:t xml:space="preserve">662.  </w:t>
      </w:r>
      <w:r>
        <w:rPr>
          <w:rFonts w:hint="eastAsia"/>
        </w:rPr>
        <w:t>文化部为了传播文化，在有关弱势群体</w:t>
      </w:r>
      <w:r>
        <w:rPr>
          <w:rFonts w:hint="eastAsia"/>
        </w:rPr>
        <w:t>(</w:t>
      </w:r>
      <w:r>
        <w:rPr>
          <w:rFonts w:hint="eastAsia"/>
        </w:rPr>
        <w:t>老年人、戒毒者、被遣返者群体</w:t>
      </w:r>
      <w:r>
        <w:rPr>
          <w:rFonts w:hint="eastAsia"/>
        </w:rPr>
        <w:t>)</w:t>
      </w:r>
      <w:r>
        <w:rPr>
          <w:rFonts w:hint="eastAsia"/>
        </w:rPr>
        <w:t>，以及小学生、中学生和大学生、希腊侨民等问题上的社会政策范围内，总是积极处理申请考古遗迹和博物馆免费通行证的请求。下列人员可免门票：</w:t>
      </w:r>
    </w:p>
    <w:p w:rsidR="00000000" w:rsidRDefault="00000000">
      <w:pPr>
        <w:pStyle w:val="a0"/>
        <w:tabs>
          <w:tab w:val="num" w:pos="1550"/>
        </w:tabs>
        <w:ind w:left="1550"/>
        <w:rPr>
          <w:rFonts w:hint="eastAsia"/>
        </w:rPr>
      </w:pPr>
      <w:r>
        <w:rPr>
          <w:rFonts w:hint="eastAsia"/>
        </w:rPr>
        <w:t>不足</w:t>
      </w:r>
      <w:r>
        <w:rPr>
          <w:rFonts w:hint="eastAsia"/>
        </w:rPr>
        <w:t>18</w:t>
      </w:r>
      <w:r>
        <w:rPr>
          <w:rFonts w:hint="eastAsia"/>
        </w:rPr>
        <w:t>岁的所有青年人；</w:t>
      </w:r>
    </w:p>
    <w:p w:rsidR="00000000" w:rsidRDefault="00000000">
      <w:pPr>
        <w:pStyle w:val="a0"/>
        <w:tabs>
          <w:tab w:val="num" w:pos="1550"/>
        </w:tabs>
        <w:ind w:left="1550"/>
        <w:rPr>
          <w:rFonts w:hint="eastAsia"/>
        </w:rPr>
      </w:pPr>
      <w:r>
        <w:rPr>
          <w:rFonts w:hint="eastAsia"/>
        </w:rPr>
        <w:t>欧洲联盟的大学或理工学院的学生以及同等院校的学生；</w:t>
      </w:r>
    </w:p>
    <w:p w:rsidR="00000000" w:rsidRDefault="00000000">
      <w:pPr>
        <w:pStyle w:val="a0"/>
        <w:tabs>
          <w:tab w:val="num" w:pos="1550"/>
        </w:tabs>
        <w:ind w:left="1550"/>
        <w:rPr>
          <w:rFonts w:hint="eastAsia"/>
        </w:rPr>
      </w:pPr>
      <w:r>
        <w:rPr>
          <w:rFonts w:hint="eastAsia"/>
        </w:rPr>
        <w:t>欧盟以外国家的古典研究或艺术学院的学生。这些国家的其他学生可购买减价门票；</w:t>
      </w:r>
    </w:p>
    <w:p w:rsidR="00000000" w:rsidRDefault="00000000">
      <w:pPr>
        <w:pStyle w:val="a0"/>
        <w:tabs>
          <w:tab w:val="num" w:pos="1550"/>
        </w:tabs>
        <w:ind w:left="1550"/>
        <w:rPr>
          <w:rFonts w:hint="eastAsia"/>
        </w:rPr>
      </w:pPr>
      <w:r>
        <w:rPr>
          <w:rFonts w:hint="eastAsia"/>
        </w:rPr>
        <w:t>服兵役者；</w:t>
      </w:r>
    </w:p>
    <w:p w:rsidR="00000000" w:rsidRDefault="00000000">
      <w:pPr>
        <w:pStyle w:val="a0"/>
        <w:tabs>
          <w:tab w:val="num" w:pos="1550"/>
        </w:tabs>
        <w:ind w:left="1550"/>
        <w:rPr>
          <w:rFonts w:hint="eastAsia"/>
        </w:rPr>
      </w:pPr>
      <w:r>
        <w:rPr>
          <w:rFonts w:hint="eastAsia"/>
        </w:rPr>
        <w:t>文化部和</w:t>
      </w:r>
      <w:r>
        <w:rPr>
          <w:rFonts w:hint="eastAsia"/>
        </w:rPr>
        <w:t>TAP</w:t>
      </w:r>
      <w:r>
        <w:rPr>
          <w:rFonts w:hint="eastAsia"/>
        </w:rPr>
        <w:t>的雇员；</w:t>
      </w:r>
    </w:p>
    <w:p w:rsidR="00000000" w:rsidRDefault="00000000">
      <w:pPr>
        <w:pStyle w:val="a0"/>
        <w:tabs>
          <w:tab w:val="num" w:pos="1550"/>
        </w:tabs>
        <w:ind w:left="1550"/>
        <w:rPr>
          <w:rFonts w:hint="eastAsia"/>
        </w:rPr>
      </w:pPr>
      <w:r>
        <w:rPr>
          <w:rFonts w:hint="eastAsia"/>
        </w:rPr>
        <w:t>持</w:t>
      </w:r>
      <w:r>
        <w:t>ICOM+ICOMOS</w:t>
      </w:r>
      <w:r>
        <w:rPr>
          <w:rFonts w:hint="eastAsia"/>
        </w:rPr>
        <w:t>特别会员证者；</w:t>
      </w:r>
    </w:p>
    <w:p w:rsidR="00000000" w:rsidRDefault="00000000">
      <w:pPr>
        <w:pStyle w:val="a0"/>
        <w:tabs>
          <w:tab w:val="num" w:pos="1550"/>
        </w:tabs>
        <w:ind w:left="1550"/>
        <w:rPr>
          <w:rFonts w:hint="eastAsia"/>
        </w:rPr>
      </w:pPr>
      <w:r>
        <w:rPr>
          <w:rFonts w:hint="eastAsia"/>
        </w:rPr>
        <w:t>持</w:t>
      </w:r>
      <w:r>
        <w:rPr>
          <w:rFonts w:hint="eastAsia"/>
        </w:rPr>
        <w:t>EOT</w:t>
      </w:r>
      <w:r>
        <w:rPr>
          <w:rFonts w:hint="eastAsia"/>
        </w:rPr>
        <w:t>身份证的导游；</w:t>
      </w:r>
    </w:p>
    <w:p w:rsidR="00000000" w:rsidRDefault="00000000">
      <w:pPr>
        <w:pStyle w:val="a0"/>
        <w:tabs>
          <w:tab w:val="num" w:pos="1550"/>
        </w:tabs>
        <w:ind w:left="1550"/>
        <w:rPr>
          <w:rFonts w:hint="eastAsia"/>
        </w:rPr>
      </w:pPr>
      <w:r>
        <w:rPr>
          <w:rFonts w:hint="eastAsia"/>
        </w:rPr>
        <w:t>持</w:t>
      </w:r>
      <w:r>
        <w:t>ESYEA</w:t>
      </w:r>
      <w:r>
        <w:rPr>
          <w:rFonts w:hint="eastAsia"/>
        </w:rPr>
        <w:t>身份证的记者；以及</w:t>
      </w:r>
    </w:p>
    <w:p w:rsidR="00000000" w:rsidRDefault="00000000">
      <w:pPr>
        <w:pStyle w:val="a0"/>
        <w:tabs>
          <w:tab w:val="num" w:pos="1550"/>
        </w:tabs>
        <w:ind w:left="1550"/>
        <w:rPr>
          <w:rFonts w:hint="eastAsia"/>
        </w:rPr>
      </w:pPr>
      <w:r>
        <w:rPr>
          <w:rFonts w:hint="eastAsia"/>
        </w:rPr>
        <w:t>持免费通行证者。</w:t>
      </w:r>
    </w:p>
    <w:p w:rsidR="00000000" w:rsidRDefault="00000000">
      <w:pPr>
        <w:rPr>
          <w:rFonts w:hint="eastAsia"/>
        </w:rPr>
      </w:pPr>
      <w:r>
        <w:rPr>
          <w:rFonts w:hint="eastAsia"/>
        </w:rPr>
        <w:tab/>
        <w:t xml:space="preserve">663.  </w:t>
      </w:r>
      <w:r>
        <w:rPr>
          <w:rFonts w:hint="eastAsia"/>
        </w:rPr>
        <w:t>下列人员有权获得以三年为期的免费通行证，期满后可再续：学术界人士；小学、中学和大学教师；欧盟国家哲学学院的考古和历史系毕业生；希腊外国考古学院的院长和成员；近代遗迹委员会和地方遗迹委员会的</w:t>
      </w:r>
      <w:r>
        <w:rPr>
          <w:rFonts w:hint="eastAsia"/>
        </w:rPr>
        <w:t>KAS</w:t>
      </w:r>
      <w:r>
        <w:rPr>
          <w:rFonts w:hint="eastAsia"/>
        </w:rPr>
        <w:t>成员；</w:t>
      </w:r>
      <w:r>
        <w:rPr>
          <w:rFonts w:hint="eastAsia"/>
        </w:rPr>
        <w:t>TAP</w:t>
      </w:r>
      <w:r>
        <w:rPr>
          <w:rFonts w:hint="eastAsia"/>
        </w:rPr>
        <w:t>董事会成员；考古学会董事会成员；艺术家和艺术会会员；古物管理人员和古物管理学院毕业生；以及育有三名以上子女的父母。</w:t>
      </w:r>
    </w:p>
    <w:p w:rsidR="00000000" w:rsidRDefault="00000000">
      <w:pPr>
        <w:rPr>
          <w:rFonts w:hint="eastAsia"/>
        </w:rPr>
      </w:pPr>
      <w:r>
        <w:rPr>
          <w:rFonts w:hint="eastAsia"/>
        </w:rPr>
        <w:tab/>
        <w:t xml:space="preserve">664.  </w:t>
      </w:r>
      <w:r>
        <w:rPr>
          <w:rFonts w:hint="eastAsia"/>
        </w:rPr>
        <w:t>对于希望为教育目的访问遗址和遗迹，或能证明需要得到国家财政援助的公民团体，可限定人数和日期，发给减价卡。</w:t>
      </w:r>
    </w:p>
    <w:p w:rsidR="00000000" w:rsidRDefault="00000000">
      <w:pPr>
        <w:rPr>
          <w:rFonts w:hint="eastAsia"/>
        </w:rPr>
      </w:pPr>
      <w:r>
        <w:rPr>
          <w:rFonts w:hint="eastAsia"/>
        </w:rPr>
        <w:tab/>
        <w:t xml:space="preserve">665.  </w:t>
      </w:r>
      <w:r>
        <w:rPr>
          <w:rFonts w:hint="eastAsia"/>
        </w:rPr>
        <w:t>国家为现实人人可享有科学进步和科学应用的利益的权利所采取的措施如下：</w:t>
      </w:r>
    </w:p>
    <w:p w:rsidR="00000000" w:rsidRDefault="00000000">
      <w:pPr>
        <w:numPr>
          <w:ilvl w:val="0"/>
          <w:numId w:val="797"/>
        </w:numPr>
        <w:rPr>
          <w:rFonts w:hint="eastAsia"/>
        </w:rPr>
      </w:pPr>
      <w:r>
        <w:rPr>
          <w:rFonts w:hint="eastAsia"/>
        </w:rPr>
        <w:t>“开门”项目，由欧盟和希腊共同资助，旨在通过以下途径宣传和推广由发展部研究和技术总秘书处</w:t>
      </w:r>
      <w:r>
        <w:rPr>
          <w:rFonts w:hint="eastAsia"/>
        </w:rPr>
        <w:t>(</w:t>
      </w:r>
      <w:r>
        <w:rPr>
          <w:rFonts w:hint="eastAsia"/>
        </w:rPr>
        <w:t>研技总秘书处</w:t>
      </w:r>
      <w:r>
        <w:rPr>
          <w:rFonts w:hint="eastAsia"/>
        </w:rPr>
        <w:t>)</w:t>
      </w:r>
      <w:r>
        <w:rPr>
          <w:rFonts w:hint="eastAsia"/>
        </w:rPr>
        <w:t>监督的各研究中心的研究成果：</w:t>
      </w:r>
    </w:p>
    <w:p w:rsidR="00000000" w:rsidRDefault="00000000">
      <w:pPr>
        <w:pStyle w:val="a0"/>
        <w:tabs>
          <w:tab w:val="num" w:pos="2070"/>
        </w:tabs>
        <w:ind w:left="2070"/>
        <w:rPr>
          <w:rFonts w:hint="eastAsia"/>
        </w:rPr>
      </w:pPr>
      <w:r>
        <w:rPr>
          <w:rFonts w:hint="eastAsia"/>
        </w:rPr>
        <w:t>大众媒体、因特网</w:t>
      </w:r>
      <w:r>
        <w:rPr>
          <w:rFonts w:hint="eastAsia"/>
        </w:rPr>
        <w:t>(</w:t>
      </w:r>
      <w:r>
        <w:rPr>
          <w:rFonts w:hint="eastAsia"/>
        </w:rPr>
        <w:t>广播和电视节目、出版物、研技总秘书处网页等</w:t>
      </w:r>
      <w:r>
        <w:rPr>
          <w:rFonts w:hint="eastAsia"/>
        </w:rPr>
        <w:t>)</w:t>
      </w:r>
      <w:r>
        <w:rPr>
          <w:rFonts w:hint="eastAsia"/>
        </w:rPr>
        <w:t>；</w:t>
      </w:r>
    </w:p>
    <w:p w:rsidR="00000000" w:rsidRDefault="00000000">
      <w:pPr>
        <w:pStyle w:val="a0"/>
        <w:tabs>
          <w:tab w:val="num" w:pos="2070"/>
        </w:tabs>
        <w:ind w:left="2070"/>
        <w:rPr>
          <w:rFonts w:hint="eastAsia"/>
        </w:rPr>
      </w:pPr>
      <w:r>
        <w:rPr>
          <w:rFonts w:hint="eastAsia"/>
        </w:rPr>
        <w:t>每年举办两次“科技周”活动，其间各综合大学、理工大学、研究中心和企业合作，介绍在重点领域执行的联合项目的成果；</w:t>
      </w:r>
    </w:p>
    <w:p w:rsidR="00000000" w:rsidRDefault="00000000">
      <w:pPr>
        <w:pStyle w:val="a6"/>
        <w:rPr>
          <w:rFonts w:hint="eastAsia"/>
        </w:rPr>
      </w:pPr>
      <w:r>
        <w:t>(b)</w:t>
      </w:r>
      <w:r>
        <w:rPr>
          <w:rFonts w:hint="eastAsia"/>
        </w:rPr>
        <w:tab/>
      </w:r>
      <w:r>
        <w:rPr>
          <w:rFonts w:hint="eastAsia"/>
        </w:rPr>
        <w:t>国家文献中心</w:t>
      </w:r>
      <w:r>
        <w:rPr>
          <w:rFonts w:hint="eastAsia"/>
        </w:rPr>
        <w:t>(</w:t>
      </w:r>
      <w:r>
        <w:rPr>
          <w:rFonts w:hint="eastAsia"/>
        </w:rPr>
        <w:t>文献中心</w:t>
      </w:r>
      <w:r>
        <w:rPr>
          <w:rFonts w:hint="eastAsia"/>
        </w:rPr>
        <w:t>)</w:t>
      </w:r>
      <w:r>
        <w:rPr>
          <w:rFonts w:hint="eastAsia"/>
        </w:rPr>
        <w:t>，该中心是国家科技领域的电子信息提供单位；它亦传播和推广科技信息。</w:t>
      </w:r>
    </w:p>
    <w:p w:rsidR="00000000" w:rsidRDefault="00000000">
      <w:pPr>
        <w:rPr>
          <w:rFonts w:hint="eastAsia"/>
        </w:rPr>
      </w:pPr>
      <w:r>
        <w:rPr>
          <w:rFonts w:hint="eastAsia"/>
        </w:rPr>
        <w:tab/>
        <w:t xml:space="preserve">666.  </w:t>
      </w:r>
      <w:r>
        <w:rPr>
          <w:rFonts w:hint="eastAsia"/>
        </w:rPr>
        <w:t>文化部与环境、城市规划和公共工程部合作，对遗迹和考古场址所在的环境进行保护。文化部通过特别立法，对自然环境加以保护，并禁止在考古场址和遗迹附近进行挖掘及其他活动。该部还在周围建立保护区，并经中央考古理事会</w:t>
      </w:r>
      <w:r>
        <w:rPr>
          <w:rFonts w:hint="eastAsia"/>
        </w:rPr>
        <w:t>(KAS</w:t>
      </w:r>
      <w:r>
        <w:rPr>
          <w:rFonts w:hint="eastAsia"/>
          <w:spacing w:val="-40"/>
        </w:rPr>
        <w:t>――</w:t>
      </w:r>
      <w:r>
        <w:rPr>
          <w:rFonts w:hint="eastAsia"/>
          <w:spacing w:val="-40"/>
        </w:rPr>
        <w:t xml:space="preserve"> </w:t>
      </w:r>
      <w:r>
        <w:rPr>
          <w:rFonts w:hint="eastAsia"/>
        </w:rPr>
        <w:t>文化部关于古代遗迹问题的跨学科咨询机构</w:t>
      </w:r>
      <w:r>
        <w:rPr>
          <w:rFonts w:hint="eastAsia"/>
        </w:rPr>
        <w:t>)</w:t>
      </w:r>
      <w:r>
        <w:rPr>
          <w:rFonts w:hint="eastAsia"/>
        </w:rPr>
        <w:t>同意，征用有关地带。</w:t>
      </w:r>
    </w:p>
    <w:p w:rsidR="00000000" w:rsidRDefault="00000000">
      <w:pPr>
        <w:rPr>
          <w:rFonts w:hint="eastAsia"/>
        </w:rPr>
      </w:pPr>
      <w:r>
        <w:rPr>
          <w:rFonts w:hint="eastAsia"/>
        </w:rPr>
        <w:tab/>
        <w:t>667.  1997</w:t>
      </w:r>
      <w:r>
        <w:rPr>
          <w:rFonts w:hint="eastAsia"/>
        </w:rPr>
        <w:t>年，研技总秘书处成立了生物伦理咨询委员会。该委员会的目标是，为公众</w:t>
      </w:r>
      <w:r>
        <w:rPr>
          <w:rFonts w:hint="eastAsia"/>
        </w:rPr>
        <w:t>/</w:t>
      </w:r>
      <w:r>
        <w:rPr>
          <w:rFonts w:hint="eastAsia"/>
        </w:rPr>
        <w:t>民间社会提供信息，为国家提供咨询意见，促进在希腊开展相关研究与调查，并监测因生物学和生物技术的迅速发展而产生的生物伦理学领域的伦理、法律和社会经济问题的国际发展。</w:t>
      </w:r>
    </w:p>
    <w:p w:rsidR="00000000" w:rsidRDefault="00000000">
      <w:pPr>
        <w:rPr>
          <w:rFonts w:hint="eastAsia"/>
        </w:rPr>
      </w:pPr>
      <w:r>
        <w:rPr>
          <w:rFonts w:hint="eastAsia"/>
        </w:rPr>
        <w:tab/>
        <w:t xml:space="preserve">668.  </w:t>
      </w:r>
      <w:r>
        <w:rPr>
          <w:rFonts w:hint="eastAsia"/>
        </w:rPr>
        <w:t>工业产权组织成立于</w:t>
      </w:r>
      <w:r>
        <w:rPr>
          <w:rFonts w:hint="eastAsia"/>
        </w:rPr>
        <w:t>1987</w:t>
      </w:r>
      <w:r>
        <w:rPr>
          <w:rFonts w:hint="eastAsia"/>
        </w:rPr>
        <w:t>年，旨在保护科技发现所产生的权利。其主要职责是：</w:t>
      </w:r>
    </w:p>
    <w:p w:rsidR="00000000" w:rsidRDefault="00000000">
      <w:pPr>
        <w:pStyle w:val="a0"/>
        <w:tabs>
          <w:tab w:val="num" w:pos="1550"/>
        </w:tabs>
        <w:ind w:left="1550"/>
        <w:rPr>
          <w:rFonts w:hint="eastAsia"/>
        </w:rPr>
      </w:pPr>
      <w:r>
        <w:rPr>
          <w:rFonts w:hint="eastAsia"/>
        </w:rPr>
        <w:t>通过颁发专利证书、实用示范证书及其他保护证书，在希腊实施专利保护；以及</w:t>
      </w:r>
    </w:p>
    <w:p w:rsidR="00000000" w:rsidRDefault="00000000">
      <w:pPr>
        <w:pStyle w:val="a0"/>
        <w:tabs>
          <w:tab w:val="num" w:pos="1550"/>
        </w:tabs>
        <w:ind w:left="1550"/>
        <w:rPr>
          <w:rFonts w:hint="eastAsia"/>
        </w:rPr>
      </w:pPr>
      <w:r>
        <w:rPr>
          <w:rFonts w:hint="eastAsia"/>
        </w:rPr>
        <w:t>通过颁发相关证书，实施对工业设计和模型保护。</w:t>
      </w:r>
    </w:p>
    <w:p w:rsidR="00000000" w:rsidRDefault="00000000">
      <w:pPr>
        <w:rPr>
          <w:rFonts w:hint="eastAsia"/>
        </w:rPr>
      </w:pPr>
      <w:r>
        <w:rPr>
          <w:rFonts w:hint="eastAsia"/>
        </w:rPr>
        <w:tab/>
        <w:t xml:space="preserve">669.  </w:t>
      </w:r>
      <w:r>
        <w:rPr>
          <w:rFonts w:hint="eastAsia"/>
        </w:rPr>
        <w:t>工业产权组织还受理要求获得在慕尼黑《欧洲专利公约》的</w:t>
      </w:r>
      <w:r>
        <w:rPr>
          <w:rFonts w:hint="eastAsia"/>
        </w:rPr>
        <w:t>19</w:t>
      </w:r>
      <w:r>
        <w:rPr>
          <w:rFonts w:hint="eastAsia"/>
        </w:rPr>
        <w:t>个成员国的任何一个国家中保护发明的《欧洲专利证书》的申请。</w:t>
      </w:r>
    </w:p>
    <w:p w:rsidR="00000000" w:rsidRDefault="00000000">
      <w:pPr>
        <w:rPr>
          <w:rFonts w:hint="eastAsia"/>
        </w:rPr>
      </w:pPr>
      <w:r>
        <w:rPr>
          <w:rFonts w:hint="eastAsia"/>
        </w:rPr>
        <w:tab/>
        <w:t xml:space="preserve">670.  </w:t>
      </w:r>
      <w:r>
        <w:rPr>
          <w:rFonts w:hint="eastAsia"/>
        </w:rPr>
        <w:t>为保护创作者的版权及相关权利，根据第</w:t>
      </w:r>
      <w:r>
        <w:rPr>
          <w:rFonts w:hint="eastAsia"/>
        </w:rPr>
        <w:t>2121/93</w:t>
      </w:r>
      <w:r>
        <w:rPr>
          <w:rFonts w:hint="eastAsia"/>
        </w:rPr>
        <w:t>号法第</w:t>
      </w:r>
      <w:r>
        <w:rPr>
          <w:rFonts w:hint="eastAsia"/>
        </w:rPr>
        <w:t>69</w:t>
      </w:r>
      <w:r>
        <w:rPr>
          <w:rFonts w:hint="eastAsia"/>
        </w:rPr>
        <w:t>条以及第</w:t>
      </w:r>
      <w:r>
        <w:rPr>
          <w:rFonts w:hint="eastAsia"/>
        </w:rPr>
        <w:t>311/94</w:t>
      </w:r>
      <w:r>
        <w:rPr>
          <w:rFonts w:hint="eastAsia"/>
        </w:rPr>
        <w:t>号总统令成立了版权组织。其职责是：</w:t>
      </w:r>
    </w:p>
    <w:p w:rsidR="00000000" w:rsidRDefault="00000000">
      <w:pPr>
        <w:pStyle w:val="a0"/>
        <w:tabs>
          <w:tab w:val="num" w:pos="1550"/>
        </w:tabs>
        <w:ind w:left="1550"/>
        <w:rPr>
          <w:rFonts w:hint="eastAsia"/>
        </w:rPr>
      </w:pPr>
      <w:r>
        <w:rPr>
          <w:rFonts w:hint="eastAsia"/>
        </w:rPr>
        <w:t>保护版权及相关权利；</w:t>
      </w:r>
    </w:p>
    <w:p w:rsidR="00000000" w:rsidRDefault="00000000">
      <w:pPr>
        <w:pStyle w:val="a0"/>
        <w:tabs>
          <w:tab w:val="num" w:pos="1550"/>
        </w:tabs>
        <w:ind w:left="1550"/>
        <w:rPr>
          <w:rFonts w:hint="eastAsia"/>
        </w:rPr>
      </w:pPr>
      <w:r>
        <w:rPr>
          <w:rFonts w:hint="eastAsia"/>
        </w:rPr>
        <w:t>管理电视盗版问题；以及</w:t>
      </w:r>
    </w:p>
    <w:p w:rsidR="00000000" w:rsidRDefault="00000000">
      <w:pPr>
        <w:pStyle w:val="a0"/>
        <w:tabs>
          <w:tab w:val="num" w:pos="1550"/>
        </w:tabs>
        <w:ind w:left="1550"/>
        <w:rPr>
          <w:rFonts w:hint="eastAsia"/>
        </w:rPr>
      </w:pPr>
      <w:r>
        <w:rPr>
          <w:rFonts w:hint="eastAsia"/>
        </w:rPr>
        <w:t>保护软件和确保向创作者支付合理费用。</w:t>
      </w:r>
    </w:p>
    <w:p w:rsidR="00000000" w:rsidRDefault="00000000">
      <w:pPr>
        <w:pStyle w:val="NormalIndent"/>
        <w:rPr>
          <w:rFonts w:hint="eastAsia"/>
        </w:rPr>
      </w:pPr>
      <w:r>
        <w:rPr>
          <w:rFonts w:hint="eastAsia"/>
        </w:rPr>
        <w:t xml:space="preserve">671.  </w:t>
      </w:r>
      <w:r>
        <w:rPr>
          <w:rFonts w:hint="eastAsia"/>
        </w:rPr>
        <w:t>版权组织随时与世界知识产权组织、世界贸易组织、联合国教育、科学和文化组织、经济合作和发展组织以及欧洲联盟等国际组织保持联系。版权组织在这些组织中代表希腊，并为创作者提供版权及相关权利问题的信息。希腊的立法反映了主要欧洲国家的国家立法所体现的所有现代趋势，并符合构成欧共体版权领域的成果的欧洲共同体指令。</w:t>
      </w:r>
    </w:p>
    <w:p w:rsidR="00000000" w:rsidRDefault="00000000">
      <w:pPr>
        <w:pStyle w:val="NormalIndent"/>
        <w:rPr>
          <w:rFonts w:hint="eastAsia"/>
        </w:rPr>
      </w:pPr>
      <w:r>
        <w:rPr>
          <w:rFonts w:hint="eastAsia"/>
        </w:rPr>
        <w:t xml:space="preserve">672.  </w:t>
      </w:r>
      <w:r>
        <w:rPr>
          <w:rFonts w:hint="eastAsia"/>
        </w:rPr>
        <w:t>希腊几乎批准了所有国际公约，尤其是为国际保护提供保障的三项主要公约：</w:t>
      </w:r>
    </w:p>
    <w:p w:rsidR="00000000" w:rsidRDefault="00000000">
      <w:pPr>
        <w:pStyle w:val="a0"/>
        <w:tabs>
          <w:tab w:val="num" w:pos="1550"/>
        </w:tabs>
        <w:ind w:left="1550"/>
        <w:rPr>
          <w:rFonts w:hint="eastAsia"/>
        </w:rPr>
      </w:pPr>
      <w:r>
        <w:rPr>
          <w:rFonts w:hint="eastAsia"/>
        </w:rPr>
        <w:t>保护文学和艺术作品伯尔尼公约；</w:t>
      </w:r>
    </w:p>
    <w:p w:rsidR="00000000" w:rsidRDefault="00000000">
      <w:pPr>
        <w:pStyle w:val="a0"/>
        <w:tabs>
          <w:tab w:val="num" w:pos="1550"/>
        </w:tabs>
        <w:ind w:left="1550"/>
        <w:rPr>
          <w:rFonts w:hint="eastAsia"/>
        </w:rPr>
      </w:pPr>
      <w:r>
        <w:rPr>
          <w:rFonts w:hint="eastAsia"/>
        </w:rPr>
        <w:t>保护表演者、录音制品创作者和广播组织国际罗马公约；以及</w:t>
      </w:r>
    </w:p>
    <w:p w:rsidR="00000000" w:rsidRDefault="00000000">
      <w:pPr>
        <w:pStyle w:val="a0"/>
        <w:tabs>
          <w:tab w:val="num" w:pos="1550"/>
        </w:tabs>
        <w:ind w:left="1550"/>
        <w:rPr>
          <w:rFonts w:hint="eastAsia"/>
        </w:rPr>
      </w:pPr>
      <w:r>
        <w:rPr>
          <w:rFonts w:hint="eastAsia"/>
        </w:rPr>
        <w:t>与贸易有关的知识产权协定。</w:t>
      </w:r>
    </w:p>
    <w:p w:rsidR="00000000" w:rsidRDefault="00000000">
      <w:pPr>
        <w:pStyle w:val="NormalIndent"/>
        <w:rPr>
          <w:rFonts w:hint="eastAsia"/>
        </w:rPr>
      </w:pPr>
      <w:r>
        <w:rPr>
          <w:rFonts w:hint="eastAsia"/>
        </w:rPr>
        <w:t>事实上，已颁布的立法极大地促进了建立一个保护创作者及其他受益人的现代化有效的框架。</w:t>
      </w:r>
    </w:p>
    <w:p w:rsidR="00000000" w:rsidRDefault="00000000">
      <w:pPr>
        <w:pStyle w:val="NormalIndent"/>
        <w:rPr>
          <w:rFonts w:hint="eastAsia"/>
        </w:rPr>
      </w:pPr>
      <w:r>
        <w:rPr>
          <w:rFonts w:hint="eastAsia"/>
        </w:rPr>
        <w:t xml:space="preserve">673.  </w:t>
      </w:r>
      <w:r>
        <w:rPr>
          <w:rFonts w:hint="eastAsia"/>
        </w:rPr>
        <w:t>在某些问题上，采用了根据早已存在的法律按科学和判例法所确立的基本的制定原则。这些原则主要是一些关于版权结构的规定，例如作品的构思、真理原则等，根据这一结构，权利的主体是作为创作者的自然人；以及关于产权可转让而精神权不可转让等特点的规定。应当指出，希腊法律始终承认精神权这一对创作者个人与其作品之间的个人联系的权利。第</w:t>
      </w:r>
      <w:r>
        <w:rPr>
          <w:rFonts w:hint="eastAsia"/>
        </w:rPr>
        <w:t>2121/1993</w:t>
      </w:r>
      <w:r>
        <w:rPr>
          <w:rFonts w:hint="eastAsia"/>
        </w:rPr>
        <w:t>号法第</w:t>
      </w:r>
      <w:r>
        <w:rPr>
          <w:rFonts w:hint="eastAsia"/>
        </w:rPr>
        <w:t>5</w:t>
      </w:r>
      <w:r>
        <w:rPr>
          <w:rFonts w:hint="eastAsia"/>
        </w:rPr>
        <w:t>条也确定对表演者或表演艺术家的精神权利加以保护，该条为其作者身份及其所做贡献的完整性得到承认提供了保证。坚持对创作者和表演者或表演艺术家的精神权利加以保护，在信息社会中具有至为重要的意义，因为在信息社会中，修改和改编作品可能会导致篡改创作作品。</w:t>
      </w:r>
    </w:p>
    <w:p w:rsidR="00000000" w:rsidRDefault="00000000">
      <w:pPr>
        <w:pStyle w:val="NormalIndent"/>
        <w:rPr>
          <w:rFonts w:hint="eastAsia"/>
        </w:rPr>
      </w:pPr>
      <w:r>
        <w:rPr>
          <w:rFonts w:hint="eastAsia"/>
        </w:rPr>
        <w:t xml:space="preserve">674.  </w:t>
      </w:r>
      <w:r>
        <w:rPr>
          <w:rFonts w:hint="eastAsia"/>
        </w:rPr>
        <w:t>在大多数问题上，均作出了安排，对创作者和受益人的相关权利给予强有力的保护，其中包括</w:t>
      </w:r>
      <w:r>
        <w:rPr>
          <w:rFonts w:hint="eastAsia"/>
        </w:rPr>
        <w:t>(</w:t>
      </w:r>
      <w:r>
        <w:rPr>
          <w:rFonts w:hint="eastAsia"/>
        </w:rPr>
        <w:t>仅列举其中若干例子</w:t>
      </w:r>
      <w:r>
        <w:rPr>
          <w:rFonts w:hint="eastAsia"/>
        </w:rPr>
        <w:t>)</w:t>
      </w:r>
      <w:r>
        <w:rPr>
          <w:rFonts w:hint="eastAsia"/>
        </w:rPr>
        <w:t>租凭权，加强复制权，书面形式的制定，保护百分位费用的原则</w:t>
      </w:r>
      <w:r>
        <w:rPr>
          <w:rFonts w:hint="eastAsia"/>
        </w:rPr>
        <w:t>(</w:t>
      </w:r>
      <w:r>
        <w:rPr>
          <w:rFonts w:hint="eastAsia"/>
        </w:rPr>
        <w:t>其参照的模式是法国法典的相关规定</w:t>
      </w:r>
      <w:r>
        <w:rPr>
          <w:rFonts w:hint="eastAsia"/>
        </w:rPr>
        <w:t>)</w:t>
      </w:r>
      <w:r>
        <w:rPr>
          <w:rFonts w:hint="eastAsia"/>
        </w:rPr>
        <w:t>，不可能签定涉及一切未来作品或涉及未来利用手段的合同，以契约方式分配权力，关于利用的期限、目的、程度和手段的解释原则，承认对私人复制的合理收费，很长的保护期</w:t>
      </w:r>
      <w:r>
        <w:rPr>
          <w:rFonts w:hint="eastAsia"/>
        </w:rPr>
        <w:t>(</w:t>
      </w:r>
      <w:r>
        <w:rPr>
          <w:rFonts w:hint="eastAsia"/>
        </w:rPr>
        <w:t>达创作者死后</w:t>
      </w:r>
      <w:r>
        <w:rPr>
          <w:rFonts w:hint="eastAsia"/>
        </w:rPr>
        <w:t>70</w:t>
      </w:r>
      <w:r>
        <w:rPr>
          <w:rFonts w:hint="eastAsia"/>
        </w:rPr>
        <w:t>年</w:t>
      </w:r>
      <w:r>
        <w:rPr>
          <w:rFonts w:hint="eastAsia"/>
        </w:rPr>
        <w:t>)</w:t>
      </w:r>
      <w:r>
        <w:rPr>
          <w:rFonts w:hint="eastAsia"/>
        </w:rPr>
        <w:t>，民事制裁网络</w:t>
      </w:r>
      <w:r>
        <w:rPr>
          <w:rFonts w:hint="eastAsia"/>
        </w:rPr>
        <w:t>(</w:t>
      </w:r>
      <w:r>
        <w:rPr>
          <w:rFonts w:hint="eastAsia"/>
        </w:rPr>
        <w:t>除其他外，这是为了方便计算和对于损害部分进行修复</w:t>
      </w:r>
      <w:r>
        <w:rPr>
          <w:rFonts w:hint="eastAsia"/>
        </w:rPr>
        <w:t>)</w:t>
      </w:r>
      <w:r>
        <w:rPr>
          <w:rFonts w:hint="eastAsia"/>
        </w:rPr>
        <w:t>以及旨在防止侵权行为的严格的刑事制裁。</w:t>
      </w:r>
    </w:p>
    <w:p w:rsidR="00000000" w:rsidRDefault="00000000">
      <w:pPr>
        <w:pStyle w:val="NormalIndent"/>
        <w:widowControl/>
        <w:rPr>
          <w:rFonts w:hint="eastAsia"/>
        </w:rPr>
      </w:pPr>
      <w:r>
        <w:rPr>
          <w:rFonts w:hint="eastAsia"/>
        </w:rPr>
        <w:t xml:space="preserve">675.  </w:t>
      </w:r>
      <w:r>
        <w:rPr>
          <w:rFonts w:hint="eastAsia"/>
        </w:rPr>
        <w:t>要特别提及的是，第</w:t>
      </w:r>
      <w:r>
        <w:rPr>
          <w:rFonts w:hint="eastAsia"/>
        </w:rPr>
        <w:t>2121/1993</w:t>
      </w:r>
      <w:r>
        <w:rPr>
          <w:rFonts w:hint="eastAsia"/>
        </w:rPr>
        <w:t>号法第</w:t>
      </w:r>
      <w:r>
        <w:rPr>
          <w:rFonts w:hint="eastAsia"/>
        </w:rPr>
        <w:t>68</w:t>
      </w:r>
      <w:r>
        <w:rPr>
          <w:rFonts w:hint="eastAsia"/>
        </w:rPr>
        <w:t>条第</w:t>
      </w:r>
      <w:r>
        <w:rPr>
          <w:rFonts w:hint="eastAsia"/>
        </w:rPr>
        <w:t>3</w:t>
      </w:r>
      <w:r>
        <w:rPr>
          <w:rFonts w:hint="eastAsia"/>
        </w:rPr>
        <w:t>款要求自</w:t>
      </w:r>
      <w:r>
        <w:rPr>
          <w:rFonts w:hint="eastAsia"/>
        </w:rPr>
        <w:t>1994</w:t>
      </w:r>
      <w:r>
        <w:rPr>
          <w:rFonts w:hint="eastAsia"/>
        </w:rPr>
        <w:t>年</w:t>
      </w:r>
      <w:r>
        <w:rPr>
          <w:rFonts w:hint="eastAsia"/>
        </w:rPr>
        <w:t>4</w:t>
      </w:r>
      <w:r>
        <w:rPr>
          <w:rFonts w:hint="eastAsia"/>
        </w:rPr>
        <w:t>月</w:t>
      </w:r>
      <w:r>
        <w:rPr>
          <w:rFonts w:hint="eastAsia"/>
        </w:rPr>
        <w:t>3</w:t>
      </w:r>
      <w:r>
        <w:rPr>
          <w:rFonts w:hint="eastAsia"/>
        </w:rPr>
        <w:t>日起按新法的规定来调整老合同。这一安排对在电视上播放老电影影片起到了极大的实际作用，这样一来，导演和剧作家，无论是通过法院还是不通过法院，均得以对音像媒体的电视利用方式收取费用。</w:t>
      </w:r>
    </w:p>
    <w:p w:rsidR="00000000" w:rsidRDefault="00000000">
      <w:pPr>
        <w:pStyle w:val="NormalIndent"/>
        <w:rPr>
          <w:rFonts w:hint="eastAsia"/>
        </w:rPr>
      </w:pPr>
      <w:r>
        <w:rPr>
          <w:rFonts w:hint="eastAsia"/>
        </w:rPr>
        <w:t xml:space="preserve">676.  </w:t>
      </w:r>
      <w:r>
        <w:rPr>
          <w:rFonts w:hint="eastAsia"/>
        </w:rPr>
        <w:t>还应指出的是，为表演者和表演艺术家、音像制品和音像作品制作者以及广播组织确定了相关权利，范围更宽于《保护艺术家或表演者、音像制品制作者和广播组织国际公约》</w:t>
      </w:r>
      <w:r>
        <w:rPr>
          <w:rFonts w:hint="eastAsia"/>
        </w:rPr>
        <w:t>(</w:t>
      </w:r>
      <w:r>
        <w:rPr>
          <w:rFonts w:hint="eastAsia"/>
        </w:rPr>
        <w:t>《罗马公约》</w:t>
      </w:r>
      <w:r>
        <w:rPr>
          <w:rFonts w:hint="eastAsia"/>
        </w:rPr>
        <w:t>)</w:t>
      </w:r>
      <w:r>
        <w:rPr>
          <w:rFonts w:hint="eastAsia"/>
        </w:rPr>
        <w:t>；而且首次为编辑人员规定了一项涉及排字和排版的相关权利。对相关权利的保护也适用于过去，即在第</w:t>
      </w:r>
      <w:r>
        <w:rPr>
          <w:rFonts w:hint="eastAsia"/>
        </w:rPr>
        <w:t>2121/1993</w:t>
      </w:r>
      <w:r>
        <w:rPr>
          <w:rFonts w:hint="eastAsia"/>
        </w:rPr>
        <w:t>号法</w:t>
      </w:r>
      <w:r>
        <w:rPr>
          <w:rFonts w:hint="eastAsia"/>
        </w:rPr>
        <w:t xml:space="preserve"> (</w:t>
      </w:r>
      <w:r>
        <w:rPr>
          <w:rFonts w:hint="eastAsia"/>
        </w:rPr>
        <w:t>第</w:t>
      </w:r>
      <w:r>
        <w:rPr>
          <w:rFonts w:hint="eastAsia"/>
        </w:rPr>
        <w:t>68</w:t>
      </w:r>
      <w:r>
        <w:rPr>
          <w:rFonts w:hint="eastAsia"/>
        </w:rPr>
        <w:t>条第</w:t>
      </w:r>
      <w:r>
        <w:rPr>
          <w:rFonts w:hint="eastAsia"/>
        </w:rPr>
        <w:t>3</w:t>
      </w:r>
      <w:r>
        <w:rPr>
          <w:rFonts w:hint="eastAsia"/>
        </w:rPr>
        <w:t>款</w:t>
      </w:r>
      <w:r>
        <w:rPr>
          <w:rFonts w:hint="eastAsia"/>
        </w:rPr>
        <w:t>)</w:t>
      </w:r>
      <w:r>
        <w:rPr>
          <w:rFonts w:hint="eastAsia"/>
        </w:rPr>
        <w:t>生效之前发生的行为。这一安排使演员能通过法院提出对电视上转播老希腊电影影片合理收费的要求</w:t>
      </w:r>
      <w:r>
        <w:rPr>
          <w:rFonts w:hint="eastAsia"/>
        </w:rPr>
        <w:t xml:space="preserve"> (</w:t>
      </w:r>
      <w:r>
        <w:rPr>
          <w:rFonts w:hint="eastAsia"/>
        </w:rPr>
        <w:t>第</w:t>
      </w:r>
      <w:r>
        <w:rPr>
          <w:rFonts w:hint="eastAsia"/>
        </w:rPr>
        <w:t>49</w:t>
      </w:r>
      <w:r>
        <w:rPr>
          <w:rFonts w:hint="eastAsia"/>
        </w:rPr>
        <w:t>条</w:t>
      </w:r>
      <w:r>
        <w:rPr>
          <w:rFonts w:hint="eastAsia"/>
        </w:rPr>
        <w:t>)</w:t>
      </w:r>
      <w:r>
        <w:rPr>
          <w:rFonts w:hint="eastAsia"/>
        </w:rPr>
        <w:t>。</w:t>
      </w:r>
    </w:p>
    <w:p w:rsidR="00000000" w:rsidRDefault="00000000">
      <w:pPr>
        <w:pStyle w:val="NormalIndent"/>
        <w:rPr>
          <w:rFonts w:hint="eastAsia"/>
        </w:rPr>
      </w:pPr>
      <w:r>
        <w:rPr>
          <w:rFonts w:hint="eastAsia"/>
        </w:rPr>
        <w:t xml:space="preserve">677.  </w:t>
      </w:r>
      <w:r>
        <w:rPr>
          <w:rFonts w:hint="eastAsia"/>
        </w:rPr>
        <w:t>此外，一些混合形式的创作，例如计算机程序和数据库，也可以算是作品；对此类作品的保护，基本上通过调整希腊的版权法，使其适用信息社会的方式进行的。</w:t>
      </w:r>
    </w:p>
    <w:p w:rsidR="00000000" w:rsidRDefault="00000000">
      <w:pPr>
        <w:pStyle w:val="NormalIndent"/>
        <w:rPr>
          <w:rFonts w:hint="eastAsia"/>
        </w:rPr>
      </w:pPr>
      <w:r>
        <w:rPr>
          <w:rFonts w:hint="eastAsia"/>
        </w:rPr>
        <w:t xml:space="preserve">678.  </w:t>
      </w:r>
      <w:r>
        <w:rPr>
          <w:rFonts w:hint="eastAsia"/>
        </w:rPr>
        <w:t>法律上还对自营式集体管理组织的机构框架给予承认，同意可以建立合作组织</w:t>
      </w:r>
      <w:r>
        <w:rPr>
          <w:rFonts w:hint="eastAsia"/>
        </w:rPr>
        <w:t>(</w:t>
      </w:r>
      <w:r>
        <w:rPr>
          <w:rFonts w:hint="eastAsia"/>
        </w:rPr>
        <w:t>第</w:t>
      </w:r>
      <w:r>
        <w:rPr>
          <w:rFonts w:hint="eastAsia"/>
        </w:rPr>
        <w:t>2121/1993</w:t>
      </w:r>
      <w:r>
        <w:rPr>
          <w:rFonts w:hint="eastAsia"/>
        </w:rPr>
        <w:t>号法第</w:t>
      </w:r>
      <w:r>
        <w:rPr>
          <w:rFonts w:hint="eastAsia"/>
        </w:rPr>
        <w:t>54</w:t>
      </w:r>
      <w:r>
        <w:rPr>
          <w:rFonts w:hint="eastAsia"/>
        </w:rPr>
        <w:t>－</w:t>
      </w:r>
      <w:r>
        <w:rPr>
          <w:rFonts w:hint="eastAsia"/>
        </w:rPr>
        <w:t>56</w:t>
      </w:r>
      <w:r>
        <w:rPr>
          <w:rFonts w:hint="eastAsia"/>
        </w:rPr>
        <w:t>条</w:t>
      </w:r>
      <w:r>
        <w:rPr>
          <w:rFonts w:hint="eastAsia"/>
        </w:rPr>
        <w:t>)</w:t>
      </w:r>
      <w:r>
        <w:rPr>
          <w:rFonts w:hint="eastAsia"/>
        </w:rPr>
        <w:t>。文化部向各种集体管理组织发放了营业执照，这些组织几乎代表所有各类创作者、表演者或表演艺术家、录音制品制作者和音像制品制作者。</w:t>
      </w:r>
    </w:p>
    <w:p w:rsidR="00000000" w:rsidRDefault="00000000">
      <w:pPr>
        <w:pStyle w:val="NormalIndent"/>
        <w:spacing w:after="240"/>
        <w:rPr>
          <w:rFonts w:hint="eastAsia"/>
        </w:rPr>
      </w:pPr>
      <w:r>
        <w:rPr>
          <w:rFonts w:hint="eastAsia"/>
        </w:rPr>
        <w:t xml:space="preserve">679.  </w:t>
      </w:r>
      <w:r>
        <w:rPr>
          <w:rFonts w:hint="eastAsia"/>
        </w:rPr>
        <w:t>最后，应该指出的是，希腊版权保护学会在适用上述立法中代表着约</w:t>
      </w:r>
      <w:r>
        <w:rPr>
          <w:rFonts w:hint="eastAsia"/>
        </w:rPr>
        <w:t>1,500,000</w:t>
      </w:r>
      <w:r>
        <w:rPr>
          <w:rFonts w:hint="eastAsia"/>
        </w:rPr>
        <w:t>名</w:t>
      </w:r>
      <w:r>
        <w:rPr>
          <w:rFonts w:hint="eastAsia"/>
        </w:rPr>
        <w:t>(</w:t>
      </w:r>
      <w:r>
        <w:rPr>
          <w:rFonts w:hint="eastAsia"/>
        </w:rPr>
        <w:t>即占总人数的</w:t>
      </w:r>
      <w:r>
        <w:rPr>
          <w:rFonts w:hint="eastAsia"/>
        </w:rPr>
        <w:t>99.9%</w:t>
      </w:r>
      <w:r>
        <w:rPr>
          <w:rFonts w:hint="eastAsia"/>
        </w:rPr>
        <w:t>以上</w:t>
      </w:r>
      <w:r>
        <w:rPr>
          <w:rFonts w:hint="eastAsia"/>
        </w:rPr>
        <w:t>)</w:t>
      </w:r>
      <w:r>
        <w:rPr>
          <w:rFonts w:hint="eastAsia"/>
        </w:rPr>
        <w:t>希腊国内外音像制作者知识分子，通过收取知识使用费并将其分配给知识创作者，并依法采取一切措施制止侵犯版权的行为，确保其权利得到保护。该学会通过相互代表合同与其他国家的对等版权学会</w:t>
      </w:r>
      <w:r>
        <w:rPr>
          <w:rFonts w:hint="eastAsia"/>
        </w:rPr>
        <w:t>(</w:t>
      </w:r>
      <w:r>
        <w:rPr>
          <w:rFonts w:hint="eastAsia"/>
        </w:rPr>
        <w:t>约</w:t>
      </w:r>
      <w:r>
        <w:rPr>
          <w:rFonts w:hint="eastAsia"/>
        </w:rPr>
        <w:t>160</w:t>
      </w:r>
      <w:r>
        <w:rPr>
          <w:rFonts w:hint="eastAsia"/>
        </w:rPr>
        <w:t>个</w:t>
      </w:r>
      <w:r>
        <w:rPr>
          <w:rFonts w:hint="eastAsia"/>
        </w:rPr>
        <w:t>)</w:t>
      </w:r>
      <w:r>
        <w:rPr>
          <w:rFonts w:hint="eastAsia"/>
        </w:rPr>
        <w:t>建立了关系，它在希腊代表所有这些学会。</w:t>
      </w:r>
    </w:p>
    <w:p w:rsidR="00000000" w:rsidRDefault="00000000">
      <w:pPr>
        <w:pStyle w:val="Heading4"/>
        <w:rPr>
          <w:rFonts w:hint="eastAsia"/>
        </w:rPr>
      </w:pPr>
      <w:r>
        <w:rPr>
          <w:rFonts w:hint="eastAsia"/>
        </w:rPr>
        <w:t>为确保科学和文化得到保护、发展和传播采取的步骤和措施</w:t>
      </w:r>
    </w:p>
    <w:p w:rsidR="00000000" w:rsidRDefault="00000000">
      <w:pPr>
        <w:pStyle w:val="NormalIndent"/>
        <w:rPr>
          <w:rFonts w:hint="eastAsia"/>
        </w:rPr>
      </w:pPr>
      <w:r>
        <w:rPr>
          <w:rFonts w:hint="eastAsia"/>
        </w:rPr>
        <w:t xml:space="preserve">680.  </w:t>
      </w:r>
      <w:r>
        <w:rPr>
          <w:rFonts w:hint="eastAsia"/>
        </w:rPr>
        <w:t>为了发展和传播希腊文化，文化部根据第</w:t>
      </w:r>
      <w:r>
        <w:rPr>
          <w:rFonts w:hint="eastAsia"/>
        </w:rPr>
        <w:t>2557/97</w:t>
      </w:r>
      <w:r>
        <w:rPr>
          <w:rFonts w:hint="eastAsia"/>
        </w:rPr>
        <w:t>号法成立了希腊文化遗产促进和推广学会，该学会资助的活动范围很广，以在希腊国内外推介希腊文化、关于和平与和解的信息以及关于创作者或新科学家之间进行高尚竞争的讯息。</w:t>
      </w:r>
    </w:p>
    <w:p w:rsidR="00000000" w:rsidRDefault="00000000">
      <w:pPr>
        <w:pStyle w:val="NormalIndent"/>
        <w:widowControl/>
        <w:rPr>
          <w:rFonts w:hint="eastAsia"/>
        </w:rPr>
      </w:pPr>
      <w:r>
        <w:rPr>
          <w:rFonts w:hint="eastAsia"/>
        </w:rPr>
        <w:t>681.  2001</w:t>
      </w:r>
      <w:r>
        <w:rPr>
          <w:rFonts w:hint="eastAsia"/>
        </w:rPr>
        <w:t>－</w:t>
      </w:r>
      <w:r>
        <w:rPr>
          <w:rFonts w:hint="eastAsia"/>
        </w:rPr>
        <w:t>2004</w:t>
      </w:r>
      <w:r>
        <w:rPr>
          <w:rFonts w:hint="eastAsia"/>
        </w:rPr>
        <w:t>年期间</w:t>
      </w:r>
      <w:r>
        <w:rPr>
          <w:rFonts w:hint="eastAsia"/>
        </w:rPr>
        <w:t>(</w:t>
      </w:r>
      <w:r>
        <w:rPr>
          <w:rFonts w:hint="eastAsia"/>
        </w:rPr>
        <w:t>直到</w:t>
      </w:r>
      <w:r>
        <w:rPr>
          <w:rFonts w:hint="eastAsia"/>
        </w:rPr>
        <w:t>2004</w:t>
      </w:r>
      <w:r>
        <w:rPr>
          <w:rFonts w:hint="eastAsia"/>
        </w:rPr>
        <w:t>年雅典奥运会为止</w:t>
      </w:r>
      <w:r>
        <w:rPr>
          <w:rFonts w:hint="eastAsia"/>
        </w:rPr>
        <w:t>)</w:t>
      </w:r>
      <w:r>
        <w:rPr>
          <w:rFonts w:hint="eastAsia"/>
        </w:rPr>
        <w:t>开展的文化奥林匹克的主要活动有：</w:t>
      </w:r>
    </w:p>
    <w:p w:rsidR="00000000" w:rsidRDefault="00000000">
      <w:pPr>
        <w:pStyle w:val="a0"/>
        <w:tabs>
          <w:tab w:val="num" w:pos="1550"/>
        </w:tabs>
        <w:ind w:left="1550"/>
        <w:rPr>
          <w:rFonts w:hint="eastAsia"/>
        </w:rPr>
      </w:pPr>
      <w:r>
        <w:rPr>
          <w:rFonts w:hint="eastAsia"/>
        </w:rPr>
        <w:t>国际会议和大会、重大艺术展览；</w:t>
      </w:r>
    </w:p>
    <w:p w:rsidR="00000000" w:rsidRDefault="00000000">
      <w:pPr>
        <w:pStyle w:val="a0"/>
        <w:tabs>
          <w:tab w:val="num" w:pos="1550"/>
        </w:tabs>
        <w:ind w:left="1550"/>
        <w:rPr>
          <w:rFonts w:hint="eastAsia"/>
        </w:rPr>
      </w:pPr>
      <w:r>
        <w:rPr>
          <w:rFonts w:hint="eastAsia"/>
        </w:rPr>
        <w:t>重大戏剧、舞蹈、音乐和唱歌活动；</w:t>
      </w:r>
    </w:p>
    <w:p w:rsidR="00000000" w:rsidRDefault="00000000">
      <w:pPr>
        <w:pStyle w:val="a0"/>
        <w:tabs>
          <w:tab w:val="num" w:pos="1550"/>
        </w:tabs>
        <w:ind w:left="1550"/>
        <w:rPr>
          <w:rFonts w:hint="eastAsia"/>
        </w:rPr>
      </w:pPr>
      <w:r>
        <w:rPr>
          <w:rFonts w:hint="eastAsia"/>
        </w:rPr>
        <w:t>电影节、音像创作和数码艺术节；</w:t>
      </w:r>
    </w:p>
    <w:p w:rsidR="00000000" w:rsidRDefault="00000000">
      <w:pPr>
        <w:pStyle w:val="a0"/>
        <w:tabs>
          <w:tab w:val="num" w:pos="1550"/>
        </w:tabs>
        <w:ind w:left="1550"/>
        <w:rPr>
          <w:rFonts w:hint="eastAsia"/>
        </w:rPr>
      </w:pPr>
      <w:r>
        <w:rPr>
          <w:rFonts w:hint="eastAsia"/>
        </w:rPr>
        <w:t>代表“其他文化方面”、另类艺术、“初艺术”活动、“受约束的创作者”展览和艺术活动等；</w:t>
      </w:r>
    </w:p>
    <w:p w:rsidR="00000000" w:rsidRDefault="00000000">
      <w:pPr>
        <w:pStyle w:val="a0"/>
        <w:tabs>
          <w:tab w:val="num" w:pos="1550"/>
        </w:tabs>
        <w:ind w:left="1550"/>
        <w:rPr>
          <w:rFonts w:hint="eastAsia"/>
        </w:rPr>
      </w:pPr>
      <w:r>
        <w:rPr>
          <w:rFonts w:hint="eastAsia"/>
        </w:rPr>
        <w:t>代表民间文化各个方面及其丰富性的活动；以及</w:t>
      </w:r>
    </w:p>
    <w:p w:rsidR="00000000" w:rsidRDefault="00000000">
      <w:pPr>
        <w:pStyle w:val="a0"/>
        <w:tabs>
          <w:tab w:val="num" w:pos="1550"/>
        </w:tabs>
        <w:ind w:left="1550"/>
        <w:rPr>
          <w:rFonts w:hint="eastAsia"/>
        </w:rPr>
      </w:pPr>
      <w:r>
        <w:rPr>
          <w:rFonts w:hint="eastAsia"/>
        </w:rPr>
        <w:t>设立文化奥林匹克“</w:t>
      </w:r>
      <w:r>
        <w:t>Kotinos</w:t>
      </w:r>
      <w:r>
        <w:rPr>
          <w:rFonts w:hint="eastAsia"/>
        </w:rPr>
        <w:t>”</w:t>
      </w:r>
      <w:r>
        <w:rPr>
          <w:rFonts w:hint="eastAsia"/>
        </w:rPr>
        <w:t>(</w:t>
      </w:r>
      <w:r>
        <w:rPr>
          <w:rFonts w:hint="eastAsia"/>
        </w:rPr>
        <w:t>橄榄枝</w:t>
      </w:r>
      <w:r>
        <w:rPr>
          <w:rFonts w:hint="eastAsia"/>
        </w:rPr>
        <w:t>)</w:t>
      </w:r>
      <w:r>
        <w:rPr>
          <w:rFonts w:hint="eastAsia"/>
        </w:rPr>
        <w:t>奖项，由国际基金会委员会在古代奥林匹亚上颁发。</w:t>
      </w:r>
    </w:p>
    <w:p w:rsidR="00000000" w:rsidRDefault="00000000">
      <w:pPr>
        <w:pStyle w:val="NormalIndent"/>
        <w:rPr>
          <w:rFonts w:hint="eastAsia"/>
        </w:rPr>
      </w:pPr>
      <w:r>
        <w:rPr>
          <w:rFonts w:hint="eastAsia"/>
        </w:rPr>
        <w:t xml:space="preserve">682.  </w:t>
      </w:r>
      <w:r>
        <w:rPr>
          <w:rFonts w:hint="eastAsia"/>
        </w:rPr>
        <w:t>以下方面也将在外国推介希腊文化；</w:t>
      </w:r>
    </w:p>
    <w:p w:rsidR="00000000" w:rsidRDefault="00000000">
      <w:pPr>
        <w:pStyle w:val="a0"/>
        <w:tabs>
          <w:tab w:val="num" w:pos="1550"/>
        </w:tabs>
        <w:ind w:left="1550"/>
        <w:rPr>
          <w:rFonts w:hint="eastAsia"/>
        </w:rPr>
      </w:pPr>
      <w:r>
        <w:rPr>
          <w:rFonts w:hint="eastAsia"/>
        </w:rPr>
        <w:t>希腊文化基金会及其分支机构</w:t>
      </w:r>
      <w:r>
        <w:rPr>
          <w:rFonts w:hint="eastAsia"/>
        </w:rPr>
        <w:t>(</w:t>
      </w:r>
      <w:r>
        <w:rPr>
          <w:rFonts w:hint="eastAsia"/>
        </w:rPr>
        <w:t>伦敦、柏林、美国、埃及等</w:t>
      </w:r>
      <w:r>
        <w:rPr>
          <w:rFonts w:hint="eastAsia"/>
        </w:rPr>
        <w:t>)</w:t>
      </w:r>
      <w:r>
        <w:rPr>
          <w:rFonts w:hint="eastAsia"/>
        </w:rPr>
        <w:t>；</w:t>
      </w:r>
    </w:p>
    <w:p w:rsidR="00000000" w:rsidRDefault="00000000">
      <w:pPr>
        <w:pStyle w:val="a0"/>
        <w:tabs>
          <w:tab w:val="num" w:pos="1550"/>
        </w:tabs>
        <w:ind w:left="1550"/>
        <w:rPr>
          <w:rFonts w:hint="eastAsia"/>
        </w:rPr>
      </w:pPr>
      <w:r>
        <w:rPr>
          <w:rFonts w:hint="eastAsia"/>
        </w:rPr>
        <w:t>在外国大学加强约</w:t>
      </w:r>
      <w:r>
        <w:rPr>
          <w:rFonts w:hint="eastAsia"/>
        </w:rPr>
        <w:t>250</w:t>
      </w:r>
      <w:r>
        <w:rPr>
          <w:rFonts w:hint="eastAsia"/>
        </w:rPr>
        <w:t>个现代希腊学的教授职位；</w:t>
      </w:r>
    </w:p>
    <w:p w:rsidR="00000000" w:rsidRDefault="00000000">
      <w:pPr>
        <w:pStyle w:val="a0"/>
        <w:tabs>
          <w:tab w:val="num" w:pos="1550"/>
        </w:tabs>
        <w:ind w:left="1550"/>
        <w:rPr>
          <w:rFonts w:hint="eastAsia"/>
        </w:rPr>
      </w:pPr>
      <w:r>
        <w:rPr>
          <w:rFonts w:hint="eastAsia"/>
        </w:rPr>
        <w:t>希腊艺术家参加并支持国际展览、每两年举行一次的活动、图书交易会</w:t>
      </w:r>
      <w:r>
        <w:rPr>
          <w:rFonts w:hint="eastAsia"/>
        </w:rPr>
        <w:t>(</w:t>
      </w:r>
      <w:r>
        <w:rPr>
          <w:rFonts w:hint="eastAsia"/>
        </w:rPr>
        <w:t>法兰克福图书交易会</w:t>
      </w:r>
      <w:r>
        <w:rPr>
          <w:rFonts w:hint="eastAsia"/>
        </w:rPr>
        <w:t>)</w:t>
      </w:r>
      <w:r>
        <w:rPr>
          <w:rFonts w:hint="eastAsia"/>
        </w:rPr>
        <w:t>；</w:t>
      </w:r>
    </w:p>
    <w:p w:rsidR="00000000" w:rsidRDefault="00000000">
      <w:pPr>
        <w:pStyle w:val="a0"/>
        <w:tabs>
          <w:tab w:val="num" w:pos="1550"/>
        </w:tabs>
        <w:ind w:left="1550"/>
        <w:rPr>
          <w:rFonts w:hint="eastAsia"/>
        </w:rPr>
      </w:pPr>
      <w:r>
        <w:rPr>
          <w:rFonts w:hint="eastAsia"/>
        </w:rPr>
        <w:t>与希腊大使馆的教育处合作在国外举办“希腊月”活动；</w:t>
      </w:r>
    </w:p>
    <w:p w:rsidR="00000000" w:rsidRDefault="00000000">
      <w:pPr>
        <w:pStyle w:val="a0"/>
        <w:tabs>
          <w:tab w:val="num" w:pos="1550"/>
        </w:tabs>
        <w:ind w:left="1550"/>
        <w:rPr>
          <w:rFonts w:hint="eastAsia"/>
        </w:rPr>
      </w:pPr>
      <w:r>
        <w:rPr>
          <w:rFonts w:hint="eastAsia"/>
        </w:rPr>
        <w:t>加强国外希腊人组织；</w:t>
      </w:r>
    </w:p>
    <w:p w:rsidR="00000000" w:rsidRDefault="00000000">
      <w:pPr>
        <w:pStyle w:val="a0"/>
        <w:tabs>
          <w:tab w:val="num" w:pos="1550"/>
        </w:tabs>
        <w:ind w:left="1550"/>
        <w:rPr>
          <w:rFonts w:hint="eastAsia"/>
        </w:rPr>
      </w:pPr>
      <w:r>
        <w:rPr>
          <w:rFonts w:hint="eastAsia"/>
        </w:rPr>
        <w:t>戏剧团体、乐队和歌舞团参加节日庆典及其他活动；</w:t>
      </w:r>
    </w:p>
    <w:p w:rsidR="00000000" w:rsidRDefault="00000000">
      <w:pPr>
        <w:pStyle w:val="a0"/>
        <w:tabs>
          <w:tab w:val="num" w:pos="1550"/>
        </w:tabs>
        <w:ind w:left="1550"/>
        <w:rPr>
          <w:rFonts w:hint="eastAsia"/>
        </w:rPr>
      </w:pPr>
      <w:r>
        <w:rPr>
          <w:rFonts w:hint="eastAsia"/>
        </w:rPr>
        <w:t>在国际组织</w:t>
      </w:r>
      <w:r>
        <w:rPr>
          <w:rFonts w:hint="eastAsia"/>
        </w:rPr>
        <w:t>(</w:t>
      </w:r>
      <w:r>
        <w:rPr>
          <w:rFonts w:hint="eastAsia"/>
        </w:rPr>
        <w:t>欧盟、欧洲理事会、教科文组织</w:t>
      </w:r>
      <w:r>
        <w:rPr>
          <w:rFonts w:hint="eastAsia"/>
        </w:rPr>
        <w:t>)</w:t>
      </w:r>
      <w:r>
        <w:rPr>
          <w:rFonts w:hint="eastAsia"/>
        </w:rPr>
        <w:t>的项目中，或根据文化部同约</w:t>
      </w:r>
      <w:r>
        <w:rPr>
          <w:rFonts w:hint="eastAsia"/>
        </w:rPr>
        <w:t>80</w:t>
      </w:r>
      <w:r>
        <w:rPr>
          <w:rFonts w:hint="eastAsia"/>
        </w:rPr>
        <w:t>个国家签定的双边协议，举办展览；</w:t>
      </w:r>
    </w:p>
    <w:p w:rsidR="00000000" w:rsidRDefault="00000000">
      <w:pPr>
        <w:pStyle w:val="a0"/>
        <w:tabs>
          <w:tab w:val="num" w:pos="1550"/>
        </w:tabs>
        <w:ind w:left="1550"/>
        <w:rPr>
          <w:rFonts w:hint="eastAsia"/>
        </w:rPr>
      </w:pPr>
      <w:r>
        <w:rPr>
          <w:rFonts w:hint="eastAsia"/>
        </w:rPr>
        <w:t>参加在其他国家的文化首府举办的活动；</w:t>
      </w:r>
    </w:p>
    <w:p w:rsidR="00000000" w:rsidRDefault="00000000">
      <w:pPr>
        <w:pStyle w:val="a0"/>
        <w:tabs>
          <w:tab w:val="num" w:pos="1550"/>
        </w:tabs>
        <w:ind w:left="1550"/>
        <w:rPr>
          <w:rFonts w:hint="eastAsia"/>
        </w:rPr>
      </w:pPr>
      <w:r>
        <w:rPr>
          <w:rFonts w:hint="eastAsia"/>
        </w:rPr>
        <w:t>参加大型国际图书交易会</w:t>
      </w:r>
      <w:r>
        <w:rPr>
          <w:rFonts w:hint="eastAsia"/>
        </w:rPr>
        <w:t>(</w:t>
      </w:r>
      <w:r>
        <w:rPr>
          <w:rFonts w:hint="eastAsia"/>
        </w:rPr>
        <w:t>法兰克福、莱比锡、巴黎、波伦亚等</w:t>
      </w:r>
      <w:r>
        <w:rPr>
          <w:rFonts w:hint="eastAsia"/>
        </w:rPr>
        <w:t>)</w:t>
      </w:r>
      <w:r>
        <w:rPr>
          <w:rFonts w:hint="eastAsia"/>
        </w:rPr>
        <w:t>；以及</w:t>
      </w:r>
    </w:p>
    <w:p w:rsidR="00000000" w:rsidRDefault="00000000">
      <w:pPr>
        <w:pStyle w:val="a0"/>
        <w:tabs>
          <w:tab w:val="num" w:pos="1550"/>
        </w:tabs>
        <w:ind w:left="1550"/>
        <w:rPr>
          <w:rFonts w:hint="eastAsia"/>
        </w:rPr>
      </w:pPr>
      <w:r>
        <w:rPr>
          <w:rFonts w:hint="eastAsia"/>
        </w:rPr>
        <w:t>举办考古发现、拜占庭宝藏和民间文化的大型展览会。</w:t>
      </w:r>
    </w:p>
    <w:p w:rsidR="00000000" w:rsidRDefault="00000000">
      <w:pPr>
        <w:pStyle w:val="NormalIndent"/>
        <w:rPr>
          <w:rFonts w:hint="eastAsia"/>
        </w:rPr>
      </w:pPr>
      <w:r>
        <w:rPr>
          <w:rFonts w:hint="eastAsia"/>
        </w:rPr>
        <w:t xml:space="preserve">683.  </w:t>
      </w:r>
      <w:r>
        <w:rPr>
          <w:rFonts w:hint="eastAsia"/>
        </w:rPr>
        <w:t>在国外促进和传播文化，是通过支持艺术家参加所在国的文化生活、参加国际文化遗产、音乐、图书、诗歌、舞蹈等节日、举办电影节</w:t>
      </w:r>
      <w:r>
        <w:rPr>
          <w:rFonts w:hint="eastAsia"/>
        </w:rPr>
        <w:t>(</w:t>
      </w:r>
      <w:r>
        <w:t>萨洛尼卡</w:t>
      </w:r>
      <w:r>
        <w:rPr>
          <w:rFonts w:hint="eastAsia"/>
        </w:rPr>
        <w:t>电视节、戏剧短电影节、非政府组织“广阔地平线”的人权节、新技术与艺术日</w:t>
      </w:r>
      <w:r>
        <w:rPr>
          <w:rFonts w:hint="eastAsia"/>
        </w:rPr>
        <w:t>(MEDI</w:t>
      </w:r>
      <w:r>
        <w:t>@</w:t>
      </w:r>
      <w:r>
        <w:rPr>
          <w:rFonts w:hint="eastAsia"/>
        </w:rPr>
        <w:t>TERRA)</w:t>
      </w:r>
      <w:r>
        <w:rPr>
          <w:rFonts w:hint="eastAsia"/>
        </w:rPr>
        <w:t>、颁奖、和一般地为作家、艺术家和创作者的专业团体提供支助等方式现实的。</w:t>
      </w:r>
    </w:p>
    <w:p w:rsidR="00000000" w:rsidRDefault="00000000">
      <w:pPr>
        <w:pStyle w:val="NormalIndent"/>
        <w:rPr>
          <w:rFonts w:hint="eastAsia"/>
        </w:rPr>
      </w:pPr>
      <w:r>
        <w:rPr>
          <w:rFonts w:hint="eastAsia"/>
        </w:rPr>
        <w:t xml:space="preserve">684.  </w:t>
      </w:r>
      <w:r>
        <w:rPr>
          <w:rFonts w:hint="eastAsia"/>
        </w:rPr>
        <w:t>尤其是，自</w:t>
      </w:r>
      <w:r>
        <w:rPr>
          <w:rFonts w:hint="eastAsia"/>
        </w:rPr>
        <w:t>1994</w:t>
      </w:r>
      <w:r>
        <w:rPr>
          <w:rFonts w:hint="eastAsia"/>
        </w:rPr>
        <w:t>年起，文化部及开始详细制定和执行促进图书、造型艺术、戏剧、舞蹈、音乐及其他表现艺术、摄影和电影的国家政策。该政策由第</w:t>
      </w:r>
      <w:r>
        <w:rPr>
          <w:rFonts w:hint="eastAsia"/>
        </w:rPr>
        <w:t>2557/1997</w:t>
      </w:r>
      <w:r>
        <w:rPr>
          <w:rFonts w:hint="eastAsia"/>
        </w:rPr>
        <w:t>号法颁布，就采取哪些办法和措施，设立支持开展文化发展活动团体的措施问题作出的规定。</w:t>
      </w:r>
    </w:p>
    <w:p w:rsidR="00000000" w:rsidRDefault="00000000">
      <w:pPr>
        <w:pStyle w:val="NormalIndent"/>
        <w:rPr>
          <w:rFonts w:hint="eastAsia"/>
        </w:rPr>
      </w:pPr>
      <w:r>
        <w:rPr>
          <w:rFonts w:hint="eastAsia"/>
        </w:rPr>
        <w:t xml:space="preserve">685.  </w:t>
      </w:r>
      <w:r>
        <w:rPr>
          <w:rFonts w:hint="eastAsia"/>
        </w:rPr>
        <w:t>然后是近年来各领域为适用上述立法和执行这些政策正在开展的活动；</w:t>
      </w:r>
    </w:p>
    <w:p w:rsidR="00000000" w:rsidRDefault="00000000">
      <w:pPr>
        <w:pStyle w:val="a6"/>
        <w:rPr>
          <w:rFonts w:hint="eastAsia"/>
        </w:rPr>
      </w:pPr>
      <w:r>
        <w:t>(a)</w:t>
      </w:r>
      <w:r>
        <w:rPr>
          <w:rFonts w:hint="eastAsia"/>
        </w:rPr>
        <w:tab/>
      </w:r>
      <w:r>
        <w:rPr>
          <w:rFonts w:hint="eastAsia"/>
        </w:rPr>
        <w:t>通过促进图书和文学，促进希腊文学事业和希腊文学作品的发展，推广希腊语：</w:t>
      </w:r>
    </w:p>
    <w:p w:rsidR="00000000" w:rsidRDefault="00000000">
      <w:pPr>
        <w:pStyle w:val="a0"/>
        <w:tabs>
          <w:tab w:val="clear" w:pos="510"/>
          <w:tab w:val="num" w:pos="2070"/>
        </w:tabs>
        <w:ind w:left="2070"/>
        <w:rPr>
          <w:rFonts w:hint="eastAsia"/>
        </w:rPr>
      </w:pPr>
      <w:r>
        <w:rPr>
          <w:rFonts w:hint="eastAsia"/>
        </w:rPr>
        <w:t>颁发国家文学奖，旨在从整体上展希腊文学作品；</w:t>
      </w:r>
    </w:p>
    <w:p w:rsidR="00000000" w:rsidRDefault="00000000">
      <w:pPr>
        <w:pStyle w:val="a0"/>
        <w:tabs>
          <w:tab w:val="clear" w:pos="510"/>
          <w:tab w:val="num" w:pos="2070"/>
        </w:tabs>
        <w:ind w:left="2070"/>
        <w:rPr>
          <w:rFonts w:hint="eastAsia"/>
        </w:rPr>
      </w:pPr>
      <w:r>
        <w:rPr>
          <w:rFonts w:hint="eastAsia"/>
        </w:rPr>
        <w:t>发给作家、文学翻译家、随笔作家、历史作家等荣誉津贴，表彰他们在发展文学事业上提供的杰出服务；</w:t>
      </w:r>
    </w:p>
    <w:p w:rsidR="00000000" w:rsidRDefault="00000000">
      <w:pPr>
        <w:pStyle w:val="a0"/>
        <w:tabs>
          <w:tab w:val="clear" w:pos="510"/>
          <w:tab w:val="num" w:pos="2070"/>
        </w:tabs>
        <w:ind w:left="2070"/>
        <w:rPr>
          <w:rFonts w:hint="eastAsia"/>
        </w:rPr>
      </w:pPr>
      <w:r>
        <w:rPr>
          <w:rFonts w:hint="eastAsia"/>
        </w:rPr>
        <w:t>为专业团体在希腊举办图书交易会提供资助，推广图书和提高阅读能力；</w:t>
      </w:r>
    </w:p>
    <w:p w:rsidR="00000000" w:rsidRDefault="00000000">
      <w:pPr>
        <w:pStyle w:val="a0"/>
        <w:tabs>
          <w:tab w:val="clear" w:pos="510"/>
          <w:tab w:val="num" w:pos="2070"/>
        </w:tabs>
        <w:ind w:left="2070"/>
        <w:rPr>
          <w:rFonts w:hint="eastAsia"/>
        </w:rPr>
      </w:pPr>
      <w:r>
        <w:rPr>
          <w:rFonts w:hint="eastAsia"/>
        </w:rPr>
        <w:t>安排参加国外的大型图书交易会；</w:t>
      </w:r>
    </w:p>
    <w:p w:rsidR="00000000" w:rsidRDefault="00000000">
      <w:pPr>
        <w:pStyle w:val="a0"/>
        <w:tabs>
          <w:tab w:val="clear" w:pos="510"/>
          <w:tab w:val="num" w:pos="2070"/>
        </w:tabs>
        <w:ind w:left="2070"/>
        <w:rPr>
          <w:rFonts w:hint="eastAsia"/>
        </w:rPr>
      </w:pPr>
      <w:r>
        <w:rPr>
          <w:rFonts w:hint="eastAsia"/>
        </w:rPr>
        <w:t>施实对出版社的资助计划，将现代希腊文学作品翻译成外文；</w:t>
      </w:r>
    </w:p>
    <w:p w:rsidR="00000000" w:rsidRDefault="00000000">
      <w:pPr>
        <w:pStyle w:val="a0"/>
        <w:tabs>
          <w:tab w:val="clear" w:pos="510"/>
          <w:tab w:val="num" w:pos="2070"/>
        </w:tabs>
        <w:ind w:left="2070"/>
        <w:rPr>
          <w:rFonts w:hint="eastAsia"/>
        </w:rPr>
      </w:pPr>
      <w:r>
        <w:rPr>
          <w:rFonts w:hint="eastAsia"/>
        </w:rPr>
        <w:t>为开展旨在推广图书和提高阅读能力的活动，执行资助文学协会和杂志的方案；</w:t>
      </w:r>
    </w:p>
    <w:p w:rsidR="00000000" w:rsidRDefault="00000000">
      <w:pPr>
        <w:pStyle w:val="a0"/>
        <w:tabs>
          <w:tab w:val="clear" w:pos="510"/>
          <w:tab w:val="num" w:pos="2070"/>
        </w:tabs>
        <w:ind w:left="2070"/>
        <w:rPr>
          <w:rFonts w:hint="eastAsia"/>
        </w:rPr>
      </w:pPr>
      <w:r>
        <w:rPr>
          <w:rFonts w:hint="eastAsia"/>
        </w:rPr>
        <w:t>执行一项购买国家文学奖获奖图书的计划，将购买的图书分赠给国外大学的现代希腊研究学府及其他国内外文化机构；</w:t>
      </w:r>
    </w:p>
    <w:p w:rsidR="00000000" w:rsidRDefault="00000000">
      <w:pPr>
        <w:pStyle w:val="a0"/>
        <w:tabs>
          <w:tab w:val="clear" w:pos="510"/>
          <w:tab w:val="num" w:pos="2070"/>
        </w:tabs>
        <w:ind w:left="2070"/>
        <w:rPr>
          <w:rFonts w:hint="eastAsia"/>
        </w:rPr>
      </w:pPr>
      <w:r>
        <w:rPr>
          <w:rFonts w:hint="eastAsia"/>
        </w:rPr>
        <w:t>执行一项给报酬的希腊作家访问计划，访问希腊的一些大学和外国大学中的希腊研究所，就他们本人的作品和希腊文学的总体情况举办讲座；</w:t>
      </w:r>
    </w:p>
    <w:p w:rsidR="00000000" w:rsidRDefault="00000000">
      <w:pPr>
        <w:pStyle w:val="a0"/>
        <w:tabs>
          <w:tab w:val="clear" w:pos="510"/>
          <w:tab w:val="num" w:pos="2070"/>
        </w:tabs>
        <w:ind w:left="2070"/>
        <w:rPr>
          <w:rFonts w:hint="eastAsia"/>
        </w:rPr>
      </w:pPr>
      <w:r>
        <w:rPr>
          <w:rFonts w:hint="eastAsia"/>
        </w:rPr>
        <w:t>执行一项安排省级和首都作家互访、讲演并与广大公众接触的方案；</w:t>
      </w:r>
    </w:p>
    <w:p w:rsidR="00000000" w:rsidRDefault="00000000">
      <w:pPr>
        <w:pStyle w:val="a0"/>
        <w:tabs>
          <w:tab w:val="clear" w:pos="510"/>
          <w:tab w:val="num" w:pos="2070"/>
        </w:tabs>
        <w:ind w:left="2070"/>
        <w:rPr>
          <w:rFonts w:hint="eastAsia"/>
        </w:rPr>
      </w:pPr>
      <w:r>
        <w:rPr>
          <w:rFonts w:hint="eastAsia"/>
        </w:rPr>
        <w:t>执行一项发展省级书店文化特性的方案；以及</w:t>
      </w:r>
      <w:r>
        <w:rPr>
          <w:rFonts w:hint="eastAsia"/>
        </w:rPr>
        <w:t xml:space="preserve"> </w:t>
      </w:r>
    </w:p>
    <w:p w:rsidR="00000000" w:rsidRDefault="00000000">
      <w:pPr>
        <w:pStyle w:val="a0"/>
        <w:tabs>
          <w:tab w:val="clear" w:pos="510"/>
          <w:tab w:val="num" w:pos="2070"/>
        </w:tabs>
        <w:ind w:left="2070"/>
        <w:rPr>
          <w:rFonts w:hint="eastAsia"/>
        </w:rPr>
      </w:pPr>
      <w:r>
        <w:rPr>
          <w:rFonts w:hint="eastAsia"/>
        </w:rPr>
        <w:t>执行其他几项有助于推广图书和提高读书能力的方案；</w:t>
      </w:r>
    </w:p>
    <w:p w:rsidR="00000000" w:rsidRDefault="00000000">
      <w:pPr>
        <w:rPr>
          <w:rFonts w:hint="eastAsia"/>
        </w:rPr>
      </w:pPr>
      <w:r>
        <w:rPr>
          <w:rFonts w:hint="eastAsia"/>
        </w:rPr>
        <w:t>为资助上述方案，每年划拨约</w:t>
      </w:r>
      <w:r>
        <w:rPr>
          <w:rFonts w:hint="eastAsia"/>
        </w:rPr>
        <w:t>10</w:t>
      </w:r>
      <w:r>
        <w:rPr>
          <w:rFonts w:hint="eastAsia"/>
        </w:rPr>
        <w:t>亿德拉克马，其中包括国家图书中心支出的资金；</w:t>
      </w:r>
    </w:p>
    <w:p w:rsidR="00000000" w:rsidRDefault="00000000">
      <w:pPr>
        <w:pStyle w:val="a6"/>
        <w:rPr>
          <w:rFonts w:hint="eastAsia"/>
        </w:rPr>
      </w:pPr>
      <w:r>
        <w:t>(b)</w:t>
      </w:r>
      <w:r>
        <w:rPr>
          <w:rFonts w:hint="eastAsia"/>
        </w:rPr>
        <w:tab/>
      </w:r>
      <w:r>
        <w:rPr>
          <w:rFonts w:hint="eastAsia"/>
        </w:rPr>
        <w:t>通过设在雅典的国家现代艺术博物馆和</w:t>
      </w:r>
      <w:r>
        <w:rPr>
          <w:rFonts w:hint="eastAsia"/>
          <w:lang w:val="fr-CH"/>
        </w:rPr>
        <w:t>萨洛尼卡</w:t>
      </w:r>
      <w:r>
        <w:rPr>
          <w:rFonts w:hint="eastAsia"/>
        </w:rPr>
        <w:t>的国家现代艺术博物馆，宣传希腊的艺术创作作品。这些博物馆均由文化部指导，其目标是：</w:t>
      </w:r>
      <w:r>
        <w:rPr>
          <w:rFonts w:hint="eastAsia"/>
        </w:rPr>
        <w:t xml:space="preserve"> </w:t>
      </w:r>
    </w:p>
    <w:p w:rsidR="00000000" w:rsidRDefault="00000000">
      <w:pPr>
        <w:pStyle w:val="a0"/>
        <w:tabs>
          <w:tab w:val="clear" w:pos="510"/>
          <w:tab w:val="num" w:pos="2070"/>
        </w:tabs>
        <w:ind w:left="2070"/>
        <w:rPr>
          <w:rFonts w:hint="eastAsia"/>
        </w:rPr>
      </w:pPr>
      <w:r>
        <w:rPr>
          <w:rFonts w:hint="eastAsia"/>
        </w:rPr>
        <w:t>抢救和介绍希腊和国外艺术家的现代艺术史作品，以及希腊和国外具有原创性和实验性的、代表不同潮流的现代艺术作品；</w:t>
      </w:r>
    </w:p>
    <w:p w:rsidR="00000000" w:rsidRDefault="00000000">
      <w:pPr>
        <w:pStyle w:val="a0"/>
        <w:tabs>
          <w:tab w:val="clear" w:pos="510"/>
          <w:tab w:val="num" w:pos="2070"/>
        </w:tabs>
        <w:ind w:left="2070"/>
        <w:rPr>
          <w:rFonts w:hint="eastAsia"/>
        </w:rPr>
      </w:pPr>
      <w:r>
        <w:rPr>
          <w:rFonts w:hint="eastAsia"/>
        </w:rPr>
        <w:t>促进美学文化的发展和对公众的文化教育；</w:t>
      </w:r>
    </w:p>
    <w:p w:rsidR="00000000" w:rsidRDefault="00000000">
      <w:pPr>
        <w:pStyle w:val="a0"/>
        <w:tabs>
          <w:tab w:val="clear" w:pos="510"/>
          <w:tab w:val="num" w:pos="2070"/>
        </w:tabs>
        <w:ind w:left="2070"/>
        <w:rPr>
          <w:rFonts w:hint="eastAsia"/>
        </w:rPr>
      </w:pPr>
      <w:r>
        <w:rPr>
          <w:rFonts w:hint="eastAsia"/>
        </w:rPr>
        <w:t>对现代艺术和现代艺术创作的历史和理论展开科学研究；以及</w:t>
      </w:r>
      <w:r>
        <w:rPr>
          <w:rFonts w:hint="eastAsia"/>
        </w:rPr>
        <w:t xml:space="preserve"> </w:t>
      </w:r>
    </w:p>
    <w:p w:rsidR="00000000" w:rsidRDefault="00000000">
      <w:pPr>
        <w:pStyle w:val="a0"/>
        <w:tabs>
          <w:tab w:val="clear" w:pos="510"/>
          <w:tab w:val="num" w:pos="2070"/>
        </w:tabs>
        <w:ind w:left="2070"/>
        <w:rPr>
          <w:rFonts w:hint="eastAsia"/>
        </w:rPr>
      </w:pPr>
      <w:r>
        <w:rPr>
          <w:rFonts w:hint="eastAsia"/>
        </w:rPr>
        <w:t>为艺术史学家和理论家从事博物馆学专业化研究提供便利；</w:t>
      </w:r>
    </w:p>
    <w:p w:rsidR="00000000" w:rsidRDefault="00000000">
      <w:pPr>
        <w:pStyle w:val="a6"/>
        <w:rPr>
          <w:rFonts w:hint="eastAsia"/>
        </w:rPr>
      </w:pPr>
      <w:r>
        <w:t>(c)</w:t>
      </w:r>
      <w:r>
        <w:rPr>
          <w:rFonts w:hint="eastAsia"/>
        </w:rPr>
        <w:tab/>
      </w:r>
      <w:r>
        <w:rPr>
          <w:rFonts w:hint="eastAsia"/>
        </w:rPr>
        <w:t>国家现代艺术博物馆组建并负责开办一个特别机构</w:t>
      </w:r>
      <w:r>
        <w:rPr>
          <w:rFonts w:hint="eastAsia"/>
          <w:lang w:val="fr-CH"/>
        </w:rPr>
        <w:t>萨洛尼卡</w:t>
      </w:r>
      <w:r>
        <w:rPr>
          <w:rFonts w:hint="eastAsia"/>
        </w:rPr>
        <w:t>摄影博物馆，该博物馆除收集和研究具有艺术价值的摄影作品以外，还负责：</w:t>
      </w:r>
    </w:p>
    <w:p w:rsidR="00000000" w:rsidRDefault="00000000">
      <w:pPr>
        <w:pStyle w:val="a0"/>
        <w:tabs>
          <w:tab w:val="clear" w:pos="510"/>
          <w:tab w:val="num" w:pos="2070"/>
        </w:tabs>
        <w:ind w:left="2070"/>
        <w:rPr>
          <w:rFonts w:hint="eastAsia"/>
        </w:rPr>
      </w:pPr>
      <w:r>
        <w:rPr>
          <w:rFonts w:hint="eastAsia"/>
        </w:rPr>
        <w:t>有组织地创建档案；</w:t>
      </w:r>
    </w:p>
    <w:p w:rsidR="00000000" w:rsidRDefault="00000000">
      <w:pPr>
        <w:pStyle w:val="a0"/>
        <w:tabs>
          <w:tab w:val="clear" w:pos="510"/>
          <w:tab w:val="num" w:pos="2070"/>
        </w:tabs>
        <w:ind w:left="2070"/>
        <w:rPr>
          <w:rFonts w:hint="eastAsia"/>
        </w:rPr>
      </w:pPr>
      <w:r>
        <w:rPr>
          <w:rFonts w:hint="eastAsia"/>
        </w:rPr>
        <w:t>制定科学和教育方案，促进对摄影艺术和历史的科学研究，并教育公众；</w:t>
      </w:r>
    </w:p>
    <w:p w:rsidR="00000000" w:rsidRDefault="00000000">
      <w:pPr>
        <w:pStyle w:val="a0"/>
        <w:tabs>
          <w:tab w:val="clear" w:pos="510"/>
          <w:tab w:val="num" w:pos="2070"/>
        </w:tabs>
        <w:ind w:left="2070"/>
        <w:rPr>
          <w:rFonts w:hint="eastAsia"/>
        </w:rPr>
      </w:pPr>
      <w:r>
        <w:rPr>
          <w:rFonts w:hint="eastAsia"/>
        </w:rPr>
        <w:t>举办希腊和国外创作者的展览会；</w:t>
      </w:r>
    </w:p>
    <w:p w:rsidR="00000000" w:rsidRDefault="00000000">
      <w:pPr>
        <w:pStyle w:val="a0"/>
        <w:tabs>
          <w:tab w:val="clear" w:pos="510"/>
          <w:tab w:val="num" w:pos="2070"/>
        </w:tabs>
        <w:ind w:left="2070"/>
        <w:rPr>
          <w:rFonts w:hint="eastAsia"/>
        </w:rPr>
      </w:pPr>
      <w:r>
        <w:rPr>
          <w:rFonts w:hint="eastAsia"/>
        </w:rPr>
        <w:t>制作展品；以及</w:t>
      </w:r>
    </w:p>
    <w:p w:rsidR="00000000" w:rsidRDefault="00000000">
      <w:pPr>
        <w:pStyle w:val="a0"/>
        <w:tabs>
          <w:tab w:val="clear" w:pos="510"/>
          <w:tab w:val="num" w:pos="2070"/>
        </w:tabs>
        <w:ind w:left="2070"/>
        <w:rPr>
          <w:rFonts w:hint="eastAsia"/>
        </w:rPr>
      </w:pPr>
      <w:r>
        <w:rPr>
          <w:rFonts w:hint="eastAsia"/>
        </w:rPr>
        <w:t>出版宣传摄影艺术的出版物；</w:t>
      </w:r>
    </w:p>
    <w:p w:rsidR="00000000" w:rsidRDefault="00000000">
      <w:pPr>
        <w:pStyle w:val="a6"/>
        <w:rPr>
          <w:rFonts w:hint="eastAsia"/>
        </w:rPr>
      </w:pPr>
      <w:r>
        <w:t>(d)</w:t>
      </w:r>
      <w:r>
        <w:rPr>
          <w:rFonts w:hint="eastAsia"/>
        </w:rPr>
        <w:t xml:space="preserve">  </w:t>
      </w:r>
      <w:r>
        <w:rPr>
          <w:rFonts w:hint="eastAsia"/>
        </w:rPr>
        <w:t>通过以下方式宣传戏剧、舞蹈及其他表现艺术：</w:t>
      </w:r>
    </w:p>
    <w:p w:rsidR="00000000" w:rsidRDefault="00000000">
      <w:pPr>
        <w:pStyle w:val="a0"/>
        <w:tabs>
          <w:tab w:val="clear" w:pos="510"/>
          <w:tab w:val="num" w:pos="2070"/>
        </w:tabs>
        <w:ind w:left="2070"/>
        <w:rPr>
          <w:rFonts w:hint="eastAsia"/>
        </w:rPr>
      </w:pPr>
      <w:r>
        <w:rPr>
          <w:rFonts w:hint="eastAsia"/>
        </w:rPr>
        <w:t>负责管理有关国家管弦乐艺术学院的事务；</w:t>
      </w:r>
    </w:p>
    <w:p w:rsidR="00000000" w:rsidRDefault="00000000">
      <w:pPr>
        <w:pStyle w:val="a0"/>
        <w:tabs>
          <w:tab w:val="clear" w:pos="510"/>
          <w:tab w:val="num" w:pos="2070"/>
        </w:tabs>
        <w:ind w:left="2070"/>
        <w:rPr>
          <w:rFonts w:hint="eastAsia"/>
        </w:rPr>
      </w:pPr>
      <w:r>
        <w:rPr>
          <w:rFonts w:hint="eastAsia"/>
        </w:rPr>
        <w:t>成立作者以及从事造型艺术、音乐、戏剧、电影和舞蹈的艺术家委员会；</w:t>
      </w:r>
    </w:p>
    <w:p w:rsidR="00000000" w:rsidRDefault="00000000">
      <w:pPr>
        <w:pStyle w:val="a0"/>
        <w:tabs>
          <w:tab w:val="clear" w:pos="510"/>
          <w:tab w:val="num" w:pos="2070"/>
        </w:tabs>
        <w:ind w:left="2070"/>
        <w:rPr>
          <w:rFonts w:hint="eastAsia"/>
        </w:rPr>
      </w:pPr>
      <w:r>
        <w:rPr>
          <w:rFonts w:hint="eastAsia"/>
        </w:rPr>
        <w:t>为儿童剧作者设立奖项；</w:t>
      </w:r>
    </w:p>
    <w:p w:rsidR="00000000" w:rsidRDefault="00000000">
      <w:pPr>
        <w:pStyle w:val="a0"/>
        <w:tabs>
          <w:tab w:val="clear" w:pos="510"/>
          <w:tab w:val="num" w:pos="2070"/>
        </w:tabs>
        <w:ind w:left="2070"/>
        <w:rPr>
          <w:rFonts w:hint="eastAsia"/>
        </w:rPr>
      </w:pPr>
      <w:r>
        <w:rPr>
          <w:rFonts w:hint="eastAsia"/>
        </w:rPr>
        <w:t>为支持新知识和艺术创作者的工作，设立一年一度的“</w:t>
      </w:r>
      <w:r>
        <w:t xml:space="preserve">Melina Merkouri </w:t>
      </w:r>
      <w:r>
        <w:rPr>
          <w:rFonts w:hint="eastAsia"/>
        </w:rPr>
        <w:t>国家奖”；</w:t>
      </w:r>
    </w:p>
    <w:p w:rsidR="00000000" w:rsidRDefault="00000000">
      <w:pPr>
        <w:pStyle w:val="a0"/>
        <w:tabs>
          <w:tab w:val="clear" w:pos="510"/>
          <w:tab w:val="num" w:pos="2070"/>
        </w:tabs>
        <w:ind w:left="2070"/>
        <w:rPr>
          <w:rFonts w:hint="eastAsia"/>
        </w:rPr>
      </w:pPr>
      <w:r>
        <w:rPr>
          <w:rFonts w:hint="eastAsia"/>
        </w:rPr>
        <w:t>设立一年一度的古典芭蕾和现代芭蕾领域的国家舞蹈奖，以奖励</w:t>
      </w:r>
      <w:r>
        <w:t>(a)</w:t>
      </w:r>
      <w:r>
        <w:rPr>
          <w:rFonts w:hint="eastAsia"/>
        </w:rPr>
        <w:t xml:space="preserve"> </w:t>
      </w:r>
      <w:r>
        <w:rPr>
          <w:rFonts w:hint="eastAsia"/>
        </w:rPr>
        <w:t>制作，</w:t>
      </w:r>
      <w:r>
        <w:t>(b)</w:t>
      </w:r>
      <w:r>
        <w:rPr>
          <w:rFonts w:hint="eastAsia"/>
        </w:rPr>
        <w:t xml:space="preserve"> </w:t>
      </w:r>
      <w:r>
        <w:rPr>
          <w:rFonts w:hint="eastAsia"/>
        </w:rPr>
        <w:t>舞蹈编排，</w:t>
      </w:r>
      <w:r>
        <w:t xml:space="preserve">(c) </w:t>
      </w:r>
      <w:r>
        <w:rPr>
          <w:rFonts w:hint="eastAsia"/>
        </w:rPr>
        <w:t>男性表演以及</w:t>
      </w:r>
      <w:r>
        <w:rPr>
          <w:rFonts w:hint="eastAsia"/>
        </w:rPr>
        <w:t xml:space="preserve"> </w:t>
      </w:r>
      <w:r>
        <w:t>(d)</w:t>
      </w:r>
      <w:r>
        <w:rPr>
          <w:rFonts w:hint="eastAsia"/>
        </w:rPr>
        <w:t xml:space="preserve"> </w:t>
      </w:r>
      <w:r>
        <w:rPr>
          <w:rFonts w:hint="eastAsia"/>
        </w:rPr>
        <w:t>女性表演；</w:t>
      </w:r>
    </w:p>
    <w:p w:rsidR="00000000" w:rsidRDefault="00000000">
      <w:pPr>
        <w:pStyle w:val="a0"/>
        <w:tabs>
          <w:tab w:val="clear" w:pos="510"/>
          <w:tab w:val="num" w:pos="2070"/>
        </w:tabs>
        <w:ind w:left="2070"/>
        <w:rPr>
          <w:rFonts w:hint="eastAsia"/>
        </w:rPr>
      </w:pPr>
      <w:r>
        <w:rPr>
          <w:rFonts w:hint="eastAsia"/>
        </w:rPr>
        <w:t>每年分配五名著名剧作家编写剧本，以支持现代希腊戏剧创作；以及</w:t>
      </w:r>
    </w:p>
    <w:p w:rsidR="00000000" w:rsidRDefault="00000000">
      <w:pPr>
        <w:pStyle w:val="a0"/>
        <w:tabs>
          <w:tab w:val="clear" w:pos="510"/>
          <w:tab w:val="num" w:pos="2070"/>
        </w:tabs>
        <w:ind w:left="2070"/>
        <w:rPr>
          <w:rFonts w:hint="eastAsia"/>
        </w:rPr>
      </w:pPr>
      <w:r>
        <w:rPr>
          <w:rFonts w:hint="eastAsia"/>
        </w:rPr>
        <w:t>成立“萨洛尼卡小型歌剧院”，作为北部希腊国家剧院的一个自主性分支机构；</w:t>
      </w:r>
    </w:p>
    <w:p w:rsidR="00000000" w:rsidRDefault="00000000">
      <w:pPr>
        <w:pStyle w:val="a6"/>
        <w:rPr>
          <w:rFonts w:hint="eastAsia"/>
        </w:rPr>
      </w:pPr>
      <w:r>
        <w:t>(e)</w:t>
      </w:r>
      <w:r>
        <w:rPr>
          <w:rFonts w:hint="eastAsia"/>
        </w:rPr>
        <w:t xml:space="preserve">  </w:t>
      </w:r>
      <w:r>
        <w:rPr>
          <w:rFonts w:hint="eastAsia"/>
        </w:rPr>
        <w:t>电影艺术政策尤其包括以下方面：</w:t>
      </w:r>
    </w:p>
    <w:p w:rsidR="00000000" w:rsidRDefault="00000000">
      <w:pPr>
        <w:pStyle w:val="a0"/>
        <w:tabs>
          <w:tab w:val="clear" w:pos="510"/>
          <w:tab w:val="num" w:pos="2070"/>
        </w:tabs>
        <w:ind w:left="2070"/>
        <w:rPr>
          <w:rFonts w:hint="eastAsia"/>
        </w:rPr>
      </w:pPr>
      <w:r>
        <w:rPr>
          <w:rFonts w:hint="eastAsia"/>
        </w:rPr>
        <w:t>在</w:t>
      </w:r>
      <w:r>
        <w:rPr>
          <w:rFonts w:hint="eastAsia"/>
          <w:lang w:val="fr-CH"/>
        </w:rPr>
        <w:t>萨洛尼卡</w:t>
      </w:r>
      <w:r>
        <w:rPr>
          <w:rFonts w:hint="eastAsia"/>
        </w:rPr>
        <w:t>成立一个叫“</w:t>
      </w:r>
      <w:r>
        <w:rPr>
          <w:rFonts w:hint="eastAsia"/>
          <w:lang w:val="fr-CH"/>
        </w:rPr>
        <w:t>萨洛尼</w:t>
      </w:r>
      <w:r>
        <w:rPr>
          <w:rFonts w:hint="eastAsia"/>
        </w:rPr>
        <w:t>卡电影节”</w:t>
      </w:r>
      <w:r>
        <w:rPr>
          <w:rFonts w:hint="eastAsia"/>
        </w:rPr>
        <w:t xml:space="preserve"> </w:t>
      </w:r>
      <w:r>
        <w:rPr>
          <w:rFonts w:hint="eastAsia"/>
        </w:rPr>
        <w:t>的根据私法组建的非营利性法律实体，由文化部监督；</w:t>
      </w:r>
    </w:p>
    <w:p w:rsidR="00000000" w:rsidRDefault="00000000">
      <w:pPr>
        <w:pStyle w:val="a0"/>
        <w:tabs>
          <w:tab w:val="clear" w:pos="510"/>
          <w:tab w:val="num" w:pos="2070"/>
        </w:tabs>
        <w:ind w:left="2070"/>
        <w:rPr>
          <w:rFonts w:hint="eastAsia"/>
        </w:rPr>
      </w:pPr>
      <w:r>
        <w:rPr>
          <w:rFonts w:hint="eastAsia"/>
        </w:rPr>
        <w:t>设立萨洛尼卡电影博物馆，作为萨洛尼卡电影节的自主性分支机构，从事收集和抢救工作，并推动国家电影艺术生活。为实现这些目标，该博物馆与其他有关机构合作开展研究和教育方案，并确保对任何与电影艺术有关的材料进行研究和考证；</w:t>
      </w:r>
    </w:p>
    <w:p w:rsidR="00000000" w:rsidRDefault="00000000">
      <w:pPr>
        <w:pStyle w:val="a0"/>
        <w:tabs>
          <w:tab w:val="clear" w:pos="510"/>
          <w:tab w:val="num" w:pos="2070"/>
        </w:tabs>
        <w:ind w:left="2070"/>
        <w:rPr>
          <w:rFonts w:hint="eastAsia"/>
          <w:lang w:val="fr-CH"/>
        </w:rPr>
      </w:pPr>
      <w:r>
        <w:rPr>
          <w:rFonts w:hint="eastAsia"/>
        </w:rPr>
        <w:t>每年为获准在萨洛尼卡希腊电影节或在</w:t>
      </w:r>
      <w:r>
        <w:rPr>
          <w:rFonts w:hint="eastAsia"/>
          <w:lang w:val="fr-CH"/>
        </w:rPr>
        <w:t>同年举办的“德拉马短电影节”上放影的希腊影片颁发奖金；</w:t>
      </w:r>
    </w:p>
    <w:p w:rsidR="00000000" w:rsidRDefault="00000000">
      <w:pPr>
        <w:pStyle w:val="a0"/>
        <w:tabs>
          <w:tab w:val="clear" w:pos="510"/>
          <w:tab w:val="num" w:pos="2070"/>
        </w:tabs>
        <w:ind w:left="2070"/>
        <w:rPr>
          <w:rFonts w:hint="eastAsia"/>
        </w:rPr>
      </w:pPr>
      <w:r>
        <w:rPr>
          <w:rFonts w:hint="eastAsia"/>
          <w:lang w:val="fr-CH"/>
        </w:rPr>
        <w:t>安排在希腊的大学中设立电影理</w:t>
      </w:r>
      <w:r>
        <w:rPr>
          <w:rFonts w:hint="eastAsia"/>
        </w:rPr>
        <w:t>论系，或设立自主的高等电影艺术实践学院；</w:t>
      </w:r>
    </w:p>
    <w:p w:rsidR="00000000" w:rsidRDefault="00000000">
      <w:pPr>
        <w:pStyle w:val="a0"/>
        <w:tabs>
          <w:tab w:val="clear" w:pos="510"/>
          <w:tab w:val="num" w:pos="2070"/>
        </w:tabs>
        <w:ind w:left="2070"/>
        <w:rPr>
          <w:rFonts w:hint="eastAsia"/>
        </w:rPr>
      </w:pPr>
      <w:r>
        <w:rPr>
          <w:rFonts w:hint="eastAsia"/>
        </w:rPr>
        <w:t>筹备制定希腊电影中心的章程，将其作为上市公司运作；</w:t>
      </w:r>
      <w:r>
        <w:rPr>
          <w:rFonts w:hint="eastAsia"/>
        </w:rPr>
        <w:t xml:space="preserve"> </w:t>
      </w:r>
    </w:p>
    <w:p w:rsidR="00000000" w:rsidRDefault="00000000">
      <w:pPr>
        <w:pStyle w:val="a0"/>
        <w:tabs>
          <w:tab w:val="clear" w:pos="510"/>
          <w:tab w:val="num" w:pos="2070"/>
        </w:tabs>
        <w:ind w:left="2070"/>
        <w:rPr>
          <w:rFonts w:hint="eastAsia"/>
          <w:lang w:val="fr-CH"/>
        </w:rPr>
      </w:pPr>
      <w:r>
        <w:rPr>
          <w:rFonts w:hint="eastAsia"/>
        </w:rPr>
        <w:t>支持电影发行机构发行希腊制作的电影</w:t>
      </w:r>
      <w:r>
        <w:rPr>
          <w:rFonts w:hint="eastAsia"/>
          <w:lang w:val="fr-CH"/>
        </w:rPr>
        <w:t>；</w:t>
      </w:r>
    </w:p>
    <w:p w:rsidR="00000000" w:rsidRDefault="00000000">
      <w:pPr>
        <w:pStyle w:val="a6"/>
        <w:rPr>
          <w:rFonts w:hint="eastAsia"/>
          <w:lang w:val="fr-CH"/>
        </w:rPr>
      </w:pPr>
      <w:r>
        <w:rPr>
          <w:lang w:val="fr-CH"/>
        </w:rPr>
        <w:t>(f)</w:t>
      </w:r>
      <w:r>
        <w:rPr>
          <w:rFonts w:hint="eastAsia"/>
          <w:lang w:val="fr-CH"/>
        </w:rPr>
        <w:t xml:space="preserve">  </w:t>
      </w:r>
      <w:r>
        <w:rPr>
          <w:rFonts w:hint="eastAsia"/>
          <w:lang w:val="fr-CH"/>
        </w:rPr>
        <w:t>通过以下方式为管弦乐和音乐教育提供支持；</w:t>
      </w:r>
    </w:p>
    <w:p w:rsidR="00000000" w:rsidRDefault="00000000">
      <w:pPr>
        <w:pStyle w:val="a0"/>
        <w:tabs>
          <w:tab w:val="clear" w:pos="510"/>
          <w:tab w:val="num" w:pos="2070"/>
        </w:tabs>
        <w:ind w:left="2070"/>
        <w:rPr>
          <w:rFonts w:hint="eastAsia"/>
        </w:rPr>
      </w:pPr>
      <w:r>
        <w:rPr>
          <w:rFonts w:hint="eastAsia"/>
          <w:lang w:val="fr-CH"/>
        </w:rPr>
        <w:t>在雅典设立</w:t>
      </w:r>
      <w:r>
        <w:rPr>
          <w:rFonts w:hint="eastAsia"/>
          <w:lang w:val="fr-CH"/>
        </w:rPr>
        <w:t xml:space="preserve"> </w:t>
      </w:r>
      <w:r>
        <w:rPr>
          <w:rFonts w:hint="eastAsia"/>
          <w:lang w:val="fr-CH"/>
        </w:rPr>
        <w:t>“雅典国家管弦乐队</w:t>
      </w:r>
      <w:r>
        <w:rPr>
          <w:rFonts w:hint="eastAsia"/>
        </w:rPr>
        <w:t>举办音乐会的特别基金”</w:t>
      </w:r>
      <w:r>
        <w:rPr>
          <w:rFonts w:hint="eastAsia"/>
          <w:spacing w:val="-50"/>
        </w:rPr>
        <w:t>―</w:t>
      </w:r>
      <w:r>
        <w:rPr>
          <w:rFonts w:hint="eastAsia"/>
        </w:rPr>
        <w:t>―</w:t>
      </w:r>
      <w:r>
        <w:rPr>
          <w:rFonts w:hint="eastAsia"/>
        </w:rPr>
        <w:t xml:space="preserve"> </w:t>
      </w:r>
      <w:r>
        <w:rPr>
          <w:rFonts w:hint="eastAsia"/>
        </w:rPr>
        <w:t>一个根据私法组建的法律实体；以及</w:t>
      </w:r>
    </w:p>
    <w:p w:rsidR="00000000" w:rsidRDefault="00000000">
      <w:pPr>
        <w:pStyle w:val="a0"/>
        <w:tabs>
          <w:tab w:val="clear" w:pos="510"/>
          <w:tab w:val="num" w:pos="2070"/>
        </w:tabs>
        <w:ind w:left="2070"/>
        <w:rPr>
          <w:rFonts w:hint="eastAsia"/>
          <w:lang w:val="fr-CH"/>
        </w:rPr>
      </w:pPr>
      <w:r>
        <w:rPr>
          <w:rFonts w:hint="eastAsia"/>
        </w:rPr>
        <w:t>在萨洛尼卡设立</w:t>
      </w:r>
      <w:r>
        <w:rPr>
          <w:rFonts w:hint="eastAsia"/>
        </w:rPr>
        <w:t xml:space="preserve"> </w:t>
      </w:r>
      <w:r>
        <w:rPr>
          <w:rFonts w:hint="eastAsia"/>
        </w:rPr>
        <w:t>“萨洛尼卡国家</w:t>
      </w:r>
      <w:r>
        <w:rPr>
          <w:rFonts w:hint="eastAsia"/>
          <w:lang w:val="fr-CH"/>
        </w:rPr>
        <w:t>管弦乐队举办音乐会的特别基金”</w:t>
      </w:r>
      <w:r>
        <w:rPr>
          <w:rFonts w:hint="eastAsia"/>
          <w:spacing w:val="-50"/>
          <w:lang w:val="fr-CH"/>
        </w:rPr>
        <w:t xml:space="preserve"> </w:t>
      </w:r>
      <w:r>
        <w:rPr>
          <w:rFonts w:hint="eastAsia"/>
          <w:spacing w:val="-50"/>
          <w:lang w:val="fr-CH"/>
        </w:rPr>
        <w:t>―</w:t>
      </w:r>
      <w:r>
        <w:rPr>
          <w:rFonts w:hint="eastAsia"/>
          <w:lang w:val="fr-CH"/>
        </w:rPr>
        <w:t>―一个根据私法组建的法律实体。</w:t>
      </w:r>
    </w:p>
    <w:p w:rsidR="00000000" w:rsidRDefault="00000000">
      <w:pPr>
        <w:rPr>
          <w:rFonts w:hint="eastAsia"/>
          <w:lang w:val="fr-CH"/>
        </w:rPr>
      </w:pPr>
      <w:r>
        <w:rPr>
          <w:rFonts w:hint="eastAsia"/>
          <w:lang w:val="fr-CH"/>
        </w:rPr>
        <w:t>这两项基金均由文化部监管。其宗旨是，分别管理雅典和萨洛尼卡国家管弦乐队的信用款项、资源、收入和财产，并划拨这些资金用于举办音乐会、创办音乐合唱团、与包括国外艺术团体在内的其他公共和私营艺术团体合作、在希腊国内外举办巡回演出、布置和复制管弦乐队活动的声音和图像。对国家和私营高等音乐学院的成立、组织和运作事项，也作了规定。萨洛尼卡国家音乐学院开设了一所高等音乐教育学院和一所基础音乐教育学院；</w:t>
      </w:r>
    </w:p>
    <w:p w:rsidR="00000000" w:rsidRDefault="00000000">
      <w:pPr>
        <w:pStyle w:val="a6"/>
        <w:rPr>
          <w:rFonts w:hint="eastAsia"/>
          <w:lang w:val="fr-CH"/>
        </w:rPr>
      </w:pPr>
      <w:r>
        <w:rPr>
          <w:lang w:val="fr-CH"/>
        </w:rPr>
        <w:t>(g)</w:t>
      </w:r>
      <w:r>
        <w:rPr>
          <w:rFonts w:hint="eastAsia"/>
          <w:lang w:val="fr-CH"/>
        </w:rPr>
        <w:t xml:space="preserve">  </w:t>
      </w:r>
      <w:r>
        <w:rPr>
          <w:rFonts w:hint="eastAsia"/>
          <w:lang w:val="fr-CH"/>
        </w:rPr>
        <w:t>博物馆政策主要包括：</w:t>
      </w:r>
    </w:p>
    <w:p w:rsidR="00000000" w:rsidRDefault="00000000">
      <w:pPr>
        <w:pStyle w:val="a0"/>
        <w:tabs>
          <w:tab w:val="clear" w:pos="510"/>
          <w:tab w:val="num" w:pos="2070"/>
        </w:tabs>
        <w:ind w:left="2070"/>
        <w:rPr>
          <w:rFonts w:hint="eastAsia"/>
          <w:lang w:val="fr-CH"/>
        </w:rPr>
      </w:pPr>
      <w:r>
        <w:rPr>
          <w:rFonts w:hint="eastAsia"/>
          <w:lang w:val="fr-CH"/>
        </w:rPr>
        <w:t>成立博物馆政策咨询</w:t>
      </w:r>
      <w:r>
        <w:rPr>
          <w:rFonts w:hint="eastAsia"/>
        </w:rPr>
        <w:t>委员会</w:t>
      </w:r>
      <w:r>
        <w:rPr>
          <w:rFonts w:hint="eastAsia"/>
          <w:lang w:val="fr-CH"/>
        </w:rPr>
        <w:t>，为支持和明确博物馆政策提出政策建议，并就博物馆政策事项提出意见；</w:t>
      </w:r>
    </w:p>
    <w:p w:rsidR="00000000" w:rsidRDefault="00000000">
      <w:pPr>
        <w:pStyle w:val="a0"/>
        <w:tabs>
          <w:tab w:val="clear" w:pos="510"/>
          <w:tab w:val="num" w:pos="2070"/>
        </w:tabs>
        <w:ind w:left="2070"/>
        <w:rPr>
          <w:rFonts w:hint="eastAsia"/>
          <w:lang w:val="fr-CH"/>
        </w:rPr>
      </w:pPr>
      <w:r>
        <w:rPr>
          <w:rFonts w:hint="eastAsia"/>
          <w:lang w:val="fr-CH"/>
        </w:rPr>
        <w:t>根据私法组织“上市公司”形式的法律实体，宏扬希腊的遗产；</w:t>
      </w:r>
    </w:p>
    <w:p w:rsidR="00000000" w:rsidRDefault="00000000">
      <w:pPr>
        <w:pStyle w:val="a0"/>
        <w:tabs>
          <w:tab w:val="clear" w:pos="510"/>
          <w:tab w:val="num" w:pos="2070"/>
        </w:tabs>
        <w:ind w:left="2070"/>
        <w:rPr>
          <w:rFonts w:hint="eastAsia"/>
        </w:rPr>
      </w:pPr>
      <w:r>
        <w:rPr>
          <w:rFonts w:hint="eastAsia"/>
          <w:lang w:val="fr-CH"/>
        </w:rPr>
        <w:t>组建欧洲</w:t>
      </w:r>
      <w:r>
        <w:rPr>
          <w:rFonts w:hint="eastAsia"/>
        </w:rPr>
        <w:t>拜占庭和后拜占庭遗址中心，由文化部监督，宗旨是促进博物馆学领域的科学研究，以及对拜占庭和后拜占庭遗址、遗迹和工程进行修复、维护、介绍和研究工作；以及</w:t>
      </w:r>
    </w:p>
    <w:p w:rsidR="00000000" w:rsidRDefault="00000000">
      <w:pPr>
        <w:pStyle w:val="a0"/>
        <w:tabs>
          <w:tab w:val="clear" w:pos="510"/>
          <w:tab w:val="num" w:pos="2070"/>
        </w:tabs>
        <w:spacing w:after="240"/>
        <w:ind w:left="2070"/>
        <w:rPr>
          <w:rFonts w:hint="eastAsia"/>
          <w:lang w:val="fr-CH"/>
        </w:rPr>
      </w:pPr>
      <w:r>
        <w:rPr>
          <w:rFonts w:hint="eastAsia"/>
        </w:rPr>
        <w:t>对所有的基督教和教会博物馆</w:t>
      </w:r>
      <w:r>
        <w:rPr>
          <w:rFonts w:hint="eastAsia"/>
          <w:lang w:val="fr-CH"/>
        </w:rPr>
        <w:t>，对其组建、运作、宗旨、管理和权限等事项作出规定。</w:t>
      </w:r>
    </w:p>
    <w:p w:rsidR="00000000" w:rsidRDefault="00000000">
      <w:pPr>
        <w:pStyle w:val="Heading4"/>
        <w:rPr>
          <w:rFonts w:hint="eastAsia"/>
          <w:lang w:val="fr-CH"/>
        </w:rPr>
      </w:pPr>
      <w:r>
        <w:rPr>
          <w:rFonts w:hint="eastAsia"/>
          <w:lang w:val="fr-CH"/>
        </w:rPr>
        <w:t>采取的其他具体措施</w:t>
      </w:r>
    </w:p>
    <w:p w:rsidR="00000000" w:rsidRDefault="00000000">
      <w:pPr>
        <w:pStyle w:val="NormalIndent"/>
        <w:rPr>
          <w:rFonts w:hint="eastAsia"/>
          <w:lang w:val="fr-CH"/>
        </w:rPr>
      </w:pPr>
      <w:r>
        <w:rPr>
          <w:rFonts w:hint="eastAsia"/>
          <w:lang w:val="fr-CH"/>
        </w:rPr>
        <w:t xml:space="preserve">686.  </w:t>
      </w:r>
      <w:r>
        <w:rPr>
          <w:rFonts w:hint="eastAsia"/>
          <w:lang w:val="fr-CH"/>
        </w:rPr>
        <w:t>建立萨洛尼卡技术博物馆，是希腊为发展和推广科学而采取的一项重要措施。该博物馆建于</w:t>
      </w:r>
      <w:r>
        <w:rPr>
          <w:rFonts w:hint="eastAsia"/>
          <w:lang w:val="fr-CH"/>
        </w:rPr>
        <w:t>1978</w:t>
      </w:r>
      <w:r>
        <w:rPr>
          <w:rFonts w:hint="eastAsia"/>
          <w:lang w:val="fr-CH"/>
        </w:rPr>
        <w:t>年，是一个非营利性科学、教育和文化组织，旨在让广大公众、中小学、大学和技校学生及时了解尤其关于技术和应用科学方面的知识，并对他们进行这些方面的培训。</w:t>
      </w:r>
    </w:p>
    <w:p w:rsidR="00000000" w:rsidRDefault="00000000">
      <w:pPr>
        <w:pStyle w:val="NormalIndent"/>
        <w:rPr>
          <w:rFonts w:hint="eastAsia"/>
        </w:rPr>
      </w:pPr>
      <w:r>
        <w:rPr>
          <w:rFonts w:hint="eastAsia"/>
          <w:lang w:val="fr-CH"/>
        </w:rPr>
        <w:t xml:space="preserve">687.  </w:t>
      </w:r>
      <w:r>
        <w:rPr>
          <w:rFonts w:hint="eastAsia"/>
          <w:lang w:val="fr-CH"/>
        </w:rPr>
        <w:t>同样，前文第</w:t>
      </w:r>
      <w:r>
        <w:rPr>
          <w:rFonts w:hint="eastAsia"/>
          <w:lang w:val="fr-CH"/>
        </w:rPr>
        <w:t>66</w:t>
      </w:r>
      <w:r>
        <w:rPr>
          <w:rFonts w:hint="eastAsia"/>
          <w:lang w:val="fr-CH"/>
        </w:rPr>
        <w:t>段</w:t>
      </w:r>
      <w:r>
        <w:rPr>
          <w:rFonts w:hint="eastAsia"/>
          <w:lang w:val="fr-CH"/>
        </w:rPr>
        <w:t>(</w:t>
      </w:r>
      <w:r>
        <w:t>b)</w:t>
      </w:r>
      <w:r>
        <w:rPr>
          <w:rFonts w:hint="eastAsia"/>
        </w:rPr>
        <w:t>项和</w:t>
      </w:r>
      <w:r>
        <w:rPr>
          <w:rFonts w:hint="eastAsia"/>
        </w:rPr>
        <w:t>(</w:t>
      </w:r>
      <w:r>
        <w:t>f</w:t>
      </w:r>
      <w:r>
        <w:rPr>
          <w:rFonts w:hint="eastAsia"/>
        </w:rPr>
        <w:t>)</w:t>
      </w:r>
      <w:r>
        <w:rPr>
          <w:rFonts w:hint="eastAsia"/>
        </w:rPr>
        <w:t>项讲到，文化部于</w:t>
      </w:r>
      <w:r>
        <w:rPr>
          <w:rFonts w:hint="eastAsia"/>
        </w:rPr>
        <w:t>1997</w:t>
      </w:r>
      <w:r>
        <w:rPr>
          <w:rFonts w:hint="eastAsia"/>
        </w:rPr>
        <w:t>年成立了石器中心，以了解历史遗迹和遗址受损的原因，找到保存和保护其结构材料的方法。该中心的调查结果交送国际性保存中心以及国际性科学杂志和出版物；该中心还与其他国家的各种对等中心合作，交流和推广所找到的诀窍和技术，以及通过新技术完善遗址保存方法，提高从事这一行业的专业人员的相关知识以及公众和项目融资机构的意识。</w:t>
      </w:r>
    </w:p>
    <w:p w:rsidR="00000000" w:rsidRDefault="00000000">
      <w:pPr>
        <w:pStyle w:val="NormalIndent"/>
        <w:rPr>
          <w:rFonts w:hint="eastAsia"/>
        </w:rPr>
      </w:pPr>
      <w:r>
        <w:rPr>
          <w:rFonts w:hint="eastAsia"/>
        </w:rPr>
        <w:t xml:space="preserve">688.  </w:t>
      </w:r>
      <w:r>
        <w:rPr>
          <w:rFonts w:hint="eastAsia"/>
        </w:rPr>
        <w:t>希腊《宪法》规定，尊重和保护从事科学研究和创造活动的自由。</w:t>
      </w:r>
    </w:p>
    <w:p w:rsidR="00000000" w:rsidRDefault="00000000">
      <w:pPr>
        <w:pStyle w:val="NormalIndent"/>
        <w:rPr>
          <w:rFonts w:hint="eastAsia"/>
        </w:rPr>
      </w:pPr>
      <w:r>
        <w:rPr>
          <w:rFonts w:hint="eastAsia"/>
        </w:rPr>
        <w:t xml:space="preserve">689.  </w:t>
      </w:r>
      <w:r>
        <w:rPr>
          <w:rFonts w:hint="eastAsia"/>
        </w:rPr>
        <w:t>正在研究创办一个艺术和技术中心的可能性，以使主要是年青艺术家能通过新技术进行试验和表现自己的创作才能。</w:t>
      </w:r>
    </w:p>
    <w:p w:rsidR="00000000" w:rsidRDefault="00000000">
      <w:pPr>
        <w:pStyle w:val="NormalIndent"/>
        <w:rPr>
          <w:rFonts w:hint="eastAsia"/>
        </w:rPr>
      </w:pPr>
      <w:r>
        <w:rPr>
          <w:rFonts w:hint="eastAsia"/>
        </w:rPr>
        <w:t xml:space="preserve">690.  </w:t>
      </w:r>
      <w:r>
        <w:rPr>
          <w:rFonts w:hint="eastAsia"/>
        </w:rPr>
        <w:t>根据第</w:t>
      </w:r>
      <w:r>
        <w:rPr>
          <w:rFonts w:hint="eastAsia"/>
        </w:rPr>
        <w:t>941/77</w:t>
      </w:r>
      <w:r>
        <w:rPr>
          <w:rFonts w:hint="eastAsia"/>
        </w:rPr>
        <w:t>号和第</w:t>
      </w:r>
      <w:r>
        <w:rPr>
          <w:rFonts w:hint="eastAsia"/>
        </w:rPr>
        <w:t>37/73</w:t>
      </w:r>
      <w:r>
        <w:rPr>
          <w:rFonts w:hint="eastAsia"/>
        </w:rPr>
        <w:t>号总统令，文化部通过文化协会司和该部文化活动总局基金会，为全希腊创办知识中心和科学协会提供支助。该司与地方政府合作，为在本地区开展重要活动的文化中心提供财政支持。</w:t>
      </w:r>
    </w:p>
    <w:p w:rsidR="00000000" w:rsidRDefault="00000000">
      <w:pPr>
        <w:pStyle w:val="NormalIndent"/>
        <w:rPr>
          <w:rFonts w:hint="eastAsia"/>
          <w:spacing w:val="6"/>
        </w:rPr>
      </w:pPr>
      <w:r>
        <w:rPr>
          <w:rFonts w:hint="eastAsia"/>
        </w:rPr>
        <w:t xml:space="preserve">691.  </w:t>
      </w:r>
      <w:r>
        <w:rPr>
          <w:rFonts w:hint="eastAsia"/>
          <w:spacing w:val="6"/>
        </w:rPr>
        <w:t>提供支助的目的在于，举办关于开展专业对话和研究的大会和讲演、发行杂志及其他科学刊物，以及举办展览会，传播和推广艺术创作和促进社会融合。</w:t>
      </w:r>
    </w:p>
    <w:p w:rsidR="00000000" w:rsidRDefault="00000000">
      <w:pPr>
        <w:pStyle w:val="NormalIndent"/>
        <w:rPr>
          <w:rFonts w:hint="eastAsia"/>
        </w:rPr>
      </w:pPr>
      <w:r>
        <w:rPr>
          <w:rFonts w:hint="eastAsia"/>
        </w:rPr>
        <w:t xml:space="preserve">692.  </w:t>
      </w:r>
      <w:r>
        <w:rPr>
          <w:rFonts w:hint="eastAsia"/>
        </w:rPr>
        <w:t>每年均发表希腊文和英文的公告，公布和介绍拟在人文、理论科学、定证科学、技术科学、医学、美术等领域举办的由文化部提供支持的大会的情况。</w:t>
      </w:r>
    </w:p>
    <w:p w:rsidR="00000000" w:rsidRDefault="00000000">
      <w:pPr>
        <w:pStyle w:val="NormalIndent"/>
        <w:widowControl/>
        <w:rPr>
          <w:rFonts w:hint="eastAsia"/>
        </w:rPr>
      </w:pPr>
      <w:r>
        <w:rPr>
          <w:rFonts w:hint="eastAsia"/>
        </w:rPr>
        <w:t xml:space="preserve">693.  </w:t>
      </w:r>
      <w:r>
        <w:rPr>
          <w:rFonts w:hint="eastAsia"/>
        </w:rPr>
        <w:t>研究与技术总秘书处</w:t>
      </w:r>
      <w:r>
        <w:rPr>
          <w:rFonts w:hint="eastAsia"/>
        </w:rPr>
        <w:t>(</w:t>
      </w:r>
      <w:r>
        <w:rPr>
          <w:rFonts w:hint="eastAsia"/>
        </w:rPr>
        <w:t>研技总</w:t>
      </w:r>
      <w:r>
        <w:rPr>
          <w:rFonts w:hint="eastAsia"/>
        </w:rPr>
        <w:t>)/</w:t>
      </w:r>
      <w:r>
        <w:rPr>
          <w:rFonts w:hint="eastAsia"/>
        </w:rPr>
        <w:t>发展部促进和支持在科学领域开展双边和国际合作，在这方面不同国家的技能和专长可产生增值效应。根据全面经验所得出的结论是，双边和国际合作是促使希腊研究结构采用和建立新技术的有效手段。为此，希腊签署并批准了各种科技合作的框架协定或协定，其中包括与大约</w:t>
      </w:r>
      <w:r>
        <w:rPr>
          <w:rFonts w:hint="eastAsia"/>
        </w:rPr>
        <w:t>20</w:t>
      </w:r>
      <w:r>
        <w:rPr>
          <w:rFonts w:hint="eastAsia"/>
        </w:rPr>
        <w:t>个国家开展联合研究，如欧盟成员国，以及中欧和东欧的一些国家。</w:t>
      </w:r>
    </w:p>
    <w:p w:rsidR="00000000" w:rsidRDefault="00000000">
      <w:pPr>
        <w:pStyle w:val="NormalIndent"/>
        <w:rPr>
          <w:rFonts w:hint="eastAsia"/>
        </w:rPr>
      </w:pPr>
      <w:r>
        <w:rPr>
          <w:rFonts w:hint="eastAsia"/>
        </w:rPr>
        <w:t xml:space="preserve">694.  </w:t>
      </w:r>
      <w:r>
        <w:rPr>
          <w:rFonts w:hint="eastAsia"/>
        </w:rPr>
        <w:t>希腊利用各种国际组织的便利，这些组织负有科技任务或在其任务中鼓励科技发展，如北约、欧洲核研究中心、欧洲分子生物实验室、欧洲分子生物会议、经济合作和发展组织、联合国工业发展组织、联合国欧洲经济委员会、世界知识产权组织和国际原子能机构。</w:t>
      </w:r>
    </w:p>
    <w:p w:rsidR="00000000" w:rsidRDefault="00000000">
      <w:pPr>
        <w:pStyle w:val="NormalIndent"/>
        <w:rPr>
          <w:rFonts w:hint="eastAsia"/>
        </w:rPr>
      </w:pPr>
      <w:r>
        <w:rPr>
          <w:rFonts w:hint="eastAsia"/>
        </w:rPr>
        <w:t xml:space="preserve">695.  </w:t>
      </w:r>
      <w:r>
        <w:rPr>
          <w:rFonts w:hint="eastAsia"/>
        </w:rPr>
        <w:t>文化部本身也同约</w:t>
      </w:r>
      <w:r>
        <w:rPr>
          <w:rFonts w:hint="eastAsia"/>
        </w:rPr>
        <w:t>80</w:t>
      </w:r>
      <w:r>
        <w:rPr>
          <w:rFonts w:hint="eastAsia"/>
        </w:rPr>
        <w:t>个国家签定了双边文化协定和方案，用以执行文化方案，包括在所有文化领域开展双边合作。</w:t>
      </w:r>
    </w:p>
    <w:p w:rsidR="00000000" w:rsidRDefault="00000000">
      <w:pPr>
        <w:pStyle w:val="NormalIndent"/>
        <w:rPr>
          <w:rFonts w:hint="eastAsia"/>
        </w:rPr>
      </w:pPr>
      <w:r>
        <w:rPr>
          <w:rFonts w:hint="eastAsia"/>
        </w:rPr>
        <w:t xml:space="preserve">696.  </w:t>
      </w:r>
      <w:r>
        <w:rPr>
          <w:rFonts w:hint="eastAsia"/>
        </w:rPr>
        <w:t>作为各国际组织</w:t>
      </w:r>
      <w:r>
        <w:rPr>
          <w:rFonts w:hint="eastAsia"/>
        </w:rPr>
        <w:t>(</w:t>
      </w:r>
      <w:r>
        <w:rPr>
          <w:rFonts w:hint="eastAsia"/>
        </w:rPr>
        <w:t>欧洲联盟、教科文组织、欧洲理事会、国际文物保存和修复研究中心、国际博物馆理事会、国际名胜古迹理事会</w:t>
      </w:r>
      <w:r>
        <w:rPr>
          <w:rFonts w:hint="eastAsia"/>
        </w:rPr>
        <w:t>)</w:t>
      </w:r>
      <w:r>
        <w:rPr>
          <w:rFonts w:hint="eastAsia"/>
        </w:rPr>
        <w:t>以及各区域合作组织</w:t>
      </w:r>
      <w:r>
        <w:rPr>
          <w:rFonts w:hint="eastAsia"/>
        </w:rPr>
        <w:t>(</w:t>
      </w:r>
      <w:r>
        <w:rPr>
          <w:rFonts w:hint="eastAsia"/>
        </w:rPr>
        <w:t>地中海论坛、欧洲－地中海巴塞罗纳进程、亚德里亚和爱奥尼亚倡议</w:t>
      </w:r>
      <w:r>
        <w:rPr>
          <w:rFonts w:hint="eastAsia"/>
        </w:rPr>
        <w:t>)</w:t>
      </w:r>
      <w:r>
        <w:rPr>
          <w:rFonts w:hint="eastAsia"/>
        </w:rPr>
        <w:t>的成员，文化部参与了多边文化方案，并开展了国际和区域合作和对话，加强了在每一个文化领域的交流。这些合作起到了鼓励各文化机构和公民个人参与国际文化生活的作用。</w:t>
      </w:r>
    </w:p>
    <w:p w:rsidR="00000000" w:rsidRDefault="00000000">
      <w:pPr>
        <w:pStyle w:val="NormalIndent"/>
        <w:rPr>
          <w:rFonts w:hint="eastAsia"/>
        </w:rPr>
      </w:pPr>
      <w:r>
        <w:rPr>
          <w:rFonts w:hint="eastAsia"/>
        </w:rPr>
        <w:t xml:space="preserve">697.  </w:t>
      </w:r>
      <w:r>
        <w:rPr>
          <w:rFonts w:hint="eastAsia"/>
        </w:rPr>
        <w:t>在该框架中，文化部于</w:t>
      </w:r>
      <w:r>
        <w:rPr>
          <w:rFonts w:hint="eastAsia"/>
        </w:rPr>
        <w:t>1998</w:t>
      </w:r>
      <w:r>
        <w:rPr>
          <w:rFonts w:hint="eastAsia"/>
        </w:rPr>
        <w:t>年与教科文组织签定了建立文化奥林匹亚基金会的合作协定。文化奥林匹亚旨在动员所有国家的文化力量，其目前的协调中心设在希腊，因为希腊将于</w:t>
      </w:r>
      <w:r>
        <w:rPr>
          <w:rFonts w:hint="eastAsia"/>
        </w:rPr>
        <w:t>2004</w:t>
      </w:r>
      <w:r>
        <w:rPr>
          <w:rFonts w:hint="eastAsia"/>
        </w:rPr>
        <w:t>年举办奥运会。文化奥林匹亚是一个设在古代奥林匹亚的常设机构。通过与国际奥委会和雅典</w:t>
      </w:r>
      <w:r>
        <w:rPr>
          <w:rFonts w:hint="eastAsia"/>
        </w:rPr>
        <w:t>2004</w:t>
      </w:r>
      <w:r>
        <w:rPr>
          <w:rFonts w:hint="eastAsia"/>
        </w:rPr>
        <w:t>年奥运会组委会开展密切合作，文化奥林匹亚与联合国及全世界所有国家均有联系。</w:t>
      </w:r>
    </w:p>
    <w:p w:rsidR="00000000" w:rsidRDefault="00000000">
      <w:pPr>
        <w:pStyle w:val="NormalIndent"/>
        <w:rPr>
          <w:rFonts w:hint="eastAsia"/>
        </w:rPr>
      </w:pPr>
      <w:r>
        <w:rPr>
          <w:rFonts w:hint="eastAsia"/>
        </w:rPr>
        <w:t xml:space="preserve">698.  </w:t>
      </w:r>
      <w:r>
        <w:rPr>
          <w:rFonts w:hint="eastAsia"/>
        </w:rPr>
        <w:t>在双边和国际合作的框架中，技研总举办一些联合活动，诸如会议、讲习班、研讨会、一日会议以及科技性展览会。在上述领域开展国际合作没有任何困难。</w:t>
      </w:r>
    </w:p>
    <w:p w:rsidR="00000000" w:rsidRDefault="00000000">
      <w:pPr>
        <w:pStyle w:val="NormalIndent"/>
      </w:pPr>
      <w:r>
        <w:rPr>
          <w:rFonts w:hint="eastAsia"/>
        </w:rPr>
        <w:t xml:space="preserve">699.  </w:t>
      </w:r>
      <w:r>
        <w:rPr>
          <w:rFonts w:hint="eastAsia"/>
        </w:rPr>
        <w:t>文化部正在与各种专业组织、工会以及本部雇员的各种科学协会合作，并与文化专业人士合作，详细制定一项新的文化部组织法，取代相关的第</w:t>
      </w:r>
      <w:r>
        <w:rPr>
          <w:rFonts w:hint="eastAsia"/>
        </w:rPr>
        <w:t>941/77</w:t>
      </w:r>
      <w:r>
        <w:rPr>
          <w:rFonts w:hint="eastAsia"/>
        </w:rPr>
        <w:t>号总统令。</w:t>
      </w:r>
    </w:p>
    <w:p w:rsidR="00000000" w:rsidRDefault="00000000">
      <w:pPr>
        <w:pStyle w:val="NormalIndent"/>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w:t>
          </w:r>
          <w:r>
            <w:rPr>
              <w:rFonts w:hint="eastAsia"/>
            </w:rPr>
            <w:t>45182</w:t>
          </w:r>
          <w:r>
            <w:t xml:space="preserve"> (C)</w:t>
          </w:r>
        </w:p>
      </w:tc>
      <w:tc>
        <w:tcPr>
          <w:tcW w:w="1050" w:type="dxa"/>
        </w:tcPr>
        <w:p w:rsidR="00000000" w:rsidRDefault="00000000">
          <w:pPr>
            <w:pStyle w:val="Footer"/>
          </w:pPr>
          <w:r>
            <w:t>090103</w:t>
          </w:r>
        </w:p>
      </w:tc>
      <w:tc>
        <w:tcPr>
          <w:tcW w:w="6061" w:type="dxa"/>
        </w:tcPr>
        <w:p w:rsidR="00000000" w:rsidRDefault="00000000">
          <w:pPr>
            <w:pStyle w:val="Footer"/>
          </w:pPr>
          <w:r>
            <w:t>100103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b w:val="0"/>
          <w:bCs/>
          <w:vertAlign w:val="baseline"/>
        </w:rPr>
        <w:t>*</w:t>
      </w:r>
      <w:r>
        <w:rPr>
          <w:b/>
          <w:bCs/>
        </w:rPr>
        <w:t xml:space="preserve"> </w:t>
      </w:r>
      <w:r>
        <w:rPr>
          <w:rFonts w:hint="eastAsia"/>
        </w:rPr>
        <w:tab/>
      </w:r>
      <w:r>
        <w:rPr>
          <w:rFonts w:hint="eastAsia"/>
        </w:rPr>
        <w:t>希腊根据缔约国报告开始部分编写指南提交的资料载于核心文件</w:t>
      </w:r>
      <w:r>
        <w:rPr>
          <w:rFonts w:hint="eastAsia"/>
        </w:rPr>
        <w:t xml:space="preserve">(HRI/CORE/1/ </w:t>
      </w:r>
      <w:r>
        <w:t>Add.1</w:t>
      </w:r>
      <w:r>
        <w:rPr>
          <w:rFonts w:hint="eastAsia"/>
        </w:rPr>
        <w:t>21)</w:t>
      </w:r>
      <w:r>
        <w:rPr>
          <w:rFonts w:hint="eastAsia"/>
        </w:rPr>
        <w:t>。</w:t>
      </w:r>
    </w:p>
    <w:p w:rsidR="00000000" w:rsidRDefault="00000000">
      <w:pPr>
        <w:pStyle w:val="FootnoteText"/>
        <w:rPr>
          <w:rFonts w:hint="eastAsia"/>
          <w:b/>
          <w:bCs/>
        </w:rPr>
      </w:pPr>
    </w:p>
  </w:footnote>
  <w:footnote w:id="2">
    <w:p w:rsidR="00000000" w:rsidRDefault="00000000">
      <w:pPr>
        <w:pStyle w:val="FootnoteText"/>
        <w:rPr>
          <w:rFonts w:hint="eastAsia"/>
        </w:rPr>
      </w:pPr>
      <w:r>
        <w:rPr>
          <w:rStyle w:val="FootnoteReference"/>
        </w:rPr>
        <w:t>*</w:t>
      </w:r>
      <w:r>
        <w:t xml:space="preserve"> </w:t>
      </w:r>
      <w:r>
        <w:rPr>
          <w:rFonts w:hint="eastAsia"/>
        </w:rPr>
        <w:t xml:space="preserve">  </w:t>
      </w:r>
      <w:r>
        <w:rPr>
          <w:rFonts w:hint="eastAsia"/>
        </w:rPr>
        <w:t>来源：雅典国立大学，卫生服务中心，保健和流行病试验室。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lang w:val="fr-FR"/>
      </w:rPr>
    </w:pPr>
    <w:r>
      <w:rPr>
        <w:lang w:val="fr-FR"/>
      </w:rPr>
      <w:t>E/</w:t>
    </w:r>
    <w:r>
      <w:rPr>
        <w:rFonts w:hint="eastAsia"/>
        <w:lang w:val="fr-FR"/>
      </w:rPr>
      <w:t>199</w:t>
    </w:r>
    <w:r>
      <w:rPr>
        <w:lang w:val="fr-FR"/>
      </w:rPr>
      <w:t>0/</w:t>
    </w:r>
    <w:r>
      <w:rPr>
        <w:rFonts w:hint="eastAsia"/>
        <w:lang w:val="fr-FR"/>
      </w:rPr>
      <w:t>5/</w:t>
    </w:r>
    <w:r>
      <w:rPr>
        <w:lang w:val="fr-FR"/>
      </w:rPr>
      <w:t>Add.56</w:t>
    </w:r>
  </w:p>
  <w:p w:rsidR="00000000" w:rsidRDefault="00000000">
    <w:pPr>
      <w:pStyle w:val="1R2"/>
      <w:framePr w:w="0" w:hRule="auto" w:hSpace="0" w:wrap="auto" w:vAnchor="margin" w:hAnchor="text" w:xAlign="left" w:yAlign="inline"/>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ab/>
    </w:r>
    <w:r>
      <w:tab/>
    </w:r>
    <w:r>
      <w:tab/>
    </w:r>
    <w:r>
      <w:tab/>
      <w:t>E/</w:t>
    </w:r>
    <w:r>
      <w:rPr>
        <w:rFonts w:hint="eastAsia"/>
      </w:rPr>
      <w:t>199</w:t>
    </w:r>
    <w:r>
      <w:t>0/</w:t>
    </w:r>
    <w:r>
      <w:rPr>
        <w:rFonts w:hint="eastAsia"/>
      </w:rPr>
      <w:t>5/</w:t>
    </w:r>
    <w:r>
      <w:t>Add.56</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rFonts w:hint="eastAsia"/>
      </w:rPr>
    </w:pPr>
    <w:r>
      <w:t>E/</w:t>
    </w:r>
    <w:r>
      <w:rPr>
        <w:rFonts w:hint="eastAsia"/>
      </w:rPr>
      <w:t>199</w:t>
    </w:r>
    <w:r>
      <w:t>0/</w:t>
    </w:r>
    <w:r>
      <w:rPr>
        <w:rFonts w:hint="eastAsia"/>
      </w:rPr>
      <w:t>5/</w:t>
    </w:r>
    <w:r>
      <w:t>Add.56</w:t>
    </w:r>
  </w:p>
  <w:p w:rsidR="00000000" w:rsidRDefault="00000000">
    <w:pPr>
      <w:pStyle w:val="1R2"/>
      <w:framePr w:wrap="around"/>
    </w:pPr>
    <w:r>
      <w:rPr>
        <w:rFonts w:hint="eastAsia"/>
      </w:rPr>
      <w:t xml:space="preserve">23 </w:t>
    </w:r>
    <w:r>
      <w:t>October 2002</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CB6ED88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5E56F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0F03432"/>
    <w:multiLevelType w:val="hybridMultilevel"/>
    <w:tmpl w:val="245EB408"/>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6C4C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
    <w:nsid w:val="019F5AB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
    <w:nsid w:val="01C05691"/>
    <w:multiLevelType w:val="singleLevel"/>
    <w:tmpl w:val="36084DBE"/>
    <w:lvl w:ilvl="0">
      <w:start w:val="1"/>
      <w:numFmt w:val="decimal"/>
      <w:lvlText w:val="%1."/>
      <w:lvlJc w:val="left"/>
      <w:pPr>
        <w:tabs>
          <w:tab w:val="num" w:pos="1440"/>
        </w:tabs>
        <w:ind w:left="1440" w:hanging="720"/>
      </w:pPr>
    </w:lvl>
  </w:abstractNum>
  <w:abstractNum w:abstractNumId="17">
    <w:nsid w:val="01CC180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
    <w:nsid w:val="01E97679"/>
    <w:multiLevelType w:val="hybridMultilevel"/>
    <w:tmpl w:val="8DA8099C"/>
    <w:lvl w:ilvl="0" w:tplc="7D26B32A">
      <w:start w:val="1"/>
      <w:numFmt w:val="chineseCountingThousand"/>
      <w:lvlRestart w:val="0"/>
      <w:lvlText w:val="(%1)"/>
      <w:lvlJc w:val="right"/>
      <w:pPr>
        <w:tabs>
          <w:tab w:val="num" w:pos="2467"/>
        </w:tabs>
        <w:ind w:left="2467" w:hanging="170"/>
      </w:pPr>
      <w:rPr>
        <w:rFonts w:ascii="Times New Roman" w:hAnsi="Times New Roman"/>
        <w:sz w:val="20"/>
      </w:rPr>
    </w:lvl>
    <w:lvl w:ilvl="1" w:tplc="68A02F58">
      <w:start w:val="1"/>
      <w:numFmt w:val="decimal"/>
      <w:lvlRestart w:val="0"/>
      <w:lvlText w:val="(%2)"/>
      <w:lvlJc w:val="right"/>
      <w:pPr>
        <w:tabs>
          <w:tab w:val="num" w:pos="2243"/>
        </w:tabs>
        <w:ind w:left="2243" w:hanging="227"/>
      </w:pPr>
      <w:rPr>
        <w:rFonts w:ascii="Times New Roman" w:hAnsi="Times New Roman"/>
        <w:b w:val="0"/>
        <w:i w:val="0"/>
        <w:sz w:val="22"/>
      </w:rPr>
    </w:lvl>
    <w:lvl w:ilvl="2" w:tplc="0409001B" w:tentative="1">
      <w:start w:val="1"/>
      <w:numFmt w:val="lowerRoman"/>
      <w:lvlText w:val="%3."/>
      <w:lvlJc w:val="right"/>
      <w:pPr>
        <w:tabs>
          <w:tab w:val="num" w:pos="3096"/>
        </w:tabs>
        <w:ind w:left="3096" w:hanging="180"/>
      </w:pPr>
    </w:lvl>
    <w:lvl w:ilvl="3" w:tplc="0409000F" w:tentative="1">
      <w:start w:val="1"/>
      <w:numFmt w:val="decimal"/>
      <w:lvlText w:val="%4."/>
      <w:lvlJc w:val="left"/>
      <w:pPr>
        <w:tabs>
          <w:tab w:val="num" w:pos="3816"/>
        </w:tabs>
        <w:ind w:left="3816" w:hanging="360"/>
      </w:pPr>
    </w:lvl>
    <w:lvl w:ilvl="4" w:tplc="04090019" w:tentative="1">
      <w:start w:val="1"/>
      <w:numFmt w:val="lowerLetter"/>
      <w:lvlText w:val="%5."/>
      <w:lvlJc w:val="left"/>
      <w:pPr>
        <w:tabs>
          <w:tab w:val="num" w:pos="4536"/>
        </w:tabs>
        <w:ind w:left="4536" w:hanging="360"/>
      </w:pPr>
    </w:lvl>
    <w:lvl w:ilvl="5" w:tplc="0409001B" w:tentative="1">
      <w:start w:val="1"/>
      <w:numFmt w:val="lowerRoman"/>
      <w:lvlText w:val="%6."/>
      <w:lvlJc w:val="right"/>
      <w:pPr>
        <w:tabs>
          <w:tab w:val="num" w:pos="5256"/>
        </w:tabs>
        <w:ind w:left="5256" w:hanging="180"/>
      </w:pPr>
    </w:lvl>
    <w:lvl w:ilvl="6" w:tplc="0409000F" w:tentative="1">
      <w:start w:val="1"/>
      <w:numFmt w:val="decimal"/>
      <w:lvlText w:val="%7."/>
      <w:lvlJc w:val="left"/>
      <w:pPr>
        <w:tabs>
          <w:tab w:val="num" w:pos="5976"/>
        </w:tabs>
        <w:ind w:left="5976" w:hanging="360"/>
      </w:pPr>
    </w:lvl>
    <w:lvl w:ilvl="7" w:tplc="04090019" w:tentative="1">
      <w:start w:val="1"/>
      <w:numFmt w:val="lowerLetter"/>
      <w:lvlText w:val="%8."/>
      <w:lvlJc w:val="left"/>
      <w:pPr>
        <w:tabs>
          <w:tab w:val="num" w:pos="6696"/>
        </w:tabs>
        <w:ind w:left="6696" w:hanging="360"/>
      </w:pPr>
    </w:lvl>
    <w:lvl w:ilvl="8" w:tplc="0409001B" w:tentative="1">
      <w:start w:val="1"/>
      <w:numFmt w:val="lowerRoman"/>
      <w:lvlText w:val="%9."/>
      <w:lvlJc w:val="right"/>
      <w:pPr>
        <w:tabs>
          <w:tab w:val="num" w:pos="7416"/>
        </w:tabs>
        <w:ind w:left="7416" w:hanging="180"/>
      </w:pPr>
    </w:lvl>
  </w:abstractNum>
  <w:abstractNum w:abstractNumId="19">
    <w:nsid w:val="01F67A51"/>
    <w:multiLevelType w:val="hybridMultilevel"/>
    <w:tmpl w:val="6DE6A6F0"/>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1F70DD7"/>
    <w:multiLevelType w:val="hybridMultilevel"/>
    <w:tmpl w:val="5BD6A058"/>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2040CF3"/>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22">
    <w:nsid w:val="021170AE"/>
    <w:multiLevelType w:val="singleLevel"/>
    <w:tmpl w:val="C85875F6"/>
    <w:lvl w:ilvl="0">
      <w:start w:val="1"/>
      <w:numFmt w:val="lowerLetter"/>
      <w:lvlText w:val="%1)"/>
      <w:lvlJc w:val="left"/>
      <w:pPr>
        <w:tabs>
          <w:tab w:val="num" w:pos="1020"/>
        </w:tabs>
        <w:ind w:left="1020" w:hanging="360"/>
      </w:pPr>
      <w:rPr>
        <w:rFonts w:hint="default"/>
      </w:rPr>
    </w:lvl>
  </w:abstractNum>
  <w:abstractNum w:abstractNumId="23">
    <w:nsid w:val="02146234"/>
    <w:multiLevelType w:val="hybridMultilevel"/>
    <w:tmpl w:val="57722816"/>
    <w:lvl w:ilvl="0" w:tplc="AE965D6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21920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5">
    <w:nsid w:val="022024E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
    <w:nsid w:val="028F5FFD"/>
    <w:multiLevelType w:val="hybridMultilevel"/>
    <w:tmpl w:val="73DC386A"/>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2D558C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
    <w:nsid w:val="02E121C1"/>
    <w:multiLevelType w:val="singleLevel"/>
    <w:tmpl w:val="5C7C57F8"/>
    <w:lvl w:ilvl="0">
      <w:start w:val="1"/>
      <w:numFmt w:val="lowerRoman"/>
      <w:lvlText w:val=""/>
      <w:lvlJc w:val="left"/>
      <w:pPr>
        <w:tabs>
          <w:tab w:val="num" w:pos="360"/>
        </w:tabs>
        <w:ind w:left="360" w:hanging="360"/>
      </w:pPr>
      <w:rPr>
        <w:rFonts w:hint="default"/>
      </w:rPr>
    </w:lvl>
  </w:abstractNum>
  <w:abstractNum w:abstractNumId="29">
    <w:nsid w:val="02E41C9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30">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1">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036C6CEB"/>
    <w:multiLevelType w:val="singleLevel"/>
    <w:tmpl w:val="786AE388"/>
    <w:lvl w:ilvl="0">
      <w:numFmt w:val="bullet"/>
      <w:lvlText w:val="-"/>
      <w:lvlJc w:val="left"/>
      <w:pPr>
        <w:tabs>
          <w:tab w:val="num" w:pos="360"/>
        </w:tabs>
        <w:ind w:left="360" w:hanging="360"/>
      </w:pPr>
      <w:rPr>
        <w:rFonts w:ascii="Times New Roman" w:hAnsi="Times New Roman" w:hint="default"/>
      </w:rPr>
    </w:lvl>
  </w:abstractNum>
  <w:abstractNum w:abstractNumId="33">
    <w:nsid w:val="03DB19D8"/>
    <w:multiLevelType w:val="hybridMultilevel"/>
    <w:tmpl w:val="5FF222C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03F02B8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
    <w:nsid w:val="03FA2E65"/>
    <w:multiLevelType w:val="hybridMultilevel"/>
    <w:tmpl w:val="104207D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44B526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
    <w:nsid w:val="047358C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0477016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
    <w:nsid w:val="048351C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1">
    <w:nsid w:val="049B51A1"/>
    <w:multiLevelType w:val="hybridMultilevel"/>
    <w:tmpl w:val="B92C69D0"/>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04AC76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3">
    <w:nsid w:val="04BB262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
    <w:nsid w:val="05820E53"/>
    <w:multiLevelType w:val="hybridMultilevel"/>
    <w:tmpl w:val="5B8A52F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5B21B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nsid w:val="05ED02DC"/>
    <w:multiLevelType w:val="hybridMultilevel"/>
    <w:tmpl w:val="BA9C9122"/>
    <w:lvl w:ilvl="0" w:tplc="64C08792">
      <w:start w:val="1"/>
      <w:numFmt w:val="bullet"/>
      <w:lvlText w:val=""/>
      <w:lvlJc w:val="left"/>
      <w:pPr>
        <w:tabs>
          <w:tab w:val="num" w:pos="1794"/>
        </w:tabs>
        <w:ind w:left="1791" w:hanging="357"/>
      </w:pPr>
      <w:rPr>
        <w:rFonts w:ascii="Symbol" w:hAnsi="Symbol" w:cs="Times New Roman"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7">
    <w:nsid w:val="05FB0F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069F2E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9">
    <w:nsid w:val="070E6416"/>
    <w:multiLevelType w:val="hybridMultilevel"/>
    <w:tmpl w:val="B300AAA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7683FA5"/>
    <w:multiLevelType w:val="singleLevel"/>
    <w:tmpl w:val="DC1E2604"/>
    <w:lvl w:ilvl="0">
      <w:start w:val="7"/>
      <w:numFmt w:val="decimal"/>
      <w:lvlText w:val="%1)"/>
      <w:lvlJc w:val="left"/>
      <w:pPr>
        <w:tabs>
          <w:tab w:val="num" w:pos="720"/>
        </w:tabs>
        <w:ind w:left="720" w:hanging="900"/>
      </w:pPr>
      <w:rPr>
        <w:rFonts w:hint="default"/>
      </w:rPr>
    </w:lvl>
  </w:abstractNum>
  <w:abstractNum w:abstractNumId="51">
    <w:nsid w:val="07A20F9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2">
    <w:nsid w:val="07C37998"/>
    <w:multiLevelType w:val="hybridMultilevel"/>
    <w:tmpl w:val="2132C4CA"/>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07CB23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
    <w:nsid w:val="08207575"/>
    <w:multiLevelType w:val="multilevel"/>
    <w:tmpl w:val="4FA28CB2"/>
    <w:lvl w:ilvl="0">
      <w:start w:val="1"/>
      <w:numFmt w:val="lowerLetter"/>
      <w:lvlText w:val="%1)"/>
      <w:lvlJc w:val="left"/>
      <w:pPr>
        <w:tabs>
          <w:tab w:val="num" w:pos="1440"/>
        </w:tabs>
        <w:ind w:left="1440" w:hanging="360"/>
      </w:pPr>
    </w:lvl>
    <w:lvl w:ilvl="1">
      <w:start w:val="1"/>
      <w:numFmt w:val="bullet"/>
      <w:lvlText w:val=""/>
      <w:lvlJc w:val="left"/>
      <w:pPr>
        <w:tabs>
          <w:tab w:val="num" w:pos="2160"/>
        </w:tabs>
        <w:ind w:left="2160" w:hanging="360"/>
      </w:pPr>
      <w:rPr>
        <w:rFonts w:ascii="Symbol" w:hAnsi="Symbol"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5">
    <w:nsid w:val="083920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
    <w:nsid w:val="0839338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7">
    <w:nsid w:val="089204FE"/>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58">
    <w:nsid w:val="08B3780F"/>
    <w:multiLevelType w:val="singleLevel"/>
    <w:tmpl w:val="77A45B6E"/>
    <w:lvl w:ilvl="0">
      <w:start w:val="57"/>
      <w:numFmt w:val="decimal"/>
      <w:lvlText w:val="%1."/>
      <w:lvlJc w:val="left"/>
      <w:pPr>
        <w:tabs>
          <w:tab w:val="num" w:pos="0"/>
        </w:tabs>
        <w:ind w:left="0" w:hanging="1080"/>
      </w:pPr>
      <w:rPr>
        <w:rFonts w:hint="default"/>
        <w:b/>
      </w:rPr>
    </w:lvl>
  </w:abstractNum>
  <w:abstractNum w:abstractNumId="59">
    <w:nsid w:val="08BC4D01"/>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60">
    <w:nsid w:val="08CE72D2"/>
    <w:multiLevelType w:val="singleLevel"/>
    <w:tmpl w:val="0409000F"/>
    <w:lvl w:ilvl="0">
      <w:start w:val="1"/>
      <w:numFmt w:val="decimal"/>
      <w:lvlText w:val="%1."/>
      <w:lvlJc w:val="left"/>
      <w:pPr>
        <w:tabs>
          <w:tab w:val="num" w:pos="360"/>
        </w:tabs>
        <w:ind w:left="360" w:hanging="360"/>
      </w:pPr>
    </w:lvl>
  </w:abstractNum>
  <w:abstractNum w:abstractNumId="61">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62">
    <w:nsid w:val="09246A8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3">
    <w:nsid w:val="092C1AB8"/>
    <w:multiLevelType w:val="hybridMultilevel"/>
    <w:tmpl w:val="8DC89764"/>
    <w:lvl w:ilvl="0" w:tplc="C3BA36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09301B69"/>
    <w:multiLevelType w:val="singleLevel"/>
    <w:tmpl w:val="9F88D46E"/>
    <w:lvl w:ilvl="0">
      <w:numFmt w:val="bullet"/>
      <w:lvlText w:val=""/>
      <w:lvlJc w:val="left"/>
      <w:pPr>
        <w:tabs>
          <w:tab w:val="num" w:pos="705"/>
        </w:tabs>
        <w:ind w:left="705" w:hanging="360"/>
      </w:pPr>
      <w:rPr>
        <w:rFonts w:ascii="Symbol" w:hAnsi="Symbol" w:hint="default"/>
      </w:rPr>
    </w:lvl>
  </w:abstractNum>
  <w:abstractNum w:abstractNumId="6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09867FEF"/>
    <w:multiLevelType w:val="singleLevel"/>
    <w:tmpl w:val="B3520124"/>
    <w:lvl w:ilvl="0">
      <w:start w:val="21"/>
      <w:numFmt w:val="decimal"/>
      <w:lvlText w:val="%1."/>
      <w:lvlJc w:val="left"/>
      <w:pPr>
        <w:tabs>
          <w:tab w:val="num" w:pos="540"/>
        </w:tabs>
        <w:ind w:left="540" w:hanging="540"/>
      </w:pPr>
      <w:rPr>
        <w:rFonts w:hint="default"/>
        <w:b/>
      </w:rPr>
    </w:lvl>
  </w:abstractNum>
  <w:abstractNum w:abstractNumId="68">
    <w:nsid w:val="09B6404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9">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0A6862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1">
    <w:nsid w:val="0A6C11F9"/>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72">
    <w:nsid w:val="0A906E5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3">
    <w:nsid w:val="0A9D5AA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4">
    <w:nsid w:val="0AC26C62"/>
    <w:multiLevelType w:val="singleLevel"/>
    <w:tmpl w:val="561E0F3E"/>
    <w:lvl w:ilvl="0">
      <w:start w:val="1"/>
      <w:numFmt w:val="decimal"/>
      <w:lvlText w:val="%1."/>
      <w:lvlJc w:val="left"/>
      <w:pPr>
        <w:tabs>
          <w:tab w:val="num" w:pos="720"/>
        </w:tabs>
        <w:ind w:left="720" w:hanging="720"/>
      </w:pPr>
    </w:lvl>
  </w:abstractNum>
  <w:abstractNum w:abstractNumId="75">
    <w:nsid w:val="0ADA7B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6">
    <w:nsid w:val="0B061DD0"/>
    <w:multiLevelType w:val="hybridMultilevel"/>
    <w:tmpl w:val="E20EC12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7">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78">
    <w:nsid w:val="0BBE1D0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9">
    <w:nsid w:val="0BD21DF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80">
    <w:nsid w:val="0BDA4AA8"/>
    <w:multiLevelType w:val="singleLevel"/>
    <w:tmpl w:val="0809000F"/>
    <w:lvl w:ilvl="0">
      <w:start w:val="1"/>
      <w:numFmt w:val="decimal"/>
      <w:lvlText w:val="%1."/>
      <w:lvlJc w:val="left"/>
      <w:pPr>
        <w:tabs>
          <w:tab w:val="num" w:pos="360"/>
        </w:tabs>
        <w:ind w:left="360" w:hanging="360"/>
      </w:pPr>
    </w:lvl>
  </w:abstractNum>
  <w:abstractNum w:abstractNumId="81">
    <w:nsid w:val="0BF315B8"/>
    <w:multiLevelType w:val="singleLevel"/>
    <w:tmpl w:val="5106E388"/>
    <w:lvl w:ilvl="0">
      <w:start w:val="56"/>
      <w:numFmt w:val="bullet"/>
      <w:lvlText w:val="-"/>
      <w:lvlJc w:val="left"/>
      <w:pPr>
        <w:tabs>
          <w:tab w:val="num" w:pos="360"/>
        </w:tabs>
        <w:ind w:left="360" w:hanging="360"/>
      </w:pPr>
      <w:rPr>
        <w:rFonts w:hint="default"/>
      </w:rPr>
    </w:lvl>
  </w:abstractNum>
  <w:abstractNum w:abstractNumId="8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0C666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4">
    <w:nsid w:val="0C780752"/>
    <w:multiLevelType w:val="hybridMultilevel"/>
    <w:tmpl w:val="FACC0844"/>
    <w:lvl w:ilvl="0" w:tplc="306893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0C913BDE"/>
    <w:multiLevelType w:val="hybridMultilevel"/>
    <w:tmpl w:val="DF0EC19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0CB41567"/>
    <w:multiLevelType w:val="hybridMultilevel"/>
    <w:tmpl w:val="7A42BE96"/>
    <w:lvl w:ilvl="0" w:tplc="3068930A">
      <w:start w:val="1"/>
      <w:numFmt w:val="lowerLetter"/>
      <w:lvlRestart w:val="0"/>
      <w:lvlText w:val="(%1)"/>
      <w:lvlJc w:val="right"/>
      <w:pPr>
        <w:tabs>
          <w:tab w:val="num" w:pos="227"/>
        </w:tabs>
        <w:ind w:left="227" w:hanging="227"/>
      </w:pPr>
      <w:rPr>
        <w:rFonts w:ascii="Times New Roman" w:hAnsi="Times New Roman" w:hint="eastAsia"/>
        <w:b w:val="0"/>
        <w:i w:val="0"/>
        <w:sz w:val="24"/>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8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8">
    <w:nsid w:val="0D08180F"/>
    <w:multiLevelType w:val="singleLevel"/>
    <w:tmpl w:val="5726B8C6"/>
    <w:lvl w:ilvl="0">
      <w:start w:val="3"/>
      <w:numFmt w:val="lowerLetter"/>
      <w:lvlText w:val="(%1)"/>
      <w:lvlJc w:val="left"/>
      <w:pPr>
        <w:tabs>
          <w:tab w:val="num" w:pos="1128"/>
        </w:tabs>
        <w:ind w:left="1128" w:hanging="408"/>
      </w:pPr>
      <w:rPr>
        <w:rFonts w:hint="default"/>
      </w:rPr>
    </w:lvl>
  </w:abstractNum>
  <w:abstractNum w:abstractNumId="89">
    <w:nsid w:val="0D7858DF"/>
    <w:multiLevelType w:val="hybridMultilevel"/>
    <w:tmpl w:val="56F2195A"/>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0D786B3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91">
    <w:nsid w:val="0DB059CD"/>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92">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3">
    <w:nsid w:val="0DE8363C"/>
    <w:multiLevelType w:val="multilevel"/>
    <w:tmpl w:val="26E47A9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94">
    <w:nsid w:val="0DFA675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95">
    <w:nsid w:val="0EFE5E9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6">
    <w:nsid w:val="0F270BF4"/>
    <w:multiLevelType w:val="hybridMultilevel"/>
    <w:tmpl w:val="9072D87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7">
    <w:nsid w:val="0F2D5B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8">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9">
    <w:nsid w:val="0FB242E3"/>
    <w:multiLevelType w:val="singleLevel"/>
    <w:tmpl w:val="644AE200"/>
    <w:lvl w:ilvl="0">
      <w:start w:val="17"/>
      <w:numFmt w:val="decimal"/>
      <w:lvlText w:val="%1."/>
      <w:lvlJc w:val="left"/>
      <w:pPr>
        <w:tabs>
          <w:tab w:val="num" w:pos="720"/>
        </w:tabs>
        <w:ind w:left="720" w:hanging="900"/>
      </w:pPr>
      <w:rPr>
        <w:rFonts w:hint="default"/>
      </w:rPr>
    </w:lvl>
  </w:abstractNum>
  <w:abstractNum w:abstractNumId="100">
    <w:nsid w:val="0FB709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1">
    <w:nsid w:val="0FBC52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2">
    <w:nsid w:val="0FD17220"/>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103">
    <w:nsid w:val="0FDA51FE"/>
    <w:multiLevelType w:val="singleLevel"/>
    <w:tmpl w:val="0809000F"/>
    <w:lvl w:ilvl="0">
      <w:start w:val="1"/>
      <w:numFmt w:val="decimal"/>
      <w:lvlText w:val="%1."/>
      <w:lvlJc w:val="left"/>
      <w:pPr>
        <w:tabs>
          <w:tab w:val="num" w:pos="360"/>
        </w:tabs>
        <w:ind w:left="360" w:hanging="360"/>
      </w:pPr>
      <w:rPr>
        <w:rFonts w:hint="default"/>
      </w:rPr>
    </w:lvl>
  </w:abstractNum>
  <w:abstractNum w:abstractNumId="104">
    <w:nsid w:val="100E0A1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5">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107513CD"/>
    <w:multiLevelType w:val="singleLevel"/>
    <w:tmpl w:val="0809000F"/>
    <w:lvl w:ilvl="0">
      <w:start w:val="1"/>
      <w:numFmt w:val="decimal"/>
      <w:lvlText w:val="%1."/>
      <w:lvlJc w:val="left"/>
      <w:pPr>
        <w:tabs>
          <w:tab w:val="num" w:pos="360"/>
        </w:tabs>
        <w:ind w:left="360" w:hanging="360"/>
      </w:pPr>
      <w:rPr>
        <w:rFonts w:hint="default"/>
      </w:rPr>
    </w:lvl>
  </w:abstractNum>
  <w:abstractNum w:abstractNumId="107">
    <w:nsid w:val="1085753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08">
    <w:nsid w:val="10AF4B78"/>
    <w:multiLevelType w:val="hybridMultilevel"/>
    <w:tmpl w:val="12E6534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110F1BC8"/>
    <w:multiLevelType w:val="singleLevel"/>
    <w:tmpl w:val="FCB44B70"/>
    <w:lvl w:ilvl="0">
      <w:start w:val="1"/>
      <w:numFmt w:val="lowerLetter"/>
      <w:lvlText w:val="%1."/>
      <w:lvlJc w:val="left"/>
      <w:pPr>
        <w:tabs>
          <w:tab w:val="num" w:pos="360"/>
        </w:tabs>
        <w:ind w:left="360" w:hanging="360"/>
      </w:pPr>
      <w:rPr>
        <w:rFonts w:hint="default"/>
      </w:rPr>
    </w:lvl>
  </w:abstractNum>
  <w:abstractNum w:abstractNumId="110">
    <w:nsid w:val="11577A0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12">
    <w:nsid w:val="1211444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3">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14">
    <w:nsid w:val="12DF1D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15">
    <w:nsid w:val="131B3824"/>
    <w:multiLevelType w:val="singleLevel"/>
    <w:tmpl w:val="D700A056"/>
    <w:lvl w:ilvl="0">
      <w:start w:val="1"/>
      <w:numFmt w:val="upperLetter"/>
      <w:lvlText w:val="%1."/>
      <w:lvlJc w:val="left"/>
      <w:pPr>
        <w:tabs>
          <w:tab w:val="num" w:pos="360"/>
        </w:tabs>
        <w:ind w:left="360" w:hanging="360"/>
      </w:pPr>
      <w:rPr>
        <w:rFonts w:hint="default"/>
      </w:rPr>
    </w:lvl>
  </w:abstractNum>
  <w:abstractNum w:abstractNumId="116">
    <w:nsid w:val="1324064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7">
    <w:nsid w:val="1340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nsid w:val="134742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9">
    <w:nsid w:val="134E5176"/>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120">
    <w:nsid w:val="1389260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21">
    <w:nsid w:val="13D750B1"/>
    <w:multiLevelType w:val="singleLevel"/>
    <w:tmpl w:val="04080013"/>
    <w:lvl w:ilvl="0">
      <w:start w:val="1"/>
      <w:numFmt w:val="upperRoman"/>
      <w:lvlText w:val="%1."/>
      <w:lvlJc w:val="left"/>
      <w:pPr>
        <w:tabs>
          <w:tab w:val="num" w:pos="720"/>
        </w:tabs>
        <w:ind w:left="720" w:hanging="720"/>
      </w:pPr>
    </w:lvl>
  </w:abstractNum>
  <w:abstractNum w:abstractNumId="122">
    <w:nsid w:val="13E86114"/>
    <w:multiLevelType w:val="hybridMultilevel"/>
    <w:tmpl w:val="02AA968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1422129C"/>
    <w:multiLevelType w:val="hybridMultilevel"/>
    <w:tmpl w:val="3D36A1C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1425147E"/>
    <w:multiLevelType w:val="hybridMultilevel"/>
    <w:tmpl w:val="CF7E9E1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143E365C"/>
    <w:multiLevelType w:val="multilevel"/>
    <w:tmpl w:val="96047F86"/>
    <w:lvl w:ilvl="0">
      <w:start w:val="200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6">
    <w:nsid w:val="144B267F"/>
    <w:multiLevelType w:val="hybridMultilevel"/>
    <w:tmpl w:val="100E29A8"/>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144E19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8">
    <w:nsid w:val="149D0CED"/>
    <w:multiLevelType w:val="singleLevel"/>
    <w:tmpl w:val="03F41FA8"/>
    <w:lvl w:ilvl="0">
      <w:start w:val="1"/>
      <w:numFmt w:val="lowerRoman"/>
      <w:lvlText w:val="%1."/>
      <w:lvlJc w:val="left"/>
      <w:pPr>
        <w:tabs>
          <w:tab w:val="num" w:pos="720"/>
        </w:tabs>
        <w:ind w:left="720" w:hanging="720"/>
      </w:pPr>
      <w:rPr>
        <w:rFonts w:hint="default"/>
      </w:rPr>
    </w:lvl>
  </w:abstractNum>
  <w:abstractNum w:abstractNumId="129">
    <w:nsid w:val="14C33E0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0">
    <w:nsid w:val="14F94136"/>
    <w:multiLevelType w:val="multilevel"/>
    <w:tmpl w:val="A0F20AE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
    <w:nsid w:val="150B7CBC"/>
    <w:multiLevelType w:val="hybridMultilevel"/>
    <w:tmpl w:val="F59AA814"/>
    <w:lvl w:ilvl="0" w:tplc="71CC3E9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133">
    <w:nsid w:val="159E1318"/>
    <w:multiLevelType w:val="multilevel"/>
    <w:tmpl w:val="67547396"/>
    <w:lvl w:ilvl="0">
      <w:start w:val="35"/>
      <w:numFmt w:val="decimal"/>
      <w:lvlText w:val="%1"/>
      <w:lvlJc w:val="left"/>
      <w:pPr>
        <w:tabs>
          <w:tab w:val="num" w:pos="1260"/>
        </w:tabs>
        <w:ind w:left="1260" w:hanging="1260"/>
      </w:pPr>
      <w:rPr>
        <w:rFonts w:hint="default"/>
        <w:b/>
      </w:rPr>
    </w:lvl>
    <w:lvl w:ilvl="1">
      <w:start w:val="36"/>
      <w:numFmt w:val="decimal"/>
      <w:lvlText w:val="%1-%2"/>
      <w:lvlJc w:val="left"/>
      <w:pPr>
        <w:tabs>
          <w:tab w:val="num" w:pos="0"/>
        </w:tabs>
        <w:ind w:left="0" w:hanging="1260"/>
      </w:pPr>
      <w:rPr>
        <w:rFonts w:hint="default"/>
        <w:b/>
      </w:rPr>
    </w:lvl>
    <w:lvl w:ilvl="2">
      <w:start w:val="1"/>
      <w:numFmt w:val="decimal"/>
      <w:lvlText w:val="%1-%2.%3"/>
      <w:lvlJc w:val="left"/>
      <w:pPr>
        <w:tabs>
          <w:tab w:val="num" w:pos="-1260"/>
        </w:tabs>
        <w:ind w:left="-1260" w:hanging="1260"/>
      </w:pPr>
      <w:rPr>
        <w:rFonts w:hint="default"/>
        <w:b/>
      </w:rPr>
    </w:lvl>
    <w:lvl w:ilvl="3">
      <w:start w:val="1"/>
      <w:numFmt w:val="decimalZero"/>
      <w:lvlText w:val="%1-%2.%3.%4"/>
      <w:lvlJc w:val="left"/>
      <w:pPr>
        <w:tabs>
          <w:tab w:val="num" w:pos="-2520"/>
        </w:tabs>
        <w:ind w:left="-2520" w:hanging="1260"/>
      </w:pPr>
      <w:rPr>
        <w:rFonts w:hint="default"/>
        <w:b/>
      </w:rPr>
    </w:lvl>
    <w:lvl w:ilvl="4">
      <w:start w:val="1"/>
      <w:numFmt w:val="decimal"/>
      <w:lvlText w:val="%1-%2.%3.%4.%5"/>
      <w:lvlJc w:val="left"/>
      <w:pPr>
        <w:tabs>
          <w:tab w:val="num" w:pos="-3780"/>
        </w:tabs>
        <w:ind w:left="-3780" w:hanging="1260"/>
      </w:pPr>
      <w:rPr>
        <w:rFonts w:hint="default"/>
        <w:b/>
      </w:rPr>
    </w:lvl>
    <w:lvl w:ilvl="5">
      <w:start w:val="1"/>
      <w:numFmt w:val="decimal"/>
      <w:lvlText w:val="%1-%2.%3.%4.%5.%6"/>
      <w:lvlJc w:val="left"/>
      <w:pPr>
        <w:tabs>
          <w:tab w:val="num" w:pos="-5040"/>
        </w:tabs>
        <w:ind w:left="-5040" w:hanging="1260"/>
      </w:pPr>
      <w:rPr>
        <w:rFonts w:hint="default"/>
        <w:b/>
      </w:rPr>
    </w:lvl>
    <w:lvl w:ilvl="6">
      <w:start w:val="1"/>
      <w:numFmt w:val="decimal"/>
      <w:lvlText w:val="%1-%2.%3.%4.%5.%6.%7"/>
      <w:lvlJc w:val="left"/>
      <w:pPr>
        <w:tabs>
          <w:tab w:val="num" w:pos="-6120"/>
        </w:tabs>
        <w:ind w:left="-6120" w:hanging="1440"/>
      </w:pPr>
      <w:rPr>
        <w:rFonts w:hint="default"/>
        <w:b/>
      </w:rPr>
    </w:lvl>
    <w:lvl w:ilvl="7">
      <w:start w:val="1"/>
      <w:numFmt w:val="decimal"/>
      <w:lvlText w:val="%1-%2.%3.%4.%5.%6.%7.%8"/>
      <w:lvlJc w:val="left"/>
      <w:pPr>
        <w:tabs>
          <w:tab w:val="num" w:pos="-7380"/>
        </w:tabs>
        <w:ind w:left="-7380" w:hanging="1440"/>
      </w:pPr>
      <w:rPr>
        <w:rFonts w:hint="default"/>
        <w:b/>
      </w:rPr>
    </w:lvl>
    <w:lvl w:ilvl="8">
      <w:start w:val="1"/>
      <w:numFmt w:val="decimal"/>
      <w:lvlText w:val="%1-%2.%3.%4.%5.%6.%7.%8.%9"/>
      <w:lvlJc w:val="left"/>
      <w:pPr>
        <w:tabs>
          <w:tab w:val="num" w:pos="-8280"/>
        </w:tabs>
        <w:ind w:left="-8280" w:hanging="1800"/>
      </w:pPr>
      <w:rPr>
        <w:rFonts w:hint="default"/>
        <w:b/>
      </w:rPr>
    </w:lvl>
  </w:abstractNum>
  <w:abstractNum w:abstractNumId="134">
    <w:nsid w:val="15A34CA7"/>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135">
    <w:nsid w:val="15C272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6">
    <w:nsid w:val="15DE1BF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37">
    <w:nsid w:val="15F8010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8">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9">
    <w:nsid w:val="162D7AFE"/>
    <w:multiLevelType w:val="hybridMultilevel"/>
    <w:tmpl w:val="86F6F62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0">
    <w:nsid w:val="16531B80"/>
    <w:multiLevelType w:val="multilevel"/>
    <w:tmpl w:val="370C561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1">
    <w:nsid w:val="16706B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2">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3">
    <w:nsid w:val="170C549E"/>
    <w:multiLevelType w:val="singleLevel"/>
    <w:tmpl w:val="01325DD6"/>
    <w:lvl w:ilvl="0">
      <w:start w:val="1"/>
      <w:numFmt w:val="lowerLetter"/>
      <w:lvlText w:val="(%1)"/>
      <w:lvlJc w:val="left"/>
      <w:pPr>
        <w:tabs>
          <w:tab w:val="num" w:pos="720"/>
        </w:tabs>
        <w:ind w:left="720" w:hanging="720"/>
      </w:pPr>
    </w:lvl>
  </w:abstractNum>
  <w:abstractNum w:abstractNumId="144">
    <w:nsid w:val="172B6F1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5">
    <w:nsid w:val="175F4D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6">
    <w:nsid w:val="17610BD3"/>
    <w:multiLevelType w:val="multilevel"/>
    <w:tmpl w:val="A93AB6A8"/>
    <w:lvl w:ilvl="0">
      <w:start w:val="1"/>
      <w:numFmt w:val="bullet"/>
      <w:lvlText w:val="o"/>
      <w:lvlJc w:val="left"/>
      <w:pPr>
        <w:tabs>
          <w:tab w:val="num" w:pos="1440"/>
        </w:tabs>
        <w:ind w:left="1440" w:hanging="360"/>
      </w:pPr>
      <w:rPr>
        <w:rFonts w:ascii="Courier New" w:hAnsi="Courier New"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47">
    <w:nsid w:val="176D77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48">
    <w:nsid w:val="17804CA7"/>
    <w:multiLevelType w:val="hybridMultilevel"/>
    <w:tmpl w:val="B802A25A"/>
    <w:lvl w:ilvl="0" w:tplc="C3BA36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178E4A4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50">
    <w:nsid w:val="17902E22"/>
    <w:multiLevelType w:val="hybridMultilevel"/>
    <w:tmpl w:val="2716E8C0"/>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2">
    <w:nsid w:val="17BE7DBA"/>
    <w:multiLevelType w:val="hybridMultilevel"/>
    <w:tmpl w:val="36B62F1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17D913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4">
    <w:nsid w:val="17DB5E5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155">
    <w:nsid w:val="17EF65FB"/>
    <w:multiLevelType w:val="hybridMultilevel"/>
    <w:tmpl w:val="332A489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17FC4D40"/>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157">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58">
    <w:nsid w:val="18BA576B"/>
    <w:multiLevelType w:val="hybridMultilevel"/>
    <w:tmpl w:val="CC380ABE"/>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18BF1E2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0">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161">
    <w:nsid w:val="19132CBE"/>
    <w:multiLevelType w:val="hybridMultilevel"/>
    <w:tmpl w:val="69008D56"/>
    <w:lvl w:ilvl="0" w:tplc="AE965D6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3">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164">
    <w:nsid w:val="19D358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5">
    <w:nsid w:val="19D821F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6">
    <w:nsid w:val="19D82A4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7">
    <w:nsid w:val="1A1D053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8">
    <w:nsid w:val="1A24035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69">
    <w:nsid w:val="1A432DA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0">
    <w:nsid w:val="1A6F4DB4"/>
    <w:multiLevelType w:val="hybridMultilevel"/>
    <w:tmpl w:val="4DF0401E"/>
    <w:lvl w:ilvl="0" w:tplc="218E9156">
      <w:start w:val="1"/>
      <w:numFmt w:val="chineseCountingThousand"/>
      <w:lvlRestart w:val="0"/>
      <w:lvlText w:val="(%1)"/>
      <w:lvlJc w:val="right"/>
      <w:pPr>
        <w:tabs>
          <w:tab w:val="num" w:pos="170"/>
        </w:tabs>
        <w:ind w:left="170" w:hanging="170"/>
      </w:pPr>
      <w:rPr>
        <w:rFonts w:ascii="Times New Roman" w:hAnsi="Times New Roman"/>
        <w:sz w:val="20"/>
      </w:rPr>
    </w:lvl>
    <w:lvl w:ilvl="1" w:tplc="04090019" w:tentative="1">
      <w:start w:val="1"/>
      <w:numFmt w:val="lowerLetter"/>
      <w:lvlText w:val="%2."/>
      <w:lvlJc w:val="left"/>
      <w:pPr>
        <w:tabs>
          <w:tab w:val="num" w:pos="79"/>
        </w:tabs>
        <w:ind w:left="79" w:hanging="360"/>
      </w:pPr>
    </w:lvl>
    <w:lvl w:ilvl="2" w:tplc="0409001B" w:tentative="1">
      <w:start w:val="1"/>
      <w:numFmt w:val="lowerRoman"/>
      <w:lvlText w:val="%3."/>
      <w:lvlJc w:val="right"/>
      <w:pPr>
        <w:tabs>
          <w:tab w:val="num" w:pos="799"/>
        </w:tabs>
        <w:ind w:left="799" w:hanging="180"/>
      </w:pPr>
    </w:lvl>
    <w:lvl w:ilvl="3" w:tplc="0409000F" w:tentative="1">
      <w:start w:val="1"/>
      <w:numFmt w:val="decimal"/>
      <w:lvlText w:val="%4."/>
      <w:lvlJc w:val="left"/>
      <w:pPr>
        <w:tabs>
          <w:tab w:val="num" w:pos="1519"/>
        </w:tabs>
        <w:ind w:left="1519" w:hanging="360"/>
      </w:pPr>
    </w:lvl>
    <w:lvl w:ilvl="4" w:tplc="04090019" w:tentative="1">
      <w:start w:val="1"/>
      <w:numFmt w:val="lowerLetter"/>
      <w:lvlText w:val="%5."/>
      <w:lvlJc w:val="left"/>
      <w:pPr>
        <w:tabs>
          <w:tab w:val="num" w:pos="2239"/>
        </w:tabs>
        <w:ind w:left="2239" w:hanging="360"/>
      </w:pPr>
    </w:lvl>
    <w:lvl w:ilvl="5" w:tplc="0409001B" w:tentative="1">
      <w:start w:val="1"/>
      <w:numFmt w:val="lowerRoman"/>
      <w:lvlText w:val="%6."/>
      <w:lvlJc w:val="right"/>
      <w:pPr>
        <w:tabs>
          <w:tab w:val="num" w:pos="2959"/>
        </w:tabs>
        <w:ind w:left="2959" w:hanging="180"/>
      </w:pPr>
    </w:lvl>
    <w:lvl w:ilvl="6" w:tplc="0409000F" w:tentative="1">
      <w:start w:val="1"/>
      <w:numFmt w:val="decimal"/>
      <w:lvlText w:val="%7."/>
      <w:lvlJc w:val="left"/>
      <w:pPr>
        <w:tabs>
          <w:tab w:val="num" w:pos="3679"/>
        </w:tabs>
        <w:ind w:left="3679" w:hanging="360"/>
      </w:pPr>
    </w:lvl>
    <w:lvl w:ilvl="7" w:tplc="04090019" w:tentative="1">
      <w:start w:val="1"/>
      <w:numFmt w:val="lowerLetter"/>
      <w:lvlText w:val="%8."/>
      <w:lvlJc w:val="left"/>
      <w:pPr>
        <w:tabs>
          <w:tab w:val="num" w:pos="4399"/>
        </w:tabs>
        <w:ind w:left="4399" w:hanging="360"/>
      </w:pPr>
    </w:lvl>
    <w:lvl w:ilvl="8" w:tplc="0409001B" w:tentative="1">
      <w:start w:val="1"/>
      <w:numFmt w:val="lowerRoman"/>
      <w:lvlText w:val="%9."/>
      <w:lvlJc w:val="right"/>
      <w:pPr>
        <w:tabs>
          <w:tab w:val="num" w:pos="5119"/>
        </w:tabs>
        <w:ind w:left="5119" w:hanging="180"/>
      </w:pPr>
    </w:lvl>
  </w:abstractNum>
  <w:abstractNum w:abstractNumId="171">
    <w:nsid w:val="1AAE3B1F"/>
    <w:multiLevelType w:val="hybridMultilevel"/>
    <w:tmpl w:val="B86A48C4"/>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172">
    <w:nsid w:val="1AF4310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3">
    <w:nsid w:val="1AF84DA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74">
    <w:nsid w:val="1B15300B"/>
    <w:multiLevelType w:val="singleLevel"/>
    <w:tmpl w:val="0809000F"/>
    <w:lvl w:ilvl="0">
      <w:start w:val="21"/>
      <w:numFmt w:val="decimal"/>
      <w:lvlText w:val="%1."/>
      <w:lvlJc w:val="left"/>
      <w:pPr>
        <w:tabs>
          <w:tab w:val="num" w:pos="360"/>
        </w:tabs>
        <w:ind w:left="360" w:hanging="360"/>
      </w:pPr>
      <w:rPr>
        <w:rFonts w:hint="default"/>
      </w:rPr>
    </w:lvl>
  </w:abstractNum>
  <w:abstractNum w:abstractNumId="175">
    <w:nsid w:val="1B7A40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6">
    <w:nsid w:val="1B7C15A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7">
    <w:nsid w:val="1B7C27D4"/>
    <w:multiLevelType w:val="hybridMultilevel"/>
    <w:tmpl w:val="355C89F4"/>
    <w:lvl w:ilvl="0" w:tplc="4276F7F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
    <w:nsid w:val="1BE6711E"/>
    <w:multiLevelType w:val="hybridMultilevel"/>
    <w:tmpl w:val="A0C06478"/>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1BEB2C2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0">
    <w:nsid w:val="1BFC4A5F"/>
    <w:multiLevelType w:val="hybridMultilevel"/>
    <w:tmpl w:val="D098E010"/>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1C0233EF"/>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182">
    <w:nsid w:val="1C5F293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3">
    <w:nsid w:val="1C837F7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4">
    <w:nsid w:val="1D241D8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5">
    <w:nsid w:val="1D2D71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87">
    <w:nsid w:val="1D840C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88">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9">
    <w:nsid w:val="1DDE78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0">
    <w:nsid w:val="1DE75CC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1">
    <w:nsid w:val="1E31628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2">
    <w:nsid w:val="1E4A40C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3">
    <w:nsid w:val="1E4C7A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4">
    <w:nsid w:val="1E8B71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5">
    <w:nsid w:val="1F177626"/>
    <w:multiLevelType w:val="hybridMultilevel"/>
    <w:tmpl w:val="C09471E4"/>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1F2F0768"/>
    <w:multiLevelType w:val="multilevel"/>
    <w:tmpl w:val="4C884AD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1F85637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198">
    <w:nsid w:val="1F884B88"/>
    <w:multiLevelType w:val="hybridMultilevel"/>
    <w:tmpl w:val="A4A0303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00">
    <w:nsid w:val="1FE137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1">
    <w:nsid w:val="1FE604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2">
    <w:nsid w:val="20784D58"/>
    <w:multiLevelType w:val="hybridMultilevel"/>
    <w:tmpl w:val="F868367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3">
    <w:nsid w:val="207B4979"/>
    <w:multiLevelType w:val="hybridMultilevel"/>
    <w:tmpl w:val="D9E016C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4">
    <w:nsid w:val="20883FD2"/>
    <w:multiLevelType w:val="singleLevel"/>
    <w:tmpl w:val="5BF67C86"/>
    <w:lvl w:ilvl="0">
      <w:start w:val="1"/>
      <w:numFmt w:val="upperRoman"/>
      <w:lvlText w:val="%1."/>
      <w:lvlJc w:val="left"/>
      <w:pPr>
        <w:tabs>
          <w:tab w:val="num" w:pos="720"/>
        </w:tabs>
        <w:ind w:left="720" w:hanging="720"/>
      </w:pPr>
      <w:rPr>
        <w:rFonts w:hint="default"/>
        <w:b/>
      </w:rPr>
    </w:lvl>
  </w:abstractNum>
  <w:abstractNum w:abstractNumId="205">
    <w:nsid w:val="20BB67D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6">
    <w:nsid w:val="20F50E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7">
    <w:nsid w:val="21255189"/>
    <w:multiLevelType w:val="singleLevel"/>
    <w:tmpl w:val="04080001"/>
    <w:lvl w:ilvl="0">
      <w:start w:val="45"/>
      <w:numFmt w:val="bullet"/>
      <w:lvlText w:val=""/>
      <w:lvlJc w:val="left"/>
      <w:pPr>
        <w:tabs>
          <w:tab w:val="num" w:pos="360"/>
        </w:tabs>
        <w:ind w:left="360" w:hanging="360"/>
      </w:pPr>
      <w:rPr>
        <w:rFonts w:ascii="Symbol" w:hAnsi="Symbol" w:hint="default"/>
      </w:rPr>
    </w:lvl>
  </w:abstractNum>
  <w:abstractNum w:abstractNumId="208">
    <w:nsid w:val="21295B1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09">
    <w:nsid w:val="214B7E5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0">
    <w:nsid w:val="21846B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1">
    <w:nsid w:val="219754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12">
    <w:nsid w:val="22751BD6"/>
    <w:multiLevelType w:val="singleLevel"/>
    <w:tmpl w:val="0C60FCFC"/>
    <w:lvl w:ilvl="0">
      <w:start w:val="1"/>
      <w:numFmt w:val="lowerLetter"/>
      <w:lvlText w:val="%1)"/>
      <w:lvlJc w:val="left"/>
      <w:pPr>
        <w:tabs>
          <w:tab w:val="num" w:pos="720"/>
        </w:tabs>
        <w:ind w:left="720" w:hanging="360"/>
      </w:pPr>
      <w:rPr>
        <w:rFonts w:hint="default"/>
      </w:rPr>
    </w:lvl>
  </w:abstractNum>
  <w:abstractNum w:abstractNumId="213">
    <w:nsid w:val="22A83E0E"/>
    <w:multiLevelType w:val="singleLevel"/>
    <w:tmpl w:val="08090017"/>
    <w:lvl w:ilvl="0">
      <w:start w:val="1"/>
      <w:numFmt w:val="lowerLetter"/>
      <w:lvlText w:val="%1)"/>
      <w:lvlJc w:val="left"/>
      <w:pPr>
        <w:tabs>
          <w:tab w:val="num" w:pos="360"/>
        </w:tabs>
        <w:ind w:left="360" w:hanging="360"/>
      </w:pPr>
      <w:rPr>
        <w:rFonts w:hint="default"/>
      </w:rPr>
    </w:lvl>
  </w:abstractNum>
  <w:abstractNum w:abstractNumId="214">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15">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nsid w:val="236E79D3"/>
    <w:multiLevelType w:val="hybridMultilevel"/>
    <w:tmpl w:val="B7E6AA32"/>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23B6405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8">
    <w:nsid w:val="23D313AB"/>
    <w:multiLevelType w:val="hybridMultilevel"/>
    <w:tmpl w:val="78E206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9">
    <w:nsid w:val="245173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0">
    <w:nsid w:val="248E031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1">
    <w:nsid w:val="24922F6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2">
    <w:nsid w:val="24BC7D31"/>
    <w:multiLevelType w:val="hybridMultilevel"/>
    <w:tmpl w:val="0B62F1E2"/>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25030D96"/>
    <w:multiLevelType w:val="hybridMultilevel"/>
    <w:tmpl w:val="C11CEAAA"/>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25501E8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25">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6">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7">
    <w:nsid w:val="25F43154"/>
    <w:multiLevelType w:val="singleLevel"/>
    <w:tmpl w:val="3EC4779A"/>
    <w:lvl w:ilvl="0">
      <w:start w:val="1"/>
      <w:numFmt w:val="upperRoman"/>
      <w:lvlText w:val="%1."/>
      <w:lvlJc w:val="left"/>
      <w:pPr>
        <w:tabs>
          <w:tab w:val="num" w:pos="720"/>
        </w:tabs>
        <w:ind w:left="720" w:hanging="720"/>
      </w:pPr>
      <w:rPr>
        <w:rFonts w:hint="default"/>
        <w:b/>
      </w:rPr>
    </w:lvl>
  </w:abstractNum>
  <w:abstractNum w:abstractNumId="228">
    <w:nsid w:val="26000C33"/>
    <w:multiLevelType w:val="hybridMultilevel"/>
    <w:tmpl w:val="4AA89EC2"/>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nsid w:val="260C4716"/>
    <w:multiLevelType w:val="hybridMultilevel"/>
    <w:tmpl w:val="CC1A7C24"/>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0">
    <w:nsid w:val="260C65D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1">
    <w:nsid w:val="26210C4B"/>
    <w:multiLevelType w:val="multilevel"/>
    <w:tmpl w:val="FB044B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2">
    <w:nsid w:val="26320CE9"/>
    <w:multiLevelType w:val="singleLevel"/>
    <w:tmpl w:val="0809000F"/>
    <w:lvl w:ilvl="0">
      <w:start w:val="1"/>
      <w:numFmt w:val="decimal"/>
      <w:lvlText w:val="%1."/>
      <w:lvlJc w:val="left"/>
      <w:pPr>
        <w:tabs>
          <w:tab w:val="num" w:pos="360"/>
        </w:tabs>
        <w:ind w:left="360" w:hanging="360"/>
      </w:pPr>
    </w:lvl>
  </w:abstractNum>
  <w:abstractNum w:abstractNumId="233">
    <w:nsid w:val="26611D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4">
    <w:nsid w:val="266932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5">
    <w:nsid w:val="26C80D9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6">
    <w:nsid w:val="26CB71B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37">
    <w:nsid w:val="27227918"/>
    <w:multiLevelType w:val="hybridMultilevel"/>
    <w:tmpl w:val="D41AA1F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274674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9">
    <w:nsid w:val="27A92A1F"/>
    <w:multiLevelType w:val="hybridMultilevel"/>
    <w:tmpl w:val="2282289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nsid w:val="281C05AD"/>
    <w:multiLevelType w:val="hybridMultilevel"/>
    <w:tmpl w:val="FC1EAFDA"/>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1">
    <w:nsid w:val="28393BC9"/>
    <w:multiLevelType w:val="singleLevel"/>
    <w:tmpl w:val="6396DD0A"/>
    <w:lvl w:ilvl="0">
      <w:start w:val="6"/>
      <w:numFmt w:val="lowerLetter"/>
      <w:lvlText w:val="%1)"/>
      <w:lvlJc w:val="left"/>
      <w:pPr>
        <w:tabs>
          <w:tab w:val="num" w:pos="660"/>
        </w:tabs>
        <w:ind w:left="660" w:hanging="360"/>
      </w:pPr>
      <w:rPr>
        <w:rFonts w:hint="default"/>
      </w:rPr>
    </w:lvl>
  </w:abstractNum>
  <w:abstractNum w:abstractNumId="242">
    <w:nsid w:val="283D693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43">
    <w:nsid w:val="28910068"/>
    <w:multiLevelType w:val="hybridMultilevel"/>
    <w:tmpl w:val="AB1CC68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4">
    <w:nsid w:val="289A58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5">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6">
    <w:nsid w:val="29962A3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47">
    <w:nsid w:val="29A851DE"/>
    <w:multiLevelType w:val="hybridMultilevel"/>
    <w:tmpl w:val="09AAFF8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29F60D0B"/>
    <w:multiLevelType w:val="singleLevel"/>
    <w:tmpl w:val="28F6AF4E"/>
    <w:lvl w:ilvl="0">
      <w:start w:val="62"/>
      <w:numFmt w:val="decimal"/>
      <w:lvlText w:val="%1."/>
      <w:lvlJc w:val="left"/>
      <w:pPr>
        <w:tabs>
          <w:tab w:val="num" w:pos="0"/>
        </w:tabs>
        <w:ind w:left="0" w:hanging="1080"/>
      </w:pPr>
      <w:rPr>
        <w:rFonts w:hint="default"/>
        <w:b/>
      </w:rPr>
    </w:lvl>
  </w:abstractNum>
  <w:abstractNum w:abstractNumId="249">
    <w:nsid w:val="2A140B1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50">
    <w:nsid w:val="2A1D610C"/>
    <w:multiLevelType w:val="hybridMultilevel"/>
    <w:tmpl w:val="C9FC7DD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51">
    <w:nsid w:val="2A4B3E0B"/>
    <w:multiLevelType w:val="hybridMultilevel"/>
    <w:tmpl w:val="D0AAC5B2"/>
    <w:lvl w:ilvl="0" w:tplc="DB98FACA">
      <w:start w:val="1"/>
      <w:numFmt w:val="bullet"/>
      <w:lvlText w:val=""/>
      <w:lvlJc w:val="left"/>
      <w:pPr>
        <w:tabs>
          <w:tab w:val="num" w:pos="1437"/>
        </w:tabs>
        <w:ind w:left="1434" w:hanging="357"/>
      </w:pPr>
      <w:rPr>
        <w:rFonts w:ascii="Symbol" w:hAnsi="Symbol" w:hint="default"/>
      </w:rPr>
    </w:lvl>
    <w:lvl w:ilvl="1" w:tplc="BE123E76">
      <w:numFmt w:val="bullet"/>
      <w:lvlText w:val="-"/>
      <w:lvlJc w:val="left"/>
      <w:pPr>
        <w:tabs>
          <w:tab w:val="num" w:pos="1797"/>
        </w:tabs>
        <w:ind w:left="1797" w:hanging="360"/>
      </w:pPr>
      <w:rPr>
        <w:rFonts w:ascii="Times New Roman" w:eastAsia="Times New Roman" w:hAnsi="Times New Roman" w:cs="Times New Roman"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52">
    <w:nsid w:val="2AC205E3"/>
    <w:multiLevelType w:val="multilevel"/>
    <w:tmpl w:val="0BF2A9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3">
    <w:nsid w:val="2AD02FBD"/>
    <w:multiLevelType w:val="hybridMultilevel"/>
    <w:tmpl w:val="248EAEB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54">
    <w:nsid w:val="2AD86C0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55">
    <w:nsid w:val="2B3F49C6"/>
    <w:multiLevelType w:val="singleLevel"/>
    <w:tmpl w:val="E94C9216"/>
    <w:lvl w:ilvl="0">
      <w:start w:val="1"/>
      <w:numFmt w:val="lowerRoman"/>
      <w:lvlText w:val="(%1)"/>
      <w:lvlJc w:val="right"/>
      <w:pPr>
        <w:tabs>
          <w:tab w:val="num" w:pos="2160"/>
        </w:tabs>
        <w:ind w:left="2160" w:hanging="516"/>
      </w:pPr>
    </w:lvl>
  </w:abstractNum>
  <w:abstractNum w:abstractNumId="256">
    <w:nsid w:val="2B575AA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7">
    <w:nsid w:val="2B5F2009"/>
    <w:multiLevelType w:val="hybridMultilevel"/>
    <w:tmpl w:val="68842888"/>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58">
    <w:nsid w:val="2B807B5E"/>
    <w:multiLevelType w:val="singleLevel"/>
    <w:tmpl w:val="73282EB2"/>
    <w:lvl w:ilvl="0">
      <w:start w:val="1"/>
      <w:numFmt w:val="lowerLetter"/>
      <w:lvlText w:val="%1)"/>
      <w:lvlJc w:val="left"/>
      <w:pPr>
        <w:tabs>
          <w:tab w:val="num" w:pos="360"/>
        </w:tabs>
        <w:ind w:left="360" w:hanging="360"/>
      </w:pPr>
    </w:lvl>
  </w:abstractNum>
  <w:abstractNum w:abstractNumId="259">
    <w:nsid w:val="2BF9216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0">
    <w:nsid w:val="2C1130B1"/>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61">
    <w:nsid w:val="2C26692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2">
    <w:nsid w:val="2C347966"/>
    <w:multiLevelType w:val="hybridMultilevel"/>
    <w:tmpl w:val="19A2C674"/>
    <w:lvl w:ilvl="0" w:tplc="C7C8E3C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3">
    <w:nsid w:val="2C56227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4">
    <w:nsid w:val="2C7D60F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5">
    <w:nsid w:val="2C877CE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66">
    <w:nsid w:val="2CF446F5"/>
    <w:multiLevelType w:val="singleLevel"/>
    <w:tmpl w:val="D334F4DC"/>
    <w:lvl w:ilvl="0">
      <w:numFmt w:val="bullet"/>
      <w:lvlText w:val="-"/>
      <w:lvlJc w:val="left"/>
      <w:pPr>
        <w:tabs>
          <w:tab w:val="num" w:pos="5700"/>
        </w:tabs>
        <w:ind w:left="5700" w:hanging="360"/>
      </w:pPr>
      <w:rPr>
        <w:rFonts w:hint="default"/>
      </w:rPr>
    </w:lvl>
  </w:abstractNum>
  <w:abstractNum w:abstractNumId="267">
    <w:nsid w:val="2CFC03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8">
    <w:nsid w:val="2D1A71F0"/>
    <w:multiLevelType w:val="multilevel"/>
    <w:tmpl w:val="FB044BA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9">
    <w:nsid w:val="2D530C1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70">
    <w:nsid w:val="2D682314"/>
    <w:multiLevelType w:val="hybridMultilevel"/>
    <w:tmpl w:val="DAE4FB9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1">
    <w:nsid w:val="2D751AFD"/>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272">
    <w:nsid w:val="2D7A5946"/>
    <w:multiLevelType w:val="hybridMultilevel"/>
    <w:tmpl w:val="119616B8"/>
    <w:lvl w:ilvl="0" w:tplc="BBFC5F1E">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3">
    <w:nsid w:val="2DCB7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4">
    <w:nsid w:val="2E0A7347"/>
    <w:multiLevelType w:val="singleLevel"/>
    <w:tmpl w:val="5F84A29E"/>
    <w:lvl w:ilvl="0">
      <w:start w:val="56"/>
      <w:numFmt w:val="decimal"/>
      <w:lvlText w:val="%1."/>
      <w:lvlJc w:val="left"/>
      <w:pPr>
        <w:tabs>
          <w:tab w:val="num" w:pos="420"/>
        </w:tabs>
        <w:ind w:left="420" w:hanging="420"/>
      </w:pPr>
      <w:rPr>
        <w:rFonts w:hint="default"/>
      </w:rPr>
    </w:lvl>
  </w:abstractNum>
  <w:abstractNum w:abstractNumId="275">
    <w:nsid w:val="2E96771F"/>
    <w:multiLevelType w:val="multilevel"/>
    <w:tmpl w:val="6DA26AB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6">
    <w:nsid w:val="2E9D03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7">
    <w:nsid w:val="2F0D4F9B"/>
    <w:multiLevelType w:val="singleLevel"/>
    <w:tmpl w:val="786AE388"/>
    <w:lvl w:ilvl="0">
      <w:numFmt w:val="bullet"/>
      <w:lvlText w:val="-"/>
      <w:lvlJc w:val="left"/>
      <w:pPr>
        <w:tabs>
          <w:tab w:val="num" w:pos="360"/>
        </w:tabs>
        <w:ind w:left="360" w:hanging="360"/>
      </w:pPr>
      <w:rPr>
        <w:rFonts w:ascii="Times New Roman" w:hAnsi="Times New Roman" w:hint="default"/>
      </w:rPr>
    </w:lvl>
  </w:abstractNum>
  <w:abstractNum w:abstractNumId="278">
    <w:nsid w:val="2F3A751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79">
    <w:nsid w:val="2F440DD3"/>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280">
    <w:nsid w:val="2F464985"/>
    <w:multiLevelType w:val="hybridMultilevel"/>
    <w:tmpl w:val="17685ED4"/>
    <w:lvl w:ilvl="0" w:tplc="FCD4E270">
      <w:start w:val="1"/>
      <w:numFmt w:val="bullet"/>
      <w:lvlText w:val=""/>
      <w:lvlJc w:val="left"/>
      <w:pPr>
        <w:tabs>
          <w:tab w:val="num" w:pos="1080"/>
        </w:tabs>
        <w:ind w:left="107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1">
    <w:nsid w:val="2F5C1EE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82">
    <w:nsid w:val="2FAE5AE7"/>
    <w:multiLevelType w:val="singleLevel"/>
    <w:tmpl w:val="08090017"/>
    <w:lvl w:ilvl="0">
      <w:start w:val="1"/>
      <w:numFmt w:val="lowerLetter"/>
      <w:lvlText w:val="%1)"/>
      <w:lvlJc w:val="left"/>
      <w:pPr>
        <w:tabs>
          <w:tab w:val="num" w:pos="360"/>
        </w:tabs>
        <w:ind w:left="360" w:hanging="360"/>
      </w:pPr>
      <w:rPr>
        <w:rFonts w:hint="default"/>
      </w:rPr>
    </w:lvl>
  </w:abstractNum>
  <w:abstractNum w:abstractNumId="283">
    <w:nsid w:val="2FB741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4">
    <w:nsid w:val="2FEC4072"/>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285">
    <w:nsid w:val="300854CC"/>
    <w:multiLevelType w:val="multilevel"/>
    <w:tmpl w:val="360028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6">
    <w:nsid w:val="302A75A7"/>
    <w:multiLevelType w:val="singleLevel"/>
    <w:tmpl w:val="3496DD40"/>
    <w:lvl w:ilvl="0">
      <w:start w:val="1"/>
      <w:numFmt w:val="decimal"/>
      <w:lvlText w:val="(%1)"/>
      <w:lvlJc w:val="left"/>
      <w:pPr>
        <w:tabs>
          <w:tab w:val="num" w:pos="1440"/>
        </w:tabs>
        <w:ind w:left="1440" w:hanging="720"/>
      </w:pPr>
    </w:lvl>
  </w:abstractNum>
  <w:abstractNum w:abstractNumId="287">
    <w:nsid w:val="302D6B2C"/>
    <w:multiLevelType w:val="multilevel"/>
    <w:tmpl w:val="3B02182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8">
    <w:nsid w:val="3036568A"/>
    <w:multiLevelType w:val="singleLevel"/>
    <w:tmpl w:val="0408001B"/>
    <w:lvl w:ilvl="0">
      <w:start w:val="1"/>
      <w:numFmt w:val="lowerRoman"/>
      <w:lvlText w:val="%1."/>
      <w:lvlJc w:val="right"/>
      <w:pPr>
        <w:tabs>
          <w:tab w:val="num" w:pos="504"/>
        </w:tabs>
        <w:ind w:left="504" w:hanging="216"/>
      </w:pPr>
    </w:lvl>
  </w:abstractNum>
  <w:abstractNum w:abstractNumId="289">
    <w:nsid w:val="30881F5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0">
    <w:nsid w:val="30893A97"/>
    <w:multiLevelType w:val="multilevel"/>
    <w:tmpl w:val="BFDE22F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1">
    <w:nsid w:val="30903F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2">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293">
    <w:nsid w:val="30AE2DBD"/>
    <w:multiLevelType w:val="hybridMultilevel"/>
    <w:tmpl w:val="C90A07B4"/>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4">
    <w:nsid w:val="30D0486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295">
    <w:nsid w:val="30D171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6">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7">
    <w:nsid w:val="31996938"/>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298">
    <w:nsid w:val="31C33B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9">
    <w:nsid w:val="31E02811"/>
    <w:multiLevelType w:val="singleLevel"/>
    <w:tmpl w:val="0809000F"/>
    <w:lvl w:ilvl="0">
      <w:start w:val="1"/>
      <w:numFmt w:val="decimal"/>
      <w:lvlText w:val="%1."/>
      <w:lvlJc w:val="left"/>
      <w:pPr>
        <w:tabs>
          <w:tab w:val="num" w:pos="360"/>
        </w:tabs>
        <w:ind w:left="360" w:hanging="360"/>
      </w:pPr>
    </w:lvl>
  </w:abstractNum>
  <w:abstractNum w:abstractNumId="300">
    <w:nsid w:val="32006FDE"/>
    <w:multiLevelType w:val="singleLevel"/>
    <w:tmpl w:val="0809000F"/>
    <w:lvl w:ilvl="0">
      <w:start w:val="1"/>
      <w:numFmt w:val="decimal"/>
      <w:lvlText w:val="%1."/>
      <w:lvlJc w:val="left"/>
      <w:pPr>
        <w:tabs>
          <w:tab w:val="num" w:pos="360"/>
        </w:tabs>
        <w:ind w:left="360" w:hanging="360"/>
      </w:pPr>
    </w:lvl>
  </w:abstractNum>
  <w:abstractNum w:abstractNumId="301">
    <w:nsid w:val="324E0E0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2">
    <w:nsid w:val="326F12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3">
    <w:nsid w:val="327A39EC"/>
    <w:multiLevelType w:val="singleLevel"/>
    <w:tmpl w:val="C4FEBEA0"/>
    <w:lvl w:ilvl="0">
      <w:start w:val="1"/>
      <w:numFmt w:val="lowerLetter"/>
      <w:lvlText w:val="%1)"/>
      <w:lvlJc w:val="left"/>
      <w:pPr>
        <w:tabs>
          <w:tab w:val="num" w:pos="0"/>
        </w:tabs>
        <w:ind w:left="0" w:hanging="360"/>
      </w:pPr>
      <w:rPr>
        <w:rFonts w:hint="default"/>
      </w:rPr>
    </w:lvl>
  </w:abstractNum>
  <w:abstractNum w:abstractNumId="304">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05">
    <w:nsid w:val="33155A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6">
    <w:nsid w:val="33865C3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07">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308">
    <w:nsid w:val="33D062D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9">
    <w:nsid w:val="33D53E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0">
    <w:nsid w:val="33D7771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1">
    <w:nsid w:val="34281A5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2">
    <w:nsid w:val="34333D1A"/>
    <w:multiLevelType w:val="hybridMultilevel"/>
    <w:tmpl w:val="AFE42D0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14">
    <w:nsid w:val="349E591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5">
    <w:nsid w:val="34AA0E0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16">
    <w:nsid w:val="34CB14EF"/>
    <w:multiLevelType w:val="hybridMultilevel"/>
    <w:tmpl w:val="A64C281A"/>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7">
    <w:nsid w:val="34F434E0"/>
    <w:multiLevelType w:val="singleLevel"/>
    <w:tmpl w:val="04080005"/>
    <w:lvl w:ilvl="0">
      <w:start w:val="1"/>
      <w:numFmt w:val="bullet"/>
      <w:lvlText w:val=""/>
      <w:lvlJc w:val="left"/>
      <w:pPr>
        <w:tabs>
          <w:tab w:val="num" w:pos="360"/>
        </w:tabs>
        <w:ind w:left="360" w:hanging="360"/>
      </w:pPr>
      <w:rPr>
        <w:rFonts w:ascii="Wingdings" w:hAnsi="Wingdings" w:hint="default"/>
      </w:rPr>
    </w:lvl>
  </w:abstractNum>
  <w:abstractNum w:abstractNumId="318">
    <w:nsid w:val="34FE3F1C"/>
    <w:multiLevelType w:val="singleLevel"/>
    <w:tmpl w:val="5106E388"/>
    <w:lvl w:ilvl="0">
      <w:start w:val="34"/>
      <w:numFmt w:val="bullet"/>
      <w:lvlText w:val="-"/>
      <w:lvlJc w:val="left"/>
      <w:pPr>
        <w:tabs>
          <w:tab w:val="num" w:pos="360"/>
        </w:tabs>
        <w:ind w:left="360" w:hanging="360"/>
      </w:pPr>
      <w:rPr>
        <w:rFonts w:hint="default"/>
      </w:rPr>
    </w:lvl>
  </w:abstractNum>
  <w:abstractNum w:abstractNumId="319">
    <w:nsid w:val="351063B6"/>
    <w:multiLevelType w:val="hybridMultilevel"/>
    <w:tmpl w:val="EDC2DCD4"/>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0">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1">
    <w:nsid w:val="355B17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2">
    <w:nsid w:val="3584485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3">
    <w:nsid w:val="36255761"/>
    <w:multiLevelType w:val="singleLevel"/>
    <w:tmpl w:val="0409000F"/>
    <w:lvl w:ilvl="0">
      <w:start w:val="1"/>
      <w:numFmt w:val="decimal"/>
      <w:lvlText w:val="%1."/>
      <w:lvlJc w:val="left"/>
      <w:pPr>
        <w:tabs>
          <w:tab w:val="num" w:pos="360"/>
        </w:tabs>
        <w:ind w:left="360" w:hanging="360"/>
      </w:pPr>
    </w:lvl>
  </w:abstractNum>
  <w:abstractNum w:abstractNumId="324">
    <w:nsid w:val="362A2308"/>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325">
    <w:nsid w:val="363F463D"/>
    <w:multiLevelType w:val="singleLevel"/>
    <w:tmpl w:val="9A764710"/>
    <w:lvl w:ilvl="0">
      <w:start w:val="2"/>
      <w:numFmt w:val="decimal"/>
      <w:lvlText w:val=""/>
      <w:lvlJc w:val="left"/>
      <w:pPr>
        <w:tabs>
          <w:tab w:val="num" w:pos="360"/>
        </w:tabs>
        <w:ind w:left="360" w:hanging="360"/>
      </w:pPr>
      <w:rPr>
        <w:rFonts w:ascii="Times New Roman" w:hAnsi="Times New Roman" w:hint="default"/>
      </w:rPr>
    </w:lvl>
  </w:abstractNum>
  <w:abstractNum w:abstractNumId="326">
    <w:nsid w:val="36B90E01"/>
    <w:multiLevelType w:val="hybridMultilevel"/>
    <w:tmpl w:val="FE3603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7">
    <w:nsid w:val="36C8574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28">
    <w:nsid w:val="36CB3EB0"/>
    <w:multiLevelType w:val="singleLevel"/>
    <w:tmpl w:val="04080003"/>
    <w:lvl w:ilvl="0">
      <w:start w:val="1"/>
      <w:numFmt w:val="bullet"/>
      <w:lvlText w:val=""/>
      <w:lvlJc w:val="left"/>
      <w:pPr>
        <w:tabs>
          <w:tab w:val="num" w:pos="360"/>
        </w:tabs>
        <w:ind w:left="360" w:hanging="360"/>
      </w:pPr>
      <w:rPr>
        <w:rFonts w:ascii="Symbol" w:hAnsi="Symbol" w:hint="default"/>
      </w:rPr>
    </w:lvl>
  </w:abstractNum>
  <w:abstractNum w:abstractNumId="329">
    <w:nsid w:val="36DA0FB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30">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1">
    <w:nsid w:val="372F39FA"/>
    <w:multiLevelType w:val="singleLevel"/>
    <w:tmpl w:val="EDFC9C02"/>
    <w:lvl w:ilvl="0">
      <w:start w:val="5"/>
      <w:numFmt w:val="decimal"/>
      <w:lvlText w:val="%1)"/>
      <w:lvlJc w:val="left"/>
      <w:pPr>
        <w:tabs>
          <w:tab w:val="num" w:pos="720"/>
        </w:tabs>
        <w:ind w:left="720" w:hanging="720"/>
      </w:pPr>
      <w:rPr>
        <w:rFonts w:hint="default"/>
      </w:rPr>
    </w:lvl>
  </w:abstractNum>
  <w:abstractNum w:abstractNumId="332">
    <w:nsid w:val="376852A8"/>
    <w:multiLevelType w:val="hybridMultilevel"/>
    <w:tmpl w:val="6302D28E"/>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3">
    <w:nsid w:val="376C7C2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4">
    <w:nsid w:val="37F14656"/>
    <w:multiLevelType w:val="hybridMultilevel"/>
    <w:tmpl w:val="44C473F0"/>
    <w:lvl w:ilvl="0" w:tplc="FA261F8C">
      <w:start w:val="1"/>
      <w:numFmt w:val="bullet"/>
      <w:lvlText w:val=""/>
      <w:lvlJc w:val="left"/>
      <w:pPr>
        <w:tabs>
          <w:tab w:val="num" w:pos="360"/>
        </w:tabs>
        <w:ind w:left="357" w:hanging="357"/>
      </w:pPr>
      <w:rPr>
        <w:rFonts w:ascii="Symbol" w:hAnsi="Symbol" w:hint="default"/>
      </w:rPr>
    </w:lvl>
    <w:lvl w:ilvl="1" w:tplc="FCD4E27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5">
    <w:nsid w:val="37F9068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6">
    <w:nsid w:val="37F90F80"/>
    <w:multiLevelType w:val="hybridMultilevel"/>
    <w:tmpl w:val="BDC82266"/>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7">
    <w:nsid w:val="38221F94"/>
    <w:multiLevelType w:val="multilevel"/>
    <w:tmpl w:val="2A6016B6"/>
    <w:lvl w:ilvl="0">
      <w:start w:val="1"/>
      <w:numFmt w:val="bullet"/>
      <w:lvlText w:val="o"/>
      <w:lvlJc w:val="left"/>
      <w:pPr>
        <w:tabs>
          <w:tab w:val="num" w:pos="1800"/>
        </w:tabs>
        <w:ind w:left="1800" w:hanging="360"/>
      </w:pPr>
      <w:rPr>
        <w:rFonts w:ascii="Courier New" w:hAnsi="Courier New" w:hint="default"/>
      </w:rPr>
    </w:lvl>
    <w:lvl w:ilvl="1">
      <w:start w:val="1"/>
      <w:numFmt w:val="lowerLetter"/>
      <w:lvlText w:val="%2)"/>
      <w:lvlJc w:val="left"/>
      <w:pPr>
        <w:tabs>
          <w:tab w:val="num" w:pos="2520"/>
        </w:tabs>
        <w:ind w:left="2520" w:hanging="360"/>
      </w:pPr>
      <w:rPr>
        <w:rFont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338">
    <w:nsid w:val="383D356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39">
    <w:nsid w:val="38A4370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0">
    <w:nsid w:val="38CC1A98"/>
    <w:multiLevelType w:val="hybridMultilevel"/>
    <w:tmpl w:val="0454785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1">
    <w:nsid w:val="38E4431C"/>
    <w:multiLevelType w:val="singleLevel"/>
    <w:tmpl w:val="7326DA4E"/>
    <w:lvl w:ilvl="0">
      <w:start w:val="1"/>
      <w:numFmt w:val="decimal"/>
      <w:lvlText w:val="%1."/>
      <w:lvlJc w:val="left"/>
      <w:pPr>
        <w:tabs>
          <w:tab w:val="num" w:pos="720"/>
        </w:tabs>
        <w:ind w:left="720" w:hanging="900"/>
      </w:pPr>
      <w:rPr>
        <w:rFonts w:hint="default"/>
      </w:rPr>
    </w:lvl>
  </w:abstractNum>
  <w:abstractNum w:abstractNumId="342">
    <w:nsid w:val="38F831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43">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44">
    <w:nsid w:val="39802653"/>
    <w:multiLevelType w:val="hybridMultilevel"/>
    <w:tmpl w:val="0C1E2E9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5">
    <w:nsid w:val="39D42943"/>
    <w:multiLevelType w:val="hybridMultilevel"/>
    <w:tmpl w:val="39222216"/>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6">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347">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48">
    <w:nsid w:val="3A226D26"/>
    <w:multiLevelType w:val="singleLevel"/>
    <w:tmpl w:val="20EAF5F8"/>
    <w:lvl w:ilvl="0">
      <w:start w:val="1"/>
      <w:numFmt w:val="lowerLetter"/>
      <w:lvlText w:val="%1."/>
      <w:lvlJc w:val="left"/>
      <w:pPr>
        <w:tabs>
          <w:tab w:val="num" w:pos="360"/>
        </w:tabs>
        <w:ind w:left="360" w:hanging="360"/>
      </w:pPr>
      <w:rPr>
        <w:rFonts w:hint="default"/>
      </w:rPr>
    </w:lvl>
  </w:abstractNum>
  <w:abstractNum w:abstractNumId="349">
    <w:nsid w:val="3A546EC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0">
    <w:nsid w:val="3A6211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1">
    <w:nsid w:val="3A6D16B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52">
    <w:nsid w:val="3A97607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53">
    <w:nsid w:val="3AE93484"/>
    <w:multiLevelType w:val="singleLevel"/>
    <w:tmpl w:val="0809000F"/>
    <w:lvl w:ilvl="0">
      <w:start w:val="1"/>
      <w:numFmt w:val="decimal"/>
      <w:lvlText w:val="%1."/>
      <w:lvlJc w:val="left"/>
      <w:pPr>
        <w:tabs>
          <w:tab w:val="num" w:pos="360"/>
        </w:tabs>
        <w:ind w:left="360" w:hanging="360"/>
      </w:pPr>
      <w:rPr>
        <w:rFonts w:hint="default"/>
      </w:rPr>
    </w:lvl>
  </w:abstractNum>
  <w:abstractNum w:abstractNumId="354">
    <w:nsid w:val="3B1715D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55">
    <w:nsid w:val="3B7E1E10"/>
    <w:multiLevelType w:val="singleLevel"/>
    <w:tmpl w:val="0809000F"/>
    <w:lvl w:ilvl="0">
      <w:start w:val="1"/>
      <w:numFmt w:val="decimal"/>
      <w:lvlText w:val="%1."/>
      <w:lvlJc w:val="left"/>
      <w:pPr>
        <w:tabs>
          <w:tab w:val="num" w:pos="360"/>
        </w:tabs>
        <w:ind w:left="360" w:hanging="360"/>
      </w:pPr>
      <w:rPr>
        <w:rFonts w:hint="default"/>
      </w:rPr>
    </w:lvl>
  </w:abstractNum>
  <w:abstractNum w:abstractNumId="356">
    <w:nsid w:val="3B851D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7">
    <w:nsid w:val="3BBD7D58"/>
    <w:multiLevelType w:val="multilevel"/>
    <w:tmpl w:val="3116A48C"/>
    <w:lvl w:ilvl="0">
      <w:start w:val="55"/>
      <w:numFmt w:val="bullet"/>
      <w:lvlText w:val="-"/>
      <w:lvlJc w:val="left"/>
      <w:pPr>
        <w:tabs>
          <w:tab w:val="num" w:pos="4080"/>
        </w:tabs>
        <w:ind w:left="4080" w:hanging="360"/>
      </w:pPr>
      <w:rPr>
        <w:rFonts w:ascii="Times New Roman" w:eastAsia="Times New Roman" w:hAnsi="Times New Roman" w:cs="Times New Roman" w:hint="default"/>
      </w:rPr>
    </w:lvl>
    <w:lvl w:ilvl="1" w:tentative="1">
      <w:start w:val="1"/>
      <w:numFmt w:val="bullet"/>
      <w:lvlText w:val="o"/>
      <w:lvlJc w:val="left"/>
      <w:pPr>
        <w:tabs>
          <w:tab w:val="num" w:pos="4800"/>
        </w:tabs>
        <w:ind w:left="4800" w:hanging="360"/>
      </w:pPr>
      <w:rPr>
        <w:rFonts w:ascii="Courier New" w:hAnsi="Courier New" w:hint="default"/>
      </w:rPr>
    </w:lvl>
    <w:lvl w:ilvl="2" w:tentative="1">
      <w:start w:val="1"/>
      <w:numFmt w:val="bullet"/>
      <w:lvlText w:val=""/>
      <w:lvlJc w:val="left"/>
      <w:pPr>
        <w:tabs>
          <w:tab w:val="num" w:pos="5520"/>
        </w:tabs>
        <w:ind w:left="5520" w:hanging="360"/>
      </w:pPr>
      <w:rPr>
        <w:rFonts w:ascii="Wingdings" w:hAnsi="Wingdings" w:hint="default"/>
      </w:rPr>
    </w:lvl>
    <w:lvl w:ilvl="3" w:tentative="1">
      <w:start w:val="1"/>
      <w:numFmt w:val="bullet"/>
      <w:lvlText w:val=""/>
      <w:lvlJc w:val="left"/>
      <w:pPr>
        <w:tabs>
          <w:tab w:val="num" w:pos="6240"/>
        </w:tabs>
        <w:ind w:left="6240" w:hanging="360"/>
      </w:pPr>
      <w:rPr>
        <w:rFonts w:ascii="Symbol" w:hAnsi="Symbol" w:hint="default"/>
      </w:rPr>
    </w:lvl>
    <w:lvl w:ilvl="4" w:tentative="1">
      <w:start w:val="1"/>
      <w:numFmt w:val="bullet"/>
      <w:lvlText w:val="o"/>
      <w:lvlJc w:val="left"/>
      <w:pPr>
        <w:tabs>
          <w:tab w:val="num" w:pos="6960"/>
        </w:tabs>
        <w:ind w:left="6960" w:hanging="360"/>
      </w:pPr>
      <w:rPr>
        <w:rFonts w:ascii="Courier New" w:hAnsi="Courier New" w:hint="default"/>
      </w:rPr>
    </w:lvl>
    <w:lvl w:ilvl="5" w:tentative="1">
      <w:start w:val="1"/>
      <w:numFmt w:val="bullet"/>
      <w:lvlText w:val=""/>
      <w:lvlJc w:val="left"/>
      <w:pPr>
        <w:tabs>
          <w:tab w:val="num" w:pos="7680"/>
        </w:tabs>
        <w:ind w:left="7680" w:hanging="360"/>
      </w:pPr>
      <w:rPr>
        <w:rFonts w:ascii="Wingdings" w:hAnsi="Wingdings" w:hint="default"/>
      </w:rPr>
    </w:lvl>
    <w:lvl w:ilvl="6" w:tentative="1">
      <w:start w:val="1"/>
      <w:numFmt w:val="bullet"/>
      <w:lvlText w:val=""/>
      <w:lvlJc w:val="left"/>
      <w:pPr>
        <w:tabs>
          <w:tab w:val="num" w:pos="8400"/>
        </w:tabs>
        <w:ind w:left="8400" w:hanging="360"/>
      </w:pPr>
      <w:rPr>
        <w:rFonts w:ascii="Symbol" w:hAnsi="Symbol" w:hint="default"/>
      </w:rPr>
    </w:lvl>
    <w:lvl w:ilvl="7" w:tentative="1">
      <w:start w:val="1"/>
      <w:numFmt w:val="bullet"/>
      <w:lvlText w:val="o"/>
      <w:lvlJc w:val="left"/>
      <w:pPr>
        <w:tabs>
          <w:tab w:val="num" w:pos="9120"/>
        </w:tabs>
        <w:ind w:left="9120" w:hanging="360"/>
      </w:pPr>
      <w:rPr>
        <w:rFonts w:ascii="Courier New" w:hAnsi="Courier New" w:hint="default"/>
      </w:rPr>
    </w:lvl>
    <w:lvl w:ilvl="8" w:tentative="1">
      <w:start w:val="1"/>
      <w:numFmt w:val="bullet"/>
      <w:lvlText w:val=""/>
      <w:lvlJc w:val="left"/>
      <w:pPr>
        <w:tabs>
          <w:tab w:val="num" w:pos="9840"/>
        </w:tabs>
        <w:ind w:left="9840" w:hanging="360"/>
      </w:pPr>
      <w:rPr>
        <w:rFonts w:ascii="Wingdings" w:hAnsi="Wingdings" w:hint="default"/>
      </w:rPr>
    </w:lvl>
  </w:abstractNum>
  <w:abstractNum w:abstractNumId="358">
    <w:nsid w:val="3BE5758C"/>
    <w:multiLevelType w:val="hybridMultilevel"/>
    <w:tmpl w:val="7DF6BC56"/>
    <w:lvl w:ilvl="0" w:tplc="FCD4E2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59">
    <w:nsid w:val="3C2E792E"/>
    <w:multiLevelType w:val="singleLevel"/>
    <w:tmpl w:val="0809000F"/>
    <w:lvl w:ilvl="0">
      <w:start w:val="1"/>
      <w:numFmt w:val="decimal"/>
      <w:lvlText w:val="%1."/>
      <w:lvlJc w:val="left"/>
      <w:pPr>
        <w:tabs>
          <w:tab w:val="num" w:pos="360"/>
        </w:tabs>
        <w:ind w:left="360" w:hanging="360"/>
      </w:pPr>
      <w:rPr>
        <w:rFonts w:hint="default"/>
      </w:rPr>
    </w:lvl>
  </w:abstractNum>
  <w:abstractNum w:abstractNumId="360">
    <w:nsid w:val="3C4843A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61">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62">
    <w:nsid w:val="3C954F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6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64">
    <w:nsid w:val="3D1640E6"/>
    <w:multiLevelType w:val="singleLevel"/>
    <w:tmpl w:val="0408000F"/>
    <w:lvl w:ilvl="0">
      <w:start w:val="1"/>
      <w:numFmt w:val="decimal"/>
      <w:lvlText w:val="%1."/>
      <w:lvlJc w:val="left"/>
      <w:pPr>
        <w:tabs>
          <w:tab w:val="num" w:pos="360"/>
        </w:tabs>
        <w:ind w:left="360" w:hanging="360"/>
      </w:pPr>
    </w:lvl>
  </w:abstractNum>
  <w:abstractNum w:abstractNumId="365">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66">
    <w:nsid w:val="3D45406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67">
    <w:nsid w:val="3D662BC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68">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69">
    <w:nsid w:val="3DB642C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0">
    <w:nsid w:val="3DEA0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1">
    <w:nsid w:val="3DF775B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2">
    <w:nsid w:val="3E297296"/>
    <w:multiLevelType w:val="hybridMultilevel"/>
    <w:tmpl w:val="7486D23E"/>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3">
    <w:nsid w:val="3E586AA0"/>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374">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375">
    <w:nsid w:val="3E75473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6">
    <w:nsid w:val="3E8C3B31"/>
    <w:multiLevelType w:val="hybridMultilevel"/>
    <w:tmpl w:val="070CCCEE"/>
    <w:lvl w:ilvl="0" w:tplc="BBFC5F1E">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7">
    <w:nsid w:val="3EEB0B0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78">
    <w:nsid w:val="3EEE65E8"/>
    <w:multiLevelType w:val="hybridMultilevel"/>
    <w:tmpl w:val="76A051A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9">
    <w:nsid w:val="3F9E5FB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0">
    <w:nsid w:val="3FDE60F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1">
    <w:nsid w:val="3FE44C34"/>
    <w:multiLevelType w:val="hybridMultilevel"/>
    <w:tmpl w:val="5392792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82">
    <w:nsid w:val="40221049"/>
    <w:multiLevelType w:val="singleLevel"/>
    <w:tmpl w:val="04D4B0C4"/>
    <w:lvl w:ilvl="0">
      <w:start w:val="1"/>
      <w:numFmt w:val="decimal"/>
      <w:lvlText w:val="%1."/>
      <w:lvlJc w:val="left"/>
      <w:pPr>
        <w:tabs>
          <w:tab w:val="num" w:pos="360"/>
        </w:tabs>
        <w:ind w:left="360" w:hanging="360"/>
      </w:pPr>
    </w:lvl>
  </w:abstractNum>
  <w:abstractNum w:abstractNumId="383">
    <w:nsid w:val="4033271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85">
    <w:nsid w:val="40680B60"/>
    <w:multiLevelType w:val="hybridMultilevel"/>
    <w:tmpl w:val="4A96C51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86">
    <w:nsid w:val="407175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7">
    <w:nsid w:val="40BD524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88">
    <w:nsid w:val="412C0184"/>
    <w:multiLevelType w:val="singleLevel"/>
    <w:tmpl w:val="A000BC8C"/>
    <w:lvl w:ilvl="0">
      <w:start w:val="4"/>
      <w:numFmt w:val="decimal"/>
      <w:lvlText w:val=""/>
      <w:lvlJc w:val="left"/>
      <w:pPr>
        <w:tabs>
          <w:tab w:val="num" w:pos="360"/>
        </w:tabs>
        <w:ind w:left="360" w:hanging="360"/>
      </w:pPr>
      <w:rPr>
        <w:rFonts w:ascii="Times New Roman" w:hAnsi="Times New Roman" w:hint="default"/>
      </w:rPr>
    </w:lvl>
  </w:abstractNum>
  <w:abstractNum w:abstractNumId="389">
    <w:nsid w:val="414B1D0F"/>
    <w:multiLevelType w:val="singleLevel"/>
    <w:tmpl w:val="A6989FB0"/>
    <w:lvl w:ilvl="0">
      <w:start w:val="1"/>
      <w:numFmt w:val="lowerLetter"/>
      <w:lvlText w:val="%1)"/>
      <w:lvlJc w:val="left"/>
      <w:pPr>
        <w:tabs>
          <w:tab w:val="num" w:pos="420"/>
        </w:tabs>
        <w:ind w:left="420" w:hanging="360"/>
      </w:pPr>
      <w:rPr>
        <w:rFonts w:hint="default"/>
      </w:rPr>
    </w:lvl>
  </w:abstractNum>
  <w:abstractNum w:abstractNumId="390">
    <w:nsid w:val="416E6699"/>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391">
    <w:nsid w:val="41882FE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92">
    <w:nsid w:val="419E0C0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93">
    <w:nsid w:val="427306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4">
    <w:nsid w:val="42840141"/>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395">
    <w:nsid w:val="42FB478C"/>
    <w:multiLevelType w:val="singleLevel"/>
    <w:tmpl w:val="0408001B"/>
    <w:lvl w:ilvl="0">
      <w:start w:val="1"/>
      <w:numFmt w:val="lowerRoman"/>
      <w:lvlText w:val="%1."/>
      <w:lvlJc w:val="right"/>
      <w:pPr>
        <w:tabs>
          <w:tab w:val="num" w:pos="504"/>
        </w:tabs>
        <w:ind w:left="504" w:hanging="216"/>
      </w:pPr>
    </w:lvl>
  </w:abstractNum>
  <w:abstractNum w:abstractNumId="396">
    <w:nsid w:val="42FC0F3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397">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98">
    <w:nsid w:val="43B549BD"/>
    <w:multiLevelType w:val="hybridMultilevel"/>
    <w:tmpl w:val="4CF27672"/>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9">
    <w:nsid w:val="43BC4D20"/>
    <w:multiLevelType w:val="singleLevel"/>
    <w:tmpl w:val="0A92C2DE"/>
    <w:lvl w:ilvl="0">
      <w:start w:val="1"/>
      <w:numFmt w:val="upperRoman"/>
      <w:lvlText w:val="%1."/>
      <w:lvlJc w:val="left"/>
      <w:pPr>
        <w:tabs>
          <w:tab w:val="num" w:pos="720"/>
        </w:tabs>
        <w:ind w:left="720" w:hanging="720"/>
      </w:pPr>
      <w:rPr>
        <w:rFonts w:hint="default"/>
        <w:b/>
      </w:rPr>
    </w:lvl>
  </w:abstractNum>
  <w:abstractNum w:abstractNumId="400">
    <w:nsid w:val="4411111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01">
    <w:nsid w:val="442C112C"/>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402">
    <w:nsid w:val="444D7DE4"/>
    <w:multiLevelType w:val="singleLevel"/>
    <w:tmpl w:val="D1927284"/>
    <w:lvl w:ilvl="0">
      <w:start w:val="1"/>
      <w:numFmt w:val="lowerLetter"/>
      <w:lvlText w:val="%1)"/>
      <w:lvlJc w:val="left"/>
      <w:pPr>
        <w:tabs>
          <w:tab w:val="num" w:pos="360"/>
        </w:tabs>
        <w:ind w:left="360" w:hanging="360"/>
      </w:pPr>
      <w:rPr>
        <w:rFonts w:hint="default"/>
      </w:rPr>
    </w:lvl>
  </w:abstractNum>
  <w:abstractNum w:abstractNumId="403">
    <w:nsid w:val="44842F90"/>
    <w:multiLevelType w:val="singleLevel"/>
    <w:tmpl w:val="AB3CC8F4"/>
    <w:lvl w:ilvl="0">
      <w:start w:val="1"/>
      <w:numFmt w:val="upperLetter"/>
      <w:lvlText w:val="%1."/>
      <w:lvlJc w:val="left"/>
      <w:pPr>
        <w:tabs>
          <w:tab w:val="num" w:pos="360"/>
        </w:tabs>
        <w:ind w:left="360" w:hanging="360"/>
      </w:pPr>
      <w:rPr>
        <w:rFonts w:hint="default"/>
      </w:rPr>
    </w:lvl>
  </w:abstractNum>
  <w:abstractNum w:abstractNumId="404">
    <w:nsid w:val="44A81AC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5">
    <w:nsid w:val="45133CA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06">
    <w:nsid w:val="45230C5C"/>
    <w:multiLevelType w:val="hybridMultilevel"/>
    <w:tmpl w:val="A08CB7EC"/>
    <w:lvl w:ilvl="0" w:tplc="AABC7BE6">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7">
    <w:nsid w:val="452D144C"/>
    <w:multiLevelType w:val="singleLevel"/>
    <w:tmpl w:val="7C4C0A7C"/>
    <w:lvl w:ilvl="0">
      <w:start w:val="1"/>
      <w:numFmt w:val="decimal"/>
      <w:lvlText w:val="(%1)"/>
      <w:lvlJc w:val="left"/>
      <w:pPr>
        <w:tabs>
          <w:tab w:val="num" w:pos="720"/>
        </w:tabs>
        <w:ind w:left="720" w:hanging="720"/>
      </w:pPr>
    </w:lvl>
  </w:abstractNum>
  <w:abstractNum w:abstractNumId="408">
    <w:nsid w:val="45447C8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09">
    <w:nsid w:val="454E03A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10">
    <w:nsid w:val="456A32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1">
    <w:nsid w:val="456C7D02"/>
    <w:multiLevelType w:val="singleLevel"/>
    <w:tmpl w:val="0809000F"/>
    <w:lvl w:ilvl="0">
      <w:start w:val="1"/>
      <w:numFmt w:val="decimal"/>
      <w:lvlText w:val="%1."/>
      <w:lvlJc w:val="left"/>
      <w:pPr>
        <w:tabs>
          <w:tab w:val="num" w:pos="360"/>
        </w:tabs>
        <w:ind w:left="360" w:hanging="360"/>
      </w:pPr>
    </w:lvl>
  </w:abstractNum>
  <w:abstractNum w:abstractNumId="412">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3">
    <w:nsid w:val="457C7B9F"/>
    <w:multiLevelType w:val="multilevel"/>
    <w:tmpl w:val="A0F20A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4">
    <w:nsid w:val="45923D8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15">
    <w:nsid w:val="45B156BC"/>
    <w:multiLevelType w:val="hybridMultilevel"/>
    <w:tmpl w:val="8AA68072"/>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416">
    <w:nsid w:val="45CD1B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7">
    <w:nsid w:val="466002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8">
    <w:nsid w:val="46BB46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9">
    <w:nsid w:val="46D34AEE"/>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20">
    <w:nsid w:val="4727758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1">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22">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3">
    <w:nsid w:val="47BF321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4">
    <w:nsid w:val="47FB24EC"/>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25">
    <w:nsid w:val="480233B4"/>
    <w:multiLevelType w:val="singleLevel"/>
    <w:tmpl w:val="819E132E"/>
    <w:lvl w:ilvl="0">
      <w:start w:val="63"/>
      <w:numFmt w:val="decimal"/>
      <w:lvlText w:val="%1."/>
      <w:lvlJc w:val="left"/>
      <w:pPr>
        <w:tabs>
          <w:tab w:val="num" w:pos="0"/>
        </w:tabs>
        <w:ind w:left="0" w:hanging="360"/>
      </w:pPr>
      <w:rPr>
        <w:rFonts w:hint="default"/>
      </w:rPr>
    </w:lvl>
  </w:abstractNum>
  <w:abstractNum w:abstractNumId="426">
    <w:nsid w:val="4816286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27">
    <w:nsid w:val="482323CF"/>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428">
    <w:nsid w:val="4825790B"/>
    <w:multiLevelType w:val="hybridMultilevel"/>
    <w:tmpl w:val="17685ED4"/>
    <w:lvl w:ilvl="0" w:tplc="FCD4E270">
      <w:start w:val="1"/>
      <w:numFmt w:val="bullet"/>
      <w:lvlText w:val=""/>
      <w:lvlJc w:val="left"/>
      <w:pPr>
        <w:tabs>
          <w:tab w:val="num" w:pos="1080"/>
        </w:tabs>
        <w:ind w:left="107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9">
    <w:nsid w:val="482C75D6"/>
    <w:multiLevelType w:val="singleLevel"/>
    <w:tmpl w:val="CA8264EE"/>
    <w:lvl w:ilvl="0">
      <w:start w:val="1"/>
      <w:numFmt w:val="lowerLetter"/>
      <w:lvlText w:val="%1)"/>
      <w:lvlJc w:val="left"/>
      <w:pPr>
        <w:tabs>
          <w:tab w:val="num" w:pos="1200"/>
        </w:tabs>
        <w:ind w:left="1200" w:hanging="360"/>
      </w:pPr>
      <w:rPr>
        <w:rFonts w:hint="default"/>
      </w:rPr>
    </w:lvl>
  </w:abstractNum>
  <w:abstractNum w:abstractNumId="430">
    <w:nsid w:val="483021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1">
    <w:nsid w:val="484304F4"/>
    <w:multiLevelType w:val="hybridMultilevel"/>
    <w:tmpl w:val="5240BE2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2">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3">
    <w:nsid w:val="487900F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35">
    <w:nsid w:val="48CF7C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6">
    <w:nsid w:val="48EF4B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7">
    <w:nsid w:val="493655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8">
    <w:nsid w:val="494359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39">
    <w:nsid w:val="494D434B"/>
    <w:multiLevelType w:val="hybridMultilevel"/>
    <w:tmpl w:val="A198EEA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0">
    <w:nsid w:val="4991712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1">
    <w:nsid w:val="49D65C9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2">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3">
    <w:nsid w:val="4A1848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4">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5">
    <w:nsid w:val="4A9E62A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6">
    <w:nsid w:val="4AD75E68"/>
    <w:multiLevelType w:val="hybridMultilevel"/>
    <w:tmpl w:val="EBA25568"/>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7">
    <w:nsid w:val="4B2173B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48">
    <w:nsid w:val="4B3743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9">
    <w:nsid w:val="4B7B714F"/>
    <w:multiLevelType w:val="hybridMultilevel"/>
    <w:tmpl w:val="82A2268A"/>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0">
    <w:nsid w:val="4BA94C60"/>
    <w:multiLevelType w:val="hybridMultilevel"/>
    <w:tmpl w:val="8398C544"/>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1">
    <w:nsid w:val="4BBB0600"/>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452">
    <w:nsid w:val="4BBB0F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3">
    <w:nsid w:val="4BCB7B0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4">
    <w:nsid w:val="4C0939C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5">
    <w:nsid w:val="4C324F7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6">
    <w:nsid w:val="4C39737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7">
    <w:nsid w:val="4C4B280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58">
    <w:nsid w:val="4C785571"/>
    <w:multiLevelType w:val="hybridMultilevel"/>
    <w:tmpl w:val="4C8ACCE6"/>
    <w:lvl w:ilvl="0" w:tplc="306893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9">
    <w:nsid w:val="4CF178B0"/>
    <w:multiLevelType w:val="singleLevel"/>
    <w:tmpl w:val="A6989FB0"/>
    <w:lvl w:ilvl="0">
      <w:start w:val="1"/>
      <w:numFmt w:val="lowerLetter"/>
      <w:lvlText w:val="%1)"/>
      <w:lvlJc w:val="left"/>
      <w:pPr>
        <w:tabs>
          <w:tab w:val="num" w:pos="420"/>
        </w:tabs>
        <w:ind w:left="420" w:hanging="360"/>
      </w:pPr>
      <w:rPr>
        <w:rFonts w:hint="default"/>
      </w:rPr>
    </w:lvl>
  </w:abstractNum>
  <w:abstractNum w:abstractNumId="460">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61">
    <w:nsid w:val="4D3C427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62">
    <w:nsid w:val="4D3F3E8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63">
    <w:nsid w:val="4D8079A0"/>
    <w:multiLevelType w:val="singleLevel"/>
    <w:tmpl w:val="6BBC782E"/>
    <w:lvl w:ilvl="0">
      <w:start w:val="1"/>
      <w:numFmt w:val="upperLetter"/>
      <w:lvlText w:val="%1."/>
      <w:lvlJc w:val="left"/>
      <w:pPr>
        <w:tabs>
          <w:tab w:val="num" w:pos="375"/>
        </w:tabs>
        <w:ind w:left="375" w:hanging="375"/>
      </w:pPr>
      <w:rPr>
        <w:rFonts w:hint="default"/>
      </w:rPr>
    </w:lvl>
  </w:abstractNum>
  <w:abstractNum w:abstractNumId="464">
    <w:nsid w:val="4DBC6A01"/>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65">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66">
    <w:nsid w:val="4E5300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7">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68">
    <w:nsid w:val="4E782034"/>
    <w:multiLevelType w:val="hybridMultilevel"/>
    <w:tmpl w:val="3C60B0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9">
    <w:nsid w:val="4E94439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70">
    <w:nsid w:val="4EBD5D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71">
    <w:nsid w:val="4EDC12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2">
    <w:nsid w:val="4EF425AA"/>
    <w:multiLevelType w:val="hybridMultilevel"/>
    <w:tmpl w:val="5706EEF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3">
    <w:nsid w:val="4EFA2598"/>
    <w:multiLevelType w:val="singleLevel"/>
    <w:tmpl w:val="0409000F"/>
    <w:lvl w:ilvl="0">
      <w:start w:val="1"/>
      <w:numFmt w:val="decimal"/>
      <w:lvlText w:val="%1."/>
      <w:lvlJc w:val="left"/>
      <w:pPr>
        <w:tabs>
          <w:tab w:val="num" w:pos="360"/>
        </w:tabs>
        <w:ind w:left="360" w:hanging="360"/>
      </w:pPr>
    </w:lvl>
  </w:abstractNum>
  <w:abstractNum w:abstractNumId="474">
    <w:nsid w:val="4F066D72"/>
    <w:multiLevelType w:val="hybridMultilevel"/>
    <w:tmpl w:val="17685ED4"/>
    <w:lvl w:ilvl="0" w:tplc="FA261F8C">
      <w:start w:val="1"/>
      <w:numFmt w:val="bullet"/>
      <w:lvlText w:val=""/>
      <w:lvlJc w:val="left"/>
      <w:pPr>
        <w:tabs>
          <w:tab w:val="num" w:pos="360"/>
        </w:tabs>
        <w:ind w:left="357" w:hanging="357"/>
      </w:pPr>
      <w:rPr>
        <w:rFonts w:ascii="Symbol" w:hAnsi="Symbol" w:hint="default"/>
      </w:rPr>
    </w:lvl>
    <w:lvl w:ilvl="1" w:tplc="FCD4E27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5">
    <w:nsid w:val="4F2E582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76">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7">
    <w:nsid w:val="4F355D2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78">
    <w:nsid w:val="4FE844FE"/>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479">
    <w:nsid w:val="502D1CA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80">
    <w:nsid w:val="50505B3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81">
    <w:nsid w:val="505B77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82">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83">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484">
    <w:nsid w:val="5075634C"/>
    <w:multiLevelType w:val="hybridMultilevel"/>
    <w:tmpl w:val="39A60D76"/>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5">
    <w:nsid w:val="516B37DF"/>
    <w:multiLevelType w:val="hybridMultilevel"/>
    <w:tmpl w:val="2D628AAE"/>
    <w:lvl w:ilvl="0" w:tplc="FCD4E2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86">
    <w:nsid w:val="517425E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87">
    <w:nsid w:val="517665BC"/>
    <w:multiLevelType w:val="singleLevel"/>
    <w:tmpl w:val="08090011"/>
    <w:lvl w:ilvl="0">
      <w:start w:val="1"/>
      <w:numFmt w:val="decimal"/>
      <w:lvlText w:val="%1)"/>
      <w:lvlJc w:val="left"/>
      <w:pPr>
        <w:tabs>
          <w:tab w:val="num" w:pos="360"/>
        </w:tabs>
        <w:ind w:left="360" w:hanging="360"/>
      </w:pPr>
      <w:rPr>
        <w:rFonts w:hint="default"/>
      </w:rPr>
    </w:lvl>
  </w:abstractNum>
  <w:abstractNum w:abstractNumId="488">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89">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90">
    <w:nsid w:val="51DB07E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91">
    <w:nsid w:val="51E74684"/>
    <w:multiLevelType w:val="hybridMultilevel"/>
    <w:tmpl w:val="1076D28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2">
    <w:nsid w:val="51E92E7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493">
    <w:nsid w:val="51F86E9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94">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5">
    <w:nsid w:val="52391E5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96">
    <w:nsid w:val="525C60ED"/>
    <w:multiLevelType w:val="hybridMultilevel"/>
    <w:tmpl w:val="4B0A329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7">
    <w:nsid w:val="52C353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8">
    <w:nsid w:val="52D030EE"/>
    <w:multiLevelType w:val="singleLevel"/>
    <w:tmpl w:val="C85875F6"/>
    <w:lvl w:ilvl="0">
      <w:start w:val="1"/>
      <w:numFmt w:val="lowerLetter"/>
      <w:lvlText w:val="%1)"/>
      <w:lvlJc w:val="left"/>
      <w:pPr>
        <w:tabs>
          <w:tab w:val="num" w:pos="1020"/>
        </w:tabs>
        <w:ind w:left="1020" w:hanging="360"/>
      </w:pPr>
      <w:rPr>
        <w:rFonts w:hint="default"/>
      </w:rPr>
    </w:lvl>
  </w:abstractNum>
  <w:abstractNum w:abstractNumId="499">
    <w:nsid w:val="52FF57AA"/>
    <w:multiLevelType w:val="hybridMultilevel"/>
    <w:tmpl w:val="AADC4F00"/>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0">
    <w:nsid w:val="53070D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1">
    <w:nsid w:val="53373E3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02">
    <w:nsid w:val="53843E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3">
    <w:nsid w:val="5385599A"/>
    <w:multiLevelType w:val="multilevel"/>
    <w:tmpl w:val="96047F86"/>
    <w:lvl w:ilvl="0">
      <w:start w:val="200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4">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05">
    <w:nsid w:val="542C753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06">
    <w:nsid w:val="54691A6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07">
    <w:nsid w:val="54767EF8"/>
    <w:multiLevelType w:val="singleLevel"/>
    <w:tmpl w:val="203034D8"/>
    <w:lvl w:ilvl="0">
      <w:start w:val="3"/>
      <w:numFmt w:val="decimal"/>
      <w:lvlText w:val="%1."/>
      <w:lvlJc w:val="left"/>
      <w:pPr>
        <w:tabs>
          <w:tab w:val="num" w:pos="360"/>
        </w:tabs>
        <w:ind w:left="360" w:hanging="360"/>
      </w:pPr>
      <w:rPr>
        <w:rFonts w:hint="default"/>
      </w:rPr>
    </w:lvl>
  </w:abstractNum>
  <w:abstractNum w:abstractNumId="508">
    <w:nsid w:val="54CC692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09">
    <w:nsid w:val="554622F3"/>
    <w:multiLevelType w:val="hybridMultilevel"/>
    <w:tmpl w:val="05F03560"/>
    <w:lvl w:ilvl="0" w:tplc="DB98FAC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10">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511">
    <w:nsid w:val="558A62D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12">
    <w:nsid w:val="55D22EA2"/>
    <w:multiLevelType w:val="hybridMultilevel"/>
    <w:tmpl w:val="17685ED4"/>
    <w:lvl w:ilvl="0" w:tplc="FCD4E270">
      <w:start w:val="1"/>
      <w:numFmt w:val="bullet"/>
      <w:lvlText w:val=""/>
      <w:lvlJc w:val="left"/>
      <w:pPr>
        <w:tabs>
          <w:tab w:val="num" w:pos="360"/>
        </w:tabs>
        <w:ind w:left="357" w:hanging="357"/>
      </w:pPr>
      <w:rPr>
        <w:rFonts w:ascii="Symbol" w:hAnsi="Symbol" w:hint="default"/>
      </w:rPr>
    </w:lvl>
    <w:lvl w:ilvl="1" w:tplc="FCD4E27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3">
    <w:nsid w:val="5621773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514">
    <w:nsid w:val="563922A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15">
    <w:nsid w:val="56443413"/>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16">
    <w:nsid w:val="56443A6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17">
    <w:nsid w:val="565D751F"/>
    <w:multiLevelType w:val="hybridMultilevel"/>
    <w:tmpl w:val="CFE081F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18">
    <w:nsid w:val="56716380"/>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519">
    <w:nsid w:val="567347F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20">
    <w:nsid w:val="5688693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1">
    <w:nsid w:val="569F5687"/>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522">
    <w:nsid w:val="56C637D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3">
    <w:nsid w:val="56DC019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4">
    <w:nsid w:val="56E8569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5">
    <w:nsid w:val="57510340"/>
    <w:multiLevelType w:val="multilevel"/>
    <w:tmpl w:val="26C82978"/>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6">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27">
    <w:nsid w:val="579A00F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28">
    <w:nsid w:val="57E5315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29">
    <w:nsid w:val="57ED5A5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0">
    <w:nsid w:val="57F77940"/>
    <w:multiLevelType w:val="singleLevel"/>
    <w:tmpl w:val="9AC03EA0"/>
    <w:lvl w:ilvl="0">
      <w:start w:val="2"/>
      <w:numFmt w:val="lowerLetter"/>
      <w:lvlText w:val="%1."/>
      <w:lvlJc w:val="left"/>
      <w:pPr>
        <w:tabs>
          <w:tab w:val="num" w:pos="360"/>
        </w:tabs>
        <w:ind w:left="360" w:hanging="360"/>
      </w:pPr>
      <w:rPr>
        <w:rFonts w:hint="default"/>
      </w:rPr>
    </w:lvl>
  </w:abstractNum>
  <w:abstractNum w:abstractNumId="531">
    <w:nsid w:val="582C569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32">
    <w:nsid w:val="585C15EB"/>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533">
    <w:nsid w:val="58656DC9"/>
    <w:multiLevelType w:val="singleLevel"/>
    <w:tmpl w:val="F8F6A010"/>
    <w:lvl w:ilvl="0">
      <w:start w:val="37"/>
      <w:numFmt w:val="decimal"/>
      <w:lvlText w:val="%1."/>
      <w:lvlJc w:val="left"/>
      <w:pPr>
        <w:tabs>
          <w:tab w:val="num" w:pos="-900"/>
        </w:tabs>
        <w:ind w:left="-900" w:hanging="360"/>
      </w:pPr>
      <w:rPr>
        <w:rFonts w:hint="default"/>
      </w:rPr>
    </w:lvl>
  </w:abstractNum>
  <w:abstractNum w:abstractNumId="534">
    <w:nsid w:val="58840EE3"/>
    <w:multiLevelType w:val="hybridMultilevel"/>
    <w:tmpl w:val="43428C5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5">
    <w:nsid w:val="58933F5B"/>
    <w:multiLevelType w:val="singleLevel"/>
    <w:tmpl w:val="6F047908"/>
    <w:lvl w:ilvl="0">
      <w:start w:val="1"/>
      <w:numFmt w:val="upperRoman"/>
      <w:lvlText w:val="%1."/>
      <w:lvlJc w:val="left"/>
      <w:pPr>
        <w:tabs>
          <w:tab w:val="num" w:pos="720"/>
        </w:tabs>
        <w:ind w:left="720" w:hanging="720"/>
      </w:pPr>
      <w:rPr>
        <w:rFonts w:hint="default"/>
        <w:b/>
      </w:rPr>
    </w:lvl>
  </w:abstractNum>
  <w:abstractNum w:abstractNumId="536">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537">
    <w:nsid w:val="5934619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8">
    <w:nsid w:val="598176D5"/>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39">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0">
    <w:nsid w:val="59B5505D"/>
    <w:multiLevelType w:val="hybridMultilevel"/>
    <w:tmpl w:val="78889F72"/>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1">
    <w:nsid w:val="59DB00B2"/>
    <w:multiLevelType w:val="singleLevel"/>
    <w:tmpl w:val="73282EB2"/>
    <w:lvl w:ilvl="0">
      <w:start w:val="1"/>
      <w:numFmt w:val="lowerLetter"/>
      <w:lvlText w:val="%1)"/>
      <w:lvlJc w:val="left"/>
      <w:pPr>
        <w:tabs>
          <w:tab w:val="num" w:pos="360"/>
        </w:tabs>
        <w:ind w:left="360" w:hanging="360"/>
      </w:pPr>
    </w:lvl>
  </w:abstractNum>
  <w:abstractNum w:abstractNumId="542">
    <w:nsid w:val="5A301B38"/>
    <w:multiLevelType w:val="singleLevel"/>
    <w:tmpl w:val="F90861BE"/>
    <w:lvl w:ilvl="0">
      <w:start w:val="34"/>
      <w:numFmt w:val="bullet"/>
      <w:lvlText w:val="-"/>
      <w:lvlJc w:val="left"/>
      <w:pPr>
        <w:tabs>
          <w:tab w:val="num" w:pos="390"/>
        </w:tabs>
        <w:ind w:left="390" w:hanging="390"/>
      </w:pPr>
      <w:rPr>
        <w:rFonts w:hint="default"/>
      </w:rPr>
    </w:lvl>
  </w:abstractNum>
  <w:abstractNum w:abstractNumId="543">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44">
    <w:nsid w:val="5A5A6A70"/>
    <w:multiLevelType w:val="singleLevel"/>
    <w:tmpl w:val="5106E388"/>
    <w:lvl w:ilvl="0">
      <w:start w:val="2"/>
      <w:numFmt w:val="bullet"/>
      <w:lvlText w:val="-"/>
      <w:lvlJc w:val="left"/>
      <w:pPr>
        <w:tabs>
          <w:tab w:val="num" w:pos="360"/>
        </w:tabs>
        <w:ind w:left="360" w:hanging="360"/>
      </w:pPr>
      <w:rPr>
        <w:rFonts w:ascii="Times New Roman" w:hAnsi="Times New Roman" w:hint="default"/>
      </w:rPr>
    </w:lvl>
  </w:abstractNum>
  <w:abstractNum w:abstractNumId="545">
    <w:nsid w:val="5A6A66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6">
    <w:nsid w:val="5ABC17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7">
    <w:nsid w:val="5AC2021A"/>
    <w:multiLevelType w:val="hybridMultilevel"/>
    <w:tmpl w:val="824E4900"/>
    <w:lvl w:ilvl="0" w:tplc="3068930A">
      <w:start w:val="1"/>
      <w:numFmt w:val="lowerLetter"/>
      <w:lvlRestart w:val="0"/>
      <w:lvlText w:val="(%1)"/>
      <w:lvlJc w:val="right"/>
      <w:pPr>
        <w:tabs>
          <w:tab w:val="num" w:pos="227"/>
        </w:tabs>
        <w:ind w:left="227" w:hanging="227"/>
      </w:pPr>
      <w:rPr>
        <w:rFonts w:ascii="Times New Roman" w:hAnsi="Times New Roman" w:hint="eastAsia"/>
        <w:b w:val="0"/>
        <w:i w:val="0"/>
        <w:sz w:val="24"/>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548">
    <w:nsid w:val="5AE121B3"/>
    <w:multiLevelType w:val="hybridMultilevel"/>
    <w:tmpl w:val="116810F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50">
    <w:nsid w:val="5B311EF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51">
    <w:nsid w:val="5B4A6045"/>
    <w:multiLevelType w:val="hybridMultilevel"/>
    <w:tmpl w:val="200CF09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2">
    <w:nsid w:val="5B516BB3"/>
    <w:multiLevelType w:val="singleLevel"/>
    <w:tmpl w:val="04080011"/>
    <w:lvl w:ilvl="0">
      <w:start w:val="4"/>
      <w:numFmt w:val="decimal"/>
      <w:lvlText w:val="%1)"/>
      <w:lvlJc w:val="left"/>
      <w:pPr>
        <w:tabs>
          <w:tab w:val="num" w:pos="360"/>
        </w:tabs>
        <w:ind w:left="360" w:hanging="360"/>
      </w:pPr>
      <w:rPr>
        <w:rFonts w:hint="default"/>
      </w:rPr>
    </w:lvl>
  </w:abstractNum>
  <w:abstractNum w:abstractNumId="553">
    <w:nsid w:val="5C14270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54">
    <w:nsid w:val="5C2251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5">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56">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557">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8">
    <w:nsid w:val="5C4C168D"/>
    <w:multiLevelType w:val="singleLevel"/>
    <w:tmpl w:val="C85875F6"/>
    <w:lvl w:ilvl="0">
      <w:start w:val="1"/>
      <w:numFmt w:val="lowerLetter"/>
      <w:lvlText w:val="%1)"/>
      <w:lvlJc w:val="left"/>
      <w:pPr>
        <w:tabs>
          <w:tab w:val="num" w:pos="1020"/>
        </w:tabs>
        <w:ind w:left="1020" w:hanging="360"/>
      </w:pPr>
      <w:rPr>
        <w:rFonts w:hint="default"/>
      </w:rPr>
    </w:lvl>
  </w:abstractNum>
  <w:abstractNum w:abstractNumId="559">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0">
    <w:nsid w:val="5C980CA4"/>
    <w:multiLevelType w:val="hybridMultilevel"/>
    <w:tmpl w:val="671AEA9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1">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2">
    <w:nsid w:val="5CF273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3">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4">
    <w:nsid w:val="5D695BEE"/>
    <w:multiLevelType w:val="multilevel"/>
    <w:tmpl w:val="26E47A92"/>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65">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66">
    <w:nsid w:val="5E401934"/>
    <w:multiLevelType w:val="hybridMultilevel"/>
    <w:tmpl w:val="2AF0C622"/>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7">
    <w:nsid w:val="5E5F2606"/>
    <w:multiLevelType w:val="singleLevel"/>
    <w:tmpl w:val="FBE07534"/>
    <w:lvl w:ilvl="0">
      <w:start w:val="9"/>
      <w:numFmt w:val="decimal"/>
      <w:lvlText w:val="%1)"/>
      <w:lvlJc w:val="left"/>
      <w:pPr>
        <w:tabs>
          <w:tab w:val="num" w:pos="720"/>
        </w:tabs>
        <w:ind w:left="720" w:hanging="900"/>
      </w:pPr>
      <w:rPr>
        <w:rFonts w:hint="default"/>
      </w:rPr>
    </w:lvl>
  </w:abstractNum>
  <w:abstractNum w:abstractNumId="568">
    <w:nsid w:val="5E645A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9">
    <w:nsid w:val="5E6B7A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70">
    <w:nsid w:val="5E6C25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1">
    <w:nsid w:val="5E7919FD"/>
    <w:multiLevelType w:val="hybridMultilevel"/>
    <w:tmpl w:val="692E721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2">
    <w:nsid w:val="5EAA684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3">
    <w:nsid w:val="5EBD399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74">
    <w:nsid w:val="5F1443A3"/>
    <w:multiLevelType w:val="hybridMultilevel"/>
    <w:tmpl w:val="05BEB96A"/>
    <w:lvl w:ilvl="0" w:tplc="C3BA36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5">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76">
    <w:nsid w:val="5F5F0E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7">
    <w:nsid w:val="5F976086"/>
    <w:multiLevelType w:val="hybridMultilevel"/>
    <w:tmpl w:val="92C623E4"/>
    <w:lvl w:ilvl="0" w:tplc="64C08792">
      <w:start w:val="1"/>
      <w:numFmt w:val="bullet"/>
      <w:lvlText w:val=""/>
      <w:lvlJc w:val="left"/>
      <w:pPr>
        <w:tabs>
          <w:tab w:val="num" w:pos="1794"/>
        </w:tabs>
        <w:ind w:left="1791" w:hanging="357"/>
      </w:pPr>
      <w:rPr>
        <w:rFonts w:ascii="Symbol" w:hAnsi="Symbol" w:cs="Times New Roman"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78">
    <w:nsid w:val="5F9C2B7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79">
    <w:nsid w:val="5FAB6E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0">
    <w:nsid w:val="5FEB74DA"/>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581">
    <w:nsid w:val="60170A4B"/>
    <w:multiLevelType w:val="singleLevel"/>
    <w:tmpl w:val="C85875F6"/>
    <w:lvl w:ilvl="0">
      <w:start w:val="1"/>
      <w:numFmt w:val="lowerLetter"/>
      <w:lvlText w:val="%1)"/>
      <w:lvlJc w:val="left"/>
      <w:pPr>
        <w:tabs>
          <w:tab w:val="num" w:pos="1020"/>
        </w:tabs>
        <w:ind w:left="1020" w:hanging="360"/>
      </w:pPr>
      <w:rPr>
        <w:rFonts w:hint="default"/>
      </w:rPr>
    </w:lvl>
  </w:abstractNum>
  <w:abstractNum w:abstractNumId="582">
    <w:nsid w:val="605615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3">
    <w:nsid w:val="606D74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4">
    <w:nsid w:val="60AA1D1F"/>
    <w:multiLevelType w:val="hybridMultilevel"/>
    <w:tmpl w:val="C440428C"/>
    <w:lvl w:ilvl="0" w:tplc="DB98FAC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5">
    <w:nsid w:val="60B07EA5"/>
    <w:multiLevelType w:val="hybridMultilevel"/>
    <w:tmpl w:val="AB42B302"/>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6">
    <w:nsid w:val="60D17EF3"/>
    <w:multiLevelType w:val="hybridMultilevel"/>
    <w:tmpl w:val="09AA1AA6"/>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7">
    <w:nsid w:val="60DB6CC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88">
    <w:nsid w:val="61430E90"/>
    <w:multiLevelType w:val="hybridMultilevel"/>
    <w:tmpl w:val="44C473F0"/>
    <w:lvl w:ilvl="0" w:tplc="FCD4E270">
      <w:start w:val="1"/>
      <w:numFmt w:val="bullet"/>
      <w:lvlText w:val=""/>
      <w:lvlJc w:val="left"/>
      <w:pPr>
        <w:tabs>
          <w:tab w:val="num" w:pos="1080"/>
        </w:tabs>
        <w:ind w:left="107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9">
    <w:nsid w:val="614614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0">
    <w:nsid w:val="61815FDC"/>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591">
    <w:nsid w:val="61BA5BB2"/>
    <w:multiLevelType w:val="singleLevel"/>
    <w:tmpl w:val="0408000F"/>
    <w:lvl w:ilvl="0">
      <w:start w:val="1"/>
      <w:numFmt w:val="decimal"/>
      <w:lvlText w:val="%1."/>
      <w:lvlJc w:val="left"/>
      <w:pPr>
        <w:tabs>
          <w:tab w:val="num" w:pos="360"/>
        </w:tabs>
        <w:ind w:left="360" w:hanging="360"/>
      </w:pPr>
      <w:rPr>
        <w:rFonts w:hint="default"/>
      </w:rPr>
    </w:lvl>
  </w:abstractNum>
  <w:abstractNum w:abstractNumId="592">
    <w:nsid w:val="61C643D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593">
    <w:nsid w:val="621C1AC2"/>
    <w:multiLevelType w:val="hybridMultilevel"/>
    <w:tmpl w:val="8D0C8296"/>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594">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5">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596">
    <w:nsid w:val="629131B4"/>
    <w:multiLevelType w:val="singleLevel"/>
    <w:tmpl w:val="FCACF236"/>
    <w:lvl w:ilvl="0">
      <w:start w:val="5"/>
      <w:numFmt w:val="upperLetter"/>
      <w:lvlText w:val="%1."/>
      <w:lvlJc w:val="left"/>
      <w:pPr>
        <w:tabs>
          <w:tab w:val="num" w:pos="480"/>
        </w:tabs>
        <w:ind w:left="480" w:hanging="360"/>
      </w:pPr>
      <w:rPr>
        <w:rFonts w:hint="default"/>
      </w:rPr>
    </w:lvl>
  </w:abstractNum>
  <w:abstractNum w:abstractNumId="597">
    <w:nsid w:val="62AC2F75"/>
    <w:multiLevelType w:val="hybridMultilevel"/>
    <w:tmpl w:val="9ECC6CC2"/>
    <w:lvl w:ilvl="0" w:tplc="C3BA36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8">
    <w:nsid w:val="64282F42"/>
    <w:multiLevelType w:val="hybridMultilevel"/>
    <w:tmpl w:val="67C21EE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99">
    <w:nsid w:val="64387B00"/>
    <w:multiLevelType w:val="singleLevel"/>
    <w:tmpl w:val="04AC776A"/>
    <w:lvl w:ilvl="0">
      <w:start w:val="58"/>
      <w:numFmt w:val="decimal"/>
      <w:lvlText w:val="%1."/>
      <w:lvlJc w:val="left"/>
      <w:pPr>
        <w:tabs>
          <w:tab w:val="num" w:pos="0"/>
        </w:tabs>
        <w:ind w:left="0" w:hanging="360"/>
      </w:pPr>
      <w:rPr>
        <w:rFonts w:hint="default"/>
      </w:rPr>
    </w:lvl>
  </w:abstractNum>
  <w:abstractNum w:abstractNumId="600">
    <w:nsid w:val="643E73D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0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02">
    <w:nsid w:val="645E2E17"/>
    <w:multiLevelType w:val="hybridMultilevel"/>
    <w:tmpl w:val="E41229A6"/>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3">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4">
    <w:nsid w:val="65D15DFE"/>
    <w:multiLevelType w:val="singleLevel"/>
    <w:tmpl w:val="475E6D3C"/>
    <w:lvl w:ilvl="0">
      <w:start w:val="1"/>
      <w:numFmt w:val="decimal"/>
      <w:lvlText w:val="%1."/>
      <w:lvlJc w:val="left"/>
      <w:pPr>
        <w:tabs>
          <w:tab w:val="num" w:pos="360"/>
        </w:tabs>
        <w:ind w:left="360" w:hanging="360"/>
      </w:pPr>
    </w:lvl>
  </w:abstractNum>
  <w:abstractNum w:abstractNumId="605">
    <w:nsid w:val="66127BC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06">
    <w:nsid w:val="66BA2E4C"/>
    <w:multiLevelType w:val="singleLevel"/>
    <w:tmpl w:val="04090015"/>
    <w:lvl w:ilvl="0">
      <w:start w:val="1"/>
      <w:numFmt w:val="upperLetter"/>
      <w:lvlText w:val="%1."/>
      <w:lvlJc w:val="left"/>
      <w:pPr>
        <w:tabs>
          <w:tab w:val="num" w:pos="360"/>
        </w:tabs>
        <w:ind w:left="360" w:hanging="360"/>
      </w:pPr>
      <w:rPr>
        <w:rFonts w:hint="default"/>
      </w:rPr>
    </w:lvl>
  </w:abstractNum>
  <w:abstractNum w:abstractNumId="607">
    <w:nsid w:val="66DE130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08">
    <w:nsid w:val="673A72FF"/>
    <w:multiLevelType w:val="hybridMultilevel"/>
    <w:tmpl w:val="F38AA8EC"/>
    <w:lvl w:ilvl="0" w:tplc="69C4E02A">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69C4E02A">
      <w:start w:val="1"/>
      <w:numFmt w:val="lowerLetter"/>
      <w:lvlRestart w:val="0"/>
      <w:lvlText w:val="(%2)"/>
      <w:lvlJc w:val="right"/>
      <w:pPr>
        <w:tabs>
          <w:tab w:val="num" w:pos="1817"/>
        </w:tabs>
        <w:ind w:left="1817" w:hanging="227"/>
      </w:pPr>
      <w:rPr>
        <w:rFonts w:ascii="Times New Roman" w:hAnsi="Times New Roman" w:hint="eastAsia"/>
        <w:b w:val="0"/>
        <w:i w:val="0"/>
        <w:sz w:val="24"/>
      </w:r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609">
    <w:nsid w:val="676D1E40"/>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10">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11">
    <w:nsid w:val="67B00946"/>
    <w:multiLevelType w:val="hybridMultilevel"/>
    <w:tmpl w:val="0D084684"/>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2">
    <w:nsid w:val="67F144DC"/>
    <w:multiLevelType w:val="hybridMultilevel"/>
    <w:tmpl w:val="E1200AD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3">
    <w:nsid w:val="67FE4B2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614">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5">
    <w:nsid w:val="68264EE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16">
    <w:nsid w:val="68597ABA"/>
    <w:multiLevelType w:val="hybridMultilevel"/>
    <w:tmpl w:val="0548ECB4"/>
    <w:lvl w:ilvl="0" w:tplc="C3BA363A">
      <w:start w:val="1"/>
      <w:numFmt w:val="lowerLetter"/>
      <w:lvlRestart w:val="0"/>
      <w:lvlText w:val="(%1)"/>
      <w:lvlJc w:val="right"/>
      <w:pPr>
        <w:tabs>
          <w:tab w:val="num" w:pos="227"/>
        </w:tabs>
        <w:ind w:left="227" w:hanging="227"/>
      </w:pPr>
      <w:rPr>
        <w:rFonts w:ascii="Times New Roman" w:hAnsi="Times New Roman"/>
        <w:b w:val="0"/>
        <w:i w:val="0"/>
        <w:sz w:val="24"/>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617">
    <w:nsid w:val="68606732"/>
    <w:multiLevelType w:val="multilevel"/>
    <w:tmpl w:val="3DAA28F6"/>
    <w:lvl w:ilvl="0">
      <w:start w:val="2"/>
      <w:numFmt w:val="lowerRoman"/>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18">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19">
    <w:nsid w:val="68AA02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20">
    <w:nsid w:val="68AA1112"/>
    <w:multiLevelType w:val="hybridMultilevel"/>
    <w:tmpl w:val="3536D80E"/>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1">
    <w:nsid w:val="68B35F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2">
    <w:nsid w:val="68F545F8"/>
    <w:multiLevelType w:val="multilevel"/>
    <w:tmpl w:val="225A4B84"/>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3">
    <w:nsid w:val="693442C7"/>
    <w:multiLevelType w:val="hybridMultilevel"/>
    <w:tmpl w:val="2DC082A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24">
    <w:nsid w:val="69BA5E0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5">
    <w:nsid w:val="69D85F0C"/>
    <w:multiLevelType w:val="hybridMultilevel"/>
    <w:tmpl w:val="4A6A1772"/>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6">
    <w:nsid w:val="69D97A4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7">
    <w:nsid w:val="69DA1BF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8">
    <w:nsid w:val="6A00516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29">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30">
    <w:nsid w:val="6A436A87"/>
    <w:multiLevelType w:val="singleLevel"/>
    <w:tmpl w:val="5106E388"/>
    <w:lvl w:ilvl="0">
      <w:start w:val="56"/>
      <w:numFmt w:val="bullet"/>
      <w:lvlText w:val="-"/>
      <w:lvlJc w:val="left"/>
      <w:pPr>
        <w:tabs>
          <w:tab w:val="num" w:pos="360"/>
        </w:tabs>
        <w:ind w:left="360" w:hanging="360"/>
      </w:pPr>
      <w:rPr>
        <w:rFonts w:hint="default"/>
      </w:rPr>
    </w:lvl>
  </w:abstractNum>
  <w:abstractNum w:abstractNumId="631">
    <w:nsid w:val="6A451987"/>
    <w:multiLevelType w:val="singleLevel"/>
    <w:tmpl w:val="08090017"/>
    <w:lvl w:ilvl="0">
      <w:start w:val="1"/>
      <w:numFmt w:val="lowerLetter"/>
      <w:lvlText w:val="%1)"/>
      <w:lvlJc w:val="left"/>
      <w:pPr>
        <w:tabs>
          <w:tab w:val="num" w:pos="360"/>
        </w:tabs>
        <w:ind w:left="360" w:hanging="360"/>
      </w:pPr>
      <w:rPr>
        <w:rFonts w:hint="default"/>
      </w:rPr>
    </w:lvl>
  </w:abstractNum>
  <w:abstractNum w:abstractNumId="632">
    <w:nsid w:val="6A6869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33">
    <w:nsid w:val="6A9804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34">
    <w:nsid w:val="6A98146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35">
    <w:nsid w:val="6AA34736"/>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636">
    <w:nsid w:val="6AC83E8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37">
    <w:nsid w:val="6B172319"/>
    <w:multiLevelType w:val="hybridMultilevel"/>
    <w:tmpl w:val="3B14E8FC"/>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8">
    <w:nsid w:val="6B9A31FA"/>
    <w:multiLevelType w:val="hybridMultilevel"/>
    <w:tmpl w:val="1288564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39">
    <w:nsid w:val="6BD91FAE"/>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640">
    <w:nsid w:val="6BF307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41">
    <w:nsid w:val="6BF55D9C"/>
    <w:multiLevelType w:val="hybridMultilevel"/>
    <w:tmpl w:val="D466EAB2"/>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2">
    <w:nsid w:val="6BF853A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43">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4">
    <w:nsid w:val="6C182B12"/>
    <w:multiLevelType w:val="multilevel"/>
    <w:tmpl w:val="64E645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5">
    <w:nsid w:val="6C3E5CE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46">
    <w:nsid w:val="6C4E4AC5"/>
    <w:multiLevelType w:val="singleLevel"/>
    <w:tmpl w:val="6396DD0A"/>
    <w:lvl w:ilvl="0">
      <w:start w:val="6"/>
      <w:numFmt w:val="lowerLetter"/>
      <w:lvlText w:val="%1)"/>
      <w:lvlJc w:val="left"/>
      <w:pPr>
        <w:tabs>
          <w:tab w:val="num" w:pos="660"/>
        </w:tabs>
        <w:ind w:left="660" w:hanging="360"/>
      </w:pPr>
      <w:rPr>
        <w:rFonts w:hint="default"/>
      </w:rPr>
    </w:lvl>
  </w:abstractNum>
  <w:abstractNum w:abstractNumId="647">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8">
    <w:nsid w:val="6CBF2DE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49">
    <w:nsid w:val="6CE71F2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50">
    <w:nsid w:val="6D1C2334"/>
    <w:multiLevelType w:val="hybridMultilevel"/>
    <w:tmpl w:val="64A6AE8A"/>
    <w:lvl w:ilvl="0" w:tplc="C3BA363A">
      <w:start w:val="1"/>
      <w:numFmt w:val="lowerLetter"/>
      <w:lvlRestart w:val="0"/>
      <w:lvlText w:val="(%1)"/>
      <w:lvlJc w:val="right"/>
      <w:pPr>
        <w:tabs>
          <w:tab w:val="num" w:pos="227"/>
        </w:tabs>
        <w:ind w:left="227" w:hanging="227"/>
      </w:pPr>
      <w:rPr>
        <w:rFonts w:ascii="Times New Roman" w:hAnsi="Times New Roman"/>
        <w:b w:val="0"/>
        <w:i w:val="0"/>
        <w:sz w:val="24"/>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651">
    <w:nsid w:val="6D6223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2">
    <w:nsid w:val="6D952BA9"/>
    <w:multiLevelType w:val="hybridMultilevel"/>
    <w:tmpl w:val="76F8AD8C"/>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3">
    <w:nsid w:val="6DC274C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54">
    <w:nsid w:val="6E0D476A"/>
    <w:multiLevelType w:val="hybridMultilevel"/>
    <w:tmpl w:val="EDC41384"/>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55">
    <w:nsid w:val="6E700E5F"/>
    <w:multiLevelType w:val="multilevel"/>
    <w:tmpl w:val="EEE2EC54"/>
    <w:lvl w:ilvl="0">
      <w:start w:val="17"/>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6">
    <w:nsid w:val="6E73087D"/>
    <w:multiLevelType w:val="singleLevel"/>
    <w:tmpl w:val="C85875F6"/>
    <w:lvl w:ilvl="0">
      <w:start w:val="1"/>
      <w:numFmt w:val="lowerLetter"/>
      <w:lvlText w:val="%1)"/>
      <w:lvlJc w:val="left"/>
      <w:pPr>
        <w:tabs>
          <w:tab w:val="num" w:pos="1020"/>
        </w:tabs>
        <w:ind w:left="1020" w:hanging="360"/>
      </w:pPr>
      <w:rPr>
        <w:rFonts w:hint="default"/>
      </w:rPr>
    </w:lvl>
  </w:abstractNum>
  <w:abstractNum w:abstractNumId="657">
    <w:nsid w:val="6E8125FF"/>
    <w:multiLevelType w:val="multilevel"/>
    <w:tmpl w:val="BDA02F6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8">
    <w:nsid w:val="6E9D48A5"/>
    <w:multiLevelType w:val="singleLevel"/>
    <w:tmpl w:val="5106E388"/>
    <w:lvl w:ilvl="0">
      <w:start w:val="34"/>
      <w:numFmt w:val="bullet"/>
      <w:lvlText w:val="-"/>
      <w:lvlJc w:val="left"/>
      <w:pPr>
        <w:tabs>
          <w:tab w:val="num" w:pos="360"/>
        </w:tabs>
        <w:ind w:left="360" w:hanging="360"/>
      </w:pPr>
      <w:rPr>
        <w:rFonts w:hint="default"/>
      </w:rPr>
    </w:lvl>
  </w:abstractNum>
  <w:abstractNum w:abstractNumId="659">
    <w:nsid w:val="6EB73CAF"/>
    <w:multiLevelType w:val="hybridMultilevel"/>
    <w:tmpl w:val="AFD06E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0">
    <w:nsid w:val="6EDB0F78"/>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661">
    <w:nsid w:val="6F136E39"/>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662">
    <w:nsid w:val="6F1A1AB6"/>
    <w:multiLevelType w:val="multilevel"/>
    <w:tmpl w:val="85DE34E0"/>
    <w:lvl w:ilvl="0">
      <w:start w:val="1"/>
      <w:numFmt w:val="decimal"/>
      <w:lvlText w:val="%1."/>
      <w:lvlJc w:val="left"/>
      <w:pPr>
        <w:tabs>
          <w:tab w:val="num" w:pos="372"/>
        </w:tabs>
        <w:ind w:left="372" w:hanging="372"/>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63">
    <w:nsid w:val="6F513D48"/>
    <w:multiLevelType w:val="hybridMultilevel"/>
    <w:tmpl w:val="4FAA94A0"/>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4">
    <w:nsid w:val="6F6C4D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65">
    <w:nsid w:val="6F920D2A"/>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666">
    <w:nsid w:val="6F9C7F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67">
    <w:nsid w:val="6F9F038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68">
    <w:nsid w:val="6FBC4641"/>
    <w:multiLevelType w:val="hybridMultilevel"/>
    <w:tmpl w:val="EBF822AE"/>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9">
    <w:nsid w:val="6FE20833"/>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70">
    <w:nsid w:val="6FF72F03"/>
    <w:multiLevelType w:val="hybridMultilevel"/>
    <w:tmpl w:val="8B606DB4"/>
    <w:lvl w:ilvl="0" w:tplc="71CC3E9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1">
    <w:nsid w:val="703D1C6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72">
    <w:nsid w:val="707D295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73">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4">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5">
    <w:nsid w:val="71657FA6"/>
    <w:multiLevelType w:val="hybridMultilevel"/>
    <w:tmpl w:val="9D649FBE"/>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6">
    <w:nsid w:val="71AB7DBF"/>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677">
    <w:nsid w:val="71B920D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78">
    <w:nsid w:val="71C30E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79">
    <w:nsid w:val="71C57419"/>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680">
    <w:nsid w:val="723F1D3F"/>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681">
    <w:nsid w:val="72613C1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82">
    <w:nsid w:val="72642E8D"/>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83">
    <w:nsid w:val="72B6750B"/>
    <w:multiLevelType w:val="singleLevel"/>
    <w:tmpl w:val="49E8BC84"/>
    <w:lvl w:ilvl="0">
      <w:start w:val="1"/>
      <w:numFmt w:val="bullet"/>
      <w:lvlText w:val=""/>
      <w:lvlJc w:val="left"/>
      <w:pPr>
        <w:tabs>
          <w:tab w:val="num" w:pos="360"/>
        </w:tabs>
        <w:ind w:left="360" w:hanging="360"/>
      </w:pPr>
      <w:rPr>
        <w:rFonts w:ascii="Symbol" w:hAnsi="Symbol" w:hint="default"/>
      </w:rPr>
    </w:lvl>
  </w:abstractNum>
  <w:abstractNum w:abstractNumId="684">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5">
    <w:nsid w:val="73570F7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86">
    <w:nsid w:val="73571465"/>
    <w:multiLevelType w:val="hybridMultilevel"/>
    <w:tmpl w:val="3B4098A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687">
    <w:nsid w:val="736F372E"/>
    <w:multiLevelType w:val="singleLevel"/>
    <w:tmpl w:val="470A9CE6"/>
    <w:lvl w:ilvl="0">
      <w:start w:val="58"/>
      <w:numFmt w:val="decimal"/>
      <w:lvlText w:val="%1."/>
      <w:lvlJc w:val="left"/>
      <w:pPr>
        <w:tabs>
          <w:tab w:val="num" w:pos="-1440"/>
        </w:tabs>
        <w:ind w:left="-1440" w:hanging="360"/>
      </w:pPr>
      <w:rPr>
        <w:rFonts w:hint="default"/>
      </w:rPr>
    </w:lvl>
  </w:abstractNum>
  <w:abstractNum w:abstractNumId="688">
    <w:nsid w:val="737351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8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0">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691">
    <w:nsid w:val="746232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2">
    <w:nsid w:val="74732FCF"/>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93">
    <w:nsid w:val="747C194D"/>
    <w:multiLevelType w:val="hybridMultilevel"/>
    <w:tmpl w:val="9F169E3A"/>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4">
    <w:nsid w:val="748A24C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95">
    <w:nsid w:val="749257F9"/>
    <w:multiLevelType w:val="multilevel"/>
    <w:tmpl w:val="5D68DEF6"/>
    <w:lvl w:ilvl="0">
      <w:start w:val="1"/>
      <w:numFmt w:val="bullet"/>
      <w:lvlText w:val="o"/>
      <w:lvlJc w:val="left"/>
      <w:pPr>
        <w:tabs>
          <w:tab w:val="num" w:pos="1440"/>
        </w:tabs>
        <w:ind w:left="1440" w:hanging="360"/>
      </w:pPr>
      <w:rPr>
        <w:rFonts w:ascii="Courier New" w:hAnsi="Courier New"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96">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697">
    <w:nsid w:val="74D42A2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98">
    <w:nsid w:val="7504589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699">
    <w:nsid w:val="75161BAF"/>
    <w:multiLevelType w:val="singleLevel"/>
    <w:tmpl w:val="470618FA"/>
    <w:lvl w:ilvl="0">
      <w:start w:val="1"/>
      <w:numFmt w:val="bullet"/>
      <w:lvlText w:val=""/>
      <w:lvlJc w:val="left"/>
      <w:pPr>
        <w:tabs>
          <w:tab w:val="num" w:pos="360"/>
        </w:tabs>
        <w:ind w:left="360" w:hanging="360"/>
      </w:pPr>
      <w:rPr>
        <w:rFonts w:ascii="Symbol" w:hAnsi="Symbol" w:hint="default"/>
        <w:sz w:val="20"/>
      </w:rPr>
    </w:lvl>
  </w:abstractNum>
  <w:abstractNum w:abstractNumId="700">
    <w:nsid w:val="7530118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01">
    <w:nsid w:val="75825D8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02">
    <w:nsid w:val="759A66CE"/>
    <w:multiLevelType w:val="hybridMultilevel"/>
    <w:tmpl w:val="7A546D50"/>
    <w:lvl w:ilvl="0" w:tplc="97201F36">
      <w:start w:val="1"/>
      <w:numFmt w:val="bullet"/>
      <w:lvlText w:val=""/>
      <w:lvlJc w:val="left"/>
      <w:pPr>
        <w:tabs>
          <w:tab w:val="num" w:pos="1800"/>
        </w:tabs>
        <w:ind w:left="1797" w:hanging="357"/>
      </w:pPr>
      <w:rPr>
        <w:rFonts w:ascii="Symbol" w:hAnsi="Symbol" w:hint="default"/>
      </w:rPr>
    </w:lvl>
    <w:lvl w:ilvl="1" w:tplc="FCD4E270">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03">
    <w:nsid w:val="75BA2F9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04">
    <w:nsid w:val="75DB3349"/>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05">
    <w:nsid w:val="769A4A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6">
    <w:nsid w:val="76C667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7">
    <w:nsid w:val="76E625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8">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9">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0">
    <w:nsid w:val="77792C05"/>
    <w:multiLevelType w:val="hybridMultilevel"/>
    <w:tmpl w:val="E286B52C"/>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11">
    <w:nsid w:val="77862242"/>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12">
    <w:nsid w:val="779447C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1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4">
    <w:nsid w:val="77B520B1"/>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15">
    <w:nsid w:val="77D56615"/>
    <w:multiLevelType w:val="multilevel"/>
    <w:tmpl w:val="15F6EED4"/>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716">
    <w:nsid w:val="78064012"/>
    <w:multiLevelType w:val="multilevel"/>
    <w:tmpl w:val="DF8462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7">
    <w:nsid w:val="782450D0"/>
    <w:multiLevelType w:val="hybridMultilevel"/>
    <w:tmpl w:val="2854A540"/>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8">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19">
    <w:nsid w:val="785E6EE8"/>
    <w:multiLevelType w:val="hybridMultilevel"/>
    <w:tmpl w:val="21785796"/>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20">
    <w:nsid w:val="788028C7"/>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21">
    <w:nsid w:val="78A3456E"/>
    <w:multiLevelType w:val="multilevel"/>
    <w:tmpl w:val="AF640682"/>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2">
    <w:nsid w:val="792F52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3">
    <w:nsid w:val="795E6D9B"/>
    <w:multiLevelType w:val="singleLevel"/>
    <w:tmpl w:val="389879EE"/>
    <w:lvl w:ilvl="0">
      <w:start w:val="1"/>
      <w:numFmt w:val="upperLetter"/>
      <w:lvlText w:val="%1."/>
      <w:lvlJc w:val="left"/>
      <w:pPr>
        <w:tabs>
          <w:tab w:val="num" w:pos="360"/>
        </w:tabs>
        <w:ind w:left="360" w:hanging="360"/>
      </w:pPr>
      <w:rPr>
        <w:rFonts w:hint="default"/>
      </w:rPr>
    </w:lvl>
  </w:abstractNum>
  <w:abstractNum w:abstractNumId="724">
    <w:nsid w:val="796C73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5">
    <w:nsid w:val="79806B5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26">
    <w:nsid w:val="79C0147E"/>
    <w:multiLevelType w:val="multilevel"/>
    <w:tmpl w:val="AE2439C6"/>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27">
    <w:nsid w:val="79FD21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8">
    <w:nsid w:val="7ACA643D"/>
    <w:multiLevelType w:val="singleLevel"/>
    <w:tmpl w:val="0409000F"/>
    <w:lvl w:ilvl="0">
      <w:start w:val="1"/>
      <w:numFmt w:val="decimal"/>
      <w:lvlText w:val="%1."/>
      <w:lvlJc w:val="left"/>
      <w:pPr>
        <w:tabs>
          <w:tab w:val="num" w:pos="360"/>
        </w:tabs>
        <w:ind w:left="360" w:hanging="360"/>
      </w:pPr>
    </w:lvl>
  </w:abstractNum>
  <w:abstractNum w:abstractNumId="729">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30">
    <w:nsid w:val="7AEC04A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31">
    <w:nsid w:val="7AF56DF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32">
    <w:nsid w:val="7B507B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33">
    <w:nsid w:val="7B7F1B5B"/>
    <w:multiLevelType w:val="multilevel"/>
    <w:tmpl w:val="6410397C"/>
    <w:lvl w:ilvl="0">
      <w:start w:val="4"/>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4">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35">
    <w:nsid w:val="7B926D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36">
    <w:nsid w:val="7BB8022C"/>
    <w:multiLevelType w:val="hybridMultilevel"/>
    <w:tmpl w:val="04CA30F6"/>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37">
    <w:nsid w:val="7BD43BEC"/>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38">
    <w:nsid w:val="7BD84FCE"/>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39">
    <w:nsid w:val="7C093C75"/>
    <w:multiLevelType w:val="hybridMultilevel"/>
    <w:tmpl w:val="3C2CD91E"/>
    <w:lvl w:ilvl="0" w:tplc="DB98FAC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40">
    <w:nsid w:val="7C256924"/>
    <w:multiLevelType w:val="multilevel"/>
    <w:tmpl w:val="A4AE2C50"/>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1">
    <w:nsid w:val="7C4F2EF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42">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3">
    <w:nsid w:val="7CA771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44">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745">
    <w:nsid w:val="7D050DAA"/>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46">
    <w:nsid w:val="7D102E7B"/>
    <w:multiLevelType w:val="singleLevel"/>
    <w:tmpl w:val="DC00A458"/>
    <w:lvl w:ilvl="0">
      <w:start w:val="35"/>
      <w:numFmt w:val="decimal"/>
      <w:lvlText w:val="%1."/>
      <w:lvlJc w:val="left"/>
      <w:pPr>
        <w:tabs>
          <w:tab w:val="num" w:pos="-567"/>
        </w:tabs>
        <w:ind w:left="-567" w:hanging="693"/>
      </w:pPr>
      <w:rPr>
        <w:rFonts w:hint="default"/>
        <w:b/>
      </w:rPr>
    </w:lvl>
  </w:abstractNum>
  <w:abstractNum w:abstractNumId="747">
    <w:nsid w:val="7D4464A5"/>
    <w:multiLevelType w:val="multilevel"/>
    <w:tmpl w:val="AF640682"/>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8">
    <w:nsid w:val="7D8945BE"/>
    <w:multiLevelType w:val="singleLevel"/>
    <w:tmpl w:val="DB084D98"/>
    <w:lvl w:ilvl="0">
      <w:numFmt w:val="bullet"/>
      <w:lvlText w:val="-"/>
      <w:lvlJc w:val="left"/>
      <w:pPr>
        <w:tabs>
          <w:tab w:val="num" w:pos="1587"/>
        </w:tabs>
        <w:ind w:left="1587" w:hanging="360"/>
      </w:pPr>
      <w:rPr>
        <w:rFonts w:ascii="Times New Roman" w:hAnsi="Times New Roman" w:hint="default"/>
      </w:rPr>
    </w:lvl>
  </w:abstractNum>
  <w:abstractNum w:abstractNumId="749">
    <w:nsid w:val="7DBF6B58"/>
    <w:multiLevelType w:val="singleLevel"/>
    <w:tmpl w:val="0409000F"/>
    <w:lvl w:ilvl="0">
      <w:start w:val="1"/>
      <w:numFmt w:val="decimal"/>
      <w:lvlText w:val="%1."/>
      <w:lvlJc w:val="left"/>
      <w:pPr>
        <w:tabs>
          <w:tab w:val="num" w:pos="360"/>
        </w:tabs>
        <w:ind w:left="360" w:hanging="360"/>
      </w:pPr>
    </w:lvl>
  </w:abstractNum>
  <w:abstractNum w:abstractNumId="750">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1">
    <w:nsid w:val="7DCA787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52">
    <w:nsid w:val="7DD64FDF"/>
    <w:multiLevelType w:val="hybridMultilevel"/>
    <w:tmpl w:val="CCF8E370"/>
    <w:lvl w:ilvl="0" w:tplc="3068930A">
      <w:start w:val="1"/>
      <w:numFmt w:val="lowerLetter"/>
      <w:lvlRestart w:val="0"/>
      <w:lvlText w:val="(%1)"/>
      <w:lvlJc w:val="right"/>
      <w:pPr>
        <w:tabs>
          <w:tab w:val="num" w:pos="227"/>
        </w:tabs>
        <w:ind w:left="227" w:hanging="227"/>
      </w:pPr>
      <w:rPr>
        <w:rFonts w:ascii="Times New Roman" w:hAnsi="Times New Roman" w:hint="eastAsia"/>
        <w:b w:val="0"/>
        <w:i w:val="0"/>
        <w:sz w:val="24"/>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753">
    <w:nsid w:val="7DDA6D56"/>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54">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5">
    <w:nsid w:val="7DF321BC"/>
    <w:multiLevelType w:val="singleLevel"/>
    <w:tmpl w:val="D90067C2"/>
    <w:lvl w:ilvl="0">
      <w:start w:val="1"/>
      <w:numFmt w:val="bullet"/>
      <w:lvlText w:val=""/>
      <w:lvlJc w:val="left"/>
      <w:pPr>
        <w:tabs>
          <w:tab w:val="num" w:pos="360"/>
        </w:tabs>
        <w:ind w:left="360" w:hanging="360"/>
      </w:pPr>
      <w:rPr>
        <w:rFonts w:ascii="Symbol" w:hAnsi="Symbol" w:hint="default"/>
        <w:sz w:val="16"/>
      </w:rPr>
    </w:lvl>
  </w:abstractNum>
  <w:abstractNum w:abstractNumId="756">
    <w:nsid w:val="7DF74E3B"/>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57">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758">
    <w:nsid w:val="7EA010F5"/>
    <w:multiLevelType w:val="singleLevel"/>
    <w:tmpl w:val="0C60FCFC"/>
    <w:lvl w:ilvl="0">
      <w:start w:val="1"/>
      <w:numFmt w:val="lowerLetter"/>
      <w:lvlText w:val="%1)"/>
      <w:lvlJc w:val="left"/>
      <w:pPr>
        <w:tabs>
          <w:tab w:val="num" w:pos="720"/>
        </w:tabs>
        <w:ind w:left="720" w:hanging="360"/>
      </w:pPr>
      <w:rPr>
        <w:rFonts w:hint="default"/>
      </w:rPr>
    </w:lvl>
  </w:abstractNum>
  <w:abstractNum w:abstractNumId="759">
    <w:nsid w:val="7F204284"/>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60">
    <w:nsid w:val="7F5F357D"/>
    <w:multiLevelType w:val="singleLevel"/>
    <w:tmpl w:val="73282EB2"/>
    <w:lvl w:ilvl="0">
      <w:start w:val="1"/>
      <w:numFmt w:val="lowerLetter"/>
      <w:lvlText w:val="%1)"/>
      <w:lvlJc w:val="left"/>
      <w:pPr>
        <w:tabs>
          <w:tab w:val="num" w:pos="360"/>
        </w:tabs>
        <w:ind w:left="360" w:hanging="360"/>
      </w:pPr>
    </w:lvl>
  </w:abstractNum>
  <w:abstractNum w:abstractNumId="761">
    <w:nsid w:val="7FB33BD8"/>
    <w:multiLevelType w:val="singleLevel"/>
    <w:tmpl w:val="8D544538"/>
    <w:lvl w:ilvl="0">
      <w:start w:val="1"/>
      <w:numFmt w:val="bullet"/>
      <w:lvlText w:val=""/>
      <w:lvlJc w:val="left"/>
      <w:pPr>
        <w:tabs>
          <w:tab w:val="num" w:pos="360"/>
        </w:tabs>
        <w:ind w:left="360" w:hanging="360"/>
      </w:pPr>
      <w:rPr>
        <w:rFonts w:ascii="Wingdings" w:hAnsi="Wingdings" w:hint="default"/>
      </w:rPr>
    </w:lvl>
  </w:abstractNum>
  <w:abstractNum w:abstractNumId="762">
    <w:nsid w:val="7FDD0FC0"/>
    <w:multiLevelType w:val="singleLevel"/>
    <w:tmpl w:val="0408000F"/>
    <w:lvl w:ilvl="0">
      <w:start w:val="1"/>
      <w:numFmt w:val="decimal"/>
      <w:lvlText w:val="%1."/>
      <w:lvlJc w:val="left"/>
      <w:pPr>
        <w:tabs>
          <w:tab w:val="num" w:pos="360"/>
        </w:tabs>
        <w:ind w:left="360" w:hanging="360"/>
      </w:pPr>
    </w:lvl>
  </w:abstractNum>
  <w:num w:numId="1">
    <w:abstractNumId w:val="307"/>
  </w:num>
  <w:num w:numId="2">
    <w:abstractNumId w:val="483"/>
  </w:num>
  <w:num w:numId="3">
    <w:abstractNumId w:val="346"/>
  </w:num>
  <w:num w:numId="4">
    <w:abstractNumId w:val="304"/>
  </w:num>
  <w:num w:numId="5">
    <w:abstractNumId w:val="307"/>
  </w:num>
  <w:num w:numId="6">
    <w:abstractNumId w:val="483"/>
  </w:num>
  <w:num w:numId="7">
    <w:abstractNumId w:val="346"/>
  </w:num>
  <w:num w:numId="8">
    <w:abstractNumId w:val="304"/>
  </w:num>
  <w:num w:numId="9">
    <w:abstractNumId w:val="307"/>
  </w:num>
  <w:num w:numId="10">
    <w:abstractNumId w:val="483"/>
  </w:num>
  <w:num w:numId="11">
    <w:abstractNumId w:val="346"/>
  </w:num>
  <w:num w:numId="12">
    <w:abstractNumId w:val="304"/>
  </w:num>
  <w:num w:numId="13">
    <w:abstractNumId w:val="307"/>
  </w:num>
  <w:num w:numId="14">
    <w:abstractNumId w:val="483"/>
  </w:num>
  <w:num w:numId="15">
    <w:abstractNumId w:val="346"/>
  </w:num>
  <w:num w:numId="16">
    <w:abstractNumId w:val="483"/>
  </w:num>
  <w:num w:numId="17">
    <w:abstractNumId w:val="346"/>
  </w:num>
  <w:num w:numId="18">
    <w:abstractNumId w:val="61"/>
  </w:num>
  <w:num w:numId="19">
    <w:abstractNumId w:val="483"/>
  </w:num>
  <w:num w:numId="20">
    <w:abstractNumId w:val="346"/>
  </w:num>
  <w:num w:numId="21">
    <w:abstractNumId w:val="709"/>
  </w:num>
  <w:num w:numId="22">
    <w:abstractNumId w:val="215"/>
  </w:num>
  <w:num w:numId="23">
    <w:abstractNumId w:val="215"/>
  </w:num>
  <w:num w:numId="24">
    <w:abstractNumId w:val="483"/>
  </w:num>
  <w:num w:numId="25">
    <w:abstractNumId w:val="346"/>
  </w:num>
  <w:num w:numId="26">
    <w:abstractNumId w:val="547"/>
  </w:num>
  <w:num w:numId="27">
    <w:abstractNumId w:val="86"/>
  </w:num>
  <w:num w:numId="28">
    <w:abstractNumId w:val="84"/>
  </w:num>
  <w:num w:numId="29">
    <w:abstractNumId w:val="752"/>
  </w:num>
  <w:num w:numId="30">
    <w:abstractNumId w:val="713"/>
  </w:num>
  <w:num w:numId="31">
    <w:abstractNumId w:val="12"/>
  </w:num>
  <w:num w:numId="32">
    <w:abstractNumId w:val="442"/>
  </w:num>
  <w:num w:numId="33">
    <w:abstractNumId w:val="226"/>
  </w:num>
  <w:num w:numId="34">
    <w:abstractNumId w:val="92"/>
  </w:num>
  <w:num w:numId="35">
    <w:abstractNumId w:val="142"/>
  </w:num>
  <w:num w:numId="36">
    <w:abstractNumId w:val="673"/>
  </w:num>
  <w:num w:numId="37">
    <w:abstractNumId w:val="186"/>
  </w:num>
  <w:num w:numId="38">
    <w:abstractNumId w:val="696"/>
  </w:num>
  <w:num w:numId="39">
    <w:abstractNumId w:val="467"/>
  </w:num>
  <w:num w:numId="40">
    <w:abstractNumId w:val="488"/>
  </w:num>
  <w:num w:numId="41">
    <w:abstractNumId w:val="65"/>
  </w:num>
  <w:num w:numId="42">
    <w:abstractNumId w:val="754"/>
  </w:num>
  <w:num w:numId="43">
    <w:abstractNumId w:val="647"/>
  </w:num>
  <w:num w:numId="44">
    <w:abstractNumId w:val="614"/>
  </w:num>
  <w:num w:numId="45">
    <w:abstractNumId w:val="69"/>
  </w:num>
  <w:num w:numId="46">
    <w:abstractNumId w:val="482"/>
  </w:num>
  <w:num w:numId="47">
    <w:abstractNumId w:val="504"/>
  </w:num>
  <w:num w:numId="48">
    <w:abstractNumId w:val="729"/>
  </w:num>
  <w:num w:numId="49">
    <w:abstractNumId w:val="565"/>
  </w:num>
  <w:num w:numId="50">
    <w:abstractNumId w:val="561"/>
  </w:num>
  <w:num w:numId="51">
    <w:abstractNumId w:val="432"/>
  </w:num>
  <w:num w:numId="52">
    <w:abstractNumId w:val="105"/>
  </w:num>
  <w:num w:numId="53">
    <w:abstractNumId w:val="87"/>
  </w:num>
  <w:num w:numId="54">
    <w:abstractNumId w:val="757"/>
  </w:num>
  <w:num w:numId="55">
    <w:abstractNumId w:val="30"/>
  </w:num>
  <w:num w:numId="56">
    <w:abstractNumId w:val="157"/>
  </w:num>
  <w:num w:numId="57">
    <w:abstractNumId w:val="689"/>
  </w:num>
  <w:num w:numId="58">
    <w:abstractNumId w:val="245"/>
  </w:num>
  <w:num w:numId="59">
    <w:abstractNumId w:val="610"/>
  </w:num>
  <w:num w:numId="60">
    <w:abstractNumId w:val="601"/>
  </w:num>
  <w:num w:numId="61">
    <w:abstractNumId w:val="347"/>
  </w:num>
  <w:num w:numId="62">
    <w:abstractNumId w:val="526"/>
  </w:num>
  <w:num w:numId="63">
    <w:abstractNumId w:val="557"/>
  </w:num>
  <w:num w:numId="64">
    <w:abstractNumId w:val="674"/>
  </w:num>
  <w:num w:numId="65">
    <w:abstractNumId w:val="66"/>
  </w:num>
  <w:num w:numId="66">
    <w:abstractNumId w:val="330"/>
  </w:num>
  <w:num w:numId="67">
    <w:abstractNumId w:val="734"/>
  </w:num>
  <w:num w:numId="68">
    <w:abstractNumId w:val="555"/>
  </w:num>
  <w:num w:numId="69">
    <w:abstractNumId w:val="618"/>
  </w:num>
  <w:num w:numId="70">
    <w:abstractNumId w:val="225"/>
  </w:num>
  <w:num w:numId="71">
    <w:abstractNumId w:val="343"/>
  </w:num>
  <w:num w:numId="72">
    <w:abstractNumId w:val="113"/>
  </w:num>
  <w:num w:numId="73">
    <w:abstractNumId w:val="575"/>
  </w:num>
  <w:num w:numId="74">
    <w:abstractNumId w:val="539"/>
  </w:num>
  <w:num w:numId="75">
    <w:abstractNumId w:val="368"/>
  </w:num>
  <w:num w:numId="76">
    <w:abstractNumId w:val="151"/>
  </w:num>
  <w:num w:numId="77">
    <w:abstractNumId w:val="543"/>
  </w:num>
  <w:num w:numId="78">
    <w:abstractNumId w:val="111"/>
  </w:num>
  <w:num w:numId="79">
    <w:abstractNumId w:val="365"/>
  </w:num>
  <w:num w:numId="80">
    <w:abstractNumId w:val="460"/>
  </w:num>
  <w:num w:numId="81">
    <w:abstractNumId w:val="718"/>
  </w:num>
  <w:num w:numId="82">
    <w:abstractNumId w:val="489"/>
  </w:num>
  <w:num w:numId="83">
    <w:abstractNumId w:val="384"/>
  </w:num>
  <w:num w:numId="84">
    <w:abstractNumId w:val="313"/>
  </w:num>
  <w:num w:numId="85">
    <w:abstractNumId w:val="465"/>
  </w:num>
  <w:num w:numId="86">
    <w:abstractNumId w:val="199"/>
  </w:num>
  <w:num w:numId="87">
    <w:abstractNumId w:val="595"/>
  </w:num>
  <w:num w:numId="88">
    <w:abstractNumId w:val="594"/>
  </w:num>
  <w:num w:numId="89">
    <w:abstractNumId w:val="31"/>
  </w:num>
  <w:num w:numId="90">
    <w:abstractNumId w:val="476"/>
  </w:num>
  <w:num w:numId="91">
    <w:abstractNumId w:val="188"/>
  </w:num>
  <w:num w:numId="92">
    <w:abstractNumId w:val="444"/>
  </w:num>
  <w:num w:numId="93">
    <w:abstractNumId w:val="98"/>
  </w:num>
  <w:num w:numId="94">
    <w:abstractNumId w:val="563"/>
  </w:num>
  <w:num w:numId="95">
    <w:abstractNumId w:val="422"/>
  </w:num>
  <w:num w:numId="96">
    <w:abstractNumId w:val="684"/>
  </w:num>
  <w:num w:numId="97">
    <w:abstractNumId w:val="629"/>
  </w:num>
  <w:num w:numId="98">
    <w:abstractNumId w:val="214"/>
  </w:num>
  <w:num w:numId="99">
    <w:abstractNumId w:val="397"/>
  </w:num>
  <w:num w:numId="100">
    <w:abstractNumId w:val="421"/>
  </w:num>
  <w:num w:numId="101">
    <w:abstractNumId w:val="603"/>
  </w:num>
  <w:num w:numId="102">
    <w:abstractNumId w:val="34"/>
  </w:num>
  <w:num w:numId="103">
    <w:abstractNumId w:val="643"/>
  </w:num>
  <w:num w:numId="104">
    <w:abstractNumId w:val="296"/>
  </w:num>
  <w:num w:numId="105">
    <w:abstractNumId w:val="494"/>
  </w:num>
  <w:num w:numId="106">
    <w:abstractNumId w:val="162"/>
  </w:num>
  <w:num w:numId="107">
    <w:abstractNumId w:val="750"/>
  </w:num>
  <w:num w:numId="108">
    <w:abstractNumId w:val="708"/>
  </w:num>
  <w:num w:numId="109">
    <w:abstractNumId w:val="412"/>
  </w:num>
  <w:num w:numId="110">
    <w:abstractNumId w:val="742"/>
  </w:num>
  <w:num w:numId="111">
    <w:abstractNumId w:val="361"/>
  </w:num>
  <w:num w:numId="112">
    <w:abstractNumId w:val="559"/>
  </w:num>
  <w:num w:numId="113">
    <w:abstractNumId w:val="163"/>
  </w:num>
  <w:num w:numId="114">
    <w:abstractNumId w:val="374"/>
  </w:num>
  <w:num w:numId="115">
    <w:abstractNumId w:val="160"/>
  </w:num>
  <w:num w:numId="116">
    <w:abstractNumId w:val="292"/>
  </w:num>
  <w:num w:numId="117">
    <w:abstractNumId w:val="77"/>
  </w:num>
  <w:num w:numId="118">
    <w:abstractNumId w:val="690"/>
  </w:num>
  <w:num w:numId="119">
    <w:abstractNumId w:val="132"/>
  </w:num>
  <w:num w:numId="120">
    <w:abstractNumId w:val="536"/>
  </w:num>
  <w:num w:numId="121">
    <w:abstractNumId w:val="510"/>
  </w:num>
  <w:num w:numId="122">
    <w:abstractNumId w:val="556"/>
  </w:num>
  <w:num w:numId="123">
    <w:abstractNumId w:val="138"/>
  </w:num>
  <w:num w:numId="124">
    <w:abstractNumId w:val="320"/>
  </w:num>
  <w:num w:numId="125">
    <w:abstractNumId w:val="20"/>
  </w:num>
  <w:num w:numId="126">
    <w:abstractNumId w:val="216"/>
  </w:num>
  <w:num w:numId="127">
    <w:abstractNumId w:val="693"/>
  </w:num>
  <w:num w:numId="128">
    <w:abstractNumId w:val="616"/>
  </w:num>
  <w:num w:numId="129">
    <w:abstractNumId w:val="170"/>
  </w:num>
  <w:num w:numId="130">
    <w:abstractNumId w:val="458"/>
  </w:num>
  <w:num w:numId="131">
    <w:abstractNumId w:val="483"/>
  </w:num>
  <w:num w:numId="132">
    <w:abstractNumId w:val="650"/>
  </w:num>
  <w:num w:numId="133">
    <w:abstractNumId w:val="63"/>
  </w:num>
  <w:num w:numId="134">
    <w:abstractNumId w:val="483"/>
  </w:num>
  <w:num w:numId="135">
    <w:abstractNumId w:val="483"/>
  </w:num>
  <w:num w:numId="136">
    <w:abstractNumId w:val="483"/>
  </w:num>
  <w:num w:numId="137">
    <w:abstractNumId w:val="483"/>
  </w:num>
  <w:num w:numId="138">
    <w:abstractNumId w:val="483"/>
  </w:num>
  <w:num w:numId="139">
    <w:abstractNumId w:val="483"/>
  </w:num>
  <w:num w:numId="140">
    <w:abstractNumId w:val="483"/>
  </w:num>
  <w:num w:numId="141">
    <w:abstractNumId w:val="483"/>
  </w:num>
  <w:num w:numId="142">
    <w:abstractNumId w:val="483"/>
  </w:num>
  <w:num w:numId="143">
    <w:abstractNumId w:val="446"/>
  </w:num>
  <w:num w:numId="144">
    <w:abstractNumId w:val="52"/>
  </w:num>
  <w:num w:numId="145">
    <w:abstractNumId w:val="652"/>
  </w:num>
  <w:num w:numId="146">
    <w:abstractNumId w:val="483"/>
  </w:num>
  <w:num w:numId="147">
    <w:abstractNumId w:val="483"/>
  </w:num>
  <w:num w:numId="148">
    <w:abstractNumId w:val="483"/>
  </w:num>
  <w:num w:numId="149">
    <w:abstractNumId w:val="483"/>
  </w:num>
  <w:num w:numId="150">
    <w:abstractNumId w:val="483"/>
  </w:num>
  <w:num w:numId="151">
    <w:abstractNumId w:val="483"/>
  </w:num>
  <w:num w:numId="152">
    <w:abstractNumId w:val="483"/>
  </w:num>
  <w:num w:numId="153">
    <w:abstractNumId w:val="670"/>
  </w:num>
  <w:num w:numId="154">
    <w:abstractNumId w:val="131"/>
  </w:num>
  <w:num w:numId="155">
    <w:abstractNumId w:val="9"/>
  </w:num>
  <w:num w:numId="156">
    <w:abstractNumId w:val="744"/>
  </w:num>
  <w:num w:numId="157">
    <w:abstractNumId w:val="255"/>
  </w:num>
  <w:num w:numId="158">
    <w:abstractNumId w:val="60"/>
  </w:num>
  <w:num w:numId="159">
    <w:abstractNumId w:val="323"/>
  </w:num>
  <w:num w:numId="160">
    <w:abstractNumId w:val="382"/>
  </w:num>
  <w:num w:numId="161">
    <w:abstractNumId w:val="728"/>
  </w:num>
  <w:num w:numId="162">
    <w:abstractNumId w:val="473"/>
  </w:num>
  <w:num w:numId="163">
    <w:abstractNumId w:val="749"/>
  </w:num>
  <w:num w:numId="164">
    <w:abstractNumId w:val="434"/>
  </w:num>
  <w:num w:numId="165">
    <w:abstractNumId w:val="604"/>
  </w:num>
  <w:num w:numId="166">
    <w:abstractNumId w:val="363"/>
  </w:num>
  <w:num w:numId="167">
    <w:abstractNumId w:val="0"/>
  </w:num>
  <w:num w:numId="168">
    <w:abstractNumId w:val="89"/>
  </w:num>
  <w:num w:numId="169">
    <w:abstractNumId w:val="41"/>
  </w:num>
  <w:num w:numId="170">
    <w:abstractNumId w:val="585"/>
  </w:num>
  <w:num w:numId="171">
    <w:abstractNumId w:val="540"/>
  </w:num>
  <w:num w:numId="172">
    <w:abstractNumId w:val="509"/>
  </w:num>
  <w:num w:numId="173">
    <w:abstractNumId w:val="739"/>
  </w:num>
  <w:num w:numId="174">
    <w:abstractNumId w:val="33"/>
  </w:num>
  <w:num w:numId="175">
    <w:abstractNumId w:val="1"/>
  </w:num>
  <w:num w:numId="176">
    <w:abstractNumId w:val="286"/>
  </w:num>
  <w:num w:numId="177">
    <w:abstractNumId w:val="16"/>
  </w:num>
  <w:num w:numId="178">
    <w:abstractNumId w:val="143"/>
  </w:num>
  <w:num w:numId="179">
    <w:abstractNumId w:val="74"/>
  </w:num>
  <w:num w:numId="180">
    <w:abstractNumId w:val="407"/>
  </w:num>
  <w:num w:numId="181">
    <w:abstractNumId w:val="549"/>
  </w:num>
  <w:num w:numId="182">
    <w:abstractNumId w:val="2"/>
  </w:num>
  <w:num w:numId="183">
    <w:abstractNumId w:val="3"/>
  </w:num>
  <w:num w:numId="184">
    <w:abstractNumId w:val="8"/>
  </w:num>
  <w:num w:numId="185">
    <w:abstractNumId w:val="7"/>
  </w:num>
  <w:num w:numId="186">
    <w:abstractNumId w:val="6"/>
  </w:num>
  <w:num w:numId="187">
    <w:abstractNumId w:val="5"/>
  </w:num>
  <w:num w:numId="188">
    <w:abstractNumId w:val="4"/>
  </w:num>
  <w:num w:numId="189">
    <w:abstractNumId w:val="82"/>
  </w:num>
  <w:num w:numId="190">
    <w:abstractNumId w:val="126"/>
  </w:num>
  <w:num w:numId="191">
    <w:abstractNumId w:val="222"/>
  </w:num>
  <w:num w:numId="192">
    <w:abstractNumId w:val="586"/>
  </w:num>
  <w:num w:numId="193">
    <w:abstractNumId w:val="560"/>
  </w:num>
  <w:num w:numId="194">
    <w:abstractNumId w:val="150"/>
  </w:num>
  <w:num w:numId="195">
    <w:abstractNumId w:val="623"/>
  </w:num>
  <w:num w:numId="196">
    <w:abstractNumId w:val="345"/>
  </w:num>
  <w:num w:numId="197">
    <w:abstractNumId w:val="13"/>
  </w:num>
  <w:num w:numId="198">
    <w:abstractNumId w:val="76"/>
  </w:num>
  <w:num w:numId="199">
    <w:abstractNumId w:val="198"/>
  </w:num>
  <w:num w:numId="200">
    <w:abstractNumId w:val="49"/>
  </w:num>
  <w:num w:numId="201">
    <w:abstractNumId w:val="431"/>
  </w:num>
  <w:num w:numId="202">
    <w:abstractNumId w:val="736"/>
  </w:num>
  <w:num w:numId="203">
    <w:abstractNumId w:val="598"/>
  </w:num>
  <w:num w:numId="204">
    <w:abstractNumId w:val="686"/>
  </w:num>
  <w:num w:numId="205">
    <w:abstractNumId w:val="415"/>
  </w:num>
  <w:num w:numId="206">
    <w:abstractNumId w:val="257"/>
  </w:num>
  <w:num w:numId="207">
    <w:abstractNumId w:val="171"/>
  </w:num>
  <w:num w:numId="208">
    <w:abstractNumId w:val="484"/>
  </w:num>
  <w:num w:numId="209">
    <w:abstractNumId w:val="316"/>
  </w:num>
  <w:num w:numId="210">
    <w:abstractNumId w:val="344"/>
  </w:num>
  <w:num w:numId="211">
    <w:abstractNumId w:val="258"/>
  </w:num>
  <w:num w:numId="212">
    <w:abstractNumId w:val="760"/>
  </w:num>
  <w:num w:numId="213">
    <w:abstractNumId w:val="541"/>
  </w:num>
  <w:num w:numId="214">
    <w:abstractNumId w:val="213"/>
  </w:num>
  <w:num w:numId="215">
    <w:abstractNumId w:val="32"/>
  </w:num>
  <w:num w:numId="216">
    <w:abstractNumId w:val="348"/>
  </w:num>
  <w:num w:numId="217">
    <w:abstractNumId w:val="679"/>
  </w:num>
  <w:num w:numId="218">
    <w:abstractNumId w:val="355"/>
  </w:num>
  <w:num w:numId="219">
    <w:abstractNumId w:val="106"/>
  </w:num>
  <w:num w:numId="220">
    <w:abstractNumId w:val="277"/>
  </w:num>
  <w:num w:numId="221">
    <w:abstractNumId w:val="518"/>
  </w:num>
  <w:num w:numId="222">
    <w:abstractNumId w:val="676"/>
  </w:num>
  <w:num w:numId="223">
    <w:abstractNumId w:val="613"/>
  </w:num>
  <w:num w:numId="224">
    <w:abstractNumId w:val="683"/>
  </w:num>
  <w:num w:numId="225">
    <w:abstractNumId w:val="680"/>
  </w:num>
  <w:num w:numId="226">
    <w:abstractNumId w:val="246"/>
  </w:num>
  <w:num w:numId="227">
    <w:abstractNumId w:val="451"/>
  </w:num>
  <w:num w:numId="228">
    <w:abstractNumId w:val="665"/>
  </w:num>
  <w:num w:numId="229">
    <w:abstractNumId w:val="419"/>
  </w:num>
  <w:num w:numId="230">
    <w:abstractNumId w:val="433"/>
  </w:num>
  <w:num w:numId="231">
    <w:abstractNumId w:val="154"/>
  </w:num>
  <w:num w:numId="232">
    <w:abstractNumId w:val="260"/>
  </w:num>
  <w:num w:numId="233">
    <w:abstractNumId w:val="390"/>
  </w:num>
  <w:num w:numId="234">
    <w:abstractNumId w:val="424"/>
  </w:num>
  <w:num w:numId="235">
    <w:abstractNumId w:val="269"/>
  </w:num>
  <w:num w:numId="236">
    <w:abstractNumId w:val="90"/>
  </w:num>
  <w:num w:numId="237">
    <w:abstractNumId w:val="254"/>
  </w:num>
  <w:num w:numId="238">
    <w:abstractNumId w:val="59"/>
  </w:num>
  <w:num w:numId="239">
    <w:abstractNumId w:val="515"/>
  </w:num>
  <w:num w:numId="240">
    <w:abstractNumId w:val="635"/>
  </w:num>
  <w:num w:numId="241">
    <w:abstractNumId w:val="284"/>
  </w:num>
  <w:num w:numId="242">
    <w:abstractNumId w:val="534"/>
  </w:num>
  <w:num w:numId="243">
    <w:abstractNumId w:val="659"/>
  </w:num>
  <w:num w:numId="244">
    <w:abstractNumId w:val="638"/>
  </w:num>
  <w:num w:numId="245">
    <w:abstractNumId w:val="472"/>
  </w:num>
  <w:num w:numId="246">
    <w:abstractNumId w:val="121"/>
  </w:num>
  <w:num w:numId="247">
    <w:abstractNumId w:val="266"/>
  </w:num>
  <w:num w:numId="248">
    <w:abstractNumId w:val="204"/>
  </w:num>
  <w:num w:numId="249">
    <w:abstractNumId w:val="399"/>
  </w:num>
  <w:num w:numId="250">
    <w:abstractNumId w:val="227"/>
  </w:num>
  <w:num w:numId="251">
    <w:abstractNumId w:val="535"/>
  </w:num>
  <w:num w:numId="252">
    <w:abstractNumId w:val="288"/>
  </w:num>
  <w:num w:numId="253">
    <w:abstractNumId w:val="395"/>
  </w:num>
  <w:num w:numId="254">
    <w:abstractNumId w:val="128"/>
  </w:num>
  <w:num w:numId="255">
    <w:abstractNumId w:val="328"/>
  </w:num>
  <w:num w:numId="256">
    <w:abstractNumId w:val="308"/>
  </w:num>
  <w:num w:numId="257">
    <w:abstractNumId w:val="657"/>
  </w:num>
  <w:num w:numId="258">
    <w:abstractNumId w:val="357"/>
  </w:num>
  <w:num w:numId="259">
    <w:abstractNumId w:val="596"/>
  </w:num>
  <w:num w:numId="260">
    <w:abstractNumId w:val="287"/>
  </w:num>
  <w:num w:numId="261">
    <w:abstractNumId w:val="617"/>
  </w:num>
  <w:num w:numId="262">
    <w:abstractNumId w:val="662"/>
  </w:num>
  <w:num w:numId="263">
    <w:abstractNumId w:val="408"/>
  </w:num>
  <w:num w:numId="264">
    <w:abstractNumId w:val="464"/>
  </w:num>
  <w:num w:numId="265">
    <w:abstractNumId w:val="755"/>
  </w:num>
  <w:num w:numId="266">
    <w:abstractNumId w:val="590"/>
  </w:num>
  <w:num w:numId="267">
    <w:abstractNumId w:val="119"/>
  </w:num>
  <w:num w:numId="268">
    <w:abstractNumId w:val="478"/>
  </w:num>
  <w:num w:numId="269">
    <w:abstractNumId w:val="580"/>
  </w:num>
  <w:num w:numId="270">
    <w:abstractNumId w:val="697"/>
  </w:num>
  <w:num w:numId="271">
    <w:abstractNumId w:val="95"/>
  </w:num>
  <w:num w:numId="272">
    <w:abstractNumId w:val="205"/>
  </w:num>
  <w:num w:numId="273">
    <w:abstractNumId w:val="256"/>
  </w:num>
  <w:num w:numId="274">
    <w:abstractNumId w:val="528"/>
  </w:num>
  <w:num w:numId="275">
    <w:abstractNumId w:val="88"/>
  </w:num>
  <w:num w:numId="276">
    <w:abstractNumId w:val="28"/>
  </w:num>
  <w:num w:numId="277">
    <w:abstractNumId w:val="513"/>
  </w:num>
  <w:num w:numId="278">
    <w:abstractNumId w:val="181"/>
  </w:num>
  <w:num w:numId="279">
    <w:abstractNumId w:val="29"/>
  </w:num>
  <w:num w:numId="280">
    <w:abstractNumId w:val="297"/>
  </w:num>
  <w:num w:numId="281">
    <w:abstractNumId w:val="521"/>
  </w:num>
  <w:num w:numId="282">
    <w:abstractNumId w:val="324"/>
  </w:num>
  <w:num w:numId="283">
    <w:abstractNumId w:val="653"/>
  </w:num>
  <w:num w:numId="284">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85">
    <w:abstractNumId w:val="655"/>
  </w:num>
  <w:num w:numId="286">
    <w:abstractNumId w:val="351"/>
  </w:num>
  <w:num w:numId="287">
    <w:abstractNumId w:val="73"/>
  </w:num>
  <w:num w:numId="288">
    <w:abstractNumId w:val="380"/>
  </w:num>
  <w:num w:numId="289">
    <w:abstractNumId w:val="137"/>
  </w:num>
  <w:num w:numId="290">
    <w:abstractNumId w:val="217"/>
  </w:num>
  <w:num w:numId="291">
    <w:abstractNumId w:val="615"/>
  </w:num>
  <w:num w:numId="292">
    <w:abstractNumId w:val="606"/>
  </w:num>
  <w:num w:numId="293">
    <w:abstractNumId w:val="487"/>
  </w:num>
  <w:num w:numId="294">
    <w:abstractNumId w:val="212"/>
  </w:num>
  <w:num w:numId="295">
    <w:abstractNumId w:val="723"/>
  </w:num>
  <w:num w:numId="296">
    <w:abstractNumId w:val="403"/>
  </w:num>
  <w:num w:numId="297">
    <w:abstractNumId w:val="463"/>
  </w:num>
  <w:num w:numId="298">
    <w:abstractNumId w:val="758"/>
  </w:num>
  <w:num w:numId="299">
    <w:abstractNumId w:val="359"/>
  </w:num>
  <w:num w:numId="300">
    <w:abstractNumId w:val="429"/>
  </w:num>
  <w:num w:numId="301">
    <w:abstractNumId w:val="301"/>
  </w:num>
  <w:num w:numId="302">
    <w:abstractNumId w:val="762"/>
  </w:num>
  <w:num w:numId="303">
    <w:abstractNumId w:val="364"/>
  </w:num>
  <w:num w:numId="304">
    <w:abstractNumId w:val="64"/>
  </w:num>
  <w:num w:numId="305">
    <w:abstractNumId w:val="207"/>
  </w:num>
  <w:num w:numId="306">
    <w:abstractNumId w:val="414"/>
  </w:num>
  <w:num w:numId="307">
    <w:abstractNumId w:val="56"/>
  </w:num>
  <w:num w:numId="308">
    <w:abstractNumId w:val="289"/>
  </w:num>
  <w:num w:numId="309">
    <w:abstractNumId w:val="310"/>
  </w:num>
  <w:num w:numId="310">
    <w:abstractNumId w:val="68"/>
  </w:num>
  <w:num w:numId="311">
    <w:abstractNumId w:val="703"/>
  </w:num>
  <w:num w:numId="312">
    <w:abstractNumId w:val="495"/>
  </w:num>
  <w:num w:numId="313">
    <w:abstractNumId w:val="519"/>
  </w:num>
  <w:num w:numId="314">
    <w:abstractNumId w:val="379"/>
  </w:num>
  <w:num w:numId="315">
    <w:abstractNumId w:val="35"/>
  </w:num>
  <w:num w:numId="316">
    <w:abstractNumId w:val="109"/>
  </w:num>
  <w:num w:numId="317">
    <w:abstractNumId w:val="591"/>
  </w:num>
  <w:num w:numId="318">
    <w:abstractNumId w:val="507"/>
  </w:num>
  <w:num w:numId="319">
    <w:abstractNumId w:val="290"/>
  </w:num>
  <w:num w:numId="320">
    <w:abstractNumId w:val="503"/>
  </w:num>
  <w:num w:numId="321">
    <w:abstractNumId w:val="285"/>
  </w:num>
  <w:num w:numId="322">
    <w:abstractNumId w:val="196"/>
  </w:num>
  <w:num w:numId="323">
    <w:abstractNumId w:val="275"/>
  </w:num>
  <w:num w:numId="324">
    <w:abstractNumId w:val="231"/>
  </w:num>
  <w:num w:numId="325">
    <w:abstractNumId w:val="716"/>
  </w:num>
  <w:num w:numId="326">
    <w:abstractNumId w:val="125"/>
  </w:num>
  <w:num w:numId="327">
    <w:abstractNumId w:val="268"/>
  </w:num>
  <w:num w:numId="328">
    <w:abstractNumId w:val="552"/>
  </w:num>
  <w:num w:numId="329">
    <w:abstractNumId w:val="733"/>
  </w:num>
  <w:num w:numId="330">
    <w:abstractNumId w:val="530"/>
  </w:num>
  <w:num w:numId="331">
    <w:abstractNumId w:val="721"/>
  </w:num>
  <w:num w:numId="332">
    <w:abstractNumId w:val="115"/>
  </w:num>
  <w:num w:numId="333">
    <w:abstractNumId w:val="740"/>
  </w:num>
  <w:num w:numId="334">
    <w:abstractNumId w:val="402"/>
  </w:num>
  <w:num w:numId="335">
    <w:abstractNumId w:val="325"/>
  </w:num>
  <w:num w:numId="336">
    <w:abstractNumId w:val="388"/>
  </w:num>
  <w:num w:numId="337">
    <w:abstractNumId w:val="622"/>
  </w:num>
  <w:num w:numId="338">
    <w:abstractNumId w:val="747"/>
  </w:num>
  <w:num w:numId="339">
    <w:abstractNumId w:val="646"/>
  </w:num>
  <w:num w:numId="340">
    <w:abstractNumId w:val="241"/>
  </w:num>
  <w:num w:numId="341">
    <w:abstractNumId w:val="644"/>
  </w:num>
  <w:num w:numId="342">
    <w:abstractNumId w:val="252"/>
  </w:num>
  <w:num w:numId="343">
    <w:abstractNumId w:val="54"/>
  </w:num>
  <w:num w:numId="344">
    <w:abstractNumId w:val="726"/>
  </w:num>
  <w:num w:numId="345">
    <w:abstractNumId w:val="564"/>
  </w:num>
  <w:num w:numId="346">
    <w:abstractNumId w:val="93"/>
  </w:num>
  <w:num w:numId="347">
    <w:abstractNumId w:val="525"/>
  </w:num>
  <w:num w:numId="348">
    <w:abstractNumId w:val="140"/>
  </w:num>
  <w:num w:numId="349">
    <w:abstractNumId w:val="413"/>
  </w:num>
  <w:num w:numId="350">
    <w:abstractNumId w:val="130"/>
  </w:num>
  <w:num w:numId="351">
    <w:abstractNumId w:val="337"/>
  </w:num>
  <w:num w:numId="352">
    <w:abstractNumId w:val="146"/>
  </w:num>
  <w:num w:numId="353">
    <w:abstractNumId w:val="695"/>
  </w:num>
  <w:num w:numId="354">
    <w:abstractNumId w:val="715"/>
  </w:num>
  <w:num w:numId="355">
    <w:abstractNumId w:val="274"/>
  </w:num>
  <w:num w:numId="356">
    <w:abstractNumId w:val="81"/>
  </w:num>
  <w:num w:numId="357">
    <w:abstractNumId w:val="630"/>
  </w:num>
  <w:num w:numId="358">
    <w:abstractNumId w:val="135"/>
  </w:num>
  <w:num w:numId="359">
    <w:abstractNumId w:val="386"/>
  </w:num>
  <w:num w:numId="360">
    <w:abstractNumId w:val="83"/>
  </w:num>
  <w:num w:numId="361">
    <w:abstractNumId w:val="660"/>
  </w:num>
  <w:num w:numId="362">
    <w:abstractNumId w:val="156"/>
  </w:num>
  <w:num w:numId="363">
    <w:abstractNumId w:val="619"/>
  </w:num>
  <w:num w:numId="364">
    <w:abstractNumId w:val="299"/>
  </w:num>
  <w:num w:numId="365">
    <w:abstractNumId w:val="498"/>
  </w:num>
  <w:num w:numId="366">
    <w:abstractNumId w:val="645"/>
  </w:num>
  <w:num w:numId="367">
    <w:abstractNumId w:val="329"/>
  </w:num>
  <w:num w:numId="368">
    <w:abstractNumId w:val="725"/>
  </w:num>
  <w:num w:numId="369">
    <w:abstractNumId w:val="505"/>
  </w:num>
  <w:num w:numId="370">
    <w:abstractNumId w:val="600"/>
  </w:num>
  <w:num w:numId="371">
    <w:abstractNumId w:val="531"/>
  </w:num>
  <w:num w:numId="372">
    <w:abstractNumId w:val="573"/>
  </w:num>
  <w:num w:numId="373">
    <w:abstractNumId w:val="400"/>
  </w:num>
  <w:num w:numId="374">
    <w:abstractNumId w:val="569"/>
  </w:num>
  <w:num w:numId="375">
    <w:abstractNumId w:val="656"/>
  </w:num>
  <w:num w:numId="376">
    <w:abstractNumId w:val="558"/>
  </w:num>
  <w:num w:numId="377">
    <w:abstractNumId w:val="581"/>
  </w:num>
  <w:num w:numId="378">
    <w:abstractNumId w:val="22"/>
  </w:num>
  <w:num w:numId="379">
    <w:abstractNumId w:val="349"/>
  </w:num>
  <w:num w:numId="380">
    <w:abstractNumId w:val="51"/>
  </w:num>
  <w:num w:numId="381">
    <w:abstractNumId w:val="712"/>
  </w:num>
  <w:num w:numId="382">
    <w:abstractNumId w:val="493"/>
  </w:num>
  <w:num w:numId="383">
    <w:abstractNumId w:val="116"/>
  </w:num>
  <w:num w:numId="384">
    <w:abstractNumId w:val="605"/>
  </w:num>
  <w:num w:numId="385">
    <w:abstractNumId w:val="700"/>
  </w:num>
  <w:num w:numId="386">
    <w:abstractNumId w:val="300"/>
  </w:num>
  <w:num w:numId="387">
    <w:abstractNumId w:val="624"/>
  </w:num>
  <w:num w:numId="388">
    <w:abstractNumId w:val="79"/>
  </w:num>
  <w:num w:numId="389">
    <w:abstractNumId w:val="681"/>
  </w:num>
  <w:num w:numId="390">
    <w:abstractNumId w:val="234"/>
  </w:num>
  <w:num w:numId="391">
    <w:abstractNumId w:val="649"/>
  </w:num>
  <w:num w:numId="392">
    <w:abstractNumId w:val="626"/>
  </w:num>
  <w:num w:numId="393">
    <w:abstractNumId w:val="501"/>
  </w:num>
  <w:num w:numId="394">
    <w:abstractNumId w:val="454"/>
  </w:num>
  <w:num w:numId="395">
    <w:abstractNumId w:val="129"/>
  </w:num>
  <w:num w:numId="396">
    <w:abstractNumId w:val="27"/>
  </w:num>
  <w:num w:numId="397">
    <w:abstractNumId w:val="362"/>
  </w:num>
  <w:num w:numId="398">
    <w:abstractNumId w:val="426"/>
  </w:num>
  <w:num w:numId="399">
    <w:abstractNumId w:val="149"/>
  </w:num>
  <w:num w:numId="400">
    <w:abstractNumId w:val="62"/>
  </w:num>
  <w:num w:numId="401">
    <w:abstractNumId w:val="457"/>
  </w:num>
  <w:num w:numId="402">
    <w:abstractNumId w:val="627"/>
  </w:num>
  <w:num w:numId="403">
    <w:abstractNumId w:val="354"/>
  </w:num>
  <w:num w:numId="404">
    <w:abstractNumId w:val="737"/>
  </w:num>
  <w:num w:numId="405">
    <w:abstractNumId w:val="190"/>
  </w:num>
  <w:num w:numId="406">
    <w:abstractNumId w:val="366"/>
  </w:num>
  <w:num w:numId="407">
    <w:abstractNumId w:val="642"/>
  </w:num>
  <w:num w:numId="408">
    <w:abstractNumId w:val="367"/>
  </w:num>
  <w:num w:numId="409">
    <w:abstractNumId w:val="438"/>
  </w:num>
  <w:num w:numId="410">
    <w:abstractNumId w:val="169"/>
  </w:num>
  <w:num w:numId="411">
    <w:abstractNumId w:val="459"/>
  </w:num>
  <w:num w:numId="412">
    <w:abstractNumId w:val="477"/>
  </w:num>
  <w:num w:numId="413">
    <w:abstractNumId w:val="389"/>
  </w:num>
  <w:num w:numId="414">
    <w:abstractNumId w:val="80"/>
  </w:num>
  <w:num w:numId="415">
    <w:abstractNumId w:val="411"/>
  </w:num>
  <w:num w:numId="416">
    <w:abstractNumId w:val="67"/>
  </w:num>
  <w:num w:numId="417">
    <w:abstractNumId w:val="174"/>
  </w:num>
  <w:num w:numId="418">
    <w:abstractNumId w:val="461"/>
  </w:num>
  <w:num w:numId="419">
    <w:abstractNumId w:val="479"/>
  </w:num>
  <w:num w:numId="420">
    <w:abstractNumId w:val="375"/>
  </w:num>
  <w:num w:numId="421">
    <w:abstractNumId w:val="658"/>
  </w:num>
  <w:num w:numId="422">
    <w:abstractNumId w:val="318"/>
  </w:num>
  <w:num w:numId="423">
    <w:abstractNumId w:val="542"/>
  </w:num>
  <w:num w:numId="424">
    <w:abstractNumId w:val="133"/>
  </w:num>
  <w:num w:numId="425">
    <w:abstractNumId w:val="533"/>
  </w:num>
  <w:num w:numId="426">
    <w:abstractNumId w:val="746"/>
  </w:num>
  <w:num w:numId="427">
    <w:abstractNumId w:val="173"/>
  </w:num>
  <w:num w:numId="428">
    <w:abstractNumId w:val="249"/>
  </w:num>
  <w:num w:numId="429">
    <w:abstractNumId w:val="309"/>
  </w:num>
  <w:num w:numId="430">
    <w:abstractNumId w:val="486"/>
  </w:num>
  <w:num w:numId="431">
    <w:abstractNumId w:val="480"/>
  </w:num>
  <w:num w:numId="432">
    <w:abstractNumId w:val="445"/>
  </w:num>
  <w:num w:numId="433">
    <w:abstractNumId w:val="165"/>
  </w:num>
  <w:num w:numId="434">
    <w:abstractNumId w:val="669"/>
  </w:num>
  <w:num w:numId="435">
    <w:abstractNumId w:val="452"/>
  </w:num>
  <w:num w:numId="436">
    <w:abstractNumId w:val="182"/>
  </w:num>
  <w:num w:numId="437">
    <w:abstractNumId w:val="294"/>
  </w:num>
  <w:num w:numId="438">
    <w:abstractNumId w:val="259"/>
  </w:num>
  <w:num w:numId="439">
    <w:abstractNumId w:val="631"/>
  </w:num>
  <w:num w:numId="440">
    <w:abstractNumId w:val="506"/>
  </w:num>
  <w:num w:numId="441">
    <w:abstractNumId w:val="282"/>
  </w:num>
  <w:num w:numId="442">
    <w:abstractNumId w:val="103"/>
  </w:num>
  <w:num w:numId="443">
    <w:abstractNumId w:val="353"/>
  </w:num>
  <w:num w:numId="444">
    <w:abstractNumId w:val="730"/>
  </w:num>
  <w:num w:numId="445">
    <w:abstractNumId w:val="42"/>
  </w:num>
  <w:num w:numId="446">
    <w:abstractNumId w:val="511"/>
  </w:num>
  <w:num w:numId="447">
    <w:abstractNumId w:val="587"/>
  </w:num>
  <w:num w:numId="448">
    <w:abstractNumId w:val="420"/>
  </w:num>
  <w:num w:numId="449">
    <w:abstractNumId w:val="315"/>
  </w:num>
  <w:num w:numId="450">
    <w:abstractNumId w:val="58"/>
  </w:num>
  <w:num w:numId="451">
    <w:abstractNumId w:val="714"/>
  </w:num>
  <w:num w:numId="452">
    <w:abstractNumId w:val="607"/>
  </w:num>
  <w:num w:numId="453">
    <w:abstractNumId w:val="634"/>
  </w:num>
  <w:num w:numId="454">
    <w:abstractNumId w:val="306"/>
  </w:num>
  <w:num w:numId="455">
    <w:abstractNumId w:val="759"/>
  </w:num>
  <w:num w:numId="456">
    <w:abstractNumId w:val="25"/>
  </w:num>
  <w:num w:numId="457">
    <w:abstractNumId w:val="447"/>
  </w:num>
  <w:num w:numId="458">
    <w:abstractNumId w:val="136"/>
  </w:num>
  <w:num w:numId="459">
    <w:abstractNumId w:val="685"/>
  </w:num>
  <w:num w:numId="460">
    <w:abstractNumId w:val="404"/>
  </w:num>
  <w:num w:numId="461">
    <w:abstractNumId w:val="235"/>
  </w:num>
  <w:num w:numId="462">
    <w:abstractNumId w:val="187"/>
  </w:num>
  <w:num w:numId="463">
    <w:abstractNumId w:val="37"/>
  </w:num>
  <w:num w:numId="464">
    <w:abstractNumId w:val="711"/>
  </w:num>
  <w:num w:numId="465">
    <w:abstractNumId w:val="672"/>
  </w:num>
  <w:num w:numId="466">
    <w:abstractNumId w:val="720"/>
  </w:num>
  <w:num w:numId="467">
    <w:abstractNumId w:val="39"/>
  </w:num>
  <w:num w:numId="468">
    <w:abstractNumId w:val="648"/>
  </w:num>
  <w:num w:numId="469">
    <w:abstractNumId w:val="523"/>
  </w:num>
  <w:num w:numId="470">
    <w:abstractNumId w:val="248"/>
  </w:num>
  <w:num w:numId="471">
    <w:abstractNumId w:val="636"/>
  </w:num>
  <w:num w:numId="472">
    <w:abstractNumId w:val="261"/>
  </w:num>
  <w:num w:numId="473">
    <w:abstractNumId w:val="331"/>
  </w:num>
  <w:num w:numId="474">
    <w:abstractNumId w:val="455"/>
  </w:num>
  <w:num w:numId="475">
    <w:abstractNumId w:val="104"/>
  </w:num>
  <w:num w:numId="476">
    <w:abstractNumId w:val="327"/>
  </w:num>
  <w:num w:numId="477">
    <w:abstractNumId w:val="264"/>
  </w:num>
  <w:num w:numId="478">
    <w:abstractNumId w:val="529"/>
  </w:num>
  <w:num w:numId="479">
    <w:abstractNumId w:val="578"/>
  </w:num>
  <w:num w:numId="480">
    <w:abstractNumId w:val="168"/>
  </w:num>
  <w:num w:numId="481">
    <w:abstractNumId w:val="192"/>
  </w:num>
  <w:num w:numId="482">
    <w:abstractNumId w:val="537"/>
  </w:num>
  <w:num w:numId="483">
    <w:abstractNumId w:val="698"/>
  </w:num>
  <w:num w:numId="484">
    <w:abstractNumId w:val="24"/>
  </w:num>
  <w:num w:numId="485">
    <w:abstractNumId w:val="508"/>
  </w:num>
  <w:num w:numId="486">
    <w:abstractNumId w:val="694"/>
  </w:num>
  <w:num w:numId="487">
    <w:abstractNumId w:val="360"/>
  </w:num>
  <w:num w:numId="488">
    <w:abstractNumId w:val="208"/>
  </w:num>
  <w:num w:numId="489">
    <w:abstractNumId w:val="11"/>
  </w:num>
  <w:num w:numId="490">
    <w:abstractNumId w:val="72"/>
  </w:num>
  <w:num w:numId="491">
    <w:abstractNumId w:val="159"/>
  </w:num>
  <w:num w:numId="492">
    <w:abstractNumId w:val="224"/>
  </w:num>
  <w:num w:numId="493">
    <w:abstractNumId w:val="43"/>
  </w:num>
  <w:num w:numId="494">
    <w:abstractNumId w:val="197"/>
  </w:num>
  <w:num w:numId="495">
    <w:abstractNumId w:val="682"/>
  </w:num>
  <w:num w:numId="496">
    <w:abstractNumId w:val="114"/>
  </w:num>
  <w:num w:numId="497">
    <w:abstractNumId w:val="107"/>
  </w:num>
  <w:num w:numId="498">
    <w:abstractNumId w:val="383"/>
  </w:num>
  <w:num w:numId="499">
    <w:abstractNumId w:val="456"/>
  </w:num>
  <w:num w:numId="500">
    <w:abstractNumId w:val="567"/>
  </w:num>
  <w:num w:numId="501">
    <w:abstractNumId w:val="544"/>
  </w:num>
  <w:num w:numId="502">
    <w:abstractNumId w:val="71"/>
  </w:num>
  <w:num w:numId="503">
    <w:abstractNumId w:val="394"/>
  </w:num>
  <w:num w:numId="504">
    <w:abstractNumId w:val="401"/>
  </w:num>
  <w:num w:numId="505">
    <w:abstractNumId w:val="14"/>
  </w:num>
  <w:num w:numId="506">
    <w:abstractNumId w:val="377"/>
  </w:num>
  <w:num w:numId="507">
    <w:abstractNumId w:val="441"/>
  </w:num>
  <w:num w:numId="508">
    <w:abstractNumId w:val="78"/>
  </w:num>
  <w:num w:numId="509">
    <w:abstractNumId w:val="311"/>
  </w:num>
  <w:num w:numId="510">
    <w:abstractNumId w:val="15"/>
  </w:num>
  <w:num w:numId="511">
    <w:abstractNumId w:val="166"/>
  </w:num>
  <w:num w:numId="512">
    <w:abstractNumId w:val="211"/>
  </w:num>
  <w:num w:numId="513">
    <w:abstractNumId w:val="206"/>
  </w:num>
  <w:num w:numId="514">
    <w:abstractNumId w:val="492"/>
  </w:num>
  <w:num w:numId="515">
    <w:abstractNumId w:val="609"/>
  </w:num>
  <w:num w:numId="516">
    <w:abstractNumId w:val="371"/>
  </w:num>
  <w:num w:numId="517">
    <w:abstractNumId w:val="48"/>
  </w:num>
  <w:num w:numId="518">
    <w:abstractNumId w:val="677"/>
  </w:num>
  <w:num w:numId="519">
    <w:abstractNumId w:val="727"/>
  </w:num>
  <w:num w:numId="520">
    <w:abstractNumId w:val="201"/>
  </w:num>
  <w:num w:numId="521">
    <w:abstractNumId w:val="545"/>
  </w:num>
  <w:num w:numId="522">
    <w:abstractNumId w:val="554"/>
  </w:num>
  <w:num w:numId="523">
    <w:abstractNumId w:val="396"/>
  </w:num>
  <w:num w:numId="524">
    <w:abstractNumId w:val="263"/>
  </w:num>
  <w:num w:numId="525">
    <w:abstractNumId w:val="572"/>
  </w:num>
  <w:num w:numId="526">
    <w:abstractNumId w:val="671"/>
  </w:num>
  <w:num w:numId="527">
    <w:abstractNumId w:val="516"/>
  </w:num>
  <w:num w:numId="528">
    <w:abstractNumId w:val="436"/>
  </w:num>
  <w:num w:numId="529">
    <w:abstractNumId w:val="47"/>
  </w:num>
  <w:num w:numId="530">
    <w:abstractNumId w:val="145"/>
  </w:num>
  <w:num w:numId="531">
    <w:abstractNumId w:val="568"/>
  </w:num>
  <w:num w:numId="532">
    <w:abstractNumId w:val="430"/>
  </w:num>
  <w:num w:numId="533">
    <w:abstractNumId w:val="283"/>
  </w:num>
  <w:num w:numId="534">
    <w:abstractNumId w:val="55"/>
  </w:num>
  <w:num w:numId="535">
    <w:abstractNumId w:val="45"/>
  </w:num>
  <w:num w:numId="536">
    <w:abstractNumId w:val="153"/>
  </w:num>
  <w:num w:numId="537">
    <w:abstractNumId w:val="751"/>
  </w:num>
  <w:num w:numId="538">
    <w:abstractNumId w:val="576"/>
  </w:num>
  <w:num w:numId="539">
    <w:abstractNumId w:val="273"/>
  </w:num>
  <w:num w:numId="540">
    <w:abstractNumId w:val="53"/>
  </w:num>
  <w:num w:numId="541">
    <w:abstractNumId w:val="97"/>
  </w:num>
  <w:num w:numId="542">
    <w:abstractNumId w:val="410"/>
  </w:num>
  <w:num w:numId="543">
    <w:abstractNumId w:val="732"/>
  </w:num>
  <w:num w:numId="544">
    <w:abstractNumId w:val="117"/>
  </w:num>
  <w:num w:numId="545">
    <w:abstractNumId w:val="194"/>
  </w:num>
  <w:num w:numId="546">
    <w:abstractNumId w:val="502"/>
  </w:num>
  <w:num w:numId="547">
    <w:abstractNumId w:val="731"/>
  </w:num>
  <w:num w:numId="548">
    <w:abstractNumId w:val="416"/>
  </w:num>
  <w:num w:numId="549">
    <w:abstractNumId w:val="688"/>
  </w:num>
  <w:num w:numId="550">
    <w:abstractNumId w:val="497"/>
  </w:num>
  <w:num w:numId="551">
    <w:abstractNumId w:val="244"/>
  </w:num>
  <w:num w:numId="552">
    <w:abstractNumId w:val="707"/>
  </w:num>
  <w:num w:numId="553">
    <w:abstractNumId w:val="295"/>
  </w:num>
  <w:num w:numId="554">
    <w:abstractNumId w:val="579"/>
  </w:num>
  <w:num w:numId="555">
    <w:abstractNumId w:val="632"/>
  </w:num>
  <w:num w:numId="556">
    <w:abstractNumId w:val="435"/>
  </w:num>
  <w:num w:numId="557">
    <w:abstractNumId w:val="112"/>
  </w:num>
  <w:num w:numId="558">
    <w:abstractNumId w:val="176"/>
  </w:num>
  <w:num w:numId="559">
    <w:abstractNumId w:val="276"/>
  </w:num>
  <w:num w:numId="560">
    <w:abstractNumId w:val="238"/>
  </w:num>
  <w:num w:numId="561">
    <w:abstractNumId w:val="185"/>
  </w:num>
  <w:num w:numId="562">
    <w:abstractNumId w:val="582"/>
  </w:num>
  <w:num w:numId="563">
    <w:abstractNumId w:val="678"/>
  </w:num>
  <w:num w:numId="564">
    <w:abstractNumId w:val="75"/>
  </w:num>
  <w:num w:numId="565">
    <w:abstractNumId w:val="735"/>
  </w:num>
  <w:num w:numId="566">
    <w:abstractNumId w:val="175"/>
  </w:num>
  <w:num w:numId="567">
    <w:abstractNumId w:val="38"/>
  </w:num>
  <w:num w:numId="568">
    <w:abstractNumId w:val="741"/>
  </w:num>
  <w:num w:numId="569">
    <w:abstractNumId w:val="546"/>
  </w:num>
  <w:num w:numId="570">
    <w:abstractNumId w:val="267"/>
  </w:num>
  <w:num w:numId="571">
    <w:abstractNumId w:val="724"/>
  </w:num>
  <w:num w:numId="572">
    <w:abstractNumId w:val="193"/>
  </w:num>
  <w:num w:numId="573">
    <w:abstractNumId w:val="440"/>
  </w:num>
  <w:num w:numId="574">
    <w:abstractNumId w:val="298"/>
  </w:num>
  <w:num w:numId="575">
    <w:abstractNumId w:val="471"/>
  </w:num>
  <w:num w:numId="576">
    <w:abstractNumId w:val="706"/>
  </w:num>
  <w:num w:numId="577">
    <w:abstractNumId w:val="233"/>
  </w:num>
  <w:num w:numId="578">
    <w:abstractNumId w:val="417"/>
  </w:num>
  <w:num w:numId="579">
    <w:abstractNumId w:val="164"/>
  </w:num>
  <w:num w:numId="580">
    <w:abstractNumId w:val="691"/>
  </w:num>
  <w:num w:numId="581">
    <w:abstractNumId w:val="651"/>
  </w:num>
  <w:num w:numId="582">
    <w:abstractNumId w:val="356"/>
  </w:num>
  <w:num w:numId="583">
    <w:abstractNumId w:val="127"/>
  </w:num>
  <w:num w:numId="584">
    <w:abstractNumId w:val="664"/>
  </w:num>
  <w:num w:numId="585">
    <w:abstractNumId w:val="722"/>
  </w:num>
  <w:num w:numId="586">
    <w:abstractNumId w:val="210"/>
  </w:num>
  <w:num w:numId="587">
    <w:abstractNumId w:val="705"/>
  </w:num>
  <w:num w:numId="588">
    <w:abstractNumId w:val="189"/>
  </w:num>
  <w:num w:numId="589">
    <w:abstractNumId w:val="418"/>
  </w:num>
  <w:num w:numId="590">
    <w:abstractNumId w:val="118"/>
  </w:num>
  <w:num w:numId="591">
    <w:abstractNumId w:val="589"/>
  </w:num>
  <w:num w:numId="592">
    <w:abstractNumId w:val="141"/>
  </w:num>
  <w:num w:numId="593">
    <w:abstractNumId w:val="743"/>
  </w:num>
  <w:num w:numId="594">
    <w:abstractNumId w:val="437"/>
  </w:num>
  <w:num w:numId="595">
    <w:abstractNumId w:val="350"/>
  </w:num>
  <w:num w:numId="596">
    <w:abstractNumId w:val="666"/>
  </w:num>
  <w:num w:numId="597">
    <w:abstractNumId w:val="704"/>
  </w:num>
  <w:num w:numId="598">
    <w:abstractNumId w:val="352"/>
  </w:num>
  <w:num w:numId="599">
    <w:abstractNumId w:val="570"/>
  </w:num>
  <w:num w:numId="600">
    <w:abstractNumId w:val="466"/>
  </w:num>
  <w:num w:numId="601">
    <w:abstractNumId w:val="291"/>
  </w:num>
  <w:num w:numId="602">
    <w:abstractNumId w:val="370"/>
  </w:num>
  <w:num w:numId="603">
    <w:abstractNumId w:val="633"/>
  </w:num>
  <w:num w:numId="604">
    <w:abstractNumId w:val="321"/>
  </w:num>
  <w:num w:numId="605">
    <w:abstractNumId w:val="50"/>
  </w:num>
  <w:num w:numId="606">
    <w:abstractNumId w:val="562"/>
  </w:num>
  <w:num w:numId="607">
    <w:abstractNumId w:val="393"/>
  </w:num>
  <w:num w:numId="608">
    <w:abstractNumId w:val="621"/>
  </w:num>
  <w:num w:numId="609">
    <w:abstractNumId w:val="305"/>
  </w:num>
  <w:num w:numId="610">
    <w:abstractNumId w:val="200"/>
  </w:num>
  <w:num w:numId="611">
    <w:abstractNumId w:val="100"/>
  </w:num>
  <w:num w:numId="612">
    <w:abstractNumId w:val="550"/>
  </w:num>
  <w:num w:numId="613">
    <w:abstractNumId w:val="628"/>
  </w:num>
  <w:num w:numId="614">
    <w:abstractNumId w:val="392"/>
  </w:num>
  <w:num w:numId="615">
    <w:abstractNumId w:val="520"/>
  </w:num>
  <w:num w:numId="616">
    <w:abstractNumId w:val="761"/>
  </w:num>
  <w:num w:numId="617">
    <w:abstractNumId w:val="191"/>
  </w:num>
  <w:num w:numId="618">
    <w:abstractNumId w:val="236"/>
  </w:num>
  <w:num w:numId="619">
    <w:abstractNumId w:val="701"/>
  </w:num>
  <w:num w:numId="620">
    <w:abstractNumId w:val="221"/>
  </w:num>
  <w:num w:numId="621">
    <w:abstractNumId w:val="172"/>
  </w:num>
  <w:num w:numId="622">
    <w:abstractNumId w:val="341"/>
  </w:num>
  <w:num w:numId="623">
    <w:abstractNumId w:val="500"/>
  </w:num>
  <w:num w:numId="624">
    <w:abstractNumId w:val="738"/>
  </w:num>
  <w:num w:numId="625">
    <w:abstractNumId w:val="453"/>
  </w:num>
  <w:num w:numId="626">
    <w:abstractNumId w:val="553"/>
  </w:num>
  <w:num w:numId="627">
    <w:abstractNumId w:val="101"/>
  </w:num>
  <w:num w:numId="628">
    <w:abstractNumId w:val="230"/>
  </w:num>
  <w:num w:numId="629">
    <w:abstractNumId w:val="409"/>
  </w:num>
  <w:num w:numId="630">
    <w:abstractNumId w:val="17"/>
  </w:num>
  <w:num w:numId="631">
    <w:abstractNumId w:val="70"/>
  </w:num>
  <w:num w:numId="632">
    <w:abstractNumId w:val="524"/>
  </w:num>
  <w:num w:numId="633">
    <w:abstractNumId w:val="110"/>
  </w:num>
  <w:num w:numId="634">
    <w:abstractNumId w:val="448"/>
  </w:num>
  <w:num w:numId="635">
    <w:abstractNumId w:val="423"/>
  </w:num>
  <w:num w:numId="636">
    <w:abstractNumId w:val="144"/>
  </w:num>
  <w:num w:numId="637">
    <w:abstractNumId w:val="179"/>
  </w:num>
  <w:num w:numId="638">
    <w:abstractNumId w:val="40"/>
  </w:num>
  <w:num w:numId="639">
    <w:abstractNumId w:val="209"/>
  </w:num>
  <w:num w:numId="640">
    <w:abstractNumId w:val="265"/>
  </w:num>
  <w:num w:numId="641">
    <w:abstractNumId w:val="640"/>
  </w:num>
  <w:num w:numId="642">
    <w:abstractNumId w:val="475"/>
  </w:num>
  <w:num w:numId="643">
    <w:abstractNumId w:val="338"/>
  </w:num>
  <w:num w:numId="644">
    <w:abstractNumId w:val="333"/>
  </w:num>
  <w:num w:numId="645">
    <w:abstractNumId w:val="120"/>
  </w:num>
  <w:num w:numId="646">
    <w:abstractNumId w:val="167"/>
  </w:num>
  <w:num w:numId="647">
    <w:abstractNumId w:val="342"/>
  </w:num>
  <w:num w:numId="648">
    <w:abstractNumId w:val="756"/>
  </w:num>
  <w:num w:numId="649">
    <w:abstractNumId w:val="745"/>
  </w:num>
  <w:num w:numId="650">
    <w:abstractNumId w:val="667"/>
  </w:num>
  <w:num w:numId="651">
    <w:abstractNumId w:val="147"/>
  </w:num>
  <w:num w:numId="652">
    <w:abstractNumId w:val="184"/>
  </w:num>
  <w:num w:numId="653">
    <w:abstractNumId w:val="219"/>
  </w:num>
  <w:num w:numId="654">
    <w:abstractNumId w:val="538"/>
  </w:num>
  <w:num w:numId="655">
    <w:abstractNumId w:val="183"/>
  </w:num>
  <w:num w:numId="656">
    <w:abstractNumId w:val="522"/>
  </w:num>
  <w:num w:numId="657">
    <w:abstractNumId w:val="302"/>
  </w:num>
  <w:num w:numId="658">
    <w:abstractNumId w:val="527"/>
  </w:num>
  <w:num w:numId="659">
    <w:abstractNumId w:val="391"/>
  </w:num>
  <w:num w:numId="660">
    <w:abstractNumId w:val="583"/>
  </w:num>
  <w:num w:numId="661">
    <w:abstractNumId w:val="242"/>
  </w:num>
  <w:num w:numId="662">
    <w:abstractNumId w:val="369"/>
  </w:num>
  <w:num w:numId="663">
    <w:abstractNumId w:val="94"/>
  </w:num>
  <w:num w:numId="664">
    <w:abstractNumId w:val="753"/>
  </w:num>
  <w:num w:numId="665">
    <w:abstractNumId w:val="470"/>
  </w:num>
  <w:num w:numId="666">
    <w:abstractNumId w:val="281"/>
  </w:num>
  <w:num w:numId="667">
    <w:abstractNumId w:val="339"/>
  </w:num>
  <w:num w:numId="668">
    <w:abstractNumId w:val="322"/>
  </w:num>
  <w:num w:numId="669">
    <w:abstractNumId w:val="335"/>
  </w:num>
  <w:num w:numId="670">
    <w:abstractNumId w:val="592"/>
  </w:num>
  <w:num w:numId="671">
    <w:abstractNumId w:val="278"/>
  </w:num>
  <w:num w:numId="672">
    <w:abstractNumId w:val="314"/>
  </w:num>
  <w:num w:numId="673">
    <w:abstractNumId w:val="387"/>
  </w:num>
  <w:num w:numId="674">
    <w:abstractNumId w:val="462"/>
  </w:num>
  <w:num w:numId="675">
    <w:abstractNumId w:val="490"/>
  </w:num>
  <w:num w:numId="676">
    <w:abstractNumId w:val="443"/>
  </w:num>
  <w:num w:numId="677">
    <w:abstractNumId w:val="692"/>
  </w:num>
  <w:num w:numId="678">
    <w:abstractNumId w:val="469"/>
  </w:num>
  <w:num w:numId="679">
    <w:abstractNumId w:val="405"/>
  </w:num>
  <w:num w:numId="680">
    <w:abstractNumId w:val="481"/>
  </w:num>
  <w:num w:numId="681">
    <w:abstractNumId w:val="220"/>
  </w:num>
  <w:num w:numId="682">
    <w:abstractNumId w:val="514"/>
  </w:num>
  <w:num w:numId="683">
    <w:abstractNumId w:val="232"/>
  </w:num>
  <w:num w:numId="684">
    <w:abstractNumId w:val="427"/>
  </w:num>
  <w:num w:numId="685">
    <w:abstractNumId w:val="699"/>
  </w:num>
  <w:num w:numId="686">
    <w:abstractNumId w:val="303"/>
  </w:num>
  <w:num w:numId="687">
    <w:abstractNumId w:val="661"/>
  </w:num>
  <w:num w:numId="688">
    <w:abstractNumId w:val="279"/>
  </w:num>
  <w:num w:numId="689">
    <w:abstractNumId w:val="134"/>
  </w:num>
  <w:num w:numId="690">
    <w:abstractNumId w:val="532"/>
  </w:num>
  <w:num w:numId="691">
    <w:abstractNumId w:val="102"/>
  </w:num>
  <w:num w:numId="692">
    <w:abstractNumId w:val="21"/>
  </w:num>
  <w:num w:numId="693">
    <w:abstractNumId w:val="748"/>
  </w:num>
  <w:num w:numId="694">
    <w:abstractNumId w:val="373"/>
  </w:num>
  <w:num w:numId="695">
    <w:abstractNumId w:val="687"/>
  </w:num>
  <w:num w:numId="696">
    <w:abstractNumId w:val="599"/>
  </w:num>
  <w:num w:numId="697">
    <w:abstractNumId w:val="639"/>
  </w:num>
  <w:num w:numId="698">
    <w:abstractNumId w:val="57"/>
  </w:num>
  <w:num w:numId="699">
    <w:abstractNumId w:val="271"/>
  </w:num>
  <w:num w:numId="700">
    <w:abstractNumId w:val="91"/>
  </w:num>
  <w:num w:numId="701">
    <w:abstractNumId w:val="425"/>
  </w:num>
  <w:num w:numId="702">
    <w:abstractNumId w:val="99"/>
  </w:num>
  <w:num w:numId="703">
    <w:abstractNumId w:val="317"/>
  </w:num>
  <w:num w:numId="704">
    <w:abstractNumId w:val="312"/>
  </w:num>
  <w:num w:numId="705">
    <w:abstractNumId w:val="612"/>
  </w:num>
  <w:num w:numId="706">
    <w:abstractNumId w:val="251"/>
  </w:num>
  <w:num w:numId="707">
    <w:abstractNumId w:val="584"/>
  </w:num>
  <w:num w:numId="708">
    <w:abstractNumId w:val="641"/>
  </w:num>
  <w:num w:numId="709">
    <w:abstractNumId w:val="180"/>
  </w:num>
  <w:num w:numId="710">
    <w:abstractNumId w:val="398"/>
  </w:num>
  <w:num w:numId="711">
    <w:abstractNumId w:val="468"/>
  </w:num>
  <w:num w:numId="712">
    <w:abstractNumId w:val="326"/>
  </w:num>
  <w:num w:numId="713">
    <w:abstractNumId w:val="239"/>
  </w:num>
  <w:num w:numId="714">
    <w:abstractNumId w:val="491"/>
  </w:num>
  <w:num w:numId="715">
    <w:abstractNumId w:val="378"/>
  </w:num>
  <w:num w:numId="716">
    <w:abstractNumId w:val="243"/>
  </w:num>
  <w:num w:numId="717">
    <w:abstractNumId w:val="474"/>
  </w:num>
  <w:num w:numId="718">
    <w:abstractNumId w:val="334"/>
  </w:num>
  <w:num w:numId="719">
    <w:abstractNumId w:val="122"/>
  </w:num>
  <w:num w:numId="720">
    <w:abstractNumId w:val="19"/>
  </w:num>
  <w:num w:numId="721">
    <w:abstractNumId w:val="702"/>
  </w:num>
  <w:num w:numId="722">
    <w:abstractNumId w:val="26"/>
  </w:num>
  <w:num w:numId="723">
    <w:abstractNumId w:val="450"/>
  </w:num>
  <w:num w:numId="724">
    <w:abstractNumId w:val="240"/>
  </w:num>
  <w:num w:numId="725">
    <w:abstractNumId w:val="602"/>
  </w:num>
  <w:num w:numId="726">
    <w:abstractNumId w:val="158"/>
  </w:num>
  <w:num w:numId="727">
    <w:abstractNumId w:val="218"/>
  </w:num>
  <w:num w:numId="728">
    <w:abstractNumId w:val="340"/>
  </w:num>
  <w:num w:numId="729">
    <w:abstractNumId w:val="620"/>
  </w:num>
  <w:num w:numId="730">
    <w:abstractNumId w:val="223"/>
  </w:num>
  <w:num w:numId="731">
    <w:abstractNumId w:val="155"/>
  </w:num>
  <w:num w:numId="732">
    <w:abstractNumId w:val="319"/>
  </w:num>
  <w:num w:numId="733">
    <w:abstractNumId w:val="228"/>
  </w:num>
  <w:num w:numId="734">
    <w:abstractNumId w:val="668"/>
  </w:num>
  <w:num w:numId="735">
    <w:abstractNumId w:val="717"/>
  </w:num>
  <w:num w:numId="736">
    <w:abstractNumId w:val="108"/>
  </w:num>
  <w:num w:numId="737">
    <w:abstractNumId w:val="625"/>
  </w:num>
  <w:num w:numId="738">
    <w:abstractNumId w:val="611"/>
  </w:num>
  <w:num w:numId="739">
    <w:abstractNumId w:val="548"/>
  </w:num>
  <w:num w:numId="740">
    <w:abstractNumId w:val="719"/>
  </w:num>
  <w:num w:numId="741">
    <w:abstractNumId w:val="449"/>
  </w:num>
  <w:num w:numId="742">
    <w:abstractNumId w:val="710"/>
  </w:num>
  <w:num w:numId="743">
    <w:abstractNumId w:val="654"/>
  </w:num>
  <w:num w:numId="744">
    <w:abstractNumId w:val="270"/>
  </w:num>
  <w:num w:numId="745">
    <w:abstractNumId w:val="381"/>
  </w:num>
  <w:num w:numId="746">
    <w:abstractNumId w:val="593"/>
  </w:num>
  <w:num w:numId="747">
    <w:abstractNumId w:val="250"/>
  </w:num>
  <w:num w:numId="748">
    <w:abstractNumId w:val="439"/>
  </w:num>
  <w:num w:numId="749">
    <w:abstractNumId w:val="253"/>
  </w:num>
  <w:num w:numId="750">
    <w:abstractNumId w:val="96"/>
  </w:num>
  <w:num w:numId="751">
    <w:abstractNumId w:val="385"/>
  </w:num>
  <w:num w:numId="752">
    <w:abstractNumId w:val="139"/>
  </w:num>
  <w:num w:numId="753">
    <w:abstractNumId w:val="517"/>
  </w:num>
  <w:num w:numId="754">
    <w:abstractNumId w:val="202"/>
  </w:num>
  <w:num w:numId="755">
    <w:abstractNumId w:val="203"/>
  </w:num>
  <w:num w:numId="756">
    <w:abstractNumId w:val="293"/>
  </w:num>
  <w:num w:numId="757">
    <w:abstractNumId w:val="577"/>
  </w:num>
  <w:num w:numId="758">
    <w:abstractNumId w:val="178"/>
  </w:num>
  <w:num w:numId="759">
    <w:abstractNumId w:val="637"/>
  </w:num>
  <w:num w:numId="760">
    <w:abstractNumId w:val="499"/>
  </w:num>
  <w:num w:numId="761">
    <w:abstractNumId w:val="229"/>
  </w:num>
  <w:num w:numId="762">
    <w:abstractNumId w:val="46"/>
  </w:num>
  <w:num w:numId="763">
    <w:abstractNumId w:val="332"/>
  </w:num>
  <w:num w:numId="764">
    <w:abstractNumId w:val="566"/>
  </w:num>
  <w:num w:numId="765">
    <w:abstractNumId w:val="571"/>
  </w:num>
  <w:num w:numId="766">
    <w:abstractNumId w:val="124"/>
  </w:num>
  <w:num w:numId="767">
    <w:abstractNumId w:val="123"/>
  </w:num>
  <w:num w:numId="768">
    <w:abstractNumId w:val="551"/>
  </w:num>
  <w:num w:numId="769">
    <w:abstractNumId w:val="336"/>
  </w:num>
  <w:num w:numId="770">
    <w:abstractNumId w:val="85"/>
  </w:num>
  <w:num w:numId="771">
    <w:abstractNumId w:val="496"/>
  </w:num>
  <w:num w:numId="772">
    <w:abstractNumId w:val="152"/>
  </w:num>
  <w:num w:numId="773">
    <w:abstractNumId w:val="247"/>
  </w:num>
  <w:num w:numId="774">
    <w:abstractNumId w:val="372"/>
  </w:num>
  <w:num w:numId="775">
    <w:abstractNumId w:val="44"/>
  </w:num>
  <w:num w:numId="776">
    <w:abstractNumId w:val="237"/>
  </w:num>
  <w:num w:numId="777">
    <w:abstractNumId w:val="36"/>
  </w:num>
  <w:num w:numId="778">
    <w:abstractNumId w:val="358"/>
  </w:num>
  <w:num w:numId="779">
    <w:abstractNumId w:val="512"/>
  </w:num>
  <w:num w:numId="780">
    <w:abstractNumId w:val="280"/>
  </w:num>
  <w:num w:numId="781">
    <w:abstractNumId w:val="428"/>
  </w:num>
  <w:num w:numId="782">
    <w:abstractNumId w:val="588"/>
  </w:num>
  <w:num w:numId="783">
    <w:abstractNumId w:val="485"/>
  </w:num>
  <w:num w:numId="784">
    <w:abstractNumId w:val="376"/>
  </w:num>
  <w:num w:numId="785">
    <w:abstractNumId w:val="272"/>
  </w:num>
  <w:num w:numId="786">
    <w:abstractNumId w:val="18"/>
  </w:num>
  <w:num w:numId="787">
    <w:abstractNumId w:val="406"/>
  </w:num>
  <w:num w:numId="788">
    <w:abstractNumId w:val="177"/>
  </w:num>
  <w:num w:numId="789">
    <w:abstractNumId w:val="262"/>
  </w:num>
  <w:num w:numId="790">
    <w:abstractNumId w:val="23"/>
  </w:num>
  <w:num w:numId="791">
    <w:abstractNumId w:val="161"/>
  </w:num>
  <w:num w:numId="792">
    <w:abstractNumId w:val="675"/>
  </w:num>
  <w:num w:numId="793">
    <w:abstractNumId w:val="663"/>
  </w:num>
  <w:num w:numId="794">
    <w:abstractNumId w:val="195"/>
  </w:num>
  <w:num w:numId="795">
    <w:abstractNumId w:val="148"/>
  </w:num>
  <w:num w:numId="796">
    <w:abstractNumId w:val="597"/>
  </w:num>
  <w:num w:numId="797">
    <w:abstractNumId w:val="574"/>
  </w:num>
  <w:num w:numId="798">
    <w:abstractNumId w:val="6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keepNext/>
      <w:widowControl w:val="0"/>
      <w:tabs>
        <w:tab w:val="left" w:pos="510"/>
        <w:tab w:val="left" w:pos="7088"/>
        <w:tab w:val="left" w:pos="7711"/>
        <w:tab w:val="left" w:pos="8080"/>
        <w:tab w:val="left" w:pos="8640"/>
        <w:tab w:val="right" w:pos="9356"/>
      </w:tabs>
      <w:spacing w:after="120"/>
      <w:jc w:val="center"/>
    </w:pPr>
    <w:rPr>
      <w:rFonts w:eastAsia="KaiTi_GB2312"/>
      <w:noProof/>
      <w:snapToGrid/>
      <w:kern w:val="24"/>
      <w:sz w:val="26"/>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338</TotalTime>
  <Pages>1</Pages>
  <Words>17935</Words>
  <Characters>102234</Characters>
  <Application>Microsoft Office Word</Application>
  <DocSecurity>4</DocSecurity>
  <Lines>851</Lines>
  <Paragraphs>204</Paragraphs>
  <ScaleCrop>false</ScaleCrop>
  <HeadingPairs>
    <vt:vector size="2" baseType="variant">
      <vt:variant>
        <vt:lpstr>题目</vt:lpstr>
      </vt:variant>
      <vt:variant>
        <vt:i4>1</vt:i4>
      </vt:variant>
    </vt:vector>
  </HeadingPairs>
  <TitlesOfParts>
    <vt:vector size="1" baseType="lpstr">
      <vt:lpstr>E.dot</vt:lpstr>
    </vt:vector>
  </TitlesOfParts>
  <Company>ONU</Company>
  <LinksUpToDate>false</LinksUpToDate>
  <CharactersWithSpaces>125550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NIE</dc:creator>
  <cp:keywords/>
  <cp:lastModifiedBy>DUY</cp:lastModifiedBy>
  <cp:revision>24</cp:revision>
  <cp:lastPrinted>2003-01-10T08:37:00Z</cp:lastPrinted>
  <dcterms:created xsi:type="dcterms:W3CDTF">2003-01-02T13:47:00Z</dcterms:created>
  <dcterms:modified xsi:type="dcterms:W3CDTF">2003-01-10T08:39:00Z</dcterms:modified>
</cp:coreProperties>
</file>