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1280E" w:rsidP="0051280E">
            <w:pPr>
              <w:jc w:val="right"/>
            </w:pPr>
            <w:r w:rsidRPr="0051280E">
              <w:rPr>
                <w:sz w:val="40"/>
              </w:rPr>
              <w:t>CAT</w:t>
            </w:r>
            <w:r>
              <w:t>/C/MCO/QPR/6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F94155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51280E" w:rsidRDefault="0051280E" w:rsidP="00712895">
            <w:pPr>
              <w:spacing w:before="240"/>
            </w:pPr>
            <w:r>
              <w:t>Distr. general</w:t>
            </w:r>
          </w:p>
          <w:p w:rsidR="0051280E" w:rsidRDefault="0051280E" w:rsidP="0051280E">
            <w:pPr>
              <w:spacing w:line="240" w:lineRule="exact"/>
            </w:pPr>
            <w:r>
              <w:t>15 de julio de 2013</w:t>
            </w:r>
          </w:p>
          <w:p w:rsidR="0051280E" w:rsidRDefault="0051280E" w:rsidP="0051280E">
            <w:pPr>
              <w:spacing w:line="240" w:lineRule="exact"/>
            </w:pPr>
            <w:r>
              <w:t>Español</w:t>
            </w:r>
          </w:p>
          <w:p w:rsidR="002D5AAC" w:rsidRDefault="0051280E" w:rsidP="0051280E">
            <w:pPr>
              <w:spacing w:line="240" w:lineRule="exact"/>
            </w:pPr>
            <w:r>
              <w:t>Original: francés</w:t>
            </w:r>
          </w:p>
        </w:tc>
      </w:tr>
    </w:tbl>
    <w:p w:rsidR="0051280E" w:rsidRPr="00FC567A" w:rsidRDefault="0051280E" w:rsidP="0051280E">
      <w:pPr>
        <w:spacing w:before="120"/>
        <w:rPr>
          <w:b/>
          <w:sz w:val="24"/>
          <w:szCs w:val="24"/>
        </w:rPr>
      </w:pPr>
      <w:r w:rsidRPr="00FC567A">
        <w:rPr>
          <w:b/>
          <w:bCs/>
          <w:sz w:val="24"/>
          <w:szCs w:val="24"/>
        </w:rPr>
        <w:t>Comité contra la Tortura</w:t>
      </w:r>
    </w:p>
    <w:p w:rsidR="0051280E" w:rsidRPr="00FC567A" w:rsidRDefault="0051280E" w:rsidP="0051280E">
      <w:pPr>
        <w:pStyle w:val="HChG"/>
      </w:pPr>
      <w:r w:rsidRPr="00FC567A">
        <w:tab/>
      </w:r>
      <w:r w:rsidRPr="00FC567A">
        <w:tab/>
        <w:t xml:space="preserve">Lista de cuestiones previa a la presentación del </w:t>
      </w:r>
      <w:r>
        <w:br/>
      </w:r>
      <w:r w:rsidRPr="00FC567A">
        <w:t>sexto informe</w:t>
      </w:r>
      <w:r>
        <w:t xml:space="preserve"> </w:t>
      </w:r>
      <w:r w:rsidRPr="00FC567A">
        <w:t xml:space="preserve">periódico de Mónaco, aprobada </w:t>
      </w:r>
      <w:r>
        <w:br/>
      </w:r>
      <w:r w:rsidRPr="00FC567A">
        <w:t xml:space="preserve">por el Comité en su 50º período de sesiones </w:t>
      </w:r>
      <w:r>
        <w:br/>
      </w:r>
      <w:r w:rsidRPr="00FC567A">
        <w:t>(6 de mayo a 31 de mayo de 2013)</w:t>
      </w:r>
    </w:p>
    <w:p w:rsidR="0051280E" w:rsidRPr="00FC567A" w:rsidRDefault="0051280E" w:rsidP="0051280E">
      <w:pPr>
        <w:pStyle w:val="SingleTxtG"/>
      </w:pPr>
      <w:r>
        <w:tab/>
      </w:r>
      <w:r w:rsidRPr="00FC567A">
        <w:t xml:space="preserve">En su 38º período de sesiones (A/62/44, párrs. 23 y 24), el Comité contra la Tortura estableció un nuevo procedimiento facultativo, que consiste en preparar y aprobar las listas de cuestiones y transmitírselas a los Estados partes antes de que presenten su correspondiente informe periódico. Las respuestas a esta lista de cuestiones constituirán el informe que el Estado parte debe presentar en virtud del artículo 19 de la Convención. </w:t>
      </w:r>
    </w:p>
    <w:p w:rsidR="0051280E" w:rsidRDefault="0051280E" w:rsidP="0051280E">
      <w:pPr>
        <w:pStyle w:val="SingleTxtG"/>
      </w:pPr>
    </w:p>
    <w:p w:rsidR="0051280E" w:rsidRPr="00FF3A3E" w:rsidRDefault="0051280E" w:rsidP="0051280E">
      <w:pPr>
        <w:pStyle w:val="H1G"/>
      </w:pPr>
      <w:r>
        <w:br w:type="page"/>
      </w:r>
      <w:r w:rsidRPr="00FF3A3E">
        <w:tab/>
      </w:r>
      <w:r w:rsidRPr="00FF3A3E">
        <w:tab/>
      </w:r>
      <w:r w:rsidRPr="00FF3A3E">
        <w:rPr>
          <w:szCs w:val="24"/>
        </w:rPr>
        <w:t>Artículo</w:t>
      </w:r>
      <w:r w:rsidRPr="00FF3A3E">
        <w:t xml:space="preserve"> 1</w:t>
      </w:r>
    </w:p>
    <w:p w:rsidR="0051280E" w:rsidRPr="00FC567A" w:rsidRDefault="0051280E" w:rsidP="0051280E">
      <w:pPr>
        <w:pStyle w:val="SingleTxtG"/>
      </w:pPr>
      <w:r w:rsidRPr="00FC567A">
        <w:t>1.</w:t>
      </w:r>
      <w:r w:rsidRPr="00FC567A">
        <w:tab/>
        <w:t>Habida cuenta de las anteriores observaciones finales del Comité</w:t>
      </w:r>
      <w:r w:rsidRPr="00175052">
        <w:rPr>
          <w:rStyle w:val="FootnoteReference"/>
        </w:rPr>
        <w:footnoteReference w:id="1"/>
      </w:r>
      <w:r w:rsidRPr="00FC567A">
        <w:t xml:space="preserve"> (párr. 7), sírvanse facilitar información actualizada sobre su integración en la legislación penal. </w:t>
      </w:r>
      <w:r>
        <w:t>O</w:t>
      </w:r>
      <w:r w:rsidRPr="00FC567A">
        <w:t>bserv</w:t>
      </w:r>
      <w:r>
        <w:t>en</w:t>
      </w:r>
      <w:r w:rsidRPr="00FC567A">
        <w:t xml:space="preserve"> que la definición de tortura debe ajustarse estrictamente a la formulada en </w:t>
      </w:r>
      <w:r w:rsidR="004408B3">
        <w:t>el artículo 1 de la Convención.</w:t>
      </w:r>
    </w:p>
    <w:p w:rsidR="0051280E" w:rsidRPr="00FC567A" w:rsidRDefault="0051280E" w:rsidP="0051280E">
      <w:pPr>
        <w:pStyle w:val="H1G"/>
      </w:pPr>
      <w:r w:rsidRPr="00FC567A">
        <w:tab/>
      </w:r>
      <w:r w:rsidRPr="00FC567A">
        <w:tab/>
        <w:t>Artículo 2</w:t>
      </w:r>
      <w:r w:rsidRPr="00175052">
        <w:rPr>
          <w:rStyle w:val="FootnoteReference"/>
          <w:b w:val="0"/>
        </w:rPr>
        <w:footnoteReference w:id="2"/>
      </w:r>
    </w:p>
    <w:p w:rsidR="0051280E" w:rsidRPr="00FC567A" w:rsidRDefault="0051280E" w:rsidP="0051280E">
      <w:pPr>
        <w:pStyle w:val="SingleTxtG"/>
      </w:pPr>
      <w:r w:rsidRPr="00FC567A">
        <w:t>2.</w:t>
      </w:r>
      <w:r w:rsidRPr="00FC567A">
        <w:tab/>
        <w:t xml:space="preserve">A la luz de las anteriores observaciones finales del Comité (párr. 8), </w:t>
      </w:r>
      <w:r>
        <w:t>i</w:t>
      </w:r>
      <w:r w:rsidRPr="00FC567A">
        <w:t>ndi</w:t>
      </w:r>
      <w:r>
        <w:t>quen</w:t>
      </w:r>
      <w:r w:rsidRPr="00FC567A">
        <w:t xml:space="preserve"> si se ha modificado el Código Penal para incluir en él disposiciones específicas que prohíban al imputado invocar circunstancias excepcionales o la orden de un funcionario superior para justificar la tortura. Proporcionen información sobre las medidas legislativas, administrativas, judiciales o de otra índole que se hayan tomado para impedir los actos de tortura, incluidas las adoptadas con el propósito de reforzar las garantías de protección de un agente que se niegue a ejecutar una orden ilegal dada por su superior jerárquico.</w:t>
      </w:r>
    </w:p>
    <w:p w:rsidR="0051280E" w:rsidRPr="00FC567A" w:rsidRDefault="0051280E" w:rsidP="0051280E">
      <w:pPr>
        <w:pStyle w:val="SingleTxtG"/>
      </w:pPr>
      <w:r w:rsidRPr="00FC567A">
        <w:t>3.</w:t>
      </w:r>
      <w:r w:rsidRPr="00FC567A">
        <w:tab/>
        <w:t>Habida cuenta de las anteriores observaciones finales del Comité (párr. 11), y en relación con la respuesta del Estado parte de 6 de junio de 2012</w:t>
      </w:r>
      <w:r w:rsidRPr="00175052">
        <w:rPr>
          <w:rStyle w:val="FootnoteReference"/>
        </w:rPr>
        <w:footnoteReference w:id="3"/>
      </w:r>
      <w:r w:rsidRPr="00FC567A">
        <w:t xml:space="preserve">, </w:t>
      </w:r>
      <w:r>
        <w:t>d</w:t>
      </w:r>
      <w:r w:rsidRPr="00FC567A">
        <w:t>escrib</w:t>
      </w:r>
      <w:r>
        <w:t>an</w:t>
      </w:r>
      <w:r w:rsidRPr="00FC567A">
        <w:t xml:space="preserve"> las medidas adoptadas para supervisar la aplicación efectiva de las disposiciones de la Ley Nº 1382, de 20 de julio de 2011, relativa a la prevención y represión de la violencia contra determinados grupos, con el fin de garantizar la eficacia de la Ley sobre la prevención y la lucha contra la violencia que sufren las mujeres, los niños y las personas discapacitadas. Ind</w:t>
      </w:r>
      <w:r>
        <w:t>i</w:t>
      </w:r>
      <w:r w:rsidRPr="00FC567A">
        <w:t>que</w:t>
      </w:r>
      <w:r>
        <w:t>n</w:t>
      </w:r>
      <w:r w:rsidRPr="00FC567A">
        <w:t xml:space="preserve"> cómo el Estado parte evalúa la eficacia de los programas de sensibilización y de formación previstos en la ley y destinados a que los profesionales identifiquen y ayuden a las víctimas de violencia doméstica. </w:t>
      </w:r>
      <w:r>
        <w:t>P</w:t>
      </w:r>
      <w:r w:rsidRPr="00FC567A">
        <w:t>roporcion</w:t>
      </w:r>
      <w:r>
        <w:t>en</w:t>
      </w:r>
      <w:r w:rsidRPr="00FC567A">
        <w:t xml:space="preserve"> asimismo datos sobre la aplicación de las mayores sanciones por violencia doméstica prevista en la ley, así como sobre la aplicación de la Ley</w:t>
      </w:r>
      <w:r>
        <w:t> </w:t>
      </w:r>
      <w:r w:rsidRPr="00FC567A">
        <w:t>Nº 1344, de 26 de diciembre de 2007, relativa al fortalecimiento de la represión de los crímenes y delitos contra los niños.</w:t>
      </w:r>
    </w:p>
    <w:p w:rsidR="0051280E" w:rsidRPr="00FC567A" w:rsidRDefault="0051280E" w:rsidP="0051280E">
      <w:pPr>
        <w:pStyle w:val="SingleTxtG"/>
      </w:pPr>
      <w:r w:rsidRPr="00FC567A">
        <w:t>4.</w:t>
      </w:r>
      <w:r w:rsidRPr="00FC567A">
        <w:tab/>
        <w:t>A la luz de las anteriores observaciones finales del Comité (párr. 14), señal</w:t>
      </w:r>
      <w:r>
        <w:t>en</w:t>
      </w:r>
      <w:r w:rsidRPr="00FC567A">
        <w:t xml:space="preserve"> si el Estado parte ha </w:t>
      </w:r>
      <w:r>
        <w:t>adoptado</w:t>
      </w:r>
      <w:r w:rsidRPr="00FC567A">
        <w:t xml:space="preserve"> una definición más precisa de los actos de terrorismo, para velar por que </w:t>
      </w:r>
      <w:r>
        <w:t>todas</w:t>
      </w:r>
      <w:r w:rsidRPr="00FC567A">
        <w:t xml:space="preserve"> las medidas adoptadas por el Estado parte contra el terrorismo respete</w:t>
      </w:r>
      <w:r>
        <w:t>n</w:t>
      </w:r>
      <w:r w:rsidRPr="00FC567A">
        <w:t xml:space="preserve"> </w:t>
      </w:r>
      <w:r>
        <w:t>la totalidad de</w:t>
      </w:r>
      <w:r w:rsidRPr="00FC567A">
        <w:t xml:space="preserve"> las obligaciones dimanantes del derecho internacional, incluido el artículo 2 de la Convención.</w:t>
      </w:r>
    </w:p>
    <w:p w:rsidR="0051280E" w:rsidRPr="00FC567A" w:rsidRDefault="0051280E" w:rsidP="0051280E">
      <w:pPr>
        <w:pStyle w:val="SingleTxtG"/>
      </w:pPr>
      <w:r w:rsidRPr="00FC567A">
        <w:t>5.</w:t>
      </w:r>
      <w:r w:rsidRPr="00FC567A">
        <w:tab/>
        <w:t xml:space="preserve">Habida cuenta de las anteriores observaciones finales del Comité (párr. 15), faciliten información actualizada sobre el establecimiento de una institución nacional independiente de derechos humanos que sea conforme a los Principios relativos al estatuto de las instituciones nacionales de promoción y protección de los derechos humanos (Principios de París, anexo de la resolución 48/134 de la Asamblea General), y </w:t>
      </w:r>
      <w:r>
        <w:t xml:space="preserve">señalen </w:t>
      </w:r>
      <w:r w:rsidRPr="00FC567A">
        <w:t>en particular si dicha institución dispone de los recursos humanos y financieros necesarios para ejercer eficazmente sus funciones, entre ellas la investigación de las denuncias de tortura.</w:t>
      </w:r>
    </w:p>
    <w:p w:rsidR="0051280E" w:rsidRPr="00FC567A" w:rsidRDefault="0051280E" w:rsidP="0051280E">
      <w:pPr>
        <w:pStyle w:val="H1G"/>
      </w:pPr>
      <w:r w:rsidRPr="00FC567A">
        <w:tab/>
      </w:r>
      <w:r w:rsidRPr="00FC567A">
        <w:tab/>
        <w:t>Artículo 3</w:t>
      </w:r>
    </w:p>
    <w:p w:rsidR="0051280E" w:rsidRPr="00FC567A" w:rsidRDefault="0051280E" w:rsidP="0051280E">
      <w:pPr>
        <w:pStyle w:val="SingleTxtG"/>
      </w:pPr>
      <w:r w:rsidRPr="00FC567A">
        <w:t>6.</w:t>
      </w:r>
      <w:r w:rsidRPr="00FC567A">
        <w:tab/>
        <w:t>Habida cuenta de las anteriores observaciones finales del Comité (párr. 9), y en relación con la respuesta del Estado parte de 6 de junio de 2012</w:t>
      </w:r>
      <w:r w:rsidRPr="00175052">
        <w:rPr>
          <w:rStyle w:val="FootnoteReference"/>
        </w:rPr>
        <w:footnoteReference w:id="4"/>
      </w:r>
      <w:r w:rsidRPr="00FC567A">
        <w:t xml:space="preserve">, </w:t>
      </w:r>
      <w:r>
        <w:t>i</w:t>
      </w:r>
      <w:r w:rsidRPr="00FC567A">
        <w:t>nform</w:t>
      </w:r>
      <w:r>
        <w:t>en</w:t>
      </w:r>
      <w:r w:rsidRPr="00FC567A">
        <w:t xml:space="preserve"> sobre la instauración de un mecanismo de seguimiento de los expedientes de los solicitantes de asilo tramitados por la Oficina Francesa de Protección de Refugiados y Apátridas (OFPRA). Igualmente, proporcion</w:t>
      </w:r>
      <w:r>
        <w:t>en</w:t>
      </w:r>
      <w:r w:rsidRPr="00FC567A">
        <w:t xml:space="preserve"> datos sobre el número total de solicitantes de asilo que el Estado parte ha remitido a la OFPRA desde el examen del último informe periódico, incluida su nacionalidad. Ind</w:t>
      </w:r>
      <w:r>
        <w:t>i</w:t>
      </w:r>
      <w:r w:rsidRPr="00FC567A">
        <w:t>que</w:t>
      </w:r>
      <w:r>
        <w:t>n</w:t>
      </w:r>
      <w:r w:rsidRPr="00FC567A">
        <w:t xml:space="preserve"> asimismo el número de casos de personas susceptibles de ser devueltas o expulsadas que, desde el examen del último informe periódico, hayan recurrido las órdenes de expulsión ante el Tribunal Supremo, si el </w:t>
      </w:r>
      <w:r>
        <w:t>solicitante</w:t>
      </w:r>
      <w:r w:rsidRPr="00FC567A">
        <w:t xml:space="preserve"> ha </w:t>
      </w:r>
      <w:r>
        <w:t>pedido</w:t>
      </w:r>
      <w:r w:rsidRPr="00FC567A">
        <w:t xml:space="preserve"> posteriormente un aplazamiento de dicha orden y si esa solicitud ha tenido un efecto suspensivo durante las deliberaciones del Tribunal Supremo. </w:t>
      </w:r>
    </w:p>
    <w:p w:rsidR="0051280E" w:rsidRPr="00FC567A" w:rsidRDefault="0051280E" w:rsidP="0051280E">
      <w:pPr>
        <w:pStyle w:val="H1G"/>
      </w:pPr>
      <w:r w:rsidRPr="00FC567A">
        <w:tab/>
      </w:r>
      <w:r w:rsidRPr="00FC567A">
        <w:tab/>
        <w:t>Artículo 4</w:t>
      </w:r>
    </w:p>
    <w:p w:rsidR="0051280E" w:rsidRPr="00FC567A" w:rsidRDefault="0051280E" w:rsidP="0051280E">
      <w:pPr>
        <w:pStyle w:val="SingleTxtG"/>
      </w:pPr>
      <w:r w:rsidRPr="00FC567A">
        <w:t>7.</w:t>
      </w:r>
      <w:r w:rsidRPr="00FC567A">
        <w:tab/>
        <w:t>A la luz de las anteriores observaciones finales del Comité (párr. 7), proporcion</w:t>
      </w:r>
      <w:r>
        <w:t>en</w:t>
      </w:r>
      <w:r w:rsidRPr="00FC567A">
        <w:t xml:space="preserve"> información sobre la incorporación al Código Penal de disposiciones específicas para que la tortura sea tratada como un delito de especial gravedad y distinto de cualquier otro, reforzando así el efecto disuasorio de la prohibición absoluta de la tortura.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Artículos 5, 7 y 8</w:t>
      </w:r>
    </w:p>
    <w:p w:rsidR="0051280E" w:rsidRPr="00FC567A" w:rsidRDefault="0051280E" w:rsidP="0051280E">
      <w:pPr>
        <w:pStyle w:val="SingleTxtG"/>
      </w:pPr>
      <w:r w:rsidRPr="00FC567A">
        <w:t>8.</w:t>
      </w:r>
      <w:r w:rsidRPr="00FC567A">
        <w:tab/>
      </w:r>
      <w:r>
        <w:t>I</w:t>
      </w:r>
      <w:r w:rsidRPr="00FC567A">
        <w:t>ndiquen si, desde el examen del último informe periódico, el Estado parte ha rechazado, por cualesquiera motivos, alguna solicitud de extradición referida a un sospechoso de haber cometido actos de tortura, y prec</w:t>
      </w:r>
      <w:r>
        <w:t>isen</w:t>
      </w:r>
      <w:r w:rsidRPr="00FC567A">
        <w:t xml:space="preserve"> si posteriormente el </w:t>
      </w:r>
      <w:r>
        <w:t xml:space="preserve">propio </w:t>
      </w:r>
      <w:r w:rsidRPr="00FC567A">
        <w:t xml:space="preserve">Estado parte ha iniciado acciones judiciales al respecto. En caso afirmativo, </w:t>
      </w:r>
      <w:r>
        <w:t>i</w:t>
      </w:r>
      <w:r w:rsidRPr="00FC567A">
        <w:t>nform</w:t>
      </w:r>
      <w:r>
        <w:t>e</w:t>
      </w:r>
      <w:r w:rsidRPr="00FC567A">
        <w:t>n sobre el avance y los resultados del procedimiento.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Artículo 10</w:t>
      </w:r>
    </w:p>
    <w:p w:rsidR="0051280E" w:rsidRPr="00FC567A" w:rsidRDefault="0051280E" w:rsidP="0051280E">
      <w:pPr>
        <w:pStyle w:val="SingleTxtG"/>
      </w:pPr>
      <w:r w:rsidRPr="00FC567A">
        <w:t>9.</w:t>
      </w:r>
      <w:r w:rsidRPr="00FC567A">
        <w:tab/>
        <w:t>A la luz de las anteriores observaciones finales del Comité (párr. 13), indi</w:t>
      </w:r>
      <w:r>
        <w:t>quen</w:t>
      </w:r>
      <w:r w:rsidRPr="00FC567A">
        <w:t xml:space="preserve"> si la formación de los </w:t>
      </w:r>
      <w:r>
        <w:t>jueces</w:t>
      </w:r>
      <w:r w:rsidRPr="00FC567A">
        <w:t xml:space="preserve"> y los agentes del orden y otros profesionales ha </w:t>
      </w:r>
      <w:r>
        <w:t>comprendido cursos</w:t>
      </w:r>
      <w:r w:rsidRPr="00FC567A">
        <w:t xml:space="preserve"> sobre los derechos humanos </w:t>
      </w:r>
      <w:r>
        <w:t>y en particular</w:t>
      </w:r>
      <w:r w:rsidRPr="00FC567A">
        <w:t xml:space="preserve"> las disposiciones de la Convención y la prohibición absoluta de la tortura. Ind</w:t>
      </w:r>
      <w:r>
        <w:t>i</w:t>
      </w:r>
      <w:r w:rsidRPr="00FC567A">
        <w:t>que</w:t>
      </w:r>
      <w:r>
        <w:t>n</w:t>
      </w:r>
      <w:r w:rsidRPr="00FC567A">
        <w:t xml:space="preserve"> si forma parte de los programas de formación destinados al personal médico y a otras categorías profesionales el </w:t>
      </w:r>
      <w:r w:rsidRPr="00271D7D">
        <w:t>Manual para la investigación y documentación eficaces de la tortura y otros tratos o penas crueles, inhumanos o degradantes</w:t>
      </w:r>
      <w:r w:rsidRPr="00FC567A">
        <w:t xml:space="preserve"> (Protocolo de Estambul).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Artículo 11</w:t>
      </w:r>
    </w:p>
    <w:p w:rsidR="0051280E" w:rsidRPr="00FC567A" w:rsidRDefault="0051280E" w:rsidP="0051280E">
      <w:pPr>
        <w:pStyle w:val="SingleTxtG"/>
      </w:pPr>
      <w:r w:rsidRPr="00FC567A">
        <w:t>10.</w:t>
      </w:r>
      <w:r w:rsidRPr="00FC567A">
        <w:tab/>
        <w:t>Habida cuenta de las anteriores observaciones</w:t>
      </w:r>
      <w:r>
        <w:t xml:space="preserve"> finales del Comité (párr. 10)</w:t>
      </w:r>
      <w:r w:rsidRPr="00FC567A">
        <w:t xml:space="preserve"> y en relación con la respuesta del Estado parte de 6 de junio de 2012</w:t>
      </w:r>
      <w:r w:rsidRPr="00175052">
        <w:rPr>
          <w:rStyle w:val="FootnoteReference"/>
        </w:rPr>
        <w:footnoteReference w:id="5"/>
      </w:r>
      <w:r w:rsidRPr="00FC567A">
        <w:t>, facilit</w:t>
      </w:r>
      <w:r>
        <w:t>en</w:t>
      </w:r>
      <w:r w:rsidRPr="00FC567A">
        <w:t xml:space="preserve"> información actualizada sobre las conversaciones mantenidas con las autoridades competentes francesas con miras a lograr un acuerdo que permita efectuar un seguimiento más eficaz de la situación de los reclusos condenados por los tribunales monegascos e internados en centros penitenciarios franceses. </w:t>
      </w:r>
      <w:r>
        <w:t>I</w:t>
      </w:r>
      <w:r w:rsidRPr="00FC567A">
        <w:t>ndi</w:t>
      </w:r>
      <w:r>
        <w:t>quen</w:t>
      </w:r>
      <w:r w:rsidRPr="00FC567A">
        <w:t xml:space="preserve"> qué consideración tiene el procedimiento relativo al intercambio administrativo de correspondencia entre el Ministerio de Justicia francés y el Director de los Servicios Judiciales de Mónaco destinado a facilitar el seguimiento del trato dispensado a estos presos y de las condiciones materiales de su reclusión. Ind</w:t>
      </w:r>
      <w:r>
        <w:t>i</w:t>
      </w:r>
      <w:r w:rsidRPr="00FC567A">
        <w:t>que</w:t>
      </w:r>
      <w:r>
        <w:t>n</w:t>
      </w:r>
      <w:r w:rsidRPr="00FC567A">
        <w:t xml:space="preserve"> si se ha designado a un juez para que visite regularmente a estos presos en las prisiones francesas, como prevé la información de seguimiento del Estado parte. </w:t>
      </w:r>
      <w:r>
        <w:t>P</w:t>
      </w:r>
      <w:r w:rsidRPr="00FC567A">
        <w:t>recis</w:t>
      </w:r>
      <w:r>
        <w:t>en</w:t>
      </w:r>
      <w:r w:rsidRPr="00FC567A">
        <w:t xml:space="preserve"> el número de visitas realizadas, el número de reclusos que se encuentra actualmente en esta situación, a cuántos ha visitado el funcionario y cuál ha sido el resultado de tales visitas, en particular si se hacen públicos los informes de</w:t>
      </w:r>
      <w:r>
        <w:t xml:space="preserve"> dichas visitas presentados a</w:t>
      </w:r>
      <w:r w:rsidRPr="00FC567A">
        <w:t xml:space="preserve"> las autoridades francesas. </w:t>
      </w:r>
      <w:r>
        <w:t>I</w:t>
      </w:r>
      <w:r w:rsidRPr="00FC567A">
        <w:t xml:space="preserve">ndiquen si se ha </w:t>
      </w:r>
      <w:r>
        <w:t>establecido</w:t>
      </w:r>
      <w:r w:rsidRPr="00FC567A">
        <w:t xml:space="preserve"> en algún texto oficial la práctica de pedir a los condenados en Mónaco su consentimiento explícito para ser trasladados a Francia.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Artículos 12 y 13</w:t>
      </w:r>
    </w:p>
    <w:p w:rsidR="0051280E" w:rsidRPr="00FC567A" w:rsidRDefault="0051280E" w:rsidP="0051280E">
      <w:pPr>
        <w:pStyle w:val="SingleTxtG"/>
      </w:pPr>
      <w:r w:rsidRPr="00FC567A">
        <w:t>11.</w:t>
      </w:r>
      <w:r w:rsidRPr="00FC567A">
        <w:tab/>
      </w:r>
      <w:r>
        <w:t>F</w:t>
      </w:r>
      <w:r w:rsidRPr="00FC567A">
        <w:t>acilit</w:t>
      </w:r>
      <w:r>
        <w:t>en</w:t>
      </w:r>
      <w:r w:rsidRPr="00FC567A">
        <w:t xml:space="preserve"> datos estadísticos detallados y desglosados por origen étnico, edad y sexo, sobre las denuncias de actos de tortura o malos tratos cometidos por agentes de las fuerzas del orden, así como sobre las investigaciones llevadas a cabo al respecto y las actuaciones judiciales y sanciones penales o disciplinarias resultantes. Ap</w:t>
      </w:r>
      <w:r>
        <w:t>o</w:t>
      </w:r>
      <w:r w:rsidRPr="00FC567A">
        <w:t>rten además ejemplos concretos de infracciones y sanciones.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Artículo 14</w:t>
      </w:r>
    </w:p>
    <w:p w:rsidR="0051280E" w:rsidRPr="00FC567A" w:rsidRDefault="0051280E" w:rsidP="0051280E">
      <w:pPr>
        <w:pStyle w:val="SingleTxtG"/>
      </w:pPr>
      <w:r w:rsidRPr="00FC567A">
        <w:t>12.</w:t>
      </w:r>
      <w:r w:rsidRPr="00FC567A">
        <w:tab/>
        <w:t>A la luz de las anteriores observaciones finales del Comité (párr. 12), indi</w:t>
      </w:r>
      <w:r>
        <w:t>quen</w:t>
      </w:r>
      <w:r w:rsidRPr="00FC567A">
        <w:t xml:space="preserve"> si las disposiciones específicas sobre la reparación e indemnización de las víctimas de la tortura o los malos tratos, incluso en caso de muerte de la víctima como resultado de un acto de tortura, se han incorporado a la Ley N</w:t>
      </w:r>
      <w:r>
        <w:t>º</w:t>
      </w:r>
      <w:r w:rsidRPr="00FC567A">
        <w:t xml:space="preserve"> 1.382, de 20 de julio de 2011, relativa a la prevención y represión de la violencia contra determinados grupos, de conformidad con lo dispuesto en el artículo 14 de la Convención y la Observación general N</w:t>
      </w:r>
      <w:r>
        <w:t>º</w:t>
      </w:r>
      <w:r w:rsidRPr="00FC567A">
        <w:t xml:space="preserve"> 3 (2012) sobre la aplicación del artí</w:t>
      </w:r>
      <w:r>
        <w:t>culo 14 por los Estados partes.</w:t>
      </w:r>
    </w:p>
    <w:p w:rsidR="0051280E" w:rsidRPr="00915B26" w:rsidRDefault="0051280E" w:rsidP="0051280E">
      <w:pPr>
        <w:pStyle w:val="H1G"/>
      </w:pPr>
      <w:r w:rsidRPr="00915B26">
        <w:tab/>
      </w:r>
      <w:r w:rsidRPr="00915B26">
        <w:tab/>
        <w:t>Otras cuestiones</w:t>
      </w:r>
    </w:p>
    <w:p w:rsidR="0051280E" w:rsidRPr="00FC567A" w:rsidRDefault="0051280E" w:rsidP="0051280E">
      <w:pPr>
        <w:pStyle w:val="SingleTxtG"/>
      </w:pPr>
      <w:r w:rsidRPr="00FC567A">
        <w:t>13.</w:t>
      </w:r>
      <w:r w:rsidRPr="00FC567A">
        <w:tab/>
      </w:r>
      <w:r>
        <w:t>P</w:t>
      </w:r>
      <w:r w:rsidRPr="00FC567A">
        <w:t>roporcion</w:t>
      </w:r>
      <w:r>
        <w:t>en</w:t>
      </w:r>
      <w:r w:rsidRPr="00FC567A">
        <w:t xml:space="preserve"> información actualizada sobre las disposiciones adoptadas por el Estado parte para responder a eventuales amenazas terroristas. </w:t>
      </w:r>
      <w:r>
        <w:t>E</w:t>
      </w:r>
      <w:r w:rsidRPr="00FC567A">
        <w:t>xpli</w:t>
      </w:r>
      <w:r>
        <w:t>quen</w:t>
      </w:r>
      <w:r w:rsidRPr="00FC567A">
        <w:t xml:space="preserve"> si tales disposiciones han afectado a las salvaguardias que protegen los derechos humanos, tanto en la legislación como en la práctica, y de qué manera e indi</w:t>
      </w:r>
      <w:r>
        <w:t>quen</w:t>
      </w:r>
      <w:r w:rsidRPr="00FC567A">
        <w:t xml:space="preserve"> cómo se ha asegurado el Estado parte de que las medidas adoptadas para luchar contra el terrorismo cumplen todas las obligaciones que le im</w:t>
      </w:r>
      <w:r>
        <w:t xml:space="preserve">pone </w:t>
      </w:r>
      <w:r w:rsidRPr="00FC567A">
        <w:t xml:space="preserve">el derecho internacional. </w:t>
      </w:r>
      <w:r>
        <w:t>D</w:t>
      </w:r>
      <w:r w:rsidRPr="00FC567A">
        <w:t xml:space="preserve">escriban la formación impartida a este respecto a los agentes del orden, el número y los tipos de sentencias condenatorias dictadas en aplicación de la legislación antiterrorista, y las vías de recurso de que disponen las personas sujetas a medidas antiterroristas. </w:t>
      </w:r>
      <w:r>
        <w:t>Señalen</w:t>
      </w:r>
      <w:r w:rsidRPr="00FC567A">
        <w:t xml:space="preserve"> si se ha presentado alguna </w:t>
      </w:r>
      <w:r>
        <w:t>denuncia</w:t>
      </w:r>
      <w:r w:rsidRPr="00FC567A">
        <w:t xml:space="preserve"> por la inobservancia de las normas internacionales, y cuál ha sido el resultado de dichas </w:t>
      </w:r>
      <w:r>
        <w:t>denuncias</w:t>
      </w:r>
      <w:r w:rsidRPr="00FC567A">
        <w:t>.</w:t>
      </w:r>
    </w:p>
    <w:p w:rsidR="0051280E" w:rsidRPr="00FC567A" w:rsidRDefault="0051280E" w:rsidP="0051280E">
      <w:pPr>
        <w:pStyle w:val="H1G"/>
      </w:pPr>
      <w:r w:rsidRPr="00FC567A">
        <w:tab/>
      </w:r>
      <w:r w:rsidRPr="00FC567A">
        <w:tab/>
        <w:t>Información general sobre la situación nacional en materia de</w:t>
      </w:r>
      <w:r w:rsidR="00E64B4B">
        <w:t> </w:t>
      </w:r>
      <w:r w:rsidRPr="00FC567A">
        <w:t>derechos</w:t>
      </w:r>
      <w:r>
        <w:t> </w:t>
      </w:r>
      <w:r w:rsidRPr="00FC567A">
        <w:t>humanos, con inclusión de nuevas medidas y acontecimientos</w:t>
      </w:r>
      <w:r>
        <w:t> </w:t>
      </w:r>
      <w:r w:rsidRPr="00FC567A">
        <w:t xml:space="preserve">relativos a la aplicación de la Convención </w:t>
      </w:r>
    </w:p>
    <w:p w:rsidR="0051280E" w:rsidRPr="00FC567A" w:rsidRDefault="0051280E" w:rsidP="0051280E">
      <w:pPr>
        <w:pStyle w:val="SingleTxtG"/>
      </w:pPr>
      <w:r w:rsidRPr="00FC567A">
        <w:t>14.</w:t>
      </w:r>
      <w:r w:rsidRPr="00FC567A">
        <w:tab/>
      </w:r>
      <w:r>
        <w:t>Faciliten</w:t>
      </w:r>
      <w:r w:rsidRPr="00FC567A">
        <w:t xml:space="preserve"> información detallada sobre </w:t>
      </w:r>
      <w:r>
        <w:t>toda</w:t>
      </w:r>
      <w:r w:rsidRPr="00FC567A">
        <w:t xml:space="preserve"> medida legislativa, administrativa</w:t>
      </w:r>
      <w:r>
        <w:t>,</w:t>
      </w:r>
      <w:r w:rsidRPr="00FC567A">
        <w:t xml:space="preserve"> judicial</w:t>
      </w:r>
      <w:r>
        <w:t xml:space="preserve"> o de otra índole</w:t>
      </w:r>
      <w:r w:rsidRPr="00FC567A">
        <w:t>, que se haya adoptado desde el examen del último informe periódico para dar cumplimiento a las disposiciones de la Convención o las recomendaciones del Comité. También puede tratarse de cambios institucionales, planes o programas. Ind</w:t>
      </w:r>
      <w:r>
        <w:t>i</w:t>
      </w:r>
      <w:r w:rsidRPr="00FC567A">
        <w:t>quen los recursos asignados y facil</w:t>
      </w:r>
      <w:r>
        <w:t>iten</w:t>
      </w:r>
      <w:r w:rsidRPr="00FC567A">
        <w:t xml:space="preserve"> los datos estadísticos o cualquier otra información que el Estado parte estime útil. </w:t>
      </w:r>
    </w:p>
    <w:p w:rsidR="0051280E" w:rsidRPr="00915B26" w:rsidRDefault="0051280E" w:rsidP="0051280E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5709E0"/>
    <w:sectPr w:rsidR="00381C24" w:rsidRPr="001075E9" w:rsidSect="0051280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62C" w:rsidRDefault="00D3262C">
      <w:r>
        <w:separator/>
      </w:r>
    </w:p>
  </w:endnote>
  <w:endnote w:type="continuationSeparator" w:id="0">
    <w:p w:rsidR="00D3262C" w:rsidRDefault="00D32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0E" w:rsidRPr="0051280E" w:rsidRDefault="0051280E" w:rsidP="0051280E">
    <w:pPr>
      <w:pStyle w:val="Footer"/>
      <w:tabs>
        <w:tab w:val="right" w:pos="9638"/>
      </w:tabs>
    </w:pPr>
    <w:r w:rsidRPr="0051280E">
      <w:rPr>
        <w:b/>
        <w:sz w:val="18"/>
      </w:rPr>
      <w:fldChar w:fldCharType="begin"/>
    </w:r>
    <w:r w:rsidRPr="0051280E">
      <w:rPr>
        <w:b/>
        <w:sz w:val="18"/>
      </w:rPr>
      <w:instrText xml:space="preserve"> PAGE  \* MERGEFORMAT </w:instrText>
    </w:r>
    <w:r w:rsidRPr="0051280E">
      <w:rPr>
        <w:b/>
        <w:sz w:val="18"/>
      </w:rPr>
      <w:fldChar w:fldCharType="separate"/>
    </w:r>
    <w:r w:rsidR="00B445FA">
      <w:rPr>
        <w:b/>
        <w:noProof/>
        <w:sz w:val="18"/>
      </w:rPr>
      <w:t>4</w:t>
    </w:r>
    <w:r w:rsidRPr="0051280E">
      <w:rPr>
        <w:b/>
        <w:sz w:val="18"/>
      </w:rPr>
      <w:fldChar w:fldCharType="end"/>
    </w:r>
    <w:r>
      <w:rPr>
        <w:b/>
        <w:sz w:val="18"/>
      </w:rPr>
      <w:tab/>
    </w:r>
    <w:r>
      <w:t>GE.13-45542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0E" w:rsidRPr="0051280E" w:rsidRDefault="0051280E" w:rsidP="0051280E">
    <w:pPr>
      <w:pStyle w:val="Footer"/>
      <w:tabs>
        <w:tab w:val="right" w:pos="9638"/>
      </w:tabs>
      <w:rPr>
        <w:b/>
        <w:sz w:val="18"/>
      </w:rPr>
    </w:pPr>
    <w:r>
      <w:t>GE.13-45542</w:t>
    </w:r>
    <w:r>
      <w:tab/>
    </w:r>
    <w:r w:rsidRPr="0051280E">
      <w:rPr>
        <w:b/>
        <w:sz w:val="18"/>
      </w:rPr>
      <w:fldChar w:fldCharType="begin"/>
    </w:r>
    <w:r w:rsidRPr="0051280E">
      <w:rPr>
        <w:b/>
        <w:sz w:val="18"/>
      </w:rPr>
      <w:instrText xml:space="preserve"> PAGE  \* MERGEFORMAT </w:instrText>
    </w:r>
    <w:r w:rsidRPr="0051280E">
      <w:rPr>
        <w:b/>
        <w:sz w:val="18"/>
      </w:rPr>
      <w:fldChar w:fldCharType="separate"/>
    </w:r>
    <w:r w:rsidR="00B445FA">
      <w:rPr>
        <w:b/>
        <w:noProof/>
        <w:sz w:val="18"/>
      </w:rPr>
      <w:t>5</w:t>
    </w:r>
    <w:r w:rsidRPr="0051280E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5D3" w:rsidRPr="0051280E" w:rsidRDefault="0051280E" w:rsidP="00C106D6">
    <w:pPr>
      <w:pStyle w:val="Footer"/>
      <w:rPr>
        <w:sz w:val="20"/>
      </w:rPr>
    </w:pPr>
    <w:r>
      <w:rPr>
        <w:sz w:val="20"/>
      </w:rPr>
      <w:t>GE.</w:t>
    </w:r>
    <w:r w:rsidR="007825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13-45542  (S)</w:t>
    </w:r>
    <w:r w:rsidR="00E64B4B">
      <w:rPr>
        <w:sz w:val="20"/>
      </w:rPr>
      <w:t xml:space="preserve">    130913    160913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62C" w:rsidRPr="001075E9" w:rsidRDefault="00D326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262C" w:rsidRDefault="00D326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1280E" w:rsidRPr="00191562" w:rsidRDefault="0051280E" w:rsidP="0051280E">
      <w:pPr>
        <w:pStyle w:val="FootnoteText"/>
        <w:widowControl w:val="0"/>
        <w:tabs>
          <w:tab w:val="clear" w:pos="1021"/>
          <w:tab w:val="right" w:pos="1020"/>
        </w:tabs>
        <w:jc w:val="both"/>
        <w:rPr>
          <w:szCs w:val="18"/>
        </w:rPr>
      </w:pPr>
      <w:r w:rsidRPr="00FF3A3E">
        <w:rPr>
          <w:sz w:val="20"/>
          <w:lang w:val="de-DE"/>
        </w:rPr>
        <w:tab/>
      </w:r>
      <w:r w:rsidRPr="00191562">
        <w:rPr>
          <w:rStyle w:val="FootnoteReference"/>
          <w:szCs w:val="18"/>
          <w:lang w:val="fr-FR"/>
        </w:rPr>
        <w:footnoteRef/>
      </w:r>
      <w:r w:rsidRPr="00191562">
        <w:rPr>
          <w:szCs w:val="18"/>
          <w:lang w:val="de-DE"/>
        </w:rPr>
        <w:tab/>
        <w:t>Los números de párrafo que figuran entre paréntesis hacen referencia a las anteriores observaciones finales del Comité, distribuidas con la signatura CAT/C/MCO/CO/4-5.</w:t>
      </w:r>
    </w:p>
  </w:footnote>
  <w:footnote w:id="2">
    <w:p w:rsidR="0051280E" w:rsidRPr="00191562" w:rsidRDefault="0051280E" w:rsidP="0051280E">
      <w:pPr>
        <w:pStyle w:val="FootnoteText"/>
        <w:widowControl w:val="0"/>
        <w:tabs>
          <w:tab w:val="clear" w:pos="1021"/>
          <w:tab w:val="right" w:pos="1020"/>
        </w:tabs>
        <w:jc w:val="both"/>
        <w:rPr>
          <w:szCs w:val="18"/>
          <w:lang w:val="de-DE"/>
        </w:rPr>
      </w:pPr>
      <w:r w:rsidRPr="00191562">
        <w:rPr>
          <w:szCs w:val="18"/>
          <w:lang w:val="de-DE"/>
        </w:rPr>
        <w:tab/>
      </w:r>
      <w:r w:rsidRPr="00191562">
        <w:rPr>
          <w:rStyle w:val="FootnoteReference"/>
          <w:szCs w:val="18"/>
          <w:lang w:val="fr-FR"/>
        </w:rPr>
        <w:footnoteRef/>
      </w:r>
      <w:r w:rsidRPr="00191562">
        <w:rPr>
          <w:szCs w:val="18"/>
          <w:lang w:val="de-DE"/>
        </w:rPr>
        <w:tab/>
        <w:t>Las cuestiones que se plantean en el marco del artículo 2 pueden tener relación también con otros artículos de la Convención, como el artículo 16. Según se afirma en el párrafo 3 de la Observación general Nº 2 (2007) sobre la aplicación del artículo 2 por los Estados partes, "la obligación de impedir los actos de tortura, estipulada en el artículo 2, tiene gran alcance. Las obligaciones de prevenir la tortura u otros tratos o penas crueles, inhumanos o degradantes (en adelante, los malos tratos) previstos en el párrafo 1 del artículo 16 son indivisibles, interdependientes y están relacionadas entre sí. La obligación de impedir los malos tratos coincide en la práctica con la obligación de impedir la tortura y la enmarca en buena medida. [...] En la práctica, no suele estar claro el límite conceptual entre los malos tratos y la tortura". Véase también el capítulo V de esta observación general.</w:t>
      </w:r>
    </w:p>
  </w:footnote>
  <w:footnote w:id="3">
    <w:p w:rsidR="0051280E" w:rsidRPr="00191562" w:rsidRDefault="0051280E" w:rsidP="0051280E">
      <w:pPr>
        <w:pStyle w:val="FootnoteText"/>
        <w:jc w:val="both"/>
        <w:rPr>
          <w:szCs w:val="18"/>
          <w:lang w:val="de-DE"/>
        </w:rPr>
      </w:pPr>
      <w:r w:rsidRPr="00191562">
        <w:rPr>
          <w:szCs w:val="18"/>
          <w:lang w:val="de-DE" w:eastAsia="en-GB"/>
        </w:rPr>
        <w:tab/>
      </w:r>
      <w:r w:rsidRPr="00191562">
        <w:rPr>
          <w:szCs w:val="18"/>
          <w:vertAlign w:val="superscript"/>
          <w:lang w:val="fr-FR" w:eastAsia="en-GB"/>
        </w:rPr>
        <w:footnoteRef/>
      </w:r>
      <w:r w:rsidRPr="00191562">
        <w:rPr>
          <w:szCs w:val="18"/>
          <w:lang w:val="de-DE" w:eastAsia="en-GB"/>
        </w:rPr>
        <w:tab/>
      </w:r>
      <w:r w:rsidRPr="00191562">
        <w:rPr>
          <w:szCs w:val="18"/>
          <w:lang w:val="de-DE"/>
        </w:rPr>
        <w:t>CAT/C/MCO/CO/4-5/Add.1.</w:t>
      </w:r>
    </w:p>
  </w:footnote>
  <w:footnote w:id="4">
    <w:p w:rsidR="0051280E" w:rsidRPr="00191562" w:rsidRDefault="0051280E" w:rsidP="0051280E">
      <w:pPr>
        <w:pStyle w:val="FootnoteText"/>
        <w:jc w:val="both"/>
        <w:rPr>
          <w:szCs w:val="18"/>
          <w:lang w:val="fr-FR" w:eastAsia="en-GB"/>
        </w:rPr>
      </w:pPr>
      <w:r w:rsidRPr="00191562">
        <w:rPr>
          <w:szCs w:val="18"/>
          <w:lang w:val="de-DE" w:eastAsia="en-GB"/>
        </w:rPr>
        <w:tab/>
      </w:r>
      <w:r w:rsidRPr="00191562">
        <w:rPr>
          <w:szCs w:val="18"/>
          <w:vertAlign w:val="superscript"/>
          <w:lang w:val="fr-FR" w:eastAsia="en-GB"/>
        </w:rPr>
        <w:footnoteRef/>
      </w:r>
      <w:r w:rsidRPr="00191562">
        <w:rPr>
          <w:szCs w:val="18"/>
          <w:lang w:val="de-DE" w:eastAsia="en-GB"/>
        </w:rPr>
        <w:tab/>
      </w:r>
      <w:r w:rsidRPr="00191562">
        <w:rPr>
          <w:i/>
          <w:szCs w:val="18"/>
          <w:lang w:val="de-DE"/>
        </w:rPr>
        <w:t>Ibid.</w:t>
      </w:r>
    </w:p>
  </w:footnote>
  <w:footnote w:id="5">
    <w:p w:rsidR="0051280E" w:rsidRPr="00175052" w:rsidRDefault="0051280E" w:rsidP="0051280E">
      <w:pPr>
        <w:pStyle w:val="FootnoteText"/>
        <w:jc w:val="both"/>
        <w:rPr>
          <w:szCs w:val="18"/>
          <w:lang w:val="de-DE"/>
        </w:rPr>
      </w:pPr>
      <w:r w:rsidRPr="00191562">
        <w:rPr>
          <w:szCs w:val="18"/>
          <w:lang w:val="de-DE" w:eastAsia="en-GB"/>
        </w:rPr>
        <w:tab/>
      </w:r>
      <w:r w:rsidRPr="00191562">
        <w:rPr>
          <w:szCs w:val="18"/>
          <w:vertAlign w:val="superscript"/>
          <w:lang w:val="fr-FR" w:eastAsia="en-GB"/>
        </w:rPr>
        <w:footnoteRef/>
      </w:r>
      <w:r w:rsidRPr="00191562">
        <w:rPr>
          <w:szCs w:val="18"/>
          <w:lang w:val="de-DE" w:eastAsia="en-GB"/>
        </w:rPr>
        <w:tab/>
      </w:r>
      <w:r w:rsidRPr="00191562">
        <w:rPr>
          <w:i/>
          <w:szCs w:val="18"/>
          <w:lang w:val="de-DE"/>
        </w:rPr>
        <w:t>Ibid.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0E" w:rsidRPr="0051280E" w:rsidRDefault="0051280E">
    <w:pPr>
      <w:pStyle w:val="Header"/>
    </w:pPr>
    <w:r>
      <w:t>CAT/C/MCO/QPR/6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0E" w:rsidRPr="0051280E" w:rsidRDefault="0051280E" w:rsidP="0051280E">
    <w:pPr>
      <w:pStyle w:val="Header"/>
      <w:jc w:val="right"/>
    </w:pPr>
    <w:r>
      <w:t>CAT/C/MCO/QPR/6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5D3"/>
    <w:rsid w:val="00010CA3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71D7D"/>
    <w:rsid w:val="00275700"/>
    <w:rsid w:val="002A2EFC"/>
    <w:rsid w:val="002C0E18"/>
    <w:rsid w:val="002D5AAC"/>
    <w:rsid w:val="002F405F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408B3"/>
    <w:rsid w:val="00454E07"/>
    <w:rsid w:val="0050108D"/>
    <w:rsid w:val="0051280E"/>
    <w:rsid w:val="00513081"/>
    <w:rsid w:val="00517901"/>
    <w:rsid w:val="00526683"/>
    <w:rsid w:val="005709E0"/>
    <w:rsid w:val="00572E19"/>
    <w:rsid w:val="005961C8"/>
    <w:rsid w:val="005D7914"/>
    <w:rsid w:val="005F0B42"/>
    <w:rsid w:val="00681A10"/>
    <w:rsid w:val="006C2031"/>
    <w:rsid w:val="006D461A"/>
    <w:rsid w:val="006F35EE"/>
    <w:rsid w:val="007021FF"/>
    <w:rsid w:val="00712895"/>
    <w:rsid w:val="00757357"/>
    <w:rsid w:val="007825D3"/>
    <w:rsid w:val="00825F8D"/>
    <w:rsid w:val="00834B71"/>
    <w:rsid w:val="008411AA"/>
    <w:rsid w:val="0086445C"/>
    <w:rsid w:val="00894693"/>
    <w:rsid w:val="008A08D7"/>
    <w:rsid w:val="008B6909"/>
    <w:rsid w:val="00906890"/>
    <w:rsid w:val="00911BE4"/>
    <w:rsid w:val="00951972"/>
    <w:rsid w:val="009608F3"/>
    <w:rsid w:val="00A84021"/>
    <w:rsid w:val="00A917B3"/>
    <w:rsid w:val="00AB4B51"/>
    <w:rsid w:val="00B10CC7"/>
    <w:rsid w:val="00B445FA"/>
    <w:rsid w:val="00B539E7"/>
    <w:rsid w:val="00B62458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262C"/>
    <w:rsid w:val="00D33D63"/>
    <w:rsid w:val="00D90138"/>
    <w:rsid w:val="00E64B4B"/>
    <w:rsid w:val="00E73F76"/>
    <w:rsid w:val="00EA2C9F"/>
    <w:rsid w:val="00ED0BDA"/>
    <w:rsid w:val="00EF1360"/>
    <w:rsid w:val="00EF3220"/>
    <w:rsid w:val="00F94155"/>
    <w:rsid w:val="00FD2EF7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5</Pages>
  <Words>1552</Words>
  <Characters>8537</Characters>
  <Application>Microsoft Office Outlook</Application>
  <DocSecurity>4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CAT/C/MCO/QPR/2006</vt:lpstr>
    </vt:vector>
  </TitlesOfParts>
  <Company/>
  <LinksUpToDate>false</LinksUpToDate>
  <CharactersWithSpaces>10069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CAT/C/MCO/QPR/2006</dc:title>
  <dc:subject>Final</dc:subject>
  <dc:creator>Carlos Bragunde</dc:creator>
  <cp:keywords/>
  <dc:description/>
  <cp:lastModifiedBy>Carlos Bragunde</cp:lastModifiedBy>
  <cp:revision>2</cp:revision>
  <cp:lastPrinted>2013-09-16T10:40:00Z</cp:lastPrinted>
  <dcterms:created xsi:type="dcterms:W3CDTF">2013-09-16T10:41:00Z</dcterms:created>
  <dcterms:modified xsi:type="dcterms:W3CDTF">2013-09-16T10:41:00Z</dcterms:modified>
</cp:coreProperties>
</file>